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3443" w14:textId="77777777" w:rsidR="0075103D" w:rsidRPr="00EC5A7B" w:rsidRDefault="0075103D" w:rsidP="0075103D">
      <w:pPr>
        <w:spacing w:line="276" w:lineRule="auto"/>
        <w:jc w:val="right"/>
        <w:rPr>
          <w:rFonts w:asciiTheme="majorHAnsi" w:hAnsiTheme="majorHAnsi" w:cs="Times New Roman"/>
          <w:b/>
          <w:sz w:val="28"/>
          <w:szCs w:val="28"/>
          <w:u w:val="single"/>
          <w:lang w:val="ru-MD" w:eastAsia="ru-RU"/>
        </w:rPr>
      </w:pPr>
      <w:bookmarkStart w:id="0" w:name="_GoBack"/>
      <w:bookmarkEnd w:id="0"/>
      <w:r w:rsidRPr="00EC5A7B">
        <w:rPr>
          <w:rFonts w:asciiTheme="majorHAnsi" w:hAnsiTheme="majorHAnsi" w:cs="Times New Roman"/>
          <w:b/>
          <w:sz w:val="28"/>
          <w:szCs w:val="28"/>
          <w:u w:val="single"/>
          <w:lang w:val="ru-MD" w:eastAsia="ru-RU"/>
        </w:rPr>
        <w:t>ПЕРЕВОД</w:t>
      </w:r>
    </w:p>
    <w:p w14:paraId="46569DCA" w14:textId="49227AFC" w:rsidR="00E85DB7" w:rsidRPr="00EC5A7B" w:rsidRDefault="0075103D" w:rsidP="009A4497">
      <w:pPr>
        <w:tabs>
          <w:tab w:val="left" w:pos="720"/>
        </w:tabs>
        <w:spacing w:after="0" w:line="276" w:lineRule="auto"/>
        <w:jc w:val="right"/>
        <w:rPr>
          <w:rFonts w:asciiTheme="majorHAnsi" w:eastAsia="Times New Roman" w:hAnsiTheme="majorHAnsi" w:cs="Times New Roman"/>
          <w:bCs/>
          <w:sz w:val="24"/>
          <w:szCs w:val="24"/>
          <w:lang w:val="ru-MD"/>
        </w:rPr>
      </w:pPr>
      <w:r w:rsidRPr="00EC5A7B">
        <w:rPr>
          <w:rFonts w:asciiTheme="majorHAnsi" w:eastAsia="Times New Roman" w:hAnsiTheme="majorHAnsi" w:cs="Times New Roman"/>
          <w:bCs/>
          <w:sz w:val="24"/>
          <w:szCs w:val="24"/>
          <w:lang w:val="ru-MD"/>
        </w:rPr>
        <w:t>Приложение</w:t>
      </w:r>
      <w:r w:rsidR="00E85DB7" w:rsidRPr="00EC5A7B">
        <w:rPr>
          <w:rFonts w:asciiTheme="majorHAnsi" w:eastAsia="Times New Roman" w:hAnsiTheme="majorHAnsi" w:cs="Times New Roman"/>
          <w:bCs/>
          <w:sz w:val="24"/>
          <w:szCs w:val="24"/>
          <w:lang w:val="ru-MD"/>
        </w:rPr>
        <w:t xml:space="preserve"> </w:t>
      </w:r>
    </w:p>
    <w:p w14:paraId="03F0345D" w14:textId="746CE1A3" w:rsidR="00E85DB7" w:rsidRPr="00EC5A7B" w:rsidRDefault="0075103D" w:rsidP="00E85DB7">
      <w:pPr>
        <w:tabs>
          <w:tab w:val="left" w:pos="720"/>
        </w:tabs>
        <w:spacing w:after="0" w:line="276" w:lineRule="auto"/>
        <w:jc w:val="right"/>
        <w:rPr>
          <w:rFonts w:asciiTheme="majorHAnsi" w:eastAsia="Times New Roman" w:hAnsiTheme="majorHAnsi" w:cs="Times New Roman"/>
          <w:bCs/>
          <w:sz w:val="24"/>
          <w:szCs w:val="24"/>
          <w:lang w:val="ru-MD"/>
        </w:rPr>
      </w:pPr>
      <w:r w:rsidRPr="00EC5A7B">
        <w:rPr>
          <w:rFonts w:asciiTheme="majorHAnsi" w:eastAsia="Times New Roman" w:hAnsiTheme="majorHAnsi" w:cs="Times New Roman"/>
          <w:bCs/>
          <w:sz w:val="24"/>
          <w:szCs w:val="24"/>
          <w:lang w:val="ru-MD"/>
        </w:rPr>
        <w:t>к Постановлению Счетной палаты</w:t>
      </w:r>
      <w:r w:rsidR="00E85DB7" w:rsidRPr="00EC5A7B">
        <w:rPr>
          <w:rFonts w:asciiTheme="majorHAnsi" w:eastAsia="Times New Roman" w:hAnsiTheme="majorHAnsi" w:cs="Times New Roman"/>
          <w:bCs/>
          <w:sz w:val="24"/>
          <w:szCs w:val="24"/>
          <w:lang w:val="ru-MD"/>
        </w:rPr>
        <w:t xml:space="preserve"> </w:t>
      </w:r>
    </w:p>
    <w:p w14:paraId="31158F6E" w14:textId="4AA7EC60" w:rsidR="00E85DB7" w:rsidRPr="00EC5A7B" w:rsidRDefault="0075103D" w:rsidP="00E85DB7">
      <w:pPr>
        <w:tabs>
          <w:tab w:val="left" w:pos="720"/>
        </w:tabs>
        <w:spacing w:after="0" w:line="276" w:lineRule="auto"/>
        <w:jc w:val="right"/>
        <w:rPr>
          <w:rFonts w:asciiTheme="majorHAnsi" w:eastAsia="Times New Roman" w:hAnsiTheme="majorHAnsi" w:cs="Times New Roman"/>
          <w:bCs/>
          <w:color w:val="1F4E79" w:themeColor="accent1" w:themeShade="80"/>
          <w:sz w:val="24"/>
          <w:szCs w:val="24"/>
          <w:lang w:val="ru-MD"/>
        </w:rPr>
      </w:pPr>
      <w:r w:rsidRPr="00EC5A7B">
        <w:rPr>
          <w:rFonts w:asciiTheme="majorHAnsi" w:eastAsia="Times New Roman" w:hAnsiTheme="majorHAnsi" w:cs="Times New Roman"/>
          <w:bCs/>
          <w:sz w:val="24"/>
          <w:szCs w:val="24"/>
          <w:lang w:val="ru-MD"/>
        </w:rPr>
        <w:t>№</w:t>
      </w:r>
      <w:r w:rsidR="009A4497" w:rsidRPr="00EC5A7B">
        <w:rPr>
          <w:rFonts w:asciiTheme="majorHAnsi" w:eastAsia="Times New Roman" w:hAnsiTheme="majorHAnsi" w:cs="Times New Roman"/>
          <w:bCs/>
          <w:sz w:val="24"/>
          <w:szCs w:val="24"/>
          <w:lang w:val="ru-MD"/>
        </w:rPr>
        <w:t xml:space="preserve">39 </w:t>
      </w:r>
      <w:r w:rsidRPr="00EC5A7B">
        <w:rPr>
          <w:rFonts w:asciiTheme="majorHAnsi" w:eastAsia="Times New Roman" w:hAnsiTheme="majorHAnsi" w:cs="Times New Roman"/>
          <w:bCs/>
          <w:sz w:val="24"/>
          <w:szCs w:val="24"/>
          <w:lang w:val="ru-MD"/>
        </w:rPr>
        <w:t>от</w:t>
      </w:r>
      <w:r w:rsidR="00E85DB7" w:rsidRPr="00EC5A7B">
        <w:rPr>
          <w:rFonts w:asciiTheme="majorHAnsi" w:eastAsia="Times New Roman" w:hAnsiTheme="majorHAnsi" w:cs="Times New Roman"/>
          <w:bCs/>
          <w:sz w:val="24"/>
          <w:szCs w:val="24"/>
          <w:lang w:val="ru-MD"/>
        </w:rPr>
        <w:t xml:space="preserve"> </w:t>
      </w:r>
      <w:r w:rsidR="00AF21BF" w:rsidRPr="00EC5A7B">
        <w:rPr>
          <w:rFonts w:asciiTheme="majorHAnsi" w:eastAsia="Times New Roman" w:hAnsiTheme="majorHAnsi" w:cs="Times New Roman"/>
          <w:bCs/>
          <w:sz w:val="24"/>
          <w:szCs w:val="24"/>
          <w:lang w:val="ru-MD"/>
        </w:rPr>
        <w:t>28</w:t>
      </w:r>
      <w:r w:rsidR="00CC270F" w:rsidRPr="00EC5A7B">
        <w:rPr>
          <w:rFonts w:asciiTheme="majorHAnsi" w:eastAsia="Times New Roman" w:hAnsiTheme="majorHAnsi" w:cs="Times New Roman"/>
          <w:bCs/>
          <w:sz w:val="24"/>
          <w:szCs w:val="24"/>
          <w:lang w:val="ru-MD"/>
        </w:rPr>
        <w:t xml:space="preserve"> </w:t>
      </w:r>
      <w:r w:rsidRPr="00EC5A7B">
        <w:rPr>
          <w:rFonts w:asciiTheme="majorHAnsi" w:eastAsia="Times New Roman" w:hAnsiTheme="majorHAnsi" w:cs="Times New Roman"/>
          <w:bCs/>
          <w:sz w:val="24"/>
          <w:szCs w:val="24"/>
          <w:lang w:val="ru-MD"/>
        </w:rPr>
        <w:t>июля</w:t>
      </w:r>
      <w:r w:rsidR="00E85DB7" w:rsidRPr="00EC5A7B">
        <w:rPr>
          <w:rFonts w:asciiTheme="majorHAnsi" w:eastAsia="Times New Roman" w:hAnsiTheme="majorHAnsi" w:cs="Times New Roman"/>
          <w:bCs/>
          <w:sz w:val="24"/>
          <w:szCs w:val="24"/>
          <w:lang w:val="ru-MD"/>
        </w:rPr>
        <w:t xml:space="preserve"> 2020</w:t>
      </w:r>
      <w:r w:rsidRPr="00EC5A7B">
        <w:rPr>
          <w:rFonts w:asciiTheme="majorHAnsi" w:eastAsia="Times New Roman" w:hAnsiTheme="majorHAnsi" w:cs="Times New Roman"/>
          <w:bCs/>
          <w:sz w:val="24"/>
          <w:szCs w:val="24"/>
          <w:lang w:val="ru-MD"/>
        </w:rPr>
        <w:t xml:space="preserve"> года</w:t>
      </w:r>
    </w:p>
    <w:p w14:paraId="232C38EB" w14:textId="77777777" w:rsidR="00E85DB7" w:rsidRPr="00EC5A7B" w:rsidRDefault="00E85DB7" w:rsidP="00E85DB7">
      <w:pPr>
        <w:spacing w:after="0" w:line="276" w:lineRule="auto"/>
        <w:rPr>
          <w:rFonts w:asciiTheme="majorHAnsi" w:hAnsiTheme="majorHAnsi" w:cs="Times New Roman"/>
          <w:sz w:val="24"/>
          <w:szCs w:val="24"/>
          <w:lang w:val="ru-MD"/>
        </w:rPr>
      </w:pPr>
    </w:p>
    <w:p w14:paraId="72904D8F" w14:textId="77777777" w:rsidR="00E85DB7" w:rsidRPr="00EC5A7B" w:rsidRDefault="00E85DB7" w:rsidP="00E85DB7">
      <w:pPr>
        <w:spacing w:after="0" w:line="276" w:lineRule="auto"/>
        <w:rPr>
          <w:rFonts w:asciiTheme="majorHAnsi" w:hAnsiTheme="majorHAnsi" w:cs="Times New Roman"/>
          <w:lang w:val="ru-MD"/>
        </w:rPr>
      </w:pPr>
    </w:p>
    <w:p w14:paraId="24FC5E03" w14:textId="77777777" w:rsidR="00E85DB7" w:rsidRPr="00EC5A7B" w:rsidRDefault="00E85DB7" w:rsidP="00E85DB7">
      <w:pPr>
        <w:spacing w:after="0" w:line="276" w:lineRule="auto"/>
        <w:rPr>
          <w:rFonts w:asciiTheme="majorHAnsi" w:hAnsiTheme="majorHAnsi" w:cs="Times New Roman"/>
          <w:lang w:val="ru-MD"/>
        </w:rPr>
      </w:pPr>
    </w:p>
    <w:p w14:paraId="00AF64B2" w14:textId="77777777" w:rsidR="00E85DB7" w:rsidRPr="00EC5A7B" w:rsidRDefault="00E85DB7" w:rsidP="00E85DB7">
      <w:pPr>
        <w:spacing w:after="0" w:line="276" w:lineRule="auto"/>
        <w:rPr>
          <w:rFonts w:asciiTheme="majorHAnsi" w:hAnsiTheme="majorHAnsi" w:cs="Times New Roman"/>
          <w:lang w:val="ru-MD"/>
        </w:rPr>
      </w:pPr>
    </w:p>
    <w:p w14:paraId="63B6BEB4" w14:textId="77777777" w:rsidR="00E85DB7" w:rsidRPr="00EC5A7B" w:rsidRDefault="00E85DB7" w:rsidP="00E85DB7">
      <w:pPr>
        <w:spacing w:after="0" w:line="276" w:lineRule="auto"/>
        <w:jc w:val="center"/>
        <w:rPr>
          <w:rFonts w:asciiTheme="majorHAnsi" w:hAnsiTheme="majorHAnsi" w:cs="Times New Roman"/>
          <w:b/>
          <w:sz w:val="28"/>
          <w:szCs w:val="28"/>
          <w:lang w:val="ru-MD"/>
        </w:rPr>
      </w:pPr>
      <w:r w:rsidRPr="00EC5A7B">
        <w:rPr>
          <w:rFonts w:asciiTheme="majorHAnsi" w:hAnsiTheme="majorHAnsi" w:cs="Times New Roman"/>
          <w:b/>
          <w:noProof/>
          <w:sz w:val="28"/>
          <w:szCs w:val="28"/>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EC5A7B" w:rsidRDefault="00E85DB7" w:rsidP="00E85DB7">
      <w:pPr>
        <w:spacing w:after="0" w:line="276" w:lineRule="auto"/>
        <w:jc w:val="center"/>
        <w:rPr>
          <w:rFonts w:asciiTheme="majorHAnsi" w:hAnsiTheme="majorHAnsi" w:cs="Times New Roman"/>
          <w:b/>
          <w:sz w:val="28"/>
          <w:szCs w:val="28"/>
          <w:lang w:val="ru-MD"/>
        </w:rPr>
      </w:pPr>
    </w:p>
    <w:p w14:paraId="5AEAEF30" w14:textId="77777777" w:rsidR="00E85DB7" w:rsidRPr="00EC5A7B" w:rsidRDefault="00E85DB7" w:rsidP="00E85DB7">
      <w:pPr>
        <w:spacing w:after="0" w:line="276" w:lineRule="auto"/>
        <w:jc w:val="center"/>
        <w:rPr>
          <w:rFonts w:asciiTheme="majorHAnsi" w:hAnsiTheme="majorHAnsi" w:cs="Times New Roman"/>
          <w:b/>
          <w:sz w:val="28"/>
          <w:szCs w:val="28"/>
          <w:lang w:val="ru-MD"/>
        </w:rPr>
      </w:pPr>
    </w:p>
    <w:p w14:paraId="6596D433" w14:textId="2474E845" w:rsidR="00E85DB7" w:rsidRPr="00EC5A7B" w:rsidRDefault="0075103D" w:rsidP="0075103D">
      <w:pPr>
        <w:spacing w:after="0" w:line="276" w:lineRule="auto"/>
        <w:jc w:val="center"/>
        <w:rPr>
          <w:rFonts w:asciiTheme="majorHAnsi" w:hAnsiTheme="majorHAnsi" w:cs="Times New Roman"/>
          <w:lang w:val="ru-MD"/>
        </w:rPr>
      </w:pPr>
      <w:r w:rsidRPr="00EC5A7B">
        <w:rPr>
          <w:rFonts w:asciiTheme="majorHAnsi" w:hAnsiTheme="majorHAnsi" w:cs="Times New Roman"/>
          <w:b/>
          <w:iCs/>
          <w:sz w:val="28"/>
          <w:szCs w:val="28"/>
          <w:lang w:val="ru-MD"/>
        </w:rPr>
        <w:t>СЧЕТНАЯ ПАЛАТА РЕСПУБЛИКИ МОЛДОВА</w:t>
      </w:r>
    </w:p>
    <w:p w14:paraId="66579ADE" w14:textId="77777777" w:rsidR="00E85DB7" w:rsidRPr="00EC5A7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14:paraId="49DD1788" w14:textId="77777777" w:rsidR="00E85DB7" w:rsidRPr="00EC5A7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5DB7" w:rsidRPr="00EC5A7B" w14:paraId="256CA91B" w14:textId="77777777" w:rsidTr="0048672D">
        <w:trPr>
          <w:trHeight w:val="435"/>
        </w:trPr>
        <w:tc>
          <w:tcPr>
            <w:tcW w:w="9350" w:type="dxa"/>
          </w:tcPr>
          <w:p w14:paraId="41DC90ED" w14:textId="77777777" w:rsidR="00E85DB7" w:rsidRPr="00EC5A7B" w:rsidRDefault="00E85DB7" w:rsidP="0048672D">
            <w:pPr>
              <w:tabs>
                <w:tab w:val="left" w:pos="720"/>
              </w:tabs>
              <w:spacing w:line="276" w:lineRule="auto"/>
              <w:jc w:val="center"/>
              <w:rPr>
                <w:rFonts w:asciiTheme="majorHAnsi" w:hAnsiTheme="majorHAnsi" w:cs="Times New Roman"/>
                <w:b/>
                <w:color w:val="0563C1" w:themeColor="hyperlink"/>
                <w:sz w:val="18"/>
                <w:szCs w:val="18"/>
                <w:u w:val="single"/>
                <w:lang w:val="ru-MD"/>
              </w:rPr>
            </w:pPr>
            <w:r w:rsidRPr="00EC5A7B">
              <w:rPr>
                <w:rFonts w:asciiTheme="majorHAnsi" w:hAnsiTheme="majorHAnsi" w:cs="Times New Roman"/>
                <w:sz w:val="18"/>
                <w:szCs w:val="18"/>
                <w:lang w:val="ru-MD"/>
              </w:rPr>
              <w:t xml:space="preserve">MD-2001, mun. Chișinău, bd. Ștefan cel Mare și Sfânt nr.69, tel.: (+373) 22 23 25 79, fax: (+373) 22 23 30 20, </w:t>
            </w:r>
            <w:r w:rsidRPr="00EC5A7B">
              <w:rPr>
                <w:rFonts w:asciiTheme="majorHAnsi" w:hAnsiTheme="majorHAnsi" w:cs="Times New Roman"/>
                <w:b/>
                <w:color w:val="0070C0"/>
                <w:sz w:val="18"/>
                <w:szCs w:val="18"/>
                <w:lang w:val="ru-MD"/>
              </w:rPr>
              <w:t>www.ccrm.md</w:t>
            </w:r>
            <w:r w:rsidRPr="00EC5A7B">
              <w:rPr>
                <w:rFonts w:asciiTheme="majorHAnsi" w:hAnsiTheme="majorHAnsi" w:cs="Times New Roman"/>
                <w:b/>
                <w:color w:val="0070C0"/>
                <w:sz w:val="18"/>
                <w:szCs w:val="18"/>
                <w:u w:val="single"/>
                <w:lang w:val="ru-MD"/>
              </w:rPr>
              <w:t>;</w:t>
            </w:r>
          </w:p>
          <w:p w14:paraId="45B0A9BE" w14:textId="77777777" w:rsidR="00E85DB7" w:rsidRPr="00EC5A7B" w:rsidRDefault="00E85DB7" w:rsidP="0048672D">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u-MD"/>
              </w:rPr>
            </w:pPr>
            <w:r w:rsidRPr="00EC5A7B">
              <w:rPr>
                <w:rFonts w:asciiTheme="majorHAnsi" w:hAnsiTheme="majorHAnsi" w:cs="Times New Roman"/>
                <w:sz w:val="18"/>
                <w:szCs w:val="18"/>
                <w:lang w:val="ru-MD"/>
              </w:rPr>
              <w:t xml:space="preserve">e-mail: </w:t>
            </w:r>
            <w:hyperlink r:id="rId9" w:history="1">
              <w:r w:rsidRPr="00EC5A7B">
                <w:rPr>
                  <w:rFonts w:asciiTheme="majorHAnsi" w:hAnsiTheme="majorHAnsi" w:cs="Times New Roman"/>
                  <w:b/>
                  <w:color w:val="0563C1" w:themeColor="hyperlink"/>
                  <w:sz w:val="18"/>
                  <w:szCs w:val="18"/>
                  <w:u w:val="single"/>
                  <w:lang w:val="ru-MD"/>
                </w:rPr>
                <w:t>ccrm@ccrm.md</w:t>
              </w:r>
            </w:hyperlink>
          </w:p>
        </w:tc>
      </w:tr>
    </w:tbl>
    <w:p w14:paraId="54A0246F" w14:textId="77777777" w:rsidR="00E85DB7" w:rsidRPr="00EC5A7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14:paraId="1EA295EF" w14:textId="77777777" w:rsidR="00E85DB7" w:rsidRPr="00EC5A7B" w:rsidRDefault="00E85DB7" w:rsidP="00E85DB7">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14:paraId="5E5EC2F8" w14:textId="77777777" w:rsidR="00E85DB7" w:rsidRPr="00EC5A7B"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746A996E" w14:textId="763C43B7" w:rsidR="00E85DB7" w:rsidRPr="00EC5A7B" w:rsidRDefault="0075103D" w:rsidP="00E85DB7">
      <w:pPr>
        <w:tabs>
          <w:tab w:val="left" w:pos="720"/>
        </w:tabs>
        <w:spacing w:after="0" w:line="276" w:lineRule="auto"/>
        <w:jc w:val="center"/>
        <w:rPr>
          <w:rFonts w:asciiTheme="majorHAnsi" w:eastAsia="Times New Roman" w:hAnsiTheme="majorHAnsi" w:cs="Times New Roman"/>
          <w:b/>
          <w:bCs/>
          <w:sz w:val="32"/>
          <w:szCs w:val="32"/>
          <w:lang w:val="ru-MD"/>
        </w:rPr>
      </w:pPr>
      <w:r w:rsidRPr="00EC5A7B">
        <w:rPr>
          <w:rFonts w:asciiTheme="majorHAnsi" w:eastAsia="Times New Roman" w:hAnsiTheme="majorHAnsi" w:cs="Times New Roman"/>
          <w:b/>
          <w:bCs/>
          <w:sz w:val="32"/>
          <w:szCs w:val="32"/>
          <w:lang w:val="ru-MD"/>
        </w:rPr>
        <w:t>ОТЧЕТ</w:t>
      </w:r>
      <w:r w:rsidR="00E85DB7" w:rsidRPr="00EC5A7B">
        <w:rPr>
          <w:rFonts w:asciiTheme="majorHAnsi" w:eastAsia="Times New Roman" w:hAnsiTheme="majorHAnsi" w:cs="Times New Roman"/>
          <w:b/>
          <w:bCs/>
          <w:sz w:val="32"/>
          <w:szCs w:val="32"/>
          <w:lang w:val="ru-MD"/>
        </w:rPr>
        <w:t xml:space="preserve"> </w:t>
      </w:r>
    </w:p>
    <w:p w14:paraId="71B6C2C5" w14:textId="77777777" w:rsidR="0075103D" w:rsidRPr="00EC5A7B" w:rsidRDefault="0075103D" w:rsidP="0075103D">
      <w:pPr>
        <w:tabs>
          <w:tab w:val="left" w:pos="720"/>
        </w:tabs>
        <w:spacing w:after="0" w:line="276" w:lineRule="auto"/>
        <w:ind w:firstLine="720"/>
        <w:jc w:val="center"/>
        <w:rPr>
          <w:rFonts w:asciiTheme="majorHAnsi" w:eastAsia="Times New Roman" w:hAnsiTheme="majorHAnsi" w:cs="Times New Roman"/>
          <w:b/>
          <w:bCs/>
          <w:sz w:val="32"/>
          <w:szCs w:val="32"/>
          <w:lang w:val="ru-MD"/>
        </w:rPr>
      </w:pPr>
      <w:r w:rsidRPr="00EC5A7B">
        <w:rPr>
          <w:rFonts w:asciiTheme="majorHAnsi" w:eastAsia="Times New Roman" w:hAnsiTheme="majorHAnsi" w:cs="Times New Roman"/>
          <w:b/>
          <w:bCs/>
          <w:sz w:val="32"/>
          <w:szCs w:val="32"/>
          <w:lang w:val="ru-MD"/>
        </w:rPr>
        <w:t>аудита эффективности менеджмента государственного долга, государственных гарантий и государственного рекредитования</w:t>
      </w:r>
    </w:p>
    <w:p w14:paraId="13ADAE7A" w14:textId="3705B9D4" w:rsidR="00E85DB7" w:rsidRPr="00EC5A7B" w:rsidRDefault="0075103D" w:rsidP="0075103D">
      <w:pPr>
        <w:tabs>
          <w:tab w:val="left" w:pos="720"/>
        </w:tabs>
        <w:spacing w:after="0" w:line="276" w:lineRule="auto"/>
        <w:ind w:firstLine="720"/>
        <w:jc w:val="center"/>
        <w:rPr>
          <w:rFonts w:asciiTheme="majorHAnsi" w:eastAsia="Times New Roman" w:hAnsiTheme="majorHAnsi" w:cs="Times New Roman"/>
          <w:b/>
          <w:bCs/>
          <w:sz w:val="32"/>
          <w:szCs w:val="32"/>
          <w:lang w:val="ru-MD"/>
        </w:rPr>
      </w:pPr>
      <w:r w:rsidRPr="00EC5A7B">
        <w:rPr>
          <w:rFonts w:asciiTheme="majorHAnsi" w:eastAsia="Times New Roman" w:hAnsiTheme="majorHAnsi" w:cs="Times New Roman"/>
          <w:b/>
          <w:bCs/>
          <w:sz w:val="32"/>
          <w:szCs w:val="32"/>
          <w:lang w:val="ru-MD"/>
        </w:rPr>
        <w:t>за 2019 год</w:t>
      </w:r>
    </w:p>
    <w:p w14:paraId="090B438F" w14:textId="77777777" w:rsidR="00E85DB7" w:rsidRPr="00EC5A7B" w:rsidRDefault="00E85DB7" w:rsidP="00E85DB7">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102B7222" w14:textId="77777777" w:rsidR="00C8468E" w:rsidRPr="00EC5A7B" w:rsidRDefault="00C8468E" w:rsidP="00C8468E">
      <w:pPr>
        <w:tabs>
          <w:tab w:val="left" w:pos="1164"/>
        </w:tabs>
        <w:spacing w:after="0" w:line="240" w:lineRule="auto"/>
        <w:ind w:firstLine="706"/>
        <w:jc w:val="both"/>
        <w:rPr>
          <w:rFonts w:ascii="Times New Roman" w:eastAsia="Times New Roman" w:hAnsi="Times New Roman" w:cs="Times New Roman"/>
          <w:sz w:val="28"/>
          <w:szCs w:val="24"/>
          <w:lang w:val="ru-MD" w:eastAsia="ro-RO"/>
        </w:rPr>
      </w:pPr>
    </w:p>
    <w:p w14:paraId="6DC64A21" w14:textId="77777777" w:rsidR="00E85DB7" w:rsidRPr="00EC5A7B"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u-MD" w:eastAsia="ro-RO"/>
        </w:rPr>
      </w:pPr>
    </w:p>
    <w:p w14:paraId="6B16D4A3" w14:textId="77777777" w:rsidR="00E85DB7" w:rsidRPr="00EC5A7B"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u-MD" w:eastAsia="ro-RO"/>
        </w:rPr>
      </w:pPr>
    </w:p>
    <w:p w14:paraId="65E86CC5" w14:textId="77777777" w:rsidR="00E85DB7" w:rsidRPr="00EC5A7B"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u-MD" w:eastAsia="ro-RO"/>
        </w:rPr>
      </w:pPr>
    </w:p>
    <w:p w14:paraId="20A1AFA3" w14:textId="09F7FA32" w:rsidR="00542A7D" w:rsidRPr="00EC5A7B" w:rsidRDefault="00542A7D" w:rsidP="00C8468E">
      <w:pPr>
        <w:tabs>
          <w:tab w:val="left" w:pos="1164"/>
        </w:tabs>
        <w:spacing w:after="0" w:line="240" w:lineRule="auto"/>
        <w:ind w:firstLine="706"/>
        <w:jc w:val="both"/>
        <w:rPr>
          <w:rFonts w:ascii="Times New Roman" w:eastAsia="Times New Roman" w:hAnsi="Times New Roman" w:cs="Times New Roman"/>
          <w:sz w:val="28"/>
          <w:szCs w:val="24"/>
          <w:lang w:val="ru-MD" w:eastAsia="ro-RO"/>
        </w:rPr>
      </w:pPr>
      <w:r w:rsidRPr="00EC5A7B">
        <w:rPr>
          <w:rFonts w:ascii="Times New Roman" w:eastAsia="Times New Roman" w:hAnsi="Times New Roman" w:cs="Times New Roman"/>
          <w:sz w:val="28"/>
          <w:szCs w:val="24"/>
          <w:lang w:val="ru-MD" w:eastAsia="ro-RO"/>
        </w:rPr>
        <w:br w:type="page"/>
      </w:r>
    </w:p>
    <w:sdt>
      <w:sdtPr>
        <w:rPr>
          <w:rFonts w:asciiTheme="minorHAnsi" w:eastAsiaTheme="minorHAnsi" w:hAnsiTheme="minorHAnsi" w:cstheme="minorBidi"/>
          <w:color w:val="auto"/>
          <w:sz w:val="22"/>
          <w:szCs w:val="22"/>
          <w:lang w:val="ru-MD"/>
        </w:rPr>
        <w:id w:val="-1370379096"/>
        <w:docPartObj>
          <w:docPartGallery w:val="Table of Contents"/>
          <w:docPartUnique/>
        </w:docPartObj>
      </w:sdtPr>
      <w:sdtEndPr>
        <w:rPr>
          <w:b/>
          <w:bCs/>
        </w:rPr>
      </w:sdtEndPr>
      <w:sdtContent>
        <w:p w14:paraId="1A16AF50" w14:textId="7CF101A3" w:rsidR="00547C7A" w:rsidRPr="00EC5A7B" w:rsidRDefault="00542A7D">
          <w:pPr>
            <w:pStyle w:val="TOCHeading"/>
            <w:rPr>
              <w:b/>
              <w:color w:val="5B9BD5" w:themeColor="accent1"/>
              <w:sz w:val="28"/>
              <w:szCs w:val="28"/>
              <w:lang w:val="ru-MD"/>
            </w:rPr>
          </w:pPr>
          <w:r w:rsidRPr="00EC5A7B">
            <w:rPr>
              <w:b/>
              <w:color w:val="5B9BD5" w:themeColor="accent1"/>
              <w:sz w:val="28"/>
              <w:szCs w:val="28"/>
              <w:lang w:val="ru-MD"/>
            </w:rPr>
            <w:t>СОДЕРЖАНИЕ</w:t>
          </w:r>
        </w:p>
        <w:p w14:paraId="6DADBC46" w14:textId="452F36DF" w:rsidR="00EC5A7B" w:rsidRDefault="00547C7A">
          <w:pPr>
            <w:pStyle w:val="TOC1"/>
            <w:rPr>
              <w:rFonts w:eastAsiaTheme="minorEastAsia"/>
              <w:noProof/>
            </w:rPr>
          </w:pPr>
          <w:r w:rsidRPr="00EC5A7B">
            <w:rPr>
              <w:lang w:val="ru-MD"/>
            </w:rPr>
            <w:fldChar w:fldCharType="begin"/>
          </w:r>
          <w:r w:rsidRPr="00EC5A7B">
            <w:rPr>
              <w:lang w:val="ru-MD"/>
            </w:rPr>
            <w:instrText xml:space="preserve"> TOC \o "1-3" \h \z \u </w:instrText>
          </w:r>
          <w:r w:rsidRPr="00EC5A7B">
            <w:rPr>
              <w:lang w:val="ru-MD"/>
            </w:rPr>
            <w:fldChar w:fldCharType="separate"/>
          </w:r>
          <w:hyperlink w:anchor="_Toc63157251" w:history="1">
            <w:r w:rsidR="00EC5A7B" w:rsidRPr="007C0F87">
              <w:rPr>
                <w:rStyle w:val="Hyperlink"/>
                <w:rFonts w:cstheme="majorHAnsi"/>
                <w:b/>
                <w:noProof/>
                <w:lang w:val="ru-MD"/>
              </w:rPr>
              <w:t>СПИСОК АКРОНИМОВ</w:t>
            </w:r>
            <w:r w:rsidR="00EC5A7B">
              <w:rPr>
                <w:noProof/>
                <w:webHidden/>
              </w:rPr>
              <w:tab/>
            </w:r>
            <w:r w:rsidR="00EC5A7B">
              <w:rPr>
                <w:noProof/>
                <w:webHidden/>
              </w:rPr>
              <w:fldChar w:fldCharType="begin"/>
            </w:r>
            <w:r w:rsidR="00EC5A7B">
              <w:rPr>
                <w:noProof/>
                <w:webHidden/>
              </w:rPr>
              <w:instrText xml:space="preserve"> PAGEREF _Toc63157251 \h </w:instrText>
            </w:r>
            <w:r w:rsidR="00EC5A7B">
              <w:rPr>
                <w:noProof/>
                <w:webHidden/>
              </w:rPr>
            </w:r>
            <w:r w:rsidR="00EC5A7B">
              <w:rPr>
                <w:noProof/>
                <w:webHidden/>
              </w:rPr>
              <w:fldChar w:fldCharType="separate"/>
            </w:r>
            <w:r w:rsidR="00EC5A7B">
              <w:rPr>
                <w:noProof/>
                <w:webHidden/>
              </w:rPr>
              <w:t>3</w:t>
            </w:r>
            <w:r w:rsidR="00EC5A7B">
              <w:rPr>
                <w:noProof/>
                <w:webHidden/>
              </w:rPr>
              <w:fldChar w:fldCharType="end"/>
            </w:r>
          </w:hyperlink>
        </w:p>
        <w:p w14:paraId="3D1CABA9" w14:textId="19B3BC40" w:rsidR="00EC5A7B" w:rsidRDefault="00813343">
          <w:pPr>
            <w:pStyle w:val="TOC1"/>
            <w:rPr>
              <w:rFonts w:eastAsiaTheme="minorEastAsia"/>
              <w:noProof/>
            </w:rPr>
          </w:pPr>
          <w:hyperlink w:anchor="_Toc63157252" w:history="1">
            <w:r w:rsidR="00EC5A7B" w:rsidRPr="007C0F87">
              <w:rPr>
                <w:rStyle w:val="Hyperlink"/>
                <w:rFonts w:asciiTheme="majorHAnsi" w:eastAsia="Times New Roman" w:hAnsiTheme="majorHAnsi" w:cstheme="majorHAnsi"/>
                <w:b/>
                <w:bCs/>
                <w:noProof/>
                <w:lang w:val="ru-MD" w:eastAsia="ru-RU"/>
              </w:rPr>
              <w:t>II.</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СИНТЕЗ</w:t>
            </w:r>
            <w:r w:rsidR="00EC5A7B">
              <w:rPr>
                <w:noProof/>
                <w:webHidden/>
              </w:rPr>
              <w:tab/>
            </w:r>
            <w:r w:rsidR="00EC5A7B">
              <w:rPr>
                <w:noProof/>
                <w:webHidden/>
              </w:rPr>
              <w:fldChar w:fldCharType="begin"/>
            </w:r>
            <w:r w:rsidR="00EC5A7B">
              <w:rPr>
                <w:noProof/>
                <w:webHidden/>
              </w:rPr>
              <w:instrText xml:space="preserve"> PAGEREF _Toc63157252 \h </w:instrText>
            </w:r>
            <w:r w:rsidR="00EC5A7B">
              <w:rPr>
                <w:noProof/>
                <w:webHidden/>
              </w:rPr>
            </w:r>
            <w:r w:rsidR="00EC5A7B">
              <w:rPr>
                <w:noProof/>
                <w:webHidden/>
              </w:rPr>
              <w:fldChar w:fldCharType="separate"/>
            </w:r>
            <w:r w:rsidR="00EC5A7B">
              <w:rPr>
                <w:noProof/>
                <w:webHidden/>
              </w:rPr>
              <w:t>7</w:t>
            </w:r>
            <w:r w:rsidR="00EC5A7B">
              <w:rPr>
                <w:noProof/>
                <w:webHidden/>
              </w:rPr>
              <w:fldChar w:fldCharType="end"/>
            </w:r>
          </w:hyperlink>
        </w:p>
        <w:p w14:paraId="0FF25155" w14:textId="549D06AB" w:rsidR="00EC5A7B" w:rsidRDefault="00813343">
          <w:pPr>
            <w:pStyle w:val="TOC1"/>
            <w:rPr>
              <w:rFonts w:eastAsiaTheme="minorEastAsia"/>
              <w:noProof/>
            </w:rPr>
          </w:pPr>
          <w:hyperlink w:anchor="_Toc63157253" w:history="1">
            <w:r w:rsidR="00EC5A7B" w:rsidRPr="007C0F87">
              <w:rPr>
                <w:rStyle w:val="Hyperlink"/>
                <w:rFonts w:asciiTheme="majorHAnsi" w:eastAsia="Times New Roman" w:hAnsiTheme="majorHAnsi" w:cstheme="majorHAnsi"/>
                <w:b/>
                <w:bCs/>
                <w:noProof/>
                <w:lang w:val="ru-MD" w:eastAsia="ru-RU"/>
              </w:rPr>
              <w:t>III.</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ОБЩЕЕ ПРЕДСТАВЛЕНИЕ</w:t>
            </w:r>
            <w:r w:rsidR="00EC5A7B">
              <w:rPr>
                <w:noProof/>
                <w:webHidden/>
              </w:rPr>
              <w:tab/>
            </w:r>
            <w:r w:rsidR="00EC5A7B">
              <w:rPr>
                <w:noProof/>
                <w:webHidden/>
              </w:rPr>
              <w:fldChar w:fldCharType="begin"/>
            </w:r>
            <w:r w:rsidR="00EC5A7B">
              <w:rPr>
                <w:noProof/>
                <w:webHidden/>
              </w:rPr>
              <w:instrText xml:space="preserve"> PAGEREF _Toc63157253 \h </w:instrText>
            </w:r>
            <w:r w:rsidR="00EC5A7B">
              <w:rPr>
                <w:noProof/>
                <w:webHidden/>
              </w:rPr>
            </w:r>
            <w:r w:rsidR="00EC5A7B">
              <w:rPr>
                <w:noProof/>
                <w:webHidden/>
              </w:rPr>
              <w:fldChar w:fldCharType="separate"/>
            </w:r>
            <w:r w:rsidR="00EC5A7B">
              <w:rPr>
                <w:noProof/>
                <w:webHidden/>
              </w:rPr>
              <w:t>9</w:t>
            </w:r>
            <w:r w:rsidR="00EC5A7B">
              <w:rPr>
                <w:noProof/>
                <w:webHidden/>
              </w:rPr>
              <w:fldChar w:fldCharType="end"/>
            </w:r>
          </w:hyperlink>
        </w:p>
        <w:p w14:paraId="5E26E2AC" w14:textId="5C7B4CDB" w:rsidR="00EC5A7B" w:rsidRDefault="00813343">
          <w:pPr>
            <w:pStyle w:val="TOC1"/>
            <w:rPr>
              <w:rFonts w:eastAsiaTheme="minorEastAsia"/>
              <w:noProof/>
            </w:rPr>
          </w:pPr>
          <w:hyperlink w:anchor="_Toc63157254" w:history="1">
            <w:r w:rsidR="00EC5A7B" w:rsidRPr="007C0F87">
              <w:rPr>
                <w:rStyle w:val="Hyperlink"/>
                <w:rFonts w:asciiTheme="majorHAnsi" w:eastAsia="Times New Roman" w:hAnsiTheme="majorHAnsi" w:cstheme="majorHAnsi"/>
                <w:bCs/>
                <w:noProof/>
                <w:lang w:val="ru-MD" w:eastAsia="ru-RU"/>
              </w:rPr>
              <w:t>IV.</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СФЕРА И ПОДХОД АУДИТА</w:t>
            </w:r>
            <w:r w:rsidR="00EC5A7B">
              <w:rPr>
                <w:noProof/>
                <w:webHidden/>
              </w:rPr>
              <w:tab/>
            </w:r>
            <w:r w:rsidR="00EC5A7B">
              <w:rPr>
                <w:noProof/>
                <w:webHidden/>
              </w:rPr>
              <w:fldChar w:fldCharType="begin"/>
            </w:r>
            <w:r w:rsidR="00EC5A7B">
              <w:rPr>
                <w:noProof/>
                <w:webHidden/>
              </w:rPr>
              <w:instrText xml:space="preserve"> PAGEREF _Toc63157254 \h </w:instrText>
            </w:r>
            <w:r w:rsidR="00EC5A7B">
              <w:rPr>
                <w:noProof/>
                <w:webHidden/>
              </w:rPr>
            </w:r>
            <w:r w:rsidR="00EC5A7B">
              <w:rPr>
                <w:noProof/>
                <w:webHidden/>
              </w:rPr>
              <w:fldChar w:fldCharType="separate"/>
            </w:r>
            <w:r w:rsidR="00EC5A7B">
              <w:rPr>
                <w:noProof/>
                <w:webHidden/>
              </w:rPr>
              <w:t>10</w:t>
            </w:r>
            <w:r w:rsidR="00EC5A7B">
              <w:rPr>
                <w:noProof/>
                <w:webHidden/>
              </w:rPr>
              <w:fldChar w:fldCharType="end"/>
            </w:r>
          </w:hyperlink>
        </w:p>
        <w:p w14:paraId="14D2D48D" w14:textId="00035F60" w:rsidR="00EC5A7B" w:rsidRDefault="00813343">
          <w:pPr>
            <w:pStyle w:val="TOC1"/>
            <w:rPr>
              <w:rFonts w:eastAsiaTheme="minorEastAsia"/>
              <w:noProof/>
            </w:rPr>
          </w:pPr>
          <w:hyperlink w:anchor="_Toc63157255" w:history="1">
            <w:r w:rsidR="00EC5A7B" w:rsidRPr="007C0F87">
              <w:rPr>
                <w:rStyle w:val="Hyperlink"/>
                <w:rFonts w:asciiTheme="majorHAnsi" w:eastAsia="Times New Roman" w:hAnsiTheme="majorHAnsi" w:cstheme="majorHAnsi"/>
                <w:b/>
                <w:bCs/>
                <w:noProof/>
                <w:lang w:val="ru-MD" w:eastAsia="ru-RU"/>
              </w:rPr>
              <w:t>V.</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КОНСТАТАЦИИ</w:t>
            </w:r>
            <w:r w:rsidR="00EC5A7B">
              <w:rPr>
                <w:noProof/>
                <w:webHidden/>
              </w:rPr>
              <w:tab/>
            </w:r>
            <w:r w:rsidR="00EC5A7B">
              <w:rPr>
                <w:noProof/>
                <w:webHidden/>
              </w:rPr>
              <w:fldChar w:fldCharType="begin"/>
            </w:r>
            <w:r w:rsidR="00EC5A7B">
              <w:rPr>
                <w:noProof/>
                <w:webHidden/>
              </w:rPr>
              <w:instrText xml:space="preserve"> PAGEREF _Toc63157255 \h </w:instrText>
            </w:r>
            <w:r w:rsidR="00EC5A7B">
              <w:rPr>
                <w:noProof/>
                <w:webHidden/>
              </w:rPr>
            </w:r>
            <w:r w:rsidR="00EC5A7B">
              <w:rPr>
                <w:noProof/>
                <w:webHidden/>
              </w:rPr>
              <w:fldChar w:fldCharType="separate"/>
            </w:r>
            <w:r w:rsidR="00EC5A7B">
              <w:rPr>
                <w:noProof/>
                <w:webHidden/>
              </w:rPr>
              <w:t>11</w:t>
            </w:r>
            <w:r w:rsidR="00EC5A7B">
              <w:rPr>
                <w:noProof/>
                <w:webHidden/>
              </w:rPr>
              <w:fldChar w:fldCharType="end"/>
            </w:r>
          </w:hyperlink>
        </w:p>
        <w:p w14:paraId="7730E68F" w14:textId="7BC0169E" w:rsidR="00EC5A7B" w:rsidRDefault="00813343">
          <w:pPr>
            <w:pStyle w:val="TOC2"/>
            <w:rPr>
              <w:rFonts w:cstheme="minorBidi"/>
              <w:noProof/>
            </w:rPr>
          </w:pPr>
          <w:hyperlink w:anchor="_Toc63157256" w:history="1">
            <w:r w:rsidR="00EC5A7B" w:rsidRPr="007C0F87">
              <w:rPr>
                <w:rStyle w:val="Hyperlink"/>
                <w:rFonts w:asciiTheme="majorHAnsi" w:eastAsia="Times New Roman" w:hAnsiTheme="majorHAnsi" w:cstheme="majorHAnsi"/>
                <w:b/>
                <w:bCs/>
                <w:noProof/>
                <w:lang w:val="ru-MD" w:eastAsia="ru-RU"/>
              </w:rPr>
              <w:t>4.1.</w:t>
            </w:r>
            <w:r w:rsidR="00EC5A7B">
              <w:rPr>
                <w:rFonts w:cstheme="minorBidi"/>
                <w:noProof/>
              </w:rPr>
              <w:tab/>
            </w:r>
            <w:r w:rsidR="00EC5A7B" w:rsidRPr="007C0F87">
              <w:rPr>
                <w:rStyle w:val="Hyperlink"/>
                <w:rFonts w:asciiTheme="majorHAnsi" w:eastAsia="Times New Roman" w:hAnsiTheme="majorHAnsi" w:cstheme="majorHAnsi"/>
                <w:b/>
                <w:bCs/>
                <w:noProof/>
                <w:lang w:val="ru-MD" w:eastAsia="ru-RU"/>
              </w:rPr>
              <w:t>Конкретная цель I. Оценка структуры портфеля государственного долга и исполнения обязательств государства по обслуживанию долга</w:t>
            </w:r>
            <w:r w:rsidR="00EC5A7B">
              <w:rPr>
                <w:noProof/>
                <w:webHidden/>
              </w:rPr>
              <w:tab/>
            </w:r>
            <w:r w:rsidR="00EC5A7B">
              <w:rPr>
                <w:noProof/>
                <w:webHidden/>
              </w:rPr>
              <w:fldChar w:fldCharType="begin"/>
            </w:r>
            <w:r w:rsidR="00EC5A7B">
              <w:rPr>
                <w:noProof/>
                <w:webHidden/>
              </w:rPr>
              <w:instrText xml:space="preserve"> PAGEREF _Toc63157256 \h </w:instrText>
            </w:r>
            <w:r w:rsidR="00EC5A7B">
              <w:rPr>
                <w:noProof/>
                <w:webHidden/>
              </w:rPr>
            </w:r>
            <w:r w:rsidR="00EC5A7B">
              <w:rPr>
                <w:noProof/>
                <w:webHidden/>
              </w:rPr>
              <w:fldChar w:fldCharType="separate"/>
            </w:r>
            <w:r w:rsidR="00EC5A7B">
              <w:rPr>
                <w:noProof/>
                <w:webHidden/>
              </w:rPr>
              <w:t>11</w:t>
            </w:r>
            <w:r w:rsidR="00EC5A7B">
              <w:rPr>
                <w:noProof/>
                <w:webHidden/>
              </w:rPr>
              <w:fldChar w:fldCharType="end"/>
            </w:r>
          </w:hyperlink>
        </w:p>
        <w:p w14:paraId="2A09E4C7" w14:textId="2727475D" w:rsidR="00EC5A7B" w:rsidRDefault="00813343">
          <w:pPr>
            <w:pStyle w:val="TOC2"/>
            <w:rPr>
              <w:rFonts w:cstheme="minorBidi"/>
              <w:noProof/>
            </w:rPr>
          </w:pPr>
          <w:hyperlink w:anchor="_Toc63157257" w:history="1">
            <w:r w:rsidR="00EC5A7B" w:rsidRPr="007C0F87">
              <w:rPr>
                <w:rStyle w:val="Hyperlink"/>
                <w:rFonts w:asciiTheme="majorHAnsi" w:eastAsia="Times New Roman" w:hAnsiTheme="majorHAnsi" w:cstheme="majorHAnsi"/>
                <w:b/>
                <w:bCs/>
                <w:i/>
                <w:noProof/>
                <w:lang w:val="ru-MD" w:eastAsia="ru-RU"/>
              </w:rPr>
              <w:t>4.1.1.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Сальдо государственного долга увеличилось по сравнению с предыдущими годами, а его доля в ВВП сократилась</w:t>
            </w:r>
            <w:r w:rsidR="00EC5A7B">
              <w:rPr>
                <w:noProof/>
                <w:webHidden/>
              </w:rPr>
              <w:tab/>
            </w:r>
            <w:r w:rsidR="00EC5A7B">
              <w:rPr>
                <w:noProof/>
                <w:webHidden/>
              </w:rPr>
              <w:fldChar w:fldCharType="begin"/>
            </w:r>
            <w:r w:rsidR="00EC5A7B">
              <w:rPr>
                <w:noProof/>
                <w:webHidden/>
              </w:rPr>
              <w:instrText xml:space="preserve"> PAGEREF _Toc63157257 \h </w:instrText>
            </w:r>
            <w:r w:rsidR="00EC5A7B">
              <w:rPr>
                <w:noProof/>
                <w:webHidden/>
              </w:rPr>
            </w:r>
            <w:r w:rsidR="00EC5A7B">
              <w:rPr>
                <w:noProof/>
                <w:webHidden/>
              </w:rPr>
              <w:fldChar w:fldCharType="separate"/>
            </w:r>
            <w:r w:rsidR="00EC5A7B">
              <w:rPr>
                <w:noProof/>
                <w:webHidden/>
              </w:rPr>
              <w:t>12</w:t>
            </w:r>
            <w:r w:rsidR="00EC5A7B">
              <w:rPr>
                <w:noProof/>
                <w:webHidden/>
              </w:rPr>
              <w:fldChar w:fldCharType="end"/>
            </w:r>
          </w:hyperlink>
        </w:p>
        <w:p w14:paraId="589A5E43" w14:textId="5E9D6D88" w:rsidR="00EC5A7B" w:rsidRDefault="00813343">
          <w:pPr>
            <w:pStyle w:val="TOC2"/>
            <w:rPr>
              <w:rFonts w:cstheme="minorBidi"/>
              <w:noProof/>
            </w:rPr>
          </w:pPr>
          <w:hyperlink w:anchor="_Toc63157258" w:history="1">
            <w:r w:rsidR="00EC5A7B" w:rsidRPr="007C0F87">
              <w:rPr>
                <w:rStyle w:val="Hyperlink"/>
                <w:rFonts w:asciiTheme="majorHAnsi" w:eastAsia="Times New Roman" w:hAnsiTheme="majorHAnsi" w:cstheme="majorHAnsi"/>
                <w:b/>
                <w:bCs/>
                <w:i/>
                <w:noProof/>
                <w:lang w:val="ru-MD" w:eastAsia="ru-RU"/>
              </w:rPr>
              <w:t>4.1.2.</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Внутренний государственный долг увеличился за счет выпуска ГЦБ на первичном рынке, а банковский сектор остается главным инвестором в ГЦБ</w:t>
            </w:r>
            <w:r w:rsidR="00EC5A7B">
              <w:rPr>
                <w:noProof/>
                <w:webHidden/>
              </w:rPr>
              <w:tab/>
            </w:r>
            <w:r w:rsidR="00EC5A7B">
              <w:rPr>
                <w:noProof/>
                <w:webHidden/>
              </w:rPr>
              <w:fldChar w:fldCharType="begin"/>
            </w:r>
            <w:r w:rsidR="00EC5A7B">
              <w:rPr>
                <w:noProof/>
                <w:webHidden/>
              </w:rPr>
              <w:instrText xml:space="preserve"> PAGEREF _Toc63157258 \h </w:instrText>
            </w:r>
            <w:r w:rsidR="00EC5A7B">
              <w:rPr>
                <w:noProof/>
                <w:webHidden/>
              </w:rPr>
            </w:r>
            <w:r w:rsidR="00EC5A7B">
              <w:rPr>
                <w:noProof/>
                <w:webHidden/>
              </w:rPr>
              <w:fldChar w:fldCharType="separate"/>
            </w:r>
            <w:r w:rsidR="00EC5A7B">
              <w:rPr>
                <w:noProof/>
                <w:webHidden/>
              </w:rPr>
              <w:t>14</w:t>
            </w:r>
            <w:r w:rsidR="00EC5A7B">
              <w:rPr>
                <w:noProof/>
                <w:webHidden/>
              </w:rPr>
              <w:fldChar w:fldCharType="end"/>
            </w:r>
          </w:hyperlink>
        </w:p>
        <w:p w14:paraId="351F247B" w14:textId="4754F7DA" w:rsidR="00EC5A7B" w:rsidRDefault="00813343">
          <w:pPr>
            <w:pStyle w:val="TOC2"/>
            <w:rPr>
              <w:rFonts w:cstheme="minorBidi"/>
              <w:noProof/>
            </w:rPr>
          </w:pPr>
          <w:hyperlink w:anchor="_Toc63157259" w:history="1">
            <w:r w:rsidR="00EC5A7B" w:rsidRPr="007C0F87">
              <w:rPr>
                <w:rStyle w:val="Hyperlink"/>
                <w:rFonts w:asciiTheme="majorHAnsi" w:eastAsia="Times New Roman" w:hAnsiTheme="majorHAnsi" w:cstheme="majorHAnsi"/>
                <w:b/>
                <w:bCs/>
                <w:i/>
                <w:noProof/>
                <w:lang w:val="ru-MD" w:eastAsia="ru-RU"/>
              </w:rPr>
              <w:t>4.1.2.1.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Суммы, перечисленные в государственный бюджет для погашения дебиторской задолженности банками, подлежащими ликвидации, были ниже по сравнению с предыдущим годом</w:t>
            </w:r>
            <w:r w:rsidR="00EC5A7B">
              <w:rPr>
                <w:noProof/>
                <w:webHidden/>
              </w:rPr>
              <w:tab/>
            </w:r>
            <w:r w:rsidR="00EC5A7B">
              <w:rPr>
                <w:noProof/>
                <w:webHidden/>
              </w:rPr>
              <w:fldChar w:fldCharType="begin"/>
            </w:r>
            <w:r w:rsidR="00EC5A7B">
              <w:rPr>
                <w:noProof/>
                <w:webHidden/>
              </w:rPr>
              <w:instrText xml:space="preserve"> PAGEREF _Toc63157259 \h </w:instrText>
            </w:r>
            <w:r w:rsidR="00EC5A7B">
              <w:rPr>
                <w:noProof/>
                <w:webHidden/>
              </w:rPr>
            </w:r>
            <w:r w:rsidR="00EC5A7B">
              <w:rPr>
                <w:noProof/>
                <w:webHidden/>
              </w:rPr>
              <w:fldChar w:fldCharType="separate"/>
            </w:r>
            <w:r w:rsidR="00EC5A7B">
              <w:rPr>
                <w:noProof/>
                <w:webHidden/>
              </w:rPr>
              <w:t>19</w:t>
            </w:r>
            <w:r w:rsidR="00EC5A7B">
              <w:rPr>
                <w:noProof/>
                <w:webHidden/>
              </w:rPr>
              <w:fldChar w:fldCharType="end"/>
            </w:r>
          </w:hyperlink>
        </w:p>
        <w:p w14:paraId="06C74AFE" w14:textId="4628FB39" w:rsidR="00EC5A7B" w:rsidRDefault="00813343">
          <w:pPr>
            <w:pStyle w:val="TOC2"/>
            <w:rPr>
              <w:rFonts w:cstheme="minorBidi"/>
              <w:noProof/>
            </w:rPr>
          </w:pPr>
          <w:hyperlink w:anchor="_Toc63157260" w:history="1">
            <w:r w:rsidR="00EC5A7B" w:rsidRPr="007C0F87">
              <w:rPr>
                <w:rStyle w:val="Hyperlink"/>
                <w:rFonts w:asciiTheme="majorHAnsi" w:eastAsia="Times New Roman" w:hAnsiTheme="majorHAnsi" w:cstheme="majorHAnsi"/>
                <w:b/>
                <w:bCs/>
                <w:i/>
                <w:noProof/>
                <w:lang w:val="ru-MD" w:eastAsia="ru-RU"/>
              </w:rPr>
              <w:t>4.1.3.</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Внешний государственный долг увеличился по сравнению с предыдущим годом благодаря положительному внешнему финансированию и колебаниям валютного курса доллара США по отношению к другим валютам</w:t>
            </w:r>
            <w:r w:rsidR="00EC5A7B">
              <w:rPr>
                <w:noProof/>
                <w:webHidden/>
              </w:rPr>
              <w:tab/>
            </w:r>
            <w:r w:rsidR="00EC5A7B">
              <w:rPr>
                <w:noProof/>
                <w:webHidden/>
              </w:rPr>
              <w:fldChar w:fldCharType="begin"/>
            </w:r>
            <w:r w:rsidR="00EC5A7B">
              <w:rPr>
                <w:noProof/>
                <w:webHidden/>
              </w:rPr>
              <w:instrText xml:space="preserve"> PAGEREF _Toc63157260 \h </w:instrText>
            </w:r>
            <w:r w:rsidR="00EC5A7B">
              <w:rPr>
                <w:noProof/>
                <w:webHidden/>
              </w:rPr>
            </w:r>
            <w:r w:rsidR="00EC5A7B">
              <w:rPr>
                <w:noProof/>
                <w:webHidden/>
              </w:rPr>
              <w:fldChar w:fldCharType="separate"/>
            </w:r>
            <w:r w:rsidR="00EC5A7B">
              <w:rPr>
                <w:noProof/>
                <w:webHidden/>
              </w:rPr>
              <w:t>21</w:t>
            </w:r>
            <w:r w:rsidR="00EC5A7B">
              <w:rPr>
                <w:noProof/>
                <w:webHidden/>
              </w:rPr>
              <w:fldChar w:fldCharType="end"/>
            </w:r>
          </w:hyperlink>
        </w:p>
        <w:p w14:paraId="2694B09E" w14:textId="336ED7EC" w:rsidR="00EC5A7B" w:rsidRDefault="00813343">
          <w:pPr>
            <w:pStyle w:val="TOC2"/>
            <w:rPr>
              <w:rFonts w:cstheme="minorBidi"/>
              <w:noProof/>
            </w:rPr>
          </w:pPr>
          <w:hyperlink w:anchor="_Toc63157261" w:history="1">
            <w:r w:rsidR="00EC5A7B" w:rsidRPr="007C0F87">
              <w:rPr>
                <w:rStyle w:val="Hyperlink"/>
                <w:rFonts w:asciiTheme="majorHAnsi" w:eastAsia="Times New Roman" w:hAnsiTheme="majorHAnsi" w:cstheme="majorHAnsi"/>
                <w:b/>
                <w:bCs/>
                <w:i/>
                <w:noProof/>
                <w:lang w:val="ru-MD" w:eastAsia="ru-RU"/>
              </w:rPr>
              <w:t>4.1.3.1.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Сохраняется низкий уровень освоения законтрактованных внешних ресурсов</w:t>
            </w:r>
            <w:r w:rsidR="00EC5A7B">
              <w:rPr>
                <w:noProof/>
                <w:webHidden/>
              </w:rPr>
              <w:tab/>
            </w:r>
            <w:r w:rsidR="00EC5A7B">
              <w:rPr>
                <w:noProof/>
                <w:webHidden/>
              </w:rPr>
              <w:fldChar w:fldCharType="begin"/>
            </w:r>
            <w:r w:rsidR="00EC5A7B">
              <w:rPr>
                <w:noProof/>
                <w:webHidden/>
              </w:rPr>
              <w:instrText xml:space="preserve"> PAGEREF _Toc63157261 \h </w:instrText>
            </w:r>
            <w:r w:rsidR="00EC5A7B">
              <w:rPr>
                <w:noProof/>
                <w:webHidden/>
              </w:rPr>
            </w:r>
            <w:r w:rsidR="00EC5A7B">
              <w:rPr>
                <w:noProof/>
                <w:webHidden/>
              </w:rPr>
              <w:fldChar w:fldCharType="separate"/>
            </w:r>
            <w:r w:rsidR="00EC5A7B">
              <w:rPr>
                <w:noProof/>
                <w:webHidden/>
              </w:rPr>
              <w:t>22</w:t>
            </w:r>
            <w:r w:rsidR="00EC5A7B">
              <w:rPr>
                <w:noProof/>
                <w:webHidden/>
              </w:rPr>
              <w:fldChar w:fldCharType="end"/>
            </w:r>
          </w:hyperlink>
        </w:p>
        <w:p w14:paraId="314855AC" w14:textId="7942FE9B" w:rsidR="00EC5A7B" w:rsidRDefault="00813343">
          <w:pPr>
            <w:pStyle w:val="TOC2"/>
            <w:rPr>
              <w:rFonts w:cstheme="minorBidi"/>
              <w:noProof/>
            </w:rPr>
          </w:pPr>
          <w:hyperlink w:anchor="_Toc63157262" w:history="1">
            <w:r w:rsidR="00EC5A7B" w:rsidRPr="007C0F87">
              <w:rPr>
                <w:rStyle w:val="Hyperlink"/>
                <w:rFonts w:asciiTheme="majorHAnsi" w:eastAsia="Times New Roman" w:hAnsiTheme="majorHAnsi" w:cstheme="majorHAnsi"/>
                <w:b/>
                <w:bCs/>
                <w:i/>
                <w:noProof/>
                <w:lang w:val="ru-MD" w:eastAsia="ru-RU"/>
              </w:rPr>
              <w:t>4.1.3.2.</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Конверсия некоторых внешних государственных займов способствует формированию сбережений, связанных с обслуживанием государственного долга</w:t>
            </w:r>
            <w:r w:rsidR="00EC5A7B">
              <w:rPr>
                <w:noProof/>
                <w:webHidden/>
              </w:rPr>
              <w:tab/>
            </w:r>
            <w:r w:rsidR="00EC5A7B">
              <w:rPr>
                <w:noProof/>
                <w:webHidden/>
              </w:rPr>
              <w:fldChar w:fldCharType="begin"/>
            </w:r>
            <w:r w:rsidR="00EC5A7B">
              <w:rPr>
                <w:noProof/>
                <w:webHidden/>
              </w:rPr>
              <w:instrText xml:space="preserve"> PAGEREF _Toc63157262 \h </w:instrText>
            </w:r>
            <w:r w:rsidR="00EC5A7B">
              <w:rPr>
                <w:noProof/>
                <w:webHidden/>
              </w:rPr>
            </w:r>
            <w:r w:rsidR="00EC5A7B">
              <w:rPr>
                <w:noProof/>
                <w:webHidden/>
              </w:rPr>
              <w:fldChar w:fldCharType="separate"/>
            </w:r>
            <w:r w:rsidR="00EC5A7B">
              <w:rPr>
                <w:noProof/>
                <w:webHidden/>
              </w:rPr>
              <w:t>25</w:t>
            </w:r>
            <w:r w:rsidR="00EC5A7B">
              <w:rPr>
                <w:noProof/>
                <w:webHidden/>
              </w:rPr>
              <w:fldChar w:fldCharType="end"/>
            </w:r>
          </w:hyperlink>
        </w:p>
        <w:p w14:paraId="3F0B6AC5" w14:textId="648DF590" w:rsidR="00EC5A7B" w:rsidRDefault="00813343">
          <w:pPr>
            <w:pStyle w:val="TOC2"/>
            <w:rPr>
              <w:rFonts w:cstheme="minorBidi"/>
              <w:noProof/>
            </w:rPr>
          </w:pPr>
          <w:hyperlink w:anchor="_Toc63157263" w:history="1">
            <w:r w:rsidR="00EC5A7B" w:rsidRPr="007C0F87">
              <w:rPr>
                <w:rStyle w:val="Hyperlink"/>
                <w:rFonts w:asciiTheme="majorHAnsi" w:eastAsia="Times New Roman" w:hAnsiTheme="majorHAnsi" w:cstheme="majorHAnsi"/>
                <w:b/>
                <w:bCs/>
                <w:i/>
                <w:noProof/>
                <w:lang w:val="ru-MD" w:eastAsia="ru-RU"/>
              </w:rPr>
              <w:t>4.1.4.</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Расходы на обслуживание государственного долга сократились по сравнению с предыдущим годом, в частности, в результате сокращения расходов на обслуживание внутреннего государственного долга</w:t>
            </w:r>
            <w:r w:rsidR="00EC5A7B">
              <w:rPr>
                <w:noProof/>
                <w:webHidden/>
              </w:rPr>
              <w:tab/>
            </w:r>
            <w:r w:rsidR="00EC5A7B">
              <w:rPr>
                <w:noProof/>
                <w:webHidden/>
              </w:rPr>
              <w:fldChar w:fldCharType="begin"/>
            </w:r>
            <w:r w:rsidR="00EC5A7B">
              <w:rPr>
                <w:noProof/>
                <w:webHidden/>
              </w:rPr>
              <w:instrText xml:space="preserve"> PAGEREF _Toc63157263 \h </w:instrText>
            </w:r>
            <w:r w:rsidR="00EC5A7B">
              <w:rPr>
                <w:noProof/>
                <w:webHidden/>
              </w:rPr>
            </w:r>
            <w:r w:rsidR="00EC5A7B">
              <w:rPr>
                <w:noProof/>
                <w:webHidden/>
              </w:rPr>
              <w:fldChar w:fldCharType="separate"/>
            </w:r>
            <w:r w:rsidR="00EC5A7B">
              <w:rPr>
                <w:noProof/>
                <w:webHidden/>
              </w:rPr>
              <w:t>26</w:t>
            </w:r>
            <w:r w:rsidR="00EC5A7B">
              <w:rPr>
                <w:noProof/>
                <w:webHidden/>
              </w:rPr>
              <w:fldChar w:fldCharType="end"/>
            </w:r>
          </w:hyperlink>
        </w:p>
        <w:p w14:paraId="340BE5C1" w14:textId="33760154" w:rsidR="00EC5A7B" w:rsidRDefault="00813343">
          <w:pPr>
            <w:pStyle w:val="TOC2"/>
            <w:rPr>
              <w:rFonts w:cstheme="minorBidi"/>
              <w:noProof/>
            </w:rPr>
          </w:pPr>
          <w:hyperlink w:anchor="_Toc63157264" w:history="1">
            <w:r w:rsidR="00EC5A7B" w:rsidRPr="007C0F87">
              <w:rPr>
                <w:rStyle w:val="Hyperlink"/>
                <w:rFonts w:asciiTheme="majorHAnsi" w:eastAsia="Times New Roman" w:hAnsiTheme="majorHAnsi" w:cstheme="majorHAnsi"/>
                <w:b/>
                <w:bCs/>
                <w:noProof/>
                <w:lang w:val="ru-MD" w:eastAsia="ru-RU"/>
              </w:rPr>
              <w:t>4.2.</w:t>
            </w:r>
            <w:r w:rsidR="00EC5A7B">
              <w:rPr>
                <w:rFonts w:cstheme="minorBidi"/>
                <w:noProof/>
              </w:rPr>
              <w:tab/>
            </w:r>
            <w:r w:rsidR="00EC5A7B" w:rsidRPr="007C0F87">
              <w:rPr>
                <w:rStyle w:val="Hyperlink"/>
                <w:rFonts w:asciiTheme="majorHAnsi" w:eastAsia="Times New Roman" w:hAnsiTheme="majorHAnsi" w:cstheme="majorHAnsi"/>
                <w:b/>
                <w:bCs/>
                <w:noProof/>
                <w:lang w:val="ru-MD" w:eastAsia="ru-RU"/>
              </w:rPr>
              <w:t>Конкретная цель II. Оценка достижения специфических целей по управлению государственным долгом, установленных в Программе „Управление государственным долгом на среднесрочный период (2019-2021)”</w:t>
            </w:r>
            <w:r w:rsidR="00EC5A7B">
              <w:rPr>
                <w:noProof/>
                <w:webHidden/>
              </w:rPr>
              <w:tab/>
            </w:r>
            <w:r w:rsidR="00EC5A7B">
              <w:rPr>
                <w:noProof/>
                <w:webHidden/>
              </w:rPr>
              <w:fldChar w:fldCharType="begin"/>
            </w:r>
            <w:r w:rsidR="00EC5A7B">
              <w:rPr>
                <w:noProof/>
                <w:webHidden/>
              </w:rPr>
              <w:instrText xml:space="preserve"> PAGEREF _Toc63157264 \h </w:instrText>
            </w:r>
            <w:r w:rsidR="00EC5A7B">
              <w:rPr>
                <w:noProof/>
                <w:webHidden/>
              </w:rPr>
            </w:r>
            <w:r w:rsidR="00EC5A7B">
              <w:rPr>
                <w:noProof/>
                <w:webHidden/>
              </w:rPr>
              <w:fldChar w:fldCharType="separate"/>
            </w:r>
            <w:r w:rsidR="00EC5A7B">
              <w:rPr>
                <w:noProof/>
                <w:webHidden/>
              </w:rPr>
              <w:t>27</w:t>
            </w:r>
            <w:r w:rsidR="00EC5A7B">
              <w:rPr>
                <w:noProof/>
                <w:webHidden/>
              </w:rPr>
              <w:fldChar w:fldCharType="end"/>
            </w:r>
          </w:hyperlink>
        </w:p>
        <w:p w14:paraId="4779DCF4" w14:textId="46C073C0" w:rsidR="00EC5A7B" w:rsidRDefault="00813343">
          <w:pPr>
            <w:pStyle w:val="TOC2"/>
            <w:rPr>
              <w:rFonts w:cstheme="minorBidi"/>
              <w:noProof/>
            </w:rPr>
          </w:pPr>
          <w:hyperlink w:anchor="_Toc63157265" w:history="1">
            <w:r w:rsidR="00EC5A7B" w:rsidRPr="007C0F87">
              <w:rPr>
                <w:rStyle w:val="Hyperlink"/>
                <w:rFonts w:asciiTheme="majorHAnsi" w:eastAsia="Times New Roman" w:hAnsiTheme="majorHAnsi" w:cstheme="majorHAnsi"/>
                <w:b/>
                <w:bCs/>
                <w:i/>
                <w:noProof/>
                <w:lang w:val="ru-MD" w:eastAsia="ru-RU"/>
              </w:rPr>
              <w:t>4.2.1.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Большинство параметров риска и устойчивости вписались в пределы, установленные на 2019 год</w:t>
            </w:r>
            <w:r w:rsidR="00EC5A7B">
              <w:rPr>
                <w:noProof/>
                <w:webHidden/>
              </w:rPr>
              <w:tab/>
            </w:r>
            <w:r w:rsidR="00EC5A7B">
              <w:rPr>
                <w:noProof/>
                <w:webHidden/>
              </w:rPr>
              <w:fldChar w:fldCharType="begin"/>
            </w:r>
            <w:r w:rsidR="00EC5A7B">
              <w:rPr>
                <w:noProof/>
                <w:webHidden/>
              </w:rPr>
              <w:instrText xml:space="preserve"> PAGEREF _Toc63157265 \h </w:instrText>
            </w:r>
            <w:r w:rsidR="00EC5A7B">
              <w:rPr>
                <w:noProof/>
                <w:webHidden/>
              </w:rPr>
            </w:r>
            <w:r w:rsidR="00EC5A7B">
              <w:rPr>
                <w:noProof/>
                <w:webHidden/>
              </w:rPr>
              <w:fldChar w:fldCharType="separate"/>
            </w:r>
            <w:r w:rsidR="00EC5A7B">
              <w:rPr>
                <w:noProof/>
                <w:webHidden/>
              </w:rPr>
              <w:t>27</w:t>
            </w:r>
            <w:r w:rsidR="00EC5A7B">
              <w:rPr>
                <w:noProof/>
                <w:webHidden/>
              </w:rPr>
              <w:fldChar w:fldCharType="end"/>
            </w:r>
          </w:hyperlink>
        </w:p>
        <w:p w14:paraId="291E4D31" w14:textId="0DCA5C10" w:rsidR="00EC5A7B" w:rsidRDefault="00813343">
          <w:pPr>
            <w:pStyle w:val="TOC2"/>
            <w:rPr>
              <w:rFonts w:cstheme="minorBidi"/>
              <w:noProof/>
            </w:rPr>
          </w:pPr>
          <w:hyperlink w:anchor="_Toc63157266" w:history="1">
            <w:r w:rsidR="00EC5A7B" w:rsidRPr="007C0F87">
              <w:rPr>
                <w:rStyle w:val="Hyperlink"/>
                <w:rFonts w:asciiTheme="majorHAnsi" w:eastAsia="Times New Roman" w:hAnsiTheme="majorHAnsi" w:cstheme="majorHAnsi"/>
                <w:b/>
                <w:bCs/>
                <w:i/>
                <w:noProof/>
                <w:lang w:val="ru-MD" w:eastAsia="ru-RU"/>
              </w:rPr>
              <w:t>4.2.2.</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МФ предприняло конкретные действия, направленные на достижение конкретных целей по управлению государственным долгом</w:t>
            </w:r>
            <w:r w:rsidR="00EC5A7B">
              <w:rPr>
                <w:noProof/>
                <w:webHidden/>
              </w:rPr>
              <w:tab/>
            </w:r>
            <w:r w:rsidR="00EC5A7B">
              <w:rPr>
                <w:noProof/>
                <w:webHidden/>
              </w:rPr>
              <w:fldChar w:fldCharType="begin"/>
            </w:r>
            <w:r w:rsidR="00EC5A7B">
              <w:rPr>
                <w:noProof/>
                <w:webHidden/>
              </w:rPr>
              <w:instrText xml:space="preserve"> PAGEREF _Toc63157266 \h </w:instrText>
            </w:r>
            <w:r w:rsidR="00EC5A7B">
              <w:rPr>
                <w:noProof/>
                <w:webHidden/>
              </w:rPr>
            </w:r>
            <w:r w:rsidR="00EC5A7B">
              <w:rPr>
                <w:noProof/>
                <w:webHidden/>
              </w:rPr>
              <w:fldChar w:fldCharType="separate"/>
            </w:r>
            <w:r w:rsidR="00EC5A7B">
              <w:rPr>
                <w:noProof/>
                <w:webHidden/>
              </w:rPr>
              <w:t>28</w:t>
            </w:r>
            <w:r w:rsidR="00EC5A7B">
              <w:rPr>
                <w:noProof/>
                <w:webHidden/>
              </w:rPr>
              <w:fldChar w:fldCharType="end"/>
            </w:r>
          </w:hyperlink>
        </w:p>
        <w:p w14:paraId="0A840E65" w14:textId="5CA894AD" w:rsidR="00EC5A7B" w:rsidRDefault="00813343">
          <w:pPr>
            <w:pStyle w:val="TOC2"/>
            <w:rPr>
              <w:rFonts w:cstheme="minorBidi"/>
              <w:noProof/>
            </w:rPr>
          </w:pPr>
          <w:hyperlink w:anchor="_Toc63157267" w:history="1">
            <w:r w:rsidR="00EC5A7B" w:rsidRPr="007C0F87">
              <w:rPr>
                <w:rStyle w:val="Hyperlink"/>
                <w:rFonts w:asciiTheme="majorHAnsi" w:eastAsia="Times New Roman" w:hAnsiTheme="majorHAnsi" w:cstheme="majorHAnsi"/>
                <w:b/>
                <w:bCs/>
                <w:noProof/>
                <w:lang w:val="ru-MD" w:eastAsia="ru-RU"/>
              </w:rPr>
              <w:t>4.3.</w:t>
            </w:r>
            <w:r w:rsidR="00EC5A7B">
              <w:rPr>
                <w:rFonts w:cstheme="minorBidi"/>
                <w:noProof/>
              </w:rPr>
              <w:tab/>
            </w:r>
            <w:r w:rsidR="00EC5A7B" w:rsidRPr="007C0F87">
              <w:rPr>
                <w:rStyle w:val="Hyperlink"/>
                <w:rFonts w:asciiTheme="majorHAnsi" w:eastAsia="Times New Roman" w:hAnsiTheme="majorHAnsi" w:cstheme="majorHAnsi"/>
                <w:b/>
                <w:bCs/>
                <w:noProof/>
                <w:lang w:val="ru-MD" w:eastAsia="ru-RU"/>
              </w:rPr>
              <w:t>Конкретная цель III. Оценка тенденций по предоставлению государственных гарантий</w:t>
            </w:r>
            <w:r w:rsidR="00EC5A7B">
              <w:rPr>
                <w:noProof/>
                <w:webHidden/>
              </w:rPr>
              <w:tab/>
            </w:r>
            <w:r w:rsidR="00EC5A7B">
              <w:rPr>
                <w:noProof/>
                <w:webHidden/>
              </w:rPr>
              <w:fldChar w:fldCharType="begin"/>
            </w:r>
            <w:r w:rsidR="00EC5A7B">
              <w:rPr>
                <w:noProof/>
                <w:webHidden/>
              </w:rPr>
              <w:instrText xml:space="preserve"> PAGEREF _Toc63157267 \h </w:instrText>
            </w:r>
            <w:r w:rsidR="00EC5A7B">
              <w:rPr>
                <w:noProof/>
                <w:webHidden/>
              </w:rPr>
            </w:r>
            <w:r w:rsidR="00EC5A7B">
              <w:rPr>
                <w:noProof/>
                <w:webHidden/>
              </w:rPr>
              <w:fldChar w:fldCharType="separate"/>
            </w:r>
            <w:r w:rsidR="00EC5A7B">
              <w:rPr>
                <w:noProof/>
                <w:webHidden/>
              </w:rPr>
              <w:t>34</w:t>
            </w:r>
            <w:r w:rsidR="00EC5A7B">
              <w:rPr>
                <w:noProof/>
                <w:webHidden/>
              </w:rPr>
              <w:fldChar w:fldCharType="end"/>
            </w:r>
          </w:hyperlink>
        </w:p>
        <w:p w14:paraId="0728F802" w14:textId="312F9D7D" w:rsidR="00EC5A7B" w:rsidRDefault="00813343">
          <w:pPr>
            <w:pStyle w:val="TOC2"/>
            <w:rPr>
              <w:rFonts w:cstheme="minorBidi"/>
              <w:noProof/>
            </w:rPr>
          </w:pPr>
          <w:hyperlink w:anchor="_Toc63157268" w:history="1">
            <w:r w:rsidR="00EC5A7B" w:rsidRPr="007C0F87">
              <w:rPr>
                <w:rStyle w:val="Hyperlink"/>
                <w:rFonts w:asciiTheme="majorHAnsi" w:eastAsia="Times New Roman" w:hAnsiTheme="majorHAnsi" w:cstheme="majorHAnsi"/>
                <w:b/>
                <w:bCs/>
                <w:i/>
                <w:noProof/>
                <w:lang w:val="ru-MD" w:eastAsia="ru-RU"/>
              </w:rPr>
              <w:t>4.3.1.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 xml:space="preserve">Сальдо внутренних государственных гарантий, предоставленных в 2019 году в рамках Государственной программы </w:t>
            </w:r>
            <w:r w:rsidR="00EC5A7B">
              <w:rPr>
                <w:rStyle w:val="Hyperlink"/>
                <w:rFonts w:asciiTheme="majorHAnsi" w:eastAsia="Times New Roman" w:hAnsiTheme="majorHAnsi" w:cstheme="majorHAnsi"/>
                <w:b/>
                <w:bCs/>
                <w:i/>
                <w:noProof/>
                <w:lang w:val="ru-MD" w:eastAsia="ru-RU"/>
              </w:rPr>
              <w:t>“Первый дом”</w:t>
            </w:r>
            <w:r w:rsidR="00EC5A7B" w:rsidRPr="007C0F87">
              <w:rPr>
                <w:rStyle w:val="Hyperlink"/>
                <w:rFonts w:asciiTheme="majorHAnsi" w:eastAsia="Times New Roman" w:hAnsiTheme="majorHAnsi" w:cstheme="majorHAnsi"/>
                <w:b/>
                <w:bCs/>
                <w:i/>
                <w:noProof/>
                <w:lang w:val="ru-MD" w:eastAsia="ru-RU"/>
              </w:rPr>
              <w:t>, значительно увеличилось</w:t>
            </w:r>
            <w:r w:rsidR="00EC5A7B">
              <w:rPr>
                <w:noProof/>
                <w:webHidden/>
              </w:rPr>
              <w:tab/>
            </w:r>
            <w:r w:rsidR="00EC5A7B">
              <w:rPr>
                <w:noProof/>
                <w:webHidden/>
              </w:rPr>
              <w:fldChar w:fldCharType="begin"/>
            </w:r>
            <w:r w:rsidR="00EC5A7B">
              <w:rPr>
                <w:noProof/>
                <w:webHidden/>
              </w:rPr>
              <w:instrText xml:space="preserve"> PAGEREF _Toc63157268 \h </w:instrText>
            </w:r>
            <w:r w:rsidR="00EC5A7B">
              <w:rPr>
                <w:noProof/>
                <w:webHidden/>
              </w:rPr>
            </w:r>
            <w:r w:rsidR="00EC5A7B">
              <w:rPr>
                <w:noProof/>
                <w:webHidden/>
              </w:rPr>
              <w:fldChar w:fldCharType="separate"/>
            </w:r>
            <w:r w:rsidR="00EC5A7B">
              <w:rPr>
                <w:noProof/>
                <w:webHidden/>
              </w:rPr>
              <w:t>34</w:t>
            </w:r>
            <w:r w:rsidR="00EC5A7B">
              <w:rPr>
                <w:noProof/>
                <w:webHidden/>
              </w:rPr>
              <w:fldChar w:fldCharType="end"/>
            </w:r>
          </w:hyperlink>
        </w:p>
        <w:p w14:paraId="49BF2ADC" w14:textId="0B7C5DB5" w:rsidR="00EC5A7B" w:rsidRDefault="00813343">
          <w:pPr>
            <w:pStyle w:val="TOC2"/>
            <w:rPr>
              <w:rFonts w:cstheme="minorBidi"/>
              <w:noProof/>
            </w:rPr>
          </w:pPr>
          <w:hyperlink w:anchor="_Toc63157269" w:history="1">
            <w:r w:rsidR="00EC5A7B" w:rsidRPr="007C0F87">
              <w:rPr>
                <w:rStyle w:val="Hyperlink"/>
                <w:rFonts w:asciiTheme="majorHAnsi" w:eastAsia="Times New Roman" w:hAnsiTheme="majorHAnsi" w:cstheme="majorHAnsi"/>
                <w:b/>
                <w:bCs/>
                <w:i/>
                <w:noProof/>
                <w:lang w:val="ru-MD" w:eastAsia="ru-RU"/>
              </w:rPr>
              <w:t>4.3.2.</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Задолженности гарантированных дебиторов перед Министерством финансов полностью просрочены</w:t>
            </w:r>
            <w:r w:rsidR="00EC5A7B">
              <w:rPr>
                <w:noProof/>
                <w:webHidden/>
              </w:rPr>
              <w:tab/>
            </w:r>
            <w:r w:rsidR="00EC5A7B">
              <w:rPr>
                <w:noProof/>
                <w:webHidden/>
              </w:rPr>
              <w:fldChar w:fldCharType="begin"/>
            </w:r>
            <w:r w:rsidR="00EC5A7B">
              <w:rPr>
                <w:noProof/>
                <w:webHidden/>
              </w:rPr>
              <w:instrText xml:space="preserve"> PAGEREF _Toc63157269 \h </w:instrText>
            </w:r>
            <w:r w:rsidR="00EC5A7B">
              <w:rPr>
                <w:noProof/>
                <w:webHidden/>
              </w:rPr>
            </w:r>
            <w:r w:rsidR="00EC5A7B">
              <w:rPr>
                <w:noProof/>
                <w:webHidden/>
              </w:rPr>
              <w:fldChar w:fldCharType="separate"/>
            </w:r>
            <w:r w:rsidR="00EC5A7B">
              <w:rPr>
                <w:noProof/>
                <w:webHidden/>
              </w:rPr>
              <w:t>36</w:t>
            </w:r>
            <w:r w:rsidR="00EC5A7B">
              <w:rPr>
                <w:noProof/>
                <w:webHidden/>
              </w:rPr>
              <w:fldChar w:fldCharType="end"/>
            </w:r>
          </w:hyperlink>
        </w:p>
        <w:p w14:paraId="45DC145C" w14:textId="7C8E86EB" w:rsidR="00EC5A7B" w:rsidRDefault="00813343">
          <w:pPr>
            <w:pStyle w:val="TOC2"/>
            <w:rPr>
              <w:rFonts w:cstheme="minorBidi"/>
              <w:noProof/>
            </w:rPr>
          </w:pPr>
          <w:hyperlink w:anchor="_Toc63157270" w:history="1">
            <w:r w:rsidR="00EC5A7B" w:rsidRPr="007C0F87">
              <w:rPr>
                <w:rStyle w:val="Hyperlink"/>
                <w:rFonts w:asciiTheme="majorHAnsi" w:eastAsia="Times New Roman" w:hAnsiTheme="majorHAnsi" w:cstheme="majorHAnsi"/>
                <w:b/>
                <w:bCs/>
                <w:noProof/>
                <w:lang w:val="ru-MD" w:eastAsia="ru-RU"/>
              </w:rPr>
              <w:t>4.4.</w:t>
            </w:r>
            <w:r w:rsidR="00EC5A7B">
              <w:rPr>
                <w:rFonts w:cstheme="minorBidi"/>
                <w:noProof/>
              </w:rPr>
              <w:tab/>
            </w:r>
            <w:r w:rsidR="00EC5A7B" w:rsidRPr="007C0F87">
              <w:rPr>
                <w:rStyle w:val="Hyperlink"/>
                <w:rFonts w:asciiTheme="majorHAnsi" w:eastAsia="Times New Roman" w:hAnsiTheme="majorHAnsi" w:cstheme="majorHAnsi"/>
                <w:b/>
                <w:bCs/>
                <w:noProof/>
                <w:lang w:val="ru-MD" w:eastAsia="ru-RU"/>
              </w:rPr>
              <w:t>Конкретная цель IV. Оценка администрирования и мониторинга кредитов, рекредитованных государством</w:t>
            </w:r>
            <w:r w:rsidR="00EC5A7B">
              <w:rPr>
                <w:noProof/>
                <w:webHidden/>
              </w:rPr>
              <w:tab/>
            </w:r>
            <w:r w:rsidR="00EC5A7B">
              <w:rPr>
                <w:noProof/>
                <w:webHidden/>
              </w:rPr>
              <w:fldChar w:fldCharType="begin"/>
            </w:r>
            <w:r w:rsidR="00EC5A7B">
              <w:rPr>
                <w:noProof/>
                <w:webHidden/>
              </w:rPr>
              <w:instrText xml:space="preserve"> PAGEREF _Toc63157270 \h </w:instrText>
            </w:r>
            <w:r w:rsidR="00EC5A7B">
              <w:rPr>
                <w:noProof/>
                <w:webHidden/>
              </w:rPr>
            </w:r>
            <w:r w:rsidR="00EC5A7B">
              <w:rPr>
                <w:noProof/>
                <w:webHidden/>
              </w:rPr>
              <w:fldChar w:fldCharType="separate"/>
            </w:r>
            <w:r w:rsidR="00EC5A7B">
              <w:rPr>
                <w:noProof/>
                <w:webHidden/>
              </w:rPr>
              <w:t>36</w:t>
            </w:r>
            <w:r w:rsidR="00EC5A7B">
              <w:rPr>
                <w:noProof/>
                <w:webHidden/>
              </w:rPr>
              <w:fldChar w:fldCharType="end"/>
            </w:r>
          </w:hyperlink>
        </w:p>
        <w:p w14:paraId="2705F07B" w14:textId="15FC2A84" w:rsidR="00EC5A7B" w:rsidRDefault="00813343">
          <w:pPr>
            <w:pStyle w:val="TOC2"/>
            <w:rPr>
              <w:rFonts w:cstheme="minorBidi"/>
              <w:noProof/>
            </w:rPr>
          </w:pPr>
          <w:hyperlink w:anchor="_Toc63157271" w:history="1">
            <w:r w:rsidR="00EC5A7B" w:rsidRPr="007C0F87">
              <w:rPr>
                <w:rStyle w:val="Hyperlink"/>
                <w:rFonts w:asciiTheme="majorHAnsi" w:eastAsia="Times New Roman" w:hAnsiTheme="majorHAnsi" w:cstheme="majorHAnsi"/>
                <w:b/>
                <w:bCs/>
                <w:i/>
                <w:noProof/>
                <w:lang w:val="ru-MD" w:eastAsia="ru-RU"/>
              </w:rPr>
              <w:t>4.4.1.</w:t>
            </w:r>
            <w:r w:rsidR="00EC5A7B">
              <w:rPr>
                <w:rFonts w:cstheme="minorBidi"/>
                <w:noProof/>
              </w:rPr>
              <w:tab/>
            </w:r>
            <w:r w:rsidR="00EC5A7B" w:rsidRPr="007C0F87">
              <w:rPr>
                <w:rStyle w:val="Hyperlink"/>
                <w:rFonts w:asciiTheme="majorHAnsi" w:eastAsia="Times New Roman" w:hAnsiTheme="majorHAnsi" w:cstheme="majorHAnsi"/>
                <w:b/>
                <w:bCs/>
                <w:i/>
                <w:noProof/>
                <w:lang w:val="ru-MD" w:eastAsia="ru-RU"/>
              </w:rPr>
              <w:t>Финансовые средства, используемые на государственное рекредитование, увеличились, и, в основном, были направлены через ДКЛ</w:t>
            </w:r>
            <w:r w:rsidR="00EC5A7B">
              <w:rPr>
                <w:noProof/>
                <w:webHidden/>
              </w:rPr>
              <w:tab/>
            </w:r>
            <w:r w:rsidR="00EC5A7B">
              <w:rPr>
                <w:noProof/>
                <w:webHidden/>
              </w:rPr>
              <w:fldChar w:fldCharType="begin"/>
            </w:r>
            <w:r w:rsidR="00EC5A7B">
              <w:rPr>
                <w:noProof/>
                <w:webHidden/>
              </w:rPr>
              <w:instrText xml:space="preserve"> PAGEREF _Toc63157271 \h </w:instrText>
            </w:r>
            <w:r w:rsidR="00EC5A7B">
              <w:rPr>
                <w:noProof/>
                <w:webHidden/>
              </w:rPr>
            </w:r>
            <w:r w:rsidR="00EC5A7B">
              <w:rPr>
                <w:noProof/>
                <w:webHidden/>
              </w:rPr>
              <w:fldChar w:fldCharType="separate"/>
            </w:r>
            <w:r w:rsidR="00EC5A7B">
              <w:rPr>
                <w:noProof/>
                <w:webHidden/>
              </w:rPr>
              <w:t>36</w:t>
            </w:r>
            <w:r w:rsidR="00EC5A7B">
              <w:rPr>
                <w:noProof/>
                <w:webHidden/>
              </w:rPr>
              <w:fldChar w:fldCharType="end"/>
            </w:r>
          </w:hyperlink>
        </w:p>
        <w:p w14:paraId="29E7571B" w14:textId="52D04532" w:rsidR="00EC5A7B" w:rsidRDefault="00813343">
          <w:pPr>
            <w:pStyle w:val="TOC2"/>
            <w:rPr>
              <w:rFonts w:cstheme="minorBidi"/>
              <w:noProof/>
            </w:rPr>
          </w:pPr>
          <w:hyperlink w:anchor="_Toc63157272" w:history="1">
            <w:r w:rsidR="00EC5A7B" w:rsidRPr="007C0F87">
              <w:rPr>
                <w:rStyle w:val="Hyperlink"/>
                <w:rFonts w:asciiTheme="majorHAnsi" w:eastAsia="Times New Roman" w:hAnsiTheme="majorHAnsi" w:cstheme="majorHAnsi"/>
                <w:b/>
                <w:bCs/>
                <w:noProof/>
                <w:lang w:val="ru-MD" w:eastAsia="ru-RU"/>
              </w:rPr>
              <w:t>4.5.</w:t>
            </w:r>
            <w:r w:rsidR="00EC5A7B">
              <w:rPr>
                <w:rFonts w:cstheme="minorBidi"/>
                <w:noProof/>
              </w:rPr>
              <w:tab/>
            </w:r>
            <w:r w:rsidR="00EC5A7B" w:rsidRPr="007C0F87">
              <w:rPr>
                <w:rStyle w:val="Hyperlink"/>
                <w:rFonts w:asciiTheme="majorHAnsi" w:eastAsia="Times New Roman" w:hAnsiTheme="majorHAnsi" w:cstheme="majorHAnsi"/>
                <w:b/>
                <w:bCs/>
                <w:noProof/>
                <w:lang w:val="ru-MD" w:eastAsia="ru-RU"/>
              </w:rPr>
              <w:t xml:space="preserve">Принятые меры с целью </w:t>
            </w:r>
            <w:r w:rsidR="00EC5A7B" w:rsidRPr="007C0F87">
              <w:rPr>
                <w:rStyle w:val="Hyperlink"/>
                <w:rFonts w:asciiTheme="majorHAnsi" w:eastAsia="Times New Roman" w:hAnsiTheme="majorHAnsi" w:cstheme="majorHAnsi"/>
                <w:b/>
                <w:bCs/>
                <w:iCs/>
                <w:noProof/>
                <w:lang w:val="ru-MD" w:eastAsia="ru-RU"/>
              </w:rPr>
              <w:t>внедрени</w:t>
            </w:r>
            <w:r w:rsidR="00EC5A7B" w:rsidRPr="007C0F87">
              <w:rPr>
                <w:rStyle w:val="Hyperlink"/>
                <w:rFonts w:asciiTheme="majorHAnsi" w:eastAsia="Times New Roman" w:hAnsiTheme="majorHAnsi" w:cstheme="majorHAnsi"/>
                <w:b/>
                <w:bCs/>
                <w:noProof/>
                <w:lang w:val="ru-MD" w:eastAsia="ru-RU"/>
              </w:rPr>
              <w:t>я предыдущих рекомендаций Счетной палаты</w:t>
            </w:r>
            <w:r w:rsidR="00EC5A7B">
              <w:rPr>
                <w:noProof/>
                <w:webHidden/>
              </w:rPr>
              <w:tab/>
            </w:r>
            <w:r w:rsidR="00EC5A7B">
              <w:rPr>
                <w:noProof/>
                <w:webHidden/>
              </w:rPr>
              <w:fldChar w:fldCharType="begin"/>
            </w:r>
            <w:r w:rsidR="00EC5A7B">
              <w:rPr>
                <w:noProof/>
                <w:webHidden/>
              </w:rPr>
              <w:instrText xml:space="preserve"> PAGEREF _Toc63157272 \h </w:instrText>
            </w:r>
            <w:r w:rsidR="00EC5A7B">
              <w:rPr>
                <w:noProof/>
                <w:webHidden/>
              </w:rPr>
            </w:r>
            <w:r w:rsidR="00EC5A7B">
              <w:rPr>
                <w:noProof/>
                <w:webHidden/>
              </w:rPr>
              <w:fldChar w:fldCharType="separate"/>
            </w:r>
            <w:r w:rsidR="00EC5A7B">
              <w:rPr>
                <w:noProof/>
                <w:webHidden/>
              </w:rPr>
              <w:t>38</w:t>
            </w:r>
            <w:r w:rsidR="00EC5A7B">
              <w:rPr>
                <w:noProof/>
                <w:webHidden/>
              </w:rPr>
              <w:fldChar w:fldCharType="end"/>
            </w:r>
          </w:hyperlink>
        </w:p>
        <w:p w14:paraId="2B057808" w14:textId="2E7BD9F2" w:rsidR="00EC5A7B" w:rsidRDefault="00813343">
          <w:pPr>
            <w:pStyle w:val="TOC1"/>
            <w:rPr>
              <w:rFonts w:eastAsiaTheme="minorEastAsia"/>
              <w:noProof/>
            </w:rPr>
          </w:pPr>
          <w:hyperlink w:anchor="_Toc63157273" w:history="1">
            <w:r w:rsidR="00EC5A7B" w:rsidRPr="007C0F87">
              <w:rPr>
                <w:rStyle w:val="Hyperlink"/>
                <w:rFonts w:asciiTheme="majorHAnsi" w:eastAsia="Times New Roman" w:hAnsiTheme="majorHAnsi" w:cstheme="majorHAnsi"/>
                <w:b/>
                <w:bCs/>
                <w:noProof/>
                <w:lang w:val="ru-MD" w:eastAsia="ru-RU"/>
              </w:rPr>
              <w:t>VI.</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ОБЩИЙ ВЫВОД</w:t>
            </w:r>
            <w:r w:rsidR="00EC5A7B">
              <w:rPr>
                <w:noProof/>
                <w:webHidden/>
              </w:rPr>
              <w:tab/>
            </w:r>
            <w:r w:rsidR="00EC5A7B">
              <w:rPr>
                <w:noProof/>
                <w:webHidden/>
              </w:rPr>
              <w:fldChar w:fldCharType="begin"/>
            </w:r>
            <w:r w:rsidR="00EC5A7B">
              <w:rPr>
                <w:noProof/>
                <w:webHidden/>
              </w:rPr>
              <w:instrText xml:space="preserve"> PAGEREF _Toc63157273 \h </w:instrText>
            </w:r>
            <w:r w:rsidR="00EC5A7B">
              <w:rPr>
                <w:noProof/>
                <w:webHidden/>
              </w:rPr>
            </w:r>
            <w:r w:rsidR="00EC5A7B">
              <w:rPr>
                <w:noProof/>
                <w:webHidden/>
              </w:rPr>
              <w:fldChar w:fldCharType="separate"/>
            </w:r>
            <w:r w:rsidR="00EC5A7B">
              <w:rPr>
                <w:noProof/>
                <w:webHidden/>
              </w:rPr>
              <w:t>38</w:t>
            </w:r>
            <w:r w:rsidR="00EC5A7B">
              <w:rPr>
                <w:noProof/>
                <w:webHidden/>
              </w:rPr>
              <w:fldChar w:fldCharType="end"/>
            </w:r>
          </w:hyperlink>
        </w:p>
        <w:p w14:paraId="0BDAA0DA" w14:textId="0B21D383" w:rsidR="00EC5A7B" w:rsidRDefault="00813343">
          <w:pPr>
            <w:pStyle w:val="TOC1"/>
            <w:rPr>
              <w:rFonts w:eastAsiaTheme="minorEastAsia"/>
              <w:noProof/>
            </w:rPr>
          </w:pPr>
          <w:hyperlink w:anchor="_Toc63157274" w:history="1">
            <w:r w:rsidR="00EC5A7B" w:rsidRPr="007C0F87">
              <w:rPr>
                <w:rStyle w:val="Hyperlink"/>
                <w:rFonts w:asciiTheme="majorHAnsi" w:eastAsia="Times New Roman" w:hAnsiTheme="majorHAnsi" w:cstheme="majorHAnsi"/>
                <w:b/>
                <w:bCs/>
                <w:noProof/>
                <w:lang w:val="ru-MD" w:eastAsia="ru-RU"/>
              </w:rPr>
              <w:t>VII.</w:t>
            </w:r>
            <w:r w:rsidR="00EC5A7B">
              <w:rPr>
                <w:rFonts w:eastAsiaTheme="minorEastAsia"/>
                <w:noProof/>
              </w:rPr>
              <w:tab/>
            </w:r>
            <w:r w:rsidR="00EC5A7B" w:rsidRPr="007C0F87">
              <w:rPr>
                <w:rStyle w:val="Hyperlink"/>
                <w:rFonts w:asciiTheme="majorHAnsi" w:eastAsia="Times New Roman" w:hAnsiTheme="majorHAnsi" w:cstheme="majorHAnsi"/>
                <w:b/>
                <w:bCs/>
                <w:noProof/>
                <w:lang w:val="ru-MD" w:eastAsia="ru-RU"/>
              </w:rPr>
              <w:t>РЕКОМЕНДАЦИИ МИНИСТЕРСТВУ ФИНАНСОВ</w:t>
            </w:r>
            <w:r w:rsidR="00EC5A7B">
              <w:rPr>
                <w:noProof/>
                <w:webHidden/>
              </w:rPr>
              <w:tab/>
            </w:r>
            <w:r w:rsidR="00EC5A7B">
              <w:rPr>
                <w:noProof/>
                <w:webHidden/>
              </w:rPr>
              <w:fldChar w:fldCharType="begin"/>
            </w:r>
            <w:r w:rsidR="00EC5A7B">
              <w:rPr>
                <w:noProof/>
                <w:webHidden/>
              </w:rPr>
              <w:instrText xml:space="preserve"> PAGEREF _Toc63157274 \h </w:instrText>
            </w:r>
            <w:r w:rsidR="00EC5A7B">
              <w:rPr>
                <w:noProof/>
                <w:webHidden/>
              </w:rPr>
            </w:r>
            <w:r w:rsidR="00EC5A7B">
              <w:rPr>
                <w:noProof/>
                <w:webHidden/>
              </w:rPr>
              <w:fldChar w:fldCharType="separate"/>
            </w:r>
            <w:r w:rsidR="00EC5A7B">
              <w:rPr>
                <w:noProof/>
                <w:webHidden/>
              </w:rPr>
              <w:t>39</w:t>
            </w:r>
            <w:r w:rsidR="00EC5A7B">
              <w:rPr>
                <w:noProof/>
                <w:webHidden/>
              </w:rPr>
              <w:fldChar w:fldCharType="end"/>
            </w:r>
          </w:hyperlink>
        </w:p>
        <w:p w14:paraId="5D598BC8" w14:textId="491F69F7" w:rsidR="00EC5A7B" w:rsidRDefault="00813343">
          <w:pPr>
            <w:pStyle w:val="TOC1"/>
            <w:rPr>
              <w:rFonts w:eastAsiaTheme="minorEastAsia"/>
              <w:noProof/>
            </w:rPr>
          </w:pPr>
          <w:hyperlink w:anchor="_Toc63157275" w:history="1">
            <w:r w:rsidR="00EC5A7B" w:rsidRPr="007C0F87">
              <w:rPr>
                <w:rStyle w:val="Hyperlink"/>
                <w:rFonts w:asciiTheme="majorHAnsi" w:eastAsia="Times New Roman" w:hAnsiTheme="majorHAnsi" w:cstheme="majorHAnsi"/>
                <w:b/>
                <w:bCs/>
                <w:noProof/>
                <w:lang w:val="ru-MD" w:eastAsia="ru-RU"/>
              </w:rPr>
              <w:t>ПРИЛОЖЕНИЯ</w:t>
            </w:r>
            <w:r w:rsidR="00EC5A7B">
              <w:rPr>
                <w:noProof/>
                <w:webHidden/>
              </w:rPr>
              <w:tab/>
            </w:r>
            <w:r w:rsidR="00EC5A7B">
              <w:rPr>
                <w:noProof/>
                <w:webHidden/>
              </w:rPr>
              <w:fldChar w:fldCharType="begin"/>
            </w:r>
            <w:r w:rsidR="00EC5A7B">
              <w:rPr>
                <w:noProof/>
                <w:webHidden/>
              </w:rPr>
              <w:instrText xml:space="preserve"> PAGEREF _Toc63157275 \h </w:instrText>
            </w:r>
            <w:r w:rsidR="00EC5A7B">
              <w:rPr>
                <w:noProof/>
                <w:webHidden/>
              </w:rPr>
            </w:r>
            <w:r w:rsidR="00EC5A7B">
              <w:rPr>
                <w:noProof/>
                <w:webHidden/>
              </w:rPr>
              <w:fldChar w:fldCharType="separate"/>
            </w:r>
            <w:r w:rsidR="00EC5A7B">
              <w:rPr>
                <w:noProof/>
                <w:webHidden/>
              </w:rPr>
              <w:t>41</w:t>
            </w:r>
            <w:r w:rsidR="00EC5A7B">
              <w:rPr>
                <w:noProof/>
                <w:webHidden/>
              </w:rPr>
              <w:fldChar w:fldCharType="end"/>
            </w:r>
          </w:hyperlink>
        </w:p>
        <w:p w14:paraId="53CD240A" w14:textId="53368589" w:rsidR="00F26567" w:rsidRPr="00EC5A7B" w:rsidRDefault="00547C7A" w:rsidP="00F26567">
          <w:pPr>
            <w:rPr>
              <w:b/>
              <w:bCs/>
              <w:lang w:val="ru-MD"/>
            </w:rPr>
          </w:pPr>
          <w:r w:rsidRPr="00EC5A7B">
            <w:rPr>
              <w:b/>
              <w:bCs/>
              <w:lang w:val="ru-MD"/>
            </w:rPr>
            <w:fldChar w:fldCharType="end"/>
          </w:r>
        </w:p>
      </w:sdtContent>
    </w:sdt>
    <w:p w14:paraId="2F77E6DE" w14:textId="75F51F7C" w:rsidR="00CC270F" w:rsidRPr="00EC5A7B" w:rsidRDefault="00930E1D" w:rsidP="00DD122A">
      <w:pPr>
        <w:pStyle w:val="Heading1"/>
        <w:rPr>
          <w:lang w:val="ru-MD"/>
        </w:rPr>
      </w:pPr>
      <w:bookmarkStart w:id="1" w:name="_Toc63157251"/>
      <w:r w:rsidRPr="00EC5A7B">
        <w:rPr>
          <w:rFonts w:cstheme="majorHAnsi"/>
          <w:b/>
          <w:color w:val="5B9BD5" w:themeColor="accent1"/>
          <w:sz w:val="28"/>
          <w:szCs w:val="28"/>
          <w:lang w:val="ru-MD"/>
        </w:rPr>
        <w:t>СПИСОК АКРОНИМОВ</w:t>
      </w:r>
      <w:bookmarkEnd w:id="1"/>
    </w:p>
    <w:tbl>
      <w:tblPr>
        <w:tblW w:w="0" w:type="auto"/>
        <w:tblLook w:val="04A0" w:firstRow="1" w:lastRow="0" w:firstColumn="1" w:lastColumn="0" w:noHBand="0" w:noVBand="1"/>
      </w:tblPr>
      <w:tblGrid>
        <w:gridCol w:w="1577"/>
        <w:gridCol w:w="7184"/>
      </w:tblGrid>
      <w:tr w:rsidR="00CC270F" w:rsidRPr="00EC5A7B" w14:paraId="6007D902" w14:textId="77777777" w:rsidTr="00EC5A7B">
        <w:trPr>
          <w:trHeight w:val="258"/>
        </w:trPr>
        <w:tc>
          <w:tcPr>
            <w:tcW w:w="1577" w:type="dxa"/>
          </w:tcPr>
          <w:p w14:paraId="25E09E1A" w14:textId="276B9265" w:rsidR="00CC270F" w:rsidRPr="00EC5A7B" w:rsidRDefault="00AB325E" w:rsidP="0048672D">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t>МАП</w:t>
            </w:r>
          </w:p>
        </w:tc>
        <w:tc>
          <w:tcPr>
            <w:tcW w:w="7184" w:type="dxa"/>
          </w:tcPr>
          <w:p w14:paraId="351E21EA" w14:textId="2AC87898" w:rsidR="00CC270F" w:rsidRPr="00EC5A7B" w:rsidRDefault="00930E1D" w:rsidP="0048672D">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bCs/>
                <w:sz w:val="24"/>
                <w:szCs w:val="24"/>
                <w:lang w:val="ru-MD"/>
              </w:rPr>
              <w:t>Международная ассоциация развития</w:t>
            </w:r>
          </w:p>
        </w:tc>
      </w:tr>
      <w:tr w:rsidR="00B32646" w:rsidRPr="00EC5A7B" w14:paraId="1A4B42B1" w14:textId="77777777" w:rsidTr="00EC5A7B">
        <w:trPr>
          <w:trHeight w:val="270"/>
        </w:trPr>
        <w:tc>
          <w:tcPr>
            <w:tcW w:w="1577" w:type="dxa"/>
          </w:tcPr>
          <w:p w14:paraId="281D1B1D" w14:textId="77777777" w:rsidR="00B32646" w:rsidRPr="00EC5A7B" w:rsidRDefault="00B32646" w:rsidP="0048672D">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t>ATM</w:t>
            </w:r>
          </w:p>
        </w:tc>
        <w:tc>
          <w:tcPr>
            <w:tcW w:w="7184" w:type="dxa"/>
          </w:tcPr>
          <w:p w14:paraId="7FA5E4E6" w14:textId="710E0FB4" w:rsidR="00B32646" w:rsidRPr="00EC5A7B" w:rsidRDefault="00D43161" w:rsidP="00D43161">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bCs/>
                <w:sz w:val="24"/>
                <w:szCs w:val="24"/>
                <w:lang w:val="ru-MD"/>
              </w:rPr>
              <w:t xml:space="preserve">Средний срок погашения </w:t>
            </w:r>
          </w:p>
        </w:tc>
      </w:tr>
      <w:tr w:rsidR="003160B2" w:rsidRPr="00EC5A7B" w14:paraId="033631A4" w14:textId="77777777" w:rsidTr="00EC5A7B">
        <w:trPr>
          <w:trHeight w:val="258"/>
        </w:trPr>
        <w:tc>
          <w:tcPr>
            <w:tcW w:w="1577" w:type="dxa"/>
          </w:tcPr>
          <w:p w14:paraId="544A52F2" w14:textId="1C5877DA" w:rsidR="003160B2" w:rsidRPr="00EC5A7B" w:rsidRDefault="00AB325E" w:rsidP="003160B2">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lastRenderedPageBreak/>
              <w:t>КБ</w:t>
            </w:r>
          </w:p>
        </w:tc>
        <w:tc>
          <w:tcPr>
            <w:tcW w:w="7184" w:type="dxa"/>
          </w:tcPr>
          <w:p w14:paraId="425CF52A" w14:textId="5BBAB849" w:rsidR="003160B2" w:rsidRPr="00EC5A7B" w:rsidRDefault="00AB325E" w:rsidP="00AB325E">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bCs/>
                <w:sz w:val="24"/>
                <w:szCs w:val="24"/>
                <w:lang w:val="ru-MD"/>
              </w:rPr>
              <w:t>Коммерческий банк</w:t>
            </w:r>
          </w:p>
        </w:tc>
      </w:tr>
      <w:tr w:rsidR="005B6E82" w:rsidRPr="00EC5A7B" w14:paraId="4282D851" w14:textId="77777777" w:rsidTr="00EC5A7B">
        <w:trPr>
          <w:trHeight w:val="270"/>
        </w:trPr>
        <w:tc>
          <w:tcPr>
            <w:tcW w:w="1577" w:type="dxa"/>
          </w:tcPr>
          <w:p w14:paraId="511B0AD6" w14:textId="29CDAC8D" w:rsidR="005B6E82" w:rsidRPr="00EC5A7B" w:rsidRDefault="00AB325E" w:rsidP="003160B2">
            <w:pPr>
              <w:spacing w:after="0" w:line="240" w:lineRule="auto"/>
              <w:rPr>
                <w:rFonts w:asciiTheme="majorHAnsi" w:hAnsiTheme="majorHAnsi" w:cstheme="majorHAnsi"/>
                <w:bCs/>
                <w:sz w:val="24"/>
                <w:szCs w:val="24"/>
                <w:lang w:val="ru-MD"/>
              </w:rPr>
            </w:pPr>
            <w:r w:rsidRPr="00EC5A7B">
              <w:rPr>
                <w:rFonts w:asciiTheme="majorHAnsi" w:hAnsiTheme="majorHAnsi" w:cstheme="majorHAnsi"/>
                <w:sz w:val="24"/>
                <w:szCs w:val="24"/>
                <w:lang w:val="ru-MD"/>
              </w:rPr>
              <w:t>БРСЕ</w:t>
            </w:r>
            <w:r w:rsidR="005B6E82" w:rsidRPr="00EC5A7B">
              <w:rPr>
                <w:rFonts w:asciiTheme="majorHAnsi" w:hAnsiTheme="majorHAnsi" w:cstheme="majorHAnsi"/>
                <w:bCs/>
                <w:sz w:val="24"/>
                <w:szCs w:val="24"/>
                <w:lang w:val="ru-MD"/>
              </w:rPr>
              <w:t xml:space="preserve"> (CEB)</w:t>
            </w:r>
          </w:p>
        </w:tc>
        <w:tc>
          <w:tcPr>
            <w:tcW w:w="7184" w:type="dxa"/>
          </w:tcPr>
          <w:p w14:paraId="157B9EAC" w14:textId="52A85153" w:rsidR="005B6E82" w:rsidRPr="00EC5A7B" w:rsidRDefault="00AB325E" w:rsidP="003160B2">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sz w:val="24"/>
                <w:szCs w:val="24"/>
                <w:lang w:val="ru-MD"/>
              </w:rPr>
              <w:t>Банк развития Совета Европы</w:t>
            </w:r>
          </w:p>
        </w:tc>
      </w:tr>
      <w:tr w:rsidR="00694821" w:rsidRPr="00EC5A7B" w14:paraId="310DD6B9" w14:textId="77777777" w:rsidTr="00EC5A7B">
        <w:trPr>
          <w:trHeight w:val="258"/>
        </w:trPr>
        <w:tc>
          <w:tcPr>
            <w:tcW w:w="1577" w:type="dxa"/>
          </w:tcPr>
          <w:p w14:paraId="30B17F3B" w14:textId="3120B833" w:rsidR="00694821" w:rsidRPr="00EC5A7B" w:rsidRDefault="00AB325E" w:rsidP="003160B2">
            <w:pPr>
              <w:spacing w:after="0" w:line="240" w:lineRule="auto"/>
              <w:rPr>
                <w:rFonts w:asciiTheme="majorHAnsi" w:hAnsiTheme="majorHAnsi" w:cstheme="majorHAnsi"/>
                <w:bCs/>
                <w:sz w:val="24"/>
                <w:szCs w:val="24"/>
                <w:lang w:val="ru-MD"/>
              </w:rPr>
            </w:pPr>
            <w:r w:rsidRPr="00EC5A7B">
              <w:rPr>
                <w:rFonts w:asciiTheme="majorHAnsi" w:hAnsiTheme="majorHAnsi" w:cstheme="majorHAnsi"/>
                <w:sz w:val="24"/>
                <w:szCs w:val="24"/>
                <w:lang w:val="ru-MD"/>
              </w:rPr>
              <w:t>МБРР</w:t>
            </w:r>
          </w:p>
        </w:tc>
        <w:tc>
          <w:tcPr>
            <w:tcW w:w="7184" w:type="dxa"/>
          </w:tcPr>
          <w:p w14:paraId="246AD22D" w14:textId="11E2A247" w:rsidR="00694821" w:rsidRPr="00EC5A7B" w:rsidRDefault="00AB325E" w:rsidP="003160B2">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sz w:val="24"/>
                <w:szCs w:val="24"/>
                <w:lang w:val="ru-MD"/>
              </w:rPr>
              <w:t>Европейский банк реконструкции и развития</w:t>
            </w:r>
          </w:p>
        </w:tc>
      </w:tr>
      <w:tr w:rsidR="00CD6B12" w:rsidRPr="00EC5A7B" w14:paraId="591C3783" w14:textId="77777777" w:rsidTr="00EC5A7B">
        <w:trPr>
          <w:trHeight w:val="258"/>
        </w:trPr>
        <w:tc>
          <w:tcPr>
            <w:tcW w:w="1577" w:type="dxa"/>
          </w:tcPr>
          <w:p w14:paraId="7AF350E5" w14:textId="4D3489F0" w:rsidR="00CD6B12" w:rsidRPr="00EC5A7B" w:rsidRDefault="00AB325E" w:rsidP="00AB325E">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t>ЕИБ</w:t>
            </w:r>
          </w:p>
        </w:tc>
        <w:tc>
          <w:tcPr>
            <w:tcW w:w="7184" w:type="dxa"/>
          </w:tcPr>
          <w:p w14:paraId="63734B4A" w14:textId="64EB9F17" w:rsidR="00CD6B12" w:rsidRPr="00EC5A7B" w:rsidRDefault="00AB325E" w:rsidP="003160B2">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sz w:val="24"/>
                <w:szCs w:val="24"/>
                <w:lang w:val="ru-MD"/>
              </w:rPr>
              <w:t>Европейский инвестиционный банк</w:t>
            </w:r>
          </w:p>
        </w:tc>
      </w:tr>
      <w:tr w:rsidR="00694821" w:rsidRPr="00EC5A7B" w14:paraId="717E474C" w14:textId="77777777" w:rsidTr="00EC5A7B">
        <w:trPr>
          <w:trHeight w:val="270"/>
        </w:trPr>
        <w:tc>
          <w:tcPr>
            <w:tcW w:w="1577" w:type="dxa"/>
          </w:tcPr>
          <w:p w14:paraId="2A8A906E" w14:textId="557A1261" w:rsidR="00694821" w:rsidRPr="00EC5A7B" w:rsidRDefault="00AB325E" w:rsidP="00AB325E">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t>МБРР</w:t>
            </w:r>
          </w:p>
        </w:tc>
        <w:tc>
          <w:tcPr>
            <w:tcW w:w="7184" w:type="dxa"/>
          </w:tcPr>
          <w:p w14:paraId="20D39EC2" w14:textId="2F55464C" w:rsidR="00694821" w:rsidRPr="00EC5A7B" w:rsidRDefault="00AB325E" w:rsidP="003160B2">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sz w:val="24"/>
                <w:szCs w:val="24"/>
                <w:lang w:val="ru-MD"/>
              </w:rPr>
              <w:t>Международный банк реконструкции и развития</w:t>
            </w:r>
          </w:p>
        </w:tc>
      </w:tr>
      <w:tr w:rsidR="00694821" w:rsidRPr="00EC5A7B" w14:paraId="7DE7F13E" w14:textId="77777777" w:rsidTr="00EC5A7B">
        <w:trPr>
          <w:trHeight w:val="258"/>
        </w:trPr>
        <w:tc>
          <w:tcPr>
            <w:tcW w:w="1577" w:type="dxa"/>
          </w:tcPr>
          <w:p w14:paraId="1482321D" w14:textId="219A1F0F" w:rsidR="00694821" w:rsidRPr="00EC5A7B" w:rsidRDefault="00AB325E" w:rsidP="003160B2">
            <w:pPr>
              <w:spacing w:after="0" w:line="240" w:lineRule="auto"/>
              <w:rPr>
                <w:rFonts w:asciiTheme="majorHAnsi" w:hAnsiTheme="majorHAnsi" w:cstheme="majorHAnsi"/>
                <w:bCs/>
                <w:sz w:val="24"/>
                <w:szCs w:val="24"/>
                <w:lang w:val="ru-MD"/>
              </w:rPr>
            </w:pPr>
            <w:r w:rsidRPr="00EC5A7B">
              <w:rPr>
                <w:rFonts w:asciiTheme="majorHAnsi" w:hAnsiTheme="majorHAnsi" w:cstheme="majorHAnsi"/>
                <w:bCs/>
                <w:sz w:val="24"/>
                <w:szCs w:val="24"/>
                <w:lang w:val="ru-MD"/>
              </w:rPr>
              <w:t>ВБ</w:t>
            </w:r>
          </w:p>
        </w:tc>
        <w:tc>
          <w:tcPr>
            <w:tcW w:w="7184" w:type="dxa"/>
          </w:tcPr>
          <w:p w14:paraId="61C92D9E" w14:textId="1CCBAC2F" w:rsidR="00694821" w:rsidRPr="00EC5A7B" w:rsidRDefault="00AB325E" w:rsidP="003160B2">
            <w:pPr>
              <w:spacing w:after="0" w:line="240" w:lineRule="auto"/>
              <w:jc w:val="both"/>
              <w:rPr>
                <w:rFonts w:asciiTheme="majorHAnsi" w:hAnsiTheme="majorHAnsi" w:cstheme="majorHAnsi"/>
                <w:bCs/>
                <w:sz w:val="24"/>
                <w:szCs w:val="24"/>
                <w:lang w:val="ru-MD"/>
              </w:rPr>
            </w:pPr>
            <w:r w:rsidRPr="00EC5A7B">
              <w:rPr>
                <w:rFonts w:asciiTheme="majorHAnsi" w:hAnsiTheme="majorHAnsi" w:cstheme="majorHAnsi"/>
                <w:sz w:val="24"/>
                <w:szCs w:val="24"/>
                <w:lang w:val="ru-MD"/>
              </w:rPr>
              <w:t>Всемирный банк</w:t>
            </w:r>
          </w:p>
        </w:tc>
      </w:tr>
      <w:tr w:rsidR="00AB325E" w:rsidRPr="00EC5A7B" w14:paraId="0DD942B2" w14:textId="77777777" w:rsidTr="00EC5A7B">
        <w:trPr>
          <w:trHeight w:val="5000"/>
        </w:trPr>
        <w:tc>
          <w:tcPr>
            <w:tcW w:w="1577" w:type="dxa"/>
          </w:tcPr>
          <w:p w14:paraId="44686BD9" w14:textId="32C41BD0" w:rsidR="00AB325E" w:rsidRPr="00EC5A7B" w:rsidRDefault="00AB325E"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ЯАМС</w:t>
            </w:r>
          </w:p>
          <w:p w14:paraId="74508910" w14:textId="2AF71145" w:rsidR="00A81220" w:rsidRPr="00EC5A7B" w:rsidRDefault="00A81220"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МФ</w:t>
            </w:r>
          </w:p>
          <w:p w14:paraId="5A8B99E9" w14:textId="76FE7761" w:rsidR="00A81220" w:rsidRPr="00EC5A7B" w:rsidRDefault="00A81220"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bCs/>
                <w:sz w:val="24"/>
                <w:szCs w:val="24"/>
                <w:lang w:val="ru-MD"/>
              </w:rPr>
              <w:t>ОРМСП</w:t>
            </w:r>
          </w:p>
          <w:p w14:paraId="27D2B09D" w14:textId="7394C353" w:rsidR="00A81220" w:rsidRPr="00EC5A7B" w:rsidRDefault="00A81220"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ГО</w:t>
            </w:r>
          </w:p>
          <w:p w14:paraId="5BF874E9" w14:textId="7929144B" w:rsidR="00A81220"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ВВП</w:t>
            </w:r>
          </w:p>
          <w:p w14:paraId="48398B48" w14:textId="7FACD729" w:rsidR="00A81220"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РМ</w:t>
            </w:r>
          </w:p>
          <w:p w14:paraId="7A25A899" w14:textId="54DF48A5" w:rsidR="00A81220"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АО</w:t>
            </w:r>
          </w:p>
          <w:p w14:paraId="32B48EF0" w14:textId="0B8938D2"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ИС</w:t>
            </w:r>
          </w:p>
          <w:p w14:paraId="7483B89F" w14:textId="59BA6112"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ООО</w:t>
            </w:r>
          </w:p>
          <w:p w14:paraId="0FA62244" w14:textId="77C0378B"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АТЕ</w:t>
            </w:r>
          </w:p>
          <w:p w14:paraId="2C1B1A10" w14:textId="225C14DB"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ОПВП МФСР</w:t>
            </w:r>
          </w:p>
          <w:p w14:paraId="385534D5" w14:textId="77777777" w:rsidR="00E90466" w:rsidRPr="00EC5A7B" w:rsidRDefault="00E90466" w:rsidP="00AB325E">
            <w:pPr>
              <w:spacing w:after="0" w:line="240" w:lineRule="auto"/>
              <w:contextualSpacing/>
              <w:rPr>
                <w:rFonts w:asciiTheme="majorHAnsi" w:hAnsiTheme="majorHAnsi" w:cstheme="majorHAnsi"/>
                <w:sz w:val="24"/>
                <w:szCs w:val="24"/>
                <w:lang w:val="ru-MD"/>
              </w:rPr>
            </w:pPr>
          </w:p>
          <w:p w14:paraId="5DD9C1A1" w14:textId="66A8570C"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ЕС</w:t>
            </w:r>
          </w:p>
          <w:p w14:paraId="6C4D51B0" w14:textId="0151988B" w:rsidR="00E90466" w:rsidRPr="00EC5A7B" w:rsidRDefault="00E90466"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КООНТР</w:t>
            </w:r>
          </w:p>
          <w:p w14:paraId="59D4B6B0" w14:textId="77777777" w:rsidR="00E90466" w:rsidRPr="00EC5A7B" w:rsidRDefault="00E90466" w:rsidP="00AB325E">
            <w:pPr>
              <w:spacing w:after="0" w:line="240" w:lineRule="auto"/>
              <w:contextualSpacing/>
              <w:rPr>
                <w:rFonts w:asciiTheme="majorHAnsi" w:hAnsiTheme="majorHAnsi" w:cstheme="majorHAnsi"/>
                <w:sz w:val="24"/>
                <w:szCs w:val="24"/>
                <w:lang w:val="ru-MD"/>
              </w:rPr>
            </w:pPr>
          </w:p>
          <w:p w14:paraId="6ED7613B" w14:textId="43F9DF96" w:rsidR="00E90466" w:rsidRPr="00EC5A7B" w:rsidRDefault="000E7D38" w:rsidP="00AB325E">
            <w:pPr>
              <w:spacing w:after="0" w:line="240" w:lineRule="auto"/>
              <w:contextualSpacing/>
              <w:rPr>
                <w:rFonts w:asciiTheme="majorHAnsi" w:hAnsiTheme="majorHAnsi" w:cstheme="majorHAnsi"/>
                <w:sz w:val="24"/>
                <w:szCs w:val="24"/>
                <w:lang w:val="ru-MD"/>
              </w:rPr>
            </w:pPr>
            <w:r w:rsidRPr="00EC5A7B">
              <w:rPr>
                <w:rFonts w:asciiTheme="majorHAnsi" w:hAnsiTheme="majorHAnsi" w:cstheme="majorHAnsi"/>
                <w:sz w:val="24"/>
                <w:szCs w:val="24"/>
                <w:lang w:val="ru-MD"/>
              </w:rPr>
              <w:t>ГЦБ</w:t>
            </w:r>
          </w:p>
          <w:p w14:paraId="4130A7D6" w14:textId="77777777" w:rsidR="00E90466" w:rsidRPr="00EC5A7B" w:rsidRDefault="00E90466" w:rsidP="00AB325E">
            <w:pPr>
              <w:spacing w:after="0" w:line="240" w:lineRule="auto"/>
              <w:contextualSpacing/>
              <w:rPr>
                <w:rFonts w:asciiTheme="majorHAnsi" w:hAnsiTheme="majorHAnsi" w:cstheme="majorHAnsi"/>
                <w:sz w:val="24"/>
                <w:szCs w:val="24"/>
                <w:lang w:val="ru-MD"/>
              </w:rPr>
            </w:pPr>
          </w:p>
          <w:p w14:paraId="16438C39" w14:textId="77777777" w:rsidR="000E7D38" w:rsidRPr="00EC5A7B" w:rsidRDefault="000E7D38" w:rsidP="00AB325E">
            <w:pPr>
              <w:spacing w:after="0" w:line="240" w:lineRule="auto"/>
              <w:contextualSpacing/>
              <w:rPr>
                <w:rFonts w:asciiTheme="majorHAnsi" w:hAnsiTheme="majorHAnsi" w:cstheme="majorHAnsi"/>
                <w:sz w:val="24"/>
                <w:szCs w:val="24"/>
                <w:lang w:val="ru-MD"/>
              </w:rPr>
            </w:pPr>
          </w:p>
          <w:p w14:paraId="461ED87A" w14:textId="1A8BE3AE" w:rsidR="00AB325E" w:rsidRPr="00EC5A7B" w:rsidRDefault="00AB325E" w:rsidP="00AB325E">
            <w:pPr>
              <w:spacing w:after="0" w:line="240" w:lineRule="auto"/>
              <w:contextualSpacing/>
              <w:rPr>
                <w:rFonts w:asciiTheme="majorHAnsi" w:hAnsiTheme="majorHAnsi" w:cstheme="majorHAnsi"/>
                <w:bCs/>
                <w:sz w:val="24"/>
                <w:szCs w:val="24"/>
                <w:lang w:val="ru-MD"/>
              </w:rPr>
            </w:pPr>
          </w:p>
        </w:tc>
        <w:tc>
          <w:tcPr>
            <w:tcW w:w="7184" w:type="dxa"/>
          </w:tcPr>
          <w:p w14:paraId="64BFC593" w14:textId="11BE8932" w:rsidR="00AB325E" w:rsidRPr="00EC5A7B" w:rsidRDefault="00AB325E"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Японское агентство по международному сотрудничеству</w:t>
            </w:r>
          </w:p>
          <w:p w14:paraId="70780779" w14:textId="08DF0F21" w:rsidR="00A81220" w:rsidRPr="00EC5A7B" w:rsidRDefault="00A81220"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sz w:val="24"/>
                <w:szCs w:val="24"/>
                <w:lang w:val="ru-MD"/>
              </w:rPr>
              <w:t xml:space="preserve">Министерство финансов </w:t>
            </w:r>
            <w:r w:rsidRPr="00EC5A7B">
              <w:rPr>
                <w:rFonts w:asciiTheme="majorHAnsi" w:hAnsiTheme="majorHAnsi" w:cstheme="majorHAnsi"/>
                <w:sz w:val="24"/>
                <w:szCs w:val="24"/>
                <w:lang w:val="ru-MD"/>
              </w:rPr>
              <w:t xml:space="preserve"> </w:t>
            </w:r>
          </w:p>
          <w:p w14:paraId="52D29137" w14:textId="7234A5E9" w:rsidR="00A81220" w:rsidRPr="00EC5A7B" w:rsidRDefault="00A81220"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bCs/>
                <w:color w:val="000000"/>
                <w:sz w:val="24"/>
                <w:szCs w:val="24"/>
                <w:lang w:val="ru-MD"/>
              </w:rPr>
              <w:t>Организация по развитию малого и среднего предпринимательства</w:t>
            </w:r>
          </w:p>
          <w:p w14:paraId="6E622193" w14:textId="252AE31B" w:rsidR="00A81220" w:rsidRPr="00EC5A7B" w:rsidRDefault="00A81220"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Государственные облигации</w:t>
            </w:r>
          </w:p>
          <w:p w14:paraId="10B1887C" w14:textId="77777777" w:rsidR="00A81220" w:rsidRPr="00EC5A7B" w:rsidRDefault="00A81220" w:rsidP="00A81220">
            <w:pPr>
              <w:pStyle w:val="No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Валовой внутренний продукт</w:t>
            </w:r>
          </w:p>
          <w:p w14:paraId="18BE8855" w14:textId="4713EBCB" w:rsidR="00A81220"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Республика Молдова</w:t>
            </w:r>
          </w:p>
          <w:p w14:paraId="1B6DBD3E" w14:textId="05975052" w:rsidR="00A81220"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Акционерное общество</w:t>
            </w:r>
          </w:p>
          <w:p w14:paraId="111BEDB5" w14:textId="103B9070"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bCs/>
                <w:sz w:val="24"/>
                <w:szCs w:val="24"/>
                <w:lang w:val="ru-MD" w:eastAsia="ro-RO"/>
              </w:rPr>
              <w:t>Информационная система</w:t>
            </w:r>
          </w:p>
          <w:p w14:paraId="7F3FDA7E" w14:textId="13B44AD2"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Общество с ограниченной ответственностью</w:t>
            </w:r>
          </w:p>
          <w:p w14:paraId="3F6F1388" w14:textId="0C256E65"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Административная территориальная единица</w:t>
            </w:r>
          </w:p>
          <w:p w14:paraId="485B84B3" w14:textId="38EB0C41"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 xml:space="preserve">Объединенное подразделение по внедрению программ Международного фонда сельскохозяйственного развития  </w:t>
            </w:r>
          </w:p>
          <w:p w14:paraId="2C41F960" w14:textId="5932D822"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Европейский союз</w:t>
            </w:r>
          </w:p>
          <w:p w14:paraId="2AB8115A" w14:textId="02A64160" w:rsidR="00E90466" w:rsidRPr="00EC5A7B" w:rsidRDefault="00E90466" w:rsidP="00AB325E">
            <w:pPr>
              <w:spacing w:after="0" w:line="240"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Конференция Организации объединенных наций по торговле и развитию</w:t>
            </w:r>
          </w:p>
          <w:p w14:paraId="702E412A" w14:textId="77777777" w:rsidR="000E7D38" w:rsidRPr="00EC5A7B" w:rsidRDefault="000E7D38" w:rsidP="000E7D38">
            <w:pPr>
              <w:pStyle w:val="No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Государственные ценные бумаги</w:t>
            </w:r>
          </w:p>
          <w:p w14:paraId="3F26BF57" w14:textId="38F86412" w:rsidR="00E90466" w:rsidRPr="00EC5A7B" w:rsidRDefault="00E90466" w:rsidP="00AB325E">
            <w:pPr>
              <w:spacing w:after="0" w:line="240" w:lineRule="auto"/>
              <w:contextualSpacing/>
              <w:jc w:val="both"/>
              <w:rPr>
                <w:rFonts w:asciiTheme="majorHAnsi" w:hAnsiTheme="majorHAnsi" w:cstheme="majorHAnsi"/>
                <w:sz w:val="24"/>
                <w:szCs w:val="24"/>
                <w:lang w:val="ru-MD"/>
              </w:rPr>
            </w:pPr>
          </w:p>
          <w:p w14:paraId="2C23CCC0" w14:textId="77777777" w:rsidR="00E90466" w:rsidRPr="00EC5A7B" w:rsidRDefault="00E90466" w:rsidP="00AB325E">
            <w:pPr>
              <w:spacing w:after="0" w:line="240" w:lineRule="auto"/>
              <w:contextualSpacing/>
              <w:jc w:val="both"/>
              <w:rPr>
                <w:rFonts w:asciiTheme="majorHAnsi" w:hAnsiTheme="majorHAnsi" w:cstheme="majorHAnsi"/>
                <w:sz w:val="24"/>
                <w:szCs w:val="24"/>
                <w:lang w:val="ru-MD"/>
              </w:rPr>
            </w:pPr>
          </w:p>
          <w:p w14:paraId="28638B07" w14:textId="174E1983" w:rsidR="00AB325E" w:rsidRPr="00EC5A7B" w:rsidRDefault="00AB325E" w:rsidP="00AB325E">
            <w:pPr>
              <w:spacing w:after="0" w:line="240" w:lineRule="auto"/>
              <w:contextualSpacing/>
              <w:jc w:val="both"/>
              <w:rPr>
                <w:rFonts w:asciiTheme="majorHAnsi" w:hAnsiTheme="majorHAnsi" w:cstheme="majorHAnsi"/>
                <w:bCs/>
                <w:sz w:val="24"/>
                <w:szCs w:val="24"/>
                <w:lang w:val="ru-MD"/>
              </w:rPr>
            </w:pPr>
          </w:p>
        </w:tc>
      </w:tr>
      <w:tr w:rsidR="000E7D38" w:rsidRPr="00EC5A7B" w14:paraId="643FF744" w14:textId="77777777" w:rsidTr="00EC5A7B">
        <w:trPr>
          <w:trHeight w:val="258"/>
        </w:trPr>
        <w:tc>
          <w:tcPr>
            <w:tcW w:w="1577" w:type="dxa"/>
          </w:tcPr>
          <w:p w14:paraId="399CB104" w14:textId="77777777" w:rsidR="000E7D38" w:rsidRPr="00EC5A7B" w:rsidRDefault="000E7D38" w:rsidP="00AB325E">
            <w:pPr>
              <w:spacing w:after="0" w:line="240" w:lineRule="auto"/>
              <w:contextualSpacing/>
              <w:rPr>
                <w:rFonts w:asciiTheme="majorHAnsi" w:hAnsiTheme="majorHAnsi" w:cstheme="majorHAnsi"/>
                <w:sz w:val="24"/>
                <w:szCs w:val="24"/>
                <w:lang w:val="ru-MD"/>
              </w:rPr>
            </w:pPr>
          </w:p>
        </w:tc>
        <w:tc>
          <w:tcPr>
            <w:tcW w:w="7184" w:type="dxa"/>
          </w:tcPr>
          <w:p w14:paraId="4B3FA8EA" w14:textId="77777777" w:rsidR="000E7D38" w:rsidRPr="00EC5A7B" w:rsidRDefault="000E7D38" w:rsidP="00AB325E">
            <w:pPr>
              <w:spacing w:after="0" w:line="240" w:lineRule="auto"/>
              <w:contextualSpacing/>
              <w:jc w:val="both"/>
              <w:rPr>
                <w:rFonts w:asciiTheme="majorHAnsi" w:hAnsiTheme="majorHAnsi" w:cstheme="majorHAnsi"/>
                <w:sz w:val="24"/>
                <w:szCs w:val="24"/>
                <w:lang w:val="ru-MD"/>
              </w:rPr>
            </w:pPr>
          </w:p>
        </w:tc>
      </w:tr>
      <w:tr w:rsidR="00AB325E" w:rsidRPr="00EC5A7B" w14:paraId="2361B8A3" w14:textId="77777777" w:rsidTr="00EC5A7B">
        <w:trPr>
          <w:trHeight w:val="270"/>
        </w:trPr>
        <w:tc>
          <w:tcPr>
            <w:tcW w:w="1577" w:type="dxa"/>
          </w:tcPr>
          <w:p w14:paraId="62E04E26" w14:textId="1E2FD4E6" w:rsidR="00AB325E" w:rsidRPr="00EC5A7B" w:rsidRDefault="00AB325E" w:rsidP="00AB325E">
            <w:pPr>
              <w:spacing w:after="0" w:line="240" w:lineRule="auto"/>
              <w:rPr>
                <w:rFonts w:asciiTheme="majorHAnsi" w:hAnsiTheme="majorHAnsi" w:cstheme="majorHAnsi"/>
                <w:bCs/>
                <w:sz w:val="24"/>
                <w:szCs w:val="24"/>
                <w:lang w:val="ru-MD"/>
              </w:rPr>
            </w:pPr>
          </w:p>
        </w:tc>
        <w:tc>
          <w:tcPr>
            <w:tcW w:w="7184" w:type="dxa"/>
          </w:tcPr>
          <w:p w14:paraId="5222FD71" w14:textId="767D891C" w:rsidR="00AB325E" w:rsidRPr="00EC5A7B" w:rsidRDefault="00AB325E" w:rsidP="00AB325E">
            <w:pPr>
              <w:spacing w:after="0" w:line="240" w:lineRule="auto"/>
              <w:jc w:val="both"/>
              <w:rPr>
                <w:rFonts w:asciiTheme="majorHAnsi" w:hAnsiTheme="majorHAnsi" w:cstheme="majorHAnsi"/>
                <w:bCs/>
                <w:sz w:val="24"/>
                <w:szCs w:val="24"/>
                <w:lang w:val="ru-MD"/>
              </w:rPr>
            </w:pPr>
          </w:p>
        </w:tc>
      </w:tr>
      <w:tr w:rsidR="00AB325E" w:rsidRPr="00EC5A7B" w14:paraId="51D00760" w14:textId="77777777" w:rsidTr="00EC5A7B">
        <w:trPr>
          <w:trHeight w:val="258"/>
        </w:trPr>
        <w:tc>
          <w:tcPr>
            <w:tcW w:w="1577" w:type="dxa"/>
          </w:tcPr>
          <w:p w14:paraId="76F4FDDC" w14:textId="0960CB91" w:rsidR="00AB325E" w:rsidRPr="00EC5A7B" w:rsidRDefault="00AB325E" w:rsidP="00AB325E">
            <w:pPr>
              <w:spacing w:after="0" w:line="240" w:lineRule="auto"/>
              <w:rPr>
                <w:rFonts w:asciiTheme="majorHAnsi" w:hAnsiTheme="majorHAnsi" w:cstheme="majorHAnsi"/>
                <w:bCs/>
                <w:sz w:val="24"/>
                <w:szCs w:val="24"/>
                <w:lang w:val="ru-MD"/>
              </w:rPr>
            </w:pPr>
          </w:p>
        </w:tc>
        <w:tc>
          <w:tcPr>
            <w:tcW w:w="7184" w:type="dxa"/>
          </w:tcPr>
          <w:p w14:paraId="2FBBC70D" w14:textId="4901F128" w:rsidR="00AB325E" w:rsidRPr="00EC5A7B" w:rsidRDefault="00AB325E" w:rsidP="00AB325E">
            <w:pPr>
              <w:spacing w:after="0" w:line="240" w:lineRule="auto"/>
              <w:jc w:val="both"/>
              <w:rPr>
                <w:rFonts w:asciiTheme="majorHAnsi" w:hAnsiTheme="majorHAnsi" w:cstheme="majorHAnsi"/>
                <w:bCs/>
                <w:sz w:val="24"/>
                <w:szCs w:val="24"/>
                <w:lang w:val="ru-MD"/>
              </w:rPr>
            </w:pPr>
          </w:p>
        </w:tc>
      </w:tr>
      <w:tr w:rsidR="00AB325E" w:rsidRPr="00EC5A7B" w14:paraId="64F2859D" w14:textId="77777777" w:rsidTr="00EC5A7B">
        <w:trPr>
          <w:trHeight w:val="258"/>
        </w:trPr>
        <w:tc>
          <w:tcPr>
            <w:tcW w:w="1577" w:type="dxa"/>
          </w:tcPr>
          <w:p w14:paraId="34B7DCEB" w14:textId="616E2116" w:rsidR="00AB325E" w:rsidRPr="00EC5A7B" w:rsidRDefault="00AB325E" w:rsidP="00AB325E">
            <w:pPr>
              <w:spacing w:after="0" w:line="240" w:lineRule="auto"/>
              <w:rPr>
                <w:rFonts w:asciiTheme="majorHAnsi" w:hAnsiTheme="majorHAnsi" w:cstheme="majorHAnsi"/>
                <w:bCs/>
                <w:sz w:val="24"/>
                <w:szCs w:val="24"/>
                <w:lang w:val="ru-MD"/>
              </w:rPr>
            </w:pPr>
          </w:p>
        </w:tc>
        <w:tc>
          <w:tcPr>
            <w:tcW w:w="7184" w:type="dxa"/>
          </w:tcPr>
          <w:p w14:paraId="0CA3048E" w14:textId="4DBFDA92" w:rsidR="00AB325E" w:rsidRPr="00EC5A7B" w:rsidRDefault="00AB325E" w:rsidP="00AB325E">
            <w:pPr>
              <w:spacing w:after="0" w:line="240" w:lineRule="auto"/>
              <w:jc w:val="both"/>
              <w:rPr>
                <w:rFonts w:asciiTheme="majorHAnsi" w:hAnsiTheme="majorHAnsi" w:cstheme="majorHAnsi"/>
                <w:bCs/>
                <w:sz w:val="24"/>
                <w:szCs w:val="24"/>
                <w:lang w:val="ru-MD"/>
              </w:rPr>
            </w:pPr>
          </w:p>
        </w:tc>
      </w:tr>
      <w:tr w:rsidR="00AB325E" w:rsidRPr="00EC5A7B" w14:paraId="609833F2" w14:textId="77777777" w:rsidTr="00EC5A7B">
        <w:trPr>
          <w:trHeight w:val="270"/>
        </w:trPr>
        <w:tc>
          <w:tcPr>
            <w:tcW w:w="1577" w:type="dxa"/>
          </w:tcPr>
          <w:p w14:paraId="46FCC38F" w14:textId="58F837A9" w:rsidR="00AB325E" w:rsidRPr="00EC5A7B" w:rsidRDefault="00AB325E" w:rsidP="00AB325E">
            <w:pPr>
              <w:spacing w:after="0" w:line="240" w:lineRule="auto"/>
              <w:rPr>
                <w:rFonts w:asciiTheme="majorHAnsi" w:hAnsiTheme="majorHAnsi" w:cstheme="majorHAnsi"/>
                <w:bCs/>
                <w:sz w:val="24"/>
                <w:szCs w:val="24"/>
                <w:lang w:val="ru-MD"/>
              </w:rPr>
            </w:pPr>
          </w:p>
        </w:tc>
        <w:tc>
          <w:tcPr>
            <w:tcW w:w="7184" w:type="dxa"/>
          </w:tcPr>
          <w:p w14:paraId="69E71186" w14:textId="5430DFD7" w:rsidR="00AB325E" w:rsidRPr="00EC5A7B" w:rsidRDefault="00AB325E" w:rsidP="00AB325E">
            <w:pPr>
              <w:spacing w:after="0" w:line="240" w:lineRule="auto"/>
              <w:jc w:val="both"/>
              <w:rPr>
                <w:rFonts w:asciiTheme="majorHAnsi" w:hAnsiTheme="majorHAnsi" w:cstheme="majorHAnsi"/>
                <w:bCs/>
                <w:sz w:val="24"/>
                <w:szCs w:val="24"/>
                <w:lang w:val="ru-MD"/>
              </w:rPr>
            </w:pPr>
          </w:p>
        </w:tc>
      </w:tr>
      <w:tr w:rsidR="00AB325E" w:rsidRPr="00EC5A7B" w14:paraId="2C72CF4D" w14:textId="77777777" w:rsidTr="00EC5A7B">
        <w:trPr>
          <w:trHeight w:val="258"/>
        </w:trPr>
        <w:tc>
          <w:tcPr>
            <w:tcW w:w="1577" w:type="dxa"/>
          </w:tcPr>
          <w:p w14:paraId="4A0DA4D4" w14:textId="457C3319" w:rsidR="00AB325E" w:rsidRPr="00EC5A7B" w:rsidRDefault="00AB325E" w:rsidP="00AB325E">
            <w:pPr>
              <w:spacing w:after="0" w:line="240" w:lineRule="auto"/>
              <w:rPr>
                <w:rFonts w:asciiTheme="majorHAnsi" w:hAnsiTheme="majorHAnsi" w:cstheme="majorHAnsi"/>
                <w:bCs/>
                <w:sz w:val="24"/>
                <w:szCs w:val="24"/>
                <w:lang w:val="ru-MD"/>
              </w:rPr>
            </w:pPr>
          </w:p>
        </w:tc>
        <w:tc>
          <w:tcPr>
            <w:tcW w:w="7184" w:type="dxa"/>
          </w:tcPr>
          <w:p w14:paraId="087931A9" w14:textId="72081BE9" w:rsidR="00AB325E" w:rsidRPr="00EC5A7B" w:rsidRDefault="00AB325E" w:rsidP="00AB325E">
            <w:pPr>
              <w:spacing w:after="0" w:line="240" w:lineRule="auto"/>
              <w:jc w:val="both"/>
              <w:rPr>
                <w:rFonts w:asciiTheme="majorHAnsi" w:hAnsiTheme="majorHAnsi" w:cstheme="majorHAnsi"/>
                <w:bCs/>
                <w:sz w:val="24"/>
                <w:szCs w:val="24"/>
                <w:lang w:val="ru-MD"/>
              </w:rPr>
            </w:pPr>
          </w:p>
        </w:tc>
      </w:tr>
    </w:tbl>
    <w:p w14:paraId="017E5271" w14:textId="77777777" w:rsidR="00EC5A7B" w:rsidRDefault="00EC5A7B" w:rsidP="007A5C90">
      <w:pPr>
        <w:spacing w:after="0" w:line="276" w:lineRule="auto"/>
        <w:rPr>
          <w:rFonts w:asciiTheme="majorHAnsi" w:eastAsia="Times New Roman" w:hAnsiTheme="majorHAnsi" w:cstheme="majorHAnsi"/>
          <w:b/>
          <w:bCs/>
          <w:color w:val="5B9BD5" w:themeColor="accent1"/>
          <w:sz w:val="28"/>
          <w:szCs w:val="28"/>
          <w:lang w:val="ru-MD" w:eastAsia="ru-RU"/>
        </w:rPr>
      </w:pPr>
      <w:bookmarkStart w:id="2" w:name="_Toc16252939"/>
      <w:r>
        <w:rPr>
          <w:rFonts w:asciiTheme="majorHAnsi" w:eastAsia="Times New Roman" w:hAnsiTheme="majorHAnsi" w:cstheme="majorHAnsi"/>
          <w:b/>
          <w:bCs/>
          <w:color w:val="5B9BD5" w:themeColor="accent1"/>
          <w:sz w:val="28"/>
          <w:szCs w:val="28"/>
          <w:lang w:val="ru-MD" w:eastAsia="ru-RU"/>
        </w:rPr>
        <w:br w:type="page"/>
      </w:r>
    </w:p>
    <w:p w14:paraId="776377E0" w14:textId="4B9DD843" w:rsidR="005D4F65" w:rsidRPr="00EC5A7B" w:rsidRDefault="007A5C90" w:rsidP="007A5C90">
      <w:pPr>
        <w:spacing w:after="0" w:line="276" w:lineRule="auto"/>
        <w:rPr>
          <w:rFonts w:ascii="Times New Roman" w:hAnsi="Times New Roman"/>
          <w:sz w:val="28"/>
          <w:lang w:val="ru-MD"/>
        </w:rPr>
      </w:pPr>
      <w:r w:rsidRPr="00EC5A7B">
        <w:rPr>
          <w:rFonts w:asciiTheme="majorHAnsi" w:eastAsia="Times New Roman" w:hAnsiTheme="majorHAnsi" w:cstheme="majorHAnsi"/>
          <w:b/>
          <w:bCs/>
          <w:color w:val="5B9BD5" w:themeColor="accent1"/>
          <w:sz w:val="28"/>
          <w:szCs w:val="28"/>
          <w:lang w:val="ru-MD" w:eastAsia="ru-RU"/>
        </w:rPr>
        <w:lastRenderedPageBreak/>
        <w:t>ГЛОССАРИЙ</w:t>
      </w:r>
      <w:bookmarkEnd w:id="2"/>
      <w:r w:rsidRPr="00EC5A7B">
        <w:rPr>
          <w:rFonts w:asciiTheme="majorHAnsi" w:eastAsia="Times New Roman" w:hAnsiTheme="majorHAnsi" w:cstheme="majorHAnsi"/>
          <w:b/>
          <w:bCs/>
          <w:color w:val="5B9BD5" w:themeColor="accent1"/>
          <w:sz w:val="28"/>
          <w:szCs w:val="28"/>
          <w:lang w:val="ru-MD" w:eastAsia="ru-RU"/>
        </w:rPr>
        <w:t xml:space="preserve"> </w:t>
      </w:r>
    </w:p>
    <w:tbl>
      <w:tblPr>
        <w:tblW w:w="0" w:type="auto"/>
        <w:tblLook w:val="04A0" w:firstRow="1" w:lastRow="0" w:firstColumn="1" w:lastColumn="0" w:noHBand="0" w:noVBand="1"/>
      </w:tblPr>
      <w:tblGrid>
        <w:gridCol w:w="2748"/>
        <w:gridCol w:w="6596"/>
      </w:tblGrid>
      <w:tr w:rsidR="00B84F41" w:rsidRPr="00EC5A7B" w14:paraId="2982A4C2" w14:textId="77777777" w:rsidTr="00B84F41">
        <w:tc>
          <w:tcPr>
            <w:tcW w:w="2748" w:type="dxa"/>
          </w:tcPr>
          <w:p w14:paraId="3DFAC47C" w14:textId="65333FD2" w:rsidR="00B84F41" w:rsidRPr="00EC5A7B" w:rsidRDefault="00BA18A7" w:rsidP="00131233">
            <w:pPr>
              <w:spacing w:after="0" w:line="240" w:lineRule="auto"/>
              <w:ind w:hanging="18"/>
              <w:rPr>
                <w:rFonts w:asciiTheme="majorHAnsi" w:eastAsia="Times New Roman" w:hAnsiTheme="majorHAnsi" w:cstheme="majorHAnsi"/>
                <w:i/>
                <w:sz w:val="24"/>
                <w:szCs w:val="24"/>
                <w:lang w:val="ru-MD" w:eastAsia="ru-RU"/>
              </w:rPr>
            </w:pPr>
            <w:r w:rsidRPr="00EC5A7B">
              <w:rPr>
                <w:rFonts w:asciiTheme="majorHAnsi" w:hAnsiTheme="majorHAnsi" w:cstheme="majorHAnsi"/>
                <w:i/>
                <w:sz w:val="24"/>
                <w:szCs w:val="24"/>
                <w:lang w:val="ru-MD"/>
              </w:rPr>
              <w:t>Финансовая помощь (сотрудничество)</w:t>
            </w:r>
          </w:p>
        </w:tc>
        <w:tc>
          <w:tcPr>
            <w:tcW w:w="6596" w:type="dxa"/>
          </w:tcPr>
          <w:p w14:paraId="5850A97A" w14:textId="1566CCF4" w:rsidR="00B84F41" w:rsidRPr="00EC5A7B" w:rsidRDefault="00BA18A7"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 xml:space="preserve">финансовая поддержка в форме кредитов, грантов, в том числе поставки товаров и/или работ для </w:t>
            </w:r>
            <w:r w:rsidRPr="00EC5A7B">
              <w:rPr>
                <w:rFonts w:asciiTheme="majorHAnsi" w:hAnsiTheme="majorHAnsi" w:cstheme="majorHAnsi"/>
                <w:bCs/>
                <w:iCs/>
                <w:sz w:val="24"/>
                <w:szCs w:val="24"/>
                <w:lang w:val="ru-MD"/>
              </w:rPr>
              <w:t>внедрени</w:t>
            </w:r>
            <w:r w:rsidRPr="00EC5A7B">
              <w:rPr>
                <w:rFonts w:asciiTheme="majorHAnsi" w:hAnsiTheme="majorHAnsi" w:cstheme="majorHAnsi"/>
                <w:sz w:val="24"/>
                <w:szCs w:val="24"/>
                <w:lang w:val="ru-MD"/>
              </w:rPr>
              <w:t>я проектов/программ</w:t>
            </w:r>
            <w:r w:rsidR="00120647" w:rsidRPr="00EC5A7B">
              <w:rPr>
                <w:rFonts w:asciiTheme="majorHAnsi" w:hAnsiTheme="majorHAnsi" w:cstheme="majorHAnsi"/>
                <w:sz w:val="24"/>
                <w:szCs w:val="24"/>
                <w:lang w:val="ru-MD"/>
              </w:rPr>
              <w:t>;</w:t>
            </w:r>
          </w:p>
        </w:tc>
      </w:tr>
      <w:tr w:rsidR="00B84F41" w:rsidRPr="00EC5A7B" w14:paraId="08DCA77F" w14:textId="77777777" w:rsidTr="00B84F41">
        <w:tc>
          <w:tcPr>
            <w:tcW w:w="2748" w:type="dxa"/>
          </w:tcPr>
          <w:p w14:paraId="13F76E7C" w14:textId="00713C6A" w:rsidR="00B84F41" w:rsidRPr="00EC5A7B" w:rsidRDefault="00BA18A7" w:rsidP="00131233">
            <w:pPr>
              <w:spacing w:after="0" w:line="240" w:lineRule="auto"/>
              <w:ind w:hanging="18"/>
              <w:rPr>
                <w:rFonts w:asciiTheme="majorHAnsi" w:eastAsia="Times New Roman" w:hAnsiTheme="majorHAnsi" w:cstheme="majorHAnsi"/>
                <w:sz w:val="24"/>
                <w:szCs w:val="24"/>
                <w:lang w:val="ru-MD" w:eastAsia="ru-RU"/>
              </w:rPr>
            </w:pPr>
            <w:r w:rsidRPr="00EC5A7B">
              <w:rPr>
                <w:rFonts w:asciiTheme="majorHAnsi" w:hAnsiTheme="majorHAnsi" w:cstheme="majorHAnsi"/>
                <w:bCs/>
                <w:i/>
                <w:iCs/>
                <w:sz w:val="24"/>
                <w:szCs w:val="24"/>
                <w:lang w:val="ru-MD"/>
              </w:rPr>
              <w:t>Бенефициар</w:t>
            </w:r>
            <w:r w:rsidRPr="00EC5A7B">
              <w:rPr>
                <w:rFonts w:asciiTheme="majorHAnsi" w:hAnsiTheme="majorHAnsi"/>
                <w:i/>
                <w:iCs/>
                <w:sz w:val="24"/>
                <w:szCs w:val="24"/>
                <w:lang w:val="ru-MD"/>
              </w:rPr>
              <w:t xml:space="preserve"> </w:t>
            </w:r>
            <w:r w:rsidRPr="00EC5A7B">
              <w:rPr>
                <w:rFonts w:asciiTheme="majorHAnsi" w:hAnsiTheme="majorHAnsi" w:cstheme="majorHAnsi"/>
                <w:i/>
                <w:iCs/>
                <w:sz w:val="24"/>
                <w:szCs w:val="24"/>
                <w:lang w:val="ru-MD"/>
              </w:rPr>
              <w:t>рекредитирования</w:t>
            </w:r>
          </w:p>
        </w:tc>
        <w:tc>
          <w:tcPr>
            <w:tcW w:w="6596" w:type="dxa"/>
          </w:tcPr>
          <w:p w14:paraId="165653E1" w14:textId="13F1CD79" w:rsidR="00B84F41" w:rsidRPr="00EC5A7B" w:rsidRDefault="00BA18A7" w:rsidP="00120647">
            <w:pPr>
              <w:spacing w:after="0" w:line="240" w:lineRule="auto"/>
              <w:jc w:val="both"/>
              <w:rPr>
                <w:rFonts w:asciiTheme="majorHAnsi" w:eastAsia="Times New Roman" w:hAnsiTheme="majorHAnsi" w:cs="Times New Roman"/>
                <w:sz w:val="24"/>
                <w:szCs w:val="24"/>
                <w:lang w:val="ru-MD"/>
              </w:rPr>
            </w:pPr>
            <w:r w:rsidRPr="00EC5A7B">
              <w:rPr>
                <w:rFonts w:asciiTheme="majorHAnsi" w:hAnsiTheme="majorHAnsi"/>
                <w:sz w:val="24"/>
                <w:lang w:val="ru-MD"/>
              </w:rPr>
              <w:t xml:space="preserve">любое физическое или юридическое лицо, которое является конечным </w:t>
            </w:r>
            <w:r w:rsidRPr="00EC5A7B">
              <w:rPr>
                <w:rFonts w:asciiTheme="majorHAnsi" w:hAnsiTheme="majorHAnsi" w:cstheme="majorHAnsi"/>
                <w:bCs/>
                <w:sz w:val="24"/>
                <w:szCs w:val="24"/>
                <w:lang w:val="ru-MD" w:eastAsia="ru-RU"/>
              </w:rPr>
              <w:t>бенефициар</w:t>
            </w:r>
            <w:r w:rsidRPr="00EC5A7B">
              <w:rPr>
                <w:rFonts w:asciiTheme="majorHAnsi" w:hAnsiTheme="majorHAnsi"/>
                <w:sz w:val="24"/>
                <w:lang w:val="ru-MD"/>
              </w:rPr>
              <w:t xml:space="preserve">ом </w:t>
            </w:r>
            <w:r w:rsidRPr="00EC5A7B">
              <w:rPr>
                <w:rFonts w:asciiTheme="majorHAnsi" w:hAnsiTheme="majorHAnsi" w:cstheme="majorHAnsi"/>
                <w:sz w:val="24"/>
                <w:szCs w:val="24"/>
                <w:lang w:val="ru-MD"/>
              </w:rPr>
              <w:t>рекредитирован</w:t>
            </w:r>
            <w:r w:rsidRPr="00EC5A7B">
              <w:rPr>
                <w:rFonts w:asciiTheme="majorHAnsi" w:hAnsiTheme="majorHAnsi"/>
                <w:sz w:val="24"/>
                <w:lang w:val="ru-MD"/>
              </w:rPr>
              <w:t>ных средств</w:t>
            </w:r>
            <w:r w:rsidR="00120647" w:rsidRPr="00EC5A7B">
              <w:rPr>
                <w:rFonts w:asciiTheme="majorHAnsi" w:hAnsiTheme="majorHAnsi"/>
                <w:sz w:val="24"/>
                <w:lang w:val="ru-MD"/>
              </w:rPr>
              <w:t>;</w:t>
            </w:r>
            <w:r w:rsidR="00B84F41" w:rsidRPr="00EC5A7B">
              <w:rPr>
                <w:rFonts w:asciiTheme="majorHAnsi" w:eastAsia="Times New Roman" w:hAnsiTheme="majorHAnsi" w:cs="Times New Roman"/>
                <w:sz w:val="24"/>
                <w:lang w:val="ru-MD"/>
              </w:rPr>
              <w:t xml:space="preserve"> </w:t>
            </w:r>
          </w:p>
        </w:tc>
      </w:tr>
      <w:tr w:rsidR="00B84F41" w:rsidRPr="00EC5A7B" w14:paraId="14B50843" w14:textId="77777777" w:rsidTr="00B84F41">
        <w:tc>
          <w:tcPr>
            <w:tcW w:w="2748" w:type="dxa"/>
          </w:tcPr>
          <w:p w14:paraId="744EF75D" w14:textId="77777777" w:rsidR="00BA18A7" w:rsidRPr="00EC5A7B" w:rsidRDefault="00BA18A7" w:rsidP="00BA18A7">
            <w:pPr>
              <w:pStyle w:val="NoSpacing"/>
              <w:rPr>
                <w:rFonts w:asciiTheme="majorHAnsi" w:hAnsiTheme="majorHAnsi"/>
                <w:i/>
                <w:iCs/>
                <w:sz w:val="24"/>
                <w:szCs w:val="24"/>
                <w:lang w:val="ru-MD"/>
              </w:rPr>
            </w:pPr>
            <w:r w:rsidRPr="00EC5A7B">
              <w:rPr>
                <w:rFonts w:asciiTheme="majorHAnsi" w:hAnsiTheme="majorHAnsi"/>
                <w:i/>
                <w:iCs/>
                <w:sz w:val="24"/>
                <w:szCs w:val="24"/>
                <w:lang w:val="ru-MD"/>
              </w:rPr>
              <w:t>Договор государственной гарантии</w:t>
            </w:r>
          </w:p>
          <w:p w14:paraId="141274ED" w14:textId="249E9F38" w:rsidR="00B84F41" w:rsidRPr="00EC5A7B" w:rsidRDefault="00B84F41" w:rsidP="00B84F41">
            <w:pPr>
              <w:spacing w:after="0" w:line="240" w:lineRule="auto"/>
              <w:rPr>
                <w:rFonts w:asciiTheme="majorHAnsi" w:eastAsia="Times New Roman" w:hAnsiTheme="majorHAnsi" w:cs="Times New Roman"/>
                <w:i/>
                <w:iCs/>
                <w:sz w:val="24"/>
                <w:szCs w:val="24"/>
                <w:lang w:val="ru-MD" w:eastAsia="ru-RU"/>
              </w:rPr>
            </w:pPr>
          </w:p>
        </w:tc>
        <w:tc>
          <w:tcPr>
            <w:tcW w:w="6596" w:type="dxa"/>
          </w:tcPr>
          <w:p w14:paraId="231C6E02" w14:textId="5E4F0C75" w:rsidR="00B84F41" w:rsidRPr="00EC5A7B" w:rsidRDefault="00BA18A7" w:rsidP="00120647">
            <w:pPr>
              <w:spacing w:after="0" w:line="240" w:lineRule="auto"/>
              <w:jc w:val="both"/>
              <w:rPr>
                <w:rFonts w:asciiTheme="majorHAnsi" w:eastAsia="Times New Roman" w:hAnsiTheme="majorHAnsi" w:cs="Times New Roman"/>
                <w:sz w:val="24"/>
                <w:szCs w:val="24"/>
                <w:lang w:val="ru-MD"/>
              </w:rPr>
            </w:pPr>
            <w:r w:rsidRPr="00EC5A7B">
              <w:rPr>
                <w:rFonts w:asciiTheme="majorHAnsi" w:hAnsiTheme="majorHAnsi"/>
                <w:sz w:val="24"/>
                <w:lang w:val="ru-MD" w:eastAsia="ru-RU"/>
              </w:rPr>
              <w:t>Договор</w:t>
            </w:r>
            <w:r w:rsidRPr="00EC5A7B">
              <w:rPr>
                <w:rFonts w:asciiTheme="majorHAnsi" w:hAnsiTheme="majorHAnsi"/>
                <w:sz w:val="24"/>
                <w:lang w:val="ru-MD"/>
              </w:rPr>
              <w:t xml:space="preserve"> поручительства между государством и кредитором, посредством которого государство обязуется полностью или частично выплачивать кредитору долг гарантированного дебитора (физического лица </w:t>
            </w:r>
            <w:r w:rsidRPr="00EC5A7B">
              <w:rPr>
                <w:rFonts w:asciiTheme="majorHAnsi" w:hAnsiTheme="majorHAnsi" w:cstheme="majorHAnsi"/>
                <w:bCs/>
                <w:sz w:val="24"/>
                <w:szCs w:val="24"/>
                <w:lang w:val="ru-MD" w:eastAsia="ru-RU"/>
              </w:rPr>
              <w:t>бенефициар</w:t>
            </w:r>
            <w:r w:rsidRPr="00EC5A7B">
              <w:rPr>
                <w:rFonts w:asciiTheme="majorHAnsi" w:hAnsiTheme="majorHAnsi"/>
                <w:sz w:val="24"/>
                <w:lang w:val="ru-MD"/>
              </w:rPr>
              <w:t>а в рамках Программы</w:t>
            </w:r>
            <w:r w:rsidR="00120647" w:rsidRPr="00EC5A7B">
              <w:rPr>
                <w:rFonts w:asciiTheme="majorHAnsi" w:hAnsiTheme="majorHAnsi"/>
                <w:sz w:val="24"/>
                <w:lang w:val="ru-MD"/>
              </w:rPr>
              <w:t xml:space="preserve"> </w:t>
            </w:r>
            <w:r w:rsidRPr="00EC5A7B">
              <w:rPr>
                <w:rFonts w:asciiTheme="majorHAnsi" w:hAnsiTheme="majorHAnsi"/>
                <w:sz w:val="24"/>
                <w:lang w:val="ru-MD"/>
              </w:rPr>
              <w:t xml:space="preserve">,,Первый дом” или юридического лица, которое получило кредит под государственной гарантией), появившийся из внешнего или </w:t>
            </w:r>
            <w:r w:rsidRPr="00EC5A7B">
              <w:rPr>
                <w:rFonts w:asciiTheme="majorHAnsi" w:hAnsiTheme="majorHAnsi"/>
                <w:sz w:val="24"/>
                <w:lang w:val="ru-MD" w:eastAsia="ru-RU"/>
              </w:rPr>
              <w:t>внутренн</w:t>
            </w:r>
            <w:r w:rsidRPr="00EC5A7B">
              <w:rPr>
                <w:rFonts w:asciiTheme="majorHAnsi" w:hAnsiTheme="majorHAnsi"/>
                <w:sz w:val="24"/>
                <w:lang w:val="ru-MD"/>
              </w:rPr>
              <w:t xml:space="preserve">его займа в случае, когда гарантированный дебитор не исполняет свои </w:t>
            </w:r>
            <w:r w:rsidRPr="00EC5A7B">
              <w:rPr>
                <w:rFonts w:asciiTheme="majorHAnsi" w:hAnsiTheme="majorHAnsi" w:cstheme="majorHAnsi"/>
                <w:bCs/>
                <w:sz w:val="24"/>
                <w:lang w:val="ru-MD"/>
              </w:rPr>
              <w:t>обязательств</w:t>
            </w:r>
            <w:r w:rsidRPr="00EC5A7B">
              <w:rPr>
                <w:rFonts w:asciiTheme="majorHAnsi" w:hAnsiTheme="majorHAnsi"/>
                <w:sz w:val="24"/>
                <w:lang w:val="ru-MD"/>
              </w:rPr>
              <w:t>а перед кредитором</w:t>
            </w:r>
            <w:r w:rsidR="00120647" w:rsidRPr="00EC5A7B">
              <w:rPr>
                <w:rFonts w:asciiTheme="majorHAnsi" w:hAnsiTheme="majorHAnsi"/>
                <w:sz w:val="24"/>
                <w:lang w:val="ru-MD"/>
              </w:rPr>
              <w:t>;</w:t>
            </w:r>
            <w:r w:rsidR="00B84F41" w:rsidRPr="00EC5A7B">
              <w:rPr>
                <w:rFonts w:asciiTheme="majorHAnsi" w:eastAsia="Times New Roman" w:hAnsiTheme="majorHAnsi" w:cs="Times New Roman"/>
                <w:sz w:val="24"/>
                <w:lang w:val="ru-MD"/>
              </w:rPr>
              <w:t xml:space="preserve"> </w:t>
            </w:r>
          </w:p>
        </w:tc>
      </w:tr>
      <w:tr w:rsidR="00B84F41" w:rsidRPr="00EC5A7B" w14:paraId="15C22B7D" w14:textId="77777777" w:rsidTr="00B84F41">
        <w:tc>
          <w:tcPr>
            <w:tcW w:w="2748" w:type="dxa"/>
          </w:tcPr>
          <w:p w14:paraId="000ABB66" w14:textId="1DE13BD2" w:rsidR="00B84F41" w:rsidRPr="00EC5A7B" w:rsidRDefault="00BA18A7" w:rsidP="00B84F41">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t>Долг публичного сектора</w:t>
            </w:r>
          </w:p>
        </w:tc>
        <w:tc>
          <w:tcPr>
            <w:tcW w:w="6596" w:type="dxa"/>
          </w:tcPr>
          <w:p w14:paraId="36C3EF5A" w14:textId="7DC4539C" w:rsidR="00B84F41" w:rsidRPr="00EC5A7B" w:rsidRDefault="00BA18A7"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совокупность государственного долга, долга административно-территориальных единиц, долга Национального банка Молдовы, долга, вытекающего из внутренних и внешних займов государственных /муниципальных предприятий и коммерческих обществ с полностью или преимущественно публичным капиталом</w:t>
            </w:r>
            <w:r w:rsidR="00120647" w:rsidRPr="00EC5A7B">
              <w:rPr>
                <w:rFonts w:asciiTheme="majorHAnsi" w:hAnsiTheme="majorHAnsi" w:cstheme="majorHAnsi"/>
                <w:sz w:val="24"/>
                <w:szCs w:val="24"/>
                <w:lang w:val="ru-MD"/>
              </w:rPr>
              <w:t>;</w:t>
            </w:r>
          </w:p>
        </w:tc>
      </w:tr>
      <w:tr w:rsidR="00B84F41" w:rsidRPr="00EC5A7B" w14:paraId="572580A6" w14:textId="77777777" w:rsidTr="00B84F41">
        <w:tc>
          <w:tcPr>
            <w:tcW w:w="2748" w:type="dxa"/>
          </w:tcPr>
          <w:p w14:paraId="550B08B7" w14:textId="3748370F" w:rsidR="00B84F41" w:rsidRPr="00EC5A7B" w:rsidRDefault="00A30169" w:rsidP="00B84F41">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t>Государственный долг</w:t>
            </w:r>
          </w:p>
        </w:tc>
        <w:tc>
          <w:tcPr>
            <w:tcW w:w="6596" w:type="dxa"/>
          </w:tcPr>
          <w:p w14:paraId="235A3810" w14:textId="4C9B1E68" w:rsidR="00B84F41"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w:t>
            </w:r>
            <w:r w:rsidR="00120647" w:rsidRPr="00EC5A7B">
              <w:rPr>
                <w:rFonts w:asciiTheme="majorHAnsi" w:hAnsiTheme="majorHAnsi" w:cstheme="majorHAnsi"/>
                <w:sz w:val="24"/>
                <w:szCs w:val="24"/>
                <w:lang w:val="ru-MD"/>
              </w:rPr>
              <w:t>;</w:t>
            </w:r>
          </w:p>
        </w:tc>
      </w:tr>
      <w:tr w:rsidR="00B84F41" w:rsidRPr="00EC5A7B" w14:paraId="46847B9D" w14:textId="77777777" w:rsidTr="00B84F41">
        <w:trPr>
          <w:trHeight w:val="1888"/>
        </w:trPr>
        <w:tc>
          <w:tcPr>
            <w:tcW w:w="2748" w:type="dxa"/>
          </w:tcPr>
          <w:p w14:paraId="54C53B0B" w14:textId="32B9DD55" w:rsidR="00B84F41" w:rsidRPr="00EC5A7B" w:rsidRDefault="00A30169" w:rsidP="00B84F41">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t>Внешний государственный долг</w:t>
            </w:r>
          </w:p>
        </w:tc>
        <w:tc>
          <w:tcPr>
            <w:tcW w:w="6596" w:type="dxa"/>
          </w:tcPr>
          <w:p w14:paraId="2D76ED90" w14:textId="1FD28159" w:rsidR="00B84F41"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неотъемлемая часть государственного долга, представляющая собой 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Государственные ценные бумаги, выпущенные для размещения на международных финансовых рынках и приобретенные резидентами Республики Молдова, относятся к внешнему государственному долгу</w:t>
            </w:r>
            <w:r w:rsidR="00120647" w:rsidRPr="00EC5A7B">
              <w:rPr>
                <w:rFonts w:asciiTheme="majorHAnsi" w:hAnsiTheme="majorHAnsi" w:cstheme="majorHAnsi"/>
                <w:sz w:val="24"/>
                <w:szCs w:val="24"/>
                <w:lang w:val="ru-MD"/>
              </w:rPr>
              <w:t>;</w:t>
            </w:r>
            <w:r w:rsidR="00B84F41" w:rsidRPr="00EC5A7B">
              <w:rPr>
                <w:rFonts w:asciiTheme="majorHAnsi" w:eastAsia="Times New Roman" w:hAnsiTheme="majorHAnsi" w:cstheme="majorHAnsi"/>
                <w:sz w:val="24"/>
                <w:szCs w:val="24"/>
                <w:lang w:val="ru-MD" w:eastAsia="ru-RU"/>
              </w:rPr>
              <w:t xml:space="preserve"> </w:t>
            </w:r>
          </w:p>
        </w:tc>
      </w:tr>
      <w:tr w:rsidR="00B84F41" w:rsidRPr="00EC5A7B" w14:paraId="7D971822" w14:textId="77777777" w:rsidTr="00B84F41">
        <w:trPr>
          <w:trHeight w:val="1888"/>
        </w:trPr>
        <w:tc>
          <w:tcPr>
            <w:tcW w:w="2748" w:type="dxa"/>
          </w:tcPr>
          <w:p w14:paraId="638708C1" w14:textId="250BE82F" w:rsidR="00B84F41" w:rsidRPr="00EC5A7B" w:rsidRDefault="00A30169" w:rsidP="00B84F41">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cstheme="majorHAnsi"/>
                <w:i/>
                <w:iCs/>
                <w:sz w:val="24"/>
                <w:szCs w:val="24"/>
                <w:lang w:val="ru-MD"/>
              </w:rPr>
              <w:t>Внутренний государственный долг</w:t>
            </w:r>
          </w:p>
        </w:tc>
        <w:tc>
          <w:tcPr>
            <w:tcW w:w="6596" w:type="dxa"/>
          </w:tcPr>
          <w:p w14:paraId="4E67C255" w14:textId="762002AD" w:rsidR="00B84F41"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составная часть государственного долга, представляющая собой совокупность сумм не</w:t>
            </w:r>
            <w:r w:rsidRPr="00EC5A7B">
              <w:rPr>
                <w:rFonts w:asciiTheme="majorHAnsi" w:hAnsiTheme="majorHAnsi" w:cstheme="majorHAnsi"/>
                <w:bCs/>
                <w:iCs/>
                <w:sz w:val="24"/>
                <w:szCs w:val="24"/>
                <w:lang w:val="ru-MD" w:eastAsia="ro-RO"/>
              </w:rPr>
              <w:t xml:space="preserve">выполненных обязательств и задолженных и невыплаченных процентов, контрактованных от имени </w:t>
            </w:r>
            <w:r w:rsidRPr="00EC5A7B">
              <w:rPr>
                <w:rFonts w:asciiTheme="majorHAnsi" w:hAnsiTheme="majorHAnsi" w:cstheme="majorHAnsi"/>
                <w:bCs/>
                <w:iCs/>
                <w:sz w:val="24"/>
                <w:szCs w:val="24"/>
                <w:lang w:val="ru-MD"/>
              </w:rPr>
              <w:t xml:space="preserve">Республики Молдова Правительством, посредством </w:t>
            </w:r>
            <w:r w:rsidRPr="00EC5A7B">
              <w:rPr>
                <w:rFonts w:asciiTheme="majorHAnsi" w:hAnsiTheme="majorHAnsi"/>
                <w:bCs/>
                <w:iCs/>
                <w:sz w:val="24"/>
                <w:szCs w:val="24"/>
                <w:lang w:val="ru-MD"/>
              </w:rPr>
              <w:t>Министерства финансов, от резидентов Республики Молдова. Государственные ценные бумаги, выпущенные для размещения на внутреннем рынке Республики Молдова, которые закуплены нерезидентами, относятся к внутреннему государственному долгу</w:t>
            </w:r>
            <w:r w:rsidR="00120647" w:rsidRPr="00EC5A7B">
              <w:rPr>
                <w:rFonts w:asciiTheme="majorHAnsi" w:hAnsiTheme="majorHAnsi"/>
                <w:bCs/>
                <w:iCs/>
                <w:sz w:val="24"/>
                <w:szCs w:val="24"/>
                <w:lang w:val="ru-MD"/>
              </w:rPr>
              <w:t>;</w:t>
            </w:r>
          </w:p>
        </w:tc>
      </w:tr>
      <w:tr w:rsidR="00B84F41" w:rsidRPr="00EC5A7B" w14:paraId="7D5E3323" w14:textId="77777777" w:rsidTr="00B84F41">
        <w:tc>
          <w:tcPr>
            <w:tcW w:w="2748" w:type="dxa"/>
          </w:tcPr>
          <w:p w14:paraId="2885C7B7" w14:textId="10D910F9" w:rsidR="00B84F41" w:rsidRPr="00EC5A7B" w:rsidRDefault="00A30169" w:rsidP="00B84F41">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t>Обслуживание долга</w:t>
            </w:r>
          </w:p>
        </w:tc>
        <w:tc>
          <w:tcPr>
            <w:tcW w:w="6596" w:type="dxa"/>
          </w:tcPr>
          <w:p w14:paraId="2F4B7898" w14:textId="76C7A3F6" w:rsidR="00B84F41"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выплата основной суммы, процентов и прочих причитающихся сумм, предусмотренных договорами, на основании которых образовался долг</w:t>
            </w:r>
            <w:r w:rsidR="00120647" w:rsidRPr="00EC5A7B">
              <w:rPr>
                <w:rFonts w:asciiTheme="majorHAnsi" w:hAnsiTheme="majorHAnsi" w:cstheme="majorHAnsi"/>
                <w:sz w:val="24"/>
                <w:szCs w:val="24"/>
                <w:lang w:val="ru-MD"/>
              </w:rPr>
              <w:t>;</w:t>
            </w:r>
          </w:p>
        </w:tc>
      </w:tr>
      <w:tr w:rsidR="00131233" w:rsidRPr="00EC5A7B" w14:paraId="1C6B30BF" w14:textId="77777777" w:rsidTr="00B84F41">
        <w:tc>
          <w:tcPr>
            <w:tcW w:w="2748" w:type="dxa"/>
          </w:tcPr>
          <w:p w14:paraId="21DCB057" w14:textId="77777777" w:rsidR="00131233" w:rsidRPr="00EC5A7B" w:rsidRDefault="00131233" w:rsidP="00131233">
            <w:pPr>
              <w:spacing w:after="0" w:line="240" w:lineRule="auto"/>
              <w:rPr>
                <w:rFonts w:asciiTheme="majorHAnsi" w:eastAsia="Times New Roman" w:hAnsiTheme="majorHAnsi" w:cstheme="majorHAnsi"/>
                <w:i/>
                <w:sz w:val="24"/>
                <w:szCs w:val="24"/>
                <w:lang w:val="ru-MD" w:eastAsia="ru-RU"/>
              </w:rPr>
            </w:pPr>
            <w:r w:rsidRPr="00EC5A7B">
              <w:rPr>
                <w:rFonts w:asciiTheme="majorHAnsi" w:eastAsia="Times New Roman" w:hAnsiTheme="majorHAnsi" w:cstheme="majorHAnsi"/>
                <w:i/>
                <w:sz w:val="24"/>
                <w:szCs w:val="24"/>
                <w:lang w:val="ru-MD" w:eastAsia="ru-RU"/>
              </w:rPr>
              <w:t>EURIBOR</w:t>
            </w:r>
          </w:p>
        </w:tc>
        <w:tc>
          <w:tcPr>
            <w:tcW w:w="6596" w:type="dxa"/>
          </w:tcPr>
          <w:p w14:paraId="2A65BF5E" w14:textId="1C2F66BF" w:rsidR="00131233" w:rsidRPr="00EC5A7B" w:rsidRDefault="00D62C2E"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eastAsia="Times New Roman" w:hAnsiTheme="majorHAnsi" w:cstheme="majorHAnsi"/>
                <w:sz w:val="24"/>
                <w:szCs w:val="24"/>
                <w:lang w:val="ru-MD" w:eastAsia="ru-RU"/>
              </w:rPr>
              <w:t>усреднённая </w:t>
            </w:r>
            <w:hyperlink r:id="rId10" w:tooltip="Процентная ставка" w:history="1">
              <w:r w:rsidRPr="00EC5A7B">
                <w:rPr>
                  <w:rStyle w:val="Hyperlink"/>
                  <w:rFonts w:asciiTheme="majorHAnsi" w:eastAsia="Times New Roman" w:hAnsiTheme="majorHAnsi" w:cstheme="majorHAnsi"/>
                  <w:color w:val="auto"/>
                  <w:sz w:val="24"/>
                  <w:szCs w:val="24"/>
                  <w:u w:val="none"/>
                  <w:lang w:val="ru-MD" w:eastAsia="ru-RU"/>
                </w:rPr>
                <w:t>процентная ставка</w:t>
              </w:r>
            </w:hyperlink>
            <w:r w:rsidRPr="00EC5A7B">
              <w:rPr>
                <w:rFonts w:asciiTheme="majorHAnsi" w:eastAsia="Times New Roman" w:hAnsiTheme="majorHAnsi" w:cstheme="majorHAnsi"/>
                <w:sz w:val="24"/>
                <w:szCs w:val="24"/>
                <w:lang w:val="ru-MD" w:eastAsia="ru-RU"/>
              </w:rPr>
              <w:t> по межбанковским кредитам, предоставляемым в </w:t>
            </w:r>
            <w:hyperlink r:id="rId11" w:tooltip="Евро" w:history="1">
              <w:r w:rsidRPr="00EC5A7B">
                <w:rPr>
                  <w:rStyle w:val="Hyperlink"/>
                  <w:rFonts w:asciiTheme="majorHAnsi" w:eastAsia="Times New Roman" w:hAnsiTheme="majorHAnsi" w:cstheme="majorHAnsi"/>
                  <w:color w:val="auto"/>
                  <w:sz w:val="24"/>
                  <w:szCs w:val="24"/>
                  <w:u w:val="none"/>
                  <w:lang w:val="ru-MD" w:eastAsia="ru-RU"/>
                </w:rPr>
                <w:t>евро</w:t>
              </w:r>
            </w:hyperlink>
            <w:r w:rsidR="00120647" w:rsidRPr="00EC5A7B">
              <w:rPr>
                <w:rFonts w:asciiTheme="majorHAnsi" w:eastAsia="Times New Roman" w:hAnsiTheme="majorHAnsi" w:cstheme="majorHAnsi"/>
                <w:sz w:val="24"/>
                <w:szCs w:val="24"/>
                <w:lang w:val="ru-MD" w:eastAsia="ru-RU"/>
              </w:rPr>
              <w:t>;</w:t>
            </w:r>
          </w:p>
        </w:tc>
      </w:tr>
      <w:tr w:rsidR="00131233" w:rsidRPr="00EC5A7B" w14:paraId="1C6755E1" w14:textId="77777777" w:rsidTr="00B84F41">
        <w:tc>
          <w:tcPr>
            <w:tcW w:w="2748" w:type="dxa"/>
          </w:tcPr>
          <w:p w14:paraId="5739E0AF" w14:textId="223C103A" w:rsidR="00131233" w:rsidRPr="00EC5A7B" w:rsidRDefault="00A30169" w:rsidP="00131233">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i/>
                <w:iCs/>
                <w:sz w:val="24"/>
                <w:szCs w:val="24"/>
                <w:lang w:val="ru-MD"/>
              </w:rPr>
              <w:t>Государственная гарантия</w:t>
            </w:r>
          </w:p>
        </w:tc>
        <w:tc>
          <w:tcPr>
            <w:tcW w:w="6596" w:type="dxa"/>
          </w:tcPr>
          <w:p w14:paraId="626D767C" w14:textId="32D3F706" w:rsidR="00131233" w:rsidRPr="00EC5A7B" w:rsidRDefault="00A30169" w:rsidP="00120647">
            <w:pPr>
              <w:spacing w:after="0" w:line="240" w:lineRule="auto"/>
              <w:jc w:val="both"/>
              <w:rPr>
                <w:rFonts w:asciiTheme="majorHAnsi" w:eastAsia="Times New Roman" w:hAnsiTheme="majorHAnsi" w:cs="Times New Roman"/>
                <w:sz w:val="24"/>
                <w:szCs w:val="24"/>
                <w:lang w:val="ru-MD"/>
              </w:rPr>
            </w:pPr>
            <w:r w:rsidRPr="00EC5A7B">
              <w:rPr>
                <w:rFonts w:asciiTheme="majorHAnsi" w:hAnsiTheme="majorHAnsi"/>
                <w:sz w:val="24"/>
                <w:lang w:val="ru-MD"/>
              </w:rPr>
              <w:t>обязательство, взятое за счет и от имени государства Правительством, в качестве гаранта, по выплате невыполненных обязательств гарантированного дебитора</w:t>
            </w:r>
            <w:r w:rsidR="00120647" w:rsidRPr="00EC5A7B">
              <w:rPr>
                <w:rFonts w:asciiTheme="majorHAnsi" w:hAnsiTheme="majorHAnsi"/>
                <w:sz w:val="24"/>
                <w:lang w:val="ru-MD"/>
              </w:rPr>
              <w:t>;</w:t>
            </w:r>
          </w:p>
        </w:tc>
      </w:tr>
      <w:tr w:rsidR="00131233" w:rsidRPr="00EC5A7B" w14:paraId="2721AC5E" w14:textId="77777777" w:rsidTr="00B84F41">
        <w:tc>
          <w:tcPr>
            <w:tcW w:w="2748" w:type="dxa"/>
          </w:tcPr>
          <w:p w14:paraId="4356629E" w14:textId="62D5BC68" w:rsidR="00131233" w:rsidRPr="00EC5A7B" w:rsidRDefault="00590BE1" w:rsidP="00131233">
            <w:pPr>
              <w:spacing w:after="0" w:line="240" w:lineRule="auto"/>
              <w:rPr>
                <w:rFonts w:asciiTheme="majorHAnsi" w:eastAsia="Times New Roman" w:hAnsiTheme="majorHAnsi" w:cstheme="majorHAnsi"/>
                <w:sz w:val="24"/>
                <w:szCs w:val="24"/>
                <w:lang w:val="ru-MD" w:eastAsia="ru-RU"/>
              </w:rPr>
            </w:pPr>
            <w:r w:rsidRPr="00EC5A7B">
              <w:rPr>
                <w:rFonts w:asciiTheme="majorHAnsi" w:eastAsia="Times New Roman" w:hAnsiTheme="majorHAnsi" w:cs="Times New Roman"/>
                <w:bCs/>
                <w:i/>
                <w:iCs/>
                <w:sz w:val="24"/>
                <w:szCs w:val="24"/>
                <w:lang w:val="ru-MD" w:eastAsia="ru-RU"/>
              </w:rPr>
              <w:t>Участвующие финансовые учреждения</w:t>
            </w:r>
            <w:r w:rsidRPr="00EC5A7B">
              <w:rPr>
                <w:rFonts w:asciiTheme="majorHAnsi" w:eastAsia="Times New Roman" w:hAnsiTheme="majorHAnsi" w:cs="Times New Roman"/>
                <w:i/>
                <w:iCs/>
                <w:sz w:val="24"/>
                <w:szCs w:val="24"/>
                <w:lang w:val="ru-MD" w:eastAsia="ru-RU"/>
              </w:rPr>
              <w:t> (</w:t>
            </w:r>
            <w:r w:rsidRPr="00EC5A7B">
              <w:rPr>
                <w:rFonts w:asciiTheme="majorHAnsi" w:eastAsia="Times New Roman" w:hAnsiTheme="majorHAnsi" w:cs="Times New Roman"/>
                <w:bCs/>
                <w:i/>
                <w:iCs/>
                <w:sz w:val="24"/>
                <w:szCs w:val="24"/>
                <w:lang w:val="ru-MD" w:eastAsia="ru-RU"/>
              </w:rPr>
              <w:t>УФУ</w:t>
            </w:r>
            <w:r w:rsidRPr="00EC5A7B">
              <w:rPr>
                <w:rFonts w:asciiTheme="majorHAnsi" w:eastAsia="Times New Roman" w:hAnsiTheme="majorHAnsi" w:cs="Times New Roman"/>
                <w:i/>
                <w:iCs/>
                <w:sz w:val="24"/>
                <w:szCs w:val="24"/>
                <w:lang w:val="ru-MD" w:eastAsia="ru-RU"/>
              </w:rPr>
              <w:t>)</w:t>
            </w:r>
          </w:p>
        </w:tc>
        <w:tc>
          <w:tcPr>
            <w:tcW w:w="6596" w:type="dxa"/>
          </w:tcPr>
          <w:p w14:paraId="641224FB" w14:textId="5B32D4DF" w:rsidR="00131233" w:rsidRPr="00EC5A7B" w:rsidRDefault="00B9556A" w:rsidP="00120647">
            <w:pPr>
              <w:spacing w:after="0" w:line="240" w:lineRule="auto"/>
              <w:jc w:val="both"/>
              <w:rPr>
                <w:rFonts w:asciiTheme="majorHAnsi" w:eastAsia="Times New Roman" w:hAnsiTheme="majorHAnsi" w:cs="Times New Roman"/>
                <w:sz w:val="24"/>
                <w:szCs w:val="24"/>
                <w:lang w:val="ru-MD"/>
              </w:rPr>
            </w:pPr>
            <w:r w:rsidRPr="00EC5A7B">
              <w:rPr>
                <w:rFonts w:asciiTheme="majorHAnsi" w:eastAsia="Times New Roman" w:hAnsiTheme="majorHAnsi" w:cs="Times New Roman"/>
                <w:sz w:val="24"/>
                <w:lang w:val="ru-MD"/>
              </w:rPr>
              <w:t xml:space="preserve">Коммерческие банки и некоторые небанковские кредитные организации, выбранные для выполнения функции посредничества кредитных линий из прямых ресурсов или из средств рефинансирования (revolving) на основе критериев, установленных донорами этих ресурсов, которые </w:t>
            </w:r>
            <w:r w:rsidRPr="00EC5A7B">
              <w:rPr>
                <w:rFonts w:asciiTheme="majorHAnsi" w:eastAsia="Times New Roman" w:hAnsiTheme="majorHAnsi" w:cs="Times New Roman"/>
                <w:sz w:val="24"/>
                <w:lang w:val="ru-MD"/>
              </w:rPr>
              <w:lastRenderedPageBreak/>
              <w:t>предназначены для малых и средних предприятий частного сектора</w:t>
            </w:r>
            <w:r w:rsidR="00120647" w:rsidRPr="00EC5A7B">
              <w:rPr>
                <w:rFonts w:asciiTheme="majorHAnsi" w:eastAsia="Times New Roman" w:hAnsiTheme="majorHAnsi" w:cs="Times New Roman"/>
                <w:sz w:val="24"/>
                <w:lang w:val="ru-MD"/>
              </w:rPr>
              <w:t>;</w:t>
            </w:r>
            <w:r w:rsidR="00131233" w:rsidRPr="00EC5A7B">
              <w:rPr>
                <w:rFonts w:asciiTheme="majorHAnsi" w:eastAsia="Times New Roman" w:hAnsiTheme="majorHAnsi" w:cs="Times New Roman"/>
                <w:sz w:val="24"/>
                <w:lang w:val="ru-MD"/>
              </w:rPr>
              <w:t xml:space="preserve"> </w:t>
            </w:r>
          </w:p>
        </w:tc>
      </w:tr>
      <w:tr w:rsidR="00131233" w:rsidRPr="00EC5A7B" w14:paraId="680B0CF2" w14:textId="77777777" w:rsidTr="00B84F41">
        <w:tc>
          <w:tcPr>
            <w:tcW w:w="2748" w:type="dxa"/>
          </w:tcPr>
          <w:p w14:paraId="51DE5D4D" w14:textId="7BA12C70" w:rsidR="00131233" w:rsidRPr="00EC5A7B" w:rsidRDefault="00A30169" w:rsidP="00131233">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lastRenderedPageBreak/>
              <w:t>Долговой инструмент</w:t>
            </w:r>
          </w:p>
        </w:tc>
        <w:tc>
          <w:tcPr>
            <w:tcW w:w="6596" w:type="dxa"/>
          </w:tcPr>
          <w:p w14:paraId="5AAE33EE" w14:textId="23D37D6E" w:rsidR="00131233"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финансовое обязательство, предполагающее выплату основной суммы и/или процентов дебитором в пользу кредитора на определенную дату в будущем</w:t>
            </w:r>
            <w:r w:rsidR="00120647" w:rsidRPr="00EC5A7B">
              <w:rPr>
                <w:rFonts w:asciiTheme="majorHAnsi" w:hAnsiTheme="majorHAnsi" w:cstheme="majorHAnsi"/>
                <w:sz w:val="24"/>
                <w:szCs w:val="24"/>
                <w:lang w:val="ru-MD"/>
              </w:rPr>
              <w:t>;</w:t>
            </w:r>
          </w:p>
        </w:tc>
      </w:tr>
      <w:tr w:rsidR="00131233" w:rsidRPr="00EC5A7B" w14:paraId="343E8091" w14:textId="77777777" w:rsidTr="00B84F41">
        <w:tc>
          <w:tcPr>
            <w:tcW w:w="2748" w:type="dxa"/>
          </w:tcPr>
          <w:p w14:paraId="0AFC97CE" w14:textId="7D85A3BE" w:rsidR="00131233" w:rsidRPr="00EC5A7B" w:rsidRDefault="0075397C" w:rsidP="008C4D9E">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cstheme="majorHAnsi"/>
                <w:i/>
                <w:iCs/>
                <w:sz w:val="24"/>
                <w:szCs w:val="24"/>
                <w:lang w:val="ru-MD"/>
              </w:rPr>
              <w:t xml:space="preserve">Государственный </w:t>
            </w:r>
            <w:r w:rsidR="008C4D9E" w:rsidRPr="00EC5A7B">
              <w:rPr>
                <w:rFonts w:asciiTheme="majorHAnsi" w:hAnsiTheme="majorHAnsi" w:cstheme="majorHAnsi"/>
                <w:i/>
                <w:iCs/>
                <w:sz w:val="24"/>
                <w:szCs w:val="24"/>
                <w:lang w:val="ru-MD"/>
              </w:rPr>
              <w:t>заем</w:t>
            </w:r>
          </w:p>
        </w:tc>
        <w:tc>
          <w:tcPr>
            <w:tcW w:w="6596" w:type="dxa"/>
          </w:tcPr>
          <w:p w14:paraId="17585EEE" w14:textId="6642AEF2" w:rsidR="00131233" w:rsidRPr="00EC5A7B" w:rsidRDefault="008C4D9E"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eastAsia="Times New Roman" w:hAnsiTheme="majorHAnsi" w:cstheme="majorHAnsi"/>
                <w:sz w:val="24"/>
                <w:szCs w:val="24"/>
                <w:lang w:val="ru-MD" w:eastAsia="ru-RU"/>
              </w:rPr>
              <w:t>договорные взаимоотношения, при которых  кредитор передает в собственность государства средства с условием их возврата государством по истечении  срока, на который они были предоставлены</w:t>
            </w:r>
            <w:r w:rsidR="00120647" w:rsidRPr="00EC5A7B">
              <w:rPr>
                <w:rFonts w:asciiTheme="majorHAnsi" w:eastAsia="Times New Roman" w:hAnsiTheme="majorHAnsi" w:cstheme="majorHAnsi"/>
                <w:sz w:val="24"/>
                <w:szCs w:val="24"/>
                <w:lang w:val="ru-MD" w:eastAsia="ru-RU"/>
              </w:rPr>
              <w:t>;</w:t>
            </w:r>
          </w:p>
        </w:tc>
      </w:tr>
      <w:tr w:rsidR="00131233" w:rsidRPr="00EC5A7B" w14:paraId="1CDF362A" w14:textId="77777777" w:rsidTr="00B84F41">
        <w:tc>
          <w:tcPr>
            <w:tcW w:w="2748" w:type="dxa"/>
          </w:tcPr>
          <w:p w14:paraId="5CD705AD" w14:textId="77777777" w:rsidR="00131233" w:rsidRPr="00EC5A7B" w:rsidRDefault="00131233" w:rsidP="00131233">
            <w:pPr>
              <w:spacing w:after="0" w:line="240" w:lineRule="auto"/>
              <w:rPr>
                <w:rFonts w:asciiTheme="majorHAnsi" w:eastAsia="Times New Roman" w:hAnsiTheme="majorHAnsi" w:cs="Times New Roman"/>
                <w:i/>
                <w:iCs/>
                <w:sz w:val="24"/>
                <w:szCs w:val="24"/>
                <w:lang w:val="ru-MD" w:eastAsia="ru-RU"/>
              </w:rPr>
            </w:pPr>
            <w:r w:rsidRPr="00EC5A7B">
              <w:rPr>
                <w:rFonts w:asciiTheme="majorHAnsi" w:eastAsia="Times New Roman" w:hAnsiTheme="majorHAnsi" w:cs="Times New Roman"/>
                <w:i/>
                <w:iCs/>
                <w:sz w:val="24"/>
                <w:szCs w:val="24"/>
                <w:lang w:val="ru-MD" w:eastAsia="ru-RU"/>
              </w:rPr>
              <w:t>LIBOR</w:t>
            </w:r>
          </w:p>
        </w:tc>
        <w:tc>
          <w:tcPr>
            <w:tcW w:w="6596" w:type="dxa"/>
          </w:tcPr>
          <w:p w14:paraId="4001B73B" w14:textId="1841EE7C" w:rsidR="00131233" w:rsidRPr="00EC5A7B" w:rsidRDefault="009B2AD2" w:rsidP="00120647">
            <w:pPr>
              <w:spacing w:after="0" w:line="240" w:lineRule="auto"/>
              <w:jc w:val="both"/>
              <w:rPr>
                <w:rFonts w:asciiTheme="majorHAnsi" w:eastAsia="Times New Roman" w:hAnsiTheme="majorHAnsi" w:cs="Times New Roman"/>
                <w:sz w:val="24"/>
                <w:lang w:val="ru-MD"/>
              </w:rPr>
            </w:pPr>
            <w:r w:rsidRPr="00EC5A7B">
              <w:rPr>
                <w:rFonts w:asciiTheme="majorHAnsi" w:eastAsia="Times New Roman" w:hAnsiTheme="majorHAnsi" w:cs="Times New Roman"/>
                <w:sz w:val="24"/>
                <w:lang w:val="ru-MD"/>
              </w:rPr>
              <w:t xml:space="preserve">процентная ставка, по которой крупные банки одалживают средства на Лондонском рынке, </w:t>
            </w:r>
            <w:r w:rsidR="00795DF9" w:rsidRPr="00EC5A7B">
              <w:rPr>
                <w:rFonts w:asciiTheme="majorHAnsi" w:eastAsia="Times New Roman" w:hAnsiTheme="majorHAnsi" w:cs="Times New Roman"/>
                <w:sz w:val="24"/>
                <w:lang w:val="ru-MD"/>
              </w:rPr>
              <w:t>и которая представлят собой</w:t>
            </w:r>
            <w:r w:rsidRPr="00EC5A7B">
              <w:rPr>
                <w:rFonts w:asciiTheme="majorHAnsi" w:eastAsia="Times New Roman" w:hAnsiTheme="majorHAnsi" w:cs="Times New Roman"/>
                <w:sz w:val="24"/>
                <w:lang w:val="ru-MD"/>
              </w:rPr>
              <w:t xml:space="preserve"> средневзвешенн</w:t>
            </w:r>
            <w:r w:rsidR="00795DF9" w:rsidRPr="00EC5A7B">
              <w:rPr>
                <w:rFonts w:asciiTheme="majorHAnsi" w:eastAsia="Times New Roman" w:hAnsiTheme="majorHAnsi" w:cs="Times New Roman"/>
                <w:sz w:val="24"/>
                <w:lang w:val="ru-MD"/>
              </w:rPr>
              <w:t>ую</w:t>
            </w:r>
            <w:r w:rsidRPr="00EC5A7B">
              <w:rPr>
                <w:rFonts w:asciiTheme="majorHAnsi" w:eastAsia="Times New Roman" w:hAnsiTheme="majorHAnsi" w:cs="Times New Roman"/>
                <w:sz w:val="24"/>
                <w:lang w:val="ru-MD"/>
              </w:rPr>
              <w:t xml:space="preserve"> процентн</w:t>
            </w:r>
            <w:r w:rsidR="00795DF9" w:rsidRPr="00EC5A7B">
              <w:rPr>
                <w:rFonts w:asciiTheme="majorHAnsi" w:eastAsia="Times New Roman" w:hAnsiTheme="majorHAnsi" w:cs="Times New Roman"/>
                <w:sz w:val="24"/>
                <w:lang w:val="ru-MD"/>
              </w:rPr>
              <w:t>ую</w:t>
            </w:r>
            <w:r w:rsidRPr="00EC5A7B">
              <w:rPr>
                <w:rFonts w:asciiTheme="majorHAnsi" w:eastAsia="Times New Roman" w:hAnsiTheme="majorHAnsi" w:cs="Times New Roman"/>
                <w:sz w:val="24"/>
                <w:lang w:val="ru-MD"/>
              </w:rPr>
              <w:t xml:space="preserve"> ставк</w:t>
            </w:r>
            <w:r w:rsidR="00795DF9" w:rsidRPr="00EC5A7B">
              <w:rPr>
                <w:rFonts w:asciiTheme="majorHAnsi" w:eastAsia="Times New Roman" w:hAnsiTheme="majorHAnsi" w:cs="Times New Roman"/>
                <w:sz w:val="24"/>
                <w:lang w:val="ru-MD"/>
              </w:rPr>
              <w:t>у</w:t>
            </w:r>
            <w:r w:rsidRPr="00EC5A7B">
              <w:rPr>
                <w:rFonts w:asciiTheme="majorHAnsi" w:eastAsia="Times New Roman" w:hAnsiTheme="majorHAnsi" w:cs="Times New Roman"/>
                <w:sz w:val="24"/>
                <w:lang w:val="ru-MD"/>
              </w:rPr>
              <w:t xml:space="preserve">, </w:t>
            </w:r>
            <w:r w:rsidR="00795DF9" w:rsidRPr="00EC5A7B">
              <w:rPr>
                <w:rFonts w:asciiTheme="majorHAnsi" w:eastAsia="Times New Roman" w:hAnsiTheme="majorHAnsi" w:cs="Times New Roman"/>
                <w:sz w:val="24"/>
                <w:lang w:val="ru-MD"/>
              </w:rPr>
              <w:t>применяемую</w:t>
            </w:r>
            <w:r w:rsidRPr="00EC5A7B">
              <w:rPr>
                <w:rFonts w:asciiTheme="majorHAnsi" w:eastAsia="Times New Roman" w:hAnsiTheme="majorHAnsi" w:cs="Times New Roman"/>
                <w:sz w:val="24"/>
                <w:lang w:val="ru-MD"/>
              </w:rPr>
              <w:t xml:space="preserve"> </w:t>
            </w:r>
            <w:r w:rsidR="00795DF9" w:rsidRPr="00EC5A7B">
              <w:rPr>
                <w:rFonts w:asciiTheme="majorHAnsi" w:eastAsia="Times New Roman" w:hAnsiTheme="majorHAnsi" w:cs="Times New Roman"/>
                <w:sz w:val="24"/>
                <w:lang w:val="ru-MD"/>
              </w:rPr>
              <w:t>круп</w:t>
            </w:r>
            <w:r w:rsidRPr="00EC5A7B">
              <w:rPr>
                <w:rFonts w:asciiTheme="majorHAnsi" w:eastAsia="Times New Roman" w:hAnsiTheme="majorHAnsi" w:cs="Times New Roman"/>
                <w:sz w:val="24"/>
                <w:lang w:val="ru-MD"/>
              </w:rPr>
              <w:t xml:space="preserve">ными банками </w:t>
            </w:r>
            <w:r w:rsidR="00795DF9" w:rsidRPr="00EC5A7B">
              <w:rPr>
                <w:rFonts w:asciiTheme="majorHAnsi" w:eastAsia="Times New Roman" w:hAnsiTheme="majorHAnsi" w:cs="Times New Roman"/>
                <w:sz w:val="24"/>
                <w:lang w:val="ru-MD"/>
              </w:rPr>
              <w:t>к</w:t>
            </w:r>
            <w:r w:rsidRPr="00EC5A7B">
              <w:rPr>
                <w:rFonts w:asciiTheme="majorHAnsi" w:eastAsia="Times New Roman" w:hAnsiTheme="majorHAnsi" w:cs="Times New Roman"/>
                <w:sz w:val="24"/>
                <w:lang w:val="ru-MD"/>
              </w:rPr>
              <w:t xml:space="preserve"> 5 валют</w:t>
            </w:r>
            <w:r w:rsidR="00795DF9" w:rsidRPr="00EC5A7B">
              <w:rPr>
                <w:rFonts w:asciiTheme="majorHAnsi" w:eastAsia="Times New Roman" w:hAnsiTheme="majorHAnsi" w:cs="Times New Roman"/>
                <w:sz w:val="24"/>
                <w:lang w:val="ru-MD"/>
              </w:rPr>
              <w:t>ам</w:t>
            </w:r>
            <w:r w:rsidR="00861D71" w:rsidRPr="00EC5A7B">
              <w:rPr>
                <w:rFonts w:asciiTheme="majorHAnsi" w:eastAsia="Times New Roman" w:hAnsiTheme="majorHAnsi" w:cs="Times New Roman"/>
                <w:sz w:val="24"/>
                <w:lang w:val="ru-MD"/>
              </w:rPr>
              <w:t xml:space="preserve">: </w:t>
            </w:r>
            <w:r w:rsidR="00795DF9" w:rsidRPr="00EC5A7B">
              <w:rPr>
                <w:rFonts w:asciiTheme="majorHAnsi" w:eastAsia="Times New Roman" w:hAnsiTheme="majorHAnsi" w:cs="Times New Roman"/>
                <w:sz w:val="24"/>
                <w:lang w:val="ru-MD"/>
              </w:rPr>
              <w:t>д</w:t>
            </w:r>
            <w:r w:rsidR="00861D71" w:rsidRPr="00EC5A7B">
              <w:rPr>
                <w:rFonts w:asciiTheme="majorHAnsi" w:eastAsia="Times New Roman" w:hAnsiTheme="majorHAnsi" w:cs="Times New Roman"/>
                <w:sz w:val="24"/>
                <w:lang w:val="ru-MD"/>
              </w:rPr>
              <w:t>оллар</w:t>
            </w:r>
            <w:r w:rsidR="00795DF9" w:rsidRPr="00EC5A7B">
              <w:rPr>
                <w:rFonts w:asciiTheme="majorHAnsi" w:eastAsia="Times New Roman" w:hAnsiTheme="majorHAnsi" w:cs="Times New Roman"/>
                <w:sz w:val="24"/>
                <w:lang w:val="ru-MD"/>
              </w:rPr>
              <w:t>у</w:t>
            </w:r>
            <w:r w:rsidR="00861D71" w:rsidRPr="00EC5A7B">
              <w:rPr>
                <w:rFonts w:asciiTheme="majorHAnsi" w:eastAsia="Times New Roman" w:hAnsiTheme="majorHAnsi" w:cs="Times New Roman"/>
                <w:sz w:val="24"/>
                <w:lang w:val="ru-MD"/>
              </w:rPr>
              <w:t xml:space="preserve"> США; </w:t>
            </w:r>
            <w:r w:rsidR="00795DF9" w:rsidRPr="00EC5A7B">
              <w:rPr>
                <w:rFonts w:asciiTheme="majorHAnsi" w:eastAsia="Times New Roman" w:hAnsiTheme="majorHAnsi" w:cs="Times New Roman"/>
                <w:sz w:val="24"/>
                <w:lang w:val="ru-MD"/>
              </w:rPr>
              <w:t>е</w:t>
            </w:r>
            <w:r w:rsidR="00861D71" w:rsidRPr="00EC5A7B">
              <w:rPr>
                <w:rFonts w:asciiTheme="majorHAnsi" w:eastAsia="Times New Roman" w:hAnsiTheme="majorHAnsi" w:cs="Times New Roman"/>
                <w:sz w:val="24"/>
                <w:lang w:val="ru-MD"/>
              </w:rPr>
              <w:t>вро; фунт</w:t>
            </w:r>
            <w:r w:rsidR="00795DF9" w:rsidRPr="00EC5A7B">
              <w:rPr>
                <w:rFonts w:asciiTheme="majorHAnsi" w:eastAsia="Times New Roman" w:hAnsiTheme="majorHAnsi" w:cs="Times New Roman"/>
                <w:sz w:val="24"/>
                <w:lang w:val="ru-MD"/>
              </w:rPr>
              <w:t>у стерлингов</w:t>
            </w:r>
            <w:r w:rsidR="00861D71" w:rsidRPr="00EC5A7B">
              <w:rPr>
                <w:rFonts w:asciiTheme="majorHAnsi" w:eastAsia="Times New Roman" w:hAnsiTheme="majorHAnsi" w:cs="Times New Roman"/>
                <w:sz w:val="24"/>
                <w:lang w:val="ru-MD"/>
              </w:rPr>
              <w:t xml:space="preserve">; </w:t>
            </w:r>
            <w:r w:rsidR="00795DF9" w:rsidRPr="00EC5A7B">
              <w:rPr>
                <w:rFonts w:asciiTheme="majorHAnsi" w:eastAsia="Times New Roman" w:hAnsiTheme="majorHAnsi" w:cs="Times New Roman"/>
                <w:sz w:val="24"/>
                <w:lang w:val="ru-MD"/>
              </w:rPr>
              <w:t>ш</w:t>
            </w:r>
            <w:r w:rsidR="00861D71" w:rsidRPr="00EC5A7B">
              <w:rPr>
                <w:rFonts w:asciiTheme="majorHAnsi" w:eastAsia="Times New Roman" w:hAnsiTheme="majorHAnsi" w:cs="Times New Roman"/>
                <w:sz w:val="24"/>
                <w:lang w:val="ru-MD"/>
              </w:rPr>
              <w:t>вейцарск</w:t>
            </w:r>
            <w:r w:rsidR="00795DF9" w:rsidRPr="00EC5A7B">
              <w:rPr>
                <w:rFonts w:asciiTheme="majorHAnsi" w:eastAsia="Times New Roman" w:hAnsiTheme="majorHAnsi" w:cs="Times New Roman"/>
                <w:sz w:val="24"/>
                <w:lang w:val="ru-MD"/>
              </w:rPr>
              <w:t>ому</w:t>
            </w:r>
            <w:r w:rsidR="00861D71" w:rsidRPr="00EC5A7B">
              <w:rPr>
                <w:rFonts w:asciiTheme="majorHAnsi" w:eastAsia="Times New Roman" w:hAnsiTheme="majorHAnsi" w:cs="Times New Roman"/>
                <w:sz w:val="24"/>
                <w:lang w:val="ru-MD"/>
              </w:rPr>
              <w:t xml:space="preserve"> франк</w:t>
            </w:r>
            <w:r w:rsidR="00795DF9" w:rsidRPr="00EC5A7B">
              <w:rPr>
                <w:rFonts w:asciiTheme="majorHAnsi" w:eastAsia="Times New Roman" w:hAnsiTheme="majorHAnsi" w:cs="Times New Roman"/>
                <w:sz w:val="24"/>
                <w:lang w:val="ru-MD"/>
              </w:rPr>
              <w:t>у</w:t>
            </w:r>
            <w:r w:rsidR="00861D71" w:rsidRPr="00EC5A7B">
              <w:rPr>
                <w:rFonts w:asciiTheme="majorHAnsi" w:eastAsia="Times New Roman" w:hAnsiTheme="majorHAnsi" w:cs="Times New Roman"/>
                <w:sz w:val="24"/>
                <w:lang w:val="ru-MD"/>
              </w:rPr>
              <w:t xml:space="preserve">; </w:t>
            </w:r>
            <w:r w:rsidR="00795DF9" w:rsidRPr="00EC5A7B">
              <w:rPr>
                <w:rFonts w:asciiTheme="majorHAnsi" w:eastAsia="Times New Roman" w:hAnsiTheme="majorHAnsi" w:cs="Times New Roman"/>
                <w:sz w:val="24"/>
                <w:lang w:val="ru-MD"/>
              </w:rPr>
              <w:t>я</w:t>
            </w:r>
            <w:r w:rsidR="00861D71" w:rsidRPr="00EC5A7B">
              <w:rPr>
                <w:rFonts w:asciiTheme="majorHAnsi" w:eastAsia="Times New Roman" w:hAnsiTheme="majorHAnsi" w:cs="Times New Roman"/>
                <w:sz w:val="24"/>
                <w:lang w:val="ru-MD"/>
              </w:rPr>
              <w:t>понск</w:t>
            </w:r>
            <w:r w:rsidR="00795DF9" w:rsidRPr="00EC5A7B">
              <w:rPr>
                <w:rFonts w:asciiTheme="majorHAnsi" w:eastAsia="Times New Roman" w:hAnsiTheme="majorHAnsi" w:cs="Times New Roman"/>
                <w:sz w:val="24"/>
                <w:lang w:val="ru-MD"/>
              </w:rPr>
              <w:t>ой</w:t>
            </w:r>
            <w:r w:rsidR="00861D71" w:rsidRPr="00EC5A7B">
              <w:rPr>
                <w:rFonts w:asciiTheme="majorHAnsi" w:eastAsia="Times New Roman" w:hAnsiTheme="majorHAnsi" w:cs="Times New Roman"/>
                <w:sz w:val="24"/>
                <w:lang w:val="ru-MD"/>
              </w:rPr>
              <w:t xml:space="preserve"> йен</w:t>
            </w:r>
            <w:r w:rsidR="00795DF9" w:rsidRPr="00EC5A7B">
              <w:rPr>
                <w:rFonts w:asciiTheme="majorHAnsi" w:eastAsia="Times New Roman" w:hAnsiTheme="majorHAnsi" w:cs="Times New Roman"/>
                <w:sz w:val="24"/>
                <w:lang w:val="ru-MD"/>
              </w:rPr>
              <w:t>е</w:t>
            </w:r>
            <w:r w:rsidR="00120647" w:rsidRPr="00EC5A7B">
              <w:rPr>
                <w:rFonts w:asciiTheme="majorHAnsi" w:eastAsia="Times New Roman" w:hAnsiTheme="majorHAnsi" w:cs="Times New Roman"/>
                <w:sz w:val="24"/>
                <w:lang w:val="ru-MD"/>
              </w:rPr>
              <w:t>;</w:t>
            </w:r>
          </w:p>
        </w:tc>
      </w:tr>
      <w:tr w:rsidR="00131233" w:rsidRPr="00EC5A7B" w14:paraId="3A2B23BC" w14:textId="77777777" w:rsidTr="00B84F41">
        <w:tc>
          <w:tcPr>
            <w:tcW w:w="2748" w:type="dxa"/>
          </w:tcPr>
          <w:p w14:paraId="3A2DBA08" w14:textId="2F65720B" w:rsidR="00131233" w:rsidRPr="00EC5A7B" w:rsidRDefault="00A30169" w:rsidP="00131233">
            <w:pPr>
              <w:spacing w:after="0" w:line="240" w:lineRule="auto"/>
              <w:rPr>
                <w:rFonts w:asciiTheme="majorHAnsi" w:eastAsia="Times New Roman" w:hAnsiTheme="majorHAnsi" w:cstheme="majorHAnsi"/>
                <w:b/>
                <w:sz w:val="24"/>
                <w:szCs w:val="24"/>
                <w:lang w:val="ru-MD" w:eastAsia="ru-RU"/>
              </w:rPr>
            </w:pPr>
            <w:r w:rsidRPr="00EC5A7B">
              <w:rPr>
                <w:rFonts w:asciiTheme="majorHAnsi" w:hAnsiTheme="majorHAnsi" w:cstheme="majorHAnsi"/>
                <w:i/>
                <w:iCs/>
                <w:sz w:val="24"/>
                <w:szCs w:val="24"/>
                <w:lang w:val="ru-MD"/>
              </w:rPr>
              <w:t>Рекредитование</w:t>
            </w:r>
          </w:p>
        </w:tc>
        <w:tc>
          <w:tcPr>
            <w:tcW w:w="6596" w:type="dxa"/>
          </w:tcPr>
          <w:p w14:paraId="07469768" w14:textId="4CE1DF57" w:rsidR="00131233" w:rsidRPr="00EC5A7B" w:rsidRDefault="00A30169" w:rsidP="00131233">
            <w:pPr>
              <w:spacing w:after="0" w:line="240" w:lineRule="auto"/>
              <w:jc w:val="both"/>
              <w:rPr>
                <w:rFonts w:asciiTheme="majorHAnsi" w:eastAsia="Times New Roman" w:hAnsiTheme="majorHAnsi" w:cstheme="majorHAnsi"/>
                <w:b/>
                <w:sz w:val="24"/>
                <w:szCs w:val="24"/>
                <w:lang w:val="ru-MD" w:eastAsia="ru-RU"/>
              </w:rPr>
            </w:pPr>
            <w:r w:rsidRPr="00EC5A7B">
              <w:rPr>
                <w:rFonts w:asciiTheme="majorHAnsi" w:hAnsiTheme="majorHAnsi" w:cstheme="majorHAnsi"/>
                <w:sz w:val="24"/>
                <w:szCs w:val="24"/>
                <w:lang w:val="ru-MD"/>
              </w:rPr>
              <w:t>предоставление займа рекредитуемым бенефициарам за счет средств, полученных по государственным займам</w:t>
            </w:r>
            <w:r w:rsidR="00120647" w:rsidRPr="00EC5A7B">
              <w:rPr>
                <w:rFonts w:asciiTheme="majorHAnsi" w:eastAsia="Times New Roman" w:hAnsiTheme="majorHAnsi" w:cstheme="majorHAnsi"/>
                <w:sz w:val="24"/>
                <w:szCs w:val="24"/>
                <w:lang w:val="ru-MD" w:eastAsia="ru-RU"/>
              </w:rPr>
              <w:t>;</w:t>
            </w:r>
          </w:p>
        </w:tc>
      </w:tr>
      <w:tr w:rsidR="00131233" w:rsidRPr="00EC5A7B" w14:paraId="10A84F79" w14:textId="77777777" w:rsidTr="00B84F41">
        <w:tc>
          <w:tcPr>
            <w:tcW w:w="2748" w:type="dxa"/>
          </w:tcPr>
          <w:p w14:paraId="2406AA8E" w14:textId="3339A834" w:rsidR="00131233" w:rsidRPr="00EC5A7B" w:rsidRDefault="00A30169" w:rsidP="00131233">
            <w:pPr>
              <w:spacing w:after="0" w:line="240" w:lineRule="auto"/>
              <w:rPr>
                <w:rFonts w:asciiTheme="majorHAnsi" w:eastAsia="Times New Roman" w:hAnsiTheme="majorHAnsi" w:cstheme="majorHAnsi"/>
                <w:sz w:val="24"/>
                <w:szCs w:val="24"/>
                <w:lang w:val="ru-MD" w:eastAsia="ru-RU"/>
              </w:rPr>
            </w:pPr>
            <w:r w:rsidRPr="00EC5A7B">
              <w:rPr>
                <w:rFonts w:asciiTheme="majorHAnsi" w:hAnsiTheme="majorHAnsi" w:cstheme="majorHAnsi"/>
                <w:i/>
                <w:iCs/>
                <w:sz w:val="24"/>
                <w:szCs w:val="24"/>
                <w:lang w:val="ru-MD"/>
              </w:rPr>
              <w:t>Основная сумма</w:t>
            </w:r>
          </w:p>
        </w:tc>
        <w:tc>
          <w:tcPr>
            <w:tcW w:w="6596" w:type="dxa"/>
          </w:tcPr>
          <w:p w14:paraId="2EC9D976" w14:textId="7E5A83A9" w:rsidR="00131233" w:rsidRPr="00EC5A7B" w:rsidRDefault="00A30169" w:rsidP="00120647">
            <w:pPr>
              <w:spacing w:after="0" w:line="240" w:lineRule="auto"/>
              <w:jc w:val="both"/>
              <w:rPr>
                <w:rFonts w:asciiTheme="majorHAnsi" w:eastAsia="Times New Roman" w:hAnsiTheme="majorHAnsi" w:cstheme="majorHAnsi"/>
                <w:b/>
                <w:sz w:val="24"/>
                <w:szCs w:val="24"/>
                <w:lang w:val="ru-MD" w:eastAsia="ru-RU"/>
              </w:rPr>
            </w:pPr>
            <w:r w:rsidRPr="00EC5A7B">
              <w:rPr>
                <w:rFonts w:asciiTheme="majorHAnsi" w:hAnsiTheme="majorHAnsi" w:cstheme="majorHAnsi"/>
                <w:sz w:val="24"/>
                <w:szCs w:val="24"/>
                <w:lang w:val="ru-MD"/>
              </w:rPr>
              <w:t>сумма, предоставленная по займу</w:t>
            </w:r>
            <w:r w:rsidR="00120647" w:rsidRPr="00EC5A7B">
              <w:rPr>
                <w:rFonts w:asciiTheme="majorHAnsi" w:hAnsiTheme="majorHAnsi" w:cstheme="majorHAnsi"/>
                <w:sz w:val="24"/>
                <w:szCs w:val="24"/>
                <w:lang w:val="ru-MD"/>
              </w:rPr>
              <w:t>;</w:t>
            </w:r>
          </w:p>
        </w:tc>
      </w:tr>
      <w:tr w:rsidR="00131233" w:rsidRPr="00EC5A7B" w14:paraId="7837F19B" w14:textId="77777777" w:rsidTr="00B84F41">
        <w:tc>
          <w:tcPr>
            <w:tcW w:w="2748" w:type="dxa"/>
          </w:tcPr>
          <w:p w14:paraId="23FD9300" w14:textId="65829C5B" w:rsidR="00131233" w:rsidRPr="00EC5A7B" w:rsidRDefault="00A30169" w:rsidP="00131233">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cstheme="majorHAnsi"/>
                <w:i/>
                <w:iCs/>
                <w:sz w:val="24"/>
                <w:szCs w:val="24"/>
                <w:lang w:val="ru-MD"/>
              </w:rPr>
              <w:t>Обслуживание государственного долга</w:t>
            </w:r>
          </w:p>
        </w:tc>
        <w:tc>
          <w:tcPr>
            <w:tcW w:w="6596" w:type="dxa"/>
          </w:tcPr>
          <w:p w14:paraId="51FD29C3" w14:textId="30905D13" w:rsidR="00131233" w:rsidRPr="00EC5A7B" w:rsidRDefault="00A30169"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выплата процентов и комиссий, связанных с долгом</w:t>
            </w:r>
            <w:r w:rsidR="00120647" w:rsidRPr="00EC5A7B">
              <w:rPr>
                <w:rFonts w:asciiTheme="majorHAnsi" w:hAnsiTheme="majorHAnsi" w:cstheme="majorHAnsi"/>
                <w:sz w:val="24"/>
                <w:szCs w:val="24"/>
                <w:lang w:val="ru-MD"/>
              </w:rPr>
              <w:t>;</w:t>
            </w:r>
          </w:p>
        </w:tc>
      </w:tr>
      <w:tr w:rsidR="00131233" w:rsidRPr="00EC5A7B" w14:paraId="2A0C8172" w14:textId="77777777" w:rsidTr="00B84F41">
        <w:tc>
          <w:tcPr>
            <w:tcW w:w="2748" w:type="dxa"/>
          </w:tcPr>
          <w:p w14:paraId="153CCA5C" w14:textId="0FB99CBB" w:rsidR="00131233" w:rsidRPr="00EC5A7B" w:rsidRDefault="00590BE1" w:rsidP="00131233">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i/>
                <w:iCs/>
                <w:sz w:val="24"/>
                <w:lang w:val="ru-MD"/>
              </w:rPr>
              <w:t>Короткий срок</w:t>
            </w:r>
          </w:p>
        </w:tc>
        <w:tc>
          <w:tcPr>
            <w:tcW w:w="6596" w:type="dxa"/>
          </w:tcPr>
          <w:p w14:paraId="582BF96C" w14:textId="1DB7A836" w:rsidR="00131233" w:rsidRPr="00EC5A7B" w:rsidRDefault="00590BE1" w:rsidP="00120647">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sz w:val="24"/>
                <w:lang w:val="ru-MD"/>
              </w:rPr>
              <w:t>период погашения, составляющий до одного года, и/или период погашения по требованию кредитора в случае отсутствия срока погашения</w:t>
            </w:r>
            <w:r w:rsidR="00120647" w:rsidRPr="00EC5A7B">
              <w:rPr>
                <w:rFonts w:asciiTheme="majorHAnsi" w:hAnsiTheme="majorHAnsi"/>
                <w:sz w:val="24"/>
                <w:lang w:val="ru-MD"/>
              </w:rPr>
              <w:t>;</w:t>
            </w:r>
          </w:p>
        </w:tc>
      </w:tr>
      <w:tr w:rsidR="00131233" w:rsidRPr="00EC5A7B" w14:paraId="4CFDA318" w14:textId="77777777" w:rsidTr="00B84F41">
        <w:tc>
          <w:tcPr>
            <w:tcW w:w="2748" w:type="dxa"/>
          </w:tcPr>
          <w:p w14:paraId="3CCECAC1" w14:textId="24CBD271" w:rsidR="00131233" w:rsidRPr="00EC5A7B" w:rsidRDefault="00A30169" w:rsidP="00590BE1">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i/>
                <w:sz w:val="24"/>
                <w:lang w:val="ru-MD"/>
              </w:rPr>
              <w:t>Средн</w:t>
            </w:r>
            <w:r w:rsidR="00590BE1" w:rsidRPr="00EC5A7B">
              <w:rPr>
                <w:rFonts w:asciiTheme="majorHAnsi" w:hAnsiTheme="majorHAnsi"/>
                <w:i/>
                <w:sz w:val="24"/>
                <w:lang w:val="ru-MD"/>
              </w:rPr>
              <w:t xml:space="preserve">ий </w:t>
            </w:r>
            <w:r w:rsidRPr="00EC5A7B">
              <w:rPr>
                <w:rFonts w:asciiTheme="majorHAnsi" w:hAnsiTheme="majorHAnsi"/>
                <w:i/>
                <w:sz w:val="24"/>
                <w:lang w:val="ru-MD"/>
              </w:rPr>
              <w:t>сро</w:t>
            </w:r>
            <w:r w:rsidR="00590BE1" w:rsidRPr="00EC5A7B">
              <w:rPr>
                <w:rFonts w:asciiTheme="majorHAnsi" w:hAnsiTheme="majorHAnsi"/>
                <w:i/>
                <w:sz w:val="24"/>
                <w:lang w:val="ru-MD"/>
              </w:rPr>
              <w:t>к</w:t>
            </w:r>
          </w:p>
        </w:tc>
        <w:tc>
          <w:tcPr>
            <w:tcW w:w="6596" w:type="dxa"/>
          </w:tcPr>
          <w:p w14:paraId="64452DDF" w14:textId="3F21BDC3" w:rsidR="00131233" w:rsidRPr="00EC5A7B" w:rsidRDefault="00590BE1" w:rsidP="00120647">
            <w:pPr>
              <w:spacing w:after="0" w:line="240" w:lineRule="auto"/>
              <w:jc w:val="both"/>
              <w:rPr>
                <w:rFonts w:asciiTheme="majorHAnsi" w:eastAsia="Times New Roman" w:hAnsiTheme="majorHAnsi" w:cs="Times New Roman"/>
                <w:sz w:val="24"/>
                <w:szCs w:val="24"/>
                <w:lang w:val="ru-MD"/>
              </w:rPr>
            </w:pPr>
            <w:r w:rsidRPr="00EC5A7B">
              <w:rPr>
                <w:rFonts w:asciiTheme="majorHAnsi" w:hAnsiTheme="majorHAnsi"/>
                <w:sz w:val="24"/>
                <w:lang w:val="ru-MD"/>
              </w:rPr>
              <w:t>трехлетний период, соответствующий сроку, на который установлены цели и проведен анализ эволюции показателей по государственному долгу в рамках программы «Управление государственным долгом в среднесрочном периоде»</w:t>
            </w:r>
            <w:r w:rsidR="00120647" w:rsidRPr="00EC5A7B">
              <w:rPr>
                <w:rFonts w:asciiTheme="majorHAnsi" w:hAnsiTheme="majorHAnsi"/>
                <w:sz w:val="24"/>
                <w:lang w:val="ru-MD"/>
              </w:rPr>
              <w:t>;</w:t>
            </w:r>
          </w:p>
        </w:tc>
      </w:tr>
      <w:tr w:rsidR="00131233" w:rsidRPr="00EC5A7B" w14:paraId="33FF8F0D" w14:textId="77777777" w:rsidTr="00B84F41">
        <w:tc>
          <w:tcPr>
            <w:tcW w:w="2748" w:type="dxa"/>
          </w:tcPr>
          <w:p w14:paraId="3966BCD1" w14:textId="71E3495C" w:rsidR="00131233" w:rsidRPr="00EC5A7B" w:rsidRDefault="00A30169" w:rsidP="00131233">
            <w:pPr>
              <w:spacing w:after="0" w:line="240" w:lineRule="auto"/>
              <w:rPr>
                <w:rFonts w:asciiTheme="majorHAnsi" w:eastAsia="Times New Roman" w:hAnsiTheme="majorHAnsi" w:cs="Times New Roman"/>
                <w:i/>
                <w:iCs/>
                <w:sz w:val="24"/>
                <w:szCs w:val="24"/>
                <w:lang w:val="ru-MD" w:eastAsia="ru-RU"/>
              </w:rPr>
            </w:pPr>
            <w:r w:rsidRPr="00EC5A7B">
              <w:rPr>
                <w:rFonts w:asciiTheme="majorHAnsi" w:hAnsiTheme="majorHAnsi"/>
                <w:i/>
                <w:sz w:val="24"/>
                <w:lang w:val="ru-MD"/>
              </w:rPr>
              <w:t>Долгосрочный период</w:t>
            </w:r>
          </w:p>
        </w:tc>
        <w:tc>
          <w:tcPr>
            <w:tcW w:w="6596" w:type="dxa"/>
          </w:tcPr>
          <w:p w14:paraId="35666363" w14:textId="2E611FC6" w:rsidR="00131233" w:rsidRPr="00EC5A7B" w:rsidRDefault="002958DF" w:rsidP="00131233">
            <w:pPr>
              <w:spacing w:after="0" w:line="240" w:lineRule="auto"/>
              <w:jc w:val="both"/>
              <w:rPr>
                <w:rFonts w:asciiTheme="majorHAnsi" w:eastAsia="Times New Roman" w:hAnsiTheme="majorHAnsi" w:cs="Times New Roman"/>
                <w:sz w:val="24"/>
                <w:szCs w:val="24"/>
                <w:lang w:val="ru-MD"/>
              </w:rPr>
            </w:pPr>
            <w:r w:rsidRPr="00EC5A7B">
              <w:rPr>
                <w:rFonts w:asciiTheme="majorHAnsi" w:hAnsiTheme="majorHAnsi"/>
                <w:sz w:val="24"/>
                <w:lang w:val="ru-MD"/>
              </w:rPr>
              <w:t>период возмещения от одного года и больше</w:t>
            </w:r>
            <w:r w:rsidR="00120647" w:rsidRPr="00EC5A7B">
              <w:rPr>
                <w:rFonts w:asciiTheme="majorHAnsi" w:eastAsia="Times New Roman" w:hAnsiTheme="majorHAnsi" w:cs="Times New Roman"/>
                <w:sz w:val="24"/>
                <w:szCs w:val="24"/>
                <w:lang w:val="ru-MD"/>
              </w:rPr>
              <w:t>;</w:t>
            </w:r>
          </w:p>
        </w:tc>
      </w:tr>
      <w:tr w:rsidR="00131233" w:rsidRPr="00EC5A7B" w14:paraId="22C71D59" w14:textId="77777777" w:rsidTr="00B84F41">
        <w:tc>
          <w:tcPr>
            <w:tcW w:w="2748" w:type="dxa"/>
          </w:tcPr>
          <w:p w14:paraId="6E1FC780" w14:textId="26A619B9" w:rsidR="00131233" w:rsidRPr="00EC5A7B" w:rsidRDefault="002958DF" w:rsidP="00131233">
            <w:pPr>
              <w:spacing w:after="0" w:line="240" w:lineRule="auto"/>
              <w:rPr>
                <w:rFonts w:asciiTheme="majorHAnsi" w:eastAsia="Times New Roman" w:hAnsiTheme="majorHAnsi" w:cstheme="majorHAnsi"/>
                <w:i/>
                <w:iCs/>
                <w:sz w:val="24"/>
                <w:szCs w:val="24"/>
                <w:lang w:val="ru-MD" w:eastAsia="ru-RU"/>
              </w:rPr>
            </w:pPr>
            <w:r w:rsidRPr="00EC5A7B">
              <w:rPr>
                <w:rFonts w:asciiTheme="majorHAnsi" w:hAnsiTheme="majorHAnsi" w:cstheme="majorHAnsi"/>
                <w:i/>
                <w:iCs/>
                <w:sz w:val="24"/>
                <w:szCs w:val="24"/>
                <w:lang w:val="ru-MD"/>
              </w:rPr>
              <w:t>Государственная ценная бумага</w:t>
            </w:r>
          </w:p>
        </w:tc>
        <w:tc>
          <w:tcPr>
            <w:tcW w:w="6596" w:type="dxa"/>
          </w:tcPr>
          <w:p w14:paraId="54357B46" w14:textId="57B3B565" w:rsidR="00131233" w:rsidRPr="00EC5A7B" w:rsidRDefault="002958DF" w:rsidP="002958DF">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rPr>
              <w:t>инструмент государственного долга, выпускаемый в форме негоциируемой ценной бумаги</w:t>
            </w:r>
            <w:r w:rsidR="00120647" w:rsidRPr="00EC5A7B">
              <w:rPr>
                <w:rFonts w:asciiTheme="majorHAnsi" w:eastAsia="Times New Roman" w:hAnsiTheme="majorHAnsi" w:cstheme="majorHAnsi"/>
                <w:sz w:val="24"/>
                <w:szCs w:val="24"/>
                <w:lang w:val="ru-MD" w:eastAsia="ru-RU"/>
              </w:rPr>
              <w:t>;</w:t>
            </w:r>
          </w:p>
        </w:tc>
      </w:tr>
      <w:tr w:rsidR="00B736AB" w:rsidRPr="00EC5A7B" w14:paraId="3AC75B6A" w14:textId="77777777" w:rsidTr="00B84F41">
        <w:tc>
          <w:tcPr>
            <w:tcW w:w="2748" w:type="dxa"/>
          </w:tcPr>
          <w:p w14:paraId="65E79A15" w14:textId="25E3D112" w:rsidR="00B736AB" w:rsidRPr="00EC5A7B" w:rsidRDefault="002958DF" w:rsidP="002958DF">
            <w:pPr>
              <w:spacing w:after="0" w:line="240" w:lineRule="auto"/>
              <w:rPr>
                <w:rFonts w:asciiTheme="majorHAnsi" w:eastAsia="Times New Roman" w:hAnsiTheme="majorHAnsi" w:cstheme="majorHAnsi"/>
                <w:i/>
                <w:iCs/>
                <w:sz w:val="24"/>
                <w:szCs w:val="24"/>
                <w:lang w:val="ru-MD" w:eastAsia="ru-RU"/>
              </w:rPr>
            </w:pPr>
            <w:r w:rsidRPr="00EC5A7B">
              <w:rPr>
                <w:rFonts w:asciiTheme="majorHAnsi" w:eastAsia="Times New Roman" w:hAnsiTheme="majorHAnsi" w:cstheme="majorHAnsi"/>
                <w:i/>
                <w:iCs/>
                <w:sz w:val="24"/>
                <w:szCs w:val="24"/>
                <w:lang w:val="ru-MD" w:eastAsia="ru-RU"/>
              </w:rPr>
              <w:t>Конвертируемые ГЦБ</w:t>
            </w:r>
          </w:p>
        </w:tc>
        <w:tc>
          <w:tcPr>
            <w:tcW w:w="6596" w:type="dxa"/>
          </w:tcPr>
          <w:p w14:paraId="010F15E3" w14:textId="365B8941" w:rsidR="00B736AB" w:rsidRPr="00EC5A7B" w:rsidRDefault="002958DF" w:rsidP="002958DF">
            <w:pPr>
              <w:spacing w:after="0" w:line="240" w:lineRule="auto"/>
              <w:jc w:val="both"/>
              <w:rPr>
                <w:rFonts w:asciiTheme="majorHAnsi" w:eastAsia="Times New Roman" w:hAnsiTheme="majorHAnsi" w:cstheme="majorHAnsi"/>
                <w:sz w:val="24"/>
                <w:szCs w:val="24"/>
                <w:lang w:val="ru-MD" w:eastAsia="ru-RU"/>
              </w:rPr>
            </w:pPr>
            <w:r w:rsidRPr="00EC5A7B">
              <w:rPr>
                <w:rFonts w:asciiTheme="majorHAnsi" w:hAnsiTheme="majorHAnsi" w:cstheme="majorHAnsi"/>
                <w:sz w:val="24"/>
                <w:szCs w:val="24"/>
                <w:lang w:val="ru-MD" w:eastAsia="ru-RU"/>
              </w:rPr>
              <w:t>Остаток контрактованных ранее займов от НБМ</w:t>
            </w:r>
            <w:r w:rsidR="00B736AB" w:rsidRPr="00EC5A7B">
              <w:rPr>
                <w:rFonts w:asciiTheme="majorHAnsi" w:hAnsiTheme="majorHAnsi" w:cstheme="majorHAnsi"/>
                <w:sz w:val="24"/>
                <w:szCs w:val="24"/>
                <w:lang w:val="ru-MD" w:eastAsia="ru-RU"/>
              </w:rPr>
              <w:t>.</w:t>
            </w:r>
          </w:p>
        </w:tc>
      </w:tr>
    </w:tbl>
    <w:p w14:paraId="4BBDAEE8" w14:textId="77777777" w:rsidR="00B84F41" w:rsidRPr="00EC5A7B" w:rsidRDefault="00B84F41" w:rsidP="00B84F41">
      <w:pPr>
        <w:rPr>
          <w:lang w:val="ru-MD" w:eastAsia="ru-RU"/>
        </w:rPr>
      </w:pPr>
    </w:p>
    <w:p w14:paraId="46EBD060" w14:textId="77777777" w:rsidR="00B84F41" w:rsidRPr="00EC5A7B" w:rsidRDefault="00B84F41" w:rsidP="00B84F41">
      <w:pPr>
        <w:rPr>
          <w:lang w:val="ru-MD" w:eastAsia="ru-RU"/>
        </w:rPr>
      </w:pPr>
    </w:p>
    <w:p w14:paraId="18BC9DB0" w14:textId="77777777" w:rsidR="00BE7C48" w:rsidRPr="00EC5A7B" w:rsidRDefault="00BE7C48" w:rsidP="00182F0D">
      <w:pPr>
        <w:pStyle w:val="ListParagraph"/>
        <w:numPr>
          <w:ilvl w:val="0"/>
          <w:numId w:val="1"/>
        </w:numPr>
        <w:autoSpaceDE w:val="0"/>
        <w:autoSpaceDN w:val="0"/>
        <w:adjustRightInd w:val="0"/>
        <w:spacing w:after="0" w:line="240" w:lineRule="auto"/>
        <w:outlineLvl w:val="0"/>
        <w:rPr>
          <w:lang w:val="ru-MD" w:eastAsia="ru-RU"/>
        </w:rPr>
      </w:pPr>
      <w:r w:rsidRPr="00EC5A7B">
        <w:rPr>
          <w:lang w:val="ru-MD" w:eastAsia="ru-RU"/>
        </w:rPr>
        <w:br w:type="page"/>
      </w:r>
    </w:p>
    <w:p w14:paraId="714E0381" w14:textId="13591103" w:rsidR="00B84F41" w:rsidRPr="00EC5A7B" w:rsidRDefault="002608FF" w:rsidP="00182F0D">
      <w:pPr>
        <w:pStyle w:val="ListParagraph"/>
        <w:numPr>
          <w:ilvl w:val="0"/>
          <w:numId w:val="1"/>
        </w:numPr>
        <w:autoSpaceDE w:val="0"/>
        <w:autoSpaceDN w:val="0"/>
        <w:adjustRightInd w:val="0"/>
        <w:spacing w:after="0" w:line="240" w:lineRule="auto"/>
        <w:outlineLvl w:val="0"/>
        <w:rPr>
          <w:rFonts w:asciiTheme="majorHAnsi" w:eastAsia="Times New Roman" w:hAnsiTheme="majorHAnsi" w:cstheme="majorHAnsi"/>
          <w:b/>
          <w:bCs/>
          <w:color w:val="5B9BD5" w:themeColor="accent1"/>
          <w:sz w:val="28"/>
          <w:szCs w:val="28"/>
          <w:lang w:val="ru-MD" w:eastAsia="ru-RU"/>
        </w:rPr>
      </w:pPr>
      <w:bookmarkStart w:id="3" w:name="_Toc63157252"/>
      <w:r w:rsidRPr="00EC5A7B">
        <w:rPr>
          <w:rFonts w:asciiTheme="majorHAnsi" w:eastAsia="Times New Roman" w:hAnsiTheme="majorHAnsi" w:cstheme="majorHAnsi"/>
          <w:b/>
          <w:bCs/>
          <w:color w:val="5B9BD5" w:themeColor="accent1"/>
          <w:sz w:val="28"/>
          <w:szCs w:val="28"/>
          <w:lang w:val="ru-MD" w:eastAsia="ru-RU"/>
        </w:rPr>
        <w:lastRenderedPageBreak/>
        <w:t>СИНТЕЗ</w:t>
      </w:r>
      <w:bookmarkEnd w:id="3"/>
    </w:p>
    <w:p w14:paraId="58E958A8" w14:textId="61CE7457" w:rsidR="008E2EC9" w:rsidRPr="00EC5A7B" w:rsidRDefault="00343139" w:rsidP="005B7CF5">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По состоянию на</w:t>
      </w:r>
      <w:r w:rsidR="002608FF" w:rsidRPr="00EC5A7B">
        <w:rPr>
          <w:rFonts w:asciiTheme="majorHAnsi" w:hAnsiTheme="majorHAnsi" w:cstheme="majorHAnsi"/>
          <w:sz w:val="24"/>
          <w:szCs w:val="24"/>
          <w:lang w:val="ru-MD" w:eastAsia="ru-RU"/>
        </w:rPr>
        <w:t xml:space="preserve"> 31.12.2019 </w:t>
      </w:r>
      <w:r w:rsidRPr="00EC5A7B">
        <w:rPr>
          <w:rFonts w:asciiTheme="majorHAnsi" w:hAnsiTheme="majorHAnsi" w:cstheme="majorHAnsi"/>
          <w:sz w:val="24"/>
          <w:szCs w:val="24"/>
          <w:lang w:val="ru-MD"/>
        </w:rPr>
        <w:t xml:space="preserve">долг публичного сектора составлял </w:t>
      </w:r>
      <w:r w:rsidR="002608FF" w:rsidRPr="00EC5A7B">
        <w:rPr>
          <w:rFonts w:asciiTheme="majorHAnsi" w:hAnsiTheme="majorHAnsi" w:cstheme="majorHAnsi"/>
          <w:sz w:val="24"/>
          <w:szCs w:val="24"/>
          <w:lang w:val="ru-MD" w:eastAsia="ru-RU"/>
        </w:rPr>
        <w:t>57 604,8 млн. ле</w:t>
      </w:r>
      <w:r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xml:space="preserve">, на 276,5 млн. леев </w:t>
      </w:r>
      <w:r w:rsidRPr="00EC5A7B">
        <w:rPr>
          <w:rFonts w:asciiTheme="majorHAnsi" w:hAnsiTheme="majorHAnsi" w:cstheme="majorHAnsi"/>
          <w:sz w:val="24"/>
          <w:szCs w:val="24"/>
          <w:lang w:val="ru-MD" w:eastAsia="ru-RU"/>
        </w:rPr>
        <w:t xml:space="preserve">меньше </w:t>
      </w:r>
      <w:r w:rsidR="002608FF" w:rsidRPr="00EC5A7B">
        <w:rPr>
          <w:rFonts w:asciiTheme="majorHAnsi" w:hAnsiTheme="majorHAnsi" w:cstheme="majorHAnsi"/>
          <w:sz w:val="24"/>
          <w:szCs w:val="24"/>
          <w:lang w:val="ru-MD" w:eastAsia="ru-RU"/>
        </w:rPr>
        <w:t xml:space="preserve">по сравнению с </w:t>
      </w:r>
      <w:r w:rsidRPr="00EC5A7B">
        <w:rPr>
          <w:rFonts w:asciiTheme="majorHAnsi" w:hAnsiTheme="majorHAnsi" w:cstheme="majorHAnsi"/>
          <w:sz w:val="24"/>
          <w:szCs w:val="24"/>
          <w:lang w:val="ru-MD" w:eastAsia="ru-RU"/>
        </w:rPr>
        <w:t>сальдо</w:t>
      </w:r>
      <w:r w:rsidR="002608FF"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rPr>
        <w:t>долга публичного сектора</w:t>
      </w:r>
      <w:r w:rsidR="002608FF" w:rsidRPr="00EC5A7B">
        <w:rPr>
          <w:rFonts w:asciiTheme="majorHAnsi" w:hAnsiTheme="majorHAnsi" w:cstheme="majorHAnsi"/>
          <w:sz w:val="24"/>
          <w:szCs w:val="24"/>
          <w:lang w:val="ru-MD" w:eastAsia="ru-RU"/>
        </w:rPr>
        <w:t>, зарегистрированн</w:t>
      </w:r>
      <w:r w:rsidRPr="00EC5A7B">
        <w:rPr>
          <w:rFonts w:asciiTheme="majorHAnsi" w:hAnsiTheme="majorHAnsi" w:cstheme="majorHAnsi"/>
          <w:sz w:val="24"/>
          <w:szCs w:val="24"/>
          <w:lang w:val="ru-MD" w:eastAsia="ru-RU"/>
        </w:rPr>
        <w:t>ого</w:t>
      </w:r>
      <w:r w:rsidR="002608FF" w:rsidRPr="00EC5A7B">
        <w:rPr>
          <w:rFonts w:asciiTheme="majorHAnsi" w:hAnsiTheme="majorHAnsi" w:cstheme="majorHAnsi"/>
          <w:sz w:val="24"/>
          <w:szCs w:val="24"/>
          <w:lang w:val="ru-MD" w:eastAsia="ru-RU"/>
        </w:rPr>
        <w:t xml:space="preserve"> в 2018 году. Из общего </w:t>
      </w:r>
      <w:r w:rsidRPr="00EC5A7B">
        <w:rPr>
          <w:rFonts w:asciiTheme="majorHAnsi" w:hAnsiTheme="majorHAnsi" w:cstheme="majorHAnsi"/>
          <w:sz w:val="24"/>
          <w:szCs w:val="24"/>
          <w:lang w:val="ru-MD" w:eastAsia="ru-RU"/>
        </w:rPr>
        <w:t xml:space="preserve">объема </w:t>
      </w:r>
      <w:r w:rsidRPr="00EC5A7B">
        <w:rPr>
          <w:rFonts w:asciiTheme="majorHAnsi" w:hAnsiTheme="majorHAnsi" w:cstheme="majorHAnsi"/>
          <w:sz w:val="24"/>
          <w:szCs w:val="24"/>
          <w:lang w:val="ru-MD"/>
        </w:rPr>
        <w:t xml:space="preserve">долга публичного сектора, </w:t>
      </w:r>
      <w:r w:rsidRPr="00EC5A7B">
        <w:rPr>
          <w:rFonts w:asciiTheme="majorHAnsi" w:hAnsiTheme="majorHAnsi" w:cstheme="majorHAnsi"/>
          <w:sz w:val="24"/>
          <w:szCs w:val="24"/>
          <w:lang w:val="ru-MD" w:eastAsia="ru-RU"/>
        </w:rPr>
        <w:t>компонент</w:t>
      </w:r>
      <w:r w:rsidR="002608FF" w:rsidRPr="00EC5A7B">
        <w:rPr>
          <w:rFonts w:asciiTheme="majorHAnsi" w:hAnsiTheme="majorHAnsi" w:cstheme="majorHAnsi"/>
          <w:sz w:val="24"/>
          <w:szCs w:val="24"/>
          <w:lang w:val="ru-MD" w:eastAsia="ru-RU"/>
        </w:rPr>
        <w:t xml:space="preserve"> государственного долга составляет 91,1%</w:t>
      </w:r>
      <w:r w:rsidR="00D835C4" w:rsidRPr="00EC5A7B">
        <w:rPr>
          <w:rFonts w:asciiTheme="majorHAnsi" w:hAnsiTheme="majorHAnsi" w:cstheme="majorHAnsi"/>
          <w:sz w:val="24"/>
          <w:szCs w:val="24"/>
          <w:lang w:val="ru-MD" w:eastAsia="ru-RU"/>
        </w:rPr>
        <w:t>.</w:t>
      </w:r>
    </w:p>
    <w:p w14:paraId="0AFB1B59" w14:textId="42220694" w:rsidR="00AF21BF" w:rsidRPr="00EC5A7B" w:rsidRDefault="00717D77" w:rsidP="00AF21BF">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Сальдо</w:t>
      </w:r>
      <w:r w:rsidR="002608FF" w:rsidRPr="00EC5A7B">
        <w:rPr>
          <w:rFonts w:asciiTheme="majorHAnsi" w:hAnsiTheme="majorHAnsi" w:cstheme="majorHAnsi"/>
          <w:sz w:val="24"/>
          <w:szCs w:val="24"/>
          <w:lang w:val="ru-MD" w:eastAsia="ru-RU"/>
        </w:rPr>
        <w:t xml:space="preserve"> государственного долга в 2019 году составил</w:t>
      </w:r>
      <w:r w:rsidRPr="00EC5A7B">
        <w:rPr>
          <w:rFonts w:asciiTheme="majorHAnsi" w:hAnsiTheme="majorHAnsi" w:cstheme="majorHAnsi"/>
          <w:sz w:val="24"/>
          <w:szCs w:val="24"/>
          <w:lang w:val="ru-MD" w:eastAsia="ru-RU"/>
        </w:rPr>
        <w:t>о</w:t>
      </w:r>
      <w:r w:rsidR="002608FF" w:rsidRPr="00EC5A7B">
        <w:rPr>
          <w:rFonts w:asciiTheme="majorHAnsi" w:hAnsiTheme="majorHAnsi" w:cstheme="majorHAnsi"/>
          <w:sz w:val="24"/>
          <w:szCs w:val="24"/>
          <w:lang w:val="ru-MD" w:eastAsia="ru-RU"/>
        </w:rPr>
        <w:t xml:space="preserve"> 52 494,3 млн. леев, или на 481,8 млн. леев больше по сравнению с </w:t>
      </w:r>
      <w:r w:rsidRPr="00EC5A7B">
        <w:rPr>
          <w:rFonts w:asciiTheme="majorHAnsi" w:hAnsiTheme="majorHAnsi" w:cstheme="majorHAnsi"/>
          <w:sz w:val="24"/>
          <w:szCs w:val="24"/>
          <w:lang w:val="ru-MD" w:eastAsia="ru-RU"/>
        </w:rPr>
        <w:t>сальдо</w:t>
      </w:r>
      <w:r w:rsidR="002608FF" w:rsidRPr="00EC5A7B">
        <w:rPr>
          <w:rFonts w:asciiTheme="majorHAnsi" w:hAnsiTheme="majorHAnsi" w:cstheme="majorHAnsi"/>
          <w:sz w:val="24"/>
          <w:szCs w:val="24"/>
          <w:lang w:val="ru-MD" w:eastAsia="ru-RU"/>
        </w:rPr>
        <w:t xml:space="preserve"> предыдущего года, благодаря росту как внешнего государственного долга, так и внутреннего государственного долга. Государственный долг был сформирован из внешнего государственного долга-29 326,1 млн. ле</w:t>
      </w:r>
      <w:r w:rsidR="000C054F"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xml:space="preserve"> (55,9%) и внутренн</w:t>
      </w:r>
      <w:r w:rsidR="000C054F" w:rsidRPr="00EC5A7B">
        <w:rPr>
          <w:rFonts w:asciiTheme="majorHAnsi" w:hAnsiTheme="majorHAnsi" w:cstheme="majorHAnsi"/>
          <w:sz w:val="24"/>
          <w:szCs w:val="24"/>
          <w:lang w:val="ru-MD" w:eastAsia="ru-RU"/>
        </w:rPr>
        <w:t>его</w:t>
      </w:r>
      <w:r w:rsidR="002608FF" w:rsidRPr="00EC5A7B">
        <w:rPr>
          <w:rFonts w:asciiTheme="majorHAnsi" w:hAnsiTheme="majorHAnsi" w:cstheme="majorHAnsi"/>
          <w:sz w:val="24"/>
          <w:szCs w:val="24"/>
          <w:lang w:val="ru-MD" w:eastAsia="ru-RU"/>
        </w:rPr>
        <w:t xml:space="preserve"> государственн</w:t>
      </w:r>
      <w:r w:rsidR="000C054F" w:rsidRPr="00EC5A7B">
        <w:rPr>
          <w:rFonts w:asciiTheme="majorHAnsi" w:hAnsiTheme="majorHAnsi" w:cstheme="majorHAnsi"/>
          <w:sz w:val="24"/>
          <w:szCs w:val="24"/>
          <w:lang w:val="ru-MD" w:eastAsia="ru-RU"/>
        </w:rPr>
        <w:t>ого</w:t>
      </w:r>
      <w:r w:rsidR="002608FF" w:rsidRPr="00EC5A7B">
        <w:rPr>
          <w:rFonts w:asciiTheme="majorHAnsi" w:hAnsiTheme="majorHAnsi" w:cstheme="majorHAnsi"/>
          <w:sz w:val="24"/>
          <w:szCs w:val="24"/>
          <w:lang w:val="ru-MD" w:eastAsia="ru-RU"/>
        </w:rPr>
        <w:t xml:space="preserve"> долг</w:t>
      </w:r>
      <w:r w:rsidR="000C054F" w:rsidRPr="00EC5A7B">
        <w:rPr>
          <w:rFonts w:asciiTheme="majorHAnsi" w:hAnsiTheme="majorHAnsi" w:cstheme="majorHAnsi"/>
          <w:sz w:val="24"/>
          <w:szCs w:val="24"/>
          <w:lang w:val="ru-MD" w:eastAsia="ru-RU"/>
        </w:rPr>
        <w:t xml:space="preserve">а </w:t>
      </w:r>
      <w:r w:rsidR="002608FF" w:rsidRPr="00EC5A7B">
        <w:rPr>
          <w:rFonts w:asciiTheme="majorHAnsi" w:hAnsiTheme="majorHAnsi" w:cstheme="majorHAnsi"/>
          <w:sz w:val="24"/>
          <w:szCs w:val="24"/>
          <w:lang w:val="ru-MD" w:eastAsia="ru-RU"/>
        </w:rPr>
        <w:t>-</w:t>
      </w:r>
      <w:r w:rsidR="000C054F" w:rsidRPr="00EC5A7B">
        <w:rPr>
          <w:rFonts w:asciiTheme="majorHAnsi" w:hAnsiTheme="majorHAnsi" w:cstheme="majorHAnsi"/>
          <w:sz w:val="24"/>
          <w:szCs w:val="24"/>
          <w:lang w:val="ru-MD" w:eastAsia="ru-RU"/>
        </w:rPr>
        <w:t xml:space="preserve"> </w:t>
      </w:r>
      <w:r w:rsidR="002608FF" w:rsidRPr="00EC5A7B">
        <w:rPr>
          <w:rFonts w:asciiTheme="majorHAnsi" w:hAnsiTheme="majorHAnsi" w:cstheme="majorHAnsi"/>
          <w:sz w:val="24"/>
          <w:szCs w:val="24"/>
          <w:lang w:val="ru-MD" w:eastAsia="ru-RU"/>
        </w:rPr>
        <w:t>23 168,2 млн. ле</w:t>
      </w:r>
      <w:r w:rsidR="000C054F"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xml:space="preserve"> (44,1%). Как доля в ВВП, государственный долг составил 25,0%, зарегистрировав тенденцию к снижению на 2,0 п. п. по сравнению с 2018 годом</w:t>
      </w:r>
      <w:r w:rsidR="00AF21BF" w:rsidRPr="00EC5A7B">
        <w:rPr>
          <w:rFonts w:asciiTheme="majorHAnsi" w:hAnsiTheme="majorHAnsi" w:cstheme="majorHAnsi"/>
          <w:sz w:val="24"/>
          <w:szCs w:val="24"/>
          <w:lang w:val="ru-MD" w:eastAsia="ru-RU"/>
        </w:rPr>
        <w:t>.</w:t>
      </w:r>
    </w:p>
    <w:p w14:paraId="5E54D18A" w14:textId="505CD28C" w:rsidR="00E342E2" w:rsidRPr="00EC5A7B" w:rsidRDefault="00890E7D" w:rsidP="001A181D">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На конец</w:t>
      </w:r>
      <w:r w:rsidR="002608FF" w:rsidRPr="00EC5A7B">
        <w:rPr>
          <w:rFonts w:asciiTheme="majorHAnsi" w:hAnsiTheme="majorHAnsi" w:cstheme="majorHAnsi"/>
          <w:sz w:val="24"/>
          <w:szCs w:val="24"/>
          <w:lang w:val="ru-MD" w:eastAsia="ru-RU"/>
        </w:rPr>
        <w:t xml:space="preserve"> 2019 года внутренний государственный долг составил 23 168,2 млн. </w:t>
      </w:r>
      <w:r w:rsidR="00AE7F44" w:rsidRPr="00EC5A7B">
        <w:rPr>
          <w:rFonts w:asciiTheme="majorHAnsi" w:hAnsiTheme="majorHAnsi" w:cstheme="majorHAnsi"/>
          <w:sz w:val="24"/>
          <w:szCs w:val="24"/>
          <w:lang w:val="ru-MD" w:eastAsia="ru-RU"/>
        </w:rPr>
        <w:t>леев</w:t>
      </w:r>
      <w:r w:rsidR="002608FF" w:rsidRPr="00EC5A7B">
        <w:rPr>
          <w:rFonts w:asciiTheme="majorHAnsi" w:hAnsiTheme="majorHAnsi" w:cstheme="majorHAnsi"/>
          <w:sz w:val="24"/>
          <w:szCs w:val="24"/>
          <w:lang w:val="ru-MD" w:eastAsia="ru-RU"/>
        </w:rPr>
        <w:t>, состоящие из ГЦБ, выпущенных на первичном рынке - 8 253,6 млн. леев</w:t>
      </w:r>
      <w:r w:rsidR="00AE7F44" w:rsidRPr="00EC5A7B">
        <w:rPr>
          <w:rFonts w:asciiTheme="majorHAnsi" w:hAnsiTheme="majorHAnsi" w:cstheme="majorHAnsi"/>
          <w:sz w:val="24"/>
          <w:szCs w:val="24"/>
          <w:lang w:val="ru-MD" w:eastAsia="ru-RU"/>
        </w:rPr>
        <w:t xml:space="preserve"> (35,6%) и конвертируемых ГЦБ - 2 063,4 млн. леев</w:t>
      </w:r>
      <w:r w:rsidR="002608FF" w:rsidRPr="00EC5A7B">
        <w:rPr>
          <w:rFonts w:asciiTheme="majorHAnsi" w:hAnsiTheme="majorHAnsi" w:cstheme="majorHAnsi"/>
          <w:sz w:val="24"/>
          <w:szCs w:val="24"/>
          <w:lang w:val="ru-MD" w:eastAsia="ru-RU"/>
        </w:rPr>
        <w:t xml:space="preserve"> (8,9%) и ГЦБ, выпущенны</w:t>
      </w:r>
      <w:r w:rsidR="00AE7F44" w:rsidRPr="00EC5A7B">
        <w:rPr>
          <w:rFonts w:asciiTheme="majorHAnsi" w:hAnsiTheme="majorHAnsi" w:cstheme="majorHAnsi"/>
          <w:sz w:val="24"/>
          <w:szCs w:val="24"/>
          <w:lang w:val="ru-MD" w:eastAsia="ru-RU"/>
        </w:rPr>
        <w:t>х</w:t>
      </w:r>
      <w:r w:rsidR="002608FF" w:rsidRPr="00EC5A7B">
        <w:rPr>
          <w:rFonts w:asciiTheme="majorHAnsi" w:hAnsiTheme="majorHAnsi" w:cstheme="majorHAnsi"/>
          <w:sz w:val="24"/>
          <w:szCs w:val="24"/>
          <w:lang w:val="ru-MD" w:eastAsia="ru-RU"/>
        </w:rPr>
        <w:t xml:space="preserve"> для исполнения платежных обязательств, </w:t>
      </w:r>
      <w:r w:rsidR="00AE7F44" w:rsidRPr="00EC5A7B">
        <w:rPr>
          <w:rFonts w:asciiTheme="majorHAnsi" w:hAnsiTheme="majorHAnsi" w:cstheme="majorHAnsi"/>
          <w:sz w:val="24"/>
          <w:szCs w:val="24"/>
          <w:lang w:val="ru-MD" w:eastAsia="ru-RU"/>
        </w:rPr>
        <w:t>вытекающих</w:t>
      </w:r>
      <w:r w:rsidR="002608FF" w:rsidRPr="00EC5A7B">
        <w:rPr>
          <w:rFonts w:asciiTheme="majorHAnsi" w:hAnsiTheme="majorHAnsi" w:cstheme="majorHAnsi"/>
          <w:sz w:val="24"/>
          <w:szCs w:val="24"/>
          <w:lang w:val="ru-MD" w:eastAsia="ru-RU"/>
        </w:rPr>
        <w:t xml:space="preserve"> из государственных гарантий-12 851,2 млн. леев (55,5%). По сравнению с началом года сальдо внутреннего государственного долга увеличилось на 109,6 млн. ле</w:t>
      </w:r>
      <w:r w:rsidR="00AE7F44"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изменение было вызвано чистой эмиссией ГЦБ на первичном рынке (+339,6 млн. леев) и выкуп</w:t>
      </w:r>
      <w:r w:rsidR="00AE7F44" w:rsidRPr="00EC5A7B">
        <w:rPr>
          <w:rFonts w:asciiTheme="majorHAnsi" w:hAnsiTheme="majorHAnsi" w:cstheme="majorHAnsi"/>
          <w:sz w:val="24"/>
          <w:szCs w:val="24"/>
          <w:lang w:val="ru-MD" w:eastAsia="ru-RU"/>
        </w:rPr>
        <w:t>ом</w:t>
      </w:r>
      <w:r w:rsidR="002608FF" w:rsidRPr="00EC5A7B">
        <w:rPr>
          <w:rFonts w:asciiTheme="majorHAnsi" w:hAnsiTheme="majorHAnsi" w:cstheme="majorHAnsi"/>
          <w:sz w:val="24"/>
          <w:szCs w:val="24"/>
          <w:lang w:val="ru-MD" w:eastAsia="ru-RU"/>
        </w:rPr>
        <w:t xml:space="preserve"> ГЦБ, вы</w:t>
      </w:r>
      <w:r w:rsidR="00AE7F44" w:rsidRPr="00EC5A7B">
        <w:rPr>
          <w:rFonts w:asciiTheme="majorHAnsi" w:hAnsiTheme="majorHAnsi" w:cstheme="majorHAnsi"/>
          <w:sz w:val="24"/>
          <w:szCs w:val="24"/>
          <w:lang w:val="ru-MD" w:eastAsia="ru-RU"/>
        </w:rPr>
        <w:t>пуще</w:t>
      </w:r>
      <w:r w:rsidR="002608FF" w:rsidRPr="00EC5A7B">
        <w:rPr>
          <w:rFonts w:asciiTheme="majorHAnsi" w:hAnsiTheme="majorHAnsi" w:cstheme="majorHAnsi"/>
          <w:sz w:val="24"/>
          <w:szCs w:val="24"/>
          <w:lang w:val="ru-MD" w:eastAsia="ru-RU"/>
        </w:rPr>
        <w:t xml:space="preserve">нных </w:t>
      </w:r>
      <w:r w:rsidR="00AE7F44" w:rsidRPr="00EC5A7B">
        <w:rPr>
          <w:rFonts w:asciiTheme="majorHAnsi" w:hAnsiTheme="majorHAnsi" w:cstheme="majorHAnsi"/>
          <w:sz w:val="24"/>
          <w:szCs w:val="24"/>
          <w:lang w:val="ru-MD" w:eastAsia="ru-RU"/>
        </w:rPr>
        <w:t>для</w:t>
      </w:r>
      <w:r w:rsidR="002608FF" w:rsidRPr="00EC5A7B">
        <w:rPr>
          <w:rFonts w:asciiTheme="majorHAnsi" w:hAnsiTheme="majorHAnsi" w:cstheme="majorHAnsi"/>
          <w:sz w:val="24"/>
          <w:szCs w:val="24"/>
          <w:lang w:val="ru-MD" w:eastAsia="ru-RU"/>
        </w:rPr>
        <w:t xml:space="preserve"> исполнени</w:t>
      </w:r>
      <w:r w:rsidR="00AE7F44" w:rsidRPr="00EC5A7B">
        <w:rPr>
          <w:rFonts w:asciiTheme="majorHAnsi" w:hAnsiTheme="majorHAnsi" w:cstheme="majorHAnsi"/>
          <w:sz w:val="24"/>
          <w:szCs w:val="24"/>
          <w:lang w:val="ru-MD" w:eastAsia="ru-RU"/>
        </w:rPr>
        <w:t>я</w:t>
      </w:r>
      <w:r w:rsidR="002608FF" w:rsidRPr="00EC5A7B">
        <w:rPr>
          <w:rFonts w:asciiTheme="majorHAnsi" w:hAnsiTheme="majorHAnsi" w:cstheme="majorHAnsi"/>
          <w:sz w:val="24"/>
          <w:szCs w:val="24"/>
          <w:lang w:val="ru-MD" w:eastAsia="ru-RU"/>
        </w:rPr>
        <w:t xml:space="preserve"> платежных обязательств, вытекающих из государственных гарантий (-230,0 млн. ле</w:t>
      </w:r>
      <w:r w:rsidR="00AE7F44"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xml:space="preserve">). В 2019 году средневзвешенная номинальная процентная ставка по ГЦБ составила 6,22%, что на 1,23 п. п. выше, чем в 2018 году. </w:t>
      </w:r>
      <w:r w:rsidR="002608FF" w:rsidRPr="00EC5A7B">
        <w:rPr>
          <w:rFonts w:asciiTheme="majorHAnsi" w:hAnsiTheme="majorHAnsi" w:cstheme="majorHAnsi"/>
          <w:sz w:val="24"/>
          <w:szCs w:val="24"/>
          <w:lang w:val="ru-MD" w:eastAsia="ru-RU"/>
        </w:rPr>
        <w:lastRenderedPageBreak/>
        <w:t>Хотя в течение отчетного года не были вы</w:t>
      </w:r>
      <w:r w:rsidR="00AE7F44" w:rsidRPr="00EC5A7B">
        <w:rPr>
          <w:rFonts w:asciiTheme="majorHAnsi" w:hAnsiTheme="majorHAnsi" w:cstheme="majorHAnsi"/>
          <w:sz w:val="24"/>
          <w:szCs w:val="24"/>
          <w:lang w:val="ru-MD" w:eastAsia="ru-RU"/>
        </w:rPr>
        <w:t>пуще</w:t>
      </w:r>
      <w:r w:rsidR="002608FF" w:rsidRPr="00EC5A7B">
        <w:rPr>
          <w:rFonts w:asciiTheme="majorHAnsi" w:hAnsiTheme="majorHAnsi" w:cstheme="majorHAnsi"/>
          <w:sz w:val="24"/>
          <w:szCs w:val="24"/>
          <w:lang w:val="ru-MD" w:eastAsia="ru-RU"/>
        </w:rPr>
        <w:t>ны ГЦБ для пополнения резерва ликвидности, отмечается, как и в предыдущем году, отсутствие нормативной базы, которая разреш</w:t>
      </w:r>
      <w:r w:rsidR="00AE7F44" w:rsidRPr="00EC5A7B">
        <w:rPr>
          <w:rFonts w:asciiTheme="majorHAnsi" w:hAnsiTheme="majorHAnsi" w:cstheme="majorHAnsi"/>
          <w:sz w:val="24"/>
          <w:szCs w:val="24"/>
          <w:lang w:val="ru-MD" w:eastAsia="ru-RU"/>
        </w:rPr>
        <w:t>а</w:t>
      </w:r>
      <w:r w:rsidR="002608FF" w:rsidRPr="00EC5A7B">
        <w:rPr>
          <w:rFonts w:asciiTheme="majorHAnsi" w:hAnsiTheme="majorHAnsi" w:cstheme="majorHAnsi"/>
          <w:sz w:val="24"/>
          <w:szCs w:val="24"/>
          <w:lang w:val="ru-MD" w:eastAsia="ru-RU"/>
        </w:rPr>
        <w:t>ла бы МФ созда</w:t>
      </w:r>
      <w:r w:rsidR="00AE7F44" w:rsidRPr="00EC5A7B">
        <w:rPr>
          <w:rFonts w:asciiTheme="majorHAnsi" w:hAnsiTheme="majorHAnsi" w:cstheme="majorHAnsi"/>
          <w:sz w:val="24"/>
          <w:szCs w:val="24"/>
          <w:lang w:val="ru-MD" w:eastAsia="ru-RU"/>
        </w:rPr>
        <w:t>вать</w:t>
      </w:r>
      <w:r w:rsidR="002608FF" w:rsidRPr="00EC5A7B">
        <w:rPr>
          <w:rFonts w:asciiTheme="majorHAnsi" w:hAnsiTheme="majorHAnsi" w:cstheme="majorHAnsi"/>
          <w:sz w:val="24"/>
          <w:szCs w:val="24"/>
          <w:lang w:val="ru-MD" w:eastAsia="ru-RU"/>
        </w:rPr>
        <w:t xml:space="preserve"> это</w:t>
      </w:r>
      <w:r w:rsidR="00AE7F44" w:rsidRPr="00EC5A7B">
        <w:rPr>
          <w:rFonts w:asciiTheme="majorHAnsi" w:hAnsiTheme="majorHAnsi" w:cstheme="majorHAnsi"/>
          <w:sz w:val="24"/>
          <w:szCs w:val="24"/>
          <w:lang w:val="ru-MD" w:eastAsia="ru-RU"/>
        </w:rPr>
        <w:t>т</w:t>
      </w:r>
      <w:r w:rsidR="002608FF" w:rsidRPr="00EC5A7B">
        <w:rPr>
          <w:rFonts w:asciiTheme="majorHAnsi" w:hAnsiTheme="majorHAnsi" w:cstheme="majorHAnsi"/>
          <w:sz w:val="24"/>
          <w:szCs w:val="24"/>
          <w:lang w:val="ru-MD" w:eastAsia="ru-RU"/>
        </w:rPr>
        <w:t xml:space="preserve"> резерв путем выпуска ГЦБ</w:t>
      </w:r>
      <w:r w:rsidR="00E342E2" w:rsidRPr="00EC5A7B">
        <w:rPr>
          <w:rFonts w:asciiTheme="majorHAnsi" w:eastAsia="Times New Roman" w:hAnsiTheme="majorHAnsi" w:cstheme="majorHAnsi"/>
          <w:bCs/>
          <w:sz w:val="24"/>
          <w:szCs w:val="24"/>
          <w:lang w:val="ru-MD" w:eastAsia="ru-RU"/>
        </w:rPr>
        <w:t>.</w:t>
      </w:r>
    </w:p>
    <w:p w14:paraId="76F77B6A" w14:textId="712AD86D" w:rsidR="00E342E2" w:rsidRPr="00EC5A7B" w:rsidRDefault="002608FF" w:rsidP="00FE5C5E">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 xml:space="preserve">Остаток задолженности банков, подлежащих ликвидации (КБ </w:t>
      </w:r>
      <w:r w:rsidR="00AE7F44" w:rsidRPr="00EC5A7B">
        <w:rPr>
          <w:rFonts w:asciiTheme="majorHAnsi" w:eastAsia="Times New Roman" w:hAnsiTheme="majorHAnsi" w:cstheme="majorHAnsi"/>
          <w:bCs/>
          <w:sz w:val="24"/>
          <w:szCs w:val="24"/>
          <w:lang w:val="ru-MD" w:eastAsia="ru-RU"/>
        </w:rPr>
        <w:t>„Investprivatbank”</w:t>
      </w:r>
      <w:r w:rsidRPr="00EC5A7B">
        <w:rPr>
          <w:rFonts w:asciiTheme="majorHAnsi" w:eastAsia="Times New Roman" w:hAnsiTheme="majorHAnsi" w:cstheme="majorHAnsi"/>
          <w:bCs/>
          <w:sz w:val="24"/>
          <w:szCs w:val="24"/>
          <w:lang w:val="ru-MD" w:eastAsia="ru-RU"/>
        </w:rPr>
        <w:t xml:space="preserve"> АО, </w:t>
      </w:r>
      <w:r w:rsidR="00AE7F44" w:rsidRPr="00EC5A7B">
        <w:rPr>
          <w:rFonts w:asciiTheme="majorHAnsi" w:eastAsia="Times New Roman" w:hAnsiTheme="majorHAnsi" w:cstheme="majorHAnsi"/>
          <w:bCs/>
          <w:sz w:val="24"/>
          <w:szCs w:val="24"/>
          <w:lang w:val="ru-MD" w:eastAsia="ru-RU"/>
        </w:rPr>
        <w:t>„Banca de Economii”</w:t>
      </w:r>
      <w:r w:rsidRPr="00EC5A7B">
        <w:rPr>
          <w:rFonts w:asciiTheme="majorHAnsi" w:eastAsia="Times New Roman" w:hAnsiTheme="majorHAnsi" w:cstheme="majorHAnsi"/>
          <w:bCs/>
          <w:sz w:val="24"/>
          <w:szCs w:val="24"/>
          <w:lang w:val="ru-MD" w:eastAsia="ru-RU"/>
        </w:rPr>
        <w:t xml:space="preserve"> АО, КБ </w:t>
      </w:r>
      <w:r w:rsidR="00AE7F44" w:rsidRPr="00EC5A7B">
        <w:rPr>
          <w:rFonts w:asciiTheme="majorHAnsi" w:eastAsia="Times New Roman" w:hAnsiTheme="majorHAnsi" w:cstheme="majorHAnsi"/>
          <w:bCs/>
          <w:sz w:val="24"/>
          <w:szCs w:val="24"/>
          <w:lang w:val="ru-MD" w:eastAsia="ru-RU"/>
        </w:rPr>
        <w:t>„Banca Socială”</w:t>
      </w:r>
      <w:r w:rsidRPr="00EC5A7B">
        <w:rPr>
          <w:rFonts w:asciiTheme="majorHAnsi" w:eastAsia="Times New Roman" w:hAnsiTheme="majorHAnsi" w:cstheme="majorHAnsi"/>
          <w:bCs/>
          <w:sz w:val="24"/>
          <w:szCs w:val="24"/>
          <w:lang w:val="ru-MD" w:eastAsia="ru-RU"/>
        </w:rPr>
        <w:t xml:space="preserve"> АО и КБ </w:t>
      </w:r>
      <w:r w:rsidR="00AE7F44" w:rsidRPr="00EC5A7B">
        <w:rPr>
          <w:rFonts w:asciiTheme="majorHAnsi" w:eastAsia="Times New Roman" w:hAnsiTheme="majorHAnsi" w:cstheme="majorHAnsi"/>
          <w:bCs/>
          <w:sz w:val="24"/>
          <w:szCs w:val="24"/>
          <w:lang w:val="ru-MD" w:eastAsia="ru-RU"/>
        </w:rPr>
        <w:t>„Unibank”</w:t>
      </w:r>
      <w:r w:rsidRPr="00EC5A7B">
        <w:rPr>
          <w:rFonts w:asciiTheme="majorHAnsi" w:eastAsia="Times New Roman" w:hAnsiTheme="majorHAnsi" w:cstheme="majorHAnsi"/>
          <w:bCs/>
          <w:sz w:val="24"/>
          <w:szCs w:val="24"/>
          <w:lang w:val="ru-MD" w:eastAsia="ru-RU"/>
        </w:rPr>
        <w:t xml:space="preserve"> АО), сформированный в результате выпуска ГЦБ для финансовой стабильности</w:t>
      </w:r>
      <w:r w:rsidR="00AE7F44" w:rsidRPr="00EC5A7B">
        <w:rPr>
          <w:rFonts w:asciiTheme="majorHAnsi" w:eastAsia="Times New Roman" w:hAnsiTheme="majorHAnsi" w:cstheme="majorHAnsi"/>
          <w:bCs/>
          <w:sz w:val="24"/>
          <w:szCs w:val="24"/>
          <w:lang w:val="ru-MD" w:eastAsia="ru-RU"/>
        </w:rPr>
        <w:t>,</w:t>
      </w:r>
      <w:r w:rsidRPr="00EC5A7B">
        <w:rPr>
          <w:rFonts w:asciiTheme="majorHAnsi" w:eastAsia="Times New Roman" w:hAnsiTheme="majorHAnsi" w:cstheme="majorHAnsi"/>
          <w:bCs/>
          <w:sz w:val="24"/>
          <w:szCs w:val="24"/>
          <w:lang w:val="ru-MD" w:eastAsia="ru-RU"/>
        </w:rPr>
        <w:t xml:space="preserve"> и ГЦБ для исполнения платежных обязательств, </w:t>
      </w:r>
      <w:r w:rsidR="00AE7F44" w:rsidRPr="00EC5A7B">
        <w:rPr>
          <w:rFonts w:asciiTheme="majorHAnsi" w:eastAsia="Times New Roman" w:hAnsiTheme="majorHAnsi" w:cstheme="majorHAnsi"/>
          <w:bCs/>
          <w:sz w:val="24"/>
          <w:szCs w:val="24"/>
          <w:lang w:val="ru-MD" w:eastAsia="ru-RU"/>
        </w:rPr>
        <w:t>вытекающих</w:t>
      </w:r>
      <w:r w:rsidRPr="00EC5A7B">
        <w:rPr>
          <w:rFonts w:asciiTheme="majorHAnsi" w:eastAsia="Times New Roman" w:hAnsiTheme="majorHAnsi" w:cstheme="majorHAnsi"/>
          <w:bCs/>
          <w:sz w:val="24"/>
          <w:szCs w:val="24"/>
          <w:lang w:val="ru-MD" w:eastAsia="ru-RU"/>
        </w:rPr>
        <w:t xml:space="preserve"> </w:t>
      </w:r>
      <w:r w:rsidR="00AE7F44" w:rsidRPr="00EC5A7B">
        <w:rPr>
          <w:rFonts w:asciiTheme="majorHAnsi" w:eastAsia="Times New Roman" w:hAnsiTheme="majorHAnsi" w:cstheme="majorHAnsi"/>
          <w:bCs/>
          <w:sz w:val="24"/>
          <w:szCs w:val="24"/>
          <w:lang w:val="ru-MD" w:eastAsia="ru-RU"/>
        </w:rPr>
        <w:t>из</w:t>
      </w:r>
      <w:r w:rsidRPr="00EC5A7B">
        <w:rPr>
          <w:rFonts w:asciiTheme="majorHAnsi" w:eastAsia="Times New Roman" w:hAnsiTheme="majorHAnsi" w:cstheme="majorHAnsi"/>
          <w:bCs/>
          <w:sz w:val="24"/>
          <w:szCs w:val="24"/>
          <w:lang w:val="ru-MD" w:eastAsia="ru-RU"/>
        </w:rPr>
        <w:t xml:space="preserve"> государственных гарантий,</w:t>
      </w:r>
      <w:r w:rsidR="00AD7E48" w:rsidRPr="00EC5A7B">
        <w:rPr>
          <w:rFonts w:asciiTheme="majorHAnsi" w:eastAsia="Times New Roman" w:hAnsiTheme="majorHAnsi" w:cstheme="majorHAnsi"/>
          <w:bCs/>
          <w:sz w:val="24"/>
          <w:szCs w:val="24"/>
          <w:lang w:val="ru-MD" w:eastAsia="ru-RU"/>
        </w:rPr>
        <w:t xml:space="preserve"> все еще </w:t>
      </w:r>
      <w:r w:rsidRPr="00EC5A7B">
        <w:rPr>
          <w:rFonts w:asciiTheme="majorHAnsi" w:eastAsia="Times New Roman" w:hAnsiTheme="majorHAnsi" w:cstheme="majorHAnsi"/>
          <w:bCs/>
          <w:sz w:val="24"/>
          <w:szCs w:val="24"/>
          <w:lang w:val="ru-MD" w:eastAsia="ru-RU"/>
        </w:rPr>
        <w:t>остается значительным (12 090,35 млн. леев)</w:t>
      </w:r>
      <w:r w:rsidR="00AD7E48" w:rsidRPr="00EC5A7B">
        <w:rPr>
          <w:rFonts w:asciiTheme="majorHAnsi" w:eastAsia="Times New Roman" w:hAnsiTheme="majorHAnsi" w:cstheme="majorHAnsi"/>
          <w:bCs/>
          <w:sz w:val="24"/>
          <w:szCs w:val="24"/>
          <w:lang w:val="ru-MD" w:eastAsia="ru-RU"/>
        </w:rPr>
        <w:t>, в связи с</w:t>
      </w:r>
      <w:r w:rsidRPr="00EC5A7B">
        <w:rPr>
          <w:rFonts w:asciiTheme="majorHAnsi" w:eastAsia="Times New Roman" w:hAnsiTheme="majorHAnsi" w:cstheme="majorHAnsi"/>
          <w:bCs/>
          <w:sz w:val="24"/>
          <w:szCs w:val="24"/>
          <w:lang w:val="ru-MD" w:eastAsia="ru-RU"/>
        </w:rPr>
        <w:t xml:space="preserve"> незначительн</w:t>
      </w:r>
      <w:r w:rsidR="00AD7E48" w:rsidRPr="00EC5A7B">
        <w:rPr>
          <w:rFonts w:asciiTheme="majorHAnsi" w:eastAsia="Times New Roman" w:hAnsiTheme="majorHAnsi" w:cstheme="majorHAnsi"/>
          <w:bCs/>
          <w:sz w:val="24"/>
          <w:szCs w:val="24"/>
          <w:lang w:val="ru-MD" w:eastAsia="ru-RU"/>
        </w:rPr>
        <w:t>ым</w:t>
      </w:r>
      <w:r w:rsidRPr="00EC5A7B">
        <w:rPr>
          <w:rFonts w:asciiTheme="majorHAnsi" w:eastAsia="Times New Roman" w:hAnsiTheme="majorHAnsi" w:cstheme="majorHAnsi"/>
          <w:bCs/>
          <w:sz w:val="24"/>
          <w:szCs w:val="24"/>
          <w:lang w:val="ru-MD" w:eastAsia="ru-RU"/>
        </w:rPr>
        <w:t xml:space="preserve"> погашени</w:t>
      </w:r>
      <w:r w:rsidR="00AD7E48" w:rsidRPr="00EC5A7B">
        <w:rPr>
          <w:rFonts w:asciiTheme="majorHAnsi" w:eastAsia="Times New Roman" w:hAnsiTheme="majorHAnsi" w:cstheme="majorHAnsi"/>
          <w:bCs/>
          <w:sz w:val="24"/>
          <w:szCs w:val="24"/>
          <w:lang w:val="ru-MD" w:eastAsia="ru-RU"/>
        </w:rPr>
        <w:t>ем</w:t>
      </w:r>
      <w:r w:rsidRPr="00EC5A7B">
        <w:rPr>
          <w:rFonts w:asciiTheme="majorHAnsi" w:eastAsia="Times New Roman" w:hAnsiTheme="majorHAnsi" w:cstheme="majorHAnsi"/>
          <w:bCs/>
          <w:sz w:val="24"/>
          <w:szCs w:val="24"/>
          <w:lang w:val="ru-MD" w:eastAsia="ru-RU"/>
        </w:rPr>
        <w:t xml:space="preserve"> долгов от </w:t>
      </w:r>
      <w:r w:rsidR="00AD7E48" w:rsidRPr="00EC5A7B">
        <w:rPr>
          <w:rFonts w:asciiTheme="majorHAnsi" w:eastAsia="Times New Roman" w:hAnsiTheme="majorHAnsi" w:cstheme="majorHAnsi"/>
          <w:bCs/>
          <w:sz w:val="24"/>
          <w:szCs w:val="24"/>
          <w:lang w:val="ru-MD" w:eastAsia="ru-RU"/>
        </w:rPr>
        <w:t>освое</w:t>
      </w:r>
      <w:r w:rsidRPr="00EC5A7B">
        <w:rPr>
          <w:rFonts w:asciiTheme="majorHAnsi" w:eastAsia="Times New Roman" w:hAnsiTheme="majorHAnsi" w:cstheme="majorHAnsi"/>
          <w:bCs/>
          <w:sz w:val="24"/>
          <w:szCs w:val="24"/>
          <w:lang w:val="ru-MD" w:eastAsia="ru-RU"/>
        </w:rPr>
        <w:t xml:space="preserve">ния их активов. В течение 2019 года </w:t>
      </w:r>
      <w:r w:rsidR="00AD7E48" w:rsidRPr="00EC5A7B">
        <w:rPr>
          <w:rFonts w:asciiTheme="majorHAnsi" w:eastAsia="Times New Roman" w:hAnsiTheme="majorHAnsi" w:cstheme="majorHAnsi"/>
          <w:bCs/>
          <w:sz w:val="24"/>
          <w:szCs w:val="24"/>
          <w:lang w:val="ru-MD" w:eastAsia="ru-RU"/>
        </w:rPr>
        <w:t>от</w:t>
      </w:r>
      <w:r w:rsidRPr="00EC5A7B">
        <w:rPr>
          <w:rFonts w:asciiTheme="majorHAnsi" w:eastAsia="Times New Roman" w:hAnsiTheme="majorHAnsi" w:cstheme="majorHAnsi"/>
          <w:bCs/>
          <w:sz w:val="24"/>
          <w:szCs w:val="24"/>
          <w:lang w:val="ru-MD" w:eastAsia="ru-RU"/>
        </w:rPr>
        <w:t xml:space="preserve"> освоения активов этих банков в государственный бюджет было возвращено всего 639,45 млн. </w:t>
      </w:r>
      <w:r w:rsidR="00AD7E48" w:rsidRPr="00EC5A7B">
        <w:rPr>
          <w:rFonts w:asciiTheme="majorHAnsi" w:eastAsia="Times New Roman" w:hAnsiTheme="majorHAnsi" w:cstheme="majorHAnsi"/>
          <w:bCs/>
          <w:sz w:val="24"/>
          <w:szCs w:val="24"/>
          <w:lang w:val="ru-MD" w:eastAsia="ru-RU"/>
        </w:rPr>
        <w:t>леев</w:t>
      </w:r>
      <w:r w:rsidRPr="00EC5A7B">
        <w:rPr>
          <w:rFonts w:asciiTheme="majorHAnsi" w:eastAsia="Times New Roman" w:hAnsiTheme="majorHAnsi" w:cstheme="majorHAnsi"/>
          <w:bCs/>
          <w:sz w:val="24"/>
          <w:szCs w:val="24"/>
          <w:lang w:val="ru-MD" w:eastAsia="ru-RU"/>
        </w:rPr>
        <w:t>. В то же время</w:t>
      </w:r>
      <w:r w:rsidR="00AD7E48" w:rsidRPr="00EC5A7B">
        <w:rPr>
          <w:rFonts w:asciiTheme="majorHAnsi" w:eastAsia="Times New Roman" w:hAnsiTheme="majorHAnsi" w:cstheme="majorHAnsi"/>
          <w:bCs/>
          <w:sz w:val="24"/>
          <w:szCs w:val="24"/>
          <w:lang w:val="ru-MD" w:eastAsia="ru-RU"/>
        </w:rPr>
        <w:t>,</w:t>
      </w:r>
      <w:r w:rsidRPr="00EC5A7B">
        <w:rPr>
          <w:rFonts w:asciiTheme="majorHAnsi" w:eastAsia="Times New Roman" w:hAnsiTheme="majorHAnsi" w:cstheme="majorHAnsi"/>
          <w:bCs/>
          <w:sz w:val="24"/>
          <w:szCs w:val="24"/>
          <w:lang w:val="ru-MD" w:eastAsia="ru-RU"/>
        </w:rPr>
        <w:t xml:space="preserve"> долг МФ перед НБМ по гарантиям, выданным банкам, подлежащим ликвидации, составляет 12 851,2 млн. ле</w:t>
      </w:r>
      <w:r w:rsidR="00AD7E48" w:rsidRPr="00EC5A7B">
        <w:rPr>
          <w:rFonts w:asciiTheme="majorHAnsi" w:eastAsia="Times New Roman" w:hAnsiTheme="majorHAnsi" w:cstheme="majorHAnsi"/>
          <w:bCs/>
          <w:sz w:val="24"/>
          <w:szCs w:val="24"/>
          <w:lang w:val="ru-MD" w:eastAsia="ru-RU"/>
        </w:rPr>
        <w:t>ев</w:t>
      </w:r>
      <w:r w:rsidRPr="00EC5A7B">
        <w:rPr>
          <w:rFonts w:asciiTheme="majorHAnsi" w:eastAsia="Times New Roman" w:hAnsiTheme="majorHAnsi" w:cstheme="majorHAnsi"/>
          <w:bCs/>
          <w:sz w:val="24"/>
          <w:szCs w:val="24"/>
          <w:lang w:val="ru-MD" w:eastAsia="ru-RU"/>
        </w:rPr>
        <w:t>, или</w:t>
      </w:r>
      <w:r w:rsidR="00AD7E48" w:rsidRPr="00EC5A7B">
        <w:rPr>
          <w:rFonts w:asciiTheme="majorHAnsi" w:eastAsia="Times New Roman" w:hAnsiTheme="majorHAnsi" w:cstheme="majorHAnsi"/>
          <w:bCs/>
          <w:sz w:val="24"/>
          <w:szCs w:val="24"/>
          <w:lang w:val="ru-MD" w:eastAsia="ru-RU"/>
        </w:rPr>
        <w:t xml:space="preserve"> на</w:t>
      </w:r>
      <w:r w:rsidRPr="00EC5A7B">
        <w:rPr>
          <w:rFonts w:asciiTheme="majorHAnsi" w:eastAsia="Times New Roman" w:hAnsiTheme="majorHAnsi" w:cstheme="majorHAnsi"/>
          <w:bCs/>
          <w:sz w:val="24"/>
          <w:szCs w:val="24"/>
          <w:lang w:val="ru-MD" w:eastAsia="ru-RU"/>
        </w:rPr>
        <w:t xml:space="preserve"> 230,0 млн. </w:t>
      </w:r>
      <w:r w:rsidR="00AD7E48" w:rsidRPr="00EC5A7B">
        <w:rPr>
          <w:rFonts w:asciiTheme="majorHAnsi" w:eastAsia="Times New Roman" w:hAnsiTheme="majorHAnsi" w:cstheme="majorHAnsi"/>
          <w:bCs/>
          <w:sz w:val="24"/>
          <w:szCs w:val="24"/>
          <w:lang w:val="ru-MD" w:eastAsia="ru-RU"/>
        </w:rPr>
        <w:t xml:space="preserve">леев </w:t>
      </w:r>
      <w:r w:rsidRPr="00EC5A7B">
        <w:rPr>
          <w:rFonts w:asciiTheme="majorHAnsi" w:eastAsia="Times New Roman" w:hAnsiTheme="majorHAnsi" w:cstheme="majorHAnsi"/>
          <w:bCs/>
          <w:sz w:val="24"/>
          <w:szCs w:val="24"/>
          <w:lang w:val="ru-MD" w:eastAsia="ru-RU"/>
        </w:rPr>
        <w:t xml:space="preserve">меньше по сравнению с ситуацией </w:t>
      </w:r>
      <w:r w:rsidR="00AD7E48" w:rsidRPr="00EC5A7B">
        <w:rPr>
          <w:rFonts w:asciiTheme="majorHAnsi" w:eastAsia="Times New Roman" w:hAnsiTheme="majorHAnsi" w:cstheme="majorHAnsi"/>
          <w:bCs/>
          <w:sz w:val="24"/>
          <w:szCs w:val="24"/>
          <w:lang w:val="ru-MD" w:eastAsia="ru-RU"/>
        </w:rPr>
        <w:t>на</w:t>
      </w:r>
      <w:r w:rsidRPr="00EC5A7B">
        <w:rPr>
          <w:rFonts w:asciiTheme="majorHAnsi" w:eastAsia="Times New Roman" w:hAnsiTheme="majorHAnsi" w:cstheme="majorHAnsi"/>
          <w:bCs/>
          <w:sz w:val="24"/>
          <w:szCs w:val="24"/>
          <w:lang w:val="ru-MD" w:eastAsia="ru-RU"/>
        </w:rPr>
        <w:t xml:space="preserve"> начал</w:t>
      </w:r>
      <w:r w:rsidR="00AD7E48" w:rsidRPr="00EC5A7B">
        <w:rPr>
          <w:rFonts w:asciiTheme="majorHAnsi" w:eastAsia="Times New Roman" w:hAnsiTheme="majorHAnsi" w:cstheme="majorHAnsi"/>
          <w:bCs/>
          <w:sz w:val="24"/>
          <w:szCs w:val="24"/>
          <w:lang w:val="ru-MD" w:eastAsia="ru-RU"/>
        </w:rPr>
        <w:t>о</w:t>
      </w:r>
      <w:r w:rsidRPr="00EC5A7B">
        <w:rPr>
          <w:rFonts w:asciiTheme="majorHAnsi" w:eastAsia="Times New Roman" w:hAnsiTheme="majorHAnsi" w:cstheme="majorHAnsi"/>
          <w:bCs/>
          <w:sz w:val="24"/>
          <w:szCs w:val="24"/>
          <w:lang w:val="ru-MD" w:eastAsia="ru-RU"/>
        </w:rPr>
        <w:t xml:space="preserve"> года</w:t>
      </w:r>
      <w:r w:rsidR="00E342E2" w:rsidRPr="00EC5A7B">
        <w:rPr>
          <w:rFonts w:asciiTheme="majorHAnsi" w:eastAsia="Times New Roman" w:hAnsiTheme="majorHAnsi" w:cstheme="majorHAnsi"/>
          <w:bCs/>
          <w:color w:val="000000" w:themeColor="text1"/>
          <w:sz w:val="24"/>
          <w:szCs w:val="24"/>
          <w:lang w:val="ru-MD" w:eastAsia="ru-RU"/>
        </w:rPr>
        <w:t>.</w:t>
      </w:r>
    </w:p>
    <w:p w14:paraId="0F467B03" w14:textId="29CE3056" w:rsidR="00FE5C5E" w:rsidRPr="00EC5A7B" w:rsidRDefault="002608FF" w:rsidP="00F05C60">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На 31.12.2019 </w:t>
      </w:r>
      <w:r w:rsidR="00AD7E48" w:rsidRPr="00EC5A7B">
        <w:rPr>
          <w:rFonts w:asciiTheme="majorHAnsi" w:hAnsiTheme="majorHAnsi" w:cstheme="majorHAnsi"/>
          <w:sz w:val="24"/>
          <w:szCs w:val="24"/>
          <w:lang w:val="ru-MD" w:eastAsia="ru-RU"/>
        </w:rPr>
        <w:t>сальдо</w:t>
      </w:r>
      <w:r w:rsidRPr="00EC5A7B">
        <w:rPr>
          <w:rFonts w:asciiTheme="majorHAnsi" w:hAnsiTheme="majorHAnsi" w:cstheme="majorHAnsi"/>
          <w:sz w:val="24"/>
          <w:szCs w:val="24"/>
          <w:lang w:val="ru-MD" w:eastAsia="ru-RU"/>
        </w:rPr>
        <w:t xml:space="preserve"> внешнего государственного долга составил</w:t>
      </w:r>
      <w:r w:rsidR="00AD7E48"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 1 704,1 млн. дол. США (эквивалент 29 326,1 млн. ле</w:t>
      </w:r>
      <w:r w:rsidR="00AD7E48"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xml:space="preserve">), </w:t>
      </w:r>
      <w:r w:rsidR="00AD7E48" w:rsidRPr="00EC5A7B">
        <w:rPr>
          <w:rFonts w:asciiTheme="majorHAnsi" w:hAnsiTheme="majorHAnsi" w:cstheme="majorHAnsi"/>
          <w:sz w:val="24"/>
          <w:szCs w:val="24"/>
          <w:lang w:val="ru-MD" w:eastAsia="ru-RU"/>
        </w:rPr>
        <w:t xml:space="preserve">что </w:t>
      </w:r>
      <w:r w:rsidRPr="00EC5A7B">
        <w:rPr>
          <w:rFonts w:asciiTheme="majorHAnsi" w:hAnsiTheme="majorHAnsi" w:cstheme="majorHAnsi"/>
          <w:sz w:val="24"/>
          <w:szCs w:val="24"/>
          <w:lang w:val="ru-MD" w:eastAsia="ru-RU"/>
        </w:rPr>
        <w:t xml:space="preserve">на 15,1 млн. дол. США </w:t>
      </w:r>
      <w:r w:rsidR="00AD7E48" w:rsidRPr="00EC5A7B">
        <w:rPr>
          <w:rFonts w:asciiTheme="majorHAnsi" w:hAnsiTheme="majorHAnsi" w:cstheme="majorHAnsi"/>
          <w:sz w:val="24"/>
          <w:szCs w:val="24"/>
          <w:lang w:val="ru-MD" w:eastAsia="ru-RU"/>
        </w:rPr>
        <w:t>боль</w:t>
      </w:r>
      <w:r w:rsidRPr="00EC5A7B">
        <w:rPr>
          <w:rFonts w:asciiTheme="majorHAnsi" w:hAnsiTheme="majorHAnsi" w:cstheme="majorHAnsi"/>
          <w:sz w:val="24"/>
          <w:szCs w:val="24"/>
          <w:lang w:val="ru-MD" w:eastAsia="ru-RU"/>
        </w:rPr>
        <w:t xml:space="preserve">ше по сравнению с </w:t>
      </w:r>
      <w:r w:rsidR="00AD7E48" w:rsidRPr="00EC5A7B">
        <w:rPr>
          <w:rFonts w:asciiTheme="majorHAnsi" w:hAnsiTheme="majorHAnsi" w:cstheme="majorHAnsi"/>
          <w:sz w:val="24"/>
          <w:szCs w:val="24"/>
          <w:lang w:val="ru-MD" w:eastAsia="ru-RU"/>
        </w:rPr>
        <w:t>сальдо</w:t>
      </w:r>
      <w:r w:rsidRPr="00EC5A7B">
        <w:rPr>
          <w:rFonts w:asciiTheme="majorHAnsi" w:hAnsiTheme="majorHAnsi" w:cstheme="majorHAnsi"/>
          <w:sz w:val="24"/>
          <w:szCs w:val="24"/>
          <w:lang w:val="ru-MD" w:eastAsia="ru-RU"/>
        </w:rPr>
        <w:t xml:space="preserve"> предыдущего года, увеличение обусловлено преобладанием </w:t>
      </w:r>
      <w:r w:rsidR="00AD7E48" w:rsidRPr="00EC5A7B">
        <w:rPr>
          <w:rFonts w:asciiTheme="majorHAnsi" w:hAnsiTheme="majorHAnsi" w:cstheme="majorHAnsi"/>
          <w:sz w:val="24"/>
          <w:szCs w:val="24"/>
          <w:lang w:val="ru-MD" w:eastAsia="ru-RU"/>
        </w:rPr>
        <w:t>поступлений</w:t>
      </w:r>
      <w:r w:rsidRPr="00EC5A7B">
        <w:rPr>
          <w:rFonts w:asciiTheme="majorHAnsi" w:hAnsiTheme="majorHAnsi" w:cstheme="majorHAnsi"/>
          <w:sz w:val="24"/>
          <w:szCs w:val="24"/>
          <w:lang w:val="ru-MD" w:eastAsia="ru-RU"/>
        </w:rPr>
        <w:t xml:space="preserve"> внешних государственных займов по сравнению с осуществленными выплатами и колебаниями валютного курса доллара США по сравнению с другими валютами. Как и в предыдущие годы, отмечается низкий уровень </w:t>
      </w:r>
      <w:r w:rsidR="00AD7E48" w:rsidRPr="00EC5A7B">
        <w:rPr>
          <w:rFonts w:asciiTheme="majorHAnsi" w:hAnsiTheme="majorHAnsi" w:cstheme="majorHAnsi"/>
          <w:sz w:val="24"/>
          <w:szCs w:val="24"/>
          <w:lang w:val="ru-MD" w:eastAsia="ru-RU"/>
        </w:rPr>
        <w:t>выплат</w:t>
      </w:r>
      <w:r w:rsidRPr="00EC5A7B">
        <w:rPr>
          <w:rFonts w:asciiTheme="majorHAnsi" w:hAnsiTheme="majorHAnsi" w:cstheme="majorHAnsi"/>
          <w:sz w:val="24"/>
          <w:szCs w:val="24"/>
          <w:lang w:val="ru-MD" w:eastAsia="ru-RU"/>
        </w:rPr>
        <w:t xml:space="preserve"> источников финансирования за счет внешних займов, что налагает </w:t>
      </w:r>
      <w:r w:rsidR="00AD7E48" w:rsidRPr="00EC5A7B">
        <w:rPr>
          <w:rFonts w:asciiTheme="majorHAnsi" w:hAnsiTheme="majorHAnsi" w:cstheme="majorHAnsi"/>
          <w:sz w:val="24"/>
          <w:szCs w:val="24"/>
          <w:lang w:val="ru-MD" w:eastAsia="ru-RU"/>
        </w:rPr>
        <w:t xml:space="preserve">на бюджет и </w:t>
      </w:r>
      <w:r w:rsidRPr="00EC5A7B">
        <w:rPr>
          <w:rFonts w:asciiTheme="majorHAnsi" w:hAnsiTheme="majorHAnsi" w:cstheme="majorHAnsi"/>
          <w:sz w:val="24"/>
          <w:szCs w:val="24"/>
          <w:lang w:val="ru-MD" w:eastAsia="ru-RU"/>
        </w:rPr>
        <w:t>дополнительные расходы</w:t>
      </w:r>
      <w:r w:rsidR="006B3BEF" w:rsidRPr="00EC5A7B">
        <w:rPr>
          <w:rFonts w:asciiTheme="majorHAnsi" w:hAnsiTheme="majorHAnsi" w:cstheme="majorHAnsi"/>
          <w:sz w:val="24"/>
          <w:szCs w:val="24"/>
          <w:lang w:val="ru-MD" w:eastAsia="ru-RU"/>
        </w:rPr>
        <w:t xml:space="preserve"> на</w:t>
      </w:r>
      <w:r w:rsidRPr="00EC5A7B">
        <w:rPr>
          <w:rFonts w:asciiTheme="majorHAnsi" w:hAnsiTheme="majorHAnsi" w:cstheme="majorHAnsi"/>
          <w:sz w:val="24"/>
          <w:szCs w:val="24"/>
          <w:lang w:val="ru-MD" w:eastAsia="ru-RU"/>
        </w:rPr>
        <w:t xml:space="preserve"> уплаченны</w:t>
      </w:r>
      <w:r w:rsidR="006B3BEF"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w:t>
      </w:r>
      <w:r w:rsidR="006B3BEF" w:rsidRPr="00EC5A7B">
        <w:rPr>
          <w:rFonts w:asciiTheme="majorHAnsi" w:hAnsiTheme="majorHAnsi" w:cstheme="majorHAnsi"/>
          <w:sz w:val="24"/>
          <w:szCs w:val="24"/>
          <w:lang w:val="ru-MD" w:eastAsia="ru-RU"/>
        </w:rPr>
        <w:t xml:space="preserve">комиссии </w:t>
      </w:r>
      <w:r w:rsidRPr="00EC5A7B">
        <w:rPr>
          <w:rFonts w:asciiTheme="majorHAnsi" w:hAnsiTheme="majorHAnsi" w:cstheme="majorHAnsi"/>
          <w:sz w:val="24"/>
          <w:szCs w:val="24"/>
          <w:lang w:val="ru-MD" w:eastAsia="ru-RU"/>
        </w:rPr>
        <w:lastRenderedPageBreak/>
        <w:t>за не</w:t>
      </w:r>
      <w:r w:rsidR="006B3BEF" w:rsidRPr="00EC5A7B">
        <w:rPr>
          <w:rFonts w:asciiTheme="majorHAnsi" w:hAnsiTheme="majorHAnsi" w:cstheme="majorHAnsi"/>
          <w:sz w:val="24"/>
          <w:szCs w:val="24"/>
          <w:lang w:val="ru-MD" w:eastAsia="ru-RU"/>
        </w:rPr>
        <w:t>выплату средств</w:t>
      </w:r>
      <w:r w:rsidRPr="00EC5A7B">
        <w:rPr>
          <w:rFonts w:asciiTheme="majorHAnsi" w:hAnsiTheme="majorHAnsi" w:cstheme="majorHAnsi"/>
          <w:sz w:val="24"/>
          <w:szCs w:val="24"/>
          <w:lang w:val="ru-MD" w:eastAsia="ru-RU"/>
        </w:rPr>
        <w:t>. Основной причиной низкого уровня в</w:t>
      </w:r>
      <w:r w:rsidR="006B3BEF" w:rsidRPr="00EC5A7B">
        <w:rPr>
          <w:rFonts w:asciiTheme="majorHAnsi" w:hAnsiTheme="majorHAnsi" w:cstheme="majorHAnsi"/>
          <w:sz w:val="24"/>
          <w:szCs w:val="24"/>
          <w:lang w:val="ru-MD" w:eastAsia="ru-RU"/>
        </w:rPr>
        <w:t>ыплаты</w:t>
      </w:r>
      <w:r w:rsidRPr="00EC5A7B">
        <w:rPr>
          <w:rFonts w:asciiTheme="majorHAnsi" w:hAnsiTheme="majorHAnsi" w:cstheme="majorHAnsi"/>
          <w:sz w:val="24"/>
          <w:szCs w:val="24"/>
          <w:lang w:val="ru-MD" w:eastAsia="ru-RU"/>
        </w:rPr>
        <w:t xml:space="preserve"> является невыполнение в срок </w:t>
      </w:r>
      <w:r w:rsidR="006B3BEF" w:rsidRPr="00EC5A7B">
        <w:rPr>
          <w:rFonts w:asciiTheme="majorHAnsi" w:hAnsiTheme="majorHAnsi" w:cstheme="majorHAnsi"/>
          <w:sz w:val="24"/>
          <w:szCs w:val="24"/>
          <w:lang w:val="ru-MD" w:eastAsia="ru-RU"/>
        </w:rPr>
        <w:t xml:space="preserve">предварительных условий, </w:t>
      </w:r>
      <w:r w:rsidRPr="00EC5A7B">
        <w:rPr>
          <w:rFonts w:asciiTheme="majorHAnsi" w:hAnsiTheme="majorHAnsi" w:cstheme="majorHAnsi"/>
          <w:sz w:val="24"/>
          <w:szCs w:val="24"/>
          <w:lang w:val="ru-MD" w:eastAsia="ru-RU"/>
        </w:rPr>
        <w:t>предусмотренных кредит</w:t>
      </w:r>
      <w:r w:rsidR="006B3BEF" w:rsidRPr="00EC5A7B">
        <w:rPr>
          <w:rFonts w:asciiTheme="majorHAnsi" w:hAnsiTheme="majorHAnsi" w:cstheme="majorHAnsi"/>
          <w:sz w:val="24"/>
          <w:szCs w:val="24"/>
          <w:lang w:val="ru-MD" w:eastAsia="ru-RU"/>
        </w:rPr>
        <w:t>ными соглашениями</w:t>
      </w:r>
      <w:r w:rsidRPr="00EC5A7B">
        <w:rPr>
          <w:rFonts w:asciiTheme="majorHAnsi" w:hAnsiTheme="majorHAnsi" w:cstheme="majorHAnsi"/>
          <w:sz w:val="24"/>
          <w:szCs w:val="24"/>
          <w:lang w:val="ru-MD" w:eastAsia="ru-RU"/>
        </w:rPr>
        <w:t xml:space="preserve">, реструктуризация проектов или изменение их компонентов, длительные процессы закупок, нерациональное планирование </w:t>
      </w:r>
      <w:r w:rsidR="006B3BEF" w:rsidRPr="00EC5A7B">
        <w:rPr>
          <w:rFonts w:asciiTheme="majorHAnsi" w:hAnsiTheme="majorHAnsi" w:cstheme="majorHAnsi"/>
          <w:sz w:val="24"/>
          <w:szCs w:val="24"/>
          <w:lang w:val="ru-MD" w:eastAsia="ru-RU"/>
        </w:rPr>
        <w:t>срока</w:t>
      </w:r>
      <w:r w:rsidRPr="00EC5A7B">
        <w:rPr>
          <w:rFonts w:asciiTheme="majorHAnsi" w:hAnsiTheme="majorHAnsi" w:cstheme="majorHAnsi"/>
          <w:sz w:val="24"/>
          <w:szCs w:val="24"/>
          <w:lang w:val="ru-MD" w:eastAsia="ru-RU"/>
        </w:rPr>
        <w:t xml:space="preserve"> выполнения работ или оказания услуг, неисполнение в срок работ местными подрядчиками и </w:t>
      </w:r>
      <w:r w:rsidR="006B3BEF" w:rsidRPr="00EC5A7B">
        <w:rPr>
          <w:rFonts w:asciiTheme="majorHAnsi" w:hAnsiTheme="majorHAnsi" w:cstheme="majorHAnsi"/>
          <w:sz w:val="24"/>
          <w:szCs w:val="24"/>
          <w:lang w:val="ru-MD" w:eastAsia="ru-RU"/>
        </w:rPr>
        <w:t>др</w:t>
      </w:r>
      <w:r w:rsidR="00FE5C5E" w:rsidRPr="00EC5A7B">
        <w:rPr>
          <w:rFonts w:asciiTheme="majorHAnsi" w:eastAsia="Times New Roman" w:hAnsiTheme="majorHAnsi" w:cstheme="majorHAnsi"/>
          <w:bCs/>
          <w:sz w:val="24"/>
          <w:szCs w:val="24"/>
          <w:lang w:val="ru-MD" w:eastAsia="ru-RU"/>
        </w:rPr>
        <w:t>.</w:t>
      </w:r>
      <w:r w:rsidR="00300BFF" w:rsidRPr="00EC5A7B">
        <w:rPr>
          <w:rFonts w:asciiTheme="majorHAnsi" w:hAnsiTheme="majorHAnsi" w:cstheme="majorHAnsi"/>
          <w:sz w:val="24"/>
          <w:szCs w:val="24"/>
          <w:lang w:val="ru-MD" w:eastAsia="ru-RU"/>
        </w:rPr>
        <w:t xml:space="preserve"> </w:t>
      </w:r>
    </w:p>
    <w:p w14:paraId="1DE9CBFA" w14:textId="111D8ED8" w:rsidR="00F05C60" w:rsidRPr="00EC5A7B" w:rsidRDefault="002608FF" w:rsidP="00F05C60">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Было установлено, что в 2019 году были осуществлены операции по конвертации шести внешних государственных займов, предоставляемых </w:t>
      </w:r>
      <w:r w:rsidR="00811DFF" w:rsidRPr="00EC5A7B">
        <w:rPr>
          <w:rFonts w:asciiTheme="majorHAnsi" w:hAnsiTheme="majorHAnsi" w:cstheme="majorHAnsi"/>
          <w:sz w:val="24"/>
          <w:szCs w:val="24"/>
          <w:lang w:val="ru-MD" w:eastAsia="ru-RU"/>
        </w:rPr>
        <w:t>МБРР</w:t>
      </w:r>
      <w:r w:rsidRPr="00EC5A7B">
        <w:rPr>
          <w:rFonts w:asciiTheme="majorHAnsi" w:hAnsiTheme="majorHAnsi" w:cstheme="majorHAnsi"/>
          <w:sz w:val="24"/>
          <w:szCs w:val="24"/>
          <w:lang w:val="ru-MD" w:eastAsia="ru-RU"/>
        </w:rPr>
        <w:t xml:space="preserve">, </w:t>
      </w:r>
      <w:r w:rsidR="00811DFF" w:rsidRPr="00EC5A7B">
        <w:rPr>
          <w:rFonts w:asciiTheme="majorHAnsi" w:hAnsiTheme="majorHAnsi" w:cstheme="majorHAnsi"/>
          <w:sz w:val="24"/>
          <w:szCs w:val="24"/>
          <w:lang w:val="ru-MD" w:eastAsia="ru-RU"/>
        </w:rPr>
        <w:t>из</w:t>
      </w:r>
      <w:r w:rsidRPr="00EC5A7B">
        <w:rPr>
          <w:rFonts w:asciiTheme="majorHAnsi" w:hAnsiTheme="majorHAnsi" w:cstheme="majorHAnsi"/>
          <w:sz w:val="24"/>
          <w:szCs w:val="24"/>
          <w:lang w:val="ru-MD" w:eastAsia="ru-RU"/>
        </w:rPr>
        <w:t xml:space="preserve"> валюты доллара США в валют</w:t>
      </w:r>
      <w:r w:rsidR="00811DFF"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 евро и, соответственно, изменению переменной процентной ставки, </w:t>
      </w:r>
      <w:r w:rsidR="00A931B5" w:rsidRPr="00EC5A7B">
        <w:rPr>
          <w:rFonts w:asciiTheme="majorHAnsi" w:hAnsiTheme="majorHAnsi" w:cstheme="majorHAnsi"/>
          <w:sz w:val="24"/>
          <w:szCs w:val="24"/>
          <w:lang w:val="ru-MD" w:eastAsia="ru-RU"/>
        </w:rPr>
        <w:t>из</w:t>
      </w:r>
      <w:r w:rsidRPr="00EC5A7B">
        <w:rPr>
          <w:rFonts w:asciiTheme="majorHAnsi" w:hAnsiTheme="majorHAnsi" w:cstheme="majorHAnsi"/>
          <w:sz w:val="24"/>
          <w:szCs w:val="24"/>
          <w:lang w:val="ru-MD" w:eastAsia="ru-RU"/>
        </w:rPr>
        <w:t xml:space="preserve"> LIBOR6M+маржи </w:t>
      </w:r>
      <w:r w:rsidR="00A931B5" w:rsidRPr="00EC5A7B">
        <w:rPr>
          <w:rFonts w:asciiTheme="majorHAnsi" w:hAnsiTheme="majorHAnsi" w:cstheme="majorHAnsi"/>
          <w:sz w:val="24"/>
          <w:szCs w:val="24"/>
          <w:lang w:val="ru-MD" w:eastAsia="ru-RU"/>
        </w:rPr>
        <w:t>в</w:t>
      </w:r>
      <w:r w:rsidRPr="00EC5A7B">
        <w:rPr>
          <w:rFonts w:asciiTheme="majorHAnsi" w:hAnsiTheme="majorHAnsi" w:cstheme="majorHAnsi"/>
          <w:sz w:val="24"/>
          <w:szCs w:val="24"/>
          <w:lang w:val="ru-MD" w:eastAsia="ru-RU"/>
        </w:rPr>
        <w:t xml:space="preserve"> переменн</w:t>
      </w:r>
      <w:r w:rsidR="00A931B5" w:rsidRPr="00EC5A7B">
        <w:rPr>
          <w:rFonts w:asciiTheme="majorHAnsi" w:hAnsiTheme="majorHAnsi" w:cstheme="majorHAnsi"/>
          <w:sz w:val="24"/>
          <w:szCs w:val="24"/>
          <w:lang w:val="ru-MD" w:eastAsia="ru-RU"/>
        </w:rPr>
        <w:t>ую</w:t>
      </w:r>
      <w:r w:rsidRPr="00EC5A7B">
        <w:rPr>
          <w:rFonts w:asciiTheme="majorHAnsi" w:hAnsiTheme="majorHAnsi" w:cstheme="majorHAnsi"/>
          <w:sz w:val="24"/>
          <w:szCs w:val="24"/>
          <w:lang w:val="ru-MD" w:eastAsia="ru-RU"/>
        </w:rPr>
        <w:t xml:space="preserve"> процентн</w:t>
      </w:r>
      <w:r w:rsidR="00A931B5" w:rsidRPr="00EC5A7B">
        <w:rPr>
          <w:rFonts w:asciiTheme="majorHAnsi" w:hAnsiTheme="majorHAnsi" w:cstheme="majorHAnsi"/>
          <w:sz w:val="24"/>
          <w:szCs w:val="24"/>
          <w:lang w:val="ru-MD" w:eastAsia="ru-RU"/>
        </w:rPr>
        <w:t>ую</w:t>
      </w:r>
      <w:r w:rsidRPr="00EC5A7B">
        <w:rPr>
          <w:rFonts w:asciiTheme="majorHAnsi" w:hAnsiTheme="majorHAnsi" w:cstheme="majorHAnsi"/>
          <w:sz w:val="24"/>
          <w:szCs w:val="24"/>
          <w:lang w:val="ru-MD" w:eastAsia="ru-RU"/>
        </w:rPr>
        <w:t xml:space="preserve"> ставк</w:t>
      </w:r>
      <w:r w:rsidR="00A931B5"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 EURIBOR6M+маржи, что привело к образованию в течение года некоторых сбережений в </w:t>
      </w:r>
      <w:r w:rsidR="00A931B5" w:rsidRPr="00EC5A7B">
        <w:rPr>
          <w:rFonts w:asciiTheme="majorHAnsi" w:hAnsiTheme="majorHAnsi" w:cstheme="majorHAnsi"/>
          <w:sz w:val="24"/>
          <w:szCs w:val="24"/>
          <w:lang w:val="ru-MD" w:eastAsia="ru-RU"/>
        </w:rPr>
        <w:t>г</w:t>
      </w:r>
      <w:r w:rsidRPr="00EC5A7B">
        <w:rPr>
          <w:rFonts w:asciiTheme="majorHAnsi" w:hAnsiTheme="majorHAnsi" w:cstheme="majorHAnsi"/>
          <w:sz w:val="24"/>
          <w:szCs w:val="24"/>
          <w:lang w:val="ru-MD" w:eastAsia="ru-RU"/>
        </w:rPr>
        <w:t xml:space="preserve">осударственном бюджете около 37,5 млн. </w:t>
      </w:r>
      <w:r w:rsidR="00A931B5" w:rsidRPr="00EC5A7B">
        <w:rPr>
          <w:rFonts w:asciiTheme="majorHAnsi" w:hAnsiTheme="majorHAnsi" w:cstheme="majorHAnsi"/>
          <w:sz w:val="24"/>
          <w:szCs w:val="24"/>
          <w:lang w:val="ru-MD" w:eastAsia="ru-RU"/>
        </w:rPr>
        <w:t>леев</w:t>
      </w:r>
      <w:r w:rsidR="00F05C60" w:rsidRPr="00EC5A7B">
        <w:rPr>
          <w:rFonts w:asciiTheme="majorHAnsi" w:hAnsiTheme="majorHAnsi" w:cstheme="majorHAnsi"/>
          <w:sz w:val="24"/>
          <w:szCs w:val="24"/>
          <w:lang w:val="ru-MD" w:eastAsia="ru-RU"/>
        </w:rPr>
        <w:t>.</w:t>
      </w:r>
    </w:p>
    <w:p w14:paraId="2D42FDE7" w14:textId="57EF6A1D" w:rsidR="00F05C60" w:rsidRPr="00EC5A7B" w:rsidRDefault="002608FF" w:rsidP="00744A5F">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течение 2019 года </w:t>
      </w:r>
      <w:r w:rsidR="00A931B5" w:rsidRPr="00EC5A7B">
        <w:rPr>
          <w:rFonts w:asciiTheme="majorHAnsi" w:hAnsiTheme="majorHAnsi" w:cstheme="majorHAnsi"/>
          <w:sz w:val="24"/>
          <w:szCs w:val="24"/>
          <w:lang w:val="ru-MD" w:eastAsia="ru-RU"/>
        </w:rPr>
        <w:t>н</w:t>
      </w:r>
      <w:r w:rsidRPr="00EC5A7B">
        <w:rPr>
          <w:rFonts w:asciiTheme="majorHAnsi" w:hAnsiTheme="majorHAnsi" w:cstheme="majorHAnsi"/>
          <w:sz w:val="24"/>
          <w:szCs w:val="24"/>
          <w:lang w:val="ru-MD" w:eastAsia="ru-RU"/>
        </w:rPr>
        <w:t xml:space="preserve">а обслуживание государственного долга было </w:t>
      </w:r>
      <w:r w:rsidR="00A931B5"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плачено 15 045,2 млн. </w:t>
      </w:r>
      <w:r w:rsidR="00A931B5" w:rsidRPr="00EC5A7B">
        <w:rPr>
          <w:rFonts w:asciiTheme="majorHAnsi" w:hAnsiTheme="majorHAnsi" w:cstheme="majorHAnsi"/>
          <w:sz w:val="24"/>
          <w:szCs w:val="24"/>
          <w:lang w:val="ru-MD" w:eastAsia="ru-RU"/>
        </w:rPr>
        <w:t xml:space="preserve">леев, </w:t>
      </w:r>
      <w:r w:rsidRPr="00EC5A7B">
        <w:rPr>
          <w:rFonts w:asciiTheme="majorHAnsi" w:hAnsiTheme="majorHAnsi" w:cstheme="majorHAnsi"/>
          <w:sz w:val="24"/>
          <w:szCs w:val="24"/>
          <w:lang w:val="ru-MD" w:eastAsia="ru-RU"/>
        </w:rPr>
        <w:t xml:space="preserve">в том числе 13 425,6 млн. леев на </w:t>
      </w:r>
      <w:r w:rsidR="00A931B5" w:rsidRPr="00EC5A7B">
        <w:rPr>
          <w:rFonts w:asciiTheme="majorHAnsi" w:hAnsiTheme="majorHAnsi" w:cstheme="majorHAnsi"/>
          <w:sz w:val="24"/>
          <w:szCs w:val="24"/>
          <w:lang w:val="ru-MD" w:eastAsia="ru-RU"/>
        </w:rPr>
        <w:t>возврат</w:t>
      </w:r>
      <w:r w:rsidRPr="00EC5A7B">
        <w:rPr>
          <w:rFonts w:asciiTheme="majorHAnsi" w:hAnsiTheme="majorHAnsi" w:cstheme="majorHAnsi"/>
          <w:sz w:val="24"/>
          <w:szCs w:val="24"/>
          <w:lang w:val="ru-MD" w:eastAsia="ru-RU"/>
        </w:rPr>
        <w:t xml:space="preserve"> основной суммы и </w:t>
      </w:r>
      <w:r w:rsidR="00A931B5" w:rsidRPr="00EC5A7B">
        <w:rPr>
          <w:rFonts w:asciiTheme="majorHAnsi" w:hAnsiTheme="majorHAnsi" w:cstheme="majorHAnsi"/>
          <w:sz w:val="24"/>
          <w:szCs w:val="24"/>
          <w:lang w:val="ru-MD" w:eastAsia="ru-RU"/>
        </w:rPr>
        <w:t>выкуп</w:t>
      </w:r>
      <w:r w:rsidRPr="00EC5A7B">
        <w:rPr>
          <w:rFonts w:asciiTheme="majorHAnsi" w:hAnsiTheme="majorHAnsi" w:cstheme="majorHAnsi"/>
          <w:sz w:val="24"/>
          <w:szCs w:val="24"/>
          <w:lang w:val="ru-MD" w:eastAsia="ru-RU"/>
        </w:rPr>
        <w:t xml:space="preserve"> ГЦБ</w:t>
      </w:r>
      <w:r w:rsidR="00A931B5" w:rsidRPr="00EC5A7B">
        <w:rPr>
          <w:rFonts w:asciiTheme="majorHAnsi" w:hAnsiTheme="majorHAnsi" w:cstheme="majorHAnsi"/>
          <w:sz w:val="24"/>
          <w:szCs w:val="24"/>
          <w:lang w:val="ru-MD" w:eastAsia="ru-RU"/>
        </w:rPr>
        <w:t>, достигших срока погашения,</w:t>
      </w:r>
      <w:r w:rsidRPr="00EC5A7B">
        <w:rPr>
          <w:rFonts w:asciiTheme="majorHAnsi" w:hAnsiTheme="majorHAnsi" w:cstheme="majorHAnsi"/>
          <w:sz w:val="24"/>
          <w:szCs w:val="24"/>
          <w:lang w:val="ru-MD" w:eastAsia="ru-RU"/>
        </w:rPr>
        <w:t xml:space="preserve"> </w:t>
      </w:r>
      <w:r w:rsidR="00A931B5"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1 619,6 млн. леев </w:t>
      </w:r>
      <w:r w:rsidR="00A931B5" w:rsidRPr="00EC5A7B">
        <w:rPr>
          <w:rFonts w:asciiTheme="majorHAnsi" w:hAnsiTheme="majorHAnsi" w:cstheme="majorHAnsi"/>
          <w:sz w:val="24"/>
          <w:szCs w:val="24"/>
          <w:lang w:val="ru-MD" w:eastAsia="ru-RU"/>
        </w:rPr>
        <w:t>на</w:t>
      </w:r>
      <w:r w:rsidRPr="00EC5A7B">
        <w:rPr>
          <w:rFonts w:asciiTheme="majorHAnsi" w:hAnsiTheme="majorHAnsi" w:cstheme="majorHAnsi"/>
          <w:sz w:val="24"/>
          <w:szCs w:val="24"/>
          <w:lang w:val="ru-MD" w:eastAsia="ru-RU"/>
        </w:rPr>
        <w:t xml:space="preserve"> </w:t>
      </w:r>
      <w:r w:rsidR="00A931B5"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плат</w:t>
      </w:r>
      <w:r w:rsidR="00A931B5"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 процентов и комиссий. Из общего объема осуществленных платежей</w:t>
      </w:r>
      <w:r w:rsidR="00A931B5"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на обслуживание внутреннего государственного долга </w:t>
      </w:r>
      <w:r w:rsidR="00A931B5" w:rsidRPr="00EC5A7B">
        <w:rPr>
          <w:rFonts w:asciiTheme="majorHAnsi" w:hAnsiTheme="majorHAnsi" w:cstheme="majorHAnsi"/>
          <w:sz w:val="24"/>
          <w:szCs w:val="24"/>
          <w:lang w:val="ru-MD" w:eastAsia="ru-RU"/>
        </w:rPr>
        <w:t xml:space="preserve">было перечислено </w:t>
      </w:r>
      <w:r w:rsidRPr="00EC5A7B">
        <w:rPr>
          <w:rFonts w:asciiTheme="majorHAnsi" w:hAnsiTheme="majorHAnsi" w:cstheme="majorHAnsi"/>
          <w:sz w:val="24"/>
          <w:szCs w:val="24"/>
          <w:lang w:val="ru-MD" w:eastAsia="ru-RU"/>
        </w:rPr>
        <w:t>12 488,3 млн. леев (83,0%)</w:t>
      </w:r>
      <w:r w:rsidR="00A931B5"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и на обслуживание внешнего государственного долга-2 556,9 млн. л</w:t>
      </w:r>
      <w:r w:rsidR="00A931B5" w:rsidRPr="00EC5A7B">
        <w:rPr>
          <w:rFonts w:asciiTheme="majorHAnsi" w:hAnsiTheme="majorHAnsi" w:cstheme="majorHAnsi"/>
          <w:sz w:val="24"/>
          <w:szCs w:val="24"/>
          <w:lang w:val="ru-MD" w:eastAsia="ru-RU"/>
        </w:rPr>
        <w:t>ее</w:t>
      </w:r>
      <w:r w:rsidRPr="00EC5A7B">
        <w:rPr>
          <w:rFonts w:asciiTheme="majorHAnsi" w:hAnsiTheme="majorHAnsi" w:cstheme="majorHAnsi"/>
          <w:sz w:val="24"/>
          <w:szCs w:val="24"/>
          <w:lang w:val="ru-MD" w:eastAsia="ru-RU"/>
        </w:rPr>
        <w:t>в (17,0%)</w:t>
      </w:r>
      <w:r w:rsidR="00744A5F" w:rsidRPr="00EC5A7B">
        <w:rPr>
          <w:rFonts w:asciiTheme="majorHAnsi" w:hAnsiTheme="majorHAnsi" w:cstheme="majorHAnsi"/>
          <w:sz w:val="24"/>
          <w:szCs w:val="24"/>
          <w:lang w:val="ru-MD" w:eastAsia="ru-RU"/>
        </w:rPr>
        <w:t>.</w:t>
      </w:r>
    </w:p>
    <w:p w14:paraId="7E1356B7" w14:textId="6C25E56B" w:rsidR="00FE5C5E" w:rsidRPr="00EC5A7B" w:rsidRDefault="002608FF" w:rsidP="00FE5C5E">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Рассмотрение ситуации</w:t>
      </w:r>
      <w:r w:rsidR="00572DEC" w:rsidRPr="00EC5A7B">
        <w:rPr>
          <w:rFonts w:asciiTheme="majorHAnsi" w:eastAsia="Times New Roman" w:hAnsiTheme="majorHAnsi" w:cstheme="majorHAnsi"/>
          <w:bCs/>
          <w:sz w:val="24"/>
          <w:szCs w:val="24"/>
          <w:lang w:val="ru-MD" w:eastAsia="ru-RU"/>
        </w:rPr>
        <w:t xml:space="preserve"> относительно того, вписываются ли </w:t>
      </w:r>
      <w:r w:rsidRPr="00EC5A7B">
        <w:rPr>
          <w:rFonts w:asciiTheme="majorHAnsi" w:eastAsia="Times New Roman" w:hAnsiTheme="majorHAnsi" w:cstheme="majorHAnsi"/>
          <w:bCs/>
          <w:sz w:val="24"/>
          <w:szCs w:val="24"/>
          <w:lang w:val="ru-MD" w:eastAsia="ru-RU"/>
        </w:rPr>
        <w:t>параметр</w:t>
      </w:r>
      <w:r w:rsidR="00572DEC" w:rsidRPr="00EC5A7B">
        <w:rPr>
          <w:rFonts w:asciiTheme="majorHAnsi" w:eastAsia="Times New Roman" w:hAnsiTheme="majorHAnsi" w:cstheme="majorHAnsi"/>
          <w:bCs/>
          <w:sz w:val="24"/>
          <w:szCs w:val="24"/>
          <w:lang w:val="ru-MD" w:eastAsia="ru-RU"/>
        </w:rPr>
        <w:t>ы</w:t>
      </w:r>
      <w:r w:rsidRPr="00EC5A7B">
        <w:rPr>
          <w:rFonts w:asciiTheme="majorHAnsi" w:eastAsia="Times New Roman" w:hAnsiTheme="majorHAnsi" w:cstheme="majorHAnsi"/>
          <w:bCs/>
          <w:sz w:val="24"/>
          <w:szCs w:val="24"/>
          <w:lang w:val="ru-MD" w:eastAsia="ru-RU"/>
        </w:rPr>
        <w:t xml:space="preserve"> риска и устойчивости в предел</w:t>
      </w:r>
      <w:r w:rsidR="00572DEC" w:rsidRPr="00EC5A7B">
        <w:rPr>
          <w:rFonts w:asciiTheme="majorHAnsi" w:eastAsia="Times New Roman" w:hAnsiTheme="majorHAnsi" w:cstheme="majorHAnsi"/>
          <w:bCs/>
          <w:sz w:val="24"/>
          <w:szCs w:val="24"/>
          <w:lang w:val="ru-MD" w:eastAsia="ru-RU"/>
        </w:rPr>
        <w:t>ы</w:t>
      </w:r>
      <w:r w:rsidRPr="00EC5A7B">
        <w:rPr>
          <w:rFonts w:asciiTheme="majorHAnsi" w:eastAsia="Times New Roman" w:hAnsiTheme="majorHAnsi" w:cstheme="majorHAnsi"/>
          <w:bCs/>
          <w:sz w:val="24"/>
          <w:szCs w:val="24"/>
          <w:lang w:val="ru-MD" w:eastAsia="ru-RU"/>
        </w:rPr>
        <w:t>, установленны</w:t>
      </w:r>
      <w:r w:rsidR="00572DEC" w:rsidRPr="00EC5A7B">
        <w:rPr>
          <w:rFonts w:asciiTheme="majorHAnsi" w:eastAsia="Times New Roman" w:hAnsiTheme="majorHAnsi" w:cstheme="majorHAnsi"/>
          <w:bCs/>
          <w:sz w:val="24"/>
          <w:szCs w:val="24"/>
          <w:lang w:val="ru-MD" w:eastAsia="ru-RU"/>
        </w:rPr>
        <w:t>е</w:t>
      </w:r>
      <w:r w:rsidRPr="00EC5A7B">
        <w:rPr>
          <w:rFonts w:asciiTheme="majorHAnsi" w:eastAsia="Times New Roman" w:hAnsiTheme="majorHAnsi" w:cstheme="majorHAnsi"/>
          <w:bCs/>
          <w:sz w:val="24"/>
          <w:szCs w:val="24"/>
          <w:lang w:val="ru-MD" w:eastAsia="ru-RU"/>
        </w:rPr>
        <w:t xml:space="preserve"> </w:t>
      </w:r>
      <w:r w:rsidR="00572DEC" w:rsidRPr="00EC5A7B">
        <w:rPr>
          <w:rFonts w:asciiTheme="majorHAnsi" w:eastAsia="Times New Roman" w:hAnsiTheme="majorHAnsi" w:cstheme="majorHAnsi"/>
          <w:bCs/>
          <w:sz w:val="24"/>
          <w:szCs w:val="24"/>
          <w:lang w:val="ru-MD" w:eastAsia="ru-RU"/>
        </w:rPr>
        <w:t>П</w:t>
      </w:r>
      <w:r w:rsidRPr="00EC5A7B">
        <w:rPr>
          <w:rFonts w:asciiTheme="majorHAnsi" w:eastAsia="Times New Roman" w:hAnsiTheme="majorHAnsi" w:cstheme="majorHAnsi"/>
          <w:bCs/>
          <w:sz w:val="24"/>
          <w:szCs w:val="24"/>
          <w:lang w:val="ru-MD" w:eastAsia="ru-RU"/>
        </w:rPr>
        <w:t xml:space="preserve">рограммой </w:t>
      </w:r>
      <w:r w:rsidR="00572DEC" w:rsidRPr="00EC5A7B">
        <w:rPr>
          <w:rFonts w:asciiTheme="majorHAnsi" w:eastAsia="Times New Roman" w:hAnsiTheme="majorHAnsi" w:cstheme="majorHAnsi"/>
          <w:bCs/>
          <w:sz w:val="24"/>
          <w:szCs w:val="24"/>
          <w:lang w:val="ru-MD" w:eastAsia="ru-RU"/>
        </w:rPr>
        <w:t>„Управление</w:t>
      </w:r>
      <w:r w:rsidRPr="00EC5A7B">
        <w:rPr>
          <w:rFonts w:asciiTheme="majorHAnsi" w:eastAsia="Times New Roman" w:hAnsiTheme="majorHAnsi" w:cstheme="majorHAnsi"/>
          <w:bCs/>
          <w:sz w:val="24"/>
          <w:szCs w:val="24"/>
          <w:lang w:val="ru-MD" w:eastAsia="ru-RU"/>
        </w:rPr>
        <w:t xml:space="preserve"> государственн</w:t>
      </w:r>
      <w:r w:rsidR="00572DEC" w:rsidRPr="00EC5A7B">
        <w:rPr>
          <w:rFonts w:asciiTheme="majorHAnsi" w:eastAsia="Times New Roman" w:hAnsiTheme="majorHAnsi" w:cstheme="majorHAnsi"/>
          <w:bCs/>
          <w:sz w:val="24"/>
          <w:szCs w:val="24"/>
          <w:lang w:val="ru-MD" w:eastAsia="ru-RU"/>
        </w:rPr>
        <w:t>ым</w:t>
      </w:r>
      <w:r w:rsidRPr="00EC5A7B">
        <w:rPr>
          <w:rFonts w:asciiTheme="majorHAnsi" w:eastAsia="Times New Roman" w:hAnsiTheme="majorHAnsi" w:cstheme="majorHAnsi"/>
          <w:bCs/>
          <w:sz w:val="24"/>
          <w:szCs w:val="24"/>
          <w:lang w:val="ru-MD" w:eastAsia="ru-RU"/>
        </w:rPr>
        <w:t xml:space="preserve"> долг</w:t>
      </w:r>
      <w:r w:rsidR="00572DEC" w:rsidRPr="00EC5A7B">
        <w:rPr>
          <w:rFonts w:asciiTheme="majorHAnsi" w:eastAsia="Times New Roman" w:hAnsiTheme="majorHAnsi" w:cstheme="majorHAnsi"/>
          <w:bCs/>
          <w:sz w:val="24"/>
          <w:szCs w:val="24"/>
          <w:lang w:val="ru-MD" w:eastAsia="ru-RU"/>
        </w:rPr>
        <w:t>ом</w:t>
      </w:r>
      <w:r w:rsidRPr="00EC5A7B">
        <w:rPr>
          <w:rFonts w:asciiTheme="majorHAnsi" w:eastAsia="Times New Roman" w:hAnsiTheme="majorHAnsi" w:cstheme="majorHAnsi"/>
          <w:bCs/>
          <w:sz w:val="24"/>
          <w:szCs w:val="24"/>
          <w:lang w:val="ru-MD" w:eastAsia="ru-RU"/>
        </w:rPr>
        <w:t xml:space="preserve"> на среднесрочный период (2019-2021)”, </w:t>
      </w:r>
      <w:r w:rsidR="00572DEC" w:rsidRPr="00EC5A7B">
        <w:rPr>
          <w:rFonts w:asciiTheme="majorHAnsi" w:eastAsia="Times New Roman" w:hAnsiTheme="majorHAnsi" w:cstheme="majorHAnsi"/>
          <w:bCs/>
          <w:sz w:val="24"/>
          <w:szCs w:val="24"/>
          <w:lang w:val="ru-MD" w:eastAsia="ru-RU"/>
        </w:rPr>
        <w:t>показало</w:t>
      </w:r>
      <w:r w:rsidRPr="00EC5A7B">
        <w:rPr>
          <w:rFonts w:asciiTheme="majorHAnsi" w:eastAsia="Times New Roman" w:hAnsiTheme="majorHAnsi" w:cstheme="majorHAnsi"/>
          <w:bCs/>
          <w:sz w:val="24"/>
          <w:szCs w:val="24"/>
          <w:lang w:val="ru-MD" w:eastAsia="ru-RU"/>
        </w:rPr>
        <w:t>, что, хотя почти все по</w:t>
      </w:r>
      <w:r w:rsidRPr="00EC5A7B">
        <w:rPr>
          <w:rFonts w:asciiTheme="majorHAnsi" w:eastAsia="Times New Roman" w:hAnsiTheme="majorHAnsi" w:cstheme="majorHAnsi"/>
          <w:bCs/>
          <w:sz w:val="24"/>
          <w:szCs w:val="24"/>
          <w:lang w:val="ru-MD" w:eastAsia="ru-RU"/>
        </w:rPr>
        <w:lastRenderedPageBreak/>
        <w:t xml:space="preserve">казатели вписывались в установленные пределы, портфель государственного долга остается подверженным валютному риску, риску процентных ставок и риску рефинансирования. Учитывая, что конкретные </w:t>
      </w:r>
      <w:r w:rsidR="00572DEC" w:rsidRPr="00EC5A7B">
        <w:rPr>
          <w:rFonts w:asciiTheme="majorHAnsi" w:eastAsia="Times New Roman" w:hAnsiTheme="majorHAnsi" w:cstheme="majorHAnsi"/>
          <w:bCs/>
          <w:sz w:val="24"/>
          <w:szCs w:val="24"/>
          <w:lang w:val="ru-MD" w:eastAsia="ru-RU"/>
        </w:rPr>
        <w:t>задачи по</w:t>
      </w:r>
      <w:r w:rsidRPr="00EC5A7B">
        <w:rPr>
          <w:rFonts w:asciiTheme="majorHAnsi" w:eastAsia="Times New Roman" w:hAnsiTheme="majorHAnsi" w:cstheme="majorHAnsi"/>
          <w:bCs/>
          <w:sz w:val="24"/>
          <w:szCs w:val="24"/>
          <w:lang w:val="ru-MD" w:eastAsia="ru-RU"/>
        </w:rPr>
        <w:t xml:space="preserve"> управлени</w:t>
      </w:r>
      <w:r w:rsidR="00572DEC" w:rsidRPr="00EC5A7B">
        <w:rPr>
          <w:rFonts w:asciiTheme="majorHAnsi" w:eastAsia="Times New Roman" w:hAnsiTheme="majorHAnsi" w:cstheme="majorHAnsi"/>
          <w:bCs/>
          <w:sz w:val="24"/>
          <w:szCs w:val="24"/>
          <w:lang w:val="ru-MD" w:eastAsia="ru-RU"/>
        </w:rPr>
        <w:t>ю</w:t>
      </w:r>
      <w:r w:rsidRPr="00EC5A7B">
        <w:rPr>
          <w:rFonts w:asciiTheme="majorHAnsi" w:eastAsia="Times New Roman" w:hAnsiTheme="majorHAnsi" w:cstheme="majorHAnsi"/>
          <w:bCs/>
          <w:sz w:val="24"/>
          <w:szCs w:val="24"/>
          <w:lang w:val="ru-MD" w:eastAsia="ru-RU"/>
        </w:rPr>
        <w:t xml:space="preserve"> государственным долгом устанавливаются </w:t>
      </w:r>
      <w:r w:rsidR="00572DEC" w:rsidRPr="00EC5A7B">
        <w:rPr>
          <w:rFonts w:asciiTheme="majorHAnsi" w:eastAsia="Times New Roman" w:hAnsiTheme="majorHAnsi" w:cstheme="majorHAnsi"/>
          <w:bCs/>
          <w:sz w:val="24"/>
          <w:szCs w:val="24"/>
          <w:lang w:val="ru-MD" w:eastAsia="ru-RU"/>
        </w:rPr>
        <w:t>на</w:t>
      </w:r>
      <w:r w:rsidRPr="00EC5A7B">
        <w:rPr>
          <w:rFonts w:asciiTheme="majorHAnsi" w:eastAsia="Times New Roman" w:hAnsiTheme="majorHAnsi" w:cstheme="majorHAnsi"/>
          <w:bCs/>
          <w:sz w:val="24"/>
          <w:szCs w:val="24"/>
          <w:lang w:val="ru-MD" w:eastAsia="ru-RU"/>
        </w:rPr>
        <w:t xml:space="preserve"> средне</w:t>
      </w:r>
      <w:r w:rsidR="00572DEC" w:rsidRPr="00EC5A7B">
        <w:rPr>
          <w:rFonts w:asciiTheme="majorHAnsi" w:eastAsia="Times New Roman" w:hAnsiTheme="majorHAnsi" w:cstheme="majorHAnsi"/>
          <w:bCs/>
          <w:sz w:val="24"/>
          <w:szCs w:val="24"/>
          <w:lang w:val="ru-MD" w:eastAsia="ru-RU"/>
        </w:rPr>
        <w:t>срочный</w:t>
      </w:r>
      <w:r w:rsidRPr="00EC5A7B">
        <w:rPr>
          <w:rFonts w:asciiTheme="majorHAnsi" w:eastAsia="Times New Roman" w:hAnsiTheme="majorHAnsi" w:cstheme="majorHAnsi"/>
          <w:bCs/>
          <w:sz w:val="24"/>
          <w:szCs w:val="24"/>
          <w:lang w:val="ru-MD" w:eastAsia="ru-RU"/>
        </w:rPr>
        <w:t xml:space="preserve"> период (3 года), действия</w:t>
      </w:r>
      <w:r w:rsidR="00572DEC" w:rsidRPr="00EC5A7B">
        <w:rPr>
          <w:rFonts w:asciiTheme="majorHAnsi" w:eastAsia="Times New Roman" w:hAnsiTheme="majorHAnsi" w:cstheme="majorHAnsi"/>
          <w:bCs/>
          <w:sz w:val="24"/>
          <w:szCs w:val="24"/>
          <w:lang w:val="ru-MD" w:eastAsia="ru-RU"/>
        </w:rPr>
        <w:t xml:space="preserve">, предпринятые </w:t>
      </w:r>
      <w:r w:rsidRPr="00EC5A7B">
        <w:rPr>
          <w:rFonts w:asciiTheme="majorHAnsi" w:eastAsia="Times New Roman" w:hAnsiTheme="majorHAnsi" w:cstheme="majorHAnsi"/>
          <w:bCs/>
          <w:sz w:val="24"/>
          <w:szCs w:val="24"/>
          <w:lang w:val="ru-MD" w:eastAsia="ru-RU"/>
        </w:rPr>
        <w:t xml:space="preserve">МФ с целью их </w:t>
      </w:r>
      <w:r w:rsidR="00572DEC" w:rsidRPr="00EC5A7B">
        <w:rPr>
          <w:rFonts w:asciiTheme="majorHAnsi" w:eastAsia="Times New Roman" w:hAnsiTheme="majorHAnsi" w:cstheme="majorHAnsi"/>
          <w:bCs/>
          <w:sz w:val="24"/>
          <w:szCs w:val="24"/>
          <w:lang w:val="ru-MD" w:eastAsia="ru-RU"/>
        </w:rPr>
        <w:t>выполн</w:t>
      </w:r>
      <w:r w:rsidRPr="00EC5A7B">
        <w:rPr>
          <w:rFonts w:asciiTheme="majorHAnsi" w:eastAsia="Times New Roman" w:hAnsiTheme="majorHAnsi" w:cstheme="majorHAnsi"/>
          <w:bCs/>
          <w:sz w:val="24"/>
          <w:szCs w:val="24"/>
          <w:lang w:val="ru-MD" w:eastAsia="ru-RU"/>
        </w:rPr>
        <w:t>ения</w:t>
      </w:r>
      <w:r w:rsidR="00572DEC" w:rsidRPr="00EC5A7B">
        <w:rPr>
          <w:rFonts w:asciiTheme="majorHAnsi" w:eastAsia="Times New Roman" w:hAnsiTheme="majorHAnsi" w:cstheme="majorHAnsi"/>
          <w:bCs/>
          <w:sz w:val="24"/>
          <w:szCs w:val="24"/>
          <w:lang w:val="ru-MD" w:eastAsia="ru-RU"/>
        </w:rPr>
        <w:t>,</w:t>
      </w:r>
      <w:r w:rsidRPr="00EC5A7B">
        <w:rPr>
          <w:rFonts w:asciiTheme="majorHAnsi" w:eastAsia="Times New Roman" w:hAnsiTheme="majorHAnsi" w:cstheme="majorHAnsi"/>
          <w:bCs/>
          <w:sz w:val="24"/>
          <w:szCs w:val="24"/>
          <w:lang w:val="ru-MD" w:eastAsia="ru-RU"/>
        </w:rPr>
        <w:t xml:space="preserve"> частично достигли ожидаемого </w:t>
      </w:r>
      <w:r w:rsidR="00572DEC" w:rsidRPr="00EC5A7B">
        <w:rPr>
          <w:rFonts w:asciiTheme="majorHAnsi" w:eastAsia="Times New Roman" w:hAnsiTheme="majorHAnsi" w:cstheme="majorHAnsi"/>
          <w:bCs/>
          <w:sz w:val="24"/>
          <w:szCs w:val="24"/>
          <w:lang w:val="ru-MD" w:eastAsia="ru-RU"/>
        </w:rPr>
        <w:t>воздействия</w:t>
      </w:r>
      <w:r w:rsidR="00FE5C5E" w:rsidRPr="00EC5A7B">
        <w:rPr>
          <w:rFonts w:asciiTheme="majorHAnsi" w:eastAsia="Times New Roman" w:hAnsiTheme="majorHAnsi" w:cstheme="majorHAnsi"/>
          <w:bCs/>
          <w:sz w:val="24"/>
          <w:szCs w:val="24"/>
          <w:lang w:val="ru-MD" w:eastAsia="ru-RU"/>
        </w:rPr>
        <w:t>.</w:t>
      </w:r>
    </w:p>
    <w:p w14:paraId="46F2957A" w14:textId="573A230E" w:rsidR="00FE5C5E" w:rsidRPr="00EC5A7B" w:rsidRDefault="00572DEC" w:rsidP="00C72B3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По состоянию на 31.12.2019</w:t>
      </w:r>
      <w:r w:rsidR="002608FF" w:rsidRPr="00EC5A7B">
        <w:rPr>
          <w:rFonts w:asciiTheme="majorHAnsi" w:hAnsiTheme="majorHAnsi" w:cstheme="majorHAnsi"/>
          <w:sz w:val="24"/>
          <w:szCs w:val="24"/>
          <w:lang w:val="ru-MD" w:eastAsia="ru-RU"/>
        </w:rPr>
        <w:t xml:space="preserve"> остаток государственных гарантий, который полностью с</w:t>
      </w:r>
      <w:r w:rsidRPr="00EC5A7B">
        <w:rPr>
          <w:rFonts w:asciiTheme="majorHAnsi" w:hAnsiTheme="majorHAnsi" w:cstheme="majorHAnsi"/>
          <w:sz w:val="24"/>
          <w:szCs w:val="24"/>
          <w:lang w:val="ru-MD" w:eastAsia="ru-RU"/>
        </w:rPr>
        <w:t>формирован</w:t>
      </w:r>
      <w:r w:rsidR="002608FF" w:rsidRPr="00EC5A7B">
        <w:rPr>
          <w:rFonts w:asciiTheme="majorHAnsi" w:hAnsiTheme="majorHAnsi" w:cstheme="majorHAnsi"/>
          <w:sz w:val="24"/>
          <w:szCs w:val="24"/>
          <w:lang w:val="ru-MD" w:eastAsia="ru-RU"/>
        </w:rPr>
        <w:t xml:space="preserve"> из внутренних государственных гарантий, предоставленных в рамках </w:t>
      </w:r>
      <w:r w:rsidRPr="00EC5A7B">
        <w:rPr>
          <w:rFonts w:asciiTheme="majorHAnsi" w:hAnsiTheme="majorHAnsi" w:cstheme="majorHAnsi"/>
          <w:sz w:val="24"/>
          <w:szCs w:val="24"/>
          <w:lang w:val="ru-MD" w:eastAsia="ru-RU"/>
        </w:rPr>
        <w:t>Г</w:t>
      </w:r>
      <w:r w:rsidR="002608FF" w:rsidRPr="00EC5A7B">
        <w:rPr>
          <w:rFonts w:asciiTheme="majorHAnsi" w:hAnsiTheme="majorHAnsi" w:cstheme="majorHAnsi"/>
          <w:sz w:val="24"/>
          <w:szCs w:val="24"/>
          <w:lang w:val="ru-MD" w:eastAsia="ru-RU"/>
        </w:rPr>
        <w:t xml:space="preserve">осударственной программы </w:t>
      </w:r>
      <w:r w:rsidR="00EC5A7B">
        <w:rPr>
          <w:rFonts w:asciiTheme="majorHAnsi" w:hAnsiTheme="majorHAnsi" w:cstheme="majorHAnsi"/>
          <w:sz w:val="24"/>
          <w:szCs w:val="24"/>
          <w:lang w:val="ru-MD" w:eastAsia="ru-RU"/>
        </w:rPr>
        <w:t>“Первый дом”</w:t>
      </w:r>
      <w:r w:rsidR="002608FF" w:rsidRPr="00EC5A7B">
        <w:rPr>
          <w:rFonts w:asciiTheme="majorHAnsi" w:hAnsiTheme="majorHAnsi" w:cstheme="majorHAnsi"/>
          <w:sz w:val="24"/>
          <w:szCs w:val="24"/>
          <w:lang w:val="ru-MD" w:eastAsia="ru-RU"/>
        </w:rPr>
        <w:t>, составил 928,6 млн. ле</w:t>
      </w:r>
      <w:r w:rsidRPr="00EC5A7B">
        <w:rPr>
          <w:rFonts w:asciiTheme="majorHAnsi" w:hAnsiTheme="majorHAnsi" w:cstheme="majorHAnsi"/>
          <w:sz w:val="24"/>
          <w:szCs w:val="24"/>
          <w:lang w:val="ru-MD" w:eastAsia="ru-RU"/>
        </w:rPr>
        <w:t>ев</w:t>
      </w:r>
      <w:r w:rsidR="002608FF" w:rsidRPr="00EC5A7B">
        <w:rPr>
          <w:rFonts w:asciiTheme="majorHAnsi" w:hAnsiTheme="majorHAnsi" w:cstheme="majorHAnsi"/>
          <w:sz w:val="24"/>
          <w:szCs w:val="24"/>
          <w:lang w:val="ru-MD" w:eastAsia="ru-RU"/>
        </w:rPr>
        <w:t>, увеличившись на 670,3 млн. леев по сравнению с прошлым годом. Аудит</w:t>
      </w:r>
      <w:r w:rsidR="00B46FF9" w:rsidRPr="00EC5A7B">
        <w:rPr>
          <w:rFonts w:asciiTheme="majorHAnsi" w:hAnsiTheme="majorHAnsi" w:cstheme="majorHAnsi"/>
          <w:sz w:val="24"/>
          <w:szCs w:val="24"/>
          <w:lang w:val="ru-MD" w:eastAsia="ru-RU"/>
        </w:rPr>
        <w:t>ом установлено</w:t>
      </w:r>
      <w:r w:rsidR="002608FF" w:rsidRPr="00EC5A7B">
        <w:rPr>
          <w:rFonts w:asciiTheme="majorHAnsi" w:hAnsiTheme="majorHAnsi" w:cstheme="majorHAnsi"/>
          <w:sz w:val="24"/>
          <w:szCs w:val="24"/>
          <w:lang w:val="ru-MD" w:eastAsia="ru-RU"/>
        </w:rPr>
        <w:t xml:space="preserve"> делегирование </w:t>
      </w:r>
      <w:r w:rsidR="00674F1C" w:rsidRPr="00EC5A7B">
        <w:rPr>
          <w:rFonts w:asciiTheme="majorHAnsi" w:hAnsiTheme="majorHAnsi" w:cstheme="majorHAnsi"/>
          <w:sz w:val="24"/>
          <w:szCs w:val="24"/>
          <w:lang w:val="ru-MD" w:eastAsia="ru-RU"/>
        </w:rPr>
        <w:t>ОРМСП</w:t>
      </w:r>
      <w:r w:rsidR="002608FF" w:rsidRPr="00EC5A7B">
        <w:rPr>
          <w:rFonts w:asciiTheme="majorHAnsi" w:hAnsiTheme="majorHAnsi" w:cstheme="majorHAnsi"/>
          <w:sz w:val="24"/>
          <w:szCs w:val="24"/>
          <w:lang w:val="ru-MD" w:eastAsia="ru-RU"/>
        </w:rPr>
        <w:t xml:space="preserve"> права на выдачу гарантий от имени и за счет государ</w:t>
      </w:r>
      <w:r w:rsidR="00674F1C" w:rsidRPr="00EC5A7B">
        <w:rPr>
          <w:rFonts w:asciiTheme="majorHAnsi" w:hAnsiTheme="majorHAnsi" w:cstheme="majorHAnsi"/>
          <w:sz w:val="24"/>
          <w:szCs w:val="24"/>
          <w:lang w:val="ru-MD" w:eastAsia="ru-RU"/>
        </w:rPr>
        <w:t>ства на основании положений ст.</w:t>
      </w:r>
      <w:r w:rsidR="002608FF" w:rsidRPr="00EC5A7B">
        <w:rPr>
          <w:rFonts w:asciiTheme="majorHAnsi" w:hAnsiTheme="majorHAnsi" w:cstheme="majorHAnsi"/>
          <w:sz w:val="24"/>
          <w:szCs w:val="24"/>
          <w:lang w:val="ru-MD" w:eastAsia="ru-RU"/>
        </w:rPr>
        <w:t>7</w:t>
      </w:r>
      <w:r w:rsidR="00674F1C" w:rsidRPr="00EC5A7B">
        <w:rPr>
          <w:rFonts w:asciiTheme="majorHAnsi" w:hAnsiTheme="majorHAnsi" w:cstheme="majorHAnsi"/>
          <w:sz w:val="24"/>
          <w:szCs w:val="24"/>
          <w:lang w:val="ru-MD" w:eastAsia="ru-RU"/>
        </w:rPr>
        <w:t xml:space="preserve"> </w:t>
      </w:r>
      <w:r w:rsidR="002608FF" w:rsidRPr="00EC5A7B">
        <w:rPr>
          <w:rFonts w:asciiTheme="majorHAnsi" w:hAnsiTheme="majorHAnsi" w:cstheme="majorHAnsi"/>
          <w:sz w:val="24"/>
          <w:szCs w:val="24"/>
          <w:lang w:val="ru-MD" w:eastAsia="ru-RU"/>
        </w:rPr>
        <w:t>(1)</w:t>
      </w:r>
      <w:r w:rsidR="00674F1C" w:rsidRPr="00EC5A7B">
        <w:rPr>
          <w:rFonts w:asciiTheme="majorHAnsi" w:hAnsiTheme="majorHAnsi" w:cstheme="majorHAnsi"/>
          <w:sz w:val="24"/>
          <w:szCs w:val="24"/>
          <w:lang w:val="ru-MD" w:eastAsia="ru-RU"/>
        </w:rPr>
        <w:t xml:space="preserve"> </w:t>
      </w:r>
      <w:r w:rsidR="002608FF" w:rsidRPr="00EC5A7B">
        <w:rPr>
          <w:rFonts w:asciiTheme="majorHAnsi" w:hAnsiTheme="majorHAnsi" w:cstheme="majorHAnsi"/>
          <w:sz w:val="24"/>
          <w:szCs w:val="24"/>
          <w:lang w:val="ru-MD" w:eastAsia="ru-RU"/>
        </w:rPr>
        <w:t xml:space="preserve">b) </w:t>
      </w:r>
      <w:r w:rsidR="00674F1C" w:rsidRPr="00EC5A7B">
        <w:rPr>
          <w:rFonts w:asciiTheme="majorHAnsi" w:hAnsiTheme="majorHAnsi" w:cstheme="majorHAnsi"/>
          <w:sz w:val="24"/>
          <w:szCs w:val="24"/>
          <w:lang w:val="ru-MD" w:eastAsia="ru-RU"/>
        </w:rPr>
        <w:t>З</w:t>
      </w:r>
      <w:r w:rsidR="002608FF" w:rsidRPr="00EC5A7B">
        <w:rPr>
          <w:rFonts w:asciiTheme="majorHAnsi" w:hAnsiTheme="majorHAnsi" w:cstheme="majorHAnsi"/>
          <w:sz w:val="24"/>
          <w:szCs w:val="24"/>
          <w:lang w:val="ru-MD" w:eastAsia="ru-RU"/>
        </w:rPr>
        <w:t>акона</w:t>
      </w:r>
      <w:r w:rsidR="00674F1C" w:rsidRPr="00EC5A7B">
        <w:rPr>
          <w:rFonts w:asciiTheme="majorHAnsi" w:hAnsiTheme="majorHAnsi" w:cstheme="majorHAnsi"/>
          <w:sz w:val="24"/>
          <w:szCs w:val="24"/>
          <w:lang w:val="ru-MD" w:eastAsia="ru-RU"/>
        </w:rPr>
        <w:t xml:space="preserve"> о</w:t>
      </w:r>
      <w:r w:rsidR="002608FF" w:rsidRPr="00EC5A7B">
        <w:rPr>
          <w:rFonts w:asciiTheme="majorHAnsi" w:hAnsiTheme="majorHAnsi" w:cstheme="majorHAnsi"/>
          <w:sz w:val="24"/>
          <w:szCs w:val="24"/>
          <w:lang w:val="ru-MD" w:eastAsia="ru-RU"/>
        </w:rPr>
        <w:t xml:space="preserve"> некоторых мерах по внедрению </w:t>
      </w:r>
      <w:r w:rsidR="00674F1C" w:rsidRPr="00EC5A7B">
        <w:rPr>
          <w:rFonts w:asciiTheme="majorHAnsi" w:hAnsiTheme="majorHAnsi" w:cstheme="majorHAnsi"/>
          <w:sz w:val="24"/>
          <w:szCs w:val="24"/>
          <w:lang w:val="ru-MD" w:eastAsia="ru-RU"/>
        </w:rPr>
        <w:t>Г</w:t>
      </w:r>
      <w:r w:rsidR="002608FF" w:rsidRPr="00EC5A7B">
        <w:rPr>
          <w:rFonts w:asciiTheme="majorHAnsi" w:hAnsiTheme="majorHAnsi" w:cstheme="majorHAnsi"/>
          <w:sz w:val="24"/>
          <w:szCs w:val="24"/>
          <w:lang w:val="ru-MD" w:eastAsia="ru-RU"/>
        </w:rPr>
        <w:t>осударственной программы</w:t>
      </w:r>
      <w:r w:rsidR="00674F1C" w:rsidRPr="00EC5A7B">
        <w:rPr>
          <w:rFonts w:asciiTheme="majorHAnsi" w:hAnsiTheme="majorHAnsi" w:cstheme="majorHAnsi"/>
          <w:sz w:val="24"/>
          <w:szCs w:val="24"/>
          <w:lang w:val="ru-MD" w:eastAsia="ru-RU"/>
        </w:rPr>
        <w:t xml:space="preserve"> </w:t>
      </w:r>
      <w:r w:rsidR="00EC5A7B">
        <w:rPr>
          <w:rFonts w:asciiTheme="majorHAnsi" w:hAnsiTheme="majorHAnsi" w:cstheme="majorHAnsi"/>
          <w:sz w:val="24"/>
          <w:szCs w:val="24"/>
          <w:lang w:val="ru-MD" w:eastAsia="ru-RU"/>
        </w:rPr>
        <w:t>“Первый дом”</w:t>
      </w:r>
      <w:r w:rsidR="00674F1C" w:rsidRPr="00EC5A7B">
        <w:rPr>
          <w:rFonts w:asciiTheme="majorHAnsi" w:hAnsiTheme="majorHAnsi" w:cstheme="majorHAnsi"/>
          <w:sz w:val="24"/>
          <w:szCs w:val="24"/>
          <w:lang w:val="ru-MD" w:eastAsia="ru-RU"/>
        </w:rPr>
        <w:t xml:space="preserve"> №293 от 21.12.2017, </w:t>
      </w:r>
      <w:r w:rsidR="002608FF" w:rsidRPr="00EC5A7B">
        <w:rPr>
          <w:rFonts w:asciiTheme="majorHAnsi" w:hAnsiTheme="majorHAnsi" w:cstheme="majorHAnsi"/>
          <w:sz w:val="24"/>
          <w:szCs w:val="24"/>
          <w:lang w:val="ru-MD" w:eastAsia="ru-RU"/>
        </w:rPr>
        <w:t xml:space="preserve">что может привести к дополнительным расходам </w:t>
      </w:r>
      <w:r w:rsidR="00674F1C" w:rsidRPr="00EC5A7B">
        <w:rPr>
          <w:rFonts w:asciiTheme="majorHAnsi" w:hAnsiTheme="majorHAnsi" w:cstheme="majorHAnsi"/>
          <w:sz w:val="24"/>
          <w:szCs w:val="24"/>
          <w:lang w:val="ru-MD" w:eastAsia="ru-RU"/>
        </w:rPr>
        <w:t>из</w:t>
      </w:r>
      <w:r w:rsidR="002608FF" w:rsidRPr="00EC5A7B">
        <w:rPr>
          <w:rFonts w:asciiTheme="majorHAnsi" w:hAnsiTheme="majorHAnsi" w:cstheme="majorHAnsi"/>
          <w:sz w:val="24"/>
          <w:szCs w:val="24"/>
          <w:lang w:val="ru-MD" w:eastAsia="ru-RU"/>
        </w:rPr>
        <w:t xml:space="preserve"> государственного бюджета в </w:t>
      </w:r>
      <w:r w:rsidR="00674F1C" w:rsidRPr="00EC5A7B">
        <w:rPr>
          <w:rFonts w:asciiTheme="majorHAnsi" w:hAnsiTheme="majorHAnsi" w:cstheme="majorHAnsi"/>
          <w:sz w:val="24"/>
          <w:szCs w:val="24"/>
          <w:lang w:val="ru-MD" w:eastAsia="ru-RU"/>
        </w:rPr>
        <w:t>случае</w:t>
      </w:r>
      <w:r w:rsidR="002608FF" w:rsidRPr="00EC5A7B">
        <w:rPr>
          <w:rFonts w:asciiTheme="majorHAnsi" w:hAnsiTheme="majorHAnsi" w:cstheme="majorHAnsi"/>
          <w:sz w:val="24"/>
          <w:szCs w:val="24"/>
          <w:lang w:val="ru-MD" w:eastAsia="ru-RU"/>
        </w:rPr>
        <w:t xml:space="preserve"> активации гарантий</w:t>
      </w:r>
      <w:r w:rsidR="00FE5C5E" w:rsidRPr="00EC5A7B">
        <w:rPr>
          <w:rFonts w:asciiTheme="majorHAnsi" w:hAnsiTheme="majorHAnsi" w:cstheme="majorHAnsi"/>
          <w:sz w:val="24"/>
          <w:szCs w:val="24"/>
          <w:lang w:val="ru-MD" w:eastAsia="ru-RU"/>
        </w:rPr>
        <w:t>.</w:t>
      </w:r>
    </w:p>
    <w:p w14:paraId="635D51D8" w14:textId="175FB838" w:rsidR="00FE5C5E" w:rsidRPr="00EC5A7B" w:rsidRDefault="002608FF" w:rsidP="00C72B3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сравнению с аналогичным периодом предыдущего года, остаток задолженности </w:t>
      </w:r>
      <w:r w:rsidR="004A50DE" w:rsidRPr="00EC5A7B">
        <w:rPr>
          <w:rFonts w:asciiTheme="majorHAnsi" w:hAnsiTheme="majorHAnsi" w:cstheme="majorHAnsi"/>
          <w:sz w:val="24"/>
          <w:szCs w:val="24"/>
          <w:lang w:val="ru-MD" w:eastAsia="ru-RU"/>
        </w:rPr>
        <w:t xml:space="preserve">гарантированных </w:t>
      </w:r>
      <w:r w:rsidRPr="00EC5A7B">
        <w:rPr>
          <w:rFonts w:asciiTheme="majorHAnsi" w:hAnsiTheme="majorHAnsi" w:cstheme="majorHAnsi"/>
          <w:sz w:val="24"/>
          <w:szCs w:val="24"/>
          <w:lang w:val="ru-MD" w:eastAsia="ru-RU"/>
        </w:rPr>
        <w:t xml:space="preserve">заемщиков </w:t>
      </w:r>
      <w:r w:rsidR="004A50DE" w:rsidRPr="00EC5A7B">
        <w:rPr>
          <w:rFonts w:asciiTheme="majorHAnsi" w:hAnsiTheme="majorHAnsi" w:cstheme="majorHAnsi"/>
          <w:sz w:val="24"/>
          <w:szCs w:val="24"/>
          <w:lang w:val="ru-MD" w:eastAsia="ru-RU"/>
        </w:rPr>
        <w:t>перед</w:t>
      </w:r>
      <w:r w:rsidRPr="00EC5A7B">
        <w:rPr>
          <w:rFonts w:asciiTheme="majorHAnsi" w:hAnsiTheme="majorHAnsi" w:cstheme="majorHAnsi"/>
          <w:sz w:val="24"/>
          <w:szCs w:val="24"/>
          <w:lang w:val="ru-MD" w:eastAsia="ru-RU"/>
        </w:rPr>
        <w:t xml:space="preserve"> МФ, сформировавшийся в результате </w:t>
      </w:r>
      <w:r w:rsidR="004A50DE" w:rsidRPr="00EC5A7B">
        <w:rPr>
          <w:rFonts w:asciiTheme="majorHAnsi" w:hAnsiTheme="majorHAnsi" w:cstheme="majorHAnsi"/>
          <w:sz w:val="24"/>
          <w:szCs w:val="24"/>
          <w:lang w:val="ru-MD" w:eastAsia="ru-RU"/>
        </w:rPr>
        <w:t>отвлече</w:t>
      </w:r>
      <w:r w:rsidRPr="00EC5A7B">
        <w:rPr>
          <w:rFonts w:asciiTheme="majorHAnsi" w:hAnsiTheme="majorHAnsi" w:cstheme="majorHAnsi"/>
          <w:sz w:val="24"/>
          <w:szCs w:val="24"/>
          <w:lang w:val="ru-MD" w:eastAsia="ru-RU"/>
        </w:rPr>
        <w:t>ния средств на выполнение обязательств по внутренним и внешним государственным гарантиям (эквивалент 431,1 млн. ле</w:t>
      </w:r>
      <w:r w:rsidR="004A50DE"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увеличился на 493,3 тыс. евро</w:t>
      </w:r>
      <w:r w:rsidR="004A50DE"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из-за 2 платежей</w:t>
      </w:r>
      <w:r w:rsidR="004A50DE" w:rsidRPr="00EC5A7B">
        <w:rPr>
          <w:rFonts w:asciiTheme="majorHAnsi" w:hAnsiTheme="majorHAnsi" w:cstheme="majorHAnsi"/>
          <w:sz w:val="24"/>
          <w:szCs w:val="24"/>
          <w:lang w:val="ru-MD" w:eastAsia="ru-RU"/>
        </w:rPr>
        <w:t>, осуществленных</w:t>
      </w:r>
      <w:r w:rsidRPr="00EC5A7B">
        <w:rPr>
          <w:rFonts w:asciiTheme="majorHAnsi" w:hAnsiTheme="majorHAnsi" w:cstheme="majorHAnsi"/>
          <w:sz w:val="24"/>
          <w:szCs w:val="24"/>
          <w:lang w:val="ru-MD" w:eastAsia="ru-RU"/>
        </w:rPr>
        <w:t xml:space="preserve"> МФ в течение года в пользу внешнего кредитора. Задолженность </w:t>
      </w:r>
      <w:r w:rsidR="004A50DE" w:rsidRPr="00EC5A7B">
        <w:rPr>
          <w:rFonts w:asciiTheme="majorHAnsi" w:hAnsiTheme="majorHAnsi" w:cstheme="majorHAnsi"/>
          <w:sz w:val="24"/>
          <w:szCs w:val="24"/>
          <w:lang w:val="ru-MD" w:eastAsia="ru-RU"/>
        </w:rPr>
        <w:t>гарантированн</w:t>
      </w:r>
      <w:r w:rsidRPr="00EC5A7B">
        <w:rPr>
          <w:rFonts w:asciiTheme="majorHAnsi" w:hAnsiTheme="majorHAnsi" w:cstheme="majorHAnsi"/>
          <w:sz w:val="24"/>
          <w:szCs w:val="24"/>
          <w:lang w:val="ru-MD" w:eastAsia="ru-RU"/>
        </w:rPr>
        <w:t>заемщиков</w:t>
      </w:r>
      <w:r w:rsidR="004A50DE" w:rsidRPr="00EC5A7B">
        <w:rPr>
          <w:rFonts w:asciiTheme="majorHAnsi" w:hAnsiTheme="majorHAnsi" w:cstheme="majorHAnsi"/>
          <w:sz w:val="24"/>
          <w:szCs w:val="24"/>
          <w:lang w:val="ru-MD" w:eastAsia="ru-RU"/>
        </w:rPr>
        <w:t xml:space="preserve"> перед МФ</w:t>
      </w:r>
      <w:r w:rsidRPr="00EC5A7B">
        <w:rPr>
          <w:rFonts w:asciiTheme="majorHAnsi" w:hAnsiTheme="majorHAnsi" w:cstheme="majorHAnsi"/>
          <w:sz w:val="24"/>
          <w:szCs w:val="24"/>
          <w:lang w:val="ru-MD" w:eastAsia="ru-RU"/>
        </w:rPr>
        <w:t xml:space="preserve"> полностью </w:t>
      </w:r>
      <w:r w:rsidR="004A50DE" w:rsidRPr="00EC5A7B">
        <w:rPr>
          <w:rFonts w:asciiTheme="majorHAnsi" w:hAnsiTheme="majorHAnsi" w:cstheme="majorHAnsi"/>
          <w:sz w:val="24"/>
          <w:szCs w:val="24"/>
          <w:lang w:val="ru-MD" w:eastAsia="ru-RU"/>
        </w:rPr>
        <w:t>просрочена</w:t>
      </w:r>
      <w:r w:rsidR="00907D56" w:rsidRPr="00EC5A7B">
        <w:rPr>
          <w:rFonts w:asciiTheme="majorHAnsi" w:hAnsiTheme="majorHAnsi" w:cstheme="majorHAnsi"/>
          <w:sz w:val="24"/>
          <w:szCs w:val="24"/>
          <w:lang w:val="ru-MD" w:eastAsia="ru-RU"/>
        </w:rPr>
        <w:t>.</w:t>
      </w:r>
    </w:p>
    <w:p w14:paraId="0E19B439" w14:textId="3F7FB1B1" w:rsidR="005F7F4A" w:rsidRPr="00EC5A7B" w:rsidRDefault="002608FF" w:rsidP="00907D56">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течение 2019 года за счет кредитных линий и накопленных оборотных средств </w:t>
      </w:r>
      <w:r w:rsidR="00CC03BF" w:rsidRPr="00EC5A7B">
        <w:rPr>
          <w:rFonts w:asciiTheme="majorHAnsi" w:hAnsiTheme="majorHAnsi" w:cstheme="majorHAnsi"/>
          <w:sz w:val="24"/>
          <w:szCs w:val="24"/>
          <w:lang w:val="ru-MD" w:eastAsia="ru-RU"/>
        </w:rPr>
        <w:t>на</w:t>
      </w:r>
      <w:r w:rsidRPr="00EC5A7B">
        <w:rPr>
          <w:rFonts w:asciiTheme="majorHAnsi" w:hAnsiTheme="majorHAnsi" w:cstheme="majorHAnsi"/>
          <w:sz w:val="24"/>
          <w:szCs w:val="24"/>
          <w:lang w:val="ru-MD" w:eastAsia="ru-RU"/>
        </w:rPr>
        <w:t xml:space="preserve"> реализаци</w:t>
      </w:r>
      <w:r w:rsidR="00CC03BF" w:rsidRPr="00EC5A7B">
        <w:rPr>
          <w:rFonts w:asciiTheme="majorHAnsi" w:hAnsiTheme="majorHAnsi" w:cstheme="majorHAnsi"/>
          <w:sz w:val="24"/>
          <w:szCs w:val="24"/>
          <w:lang w:val="ru-MD" w:eastAsia="ru-RU"/>
        </w:rPr>
        <w:t>ю</w:t>
      </w:r>
      <w:r w:rsidRPr="00EC5A7B">
        <w:rPr>
          <w:rFonts w:asciiTheme="majorHAnsi" w:hAnsiTheme="majorHAnsi" w:cstheme="majorHAnsi"/>
          <w:sz w:val="24"/>
          <w:szCs w:val="24"/>
          <w:lang w:val="ru-MD" w:eastAsia="ru-RU"/>
        </w:rPr>
        <w:t xml:space="preserve"> проектов, финансируемых </w:t>
      </w:r>
      <w:r w:rsidRPr="00EC5A7B">
        <w:rPr>
          <w:rFonts w:asciiTheme="majorHAnsi" w:hAnsiTheme="majorHAnsi" w:cstheme="majorHAnsi"/>
          <w:sz w:val="24"/>
          <w:szCs w:val="24"/>
          <w:lang w:val="ru-MD" w:eastAsia="ru-RU"/>
        </w:rPr>
        <w:lastRenderedPageBreak/>
        <w:t xml:space="preserve">из внешних источников, были </w:t>
      </w:r>
      <w:r w:rsidR="00CC03BF" w:rsidRPr="00EC5A7B">
        <w:rPr>
          <w:rFonts w:asciiTheme="majorHAnsi" w:hAnsiTheme="majorHAnsi" w:cstheme="majorHAnsi"/>
          <w:sz w:val="24"/>
          <w:szCs w:val="24"/>
          <w:lang w:val="ru-MD" w:eastAsia="ru-RU"/>
        </w:rPr>
        <w:t>рекредитова</w:t>
      </w:r>
      <w:r w:rsidRPr="00EC5A7B">
        <w:rPr>
          <w:rFonts w:asciiTheme="majorHAnsi" w:hAnsiTheme="majorHAnsi" w:cstheme="majorHAnsi"/>
          <w:sz w:val="24"/>
          <w:szCs w:val="24"/>
          <w:lang w:val="ru-MD" w:eastAsia="ru-RU"/>
        </w:rPr>
        <w:t xml:space="preserve">ны </w:t>
      </w:r>
      <w:r w:rsidR="00CC03BF" w:rsidRPr="00EC5A7B">
        <w:rPr>
          <w:rFonts w:asciiTheme="majorHAnsi" w:hAnsiTheme="majorHAnsi" w:cstheme="majorHAnsi"/>
          <w:sz w:val="24"/>
          <w:szCs w:val="24"/>
          <w:lang w:val="ru-MD" w:eastAsia="ru-RU"/>
        </w:rPr>
        <w:t>займы</w:t>
      </w:r>
      <w:r w:rsidRPr="00EC5A7B">
        <w:rPr>
          <w:rFonts w:asciiTheme="majorHAnsi" w:hAnsiTheme="majorHAnsi" w:cstheme="majorHAnsi"/>
          <w:sz w:val="24"/>
          <w:szCs w:val="24"/>
          <w:lang w:val="ru-MD" w:eastAsia="ru-RU"/>
        </w:rPr>
        <w:t xml:space="preserve"> и гранты на общую сумму 904,7 млн. леев, в том числе через МФ-247,3 млн. ле</w:t>
      </w:r>
      <w:r w:rsidR="00CC03BF"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xml:space="preserve">, через </w:t>
      </w:r>
      <w:r w:rsidR="00670A29" w:rsidRPr="00EC5A7B">
        <w:rPr>
          <w:rFonts w:asciiTheme="majorHAnsi" w:hAnsiTheme="majorHAnsi" w:cstheme="majorHAnsi"/>
          <w:sz w:val="24"/>
          <w:szCs w:val="24"/>
          <w:lang w:val="ru-MD" w:eastAsia="ru-RU"/>
        </w:rPr>
        <w:t>ДКЛ</w:t>
      </w:r>
      <w:r w:rsidRPr="00EC5A7B">
        <w:rPr>
          <w:rFonts w:asciiTheme="majorHAnsi" w:hAnsiTheme="majorHAnsi" w:cstheme="majorHAnsi"/>
          <w:sz w:val="24"/>
          <w:szCs w:val="24"/>
          <w:lang w:val="ru-MD" w:eastAsia="ru-RU"/>
        </w:rPr>
        <w:t>-589,8 млн. ле</w:t>
      </w:r>
      <w:r w:rsidR="00670A29"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xml:space="preserve"> и через </w:t>
      </w:r>
      <w:r w:rsidR="00670A29" w:rsidRPr="00EC5A7B">
        <w:rPr>
          <w:rFonts w:asciiTheme="majorHAnsi" w:hAnsiTheme="majorHAnsi" w:cstheme="majorHAnsi"/>
          <w:sz w:val="24"/>
          <w:szCs w:val="24"/>
          <w:lang w:val="ru-MD"/>
        </w:rPr>
        <w:t xml:space="preserve">ОПВП МФСХР </w:t>
      </w:r>
      <w:r w:rsidRPr="00EC5A7B">
        <w:rPr>
          <w:rFonts w:asciiTheme="majorHAnsi" w:hAnsiTheme="majorHAnsi" w:cstheme="majorHAnsi"/>
          <w:sz w:val="24"/>
          <w:szCs w:val="24"/>
          <w:lang w:val="ru-MD" w:eastAsia="ru-RU"/>
        </w:rPr>
        <w:t>-</w:t>
      </w:r>
      <w:r w:rsidR="00670A29"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67,6 млн. </w:t>
      </w:r>
      <w:r w:rsidR="00670A29" w:rsidRPr="00EC5A7B">
        <w:rPr>
          <w:rFonts w:asciiTheme="majorHAnsi" w:hAnsiTheme="majorHAnsi" w:cstheme="majorHAnsi"/>
          <w:sz w:val="24"/>
          <w:szCs w:val="24"/>
          <w:lang w:val="ru-MD" w:eastAsia="ru-RU"/>
        </w:rPr>
        <w:t>леев</w:t>
      </w:r>
      <w:r w:rsidRPr="00EC5A7B">
        <w:rPr>
          <w:rFonts w:asciiTheme="majorHAnsi" w:hAnsiTheme="majorHAnsi" w:cstheme="majorHAnsi"/>
          <w:sz w:val="24"/>
          <w:szCs w:val="24"/>
          <w:lang w:val="ru-MD" w:eastAsia="ru-RU"/>
        </w:rPr>
        <w:t xml:space="preserve">. Остаток задолженности </w:t>
      </w:r>
      <w:r w:rsidR="00670A29" w:rsidRPr="00EC5A7B">
        <w:rPr>
          <w:rFonts w:asciiTheme="majorHAnsi" w:hAnsiTheme="majorHAnsi" w:cstheme="majorHAnsi"/>
          <w:sz w:val="24"/>
          <w:szCs w:val="24"/>
          <w:lang w:val="ru-MD" w:eastAsia="ru-RU"/>
        </w:rPr>
        <w:t xml:space="preserve">рекредитованных </w:t>
      </w:r>
      <w:r w:rsidRPr="00EC5A7B">
        <w:rPr>
          <w:rFonts w:asciiTheme="majorHAnsi" w:hAnsiTheme="majorHAnsi" w:cstheme="majorHAnsi"/>
          <w:sz w:val="24"/>
          <w:szCs w:val="24"/>
          <w:lang w:val="ru-MD" w:eastAsia="ru-RU"/>
        </w:rPr>
        <w:t xml:space="preserve">бенефициаров </w:t>
      </w:r>
      <w:r w:rsidR="00437928" w:rsidRPr="00EC5A7B">
        <w:rPr>
          <w:rFonts w:asciiTheme="majorHAnsi" w:hAnsiTheme="majorHAnsi" w:cstheme="majorHAnsi"/>
          <w:sz w:val="24"/>
          <w:szCs w:val="24"/>
          <w:lang w:val="ru-MD" w:eastAsia="ru-RU"/>
        </w:rPr>
        <w:t>на конец</w:t>
      </w:r>
      <w:r w:rsidRPr="00EC5A7B">
        <w:rPr>
          <w:rFonts w:asciiTheme="majorHAnsi" w:hAnsiTheme="majorHAnsi" w:cstheme="majorHAnsi"/>
          <w:sz w:val="24"/>
          <w:szCs w:val="24"/>
          <w:lang w:val="ru-MD" w:eastAsia="ru-RU"/>
        </w:rPr>
        <w:t xml:space="preserve"> 2019 года составил 4 562,6 млн. леев, увеличившись по сравнению с тем же периодом 2018 года на 141,8 млн. ле</w:t>
      </w:r>
      <w:r w:rsidR="00670A29"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или на 3,2%. Задолженность с истекшим сроком составляет 267,86 млн. леев, или 5,9% от общей суммы долга, что представляет высокий риск не</w:t>
      </w:r>
      <w:r w:rsidR="00670A29" w:rsidRPr="00EC5A7B">
        <w:rPr>
          <w:rFonts w:asciiTheme="majorHAnsi" w:hAnsiTheme="majorHAnsi" w:cstheme="majorHAnsi"/>
          <w:sz w:val="24"/>
          <w:szCs w:val="24"/>
          <w:lang w:val="ru-MD" w:eastAsia="ru-RU"/>
        </w:rPr>
        <w:t>возмещ</w:t>
      </w:r>
      <w:r w:rsidRPr="00EC5A7B">
        <w:rPr>
          <w:rFonts w:asciiTheme="majorHAnsi" w:hAnsiTheme="majorHAnsi" w:cstheme="majorHAnsi"/>
          <w:sz w:val="24"/>
          <w:szCs w:val="24"/>
          <w:lang w:val="ru-MD" w:eastAsia="ru-RU"/>
        </w:rPr>
        <w:t>ения. В течение 2019 года из общей суммы просроченных долгов</w:t>
      </w:r>
      <w:r w:rsidR="00670A29"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МФ</w:t>
      </w:r>
      <w:r w:rsidR="00437928"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через Государственную налоговую службу</w:t>
      </w:r>
      <w:r w:rsidR="00437928"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w:t>
      </w:r>
      <w:r w:rsidR="00670A29" w:rsidRPr="00EC5A7B">
        <w:rPr>
          <w:rFonts w:asciiTheme="majorHAnsi" w:hAnsiTheme="majorHAnsi" w:cstheme="majorHAnsi"/>
          <w:sz w:val="24"/>
          <w:szCs w:val="24"/>
          <w:lang w:val="ru-MD" w:eastAsia="ru-RU"/>
        </w:rPr>
        <w:t>взыскало</w:t>
      </w:r>
      <w:r w:rsidRPr="00EC5A7B">
        <w:rPr>
          <w:rFonts w:asciiTheme="majorHAnsi" w:hAnsiTheme="majorHAnsi" w:cstheme="majorHAnsi"/>
          <w:sz w:val="24"/>
          <w:szCs w:val="24"/>
          <w:lang w:val="ru-MD" w:eastAsia="ru-RU"/>
        </w:rPr>
        <w:t xml:space="preserve"> </w:t>
      </w:r>
      <w:r w:rsidR="00670A29" w:rsidRPr="00EC5A7B">
        <w:rPr>
          <w:rFonts w:asciiTheme="majorHAnsi" w:hAnsiTheme="majorHAnsi" w:cstheme="majorHAnsi"/>
          <w:sz w:val="24"/>
          <w:szCs w:val="24"/>
          <w:lang w:val="ru-MD" w:eastAsia="ru-RU"/>
        </w:rPr>
        <w:t xml:space="preserve">в государственный бюджет </w:t>
      </w:r>
      <w:r w:rsidRPr="00EC5A7B">
        <w:rPr>
          <w:rFonts w:asciiTheme="majorHAnsi" w:hAnsiTheme="majorHAnsi" w:cstheme="majorHAnsi"/>
          <w:sz w:val="24"/>
          <w:szCs w:val="24"/>
          <w:lang w:val="ru-MD" w:eastAsia="ru-RU"/>
        </w:rPr>
        <w:t>23,7 млн. леев в результате применения мер принудительного исполнения по отношению к рекредитованным бенефициарам, имею</w:t>
      </w:r>
      <w:r w:rsidR="00437928" w:rsidRPr="00EC5A7B">
        <w:rPr>
          <w:rFonts w:asciiTheme="majorHAnsi" w:hAnsiTheme="majorHAnsi" w:cstheme="majorHAnsi"/>
          <w:sz w:val="24"/>
          <w:szCs w:val="24"/>
          <w:lang w:val="ru-MD" w:eastAsia="ru-RU"/>
        </w:rPr>
        <w:t>щим</w:t>
      </w:r>
      <w:r w:rsidRPr="00EC5A7B">
        <w:rPr>
          <w:rFonts w:asciiTheme="majorHAnsi" w:hAnsiTheme="majorHAnsi" w:cstheme="majorHAnsi"/>
          <w:sz w:val="24"/>
          <w:szCs w:val="24"/>
          <w:lang w:val="ru-MD" w:eastAsia="ru-RU"/>
        </w:rPr>
        <w:t xml:space="preserve"> задолженность по </w:t>
      </w:r>
      <w:r w:rsidR="00437928" w:rsidRPr="00EC5A7B">
        <w:rPr>
          <w:rFonts w:asciiTheme="majorHAnsi" w:hAnsiTheme="majorHAnsi" w:cstheme="majorHAnsi"/>
          <w:sz w:val="24"/>
          <w:szCs w:val="24"/>
          <w:lang w:val="ru-MD" w:eastAsia="ru-RU"/>
        </w:rPr>
        <w:t>ре</w:t>
      </w:r>
      <w:r w:rsidRPr="00EC5A7B">
        <w:rPr>
          <w:rFonts w:asciiTheme="majorHAnsi" w:hAnsiTheme="majorHAnsi" w:cstheme="majorHAnsi"/>
          <w:sz w:val="24"/>
          <w:szCs w:val="24"/>
          <w:lang w:val="ru-MD" w:eastAsia="ru-RU"/>
        </w:rPr>
        <w:t>кредит</w:t>
      </w:r>
      <w:r w:rsidR="00437928" w:rsidRPr="00EC5A7B">
        <w:rPr>
          <w:rFonts w:asciiTheme="majorHAnsi" w:hAnsiTheme="majorHAnsi" w:cstheme="majorHAnsi"/>
          <w:sz w:val="24"/>
          <w:szCs w:val="24"/>
          <w:lang w:val="ru-MD" w:eastAsia="ru-RU"/>
        </w:rPr>
        <w:t>ованным кредитам</w:t>
      </w:r>
      <w:r w:rsidR="00907D56" w:rsidRPr="00EC5A7B">
        <w:rPr>
          <w:rFonts w:asciiTheme="majorHAnsi" w:hAnsiTheme="majorHAnsi" w:cstheme="majorHAnsi"/>
          <w:sz w:val="24"/>
          <w:szCs w:val="24"/>
          <w:lang w:val="ru-MD" w:eastAsia="ru-RU"/>
        </w:rPr>
        <w:t>.</w:t>
      </w:r>
    </w:p>
    <w:p w14:paraId="0B239FA4" w14:textId="76E648F8" w:rsidR="00C8468E" w:rsidRPr="00EC5A7B" w:rsidRDefault="00233A89" w:rsidP="00182F0D">
      <w:pPr>
        <w:pStyle w:val="ListParagraph"/>
        <w:numPr>
          <w:ilvl w:val="0"/>
          <w:numId w:val="1"/>
        </w:numPr>
        <w:tabs>
          <w:tab w:val="left" w:pos="426"/>
        </w:tabs>
        <w:spacing w:after="0" w:line="276" w:lineRule="auto"/>
        <w:ind w:right="-1"/>
        <w:outlineLvl w:val="0"/>
        <w:rPr>
          <w:rFonts w:asciiTheme="majorHAnsi" w:eastAsia="Times New Roman" w:hAnsiTheme="majorHAnsi" w:cstheme="majorHAnsi"/>
          <w:b/>
          <w:bCs/>
          <w:color w:val="5B9BD5" w:themeColor="accent1"/>
          <w:sz w:val="26"/>
          <w:szCs w:val="26"/>
          <w:lang w:val="ru-MD" w:eastAsia="ru-RU"/>
        </w:rPr>
      </w:pPr>
      <w:bookmarkStart w:id="4" w:name="_Toc63157253"/>
      <w:r w:rsidRPr="00EC5A7B">
        <w:rPr>
          <w:rFonts w:asciiTheme="majorHAnsi" w:eastAsia="Times New Roman" w:hAnsiTheme="majorHAnsi" w:cstheme="majorHAnsi"/>
          <w:b/>
          <w:bCs/>
          <w:color w:val="5B9BD5" w:themeColor="accent1"/>
          <w:sz w:val="26"/>
          <w:szCs w:val="26"/>
          <w:lang w:val="ru-MD" w:eastAsia="ru-RU"/>
        </w:rPr>
        <w:t>ОБЩЕЕ ПРЕДСТАВЛЕНИЕ</w:t>
      </w:r>
      <w:bookmarkEnd w:id="4"/>
    </w:p>
    <w:p w14:paraId="70AFFB24" w14:textId="51BBA541" w:rsidR="00A96072" w:rsidRPr="00EC5A7B" w:rsidRDefault="007859A8"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 </w:t>
      </w:r>
      <w:r w:rsidR="008D6431" w:rsidRPr="00EC5A7B">
        <w:rPr>
          <w:rFonts w:asciiTheme="majorHAnsi" w:hAnsiTheme="majorHAnsi" w:cstheme="majorHAnsi"/>
          <w:sz w:val="24"/>
          <w:szCs w:val="24"/>
          <w:lang w:val="ru-MD" w:eastAsia="ru-RU"/>
        </w:rPr>
        <w:t>Министерство финансов является центральным отраслевым органом публичного управления, миссией которого является осуществление менеджмента государственных финансов, внедрение принципа надлежащего управления</w:t>
      </w:r>
      <w:r w:rsidR="001B1B09" w:rsidRPr="00EC5A7B">
        <w:rPr>
          <w:rFonts w:asciiTheme="majorHAnsi" w:hAnsiTheme="majorHAnsi" w:cstheme="majorHAnsi"/>
          <w:sz w:val="24"/>
          <w:szCs w:val="24"/>
          <w:lang w:val="ru-MD" w:eastAsia="ru-RU"/>
        </w:rPr>
        <w:t>, разработка эффективных публичных политик в предусмотренных областях, мониторинг качества политик и нормативных актов, предложение обоснованных вмешательств государства, предоставляющих эффективные решения в областях компетенции, анализ ситуаций и проблем, обеспечение наилучшего соотношения между ожидаемыми результатами и предусматриваемыми затратами</w:t>
      </w:r>
      <w:r w:rsidR="00A96072" w:rsidRPr="00EC5A7B">
        <w:rPr>
          <w:rFonts w:asciiTheme="majorHAnsi" w:hAnsiTheme="majorHAnsi" w:cstheme="majorHAnsi"/>
          <w:sz w:val="24"/>
          <w:szCs w:val="24"/>
          <w:lang w:val="ru-MD" w:eastAsia="ru-RU"/>
        </w:rPr>
        <w:t>.</w:t>
      </w:r>
    </w:p>
    <w:p w14:paraId="2A42867F" w14:textId="69122D49" w:rsidR="00C8468E" w:rsidRPr="00EC5A7B" w:rsidRDefault="00107014"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В области государственного долга, государственных гарантий и государственного рекредитования МФ уполномочено</w:t>
      </w:r>
      <w:r w:rsidR="00A96072" w:rsidRPr="00EC5A7B">
        <w:rPr>
          <w:rFonts w:asciiTheme="majorHAnsi" w:hAnsiTheme="majorHAnsi" w:cstheme="majorHAnsi"/>
          <w:sz w:val="24"/>
          <w:szCs w:val="24"/>
          <w:lang w:val="ru-MD" w:eastAsia="ru-RU"/>
        </w:rPr>
        <w:t xml:space="preserve">: </w:t>
      </w:r>
      <w:r w:rsidR="00A96072" w:rsidRPr="00EC5A7B">
        <w:rPr>
          <w:rFonts w:asciiTheme="majorHAnsi" w:hAnsiTheme="majorHAnsi" w:cstheme="majorHAnsi"/>
          <w:b/>
          <w:sz w:val="24"/>
          <w:szCs w:val="24"/>
          <w:lang w:val="ru-MD" w:eastAsia="ru-RU"/>
        </w:rPr>
        <w:t>(i)</w:t>
      </w:r>
      <w:r w:rsidR="00A96072"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заключать договоры о внутренних и внешних государственных займах в национальной или любой иностранной валюте; </w:t>
      </w:r>
      <w:r w:rsidRPr="00EC5A7B">
        <w:rPr>
          <w:rFonts w:asciiTheme="majorHAnsi" w:hAnsiTheme="majorHAnsi" w:cstheme="majorHAnsi"/>
          <w:b/>
          <w:sz w:val="24"/>
          <w:szCs w:val="24"/>
          <w:lang w:val="ru-MD" w:eastAsia="ru-RU"/>
        </w:rPr>
        <w:t>(ii)</w:t>
      </w:r>
      <w:r w:rsidRPr="00EC5A7B">
        <w:rPr>
          <w:rFonts w:asciiTheme="majorHAnsi" w:hAnsiTheme="majorHAnsi" w:cstheme="majorHAnsi"/>
          <w:sz w:val="24"/>
          <w:szCs w:val="24"/>
          <w:lang w:val="ru-MD" w:eastAsia="ru-RU"/>
        </w:rPr>
        <w:t xml:space="preserve">  предоставлять внутренние и внешние государственные гарантии в национальной или любой иностранной валюте; </w:t>
      </w:r>
      <w:r w:rsidRPr="00EC5A7B">
        <w:rPr>
          <w:rFonts w:asciiTheme="majorHAnsi" w:hAnsiTheme="majorHAnsi" w:cstheme="majorHAnsi"/>
          <w:b/>
          <w:sz w:val="24"/>
          <w:szCs w:val="24"/>
          <w:lang w:val="ru-MD" w:eastAsia="ru-RU"/>
        </w:rPr>
        <w:t>(iii)</w:t>
      </w:r>
      <w:r w:rsidRPr="00EC5A7B">
        <w:rPr>
          <w:rFonts w:asciiTheme="majorHAnsi" w:hAnsiTheme="majorHAnsi" w:cstheme="majorHAnsi"/>
          <w:sz w:val="24"/>
          <w:szCs w:val="24"/>
          <w:lang w:val="ru-MD" w:eastAsia="ru-RU"/>
        </w:rPr>
        <w:t xml:space="preserve">  выпускать государственные ценные бумаги для размещения на внутреннем и внешнем рынках; </w:t>
      </w:r>
      <w:r w:rsidRPr="00EC5A7B">
        <w:rPr>
          <w:rFonts w:asciiTheme="majorHAnsi" w:hAnsiTheme="majorHAnsi" w:cstheme="majorHAnsi"/>
          <w:b/>
          <w:sz w:val="24"/>
          <w:szCs w:val="24"/>
          <w:lang w:val="ru-MD" w:eastAsia="ru-RU"/>
        </w:rPr>
        <w:t xml:space="preserve">(iv) </w:t>
      </w:r>
      <w:r w:rsidRPr="00EC5A7B">
        <w:rPr>
          <w:rFonts w:asciiTheme="majorHAnsi" w:hAnsiTheme="majorHAnsi" w:cstheme="majorHAnsi"/>
          <w:sz w:val="24"/>
          <w:szCs w:val="24"/>
          <w:lang w:val="ru-MD" w:eastAsia="ru-RU"/>
        </w:rPr>
        <w:t xml:space="preserve">выпускать государственные ценные бумаги для увеличения уставного капитала Национального банка Молдовы;  </w:t>
      </w:r>
      <w:r w:rsidRPr="00EC5A7B">
        <w:rPr>
          <w:rFonts w:asciiTheme="majorHAnsi" w:hAnsiTheme="majorHAnsi" w:cstheme="majorHAnsi"/>
          <w:b/>
          <w:sz w:val="24"/>
          <w:szCs w:val="24"/>
          <w:lang w:val="ru-MD" w:eastAsia="ru-RU"/>
        </w:rPr>
        <w:t xml:space="preserve">(v) </w:t>
      </w:r>
      <w:r w:rsidRPr="00EC5A7B">
        <w:rPr>
          <w:rFonts w:asciiTheme="majorHAnsi" w:hAnsiTheme="majorHAnsi" w:cstheme="majorHAnsi"/>
          <w:sz w:val="24"/>
          <w:szCs w:val="24"/>
          <w:lang w:val="ru-MD" w:eastAsia="ru-RU"/>
        </w:rPr>
        <w:t>выпускать государственные ценные бумаги для покрытия дебетового сальдо общего резервного фонда Национального банка Молдовы</w:t>
      </w:r>
      <w:r w:rsidR="00A96072" w:rsidRPr="00EC5A7B">
        <w:rPr>
          <w:rFonts w:asciiTheme="majorHAnsi" w:hAnsiTheme="majorHAnsi" w:cstheme="majorHAnsi"/>
          <w:sz w:val="24"/>
          <w:szCs w:val="24"/>
          <w:lang w:val="ru-MD" w:eastAsia="ru-RU"/>
        </w:rPr>
        <w:t xml:space="preserve">; </w:t>
      </w:r>
      <w:r w:rsidR="00A96072" w:rsidRPr="00EC5A7B">
        <w:rPr>
          <w:rFonts w:asciiTheme="majorHAnsi" w:hAnsiTheme="majorHAnsi" w:cstheme="majorHAnsi"/>
          <w:b/>
          <w:sz w:val="24"/>
          <w:szCs w:val="24"/>
          <w:lang w:val="ru-MD" w:eastAsia="ru-RU"/>
        </w:rPr>
        <w:t>(vi)</w:t>
      </w:r>
      <w:r w:rsidR="00A96072" w:rsidRPr="00EC5A7B">
        <w:rPr>
          <w:rFonts w:asciiTheme="majorHAnsi" w:hAnsiTheme="majorHAnsi" w:cstheme="majorHAnsi"/>
          <w:sz w:val="24"/>
          <w:szCs w:val="24"/>
          <w:lang w:val="ru-MD" w:eastAsia="ru-RU"/>
        </w:rPr>
        <w:t xml:space="preserve"> </w:t>
      </w:r>
      <w:r w:rsidR="00010065" w:rsidRPr="00EC5A7B">
        <w:rPr>
          <w:rFonts w:asciiTheme="majorHAnsi" w:hAnsiTheme="majorHAnsi" w:cstheme="majorHAnsi"/>
          <w:sz w:val="24"/>
          <w:szCs w:val="24"/>
          <w:lang w:val="ru-MD" w:eastAsia="ru-RU"/>
        </w:rPr>
        <w:t>выпускать государственные ценные бумаги</w:t>
      </w:r>
      <w:r w:rsidR="00A96072" w:rsidRPr="00EC5A7B">
        <w:rPr>
          <w:rFonts w:asciiTheme="majorHAnsi" w:hAnsiTheme="majorHAnsi" w:cstheme="majorHAnsi"/>
          <w:sz w:val="24"/>
          <w:szCs w:val="24"/>
          <w:lang w:val="ru-MD" w:eastAsia="ru-RU"/>
        </w:rPr>
        <w:t xml:space="preserve">, </w:t>
      </w:r>
      <w:r w:rsidR="00010065" w:rsidRPr="00EC5A7B">
        <w:rPr>
          <w:rFonts w:asciiTheme="majorHAnsi" w:hAnsiTheme="majorHAnsi" w:cstheme="majorHAnsi"/>
          <w:sz w:val="24"/>
          <w:szCs w:val="24"/>
          <w:lang w:val="ru-MD" w:eastAsia="ru-RU"/>
        </w:rPr>
        <w:t>предоставлять государственные гарантии</w:t>
      </w:r>
      <w:r w:rsidR="00A96072" w:rsidRPr="00EC5A7B">
        <w:rPr>
          <w:rFonts w:asciiTheme="majorHAnsi" w:hAnsiTheme="majorHAnsi" w:cstheme="majorHAnsi"/>
          <w:sz w:val="24"/>
          <w:szCs w:val="24"/>
          <w:lang w:val="ru-MD" w:eastAsia="ru-RU"/>
        </w:rPr>
        <w:t xml:space="preserve"> </w:t>
      </w:r>
      <w:r w:rsidR="00010065" w:rsidRPr="00EC5A7B">
        <w:rPr>
          <w:rFonts w:asciiTheme="majorHAnsi" w:hAnsiTheme="majorHAnsi" w:cstheme="majorHAnsi"/>
          <w:sz w:val="24"/>
          <w:szCs w:val="24"/>
          <w:lang w:val="ru-MD" w:eastAsia="ru-RU"/>
        </w:rPr>
        <w:t xml:space="preserve">в случаях, предусмотренных Законом </w:t>
      </w:r>
      <w:r w:rsidR="00010065" w:rsidRPr="00EC5A7B">
        <w:rPr>
          <w:rFonts w:asciiTheme="majorHAnsi" w:hAnsiTheme="majorHAnsi" w:cstheme="majorHAnsi"/>
          <w:bCs/>
          <w:sz w:val="24"/>
          <w:szCs w:val="24"/>
          <w:lang w:val="ru-MD" w:eastAsia="ru-RU"/>
        </w:rPr>
        <w:t>об оздоровлении банков и банковской резолюции</w:t>
      </w:r>
      <w:r w:rsidR="00A96072" w:rsidRPr="00EC5A7B">
        <w:rPr>
          <w:rFonts w:asciiTheme="majorHAnsi" w:hAnsiTheme="majorHAnsi" w:cstheme="majorHAnsi"/>
          <w:sz w:val="24"/>
          <w:szCs w:val="24"/>
          <w:lang w:val="ru-MD" w:eastAsia="ru-RU"/>
        </w:rPr>
        <w:t>.</w:t>
      </w:r>
    </w:p>
    <w:p w14:paraId="552E77B3" w14:textId="2948EF56" w:rsidR="00A96072" w:rsidRPr="00EC5A7B" w:rsidRDefault="00F703D9"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Управление государственного долга - это структурное подразделение МФ, миссия которого состоит в разработке и продвижении государственной политики в области управления государственным долгом, государственными гарантиями, государственным рекредитованием, мониторинге долга публичного сектора в соответствии с национальным законодательством, международными тенденциями и темпами роста национальной экономики. В 2019 году в рамках Управлении действовали 4 подразделения: Отдел внешнего долга, Отдел внутренних обязательств, Отдел рекредитования и Служба анализа и риска. </w:t>
      </w:r>
      <w:r w:rsidRPr="00EC5A7B">
        <w:rPr>
          <w:rFonts w:asciiTheme="majorHAnsi" w:hAnsiTheme="majorHAnsi" w:cstheme="majorHAnsi"/>
          <w:i/>
          <w:sz w:val="24"/>
          <w:szCs w:val="24"/>
          <w:lang w:val="ru-MD" w:eastAsia="ru-RU"/>
        </w:rPr>
        <w:t xml:space="preserve">Структура </w:t>
      </w:r>
      <w:r w:rsidR="00D6091F" w:rsidRPr="00EC5A7B">
        <w:rPr>
          <w:rFonts w:asciiTheme="majorHAnsi" w:hAnsiTheme="majorHAnsi" w:cstheme="majorHAnsi"/>
          <w:i/>
          <w:sz w:val="24"/>
          <w:szCs w:val="24"/>
          <w:lang w:val="ru-MD" w:eastAsia="ru-RU"/>
        </w:rPr>
        <w:t>У</w:t>
      </w:r>
      <w:r w:rsidRPr="00EC5A7B">
        <w:rPr>
          <w:rFonts w:asciiTheme="majorHAnsi" w:hAnsiTheme="majorHAnsi" w:cstheme="majorHAnsi"/>
          <w:i/>
          <w:sz w:val="24"/>
          <w:szCs w:val="24"/>
          <w:lang w:val="ru-MD" w:eastAsia="ru-RU"/>
        </w:rPr>
        <w:t xml:space="preserve">правления и обязанности подразделений представлены в </w:t>
      </w:r>
      <w:r w:rsidR="00D6091F" w:rsidRPr="00EC5A7B">
        <w:rPr>
          <w:rFonts w:asciiTheme="majorHAnsi" w:hAnsiTheme="majorHAnsi" w:cstheme="majorHAnsi"/>
          <w:i/>
          <w:sz w:val="24"/>
          <w:szCs w:val="24"/>
          <w:lang w:val="ru-MD" w:eastAsia="ru-RU"/>
        </w:rPr>
        <w:t>П</w:t>
      </w:r>
      <w:r w:rsidRPr="00EC5A7B">
        <w:rPr>
          <w:rFonts w:asciiTheme="majorHAnsi" w:hAnsiTheme="majorHAnsi" w:cstheme="majorHAnsi"/>
          <w:i/>
          <w:sz w:val="24"/>
          <w:szCs w:val="24"/>
          <w:lang w:val="ru-MD" w:eastAsia="ru-RU"/>
        </w:rPr>
        <w:t xml:space="preserve">риложении </w:t>
      </w:r>
      <w:r w:rsidR="00D6091F" w:rsidRPr="00EC5A7B">
        <w:rPr>
          <w:rFonts w:asciiTheme="majorHAnsi" w:hAnsiTheme="majorHAnsi" w:cstheme="majorHAnsi"/>
          <w:i/>
          <w:sz w:val="24"/>
          <w:szCs w:val="24"/>
          <w:lang w:val="ru-MD" w:eastAsia="ru-RU"/>
        </w:rPr>
        <w:t>№</w:t>
      </w:r>
      <w:r w:rsidRPr="00EC5A7B">
        <w:rPr>
          <w:rFonts w:asciiTheme="majorHAnsi" w:hAnsiTheme="majorHAnsi" w:cstheme="majorHAnsi"/>
          <w:i/>
          <w:sz w:val="24"/>
          <w:szCs w:val="24"/>
          <w:lang w:val="ru-MD" w:eastAsia="ru-RU"/>
        </w:rPr>
        <w:t xml:space="preserve">2 </w:t>
      </w:r>
      <w:r w:rsidR="00D6091F" w:rsidRPr="00EC5A7B">
        <w:rPr>
          <w:rFonts w:asciiTheme="majorHAnsi" w:hAnsiTheme="majorHAnsi" w:cstheme="majorHAnsi"/>
          <w:i/>
          <w:sz w:val="24"/>
          <w:szCs w:val="24"/>
          <w:lang w:val="ru-MD" w:eastAsia="ru-RU"/>
        </w:rPr>
        <w:t>к</w:t>
      </w:r>
      <w:r w:rsidRPr="00EC5A7B">
        <w:rPr>
          <w:rFonts w:asciiTheme="majorHAnsi" w:hAnsiTheme="majorHAnsi" w:cstheme="majorHAnsi"/>
          <w:i/>
          <w:sz w:val="24"/>
          <w:szCs w:val="24"/>
          <w:lang w:val="ru-MD" w:eastAsia="ru-RU"/>
        </w:rPr>
        <w:t xml:space="preserve"> настоящем</w:t>
      </w:r>
      <w:r w:rsidR="00D6091F" w:rsidRPr="00EC5A7B">
        <w:rPr>
          <w:rFonts w:asciiTheme="majorHAnsi" w:hAnsiTheme="majorHAnsi" w:cstheme="majorHAnsi"/>
          <w:i/>
          <w:sz w:val="24"/>
          <w:szCs w:val="24"/>
          <w:lang w:val="ru-MD" w:eastAsia="ru-RU"/>
        </w:rPr>
        <w:t>у</w:t>
      </w:r>
      <w:r w:rsidRPr="00EC5A7B">
        <w:rPr>
          <w:rFonts w:asciiTheme="majorHAnsi" w:hAnsiTheme="majorHAnsi" w:cstheme="majorHAnsi"/>
          <w:i/>
          <w:sz w:val="24"/>
          <w:szCs w:val="24"/>
          <w:lang w:val="ru-MD" w:eastAsia="ru-RU"/>
        </w:rPr>
        <w:t xml:space="preserve"> </w:t>
      </w:r>
      <w:r w:rsidR="00D6091F" w:rsidRPr="00EC5A7B">
        <w:rPr>
          <w:rFonts w:asciiTheme="majorHAnsi" w:hAnsiTheme="majorHAnsi" w:cstheme="majorHAnsi"/>
          <w:i/>
          <w:sz w:val="24"/>
          <w:szCs w:val="24"/>
          <w:lang w:val="ru-MD" w:eastAsia="ru-RU"/>
        </w:rPr>
        <w:t>О</w:t>
      </w:r>
      <w:r w:rsidRPr="00EC5A7B">
        <w:rPr>
          <w:rFonts w:asciiTheme="majorHAnsi" w:hAnsiTheme="majorHAnsi" w:cstheme="majorHAnsi"/>
          <w:i/>
          <w:sz w:val="24"/>
          <w:szCs w:val="24"/>
          <w:lang w:val="ru-MD" w:eastAsia="ru-RU"/>
        </w:rPr>
        <w:t>тчет</w:t>
      </w:r>
      <w:r w:rsidR="00D6091F" w:rsidRPr="00EC5A7B">
        <w:rPr>
          <w:rFonts w:asciiTheme="majorHAnsi" w:hAnsiTheme="majorHAnsi" w:cstheme="majorHAnsi"/>
          <w:i/>
          <w:sz w:val="24"/>
          <w:szCs w:val="24"/>
          <w:lang w:val="ru-MD" w:eastAsia="ru-RU"/>
        </w:rPr>
        <w:t>у</w:t>
      </w:r>
      <w:r w:rsidRPr="00EC5A7B">
        <w:rPr>
          <w:rFonts w:asciiTheme="majorHAnsi" w:hAnsiTheme="majorHAnsi" w:cstheme="majorHAnsi"/>
          <w:i/>
          <w:sz w:val="24"/>
          <w:szCs w:val="24"/>
          <w:lang w:val="ru-MD" w:eastAsia="ru-RU"/>
        </w:rPr>
        <w:t xml:space="preserve"> аудита</w:t>
      </w:r>
      <w:r w:rsidR="00A96072" w:rsidRPr="00EC5A7B">
        <w:rPr>
          <w:rFonts w:asciiTheme="majorHAnsi" w:hAnsiTheme="majorHAnsi" w:cstheme="majorHAnsi"/>
          <w:i/>
          <w:sz w:val="24"/>
          <w:szCs w:val="24"/>
          <w:lang w:val="ru-MD" w:eastAsia="ru-RU"/>
        </w:rPr>
        <w:t>.</w:t>
      </w:r>
    </w:p>
    <w:p w14:paraId="72B2E564" w14:textId="0E3BF315" w:rsidR="00953AD4" w:rsidRPr="00EC5A7B" w:rsidRDefault="00865BDE" w:rsidP="007516B0">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 xml:space="preserve">Согласно данным Отчета о ситуации в области долга публичного сектора, государственных гарантий и государственного рекредитирования за 2019 год, сальдо долга публичного сектора </w:t>
      </w:r>
      <w:r w:rsidRPr="00EC5A7B">
        <w:rPr>
          <w:rFonts w:asciiTheme="majorHAnsi" w:hAnsiTheme="majorHAnsi" w:cstheme="majorHAnsi"/>
          <w:bCs/>
          <w:sz w:val="24"/>
          <w:szCs w:val="24"/>
          <w:lang w:val="ru-MD" w:eastAsia="ru-RU"/>
        </w:rPr>
        <w:t xml:space="preserve">по состоянию на </w:t>
      </w:r>
      <w:r w:rsidRPr="00EC5A7B">
        <w:rPr>
          <w:rFonts w:asciiTheme="majorHAnsi" w:hAnsiTheme="majorHAnsi" w:cstheme="majorHAnsi"/>
          <w:sz w:val="24"/>
          <w:szCs w:val="24"/>
          <w:lang w:val="ru-MD" w:eastAsia="ru-RU"/>
        </w:rPr>
        <w:t>31.12.2019 составило 57 604,8 млн. леев, что на 276,5 млн. леев меньше по сравнению с сальдо долга публичного сектора за 2018 год.</w:t>
      </w:r>
      <w:r w:rsidR="00D167C2"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Изменение сальдо долга публичного сектора обусловлено сокращением сальдо долга НБМ, предприятий публичного сектора и АТЕ на 758,4 млн. леев и ростом государственного долга на 481,8 млн. леев. </w:t>
      </w:r>
      <w:r w:rsidRPr="00EC5A7B">
        <w:rPr>
          <w:rFonts w:asciiTheme="majorHAnsi" w:hAnsiTheme="majorHAnsi" w:cstheme="majorHAnsi"/>
          <w:i/>
          <w:sz w:val="24"/>
          <w:szCs w:val="24"/>
          <w:lang w:val="ru-MD" w:eastAsia="ru-RU"/>
        </w:rPr>
        <w:t xml:space="preserve">Структура долга публичного сектора, в аспекте компонентов, по состоянию на 31.12.2019, представлена в таблице </w:t>
      </w:r>
      <w:r w:rsidR="00220355" w:rsidRPr="00EC5A7B">
        <w:rPr>
          <w:rFonts w:asciiTheme="majorHAnsi" w:hAnsiTheme="majorHAnsi" w:cstheme="majorHAnsi"/>
          <w:i/>
          <w:sz w:val="24"/>
          <w:szCs w:val="24"/>
          <w:lang w:val="ru-MD" w:eastAsia="ru-RU"/>
        </w:rPr>
        <w:t>ниже</w:t>
      </w:r>
      <w:r w:rsidR="00953AD4" w:rsidRPr="00EC5A7B">
        <w:rPr>
          <w:rFonts w:asciiTheme="majorHAnsi" w:hAnsiTheme="majorHAnsi" w:cstheme="majorHAnsi"/>
          <w:i/>
          <w:sz w:val="24"/>
          <w:szCs w:val="24"/>
          <w:lang w:val="ru-MD" w:eastAsia="ru-RU"/>
        </w:rPr>
        <w:t>.</w:t>
      </w:r>
    </w:p>
    <w:p w14:paraId="54172596" w14:textId="6F757200" w:rsidR="00953AD4" w:rsidRPr="00EC5A7B" w:rsidRDefault="00220355" w:rsidP="00953AD4">
      <w:pPr>
        <w:spacing w:after="0"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7876E3" w:rsidRPr="00EC5A7B">
        <w:rPr>
          <w:rFonts w:asciiTheme="majorHAnsi" w:hAnsiTheme="majorHAnsi" w:cstheme="majorHAnsi"/>
          <w:b/>
          <w:i/>
          <w:color w:val="5B9BD5" w:themeColor="accent1"/>
          <w:sz w:val="24"/>
          <w:szCs w:val="24"/>
          <w:lang w:val="ru-MD" w:eastAsia="ru-RU"/>
        </w:rPr>
        <w:t>1</w:t>
      </w:r>
    </w:p>
    <w:tbl>
      <w:tblPr>
        <w:tblStyle w:val="TableGrid"/>
        <w:tblW w:w="9355" w:type="dxa"/>
        <w:tblLook w:val="04A0" w:firstRow="1" w:lastRow="0" w:firstColumn="1" w:lastColumn="0" w:noHBand="0" w:noVBand="1"/>
      </w:tblPr>
      <w:tblGrid>
        <w:gridCol w:w="3595"/>
        <w:gridCol w:w="1620"/>
        <w:gridCol w:w="1447"/>
        <w:gridCol w:w="983"/>
        <w:gridCol w:w="1710"/>
      </w:tblGrid>
      <w:tr w:rsidR="007876E3" w:rsidRPr="00EC5A7B" w14:paraId="42FCFF11" w14:textId="77777777" w:rsidTr="007876E3">
        <w:tc>
          <w:tcPr>
            <w:tcW w:w="3595" w:type="dxa"/>
            <w:vMerge w:val="restart"/>
            <w:shd w:val="clear" w:color="auto" w:fill="DEEAF6" w:themeFill="accent1" w:themeFillTint="33"/>
            <w:vAlign w:val="center"/>
          </w:tcPr>
          <w:p w14:paraId="1709D9DD" w14:textId="1238EB13" w:rsidR="007876E3" w:rsidRPr="00EC5A7B" w:rsidRDefault="00220355" w:rsidP="00953AD4">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Сальдо долга</w:t>
            </w:r>
          </w:p>
        </w:tc>
        <w:tc>
          <w:tcPr>
            <w:tcW w:w="1620" w:type="dxa"/>
            <w:shd w:val="clear" w:color="auto" w:fill="DEEAF6" w:themeFill="accent1" w:themeFillTint="33"/>
            <w:vAlign w:val="center"/>
          </w:tcPr>
          <w:p w14:paraId="6FF7BC1D" w14:textId="672ECC12" w:rsidR="007876E3" w:rsidRPr="00EC5A7B" w:rsidRDefault="007876E3" w:rsidP="00953AD4">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r w:rsidR="00220355" w:rsidRPr="00EC5A7B">
              <w:rPr>
                <w:rFonts w:asciiTheme="majorHAnsi" w:hAnsiTheme="majorHAnsi" w:cstheme="majorHAnsi"/>
                <w:b/>
                <w:sz w:val="20"/>
                <w:szCs w:val="20"/>
                <w:lang w:val="ru-MD" w:eastAsia="ru-RU"/>
              </w:rPr>
              <w:t xml:space="preserve"> год</w:t>
            </w:r>
          </w:p>
        </w:tc>
        <w:tc>
          <w:tcPr>
            <w:tcW w:w="2430" w:type="dxa"/>
            <w:gridSpan w:val="2"/>
            <w:shd w:val="clear" w:color="auto" w:fill="DEEAF6" w:themeFill="accent1" w:themeFillTint="33"/>
            <w:vAlign w:val="center"/>
          </w:tcPr>
          <w:p w14:paraId="0DF893A8" w14:textId="70111F0E" w:rsidR="007876E3" w:rsidRPr="00EC5A7B" w:rsidRDefault="007876E3" w:rsidP="00953AD4">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r w:rsidR="00220355" w:rsidRPr="00EC5A7B">
              <w:rPr>
                <w:rFonts w:asciiTheme="majorHAnsi" w:hAnsiTheme="majorHAnsi" w:cstheme="majorHAnsi"/>
                <w:b/>
                <w:sz w:val="20"/>
                <w:szCs w:val="20"/>
                <w:lang w:val="ru-MD" w:eastAsia="ru-RU"/>
              </w:rPr>
              <w:t xml:space="preserve"> год</w:t>
            </w:r>
            <w:r w:rsidRPr="00EC5A7B">
              <w:rPr>
                <w:rFonts w:asciiTheme="majorHAnsi" w:hAnsiTheme="majorHAnsi" w:cstheme="majorHAnsi"/>
                <w:b/>
                <w:sz w:val="20"/>
                <w:szCs w:val="20"/>
                <w:lang w:val="ru-MD" w:eastAsia="ru-RU"/>
              </w:rPr>
              <w:t xml:space="preserve"> </w:t>
            </w:r>
          </w:p>
        </w:tc>
        <w:tc>
          <w:tcPr>
            <w:tcW w:w="1710" w:type="dxa"/>
            <w:vMerge w:val="restart"/>
            <w:shd w:val="clear" w:color="auto" w:fill="DEEAF6" w:themeFill="accent1" w:themeFillTint="33"/>
            <w:vAlign w:val="center"/>
          </w:tcPr>
          <w:p w14:paraId="144555E5" w14:textId="778B25A5" w:rsidR="007876E3" w:rsidRPr="00EC5A7B" w:rsidRDefault="00220355" w:rsidP="00220355">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Разница между</w:t>
            </w:r>
            <w:r w:rsidR="007876E3" w:rsidRPr="00EC5A7B">
              <w:rPr>
                <w:rFonts w:asciiTheme="majorHAnsi" w:hAnsiTheme="majorHAnsi" w:cstheme="majorHAnsi"/>
                <w:b/>
                <w:sz w:val="20"/>
                <w:szCs w:val="20"/>
                <w:lang w:val="ru-MD" w:eastAsia="ru-RU"/>
              </w:rPr>
              <w:t xml:space="preserve"> 2019</w:t>
            </w:r>
            <w:r w:rsidRPr="00EC5A7B">
              <w:rPr>
                <w:rFonts w:asciiTheme="majorHAnsi" w:hAnsiTheme="majorHAnsi" w:cstheme="majorHAnsi"/>
                <w:b/>
                <w:sz w:val="20"/>
                <w:szCs w:val="20"/>
                <w:lang w:val="ru-MD" w:eastAsia="ru-RU"/>
              </w:rPr>
              <w:t xml:space="preserve"> годом и</w:t>
            </w:r>
            <w:r w:rsidR="007876E3" w:rsidRPr="00EC5A7B">
              <w:rPr>
                <w:rFonts w:asciiTheme="majorHAnsi" w:hAnsiTheme="majorHAnsi" w:cstheme="majorHAnsi"/>
                <w:b/>
                <w:sz w:val="20"/>
                <w:szCs w:val="20"/>
                <w:lang w:val="ru-MD" w:eastAsia="ru-RU"/>
              </w:rPr>
              <w:t xml:space="preserve"> 2018</w:t>
            </w:r>
            <w:r w:rsidRPr="00EC5A7B">
              <w:rPr>
                <w:rFonts w:asciiTheme="majorHAnsi" w:hAnsiTheme="majorHAnsi" w:cstheme="majorHAnsi"/>
                <w:b/>
                <w:sz w:val="20"/>
                <w:szCs w:val="20"/>
                <w:lang w:val="ru-MD" w:eastAsia="ru-RU"/>
              </w:rPr>
              <w:t xml:space="preserve"> годом</w:t>
            </w:r>
          </w:p>
        </w:tc>
      </w:tr>
      <w:tr w:rsidR="007876E3" w:rsidRPr="00EC5A7B" w14:paraId="4371DA61" w14:textId="77777777" w:rsidTr="007876E3">
        <w:tc>
          <w:tcPr>
            <w:tcW w:w="3595" w:type="dxa"/>
            <w:vMerge/>
            <w:shd w:val="clear" w:color="auto" w:fill="DEEAF6" w:themeFill="accent1" w:themeFillTint="33"/>
            <w:vAlign w:val="center"/>
          </w:tcPr>
          <w:p w14:paraId="7ED216F3" w14:textId="77777777" w:rsidR="007876E3" w:rsidRPr="00EC5A7B" w:rsidRDefault="007876E3" w:rsidP="00953AD4">
            <w:pPr>
              <w:spacing w:line="276" w:lineRule="auto"/>
              <w:jc w:val="center"/>
              <w:rPr>
                <w:rFonts w:asciiTheme="majorHAnsi" w:hAnsiTheme="majorHAnsi" w:cstheme="majorHAnsi"/>
                <w:b/>
                <w:sz w:val="20"/>
                <w:szCs w:val="20"/>
                <w:lang w:val="ru-MD" w:eastAsia="ru-RU"/>
              </w:rPr>
            </w:pPr>
          </w:p>
        </w:tc>
        <w:tc>
          <w:tcPr>
            <w:tcW w:w="1620" w:type="dxa"/>
            <w:shd w:val="clear" w:color="auto" w:fill="DEEAF6" w:themeFill="accent1" w:themeFillTint="33"/>
          </w:tcPr>
          <w:p w14:paraId="5CC75812" w14:textId="25AE08C5" w:rsidR="007876E3" w:rsidRPr="00EC5A7B" w:rsidRDefault="00220355" w:rsidP="00953AD4">
            <w:pPr>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млн. леев</w:t>
            </w:r>
          </w:p>
        </w:tc>
        <w:tc>
          <w:tcPr>
            <w:tcW w:w="1447" w:type="dxa"/>
            <w:shd w:val="clear" w:color="auto" w:fill="DEEAF6" w:themeFill="accent1" w:themeFillTint="33"/>
            <w:vAlign w:val="center"/>
          </w:tcPr>
          <w:p w14:paraId="668A84AD" w14:textId="4F2B198E" w:rsidR="007876E3" w:rsidRPr="00EC5A7B" w:rsidRDefault="00220355" w:rsidP="00953AD4">
            <w:pPr>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млн. леев</w:t>
            </w:r>
          </w:p>
        </w:tc>
        <w:tc>
          <w:tcPr>
            <w:tcW w:w="983" w:type="dxa"/>
            <w:shd w:val="clear" w:color="auto" w:fill="DEEAF6" w:themeFill="accent1" w:themeFillTint="33"/>
            <w:vAlign w:val="center"/>
          </w:tcPr>
          <w:p w14:paraId="6B10CE64" w14:textId="4E5729BB" w:rsidR="007876E3" w:rsidRPr="00EC5A7B" w:rsidRDefault="007876E3" w:rsidP="00220355">
            <w:pPr>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 xml:space="preserve">% </w:t>
            </w:r>
            <w:r w:rsidR="00220355" w:rsidRPr="00EC5A7B">
              <w:rPr>
                <w:rFonts w:asciiTheme="majorHAnsi" w:hAnsiTheme="majorHAnsi" w:cstheme="majorHAnsi"/>
                <w:b/>
                <w:i/>
                <w:sz w:val="20"/>
                <w:szCs w:val="20"/>
                <w:lang w:val="ru-MD" w:eastAsia="ru-RU"/>
              </w:rPr>
              <w:t>в общем объеме</w:t>
            </w:r>
          </w:p>
        </w:tc>
        <w:tc>
          <w:tcPr>
            <w:tcW w:w="1710" w:type="dxa"/>
            <w:vMerge/>
            <w:shd w:val="clear" w:color="auto" w:fill="DEEAF6" w:themeFill="accent1" w:themeFillTint="33"/>
            <w:vAlign w:val="center"/>
          </w:tcPr>
          <w:p w14:paraId="7ECAC198" w14:textId="77777777" w:rsidR="007876E3" w:rsidRPr="00EC5A7B" w:rsidRDefault="007876E3" w:rsidP="00953AD4">
            <w:pPr>
              <w:spacing w:line="276" w:lineRule="auto"/>
              <w:jc w:val="center"/>
              <w:rPr>
                <w:rFonts w:asciiTheme="majorHAnsi" w:hAnsiTheme="majorHAnsi" w:cstheme="majorHAnsi"/>
                <w:b/>
                <w:sz w:val="20"/>
                <w:szCs w:val="20"/>
                <w:lang w:val="ru-MD" w:eastAsia="ru-RU"/>
              </w:rPr>
            </w:pPr>
          </w:p>
        </w:tc>
      </w:tr>
      <w:tr w:rsidR="00D167C2" w:rsidRPr="00EC5A7B" w14:paraId="21A0C170" w14:textId="77777777" w:rsidTr="007876E3">
        <w:tc>
          <w:tcPr>
            <w:tcW w:w="3595" w:type="dxa"/>
          </w:tcPr>
          <w:p w14:paraId="01D3A651" w14:textId="0B64E588" w:rsidR="00D167C2" w:rsidRPr="00EC5A7B" w:rsidRDefault="00220355" w:rsidP="00220355">
            <w:pPr>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Государственный долг</w:t>
            </w:r>
          </w:p>
        </w:tc>
        <w:tc>
          <w:tcPr>
            <w:tcW w:w="1620" w:type="dxa"/>
          </w:tcPr>
          <w:p w14:paraId="2FA01432"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52 012,5</w:t>
            </w:r>
          </w:p>
        </w:tc>
        <w:tc>
          <w:tcPr>
            <w:tcW w:w="1447" w:type="dxa"/>
          </w:tcPr>
          <w:p w14:paraId="2B33806F"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52 494,3</w:t>
            </w:r>
          </w:p>
        </w:tc>
        <w:tc>
          <w:tcPr>
            <w:tcW w:w="983" w:type="dxa"/>
          </w:tcPr>
          <w:p w14:paraId="71D2EAA1"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91,1</w:t>
            </w:r>
          </w:p>
        </w:tc>
        <w:tc>
          <w:tcPr>
            <w:tcW w:w="1710" w:type="dxa"/>
          </w:tcPr>
          <w:p w14:paraId="43800731"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+481,8</w:t>
            </w:r>
          </w:p>
        </w:tc>
      </w:tr>
      <w:tr w:rsidR="00D167C2" w:rsidRPr="00EC5A7B" w14:paraId="042EBE27" w14:textId="77777777" w:rsidTr="007876E3">
        <w:tc>
          <w:tcPr>
            <w:tcW w:w="3595" w:type="dxa"/>
          </w:tcPr>
          <w:p w14:paraId="2F29A8F9" w14:textId="371CA642" w:rsidR="00D167C2" w:rsidRPr="00EC5A7B" w:rsidRDefault="00220355" w:rsidP="00220355">
            <w:pPr>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Долг НБМ</w:t>
            </w:r>
          </w:p>
        </w:tc>
        <w:tc>
          <w:tcPr>
            <w:tcW w:w="1620" w:type="dxa"/>
          </w:tcPr>
          <w:p w14:paraId="6C4436A4"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3 733,7</w:t>
            </w:r>
          </w:p>
        </w:tc>
        <w:tc>
          <w:tcPr>
            <w:tcW w:w="1447" w:type="dxa"/>
          </w:tcPr>
          <w:p w14:paraId="0FF117C9"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3 106,5</w:t>
            </w:r>
          </w:p>
        </w:tc>
        <w:tc>
          <w:tcPr>
            <w:tcW w:w="983" w:type="dxa"/>
          </w:tcPr>
          <w:p w14:paraId="2F2A2435"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5,4</w:t>
            </w:r>
          </w:p>
        </w:tc>
        <w:tc>
          <w:tcPr>
            <w:tcW w:w="1710" w:type="dxa"/>
          </w:tcPr>
          <w:p w14:paraId="7EBBC2D7"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-627,2</w:t>
            </w:r>
          </w:p>
        </w:tc>
      </w:tr>
      <w:tr w:rsidR="00D167C2" w:rsidRPr="00EC5A7B" w14:paraId="5B827D45" w14:textId="77777777" w:rsidTr="007876E3">
        <w:tc>
          <w:tcPr>
            <w:tcW w:w="3595" w:type="dxa"/>
          </w:tcPr>
          <w:p w14:paraId="10417E04" w14:textId="66481BAB" w:rsidR="00D167C2" w:rsidRPr="00EC5A7B" w:rsidRDefault="00220355" w:rsidP="00A96072">
            <w:pPr>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Долг предприятий публичного сектора</w:t>
            </w:r>
          </w:p>
        </w:tc>
        <w:tc>
          <w:tcPr>
            <w:tcW w:w="1620" w:type="dxa"/>
          </w:tcPr>
          <w:p w14:paraId="3B8C1A7F"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1 805,2</w:t>
            </w:r>
          </w:p>
        </w:tc>
        <w:tc>
          <w:tcPr>
            <w:tcW w:w="1447" w:type="dxa"/>
          </w:tcPr>
          <w:p w14:paraId="08E15913"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1 726,0</w:t>
            </w:r>
          </w:p>
        </w:tc>
        <w:tc>
          <w:tcPr>
            <w:tcW w:w="983" w:type="dxa"/>
          </w:tcPr>
          <w:p w14:paraId="4822E6B3"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3,0</w:t>
            </w:r>
          </w:p>
        </w:tc>
        <w:tc>
          <w:tcPr>
            <w:tcW w:w="1710" w:type="dxa"/>
          </w:tcPr>
          <w:p w14:paraId="7DF92EB9"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-79,2</w:t>
            </w:r>
          </w:p>
        </w:tc>
      </w:tr>
      <w:tr w:rsidR="00D167C2" w:rsidRPr="00EC5A7B" w14:paraId="15A11614" w14:textId="77777777" w:rsidTr="007876E3">
        <w:tc>
          <w:tcPr>
            <w:tcW w:w="3595" w:type="dxa"/>
          </w:tcPr>
          <w:p w14:paraId="380CA8E4" w14:textId="2F63039D" w:rsidR="00D167C2" w:rsidRPr="00EC5A7B" w:rsidRDefault="00220355" w:rsidP="00220355">
            <w:pPr>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Долг АТЕ</w:t>
            </w:r>
          </w:p>
        </w:tc>
        <w:tc>
          <w:tcPr>
            <w:tcW w:w="1620" w:type="dxa"/>
          </w:tcPr>
          <w:p w14:paraId="58B81116"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329,9</w:t>
            </w:r>
          </w:p>
        </w:tc>
        <w:tc>
          <w:tcPr>
            <w:tcW w:w="1447" w:type="dxa"/>
          </w:tcPr>
          <w:p w14:paraId="2874662A"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277,9</w:t>
            </w:r>
          </w:p>
        </w:tc>
        <w:tc>
          <w:tcPr>
            <w:tcW w:w="983" w:type="dxa"/>
          </w:tcPr>
          <w:p w14:paraId="148025B0"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0,5</w:t>
            </w:r>
          </w:p>
        </w:tc>
        <w:tc>
          <w:tcPr>
            <w:tcW w:w="1710" w:type="dxa"/>
          </w:tcPr>
          <w:p w14:paraId="13328EE8" w14:textId="77777777" w:rsidR="00D167C2" w:rsidRPr="00EC5A7B" w:rsidRDefault="007876E3" w:rsidP="007876E3">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-52,0</w:t>
            </w:r>
          </w:p>
        </w:tc>
      </w:tr>
      <w:tr w:rsidR="00D167C2" w:rsidRPr="00EC5A7B" w14:paraId="3F8A1114" w14:textId="77777777" w:rsidTr="007876E3">
        <w:tc>
          <w:tcPr>
            <w:tcW w:w="3595" w:type="dxa"/>
          </w:tcPr>
          <w:p w14:paraId="5FD8AECB" w14:textId="35BA7E03" w:rsidR="00D167C2" w:rsidRPr="00EC5A7B" w:rsidRDefault="000121D2" w:rsidP="000121D2">
            <w:pPr>
              <w:spacing w:line="276" w:lineRule="auto"/>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p>
        </w:tc>
        <w:tc>
          <w:tcPr>
            <w:tcW w:w="1620" w:type="dxa"/>
          </w:tcPr>
          <w:p w14:paraId="16B67E10" w14:textId="77777777" w:rsidR="00D167C2" w:rsidRPr="00EC5A7B" w:rsidRDefault="007876E3" w:rsidP="007876E3">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57 881,3</w:t>
            </w:r>
          </w:p>
        </w:tc>
        <w:tc>
          <w:tcPr>
            <w:tcW w:w="1447" w:type="dxa"/>
          </w:tcPr>
          <w:p w14:paraId="720ED6E5" w14:textId="77777777" w:rsidR="00D167C2" w:rsidRPr="00EC5A7B" w:rsidRDefault="007876E3" w:rsidP="007876E3">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57 604,8</w:t>
            </w:r>
          </w:p>
        </w:tc>
        <w:tc>
          <w:tcPr>
            <w:tcW w:w="983" w:type="dxa"/>
          </w:tcPr>
          <w:p w14:paraId="3E56FA0A" w14:textId="77777777" w:rsidR="00D167C2" w:rsidRPr="00EC5A7B" w:rsidRDefault="007876E3" w:rsidP="007876E3">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100</w:t>
            </w:r>
          </w:p>
        </w:tc>
        <w:tc>
          <w:tcPr>
            <w:tcW w:w="1710" w:type="dxa"/>
          </w:tcPr>
          <w:p w14:paraId="29C32C5F" w14:textId="77777777" w:rsidR="00D167C2" w:rsidRPr="00EC5A7B" w:rsidRDefault="007876E3" w:rsidP="007876E3">
            <w:pPr>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-276,5</w:t>
            </w:r>
          </w:p>
        </w:tc>
      </w:tr>
    </w:tbl>
    <w:p w14:paraId="2EBDFA91" w14:textId="0D4090D3" w:rsidR="00470274" w:rsidRPr="00EC5A7B" w:rsidRDefault="000121D2" w:rsidP="00A96072">
      <w:pPr>
        <w:spacing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4B68A0" w:rsidRPr="00EC5A7B">
        <w:rPr>
          <w:rFonts w:asciiTheme="majorHAnsi" w:hAnsiTheme="majorHAnsi" w:cstheme="majorHAnsi"/>
          <w:b/>
          <w:i/>
          <w:sz w:val="20"/>
          <w:szCs w:val="20"/>
          <w:lang w:val="ru-MD" w:eastAsia="ru-RU"/>
        </w:rPr>
        <w:t>:</w:t>
      </w:r>
      <w:r w:rsidR="004B68A0" w:rsidRPr="00EC5A7B">
        <w:rPr>
          <w:rFonts w:asciiTheme="majorHAnsi" w:hAnsiTheme="majorHAnsi" w:cstheme="majorHAnsi"/>
          <w:i/>
          <w:sz w:val="20"/>
          <w:szCs w:val="20"/>
          <w:lang w:val="ru-MD" w:eastAsia="ru-RU"/>
        </w:rPr>
        <w:t xml:space="preserve"> </w:t>
      </w:r>
      <w:r w:rsidRPr="00EC5A7B">
        <w:rPr>
          <w:rFonts w:asciiTheme="majorHAnsi" w:hAnsiTheme="majorHAnsi" w:cstheme="majorHAnsi"/>
          <w:i/>
          <w:sz w:val="20"/>
          <w:szCs w:val="20"/>
          <w:lang w:val="ru-MD" w:eastAsia="ru-RU"/>
        </w:rPr>
        <w:t>Данные</w:t>
      </w:r>
      <w:r w:rsidR="004B68A0" w:rsidRPr="00EC5A7B">
        <w:rPr>
          <w:rFonts w:asciiTheme="majorHAnsi" w:hAnsiTheme="majorHAnsi" w:cstheme="majorHAnsi"/>
          <w:i/>
          <w:sz w:val="20"/>
          <w:szCs w:val="20"/>
          <w:lang w:val="ru-MD" w:eastAsia="ru-RU"/>
        </w:rPr>
        <w:t xml:space="preserve"> </w:t>
      </w:r>
      <w:r w:rsidRPr="00EC5A7B">
        <w:rPr>
          <w:rFonts w:asciiTheme="majorHAnsi" w:hAnsiTheme="majorHAnsi" w:cstheme="majorHAnsi"/>
          <w:i/>
          <w:sz w:val="20"/>
          <w:szCs w:val="20"/>
          <w:lang w:val="ru-MD" w:eastAsia="ru-RU"/>
        </w:rPr>
        <w:t>Отчета о ситуации в области долга публичного сектора, государственных гарантий и государственного рекредитирования за 2019 год</w:t>
      </w:r>
      <w:r w:rsidR="004B68A0" w:rsidRPr="00EC5A7B">
        <w:rPr>
          <w:rFonts w:asciiTheme="majorHAnsi" w:hAnsiTheme="majorHAnsi" w:cstheme="majorHAnsi"/>
          <w:i/>
          <w:sz w:val="20"/>
          <w:szCs w:val="20"/>
          <w:lang w:val="ru-MD" w:eastAsia="ru-RU"/>
        </w:rPr>
        <w:t>.</w:t>
      </w:r>
    </w:p>
    <w:p w14:paraId="49425F65" w14:textId="25B951B1" w:rsidR="00875AEC" w:rsidRPr="00EC5A7B" w:rsidRDefault="000121D2"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структуре долга публичного сектора наибольший удельный вес приходится на государственный долг </w:t>
      </w:r>
      <w:r w:rsidR="00875AEC" w:rsidRPr="00EC5A7B">
        <w:rPr>
          <w:rFonts w:asciiTheme="majorHAnsi" w:hAnsiTheme="majorHAnsi" w:cstheme="majorHAnsi"/>
          <w:sz w:val="24"/>
          <w:szCs w:val="24"/>
          <w:lang w:val="ru-MD" w:eastAsia="ru-RU"/>
        </w:rPr>
        <w:t xml:space="preserve">– 91,1%, </w:t>
      </w:r>
      <w:r w:rsidRPr="00EC5A7B">
        <w:rPr>
          <w:rFonts w:asciiTheme="majorHAnsi" w:hAnsiTheme="majorHAnsi" w:cstheme="majorHAnsi"/>
          <w:sz w:val="24"/>
          <w:szCs w:val="24"/>
          <w:lang w:val="ru-MD"/>
        </w:rPr>
        <w:t>далее следует долг НБМ</w:t>
      </w:r>
      <w:r w:rsidR="00875AEC" w:rsidRPr="00EC5A7B">
        <w:rPr>
          <w:rFonts w:asciiTheme="majorHAnsi" w:hAnsiTheme="majorHAnsi" w:cstheme="majorHAnsi"/>
          <w:sz w:val="24"/>
          <w:szCs w:val="24"/>
          <w:lang w:val="ru-MD" w:eastAsia="ru-RU"/>
        </w:rPr>
        <w:t xml:space="preserve"> – 5,4%, </w:t>
      </w:r>
      <w:r w:rsidRPr="00EC5A7B">
        <w:rPr>
          <w:rFonts w:asciiTheme="majorHAnsi" w:hAnsiTheme="majorHAnsi" w:cstheme="majorHAnsi"/>
          <w:sz w:val="24"/>
          <w:szCs w:val="24"/>
          <w:lang w:val="ru-MD"/>
        </w:rPr>
        <w:t xml:space="preserve">долг </w:t>
      </w:r>
      <w:r w:rsidRPr="00EC5A7B">
        <w:rPr>
          <w:rFonts w:asciiTheme="majorHAnsi" w:hAnsiTheme="majorHAnsi" w:cstheme="majorHAnsi"/>
          <w:sz w:val="24"/>
          <w:szCs w:val="24"/>
          <w:lang w:val="ru-MD" w:eastAsia="ru-RU"/>
        </w:rPr>
        <w:t>предприяти</w:t>
      </w:r>
      <w:r w:rsidRPr="00EC5A7B">
        <w:rPr>
          <w:rFonts w:asciiTheme="majorHAnsi" w:hAnsiTheme="majorHAnsi" w:cstheme="majorHAnsi"/>
          <w:sz w:val="24"/>
          <w:szCs w:val="24"/>
          <w:lang w:val="ru-MD"/>
        </w:rPr>
        <w:t>й публичного сектора</w:t>
      </w:r>
      <w:r w:rsidR="00875AEC" w:rsidRPr="00EC5A7B">
        <w:rPr>
          <w:rFonts w:asciiTheme="majorHAnsi" w:hAnsiTheme="majorHAnsi" w:cstheme="majorHAnsi"/>
          <w:sz w:val="24"/>
          <w:szCs w:val="24"/>
          <w:lang w:val="ru-MD" w:eastAsia="ru-RU"/>
        </w:rPr>
        <w:t xml:space="preserve"> – 3,0% </w:t>
      </w:r>
      <w:r w:rsidRPr="00EC5A7B">
        <w:rPr>
          <w:rFonts w:asciiTheme="majorHAnsi" w:hAnsiTheme="majorHAnsi" w:cstheme="majorHAnsi"/>
          <w:sz w:val="24"/>
          <w:szCs w:val="24"/>
          <w:lang w:val="ru-MD" w:eastAsia="ru-RU"/>
        </w:rPr>
        <w:t xml:space="preserve">и </w:t>
      </w:r>
      <w:r w:rsidRPr="00EC5A7B">
        <w:rPr>
          <w:rFonts w:asciiTheme="majorHAnsi" w:hAnsiTheme="majorHAnsi" w:cstheme="majorHAnsi"/>
          <w:sz w:val="24"/>
          <w:szCs w:val="24"/>
          <w:lang w:val="ru-MD"/>
        </w:rPr>
        <w:t>долг АТЕ</w:t>
      </w:r>
      <w:r w:rsidR="00875AEC" w:rsidRPr="00EC5A7B">
        <w:rPr>
          <w:rFonts w:asciiTheme="majorHAnsi" w:hAnsiTheme="majorHAnsi" w:cstheme="majorHAnsi"/>
          <w:sz w:val="24"/>
          <w:szCs w:val="24"/>
          <w:lang w:val="ru-MD" w:eastAsia="ru-RU"/>
        </w:rPr>
        <w:t xml:space="preserve"> – 0,5%.</w:t>
      </w:r>
    </w:p>
    <w:p w14:paraId="125293EA" w14:textId="6D8472D4" w:rsidR="00FC7E09" w:rsidRPr="00EC5A7B" w:rsidRDefault="00C40BCC"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Удельный вес долга публичного сектора в ВВП по состоянию на 31.12.2019 г. составляла 27,4%</w:t>
      </w:r>
      <w:r w:rsidRPr="00EC5A7B">
        <w:rPr>
          <w:rStyle w:val="FootnoteReference"/>
          <w:rFonts w:asciiTheme="majorHAnsi" w:hAnsiTheme="majorHAnsi" w:cstheme="majorHAnsi"/>
          <w:sz w:val="24"/>
          <w:szCs w:val="24"/>
          <w:lang w:val="ru-MD" w:eastAsia="ru-RU"/>
        </w:rPr>
        <w:footnoteReference w:id="1"/>
      </w:r>
      <w:r w:rsidRPr="00EC5A7B">
        <w:rPr>
          <w:rFonts w:asciiTheme="majorHAnsi" w:hAnsiTheme="majorHAnsi" w:cstheme="majorHAnsi"/>
          <w:sz w:val="24"/>
          <w:szCs w:val="24"/>
          <w:lang w:val="ru-MD" w:eastAsia="ru-RU"/>
        </w:rPr>
        <w:t>, что на 2,7 п. п.</w:t>
      </w:r>
      <w:r w:rsidRPr="00EC5A7B">
        <w:rPr>
          <w:rStyle w:val="FootnoteReference"/>
          <w:rFonts w:asciiTheme="majorHAnsi" w:hAnsiTheme="majorHAnsi" w:cstheme="majorHAnsi"/>
          <w:sz w:val="24"/>
          <w:szCs w:val="24"/>
          <w:lang w:val="ru-MD" w:eastAsia="ru-RU"/>
        </w:rPr>
        <w:footnoteReference w:id="2"/>
      </w:r>
      <w:r w:rsidRPr="00EC5A7B">
        <w:rPr>
          <w:rFonts w:asciiTheme="majorHAnsi" w:hAnsiTheme="majorHAnsi" w:cstheme="majorHAnsi"/>
          <w:sz w:val="24"/>
          <w:szCs w:val="24"/>
          <w:lang w:val="ru-MD" w:eastAsia="ru-RU"/>
        </w:rPr>
        <w:t xml:space="preserve"> меньше по сравнению с аналогичным периодом прошлого года</w:t>
      </w:r>
      <w:r w:rsidR="00C57812" w:rsidRPr="00EC5A7B">
        <w:rPr>
          <w:rFonts w:asciiTheme="majorHAnsi" w:hAnsiTheme="majorHAnsi" w:cstheme="majorHAnsi"/>
          <w:sz w:val="24"/>
          <w:szCs w:val="24"/>
          <w:lang w:val="ru-MD" w:eastAsia="ru-RU"/>
        </w:rPr>
        <w:t>.</w:t>
      </w:r>
    </w:p>
    <w:p w14:paraId="32054AEC" w14:textId="7AEE2897" w:rsidR="00907D56" w:rsidRPr="00EC5A7B" w:rsidRDefault="00C40BCC" w:rsidP="00A96072">
      <w:pPr>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Аудит подверг проверке компонент государственный долг, в том числе внутренний и внешний, который составляет около 91% от общего объема долга публичного сектора</w:t>
      </w:r>
      <w:r w:rsidR="00907D56" w:rsidRPr="00EC5A7B">
        <w:rPr>
          <w:rFonts w:asciiTheme="majorHAnsi" w:hAnsiTheme="majorHAnsi" w:cstheme="majorHAnsi"/>
          <w:sz w:val="24"/>
          <w:szCs w:val="24"/>
          <w:lang w:val="ru-MD" w:eastAsia="ru-RU"/>
        </w:rPr>
        <w:t>.</w:t>
      </w:r>
    </w:p>
    <w:p w14:paraId="349CABD5" w14:textId="4D79690B" w:rsidR="009E41AB" w:rsidRPr="00EC5A7B" w:rsidRDefault="009E41AB" w:rsidP="00A9785A">
      <w:pPr>
        <w:numPr>
          <w:ilvl w:val="0"/>
          <w:numId w:val="1"/>
        </w:numPr>
        <w:autoSpaceDE w:val="0"/>
        <w:autoSpaceDN w:val="0"/>
        <w:adjustRightInd w:val="0"/>
        <w:spacing w:after="0" w:line="276" w:lineRule="auto"/>
        <w:contextualSpacing/>
        <w:jc w:val="both"/>
        <w:outlineLvl w:val="0"/>
        <w:rPr>
          <w:rFonts w:asciiTheme="majorHAnsi" w:eastAsia="Times New Roman" w:hAnsiTheme="majorHAnsi" w:cstheme="majorHAnsi"/>
          <w:bCs/>
          <w:sz w:val="24"/>
          <w:szCs w:val="24"/>
          <w:lang w:val="ru-MD" w:eastAsia="ru-RU"/>
        </w:rPr>
      </w:pPr>
      <w:bookmarkStart w:id="5" w:name="_Toc63157254"/>
      <w:r w:rsidRPr="00EC5A7B">
        <w:rPr>
          <w:rFonts w:asciiTheme="majorHAnsi" w:eastAsia="Times New Roman" w:hAnsiTheme="majorHAnsi" w:cstheme="majorHAnsi"/>
          <w:b/>
          <w:bCs/>
          <w:color w:val="5B9BD5" w:themeColor="accent1"/>
          <w:sz w:val="26"/>
          <w:szCs w:val="26"/>
          <w:lang w:val="ru-MD" w:eastAsia="ru-RU"/>
        </w:rPr>
        <w:t>СФЕРА И ПОДХОД АУДИТА</w:t>
      </w:r>
      <w:bookmarkEnd w:id="5"/>
    </w:p>
    <w:p w14:paraId="1A0A98EB" w14:textId="67BF8BBE" w:rsidR="006023D2" w:rsidRPr="00EC5A7B" w:rsidRDefault="009E41AB" w:rsidP="009E41AB">
      <w:pPr>
        <w:spacing w:after="0" w:line="276" w:lineRule="auto"/>
        <w:contextualSpacing/>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 xml:space="preserve">В контексте важности функций, делегированных МФ для накопления информации и мониторинга ситуации, связанной с </w:t>
      </w:r>
      <w:r w:rsidR="00012E95" w:rsidRPr="00EC5A7B">
        <w:rPr>
          <w:rFonts w:asciiTheme="majorHAnsi" w:eastAsia="Times New Roman" w:hAnsiTheme="majorHAnsi" w:cstheme="majorHAnsi"/>
          <w:bCs/>
          <w:sz w:val="24"/>
          <w:szCs w:val="24"/>
          <w:lang w:val="ru-MD" w:eastAsia="ru-RU"/>
        </w:rPr>
        <w:t>долгом публичного</w:t>
      </w:r>
      <w:r w:rsidRPr="00EC5A7B">
        <w:rPr>
          <w:rFonts w:asciiTheme="majorHAnsi" w:eastAsia="Times New Roman" w:hAnsiTheme="majorHAnsi" w:cstheme="majorHAnsi"/>
          <w:bCs/>
          <w:sz w:val="24"/>
          <w:szCs w:val="24"/>
          <w:lang w:val="ru-MD" w:eastAsia="ru-RU"/>
        </w:rPr>
        <w:t xml:space="preserve"> сектора, управлением государственным долгом, государственными гарантиями и средствами, предназначенными для государственного ре</w:t>
      </w:r>
      <w:r w:rsidR="00012E95" w:rsidRPr="00EC5A7B">
        <w:rPr>
          <w:rFonts w:asciiTheme="majorHAnsi" w:eastAsia="Times New Roman" w:hAnsiTheme="majorHAnsi" w:cstheme="majorHAnsi"/>
          <w:bCs/>
          <w:sz w:val="24"/>
          <w:szCs w:val="24"/>
          <w:lang w:val="ru-MD" w:eastAsia="ru-RU"/>
        </w:rPr>
        <w:t>кредитования</w:t>
      </w:r>
      <w:r w:rsidRPr="00EC5A7B">
        <w:rPr>
          <w:rFonts w:asciiTheme="majorHAnsi" w:eastAsia="Times New Roman" w:hAnsiTheme="majorHAnsi" w:cstheme="majorHAnsi"/>
          <w:bCs/>
          <w:sz w:val="24"/>
          <w:szCs w:val="24"/>
          <w:lang w:val="ru-MD" w:eastAsia="ru-RU"/>
        </w:rPr>
        <w:t>, Счетная палата р</w:t>
      </w:r>
      <w:r w:rsidR="00012E95" w:rsidRPr="00EC5A7B">
        <w:rPr>
          <w:rFonts w:asciiTheme="majorHAnsi" w:eastAsia="Times New Roman" w:hAnsiTheme="majorHAnsi" w:cstheme="majorHAnsi"/>
          <w:bCs/>
          <w:sz w:val="24"/>
          <w:szCs w:val="24"/>
          <w:lang w:val="ru-MD" w:eastAsia="ru-RU"/>
        </w:rPr>
        <w:t>ешила</w:t>
      </w:r>
      <w:r w:rsidRPr="00EC5A7B">
        <w:rPr>
          <w:rFonts w:asciiTheme="majorHAnsi" w:eastAsia="Times New Roman" w:hAnsiTheme="majorHAnsi" w:cstheme="majorHAnsi"/>
          <w:bCs/>
          <w:sz w:val="24"/>
          <w:szCs w:val="24"/>
          <w:lang w:val="ru-MD" w:eastAsia="ru-RU"/>
        </w:rPr>
        <w:t xml:space="preserve"> провести аудит эффективности управления государственным долгом, государственными гарантиями и государственным </w:t>
      </w:r>
      <w:r w:rsidR="00012E95" w:rsidRPr="00EC5A7B">
        <w:rPr>
          <w:rFonts w:asciiTheme="majorHAnsi" w:eastAsia="Times New Roman" w:hAnsiTheme="majorHAnsi" w:cstheme="majorHAnsi"/>
          <w:bCs/>
          <w:sz w:val="24"/>
          <w:szCs w:val="24"/>
          <w:lang w:val="ru-MD" w:eastAsia="ru-RU"/>
        </w:rPr>
        <w:t>рекредитованием</w:t>
      </w:r>
      <w:r w:rsidRPr="00EC5A7B">
        <w:rPr>
          <w:rFonts w:asciiTheme="majorHAnsi" w:eastAsia="Times New Roman" w:hAnsiTheme="majorHAnsi" w:cstheme="majorHAnsi"/>
          <w:bCs/>
          <w:sz w:val="24"/>
          <w:szCs w:val="24"/>
          <w:lang w:val="ru-MD" w:eastAsia="ru-RU"/>
        </w:rPr>
        <w:t>. Аудит был направлен на оценку результатов, достигнутых в 2019 году МФ в а</w:t>
      </w:r>
      <w:r w:rsidR="00012E95" w:rsidRPr="00EC5A7B">
        <w:rPr>
          <w:rFonts w:asciiTheme="majorHAnsi" w:eastAsia="Times New Roman" w:hAnsiTheme="majorHAnsi" w:cstheme="majorHAnsi"/>
          <w:bCs/>
          <w:sz w:val="24"/>
          <w:szCs w:val="24"/>
          <w:lang w:val="ru-MD" w:eastAsia="ru-RU"/>
        </w:rPr>
        <w:t>уд</w:t>
      </w:r>
      <w:r w:rsidRPr="00EC5A7B">
        <w:rPr>
          <w:rFonts w:asciiTheme="majorHAnsi" w:eastAsia="Times New Roman" w:hAnsiTheme="majorHAnsi" w:cstheme="majorHAnsi"/>
          <w:bCs/>
          <w:sz w:val="24"/>
          <w:szCs w:val="24"/>
          <w:lang w:val="ru-MD" w:eastAsia="ru-RU"/>
        </w:rPr>
        <w:t>ируемой области</w:t>
      </w:r>
      <w:r w:rsidR="006023D2" w:rsidRPr="00EC5A7B">
        <w:rPr>
          <w:rFonts w:asciiTheme="majorHAnsi" w:hAnsiTheme="majorHAnsi" w:cstheme="majorHAnsi"/>
          <w:sz w:val="24"/>
          <w:szCs w:val="24"/>
          <w:lang w:val="ru-MD"/>
          <w14:glow w14:rad="0">
            <w14:schemeClr w14:val="tx1"/>
          </w14:glow>
        </w:rPr>
        <w:t xml:space="preserve">. </w:t>
      </w:r>
    </w:p>
    <w:p w14:paraId="23993069" w14:textId="559F0DFD" w:rsidR="006023D2" w:rsidRPr="00EC5A7B" w:rsidRDefault="009E41AB" w:rsidP="006023D2">
      <w:pPr>
        <w:spacing w:line="276" w:lineRule="auto"/>
        <w:jc w:val="both"/>
        <w:rPr>
          <w:rFonts w:asciiTheme="majorHAnsi" w:hAnsiTheme="majorHAnsi" w:cstheme="majorHAnsi"/>
          <w:color w:val="000000"/>
          <w:sz w:val="24"/>
          <w:szCs w:val="24"/>
          <w:lang w:val="ru-MD"/>
        </w:rPr>
      </w:pPr>
      <w:r w:rsidRPr="00EC5A7B">
        <w:rPr>
          <w:rFonts w:asciiTheme="majorHAnsi" w:hAnsiTheme="majorHAnsi" w:cstheme="majorHAnsi"/>
          <w:bCs/>
          <w:sz w:val="24"/>
          <w:szCs w:val="24"/>
          <w:lang w:val="ru-MD"/>
        </w:rPr>
        <w:t xml:space="preserve">Общая цель аудита состояла в </w:t>
      </w:r>
      <w:r w:rsidRPr="00EC5A7B">
        <w:rPr>
          <w:rFonts w:asciiTheme="majorHAnsi" w:hAnsiTheme="majorHAnsi" w:cstheme="majorHAnsi"/>
          <w:b/>
          <w:bCs/>
          <w:i/>
          <w:sz w:val="24"/>
          <w:szCs w:val="24"/>
          <w:lang w:val="ru-MD"/>
        </w:rPr>
        <w:t>оценке эффективности управления государственным долгом, государственны</w:t>
      </w:r>
      <w:r w:rsidR="00342436" w:rsidRPr="00EC5A7B">
        <w:rPr>
          <w:rFonts w:asciiTheme="majorHAnsi" w:hAnsiTheme="majorHAnsi" w:cstheme="majorHAnsi"/>
          <w:b/>
          <w:bCs/>
          <w:i/>
          <w:sz w:val="24"/>
          <w:szCs w:val="24"/>
          <w:lang w:val="ru-MD"/>
        </w:rPr>
        <w:t>ми</w:t>
      </w:r>
      <w:r w:rsidRPr="00EC5A7B">
        <w:rPr>
          <w:rFonts w:asciiTheme="majorHAnsi" w:hAnsiTheme="majorHAnsi" w:cstheme="majorHAnsi"/>
          <w:b/>
          <w:bCs/>
          <w:i/>
          <w:sz w:val="24"/>
          <w:szCs w:val="24"/>
          <w:lang w:val="ru-MD"/>
        </w:rPr>
        <w:t xml:space="preserve"> гаранти</w:t>
      </w:r>
      <w:r w:rsidR="00342436" w:rsidRPr="00EC5A7B">
        <w:rPr>
          <w:rFonts w:asciiTheme="majorHAnsi" w:hAnsiTheme="majorHAnsi" w:cstheme="majorHAnsi"/>
          <w:b/>
          <w:bCs/>
          <w:i/>
          <w:sz w:val="24"/>
          <w:szCs w:val="24"/>
          <w:lang w:val="ru-MD"/>
        </w:rPr>
        <w:t>ями</w:t>
      </w:r>
      <w:r w:rsidRPr="00EC5A7B">
        <w:rPr>
          <w:rFonts w:asciiTheme="majorHAnsi" w:hAnsiTheme="majorHAnsi" w:cstheme="majorHAnsi"/>
          <w:b/>
          <w:bCs/>
          <w:i/>
          <w:sz w:val="24"/>
          <w:szCs w:val="24"/>
          <w:lang w:val="ru-MD"/>
        </w:rPr>
        <w:t xml:space="preserve"> и государственн</w:t>
      </w:r>
      <w:r w:rsidR="00342436" w:rsidRPr="00EC5A7B">
        <w:rPr>
          <w:rFonts w:asciiTheme="majorHAnsi" w:hAnsiTheme="majorHAnsi" w:cstheme="majorHAnsi"/>
          <w:b/>
          <w:bCs/>
          <w:i/>
          <w:sz w:val="24"/>
          <w:szCs w:val="24"/>
          <w:lang w:val="ru-MD"/>
        </w:rPr>
        <w:t>ым рекредитованием</w:t>
      </w:r>
      <w:r w:rsidRPr="00EC5A7B">
        <w:rPr>
          <w:rFonts w:asciiTheme="majorHAnsi" w:hAnsiTheme="majorHAnsi" w:cstheme="majorHAnsi"/>
          <w:b/>
          <w:bCs/>
          <w:i/>
          <w:sz w:val="24"/>
          <w:szCs w:val="24"/>
          <w:lang w:val="ru-MD"/>
        </w:rPr>
        <w:t xml:space="preserve"> Министерством финансов</w:t>
      </w:r>
      <w:r w:rsidR="00102195" w:rsidRPr="00EC5A7B">
        <w:rPr>
          <w:rFonts w:asciiTheme="majorHAnsi" w:hAnsiTheme="majorHAnsi" w:cstheme="majorHAnsi"/>
          <w:b/>
          <w:bCs/>
          <w:i/>
          <w:sz w:val="24"/>
          <w:szCs w:val="24"/>
          <w:lang w:val="ru-MD"/>
        </w:rPr>
        <w:t>,</w:t>
      </w:r>
      <w:r w:rsidRPr="00EC5A7B">
        <w:rPr>
          <w:rFonts w:asciiTheme="majorHAnsi" w:hAnsiTheme="majorHAnsi" w:cstheme="majorHAnsi"/>
          <w:b/>
          <w:bCs/>
          <w:i/>
          <w:sz w:val="24"/>
          <w:szCs w:val="24"/>
          <w:lang w:val="ru-MD"/>
        </w:rPr>
        <w:t xml:space="preserve"> с учетом </w:t>
      </w:r>
      <w:r w:rsidR="00102195" w:rsidRPr="00EC5A7B">
        <w:rPr>
          <w:rFonts w:asciiTheme="majorHAnsi" w:hAnsiTheme="majorHAnsi" w:cstheme="majorHAnsi"/>
          <w:b/>
          <w:bCs/>
          <w:i/>
          <w:sz w:val="24"/>
          <w:szCs w:val="24"/>
          <w:lang w:val="ru-MD"/>
        </w:rPr>
        <w:t>возложенных на него</w:t>
      </w:r>
      <w:r w:rsidRPr="00EC5A7B">
        <w:rPr>
          <w:rFonts w:asciiTheme="majorHAnsi" w:hAnsiTheme="majorHAnsi" w:cstheme="majorHAnsi"/>
          <w:b/>
          <w:bCs/>
          <w:i/>
          <w:sz w:val="24"/>
          <w:szCs w:val="24"/>
          <w:lang w:val="ru-MD"/>
        </w:rPr>
        <w:t xml:space="preserve"> полномочий</w:t>
      </w:r>
      <w:r w:rsidR="006023D2" w:rsidRPr="00EC5A7B">
        <w:rPr>
          <w:rFonts w:asciiTheme="majorHAnsi" w:hAnsiTheme="majorHAnsi" w:cstheme="majorHAnsi"/>
          <w:bCs/>
          <w:sz w:val="24"/>
          <w:szCs w:val="24"/>
          <w:lang w:val="ru-MD"/>
        </w:rPr>
        <w:t>.</w:t>
      </w:r>
    </w:p>
    <w:p w14:paraId="46E2F919" w14:textId="4713D8E0" w:rsidR="006023D2" w:rsidRPr="00EC5A7B" w:rsidRDefault="009E41AB" w:rsidP="006023D2">
      <w:pPr>
        <w:spacing w:after="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Для достижения общей цели, внешний публичный аудит установил следующие конкретные цели</w:t>
      </w:r>
      <w:r w:rsidR="006023D2" w:rsidRPr="00EC5A7B">
        <w:rPr>
          <w:rFonts w:asciiTheme="majorHAnsi" w:hAnsiTheme="majorHAnsi" w:cstheme="majorHAnsi"/>
          <w:sz w:val="24"/>
          <w:szCs w:val="24"/>
          <w:lang w:val="ru-MD"/>
        </w:rPr>
        <w:t>:</w:t>
      </w:r>
    </w:p>
    <w:p w14:paraId="0C7AFC77" w14:textId="3446D26F" w:rsidR="00BB345A" w:rsidRPr="00EC5A7B" w:rsidRDefault="009E41AB" w:rsidP="00BB345A">
      <w:pPr>
        <w:tabs>
          <w:tab w:val="left" w:pos="284"/>
          <w:tab w:val="left" w:pos="567"/>
        </w:tabs>
        <w:spacing w:line="276" w:lineRule="auto"/>
        <w:jc w:val="both"/>
        <w:rPr>
          <w:rFonts w:asciiTheme="majorHAnsi" w:hAnsiTheme="majorHAnsi" w:cstheme="majorHAnsi"/>
          <w:sz w:val="24"/>
          <w:szCs w:val="24"/>
          <w:lang w:val="ru-MD"/>
        </w:rPr>
      </w:pPr>
      <w:r w:rsidRPr="00EC5A7B">
        <w:rPr>
          <w:rFonts w:asciiTheme="majorHAnsi" w:hAnsiTheme="majorHAnsi" w:cstheme="majorHAnsi"/>
          <w:b/>
          <w:sz w:val="24"/>
          <w:szCs w:val="24"/>
          <w:lang w:val="ru-MD"/>
        </w:rPr>
        <w:lastRenderedPageBreak/>
        <w:t>Конкретная цель</w:t>
      </w:r>
      <w:r w:rsidR="00BB345A" w:rsidRPr="00EC5A7B">
        <w:rPr>
          <w:rFonts w:asciiTheme="majorHAnsi" w:hAnsiTheme="majorHAnsi" w:cstheme="majorHAnsi"/>
          <w:b/>
          <w:sz w:val="24"/>
          <w:szCs w:val="24"/>
          <w:lang w:val="ru-MD"/>
        </w:rPr>
        <w:t xml:space="preserve"> I. </w:t>
      </w:r>
      <w:r w:rsidRPr="00EC5A7B">
        <w:rPr>
          <w:rFonts w:asciiTheme="majorHAnsi" w:hAnsiTheme="majorHAnsi" w:cstheme="majorHAnsi"/>
          <w:sz w:val="24"/>
          <w:szCs w:val="24"/>
          <w:lang w:val="ru-MD"/>
        </w:rPr>
        <w:t xml:space="preserve">Оценка структуры портфеля государственного долга и исполнения </w:t>
      </w:r>
      <w:r w:rsidRPr="00EC5A7B">
        <w:rPr>
          <w:rFonts w:asciiTheme="majorHAnsi" w:hAnsiTheme="majorHAnsi" w:cstheme="majorHAnsi"/>
          <w:bCs/>
          <w:sz w:val="24"/>
          <w:szCs w:val="24"/>
          <w:lang w:val="ru-MD"/>
        </w:rPr>
        <w:t>обязательств</w:t>
      </w:r>
      <w:r w:rsidRPr="00EC5A7B">
        <w:rPr>
          <w:rFonts w:asciiTheme="majorHAnsi" w:hAnsiTheme="majorHAnsi" w:cstheme="majorHAnsi"/>
          <w:sz w:val="24"/>
          <w:szCs w:val="24"/>
          <w:lang w:val="ru-MD"/>
        </w:rPr>
        <w:t xml:space="preserve"> государства по обслуживанию долга</w:t>
      </w:r>
      <w:r w:rsidR="00657281" w:rsidRPr="00EC5A7B">
        <w:rPr>
          <w:rFonts w:asciiTheme="majorHAnsi" w:hAnsiTheme="majorHAnsi" w:cstheme="majorHAnsi"/>
          <w:sz w:val="24"/>
          <w:szCs w:val="24"/>
          <w:lang w:val="ru-MD"/>
        </w:rPr>
        <w:t>;</w:t>
      </w:r>
    </w:p>
    <w:p w14:paraId="6534268A" w14:textId="14C905F9" w:rsidR="00BB345A" w:rsidRPr="00EC5A7B" w:rsidRDefault="009E41AB" w:rsidP="00BB345A">
      <w:pPr>
        <w:tabs>
          <w:tab w:val="left" w:pos="284"/>
          <w:tab w:val="left" w:pos="567"/>
        </w:tabs>
        <w:spacing w:line="276" w:lineRule="auto"/>
        <w:jc w:val="both"/>
        <w:rPr>
          <w:rFonts w:asciiTheme="majorHAnsi" w:hAnsiTheme="majorHAnsi" w:cstheme="majorHAnsi"/>
          <w:b/>
          <w:sz w:val="24"/>
          <w:szCs w:val="24"/>
          <w:lang w:val="ru-MD"/>
        </w:rPr>
      </w:pPr>
      <w:r w:rsidRPr="00EC5A7B">
        <w:rPr>
          <w:rFonts w:asciiTheme="majorHAnsi" w:hAnsiTheme="majorHAnsi" w:cstheme="majorHAnsi"/>
          <w:b/>
          <w:sz w:val="24"/>
          <w:szCs w:val="24"/>
          <w:lang w:val="ru-MD"/>
        </w:rPr>
        <w:t>Конкретная цель</w:t>
      </w:r>
      <w:r w:rsidR="00BB345A" w:rsidRPr="00EC5A7B">
        <w:rPr>
          <w:rFonts w:asciiTheme="majorHAnsi" w:hAnsiTheme="majorHAnsi" w:cstheme="majorHAnsi"/>
          <w:b/>
          <w:sz w:val="24"/>
          <w:szCs w:val="24"/>
          <w:lang w:val="ru-MD"/>
        </w:rPr>
        <w:t xml:space="preserve"> II. </w:t>
      </w:r>
      <w:r w:rsidR="00447C6A" w:rsidRPr="00EC5A7B">
        <w:rPr>
          <w:rFonts w:asciiTheme="majorHAnsi" w:hAnsiTheme="majorHAnsi" w:cstheme="majorHAnsi"/>
          <w:sz w:val="24"/>
          <w:szCs w:val="24"/>
          <w:lang w:val="ru-MD"/>
        </w:rPr>
        <w:t xml:space="preserve">Оценка достижения специфических целей по управлению государственным долгом, установленных </w:t>
      </w:r>
      <w:r w:rsidR="00ED7D0E" w:rsidRPr="00EC5A7B">
        <w:rPr>
          <w:rFonts w:asciiTheme="majorHAnsi" w:hAnsiTheme="majorHAnsi" w:cstheme="majorHAnsi"/>
          <w:sz w:val="24"/>
          <w:szCs w:val="24"/>
          <w:lang w:val="ru-MD"/>
        </w:rPr>
        <w:t xml:space="preserve">в </w:t>
      </w:r>
      <w:r w:rsidR="00447C6A" w:rsidRPr="00EC5A7B">
        <w:rPr>
          <w:rFonts w:asciiTheme="majorHAnsi" w:eastAsia="Times New Roman" w:hAnsiTheme="majorHAnsi" w:cstheme="majorHAnsi"/>
          <w:bCs/>
          <w:sz w:val="24"/>
          <w:szCs w:val="24"/>
          <w:lang w:val="ru-MD" w:eastAsia="ru-RU"/>
        </w:rPr>
        <w:t>Программ</w:t>
      </w:r>
      <w:r w:rsidR="00ED7D0E" w:rsidRPr="00EC5A7B">
        <w:rPr>
          <w:rFonts w:asciiTheme="majorHAnsi" w:eastAsia="Times New Roman" w:hAnsiTheme="majorHAnsi" w:cstheme="majorHAnsi"/>
          <w:bCs/>
          <w:sz w:val="24"/>
          <w:szCs w:val="24"/>
          <w:lang w:val="ru-MD" w:eastAsia="ru-RU"/>
        </w:rPr>
        <w:t>е</w:t>
      </w:r>
      <w:r w:rsidR="00447C6A" w:rsidRPr="00EC5A7B">
        <w:rPr>
          <w:rFonts w:asciiTheme="majorHAnsi" w:eastAsia="Times New Roman" w:hAnsiTheme="majorHAnsi" w:cstheme="majorHAnsi"/>
          <w:bCs/>
          <w:sz w:val="24"/>
          <w:szCs w:val="24"/>
          <w:lang w:val="ru-MD" w:eastAsia="ru-RU"/>
        </w:rPr>
        <w:t xml:space="preserve"> „Управление государственным долгом на среднесрочный период (2019-2021)”</w:t>
      </w:r>
      <w:r w:rsidR="00657281" w:rsidRPr="00EC5A7B">
        <w:rPr>
          <w:rFonts w:asciiTheme="majorHAnsi" w:hAnsiTheme="majorHAnsi" w:cstheme="majorHAnsi"/>
          <w:sz w:val="24"/>
          <w:szCs w:val="24"/>
          <w:lang w:val="ru-MD"/>
        </w:rPr>
        <w:t>;</w:t>
      </w:r>
    </w:p>
    <w:p w14:paraId="1CB756A6" w14:textId="021C8E4B" w:rsidR="00BB345A" w:rsidRPr="00EC5A7B" w:rsidRDefault="009E41AB" w:rsidP="00BB345A">
      <w:pPr>
        <w:tabs>
          <w:tab w:val="left" w:pos="284"/>
          <w:tab w:val="left" w:pos="567"/>
        </w:tabs>
        <w:spacing w:line="276" w:lineRule="auto"/>
        <w:jc w:val="both"/>
        <w:rPr>
          <w:rFonts w:asciiTheme="majorHAnsi" w:hAnsiTheme="majorHAnsi" w:cstheme="majorHAnsi"/>
          <w:sz w:val="24"/>
          <w:szCs w:val="24"/>
          <w:lang w:val="ru-MD"/>
        </w:rPr>
      </w:pPr>
      <w:r w:rsidRPr="00EC5A7B">
        <w:rPr>
          <w:rFonts w:asciiTheme="majorHAnsi" w:hAnsiTheme="majorHAnsi" w:cstheme="majorHAnsi"/>
          <w:b/>
          <w:sz w:val="24"/>
          <w:szCs w:val="24"/>
          <w:lang w:val="ru-MD"/>
        </w:rPr>
        <w:t>Конкретная цель</w:t>
      </w:r>
      <w:r w:rsidR="00BB345A" w:rsidRPr="00EC5A7B">
        <w:rPr>
          <w:rFonts w:asciiTheme="majorHAnsi" w:hAnsiTheme="majorHAnsi" w:cstheme="majorHAnsi"/>
          <w:b/>
          <w:sz w:val="24"/>
          <w:szCs w:val="24"/>
          <w:lang w:val="ru-MD"/>
        </w:rPr>
        <w:t xml:space="preserve"> III. </w:t>
      </w:r>
      <w:r w:rsidR="00376087" w:rsidRPr="00EC5A7B">
        <w:rPr>
          <w:rFonts w:asciiTheme="majorHAnsi" w:hAnsiTheme="majorHAnsi"/>
          <w:sz w:val="24"/>
          <w:lang w:val="ru-MD"/>
        </w:rPr>
        <w:t>Оценка тенденций по предоставлению государственных гарантий</w:t>
      </w:r>
      <w:r w:rsidR="00657281" w:rsidRPr="00EC5A7B">
        <w:rPr>
          <w:rFonts w:asciiTheme="majorHAnsi" w:hAnsiTheme="majorHAnsi" w:cstheme="majorHAnsi"/>
          <w:sz w:val="24"/>
          <w:szCs w:val="24"/>
          <w:lang w:val="ru-MD"/>
        </w:rPr>
        <w:t>;</w:t>
      </w:r>
    </w:p>
    <w:p w14:paraId="4083E1F7" w14:textId="54028AF9" w:rsidR="00BB345A" w:rsidRPr="00EC5A7B" w:rsidRDefault="009E41AB" w:rsidP="00BB345A">
      <w:pPr>
        <w:tabs>
          <w:tab w:val="left" w:pos="284"/>
          <w:tab w:val="left" w:pos="567"/>
        </w:tabs>
        <w:spacing w:line="276" w:lineRule="auto"/>
        <w:jc w:val="both"/>
        <w:rPr>
          <w:rFonts w:asciiTheme="majorHAnsi" w:hAnsiTheme="majorHAnsi" w:cstheme="majorHAnsi"/>
          <w:sz w:val="24"/>
          <w:szCs w:val="24"/>
          <w:lang w:val="ru-MD"/>
        </w:rPr>
      </w:pPr>
      <w:r w:rsidRPr="00EC5A7B">
        <w:rPr>
          <w:rFonts w:asciiTheme="majorHAnsi" w:hAnsiTheme="majorHAnsi" w:cstheme="majorHAnsi"/>
          <w:b/>
          <w:sz w:val="24"/>
          <w:szCs w:val="24"/>
          <w:lang w:val="ru-MD"/>
        </w:rPr>
        <w:t>Конкретная цель</w:t>
      </w:r>
      <w:r w:rsidR="00BB345A" w:rsidRPr="00EC5A7B">
        <w:rPr>
          <w:rFonts w:asciiTheme="majorHAnsi" w:hAnsiTheme="majorHAnsi" w:cstheme="majorHAnsi"/>
          <w:b/>
          <w:sz w:val="24"/>
          <w:szCs w:val="24"/>
          <w:lang w:val="ru-MD"/>
        </w:rPr>
        <w:t xml:space="preserve"> IV. </w:t>
      </w:r>
      <w:r w:rsidR="00376087" w:rsidRPr="00EC5A7B">
        <w:rPr>
          <w:rFonts w:asciiTheme="majorHAnsi" w:hAnsiTheme="majorHAnsi" w:cstheme="majorHAnsi"/>
          <w:sz w:val="24"/>
          <w:szCs w:val="24"/>
          <w:lang w:val="ru-MD"/>
        </w:rPr>
        <w:t>Оценка администрирования и мониторинга кредитов, рекредитованных государством</w:t>
      </w:r>
      <w:r w:rsidR="00BB345A" w:rsidRPr="00EC5A7B">
        <w:rPr>
          <w:rFonts w:asciiTheme="majorHAnsi" w:hAnsiTheme="majorHAnsi" w:cstheme="majorHAnsi"/>
          <w:sz w:val="24"/>
          <w:szCs w:val="24"/>
          <w:lang w:val="ru-MD"/>
        </w:rPr>
        <w:t>.</w:t>
      </w:r>
    </w:p>
    <w:p w14:paraId="1E809B65" w14:textId="4EFA6507" w:rsidR="006023D2" w:rsidRPr="00EC5A7B" w:rsidRDefault="00ED7D0E" w:rsidP="006023D2">
      <w:pPr>
        <w:tabs>
          <w:tab w:val="left" w:pos="284"/>
          <w:tab w:val="left" w:pos="567"/>
        </w:tabs>
        <w:spacing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Аудит оценил порядок управления государственным долгом, государственными гарантиями и государственн</w:t>
      </w:r>
      <w:r w:rsidR="00504741" w:rsidRPr="00EC5A7B">
        <w:rPr>
          <w:rFonts w:asciiTheme="majorHAnsi" w:eastAsia="Times New Roman" w:hAnsiTheme="majorHAnsi" w:cstheme="majorHAnsi"/>
          <w:bCs/>
          <w:sz w:val="24"/>
          <w:szCs w:val="24"/>
          <w:lang w:val="ru-MD" w:eastAsia="ru-RU"/>
        </w:rPr>
        <w:t>ым</w:t>
      </w:r>
      <w:r w:rsidRPr="00EC5A7B">
        <w:rPr>
          <w:rFonts w:asciiTheme="majorHAnsi" w:eastAsia="Times New Roman" w:hAnsiTheme="majorHAnsi" w:cstheme="majorHAnsi"/>
          <w:bCs/>
          <w:sz w:val="24"/>
          <w:szCs w:val="24"/>
          <w:lang w:val="ru-MD" w:eastAsia="ru-RU"/>
        </w:rPr>
        <w:t xml:space="preserve"> ре</w:t>
      </w:r>
      <w:r w:rsidR="00504741" w:rsidRPr="00EC5A7B">
        <w:rPr>
          <w:rFonts w:asciiTheme="majorHAnsi" w:eastAsia="Times New Roman" w:hAnsiTheme="majorHAnsi" w:cstheme="majorHAnsi"/>
          <w:bCs/>
          <w:sz w:val="24"/>
          <w:szCs w:val="24"/>
          <w:lang w:val="ru-MD" w:eastAsia="ru-RU"/>
        </w:rPr>
        <w:t>кредитованием</w:t>
      </w:r>
      <w:r w:rsidRPr="00EC5A7B">
        <w:rPr>
          <w:rFonts w:asciiTheme="majorHAnsi" w:eastAsia="Times New Roman" w:hAnsiTheme="majorHAnsi" w:cstheme="majorHAnsi"/>
          <w:bCs/>
          <w:sz w:val="24"/>
          <w:szCs w:val="24"/>
          <w:lang w:val="ru-MD" w:eastAsia="ru-RU"/>
        </w:rPr>
        <w:t xml:space="preserve"> </w:t>
      </w:r>
      <w:r w:rsidR="00504741" w:rsidRPr="00EC5A7B">
        <w:rPr>
          <w:rFonts w:asciiTheme="majorHAnsi" w:eastAsia="Times New Roman" w:hAnsiTheme="majorHAnsi" w:cstheme="majorHAnsi"/>
          <w:bCs/>
          <w:sz w:val="24"/>
          <w:szCs w:val="24"/>
          <w:lang w:val="ru-MD" w:eastAsia="ru-RU"/>
        </w:rPr>
        <w:t>за</w:t>
      </w:r>
      <w:r w:rsidRPr="00EC5A7B">
        <w:rPr>
          <w:rFonts w:asciiTheme="majorHAnsi" w:eastAsia="Times New Roman" w:hAnsiTheme="majorHAnsi" w:cstheme="majorHAnsi"/>
          <w:bCs/>
          <w:sz w:val="24"/>
          <w:szCs w:val="24"/>
          <w:lang w:val="ru-MD" w:eastAsia="ru-RU"/>
        </w:rPr>
        <w:t xml:space="preserve"> 2019 год </w:t>
      </w:r>
      <w:r w:rsidR="00504741" w:rsidRPr="00EC5A7B">
        <w:rPr>
          <w:rFonts w:asciiTheme="majorHAnsi" w:eastAsia="Times New Roman" w:hAnsiTheme="majorHAnsi" w:cstheme="majorHAnsi"/>
          <w:bCs/>
          <w:sz w:val="24"/>
          <w:szCs w:val="24"/>
          <w:lang w:val="ru-MD" w:eastAsia="ru-RU"/>
        </w:rPr>
        <w:t>сквозь</w:t>
      </w:r>
      <w:r w:rsidRPr="00EC5A7B">
        <w:rPr>
          <w:rFonts w:asciiTheme="majorHAnsi" w:eastAsia="Times New Roman" w:hAnsiTheme="majorHAnsi" w:cstheme="majorHAnsi"/>
          <w:bCs/>
          <w:sz w:val="24"/>
          <w:szCs w:val="24"/>
          <w:lang w:val="ru-MD" w:eastAsia="ru-RU"/>
        </w:rPr>
        <w:t xml:space="preserve"> призму: полученных результатов; механизма мониторинга и координации; уровня финансирования и реализации действий; эффективно</w:t>
      </w:r>
      <w:r w:rsidR="00A9785A" w:rsidRPr="00EC5A7B">
        <w:rPr>
          <w:rFonts w:asciiTheme="majorHAnsi" w:eastAsia="Times New Roman" w:hAnsiTheme="majorHAnsi" w:cstheme="majorHAnsi"/>
          <w:bCs/>
          <w:sz w:val="24"/>
          <w:szCs w:val="24"/>
          <w:lang w:val="ru-MD" w:eastAsia="ru-RU"/>
        </w:rPr>
        <w:t>сти</w:t>
      </w:r>
      <w:r w:rsidRPr="00EC5A7B">
        <w:rPr>
          <w:rFonts w:asciiTheme="majorHAnsi" w:eastAsia="Times New Roman" w:hAnsiTheme="majorHAnsi" w:cstheme="majorHAnsi"/>
          <w:bCs/>
          <w:sz w:val="24"/>
          <w:szCs w:val="24"/>
          <w:lang w:val="ru-MD" w:eastAsia="ru-RU"/>
        </w:rPr>
        <w:t xml:space="preserve"> и </w:t>
      </w:r>
      <w:r w:rsidR="00A9785A" w:rsidRPr="00EC5A7B">
        <w:rPr>
          <w:rFonts w:asciiTheme="majorHAnsi" w:eastAsia="Times New Roman" w:hAnsiTheme="majorHAnsi" w:cstheme="majorHAnsi"/>
          <w:bCs/>
          <w:sz w:val="24"/>
          <w:szCs w:val="24"/>
          <w:lang w:val="ru-MD" w:eastAsia="ru-RU"/>
        </w:rPr>
        <w:t>результативности</w:t>
      </w:r>
      <w:r w:rsidRPr="00EC5A7B">
        <w:rPr>
          <w:rFonts w:asciiTheme="majorHAnsi" w:eastAsia="Times New Roman" w:hAnsiTheme="majorHAnsi" w:cstheme="majorHAnsi"/>
          <w:bCs/>
          <w:sz w:val="24"/>
          <w:szCs w:val="24"/>
          <w:lang w:val="ru-MD" w:eastAsia="ru-RU"/>
        </w:rPr>
        <w:t xml:space="preserve"> использования выделенных средств, а также действий, предпринятых ответственными учреждениями. В </w:t>
      </w:r>
      <w:r w:rsidR="00A9785A" w:rsidRPr="00EC5A7B">
        <w:rPr>
          <w:rFonts w:asciiTheme="majorHAnsi" w:eastAsia="Times New Roman" w:hAnsiTheme="majorHAnsi" w:cstheme="majorHAnsi"/>
          <w:bCs/>
          <w:sz w:val="24"/>
          <w:szCs w:val="24"/>
          <w:lang w:val="ru-MD" w:eastAsia="ru-RU"/>
        </w:rPr>
        <w:t xml:space="preserve">этой </w:t>
      </w:r>
      <w:r w:rsidRPr="00EC5A7B">
        <w:rPr>
          <w:rFonts w:asciiTheme="majorHAnsi" w:eastAsia="Times New Roman" w:hAnsiTheme="majorHAnsi" w:cstheme="majorHAnsi"/>
          <w:bCs/>
          <w:sz w:val="24"/>
          <w:szCs w:val="24"/>
          <w:lang w:val="ru-MD" w:eastAsia="ru-RU"/>
        </w:rPr>
        <w:t xml:space="preserve">связи, аудиторская группа рассмотрела </w:t>
      </w:r>
      <w:r w:rsidR="00A9785A" w:rsidRPr="00EC5A7B">
        <w:rPr>
          <w:rFonts w:asciiTheme="majorHAnsi" w:eastAsia="Times New Roman" w:hAnsiTheme="majorHAnsi" w:cstheme="majorHAnsi"/>
          <w:bCs/>
          <w:sz w:val="24"/>
          <w:szCs w:val="24"/>
          <w:lang w:val="ru-MD" w:eastAsia="ru-RU"/>
        </w:rPr>
        <w:t>доказательства</w:t>
      </w:r>
      <w:r w:rsidRPr="00EC5A7B">
        <w:rPr>
          <w:rFonts w:asciiTheme="majorHAnsi" w:eastAsia="Times New Roman" w:hAnsiTheme="majorHAnsi" w:cstheme="majorHAnsi"/>
          <w:bCs/>
          <w:sz w:val="24"/>
          <w:szCs w:val="24"/>
          <w:lang w:val="ru-MD" w:eastAsia="ru-RU"/>
        </w:rPr>
        <w:t xml:space="preserve"> аналитического и документального характера</w:t>
      </w:r>
      <w:r w:rsidR="006023D2" w:rsidRPr="00EC5A7B">
        <w:rPr>
          <w:rFonts w:asciiTheme="majorHAnsi" w:eastAsia="Times New Roman" w:hAnsiTheme="majorHAnsi" w:cstheme="majorHAnsi"/>
          <w:bCs/>
          <w:sz w:val="24"/>
          <w:szCs w:val="24"/>
          <w:lang w:val="ru-MD" w:eastAsia="ru-RU"/>
        </w:rPr>
        <w:t>.</w:t>
      </w:r>
    </w:p>
    <w:p w14:paraId="46D6434A" w14:textId="79EF9147" w:rsidR="006023D2" w:rsidRPr="00EC5A7B" w:rsidRDefault="00ED7D0E" w:rsidP="006023D2">
      <w:pPr>
        <w:tabs>
          <w:tab w:val="left" w:pos="284"/>
          <w:tab w:val="left" w:pos="567"/>
        </w:tabs>
        <w:spacing w:line="276" w:lineRule="auto"/>
        <w:jc w:val="both"/>
        <w:rPr>
          <w:rFonts w:asciiTheme="majorHAnsi" w:eastAsia="Times New Roman" w:hAnsiTheme="majorHAnsi" w:cstheme="majorHAnsi"/>
          <w:bCs/>
          <w:sz w:val="24"/>
          <w:szCs w:val="24"/>
          <w:lang w:val="ru-MD" w:eastAsia="ru-RU"/>
        </w:rPr>
      </w:pPr>
      <w:r w:rsidRPr="00EC5A7B">
        <w:rPr>
          <w:rFonts w:asciiTheme="majorHAnsi" w:hAnsiTheme="majorHAnsi" w:cstheme="majorHAnsi"/>
          <w:b/>
          <w:sz w:val="24"/>
          <w:szCs w:val="24"/>
          <w:lang w:val="ru-MD"/>
        </w:rPr>
        <w:t>Подход аудита</w:t>
      </w:r>
      <w:r w:rsidRPr="00EC5A7B">
        <w:rPr>
          <w:rFonts w:asciiTheme="majorHAnsi" w:hAnsiTheme="majorHAnsi" w:cstheme="majorHAnsi"/>
          <w:sz w:val="24"/>
          <w:szCs w:val="24"/>
          <w:lang w:val="ru-MD"/>
        </w:rPr>
        <w:t xml:space="preserve"> был комбинированным (смешанным), ориентированным как на аспекты, касающиеся выявления и анализа </w:t>
      </w:r>
      <w:r w:rsidRPr="00EC5A7B">
        <w:rPr>
          <w:rFonts w:asciiTheme="majorHAnsi" w:hAnsiTheme="majorHAnsi" w:cstheme="majorHAnsi"/>
          <w:color w:val="0D0D0D" w:themeColor="text1" w:themeTint="F2"/>
          <w:sz w:val="24"/>
          <w:szCs w:val="24"/>
          <w:lang w:val="ru-MD" w:eastAsia="ru-RU"/>
        </w:rPr>
        <w:t xml:space="preserve">недостатков, влияющих на </w:t>
      </w:r>
      <w:r w:rsidRPr="00EC5A7B">
        <w:rPr>
          <w:rFonts w:asciiTheme="majorHAnsi" w:hAnsiTheme="majorHAnsi" w:cstheme="majorHAnsi"/>
          <w:sz w:val="24"/>
          <w:szCs w:val="24"/>
          <w:lang w:val="ru-MD"/>
        </w:rPr>
        <w:t xml:space="preserve">деятельности МФ, </w:t>
      </w:r>
      <w:r w:rsidRPr="00EC5A7B">
        <w:rPr>
          <w:rFonts w:asciiTheme="majorHAnsi" w:hAnsiTheme="majorHAnsi" w:cstheme="majorHAnsi"/>
          <w:color w:val="0D0D0D" w:themeColor="text1" w:themeTint="F2"/>
          <w:sz w:val="24"/>
          <w:szCs w:val="24"/>
          <w:lang w:val="ru-MD" w:eastAsia="ru-RU"/>
        </w:rPr>
        <w:t xml:space="preserve"> </w:t>
      </w:r>
      <w:r w:rsidRPr="00EC5A7B">
        <w:rPr>
          <w:rFonts w:asciiTheme="majorHAnsi" w:hAnsiTheme="majorHAnsi" w:cstheme="majorHAnsi"/>
          <w:sz w:val="24"/>
          <w:szCs w:val="24"/>
          <w:lang w:val="ru-MD"/>
        </w:rPr>
        <w:t xml:space="preserve">так и на результаты, в контексте анализа полученных достижений </w:t>
      </w:r>
      <w:r w:rsidRPr="00EC5A7B">
        <w:rPr>
          <w:rFonts w:asciiTheme="majorHAnsi" w:hAnsiTheme="majorHAnsi"/>
          <w:sz w:val="24"/>
          <w:szCs w:val="24"/>
          <w:lang w:val="ru-MD" w:eastAsia="ru-RU"/>
        </w:rPr>
        <w:t xml:space="preserve">эффективным </w:t>
      </w:r>
      <w:r w:rsidRPr="00EC5A7B">
        <w:rPr>
          <w:rFonts w:asciiTheme="majorHAnsi" w:hAnsiTheme="majorHAnsi"/>
          <w:sz w:val="24"/>
          <w:szCs w:val="24"/>
          <w:lang w:val="ru-MD"/>
        </w:rPr>
        <w:t xml:space="preserve">и </w:t>
      </w:r>
      <w:r w:rsidRPr="00EC5A7B">
        <w:rPr>
          <w:rFonts w:asciiTheme="majorHAnsi" w:hAnsiTheme="majorHAnsi"/>
          <w:sz w:val="24"/>
          <w:szCs w:val="24"/>
          <w:lang w:val="ru-MD" w:eastAsia="ru-RU"/>
        </w:rPr>
        <w:t xml:space="preserve">результативным способом, </w:t>
      </w:r>
      <w:r w:rsidRPr="00EC5A7B">
        <w:rPr>
          <w:rFonts w:asciiTheme="majorHAnsi" w:hAnsiTheme="majorHAnsi" w:cstheme="majorHAnsi"/>
          <w:sz w:val="24"/>
          <w:szCs w:val="24"/>
          <w:lang w:val="ru-MD"/>
        </w:rPr>
        <w:t>в результате анализа запланиро</w:t>
      </w:r>
      <w:r w:rsidRPr="00EC5A7B">
        <w:rPr>
          <w:rFonts w:asciiTheme="majorHAnsi" w:hAnsiTheme="majorHAnsi" w:cstheme="majorHAnsi"/>
          <w:sz w:val="24"/>
          <w:szCs w:val="24"/>
          <w:lang w:val="ru-MD"/>
        </w:rPr>
        <w:lastRenderedPageBreak/>
        <w:t xml:space="preserve">ванных действий/целей и полученных результатов, уделяя особое внимание </w:t>
      </w:r>
      <w:r w:rsidR="00D57F91" w:rsidRPr="00EC5A7B">
        <w:rPr>
          <w:rFonts w:asciiTheme="majorHAnsi" w:hAnsiTheme="majorHAnsi" w:cstheme="majorHAnsi"/>
          <w:sz w:val="24"/>
          <w:szCs w:val="24"/>
          <w:lang w:val="ru-MD"/>
        </w:rPr>
        <w:t>действиям</w:t>
      </w:r>
      <w:r w:rsidRPr="00EC5A7B">
        <w:rPr>
          <w:rFonts w:asciiTheme="majorHAnsi" w:hAnsiTheme="majorHAnsi" w:cstheme="majorHAnsi"/>
          <w:sz w:val="24"/>
          <w:szCs w:val="24"/>
          <w:lang w:val="ru-MD"/>
        </w:rPr>
        <w:t xml:space="preserve">, </w:t>
      </w:r>
      <w:r w:rsidR="00D57F91" w:rsidRPr="00EC5A7B">
        <w:rPr>
          <w:rFonts w:asciiTheme="majorHAnsi" w:hAnsiTheme="majorHAnsi" w:cstheme="majorHAnsi"/>
          <w:sz w:val="24"/>
          <w:szCs w:val="24"/>
          <w:lang w:val="ru-MD"/>
        </w:rPr>
        <w:t>пред</w:t>
      </w:r>
      <w:r w:rsidRPr="00EC5A7B">
        <w:rPr>
          <w:rFonts w:asciiTheme="majorHAnsi" w:hAnsiTheme="majorHAnsi" w:cstheme="majorHAnsi"/>
          <w:sz w:val="24"/>
          <w:szCs w:val="24"/>
          <w:lang w:val="ru-MD"/>
        </w:rPr>
        <w:t>принятым лицами, принимающими решения/ответственными за деятельность МФ</w:t>
      </w:r>
      <w:r w:rsidR="006023D2" w:rsidRPr="00EC5A7B">
        <w:rPr>
          <w:rFonts w:asciiTheme="majorHAnsi" w:hAnsiTheme="majorHAnsi" w:cstheme="majorHAnsi"/>
          <w:sz w:val="24"/>
          <w:szCs w:val="24"/>
          <w:lang w:val="ru-MD"/>
        </w:rPr>
        <w:t xml:space="preserve">. </w:t>
      </w:r>
    </w:p>
    <w:p w14:paraId="24E0404E" w14:textId="21E0EB7B" w:rsidR="006023D2" w:rsidRPr="00EC5A7B" w:rsidRDefault="00ED7D0E" w:rsidP="006023D2">
      <w:pPr>
        <w:tabs>
          <w:tab w:val="left" w:pos="426"/>
        </w:tabs>
        <w:spacing w:line="276" w:lineRule="auto"/>
        <w:contextualSpacing/>
        <w:jc w:val="both"/>
        <w:rPr>
          <w:rFonts w:asciiTheme="majorHAnsi" w:hAnsiTheme="majorHAnsi" w:cstheme="majorHAnsi"/>
          <w:i/>
          <w:sz w:val="24"/>
          <w:szCs w:val="24"/>
          <w:lang w:val="ru-MD"/>
        </w:rPr>
      </w:pPr>
      <w:r w:rsidRPr="00EC5A7B">
        <w:rPr>
          <w:rFonts w:asciiTheme="majorHAnsi" w:hAnsiTheme="majorHAnsi" w:cstheme="majorHAnsi"/>
          <w:bCs/>
          <w:i/>
          <w:sz w:val="24"/>
          <w:szCs w:val="24"/>
          <w:lang w:val="ru-MD"/>
        </w:rPr>
        <w:t>Область применения и методология аудита представлены в Приложении №1 к настоящему Отчету аудита</w:t>
      </w:r>
      <w:r w:rsidR="006023D2" w:rsidRPr="00EC5A7B">
        <w:rPr>
          <w:rFonts w:asciiTheme="majorHAnsi" w:hAnsiTheme="majorHAnsi" w:cstheme="majorHAnsi"/>
          <w:i/>
          <w:sz w:val="24"/>
          <w:szCs w:val="24"/>
          <w:lang w:val="ru-MD"/>
        </w:rPr>
        <w:t>.</w:t>
      </w:r>
    </w:p>
    <w:p w14:paraId="14CF4D93" w14:textId="77777777" w:rsidR="00CB5311" w:rsidRPr="00EC5A7B" w:rsidRDefault="00CB5311" w:rsidP="006023D2">
      <w:pPr>
        <w:tabs>
          <w:tab w:val="left" w:pos="426"/>
        </w:tabs>
        <w:spacing w:line="276" w:lineRule="auto"/>
        <w:contextualSpacing/>
        <w:jc w:val="both"/>
        <w:rPr>
          <w:rFonts w:asciiTheme="majorHAnsi" w:hAnsiTheme="majorHAnsi" w:cstheme="majorHAnsi"/>
          <w:sz w:val="24"/>
          <w:szCs w:val="24"/>
          <w:lang w:val="ru-MD"/>
        </w:rPr>
      </w:pPr>
    </w:p>
    <w:p w14:paraId="59AC7EF3" w14:textId="69914E5A" w:rsidR="006023D2" w:rsidRPr="00EC5A7B" w:rsidRDefault="00A9785A" w:rsidP="00182F0D">
      <w:pPr>
        <w:numPr>
          <w:ilvl w:val="0"/>
          <w:numId w:val="1"/>
        </w:numPr>
        <w:autoSpaceDE w:val="0"/>
        <w:autoSpaceDN w:val="0"/>
        <w:adjustRightInd w:val="0"/>
        <w:spacing w:after="0" w:line="240" w:lineRule="auto"/>
        <w:contextualSpacing/>
        <w:outlineLvl w:val="0"/>
        <w:rPr>
          <w:rFonts w:asciiTheme="majorHAnsi" w:eastAsia="Times New Roman" w:hAnsiTheme="majorHAnsi" w:cstheme="majorHAnsi"/>
          <w:b/>
          <w:bCs/>
          <w:color w:val="5B9BD5" w:themeColor="accent1"/>
          <w:sz w:val="26"/>
          <w:szCs w:val="26"/>
          <w:lang w:val="ru-MD" w:eastAsia="ru-RU"/>
        </w:rPr>
      </w:pPr>
      <w:bookmarkStart w:id="6" w:name="_Toc63157255"/>
      <w:r w:rsidRPr="00EC5A7B">
        <w:rPr>
          <w:rFonts w:asciiTheme="majorHAnsi" w:eastAsia="Times New Roman" w:hAnsiTheme="majorHAnsi" w:cstheme="majorHAnsi"/>
          <w:b/>
          <w:bCs/>
          <w:color w:val="5B9BD5" w:themeColor="accent1"/>
          <w:sz w:val="26"/>
          <w:szCs w:val="26"/>
          <w:lang w:val="ru-MD" w:eastAsia="ru-RU"/>
        </w:rPr>
        <w:t>КОНСТАТАЦИИ</w:t>
      </w:r>
      <w:bookmarkEnd w:id="6"/>
    </w:p>
    <w:p w14:paraId="498F2624" w14:textId="77777777" w:rsidR="006023D2" w:rsidRPr="00EC5A7B" w:rsidRDefault="006023D2" w:rsidP="006023D2">
      <w:pPr>
        <w:autoSpaceDE w:val="0"/>
        <w:autoSpaceDN w:val="0"/>
        <w:adjustRightInd w:val="0"/>
        <w:spacing w:after="0" w:line="240" w:lineRule="auto"/>
        <w:rPr>
          <w:rFonts w:asciiTheme="majorHAnsi" w:eastAsia="Times New Roman" w:hAnsiTheme="majorHAnsi" w:cstheme="majorHAnsi"/>
          <w:b/>
          <w:bCs/>
          <w:sz w:val="26"/>
          <w:szCs w:val="26"/>
          <w:lang w:val="ru-MD" w:eastAsia="ru-RU"/>
        </w:rPr>
      </w:pPr>
    </w:p>
    <w:p w14:paraId="13B70235" w14:textId="30FE9C9C" w:rsidR="006023D2" w:rsidRPr="00EC5A7B" w:rsidRDefault="00A9785A" w:rsidP="00182F0D">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u-MD" w:eastAsia="ru-RU"/>
        </w:rPr>
      </w:pPr>
      <w:bookmarkStart w:id="7" w:name="_Toc63157256"/>
      <w:r w:rsidRPr="00EC5A7B">
        <w:rPr>
          <w:rFonts w:asciiTheme="majorHAnsi" w:eastAsia="Times New Roman" w:hAnsiTheme="majorHAnsi" w:cstheme="majorHAnsi"/>
          <w:b/>
          <w:bCs/>
          <w:color w:val="5B9BD5" w:themeColor="accent1"/>
          <w:sz w:val="24"/>
          <w:szCs w:val="24"/>
          <w:lang w:val="ru-MD" w:eastAsia="ru-RU"/>
        </w:rPr>
        <w:t>Конкретная цель</w:t>
      </w:r>
      <w:r w:rsidR="006023D2" w:rsidRPr="00EC5A7B">
        <w:rPr>
          <w:rFonts w:asciiTheme="majorHAnsi" w:eastAsia="Times New Roman" w:hAnsiTheme="majorHAnsi" w:cstheme="majorHAnsi"/>
          <w:b/>
          <w:bCs/>
          <w:color w:val="5B9BD5" w:themeColor="accent1"/>
          <w:sz w:val="24"/>
          <w:szCs w:val="24"/>
          <w:lang w:val="ru-MD" w:eastAsia="ru-RU"/>
        </w:rPr>
        <w:t xml:space="preserve"> I. </w:t>
      </w:r>
      <w:r w:rsidRPr="00EC5A7B">
        <w:rPr>
          <w:rFonts w:asciiTheme="majorHAnsi" w:eastAsia="Times New Roman" w:hAnsiTheme="majorHAnsi" w:cstheme="majorHAnsi"/>
          <w:b/>
          <w:bCs/>
          <w:color w:val="5B9BD5" w:themeColor="accent1"/>
          <w:sz w:val="24"/>
          <w:szCs w:val="24"/>
          <w:lang w:val="ru-MD" w:eastAsia="ru-RU"/>
        </w:rPr>
        <w:t>Оценка структуры портфеля государственного долга и исполнения обязательств государства по обслуживанию долга</w:t>
      </w:r>
      <w:bookmarkEnd w:id="7"/>
      <w:r w:rsidRPr="00EC5A7B">
        <w:rPr>
          <w:rFonts w:asciiTheme="majorHAnsi" w:eastAsia="Times New Roman" w:hAnsiTheme="majorHAnsi" w:cstheme="majorHAnsi"/>
          <w:b/>
          <w:bCs/>
          <w:color w:val="5B9BD5" w:themeColor="accent1"/>
          <w:sz w:val="24"/>
          <w:szCs w:val="24"/>
          <w:lang w:val="ru-MD" w:eastAsia="ru-RU"/>
        </w:rPr>
        <w:t xml:space="preserve"> </w:t>
      </w:r>
    </w:p>
    <w:p w14:paraId="2FA52855" w14:textId="13E7030D" w:rsidR="00F85715" w:rsidRPr="00EC5A7B" w:rsidRDefault="00A9785A" w:rsidP="00F85715">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rPr>
        <w:t xml:space="preserve">Сальдо государственного долга продолжает регистрировать восходящую тенденцию, а как </w:t>
      </w:r>
      <w:r w:rsidRPr="00EC5A7B">
        <w:rPr>
          <w:rFonts w:asciiTheme="majorHAnsi" w:hAnsiTheme="majorHAnsi"/>
          <w:i/>
          <w:sz w:val="24"/>
          <w:szCs w:val="24"/>
          <w:lang w:val="ru-MD"/>
        </w:rPr>
        <w:t xml:space="preserve">удельный вес в ВВП снизилось на 2,0 п.п. </w:t>
      </w:r>
      <w:r w:rsidRPr="00EC5A7B">
        <w:rPr>
          <w:rFonts w:asciiTheme="majorHAnsi" w:hAnsiTheme="majorHAnsi" w:cstheme="majorHAnsi"/>
          <w:i/>
          <w:sz w:val="24"/>
          <w:szCs w:val="24"/>
          <w:lang w:val="ru-MD"/>
        </w:rPr>
        <w:t xml:space="preserve">Наибольший </w:t>
      </w:r>
      <w:r w:rsidRPr="00EC5A7B">
        <w:rPr>
          <w:rFonts w:asciiTheme="majorHAnsi" w:hAnsiTheme="majorHAnsi"/>
          <w:i/>
          <w:sz w:val="24"/>
          <w:szCs w:val="24"/>
          <w:lang w:val="ru-MD"/>
        </w:rPr>
        <w:t xml:space="preserve">удельный вес </w:t>
      </w:r>
      <w:r w:rsidRPr="00EC5A7B">
        <w:rPr>
          <w:rFonts w:asciiTheme="majorHAnsi" w:hAnsiTheme="majorHAnsi" w:cstheme="majorHAnsi"/>
          <w:i/>
          <w:sz w:val="24"/>
          <w:szCs w:val="24"/>
          <w:lang w:val="ru-MD"/>
        </w:rPr>
        <w:t xml:space="preserve">в портфеле государственного долга приходится на внешние государственные займы </w:t>
      </w:r>
      <w:r w:rsidRPr="00EC5A7B">
        <w:rPr>
          <w:rFonts w:asciiTheme="majorHAnsi" w:hAnsiTheme="majorHAnsi" w:cstheme="majorHAnsi"/>
          <w:i/>
          <w:sz w:val="24"/>
          <w:szCs w:val="24"/>
          <w:lang w:val="ru-MD" w:eastAsia="ru-RU"/>
        </w:rPr>
        <w:t>(50,5%)</w:t>
      </w:r>
      <w:r w:rsidRPr="00EC5A7B">
        <w:rPr>
          <w:rFonts w:asciiTheme="majorHAnsi" w:hAnsiTheme="majorHAnsi" w:cstheme="majorHAnsi"/>
          <w:i/>
          <w:sz w:val="24"/>
          <w:szCs w:val="24"/>
          <w:lang w:val="ru-MD"/>
        </w:rPr>
        <w:t xml:space="preserve">, по оставшемуся сроку погашения – долгосрочные обязательства, которые составляют </w:t>
      </w:r>
      <w:r w:rsidRPr="00EC5A7B">
        <w:rPr>
          <w:rFonts w:asciiTheme="majorHAnsi" w:hAnsiTheme="majorHAnsi" w:cstheme="majorHAnsi"/>
          <w:i/>
          <w:sz w:val="24"/>
          <w:szCs w:val="24"/>
          <w:lang w:val="ru-MD" w:eastAsia="ru-RU"/>
        </w:rPr>
        <w:t>81,6%</w:t>
      </w:r>
      <w:r w:rsidRPr="00EC5A7B">
        <w:rPr>
          <w:rFonts w:asciiTheme="majorHAnsi" w:hAnsiTheme="majorHAnsi" w:cstheme="majorHAnsi"/>
          <w:i/>
          <w:sz w:val="24"/>
          <w:szCs w:val="24"/>
          <w:lang w:val="ru-MD"/>
        </w:rPr>
        <w:t xml:space="preserve">, а по виду процентной ставки – долг с фиксированной процентной ставкой, </w:t>
      </w:r>
      <w:r w:rsidR="003F1154" w:rsidRPr="00EC5A7B">
        <w:rPr>
          <w:rFonts w:asciiTheme="majorHAnsi" w:hAnsiTheme="majorHAnsi" w:cstheme="majorHAnsi"/>
          <w:i/>
          <w:sz w:val="24"/>
          <w:szCs w:val="24"/>
          <w:lang w:val="ru-MD" w:eastAsia="ru-RU"/>
        </w:rPr>
        <w:t>который составляет</w:t>
      </w:r>
      <w:r w:rsidRPr="00EC5A7B">
        <w:rPr>
          <w:rFonts w:asciiTheme="majorHAnsi" w:hAnsiTheme="majorHAnsi" w:cstheme="majorHAnsi"/>
          <w:i/>
          <w:sz w:val="24"/>
          <w:szCs w:val="24"/>
          <w:lang w:val="ru-MD" w:eastAsia="ru-RU"/>
        </w:rPr>
        <w:t xml:space="preserve"> </w:t>
      </w:r>
      <w:r w:rsidRPr="00EC5A7B">
        <w:rPr>
          <w:rFonts w:asciiTheme="majorHAnsi" w:hAnsiTheme="majorHAnsi" w:cstheme="majorHAnsi"/>
          <w:i/>
          <w:sz w:val="24"/>
          <w:szCs w:val="24"/>
          <w:lang w:val="ru-MD"/>
        </w:rPr>
        <w:t>83,2%</w:t>
      </w:r>
      <w:r w:rsidR="003F1154" w:rsidRPr="00EC5A7B">
        <w:rPr>
          <w:rFonts w:asciiTheme="majorHAnsi" w:hAnsiTheme="majorHAnsi" w:cstheme="majorHAnsi"/>
          <w:i/>
          <w:sz w:val="24"/>
          <w:szCs w:val="24"/>
          <w:lang w:val="ru-MD"/>
        </w:rPr>
        <w:t xml:space="preserve">, а в аспекте валют – внутренний государственный долг, на который приходится </w:t>
      </w:r>
      <w:r w:rsidR="003F1154" w:rsidRPr="00EC5A7B">
        <w:rPr>
          <w:rFonts w:asciiTheme="majorHAnsi" w:hAnsiTheme="majorHAnsi" w:cstheme="majorHAnsi"/>
          <w:i/>
          <w:sz w:val="24"/>
          <w:szCs w:val="24"/>
          <w:lang w:val="ru-MD" w:eastAsia="ru-RU"/>
        </w:rPr>
        <w:t>44,1%.</w:t>
      </w:r>
      <w:r w:rsidRPr="00EC5A7B">
        <w:rPr>
          <w:rFonts w:asciiTheme="majorHAnsi" w:hAnsiTheme="majorHAnsi" w:cstheme="majorHAnsi"/>
          <w:i/>
          <w:sz w:val="24"/>
          <w:szCs w:val="24"/>
          <w:lang w:val="ru-MD"/>
        </w:rPr>
        <w:t xml:space="preserve"> </w:t>
      </w:r>
      <w:r w:rsidRPr="00EC5A7B">
        <w:rPr>
          <w:rFonts w:asciiTheme="majorHAnsi" w:hAnsiTheme="majorHAnsi"/>
          <w:i/>
          <w:sz w:val="24"/>
          <w:szCs w:val="24"/>
          <w:lang w:val="ru-MD"/>
        </w:rPr>
        <w:t xml:space="preserve"> </w:t>
      </w:r>
    </w:p>
    <w:p w14:paraId="79E97A73" w14:textId="0B8E94BC" w:rsidR="00F85715" w:rsidRPr="00EC5A7B" w:rsidRDefault="003F1154" w:rsidP="00F85715">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eastAsia="ru-RU"/>
        </w:rPr>
        <w:t>Как внутренний государственный долг, так и внешний государственный долг вписались в лимиты, установленные Законом о государственном бюджете на 2019 год, зарегистрировав увеличение по сравнению с показателями предыдущего года. Одновременно, расходы на обслуживание государственного долга сократились по сравнению с 2018 годом</w:t>
      </w:r>
      <w:r w:rsidR="00F85715" w:rsidRPr="00EC5A7B">
        <w:rPr>
          <w:rFonts w:asciiTheme="majorHAnsi" w:hAnsiTheme="majorHAnsi" w:cstheme="majorHAnsi"/>
          <w:i/>
          <w:sz w:val="24"/>
          <w:szCs w:val="24"/>
          <w:lang w:val="ru-MD" w:eastAsia="ru-RU"/>
        </w:rPr>
        <w:t>.</w:t>
      </w:r>
    </w:p>
    <w:p w14:paraId="6EDC5789" w14:textId="142E809C" w:rsidR="006023D2" w:rsidRPr="00EC5A7B" w:rsidRDefault="003F1154" w:rsidP="003F1154">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u-MD" w:eastAsia="ru-RU"/>
        </w:rPr>
      </w:pPr>
      <w:bookmarkStart w:id="8" w:name="_Toc63157257"/>
      <w:r w:rsidRPr="00EC5A7B">
        <w:rPr>
          <w:rFonts w:asciiTheme="majorHAnsi" w:eastAsia="Times New Roman" w:hAnsiTheme="majorHAnsi" w:cstheme="majorHAnsi"/>
          <w:b/>
          <w:bCs/>
          <w:i/>
          <w:color w:val="5B9BD5" w:themeColor="accent1"/>
          <w:sz w:val="24"/>
          <w:szCs w:val="24"/>
          <w:lang w:val="ru-MD" w:eastAsia="ru-RU"/>
        </w:rPr>
        <w:lastRenderedPageBreak/>
        <w:t>Сальдо государственного долга увеличилось по сравнению с предыдущими годами, а его доля в ВВП сократилась</w:t>
      </w:r>
      <w:bookmarkEnd w:id="8"/>
      <w:r w:rsidRPr="00EC5A7B">
        <w:rPr>
          <w:rFonts w:asciiTheme="majorHAnsi" w:eastAsia="Times New Roman" w:hAnsiTheme="majorHAnsi" w:cstheme="majorHAnsi"/>
          <w:b/>
          <w:bCs/>
          <w:i/>
          <w:color w:val="5B9BD5" w:themeColor="accent1"/>
          <w:sz w:val="24"/>
          <w:szCs w:val="24"/>
          <w:lang w:val="ru-MD" w:eastAsia="ru-RU"/>
        </w:rPr>
        <w:t xml:space="preserve"> </w:t>
      </w:r>
    </w:p>
    <w:p w14:paraId="16170A06" w14:textId="484C8635" w:rsidR="00734223" w:rsidRPr="00EC5A7B" w:rsidRDefault="004F2066" w:rsidP="00E0260C">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Сальдо</w:t>
      </w:r>
      <w:r w:rsidR="00FF5760" w:rsidRPr="00EC5A7B">
        <w:rPr>
          <w:rFonts w:asciiTheme="majorHAnsi" w:hAnsiTheme="majorHAnsi" w:cstheme="majorHAnsi"/>
          <w:sz w:val="24"/>
          <w:szCs w:val="24"/>
          <w:lang w:val="ru-MD" w:eastAsia="ru-RU"/>
        </w:rPr>
        <w:t xml:space="preserve"> государственного долга в 2019 году составил</w:t>
      </w:r>
      <w:r w:rsidRPr="00EC5A7B">
        <w:rPr>
          <w:rFonts w:asciiTheme="majorHAnsi" w:hAnsiTheme="majorHAnsi" w:cstheme="majorHAnsi"/>
          <w:sz w:val="24"/>
          <w:szCs w:val="24"/>
          <w:lang w:val="ru-MD" w:eastAsia="ru-RU"/>
        </w:rPr>
        <w:t>о</w:t>
      </w:r>
      <w:r w:rsidR="00FF5760" w:rsidRPr="00EC5A7B">
        <w:rPr>
          <w:rFonts w:asciiTheme="majorHAnsi" w:hAnsiTheme="majorHAnsi" w:cstheme="majorHAnsi"/>
          <w:sz w:val="24"/>
          <w:szCs w:val="24"/>
          <w:lang w:val="ru-MD" w:eastAsia="ru-RU"/>
        </w:rPr>
        <w:t xml:space="preserve"> 52 494,3 млн. леев, или на 481,8 млн. леев больше леев по сравнению с </w:t>
      </w:r>
      <w:r w:rsidRPr="00EC5A7B">
        <w:rPr>
          <w:rFonts w:asciiTheme="majorHAnsi" w:hAnsiTheme="majorHAnsi" w:cstheme="majorHAnsi"/>
          <w:sz w:val="24"/>
          <w:szCs w:val="24"/>
          <w:lang w:val="ru-MD" w:eastAsia="ru-RU"/>
        </w:rPr>
        <w:t>сальдо</w:t>
      </w:r>
      <w:r w:rsidR="00FF5760" w:rsidRPr="00EC5A7B">
        <w:rPr>
          <w:rFonts w:asciiTheme="majorHAnsi" w:hAnsiTheme="majorHAnsi" w:cstheme="majorHAnsi"/>
          <w:sz w:val="24"/>
          <w:szCs w:val="24"/>
          <w:lang w:val="ru-MD" w:eastAsia="ru-RU"/>
        </w:rPr>
        <w:t xml:space="preserve"> предыдущего года. Увеличение государственного долга за отчетный год по сравнению с предыдущим годом объясняется ростом внешнего государственного долга на 372,2 млн. леев и внутреннего государственного долга на 109,6 млн. ле</w:t>
      </w:r>
      <w:r w:rsidRPr="00EC5A7B">
        <w:rPr>
          <w:rFonts w:asciiTheme="majorHAnsi" w:hAnsiTheme="majorHAnsi" w:cstheme="majorHAnsi"/>
          <w:sz w:val="24"/>
          <w:szCs w:val="24"/>
          <w:lang w:val="ru-MD" w:eastAsia="ru-RU"/>
        </w:rPr>
        <w:t>ев</w:t>
      </w:r>
      <w:r w:rsidR="00734223" w:rsidRPr="00EC5A7B">
        <w:rPr>
          <w:rFonts w:asciiTheme="majorHAnsi" w:hAnsiTheme="majorHAnsi" w:cstheme="majorHAnsi"/>
          <w:sz w:val="24"/>
          <w:szCs w:val="24"/>
          <w:lang w:val="ru-MD" w:eastAsia="ru-RU"/>
        </w:rPr>
        <w:t>.</w:t>
      </w:r>
    </w:p>
    <w:p w14:paraId="0CE84759" w14:textId="51D6052B" w:rsidR="00521ADF" w:rsidRPr="00EC5A7B" w:rsidRDefault="004F2066" w:rsidP="004B68A0">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Сальдо</w:t>
      </w:r>
      <w:r w:rsidR="00FF5760" w:rsidRPr="00EC5A7B">
        <w:rPr>
          <w:rFonts w:asciiTheme="majorHAnsi" w:hAnsiTheme="majorHAnsi" w:cstheme="majorHAnsi"/>
          <w:sz w:val="24"/>
          <w:szCs w:val="24"/>
          <w:lang w:val="ru-MD" w:eastAsia="ru-RU"/>
        </w:rPr>
        <w:t xml:space="preserve"> государственного долга состоит из внешнего государственного долга-29 326,1 млн. леев (55,9%), </w:t>
      </w:r>
      <w:r w:rsidRPr="00EC5A7B">
        <w:rPr>
          <w:rFonts w:asciiTheme="majorHAnsi" w:hAnsiTheme="majorHAnsi" w:cstheme="majorHAnsi"/>
          <w:sz w:val="24"/>
          <w:szCs w:val="24"/>
          <w:lang w:val="ru-MD" w:eastAsia="ru-RU"/>
        </w:rPr>
        <w:t>и</w:t>
      </w:r>
      <w:r w:rsidR="00FF5760" w:rsidRPr="00EC5A7B">
        <w:rPr>
          <w:rFonts w:asciiTheme="majorHAnsi" w:hAnsiTheme="majorHAnsi" w:cstheme="majorHAnsi"/>
          <w:sz w:val="24"/>
          <w:szCs w:val="24"/>
          <w:lang w:val="ru-MD" w:eastAsia="ru-RU"/>
        </w:rPr>
        <w:t xml:space="preserve"> внутренн</w:t>
      </w:r>
      <w:r w:rsidRPr="00EC5A7B">
        <w:rPr>
          <w:rFonts w:asciiTheme="majorHAnsi" w:hAnsiTheme="majorHAnsi" w:cstheme="majorHAnsi"/>
          <w:sz w:val="24"/>
          <w:szCs w:val="24"/>
          <w:lang w:val="ru-MD" w:eastAsia="ru-RU"/>
        </w:rPr>
        <w:t>его</w:t>
      </w:r>
      <w:r w:rsidR="00FF5760" w:rsidRPr="00EC5A7B">
        <w:rPr>
          <w:rFonts w:asciiTheme="majorHAnsi" w:hAnsiTheme="majorHAnsi" w:cstheme="majorHAnsi"/>
          <w:sz w:val="24"/>
          <w:szCs w:val="24"/>
          <w:lang w:val="ru-MD" w:eastAsia="ru-RU"/>
        </w:rPr>
        <w:t xml:space="preserve"> государственн</w:t>
      </w:r>
      <w:r w:rsidRPr="00EC5A7B">
        <w:rPr>
          <w:rFonts w:asciiTheme="majorHAnsi" w:hAnsiTheme="majorHAnsi" w:cstheme="majorHAnsi"/>
          <w:sz w:val="24"/>
          <w:szCs w:val="24"/>
          <w:lang w:val="ru-MD" w:eastAsia="ru-RU"/>
        </w:rPr>
        <w:t>ого</w:t>
      </w:r>
      <w:r w:rsidR="00FF5760" w:rsidRPr="00EC5A7B">
        <w:rPr>
          <w:rFonts w:asciiTheme="majorHAnsi" w:hAnsiTheme="majorHAnsi" w:cstheme="majorHAnsi"/>
          <w:sz w:val="24"/>
          <w:szCs w:val="24"/>
          <w:lang w:val="ru-MD" w:eastAsia="ru-RU"/>
        </w:rPr>
        <w:t xml:space="preserve"> долг</w:t>
      </w:r>
      <w:r w:rsidRPr="00EC5A7B">
        <w:rPr>
          <w:rFonts w:asciiTheme="majorHAnsi" w:hAnsiTheme="majorHAnsi" w:cstheme="majorHAnsi"/>
          <w:sz w:val="24"/>
          <w:szCs w:val="24"/>
          <w:lang w:val="ru-MD" w:eastAsia="ru-RU"/>
        </w:rPr>
        <w:t xml:space="preserve">а </w:t>
      </w:r>
      <w:r w:rsidR="00FF5760"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w:t>
      </w:r>
      <w:r w:rsidR="00FF5760" w:rsidRPr="00EC5A7B">
        <w:rPr>
          <w:rFonts w:asciiTheme="majorHAnsi" w:hAnsiTheme="majorHAnsi" w:cstheme="majorHAnsi"/>
          <w:sz w:val="24"/>
          <w:szCs w:val="24"/>
          <w:lang w:val="ru-MD" w:eastAsia="ru-RU"/>
        </w:rPr>
        <w:t xml:space="preserve">23 168,2 млн. леев (44,1%). </w:t>
      </w:r>
      <w:r w:rsidR="00FF5760" w:rsidRPr="00EC5A7B">
        <w:rPr>
          <w:rFonts w:asciiTheme="majorHAnsi" w:hAnsiTheme="majorHAnsi" w:cstheme="majorHAnsi"/>
          <w:i/>
          <w:sz w:val="24"/>
          <w:szCs w:val="24"/>
          <w:lang w:val="ru-MD" w:eastAsia="ru-RU"/>
        </w:rPr>
        <w:t xml:space="preserve">Эволюция государственного долга в 2017-2019 годах представлена в </w:t>
      </w:r>
      <w:r w:rsidRPr="00EC5A7B">
        <w:rPr>
          <w:rFonts w:asciiTheme="majorHAnsi" w:hAnsiTheme="majorHAnsi" w:cstheme="majorHAnsi"/>
          <w:i/>
          <w:sz w:val="24"/>
          <w:szCs w:val="24"/>
          <w:lang w:val="ru-MD" w:eastAsia="ru-RU"/>
        </w:rPr>
        <w:t xml:space="preserve">Таблице </w:t>
      </w:r>
      <w:r w:rsidR="00FF5760" w:rsidRPr="00EC5A7B">
        <w:rPr>
          <w:rFonts w:asciiTheme="majorHAnsi" w:hAnsiTheme="majorHAnsi" w:cstheme="majorHAnsi"/>
          <w:i/>
          <w:sz w:val="24"/>
          <w:szCs w:val="24"/>
          <w:lang w:val="ru-MD" w:eastAsia="ru-RU"/>
        </w:rPr>
        <w:t>№2</w:t>
      </w:r>
      <w:r w:rsidR="00E0260C" w:rsidRPr="00EC5A7B">
        <w:rPr>
          <w:rFonts w:asciiTheme="majorHAnsi" w:hAnsiTheme="majorHAnsi" w:cstheme="majorHAnsi"/>
          <w:i/>
          <w:sz w:val="24"/>
          <w:szCs w:val="24"/>
          <w:lang w:val="ru-MD" w:eastAsia="ru-RU"/>
        </w:rPr>
        <w:t>.</w:t>
      </w:r>
    </w:p>
    <w:p w14:paraId="1A91363D" w14:textId="77777777" w:rsidR="004F2066" w:rsidRPr="00EC5A7B" w:rsidRDefault="004F2066" w:rsidP="004B68A0">
      <w:pPr>
        <w:pStyle w:val="NoSpacing"/>
        <w:spacing w:line="276" w:lineRule="auto"/>
        <w:jc w:val="both"/>
        <w:rPr>
          <w:rFonts w:asciiTheme="majorHAnsi" w:hAnsiTheme="majorHAnsi" w:cstheme="majorHAnsi"/>
          <w:i/>
          <w:sz w:val="24"/>
          <w:szCs w:val="24"/>
          <w:lang w:val="ru-MD" w:eastAsia="ru-RU"/>
        </w:rPr>
      </w:pPr>
    </w:p>
    <w:p w14:paraId="4605D987" w14:textId="47FACB91" w:rsidR="00E0260C" w:rsidRPr="00EC5A7B" w:rsidRDefault="00220355" w:rsidP="00712FA2">
      <w:pPr>
        <w:pStyle w:val="NoSpacing"/>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4B68A0" w:rsidRPr="00EC5A7B">
        <w:rPr>
          <w:rFonts w:asciiTheme="majorHAnsi" w:hAnsiTheme="majorHAnsi" w:cstheme="majorHAnsi"/>
          <w:b/>
          <w:i/>
          <w:color w:val="5B9BD5" w:themeColor="accent1"/>
          <w:sz w:val="24"/>
          <w:szCs w:val="24"/>
          <w:lang w:val="ru-MD" w:eastAsia="ru-RU"/>
        </w:rPr>
        <w:t>2</w:t>
      </w:r>
      <w:r w:rsidR="00E0260C" w:rsidRPr="00EC5A7B">
        <w:rPr>
          <w:rFonts w:asciiTheme="majorHAnsi" w:hAnsiTheme="majorHAnsi" w:cstheme="majorHAnsi"/>
          <w:b/>
          <w:i/>
          <w:color w:val="5B9BD5" w:themeColor="accent1"/>
          <w:sz w:val="24"/>
          <w:szCs w:val="24"/>
          <w:lang w:val="ru-MD" w:eastAsia="ru-RU"/>
        </w:rPr>
        <w:t xml:space="preserve">, </w:t>
      </w:r>
      <w:r w:rsidRPr="00EC5A7B">
        <w:rPr>
          <w:rFonts w:asciiTheme="majorHAnsi" w:hAnsiTheme="majorHAnsi" w:cstheme="majorHAnsi"/>
          <w:b/>
          <w:i/>
          <w:color w:val="5B9BD5" w:themeColor="accent1"/>
          <w:sz w:val="24"/>
          <w:szCs w:val="24"/>
          <w:lang w:val="ru-MD" w:eastAsia="ru-RU"/>
        </w:rPr>
        <w:t>млн. леев</w:t>
      </w:r>
    </w:p>
    <w:tbl>
      <w:tblPr>
        <w:tblStyle w:val="TableGrid"/>
        <w:tblW w:w="0" w:type="auto"/>
        <w:tblLook w:val="04A0" w:firstRow="1" w:lastRow="0" w:firstColumn="1" w:lastColumn="0" w:noHBand="0" w:noVBand="1"/>
      </w:tblPr>
      <w:tblGrid>
        <w:gridCol w:w="1557"/>
        <w:gridCol w:w="1715"/>
        <w:gridCol w:w="1557"/>
        <w:gridCol w:w="1558"/>
        <w:gridCol w:w="1558"/>
        <w:gridCol w:w="1558"/>
      </w:tblGrid>
      <w:tr w:rsidR="00E0260C" w:rsidRPr="00EC5A7B" w14:paraId="7DE673BE" w14:textId="77777777" w:rsidTr="00E0260C">
        <w:tc>
          <w:tcPr>
            <w:tcW w:w="1557" w:type="dxa"/>
            <w:vMerge w:val="restart"/>
            <w:shd w:val="clear" w:color="auto" w:fill="DEEAF6" w:themeFill="accent1" w:themeFillTint="33"/>
            <w:vAlign w:val="center"/>
          </w:tcPr>
          <w:p w14:paraId="6976F2B9" w14:textId="4352B3C9" w:rsidR="00E0260C" w:rsidRPr="00EC5A7B" w:rsidRDefault="004F2066" w:rsidP="00E0260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Год</w:t>
            </w:r>
          </w:p>
        </w:tc>
        <w:tc>
          <w:tcPr>
            <w:tcW w:w="1557" w:type="dxa"/>
            <w:vMerge w:val="restart"/>
            <w:shd w:val="clear" w:color="auto" w:fill="DEEAF6" w:themeFill="accent1" w:themeFillTint="33"/>
            <w:vAlign w:val="center"/>
          </w:tcPr>
          <w:p w14:paraId="134A8584" w14:textId="2A773984" w:rsidR="00E0260C" w:rsidRPr="00EC5A7B" w:rsidRDefault="004F2066" w:rsidP="004F2066">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государственного долга</w:t>
            </w:r>
          </w:p>
        </w:tc>
        <w:tc>
          <w:tcPr>
            <w:tcW w:w="3115" w:type="dxa"/>
            <w:gridSpan w:val="2"/>
            <w:shd w:val="clear" w:color="auto" w:fill="DEEAF6" w:themeFill="accent1" w:themeFillTint="33"/>
            <w:vAlign w:val="center"/>
          </w:tcPr>
          <w:p w14:paraId="2CF0D86B" w14:textId="3DBB34D1" w:rsidR="00E0260C" w:rsidRPr="00EC5A7B" w:rsidRDefault="004F2066" w:rsidP="004F2066">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Внешний государственный долг</w:t>
            </w:r>
          </w:p>
        </w:tc>
        <w:tc>
          <w:tcPr>
            <w:tcW w:w="3116" w:type="dxa"/>
            <w:gridSpan w:val="2"/>
            <w:shd w:val="clear" w:color="auto" w:fill="DEEAF6" w:themeFill="accent1" w:themeFillTint="33"/>
            <w:vAlign w:val="center"/>
          </w:tcPr>
          <w:p w14:paraId="2EAB54F1" w14:textId="05423143" w:rsidR="00E0260C" w:rsidRPr="00EC5A7B" w:rsidRDefault="004F2066" w:rsidP="004F2066">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Внутренний государственный долг</w:t>
            </w:r>
          </w:p>
        </w:tc>
      </w:tr>
      <w:tr w:rsidR="00E0260C" w:rsidRPr="00EC5A7B" w14:paraId="108F2C9F" w14:textId="77777777" w:rsidTr="00E0260C">
        <w:tc>
          <w:tcPr>
            <w:tcW w:w="1557" w:type="dxa"/>
            <w:vMerge/>
            <w:shd w:val="clear" w:color="auto" w:fill="DEEAF6" w:themeFill="accent1" w:themeFillTint="33"/>
            <w:vAlign w:val="center"/>
          </w:tcPr>
          <w:p w14:paraId="0CF34A32" w14:textId="77777777" w:rsidR="00E0260C" w:rsidRPr="00EC5A7B" w:rsidRDefault="00E0260C" w:rsidP="00E0260C">
            <w:pPr>
              <w:pStyle w:val="NoSpacing"/>
              <w:jc w:val="center"/>
              <w:rPr>
                <w:rFonts w:asciiTheme="majorHAnsi" w:hAnsiTheme="majorHAnsi" w:cstheme="majorHAnsi"/>
                <w:b/>
                <w:sz w:val="20"/>
                <w:szCs w:val="20"/>
                <w:lang w:val="ru-MD" w:eastAsia="ru-RU"/>
              </w:rPr>
            </w:pPr>
          </w:p>
        </w:tc>
        <w:tc>
          <w:tcPr>
            <w:tcW w:w="1557" w:type="dxa"/>
            <w:vMerge/>
            <w:shd w:val="clear" w:color="auto" w:fill="DEEAF6" w:themeFill="accent1" w:themeFillTint="33"/>
            <w:vAlign w:val="center"/>
          </w:tcPr>
          <w:p w14:paraId="6C72118A" w14:textId="77777777" w:rsidR="00E0260C" w:rsidRPr="00EC5A7B" w:rsidRDefault="00E0260C" w:rsidP="00E0260C">
            <w:pPr>
              <w:pStyle w:val="NoSpacing"/>
              <w:jc w:val="center"/>
              <w:rPr>
                <w:rFonts w:asciiTheme="majorHAnsi" w:hAnsiTheme="majorHAnsi" w:cstheme="majorHAnsi"/>
                <w:b/>
                <w:sz w:val="20"/>
                <w:szCs w:val="20"/>
                <w:lang w:val="ru-MD" w:eastAsia="ru-RU"/>
              </w:rPr>
            </w:pPr>
          </w:p>
        </w:tc>
        <w:tc>
          <w:tcPr>
            <w:tcW w:w="1557" w:type="dxa"/>
            <w:shd w:val="clear" w:color="auto" w:fill="DEEAF6" w:themeFill="accent1" w:themeFillTint="33"/>
            <w:vAlign w:val="center"/>
          </w:tcPr>
          <w:p w14:paraId="6F17CFDE" w14:textId="21818663" w:rsidR="00E0260C" w:rsidRPr="00EC5A7B" w:rsidRDefault="004F2066" w:rsidP="00E0260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Размер</w:t>
            </w:r>
          </w:p>
        </w:tc>
        <w:tc>
          <w:tcPr>
            <w:tcW w:w="1558" w:type="dxa"/>
            <w:shd w:val="clear" w:color="auto" w:fill="DEEAF6" w:themeFill="accent1" w:themeFillTint="33"/>
            <w:vAlign w:val="center"/>
          </w:tcPr>
          <w:p w14:paraId="7F8E77D9" w14:textId="7008008D" w:rsidR="00E0260C" w:rsidRPr="00EC5A7B" w:rsidRDefault="00E0260C" w:rsidP="00E0260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 </w:t>
            </w:r>
            <w:r w:rsidR="004F2066" w:rsidRPr="00EC5A7B">
              <w:rPr>
                <w:rFonts w:asciiTheme="majorHAnsi" w:hAnsiTheme="majorHAnsi" w:cstheme="majorHAnsi"/>
                <w:b/>
                <w:sz w:val="20"/>
                <w:szCs w:val="20"/>
                <w:lang w:val="ru-MD" w:eastAsia="ru-RU"/>
              </w:rPr>
              <w:t>в общем объеме</w:t>
            </w:r>
          </w:p>
        </w:tc>
        <w:tc>
          <w:tcPr>
            <w:tcW w:w="1558" w:type="dxa"/>
            <w:shd w:val="clear" w:color="auto" w:fill="DEEAF6" w:themeFill="accent1" w:themeFillTint="33"/>
            <w:vAlign w:val="center"/>
          </w:tcPr>
          <w:p w14:paraId="1798B7F2" w14:textId="629B064C" w:rsidR="00E0260C" w:rsidRPr="00EC5A7B" w:rsidRDefault="004F2066" w:rsidP="00E0260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Размер</w:t>
            </w:r>
          </w:p>
        </w:tc>
        <w:tc>
          <w:tcPr>
            <w:tcW w:w="1558" w:type="dxa"/>
            <w:shd w:val="clear" w:color="auto" w:fill="DEEAF6" w:themeFill="accent1" w:themeFillTint="33"/>
            <w:vAlign w:val="center"/>
          </w:tcPr>
          <w:p w14:paraId="58D578FB" w14:textId="7554C012" w:rsidR="00E0260C" w:rsidRPr="00EC5A7B" w:rsidRDefault="00E0260C" w:rsidP="004F2066">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 </w:t>
            </w:r>
            <w:r w:rsidR="004F2066" w:rsidRPr="00EC5A7B">
              <w:rPr>
                <w:rFonts w:asciiTheme="majorHAnsi" w:hAnsiTheme="majorHAnsi" w:cstheme="majorHAnsi"/>
                <w:b/>
                <w:sz w:val="20"/>
                <w:szCs w:val="20"/>
                <w:lang w:val="ru-MD" w:eastAsia="ru-RU"/>
              </w:rPr>
              <w:t>в общем объеме</w:t>
            </w:r>
          </w:p>
        </w:tc>
      </w:tr>
      <w:tr w:rsidR="00E0260C" w:rsidRPr="00EC5A7B" w14:paraId="28CB63BA" w14:textId="77777777" w:rsidTr="00E0260C">
        <w:tc>
          <w:tcPr>
            <w:tcW w:w="1557" w:type="dxa"/>
          </w:tcPr>
          <w:p w14:paraId="5FAF97C4" w14:textId="77777777" w:rsidR="00E0260C" w:rsidRPr="00EC5A7B" w:rsidRDefault="00E0260C" w:rsidP="00E0260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2017</w:t>
            </w:r>
          </w:p>
        </w:tc>
        <w:tc>
          <w:tcPr>
            <w:tcW w:w="1557" w:type="dxa"/>
          </w:tcPr>
          <w:p w14:paraId="6E5E2965"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51 660,3</w:t>
            </w:r>
          </w:p>
        </w:tc>
        <w:tc>
          <w:tcPr>
            <w:tcW w:w="1557" w:type="dxa"/>
          </w:tcPr>
          <w:p w14:paraId="2D66F6D0"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29 081,8</w:t>
            </w:r>
          </w:p>
        </w:tc>
        <w:tc>
          <w:tcPr>
            <w:tcW w:w="1558" w:type="dxa"/>
          </w:tcPr>
          <w:p w14:paraId="62174B6C"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56,3</w:t>
            </w:r>
          </w:p>
        </w:tc>
        <w:tc>
          <w:tcPr>
            <w:tcW w:w="1558" w:type="dxa"/>
          </w:tcPr>
          <w:p w14:paraId="32B5617A"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22 578,5</w:t>
            </w:r>
          </w:p>
        </w:tc>
        <w:tc>
          <w:tcPr>
            <w:tcW w:w="1558" w:type="dxa"/>
          </w:tcPr>
          <w:p w14:paraId="736946BB"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43,7</w:t>
            </w:r>
          </w:p>
        </w:tc>
      </w:tr>
      <w:tr w:rsidR="00E0260C" w:rsidRPr="00EC5A7B" w14:paraId="7191730F" w14:textId="77777777" w:rsidTr="00E0260C">
        <w:tc>
          <w:tcPr>
            <w:tcW w:w="1557" w:type="dxa"/>
          </w:tcPr>
          <w:p w14:paraId="1DBDB0B6" w14:textId="77777777" w:rsidR="00E0260C" w:rsidRPr="00EC5A7B" w:rsidRDefault="00E0260C" w:rsidP="00E0260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2018</w:t>
            </w:r>
          </w:p>
        </w:tc>
        <w:tc>
          <w:tcPr>
            <w:tcW w:w="1557" w:type="dxa"/>
          </w:tcPr>
          <w:p w14:paraId="1130FD4D"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52 012,5</w:t>
            </w:r>
          </w:p>
        </w:tc>
        <w:tc>
          <w:tcPr>
            <w:tcW w:w="1557" w:type="dxa"/>
          </w:tcPr>
          <w:p w14:paraId="1F723BE1"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28 954,0</w:t>
            </w:r>
          </w:p>
        </w:tc>
        <w:tc>
          <w:tcPr>
            <w:tcW w:w="1558" w:type="dxa"/>
          </w:tcPr>
          <w:p w14:paraId="7C6FF675"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55,7</w:t>
            </w:r>
          </w:p>
        </w:tc>
        <w:tc>
          <w:tcPr>
            <w:tcW w:w="1558" w:type="dxa"/>
          </w:tcPr>
          <w:p w14:paraId="6E4EF0E5"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23 058,6</w:t>
            </w:r>
          </w:p>
        </w:tc>
        <w:tc>
          <w:tcPr>
            <w:tcW w:w="1558" w:type="dxa"/>
          </w:tcPr>
          <w:p w14:paraId="657C6DE9"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44,3</w:t>
            </w:r>
          </w:p>
        </w:tc>
      </w:tr>
      <w:tr w:rsidR="00E0260C" w:rsidRPr="00EC5A7B" w14:paraId="29C6039D" w14:textId="77777777" w:rsidTr="00E0260C">
        <w:tc>
          <w:tcPr>
            <w:tcW w:w="1557" w:type="dxa"/>
          </w:tcPr>
          <w:p w14:paraId="73F80A78" w14:textId="77777777" w:rsidR="00E0260C" w:rsidRPr="00EC5A7B" w:rsidRDefault="00E0260C" w:rsidP="00E0260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2019</w:t>
            </w:r>
          </w:p>
        </w:tc>
        <w:tc>
          <w:tcPr>
            <w:tcW w:w="1557" w:type="dxa"/>
          </w:tcPr>
          <w:p w14:paraId="0DB69FE6"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52 494,3</w:t>
            </w:r>
          </w:p>
        </w:tc>
        <w:tc>
          <w:tcPr>
            <w:tcW w:w="1557" w:type="dxa"/>
          </w:tcPr>
          <w:p w14:paraId="3220E93C"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29 326,1</w:t>
            </w:r>
          </w:p>
        </w:tc>
        <w:tc>
          <w:tcPr>
            <w:tcW w:w="1558" w:type="dxa"/>
          </w:tcPr>
          <w:p w14:paraId="33A082DB"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55,9</w:t>
            </w:r>
          </w:p>
        </w:tc>
        <w:tc>
          <w:tcPr>
            <w:tcW w:w="1558" w:type="dxa"/>
          </w:tcPr>
          <w:p w14:paraId="2FC8E027"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23 168,2</w:t>
            </w:r>
          </w:p>
        </w:tc>
        <w:tc>
          <w:tcPr>
            <w:tcW w:w="1558" w:type="dxa"/>
          </w:tcPr>
          <w:p w14:paraId="484C14C7" w14:textId="77777777" w:rsidR="00E0260C" w:rsidRPr="00EC5A7B" w:rsidRDefault="00E0260C" w:rsidP="00E0260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44,1</w:t>
            </w:r>
          </w:p>
        </w:tc>
      </w:tr>
    </w:tbl>
    <w:p w14:paraId="2C857866" w14:textId="78DDD7EE" w:rsidR="00E0260C" w:rsidRPr="00EC5A7B" w:rsidRDefault="008608F6" w:rsidP="004B68A0">
      <w:pPr>
        <w:spacing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4B68A0" w:rsidRPr="00EC5A7B">
        <w:rPr>
          <w:rFonts w:asciiTheme="majorHAnsi" w:hAnsiTheme="majorHAnsi" w:cstheme="majorHAnsi"/>
          <w:b/>
          <w:i/>
          <w:sz w:val="20"/>
          <w:szCs w:val="20"/>
          <w:lang w:val="ru-MD" w:eastAsia="ru-RU"/>
        </w:rPr>
        <w:t>:</w:t>
      </w:r>
      <w:r w:rsidR="004B68A0" w:rsidRPr="00EC5A7B">
        <w:rPr>
          <w:rFonts w:asciiTheme="majorHAnsi" w:hAnsiTheme="majorHAnsi" w:cstheme="majorHAnsi"/>
          <w:i/>
          <w:sz w:val="20"/>
          <w:szCs w:val="20"/>
          <w:lang w:val="ru-MD" w:eastAsia="ru-RU"/>
        </w:rPr>
        <w:t xml:space="preserve"> </w:t>
      </w:r>
      <w:r w:rsidRPr="00EC5A7B">
        <w:rPr>
          <w:rFonts w:asciiTheme="majorHAnsi" w:hAnsiTheme="majorHAnsi" w:cstheme="majorHAnsi"/>
          <w:i/>
          <w:sz w:val="20"/>
          <w:szCs w:val="20"/>
          <w:lang w:val="ru-MD" w:eastAsia="ru-RU"/>
        </w:rPr>
        <w:t xml:space="preserve">Данные Отчетов о государственном долге </w:t>
      </w:r>
      <w:r w:rsidRPr="00EC5A7B">
        <w:rPr>
          <w:rFonts w:asciiTheme="majorHAnsi" w:hAnsiTheme="majorHAnsi" w:cstheme="majorHAnsi"/>
          <w:bCs/>
          <w:i/>
          <w:sz w:val="20"/>
          <w:szCs w:val="20"/>
          <w:lang w:val="ru-MD" w:eastAsia="ru-RU"/>
        </w:rPr>
        <w:t xml:space="preserve">по состоянию на </w:t>
      </w:r>
      <w:r w:rsidRPr="00EC5A7B">
        <w:rPr>
          <w:rFonts w:asciiTheme="majorHAnsi" w:hAnsiTheme="majorHAnsi" w:cstheme="majorHAnsi"/>
          <w:i/>
          <w:sz w:val="20"/>
          <w:szCs w:val="20"/>
          <w:lang w:val="ru-MD" w:eastAsia="ru-RU"/>
        </w:rPr>
        <w:t>31.12.2017, 31.12.2018 и 31.12.2019</w:t>
      </w:r>
      <w:r w:rsidR="004B68A0" w:rsidRPr="00EC5A7B">
        <w:rPr>
          <w:rFonts w:asciiTheme="majorHAnsi" w:hAnsiTheme="majorHAnsi" w:cstheme="majorHAnsi"/>
          <w:i/>
          <w:sz w:val="20"/>
          <w:szCs w:val="20"/>
          <w:lang w:val="ru-MD" w:eastAsia="ru-RU"/>
        </w:rPr>
        <w:t>.</w:t>
      </w:r>
    </w:p>
    <w:p w14:paraId="1768BD25" w14:textId="1B021632" w:rsidR="00734223" w:rsidRPr="00EC5A7B" w:rsidRDefault="00FF5760" w:rsidP="00734223">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Данные </w:t>
      </w:r>
      <w:r w:rsidR="008608F6" w:rsidRPr="00EC5A7B">
        <w:rPr>
          <w:rFonts w:asciiTheme="majorHAnsi" w:hAnsiTheme="majorHAnsi" w:cstheme="majorHAnsi"/>
          <w:sz w:val="24"/>
          <w:szCs w:val="24"/>
          <w:lang w:val="ru-MD" w:eastAsia="ru-RU"/>
        </w:rPr>
        <w:t xml:space="preserve">из </w:t>
      </w:r>
      <w:r w:rsidRPr="00EC5A7B">
        <w:rPr>
          <w:rFonts w:asciiTheme="majorHAnsi" w:hAnsiTheme="majorHAnsi" w:cstheme="majorHAnsi"/>
          <w:sz w:val="24"/>
          <w:szCs w:val="24"/>
          <w:lang w:val="ru-MD" w:eastAsia="ru-RU"/>
        </w:rPr>
        <w:t>таблицы свидетельствуют о том, что за последние 3 года основная доля в общем объеме постоянного государственного долга приходится н</w:t>
      </w:r>
      <w:r w:rsidR="008608F6" w:rsidRPr="00EC5A7B">
        <w:rPr>
          <w:rFonts w:asciiTheme="majorHAnsi" w:hAnsiTheme="majorHAnsi" w:cstheme="majorHAnsi"/>
          <w:sz w:val="24"/>
          <w:szCs w:val="24"/>
          <w:lang w:val="ru-MD" w:eastAsia="ru-RU"/>
        </w:rPr>
        <w:t>а внешний государственный долг</w:t>
      </w:r>
      <w:r w:rsidR="00734223" w:rsidRPr="00EC5A7B">
        <w:rPr>
          <w:rFonts w:asciiTheme="majorHAnsi" w:hAnsiTheme="majorHAnsi" w:cstheme="majorHAnsi"/>
          <w:sz w:val="24"/>
          <w:szCs w:val="24"/>
          <w:lang w:val="ru-MD" w:eastAsia="ru-RU"/>
        </w:rPr>
        <w:t xml:space="preserve">. </w:t>
      </w:r>
    </w:p>
    <w:p w14:paraId="282CF0FC" w14:textId="564D59C7" w:rsidR="000A5447" w:rsidRPr="00EC5A7B" w:rsidRDefault="00FF5760" w:rsidP="000A5447">
      <w:pPr>
        <w:spacing w:after="0" w:line="240" w:lineRule="auto"/>
        <w:jc w:val="both"/>
        <w:rPr>
          <w:rFonts w:asciiTheme="majorHAnsi" w:eastAsia="Times New Roman" w:hAnsiTheme="majorHAnsi" w:cstheme="majorHAnsi"/>
          <w:i/>
          <w:sz w:val="24"/>
          <w:szCs w:val="24"/>
          <w:lang w:val="ru-MD" w:eastAsia="ru-RU"/>
        </w:rPr>
      </w:pPr>
      <w:r w:rsidRPr="00EC5A7B">
        <w:rPr>
          <w:rFonts w:asciiTheme="majorHAnsi" w:eastAsia="Times New Roman" w:hAnsiTheme="majorHAnsi" w:cstheme="majorHAnsi"/>
          <w:i/>
          <w:sz w:val="24"/>
          <w:szCs w:val="24"/>
          <w:lang w:val="ru-MD" w:eastAsia="ru-RU"/>
        </w:rPr>
        <w:t xml:space="preserve">Основные показатели, характеризующие государственный долг </w:t>
      </w:r>
      <w:r w:rsidR="0065333A" w:rsidRPr="00EC5A7B">
        <w:rPr>
          <w:rFonts w:asciiTheme="majorHAnsi" w:eastAsia="Times New Roman" w:hAnsiTheme="majorHAnsi" w:cstheme="majorHAnsi"/>
          <w:i/>
          <w:sz w:val="24"/>
          <w:szCs w:val="24"/>
          <w:lang w:val="ru-MD" w:eastAsia="ru-RU"/>
        </w:rPr>
        <w:t>з</w:t>
      </w:r>
      <w:r w:rsidRPr="00EC5A7B">
        <w:rPr>
          <w:rFonts w:asciiTheme="majorHAnsi" w:eastAsia="Times New Roman" w:hAnsiTheme="majorHAnsi" w:cstheme="majorHAnsi"/>
          <w:i/>
          <w:sz w:val="24"/>
          <w:szCs w:val="24"/>
          <w:lang w:val="ru-MD" w:eastAsia="ru-RU"/>
        </w:rPr>
        <w:t xml:space="preserve">а 2019 год по сравнению с 2017-2018 гг., представлены в </w:t>
      </w:r>
      <w:r w:rsidR="0065333A" w:rsidRPr="00EC5A7B">
        <w:rPr>
          <w:rFonts w:asciiTheme="majorHAnsi" w:eastAsia="Times New Roman" w:hAnsiTheme="majorHAnsi" w:cstheme="majorHAnsi"/>
          <w:i/>
          <w:sz w:val="24"/>
          <w:szCs w:val="24"/>
          <w:lang w:val="ru-MD" w:eastAsia="ru-RU"/>
        </w:rPr>
        <w:t xml:space="preserve">Таблице </w:t>
      </w:r>
      <w:r w:rsidRPr="00EC5A7B">
        <w:rPr>
          <w:rFonts w:asciiTheme="majorHAnsi" w:eastAsia="Times New Roman" w:hAnsiTheme="majorHAnsi" w:cstheme="majorHAnsi"/>
          <w:i/>
          <w:sz w:val="24"/>
          <w:szCs w:val="24"/>
          <w:lang w:val="ru-MD" w:eastAsia="ru-RU"/>
        </w:rPr>
        <w:t>№3</w:t>
      </w:r>
      <w:r w:rsidR="000A5447" w:rsidRPr="00EC5A7B">
        <w:rPr>
          <w:rFonts w:asciiTheme="majorHAnsi" w:eastAsia="Times New Roman" w:hAnsiTheme="majorHAnsi" w:cstheme="majorHAnsi"/>
          <w:i/>
          <w:sz w:val="24"/>
          <w:szCs w:val="24"/>
          <w:lang w:val="ru-MD" w:eastAsia="ru-RU"/>
        </w:rPr>
        <w:t xml:space="preserve">. </w:t>
      </w:r>
    </w:p>
    <w:p w14:paraId="5F25C465" w14:textId="1A961041" w:rsidR="000A5447" w:rsidRPr="00EC5A7B" w:rsidRDefault="00220355" w:rsidP="000A5447">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0A5447" w:rsidRPr="00EC5A7B">
        <w:rPr>
          <w:rFonts w:asciiTheme="majorHAnsi" w:hAnsiTheme="majorHAnsi" w:cstheme="majorHAnsi"/>
          <w:b/>
          <w:i/>
          <w:color w:val="5B9BD5" w:themeColor="accent1"/>
          <w:sz w:val="24"/>
          <w:szCs w:val="24"/>
          <w:lang w:val="ru-MD" w:eastAsia="ru-RU"/>
        </w:rPr>
        <w:t>3</w:t>
      </w:r>
    </w:p>
    <w:tbl>
      <w:tblPr>
        <w:tblStyle w:val="TableGrid"/>
        <w:tblW w:w="9402" w:type="dxa"/>
        <w:tblLook w:val="04A0" w:firstRow="1" w:lastRow="0" w:firstColumn="1" w:lastColumn="0" w:noHBand="0" w:noVBand="1"/>
      </w:tblPr>
      <w:tblGrid>
        <w:gridCol w:w="5755"/>
        <w:gridCol w:w="752"/>
        <w:gridCol w:w="968"/>
        <w:gridCol w:w="954"/>
        <w:gridCol w:w="973"/>
      </w:tblGrid>
      <w:tr w:rsidR="000A5447" w:rsidRPr="00EC5A7B" w14:paraId="14197462" w14:textId="77777777" w:rsidTr="00235B44">
        <w:tc>
          <w:tcPr>
            <w:tcW w:w="5755" w:type="dxa"/>
            <w:shd w:val="clear" w:color="auto" w:fill="DEEAF6" w:themeFill="accent1" w:themeFillTint="33"/>
          </w:tcPr>
          <w:p w14:paraId="46EC3028" w14:textId="456BB550" w:rsidR="000A5447" w:rsidRPr="00EC5A7B" w:rsidRDefault="0065333A"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Показатели</w:t>
            </w:r>
          </w:p>
        </w:tc>
        <w:tc>
          <w:tcPr>
            <w:tcW w:w="752" w:type="dxa"/>
            <w:shd w:val="clear" w:color="auto" w:fill="DEEAF6" w:themeFill="accent1" w:themeFillTint="33"/>
          </w:tcPr>
          <w:p w14:paraId="6E0043B9" w14:textId="0B119C2D" w:rsidR="000A5447" w:rsidRPr="00EC5A7B" w:rsidRDefault="0065333A" w:rsidP="0065333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Е</w:t>
            </w:r>
            <w:r w:rsidR="000A5447" w:rsidRPr="00EC5A7B">
              <w:rPr>
                <w:rFonts w:asciiTheme="majorHAnsi" w:hAnsiTheme="majorHAnsi" w:cstheme="majorHAnsi"/>
                <w:b/>
                <w:sz w:val="20"/>
                <w:szCs w:val="20"/>
                <w:lang w:val="ru-MD" w:eastAsia="ru-RU"/>
              </w:rPr>
              <w:t>.</w:t>
            </w:r>
            <w:r w:rsidRPr="00EC5A7B">
              <w:rPr>
                <w:rFonts w:asciiTheme="majorHAnsi" w:hAnsiTheme="majorHAnsi" w:cstheme="majorHAnsi"/>
                <w:b/>
                <w:sz w:val="20"/>
                <w:szCs w:val="20"/>
                <w:lang w:val="ru-MD" w:eastAsia="ru-RU"/>
              </w:rPr>
              <w:t>и</w:t>
            </w:r>
            <w:r w:rsidR="000A5447" w:rsidRPr="00EC5A7B">
              <w:rPr>
                <w:rFonts w:asciiTheme="majorHAnsi" w:hAnsiTheme="majorHAnsi" w:cstheme="majorHAnsi"/>
                <w:b/>
                <w:sz w:val="20"/>
                <w:szCs w:val="20"/>
                <w:lang w:val="ru-MD" w:eastAsia="ru-RU"/>
              </w:rPr>
              <w:t>.</w:t>
            </w:r>
          </w:p>
        </w:tc>
        <w:tc>
          <w:tcPr>
            <w:tcW w:w="968" w:type="dxa"/>
            <w:shd w:val="clear" w:color="auto" w:fill="DEEAF6" w:themeFill="accent1" w:themeFillTint="33"/>
          </w:tcPr>
          <w:p w14:paraId="1B32FE34"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p>
        </w:tc>
        <w:tc>
          <w:tcPr>
            <w:tcW w:w="954" w:type="dxa"/>
            <w:shd w:val="clear" w:color="auto" w:fill="DEEAF6" w:themeFill="accent1" w:themeFillTint="33"/>
          </w:tcPr>
          <w:p w14:paraId="0E4EDD3F"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p>
        </w:tc>
        <w:tc>
          <w:tcPr>
            <w:tcW w:w="973" w:type="dxa"/>
            <w:shd w:val="clear" w:color="auto" w:fill="DEEAF6" w:themeFill="accent1" w:themeFillTint="33"/>
          </w:tcPr>
          <w:p w14:paraId="028A70E3"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p>
        </w:tc>
      </w:tr>
      <w:tr w:rsidR="000A5447" w:rsidRPr="00EC5A7B" w14:paraId="4FC9F36B" w14:textId="77777777" w:rsidTr="00235B44">
        <w:tc>
          <w:tcPr>
            <w:tcW w:w="5755" w:type="dxa"/>
          </w:tcPr>
          <w:p w14:paraId="2F9284C2" w14:textId="7180AEB4" w:rsidR="000A5447" w:rsidRPr="00EC5A7B" w:rsidRDefault="00822EF8" w:rsidP="005B111C">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lastRenderedPageBreak/>
              <w:t>Удельный вес государственного долга в ВВП</w:t>
            </w:r>
          </w:p>
          <w:p w14:paraId="22FBD6F4" w14:textId="5FD6BB48" w:rsidR="000A5447" w:rsidRPr="00EC5A7B" w:rsidRDefault="00317EE4"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 внешнего государственного долга в ВВП</w:t>
            </w:r>
          </w:p>
          <w:p w14:paraId="32720544" w14:textId="554EA1E7" w:rsidR="000A5447" w:rsidRPr="00EC5A7B" w:rsidRDefault="00317EE4" w:rsidP="00317EE4">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 внутреннего государственного долга в ВВП</w:t>
            </w:r>
          </w:p>
        </w:tc>
        <w:tc>
          <w:tcPr>
            <w:tcW w:w="752" w:type="dxa"/>
          </w:tcPr>
          <w:p w14:paraId="5B40C523"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5ED7BBD6"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28,9</w:t>
            </w:r>
          </w:p>
          <w:p w14:paraId="154DDEB5"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16,3</w:t>
            </w:r>
          </w:p>
          <w:p w14:paraId="676570B0"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12,6</w:t>
            </w:r>
          </w:p>
        </w:tc>
        <w:tc>
          <w:tcPr>
            <w:tcW w:w="954" w:type="dxa"/>
          </w:tcPr>
          <w:p w14:paraId="39A0ECD9"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27,0</w:t>
            </w:r>
          </w:p>
          <w:p w14:paraId="6DAB23A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15,0</w:t>
            </w:r>
          </w:p>
          <w:p w14:paraId="5983FAA3"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12,0</w:t>
            </w:r>
          </w:p>
        </w:tc>
        <w:tc>
          <w:tcPr>
            <w:tcW w:w="973" w:type="dxa"/>
          </w:tcPr>
          <w:p w14:paraId="37331CF3"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25,0</w:t>
            </w:r>
          </w:p>
          <w:p w14:paraId="3EEA790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14,0</w:t>
            </w:r>
          </w:p>
          <w:p w14:paraId="4432112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11,0</w:t>
            </w:r>
          </w:p>
        </w:tc>
      </w:tr>
      <w:tr w:rsidR="000A5447" w:rsidRPr="00EC5A7B" w14:paraId="45B8E9DF" w14:textId="77777777" w:rsidTr="00235B44">
        <w:tc>
          <w:tcPr>
            <w:tcW w:w="5755" w:type="dxa"/>
          </w:tcPr>
          <w:p w14:paraId="118C2452" w14:textId="5F1572E4" w:rsidR="000A5447" w:rsidRPr="00EC5A7B" w:rsidRDefault="00317EE4" w:rsidP="005B111C">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Удельный вес государственного долга в доходах государственного бюджета</w:t>
            </w:r>
          </w:p>
          <w:p w14:paraId="485A061A" w14:textId="4D6688B3" w:rsidR="000A5447" w:rsidRPr="00EC5A7B" w:rsidRDefault="00317EE4"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 внешнего государственного долга в</w:t>
            </w:r>
            <w:r w:rsidRPr="00EC5A7B">
              <w:rPr>
                <w:rFonts w:asciiTheme="majorHAnsi" w:hAnsiTheme="majorHAnsi" w:cstheme="majorHAnsi"/>
                <w:sz w:val="20"/>
                <w:szCs w:val="20"/>
                <w:lang w:val="ru-MD" w:eastAsia="ru-RU"/>
              </w:rPr>
              <w:t xml:space="preserve"> доходах государственного бюджета</w:t>
            </w:r>
          </w:p>
          <w:p w14:paraId="40A8E2A5" w14:textId="7E627E60" w:rsidR="000A5447" w:rsidRPr="00EC5A7B" w:rsidRDefault="00317EE4"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 внутреннего государственного долга в</w:t>
            </w:r>
            <w:r w:rsidR="000A5447"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доходах государственного бюджета</w:t>
            </w:r>
          </w:p>
        </w:tc>
        <w:tc>
          <w:tcPr>
            <w:tcW w:w="752" w:type="dxa"/>
          </w:tcPr>
          <w:p w14:paraId="2A0BAD8F"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1D0E03B8"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152,2</w:t>
            </w:r>
          </w:p>
          <w:p w14:paraId="3DB1693C"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85,7</w:t>
            </w:r>
          </w:p>
          <w:p w14:paraId="5A1EEFE6"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66,5</w:t>
            </w:r>
          </w:p>
        </w:tc>
        <w:tc>
          <w:tcPr>
            <w:tcW w:w="954" w:type="dxa"/>
          </w:tcPr>
          <w:p w14:paraId="6FE620DF"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142,8</w:t>
            </w:r>
          </w:p>
          <w:p w14:paraId="6A87EE70"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79,5</w:t>
            </w:r>
          </w:p>
          <w:p w14:paraId="7BD34063"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63,3</w:t>
            </w:r>
          </w:p>
        </w:tc>
        <w:tc>
          <w:tcPr>
            <w:tcW w:w="973" w:type="dxa"/>
          </w:tcPr>
          <w:p w14:paraId="7259FFE9"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131,3</w:t>
            </w:r>
          </w:p>
          <w:p w14:paraId="01BB87DB"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73,4</w:t>
            </w:r>
          </w:p>
          <w:p w14:paraId="125799E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57,9</w:t>
            </w:r>
          </w:p>
        </w:tc>
      </w:tr>
      <w:tr w:rsidR="000A5447" w:rsidRPr="00EC5A7B" w14:paraId="0B9D416E" w14:textId="77777777" w:rsidTr="00235B44">
        <w:tc>
          <w:tcPr>
            <w:tcW w:w="5755" w:type="dxa"/>
          </w:tcPr>
          <w:p w14:paraId="61F0F982" w14:textId="2D0ADE94" w:rsidR="000A5447" w:rsidRPr="00EC5A7B" w:rsidRDefault="00317EE4" w:rsidP="005B111C">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Удельный вес обслуживания государственного долга в ВВП</w:t>
            </w:r>
          </w:p>
          <w:p w14:paraId="74A0E6D6" w14:textId="385D2424" w:rsidR="000A5447" w:rsidRPr="00EC5A7B" w:rsidRDefault="00317EE4"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000A5447" w:rsidRPr="00EC5A7B">
              <w:rPr>
                <w:rFonts w:asciiTheme="majorHAnsi" w:hAnsiTheme="majorHAnsi" w:cstheme="majorHAnsi"/>
                <w:sz w:val="20"/>
                <w:szCs w:val="20"/>
                <w:lang w:val="ru-MD" w:eastAsia="ru-RU"/>
              </w:rPr>
              <w:t xml:space="preserve"> </w:t>
            </w:r>
            <w:r w:rsidR="000E3FEA" w:rsidRPr="00EC5A7B">
              <w:rPr>
                <w:rFonts w:asciiTheme="majorHAnsi" w:hAnsiTheme="majorHAnsi" w:cstheme="majorHAnsi"/>
                <w:sz w:val="20"/>
                <w:szCs w:val="20"/>
                <w:lang w:val="ru-MD" w:eastAsia="ru-RU"/>
              </w:rPr>
              <w:t>обслуживания</w:t>
            </w:r>
            <w:r w:rsidR="000A5447"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внешнего государственного долга в ВВП</w:t>
            </w:r>
          </w:p>
          <w:p w14:paraId="5BC48E2F" w14:textId="583C2562" w:rsidR="000A5447" w:rsidRPr="00EC5A7B" w:rsidRDefault="00317EE4"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000A5447" w:rsidRPr="00EC5A7B">
              <w:rPr>
                <w:rFonts w:asciiTheme="majorHAnsi" w:hAnsiTheme="majorHAnsi" w:cstheme="majorHAnsi"/>
                <w:sz w:val="20"/>
                <w:szCs w:val="20"/>
                <w:lang w:val="ru-MD" w:eastAsia="ru-RU"/>
              </w:rPr>
              <w:t xml:space="preserve"> </w:t>
            </w:r>
            <w:r w:rsidR="000E3FEA" w:rsidRPr="00EC5A7B">
              <w:rPr>
                <w:rFonts w:asciiTheme="majorHAnsi" w:hAnsiTheme="majorHAnsi" w:cstheme="majorHAnsi"/>
                <w:sz w:val="20"/>
                <w:szCs w:val="20"/>
                <w:lang w:val="ru-MD" w:eastAsia="ru-RU"/>
              </w:rPr>
              <w:t>обслуживания</w:t>
            </w:r>
            <w:r w:rsidR="000E3FEA" w:rsidRPr="00EC5A7B">
              <w:rPr>
                <w:rFonts w:asciiTheme="majorHAnsi" w:hAnsiTheme="majorHAnsi" w:cstheme="majorHAnsi"/>
                <w:sz w:val="20"/>
                <w:szCs w:val="20"/>
                <w:lang w:val="ru-MD"/>
              </w:rPr>
              <w:t xml:space="preserve"> </w:t>
            </w:r>
            <w:r w:rsidRPr="00EC5A7B">
              <w:rPr>
                <w:rFonts w:asciiTheme="majorHAnsi" w:hAnsiTheme="majorHAnsi" w:cstheme="majorHAnsi"/>
                <w:sz w:val="20"/>
                <w:szCs w:val="20"/>
                <w:lang w:val="ru-MD"/>
              </w:rPr>
              <w:t>внутреннего государственного долга в ВВП</w:t>
            </w:r>
          </w:p>
        </w:tc>
        <w:tc>
          <w:tcPr>
            <w:tcW w:w="752" w:type="dxa"/>
          </w:tcPr>
          <w:p w14:paraId="1E8F9763"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05AF838A"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1,1</w:t>
            </w:r>
          </w:p>
          <w:p w14:paraId="3955FF0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p w14:paraId="33267F3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0,9</w:t>
            </w:r>
          </w:p>
        </w:tc>
        <w:tc>
          <w:tcPr>
            <w:tcW w:w="954" w:type="dxa"/>
          </w:tcPr>
          <w:p w14:paraId="66EB7DF4"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0,8</w:t>
            </w:r>
          </w:p>
          <w:p w14:paraId="734BE815"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p w14:paraId="421363CB"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0,6</w:t>
            </w:r>
          </w:p>
        </w:tc>
        <w:tc>
          <w:tcPr>
            <w:tcW w:w="973" w:type="dxa"/>
          </w:tcPr>
          <w:p w14:paraId="7CE82774"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0,8</w:t>
            </w:r>
          </w:p>
          <w:p w14:paraId="713E7CA2"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p w14:paraId="0540377C"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0,6</w:t>
            </w:r>
          </w:p>
        </w:tc>
      </w:tr>
      <w:tr w:rsidR="000A5447" w:rsidRPr="00EC5A7B" w14:paraId="63C06BAC" w14:textId="77777777" w:rsidTr="00235B44">
        <w:tc>
          <w:tcPr>
            <w:tcW w:w="5755" w:type="dxa"/>
          </w:tcPr>
          <w:p w14:paraId="26751D34" w14:textId="77777777" w:rsidR="000E3FEA" w:rsidRPr="00EC5A7B" w:rsidRDefault="000E3FEA" w:rsidP="000E3FE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Удельный вес</w:t>
            </w:r>
            <w:r w:rsidR="000A5447" w:rsidRPr="00EC5A7B">
              <w:rPr>
                <w:rFonts w:asciiTheme="majorHAnsi" w:hAnsiTheme="majorHAnsi" w:cstheme="majorHAnsi"/>
                <w:b/>
                <w:sz w:val="20"/>
                <w:szCs w:val="20"/>
                <w:lang w:val="ru-MD" w:eastAsia="ru-RU"/>
              </w:rPr>
              <w:t xml:space="preserve"> </w:t>
            </w:r>
            <w:r w:rsidRPr="00EC5A7B">
              <w:rPr>
                <w:rFonts w:asciiTheme="majorHAnsi" w:hAnsiTheme="majorHAnsi" w:cstheme="majorHAnsi"/>
                <w:b/>
                <w:sz w:val="20"/>
                <w:szCs w:val="20"/>
                <w:lang w:val="ru-MD" w:eastAsia="ru-RU"/>
              </w:rPr>
              <w:t>обслуживания государственного долга в доходах государственного бюджета</w:t>
            </w:r>
          </w:p>
          <w:p w14:paraId="21BE186C" w14:textId="4871FAE8" w:rsidR="00317EE4" w:rsidRPr="00EC5A7B" w:rsidRDefault="00317EE4" w:rsidP="00317EE4">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000A5447" w:rsidRPr="00EC5A7B">
              <w:rPr>
                <w:rFonts w:asciiTheme="majorHAnsi" w:hAnsiTheme="majorHAnsi" w:cstheme="majorHAnsi"/>
                <w:sz w:val="20"/>
                <w:szCs w:val="20"/>
                <w:lang w:val="ru-MD" w:eastAsia="ru-RU"/>
              </w:rPr>
              <w:t xml:space="preserve"> </w:t>
            </w:r>
            <w:r w:rsidR="000E3FEA" w:rsidRPr="00EC5A7B">
              <w:rPr>
                <w:rFonts w:asciiTheme="majorHAnsi" w:hAnsiTheme="majorHAnsi" w:cstheme="majorHAnsi"/>
                <w:sz w:val="20"/>
                <w:szCs w:val="20"/>
                <w:lang w:val="ru-MD" w:eastAsia="ru-RU"/>
              </w:rPr>
              <w:t>обслуживания</w:t>
            </w:r>
            <w:r w:rsidR="000A5447"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внешнего государственного долга</w:t>
            </w:r>
            <w:r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в</w:t>
            </w:r>
            <w:r w:rsidRPr="00EC5A7B">
              <w:rPr>
                <w:rFonts w:asciiTheme="majorHAnsi" w:hAnsiTheme="majorHAnsi" w:cstheme="majorHAnsi"/>
                <w:sz w:val="20"/>
                <w:szCs w:val="20"/>
                <w:lang w:val="ru-MD" w:eastAsia="ru-RU"/>
              </w:rPr>
              <w:t xml:space="preserve"> доходах государственного бюджета</w:t>
            </w:r>
          </w:p>
          <w:p w14:paraId="0019778B" w14:textId="1ED2DA97" w:rsidR="000A5447" w:rsidRPr="00EC5A7B" w:rsidRDefault="00317EE4" w:rsidP="00317EE4">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000A5447" w:rsidRPr="00EC5A7B">
              <w:rPr>
                <w:rFonts w:asciiTheme="majorHAnsi" w:hAnsiTheme="majorHAnsi" w:cstheme="majorHAnsi"/>
                <w:sz w:val="20"/>
                <w:szCs w:val="20"/>
                <w:lang w:val="ru-MD" w:eastAsia="ru-RU"/>
              </w:rPr>
              <w:t xml:space="preserve"> </w:t>
            </w:r>
            <w:r w:rsidR="000E3FEA" w:rsidRPr="00EC5A7B">
              <w:rPr>
                <w:rFonts w:asciiTheme="majorHAnsi" w:hAnsiTheme="majorHAnsi" w:cstheme="majorHAnsi"/>
                <w:sz w:val="20"/>
                <w:szCs w:val="20"/>
                <w:lang w:val="ru-MD" w:eastAsia="ru-RU"/>
              </w:rPr>
              <w:t>обслуживания</w:t>
            </w:r>
            <w:r w:rsidR="000A5447"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 xml:space="preserve">внутреннего государственного долга в </w:t>
            </w:r>
            <w:r w:rsidRPr="00EC5A7B">
              <w:rPr>
                <w:rFonts w:asciiTheme="majorHAnsi" w:hAnsiTheme="majorHAnsi" w:cstheme="majorHAnsi"/>
                <w:sz w:val="20"/>
                <w:szCs w:val="20"/>
                <w:lang w:val="ru-MD" w:eastAsia="ru-RU"/>
              </w:rPr>
              <w:t>доходах государственного бюджета</w:t>
            </w:r>
          </w:p>
        </w:tc>
        <w:tc>
          <w:tcPr>
            <w:tcW w:w="752" w:type="dxa"/>
          </w:tcPr>
          <w:p w14:paraId="6C0BCAC3"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1B6E8EAF"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5,7</w:t>
            </w:r>
          </w:p>
          <w:p w14:paraId="7B6489CA"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w:t>
            </w:r>
          </w:p>
          <w:p w14:paraId="5B070FC1"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38F4453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4,6</w:t>
            </w:r>
          </w:p>
        </w:tc>
        <w:tc>
          <w:tcPr>
            <w:tcW w:w="954" w:type="dxa"/>
          </w:tcPr>
          <w:p w14:paraId="0E11251B"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4,1</w:t>
            </w:r>
          </w:p>
          <w:p w14:paraId="42C93E85"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w:t>
            </w:r>
          </w:p>
          <w:p w14:paraId="3D70599F"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1A2AF26B"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w:t>
            </w:r>
          </w:p>
        </w:tc>
        <w:tc>
          <w:tcPr>
            <w:tcW w:w="973" w:type="dxa"/>
          </w:tcPr>
          <w:p w14:paraId="7CA2BB8C"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4,1</w:t>
            </w:r>
          </w:p>
          <w:p w14:paraId="0A01F16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w:t>
            </w:r>
          </w:p>
          <w:p w14:paraId="0796ECE4"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440A8C98"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3,0</w:t>
            </w:r>
          </w:p>
        </w:tc>
      </w:tr>
      <w:tr w:rsidR="000A5447" w:rsidRPr="00EC5A7B" w14:paraId="00AB8E61" w14:textId="77777777" w:rsidTr="00235B44">
        <w:tc>
          <w:tcPr>
            <w:tcW w:w="5755" w:type="dxa"/>
          </w:tcPr>
          <w:p w14:paraId="67EF981F" w14:textId="1DAAAEA3" w:rsidR="000A5447" w:rsidRPr="00EC5A7B" w:rsidRDefault="00317EE4" w:rsidP="005B111C">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Удельный вес </w:t>
            </w:r>
            <w:r w:rsidR="000E3FEA" w:rsidRPr="00EC5A7B">
              <w:rPr>
                <w:rFonts w:asciiTheme="majorHAnsi" w:hAnsiTheme="majorHAnsi" w:cstheme="majorHAnsi"/>
                <w:b/>
                <w:sz w:val="20"/>
                <w:szCs w:val="20"/>
                <w:lang w:val="ru-MD" w:eastAsia="ru-RU"/>
              </w:rPr>
              <w:t xml:space="preserve">обслуживания государственного долга </w:t>
            </w:r>
            <w:r w:rsidR="000E3FEA" w:rsidRPr="00EC5A7B">
              <w:rPr>
                <w:rFonts w:asciiTheme="majorHAnsi" w:hAnsiTheme="majorHAnsi" w:cstheme="majorHAnsi"/>
                <w:b/>
                <w:sz w:val="20"/>
                <w:szCs w:val="20"/>
                <w:lang w:val="ru-MD"/>
              </w:rPr>
              <w:t xml:space="preserve">в </w:t>
            </w:r>
            <w:r w:rsidR="000E3FEA" w:rsidRPr="00EC5A7B">
              <w:rPr>
                <w:rFonts w:asciiTheme="majorHAnsi" w:hAnsiTheme="majorHAnsi" w:cstheme="majorHAnsi"/>
                <w:b/>
                <w:sz w:val="20"/>
                <w:szCs w:val="20"/>
                <w:lang w:val="ru-MD" w:eastAsia="ru-RU"/>
              </w:rPr>
              <w:t xml:space="preserve">расходах государственного бюджета </w:t>
            </w:r>
          </w:p>
          <w:p w14:paraId="44B7FF76" w14:textId="08283389" w:rsidR="000E3FEA" w:rsidRPr="00EC5A7B" w:rsidRDefault="000E3FEA" w:rsidP="000E3FEA">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Pr="00EC5A7B">
              <w:rPr>
                <w:rFonts w:asciiTheme="majorHAnsi" w:hAnsiTheme="majorHAnsi" w:cstheme="majorHAnsi"/>
                <w:sz w:val="20"/>
                <w:szCs w:val="20"/>
                <w:lang w:val="ru-MD" w:eastAsia="ru-RU"/>
              </w:rPr>
              <w:t xml:space="preserve"> обслуживания </w:t>
            </w:r>
            <w:r w:rsidRPr="00EC5A7B">
              <w:rPr>
                <w:rFonts w:asciiTheme="majorHAnsi" w:hAnsiTheme="majorHAnsi" w:cstheme="majorHAnsi"/>
                <w:sz w:val="20"/>
                <w:szCs w:val="20"/>
                <w:lang w:val="ru-MD"/>
              </w:rPr>
              <w:t>внешнего государственного долга</w:t>
            </w:r>
            <w:r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в</w:t>
            </w:r>
            <w:r w:rsidRPr="00EC5A7B">
              <w:rPr>
                <w:rFonts w:asciiTheme="majorHAnsi" w:hAnsiTheme="majorHAnsi" w:cstheme="majorHAnsi"/>
                <w:sz w:val="20"/>
                <w:szCs w:val="20"/>
                <w:lang w:val="ru-MD" w:eastAsia="ru-RU"/>
              </w:rPr>
              <w:t xml:space="preserve"> расходах государственного бюджета</w:t>
            </w:r>
          </w:p>
          <w:p w14:paraId="74D7B5D9" w14:textId="39F3E11E" w:rsidR="000A5447" w:rsidRPr="00EC5A7B" w:rsidRDefault="000E3FEA" w:rsidP="000E3FEA">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Pr="00EC5A7B">
              <w:rPr>
                <w:rFonts w:asciiTheme="majorHAnsi" w:hAnsiTheme="majorHAnsi" w:cstheme="majorHAnsi"/>
                <w:sz w:val="20"/>
                <w:szCs w:val="20"/>
                <w:lang w:val="ru-MD" w:eastAsia="ru-RU"/>
              </w:rPr>
              <w:t xml:space="preserve"> обслуживания </w:t>
            </w:r>
            <w:r w:rsidRPr="00EC5A7B">
              <w:rPr>
                <w:rFonts w:asciiTheme="majorHAnsi" w:hAnsiTheme="majorHAnsi" w:cstheme="majorHAnsi"/>
                <w:sz w:val="20"/>
                <w:szCs w:val="20"/>
                <w:lang w:val="ru-MD"/>
              </w:rPr>
              <w:t xml:space="preserve">внутреннего государственного долга в </w:t>
            </w:r>
            <w:r w:rsidRPr="00EC5A7B">
              <w:rPr>
                <w:rFonts w:asciiTheme="majorHAnsi" w:hAnsiTheme="majorHAnsi" w:cstheme="majorHAnsi"/>
                <w:sz w:val="20"/>
                <w:szCs w:val="20"/>
                <w:lang w:val="ru-MD" w:eastAsia="ru-RU"/>
              </w:rPr>
              <w:t>расходах государственного бюджета</w:t>
            </w:r>
          </w:p>
        </w:tc>
        <w:tc>
          <w:tcPr>
            <w:tcW w:w="752" w:type="dxa"/>
          </w:tcPr>
          <w:p w14:paraId="12684357"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44EC1DAC"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5,4</w:t>
            </w:r>
          </w:p>
          <w:p w14:paraId="313B2AC0"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w:t>
            </w:r>
          </w:p>
          <w:p w14:paraId="45E3C45E"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4DF121F7"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4,4</w:t>
            </w:r>
          </w:p>
        </w:tc>
        <w:tc>
          <w:tcPr>
            <w:tcW w:w="954" w:type="dxa"/>
          </w:tcPr>
          <w:p w14:paraId="36B0D613"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3,9</w:t>
            </w:r>
          </w:p>
          <w:p w14:paraId="39116C7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w:t>
            </w:r>
          </w:p>
          <w:p w14:paraId="6C7B2211"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4AD6C44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w:t>
            </w:r>
          </w:p>
        </w:tc>
        <w:tc>
          <w:tcPr>
            <w:tcW w:w="973" w:type="dxa"/>
          </w:tcPr>
          <w:p w14:paraId="2C3503C1"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3,8</w:t>
            </w:r>
          </w:p>
          <w:p w14:paraId="08DDD7C9"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w:t>
            </w:r>
          </w:p>
          <w:p w14:paraId="41ABF73C" w14:textId="77777777" w:rsidR="000A5447" w:rsidRPr="00EC5A7B" w:rsidRDefault="000A5447" w:rsidP="005B111C">
            <w:pPr>
              <w:pStyle w:val="NoSpacing"/>
              <w:jc w:val="center"/>
              <w:rPr>
                <w:rFonts w:asciiTheme="majorHAnsi" w:hAnsiTheme="majorHAnsi" w:cstheme="majorHAnsi"/>
                <w:sz w:val="20"/>
                <w:szCs w:val="20"/>
                <w:lang w:val="ru-MD" w:eastAsia="ru-RU"/>
              </w:rPr>
            </w:pPr>
          </w:p>
          <w:p w14:paraId="7D38A1F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w:t>
            </w:r>
          </w:p>
        </w:tc>
      </w:tr>
      <w:tr w:rsidR="000A5447" w:rsidRPr="00EC5A7B" w14:paraId="38304A89" w14:textId="77777777" w:rsidTr="00235B44">
        <w:tc>
          <w:tcPr>
            <w:tcW w:w="5755" w:type="dxa"/>
          </w:tcPr>
          <w:p w14:paraId="5081D184" w14:textId="0DE787AA" w:rsidR="000A5447" w:rsidRPr="00EC5A7B" w:rsidRDefault="000E3FEA" w:rsidP="005B111C">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Удельный вес обслуживания государственного долга в экспорте товаров</w:t>
            </w:r>
          </w:p>
          <w:p w14:paraId="1F4F8A3A" w14:textId="730C4C0E" w:rsidR="000A5447" w:rsidRPr="00EC5A7B" w:rsidRDefault="000E3FEA"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Pr="00EC5A7B">
              <w:rPr>
                <w:rFonts w:asciiTheme="majorHAnsi" w:hAnsiTheme="majorHAnsi" w:cstheme="majorHAnsi"/>
                <w:sz w:val="20"/>
                <w:szCs w:val="20"/>
                <w:lang w:val="ru-MD" w:eastAsia="ru-RU"/>
              </w:rPr>
              <w:t xml:space="preserve"> обслуживания </w:t>
            </w:r>
            <w:r w:rsidRPr="00EC5A7B">
              <w:rPr>
                <w:rFonts w:asciiTheme="majorHAnsi" w:hAnsiTheme="majorHAnsi" w:cstheme="majorHAnsi"/>
                <w:sz w:val="20"/>
                <w:szCs w:val="20"/>
                <w:lang w:val="ru-MD"/>
              </w:rPr>
              <w:t>внешнего государственного долга</w:t>
            </w:r>
            <w:r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rPr>
              <w:t>в</w:t>
            </w:r>
            <w:r w:rsidRPr="00EC5A7B">
              <w:rPr>
                <w:rFonts w:asciiTheme="majorHAnsi" w:hAnsiTheme="majorHAnsi" w:cstheme="majorHAnsi"/>
                <w:sz w:val="20"/>
                <w:szCs w:val="20"/>
                <w:lang w:val="ru-MD" w:eastAsia="ru-RU"/>
              </w:rPr>
              <w:t xml:space="preserve"> экспорте товаров</w:t>
            </w:r>
          </w:p>
          <w:p w14:paraId="497686C5" w14:textId="7ADAE2B0" w:rsidR="000A5447" w:rsidRPr="00EC5A7B" w:rsidRDefault="000E3FEA" w:rsidP="005B111C">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Удельный вес</w:t>
            </w:r>
            <w:r w:rsidRPr="00EC5A7B">
              <w:rPr>
                <w:rFonts w:asciiTheme="majorHAnsi" w:hAnsiTheme="majorHAnsi" w:cstheme="majorHAnsi"/>
                <w:sz w:val="20"/>
                <w:szCs w:val="20"/>
                <w:lang w:val="ru-MD" w:eastAsia="ru-RU"/>
              </w:rPr>
              <w:t xml:space="preserve"> обслуживания </w:t>
            </w:r>
            <w:r w:rsidRPr="00EC5A7B">
              <w:rPr>
                <w:rFonts w:asciiTheme="majorHAnsi" w:hAnsiTheme="majorHAnsi" w:cstheme="majorHAnsi"/>
                <w:sz w:val="20"/>
                <w:szCs w:val="20"/>
                <w:lang w:val="ru-MD"/>
              </w:rPr>
              <w:t>внутреннего государственного долга в</w:t>
            </w:r>
            <w:r w:rsidR="000A5447"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экспорте товаров</w:t>
            </w:r>
          </w:p>
        </w:tc>
        <w:tc>
          <w:tcPr>
            <w:tcW w:w="752" w:type="dxa"/>
          </w:tcPr>
          <w:p w14:paraId="631D1A24"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6E80CA77"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4,3</w:t>
            </w:r>
          </w:p>
          <w:p w14:paraId="5DE42CF1"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0,8</w:t>
            </w:r>
          </w:p>
          <w:p w14:paraId="159D012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w:t>
            </w:r>
          </w:p>
        </w:tc>
        <w:tc>
          <w:tcPr>
            <w:tcW w:w="954" w:type="dxa"/>
          </w:tcPr>
          <w:p w14:paraId="4342FD34" w14:textId="77777777" w:rsidR="000A5447" w:rsidRPr="00EC5A7B" w:rsidRDefault="00657D98"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3,3</w:t>
            </w:r>
          </w:p>
          <w:p w14:paraId="7BF89645"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0,8</w:t>
            </w:r>
          </w:p>
          <w:p w14:paraId="0AA9C1DE" w14:textId="77777777" w:rsidR="000A5447" w:rsidRPr="00EC5A7B" w:rsidRDefault="00657D98"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w:t>
            </w:r>
          </w:p>
        </w:tc>
        <w:tc>
          <w:tcPr>
            <w:tcW w:w="973" w:type="dxa"/>
          </w:tcPr>
          <w:p w14:paraId="2D7F0B3C" w14:textId="77777777" w:rsidR="000A5447" w:rsidRPr="00EC5A7B" w:rsidRDefault="00657D98"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3,3</w:t>
            </w:r>
          </w:p>
          <w:p w14:paraId="7DDECF5D" w14:textId="77777777" w:rsidR="000A5447" w:rsidRPr="00EC5A7B" w:rsidRDefault="00657D98"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0,8</w:t>
            </w:r>
          </w:p>
          <w:p w14:paraId="67C6296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w:t>
            </w:r>
          </w:p>
        </w:tc>
      </w:tr>
      <w:tr w:rsidR="000A5447" w:rsidRPr="00EC5A7B" w14:paraId="37D5F6B4" w14:textId="77777777" w:rsidTr="00235B44">
        <w:tc>
          <w:tcPr>
            <w:tcW w:w="5755" w:type="dxa"/>
          </w:tcPr>
          <w:p w14:paraId="2FA840FD" w14:textId="4F25B22B" w:rsidR="000A5447" w:rsidRPr="00EC5A7B" w:rsidRDefault="000E3FEA" w:rsidP="000E3FE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Удельный вес внешнего государственного долга</w:t>
            </w:r>
            <w:r w:rsidRPr="00EC5A7B">
              <w:rPr>
                <w:rFonts w:asciiTheme="majorHAnsi" w:hAnsiTheme="majorHAnsi" w:cstheme="majorHAnsi"/>
                <w:b/>
                <w:sz w:val="20"/>
                <w:szCs w:val="20"/>
                <w:lang w:val="ru-MD" w:eastAsia="ru-RU"/>
              </w:rPr>
              <w:t xml:space="preserve"> в экспорте товаров</w:t>
            </w:r>
          </w:p>
        </w:tc>
        <w:tc>
          <w:tcPr>
            <w:tcW w:w="752" w:type="dxa"/>
          </w:tcPr>
          <w:p w14:paraId="64D1EDDE" w14:textId="77777777" w:rsidR="000A5447" w:rsidRPr="00EC5A7B" w:rsidRDefault="000A5447" w:rsidP="005B111C">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68" w:type="dxa"/>
          </w:tcPr>
          <w:p w14:paraId="649F542F" w14:textId="77777777" w:rsidR="000A5447" w:rsidRPr="00EC5A7B" w:rsidRDefault="00657D98"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70,1</w:t>
            </w:r>
          </w:p>
        </w:tc>
        <w:tc>
          <w:tcPr>
            <w:tcW w:w="954" w:type="dxa"/>
          </w:tcPr>
          <w:p w14:paraId="4F6D768D"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62,4</w:t>
            </w:r>
          </w:p>
        </w:tc>
        <w:tc>
          <w:tcPr>
            <w:tcW w:w="973" w:type="dxa"/>
          </w:tcPr>
          <w:p w14:paraId="3569D325" w14:textId="77777777" w:rsidR="000A5447" w:rsidRPr="00EC5A7B" w:rsidRDefault="000A5447" w:rsidP="005B111C">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61,3</w:t>
            </w:r>
          </w:p>
        </w:tc>
      </w:tr>
      <w:tr w:rsidR="00657281" w:rsidRPr="00EC5A7B" w14:paraId="3DDCC7E0" w14:textId="77777777" w:rsidTr="00235B44">
        <w:tc>
          <w:tcPr>
            <w:tcW w:w="5755" w:type="dxa"/>
          </w:tcPr>
          <w:p w14:paraId="26661D13" w14:textId="04B17CEE" w:rsidR="00657281" w:rsidRPr="00EC5A7B" w:rsidRDefault="000E3FEA" w:rsidP="000E3FE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Внешний государственный долг на душу населения</w:t>
            </w:r>
          </w:p>
        </w:tc>
        <w:tc>
          <w:tcPr>
            <w:tcW w:w="752" w:type="dxa"/>
          </w:tcPr>
          <w:p w14:paraId="367638E5" w14:textId="0F718274" w:rsidR="00657281" w:rsidRPr="00EC5A7B" w:rsidRDefault="00535E4D" w:rsidP="00535E4D">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леев</w:t>
            </w:r>
            <w:r w:rsidR="00657281"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дол</w:t>
            </w:r>
            <w:r w:rsidR="00657281"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США</w:t>
            </w:r>
          </w:p>
        </w:tc>
        <w:tc>
          <w:tcPr>
            <w:tcW w:w="968" w:type="dxa"/>
          </w:tcPr>
          <w:p w14:paraId="70717E9B" w14:textId="77777777" w:rsidR="00657281" w:rsidRPr="00EC5A7B" w:rsidRDefault="00657281" w:rsidP="00657281">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8 190,0/ 479,0</w:t>
            </w:r>
          </w:p>
        </w:tc>
        <w:tc>
          <w:tcPr>
            <w:tcW w:w="954" w:type="dxa"/>
          </w:tcPr>
          <w:p w14:paraId="4D130335" w14:textId="77777777" w:rsidR="00657281" w:rsidRPr="00EC5A7B" w:rsidRDefault="00657281" w:rsidP="00657281">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8 156,1/</w:t>
            </w:r>
          </w:p>
          <w:p w14:paraId="6D6EEEAE" w14:textId="77777777" w:rsidR="00657281" w:rsidRPr="00EC5A7B" w:rsidRDefault="00657281" w:rsidP="00657281">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476,2</w:t>
            </w:r>
          </w:p>
        </w:tc>
        <w:tc>
          <w:tcPr>
            <w:tcW w:w="973" w:type="dxa"/>
          </w:tcPr>
          <w:p w14:paraId="53C76EAA" w14:textId="77777777" w:rsidR="00657281" w:rsidRPr="00EC5A7B" w:rsidRDefault="00657281" w:rsidP="00657281">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8 279,5/</w:t>
            </w:r>
          </w:p>
          <w:p w14:paraId="24ED4780" w14:textId="77777777" w:rsidR="00657281" w:rsidRPr="00EC5A7B" w:rsidRDefault="00657281" w:rsidP="00657281">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481,1</w:t>
            </w:r>
          </w:p>
        </w:tc>
      </w:tr>
      <w:tr w:rsidR="00657281" w:rsidRPr="00EC5A7B" w14:paraId="1AF6BF13" w14:textId="77777777" w:rsidTr="00235B44">
        <w:tc>
          <w:tcPr>
            <w:tcW w:w="5755" w:type="dxa"/>
          </w:tcPr>
          <w:p w14:paraId="59ECB610" w14:textId="12960B94" w:rsidR="00657281" w:rsidRPr="00EC5A7B" w:rsidRDefault="000E3FEA" w:rsidP="000E3FE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ВВП на душу населения</w:t>
            </w:r>
          </w:p>
        </w:tc>
        <w:tc>
          <w:tcPr>
            <w:tcW w:w="752" w:type="dxa"/>
          </w:tcPr>
          <w:p w14:paraId="69116DE9" w14:textId="66923B96" w:rsidR="00657281" w:rsidRPr="00EC5A7B" w:rsidRDefault="00535E4D" w:rsidP="00535E4D">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леев</w:t>
            </w:r>
            <w:r w:rsidR="00657281"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дол</w:t>
            </w:r>
            <w:r w:rsidR="00657281"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США</w:t>
            </w:r>
          </w:p>
        </w:tc>
        <w:tc>
          <w:tcPr>
            <w:tcW w:w="968" w:type="dxa"/>
          </w:tcPr>
          <w:p w14:paraId="5CB26546" w14:textId="77777777" w:rsidR="00657281" w:rsidRPr="00EC5A7B" w:rsidRDefault="00657281" w:rsidP="00657281">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50400,0/ 2726,0</w:t>
            </w:r>
          </w:p>
        </w:tc>
        <w:tc>
          <w:tcPr>
            <w:tcW w:w="954" w:type="dxa"/>
          </w:tcPr>
          <w:p w14:paraId="42E42245" w14:textId="77777777" w:rsidR="00657281" w:rsidRPr="00EC5A7B" w:rsidRDefault="00657281" w:rsidP="00657281">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54273,6/</w:t>
            </w:r>
          </w:p>
          <w:p w14:paraId="450383DD" w14:textId="77777777" w:rsidR="00657281" w:rsidRPr="00EC5A7B" w:rsidRDefault="00657281" w:rsidP="00657281">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3166,0</w:t>
            </w:r>
          </w:p>
        </w:tc>
        <w:tc>
          <w:tcPr>
            <w:tcW w:w="973" w:type="dxa"/>
          </w:tcPr>
          <w:p w14:paraId="32E6841C" w14:textId="77777777" w:rsidR="00657281" w:rsidRPr="00EC5A7B" w:rsidRDefault="00657281" w:rsidP="00657281">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59316,5/</w:t>
            </w:r>
          </w:p>
          <w:p w14:paraId="5067034F" w14:textId="77777777" w:rsidR="00657281" w:rsidRPr="00EC5A7B" w:rsidRDefault="00657281" w:rsidP="00657281">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3446,8 </w:t>
            </w:r>
          </w:p>
        </w:tc>
      </w:tr>
    </w:tbl>
    <w:p w14:paraId="070CF96C" w14:textId="2EFA5C31" w:rsidR="000A5447" w:rsidRPr="00EC5A7B" w:rsidRDefault="00535E4D" w:rsidP="000A5447">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0A5447" w:rsidRPr="00EC5A7B">
        <w:rPr>
          <w:rFonts w:asciiTheme="majorHAnsi" w:hAnsiTheme="majorHAnsi" w:cstheme="majorHAnsi"/>
          <w:b/>
          <w:i/>
          <w:sz w:val="20"/>
          <w:szCs w:val="20"/>
          <w:lang w:val="ru-MD" w:eastAsia="ru-RU"/>
        </w:rPr>
        <w:t>:</w:t>
      </w:r>
      <w:r w:rsidR="00657281" w:rsidRPr="00EC5A7B">
        <w:rPr>
          <w:rFonts w:asciiTheme="majorHAnsi" w:hAnsiTheme="majorHAnsi" w:cstheme="majorHAnsi"/>
          <w:i/>
          <w:sz w:val="20"/>
          <w:szCs w:val="20"/>
          <w:lang w:val="ru-MD" w:eastAsia="ru-RU"/>
        </w:rPr>
        <w:t xml:space="preserve"> </w:t>
      </w:r>
      <w:r w:rsidR="00E72C12" w:rsidRPr="00EC5A7B">
        <w:rPr>
          <w:rFonts w:asciiTheme="majorHAnsi" w:hAnsiTheme="majorHAnsi" w:cstheme="majorHAnsi"/>
          <w:i/>
          <w:sz w:val="20"/>
          <w:szCs w:val="20"/>
          <w:lang w:val="ru-MD" w:eastAsia="ru-RU"/>
        </w:rPr>
        <w:t xml:space="preserve">Данные Отчетов об исполнении государственного бюджета за 2017-2019 гг.; данные Отчетов о государственном долге по состоянию на 31.12.2017, 31.12.2018 и 31.12.2019 гг. и данные НБС, размещенные на сайте </w:t>
      </w:r>
      <w:r w:rsidR="000A5447" w:rsidRPr="00EC5A7B">
        <w:rPr>
          <w:rFonts w:asciiTheme="majorHAnsi" w:hAnsiTheme="majorHAnsi" w:cstheme="majorHAnsi"/>
          <w:i/>
          <w:sz w:val="20"/>
          <w:szCs w:val="20"/>
          <w:lang w:val="ru-MD" w:eastAsia="ru-RU"/>
        </w:rPr>
        <w:t>www.statistica.md.</w:t>
      </w:r>
    </w:p>
    <w:p w14:paraId="17C95C95" w14:textId="25C56850" w:rsidR="000A5447" w:rsidRPr="00EC5A7B" w:rsidRDefault="00FF5760" w:rsidP="00734223">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Данные </w:t>
      </w:r>
      <w:r w:rsidR="00E72C12" w:rsidRPr="00EC5A7B">
        <w:rPr>
          <w:rFonts w:asciiTheme="majorHAnsi" w:hAnsiTheme="majorHAnsi" w:cstheme="majorHAnsi"/>
          <w:sz w:val="24"/>
          <w:szCs w:val="24"/>
          <w:lang w:val="ru-MD" w:eastAsia="ru-RU"/>
        </w:rPr>
        <w:t xml:space="preserve">из </w:t>
      </w:r>
      <w:r w:rsidRPr="00EC5A7B">
        <w:rPr>
          <w:rFonts w:asciiTheme="majorHAnsi" w:hAnsiTheme="majorHAnsi" w:cstheme="majorHAnsi"/>
          <w:sz w:val="24"/>
          <w:szCs w:val="24"/>
          <w:lang w:val="ru-MD" w:eastAsia="ru-RU"/>
        </w:rPr>
        <w:t xml:space="preserve">таблицы свидетельствуют о том, что основные показатели государственного долга имеют стабильную тенденцию, зарегистрировав в 2019 году значения, равные предыдущему году, или незначительно </w:t>
      </w:r>
      <w:r w:rsidR="00E72C12" w:rsidRPr="00EC5A7B">
        <w:rPr>
          <w:rFonts w:asciiTheme="majorHAnsi" w:hAnsiTheme="majorHAnsi" w:cstheme="majorHAnsi"/>
          <w:sz w:val="24"/>
          <w:szCs w:val="24"/>
          <w:lang w:val="ru-MD" w:eastAsia="ru-RU"/>
        </w:rPr>
        <w:t>варьирующие по</w:t>
      </w:r>
      <w:r w:rsidRPr="00EC5A7B">
        <w:rPr>
          <w:rFonts w:asciiTheme="majorHAnsi" w:hAnsiTheme="majorHAnsi" w:cstheme="majorHAnsi"/>
          <w:sz w:val="24"/>
          <w:szCs w:val="24"/>
          <w:lang w:val="ru-MD" w:eastAsia="ru-RU"/>
        </w:rPr>
        <w:t xml:space="preserve"> некоторы</w:t>
      </w:r>
      <w:r w:rsidR="00E72C12" w:rsidRPr="00EC5A7B">
        <w:rPr>
          <w:rFonts w:asciiTheme="majorHAnsi" w:hAnsiTheme="majorHAnsi" w:cstheme="majorHAnsi"/>
          <w:sz w:val="24"/>
          <w:szCs w:val="24"/>
          <w:lang w:val="ru-MD" w:eastAsia="ru-RU"/>
        </w:rPr>
        <w:t>м</w:t>
      </w:r>
      <w:r w:rsidRPr="00EC5A7B">
        <w:rPr>
          <w:rFonts w:asciiTheme="majorHAnsi" w:hAnsiTheme="majorHAnsi" w:cstheme="majorHAnsi"/>
          <w:sz w:val="24"/>
          <w:szCs w:val="24"/>
          <w:lang w:val="ru-MD" w:eastAsia="ru-RU"/>
        </w:rPr>
        <w:t xml:space="preserve"> позиция</w:t>
      </w:r>
      <w:r w:rsidR="00E72C12" w:rsidRPr="00EC5A7B">
        <w:rPr>
          <w:rFonts w:asciiTheme="majorHAnsi" w:hAnsiTheme="majorHAnsi" w:cstheme="majorHAnsi"/>
          <w:sz w:val="24"/>
          <w:szCs w:val="24"/>
          <w:lang w:val="ru-MD" w:eastAsia="ru-RU"/>
        </w:rPr>
        <w:t>м</w:t>
      </w:r>
      <w:r w:rsidR="000A5447" w:rsidRPr="00EC5A7B">
        <w:rPr>
          <w:rFonts w:asciiTheme="majorHAnsi" w:hAnsiTheme="majorHAnsi" w:cstheme="majorHAnsi"/>
          <w:sz w:val="24"/>
          <w:szCs w:val="24"/>
          <w:lang w:val="ru-MD" w:eastAsia="ru-RU"/>
        </w:rPr>
        <w:t>.</w:t>
      </w:r>
    </w:p>
    <w:p w14:paraId="22F18A63" w14:textId="16E83EDB" w:rsidR="00734223" w:rsidRPr="00EC5A7B" w:rsidRDefault="00FF5760" w:rsidP="004B68A0">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Как </w:t>
      </w:r>
      <w:r w:rsidR="00D02FD5" w:rsidRPr="00EC5A7B">
        <w:rPr>
          <w:rFonts w:asciiTheme="majorHAnsi" w:hAnsiTheme="majorHAnsi" w:cstheme="majorHAnsi"/>
          <w:sz w:val="24"/>
          <w:szCs w:val="24"/>
          <w:lang w:val="ru-MD" w:eastAsia="ru-RU"/>
        </w:rPr>
        <w:t>удельный вес</w:t>
      </w:r>
      <w:r w:rsidRPr="00EC5A7B">
        <w:rPr>
          <w:rFonts w:asciiTheme="majorHAnsi" w:hAnsiTheme="majorHAnsi" w:cstheme="majorHAnsi"/>
          <w:sz w:val="24"/>
          <w:szCs w:val="24"/>
          <w:lang w:val="ru-MD" w:eastAsia="ru-RU"/>
        </w:rPr>
        <w:t xml:space="preserve"> в ВВП, государственный долг составил 25,0%. </w:t>
      </w:r>
      <w:r w:rsidRPr="00EC5A7B">
        <w:rPr>
          <w:rFonts w:asciiTheme="majorHAnsi" w:hAnsiTheme="majorHAnsi" w:cstheme="majorHAnsi"/>
          <w:i/>
          <w:sz w:val="24"/>
          <w:szCs w:val="24"/>
          <w:lang w:val="ru-MD" w:eastAsia="ru-RU"/>
        </w:rPr>
        <w:t xml:space="preserve">Эволюция </w:t>
      </w:r>
      <w:r w:rsidR="00D02FD5" w:rsidRPr="00EC5A7B">
        <w:rPr>
          <w:rFonts w:asciiTheme="majorHAnsi" w:hAnsiTheme="majorHAnsi" w:cstheme="majorHAnsi"/>
          <w:i/>
          <w:sz w:val="24"/>
          <w:szCs w:val="24"/>
          <w:lang w:val="ru-MD" w:eastAsia="ru-RU"/>
        </w:rPr>
        <w:t>удельного веса</w:t>
      </w:r>
      <w:r w:rsidRPr="00EC5A7B">
        <w:rPr>
          <w:rFonts w:asciiTheme="majorHAnsi" w:hAnsiTheme="majorHAnsi" w:cstheme="majorHAnsi"/>
          <w:i/>
          <w:sz w:val="24"/>
          <w:szCs w:val="24"/>
          <w:lang w:val="ru-MD" w:eastAsia="ru-RU"/>
        </w:rPr>
        <w:t xml:space="preserve"> государственного долга в ВВП представлена на рисунке №1. </w:t>
      </w:r>
    </w:p>
    <w:p w14:paraId="2756ABAB" w14:textId="53BD327D" w:rsidR="00734223" w:rsidRPr="00EC5A7B" w:rsidRDefault="004B68A0" w:rsidP="00712FA2">
      <w:pPr>
        <w:pStyle w:val="NoSpacing"/>
        <w:jc w:val="right"/>
        <w:rPr>
          <w:rFonts w:asciiTheme="majorHAnsi" w:hAnsiTheme="majorHAnsi" w:cstheme="majorHAnsi"/>
          <w:b/>
          <w:i/>
          <w:sz w:val="24"/>
          <w:szCs w:val="24"/>
          <w:lang w:val="ru-MD" w:eastAsia="ru-RU"/>
        </w:rPr>
      </w:pPr>
      <w:r w:rsidRPr="00EC5A7B">
        <w:rPr>
          <w:rFonts w:asciiTheme="majorHAnsi" w:hAnsiTheme="majorHAnsi" w:cstheme="majorHAnsi"/>
          <w:b/>
          <w:i/>
          <w:noProof/>
          <w:color w:val="5B9BD5" w:themeColor="accent1"/>
          <w:sz w:val="24"/>
          <w:szCs w:val="24"/>
        </w:rPr>
        <w:lastRenderedPageBreak/>
        <w:drawing>
          <wp:anchor distT="0" distB="0" distL="114300" distR="114300" simplePos="0" relativeHeight="251664384" behindDoc="0" locked="0" layoutInCell="1" allowOverlap="1" wp14:anchorId="2EDE9B4B" wp14:editId="2F7B10B1">
            <wp:simplePos x="0" y="0"/>
            <wp:positionH relativeFrom="margin">
              <wp:align>right</wp:align>
            </wp:positionH>
            <wp:positionV relativeFrom="paragraph">
              <wp:posOffset>219710</wp:posOffset>
            </wp:positionV>
            <wp:extent cx="5920740" cy="2606040"/>
            <wp:effectExtent l="0" t="0" r="3810" b="3810"/>
            <wp:wrapThrough wrapText="bothSides">
              <wp:wrapPolygon edited="0">
                <wp:start x="0" y="0"/>
                <wp:lineTo x="0" y="21474"/>
                <wp:lineTo x="21544" y="21474"/>
                <wp:lineTo x="21544"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02FD5" w:rsidRPr="00EC5A7B">
        <w:rPr>
          <w:rFonts w:asciiTheme="majorHAnsi" w:hAnsiTheme="majorHAnsi" w:cstheme="majorHAnsi"/>
          <w:b/>
          <w:i/>
          <w:color w:val="5B9BD5" w:themeColor="accent1"/>
          <w:sz w:val="24"/>
          <w:szCs w:val="24"/>
          <w:lang w:val="ru-MD" w:eastAsia="ru-RU"/>
        </w:rPr>
        <w:t>Рисунок №</w:t>
      </w:r>
      <w:r w:rsidR="00712FA2" w:rsidRPr="00EC5A7B">
        <w:rPr>
          <w:rFonts w:asciiTheme="majorHAnsi" w:hAnsiTheme="majorHAnsi" w:cstheme="majorHAnsi"/>
          <w:b/>
          <w:i/>
          <w:color w:val="5B9BD5" w:themeColor="accent1"/>
          <w:sz w:val="24"/>
          <w:szCs w:val="24"/>
          <w:lang w:val="ru-MD" w:eastAsia="ru-RU"/>
        </w:rPr>
        <w:t>1</w:t>
      </w:r>
    </w:p>
    <w:p w14:paraId="43047F56" w14:textId="3DAF6B0F" w:rsidR="00521ADF" w:rsidRPr="00EC5A7B" w:rsidRDefault="007B3D00" w:rsidP="00521ADF">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4B68A0" w:rsidRPr="00EC5A7B">
        <w:rPr>
          <w:rFonts w:asciiTheme="majorHAnsi" w:hAnsiTheme="majorHAnsi" w:cstheme="majorHAnsi"/>
          <w:b/>
          <w:i/>
          <w:sz w:val="20"/>
          <w:szCs w:val="20"/>
          <w:lang w:val="ru-MD" w:eastAsia="ru-RU"/>
        </w:rPr>
        <w:t>:</w:t>
      </w:r>
      <w:r w:rsidR="004B68A0" w:rsidRPr="00EC5A7B">
        <w:rPr>
          <w:rFonts w:asciiTheme="majorHAnsi" w:hAnsiTheme="majorHAnsi" w:cstheme="majorHAnsi"/>
          <w:i/>
          <w:sz w:val="20"/>
          <w:szCs w:val="20"/>
          <w:lang w:val="ru-MD" w:eastAsia="ru-RU"/>
        </w:rPr>
        <w:t xml:space="preserve"> </w:t>
      </w:r>
      <w:r w:rsidRPr="00EC5A7B">
        <w:rPr>
          <w:rFonts w:asciiTheme="majorHAnsi" w:hAnsiTheme="majorHAnsi" w:cstheme="majorHAnsi"/>
          <w:i/>
          <w:sz w:val="20"/>
          <w:szCs w:val="20"/>
          <w:lang w:val="ru-MD" w:eastAsia="ru-RU"/>
        </w:rPr>
        <w:t>Данные Отчетов о государственном долге по состоянию на 31.12.2017, 31.12.2018 и 31.12.2019 гг</w:t>
      </w:r>
      <w:r w:rsidR="004B68A0" w:rsidRPr="00EC5A7B">
        <w:rPr>
          <w:rFonts w:asciiTheme="majorHAnsi" w:hAnsiTheme="majorHAnsi" w:cstheme="majorHAnsi"/>
          <w:i/>
          <w:sz w:val="20"/>
          <w:szCs w:val="20"/>
          <w:lang w:val="ru-MD" w:eastAsia="ru-RU"/>
        </w:rPr>
        <w:t>.</w:t>
      </w:r>
    </w:p>
    <w:p w14:paraId="1E95D345" w14:textId="7B738C00" w:rsidR="00263684" w:rsidRPr="00EC5A7B" w:rsidRDefault="00421936" w:rsidP="00263684">
      <w:pPr>
        <w:pStyle w:val="FootnoteText"/>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eastAsia="ru-RU"/>
        </w:rPr>
        <w:t xml:space="preserve">Данные </w:t>
      </w:r>
      <w:r w:rsidR="007B3D00" w:rsidRPr="00EC5A7B">
        <w:rPr>
          <w:rFonts w:asciiTheme="majorHAnsi" w:hAnsiTheme="majorHAnsi" w:cstheme="majorHAnsi"/>
          <w:sz w:val="24"/>
          <w:szCs w:val="24"/>
          <w:lang w:val="ru-MD" w:eastAsia="ru-RU"/>
        </w:rPr>
        <w:t>из</w:t>
      </w:r>
      <w:r w:rsidRPr="00EC5A7B">
        <w:rPr>
          <w:rFonts w:asciiTheme="majorHAnsi" w:hAnsiTheme="majorHAnsi" w:cstheme="majorHAnsi"/>
          <w:sz w:val="24"/>
          <w:szCs w:val="24"/>
          <w:lang w:val="ru-MD" w:eastAsia="ru-RU"/>
        </w:rPr>
        <w:t xml:space="preserve"> рисунк</w:t>
      </w:r>
      <w:r w:rsidR="007B3D00" w:rsidRPr="00EC5A7B">
        <w:rPr>
          <w:rFonts w:asciiTheme="majorHAnsi" w:hAnsiTheme="majorHAnsi" w:cstheme="majorHAnsi"/>
          <w:sz w:val="24"/>
          <w:szCs w:val="24"/>
          <w:lang w:val="ru-MD" w:eastAsia="ru-RU"/>
        </w:rPr>
        <w:t>а</w:t>
      </w:r>
      <w:r w:rsidRPr="00EC5A7B">
        <w:rPr>
          <w:rFonts w:asciiTheme="majorHAnsi" w:hAnsiTheme="majorHAnsi" w:cstheme="majorHAnsi"/>
          <w:sz w:val="24"/>
          <w:szCs w:val="24"/>
          <w:lang w:val="ru-MD" w:eastAsia="ru-RU"/>
        </w:rPr>
        <w:t xml:space="preserve"> показывают, что </w:t>
      </w:r>
      <w:r w:rsidR="004850BB" w:rsidRPr="00EC5A7B">
        <w:rPr>
          <w:rFonts w:asciiTheme="majorHAnsi" w:hAnsiTheme="majorHAnsi" w:cstheme="majorHAnsi"/>
          <w:sz w:val="24"/>
          <w:szCs w:val="24"/>
          <w:lang w:val="ru-MD" w:eastAsia="ru-RU"/>
        </w:rPr>
        <w:t>удельный вес</w:t>
      </w:r>
      <w:r w:rsidRPr="00EC5A7B">
        <w:rPr>
          <w:rFonts w:asciiTheme="majorHAnsi" w:hAnsiTheme="majorHAnsi" w:cstheme="majorHAnsi"/>
          <w:sz w:val="24"/>
          <w:szCs w:val="24"/>
          <w:lang w:val="ru-MD" w:eastAsia="ru-RU"/>
        </w:rPr>
        <w:t xml:space="preserve"> государственного долга в</w:t>
      </w:r>
      <w:r w:rsidR="004850BB" w:rsidRPr="00EC5A7B">
        <w:rPr>
          <w:rFonts w:asciiTheme="majorHAnsi" w:hAnsiTheme="majorHAnsi" w:cstheme="majorHAnsi"/>
          <w:sz w:val="24"/>
          <w:szCs w:val="24"/>
          <w:lang w:val="ru-MD" w:eastAsia="ru-RU"/>
        </w:rPr>
        <w:t xml:space="preserve"> ВВП зарегистрировал</w:t>
      </w:r>
      <w:r w:rsidRPr="00EC5A7B">
        <w:rPr>
          <w:rFonts w:asciiTheme="majorHAnsi" w:hAnsiTheme="majorHAnsi" w:cstheme="majorHAnsi"/>
          <w:sz w:val="24"/>
          <w:szCs w:val="24"/>
          <w:lang w:val="ru-MD" w:eastAsia="ru-RU"/>
        </w:rPr>
        <w:t xml:space="preserve"> тенденци</w:t>
      </w:r>
      <w:r w:rsidR="004850BB" w:rsidRPr="00EC5A7B">
        <w:rPr>
          <w:rFonts w:asciiTheme="majorHAnsi" w:hAnsiTheme="majorHAnsi" w:cstheme="majorHAnsi"/>
          <w:sz w:val="24"/>
          <w:szCs w:val="24"/>
          <w:lang w:val="ru-MD" w:eastAsia="ru-RU"/>
        </w:rPr>
        <w:t>ю</w:t>
      </w:r>
      <w:r w:rsidRPr="00EC5A7B">
        <w:rPr>
          <w:rFonts w:asciiTheme="majorHAnsi" w:hAnsiTheme="majorHAnsi" w:cstheme="majorHAnsi"/>
          <w:sz w:val="24"/>
          <w:szCs w:val="24"/>
          <w:lang w:val="ru-MD" w:eastAsia="ru-RU"/>
        </w:rPr>
        <w:t xml:space="preserve"> снижени</w:t>
      </w:r>
      <w:r w:rsidR="004850BB" w:rsidRPr="00EC5A7B">
        <w:rPr>
          <w:rFonts w:asciiTheme="majorHAnsi" w:hAnsiTheme="majorHAnsi" w:cstheme="majorHAnsi"/>
          <w:sz w:val="24"/>
          <w:szCs w:val="24"/>
          <w:lang w:val="ru-MD" w:eastAsia="ru-RU"/>
        </w:rPr>
        <w:t>я</w:t>
      </w:r>
      <w:r w:rsidRPr="00EC5A7B">
        <w:rPr>
          <w:rFonts w:asciiTheme="majorHAnsi" w:hAnsiTheme="majorHAnsi" w:cstheme="majorHAnsi"/>
          <w:sz w:val="24"/>
          <w:szCs w:val="24"/>
          <w:lang w:val="ru-MD" w:eastAsia="ru-RU"/>
        </w:rPr>
        <w:t xml:space="preserve"> на 2,0 п. п. по сравнению с 2018 годом</w:t>
      </w:r>
      <w:r w:rsidR="004850B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и на 3,9 п. п. по сравнению с 2017 годом, поскольку динамика ВВП </w:t>
      </w:r>
      <w:r w:rsidR="007B3D00" w:rsidRPr="00EC5A7B">
        <w:rPr>
          <w:rFonts w:asciiTheme="majorHAnsi" w:hAnsiTheme="majorHAnsi" w:cstheme="majorHAnsi"/>
          <w:sz w:val="24"/>
          <w:szCs w:val="24"/>
          <w:lang w:val="ru-MD" w:eastAsia="ru-RU"/>
        </w:rPr>
        <w:t>наметила</w:t>
      </w:r>
      <w:r w:rsidRPr="00EC5A7B">
        <w:rPr>
          <w:rFonts w:asciiTheme="majorHAnsi" w:hAnsiTheme="majorHAnsi" w:cstheme="majorHAnsi"/>
          <w:sz w:val="24"/>
          <w:szCs w:val="24"/>
          <w:lang w:val="ru-MD" w:eastAsia="ru-RU"/>
        </w:rPr>
        <w:t xml:space="preserve"> </w:t>
      </w:r>
      <w:r w:rsidR="004850BB" w:rsidRPr="00EC5A7B">
        <w:rPr>
          <w:rFonts w:asciiTheme="majorHAnsi" w:hAnsiTheme="majorHAnsi" w:cstheme="majorHAnsi"/>
          <w:sz w:val="24"/>
          <w:szCs w:val="24"/>
          <w:lang w:val="ru-MD" w:eastAsia="ru-RU"/>
        </w:rPr>
        <w:t xml:space="preserve">его </w:t>
      </w:r>
      <w:r w:rsidRPr="00EC5A7B">
        <w:rPr>
          <w:rFonts w:asciiTheme="majorHAnsi" w:hAnsiTheme="majorHAnsi" w:cstheme="majorHAnsi"/>
          <w:sz w:val="24"/>
          <w:szCs w:val="24"/>
          <w:lang w:val="ru-MD" w:eastAsia="ru-RU"/>
        </w:rPr>
        <w:t>рост на 9,1 п. п., в номинальных значениях, в 2019 году</w:t>
      </w:r>
      <w:r w:rsidR="004850B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по сравнению с предыдущим годом (ВВП, </w:t>
      </w:r>
      <w:r w:rsidR="004850BB" w:rsidRPr="00EC5A7B">
        <w:rPr>
          <w:rFonts w:asciiTheme="majorHAnsi" w:hAnsiTheme="majorHAnsi" w:cstheme="majorHAnsi"/>
          <w:sz w:val="24"/>
          <w:szCs w:val="24"/>
          <w:lang w:val="ru-MD" w:eastAsia="ru-RU"/>
        </w:rPr>
        <w:t>актуализирова</w:t>
      </w:r>
      <w:r w:rsidRPr="00EC5A7B">
        <w:rPr>
          <w:rFonts w:asciiTheme="majorHAnsi" w:hAnsiTheme="majorHAnsi" w:cstheme="majorHAnsi"/>
          <w:sz w:val="24"/>
          <w:szCs w:val="24"/>
          <w:lang w:val="ru-MD" w:eastAsia="ru-RU"/>
        </w:rPr>
        <w:t>нный на 2018 год, составляет 192 508,6 млн. ле</w:t>
      </w:r>
      <w:r w:rsidR="004850BB"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 а оперативный ВВП на 2019 год</w:t>
      </w:r>
      <w:r w:rsidR="004850B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w:t>
      </w:r>
      <w:r w:rsidR="004850B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210 098,8 млн. ле</w:t>
      </w:r>
      <w:r w:rsidR="007B3D00" w:rsidRPr="00EC5A7B">
        <w:rPr>
          <w:rFonts w:asciiTheme="majorHAnsi" w:hAnsiTheme="majorHAnsi" w:cstheme="majorHAnsi"/>
          <w:sz w:val="24"/>
          <w:szCs w:val="24"/>
          <w:lang w:val="ru-MD" w:eastAsia="ru-RU"/>
        </w:rPr>
        <w:t>ев</w:t>
      </w:r>
      <w:r w:rsidRPr="00EC5A7B">
        <w:rPr>
          <w:rFonts w:asciiTheme="majorHAnsi" w:hAnsiTheme="majorHAnsi" w:cstheme="majorHAnsi"/>
          <w:sz w:val="24"/>
          <w:szCs w:val="24"/>
          <w:lang w:val="ru-MD" w:eastAsia="ru-RU"/>
        </w:rPr>
        <w:t>)</w:t>
      </w:r>
      <w:r w:rsidR="00263684" w:rsidRPr="00EC5A7B">
        <w:rPr>
          <w:rFonts w:asciiTheme="majorHAnsi" w:hAnsiTheme="majorHAnsi" w:cstheme="majorHAnsi"/>
          <w:sz w:val="24"/>
          <w:szCs w:val="24"/>
          <w:lang w:val="ru-MD"/>
        </w:rPr>
        <w:t xml:space="preserve">. </w:t>
      </w:r>
    </w:p>
    <w:p w14:paraId="53A55268" w14:textId="5B90D6D5" w:rsidR="00907D56" w:rsidRPr="00EC5A7B" w:rsidRDefault="00421936" w:rsidP="00907D56">
      <w:pPr>
        <w:jc w:val="both"/>
        <w:rPr>
          <w:rFonts w:asciiTheme="majorHAnsi" w:eastAsia="Times New Roman" w:hAnsiTheme="majorHAnsi" w:cstheme="majorHAnsi"/>
          <w:i/>
          <w:sz w:val="24"/>
          <w:szCs w:val="24"/>
          <w:lang w:val="ru-MD"/>
        </w:rPr>
      </w:pPr>
      <w:r w:rsidRPr="00EC5A7B">
        <w:rPr>
          <w:rFonts w:asciiTheme="majorHAnsi" w:eastAsia="Times New Roman" w:hAnsiTheme="majorHAnsi" w:cstheme="majorHAnsi"/>
          <w:sz w:val="24"/>
          <w:szCs w:val="24"/>
          <w:lang w:val="ru-MD"/>
        </w:rPr>
        <w:t>Аудит показ</w:t>
      </w:r>
      <w:r w:rsidR="004E35A0" w:rsidRPr="00EC5A7B">
        <w:rPr>
          <w:rFonts w:asciiTheme="majorHAnsi" w:eastAsia="Times New Roman" w:hAnsiTheme="majorHAnsi" w:cstheme="majorHAnsi"/>
          <w:sz w:val="24"/>
          <w:szCs w:val="24"/>
          <w:lang w:val="ru-MD"/>
        </w:rPr>
        <w:t>ал</w:t>
      </w:r>
      <w:r w:rsidRPr="00EC5A7B">
        <w:rPr>
          <w:rFonts w:asciiTheme="majorHAnsi" w:eastAsia="Times New Roman" w:hAnsiTheme="majorHAnsi" w:cstheme="majorHAnsi"/>
          <w:sz w:val="24"/>
          <w:szCs w:val="24"/>
          <w:lang w:val="ru-MD"/>
        </w:rPr>
        <w:t xml:space="preserve">, что в 2019 году темпы роста государственного долга ниже темпов роста экспорта и темпов роста ВВП, в результате чего снижается риск платежеспособности. </w:t>
      </w:r>
      <w:r w:rsidR="004E35A0" w:rsidRPr="00EC5A7B">
        <w:rPr>
          <w:rFonts w:asciiTheme="majorHAnsi" w:eastAsia="Times New Roman" w:hAnsiTheme="majorHAnsi" w:cstheme="majorHAnsi"/>
          <w:i/>
          <w:sz w:val="24"/>
          <w:szCs w:val="24"/>
          <w:lang w:val="ru-MD"/>
        </w:rPr>
        <w:t>Данная с</w:t>
      </w:r>
      <w:r w:rsidRPr="00EC5A7B">
        <w:rPr>
          <w:rFonts w:asciiTheme="majorHAnsi" w:eastAsia="Times New Roman" w:hAnsiTheme="majorHAnsi" w:cstheme="majorHAnsi"/>
          <w:i/>
          <w:sz w:val="24"/>
          <w:szCs w:val="24"/>
          <w:lang w:val="ru-MD"/>
        </w:rPr>
        <w:t xml:space="preserve">итуация представлена в </w:t>
      </w:r>
      <w:r w:rsidR="004E35A0" w:rsidRPr="00EC5A7B">
        <w:rPr>
          <w:rFonts w:asciiTheme="majorHAnsi" w:eastAsia="Times New Roman" w:hAnsiTheme="majorHAnsi" w:cstheme="majorHAnsi"/>
          <w:i/>
          <w:sz w:val="24"/>
          <w:szCs w:val="24"/>
          <w:lang w:val="ru-MD"/>
        </w:rPr>
        <w:t>П</w:t>
      </w:r>
      <w:r w:rsidRPr="00EC5A7B">
        <w:rPr>
          <w:rFonts w:asciiTheme="majorHAnsi" w:eastAsia="Times New Roman" w:hAnsiTheme="majorHAnsi" w:cstheme="majorHAnsi"/>
          <w:i/>
          <w:sz w:val="24"/>
          <w:szCs w:val="24"/>
          <w:lang w:val="ru-MD"/>
        </w:rPr>
        <w:t xml:space="preserve">риложении </w:t>
      </w:r>
      <w:r w:rsidR="004E35A0" w:rsidRPr="00EC5A7B">
        <w:rPr>
          <w:rFonts w:asciiTheme="majorHAnsi" w:eastAsia="Times New Roman" w:hAnsiTheme="majorHAnsi" w:cstheme="majorHAnsi"/>
          <w:i/>
          <w:sz w:val="24"/>
          <w:szCs w:val="24"/>
          <w:lang w:val="ru-MD"/>
        </w:rPr>
        <w:t>№</w:t>
      </w:r>
      <w:r w:rsidRPr="00EC5A7B">
        <w:rPr>
          <w:rFonts w:asciiTheme="majorHAnsi" w:eastAsia="Times New Roman" w:hAnsiTheme="majorHAnsi" w:cstheme="majorHAnsi"/>
          <w:i/>
          <w:sz w:val="24"/>
          <w:szCs w:val="24"/>
          <w:lang w:val="ru-MD"/>
        </w:rPr>
        <w:t xml:space="preserve">3 настоящего </w:t>
      </w:r>
      <w:r w:rsidR="004E35A0" w:rsidRPr="00EC5A7B">
        <w:rPr>
          <w:rFonts w:asciiTheme="majorHAnsi" w:eastAsia="Times New Roman" w:hAnsiTheme="majorHAnsi" w:cstheme="majorHAnsi"/>
          <w:i/>
          <w:sz w:val="24"/>
          <w:szCs w:val="24"/>
          <w:lang w:val="ru-MD"/>
        </w:rPr>
        <w:t>О</w:t>
      </w:r>
      <w:r w:rsidRPr="00EC5A7B">
        <w:rPr>
          <w:rFonts w:asciiTheme="majorHAnsi" w:eastAsia="Times New Roman" w:hAnsiTheme="majorHAnsi" w:cstheme="majorHAnsi"/>
          <w:i/>
          <w:sz w:val="24"/>
          <w:szCs w:val="24"/>
          <w:lang w:val="ru-MD"/>
        </w:rPr>
        <w:t>тчета</w:t>
      </w:r>
      <w:r w:rsidR="004E35A0" w:rsidRPr="00EC5A7B">
        <w:rPr>
          <w:rFonts w:asciiTheme="majorHAnsi" w:eastAsia="Times New Roman" w:hAnsiTheme="majorHAnsi" w:cstheme="majorHAnsi"/>
          <w:i/>
          <w:sz w:val="24"/>
          <w:szCs w:val="24"/>
          <w:lang w:val="ru-MD"/>
        </w:rPr>
        <w:t xml:space="preserve"> аудита</w:t>
      </w:r>
      <w:r w:rsidR="00907D56" w:rsidRPr="00EC5A7B">
        <w:rPr>
          <w:rFonts w:asciiTheme="majorHAnsi" w:eastAsia="Times New Roman" w:hAnsiTheme="majorHAnsi" w:cstheme="majorHAnsi"/>
          <w:i/>
          <w:sz w:val="24"/>
          <w:szCs w:val="24"/>
          <w:lang w:val="ru-MD"/>
        </w:rPr>
        <w:t>.</w:t>
      </w:r>
    </w:p>
    <w:p w14:paraId="74D6CD6A" w14:textId="196F5E7C" w:rsidR="00E33EFD" w:rsidRPr="00EC5A7B" w:rsidRDefault="006B184F" w:rsidP="00E33EFD">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О</w:t>
      </w:r>
      <w:r w:rsidR="00497481" w:rsidRPr="00EC5A7B">
        <w:rPr>
          <w:rFonts w:asciiTheme="majorHAnsi" w:hAnsiTheme="majorHAnsi" w:cstheme="majorHAnsi"/>
          <w:sz w:val="24"/>
          <w:szCs w:val="24"/>
          <w:lang w:val="ru-MD"/>
        </w:rPr>
        <w:t xml:space="preserve">тносительно структуры государственного долга по инструментам </w:t>
      </w:r>
      <w:r w:rsidRPr="00EC5A7B">
        <w:rPr>
          <w:rFonts w:asciiTheme="majorHAnsi" w:hAnsiTheme="majorHAnsi" w:cstheme="majorHAnsi"/>
          <w:sz w:val="24"/>
          <w:szCs w:val="24"/>
          <w:lang w:val="ru-MD"/>
        </w:rPr>
        <w:t>отмечается</w:t>
      </w:r>
      <w:r w:rsidR="00497481" w:rsidRPr="00EC5A7B">
        <w:rPr>
          <w:rFonts w:asciiTheme="majorHAnsi" w:hAnsiTheme="majorHAnsi" w:cstheme="majorHAnsi"/>
          <w:sz w:val="24"/>
          <w:szCs w:val="24"/>
          <w:lang w:val="ru-MD"/>
        </w:rPr>
        <w:t xml:space="preserve">, что </w:t>
      </w:r>
      <w:r w:rsidR="00EC5A7B" w:rsidRPr="00EC5A7B">
        <w:rPr>
          <w:rFonts w:asciiTheme="majorHAnsi" w:hAnsiTheme="majorHAnsi" w:cstheme="majorHAnsi"/>
          <w:sz w:val="24"/>
          <w:szCs w:val="24"/>
          <w:lang w:val="ru-MD"/>
        </w:rPr>
        <w:t>наибольший удельный</w:t>
      </w:r>
      <w:r w:rsidRPr="00EC5A7B">
        <w:rPr>
          <w:rFonts w:asciiTheme="majorHAnsi" w:hAnsiTheme="majorHAnsi" w:cstheme="majorHAnsi"/>
          <w:sz w:val="24"/>
          <w:szCs w:val="24"/>
          <w:lang w:val="ru-MD"/>
        </w:rPr>
        <w:t xml:space="preserve"> вес в </w:t>
      </w:r>
      <w:r w:rsidR="00497481" w:rsidRPr="00EC5A7B">
        <w:rPr>
          <w:rFonts w:asciiTheme="majorHAnsi" w:hAnsiTheme="majorHAnsi" w:cstheme="majorHAnsi"/>
          <w:sz w:val="24"/>
          <w:szCs w:val="24"/>
          <w:lang w:val="ru-MD"/>
        </w:rPr>
        <w:t>портфел</w:t>
      </w:r>
      <w:r w:rsidRPr="00EC5A7B">
        <w:rPr>
          <w:rFonts w:asciiTheme="majorHAnsi" w:hAnsiTheme="majorHAnsi" w:cstheme="majorHAnsi"/>
          <w:sz w:val="24"/>
          <w:szCs w:val="24"/>
          <w:lang w:val="ru-MD"/>
        </w:rPr>
        <w:t>е</w:t>
      </w:r>
      <w:r w:rsidR="00497481" w:rsidRPr="00EC5A7B">
        <w:rPr>
          <w:rFonts w:asciiTheme="majorHAnsi" w:hAnsiTheme="majorHAnsi" w:cstheme="majorHAnsi"/>
          <w:sz w:val="24"/>
          <w:szCs w:val="24"/>
          <w:lang w:val="ru-MD"/>
        </w:rPr>
        <w:t xml:space="preserve"> государственного долга </w:t>
      </w:r>
      <w:r w:rsidRPr="00EC5A7B">
        <w:rPr>
          <w:rFonts w:asciiTheme="majorHAnsi" w:hAnsiTheme="majorHAnsi" w:cstheme="majorHAnsi"/>
          <w:sz w:val="24"/>
          <w:szCs w:val="24"/>
          <w:lang w:val="ru-MD"/>
        </w:rPr>
        <w:t>имеют</w:t>
      </w:r>
      <w:r w:rsidR="00497481" w:rsidRPr="00EC5A7B">
        <w:rPr>
          <w:rFonts w:asciiTheme="majorHAnsi" w:hAnsiTheme="majorHAnsi" w:cstheme="majorHAnsi"/>
          <w:sz w:val="24"/>
          <w:szCs w:val="24"/>
          <w:lang w:val="ru-MD"/>
        </w:rPr>
        <w:t xml:space="preserve"> внешние государственные займы (50,</w:t>
      </w:r>
      <w:r w:rsidRPr="00EC5A7B">
        <w:rPr>
          <w:rFonts w:asciiTheme="majorHAnsi" w:hAnsiTheme="majorHAnsi" w:cstheme="majorHAnsi"/>
          <w:sz w:val="24"/>
          <w:szCs w:val="24"/>
          <w:lang w:val="ru-MD"/>
        </w:rPr>
        <w:t>5</w:t>
      </w:r>
      <w:r w:rsidR="00497481"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за ними следуют</w:t>
      </w:r>
      <w:r w:rsidR="00497481" w:rsidRPr="00EC5A7B">
        <w:rPr>
          <w:rFonts w:asciiTheme="majorHAnsi" w:hAnsiTheme="majorHAnsi" w:cstheme="majorHAnsi"/>
          <w:sz w:val="24"/>
          <w:szCs w:val="24"/>
          <w:lang w:val="ru-MD"/>
        </w:rPr>
        <w:t xml:space="preserve"> ГЦБ, выпущенные для исполнения платежных обязательств, вытекающих из государственных гарантий (2</w:t>
      </w:r>
      <w:r w:rsidRPr="00EC5A7B">
        <w:rPr>
          <w:rFonts w:asciiTheme="majorHAnsi" w:hAnsiTheme="majorHAnsi" w:cstheme="majorHAnsi"/>
          <w:sz w:val="24"/>
          <w:szCs w:val="24"/>
          <w:lang w:val="ru-MD"/>
        </w:rPr>
        <w:t>4</w:t>
      </w:r>
      <w:r w:rsidR="00497481" w:rsidRPr="00EC5A7B">
        <w:rPr>
          <w:rFonts w:asciiTheme="majorHAnsi" w:hAnsiTheme="majorHAnsi" w:cstheme="majorHAnsi"/>
          <w:sz w:val="24"/>
          <w:szCs w:val="24"/>
          <w:lang w:val="ru-MD"/>
        </w:rPr>
        <w:t>,</w:t>
      </w:r>
      <w:r w:rsidRPr="00EC5A7B">
        <w:rPr>
          <w:rFonts w:asciiTheme="majorHAnsi" w:hAnsiTheme="majorHAnsi" w:cstheme="majorHAnsi"/>
          <w:sz w:val="24"/>
          <w:szCs w:val="24"/>
          <w:lang w:val="ru-MD"/>
        </w:rPr>
        <w:t>5</w:t>
      </w:r>
      <w:r w:rsidR="00EC5A7B" w:rsidRPr="00EC5A7B">
        <w:rPr>
          <w:rFonts w:asciiTheme="majorHAnsi" w:hAnsiTheme="majorHAnsi" w:cstheme="majorHAnsi"/>
          <w:sz w:val="24"/>
          <w:szCs w:val="24"/>
          <w:lang w:val="ru-MD"/>
        </w:rPr>
        <w:t>%), ГЦБ</w:t>
      </w:r>
      <w:r w:rsidR="00497481" w:rsidRPr="00EC5A7B">
        <w:rPr>
          <w:rFonts w:asciiTheme="majorHAnsi" w:hAnsiTheme="majorHAnsi" w:cstheme="majorHAnsi"/>
          <w:sz w:val="24"/>
          <w:szCs w:val="24"/>
          <w:lang w:val="ru-MD"/>
        </w:rPr>
        <w:t xml:space="preserve">, выпущенные на первичном рынке </w:t>
      </w:r>
      <w:r w:rsidR="00497481" w:rsidRPr="00EC5A7B">
        <w:rPr>
          <w:rFonts w:asciiTheme="majorHAnsi" w:hAnsiTheme="majorHAnsi" w:cstheme="majorHAnsi"/>
          <w:sz w:val="24"/>
          <w:szCs w:val="24"/>
          <w:lang w:val="ru-MD"/>
        </w:rPr>
        <w:lastRenderedPageBreak/>
        <w:t>(15,</w:t>
      </w:r>
      <w:r w:rsidRPr="00EC5A7B">
        <w:rPr>
          <w:rFonts w:asciiTheme="majorHAnsi" w:hAnsiTheme="majorHAnsi" w:cstheme="majorHAnsi"/>
          <w:sz w:val="24"/>
          <w:szCs w:val="24"/>
          <w:lang w:val="ru-MD"/>
        </w:rPr>
        <w:t>7</w:t>
      </w:r>
      <w:r w:rsidR="00497481" w:rsidRPr="00EC5A7B">
        <w:rPr>
          <w:rFonts w:asciiTheme="majorHAnsi" w:hAnsiTheme="majorHAnsi" w:cstheme="majorHAnsi"/>
          <w:sz w:val="24"/>
          <w:szCs w:val="24"/>
          <w:lang w:val="ru-MD"/>
        </w:rPr>
        <w:t>%), ассигнования СПЗ (5,</w:t>
      </w:r>
      <w:r w:rsidRPr="00EC5A7B">
        <w:rPr>
          <w:rFonts w:asciiTheme="majorHAnsi" w:hAnsiTheme="majorHAnsi" w:cstheme="majorHAnsi"/>
          <w:sz w:val="24"/>
          <w:szCs w:val="24"/>
          <w:lang w:val="ru-MD"/>
        </w:rPr>
        <w:t>3</w:t>
      </w:r>
      <w:r w:rsidR="00497481" w:rsidRPr="00EC5A7B">
        <w:rPr>
          <w:rFonts w:asciiTheme="majorHAnsi" w:hAnsiTheme="majorHAnsi" w:cstheme="majorHAnsi"/>
          <w:sz w:val="24"/>
          <w:szCs w:val="24"/>
          <w:lang w:val="ru-MD"/>
        </w:rPr>
        <w:t>%)</w:t>
      </w:r>
      <w:r w:rsidRPr="00EC5A7B">
        <w:rPr>
          <w:rFonts w:asciiTheme="majorHAnsi" w:hAnsiTheme="majorHAnsi" w:cstheme="majorHAnsi"/>
          <w:sz w:val="24"/>
          <w:szCs w:val="24"/>
          <w:lang w:val="ru-MD"/>
        </w:rPr>
        <w:t xml:space="preserve"> и</w:t>
      </w:r>
      <w:r w:rsidR="00497481" w:rsidRPr="00EC5A7B">
        <w:rPr>
          <w:rFonts w:asciiTheme="majorHAnsi" w:hAnsiTheme="majorHAnsi" w:cstheme="majorHAnsi"/>
          <w:sz w:val="24"/>
          <w:szCs w:val="24"/>
          <w:lang w:val="ru-MD"/>
        </w:rPr>
        <w:t xml:space="preserve"> конвертированные ГЦБ (</w:t>
      </w:r>
      <w:r w:rsidRPr="00EC5A7B">
        <w:rPr>
          <w:rFonts w:asciiTheme="majorHAnsi" w:hAnsiTheme="majorHAnsi" w:cstheme="majorHAnsi"/>
          <w:sz w:val="24"/>
          <w:szCs w:val="24"/>
          <w:lang w:val="ru-MD"/>
        </w:rPr>
        <w:t>3</w:t>
      </w:r>
      <w:r w:rsidR="00497481" w:rsidRPr="00EC5A7B">
        <w:rPr>
          <w:rFonts w:asciiTheme="majorHAnsi" w:hAnsiTheme="majorHAnsi" w:cstheme="majorHAnsi"/>
          <w:sz w:val="24"/>
          <w:szCs w:val="24"/>
          <w:lang w:val="ru-MD"/>
        </w:rPr>
        <w:t>,</w:t>
      </w:r>
      <w:r w:rsidRPr="00EC5A7B">
        <w:rPr>
          <w:rFonts w:asciiTheme="majorHAnsi" w:hAnsiTheme="majorHAnsi" w:cstheme="majorHAnsi"/>
          <w:sz w:val="24"/>
          <w:szCs w:val="24"/>
          <w:lang w:val="ru-MD"/>
        </w:rPr>
        <w:t>9</w:t>
      </w:r>
      <w:r w:rsidR="00497481" w:rsidRPr="00EC5A7B">
        <w:rPr>
          <w:rFonts w:asciiTheme="majorHAnsi" w:hAnsiTheme="majorHAnsi" w:cstheme="majorHAnsi"/>
          <w:sz w:val="24"/>
          <w:szCs w:val="24"/>
          <w:lang w:val="ru-MD"/>
        </w:rPr>
        <w:t>%)</w:t>
      </w:r>
      <w:r w:rsidR="00E33EFD" w:rsidRPr="00EC5A7B">
        <w:rPr>
          <w:rFonts w:asciiTheme="majorHAnsi" w:hAnsiTheme="majorHAnsi" w:cstheme="majorHAnsi"/>
          <w:sz w:val="24"/>
          <w:szCs w:val="24"/>
          <w:lang w:val="ru-MD" w:eastAsia="ru-RU"/>
        </w:rPr>
        <w:t xml:space="preserve">.   </w:t>
      </w:r>
    </w:p>
    <w:p w14:paraId="6F93430E" w14:textId="2C47EE79" w:rsidR="00934769" w:rsidRPr="00EC5A7B" w:rsidRDefault="0092769D" w:rsidP="00E33EFD">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 xml:space="preserve">Исходя из оставшегося срока погашения, наибольший удельный вес в портфеле государственного долга, приходится на долгосрочный государственный долг - 79,2%. Наиболее длительные сроки погашения приходятся на внешние государственные займы и ГЦБ, выпущенные для </w:t>
      </w:r>
      <w:r w:rsidR="006B184F" w:rsidRPr="00EC5A7B">
        <w:rPr>
          <w:rFonts w:asciiTheme="majorHAnsi" w:hAnsiTheme="majorHAnsi" w:cstheme="majorHAnsi"/>
          <w:sz w:val="24"/>
          <w:szCs w:val="24"/>
          <w:lang w:val="ru-MD"/>
        </w:rPr>
        <w:t xml:space="preserve">предусмотренных законом целей. </w:t>
      </w:r>
      <w:r w:rsidRPr="00EC5A7B">
        <w:rPr>
          <w:rFonts w:asciiTheme="majorHAnsi" w:hAnsiTheme="majorHAnsi" w:cstheme="majorHAnsi"/>
          <w:sz w:val="24"/>
          <w:szCs w:val="24"/>
          <w:lang w:val="ru-MD"/>
        </w:rPr>
        <w:t xml:space="preserve">Краткосрочный государственный долг составляет </w:t>
      </w:r>
      <w:r w:rsidR="006B184F" w:rsidRPr="00EC5A7B">
        <w:rPr>
          <w:rFonts w:asciiTheme="majorHAnsi" w:hAnsiTheme="majorHAnsi" w:cstheme="majorHAnsi"/>
          <w:sz w:val="24"/>
          <w:szCs w:val="24"/>
          <w:lang w:val="ru-MD" w:eastAsia="ru-RU"/>
        </w:rPr>
        <w:t>18,4</w:t>
      </w:r>
      <w:r w:rsidRPr="00EC5A7B">
        <w:rPr>
          <w:rFonts w:asciiTheme="majorHAnsi" w:hAnsiTheme="majorHAnsi" w:cstheme="majorHAnsi"/>
          <w:sz w:val="24"/>
          <w:szCs w:val="24"/>
          <w:lang w:val="ru-MD"/>
        </w:rPr>
        <w:t>% от общего государственного долга</w:t>
      </w:r>
      <w:r w:rsidR="00934769" w:rsidRPr="00EC5A7B">
        <w:rPr>
          <w:rFonts w:asciiTheme="majorHAnsi" w:hAnsiTheme="majorHAnsi" w:cstheme="majorHAnsi"/>
          <w:sz w:val="24"/>
          <w:szCs w:val="24"/>
          <w:lang w:val="ru-MD" w:eastAsia="ru-RU"/>
        </w:rPr>
        <w:t>.</w:t>
      </w:r>
    </w:p>
    <w:p w14:paraId="7F80717C" w14:textId="0EB15FEB" w:rsidR="00934769" w:rsidRPr="00EC5A7B" w:rsidRDefault="00D128D2" w:rsidP="00E33EFD">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В структуре общего портфеля государственного долга по виду процентной ставки государственный долг с фиксированной процентной ставкой составляет 82,8%, а долг с плавающей процентной ставкой - 17,2%. По сравнению с 2018 годом доля государственного долга с фиксированной процентной ставкой снизилась на 0,4 п.п., а государственного долга с плавающей процентной ставкой увеличилась в том же размере</w:t>
      </w:r>
      <w:r w:rsidR="00497481" w:rsidRPr="00EC5A7B">
        <w:rPr>
          <w:rFonts w:asciiTheme="majorHAnsi" w:hAnsiTheme="majorHAnsi" w:cstheme="majorHAnsi"/>
          <w:sz w:val="24"/>
          <w:szCs w:val="24"/>
          <w:lang w:val="ru-MD" w:eastAsia="ru-RU"/>
        </w:rPr>
        <w:t>.</w:t>
      </w:r>
    </w:p>
    <w:p w14:paraId="7D8E968F" w14:textId="2A8FA879" w:rsidR="00486711" w:rsidRPr="00EC5A7B" w:rsidRDefault="00D128D2" w:rsidP="00E33EFD">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В аспекте структуры валют государственного долга, наибольший удельный вес занимает внутренний государственный долг в леях - 44,1%, за ним следуют внешние государственные займы, номинированные в корзине валют СПЗ - 30,5%, а следующие позиции занимают евро –21,2 %, доллар США – 2,2%, японский иен – 1,9% и фунт стерлингов - 0,01%</w:t>
      </w:r>
      <w:r w:rsidR="00497481" w:rsidRPr="00EC5A7B">
        <w:rPr>
          <w:rFonts w:asciiTheme="majorHAnsi" w:hAnsiTheme="majorHAnsi" w:cstheme="majorHAnsi"/>
          <w:sz w:val="24"/>
          <w:szCs w:val="24"/>
          <w:lang w:val="ru-MD" w:eastAsia="ru-RU"/>
        </w:rPr>
        <w:t xml:space="preserve">. </w:t>
      </w:r>
    </w:p>
    <w:p w14:paraId="6232D72B" w14:textId="0546FB5E" w:rsidR="006023D2" w:rsidRPr="00EC5A7B" w:rsidRDefault="00224C85" w:rsidP="00224C85">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u-MD" w:eastAsia="ru-RU"/>
        </w:rPr>
      </w:pPr>
      <w:bookmarkStart w:id="9" w:name="_Toc63157258"/>
      <w:r w:rsidRPr="00EC5A7B">
        <w:rPr>
          <w:rFonts w:asciiTheme="majorHAnsi" w:eastAsia="Times New Roman" w:hAnsiTheme="majorHAnsi" w:cstheme="majorHAnsi"/>
          <w:b/>
          <w:bCs/>
          <w:i/>
          <w:color w:val="5B9BD5" w:themeColor="accent1"/>
          <w:sz w:val="24"/>
          <w:szCs w:val="24"/>
          <w:lang w:val="ru-MD" w:eastAsia="ru-RU"/>
        </w:rPr>
        <w:t>Внутренний государственный долг увеличился за счет выпуска ГЦБ на первичном рынке, а банковский сектор остается главным инвестором в ГЦБ</w:t>
      </w:r>
      <w:bookmarkEnd w:id="9"/>
      <w:r w:rsidRPr="00EC5A7B">
        <w:rPr>
          <w:rFonts w:asciiTheme="majorHAnsi" w:eastAsia="Times New Roman" w:hAnsiTheme="majorHAnsi" w:cstheme="majorHAnsi"/>
          <w:b/>
          <w:bCs/>
          <w:i/>
          <w:color w:val="5B9BD5" w:themeColor="accent1"/>
          <w:sz w:val="24"/>
          <w:szCs w:val="24"/>
          <w:lang w:val="ru-MD" w:eastAsia="ru-RU"/>
        </w:rPr>
        <w:t xml:space="preserve"> </w:t>
      </w:r>
    </w:p>
    <w:p w14:paraId="24586903" w14:textId="55CE9A0A" w:rsidR="00907D56" w:rsidRPr="00EC5A7B" w:rsidRDefault="00224C85"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bCs/>
          <w:color w:val="000000"/>
          <w:sz w:val="24"/>
          <w:szCs w:val="24"/>
          <w:lang w:val="ru-MD" w:eastAsia="ru-RU"/>
        </w:rPr>
        <w:t>По состоянию на</w:t>
      </w:r>
      <w:r w:rsidRPr="00EC5A7B">
        <w:rPr>
          <w:rFonts w:ascii="Times New Roman" w:hAnsi="Times New Roman"/>
          <w:bCs/>
          <w:color w:val="000000"/>
          <w:sz w:val="28"/>
          <w:szCs w:val="28"/>
          <w:lang w:val="ru-MD" w:eastAsia="ru-RU"/>
        </w:rPr>
        <w:t xml:space="preserve"> </w:t>
      </w:r>
      <w:r w:rsidRPr="00EC5A7B">
        <w:rPr>
          <w:rFonts w:asciiTheme="majorHAnsi" w:hAnsiTheme="majorHAnsi" w:cstheme="majorHAnsi"/>
          <w:sz w:val="24"/>
          <w:szCs w:val="24"/>
          <w:lang w:val="ru-MD"/>
        </w:rPr>
        <w:t xml:space="preserve">31.12.2019 сальдо </w:t>
      </w:r>
      <w:r w:rsidRPr="00EC5A7B">
        <w:rPr>
          <w:rFonts w:asciiTheme="majorHAnsi" w:hAnsiTheme="majorHAnsi" w:cstheme="majorHAnsi"/>
          <w:sz w:val="24"/>
          <w:szCs w:val="24"/>
          <w:lang w:val="ru-MD" w:eastAsia="ru-RU"/>
        </w:rPr>
        <w:t>внутренн</w:t>
      </w:r>
      <w:r w:rsidRPr="00EC5A7B">
        <w:rPr>
          <w:rFonts w:asciiTheme="majorHAnsi" w:hAnsiTheme="majorHAnsi" w:cstheme="majorHAnsi"/>
          <w:sz w:val="24"/>
          <w:szCs w:val="24"/>
          <w:lang w:val="ru-MD"/>
        </w:rPr>
        <w:t xml:space="preserve">его государственного долга составило 23 168,2 </w:t>
      </w:r>
      <w:r w:rsidRPr="00EC5A7B">
        <w:rPr>
          <w:rFonts w:asciiTheme="majorHAnsi" w:hAnsiTheme="majorHAnsi" w:cstheme="majorHAnsi"/>
          <w:sz w:val="24"/>
          <w:szCs w:val="24"/>
          <w:lang w:val="ru-MD" w:eastAsia="ro-MD"/>
        </w:rPr>
        <w:t>млн. леев</w:t>
      </w:r>
      <w:r w:rsidRPr="00EC5A7B">
        <w:rPr>
          <w:rFonts w:asciiTheme="majorHAnsi" w:hAnsiTheme="majorHAnsi" w:cstheme="majorHAnsi"/>
          <w:sz w:val="24"/>
          <w:szCs w:val="24"/>
          <w:lang w:val="ru-MD"/>
        </w:rPr>
        <w:t xml:space="preserve"> вписываясь в плафон, </w:t>
      </w:r>
      <w:r w:rsidRPr="00EC5A7B">
        <w:rPr>
          <w:rFonts w:asciiTheme="majorHAnsi" w:hAnsiTheme="majorHAnsi" w:cstheme="majorHAnsi"/>
          <w:sz w:val="24"/>
          <w:szCs w:val="24"/>
          <w:lang w:val="ru-MD"/>
        </w:rPr>
        <w:lastRenderedPageBreak/>
        <w:t>установленный Законом о государственном бюджете на 2019 год</w:t>
      </w:r>
      <w:r w:rsidRPr="00EC5A7B">
        <w:rPr>
          <w:rFonts w:asciiTheme="majorHAnsi" w:hAnsiTheme="majorHAnsi" w:cstheme="majorHAnsi"/>
          <w:sz w:val="24"/>
          <w:szCs w:val="24"/>
          <w:lang w:val="ru-MD" w:eastAsia="ru-RU"/>
        </w:rPr>
        <w:t xml:space="preserve"> </w:t>
      </w:r>
      <w:r w:rsidR="00907D56" w:rsidRPr="00EC5A7B">
        <w:rPr>
          <w:rFonts w:asciiTheme="majorHAnsi" w:hAnsiTheme="majorHAnsi" w:cstheme="majorHAnsi"/>
          <w:sz w:val="24"/>
          <w:szCs w:val="24"/>
          <w:lang w:val="ru-MD" w:eastAsia="ru-RU"/>
        </w:rPr>
        <w:t xml:space="preserve">(24 053,1 </w:t>
      </w:r>
      <w:r w:rsidRPr="00EC5A7B">
        <w:rPr>
          <w:rFonts w:asciiTheme="majorHAnsi" w:hAnsiTheme="majorHAnsi" w:cstheme="majorHAnsi"/>
          <w:sz w:val="24"/>
          <w:szCs w:val="24"/>
          <w:lang w:val="ru-MD" w:eastAsia="ro-MD"/>
        </w:rPr>
        <w:t>млн. леев</w:t>
      </w:r>
      <w:r w:rsidR="00907D56" w:rsidRPr="00EC5A7B">
        <w:rPr>
          <w:rFonts w:asciiTheme="majorHAnsi" w:hAnsiTheme="majorHAnsi" w:cstheme="majorHAnsi"/>
          <w:sz w:val="24"/>
          <w:szCs w:val="24"/>
          <w:lang w:val="ru-MD" w:eastAsia="ru-RU"/>
        </w:rPr>
        <w:t>).</w:t>
      </w:r>
    </w:p>
    <w:p w14:paraId="3357C86C" w14:textId="732A7328" w:rsidR="00907D56" w:rsidRPr="00EC5A7B" w:rsidRDefault="00D51A74" w:rsidP="00907D56">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Сальдо </w:t>
      </w:r>
      <w:r w:rsidRPr="00EC5A7B">
        <w:rPr>
          <w:rFonts w:asciiTheme="majorHAnsi" w:hAnsiTheme="majorHAnsi" w:cstheme="majorHAnsi"/>
          <w:sz w:val="24"/>
          <w:szCs w:val="24"/>
          <w:lang w:val="ru-MD" w:eastAsia="ru-RU"/>
        </w:rPr>
        <w:t>внутренн</w:t>
      </w:r>
      <w:r w:rsidRPr="00EC5A7B">
        <w:rPr>
          <w:rFonts w:asciiTheme="majorHAnsi" w:hAnsiTheme="majorHAnsi" w:cstheme="majorHAnsi"/>
          <w:sz w:val="24"/>
          <w:szCs w:val="24"/>
          <w:lang w:val="ru-MD"/>
        </w:rPr>
        <w:t xml:space="preserve">его государственного долга сформировано из ГЦБ, выпущенных на первичном рынке – 8 253,6 </w:t>
      </w:r>
      <w:r w:rsidRPr="00EC5A7B">
        <w:rPr>
          <w:rFonts w:asciiTheme="majorHAnsi" w:hAnsiTheme="majorHAnsi" w:cstheme="majorHAnsi"/>
          <w:sz w:val="24"/>
          <w:szCs w:val="24"/>
          <w:lang w:val="ru-MD" w:eastAsia="ro-MD"/>
        </w:rPr>
        <w:t xml:space="preserve">млн. леев </w:t>
      </w:r>
      <w:r w:rsidRPr="00EC5A7B">
        <w:rPr>
          <w:rFonts w:asciiTheme="majorHAnsi" w:hAnsiTheme="majorHAnsi" w:cstheme="majorHAnsi"/>
          <w:sz w:val="24"/>
          <w:szCs w:val="24"/>
          <w:lang w:val="ru-MD"/>
        </w:rPr>
        <w:t xml:space="preserve">(35,6%), конвертированных ГЦБ – 2 063,4 </w:t>
      </w:r>
      <w:r w:rsidRPr="00EC5A7B">
        <w:rPr>
          <w:rFonts w:asciiTheme="majorHAnsi" w:hAnsiTheme="majorHAnsi" w:cstheme="majorHAnsi"/>
          <w:sz w:val="24"/>
          <w:szCs w:val="24"/>
          <w:lang w:val="ru-MD" w:eastAsia="ru-RU"/>
        </w:rPr>
        <w:t xml:space="preserve">млн. леев </w:t>
      </w:r>
      <w:r w:rsidRPr="00EC5A7B">
        <w:rPr>
          <w:rFonts w:asciiTheme="majorHAnsi" w:hAnsiTheme="majorHAnsi" w:cstheme="majorHAnsi"/>
          <w:sz w:val="24"/>
          <w:szCs w:val="24"/>
          <w:lang w:val="ru-MD"/>
        </w:rPr>
        <w:t>(8,9%) и ГЦБ, выпущенных для исполнения платежных обязательств, вытекающих из государственных гарантий –</w:t>
      </w:r>
      <w:r w:rsidR="00907D56" w:rsidRPr="00EC5A7B">
        <w:rPr>
          <w:rFonts w:asciiTheme="majorHAnsi" w:hAnsiTheme="majorHAnsi" w:cstheme="majorHAnsi"/>
          <w:sz w:val="24"/>
          <w:szCs w:val="24"/>
          <w:lang w:val="ru-MD" w:eastAsia="ru-RU"/>
        </w:rPr>
        <w:t xml:space="preserve"> 12 851,2 </w:t>
      </w:r>
      <w:r w:rsidR="00220355" w:rsidRPr="00EC5A7B">
        <w:rPr>
          <w:rFonts w:asciiTheme="majorHAnsi" w:hAnsiTheme="majorHAnsi" w:cstheme="majorHAnsi"/>
          <w:sz w:val="24"/>
          <w:szCs w:val="24"/>
          <w:lang w:val="ru-MD" w:eastAsia="ru-RU"/>
        </w:rPr>
        <w:t>млн. леев</w:t>
      </w:r>
      <w:r w:rsidR="00907D56" w:rsidRPr="00EC5A7B">
        <w:rPr>
          <w:rFonts w:asciiTheme="majorHAnsi" w:hAnsiTheme="majorHAnsi" w:cstheme="majorHAnsi"/>
          <w:sz w:val="24"/>
          <w:szCs w:val="24"/>
          <w:lang w:val="ru-MD" w:eastAsia="ru-RU"/>
        </w:rPr>
        <w:t xml:space="preserve"> (55,5%). </w:t>
      </w:r>
    </w:p>
    <w:p w14:paraId="5F40D0FA" w14:textId="402EA7AF" w:rsidR="003D2197" w:rsidRPr="00EC5A7B" w:rsidRDefault="00A352A9"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 xml:space="preserve">По сравнению с началом года сальдо </w:t>
      </w:r>
      <w:r w:rsidRPr="00EC5A7B">
        <w:rPr>
          <w:rFonts w:asciiTheme="majorHAnsi" w:hAnsiTheme="majorHAnsi" w:cstheme="majorHAnsi"/>
          <w:sz w:val="24"/>
          <w:szCs w:val="24"/>
          <w:lang w:val="ru-MD" w:eastAsia="ru-RU"/>
        </w:rPr>
        <w:t>внутренн</w:t>
      </w:r>
      <w:r w:rsidRPr="00EC5A7B">
        <w:rPr>
          <w:rFonts w:asciiTheme="majorHAnsi" w:hAnsiTheme="majorHAnsi" w:cstheme="majorHAnsi"/>
          <w:sz w:val="24"/>
          <w:szCs w:val="24"/>
          <w:lang w:val="ru-MD"/>
        </w:rPr>
        <w:t xml:space="preserve">его государственного долга увеличилось на </w:t>
      </w:r>
      <w:r w:rsidRPr="00EC5A7B">
        <w:rPr>
          <w:rFonts w:asciiTheme="majorHAnsi" w:hAnsiTheme="majorHAnsi" w:cstheme="majorHAnsi"/>
          <w:sz w:val="24"/>
          <w:szCs w:val="24"/>
          <w:lang w:val="ru-MD" w:eastAsia="ru-RU"/>
        </w:rPr>
        <w:t>109,6 млн. леев</w:t>
      </w:r>
      <w:r w:rsidRPr="00EC5A7B">
        <w:rPr>
          <w:rFonts w:asciiTheme="majorHAnsi" w:hAnsiTheme="majorHAnsi" w:cstheme="majorHAnsi"/>
          <w:sz w:val="24"/>
          <w:szCs w:val="24"/>
          <w:lang w:val="ru-MD"/>
        </w:rPr>
        <w:t xml:space="preserve">. Изменение сальдо </w:t>
      </w:r>
      <w:r w:rsidRPr="00EC5A7B">
        <w:rPr>
          <w:rFonts w:asciiTheme="majorHAnsi" w:hAnsiTheme="majorHAnsi" w:cstheme="majorHAnsi"/>
          <w:sz w:val="24"/>
          <w:szCs w:val="24"/>
          <w:lang w:val="ru-MD" w:eastAsia="ru-RU"/>
        </w:rPr>
        <w:t>внутренн</w:t>
      </w:r>
      <w:r w:rsidRPr="00EC5A7B">
        <w:rPr>
          <w:rFonts w:asciiTheme="majorHAnsi" w:hAnsiTheme="majorHAnsi" w:cstheme="majorHAnsi"/>
          <w:sz w:val="24"/>
          <w:szCs w:val="24"/>
          <w:lang w:val="ru-MD"/>
        </w:rPr>
        <w:t>его государственного долга было связано с чистым выпуском ГЦБ на первичном рынке (+</w:t>
      </w:r>
      <w:r w:rsidRPr="00EC5A7B">
        <w:rPr>
          <w:rFonts w:asciiTheme="majorHAnsi" w:hAnsiTheme="majorHAnsi" w:cstheme="majorHAnsi"/>
          <w:sz w:val="24"/>
          <w:szCs w:val="24"/>
          <w:lang w:val="ru-MD" w:eastAsia="ru-RU"/>
        </w:rPr>
        <w:t>339,6 млн. леев</w:t>
      </w:r>
      <w:r w:rsidRPr="00EC5A7B">
        <w:rPr>
          <w:rFonts w:asciiTheme="majorHAnsi" w:hAnsiTheme="majorHAnsi" w:cstheme="majorHAnsi"/>
          <w:sz w:val="24"/>
          <w:szCs w:val="24"/>
          <w:lang w:val="ru-MD"/>
        </w:rPr>
        <w:t xml:space="preserve">) и выкупом ГЦБ, выпущенных для исполнения платежных обязательств, вытекающих из государственных гарантий </w:t>
      </w:r>
      <w:r w:rsidR="00631862" w:rsidRPr="00EC5A7B">
        <w:rPr>
          <w:rFonts w:asciiTheme="majorHAnsi" w:hAnsiTheme="majorHAnsi" w:cstheme="majorHAnsi"/>
          <w:sz w:val="24"/>
          <w:szCs w:val="24"/>
          <w:lang w:val="ru-MD" w:eastAsia="ru-RU"/>
        </w:rPr>
        <w:t xml:space="preserve">(-230,0 </w:t>
      </w:r>
      <w:r w:rsidR="00220355" w:rsidRPr="00EC5A7B">
        <w:rPr>
          <w:rFonts w:asciiTheme="majorHAnsi" w:hAnsiTheme="majorHAnsi" w:cstheme="majorHAnsi"/>
          <w:sz w:val="24"/>
          <w:szCs w:val="24"/>
          <w:lang w:val="ru-MD" w:eastAsia="ru-RU"/>
        </w:rPr>
        <w:t>млн. леев</w:t>
      </w:r>
      <w:r w:rsidR="00631862" w:rsidRPr="00EC5A7B">
        <w:rPr>
          <w:rFonts w:asciiTheme="majorHAnsi" w:hAnsiTheme="majorHAnsi" w:cstheme="majorHAnsi"/>
          <w:sz w:val="24"/>
          <w:szCs w:val="24"/>
          <w:lang w:val="ru-MD" w:eastAsia="ru-RU"/>
        </w:rPr>
        <w:t xml:space="preserve">). </w:t>
      </w:r>
    </w:p>
    <w:p w14:paraId="549E017A" w14:textId="4CF88982" w:rsidR="004D1CFA" w:rsidRPr="00EC5A7B" w:rsidRDefault="00CE6D25"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i/>
          <w:sz w:val="24"/>
          <w:szCs w:val="24"/>
          <w:lang w:val="ru-MD"/>
        </w:rPr>
        <w:t xml:space="preserve">Структура внутреннего государственного долга в зависимости от типа инструментов, срока погашения, процентной ставки и назначения, за 2017-2019 годы. представлена в Приложении №4 </w:t>
      </w:r>
      <w:r w:rsidR="008236A5" w:rsidRPr="00EC5A7B">
        <w:rPr>
          <w:rFonts w:asciiTheme="majorHAnsi" w:hAnsiTheme="majorHAnsi" w:cstheme="majorHAnsi"/>
          <w:i/>
          <w:sz w:val="24"/>
          <w:szCs w:val="24"/>
          <w:lang w:val="ru-MD" w:eastAsia="ru-RU"/>
        </w:rPr>
        <w:t>к настоящему Отчету аудита</w:t>
      </w:r>
      <w:r w:rsidR="001C0F87" w:rsidRPr="00EC5A7B">
        <w:rPr>
          <w:rFonts w:asciiTheme="majorHAnsi" w:hAnsiTheme="majorHAnsi" w:cstheme="majorHAnsi"/>
          <w:i/>
          <w:sz w:val="24"/>
          <w:szCs w:val="24"/>
          <w:lang w:val="ru-MD" w:eastAsia="ru-RU"/>
        </w:rPr>
        <w:t xml:space="preserve">. </w:t>
      </w:r>
    </w:p>
    <w:p w14:paraId="4CAB8C6C" w14:textId="79CF7FBB" w:rsidR="00FC7E09" w:rsidRPr="00EC5A7B" w:rsidRDefault="00CE6D25" w:rsidP="000A5447">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Проверки аудита показали, что в 2019 году средневзвешенная номинальная процентная ставка по ГЦБ составила 6,22%, варьируя от 6,01% в марте до 6,56% – в ноябре, что на 1,23 п. п. выше, чем в 2018 году. </w:t>
      </w:r>
      <w:r w:rsidRPr="00EC5A7B">
        <w:rPr>
          <w:rFonts w:asciiTheme="majorHAnsi" w:hAnsiTheme="majorHAnsi" w:cstheme="majorHAnsi"/>
          <w:i/>
          <w:sz w:val="24"/>
          <w:szCs w:val="24"/>
          <w:lang w:val="ru-MD" w:eastAsia="ru-RU"/>
        </w:rPr>
        <w:t>Ситуация, сопоставимая с 2017 и 2018 годами, представлена на рисунке №2</w:t>
      </w:r>
      <w:r w:rsidR="00712FA2" w:rsidRPr="00EC5A7B">
        <w:rPr>
          <w:rFonts w:asciiTheme="majorHAnsi" w:hAnsiTheme="majorHAnsi" w:cstheme="majorHAnsi"/>
          <w:i/>
          <w:sz w:val="24"/>
          <w:szCs w:val="24"/>
          <w:lang w:val="ru-MD" w:eastAsia="ru-RU"/>
        </w:rPr>
        <w:t>.</w:t>
      </w:r>
    </w:p>
    <w:p w14:paraId="242E5C8B" w14:textId="77777777" w:rsidR="00EE4645" w:rsidRPr="00EC5A7B" w:rsidRDefault="00EE4645" w:rsidP="00712FA2">
      <w:pPr>
        <w:pStyle w:val="NoSpacing"/>
        <w:spacing w:line="276" w:lineRule="auto"/>
        <w:jc w:val="right"/>
        <w:rPr>
          <w:rFonts w:asciiTheme="majorHAnsi" w:hAnsiTheme="majorHAnsi" w:cstheme="majorHAnsi"/>
          <w:b/>
          <w:i/>
          <w:color w:val="5B9BD5" w:themeColor="accent1"/>
          <w:sz w:val="24"/>
          <w:szCs w:val="24"/>
          <w:lang w:val="ru-MD" w:eastAsia="ru-RU"/>
        </w:rPr>
      </w:pPr>
    </w:p>
    <w:p w14:paraId="14D32DEC" w14:textId="77777777" w:rsidR="00EE4645" w:rsidRPr="00EC5A7B" w:rsidRDefault="00EE4645" w:rsidP="00712FA2">
      <w:pPr>
        <w:pStyle w:val="NoSpacing"/>
        <w:spacing w:line="276" w:lineRule="auto"/>
        <w:jc w:val="right"/>
        <w:rPr>
          <w:rFonts w:asciiTheme="majorHAnsi" w:hAnsiTheme="majorHAnsi" w:cstheme="majorHAnsi"/>
          <w:b/>
          <w:i/>
          <w:color w:val="5B9BD5" w:themeColor="accent1"/>
          <w:sz w:val="24"/>
          <w:szCs w:val="24"/>
          <w:lang w:val="ru-MD" w:eastAsia="ru-RU"/>
        </w:rPr>
      </w:pPr>
    </w:p>
    <w:p w14:paraId="6C36E2AC" w14:textId="5DB97EE3" w:rsidR="00FC634E" w:rsidRPr="00EC5A7B" w:rsidRDefault="00CE6D25" w:rsidP="00712FA2">
      <w:pPr>
        <w:pStyle w:val="NoSpacing"/>
        <w:spacing w:line="276" w:lineRule="auto"/>
        <w:jc w:val="right"/>
        <w:rPr>
          <w:rFonts w:asciiTheme="majorHAnsi" w:hAnsiTheme="majorHAnsi" w:cstheme="majorHAnsi"/>
          <w:b/>
          <w:i/>
          <w:sz w:val="24"/>
          <w:szCs w:val="24"/>
          <w:lang w:val="ru-MD" w:eastAsia="ru-RU"/>
        </w:rPr>
      </w:pPr>
      <w:r w:rsidRPr="00EC5A7B">
        <w:rPr>
          <w:rFonts w:asciiTheme="majorHAnsi" w:hAnsiTheme="majorHAnsi" w:cstheme="majorHAnsi"/>
          <w:b/>
          <w:i/>
          <w:color w:val="5B9BD5" w:themeColor="accent1"/>
          <w:sz w:val="24"/>
          <w:szCs w:val="24"/>
          <w:lang w:val="ru-MD" w:eastAsia="ru-RU"/>
        </w:rPr>
        <w:t>Рисунок №</w:t>
      </w:r>
      <w:r w:rsidR="00712FA2" w:rsidRPr="00EC5A7B">
        <w:rPr>
          <w:rFonts w:asciiTheme="majorHAnsi" w:hAnsiTheme="majorHAnsi" w:cstheme="majorHAnsi"/>
          <w:b/>
          <w:i/>
          <w:color w:val="5B9BD5" w:themeColor="accent1"/>
          <w:sz w:val="24"/>
          <w:szCs w:val="24"/>
          <w:lang w:val="ru-MD" w:eastAsia="ru-RU"/>
        </w:rPr>
        <w:t>2</w:t>
      </w:r>
    </w:p>
    <w:p w14:paraId="10A2DFB7" w14:textId="5E98E522" w:rsidR="00486618" w:rsidRPr="00EC5A7B" w:rsidRDefault="004B68A0" w:rsidP="006B48CC">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noProof/>
          <w:sz w:val="20"/>
          <w:szCs w:val="20"/>
        </w:rPr>
        <w:lastRenderedPageBreak/>
        <w:drawing>
          <wp:anchor distT="0" distB="0" distL="114300" distR="114300" simplePos="0" relativeHeight="251663360" behindDoc="0" locked="0" layoutInCell="1" allowOverlap="1" wp14:anchorId="4DE1C926" wp14:editId="7ABAA357">
            <wp:simplePos x="0" y="0"/>
            <wp:positionH relativeFrom="margin">
              <wp:align>left</wp:align>
            </wp:positionH>
            <wp:positionV relativeFrom="paragraph">
              <wp:posOffset>1270</wp:posOffset>
            </wp:positionV>
            <wp:extent cx="5920740" cy="3154680"/>
            <wp:effectExtent l="0" t="0" r="3810" b="7620"/>
            <wp:wrapThrough wrapText="bothSides">
              <wp:wrapPolygon edited="0">
                <wp:start x="0" y="0"/>
                <wp:lineTo x="0" y="21522"/>
                <wp:lineTo x="21544" y="21522"/>
                <wp:lineTo x="21544"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B3D00" w:rsidRPr="00EC5A7B">
        <w:rPr>
          <w:rFonts w:asciiTheme="majorHAnsi" w:hAnsiTheme="majorHAnsi" w:cstheme="majorHAnsi"/>
          <w:b/>
          <w:i/>
          <w:sz w:val="20"/>
          <w:szCs w:val="20"/>
          <w:lang w:val="ru-MD" w:eastAsia="ru-RU"/>
        </w:rPr>
        <w:t>Источник</w:t>
      </w:r>
      <w:r w:rsidRPr="00EC5A7B">
        <w:rPr>
          <w:rFonts w:asciiTheme="majorHAnsi" w:hAnsiTheme="majorHAnsi" w:cstheme="majorHAnsi"/>
          <w:b/>
          <w:i/>
          <w:sz w:val="20"/>
          <w:szCs w:val="20"/>
          <w:lang w:val="ru-MD" w:eastAsia="ru-RU"/>
        </w:rPr>
        <w:t>:</w:t>
      </w:r>
      <w:r w:rsidRPr="00EC5A7B">
        <w:rPr>
          <w:rFonts w:asciiTheme="majorHAnsi" w:hAnsiTheme="majorHAnsi" w:cstheme="majorHAnsi"/>
          <w:i/>
          <w:sz w:val="20"/>
          <w:szCs w:val="20"/>
          <w:lang w:val="ru-MD" w:eastAsia="ru-RU"/>
        </w:rPr>
        <w:t xml:space="preserve"> </w:t>
      </w:r>
      <w:r w:rsidR="006173BB" w:rsidRPr="00EC5A7B">
        <w:rPr>
          <w:rFonts w:asciiTheme="majorHAnsi" w:hAnsiTheme="majorHAnsi" w:cstheme="majorHAnsi"/>
          <w:i/>
          <w:sz w:val="20"/>
          <w:szCs w:val="20"/>
          <w:lang w:val="ru-MD" w:eastAsia="ru-RU"/>
        </w:rPr>
        <w:t>Информация МФ о динамике годовых процентных ставок в 2017, 2018 и 2019 годах; Информация о базовой процентной ставке НБМ в 2017, 2018 и 2019 годах</w:t>
      </w:r>
      <w:r w:rsidR="00316E59" w:rsidRPr="00EC5A7B">
        <w:rPr>
          <w:rFonts w:asciiTheme="majorHAnsi" w:hAnsiTheme="majorHAnsi" w:cstheme="majorHAnsi"/>
          <w:i/>
          <w:sz w:val="20"/>
          <w:szCs w:val="20"/>
          <w:lang w:val="ru-MD" w:eastAsia="ru-RU"/>
        </w:rPr>
        <w:t>.</w:t>
      </w:r>
    </w:p>
    <w:p w14:paraId="536D3371" w14:textId="621320EF" w:rsidR="00FC634E" w:rsidRPr="00EC5A7B" w:rsidRDefault="006567D3"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Увеличение средневзвешенных номинальных процентных ставок на ГЦБ, выпущенных на первичном рынке</w:t>
      </w:r>
      <w:r w:rsidR="00D3673D"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на 1,23 п. п., также привело к увеличению расходов на обслуживание внутреннего государственного долга, которые в отчетном году составили 1 207,4 млн. леев, или </w:t>
      </w:r>
      <w:r w:rsidR="00936445" w:rsidRPr="00EC5A7B">
        <w:rPr>
          <w:rFonts w:asciiTheme="majorHAnsi" w:hAnsiTheme="majorHAnsi" w:cstheme="majorHAnsi"/>
          <w:sz w:val="24"/>
          <w:szCs w:val="24"/>
          <w:lang w:val="ru-MD" w:eastAsia="ru-RU"/>
        </w:rPr>
        <w:t>на</w:t>
      </w:r>
      <w:r w:rsidRPr="00EC5A7B">
        <w:rPr>
          <w:rFonts w:asciiTheme="majorHAnsi" w:hAnsiTheme="majorHAnsi" w:cstheme="majorHAnsi"/>
          <w:sz w:val="24"/>
          <w:szCs w:val="24"/>
          <w:lang w:val="ru-MD" w:eastAsia="ru-RU"/>
        </w:rPr>
        <w:t xml:space="preserve"> 82,1</w:t>
      </w:r>
      <w:r w:rsidR="00936445" w:rsidRPr="00EC5A7B">
        <w:rPr>
          <w:rFonts w:asciiTheme="majorHAnsi" w:hAnsiTheme="majorHAnsi" w:cstheme="majorHAnsi"/>
          <w:sz w:val="24"/>
          <w:szCs w:val="24"/>
          <w:lang w:val="ru-MD" w:eastAsia="ru-RU"/>
        </w:rPr>
        <w:t xml:space="preserve"> млн. леев</w:t>
      </w:r>
      <w:r w:rsidRPr="00EC5A7B">
        <w:rPr>
          <w:rFonts w:asciiTheme="majorHAnsi" w:hAnsiTheme="majorHAnsi" w:cstheme="majorHAnsi"/>
          <w:sz w:val="24"/>
          <w:szCs w:val="24"/>
          <w:lang w:val="ru-MD" w:eastAsia="ru-RU"/>
        </w:rPr>
        <w:t xml:space="preserve"> больше по сравнению с 2018 годом</w:t>
      </w:r>
      <w:r w:rsidR="00FC634E" w:rsidRPr="00EC5A7B">
        <w:rPr>
          <w:rFonts w:asciiTheme="majorHAnsi" w:hAnsiTheme="majorHAnsi" w:cstheme="majorHAnsi"/>
          <w:sz w:val="24"/>
          <w:szCs w:val="24"/>
          <w:lang w:val="ru-MD" w:eastAsia="ru-RU"/>
        </w:rPr>
        <w:t>.</w:t>
      </w:r>
    </w:p>
    <w:p w14:paraId="2E93B572" w14:textId="10CAF740" w:rsidR="00907D56" w:rsidRPr="00EC5A7B" w:rsidRDefault="006567D3" w:rsidP="00907D56">
      <w:pPr>
        <w:spacing w:line="276" w:lineRule="auto"/>
        <w:jc w:val="both"/>
        <w:rPr>
          <w:rFonts w:asciiTheme="majorHAnsi" w:eastAsia="Times New Roman" w:hAnsiTheme="majorHAnsi" w:cstheme="majorHAnsi"/>
          <w:sz w:val="24"/>
          <w:szCs w:val="24"/>
          <w:lang w:val="ru-MD"/>
        </w:rPr>
      </w:pPr>
      <w:r w:rsidRPr="00EC5A7B">
        <w:rPr>
          <w:rFonts w:asciiTheme="majorHAnsi" w:hAnsiTheme="majorHAnsi" w:cstheme="majorHAnsi"/>
          <w:sz w:val="24"/>
          <w:szCs w:val="24"/>
          <w:lang w:val="ru-MD"/>
        </w:rPr>
        <w:t>Проведенный аудитом анализ относительно эволюции процентных ставок на финансовые инструменты в 201</w:t>
      </w:r>
      <w:r w:rsidR="00BE6722" w:rsidRPr="00EC5A7B">
        <w:rPr>
          <w:rFonts w:asciiTheme="majorHAnsi" w:hAnsiTheme="majorHAnsi" w:cstheme="majorHAnsi"/>
          <w:sz w:val="24"/>
          <w:szCs w:val="24"/>
          <w:lang w:val="ru-MD"/>
        </w:rPr>
        <w:t>9</w:t>
      </w:r>
      <w:r w:rsidRPr="00EC5A7B">
        <w:rPr>
          <w:rFonts w:asciiTheme="majorHAnsi" w:hAnsiTheme="majorHAnsi" w:cstheme="majorHAnsi"/>
          <w:sz w:val="24"/>
          <w:szCs w:val="24"/>
          <w:lang w:val="ru-MD"/>
        </w:rPr>
        <w:t xml:space="preserve"> году </w:t>
      </w:r>
      <w:r w:rsidRPr="00EC5A7B">
        <w:rPr>
          <w:rFonts w:asciiTheme="majorHAnsi" w:hAnsiTheme="majorHAnsi"/>
          <w:sz w:val="24"/>
          <w:szCs w:val="24"/>
          <w:lang w:val="ru-MD"/>
        </w:rPr>
        <w:t>свидетельствует</w:t>
      </w:r>
      <w:r w:rsidRPr="00EC5A7B">
        <w:rPr>
          <w:rFonts w:asciiTheme="majorHAnsi" w:hAnsiTheme="majorHAnsi" w:cstheme="majorHAnsi"/>
          <w:sz w:val="24"/>
          <w:szCs w:val="24"/>
          <w:lang w:val="ru-MD"/>
        </w:rPr>
        <w:t xml:space="preserve"> о </w:t>
      </w:r>
      <w:r w:rsidRPr="00EC5A7B">
        <w:rPr>
          <w:rFonts w:asciiTheme="majorHAnsi" w:hAnsiTheme="majorHAnsi" w:cstheme="majorHAnsi"/>
          <w:sz w:val="24"/>
          <w:szCs w:val="24"/>
          <w:lang w:val="ru-MD" w:eastAsia="ru-RU"/>
        </w:rPr>
        <w:t>существенн</w:t>
      </w:r>
      <w:r w:rsidRPr="00EC5A7B">
        <w:rPr>
          <w:rFonts w:asciiTheme="majorHAnsi" w:hAnsiTheme="majorHAnsi" w:cstheme="majorHAnsi"/>
          <w:sz w:val="24"/>
          <w:szCs w:val="24"/>
          <w:lang w:val="ru-MD"/>
        </w:rPr>
        <w:t>ом изменении ситуации на первичном рынке ГЦБ против 201</w:t>
      </w:r>
      <w:r w:rsidR="00BE6722" w:rsidRPr="00EC5A7B">
        <w:rPr>
          <w:rFonts w:asciiTheme="majorHAnsi" w:hAnsiTheme="majorHAnsi" w:cstheme="majorHAnsi"/>
          <w:sz w:val="24"/>
          <w:szCs w:val="24"/>
          <w:lang w:val="ru-MD"/>
        </w:rPr>
        <w:t>8</w:t>
      </w:r>
      <w:r w:rsidRPr="00EC5A7B">
        <w:rPr>
          <w:rFonts w:asciiTheme="majorHAnsi" w:hAnsiTheme="majorHAnsi" w:cstheme="majorHAnsi"/>
          <w:sz w:val="24"/>
          <w:szCs w:val="24"/>
          <w:lang w:val="ru-MD"/>
        </w:rPr>
        <w:t xml:space="preserve"> года. В 201</w:t>
      </w:r>
      <w:r w:rsidR="00BE6722" w:rsidRPr="00EC5A7B">
        <w:rPr>
          <w:rFonts w:asciiTheme="majorHAnsi" w:hAnsiTheme="majorHAnsi" w:cstheme="majorHAnsi"/>
          <w:sz w:val="24"/>
          <w:szCs w:val="24"/>
          <w:lang w:val="ru-MD"/>
        </w:rPr>
        <w:t>9 году,</w:t>
      </w:r>
      <w:r w:rsidRPr="00EC5A7B">
        <w:rPr>
          <w:rFonts w:asciiTheme="majorHAnsi" w:hAnsiTheme="majorHAnsi" w:cstheme="majorHAnsi"/>
          <w:sz w:val="24"/>
          <w:szCs w:val="24"/>
          <w:lang w:val="ru-MD"/>
        </w:rPr>
        <w:t xml:space="preserve"> годовая </w:t>
      </w:r>
      <w:r w:rsidRPr="00EC5A7B">
        <w:rPr>
          <w:rFonts w:asciiTheme="majorHAnsi" w:hAnsiTheme="majorHAnsi" w:cstheme="majorHAnsi"/>
          <w:bCs/>
          <w:sz w:val="24"/>
          <w:szCs w:val="24"/>
          <w:lang w:val="ru-MD"/>
        </w:rPr>
        <w:t xml:space="preserve">средневзвешенная процентная ставка по ГЦБ составила </w:t>
      </w:r>
      <w:r w:rsidR="00BE6722" w:rsidRPr="00EC5A7B">
        <w:rPr>
          <w:rFonts w:asciiTheme="majorHAnsi" w:hAnsiTheme="majorHAnsi" w:cstheme="majorHAnsi"/>
          <w:sz w:val="24"/>
          <w:szCs w:val="24"/>
          <w:lang w:val="ru-MD"/>
        </w:rPr>
        <w:t>6</w:t>
      </w:r>
      <w:r w:rsidRPr="00EC5A7B">
        <w:rPr>
          <w:rFonts w:asciiTheme="majorHAnsi" w:hAnsiTheme="majorHAnsi" w:cstheme="majorHAnsi"/>
          <w:sz w:val="24"/>
          <w:szCs w:val="24"/>
          <w:lang w:val="ru-MD"/>
        </w:rPr>
        <w:t>,</w:t>
      </w:r>
      <w:r w:rsidR="00BE6722" w:rsidRPr="00EC5A7B">
        <w:rPr>
          <w:rFonts w:asciiTheme="majorHAnsi" w:hAnsiTheme="majorHAnsi" w:cstheme="majorHAnsi"/>
          <w:sz w:val="24"/>
          <w:szCs w:val="24"/>
          <w:lang w:val="ru-MD"/>
        </w:rPr>
        <w:t>22</w:t>
      </w:r>
      <w:r w:rsidRPr="00EC5A7B">
        <w:rPr>
          <w:rFonts w:asciiTheme="majorHAnsi" w:hAnsiTheme="majorHAnsi" w:cstheme="majorHAnsi"/>
          <w:sz w:val="24"/>
          <w:szCs w:val="24"/>
          <w:lang w:val="ru-MD"/>
        </w:rPr>
        <w:t>% (</w:t>
      </w:r>
      <w:r w:rsidR="00BE6722" w:rsidRPr="00EC5A7B">
        <w:rPr>
          <w:rFonts w:asciiTheme="majorHAnsi" w:hAnsiTheme="majorHAnsi" w:cstheme="majorHAnsi"/>
          <w:sz w:val="24"/>
          <w:szCs w:val="24"/>
          <w:lang w:val="ru-MD"/>
        </w:rPr>
        <w:t>+</w:t>
      </w:r>
      <w:r w:rsidRPr="00EC5A7B">
        <w:rPr>
          <w:rFonts w:asciiTheme="majorHAnsi" w:hAnsiTheme="majorHAnsi" w:cstheme="majorHAnsi"/>
          <w:sz w:val="24"/>
          <w:szCs w:val="24"/>
          <w:lang w:val="ru-MD"/>
        </w:rPr>
        <w:t>1,</w:t>
      </w:r>
      <w:r w:rsidR="00BE6722" w:rsidRPr="00EC5A7B">
        <w:rPr>
          <w:rFonts w:asciiTheme="majorHAnsi" w:hAnsiTheme="majorHAnsi" w:cstheme="majorHAnsi"/>
          <w:sz w:val="24"/>
          <w:szCs w:val="24"/>
          <w:lang w:val="ru-MD"/>
        </w:rPr>
        <w:t>23</w:t>
      </w:r>
      <w:r w:rsidRPr="00EC5A7B">
        <w:rPr>
          <w:rFonts w:asciiTheme="majorHAnsi" w:hAnsiTheme="majorHAnsi" w:cstheme="majorHAnsi"/>
          <w:sz w:val="24"/>
          <w:szCs w:val="24"/>
          <w:lang w:val="ru-MD"/>
        </w:rPr>
        <w:t xml:space="preserve"> п.п.), по кредитам – </w:t>
      </w:r>
      <w:r w:rsidR="00BE6722" w:rsidRPr="00EC5A7B">
        <w:rPr>
          <w:rFonts w:asciiTheme="majorHAnsi" w:hAnsiTheme="majorHAnsi" w:cstheme="majorHAnsi"/>
          <w:sz w:val="24"/>
          <w:szCs w:val="24"/>
          <w:lang w:val="ru-MD"/>
        </w:rPr>
        <w:t>8</w:t>
      </w:r>
      <w:r w:rsidRPr="00EC5A7B">
        <w:rPr>
          <w:rFonts w:asciiTheme="majorHAnsi" w:hAnsiTheme="majorHAnsi" w:cstheme="majorHAnsi"/>
          <w:sz w:val="24"/>
          <w:szCs w:val="24"/>
          <w:lang w:val="ru-MD"/>
        </w:rPr>
        <w:t>,</w:t>
      </w:r>
      <w:r w:rsidR="00BE6722" w:rsidRPr="00EC5A7B">
        <w:rPr>
          <w:rFonts w:asciiTheme="majorHAnsi" w:hAnsiTheme="majorHAnsi" w:cstheme="majorHAnsi"/>
          <w:sz w:val="24"/>
          <w:szCs w:val="24"/>
          <w:lang w:val="ru-MD"/>
        </w:rPr>
        <w:t>22</w:t>
      </w:r>
      <w:r w:rsidRPr="00EC5A7B">
        <w:rPr>
          <w:rFonts w:asciiTheme="majorHAnsi" w:hAnsiTheme="majorHAnsi" w:cstheme="majorHAnsi"/>
          <w:sz w:val="24"/>
          <w:szCs w:val="24"/>
          <w:lang w:val="ru-MD"/>
        </w:rPr>
        <w:t>% (-</w:t>
      </w:r>
      <w:r w:rsidR="00BE6722" w:rsidRPr="00EC5A7B">
        <w:rPr>
          <w:rFonts w:asciiTheme="majorHAnsi" w:hAnsiTheme="majorHAnsi" w:cstheme="majorHAnsi"/>
          <w:sz w:val="24"/>
          <w:szCs w:val="24"/>
          <w:lang w:val="ru-MD"/>
        </w:rPr>
        <w:t>0</w:t>
      </w:r>
      <w:r w:rsidRPr="00EC5A7B">
        <w:rPr>
          <w:rFonts w:asciiTheme="majorHAnsi" w:hAnsiTheme="majorHAnsi" w:cstheme="majorHAnsi"/>
          <w:sz w:val="24"/>
          <w:szCs w:val="24"/>
          <w:lang w:val="ru-MD"/>
        </w:rPr>
        <w:t>,</w:t>
      </w:r>
      <w:r w:rsidR="00BE6722" w:rsidRPr="00EC5A7B">
        <w:rPr>
          <w:rFonts w:asciiTheme="majorHAnsi" w:hAnsiTheme="majorHAnsi" w:cstheme="majorHAnsi"/>
          <w:sz w:val="24"/>
          <w:szCs w:val="24"/>
          <w:lang w:val="ru-MD"/>
        </w:rPr>
        <w:t>88</w:t>
      </w:r>
      <w:r w:rsidRPr="00EC5A7B">
        <w:rPr>
          <w:rFonts w:asciiTheme="majorHAnsi" w:hAnsiTheme="majorHAnsi" w:cstheme="majorHAnsi"/>
          <w:sz w:val="24"/>
          <w:szCs w:val="24"/>
          <w:lang w:val="ru-MD"/>
        </w:rPr>
        <w:t xml:space="preserve"> п.п.) и по депозитам – 4,</w:t>
      </w:r>
      <w:r w:rsidR="00BE6722" w:rsidRPr="00EC5A7B">
        <w:rPr>
          <w:rFonts w:asciiTheme="majorHAnsi" w:hAnsiTheme="majorHAnsi" w:cstheme="majorHAnsi"/>
          <w:sz w:val="24"/>
          <w:szCs w:val="24"/>
          <w:lang w:val="ru-MD"/>
        </w:rPr>
        <w:t>75</w:t>
      </w:r>
      <w:r w:rsidRPr="00EC5A7B">
        <w:rPr>
          <w:rFonts w:asciiTheme="majorHAnsi" w:hAnsiTheme="majorHAnsi" w:cstheme="majorHAnsi"/>
          <w:sz w:val="24"/>
          <w:szCs w:val="24"/>
          <w:lang w:val="ru-MD"/>
        </w:rPr>
        <w:t>% (-</w:t>
      </w:r>
      <w:r w:rsidR="00BE6722" w:rsidRPr="00EC5A7B">
        <w:rPr>
          <w:rFonts w:asciiTheme="majorHAnsi" w:hAnsiTheme="majorHAnsi" w:cstheme="majorHAnsi"/>
          <w:sz w:val="24"/>
          <w:szCs w:val="24"/>
          <w:lang w:val="ru-MD"/>
        </w:rPr>
        <w:t>0</w:t>
      </w:r>
      <w:r w:rsidRPr="00EC5A7B">
        <w:rPr>
          <w:rFonts w:asciiTheme="majorHAnsi" w:hAnsiTheme="majorHAnsi" w:cstheme="majorHAnsi"/>
          <w:sz w:val="24"/>
          <w:szCs w:val="24"/>
          <w:lang w:val="ru-MD"/>
        </w:rPr>
        <w:t>,</w:t>
      </w:r>
      <w:r w:rsidR="00BE6722" w:rsidRPr="00EC5A7B">
        <w:rPr>
          <w:rFonts w:asciiTheme="majorHAnsi" w:hAnsiTheme="majorHAnsi" w:cstheme="majorHAnsi"/>
          <w:sz w:val="24"/>
          <w:szCs w:val="24"/>
          <w:lang w:val="ru-MD"/>
        </w:rPr>
        <w:t>11</w:t>
      </w:r>
      <w:r w:rsidRPr="00EC5A7B">
        <w:rPr>
          <w:rFonts w:asciiTheme="majorHAnsi" w:hAnsiTheme="majorHAnsi" w:cstheme="majorHAnsi"/>
          <w:sz w:val="24"/>
          <w:szCs w:val="24"/>
          <w:lang w:val="ru-MD"/>
        </w:rPr>
        <w:t xml:space="preserve"> п.п.). Также, аудит </w:t>
      </w:r>
      <w:r w:rsidRPr="00EC5A7B">
        <w:rPr>
          <w:rFonts w:asciiTheme="majorHAnsi" w:hAnsiTheme="majorHAnsi" w:cstheme="majorHAnsi"/>
          <w:bCs/>
          <w:sz w:val="24"/>
          <w:szCs w:val="24"/>
          <w:lang w:val="ru-MD" w:eastAsia="ro-RO"/>
        </w:rPr>
        <w:t xml:space="preserve">отмечает, что </w:t>
      </w:r>
      <w:r w:rsidR="00BE6722" w:rsidRPr="00EC5A7B">
        <w:rPr>
          <w:rFonts w:asciiTheme="majorHAnsi" w:hAnsiTheme="majorHAnsi" w:cstheme="majorHAnsi"/>
          <w:bCs/>
          <w:sz w:val="24"/>
          <w:szCs w:val="24"/>
          <w:lang w:val="ru-MD" w:eastAsia="ro-RO"/>
        </w:rPr>
        <w:t>базов</w:t>
      </w:r>
      <w:r w:rsidRPr="00EC5A7B">
        <w:rPr>
          <w:rFonts w:asciiTheme="majorHAnsi" w:hAnsiTheme="majorHAnsi" w:cstheme="majorHAnsi"/>
          <w:bCs/>
          <w:sz w:val="24"/>
          <w:szCs w:val="24"/>
          <w:lang w:val="ru-MD" w:eastAsia="ro-RO"/>
        </w:rPr>
        <w:t xml:space="preserve">ая ставка НБМ </w:t>
      </w:r>
      <w:r w:rsidR="00BE6722" w:rsidRPr="00EC5A7B">
        <w:rPr>
          <w:rFonts w:asciiTheme="majorHAnsi" w:hAnsiTheme="majorHAnsi" w:cstheme="majorHAnsi"/>
          <w:bCs/>
          <w:sz w:val="24"/>
          <w:szCs w:val="24"/>
          <w:lang w:val="ru-MD" w:eastAsia="ro-RO"/>
        </w:rPr>
        <w:t>изменилась</w:t>
      </w:r>
      <w:r w:rsidRPr="00EC5A7B">
        <w:rPr>
          <w:rFonts w:asciiTheme="majorHAnsi" w:hAnsiTheme="majorHAnsi" w:cstheme="majorHAnsi"/>
          <w:bCs/>
          <w:sz w:val="24"/>
          <w:szCs w:val="24"/>
          <w:lang w:val="ru-MD" w:eastAsia="ro-RO"/>
        </w:rPr>
        <w:t xml:space="preserve"> в течение года </w:t>
      </w:r>
      <w:r w:rsidR="00BE6722" w:rsidRPr="00EC5A7B">
        <w:rPr>
          <w:rFonts w:asciiTheme="majorHAnsi" w:eastAsia="Times New Roman" w:hAnsiTheme="majorHAnsi" w:cstheme="majorHAnsi"/>
          <w:sz w:val="24"/>
          <w:szCs w:val="24"/>
          <w:lang w:val="ru-MD"/>
        </w:rPr>
        <w:t>от</w:t>
      </w:r>
      <w:r w:rsidR="00907D56" w:rsidRPr="00EC5A7B">
        <w:rPr>
          <w:rFonts w:asciiTheme="majorHAnsi" w:eastAsia="Times New Roman" w:hAnsiTheme="majorHAnsi" w:cstheme="majorHAnsi"/>
          <w:sz w:val="24"/>
          <w:szCs w:val="24"/>
          <w:lang w:val="ru-MD"/>
        </w:rPr>
        <w:t xml:space="preserve"> 6,5% </w:t>
      </w:r>
      <w:r w:rsidR="00BE6722" w:rsidRPr="00EC5A7B">
        <w:rPr>
          <w:rFonts w:asciiTheme="majorHAnsi" w:eastAsia="Times New Roman" w:hAnsiTheme="majorHAnsi" w:cstheme="majorHAnsi"/>
          <w:sz w:val="24"/>
          <w:szCs w:val="24"/>
          <w:lang w:val="ru-MD"/>
        </w:rPr>
        <w:t xml:space="preserve">в январе месяце до </w:t>
      </w:r>
      <w:r w:rsidR="00907D56" w:rsidRPr="00EC5A7B">
        <w:rPr>
          <w:rFonts w:asciiTheme="majorHAnsi" w:eastAsia="Times New Roman" w:hAnsiTheme="majorHAnsi" w:cstheme="majorHAnsi"/>
          <w:sz w:val="24"/>
          <w:szCs w:val="24"/>
          <w:lang w:val="ru-MD"/>
        </w:rPr>
        <w:t xml:space="preserve">5,5% </w:t>
      </w:r>
      <w:r w:rsidR="00BE6722" w:rsidRPr="00EC5A7B">
        <w:rPr>
          <w:rFonts w:asciiTheme="majorHAnsi" w:eastAsia="Times New Roman" w:hAnsiTheme="majorHAnsi" w:cstheme="majorHAnsi"/>
          <w:sz w:val="24"/>
          <w:szCs w:val="24"/>
          <w:lang w:val="ru-MD"/>
        </w:rPr>
        <w:t>в декабре</w:t>
      </w:r>
      <w:r w:rsidR="00907D56" w:rsidRPr="00EC5A7B">
        <w:rPr>
          <w:rFonts w:asciiTheme="majorHAnsi" w:eastAsia="Times New Roman" w:hAnsiTheme="majorHAnsi" w:cstheme="majorHAnsi"/>
          <w:sz w:val="24"/>
          <w:szCs w:val="24"/>
          <w:lang w:val="ru-MD"/>
        </w:rPr>
        <w:t xml:space="preserve">. </w:t>
      </w:r>
    </w:p>
    <w:p w14:paraId="225E2E30" w14:textId="59C781D1" w:rsidR="00907D56" w:rsidRPr="00EC5A7B" w:rsidRDefault="00502681" w:rsidP="00D45A87">
      <w:pPr>
        <w:spacing w:line="276" w:lineRule="auto"/>
        <w:jc w:val="both"/>
        <w:rPr>
          <w:rFonts w:asciiTheme="majorHAnsi" w:eastAsia="Times New Roman" w:hAnsiTheme="majorHAnsi" w:cstheme="majorHAnsi"/>
          <w:sz w:val="24"/>
          <w:szCs w:val="24"/>
          <w:lang w:val="ru-MD"/>
        </w:rPr>
      </w:pPr>
      <w:r w:rsidRPr="00EC5A7B">
        <w:rPr>
          <w:rFonts w:asciiTheme="majorHAnsi" w:hAnsiTheme="majorHAnsi" w:cstheme="majorHAnsi"/>
          <w:i/>
          <w:sz w:val="24"/>
          <w:szCs w:val="24"/>
          <w:lang w:val="ru-MD"/>
        </w:rPr>
        <w:t xml:space="preserve">Сравнительный анализ эволюции процентных ставок на финансовые инструменты в 2018 и 2019 годах представлен на диаграммах №1 и №2 из </w:t>
      </w:r>
      <w:r w:rsidRPr="00EC5A7B">
        <w:rPr>
          <w:rFonts w:asciiTheme="majorHAnsi" w:hAnsiTheme="majorHAnsi" w:cstheme="majorHAnsi"/>
          <w:i/>
          <w:sz w:val="24"/>
          <w:szCs w:val="24"/>
          <w:lang w:val="ru-MD" w:eastAsia="ru-RU"/>
        </w:rPr>
        <w:t>приложения №5 к настоящему Отчету аудита</w:t>
      </w:r>
      <w:r w:rsidR="00907D56" w:rsidRPr="00EC5A7B">
        <w:rPr>
          <w:rFonts w:asciiTheme="majorHAnsi" w:eastAsia="Times New Roman" w:hAnsiTheme="majorHAnsi" w:cstheme="majorHAnsi"/>
          <w:sz w:val="24"/>
          <w:szCs w:val="24"/>
          <w:lang w:val="ru-MD"/>
        </w:rPr>
        <w:t xml:space="preserve">. </w:t>
      </w:r>
    </w:p>
    <w:p w14:paraId="0A36EC66" w14:textId="1191EB94" w:rsidR="00907D56" w:rsidRPr="00EC5A7B" w:rsidRDefault="007F7A09" w:rsidP="00D45A87">
      <w:pPr>
        <w:spacing w:line="276" w:lineRule="auto"/>
        <w:jc w:val="both"/>
        <w:rPr>
          <w:rFonts w:asciiTheme="majorHAnsi" w:eastAsia="Times New Roman" w:hAnsiTheme="majorHAnsi" w:cstheme="majorHAnsi"/>
          <w:sz w:val="24"/>
          <w:szCs w:val="24"/>
          <w:lang w:val="ru-MD"/>
        </w:rPr>
      </w:pPr>
      <w:r w:rsidRPr="00EC5A7B">
        <w:rPr>
          <w:rFonts w:asciiTheme="majorHAnsi" w:hAnsiTheme="majorHAnsi" w:cstheme="majorHAnsi"/>
          <w:sz w:val="24"/>
          <w:szCs w:val="24"/>
          <w:lang w:val="ru-MD"/>
        </w:rPr>
        <w:lastRenderedPageBreak/>
        <w:t xml:space="preserve">Аудит </w:t>
      </w:r>
      <w:r w:rsidRPr="00EC5A7B">
        <w:rPr>
          <w:rFonts w:asciiTheme="majorHAnsi" w:hAnsiTheme="majorHAnsi" w:cstheme="majorHAnsi"/>
          <w:bCs/>
          <w:sz w:val="24"/>
          <w:szCs w:val="24"/>
          <w:lang w:val="ru-MD" w:eastAsia="ro-RO"/>
        </w:rPr>
        <w:t xml:space="preserve">отмечает, что в течение всего года </w:t>
      </w:r>
      <w:r w:rsidRPr="00EC5A7B">
        <w:rPr>
          <w:rFonts w:asciiTheme="majorHAnsi" w:hAnsiTheme="majorHAnsi" w:cstheme="majorHAnsi"/>
          <w:bCs/>
          <w:sz w:val="24"/>
          <w:szCs w:val="24"/>
          <w:lang w:val="ru-MD"/>
        </w:rPr>
        <w:t>средневзвешенные процентные ставки по ГЦБ, согласованные в рамках торгов, были ниже как среднемесячных ставок по кредитам, предоставленным банковской системой, так и базовых ставок НБМ (за исключением декабря месяца). По сравнению с среднемесячными ставками на депозиты, годовые средневзвешенные процентные ставки по ГЦБ были выше на протяжении всего года</w:t>
      </w:r>
      <w:r w:rsidR="00907D56" w:rsidRPr="00EC5A7B">
        <w:rPr>
          <w:rFonts w:asciiTheme="majorHAnsi" w:eastAsia="Times New Roman" w:hAnsiTheme="majorHAnsi" w:cstheme="majorHAnsi"/>
          <w:sz w:val="24"/>
          <w:szCs w:val="24"/>
          <w:lang w:val="ru-MD"/>
        </w:rPr>
        <w:t>.</w:t>
      </w:r>
    </w:p>
    <w:p w14:paraId="364EF7EE" w14:textId="5DC0AEF5" w:rsidR="005B5BD4" w:rsidRPr="00EC5A7B" w:rsidRDefault="00496DDD" w:rsidP="005B5BD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На 2019 год МФ разработало графики проведения аукционов по продаже </w:t>
      </w:r>
      <w:r w:rsidRPr="00EC5A7B">
        <w:rPr>
          <w:rFonts w:asciiTheme="majorHAnsi" w:hAnsiTheme="majorHAnsi" w:cstheme="majorHAnsi"/>
          <w:b/>
          <w:i/>
          <w:sz w:val="24"/>
          <w:szCs w:val="24"/>
          <w:lang w:val="ru-MD" w:eastAsia="ru-RU"/>
        </w:rPr>
        <w:t>ГЦБ, выпущенных на первичном рынке</w:t>
      </w:r>
      <w:r w:rsidRPr="00EC5A7B">
        <w:rPr>
          <w:rFonts w:asciiTheme="majorHAnsi" w:hAnsiTheme="majorHAnsi" w:cstheme="majorHAnsi"/>
          <w:sz w:val="24"/>
          <w:szCs w:val="24"/>
          <w:lang w:val="ru-MD" w:eastAsia="ru-RU"/>
        </w:rPr>
        <w:t xml:space="preserve"> в форме записи на счете в I, II, III и IV кварталах. Согласно этим графикам, МФ планировало проведение 48 аукционов по продаже ГЦБ. Фактически, в течение года было проведено 50 аукционов, или на 2 аукциона больше по сравнению с разработанными графиками, хотя в Отчете о ситуации в области долга публичного сектора, государственных гарантий и государственного рекредитования за 2019 год указаны только 49 аукционов. По результатам этих аукционов МФ предоставило дополнительно ГЦБ на сумму 765,45 млн. леев</w:t>
      </w:r>
      <w:r w:rsidR="00B9729D" w:rsidRPr="00EC5A7B">
        <w:rPr>
          <w:rFonts w:asciiTheme="majorHAnsi" w:hAnsiTheme="majorHAnsi" w:cstheme="majorHAnsi"/>
          <w:sz w:val="24"/>
          <w:szCs w:val="24"/>
          <w:lang w:val="ru-MD" w:eastAsia="ru-RU"/>
        </w:rPr>
        <w:t>.</w:t>
      </w:r>
      <w:r w:rsidR="00204D8A"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В то же время, аудитом установлено, что в результате одного из дополнительных аукционов от 30.12.2019, средства от реализации ГЦБ по стоимости продажи в сумме 346,86 млн. леев поступили в государственный бюджет уже в 2020 году, обеспечив, таким образом, необходимый уровень ликвидности на начало января 2020 года. Согласно комментариям субъекта: „До 2019 года при разработке Графиков МФ руководствовалось принципом списания ГЦБ, а не дат</w:t>
      </w:r>
      <w:r w:rsidR="00202966" w:rsidRPr="00EC5A7B">
        <w:rPr>
          <w:rFonts w:asciiTheme="majorHAnsi" w:hAnsiTheme="majorHAnsi" w:cstheme="majorHAnsi"/>
          <w:sz w:val="24"/>
          <w:szCs w:val="24"/>
          <w:lang w:val="ru-MD" w:eastAsia="ru-RU"/>
        </w:rPr>
        <w:t>ой</w:t>
      </w:r>
      <w:r w:rsidRPr="00EC5A7B">
        <w:rPr>
          <w:rFonts w:asciiTheme="majorHAnsi" w:hAnsiTheme="majorHAnsi" w:cstheme="majorHAnsi"/>
          <w:sz w:val="24"/>
          <w:szCs w:val="24"/>
          <w:lang w:val="ru-MD" w:eastAsia="ru-RU"/>
        </w:rPr>
        <w:t xml:space="preserve"> проведения аукционов по размещению ГЦБ. Соответственно, только </w:t>
      </w:r>
      <w:r w:rsidR="00202966" w:rsidRPr="00EC5A7B">
        <w:rPr>
          <w:rFonts w:asciiTheme="majorHAnsi" w:hAnsiTheme="majorHAnsi" w:cstheme="majorHAnsi"/>
          <w:sz w:val="24"/>
          <w:szCs w:val="24"/>
          <w:lang w:val="ru-MD" w:eastAsia="ru-RU"/>
        </w:rPr>
        <w:t xml:space="preserve">один </w:t>
      </w:r>
      <w:r w:rsidRPr="00EC5A7B">
        <w:rPr>
          <w:rFonts w:asciiTheme="majorHAnsi" w:hAnsiTheme="majorHAnsi" w:cstheme="majorHAnsi"/>
          <w:sz w:val="24"/>
          <w:szCs w:val="24"/>
          <w:lang w:val="ru-MD" w:eastAsia="ru-RU"/>
        </w:rPr>
        <w:t xml:space="preserve">дополнительный аукцион (от 29.03.2019) </w:t>
      </w:r>
      <w:r w:rsidR="00202966" w:rsidRPr="00EC5A7B">
        <w:rPr>
          <w:rFonts w:asciiTheme="majorHAnsi" w:hAnsiTheme="majorHAnsi" w:cstheme="majorHAnsi"/>
          <w:sz w:val="24"/>
          <w:szCs w:val="24"/>
          <w:lang w:val="ru-MD" w:eastAsia="ru-RU"/>
        </w:rPr>
        <w:t>включен</w:t>
      </w:r>
      <w:r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lastRenderedPageBreak/>
        <w:t xml:space="preserve">в </w:t>
      </w:r>
      <w:r w:rsidR="00202966" w:rsidRPr="00EC5A7B">
        <w:rPr>
          <w:rFonts w:asciiTheme="majorHAnsi" w:hAnsiTheme="majorHAnsi" w:cstheme="majorHAnsi"/>
          <w:sz w:val="24"/>
          <w:szCs w:val="24"/>
          <w:lang w:val="ru-MD" w:eastAsia="ru-RU"/>
        </w:rPr>
        <w:t>количество</w:t>
      </w:r>
      <w:r w:rsidRPr="00EC5A7B">
        <w:rPr>
          <w:rFonts w:asciiTheme="majorHAnsi" w:hAnsiTheme="majorHAnsi" w:cstheme="majorHAnsi"/>
          <w:sz w:val="24"/>
          <w:szCs w:val="24"/>
          <w:lang w:val="ru-MD" w:eastAsia="ru-RU"/>
        </w:rPr>
        <w:t xml:space="preserve"> аукционов. Этот принцип был изменен при разработке </w:t>
      </w:r>
      <w:r w:rsidR="00202966" w:rsidRPr="00EC5A7B">
        <w:rPr>
          <w:rFonts w:asciiTheme="majorHAnsi" w:hAnsiTheme="majorHAnsi" w:cstheme="majorHAnsi"/>
          <w:sz w:val="24"/>
          <w:szCs w:val="24"/>
          <w:lang w:val="ru-MD" w:eastAsia="ru-RU"/>
        </w:rPr>
        <w:t>Графиков начиная</w:t>
      </w:r>
      <w:r w:rsidRPr="00EC5A7B">
        <w:rPr>
          <w:rFonts w:asciiTheme="majorHAnsi" w:hAnsiTheme="majorHAnsi" w:cstheme="majorHAnsi"/>
          <w:sz w:val="24"/>
          <w:szCs w:val="24"/>
          <w:lang w:val="ru-MD" w:eastAsia="ru-RU"/>
        </w:rPr>
        <w:t xml:space="preserve"> с 2020 года”</w:t>
      </w:r>
      <w:r w:rsidR="005B5BD4" w:rsidRPr="00EC5A7B">
        <w:rPr>
          <w:rFonts w:asciiTheme="majorHAnsi" w:hAnsiTheme="majorHAnsi" w:cstheme="majorHAnsi"/>
          <w:sz w:val="24"/>
          <w:szCs w:val="24"/>
          <w:lang w:val="ru-MD" w:eastAsia="ru-RU"/>
        </w:rPr>
        <w:t>.</w:t>
      </w:r>
    </w:p>
    <w:p w14:paraId="4A1F2DF1" w14:textId="0332DDBD" w:rsidR="005B5BD4" w:rsidRPr="00EC5A7B" w:rsidRDefault="008A472A"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Согласно ст</w:t>
      </w:r>
      <w:r w:rsidR="005B5BD4" w:rsidRPr="00EC5A7B">
        <w:rPr>
          <w:rFonts w:asciiTheme="majorHAnsi" w:hAnsiTheme="majorHAnsi" w:cstheme="majorHAnsi"/>
          <w:sz w:val="24"/>
          <w:szCs w:val="24"/>
          <w:lang w:val="ru-MD" w:eastAsia="ru-RU"/>
        </w:rPr>
        <w:t>.5 (1) h</w:t>
      </w:r>
      <w:r w:rsidR="00D67B5B" w:rsidRPr="00EC5A7B">
        <w:rPr>
          <w:rFonts w:asciiTheme="majorHAnsi" w:hAnsiTheme="majorHAnsi" w:cstheme="majorHAnsi"/>
          <w:sz w:val="24"/>
          <w:szCs w:val="24"/>
          <w:lang w:val="ru-MD" w:eastAsia="ru-RU"/>
        </w:rPr>
        <w:t>)</w:t>
      </w:r>
      <w:r w:rsidR="005B5BD4"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Закона</w:t>
      </w:r>
      <w:r w:rsidR="005B5BD4"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w:t>
      </w:r>
      <w:r w:rsidR="005B5BD4" w:rsidRPr="00EC5A7B">
        <w:rPr>
          <w:rFonts w:asciiTheme="majorHAnsi" w:hAnsiTheme="majorHAnsi" w:cstheme="majorHAnsi"/>
          <w:sz w:val="24"/>
          <w:szCs w:val="24"/>
          <w:lang w:val="ru-MD" w:eastAsia="ru-RU"/>
        </w:rPr>
        <w:t xml:space="preserve">419 </w:t>
      </w:r>
      <w:r w:rsidRPr="00EC5A7B">
        <w:rPr>
          <w:rFonts w:asciiTheme="majorHAnsi" w:hAnsiTheme="majorHAnsi" w:cstheme="majorHAnsi"/>
          <w:sz w:val="24"/>
          <w:szCs w:val="24"/>
          <w:lang w:val="ru-MD" w:eastAsia="ru-RU"/>
        </w:rPr>
        <w:t>от</w:t>
      </w:r>
      <w:r w:rsidR="005B5BD4" w:rsidRPr="00EC5A7B">
        <w:rPr>
          <w:rFonts w:asciiTheme="majorHAnsi" w:hAnsiTheme="majorHAnsi" w:cstheme="majorHAnsi"/>
          <w:sz w:val="24"/>
          <w:szCs w:val="24"/>
          <w:lang w:val="ru-MD" w:eastAsia="ru-RU"/>
        </w:rPr>
        <w:t xml:space="preserve"> 22.12.2006, </w:t>
      </w:r>
      <w:r w:rsidRPr="00EC5A7B">
        <w:rPr>
          <w:rFonts w:asciiTheme="majorHAnsi" w:hAnsiTheme="majorHAnsi" w:cstheme="majorHAnsi"/>
          <w:sz w:val="24"/>
          <w:szCs w:val="24"/>
          <w:lang w:val="ru-MD" w:eastAsia="ru-RU"/>
        </w:rPr>
        <w:t>МФ определяет план внутреннего и внешнего размещения государственных ценных бумаг в начале каждого бюджетного года, а также изменяет этот план при необходимости</w:t>
      </w:r>
      <w:r w:rsidR="005B5BD4"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В этом аспекте проверки аудита показали, что МФ не обновляло графики проведения аукционов при необходимости. Согласно </w:t>
      </w:r>
      <w:r w:rsidR="00A05716" w:rsidRPr="00EC5A7B">
        <w:rPr>
          <w:rFonts w:asciiTheme="majorHAnsi" w:hAnsiTheme="majorHAnsi" w:cstheme="majorHAnsi"/>
          <w:sz w:val="24"/>
          <w:szCs w:val="24"/>
          <w:lang w:val="ru-MD" w:eastAsia="ru-RU"/>
        </w:rPr>
        <w:t>объяснениям МФ</w:t>
      </w:r>
      <w:r w:rsidRPr="00EC5A7B">
        <w:rPr>
          <w:rFonts w:asciiTheme="majorHAnsi" w:hAnsiTheme="majorHAnsi" w:cstheme="majorHAnsi"/>
          <w:sz w:val="24"/>
          <w:szCs w:val="24"/>
          <w:lang w:val="ru-MD" w:eastAsia="ru-RU"/>
        </w:rPr>
        <w:t xml:space="preserve">: </w:t>
      </w:r>
      <w:r w:rsidR="00A05716" w:rsidRPr="00EC5A7B">
        <w:rPr>
          <w:rFonts w:asciiTheme="majorHAnsi" w:hAnsiTheme="majorHAnsi" w:cstheme="majorHAnsi"/>
          <w:sz w:val="24"/>
          <w:szCs w:val="24"/>
          <w:lang w:val="ru-MD" w:eastAsia="ru-RU"/>
        </w:rPr>
        <w:t>„В</w:t>
      </w:r>
      <w:r w:rsidRPr="00EC5A7B">
        <w:rPr>
          <w:rFonts w:asciiTheme="majorHAnsi" w:hAnsiTheme="majorHAnsi" w:cstheme="majorHAnsi"/>
          <w:sz w:val="24"/>
          <w:szCs w:val="24"/>
          <w:lang w:val="ru-MD" w:eastAsia="ru-RU"/>
        </w:rPr>
        <w:t xml:space="preserve"> течение 2019 года МФ не </w:t>
      </w:r>
      <w:r w:rsidR="00A05716" w:rsidRPr="00EC5A7B">
        <w:rPr>
          <w:rFonts w:asciiTheme="majorHAnsi" w:hAnsiTheme="majorHAnsi" w:cstheme="majorHAnsi"/>
          <w:sz w:val="24"/>
          <w:szCs w:val="24"/>
          <w:lang w:val="ru-MD" w:eastAsia="ru-RU"/>
        </w:rPr>
        <w:t xml:space="preserve">были </w:t>
      </w:r>
      <w:r w:rsidRPr="00EC5A7B">
        <w:rPr>
          <w:rFonts w:asciiTheme="majorHAnsi" w:hAnsiTheme="majorHAnsi" w:cstheme="majorHAnsi"/>
          <w:sz w:val="24"/>
          <w:szCs w:val="24"/>
          <w:lang w:val="ru-MD" w:eastAsia="ru-RU"/>
        </w:rPr>
        <w:t>за</w:t>
      </w:r>
      <w:r w:rsidR="00A05716" w:rsidRPr="00EC5A7B">
        <w:rPr>
          <w:rFonts w:asciiTheme="majorHAnsi" w:hAnsiTheme="majorHAnsi" w:cstheme="majorHAnsi"/>
          <w:sz w:val="24"/>
          <w:szCs w:val="24"/>
          <w:lang w:val="ru-MD" w:eastAsia="ru-RU"/>
        </w:rPr>
        <w:t>фиксированы</w:t>
      </w:r>
      <w:r w:rsidRPr="00EC5A7B">
        <w:rPr>
          <w:rFonts w:asciiTheme="majorHAnsi" w:hAnsiTheme="majorHAnsi" w:cstheme="majorHAnsi"/>
          <w:sz w:val="24"/>
          <w:szCs w:val="24"/>
          <w:lang w:val="ru-MD" w:eastAsia="ru-RU"/>
        </w:rPr>
        <w:t xml:space="preserve"> исключительны</w:t>
      </w:r>
      <w:r w:rsidR="00A05716"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ситуаци</w:t>
      </w:r>
      <w:r w:rsidR="00A05716"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чтобы рассмотреть необходимость обновления </w:t>
      </w:r>
      <w:r w:rsidR="00A05716" w:rsidRPr="00EC5A7B">
        <w:rPr>
          <w:rFonts w:asciiTheme="majorHAnsi" w:hAnsiTheme="majorHAnsi" w:cstheme="majorHAnsi"/>
          <w:sz w:val="24"/>
          <w:szCs w:val="24"/>
          <w:lang w:val="ru-MD" w:eastAsia="ru-RU"/>
        </w:rPr>
        <w:t>графиков</w:t>
      </w:r>
      <w:r w:rsidRPr="00EC5A7B">
        <w:rPr>
          <w:rFonts w:asciiTheme="majorHAnsi" w:hAnsiTheme="majorHAnsi" w:cstheme="majorHAnsi"/>
          <w:sz w:val="24"/>
          <w:szCs w:val="24"/>
          <w:lang w:val="ru-MD" w:eastAsia="ru-RU"/>
        </w:rPr>
        <w:t xml:space="preserve">. </w:t>
      </w:r>
      <w:r w:rsidR="00A05716" w:rsidRPr="00EC5A7B">
        <w:rPr>
          <w:rFonts w:asciiTheme="majorHAnsi" w:hAnsiTheme="majorHAnsi" w:cstheme="majorHAnsi"/>
          <w:sz w:val="24"/>
          <w:szCs w:val="24"/>
          <w:lang w:val="ru-MD" w:eastAsia="ru-RU"/>
        </w:rPr>
        <w:t>Кроме того,</w:t>
      </w:r>
      <w:r w:rsidRPr="00EC5A7B">
        <w:rPr>
          <w:rFonts w:asciiTheme="majorHAnsi" w:hAnsiTheme="majorHAnsi" w:cstheme="majorHAnsi"/>
          <w:sz w:val="24"/>
          <w:szCs w:val="24"/>
          <w:lang w:val="ru-MD" w:eastAsia="ru-RU"/>
        </w:rPr>
        <w:t xml:space="preserve"> обязательность пересмотра </w:t>
      </w:r>
      <w:r w:rsidR="00A05716" w:rsidRPr="00EC5A7B">
        <w:rPr>
          <w:rFonts w:asciiTheme="majorHAnsi" w:hAnsiTheme="majorHAnsi" w:cstheme="majorHAnsi"/>
          <w:sz w:val="24"/>
          <w:szCs w:val="24"/>
          <w:lang w:val="ru-MD" w:eastAsia="ru-RU"/>
        </w:rPr>
        <w:t>графиков</w:t>
      </w:r>
      <w:r w:rsidRPr="00EC5A7B">
        <w:rPr>
          <w:rFonts w:asciiTheme="majorHAnsi" w:hAnsiTheme="majorHAnsi" w:cstheme="majorHAnsi"/>
          <w:sz w:val="24"/>
          <w:szCs w:val="24"/>
          <w:lang w:val="ru-MD" w:eastAsia="ru-RU"/>
        </w:rPr>
        <w:t xml:space="preserve"> не предусмотрена ни </w:t>
      </w:r>
      <w:r w:rsidR="00A05716" w:rsidRPr="00EC5A7B">
        <w:rPr>
          <w:rFonts w:asciiTheme="majorHAnsi" w:hAnsiTheme="majorHAnsi" w:cstheme="majorHAnsi"/>
          <w:sz w:val="24"/>
          <w:szCs w:val="24"/>
          <w:lang w:val="ru-MD" w:eastAsia="ru-RU"/>
        </w:rPr>
        <w:t>Р</w:t>
      </w:r>
      <w:r w:rsidRPr="00EC5A7B">
        <w:rPr>
          <w:rFonts w:asciiTheme="majorHAnsi" w:hAnsiTheme="majorHAnsi" w:cstheme="majorHAnsi"/>
          <w:sz w:val="24"/>
          <w:szCs w:val="24"/>
          <w:lang w:val="ru-MD" w:eastAsia="ru-RU"/>
        </w:rPr>
        <w:t>егламент</w:t>
      </w:r>
      <w:r w:rsidR="00A05716" w:rsidRPr="00EC5A7B">
        <w:rPr>
          <w:rFonts w:asciiTheme="majorHAnsi" w:hAnsiTheme="majorHAnsi" w:cstheme="majorHAnsi"/>
          <w:sz w:val="24"/>
          <w:szCs w:val="24"/>
          <w:lang w:val="ru-MD" w:eastAsia="ru-RU"/>
        </w:rPr>
        <w:t>ом</w:t>
      </w:r>
      <w:r w:rsidRPr="00EC5A7B">
        <w:rPr>
          <w:rFonts w:asciiTheme="majorHAnsi" w:hAnsiTheme="majorHAnsi" w:cstheme="majorHAnsi"/>
          <w:sz w:val="24"/>
          <w:szCs w:val="24"/>
          <w:lang w:val="ru-MD" w:eastAsia="ru-RU"/>
        </w:rPr>
        <w:t xml:space="preserve"> о размещении, торговле и выкупе государственных ценных бумаг в </w:t>
      </w:r>
      <w:r w:rsidR="00A05716" w:rsidRPr="00EC5A7B">
        <w:rPr>
          <w:rFonts w:asciiTheme="majorHAnsi" w:hAnsiTheme="majorHAnsi" w:cstheme="majorHAnsi"/>
          <w:sz w:val="24"/>
          <w:szCs w:val="24"/>
          <w:lang w:val="ru-MD" w:eastAsia="ru-RU"/>
        </w:rPr>
        <w:t>форме записи на</w:t>
      </w:r>
      <w:r w:rsidRPr="00EC5A7B">
        <w:rPr>
          <w:rFonts w:asciiTheme="majorHAnsi" w:hAnsiTheme="majorHAnsi" w:cstheme="majorHAnsi"/>
          <w:sz w:val="24"/>
          <w:szCs w:val="24"/>
          <w:lang w:val="ru-MD" w:eastAsia="ru-RU"/>
        </w:rPr>
        <w:t xml:space="preserve"> счет</w:t>
      </w:r>
      <w:r w:rsidR="00A05716" w:rsidRPr="00EC5A7B">
        <w:rPr>
          <w:rFonts w:asciiTheme="majorHAnsi" w:hAnsiTheme="majorHAnsi" w:cstheme="majorHAnsi"/>
          <w:sz w:val="24"/>
          <w:szCs w:val="24"/>
          <w:lang w:val="ru-MD" w:eastAsia="ru-RU"/>
        </w:rPr>
        <w:t>е</w:t>
      </w:r>
      <w:r w:rsidR="00A05716" w:rsidRPr="00EC5A7B">
        <w:rPr>
          <w:rStyle w:val="FootnoteReference"/>
          <w:rFonts w:asciiTheme="majorHAnsi" w:hAnsiTheme="majorHAnsi" w:cstheme="majorHAnsi"/>
          <w:sz w:val="24"/>
          <w:szCs w:val="24"/>
          <w:lang w:val="ru-MD" w:eastAsia="ru-RU"/>
        </w:rPr>
        <w:footnoteReference w:id="3"/>
      </w:r>
      <w:r w:rsidRPr="00EC5A7B">
        <w:rPr>
          <w:rFonts w:asciiTheme="majorHAnsi" w:hAnsiTheme="majorHAnsi" w:cstheme="majorHAnsi"/>
          <w:sz w:val="24"/>
          <w:szCs w:val="24"/>
          <w:lang w:val="ru-MD" w:eastAsia="ru-RU"/>
        </w:rPr>
        <w:t xml:space="preserve">, ни </w:t>
      </w:r>
      <w:r w:rsidR="00A05716" w:rsidRPr="00EC5A7B">
        <w:rPr>
          <w:rFonts w:asciiTheme="majorHAnsi" w:hAnsiTheme="majorHAnsi" w:cstheme="majorHAnsi"/>
          <w:sz w:val="24"/>
          <w:szCs w:val="24"/>
          <w:lang w:val="ru-MD" w:eastAsia="ru-RU"/>
        </w:rPr>
        <w:t>С</w:t>
      </w:r>
      <w:r w:rsidRPr="00EC5A7B">
        <w:rPr>
          <w:rFonts w:asciiTheme="majorHAnsi" w:hAnsiTheme="majorHAnsi" w:cstheme="majorHAnsi"/>
          <w:sz w:val="24"/>
          <w:szCs w:val="24"/>
          <w:lang w:val="ru-MD" w:eastAsia="ru-RU"/>
        </w:rPr>
        <w:t>оглашени</w:t>
      </w:r>
      <w:r w:rsidR="00C30FE0" w:rsidRPr="00EC5A7B">
        <w:rPr>
          <w:rFonts w:asciiTheme="majorHAnsi" w:hAnsiTheme="majorHAnsi" w:cstheme="majorHAnsi"/>
          <w:sz w:val="24"/>
          <w:szCs w:val="24"/>
          <w:lang w:val="ru-MD" w:eastAsia="ru-RU"/>
        </w:rPr>
        <w:t>ем</w:t>
      </w:r>
      <w:r w:rsidRPr="00EC5A7B">
        <w:rPr>
          <w:rFonts w:asciiTheme="majorHAnsi" w:hAnsiTheme="majorHAnsi" w:cstheme="majorHAnsi"/>
          <w:sz w:val="24"/>
          <w:szCs w:val="24"/>
          <w:lang w:val="ru-MD" w:eastAsia="ru-RU"/>
        </w:rPr>
        <w:t xml:space="preserve"> </w:t>
      </w:r>
      <w:r w:rsidR="00A05716" w:rsidRPr="00EC5A7B">
        <w:rPr>
          <w:rFonts w:asciiTheme="majorHAnsi" w:hAnsiTheme="majorHAnsi" w:cstheme="majorHAnsi"/>
          <w:sz w:val="24"/>
          <w:szCs w:val="24"/>
          <w:lang w:val="ru-MD" w:eastAsia="ru-RU"/>
        </w:rPr>
        <w:t>о</w:t>
      </w:r>
      <w:r w:rsidR="00C30FE0" w:rsidRPr="00EC5A7B">
        <w:rPr>
          <w:rFonts w:asciiTheme="majorHAnsi" w:hAnsiTheme="majorHAnsi" w:cstheme="majorHAnsi"/>
          <w:sz w:val="24"/>
          <w:szCs w:val="24"/>
          <w:lang w:val="ru-MD" w:eastAsia="ru-RU"/>
        </w:rPr>
        <w:t>б Агенте</w:t>
      </w:r>
      <w:r w:rsidR="00A05716" w:rsidRPr="00EC5A7B">
        <w:rPr>
          <w:rFonts w:asciiTheme="majorHAnsi" w:hAnsiTheme="majorHAnsi" w:cstheme="majorHAnsi"/>
          <w:sz w:val="24"/>
          <w:szCs w:val="24"/>
          <w:lang w:val="ru-MD" w:eastAsia="ru-RU"/>
        </w:rPr>
        <w:t xml:space="preserve"> </w:t>
      </w:r>
      <w:r w:rsidR="00C30FE0" w:rsidRPr="00EC5A7B">
        <w:rPr>
          <w:rFonts w:asciiTheme="majorHAnsi" w:hAnsiTheme="majorHAnsi" w:cstheme="majorHAnsi"/>
          <w:sz w:val="24"/>
          <w:szCs w:val="24"/>
          <w:lang w:val="ru-MD" w:eastAsia="ru-RU"/>
        </w:rPr>
        <w:t>г</w:t>
      </w:r>
      <w:r w:rsidRPr="00EC5A7B">
        <w:rPr>
          <w:rFonts w:asciiTheme="majorHAnsi" w:hAnsiTheme="majorHAnsi" w:cstheme="majorHAnsi"/>
          <w:sz w:val="24"/>
          <w:szCs w:val="24"/>
          <w:lang w:val="ru-MD" w:eastAsia="ru-RU"/>
        </w:rPr>
        <w:t>осударств</w:t>
      </w:r>
      <w:r w:rsidR="00C30FE0" w:rsidRPr="00EC5A7B">
        <w:rPr>
          <w:rFonts w:asciiTheme="majorHAnsi" w:hAnsiTheme="majorHAnsi" w:cstheme="majorHAnsi"/>
          <w:sz w:val="24"/>
          <w:szCs w:val="24"/>
          <w:lang w:val="ru-MD" w:eastAsia="ru-RU"/>
        </w:rPr>
        <w:t>а</w:t>
      </w:r>
      <w:r w:rsidRPr="00EC5A7B">
        <w:rPr>
          <w:rFonts w:asciiTheme="majorHAnsi" w:hAnsiTheme="majorHAnsi" w:cstheme="majorHAnsi"/>
          <w:sz w:val="24"/>
          <w:szCs w:val="24"/>
          <w:lang w:val="ru-MD" w:eastAsia="ru-RU"/>
        </w:rPr>
        <w:t xml:space="preserve"> от 31 июля 2018 года, заключенном между Министерством финансов и Национальным банком Молдовы”</w:t>
      </w:r>
      <w:r w:rsidR="00C9511B" w:rsidRPr="00EC5A7B">
        <w:rPr>
          <w:rFonts w:asciiTheme="majorHAnsi" w:hAnsiTheme="majorHAnsi" w:cstheme="majorHAnsi"/>
          <w:sz w:val="24"/>
          <w:szCs w:val="24"/>
          <w:lang w:val="ru-MD" w:eastAsia="ru-RU"/>
        </w:rPr>
        <w:t>.</w:t>
      </w:r>
    </w:p>
    <w:p w14:paraId="6E2418F7" w14:textId="2E74280A" w:rsidR="00FC7E09" w:rsidRPr="00EC5A7B" w:rsidRDefault="00C30FE0" w:rsidP="000A5447">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Аудит </w:t>
      </w:r>
      <w:r w:rsidRPr="00EC5A7B">
        <w:rPr>
          <w:rFonts w:asciiTheme="majorHAnsi" w:hAnsiTheme="majorHAnsi" w:cstheme="majorHAnsi"/>
          <w:bCs/>
          <w:sz w:val="24"/>
          <w:szCs w:val="24"/>
          <w:lang w:val="ru-MD" w:eastAsia="ro-RO"/>
        </w:rPr>
        <w:t xml:space="preserve">отмечает, что в течение 2019 года в результате организованных аукционов по продаже ГЦБ были предложены для размещения ГЦБ </w:t>
      </w:r>
      <w:r w:rsidRPr="00EC5A7B">
        <w:rPr>
          <w:rFonts w:asciiTheme="majorHAnsi" w:hAnsiTheme="majorHAnsi" w:cstheme="majorHAnsi"/>
          <w:sz w:val="24"/>
          <w:szCs w:val="24"/>
          <w:lang w:val="ru-MD" w:eastAsia="ru-RU"/>
        </w:rPr>
        <w:t>11 225,45 млн. леев. С</w:t>
      </w:r>
      <w:r w:rsidRPr="00EC5A7B">
        <w:rPr>
          <w:rFonts w:asciiTheme="majorHAnsi" w:hAnsiTheme="majorHAnsi" w:cstheme="majorHAnsi"/>
          <w:sz w:val="24"/>
          <w:szCs w:val="24"/>
          <w:lang w:val="ru-MD"/>
        </w:rPr>
        <w:t xml:space="preserve">прос на ГЦБ составил </w:t>
      </w:r>
      <w:r w:rsidRPr="00EC5A7B">
        <w:rPr>
          <w:rFonts w:asciiTheme="majorHAnsi" w:hAnsiTheme="majorHAnsi" w:cstheme="majorHAnsi"/>
          <w:sz w:val="24"/>
          <w:szCs w:val="24"/>
          <w:lang w:val="ru-MD" w:eastAsia="ru-RU"/>
        </w:rPr>
        <w:t>12 456,41 млн. леев,</w:t>
      </w:r>
      <w:r w:rsidRPr="00EC5A7B">
        <w:rPr>
          <w:rFonts w:asciiTheme="majorHAnsi" w:hAnsiTheme="majorHAnsi" w:cstheme="majorHAnsi"/>
          <w:sz w:val="24"/>
          <w:szCs w:val="24"/>
          <w:lang w:val="ru-MD"/>
        </w:rPr>
        <w:t xml:space="preserve"> или на </w:t>
      </w:r>
      <w:r w:rsidRPr="00EC5A7B">
        <w:rPr>
          <w:rFonts w:asciiTheme="majorHAnsi" w:hAnsiTheme="majorHAnsi" w:cstheme="majorHAnsi"/>
          <w:sz w:val="24"/>
          <w:szCs w:val="24"/>
          <w:lang w:val="ru-MD" w:eastAsia="ru-RU"/>
        </w:rPr>
        <w:t xml:space="preserve">1 230,96 млн. леев </w:t>
      </w:r>
      <w:r w:rsidRPr="00EC5A7B">
        <w:rPr>
          <w:rFonts w:asciiTheme="majorHAnsi" w:hAnsiTheme="majorHAnsi" w:cstheme="majorHAnsi"/>
          <w:sz w:val="24"/>
          <w:szCs w:val="24"/>
          <w:lang w:val="ru-MD"/>
        </w:rPr>
        <w:t xml:space="preserve">больше, чем предложение. Объем ГЦБ, проданных по цене покупки, составил </w:t>
      </w:r>
      <w:r w:rsidRPr="00EC5A7B">
        <w:rPr>
          <w:rFonts w:asciiTheme="majorHAnsi" w:hAnsiTheme="majorHAnsi" w:cstheme="majorHAnsi"/>
          <w:sz w:val="24"/>
          <w:szCs w:val="24"/>
          <w:lang w:val="ru-MD" w:eastAsia="ru-RU"/>
        </w:rPr>
        <w:t>9 327,1 млн. леев,</w:t>
      </w:r>
      <w:r w:rsidRPr="00EC5A7B">
        <w:rPr>
          <w:rFonts w:asciiTheme="majorHAnsi" w:hAnsiTheme="majorHAnsi" w:cstheme="majorHAnsi"/>
          <w:sz w:val="24"/>
          <w:szCs w:val="24"/>
          <w:lang w:val="ru-MD"/>
        </w:rPr>
        <w:t xml:space="preserve"> или на </w:t>
      </w:r>
      <w:r w:rsidRPr="00EC5A7B">
        <w:rPr>
          <w:rFonts w:asciiTheme="majorHAnsi" w:hAnsiTheme="majorHAnsi" w:cstheme="majorHAnsi"/>
          <w:sz w:val="24"/>
          <w:szCs w:val="24"/>
          <w:lang w:val="ru-MD" w:eastAsia="ru-RU"/>
        </w:rPr>
        <w:t>452,3 млн. леев</w:t>
      </w:r>
      <w:r w:rsidRPr="00EC5A7B">
        <w:rPr>
          <w:rFonts w:asciiTheme="majorHAnsi" w:hAnsiTheme="majorHAnsi" w:cstheme="majorHAnsi"/>
          <w:sz w:val="24"/>
          <w:szCs w:val="24"/>
          <w:lang w:val="ru-MD"/>
        </w:rPr>
        <w:t xml:space="preserve"> меньше, чем проданный в 2018 году объем. </w:t>
      </w:r>
      <w:r w:rsidR="00374CBD" w:rsidRPr="00EC5A7B">
        <w:rPr>
          <w:rFonts w:asciiTheme="majorHAnsi" w:hAnsiTheme="majorHAnsi" w:cstheme="majorHAnsi"/>
          <w:i/>
          <w:sz w:val="24"/>
          <w:szCs w:val="24"/>
          <w:lang w:val="ru-MD"/>
        </w:rPr>
        <w:t>Информация о продаже ГЦБ на первичном рынке в 2019 году представлена</w:t>
      </w:r>
      <w:r w:rsidR="00374CBD" w:rsidRPr="00EC5A7B">
        <w:rPr>
          <w:rFonts w:asciiTheme="majorHAnsi" w:hAnsiTheme="majorHAnsi" w:cstheme="majorHAnsi"/>
          <w:sz w:val="24"/>
          <w:szCs w:val="24"/>
          <w:lang w:val="ru-MD"/>
        </w:rPr>
        <w:t xml:space="preserve"> </w:t>
      </w:r>
      <w:r w:rsidR="00374CBD" w:rsidRPr="00EC5A7B">
        <w:rPr>
          <w:rFonts w:asciiTheme="majorHAnsi" w:hAnsiTheme="majorHAnsi" w:cstheme="majorHAnsi"/>
          <w:i/>
          <w:sz w:val="24"/>
          <w:szCs w:val="24"/>
          <w:lang w:val="ru-MD"/>
        </w:rPr>
        <w:t>на</w:t>
      </w:r>
      <w:r w:rsidR="00712FA2" w:rsidRPr="00EC5A7B">
        <w:rPr>
          <w:rFonts w:asciiTheme="majorHAnsi" w:hAnsiTheme="majorHAnsi" w:cstheme="majorHAnsi"/>
          <w:i/>
          <w:sz w:val="24"/>
          <w:szCs w:val="24"/>
          <w:lang w:val="ru-MD" w:eastAsia="ru-RU"/>
        </w:rPr>
        <w:t xml:space="preserve"> </w:t>
      </w:r>
      <w:r w:rsidR="00CE6D25" w:rsidRPr="00EC5A7B">
        <w:rPr>
          <w:rFonts w:asciiTheme="majorHAnsi" w:hAnsiTheme="majorHAnsi" w:cstheme="majorHAnsi"/>
          <w:i/>
          <w:sz w:val="24"/>
          <w:szCs w:val="24"/>
          <w:lang w:val="ru-MD" w:eastAsia="ru-RU"/>
        </w:rPr>
        <w:t>Рисун</w:t>
      </w:r>
      <w:r w:rsidR="00374CBD" w:rsidRPr="00EC5A7B">
        <w:rPr>
          <w:rFonts w:asciiTheme="majorHAnsi" w:hAnsiTheme="majorHAnsi" w:cstheme="majorHAnsi"/>
          <w:i/>
          <w:sz w:val="24"/>
          <w:szCs w:val="24"/>
          <w:lang w:val="ru-MD" w:eastAsia="ru-RU"/>
        </w:rPr>
        <w:t>ке</w:t>
      </w:r>
      <w:r w:rsidR="00CE6D25" w:rsidRPr="00EC5A7B">
        <w:rPr>
          <w:rFonts w:asciiTheme="majorHAnsi" w:hAnsiTheme="majorHAnsi" w:cstheme="majorHAnsi"/>
          <w:i/>
          <w:sz w:val="24"/>
          <w:szCs w:val="24"/>
          <w:lang w:val="ru-MD" w:eastAsia="ru-RU"/>
        </w:rPr>
        <w:t xml:space="preserve"> №</w:t>
      </w:r>
      <w:r w:rsidR="00712FA2" w:rsidRPr="00EC5A7B">
        <w:rPr>
          <w:rFonts w:asciiTheme="majorHAnsi" w:hAnsiTheme="majorHAnsi" w:cstheme="majorHAnsi"/>
          <w:i/>
          <w:sz w:val="24"/>
          <w:szCs w:val="24"/>
          <w:lang w:val="ru-MD" w:eastAsia="ru-RU"/>
        </w:rPr>
        <w:t>3.</w:t>
      </w:r>
    </w:p>
    <w:p w14:paraId="79DEAED1" w14:textId="27783639" w:rsidR="00316E59" w:rsidRPr="00EC5A7B" w:rsidRDefault="00E7560B" w:rsidP="00FC7E09">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noProof/>
          <w:sz w:val="24"/>
          <w:szCs w:val="24"/>
        </w:rPr>
        <w:lastRenderedPageBreak/>
        <w:drawing>
          <wp:anchor distT="0" distB="0" distL="114300" distR="114300" simplePos="0" relativeHeight="251660288" behindDoc="0" locked="0" layoutInCell="1" allowOverlap="1" wp14:anchorId="55E19DC2" wp14:editId="0BE3851D">
            <wp:simplePos x="0" y="0"/>
            <wp:positionH relativeFrom="margin">
              <wp:posOffset>635</wp:posOffset>
            </wp:positionH>
            <wp:positionV relativeFrom="paragraph">
              <wp:posOffset>217805</wp:posOffset>
            </wp:positionV>
            <wp:extent cx="5920740" cy="2560320"/>
            <wp:effectExtent l="0" t="0" r="3810" b="11430"/>
            <wp:wrapThrough wrapText="bothSides">
              <wp:wrapPolygon edited="0">
                <wp:start x="0" y="0"/>
                <wp:lineTo x="0" y="21536"/>
                <wp:lineTo x="21544" y="21536"/>
                <wp:lineTo x="2154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E6D25" w:rsidRPr="00EC5A7B">
        <w:rPr>
          <w:rFonts w:asciiTheme="majorHAnsi" w:hAnsiTheme="majorHAnsi" w:cstheme="majorHAnsi"/>
          <w:b/>
          <w:i/>
          <w:color w:val="5B9BD5" w:themeColor="accent1"/>
          <w:sz w:val="24"/>
          <w:szCs w:val="24"/>
          <w:lang w:val="ru-MD" w:eastAsia="ru-RU"/>
        </w:rPr>
        <w:t>Рисунок №</w:t>
      </w:r>
      <w:r w:rsidR="00712FA2" w:rsidRPr="00EC5A7B">
        <w:rPr>
          <w:rFonts w:asciiTheme="majorHAnsi" w:hAnsiTheme="majorHAnsi" w:cstheme="majorHAnsi"/>
          <w:b/>
          <w:i/>
          <w:color w:val="5B9BD5" w:themeColor="accent1"/>
          <w:sz w:val="24"/>
          <w:szCs w:val="24"/>
          <w:lang w:val="ru-MD" w:eastAsia="ru-RU"/>
        </w:rPr>
        <w:t>3</w:t>
      </w:r>
    </w:p>
    <w:p w14:paraId="6EE58820" w14:textId="2D2B84A5" w:rsidR="004541F3" w:rsidRPr="00EC5A7B" w:rsidRDefault="007B3D00" w:rsidP="006B48CC">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316E59" w:rsidRPr="00EC5A7B">
        <w:rPr>
          <w:rFonts w:asciiTheme="majorHAnsi" w:hAnsiTheme="majorHAnsi" w:cstheme="majorHAnsi"/>
          <w:b/>
          <w:i/>
          <w:sz w:val="20"/>
          <w:szCs w:val="20"/>
          <w:lang w:val="ru-MD" w:eastAsia="ru-RU"/>
        </w:rPr>
        <w:t>:</w:t>
      </w:r>
      <w:r w:rsidR="00316E59" w:rsidRPr="00EC5A7B">
        <w:rPr>
          <w:rFonts w:asciiTheme="majorHAnsi" w:hAnsiTheme="majorHAnsi" w:cstheme="majorHAnsi"/>
          <w:i/>
          <w:sz w:val="20"/>
          <w:szCs w:val="20"/>
          <w:lang w:val="ru-MD" w:eastAsia="ru-RU"/>
        </w:rPr>
        <w:t xml:space="preserve"> </w:t>
      </w:r>
      <w:r w:rsidR="00C41695" w:rsidRPr="00EC5A7B">
        <w:rPr>
          <w:rFonts w:asciiTheme="majorHAnsi" w:hAnsiTheme="majorHAnsi" w:cstheme="majorHAnsi"/>
          <w:i/>
          <w:sz w:val="20"/>
          <w:szCs w:val="20"/>
          <w:lang w:val="ru-MD" w:eastAsia="ru-RU"/>
        </w:rPr>
        <w:t>Сообщения о результатах аукционов по продаже ГЦБ в 2019 году; Информация МФ о результатах продажи ГЦБ, выпущенных на первичном рынке в 2019 году; Информация МФ о динамике годовой процентной ставки ГЦБ в 2019 году</w:t>
      </w:r>
      <w:r w:rsidR="00656C54" w:rsidRPr="00EC5A7B">
        <w:rPr>
          <w:rFonts w:asciiTheme="majorHAnsi" w:hAnsiTheme="majorHAnsi" w:cstheme="majorHAnsi"/>
          <w:i/>
          <w:sz w:val="20"/>
          <w:szCs w:val="20"/>
          <w:lang w:val="ru-MD" w:eastAsia="ru-RU"/>
        </w:rPr>
        <w:t>.</w:t>
      </w:r>
    </w:p>
    <w:p w14:paraId="76A42BBB" w14:textId="666224FE" w:rsidR="00D30F2E" w:rsidRPr="00EC5A7B" w:rsidRDefault="000B1ADB"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Таким образом, наибольший объем предложений ГЦБ был зарегистрирован в апреле. В то же время самый низкий объем ГЦБ был предложен в мае, июне и октябре. Самый большой объем заявок, поданных первичными дилерами, был зарегистрирован в декабре. Также отмечается, что в течение 6 месяцев 2019 года (март, апрель, август – ноябрь) объем спроса уступает объему ГЦБ, предложенному МФ</w:t>
      </w:r>
      <w:r w:rsidR="005A68EB" w:rsidRPr="00EC5A7B">
        <w:rPr>
          <w:rFonts w:asciiTheme="majorHAnsi" w:hAnsiTheme="majorHAnsi" w:cstheme="majorHAnsi"/>
          <w:sz w:val="24"/>
          <w:szCs w:val="24"/>
          <w:lang w:val="ru-MD" w:eastAsia="ru-RU"/>
        </w:rPr>
        <w:t>.</w:t>
      </w:r>
      <w:r w:rsidR="00656C54" w:rsidRPr="00EC5A7B">
        <w:rPr>
          <w:rFonts w:asciiTheme="majorHAnsi" w:hAnsiTheme="majorHAnsi" w:cstheme="majorHAnsi"/>
          <w:sz w:val="24"/>
          <w:szCs w:val="24"/>
          <w:lang w:val="ru-MD" w:eastAsia="ru-RU"/>
        </w:rPr>
        <w:t xml:space="preserve"> </w:t>
      </w:r>
    </w:p>
    <w:p w14:paraId="132EABBC" w14:textId="205037B8" w:rsidR="00656C54" w:rsidRPr="00EC5A7B" w:rsidRDefault="000B1ADB" w:rsidP="00204D8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Кроме того, в течение года были выкуплены ГЦБ, достигшие срока погашения, на сумму 8 987,5 млн. леев. Таким образом, чистая эмиссия ГЦБ, выпущенных на первичном рынке, составила +339,6 млн. леев, включая 685,1 млн. леев, полученных от выпуска ГЦБ для финансирования дефицита бюджета, и 345,5 млн. леев, направленных на выкуп ГЦБ, выпущенных для создания резерва ликвидности</w:t>
      </w:r>
      <w:r w:rsidR="00B5563A" w:rsidRPr="00EC5A7B">
        <w:rPr>
          <w:rFonts w:asciiTheme="majorHAnsi" w:hAnsiTheme="majorHAnsi" w:cstheme="majorHAnsi"/>
          <w:sz w:val="24"/>
          <w:szCs w:val="24"/>
          <w:lang w:val="ru-MD" w:eastAsia="ru-RU"/>
        </w:rPr>
        <w:t>.</w:t>
      </w:r>
    </w:p>
    <w:p w14:paraId="007EF616" w14:textId="2C2D7093" w:rsidR="00556CBE" w:rsidRPr="00EC5A7B" w:rsidRDefault="000B1ADB" w:rsidP="006B48CC">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eastAsia="ru-RU"/>
        </w:rPr>
        <w:t>Структура ГЦБ</w:t>
      </w:r>
      <w:r w:rsidR="00480913" w:rsidRPr="00EC5A7B">
        <w:rPr>
          <w:rFonts w:asciiTheme="majorHAnsi" w:hAnsiTheme="majorHAnsi" w:cstheme="majorHAnsi"/>
          <w:i/>
          <w:sz w:val="24"/>
          <w:szCs w:val="24"/>
          <w:lang w:val="ru-MD" w:eastAsia="ru-RU"/>
        </w:rPr>
        <w:t>, находящихся</w:t>
      </w:r>
      <w:r w:rsidRPr="00EC5A7B">
        <w:rPr>
          <w:rFonts w:asciiTheme="majorHAnsi" w:hAnsiTheme="majorHAnsi" w:cstheme="majorHAnsi"/>
          <w:i/>
          <w:sz w:val="24"/>
          <w:szCs w:val="24"/>
          <w:lang w:val="ru-MD" w:eastAsia="ru-RU"/>
        </w:rPr>
        <w:t xml:space="preserve"> в обращении, выпущенн</w:t>
      </w:r>
      <w:r w:rsidR="00480913" w:rsidRPr="00EC5A7B">
        <w:rPr>
          <w:rFonts w:asciiTheme="majorHAnsi" w:hAnsiTheme="majorHAnsi" w:cstheme="majorHAnsi"/>
          <w:i/>
          <w:sz w:val="24"/>
          <w:szCs w:val="24"/>
          <w:lang w:val="ru-MD" w:eastAsia="ru-RU"/>
        </w:rPr>
        <w:t>ых</w:t>
      </w:r>
      <w:r w:rsidRPr="00EC5A7B">
        <w:rPr>
          <w:rFonts w:asciiTheme="majorHAnsi" w:hAnsiTheme="majorHAnsi" w:cstheme="majorHAnsi"/>
          <w:i/>
          <w:sz w:val="24"/>
          <w:szCs w:val="24"/>
          <w:lang w:val="ru-MD" w:eastAsia="ru-RU"/>
        </w:rPr>
        <w:t xml:space="preserve"> на первичном рынке, в зависимости от процентной ставки и типа ГЦБ, представлена в </w:t>
      </w:r>
      <w:r w:rsidR="00220355" w:rsidRPr="00EC5A7B">
        <w:rPr>
          <w:rFonts w:asciiTheme="majorHAnsi" w:hAnsiTheme="majorHAnsi" w:cstheme="majorHAnsi"/>
          <w:i/>
          <w:sz w:val="24"/>
          <w:szCs w:val="24"/>
          <w:lang w:val="ru-MD" w:eastAsia="ru-RU"/>
        </w:rPr>
        <w:t>Таблиц</w:t>
      </w:r>
      <w:r w:rsidR="00480913" w:rsidRPr="00EC5A7B">
        <w:rPr>
          <w:rFonts w:asciiTheme="majorHAnsi" w:hAnsiTheme="majorHAnsi" w:cstheme="majorHAnsi"/>
          <w:i/>
          <w:sz w:val="24"/>
          <w:szCs w:val="24"/>
          <w:lang w:val="ru-MD" w:eastAsia="ru-RU"/>
        </w:rPr>
        <w:t>е</w:t>
      </w:r>
      <w:r w:rsidR="00220355" w:rsidRPr="00EC5A7B">
        <w:rPr>
          <w:rFonts w:asciiTheme="majorHAnsi" w:hAnsiTheme="majorHAnsi" w:cstheme="majorHAnsi"/>
          <w:i/>
          <w:sz w:val="24"/>
          <w:szCs w:val="24"/>
          <w:lang w:val="ru-MD" w:eastAsia="ru-RU"/>
        </w:rPr>
        <w:t xml:space="preserve"> №</w:t>
      </w:r>
      <w:r w:rsidR="002C709C" w:rsidRPr="00EC5A7B">
        <w:rPr>
          <w:rFonts w:asciiTheme="majorHAnsi" w:hAnsiTheme="majorHAnsi" w:cstheme="majorHAnsi"/>
          <w:i/>
          <w:sz w:val="24"/>
          <w:szCs w:val="24"/>
          <w:lang w:val="ru-MD" w:eastAsia="ru-RU"/>
        </w:rPr>
        <w:t>4</w:t>
      </w:r>
      <w:r w:rsidR="00712FA2" w:rsidRPr="00EC5A7B">
        <w:rPr>
          <w:rFonts w:asciiTheme="majorHAnsi" w:hAnsiTheme="majorHAnsi" w:cstheme="majorHAnsi"/>
          <w:i/>
          <w:sz w:val="24"/>
          <w:szCs w:val="24"/>
          <w:lang w:val="ru-MD" w:eastAsia="ru-RU"/>
        </w:rPr>
        <w:t>.</w:t>
      </w:r>
    </w:p>
    <w:p w14:paraId="21B3529B" w14:textId="1EE1F9D8" w:rsidR="00556CBE" w:rsidRPr="00EC5A7B" w:rsidRDefault="00220355" w:rsidP="00712FA2">
      <w:pPr>
        <w:pStyle w:val="NoSpacing"/>
        <w:spacing w:line="276" w:lineRule="auto"/>
        <w:jc w:val="right"/>
        <w:rPr>
          <w:rFonts w:asciiTheme="majorHAnsi" w:hAnsiTheme="majorHAnsi" w:cstheme="majorHAnsi"/>
          <w:b/>
          <w:i/>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0A5447" w:rsidRPr="00EC5A7B">
        <w:rPr>
          <w:rFonts w:asciiTheme="majorHAnsi" w:hAnsiTheme="majorHAnsi" w:cstheme="majorHAnsi"/>
          <w:b/>
          <w:i/>
          <w:color w:val="5B9BD5" w:themeColor="accent1"/>
          <w:sz w:val="24"/>
          <w:szCs w:val="24"/>
          <w:lang w:val="ru-MD" w:eastAsia="ru-RU"/>
        </w:rPr>
        <w:t>4</w:t>
      </w:r>
    </w:p>
    <w:tbl>
      <w:tblPr>
        <w:tblStyle w:val="TableGrid"/>
        <w:tblW w:w="9475" w:type="dxa"/>
        <w:tblLook w:val="04A0" w:firstRow="1" w:lastRow="0" w:firstColumn="1" w:lastColumn="0" w:noHBand="0" w:noVBand="1"/>
      </w:tblPr>
      <w:tblGrid>
        <w:gridCol w:w="3505"/>
        <w:gridCol w:w="4080"/>
        <w:gridCol w:w="1890"/>
      </w:tblGrid>
      <w:tr w:rsidR="00556CBE" w:rsidRPr="00EC5A7B" w14:paraId="577ED750" w14:textId="77777777" w:rsidTr="00FC634E">
        <w:tc>
          <w:tcPr>
            <w:tcW w:w="3505" w:type="dxa"/>
            <w:shd w:val="clear" w:color="auto" w:fill="DEEAF6" w:themeFill="accent1" w:themeFillTint="33"/>
            <w:vAlign w:val="center"/>
          </w:tcPr>
          <w:p w14:paraId="7774C904" w14:textId="6BC0C529" w:rsidR="00556CBE" w:rsidRPr="00EC5A7B" w:rsidRDefault="0034434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lastRenderedPageBreak/>
              <w:t>Показатели</w:t>
            </w:r>
          </w:p>
        </w:tc>
        <w:tc>
          <w:tcPr>
            <w:tcW w:w="4080" w:type="dxa"/>
            <w:shd w:val="clear" w:color="auto" w:fill="DEEAF6" w:themeFill="accent1" w:themeFillTint="33"/>
            <w:vAlign w:val="center"/>
          </w:tcPr>
          <w:p w14:paraId="56509972" w14:textId="6A5923E1" w:rsidR="00556CBE" w:rsidRPr="00EC5A7B" w:rsidRDefault="0034434E" w:rsidP="00344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Тип ГЦБ</w:t>
            </w:r>
          </w:p>
        </w:tc>
        <w:tc>
          <w:tcPr>
            <w:tcW w:w="1890" w:type="dxa"/>
            <w:shd w:val="clear" w:color="auto" w:fill="DEEAF6" w:themeFill="accent1" w:themeFillTint="33"/>
            <w:vAlign w:val="center"/>
          </w:tcPr>
          <w:p w14:paraId="4F0F4B81" w14:textId="77777777" w:rsidR="0034434E" w:rsidRPr="00EC5A7B" w:rsidRDefault="0034434E" w:rsidP="00344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Стоимость ГЦБ, находящихся в обращении</w:t>
            </w:r>
            <w:r w:rsidR="00556CBE" w:rsidRPr="00EC5A7B">
              <w:rPr>
                <w:rFonts w:asciiTheme="majorHAnsi" w:hAnsiTheme="majorHAnsi" w:cstheme="majorHAnsi"/>
                <w:b/>
                <w:sz w:val="20"/>
                <w:szCs w:val="20"/>
                <w:lang w:val="ru-MD" w:eastAsia="ru-RU"/>
              </w:rPr>
              <w:t xml:space="preserve">, </w:t>
            </w:r>
          </w:p>
          <w:p w14:paraId="6D1B9DBA" w14:textId="08520ED2" w:rsidR="00556CBE" w:rsidRPr="00EC5A7B" w:rsidRDefault="00220355" w:rsidP="00344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леев</w:t>
            </w:r>
          </w:p>
        </w:tc>
      </w:tr>
      <w:tr w:rsidR="00556CBE" w:rsidRPr="00EC5A7B" w14:paraId="288C9DC7" w14:textId="77777777" w:rsidTr="00FC634E">
        <w:tc>
          <w:tcPr>
            <w:tcW w:w="3505" w:type="dxa"/>
            <w:vMerge w:val="restart"/>
          </w:tcPr>
          <w:p w14:paraId="381703E3" w14:textId="44059FC3"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ГЦБ с фиксированной ставкой</w:t>
            </w:r>
          </w:p>
        </w:tc>
        <w:tc>
          <w:tcPr>
            <w:tcW w:w="4080" w:type="dxa"/>
          </w:tcPr>
          <w:p w14:paraId="65FCDD8D" w14:textId="1B324CE2"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КО со сроком погашения 91 день </w:t>
            </w:r>
          </w:p>
        </w:tc>
        <w:tc>
          <w:tcPr>
            <w:tcW w:w="1890" w:type="dxa"/>
          </w:tcPr>
          <w:p w14:paraId="30CC4C01"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204,0</w:t>
            </w:r>
          </w:p>
        </w:tc>
      </w:tr>
      <w:tr w:rsidR="00556CBE" w:rsidRPr="00EC5A7B" w14:paraId="59AA6BE6" w14:textId="77777777" w:rsidTr="00FC634E">
        <w:tc>
          <w:tcPr>
            <w:tcW w:w="3505" w:type="dxa"/>
            <w:vMerge/>
          </w:tcPr>
          <w:p w14:paraId="358DA5D9"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16204569" w14:textId="410FFC75"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КО со сроком погашения </w:t>
            </w:r>
            <w:r w:rsidR="00556CBE" w:rsidRPr="00EC5A7B">
              <w:rPr>
                <w:rFonts w:asciiTheme="majorHAnsi" w:hAnsiTheme="majorHAnsi" w:cstheme="majorHAnsi"/>
                <w:sz w:val="20"/>
                <w:szCs w:val="20"/>
                <w:lang w:val="ru-MD" w:eastAsia="ru-RU"/>
              </w:rPr>
              <w:t xml:space="preserve">182 </w:t>
            </w:r>
            <w:r w:rsidRPr="00EC5A7B">
              <w:rPr>
                <w:rFonts w:asciiTheme="majorHAnsi" w:hAnsiTheme="majorHAnsi" w:cstheme="majorHAnsi"/>
                <w:sz w:val="20"/>
                <w:szCs w:val="20"/>
                <w:lang w:val="ru-MD" w:eastAsia="ru-RU"/>
              </w:rPr>
              <w:t>дня</w:t>
            </w:r>
          </w:p>
        </w:tc>
        <w:tc>
          <w:tcPr>
            <w:tcW w:w="1890" w:type="dxa"/>
          </w:tcPr>
          <w:p w14:paraId="6F137CDF"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1 713,1</w:t>
            </w:r>
          </w:p>
        </w:tc>
      </w:tr>
      <w:tr w:rsidR="00556CBE" w:rsidRPr="00EC5A7B" w14:paraId="2BFD7AA0" w14:textId="77777777" w:rsidTr="00FC634E">
        <w:tc>
          <w:tcPr>
            <w:tcW w:w="3505" w:type="dxa"/>
            <w:vMerge/>
          </w:tcPr>
          <w:p w14:paraId="79FA3E2D"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10304C92" w14:textId="62D5BF95"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КО со сроком погашения</w:t>
            </w:r>
            <w:r w:rsidR="00556CBE" w:rsidRPr="00EC5A7B">
              <w:rPr>
                <w:rFonts w:asciiTheme="majorHAnsi" w:hAnsiTheme="majorHAnsi" w:cstheme="majorHAnsi"/>
                <w:sz w:val="20"/>
                <w:szCs w:val="20"/>
                <w:lang w:val="ru-MD" w:eastAsia="ru-RU"/>
              </w:rPr>
              <w:t xml:space="preserve"> 364 </w:t>
            </w:r>
            <w:r w:rsidRPr="00EC5A7B">
              <w:rPr>
                <w:rFonts w:asciiTheme="majorHAnsi" w:hAnsiTheme="majorHAnsi" w:cstheme="majorHAnsi"/>
                <w:sz w:val="20"/>
                <w:szCs w:val="20"/>
                <w:lang w:val="ru-MD" w:eastAsia="ru-RU"/>
              </w:rPr>
              <w:t>дня</w:t>
            </w:r>
          </w:p>
        </w:tc>
        <w:tc>
          <w:tcPr>
            <w:tcW w:w="1890" w:type="dxa"/>
          </w:tcPr>
          <w:p w14:paraId="27F63935"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3 880,6</w:t>
            </w:r>
          </w:p>
        </w:tc>
      </w:tr>
      <w:tr w:rsidR="00556CBE" w:rsidRPr="00EC5A7B" w14:paraId="73F6205A" w14:textId="77777777" w:rsidTr="00FC634E">
        <w:tc>
          <w:tcPr>
            <w:tcW w:w="3505" w:type="dxa"/>
            <w:vMerge/>
          </w:tcPr>
          <w:p w14:paraId="365613D5"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1F43A5B4" w14:textId="165F2DFE"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ГО со сроком погашения </w:t>
            </w:r>
            <w:r w:rsidR="00556CBE" w:rsidRPr="00EC5A7B">
              <w:rPr>
                <w:rFonts w:asciiTheme="majorHAnsi" w:hAnsiTheme="majorHAnsi" w:cstheme="majorHAnsi"/>
                <w:sz w:val="20"/>
                <w:szCs w:val="20"/>
                <w:lang w:val="ru-MD" w:eastAsia="ru-RU"/>
              </w:rPr>
              <w:t xml:space="preserve">1 </w:t>
            </w:r>
            <w:r w:rsidRPr="00EC5A7B">
              <w:rPr>
                <w:rFonts w:asciiTheme="majorHAnsi" w:hAnsiTheme="majorHAnsi" w:cstheme="majorHAnsi"/>
                <w:sz w:val="20"/>
                <w:szCs w:val="20"/>
                <w:lang w:val="ru-MD" w:eastAsia="ru-RU"/>
              </w:rPr>
              <w:t>год</w:t>
            </w:r>
          </w:p>
        </w:tc>
        <w:tc>
          <w:tcPr>
            <w:tcW w:w="1890" w:type="dxa"/>
          </w:tcPr>
          <w:p w14:paraId="01389D45"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271,2</w:t>
            </w:r>
          </w:p>
        </w:tc>
      </w:tr>
      <w:tr w:rsidR="00556CBE" w:rsidRPr="00EC5A7B" w14:paraId="3F092955" w14:textId="77777777" w:rsidTr="00FC634E">
        <w:tc>
          <w:tcPr>
            <w:tcW w:w="3505" w:type="dxa"/>
            <w:vMerge/>
          </w:tcPr>
          <w:p w14:paraId="4444170E"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03354AEF" w14:textId="77F2CC2B"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ГО со сроком погашения </w:t>
            </w:r>
            <w:r w:rsidR="00556CBE" w:rsidRPr="00EC5A7B">
              <w:rPr>
                <w:rFonts w:asciiTheme="majorHAnsi" w:hAnsiTheme="majorHAnsi" w:cstheme="majorHAnsi"/>
                <w:sz w:val="20"/>
                <w:szCs w:val="20"/>
                <w:lang w:val="ru-MD" w:eastAsia="ru-RU"/>
              </w:rPr>
              <w:t xml:space="preserve">2 </w:t>
            </w:r>
            <w:r w:rsidRPr="00EC5A7B">
              <w:rPr>
                <w:rFonts w:asciiTheme="majorHAnsi" w:hAnsiTheme="majorHAnsi" w:cstheme="majorHAnsi"/>
                <w:sz w:val="20"/>
                <w:szCs w:val="20"/>
                <w:lang w:val="ru-MD" w:eastAsia="ru-RU"/>
              </w:rPr>
              <w:t>года</w:t>
            </w:r>
          </w:p>
        </w:tc>
        <w:tc>
          <w:tcPr>
            <w:tcW w:w="1890" w:type="dxa"/>
          </w:tcPr>
          <w:p w14:paraId="2E8853F2"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742,7</w:t>
            </w:r>
          </w:p>
        </w:tc>
      </w:tr>
      <w:tr w:rsidR="00556CBE" w:rsidRPr="00EC5A7B" w14:paraId="5CBF5C76" w14:textId="77777777" w:rsidTr="00FC634E">
        <w:tc>
          <w:tcPr>
            <w:tcW w:w="3505" w:type="dxa"/>
            <w:vMerge/>
          </w:tcPr>
          <w:p w14:paraId="5D83781F"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17A419BA" w14:textId="4B240850"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ГО со сроком погашения </w:t>
            </w:r>
            <w:r w:rsidR="00556CBE" w:rsidRPr="00EC5A7B">
              <w:rPr>
                <w:rFonts w:asciiTheme="majorHAnsi" w:hAnsiTheme="majorHAnsi" w:cstheme="majorHAnsi"/>
                <w:sz w:val="20"/>
                <w:szCs w:val="20"/>
                <w:lang w:val="ru-MD" w:eastAsia="ru-RU"/>
              </w:rPr>
              <w:t xml:space="preserve">3 </w:t>
            </w:r>
            <w:r w:rsidRPr="00EC5A7B">
              <w:rPr>
                <w:rFonts w:asciiTheme="majorHAnsi" w:hAnsiTheme="majorHAnsi" w:cstheme="majorHAnsi"/>
                <w:sz w:val="20"/>
                <w:szCs w:val="20"/>
                <w:lang w:val="ru-MD" w:eastAsia="ru-RU"/>
              </w:rPr>
              <w:t>года</w:t>
            </w:r>
          </w:p>
        </w:tc>
        <w:tc>
          <w:tcPr>
            <w:tcW w:w="1890" w:type="dxa"/>
          </w:tcPr>
          <w:p w14:paraId="0D7BAD98"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791,3</w:t>
            </w:r>
          </w:p>
        </w:tc>
      </w:tr>
      <w:tr w:rsidR="00556CBE" w:rsidRPr="00EC5A7B" w14:paraId="59F6AF30" w14:textId="77777777" w:rsidTr="00FC634E">
        <w:tc>
          <w:tcPr>
            <w:tcW w:w="3505" w:type="dxa"/>
            <w:vMerge/>
          </w:tcPr>
          <w:p w14:paraId="344AF635"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4080" w:type="dxa"/>
          </w:tcPr>
          <w:p w14:paraId="3AD412D7" w14:textId="672CD0D7"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ГО со сроком погашения </w:t>
            </w:r>
            <w:r w:rsidR="00556CBE" w:rsidRPr="00EC5A7B">
              <w:rPr>
                <w:rFonts w:asciiTheme="majorHAnsi" w:hAnsiTheme="majorHAnsi" w:cstheme="majorHAnsi"/>
                <w:sz w:val="20"/>
                <w:szCs w:val="20"/>
                <w:lang w:val="ru-MD" w:eastAsia="ru-RU"/>
              </w:rPr>
              <w:t xml:space="preserve">5 </w:t>
            </w:r>
            <w:r w:rsidRPr="00EC5A7B">
              <w:rPr>
                <w:rFonts w:asciiTheme="majorHAnsi" w:hAnsiTheme="majorHAnsi" w:cstheme="majorHAnsi"/>
                <w:sz w:val="20"/>
                <w:szCs w:val="20"/>
                <w:lang w:val="ru-MD" w:eastAsia="ru-RU"/>
              </w:rPr>
              <w:t>лет</w:t>
            </w:r>
          </w:p>
        </w:tc>
        <w:tc>
          <w:tcPr>
            <w:tcW w:w="1890" w:type="dxa"/>
          </w:tcPr>
          <w:p w14:paraId="74E395CC"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400,8</w:t>
            </w:r>
          </w:p>
        </w:tc>
      </w:tr>
      <w:tr w:rsidR="00556CBE" w:rsidRPr="00EC5A7B" w14:paraId="7A539DB6" w14:textId="77777777" w:rsidTr="00FC634E">
        <w:tc>
          <w:tcPr>
            <w:tcW w:w="3505" w:type="dxa"/>
          </w:tcPr>
          <w:p w14:paraId="67ABBCD8" w14:textId="1867EFAA" w:rsidR="00556CBE" w:rsidRPr="00EC5A7B" w:rsidRDefault="005F7283" w:rsidP="00FC634E">
            <w:pPr>
              <w:pStyle w:val="NoSpacing"/>
              <w:spacing w:line="276" w:lineRule="auto"/>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r w:rsidR="00556CBE" w:rsidRPr="00EC5A7B">
              <w:rPr>
                <w:rFonts w:asciiTheme="majorHAnsi" w:hAnsiTheme="majorHAnsi" w:cstheme="majorHAnsi"/>
                <w:b/>
                <w:sz w:val="20"/>
                <w:szCs w:val="20"/>
                <w:lang w:val="ru-MD" w:eastAsia="ru-RU"/>
              </w:rPr>
              <w:t xml:space="preserve"> </w:t>
            </w:r>
            <w:r w:rsidRPr="00EC5A7B">
              <w:rPr>
                <w:rFonts w:asciiTheme="majorHAnsi" w:hAnsiTheme="majorHAnsi" w:cstheme="majorHAnsi"/>
                <w:b/>
                <w:sz w:val="20"/>
                <w:szCs w:val="20"/>
                <w:lang w:val="ru-MD" w:eastAsia="ru-RU"/>
              </w:rPr>
              <w:t>ГЦБ с фиксированной ставкой</w:t>
            </w:r>
          </w:p>
        </w:tc>
        <w:tc>
          <w:tcPr>
            <w:tcW w:w="4080" w:type="dxa"/>
          </w:tcPr>
          <w:p w14:paraId="4278A6B3" w14:textId="77777777" w:rsidR="00556CBE" w:rsidRPr="00EC5A7B" w:rsidRDefault="00556CBE" w:rsidP="00FC634E">
            <w:pPr>
              <w:pStyle w:val="NoSpacing"/>
              <w:spacing w:line="276" w:lineRule="auto"/>
              <w:jc w:val="both"/>
              <w:rPr>
                <w:rFonts w:asciiTheme="majorHAnsi" w:hAnsiTheme="majorHAnsi" w:cstheme="majorHAnsi"/>
                <w:b/>
                <w:sz w:val="20"/>
                <w:szCs w:val="20"/>
                <w:lang w:val="ru-MD" w:eastAsia="ru-RU"/>
              </w:rPr>
            </w:pPr>
          </w:p>
        </w:tc>
        <w:tc>
          <w:tcPr>
            <w:tcW w:w="1890" w:type="dxa"/>
          </w:tcPr>
          <w:p w14:paraId="29A00103" w14:textId="77777777"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8 003,7</w:t>
            </w:r>
          </w:p>
        </w:tc>
      </w:tr>
      <w:tr w:rsidR="00556CBE" w:rsidRPr="00EC5A7B" w14:paraId="62A0F49E" w14:textId="77777777" w:rsidTr="00FC634E">
        <w:tc>
          <w:tcPr>
            <w:tcW w:w="3505" w:type="dxa"/>
          </w:tcPr>
          <w:p w14:paraId="74D65636" w14:textId="5AF99739"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ГЦБ с плавающей ставкой</w:t>
            </w:r>
          </w:p>
        </w:tc>
        <w:tc>
          <w:tcPr>
            <w:tcW w:w="4080" w:type="dxa"/>
          </w:tcPr>
          <w:p w14:paraId="5DB642A3" w14:textId="049B6AC1" w:rsidR="00556CBE" w:rsidRPr="00EC5A7B" w:rsidRDefault="005F7283" w:rsidP="005F7283">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ГО со сроком погашения </w:t>
            </w:r>
            <w:r w:rsidR="00556CBE" w:rsidRPr="00EC5A7B">
              <w:rPr>
                <w:rFonts w:asciiTheme="majorHAnsi" w:hAnsiTheme="majorHAnsi" w:cstheme="majorHAnsi"/>
                <w:sz w:val="20"/>
                <w:szCs w:val="20"/>
                <w:lang w:val="ru-MD" w:eastAsia="ru-RU"/>
              </w:rPr>
              <w:t xml:space="preserve">2 </w:t>
            </w:r>
            <w:r w:rsidRPr="00EC5A7B">
              <w:rPr>
                <w:rFonts w:asciiTheme="majorHAnsi" w:hAnsiTheme="majorHAnsi" w:cstheme="majorHAnsi"/>
                <w:sz w:val="20"/>
                <w:szCs w:val="20"/>
                <w:lang w:val="ru-MD" w:eastAsia="ru-RU"/>
              </w:rPr>
              <w:t>года</w:t>
            </w:r>
          </w:p>
        </w:tc>
        <w:tc>
          <w:tcPr>
            <w:tcW w:w="1890" w:type="dxa"/>
          </w:tcPr>
          <w:p w14:paraId="34274C25"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249,9</w:t>
            </w:r>
          </w:p>
        </w:tc>
      </w:tr>
      <w:tr w:rsidR="00556CBE" w:rsidRPr="00EC5A7B" w14:paraId="1A1C251F" w14:textId="77777777" w:rsidTr="00FC634E">
        <w:tc>
          <w:tcPr>
            <w:tcW w:w="3505" w:type="dxa"/>
          </w:tcPr>
          <w:p w14:paraId="53D52EAF" w14:textId="1640D1FA" w:rsidR="00556CBE" w:rsidRPr="00EC5A7B" w:rsidRDefault="005F7283" w:rsidP="00FC634E">
            <w:pPr>
              <w:pStyle w:val="NoSpacing"/>
              <w:spacing w:line="276" w:lineRule="auto"/>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r w:rsidR="00556CBE" w:rsidRPr="00EC5A7B">
              <w:rPr>
                <w:rFonts w:asciiTheme="majorHAnsi" w:hAnsiTheme="majorHAnsi" w:cstheme="majorHAnsi"/>
                <w:b/>
                <w:sz w:val="20"/>
                <w:szCs w:val="20"/>
                <w:lang w:val="ru-MD" w:eastAsia="ru-RU"/>
              </w:rPr>
              <w:t xml:space="preserve"> </w:t>
            </w:r>
            <w:r w:rsidRPr="00EC5A7B">
              <w:rPr>
                <w:rFonts w:asciiTheme="majorHAnsi" w:hAnsiTheme="majorHAnsi" w:cstheme="majorHAnsi"/>
                <w:b/>
                <w:sz w:val="20"/>
                <w:szCs w:val="20"/>
                <w:lang w:val="ru-MD" w:eastAsia="ru-RU"/>
              </w:rPr>
              <w:t>ГЦБ с плавающей ставкой</w:t>
            </w:r>
          </w:p>
        </w:tc>
        <w:tc>
          <w:tcPr>
            <w:tcW w:w="4080" w:type="dxa"/>
          </w:tcPr>
          <w:p w14:paraId="346CCEE2" w14:textId="77777777" w:rsidR="00556CBE" w:rsidRPr="00EC5A7B" w:rsidRDefault="00556CBE" w:rsidP="00FC634E">
            <w:pPr>
              <w:pStyle w:val="NoSpacing"/>
              <w:spacing w:line="276" w:lineRule="auto"/>
              <w:jc w:val="both"/>
              <w:rPr>
                <w:rFonts w:asciiTheme="majorHAnsi" w:hAnsiTheme="majorHAnsi" w:cstheme="majorHAnsi"/>
                <w:b/>
                <w:sz w:val="20"/>
                <w:szCs w:val="20"/>
                <w:lang w:val="ru-MD" w:eastAsia="ru-RU"/>
              </w:rPr>
            </w:pPr>
          </w:p>
        </w:tc>
        <w:tc>
          <w:tcPr>
            <w:tcW w:w="1890" w:type="dxa"/>
          </w:tcPr>
          <w:p w14:paraId="4D498FBD" w14:textId="77777777"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249,9</w:t>
            </w:r>
          </w:p>
        </w:tc>
      </w:tr>
      <w:tr w:rsidR="00556CBE" w:rsidRPr="00EC5A7B" w14:paraId="63159EDF" w14:textId="77777777" w:rsidTr="00FC634E">
        <w:tc>
          <w:tcPr>
            <w:tcW w:w="3505" w:type="dxa"/>
          </w:tcPr>
          <w:p w14:paraId="44C8D979" w14:textId="01096536" w:rsidR="00556CBE" w:rsidRPr="00EC5A7B" w:rsidRDefault="005F7283" w:rsidP="005F7283">
            <w:pPr>
              <w:pStyle w:val="NoSpacing"/>
              <w:spacing w:line="276" w:lineRule="auto"/>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ГЦБ в обращении</w:t>
            </w:r>
          </w:p>
        </w:tc>
        <w:tc>
          <w:tcPr>
            <w:tcW w:w="4080" w:type="dxa"/>
          </w:tcPr>
          <w:p w14:paraId="684BCE2C" w14:textId="77777777" w:rsidR="00556CBE" w:rsidRPr="00EC5A7B" w:rsidRDefault="00556CBE" w:rsidP="00FC634E">
            <w:pPr>
              <w:pStyle w:val="NoSpacing"/>
              <w:spacing w:line="276" w:lineRule="auto"/>
              <w:jc w:val="both"/>
              <w:rPr>
                <w:rFonts w:asciiTheme="majorHAnsi" w:hAnsiTheme="majorHAnsi" w:cstheme="majorHAnsi"/>
                <w:b/>
                <w:sz w:val="20"/>
                <w:szCs w:val="20"/>
                <w:lang w:val="ru-MD" w:eastAsia="ru-RU"/>
              </w:rPr>
            </w:pPr>
          </w:p>
        </w:tc>
        <w:tc>
          <w:tcPr>
            <w:tcW w:w="1890" w:type="dxa"/>
          </w:tcPr>
          <w:p w14:paraId="3F31584F" w14:textId="77777777"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8 253,6</w:t>
            </w:r>
          </w:p>
        </w:tc>
      </w:tr>
    </w:tbl>
    <w:p w14:paraId="4F7CB87D" w14:textId="117C2DC9" w:rsidR="007966B6" w:rsidRPr="00EC5A7B" w:rsidRDefault="007B3D00" w:rsidP="006B48CC">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316E59" w:rsidRPr="00EC5A7B">
        <w:rPr>
          <w:rFonts w:asciiTheme="majorHAnsi" w:hAnsiTheme="majorHAnsi" w:cstheme="majorHAnsi"/>
          <w:b/>
          <w:i/>
          <w:sz w:val="20"/>
          <w:szCs w:val="20"/>
          <w:lang w:val="ru-MD" w:eastAsia="ru-RU"/>
        </w:rPr>
        <w:t>:</w:t>
      </w:r>
      <w:r w:rsidR="00316E59" w:rsidRPr="00EC5A7B">
        <w:rPr>
          <w:rFonts w:asciiTheme="majorHAnsi" w:hAnsiTheme="majorHAnsi" w:cstheme="majorHAnsi"/>
          <w:i/>
          <w:sz w:val="20"/>
          <w:szCs w:val="20"/>
          <w:lang w:val="ru-MD" w:eastAsia="ru-RU"/>
        </w:rPr>
        <w:t xml:space="preserve"> </w:t>
      </w:r>
      <w:r w:rsidR="005F7283" w:rsidRPr="00EC5A7B">
        <w:rPr>
          <w:rFonts w:asciiTheme="majorHAnsi" w:hAnsiTheme="majorHAnsi" w:cstheme="majorHAnsi"/>
          <w:i/>
          <w:sz w:val="20"/>
          <w:szCs w:val="20"/>
          <w:lang w:val="ru-MD" w:eastAsia="ru-RU"/>
        </w:rPr>
        <w:t>Информация МФ о ГЦБ в обращении (после срока погашения) по состоянию на 31.12.2019; Ежемесячная справка МФ о ГЦБ, размещенных на внутреннем рынке в форме записи на счетах</w:t>
      </w:r>
      <w:r w:rsidR="00316E59" w:rsidRPr="00EC5A7B">
        <w:rPr>
          <w:rFonts w:asciiTheme="majorHAnsi" w:hAnsiTheme="majorHAnsi" w:cstheme="majorHAnsi"/>
          <w:i/>
          <w:sz w:val="20"/>
          <w:szCs w:val="20"/>
          <w:lang w:val="ru-MD" w:eastAsia="ru-RU"/>
        </w:rPr>
        <w:t>.</w:t>
      </w:r>
    </w:p>
    <w:p w14:paraId="7143815B" w14:textId="4F2CC03B" w:rsidR="00907D56" w:rsidRPr="00EC5A7B" w:rsidRDefault="00AC0217" w:rsidP="001C0F87">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Данные из таблицы показывают, что наибольший удельный вес в общем объеме ГЦБ приходится на КО со сроком погашения </w:t>
      </w:r>
      <w:r w:rsidR="00083E57" w:rsidRPr="00EC5A7B">
        <w:rPr>
          <w:rFonts w:asciiTheme="majorHAnsi" w:hAnsiTheme="majorHAnsi" w:cstheme="majorHAnsi"/>
          <w:sz w:val="24"/>
          <w:szCs w:val="24"/>
          <w:lang w:val="ru-MD" w:eastAsia="ru-RU"/>
        </w:rPr>
        <w:t>1</w:t>
      </w:r>
      <w:r w:rsidRPr="00EC5A7B">
        <w:rPr>
          <w:rFonts w:asciiTheme="majorHAnsi" w:hAnsiTheme="majorHAnsi" w:cstheme="majorHAnsi"/>
          <w:sz w:val="24"/>
          <w:szCs w:val="24"/>
          <w:lang w:val="ru-MD" w:eastAsia="ru-RU"/>
        </w:rPr>
        <w:t xml:space="preserve"> год, что </w:t>
      </w:r>
      <w:r w:rsidR="00083E57" w:rsidRPr="00EC5A7B">
        <w:rPr>
          <w:rFonts w:asciiTheme="majorHAnsi" w:hAnsiTheme="majorHAnsi" w:cstheme="majorHAnsi"/>
          <w:sz w:val="24"/>
          <w:szCs w:val="24"/>
          <w:lang w:val="ru-MD" w:eastAsia="ru-RU"/>
        </w:rPr>
        <w:t>обуславливает</w:t>
      </w:r>
      <w:r w:rsidRPr="00EC5A7B">
        <w:rPr>
          <w:rFonts w:asciiTheme="majorHAnsi" w:hAnsiTheme="majorHAnsi" w:cstheme="majorHAnsi"/>
          <w:sz w:val="24"/>
          <w:szCs w:val="24"/>
          <w:lang w:val="ru-MD" w:eastAsia="ru-RU"/>
        </w:rPr>
        <w:t xml:space="preserve"> наличи</w:t>
      </w:r>
      <w:r w:rsidR="00083E57"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высокого риска процентной ставки, а также растущей волатильности портфеля государственного долга. </w:t>
      </w:r>
    </w:p>
    <w:p w14:paraId="7EBE6754" w14:textId="22A9E6AC" w:rsidR="001C0F87" w:rsidRPr="00EC5A7B" w:rsidRDefault="00083E57" w:rsidP="001C0F87">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Проведенный аудитом анализ относительно закупленных ГЦБ, </w:t>
      </w:r>
      <w:r w:rsidRPr="00EC5A7B">
        <w:rPr>
          <w:rFonts w:asciiTheme="majorHAnsi" w:hAnsiTheme="majorHAnsi"/>
          <w:sz w:val="24"/>
          <w:szCs w:val="24"/>
          <w:lang w:val="ru-MD"/>
        </w:rPr>
        <w:t xml:space="preserve">показал, что наибольший удельный вес </w:t>
      </w:r>
      <w:r w:rsidRPr="00EC5A7B">
        <w:rPr>
          <w:rFonts w:asciiTheme="majorHAnsi" w:hAnsiTheme="majorHAnsi" w:cstheme="majorHAnsi"/>
          <w:sz w:val="24"/>
          <w:szCs w:val="24"/>
          <w:lang w:val="ru-MD"/>
        </w:rPr>
        <w:t xml:space="preserve">– (74,2%) приходится на банковский сектор, а небанковским </w:t>
      </w:r>
      <w:r w:rsidRPr="00EC5A7B">
        <w:rPr>
          <w:rFonts w:asciiTheme="majorHAnsi" w:hAnsiTheme="majorHAnsi"/>
          <w:sz w:val="24"/>
          <w:szCs w:val="24"/>
          <w:lang w:val="ru-MD"/>
        </w:rPr>
        <w:t>инвесторам</w:t>
      </w:r>
      <w:r w:rsidRPr="00EC5A7B">
        <w:rPr>
          <w:rFonts w:asciiTheme="majorHAnsi" w:hAnsiTheme="majorHAnsi" w:cstheme="majorHAnsi"/>
          <w:sz w:val="24"/>
          <w:szCs w:val="24"/>
          <w:lang w:val="ru-MD"/>
        </w:rPr>
        <w:t xml:space="preserve"> принадлежат </w:t>
      </w:r>
      <w:r w:rsidRPr="00EC5A7B">
        <w:rPr>
          <w:rFonts w:asciiTheme="majorHAnsi" w:hAnsiTheme="majorHAnsi" w:cstheme="majorHAnsi"/>
          <w:sz w:val="24"/>
          <w:szCs w:val="24"/>
          <w:lang w:val="ru-MD" w:eastAsia="ru-RU"/>
        </w:rPr>
        <w:t>25,3% от общего объема</w:t>
      </w:r>
      <w:r w:rsidRPr="00EC5A7B">
        <w:rPr>
          <w:rFonts w:asciiTheme="majorHAnsi" w:hAnsiTheme="majorHAnsi" w:cstheme="majorHAnsi"/>
          <w:sz w:val="24"/>
          <w:szCs w:val="24"/>
          <w:lang w:val="ru-MD"/>
        </w:rPr>
        <w:t xml:space="preserve"> ГЦБ, находящихся в обращении.  </w:t>
      </w:r>
      <w:r w:rsidRPr="00EC5A7B">
        <w:rPr>
          <w:rFonts w:asciiTheme="majorHAnsi" w:hAnsiTheme="majorHAnsi" w:cstheme="majorHAnsi"/>
          <w:i/>
          <w:sz w:val="24"/>
          <w:szCs w:val="24"/>
          <w:lang w:val="ru-MD" w:eastAsia="ru-RU"/>
        </w:rPr>
        <w:t>Информация о сальдо ГЦБ в портфеле держателей по состоянию на 31.12.2019 представлена в Приложении №6 к настоящему Отчету аудита.</w:t>
      </w:r>
    </w:p>
    <w:p w14:paraId="698EEC23" w14:textId="6A1C8D54" w:rsidR="00454FEA" w:rsidRPr="00EC5A7B" w:rsidRDefault="003A5E7E" w:rsidP="001C0F87">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Что касается ГЦБ, выпущенных для пополнения резерва ликвидности, проверки аудита </w:t>
      </w:r>
      <w:r w:rsidR="008B2DC4" w:rsidRPr="00EC5A7B">
        <w:rPr>
          <w:rFonts w:asciiTheme="majorHAnsi" w:hAnsiTheme="majorHAnsi" w:cstheme="majorHAnsi"/>
          <w:sz w:val="24"/>
          <w:szCs w:val="24"/>
          <w:lang w:val="ru-MD" w:eastAsia="ru-RU"/>
        </w:rPr>
        <w:t>установ</w:t>
      </w:r>
      <w:r w:rsidRPr="00EC5A7B">
        <w:rPr>
          <w:rFonts w:asciiTheme="majorHAnsi" w:hAnsiTheme="majorHAnsi" w:cstheme="majorHAnsi"/>
          <w:sz w:val="24"/>
          <w:szCs w:val="24"/>
          <w:lang w:val="ru-MD" w:eastAsia="ru-RU"/>
        </w:rPr>
        <w:t xml:space="preserve">или, что в 2019 году этот тип ГЦБ не </w:t>
      </w:r>
      <w:r w:rsidR="008B2DC4" w:rsidRPr="00EC5A7B">
        <w:rPr>
          <w:rFonts w:asciiTheme="majorHAnsi" w:hAnsiTheme="majorHAnsi" w:cstheme="majorHAnsi"/>
          <w:sz w:val="24"/>
          <w:szCs w:val="24"/>
          <w:lang w:val="ru-MD" w:eastAsia="ru-RU"/>
        </w:rPr>
        <w:t>выпускался</w:t>
      </w:r>
      <w:r w:rsidRPr="00EC5A7B">
        <w:rPr>
          <w:rFonts w:asciiTheme="majorHAnsi" w:hAnsiTheme="majorHAnsi" w:cstheme="majorHAnsi"/>
          <w:sz w:val="24"/>
          <w:szCs w:val="24"/>
          <w:lang w:val="ru-MD" w:eastAsia="ru-RU"/>
        </w:rPr>
        <w:t xml:space="preserve">. </w:t>
      </w:r>
      <w:r w:rsidR="008B2DC4" w:rsidRPr="00EC5A7B">
        <w:rPr>
          <w:rFonts w:asciiTheme="majorHAnsi" w:hAnsiTheme="majorHAnsi" w:cstheme="majorHAnsi"/>
          <w:sz w:val="24"/>
          <w:szCs w:val="24"/>
          <w:lang w:val="ru-MD" w:eastAsia="ru-RU"/>
        </w:rPr>
        <w:t>Эта</w:t>
      </w:r>
      <w:r w:rsidRPr="00EC5A7B">
        <w:rPr>
          <w:rFonts w:asciiTheme="majorHAnsi" w:hAnsiTheme="majorHAnsi" w:cstheme="majorHAnsi"/>
          <w:sz w:val="24"/>
          <w:szCs w:val="24"/>
          <w:lang w:val="ru-MD" w:eastAsia="ru-RU"/>
        </w:rPr>
        <w:t xml:space="preserve"> деятельность была </w:t>
      </w:r>
      <w:r w:rsidR="008B2DC4" w:rsidRPr="00EC5A7B">
        <w:rPr>
          <w:rFonts w:asciiTheme="majorHAnsi" w:hAnsiTheme="majorHAnsi" w:cstheme="majorHAnsi"/>
          <w:sz w:val="24"/>
          <w:szCs w:val="24"/>
          <w:lang w:val="ru-MD" w:eastAsia="ru-RU"/>
        </w:rPr>
        <w:t>инициирована</w:t>
      </w:r>
      <w:r w:rsidRPr="00EC5A7B">
        <w:rPr>
          <w:rFonts w:asciiTheme="majorHAnsi" w:hAnsiTheme="majorHAnsi" w:cstheme="majorHAnsi"/>
          <w:sz w:val="24"/>
          <w:szCs w:val="24"/>
          <w:lang w:val="ru-MD" w:eastAsia="ru-RU"/>
        </w:rPr>
        <w:t xml:space="preserve"> в 2017 году, </w:t>
      </w:r>
      <w:r w:rsidR="008B2DC4" w:rsidRPr="00EC5A7B">
        <w:rPr>
          <w:rFonts w:asciiTheme="majorHAnsi" w:hAnsiTheme="majorHAnsi" w:cstheme="majorHAnsi"/>
          <w:sz w:val="24"/>
          <w:szCs w:val="24"/>
          <w:lang w:val="ru-MD" w:eastAsia="ru-RU"/>
        </w:rPr>
        <w:t>когда</w:t>
      </w:r>
      <w:r w:rsidRPr="00EC5A7B">
        <w:rPr>
          <w:rFonts w:asciiTheme="majorHAnsi" w:hAnsiTheme="majorHAnsi" w:cstheme="majorHAnsi"/>
          <w:sz w:val="24"/>
          <w:szCs w:val="24"/>
          <w:lang w:val="ru-MD" w:eastAsia="ru-RU"/>
        </w:rPr>
        <w:t xml:space="preserve"> МФ предложил</w:t>
      </w:r>
      <w:r w:rsidR="008B2DC4"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 создать резерв </w:t>
      </w:r>
      <w:r w:rsidR="008B2DC4" w:rsidRPr="00EC5A7B">
        <w:rPr>
          <w:rFonts w:asciiTheme="majorHAnsi" w:hAnsiTheme="majorHAnsi" w:cstheme="majorHAnsi"/>
          <w:sz w:val="24"/>
          <w:szCs w:val="24"/>
          <w:lang w:val="ru-MD" w:eastAsia="ru-RU"/>
        </w:rPr>
        <w:t xml:space="preserve">ликвидности </w:t>
      </w:r>
      <w:r w:rsidRPr="00EC5A7B">
        <w:rPr>
          <w:rFonts w:asciiTheme="majorHAnsi" w:hAnsiTheme="majorHAnsi" w:cstheme="majorHAnsi"/>
          <w:sz w:val="24"/>
          <w:szCs w:val="24"/>
          <w:lang w:val="ru-MD" w:eastAsia="ru-RU"/>
        </w:rPr>
        <w:t xml:space="preserve">в размере 2,0 млрд. </w:t>
      </w:r>
      <w:r w:rsidR="008B2DC4" w:rsidRPr="00EC5A7B">
        <w:rPr>
          <w:rFonts w:asciiTheme="majorHAnsi" w:hAnsiTheme="majorHAnsi" w:cstheme="majorHAnsi"/>
          <w:sz w:val="24"/>
          <w:szCs w:val="24"/>
          <w:lang w:val="ru-MD" w:eastAsia="ru-RU"/>
        </w:rPr>
        <w:t>леев,</w:t>
      </w:r>
      <w:r w:rsidRPr="00EC5A7B">
        <w:rPr>
          <w:rFonts w:asciiTheme="majorHAnsi" w:hAnsiTheme="majorHAnsi" w:cstheme="majorHAnsi"/>
          <w:sz w:val="24"/>
          <w:szCs w:val="24"/>
          <w:lang w:val="ru-MD" w:eastAsia="ru-RU"/>
        </w:rPr>
        <w:t xml:space="preserve"> в целях улучшения управления государственным долгом, а также избежания сезонного давления в </w:t>
      </w:r>
      <w:r w:rsidRPr="00EC5A7B">
        <w:rPr>
          <w:rFonts w:asciiTheme="majorHAnsi" w:hAnsiTheme="majorHAnsi" w:cstheme="majorHAnsi"/>
          <w:sz w:val="24"/>
          <w:szCs w:val="24"/>
          <w:lang w:val="ru-MD" w:eastAsia="ru-RU"/>
        </w:rPr>
        <w:lastRenderedPageBreak/>
        <w:t>обеспечении источников финансирования для покрытия дефицита бюджета, а также для снижения риска рефинансирования государственного долга и рисков, связанных с наличием ликвидности.</w:t>
      </w:r>
    </w:p>
    <w:p w14:paraId="2B05E6D7" w14:textId="1F1AD744" w:rsidR="00D65C10" w:rsidRPr="00EC5A7B" w:rsidRDefault="003A5E7E" w:rsidP="00556CBE">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Аудит показ</w:t>
      </w:r>
      <w:r w:rsidR="008B2DC4" w:rsidRPr="00EC5A7B">
        <w:rPr>
          <w:rFonts w:asciiTheme="majorHAnsi" w:hAnsiTheme="majorHAnsi" w:cstheme="majorHAnsi"/>
          <w:sz w:val="24"/>
          <w:szCs w:val="24"/>
          <w:lang w:val="ru-MD" w:eastAsia="ru-RU"/>
        </w:rPr>
        <w:t>ал</w:t>
      </w:r>
      <w:r w:rsidRPr="00EC5A7B">
        <w:rPr>
          <w:rFonts w:asciiTheme="majorHAnsi" w:hAnsiTheme="majorHAnsi" w:cstheme="majorHAnsi"/>
          <w:sz w:val="24"/>
          <w:szCs w:val="24"/>
          <w:lang w:val="ru-MD" w:eastAsia="ru-RU"/>
        </w:rPr>
        <w:t xml:space="preserve">, что в апреле были </w:t>
      </w:r>
      <w:r w:rsidR="008B2DC4" w:rsidRPr="00EC5A7B">
        <w:rPr>
          <w:rFonts w:asciiTheme="majorHAnsi" w:hAnsiTheme="majorHAnsi" w:cstheme="majorHAnsi"/>
          <w:sz w:val="24"/>
          <w:szCs w:val="24"/>
          <w:lang w:val="ru-MD" w:eastAsia="ru-RU"/>
        </w:rPr>
        <w:t>выкупл</w:t>
      </w:r>
      <w:r w:rsidRPr="00EC5A7B">
        <w:rPr>
          <w:rFonts w:asciiTheme="majorHAnsi" w:hAnsiTheme="majorHAnsi" w:cstheme="majorHAnsi"/>
          <w:sz w:val="24"/>
          <w:szCs w:val="24"/>
          <w:lang w:val="ru-MD" w:eastAsia="ru-RU"/>
        </w:rPr>
        <w:t xml:space="preserve">ены ГЦБ, выпущенные для пополнения резерва ликвидности </w:t>
      </w:r>
      <w:r w:rsidR="008B2DC4" w:rsidRPr="00EC5A7B">
        <w:rPr>
          <w:rFonts w:asciiTheme="majorHAnsi" w:hAnsiTheme="majorHAnsi" w:cstheme="majorHAnsi"/>
          <w:sz w:val="24"/>
          <w:szCs w:val="24"/>
          <w:lang w:val="ru-MD" w:eastAsia="ru-RU"/>
        </w:rPr>
        <w:t>на сумму</w:t>
      </w:r>
      <w:r w:rsidRPr="00EC5A7B">
        <w:rPr>
          <w:rFonts w:asciiTheme="majorHAnsi" w:hAnsiTheme="majorHAnsi" w:cstheme="majorHAnsi"/>
          <w:sz w:val="24"/>
          <w:szCs w:val="24"/>
          <w:lang w:val="ru-MD" w:eastAsia="ru-RU"/>
        </w:rPr>
        <w:t xml:space="preserve"> 345,5 млн. леев. В то же время, согласно графикам </w:t>
      </w:r>
      <w:r w:rsidR="008B2DC4"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платы процентов по этому типу ГЦБ, в 2019 году были </w:t>
      </w:r>
      <w:r w:rsidR="008B2DC4"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плачены проценты в размере 29,1 млн. леев</w:t>
      </w:r>
      <w:r w:rsidR="00454FEA" w:rsidRPr="00EC5A7B">
        <w:rPr>
          <w:rFonts w:asciiTheme="majorHAnsi" w:hAnsiTheme="majorHAnsi" w:cstheme="majorHAnsi"/>
          <w:sz w:val="24"/>
          <w:szCs w:val="24"/>
          <w:lang w:val="ru-MD" w:eastAsia="ru-RU"/>
        </w:rPr>
        <w:t xml:space="preserve">. </w:t>
      </w:r>
    </w:p>
    <w:p w14:paraId="1C757DB4" w14:textId="686248FB" w:rsidR="00454FEA" w:rsidRPr="00EC5A7B" w:rsidRDefault="00F23BAE" w:rsidP="00556CBE">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Накопленные средства для пополнения резерва ликвидности были размещены на депозитных счетах в НБМ. Так, по состоянию на 01.01.2019 МФ разместило в НБМ 7 депозитов на общую сумму 599,0 млн. леев. В течение года, за счет размещенных депозитов, была возвращена сумма в 345,5 млн. леев и получены проценты в размере 29,1 млн. леев. В этом контексте отмечается, что по состоянию на 31.12.2019 МФ владело резервом ликвидности в размере 253,5 млн. леев, назмещенных на 6 депозитных счетах в НБМ</w:t>
      </w:r>
      <w:r w:rsidR="00DE506C" w:rsidRPr="00EC5A7B">
        <w:rPr>
          <w:rFonts w:asciiTheme="majorHAnsi" w:hAnsiTheme="majorHAnsi" w:cstheme="majorHAnsi"/>
          <w:sz w:val="24"/>
          <w:szCs w:val="24"/>
          <w:lang w:val="ru-MD" w:eastAsia="ru-RU"/>
        </w:rPr>
        <w:t>.</w:t>
      </w:r>
    </w:p>
    <w:p w14:paraId="626433B0" w14:textId="42DA29F4" w:rsidR="00DE506C" w:rsidRPr="00EC5A7B" w:rsidRDefault="00F23BAE" w:rsidP="00556CBE">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Как и в ходе предыдущего аудита Счетной палаты, настоящий аудит </w:t>
      </w:r>
      <w:r w:rsidR="00871ECB" w:rsidRPr="00EC5A7B">
        <w:rPr>
          <w:rFonts w:asciiTheme="majorHAnsi" w:hAnsiTheme="majorHAnsi" w:cstheme="majorHAnsi"/>
          <w:sz w:val="24"/>
          <w:szCs w:val="24"/>
          <w:lang w:val="ru-MD" w:eastAsia="ru-RU"/>
        </w:rPr>
        <w:t>обращает внимание на</w:t>
      </w:r>
      <w:r w:rsidRPr="00EC5A7B">
        <w:rPr>
          <w:rFonts w:asciiTheme="majorHAnsi" w:hAnsiTheme="majorHAnsi" w:cstheme="majorHAnsi"/>
          <w:sz w:val="24"/>
          <w:szCs w:val="24"/>
          <w:lang w:val="ru-MD" w:eastAsia="ru-RU"/>
        </w:rPr>
        <w:t xml:space="preserve"> отсутстви</w:t>
      </w:r>
      <w:r w:rsidR="00871ECB"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нормативной базы, которая </w:t>
      </w:r>
      <w:r w:rsidR="00871ECB" w:rsidRPr="00EC5A7B">
        <w:rPr>
          <w:rFonts w:asciiTheme="majorHAnsi" w:hAnsiTheme="majorHAnsi" w:cstheme="majorHAnsi"/>
          <w:sz w:val="24"/>
          <w:szCs w:val="24"/>
          <w:lang w:val="ru-MD" w:eastAsia="ru-RU"/>
        </w:rPr>
        <w:t>надел</w:t>
      </w:r>
      <w:r w:rsidRPr="00EC5A7B">
        <w:rPr>
          <w:rFonts w:asciiTheme="majorHAnsi" w:hAnsiTheme="majorHAnsi" w:cstheme="majorHAnsi"/>
          <w:sz w:val="24"/>
          <w:szCs w:val="24"/>
          <w:lang w:val="ru-MD" w:eastAsia="ru-RU"/>
        </w:rPr>
        <w:t xml:space="preserve">ила бы МФ полномочиями по созданию резервов ликвидности путем выпуска ГЦБ. Согласно информации, представленной МФ, в результате рекомендаций предыдущего аудита был разработан и представлен </w:t>
      </w:r>
      <w:r w:rsidR="00871ECB"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равительству проект </w:t>
      </w:r>
      <w:r w:rsidR="00871ECB" w:rsidRPr="00EC5A7B">
        <w:rPr>
          <w:rFonts w:asciiTheme="majorHAnsi" w:hAnsiTheme="majorHAnsi" w:cstheme="majorHAnsi"/>
          <w:sz w:val="24"/>
          <w:szCs w:val="24"/>
          <w:lang w:val="ru-MD" w:eastAsia="ru-RU"/>
        </w:rPr>
        <w:t xml:space="preserve">закона о </w:t>
      </w:r>
      <w:r w:rsidRPr="00EC5A7B">
        <w:rPr>
          <w:rFonts w:asciiTheme="majorHAnsi" w:hAnsiTheme="majorHAnsi" w:cstheme="majorHAnsi"/>
          <w:sz w:val="24"/>
          <w:szCs w:val="24"/>
          <w:lang w:val="ru-MD" w:eastAsia="ru-RU"/>
        </w:rPr>
        <w:t>внесении изменений в некоторые нормативные акты</w:t>
      </w:r>
      <w:r w:rsidR="00077A89" w:rsidRPr="00EC5A7B">
        <w:rPr>
          <w:rFonts w:asciiTheme="majorHAnsi" w:hAnsiTheme="majorHAnsi" w:cstheme="majorHAnsi"/>
          <w:sz w:val="24"/>
          <w:szCs w:val="24"/>
          <w:lang w:val="ru-MD" w:eastAsia="ru-RU"/>
        </w:rPr>
        <w:t>.</w:t>
      </w:r>
    </w:p>
    <w:p w14:paraId="391FC3D9" w14:textId="59FFEEED" w:rsidR="00493D2F" w:rsidRPr="00EC5A7B" w:rsidRDefault="00871ECB" w:rsidP="00204D8A">
      <w:pPr>
        <w:pStyle w:val="NoSpacing"/>
        <w:spacing w:after="240" w:line="276" w:lineRule="auto"/>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Конвертируемые ГЦБ, </w:t>
      </w:r>
      <w:r w:rsidRPr="00EC5A7B">
        <w:rPr>
          <w:rFonts w:asciiTheme="majorHAnsi" w:hAnsiTheme="majorHAnsi" w:cstheme="majorHAnsi"/>
          <w:sz w:val="24"/>
          <w:szCs w:val="24"/>
          <w:lang w:val="ru-MD" w:eastAsia="ru-RU"/>
        </w:rPr>
        <w:t xml:space="preserve">представляющие собой остаток ранее контрактованных </w:t>
      </w:r>
      <w:r w:rsidR="00916BB1" w:rsidRPr="00EC5A7B">
        <w:rPr>
          <w:rFonts w:asciiTheme="majorHAnsi" w:hAnsiTheme="majorHAnsi" w:cstheme="majorHAnsi"/>
          <w:sz w:val="24"/>
          <w:szCs w:val="24"/>
          <w:lang w:val="ru-MD" w:eastAsia="ru-RU"/>
        </w:rPr>
        <w:t>займ</w:t>
      </w:r>
      <w:r w:rsidRPr="00EC5A7B">
        <w:rPr>
          <w:rFonts w:asciiTheme="majorHAnsi" w:hAnsiTheme="majorHAnsi" w:cstheme="majorHAnsi"/>
          <w:sz w:val="24"/>
          <w:szCs w:val="24"/>
          <w:lang w:val="ru-MD" w:eastAsia="ru-RU"/>
        </w:rPr>
        <w:t xml:space="preserve">ов от НБМ, </w:t>
      </w:r>
      <w:r w:rsidR="00EA5D6B" w:rsidRPr="00EC5A7B">
        <w:rPr>
          <w:rFonts w:asciiTheme="majorHAnsi" w:hAnsiTheme="majorHAnsi" w:cstheme="majorHAnsi"/>
          <w:sz w:val="24"/>
          <w:szCs w:val="24"/>
          <w:lang w:val="ru-MD" w:eastAsia="ru-RU"/>
        </w:rPr>
        <w:t xml:space="preserve">по состоянию на 01.01.2019 </w:t>
      </w:r>
      <w:r w:rsidRPr="00EC5A7B">
        <w:rPr>
          <w:rFonts w:asciiTheme="majorHAnsi" w:hAnsiTheme="majorHAnsi" w:cstheme="majorHAnsi"/>
          <w:sz w:val="24"/>
          <w:szCs w:val="24"/>
          <w:lang w:val="ru-MD" w:eastAsia="ru-RU"/>
        </w:rPr>
        <w:lastRenderedPageBreak/>
        <w:t xml:space="preserve">составляли 2 063,4 млн. леев. В течение года, на основании Соглашения о </w:t>
      </w:r>
      <w:r w:rsidR="00EA5D6B" w:rsidRPr="00EC5A7B">
        <w:rPr>
          <w:rFonts w:asciiTheme="majorHAnsi" w:hAnsiTheme="majorHAnsi" w:cstheme="majorHAnsi"/>
          <w:sz w:val="24"/>
          <w:szCs w:val="24"/>
          <w:lang w:val="ru-MD" w:eastAsia="ru-RU"/>
        </w:rPr>
        <w:t>повторном выпуске</w:t>
      </w:r>
      <w:r w:rsidRPr="00EC5A7B">
        <w:rPr>
          <w:rFonts w:asciiTheme="majorHAnsi" w:hAnsiTheme="majorHAnsi" w:cstheme="majorHAnsi"/>
          <w:sz w:val="24"/>
          <w:szCs w:val="24"/>
          <w:lang w:val="ru-MD" w:eastAsia="ru-RU"/>
        </w:rPr>
        <w:t xml:space="preserve"> ГЦБ от 8 февраля 2019 года, заключенного между МФ и НБМ, были </w:t>
      </w:r>
      <w:r w:rsidR="00EA5D6B" w:rsidRPr="00EC5A7B">
        <w:rPr>
          <w:rFonts w:asciiTheme="majorHAnsi" w:hAnsiTheme="majorHAnsi" w:cstheme="majorHAnsi"/>
          <w:sz w:val="24"/>
          <w:szCs w:val="24"/>
          <w:lang w:val="ru-MD" w:eastAsia="ru-RU"/>
        </w:rPr>
        <w:t>повторно выпущены и выкуплены</w:t>
      </w:r>
      <w:r w:rsidRPr="00EC5A7B">
        <w:rPr>
          <w:rFonts w:asciiTheme="majorHAnsi" w:hAnsiTheme="majorHAnsi" w:cstheme="majorHAnsi"/>
          <w:sz w:val="24"/>
          <w:szCs w:val="24"/>
          <w:lang w:val="ru-MD" w:eastAsia="ru-RU"/>
        </w:rPr>
        <w:t xml:space="preserve"> </w:t>
      </w:r>
      <w:r w:rsidR="00EA5D6B" w:rsidRPr="00EC5A7B">
        <w:rPr>
          <w:rFonts w:asciiTheme="majorHAnsi" w:hAnsiTheme="majorHAnsi" w:cstheme="majorHAnsi"/>
          <w:sz w:val="24"/>
          <w:szCs w:val="24"/>
          <w:lang w:val="ru-MD" w:eastAsia="ru-RU"/>
        </w:rPr>
        <w:t xml:space="preserve">конвертируемые </w:t>
      </w:r>
      <w:r w:rsidRPr="00EC5A7B">
        <w:rPr>
          <w:rFonts w:asciiTheme="majorHAnsi" w:hAnsiTheme="majorHAnsi" w:cstheme="majorHAnsi"/>
          <w:sz w:val="24"/>
          <w:szCs w:val="24"/>
          <w:lang w:val="ru-MD" w:eastAsia="ru-RU"/>
        </w:rPr>
        <w:t>ГЦБ</w:t>
      </w:r>
      <w:r w:rsidR="00EA5D6B" w:rsidRPr="00EC5A7B">
        <w:rPr>
          <w:rFonts w:asciiTheme="majorHAnsi" w:hAnsiTheme="majorHAnsi" w:cstheme="majorHAnsi"/>
          <w:sz w:val="24"/>
          <w:szCs w:val="24"/>
          <w:lang w:val="ru-MD" w:eastAsia="ru-RU"/>
        </w:rPr>
        <w:t xml:space="preserve"> на</w:t>
      </w:r>
      <w:r w:rsidRPr="00EC5A7B">
        <w:rPr>
          <w:rFonts w:asciiTheme="majorHAnsi" w:hAnsiTheme="majorHAnsi" w:cstheme="majorHAnsi"/>
          <w:sz w:val="24"/>
          <w:szCs w:val="24"/>
          <w:lang w:val="ru-MD" w:eastAsia="ru-RU"/>
        </w:rPr>
        <w:t xml:space="preserve"> общую сумму 2 063,4 млн. леев. Таким образом, по состоянию на 31.12.2019 конвертир</w:t>
      </w:r>
      <w:r w:rsidR="00EA5D6B" w:rsidRPr="00EC5A7B">
        <w:rPr>
          <w:rFonts w:asciiTheme="majorHAnsi" w:hAnsiTheme="majorHAnsi" w:cstheme="majorHAnsi"/>
          <w:sz w:val="24"/>
          <w:szCs w:val="24"/>
          <w:lang w:val="ru-MD" w:eastAsia="ru-RU"/>
        </w:rPr>
        <w:t>уем</w:t>
      </w:r>
      <w:r w:rsidRPr="00EC5A7B">
        <w:rPr>
          <w:rFonts w:asciiTheme="majorHAnsi" w:hAnsiTheme="majorHAnsi" w:cstheme="majorHAnsi"/>
          <w:sz w:val="24"/>
          <w:szCs w:val="24"/>
          <w:lang w:val="ru-MD" w:eastAsia="ru-RU"/>
        </w:rPr>
        <w:t>ые ГЦБ состав</w:t>
      </w:r>
      <w:r w:rsidR="00EA5D6B" w:rsidRPr="00EC5A7B">
        <w:rPr>
          <w:rFonts w:asciiTheme="majorHAnsi" w:hAnsiTheme="majorHAnsi" w:cstheme="majorHAnsi"/>
          <w:sz w:val="24"/>
          <w:szCs w:val="24"/>
          <w:lang w:val="ru-MD" w:eastAsia="ru-RU"/>
        </w:rPr>
        <w:t>ля</w:t>
      </w:r>
      <w:r w:rsidRPr="00EC5A7B">
        <w:rPr>
          <w:rFonts w:asciiTheme="majorHAnsi" w:hAnsiTheme="majorHAnsi" w:cstheme="majorHAnsi"/>
          <w:sz w:val="24"/>
          <w:szCs w:val="24"/>
          <w:lang w:val="ru-MD" w:eastAsia="ru-RU"/>
        </w:rPr>
        <w:t>ли 2 063,4 млн. леев</w:t>
      </w:r>
      <w:r w:rsidR="00493D2F" w:rsidRPr="00EC5A7B">
        <w:rPr>
          <w:rFonts w:asciiTheme="majorHAnsi" w:hAnsiTheme="majorHAnsi" w:cstheme="majorHAnsi"/>
          <w:sz w:val="24"/>
          <w:szCs w:val="24"/>
          <w:lang w:val="ru-MD" w:eastAsia="ru-RU"/>
        </w:rPr>
        <w:t>.</w:t>
      </w:r>
    </w:p>
    <w:p w14:paraId="12A93EAA" w14:textId="5B149500" w:rsidR="006725A3" w:rsidRPr="00EC5A7B" w:rsidRDefault="00E314CD" w:rsidP="00204D8A">
      <w:pPr>
        <w:pStyle w:val="NoSpacing"/>
        <w:spacing w:after="240" w:line="276" w:lineRule="auto"/>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ГЦБ, выпущенные для исполнения платежных обязательств, вытекающих из государственных гарантий, </w:t>
      </w:r>
      <w:r w:rsidRPr="00EC5A7B">
        <w:rPr>
          <w:rFonts w:asciiTheme="majorHAnsi" w:hAnsiTheme="majorHAnsi" w:cstheme="majorHAnsi"/>
          <w:sz w:val="24"/>
          <w:szCs w:val="24"/>
          <w:lang w:val="ru-MD" w:eastAsia="ru-RU"/>
        </w:rPr>
        <w:t xml:space="preserve">по состоянию на 01.01.2019 составили 13 081,2 млн. леев. Согласно графику, в октябре были выкуплены ГЦБ этого типа на сумму 230,0 млн. леев, таким образом, остаток ГЦБ, выпущенных для исполнения платежных обязательств, вытекающих из государственных гарантий, по состоянию на 31.12.2019 составил 12 851,2 </w:t>
      </w:r>
      <w:r w:rsidR="00220355" w:rsidRPr="00EC5A7B">
        <w:rPr>
          <w:rFonts w:asciiTheme="majorHAnsi" w:hAnsiTheme="majorHAnsi" w:cstheme="majorHAnsi"/>
          <w:sz w:val="24"/>
          <w:szCs w:val="24"/>
          <w:lang w:val="ru-MD" w:eastAsia="ru-RU"/>
        </w:rPr>
        <w:t>млн. леев</w:t>
      </w:r>
      <w:r w:rsidR="00B85E1C" w:rsidRPr="00EC5A7B">
        <w:rPr>
          <w:rFonts w:asciiTheme="majorHAnsi" w:hAnsiTheme="majorHAnsi" w:cstheme="majorHAnsi"/>
          <w:sz w:val="24"/>
          <w:szCs w:val="24"/>
          <w:lang w:val="ru-MD" w:eastAsia="ru-RU"/>
        </w:rPr>
        <w:t>.</w:t>
      </w:r>
      <w:r w:rsidR="001E4050" w:rsidRPr="00EC5A7B">
        <w:rPr>
          <w:rFonts w:asciiTheme="majorHAnsi" w:hAnsiTheme="majorHAnsi" w:cstheme="majorHAnsi"/>
          <w:sz w:val="24"/>
          <w:szCs w:val="24"/>
          <w:lang w:val="ru-MD" w:eastAsia="ru-RU"/>
        </w:rPr>
        <w:t xml:space="preserve"> </w:t>
      </w:r>
    </w:p>
    <w:p w14:paraId="01D5C9A4" w14:textId="0166820F" w:rsidR="00F15BAE" w:rsidRPr="00EC5A7B" w:rsidRDefault="001041B2" w:rsidP="00916BB1">
      <w:pPr>
        <w:pStyle w:val="ListParagraph"/>
        <w:numPr>
          <w:ilvl w:val="3"/>
          <w:numId w:val="2"/>
        </w:numPr>
        <w:tabs>
          <w:tab w:val="left" w:pos="900"/>
          <w:tab w:val="left" w:pos="990"/>
          <w:tab w:val="left" w:pos="1080"/>
        </w:tabs>
        <w:autoSpaceDE w:val="0"/>
        <w:autoSpaceDN w:val="0"/>
        <w:adjustRightInd w:val="0"/>
        <w:spacing w:line="240" w:lineRule="auto"/>
        <w:ind w:left="720" w:hanging="630"/>
        <w:jc w:val="both"/>
        <w:outlineLvl w:val="1"/>
        <w:rPr>
          <w:rFonts w:asciiTheme="majorHAnsi" w:eastAsia="Times New Roman" w:hAnsiTheme="majorHAnsi" w:cstheme="majorHAnsi"/>
          <w:b/>
          <w:bCs/>
          <w:i/>
          <w:color w:val="5B9BD5" w:themeColor="accent1"/>
          <w:sz w:val="24"/>
          <w:szCs w:val="24"/>
          <w:lang w:val="ru-MD" w:eastAsia="ru-RU"/>
        </w:rPr>
      </w:pPr>
      <w:bookmarkStart w:id="10" w:name="_Toc63157259"/>
      <w:r w:rsidRPr="00EC5A7B">
        <w:rPr>
          <w:rFonts w:asciiTheme="majorHAnsi" w:eastAsia="Times New Roman" w:hAnsiTheme="majorHAnsi" w:cstheme="majorHAnsi"/>
          <w:b/>
          <w:bCs/>
          <w:i/>
          <w:color w:val="5B9BD5" w:themeColor="accent1"/>
          <w:sz w:val="24"/>
          <w:szCs w:val="24"/>
          <w:lang w:val="ru-MD" w:eastAsia="ru-RU"/>
        </w:rPr>
        <w:t>Суммы, перечисленные в государственный бюджет для погашения дебиторской задолженности банками, подлежащими ликвидации, были ниже по сравнению с предыдущим годом</w:t>
      </w:r>
      <w:bookmarkEnd w:id="10"/>
      <w:r w:rsidRPr="00EC5A7B">
        <w:rPr>
          <w:rFonts w:asciiTheme="majorHAnsi" w:eastAsia="Times New Roman" w:hAnsiTheme="majorHAnsi" w:cstheme="majorHAnsi"/>
          <w:b/>
          <w:bCs/>
          <w:i/>
          <w:color w:val="5B9BD5" w:themeColor="accent1"/>
          <w:sz w:val="24"/>
          <w:szCs w:val="24"/>
          <w:lang w:val="ru-MD" w:eastAsia="ru-RU"/>
        </w:rPr>
        <w:t xml:space="preserve"> </w:t>
      </w:r>
    </w:p>
    <w:p w14:paraId="01A54FCE" w14:textId="5DC84FA9" w:rsidR="00D30681" w:rsidRPr="00EC5A7B" w:rsidRDefault="00EE3C8F" w:rsidP="00D30681">
      <w:pPr>
        <w:pStyle w:val="NoSpacing"/>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Законом №</w:t>
      </w:r>
      <w:r w:rsidR="00D30681" w:rsidRPr="00EC5A7B">
        <w:rPr>
          <w:rFonts w:asciiTheme="majorHAnsi" w:hAnsiTheme="majorHAnsi" w:cstheme="majorHAnsi"/>
          <w:sz w:val="24"/>
          <w:szCs w:val="24"/>
          <w:lang w:val="ru-MD"/>
        </w:rPr>
        <w:t xml:space="preserve">190 </w:t>
      </w:r>
      <w:r w:rsidRPr="00EC5A7B">
        <w:rPr>
          <w:rFonts w:asciiTheme="majorHAnsi" w:hAnsiTheme="majorHAnsi" w:cstheme="majorHAnsi"/>
          <w:sz w:val="24"/>
          <w:szCs w:val="24"/>
          <w:lang w:val="ru-MD"/>
        </w:rPr>
        <w:t>от</w:t>
      </w:r>
      <w:r w:rsidR="00D30681" w:rsidRPr="00EC5A7B">
        <w:rPr>
          <w:rFonts w:asciiTheme="majorHAnsi" w:hAnsiTheme="majorHAnsi" w:cstheme="majorHAnsi"/>
          <w:sz w:val="24"/>
          <w:szCs w:val="24"/>
          <w:lang w:val="ru-MD"/>
        </w:rPr>
        <w:t xml:space="preserve"> 30.09.2011</w:t>
      </w:r>
      <w:r w:rsidR="00D30681" w:rsidRPr="00EC5A7B">
        <w:rPr>
          <w:rStyle w:val="FootnoteReference"/>
          <w:rFonts w:asciiTheme="majorHAnsi" w:hAnsiTheme="majorHAnsi" w:cstheme="majorHAnsi"/>
          <w:sz w:val="24"/>
          <w:szCs w:val="24"/>
          <w:lang w:val="ru-MD"/>
        </w:rPr>
        <w:footnoteReference w:id="4"/>
      </w:r>
      <w:r w:rsidR="00D30681"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было установлено, что МФ выпускает и передает банку АО „Banca de Economii” ГО в целях принятия на себя требований банка АО „Banca de Economii” к банку АО „Investprivatbank”, вытекающих из предоставления денежных средств банку „Investprivatbank” для выплаты личных депозитов</w:t>
      </w:r>
      <w:r w:rsidR="00D30681" w:rsidRPr="00EC5A7B">
        <w:rPr>
          <w:rFonts w:asciiTheme="majorHAnsi" w:hAnsiTheme="majorHAnsi" w:cstheme="majorHAnsi"/>
          <w:sz w:val="24"/>
          <w:szCs w:val="24"/>
          <w:lang w:val="ru-MD"/>
        </w:rPr>
        <w:t>.</w:t>
      </w:r>
      <w:r w:rsidR="00D30681" w:rsidRPr="00EC5A7B">
        <w:rPr>
          <w:rFonts w:ascii="Georgia" w:eastAsia="Times New Roman" w:hAnsi="Georgia" w:cs="Times New Roman"/>
          <w:color w:val="333333"/>
          <w:sz w:val="24"/>
          <w:szCs w:val="24"/>
          <w:shd w:val="clear" w:color="auto" w:fill="FFFFFF"/>
          <w:lang w:val="ru-MD"/>
        </w:rPr>
        <w:t xml:space="preserve"> </w:t>
      </w:r>
      <w:r w:rsidRPr="00EC5A7B">
        <w:rPr>
          <w:rFonts w:asciiTheme="majorHAnsi" w:eastAsia="Times New Roman" w:hAnsiTheme="majorHAnsi" w:cstheme="majorHAnsi"/>
          <w:color w:val="333333"/>
          <w:sz w:val="24"/>
          <w:szCs w:val="24"/>
          <w:shd w:val="clear" w:color="auto" w:fill="FFFFFF"/>
          <w:lang w:val="ru-MD"/>
        </w:rPr>
        <w:t xml:space="preserve">Объем выпущенных ГО должен был быть </w:t>
      </w:r>
      <w:r w:rsidRPr="00EC5A7B">
        <w:rPr>
          <w:rFonts w:asciiTheme="majorHAnsi" w:eastAsia="Times New Roman" w:hAnsiTheme="majorHAnsi" w:cstheme="majorHAnsi"/>
          <w:sz w:val="24"/>
          <w:szCs w:val="24"/>
          <w:shd w:val="clear" w:color="auto" w:fill="FFFFFF"/>
          <w:lang w:val="ru-MD"/>
        </w:rPr>
        <w:t xml:space="preserve">равен сумме задолженности КБ </w:t>
      </w:r>
      <w:r w:rsidRPr="00EC5A7B">
        <w:rPr>
          <w:rFonts w:asciiTheme="majorHAnsi" w:hAnsiTheme="majorHAnsi" w:cstheme="majorHAnsi"/>
          <w:sz w:val="24"/>
          <w:szCs w:val="24"/>
          <w:lang w:val="ru-MD"/>
        </w:rPr>
        <w:t>„</w:t>
      </w:r>
      <w:r w:rsidRPr="00EC5A7B">
        <w:rPr>
          <w:rFonts w:asciiTheme="majorHAnsi" w:eastAsia="Times New Roman" w:hAnsiTheme="majorHAnsi" w:cstheme="majorHAnsi"/>
          <w:sz w:val="24"/>
          <w:szCs w:val="24"/>
          <w:shd w:val="clear" w:color="auto" w:fill="FFFFFF"/>
          <w:lang w:val="ru-MD"/>
        </w:rPr>
        <w:t>Investprivatbank</w:t>
      </w:r>
      <w:r w:rsidRPr="00EC5A7B">
        <w:rPr>
          <w:rFonts w:asciiTheme="majorHAnsi" w:hAnsiTheme="majorHAnsi" w:cstheme="majorHAnsi"/>
          <w:sz w:val="24"/>
          <w:szCs w:val="24"/>
          <w:lang w:val="ru-MD"/>
        </w:rPr>
        <w:t>”</w:t>
      </w:r>
      <w:r w:rsidRPr="00EC5A7B">
        <w:rPr>
          <w:rFonts w:asciiTheme="majorHAnsi" w:eastAsia="Times New Roman" w:hAnsiTheme="majorHAnsi" w:cstheme="majorHAnsi"/>
          <w:sz w:val="24"/>
          <w:szCs w:val="24"/>
          <w:shd w:val="clear" w:color="auto" w:fill="FFFFFF"/>
          <w:lang w:val="ru-MD"/>
        </w:rPr>
        <w:t xml:space="preserve"> АО перед АО </w:t>
      </w:r>
      <w:r w:rsidRPr="00EC5A7B">
        <w:rPr>
          <w:rFonts w:asciiTheme="majorHAnsi" w:hAnsiTheme="majorHAnsi" w:cstheme="majorHAnsi"/>
          <w:sz w:val="24"/>
          <w:szCs w:val="24"/>
          <w:lang w:val="ru-MD"/>
        </w:rPr>
        <w:lastRenderedPageBreak/>
        <w:t>„</w:t>
      </w:r>
      <w:r w:rsidRPr="00EC5A7B">
        <w:rPr>
          <w:rFonts w:asciiTheme="majorHAnsi" w:eastAsia="Times New Roman" w:hAnsiTheme="majorHAnsi" w:cstheme="majorHAnsi"/>
          <w:sz w:val="24"/>
          <w:szCs w:val="24"/>
          <w:shd w:val="clear" w:color="auto" w:fill="FFFFFF"/>
          <w:lang w:val="ru-MD"/>
        </w:rPr>
        <w:t>Banca de Economii</w:t>
      </w:r>
      <w:r w:rsidRPr="00EC5A7B">
        <w:rPr>
          <w:rFonts w:asciiTheme="majorHAnsi" w:hAnsiTheme="majorHAnsi" w:cstheme="majorHAnsi"/>
          <w:sz w:val="24"/>
          <w:szCs w:val="24"/>
          <w:lang w:val="ru-MD"/>
        </w:rPr>
        <w:t>”</w:t>
      </w:r>
      <w:r w:rsidRPr="00EC5A7B">
        <w:rPr>
          <w:rFonts w:asciiTheme="majorHAnsi" w:eastAsia="Times New Roman" w:hAnsiTheme="majorHAnsi" w:cstheme="majorHAnsi"/>
          <w:sz w:val="24"/>
          <w:szCs w:val="24"/>
          <w:shd w:val="clear" w:color="auto" w:fill="FFFFFF"/>
          <w:lang w:val="ru-MD"/>
        </w:rPr>
        <w:t>, существующей на дату выпуска государственных облигаций</w:t>
      </w:r>
      <w:r w:rsidR="00D30681" w:rsidRPr="00EC5A7B">
        <w:rPr>
          <w:rFonts w:asciiTheme="majorHAnsi" w:hAnsiTheme="majorHAnsi" w:cstheme="majorHAnsi"/>
          <w:sz w:val="24"/>
          <w:szCs w:val="24"/>
          <w:lang w:val="ru-MD"/>
        </w:rPr>
        <w:t xml:space="preserve">. </w:t>
      </w:r>
    </w:p>
    <w:p w14:paraId="3DF3404B" w14:textId="2DD7F980" w:rsidR="00D25492" w:rsidRPr="00EC5A7B" w:rsidRDefault="00EE3C8F" w:rsidP="009379E3">
      <w:pPr>
        <w:pStyle w:val="NoSpacing"/>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Таким образом, в целях исполнения положений Закона №190 от 30.09.2011, Министерство финансов выпустило в 2012 году ГО на сумму 428,5 млн. леев для их передачи АО „Banca de Economii”. По состоянию на 31.12.2019, МФ выкупило все ГО, выпущенные для этих целей</w:t>
      </w:r>
      <w:r w:rsidR="00D25492" w:rsidRPr="00EC5A7B">
        <w:rPr>
          <w:rFonts w:asciiTheme="majorHAnsi" w:hAnsiTheme="majorHAnsi" w:cstheme="majorHAnsi"/>
          <w:sz w:val="24"/>
          <w:szCs w:val="24"/>
          <w:lang w:val="ru-MD"/>
        </w:rPr>
        <w:t>.</w:t>
      </w:r>
    </w:p>
    <w:p w14:paraId="37F65F66" w14:textId="1D1F4BCE" w:rsidR="00D30681" w:rsidRPr="00EC5A7B" w:rsidRDefault="00425652" w:rsidP="009379E3">
      <w:pPr>
        <w:pStyle w:val="NoSpacing"/>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Одновременно, из общего объема долга в 428,5 млн. леев, принятого на себя в 2012 году государственным бюджетом, на протяжении 2012-2019 годов указанный банк перечислил в бюджет от освоения своих активов 70,95 млн. леев (16,6%), из которых 0,45 млн. леев – в 2019 году. Таким образом, в конце 2019 года долг КБ „Investprivatbank” АО перед МФ составил 357,55 млн. леев</w:t>
      </w:r>
      <w:r w:rsidR="00D30681" w:rsidRPr="00EC5A7B">
        <w:rPr>
          <w:rFonts w:asciiTheme="majorHAnsi" w:hAnsiTheme="majorHAnsi" w:cstheme="majorHAnsi"/>
          <w:sz w:val="24"/>
          <w:szCs w:val="24"/>
          <w:lang w:val="ru-MD"/>
        </w:rPr>
        <w:t xml:space="preserve">. </w:t>
      </w:r>
    </w:p>
    <w:p w14:paraId="01B690D8" w14:textId="4304C7F6" w:rsidR="009379E3" w:rsidRPr="00EC5A7B" w:rsidRDefault="00425652" w:rsidP="009379E3">
      <w:pPr>
        <w:pStyle w:val="NoSpacing"/>
        <w:spacing w:after="240" w:line="276" w:lineRule="auto"/>
        <w:jc w:val="both"/>
        <w:rPr>
          <w:rFonts w:asciiTheme="majorHAnsi" w:eastAsia="Times New Roman" w:hAnsiTheme="majorHAnsi" w:cstheme="majorHAnsi"/>
          <w:sz w:val="24"/>
          <w:szCs w:val="24"/>
          <w:lang w:val="ru-MD" w:eastAsia="ru-RU"/>
        </w:rPr>
      </w:pPr>
      <w:r w:rsidRPr="00EC5A7B">
        <w:rPr>
          <w:rFonts w:asciiTheme="majorHAnsi" w:eastAsia="Times New Roman" w:hAnsiTheme="majorHAnsi" w:cstheme="majorHAnsi"/>
          <w:sz w:val="24"/>
          <w:szCs w:val="24"/>
          <w:lang w:val="ru-MD" w:eastAsia="ru-RU"/>
        </w:rPr>
        <w:t>На основании Постановления Правительства №</w:t>
      </w:r>
      <w:r w:rsidR="00F15BAE" w:rsidRPr="00EC5A7B">
        <w:rPr>
          <w:rFonts w:asciiTheme="majorHAnsi" w:eastAsia="Times New Roman" w:hAnsiTheme="majorHAnsi" w:cstheme="majorHAnsi"/>
          <w:sz w:val="24"/>
          <w:szCs w:val="24"/>
          <w:lang w:val="ru-MD" w:eastAsia="ru-RU"/>
        </w:rPr>
        <w:t xml:space="preserve">938 </w:t>
      </w:r>
      <w:r w:rsidRPr="00EC5A7B">
        <w:rPr>
          <w:rFonts w:asciiTheme="majorHAnsi" w:eastAsia="Times New Roman" w:hAnsiTheme="majorHAnsi" w:cstheme="majorHAnsi"/>
          <w:sz w:val="24"/>
          <w:szCs w:val="24"/>
          <w:lang w:val="ru-MD" w:eastAsia="ru-RU"/>
        </w:rPr>
        <w:t>от</w:t>
      </w:r>
      <w:r w:rsidR="00F15BAE" w:rsidRPr="00EC5A7B">
        <w:rPr>
          <w:rFonts w:asciiTheme="majorHAnsi" w:eastAsia="Times New Roman" w:hAnsiTheme="majorHAnsi" w:cstheme="majorHAnsi"/>
          <w:sz w:val="24"/>
          <w:szCs w:val="24"/>
          <w:lang w:val="ru-MD" w:eastAsia="ru-RU"/>
        </w:rPr>
        <w:t xml:space="preserve"> 13.11.2014</w:t>
      </w:r>
      <w:r w:rsidR="008B27A1" w:rsidRPr="00EC5A7B">
        <w:rPr>
          <w:rStyle w:val="FootnoteReference"/>
          <w:rFonts w:asciiTheme="majorHAnsi" w:eastAsia="Times New Roman" w:hAnsiTheme="majorHAnsi" w:cstheme="majorHAnsi"/>
          <w:sz w:val="24"/>
          <w:szCs w:val="24"/>
          <w:lang w:val="ru-MD" w:eastAsia="ru-RU"/>
        </w:rPr>
        <w:footnoteReference w:id="5"/>
      </w:r>
      <w:r w:rsidR="00F15BAE" w:rsidRPr="00EC5A7B">
        <w:rPr>
          <w:rFonts w:asciiTheme="majorHAnsi" w:eastAsia="Times New Roman" w:hAnsiTheme="majorHAnsi" w:cstheme="majorHAnsi"/>
          <w:sz w:val="24"/>
          <w:szCs w:val="24"/>
          <w:lang w:val="ru-MD" w:eastAsia="ru-RU"/>
        </w:rPr>
        <w:t xml:space="preserve">, </w:t>
      </w:r>
      <w:r w:rsidRPr="00EC5A7B">
        <w:rPr>
          <w:rFonts w:asciiTheme="majorHAnsi" w:eastAsia="Times New Roman" w:hAnsiTheme="majorHAnsi" w:cstheme="majorHAnsi"/>
          <w:sz w:val="24"/>
          <w:szCs w:val="24"/>
          <w:lang w:val="ru-MD" w:eastAsia="ru-RU"/>
        </w:rPr>
        <w:t>было принято предложение по предоставлению НБМ лицензированным банкам экстренных кредитов в сумме до 9 500 млн. леев с целью обеспечения стабильности финансовой системы и выпуска государственной гарантии для экстренных кредитов, выданных НБМ</w:t>
      </w:r>
      <w:r w:rsidR="00F15BAE" w:rsidRPr="00EC5A7B">
        <w:rPr>
          <w:rFonts w:asciiTheme="majorHAnsi" w:eastAsia="Times New Roman" w:hAnsiTheme="majorHAnsi" w:cstheme="majorHAnsi"/>
          <w:sz w:val="24"/>
          <w:szCs w:val="24"/>
          <w:lang w:val="ru-MD" w:eastAsia="ru-RU"/>
        </w:rPr>
        <w:t>.</w:t>
      </w:r>
      <w:r w:rsidR="008B27A1" w:rsidRPr="00EC5A7B">
        <w:rPr>
          <w:rFonts w:asciiTheme="majorHAnsi" w:eastAsia="Times New Roman" w:hAnsiTheme="majorHAnsi" w:cstheme="majorHAnsi"/>
          <w:sz w:val="24"/>
          <w:szCs w:val="24"/>
          <w:lang w:val="ru-MD" w:eastAsia="ru-RU"/>
        </w:rPr>
        <w:t xml:space="preserve"> </w:t>
      </w:r>
      <w:r w:rsidRPr="00EC5A7B">
        <w:rPr>
          <w:rFonts w:asciiTheme="majorHAnsi" w:eastAsia="Times New Roman" w:hAnsiTheme="majorHAnsi" w:cstheme="majorHAnsi"/>
          <w:sz w:val="24"/>
          <w:szCs w:val="24"/>
          <w:lang w:val="ru-MD" w:eastAsia="ru-RU"/>
        </w:rPr>
        <w:t>Кроме того, согласно Постановлению Правительства №</w:t>
      </w:r>
      <w:r w:rsidR="008B27A1" w:rsidRPr="00EC5A7B">
        <w:rPr>
          <w:rFonts w:asciiTheme="majorHAnsi" w:eastAsia="Times New Roman" w:hAnsiTheme="majorHAnsi" w:cstheme="majorHAnsi"/>
          <w:sz w:val="24"/>
          <w:szCs w:val="24"/>
          <w:lang w:val="ru-MD" w:eastAsia="ru-RU"/>
        </w:rPr>
        <w:t xml:space="preserve">124 </w:t>
      </w:r>
      <w:r w:rsidRPr="00EC5A7B">
        <w:rPr>
          <w:rFonts w:asciiTheme="majorHAnsi" w:eastAsia="Times New Roman" w:hAnsiTheme="majorHAnsi" w:cstheme="majorHAnsi"/>
          <w:sz w:val="24"/>
          <w:szCs w:val="24"/>
          <w:lang w:val="ru-MD" w:eastAsia="ru-RU"/>
        </w:rPr>
        <w:t>от</w:t>
      </w:r>
      <w:r w:rsidR="008B27A1" w:rsidRPr="00EC5A7B">
        <w:rPr>
          <w:rFonts w:asciiTheme="majorHAnsi" w:eastAsia="Times New Roman" w:hAnsiTheme="majorHAnsi" w:cstheme="majorHAnsi"/>
          <w:sz w:val="24"/>
          <w:szCs w:val="24"/>
          <w:lang w:val="ru-MD" w:eastAsia="ru-RU"/>
        </w:rPr>
        <w:t xml:space="preserve"> 30.03.2015</w:t>
      </w:r>
      <w:r w:rsidR="008B27A1" w:rsidRPr="00EC5A7B">
        <w:rPr>
          <w:rFonts w:asciiTheme="majorHAnsi" w:eastAsia="Times New Roman" w:hAnsiTheme="majorHAnsi" w:cstheme="majorHAnsi"/>
          <w:sz w:val="24"/>
          <w:szCs w:val="24"/>
          <w:vertAlign w:val="superscript"/>
          <w:lang w:val="ru-MD" w:eastAsia="ru-RU"/>
        </w:rPr>
        <w:footnoteReference w:id="6"/>
      </w:r>
      <w:r w:rsidR="008B27A1" w:rsidRPr="00EC5A7B">
        <w:rPr>
          <w:rFonts w:asciiTheme="majorHAnsi" w:eastAsia="Times New Roman" w:hAnsiTheme="majorHAnsi" w:cstheme="majorHAnsi"/>
          <w:sz w:val="24"/>
          <w:szCs w:val="24"/>
          <w:lang w:val="ru-MD" w:eastAsia="ru-RU"/>
        </w:rPr>
        <w:t xml:space="preserve">, </w:t>
      </w:r>
      <w:r w:rsidR="009C5C5C" w:rsidRPr="00EC5A7B">
        <w:rPr>
          <w:rFonts w:asciiTheme="majorHAnsi" w:eastAsia="Times New Roman" w:hAnsiTheme="majorHAnsi" w:cstheme="majorHAnsi"/>
          <w:sz w:val="24"/>
          <w:szCs w:val="24"/>
          <w:lang w:val="ru-MD" w:eastAsia="ru-RU"/>
        </w:rPr>
        <w:t xml:space="preserve">было принято еще одно решение о предоставлении НБМ лицензированным </w:t>
      </w:r>
      <w:r w:rsidR="009C5C5C" w:rsidRPr="00EC5A7B">
        <w:rPr>
          <w:rFonts w:asciiTheme="majorHAnsi" w:eastAsia="Times New Roman" w:hAnsiTheme="majorHAnsi" w:cstheme="majorHAnsi"/>
          <w:sz w:val="24"/>
          <w:szCs w:val="24"/>
          <w:lang w:val="ru-MD" w:eastAsia="ru-RU"/>
        </w:rPr>
        <w:lastRenderedPageBreak/>
        <w:t xml:space="preserve">банкам экстренных кредитов в сумме до </w:t>
      </w:r>
      <w:r w:rsidR="008B27A1" w:rsidRPr="00EC5A7B">
        <w:rPr>
          <w:rFonts w:asciiTheme="majorHAnsi" w:eastAsia="Times New Roman" w:hAnsiTheme="majorHAnsi" w:cstheme="majorHAnsi"/>
          <w:sz w:val="24"/>
          <w:szCs w:val="24"/>
          <w:lang w:val="ru-MD" w:eastAsia="ru-RU"/>
        </w:rPr>
        <w:t>5</w:t>
      </w:r>
      <w:r w:rsidR="009379E3" w:rsidRPr="00EC5A7B">
        <w:rPr>
          <w:rFonts w:asciiTheme="majorHAnsi" w:eastAsia="Times New Roman" w:hAnsiTheme="majorHAnsi" w:cstheme="majorHAnsi"/>
          <w:sz w:val="24"/>
          <w:szCs w:val="24"/>
          <w:lang w:val="ru-MD" w:eastAsia="ru-RU"/>
        </w:rPr>
        <w:t xml:space="preserve"> </w:t>
      </w:r>
      <w:r w:rsidR="008B27A1" w:rsidRPr="00EC5A7B">
        <w:rPr>
          <w:rFonts w:asciiTheme="majorHAnsi" w:eastAsia="Times New Roman" w:hAnsiTheme="majorHAnsi" w:cstheme="majorHAnsi"/>
          <w:sz w:val="24"/>
          <w:szCs w:val="24"/>
          <w:lang w:val="ru-MD" w:eastAsia="ru-RU"/>
        </w:rPr>
        <w:t xml:space="preserve">340 </w:t>
      </w:r>
      <w:r w:rsidR="00220355" w:rsidRPr="00EC5A7B">
        <w:rPr>
          <w:rFonts w:asciiTheme="majorHAnsi" w:eastAsia="Times New Roman" w:hAnsiTheme="majorHAnsi" w:cstheme="majorHAnsi"/>
          <w:sz w:val="24"/>
          <w:szCs w:val="24"/>
          <w:lang w:val="ru-MD" w:eastAsia="ru-RU"/>
        </w:rPr>
        <w:t>млн. леев</w:t>
      </w:r>
      <w:r w:rsidR="008B27A1" w:rsidRPr="00EC5A7B">
        <w:rPr>
          <w:rFonts w:asciiTheme="majorHAnsi" w:eastAsia="Times New Roman" w:hAnsiTheme="majorHAnsi" w:cstheme="majorHAnsi"/>
          <w:sz w:val="24"/>
          <w:szCs w:val="24"/>
          <w:lang w:val="ru-MD" w:eastAsia="ru-RU"/>
        </w:rPr>
        <w:t xml:space="preserve">, </w:t>
      </w:r>
      <w:r w:rsidR="009C5C5C" w:rsidRPr="00EC5A7B">
        <w:rPr>
          <w:rFonts w:asciiTheme="majorHAnsi" w:eastAsia="Times New Roman" w:hAnsiTheme="majorHAnsi" w:cstheme="majorHAnsi"/>
          <w:sz w:val="24"/>
          <w:szCs w:val="24"/>
          <w:lang w:val="ru-MD" w:eastAsia="ru-RU"/>
        </w:rPr>
        <w:t>для тех же целей, предусмотренных Постановлением Правительства №</w:t>
      </w:r>
      <w:r w:rsidR="008B27A1" w:rsidRPr="00EC5A7B">
        <w:rPr>
          <w:rFonts w:asciiTheme="majorHAnsi" w:eastAsia="Times New Roman" w:hAnsiTheme="majorHAnsi" w:cstheme="majorHAnsi"/>
          <w:sz w:val="24"/>
          <w:szCs w:val="24"/>
          <w:lang w:val="ru-MD" w:eastAsia="ru-RU"/>
        </w:rPr>
        <w:t xml:space="preserve">938 </w:t>
      </w:r>
      <w:r w:rsidR="009C5C5C" w:rsidRPr="00EC5A7B">
        <w:rPr>
          <w:rFonts w:asciiTheme="majorHAnsi" w:eastAsia="Times New Roman" w:hAnsiTheme="majorHAnsi" w:cstheme="majorHAnsi"/>
          <w:sz w:val="24"/>
          <w:szCs w:val="24"/>
          <w:lang w:val="ru-MD" w:eastAsia="ru-RU"/>
        </w:rPr>
        <w:t>от</w:t>
      </w:r>
      <w:r w:rsidR="008B27A1" w:rsidRPr="00EC5A7B">
        <w:rPr>
          <w:rFonts w:asciiTheme="majorHAnsi" w:eastAsia="Times New Roman" w:hAnsiTheme="majorHAnsi" w:cstheme="majorHAnsi"/>
          <w:sz w:val="24"/>
          <w:szCs w:val="24"/>
          <w:lang w:val="ru-MD" w:eastAsia="ru-RU"/>
        </w:rPr>
        <w:t xml:space="preserve"> 13.11.2014. </w:t>
      </w:r>
    </w:p>
    <w:p w14:paraId="53DF5834" w14:textId="2E3795B4" w:rsidR="00E10E2F" w:rsidRPr="00EC5A7B" w:rsidRDefault="002E1B29" w:rsidP="009379E3">
      <w:pPr>
        <w:pStyle w:val="NoSpacing"/>
        <w:spacing w:after="240" w:line="276" w:lineRule="auto"/>
        <w:jc w:val="both"/>
        <w:rPr>
          <w:rFonts w:asciiTheme="majorHAnsi" w:eastAsia="Times New Roman" w:hAnsiTheme="majorHAnsi" w:cstheme="majorHAnsi"/>
          <w:sz w:val="24"/>
          <w:szCs w:val="24"/>
          <w:lang w:val="ru-MD"/>
        </w:rPr>
      </w:pPr>
      <w:r w:rsidRPr="00EC5A7B">
        <w:rPr>
          <w:rFonts w:asciiTheme="majorHAnsi" w:eastAsia="Times New Roman" w:hAnsiTheme="majorHAnsi" w:cstheme="majorHAnsi"/>
          <w:sz w:val="24"/>
          <w:szCs w:val="24"/>
          <w:lang w:val="ru-MD" w:eastAsia="ru-RU"/>
        </w:rPr>
        <w:t xml:space="preserve">Общая сумма </w:t>
      </w:r>
      <w:r w:rsidR="00912D82" w:rsidRPr="00EC5A7B">
        <w:rPr>
          <w:rFonts w:asciiTheme="majorHAnsi" w:eastAsia="Times New Roman" w:hAnsiTheme="majorHAnsi" w:cstheme="majorHAnsi"/>
          <w:sz w:val="24"/>
          <w:szCs w:val="24"/>
          <w:lang w:val="ru-MD" w:eastAsia="ru-RU"/>
        </w:rPr>
        <w:t>снятых со счета экстренных</w:t>
      </w:r>
      <w:r w:rsidRPr="00EC5A7B">
        <w:rPr>
          <w:rFonts w:asciiTheme="majorHAnsi" w:eastAsia="Times New Roman" w:hAnsiTheme="majorHAnsi" w:cstheme="majorHAnsi"/>
          <w:sz w:val="24"/>
          <w:szCs w:val="24"/>
          <w:lang w:val="ru-MD" w:eastAsia="ru-RU"/>
        </w:rPr>
        <w:t xml:space="preserve"> кредитов, выданных под гаранти</w:t>
      </w:r>
      <w:r w:rsidR="00912D82" w:rsidRPr="00EC5A7B">
        <w:rPr>
          <w:rFonts w:asciiTheme="majorHAnsi" w:eastAsia="Times New Roman" w:hAnsiTheme="majorHAnsi" w:cstheme="majorHAnsi"/>
          <w:sz w:val="24"/>
          <w:szCs w:val="24"/>
          <w:lang w:val="ru-MD" w:eastAsia="ru-RU"/>
        </w:rPr>
        <w:t>ей</w:t>
      </w:r>
      <w:r w:rsidRPr="00EC5A7B">
        <w:rPr>
          <w:rFonts w:asciiTheme="majorHAnsi" w:eastAsia="Times New Roman" w:hAnsiTheme="majorHAnsi" w:cstheme="majorHAnsi"/>
          <w:sz w:val="24"/>
          <w:szCs w:val="24"/>
          <w:lang w:val="ru-MD" w:eastAsia="ru-RU"/>
        </w:rPr>
        <w:t xml:space="preserve"> </w:t>
      </w:r>
      <w:r w:rsidR="00912D82" w:rsidRPr="00EC5A7B">
        <w:rPr>
          <w:rFonts w:asciiTheme="majorHAnsi" w:eastAsia="Times New Roman" w:hAnsiTheme="majorHAnsi" w:cstheme="majorHAnsi"/>
          <w:sz w:val="24"/>
          <w:szCs w:val="24"/>
          <w:lang w:val="ru-MD" w:eastAsia="ru-RU"/>
        </w:rPr>
        <w:t>П</w:t>
      </w:r>
      <w:r w:rsidRPr="00EC5A7B">
        <w:rPr>
          <w:rFonts w:asciiTheme="majorHAnsi" w:eastAsia="Times New Roman" w:hAnsiTheme="majorHAnsi" w:cstheme="majorHAnsi"/>
          <w:sz w:val="24"/>
          <w:szCs w:val="24"/>
          <w:lang w:val="ru-MD" w:eastAsia="ru-RU"/>
        </w:rPr>
        <w:t>равительства коммерческими банками АО</w:t>
      </w:r>
      <w:r w:rsidR="00912D82" w:rsidRPr="00EC5A7B">
        <w:rPr>
          <w:rFonts w:asciiTheme="majorHAnsi" w:eastAsia="Times New Roman" w:hAnsiTheme="majorHAnsi" w:cstheme="majorHAnsi"/>
          <w:sz w:val="24"/>
          <w:szCs w:val="24"/>
          <w:lang w:val="ru-MD" w:eastAsia="ru-RU"/>
        </w:rPr>
        <w:t xml:space="preserve"> </w:t>
      </w:r>
      <w:r w:rsidR="00912D82" w:rsidRPr="00EC5A7B">
        <w:rPr>
          <w:rFonts w:asciiTheme="majorHAnsi" w:eastAsiaTheme="minorEastAsia" w:hAnsiTheme="majorHAnsi" w:cstheme="majorHAnsi"/>
          <w:sz w:val="24"/>
          <w:szCs w:val="24"/>
          <w:lang w:val="ru-MD"/>
        </w:rPr>
        <w:t>„Banca de Economii”</w:t>
      </w:r>
      <w:r w:rsidRPr="00EC5A7B">
        <w:rPr>
          <w:rFonts w:asciiTheme="majorHAnsi" w:eastAsia="Times New Roman" w:hAnsiTheme="majorHAnsi" w:cstheme="majorHAnsi"/>
          <w:sz w:val="24"/>
          <w:szCs w:val="24"/>
          <w:lang w:val="ru-MD" w:eastAsia="ru-RU"/>
        </w:rPr>
        <w:t xml:space="preserve">, КБ </w:t>
      </w:r>
      <w:r w:rsidR="00912D82" w:rsidRPr="00EC5A7B">
        <w:rPr>
          <w:rFonts w:asciiTheme="majorHAnsi" w:eastAsiaTheme="minorEastAsia" w:hAnsiTheme="majorHAnsi" w:cstheme="majorHAnsi"/>
          <w:sz w:val="24"/>
          <w:szCs w:val="24"/>
          <w:lang w:val="ru-MD"/>
        </w:rPr>
        <w:t xml:space="preserve">„Banca Socială” </w:t>
      </w:r>
      <w:r w:rsidRPr="00EC5A7B">
        <w:rPr>
          <w:rFonts w:asciiTheme="majorHAnsi" w:eastAsia="Times New Roman" w:hAnsiTheme="majorHAnsi" w:cstheme="majorHAnsi"/>
          <w:sz w:val="24"/>
          <w:szCs w:val="24"/>
          <w:lang w:val="ru-MD" w:eastAsia="ru-RU"/>
        </w:rPr>
        <w:t xml:space="preserve">АО и КБ „Unibank” АО, составила </w:t>
      </w:r>
      <w:r w:rsidR="00912D82" w:rsidRPr="00EC5A7B">
        <w:rPr>
          <w:rFonts w:asciiTheme="majorHAnsi" w:eastAsia="Times New Roman" w:hAnsiTheme="majorHAnsi" w:cstheme="majorHAnsi"/>
          <w:sz w:val="24"/>
          <w:szCs w:val="24"/>
          <w:lang w:val="ru-MD" w:eastAsia="ru-RU"/>
        </w:rPr>
        <w:t>14 121,7 млн. леев</w:t>
      </w:r>
      <w:r w:rsidRPr="00EC5A7B">
        <w:rPr>
          <w:rFonts w:asciiTheme="majorHAnsi" w:eastAsia="Times New Roman" w:hAnsiTheme="majorHAnsi" w:cstheme="majorHAnsi"/>
          <w:sz w:val="24"/>
          <w:szCs w:val="24"/>
          <w:lang w:val="ru-MD" w:eastAsia="ru-RU"/>
        </w:rPr>
        <w:t xml:space="preserve">, из которых </w:t>
      </w:r>
      <w:r w:rsidR="00912D82" w:rsidRPr="00EC5A7B">
        <w:rPr>
          <w:rFonts w:asciiTheme="majorHAnsi" w:eastAsia="Times New Roman" w:hAnsiTheme="majorHAnsi" w:cstheme="majorHAnsi"/>
          <w:sz w:val="24"/>
          <w:szCs w:val="24"/>
          <w:lang w:val="ru-MD" w:eastAsia="ru-RU"/>
        </w:rPr>
        <w:t>14 121,7 млн. леев – согласно П</w:t>
      </w:r>
      <w:r w:rsidRPr="00EC5A7B">
        <w:rPr>
          <w:rFonts w:asciiTheme="majorHAnsi" w:eastAsia="Times New Roman" w:hAnsiTheme="majorHAnsi" w:cstheme="majorHAnsi"/>
          <w:sz w:val="24"/>
          <w:szCs w:val="24"/>
          <w:lang w:val="ru-MD" w:eastAsia="ru-RU"/>
        </w:rPr>
        <w:t>остановлени</w:t>
      </w:r>
      <w:r w:rsidR="00912D82" w:rsidRPr="00EC5A7B">
        <w:rPr>
          <w:rFonts w:asciiTheme="majorHAnsi" w:eastAsia="Times New Roman" w:hAnsiTheme="majorHAnsi" w:cstheme="majorHAnsi"/>
          <w:sz w:val="24"/>
          <w:szCs w:val="24"/>
          <w:lang w:val="ru-MD" w:eastAsia="ru-RU"/>
        </w:rPr>
        <w:t>ю</w:t>
      </w:r>
      <w:r w:rsidRPr="00EC5A7B">
        <w:rPr>
          <w:rFonts w:asciiTheme="majorHAnsi" w:eastAsia="Times New Roman" w:hAnsiTheme="majorHAnsi" w:cstheme="majorHAnsi"/>
          <w:sz w:val="24"/>
          <w:szCs w:val="24"/>
          <w:lang w:val="ru-MD" w:eastAsia="ru-RU"/>
        </w:rPr>
        <w:t xml:space="preserve"> </w:t>
      </w:r>
      <w:r w:rsidR="00912D82" w:rsidRPr="00EC5A7B">
        <w:rPr>
          <w:rFonts w:asciiTheme="majorHAnsi" w:eastAsia="Times New Roman" w:hAnsiTheme="majorHAnsi" w:cstheme="majorHAnsi"/>
          <w:sz w:val="24"/>
          <w:szCs w:val="24"/>
          <w:lang w:val="ru-MD" w:eastAsia="ru-RU"/>
        </w:rPr>
        <w:t>П</w:t>
      </w:r>
      <w:r w:rsidRPr="00EC5A7B">
        <w:rPr>
          <w:rFonts w:asciiTheme="majorHAnsi" w:eastAsia="Times New Roman" w:hAnsiTheme="majorHAnsi" w:cstheme="majorHAnsi"/>
          <w:sz w:val="24"/>
          <w:szCs w:val="24"/>
          <w:lang w:val="ru-MD" w:eastAsia="ru-RU"/>
        </w:rPr>
        <w:t>равительства №938 от 13.11.2014</w:t>
      </w:r>
      <w:r w:rsidR="00912D82" w:rsidRPr="00EC5A7B">
        <w:rPr>
          <w:rFonts w:asciiTheme="majorHAnsi" w:eastAsia="Times New Roman" w:hAnsiTheme="majorHAnsi" w:cstheme="majorHAnsi"/>
          <w:sz w:val="24"/>
          <w:szCs w:val="24"/>
          <w:lang w:val="ru-MD" w:eastAsia="ru-RU"/>
        </w:rPr>
        <w:t xml:space="preserve">, </w:t>
      </w:r>
      <w:r w:rsidRPr="00EC5A7B">
        <w:rPr>
          <w:rFonts w:asciiTheme="majorHAnsi" w:eastAsia="Times New Roman" w:hAnsiTheme="majorHAnsi" w:cstheme="majorHAnsi"/>
          <w:sz w:val="24"/>
          <w:szCs w:val="24"/>
          <w:lang w:val="ru-MD" w:eastAsia="ru-RU"/>
        </w:rPr>
        <w:t xml:space="preserve">и </w:t>
      </w:r>
      <w:r w:rsidR="00912D82" w:rsidRPr="00EC5A7B">
        <w:rPr>
          <w:rFonts w:asciiTheme="majorHAnsi" w:eastAsia="Times New Roman" w:hAnsiTheme="majorHAnsi" w:cstheme="majorHAnsi"/>
          <w:sz w:val="24"/>
          <w:szCs w:val="24"/>
          <w:lang w:val="ru-MD"/>
        </w:rPr>
        <w:t xml:space="preserve">4 795,0 млн. леев - </w:t>
      </w:r>
      <w:r w:rsidR="00912D82" w:rsidRPr="00EC5A7B">
        <w:rPr>
          <w:rFonts w:asciiTheme="majorHAnsi" w:eastAsia="Times New Roman" w:hAnsiTheme="majorHAnsi" w:cstheme="majorHAnsi"/>
          <w:sz w:val="24"/>
          <w:szCs w:val="24"/>
          <w:lang w:val="ru-MD" w:eastAsia="ru-RU"/>
        </w:rPr>
        <w:t>согласно Постановлению Правительства №</w:t>
      </w:r>
      <w:r w:rsidRPr="00EC5A7B">
        <w:rPr>
          <w:rFonts w:asciiTheme="majorHAnsi" w:eastAsia="Times New Roman" w:hAnsiTheme="majorHAnsi" w:cstheme="majorHAnsi"/>
          <w:sz w:val="24"/>
          <w:szCs w:val="24"/>
          <w:lang w:val="ru-MD" w:eastAsia="ru-RU"/>
        </w:rPr>
        <w:t>124 от 30.03.2015</w:t>
      </w:r>
      <w:r w:rsidR="008B27A1" w:rsidRPr="00EC5A7B">
        <w:rPr>
          <w:rFonts w:asciiTheme="majorHAnsi" w:eastAsia="Times New Roman" w:hAnsiTheme="majorHAnsi" w:cstheme="majorHAnsi"/>
          <w:sz w:val="24"/>
          <w:szCs w:val="24"/>
          <w:lang w:val="ru-MD"/>
        </w:rPr>
        <w:t>.</w:t>
      </w:r>
    </w:p>
    <w:p w14:paraId="3A47A367" w14:textId="6A9C443A" w:rsidR="00230607" w:rsidRPr="00EC5A7B" w:rsidRDefault="00912D82" w:rsidP="00230607">
      <w:pPr>
        <w:pStyle w:val="NoSpacing"/>
        <w:spacing w:after="240" w:line="276" w:lineRule="auto"/>
        <w:jc w:val="both"/>
        <w:rPr>
          <w:rFonts w:asciiTheme="majorHAnsi" w:eastAsiaTheme="minorEastAsia" w:hAnsiTheme="majorHAnsi" w:cstheme="majorHAnsi"/>
          <w:sz w:val="24"/>
          <w:szCs w:val="24"/>
          <w:lang w:val="ru-MD"/>
        </w:rPr>
      </w:pPr>
      <w:r w:rsidRPr="00EC5A7B">
        <w:rPr>
          <w:rFonts w:asciiTheme="majorHAnsi" w:hAnsiTheme="majorHAnsi" w:cstheme="majorHAnsi"/>
          <w:sz w:val="24"/>
          <w:szCs w:val="24"/>
          <w:lang w:val="ru-MD"/>
        </w:rPr>
        <w:t>Согласно п</w:t>
      </w:r>
      <w:r w:rsidR="005572E7" w:rsidRPr="00EC5A7B">
        <w:rPr>
          <w:rFonts w:asciiTheme="majorHAnsi" w:hAnsiTheme="majorHAnsi" w:cstheme="majorHAnsi"/>
          <w:sz w:val="24"/>
          <w:szCs w:val="24"/>
          <w:lang w:val="ru-MD"/>
        </w:rPr>
        <w:t>.</w:t>
      </w:r>
      <w:r w:rsidR="00E10E2F" w:rsidRPr="00EC5A7B">
        <w:rPr>
          <w:rFonts w:asciiTheme="majorHAnsi" w:hAnsiTheme="majorHAnsi" w:cstheme="majorHAnsi"/>
          <w:sz w:val="24"/>
          <w:szCs w:val="24"/>
          <w:lang w:val="ru-MD"/>
        </w:rPr>
        <w:t xml:space="preserve">3 </w:t>
      </w:r>
      <w:r w:rsidRPr="00EC5A7B">
        <w:rPr>
          <w:rFonts w:asciiTheme="majorHAnsi" w:eastAsia="Times New Roman" w:hAnsiTheme="majorHAnsi" w:cstheme="majorHAnsi"/>
          <w:sz w:val="24"/>
          <w:szCs w:val="24"/>
          <w:lang w:val="ru-MD" w:eastAsia="ru-RU"/>
        </w:rPr>
        <w:t>Постановления Правительства №</w:t>
      </w:r>
      <w:r w:rsidR="00E10E2F" w:rsidRPr="00EC5A7B">
        <w:rPr>
          <w:rFonts w:asciiTheme="majorHAnsi" w:hAnsiTheme="majorHAnsi" w:cstheme="majorHAnsi"/>
          <w:sz w:val="24"/>
          <w:szCs w:val="24"/>
          <w:lang w:val="ru-MD"/>
        </w:rPr>
        <w:t xml:space="preserve">938 </w:t>
      </w:r>
      <w:r w:rsidRPr="00EC5A7B">
        <w:rPr>
          <w:rFonts w:asciiTheme="majorHAnsi" w:hAnsiTheme="majorHAnsi" w:cstheme="majorHAnsi"/>
          <w:sz w:val="24"/>
          <w:szCs w:val="24"/>
          <w:lang w:val="ru-MD"/>
        </w:rPr>
        <w:t>от</w:t>
      </w:r>
      <w:r w:rsidR="00E10E2F" w:rsidRPr="00EC5A7B">
        <w:rPr>
          <w:rFonts w:asciiTheme="majorHAnsi" w:hAnsiTheme="majorHAnsi" w:cstheme="majorHAnsi"/>
          <w:sz w:val="24"/>
          <w:szCs w:val="24"/>
          <w:lang w:val="ru-MD"/>
        </w:rPr>
        <w:t xml:space="preserve"> 13.11.2014</w:t>
      </w:r>
      <w:r w:rsidR="00BF2F32" w:rsidRPr="00EC5A7B">
        <w:rPr>
          <w:rFonts w:asciiTheme="majorHAnsi" w:hAnsiTheme="majorHAnsi" w:cstheme="majorHAnsi"/>
          <w:sz w:val="24"/>
          <w:szCs w:val="24"/>
          <w:lang w:val="ru-MD"/>
        </w:rPr>
        <w:t>,</w:t>
      </w:r>
      <w:r w:rsidR="00E10E2F" w:rsidRPr="00EC5A7B">
        <w:rPr>
          <w:rFonts w:asciiTheme="majorHAnsi" w:hAnsiTheme="majorHAnsi" w:cstheme="majorHAnsi"/>
          <w:sz w:val="24"/>
          <w:szCs w:val="24"/>
          <w:lang w:val="ru-MD"/>
        </w:rPr>
        <w:t xml:space="preserve"> „</w:t>
      </w:r>
      <w:r w:rsidR="002E1B29" w:rsidRPr="00EC5A7B">
        <w:rPr>
          <w:rFonts w:asciiTheme="majorHAnsi" w:hAnsiTheme="majorHAnsi" w:cstheme="majorHAnsi"/>
          <w:i/>
          <w:sz w:val="24"/>
          <w:szCs w:val="24"/>
          <w:lang w:val="ru-MD"/>
        </w:rPr>
        <w:t>Государственная гарантия будет заменена ГЦБ, выпущенными МФ в срок, установленный МФ по согласованию с НБМ</w:t>
      </w:r>
      <w:r w:rsidR="00E10E2F" w:rsidRPr="00EC5A7B">
        <w:rPr>
          <w:rFonts w:asciiTheme="majorHAnsi" w:hAnsiTheme="majorHAnsi" w:cstheme="majorHAnsi"/>
          <w:i/>
          <w:sz w:val="24"/>
          <w:szCs w:val="24"/>
          <w:lang w:val="ru-MD"/>
        </w:rPr>
        <w:t>”.</w:t>
      </w:r>
      <w:r w:rsidR="00E10E2F"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Так</w:t>
      </w:r>
      <w:r w:rsidR="00E10E2F"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09.03.2016 МФ и НБМ заключили Меморандум о взаимопонимании по эмиссии ГО с целью исполнения МФ платежных обязательств, вытекающих из государственных гарантий, предоставленных НБМ МФ, для обеспечения экстренных кредитов. Для тех же целей был принят Закон №235 от 03.10.2016</w:t>
      </w:r>
      <w:r w:rsidR="00183BED" w:rsidRPr="00EC5A7B">
        <w:rPr>
          <w:rStyle w:val="FootnoteReference"/>
          <w:rFonts w:asciiTheme="majorHAnsi" w:eastAsiaTheme="minorEastAsia" w:hAnsiTheme="majorHAnsi" w:cstheme="majorHAnsi"/>
          <w:sz w:val="24"/>
          <w:szCs w:val="24"/>
          <w:lang w:val="ru-MD"/>
        </w:rPr>
        <w:footnoteReference w:id="7"/>
      </w:r>
      <w:r w:rsidRPr="00EC5A7B">
        <w:rPr>
          <w:rFonts w:asciiTheme="majorHAnsi" w:hAnsiTheme="majorHAnsi" w:cstheme="majorHAnsi"/>
          <w:sz w:val="24"/>
          <w:szCs w:val="24"/>
          <w:lang w:val="ru-MD"/>
        </w:rPr>
        <w:t>, в соответствии с которым были установлены условия выпуска государственных об</w:t>
      </w:r>
      <w:r w:rsidR="00183BED" w:rsidRPr="00EC5A7B">
        <w:rPr>
          <w:rFonts w:asciiTheme="majorHAnsi" w:hAnsiTheme="majorHAnsi" w:cstheme="majorHAnsi"/>
          <w:sz w:val="24"/>
          <w:szCs w:val="24"/>
          <w:lang w:val="ru-MD"/>
        </w:rPr>
        <w:t>лигаций</w:t>
      </w:r>
      <w:r w:rsidR="00230607" w:rsidRPr="00EC5A7B">
        <w:rPr>
          <w:rFonts w:asciiTheme="majorHAnsi" w:eastAsiaTheme="minorEastAsia" w:hAnsiTheme="majorHAnsi" w:cstheme="majorHAnsi"/>
          <w:sz w:val="24"/>
          <w:szCs w:val="24"/>
          <w:lang w:val="ru-MD"/>
        </w:rPr>
        <w:t xml:space="preserve">. </w:t>
      </w:r>
    </w:p>
    <w:p w14:paraId="69546F19" w14:textId="005C146C" w:rsidR="00230607" w:rsidRPr="00EC5A7B" w:rsidRDefault="00183BED" w:rsidP="00E66876">
      <w:pPr>
        <w:pStyle w:val="NoSpacing"/>
        <w:spacing w:after="240" w:line="276" w:lineRule="auto"/>
        <w:jc w:val="both"/>
        <w:rPr>
          <w:rFonts w:asciiTheme="majorHAnsi" w:eastAsia="Times New Roman" w:hAnsiTheme="majorHAnsi" w:cstheme="majorHAnsi"/>
          <w:sz w:val="24"/>
          <w:szCs w:val="24"/>
          <w:lang w:val="ru-MD"/>
        </w:rPr>
      </w:pPr>
      <w:r w:rsidRPr="00EC5A7B">
        <w:rPr>
          <w:rFonts w:asciiTheme="majorHAnsi" w:eastAsiaTheme="minorEastAsia" w:hAnsiTheme="majorHAnsi" w:cstheme="majorHAnsi"/>
          <w:sz w:val="24"/>
          <w:szCs w:val="24"/>
          <w:lang w:val="ru-MD"/>
        </w:rPr>
        <w:t xml:space="preserve">С момента снятия со счета средств экстренных кредитов и до выпуска государственных облигаций банки, находящиеся в процессе ликвидации („Banca de Economii”АО, КБ „Banca </w:t>
      </w:r>
      <w:r w:rsidRPr="00EC5A7B">
        <w:rPr>
          <w:rFonts w:asciiTheme="majorHAnsi" w:eastAsiaTheme="minorEastAsia" w:hAnsiTheme="majorHAnsi" w:cstheme="majorHAnsi"/>
          <w:sz w:val="24"/>
          <w:szCs w:val="24"/>
          <w:lang w:val="ru-MD"/>
        </w:rPr>
        <w:lastRenderedPageBreak/>
        <w:t xml:space="preserve">Socială” АО и КБ „Unibank” АО), погасили 780,5 млн. леев, невозвращенный остаток экстренных кредитов, предоставленных НБМ под государственной гарантией, составляет 13 341,2 млн. леев. Таким образом, в целях исполнения закона №235 от 03.10.2016 МФ выпустило и передало НБМ 04.10.2016 ГО на сумму 13 341,2 </w:t>
      </w:r>
      <w:r w:rsidRPr="00EC5A7B">
        <w:rPr>
          <w:rFonts w:asciiTheme="majorHAnsi" w:eastAsia="Times New Roman" w:hAnsiTheme="majorHAnsi" w:cstheme="majorHAnsi"/>
          <w:sz w:val="24"/>
          <w:szCs w:val="24"/>
          <w:lang w:val="ru-MD"/>
        </w:rPr>
        <w:t>млн. леев</w:t>
      </w:r>
      <w:r w:rsidRPr="00EC5A7B">
        <w:rPr>
          <w:rFonts w:asciiTheme="majorHAnsi" w:eastAsiaTheme="minorEastAsia" w:hAnsiTheme="majorHAnsi" w:cstheme="majorHAnsi"/>
          <w:sz w:val="24"/>
          <w:szCs w:val="24"/>
          <w:lang w:val="ru-MD"/>
        </w:rPr>
        <w:t>, которые составляют сумму непогашенных кредитов НБМ банками, находящимися в процессе ликвидации.</w:t>
      </w:r>
    </w:p>
    <w:p w14:paraId="6736F343" w14:textId="5929C74D" w:rsidR="00F26567" w:rsidRPr="00EC5A7B" w:rsidRDefault="00183BED" w:rsidP="00C1296C">
      <w:pPr>
        <w:spacing w:after="0" w:line="276" w:lineRule="auto"/>
        <w:jc w:val="both"/>
        <w:rPr>
          <w:rFonts w:asciiTheme="majorHAnsi" w:eastAsia="Times New Roman" w:hAnsiTheme="majorHAnsi" w:cstheme="majorHAnsi"/>
          <w:i/>
          <w:sz w:val="24"/>
          <w:szCs w:val="24"/>
          <w:lang w:val="ru-MD"/>
        </w:rPr>
      </w:pPr>
      <w:r w:rsidRPr="00EC5A7B">
        <w:rPr>
          <w:rFonts w:asciiTheme="majorHAnsi" w:hAnsiTheme="majorHAnsi" w:cstheme="majorHAnsi"/>
          <w:sz w:val="24"/>
          <w:szCs w:val="24"/>
          <w:lang w:val="ru-MD"/>
        </w:rPr>
        <w:t xml:space="preserve">Аудит </w:t>
      </w:r>
      <w:r w:rsidRPr="00EC5A7B">
        <w:rPr>
          <w:rFonts w:asciiTheme="majorHAnsi" w:hAnsiTheme="majorHAnsi" w:cstheme="majorHAnsi"/>
          <w:bCs/>
          <w:sz w:val="24"/>
          <w:szCs w:val="24"/>
          <w:lang w:val="ru-MD" w:eastAsia="ro-RO"/>
        </w:rPr>
        <w:t>отмечает</w:t>
      </w:r>
      <w:r w:rsidR="00E66876" w:rsidRPr="00EC5A7B">
        <w:rPr>
          <w:rFonts w:asciiTheme="majorHAnsi" w:eastAsia="Times New Roman" w:hAnsiTheme="majorHAnsi" w:cs="Times New Roman"/>
          <w:sz w:val="24"/>
          <w:lang w:val="ru-MD"/>
        </w:rPr>
        <w:t xml:space="preserve">, </w:t>
      </w:r>
      <w:r w:rsidRPr="00EC5A7B">
        <w:rPr>
          <w:rFonts w:asciiTheme="majorHAnsi" w:eastAsia="Times New Roman" w:hAnsiTheme="majorHAnsi" w:cs="Times New Roman"/>
          <w:sz w:val="24"/>
          <w:lang w:val="ru-MD"/>
        </w:rPr>
        <w:t>что по состоянию на</w:t>
      </w:r>
      <w:r w:rsidR="00E66876" w:rsidRPr="00EC5A7B">
        <w:rPr>
          <w:rFonts w:asciiTheme="majorHAnsi" w:eastAsia="Times New Roman" w:hAnsiTheme="majorHAnsi" w:cstheme="majorHAnsi"/>
          <w:sz w:val="24"/>
          <w:szCs w:val="24"/>
          <w:lang w:val="ru-MD"/>
        </w:rPr>
        <w:t xml:space="preserve"> 31.12.2019, </w:t>
      </w:r>
      <w:r w:rsidRPr="00EC5A7B">
        <w:rPr>
          <w:rFonts w:asciiTheme="majorHAnsi" w:hAnsiTheme="majorHAnsi" w:cstheme="majorHAnsi"/>
          <w:sz w:val="24"/>
          <w:szCs w:val="24"/>
          <w:lang w:val="ru-MD"/>
        </w:rPr>
        <w:t xml:space="preserve">за счет освоения активов 3 банков, находящихся в процессе ликвидации („Banca de Economii” АО, КБ „Banca Socială” АО, КБ „Unibank” АО), на счет государственного бюджета поступили денежные средства в сумме </w:t>
      </w:r>
      <w:r w:rsidRPr="00EC5A7B">
        <w:rPr>
          <w:rFonts w:asciiTheme="majorHAnsi" w:eastAsia="Times New Roman" w:hAnsiTheme="majorHAnsi" w:cstheme="majorHAnsi"/>
          <w:color w:val="000000" w:themeColor="text1"/>
          <w:sz w:val="24"/>
          <w:szCs w:val="24"/>
          <w:lang w:val="ru-MD"/>
        </w:rPr>
        <w:t xml:space="preserve">1 608,4 млн. леев, в том числе </w:t>
      </w:r>
      <w:r w:rsidRPr="00EC5A7B">
        <w:rPr>
          <w:rFonts w:asciiTheme="majorHAnsi" w:hAnsiTheme="majorHAnsi" w:cstheme="majorHAnsi"/>
          <w:sz w:val="24"/>
          <w:szCs w:val="24"/>
          <w:lang w:val="ru-MD"/>
        </w:rPr>
        <w:t xml:space="preserve"> </w:t>
      </w:r>
      <w:r w:rsidRPr="00EC5A7B">
        <w:rPr>
          <w:rFonts w:asciiTheme="majorHAnsi" w:eastAsia="Times New Roman" w:hAnsiTheme="majorHAnsi" w:cstheme="majorHAnsi"/>
          <w:sz w:val="24"/>
          <w:szCs w:val="24"/>
          <w:lang w:val="ru-MD"/>
        </w:rPr>
        <w:t>639,0 млн. леев в 2019 году.</w:t>
      </w:r>
      <w:r w:rsidR="00E66876" w:rsidRPr="00EC5A7B">
        <w:rPr>
          <w:rFonts w:asciiTheme="majorHAnsi" w:eastAsia="Times New Roman" w:hAnsiTheme="majorHAnsi" w:cstheme="majorHAnsi"/>
          <w:sz w:val="24"/>
          <w:szCs w:val="24"/>
          <w:lang w:val="ru-MD"/>
        </w:rPr>
        <w:t xml:space="preserve"> </w:t>
      </w:r>
      <w:r w:rsidRPr="00EC5A7B">
        <w:rPr>
          <w:rFonts w:asciiTheme="majorHAnsi" w:eastAsia="Times New Roman" w:hAnsiTheme="majorHAnsi" w:cstheme="majorHAnsi"/>
          <w:sz w:val="24"/>
          <w:szCs w:val="24"/>
          <w:lang w:val="ru-MD"/>
        </w:rPr>
        <w:t xml:space="preserve">Таким образом, задолженность банков, находящихся в процессе ликвидации, на конец 2019 года составила 11 732,8 млн. леев. </w:t>
      </w:r>
      <w:r w:rsidR="00364E42" w:rsidRPr="00EC5A7B">
        <w:rPr>
          <w:rFonts w:asciiTheme="majorHAnsi" w:eastAsia="Times New Roman" w:hAnsiTheme="majorHAnsi" w:cstheme="majorHAnsi"/>
          <w:i/>
          <w:sz w:val="24"/>
          <w:szCs w:val="24"/>
          <w:lang w:val="ru-MD"/>
        </w:rPr>
        <w:t>Более детальная</w:t>
      </w:r>
      <w:r w:rsidR="00364E42" w:rsidRPr="00EC5A7B">
        <w:rPr>
          <w:rFonts w:asciiTheme="majorHAnsi" w:eastAsia="Times New Roman" w:hAnsiTheme="majorHAnsi" w:cstheme="majorHAnsi"/>
          <w:sz w:val="24"/>
          <w:szCs w:val="24"/>
          <w:lang w:val="ru-MD"/>
        </w:rPr>
        <w:t xml:space="preserve"> </w:t>
      </w:r>
      <w:r w:rsidRPr="00EC5A7B">
        <w:rPr>
          <w:rFonts w:asciiTheme="majorHAnsi" w:eastAsia="Times New Roman" w:hAnsiTheme="majorHAnsi" w:cstheme="majorHAnsi"/>
          <w:i/>
          <w:sz w:val="24"/>
          <w:szCs w:val="24"/>
          <w:lang w:val="ru-MD"/>
        </w:rPr>
        <w:t>информация представлена в Таблиц</w:t>
      </w:r>
      <w:r w:rsidR="00364E42" w:rsidRPr="00EC5A7B">
        <w:rPr>
          <w:rFonts w:asciiTheme="majorHAnsi" w:eastAsia="Times New Roman" w:hAnsiTheme="majorHAnsi" w:cstheme="majorHAnsi"/>
          <w:i/>
          <w:sz w:val="24"/>
          <w:szCs w:val="24"/>
          <w:lang w:val="ru-MD"/>
        </w:rPr>
        <w:t>е №5</w:t>
      </w:r>
      <w:r w:rsidR="00DD70F6" w:rsidRPr="00EC5A7B">
        <w:rPr>
          <w:rFonts w:asciiTheme="majorHAnsi" w:eastAsia="Times New Roman" w:hAnsiTheme="majorHAnsi" w:cstheme="majorHAnsi"/>
          <w:i/>
          <w:sz w:val="24"/>
          <w:szCs w:val="24"/>
          <w:lang w:val="ru-MD"/>
        </w:rPr>
        <w:t>.</w:t>
      </w:r>
    </w:p>
    <w:p w14:paraId="421F41BC" w14:textId="229E239E" w:rsidR="00DD70F6" w:rsidRPr="00EC5A7B" w:rsidRDefault="00220355" w:rsidP="00C1296C">
      <w:pPr>
        <w:pStyle w:val="NoSpacing"/>
        <w:jc w:val="right"/>
        <w:rPr>
          <w:rFonts w:asciiTheme="majorHAnsi" w:hAnsiTheme="majorHAnsi" w:cstheme="majorHAnsi"/>
          <w:b/>
          <w:i/>
          <w:color w:val="5B9BD5" w:themeColor="accent1"/>
          <w:sz w:val="24"/>
          <w:szCs w:val="24"/>
          <w:lang w:val="ru-MD"/>
        </w:rPr>
      </w:pPr>
      <w:r w:rsidRPr="00EC5A7B">
        <w:rPr>
          <w:rFonts w:asciiTheme="majorHAnsi" w:hAnsiTheme="majorHAnsi" w:cstheme="majorHAnsi"/>
          <w:b/>
          <w:i/>
          <w:color w:val="5B9BD5" w:themeColor="accent1"/>
          <w:sz w:val="24"/>
          <w:szCs w:val="24"/>
          <w:lang w:val="ru-MD"/>
        </w:rPr>
        <w:t>Таблица №</w:t>
      </w:r>
      <w:r w:rsidR="006F221C" w:rsidRPr="00EC5A7B">
        <w:rPr>
          <w:rFonts w:asciiTheme="majorHAnsi" w:hAnsiTheme="majorHAnsi" w:cstheme="majorHAnsi"/>
          <w:b/>
          <w:i/>
          <w:color w:val="5B9BD5" w:themeColor="accent1"/>
          <w:sz w:val="24"/>
          <w:szCs w:val="24"/>
          <w:lang w:val="ru-MD"/>
        </w:rPr>
        <w:t>5</w:t>
      </w:r>
      <w:r w:rsidR="00AD3BAE" w:rsidRPr="00EC5A7B">
        <w:rPr>
          <w:rFonts w:asciiTheme="majorHAnsi" w:hAnsiTheme="majorHAnsi" w:cstheme="majorHAnsi"/>
          <w:b/>
          <w:i/>
          <w:color w:val="5B9BD5" w:themeColor="accent1"/>
          <w:sz w:val="24"/>
          <w:szCs w:val="24"/>
          <w:lang w:val="ru-MD"/>
        </w:rPr>
        <w:t xml:space="preserve">, </w:t>
      </w:r>
      <w:r w:rsidRPr="00EC5A7B">
        <w:rPr>
          <w:rFonts w:asciiTheme="majorHAnsi" w:hAnsiTheme="majorHAnsi" w:cstheme="majorHAnsi"/>
          <w:b/>
          <w:i/>
          <w:color w:val="5B9BD5" w:themeColor="accent1"/>
          <w:sz w:val="24"/>
          <w:szCs w:val="24"/>
          <w:lang w:val="ru-MD"/>
        </w:rPr>
        <w:t>млн. леев</w:t>
      </w:r>
    </w:p>
    <w:tbl>
      <w:tblPr>
        <w:tblStyle w:val="TableGrid"/>
        <w:tblW w:w="9345" w:type="dxa"/>
        <w:tblLook w:val="04A0" w:firstRow="1" w:lastRow="0" w:firstColumn="1" w:lastColumn="0" w:noHBand="0" w:noVBand="1"/>
      </w:tblPr>
      <w:tblGrid>
        <w:gridCol w:w="1362"/>
        <w:gridCol w:w="1660"/>
        <w:gridCol w:w="1304"/>
        <w:gridCol w:w="1259"/>
        <w:gridCol w:w="1259"/>
        <w:gridCol w:w="1291"/>
        <w:gridCol w:w="1210"/>
      </w:tblGrid>
      <w:tr w:rsidR="00AD3BAE" w:rsidRPr="00EC5A7B" w14:paraId="0A4BED81" w14:textId="77777777" w:rsidTr="00AD3BAE">
        <w:tc>
          <w:tcPr>
            <w:tcW w:w="1447" w:type="dxa"/>
            <w:shd w:val="clear" w:color="auto" w:fill="DEEAF6" w:themeFill="accent1" w:themeFillTint="33"/>
            <w:vAlign w:val="center"/>
          </w:tcPr>
          <w:p w14:paraId="44298E75" w14:textId="6A543A82"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Банки, находящиеся в процессе ликвидации</w:t>
            </w:r>
          </w:p>
        </w:tc>
        <w:tc>
          <w:tcPr>
            <w:tcW w:w="1247" w:type="dxa"/>
            <w:shd w:val="clear" w:color="auto" w:fill="DEEAF6" w:themeFill="accent1" w:themeFillTint="33"/>
            <w:vAlign w:val="center"/>
          </w:tcPr>
          <w:p w14:paraId="094AEB16" w14:textId="690B589C"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 xml:space="preserve">Первоначальный долг, принятый на себя государством </w:t>
            </w:r>
          </w:p>
        </w:tc>
        <w:tc>
          <w:tcPr>
            <w:tcW w:w="1445" w:type="dxa"/>
            <w:shd w:val="clear" w:color="auto" w:fill="DEEAF6" w:themeFill="accent1" w:themeFillTint="33"/>
            <w:vAlign w:val="center"/>
          </w:tcPr>
          <w:p w14:paraId="1A295089" w14:textId="7418055D"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Возвращено в</w:t>
            </w:r>
            <w:r w:rsidR="00AD3BAE" w:rsidRPr="00EC5A7B">
              <w:rPr>
                <w:rFonts w:asciiTheme="majorHAnsi" w:eastAsia="Times New Roman" w:hAnsiTheme="majorHAnsi" w:cstheme="majorHAnsi"/>
                <w:b/>
                <w:bCs/>
                <w:color w:val="000000" w:themeColor="text1"/>
                <w:sz w:val="20"/>
                <w:szCs w:val="20"/>
                <w:lang w:val="ru-MD" w:eastAsia="ru-RU"/>
              </w:rPr>
              <w:t xml:space="preserve"> 2016</w:t>
            </w:r>
            <w:r w:rsidRPr="00EC5A7B">
              <w:rPr>
                <w:rFonts w:asciiTheme="majorHAnsi" w:eastAsia="Times New Roman" w:hAnsiTheme="majorHAnsi" w:cstheme="majorHAnsi"/>
                <w:b/>
                <w:bCs/>
                <w:color w:val="000000" w:themeColor="text1"/>
                <w:sz w:val="20"/>
                <w:szCs w:val="20"/>
                <w:lang w:val="ru-MD" w:eastAsia="ru-RU"/>
              </w:rPr>
              <w:t xml:space="preserve"> году</w:t>
            </w:r>
          </w:p>
        </w:tc>
        <w:tc>
          <w:tcPr>
            <w:tcW w:w="1253" w:type="dxa"/>
            <w:shd w:val="clear" w:color="auto" w:fill="DEEAF6" w:themeFill="accent1" w:themeFillTint="33"/>
            <w:vAlign w:val="center"/>
          </w:tcPr>
          <w:p w14:paraId="3E034B52" w14:textId="3B07EF6C"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Возвращено в 2017 году</w:t>
            </w:r>
          </w:p>
        </w:tc>
        <w:tc>
          <w:tcPr>
            <w:tcW w:w="1090" w:type="dxa"/>
            <w:shd w:val="clear" w:color="auto" w:fill="DEEAF6" w:themeFill="accent1" w:themeFillTint="33"/>
            <w:vAlign w:val="center"/>
          </w:tcPr>
          <w:p w14:paraId="1F6D616E" w14:textId="3E3D3A95"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Возвращено в 2018 году</w:t>
            </w:r>
          </w:p>
        </w:tc>
        <w:tc>
          <w:tcPr>
            <w:tcW w:w="1390" w:type="dxa"/>
            <w:shd w:val="clear" w:color="auto" w:fill="DEEAF6" w:themeFill="accent1" w:themeFillTint="33"/>
            <w:vAlign w:val="center"/>
          </w:tcPr>
          <w:p w14:paraId="423F8E3B" w14:textId="37F74048"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Возвращено в 2019 году</w:t>
            </w:r>
          </w:p>
        </w:tc>
        <w:tc>
          <w:tcPr>
            <w:tcW w:w="1473" w:type="dxa"/>
            <w:shd w:val="clear" w:color="auto" w:fill="DEEAF6" w:themeFill="accent1" w:themeFillTint="33"/>
            <w:vAlign w:val="center"/>
          </w:tcPr>
          <w:p w14:paraId="1B403C09" w14:textId="57C446C8" w:rsidR="00AD3BAE" w:rsidRPr="00EC5A7B" w:rsidRDefault="00364E42" w:rsidP="00364E42">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Остаток долга на</w:t>
            </w:r>
            <w:r w:rsidR="00AD3BAE" w:rsidRPr="00EC5A7B">
              <w:rPr>
                <w:rFonts w:asciiTheme="majorHAnsi" w:eastAsia="Times New Roman" w:hAnsiTheme="majorHAnsi" w:cstheme="majorHAnsi"/>
                <w:b/>
                <w:bCs/>
                <w:color w:val="000000" w:themeColor="text1"/>
                <w:sz w:val="20"/>
                <w:szCs w:val="20"/>
                <w:lang w:val="ru-MD" w:eastAsia="ru-RU"/>
              </w:rPr>
              <w:t xml:space="preserve"> 31.12.2019</w:t>
            </w:r>
          </w:p>
        </w:tc>
      </w:tr>
      <w:tr w:rsidR="00AD3BAE" w:rsidRPr="00EC5A7B" w14:paraId="3E8AE28B" w14:textId="77777777" w:rsidTr="00AD3BAE">
        <w:tc>
          <w:tcPr>
            <w:tcW w:w="1447" w:type="dxa"/>
          </w:tcPr>
          <w:p w14:paraId="1DE3253D" w14:textId="036B29EB" w:rsidR="00AD3BAE" w:rsidRPr="00EC5A7B" w:rsidRDefault="00AD3BAE" w:rsidP="00DC683F">
            <w:pPr>
              <w:pStyle w:val="NoSpacing"/>
              <w:jc w:val="both"/>
              <w:rPr>
                <w:rFonts w:asciiTheme="majorHAnsi" w:eastAsia="Times New Roman" w:hAnsiTheme="majorHAnsi" w:cstheme="majorHAnsi"/>
                <w:bCs/>
                <w:color w:val="5B9BD5" w:themeColor="accent1"/>
                <w:sz w:val="20"/>
                <w:szCs w:val="20"/>
                <w:lang w:val="ru-MD" w:eastAsia="ru-RU"/>
              </w:rPr>
            </w:pPr>
            <w:r w:rsidRPr="00EC5A7B">
              <w:rPr>
                <w:rFonts w:asciiTheme="majorHAnsi" w:hAnsiTheme="majorHAnsi" w:cstheme="majorHAnsi"/>
                <w:sz w:val="20"/>
                <w:szCs w:val="20"/>
                <w:lang w:val="ru-MD"/>
              </w:rPr>
              <w:t xml:space="preserve">„Banca de Economii” </w:t>
            </w:r>
            <w:r w:rsidR="00DC683F" w:rsidRPr="00EC5A7B">
              <w:rPr>
                <w:rFonts w:asciiTheme="majorHAnsi" w:hAnsiTheme="majorHAnsi" w:cstheme="majorHAnsi"/>
                <w:sz w:val="20"/>
                <w:szCs w:val="20"/>
                <w:lang w:val="ru-MD"/>
              </w:rPr>
              <w:t>АО</w:t>
            </w:r>
          </w:p>
        </w:tc>
        <w:tc>
          <w:tcPr>
            <w:tcW w:w="1247" w:type="dxa"/>
            <w:vAlign w:val="center"/>
          </w:tcPr>
          <w:p w14:paraId="2E18518E"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9 083,0</w:t>
            </w:r>
          </w:p>
        </w:tc>
        <w:tc>
          <w:tcPr>
            <w:tcW w:w="1445" w:type="dxa"/>
            <w:vAlign w:val="center"/>
          </w:tcPr>
          <w:p w14:paraId="75FD777E"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28,2</w:t>
            </w:r>
          </w:p>
        </w:tc>
        <w:tc>
          <w:tcPr>
            <w:tcW w:w="1253" w:type="dxa"/>
            <w:vAlign w:val="center"/>
          </w:tcPr>
          <w:p w14:paraId="17DE24D9"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109,8</w:t>
            </w:r>
          </w:p>
        </w:tc>
        <w:tc>
          <w:tcPr>
            <w:tcW w:w="1090" w:type="dxa"/>
            <w:vAlign w:val="center"/>
          </w:tcPr>
          <w:p w14:paraId="403846EA"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544,5</w:t>
            </w:r>
          </w:p>
        </w:tc>
        <w:tc>
          <w:tcPr>
            <w:tcW w:w="1390" w:type="dxa"/>
            <w:vAlign w:val="center"/>
          </w:tcPr>
          <w:p w14:paraId="4A054DAF"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502,5</w:t>
            </w:r>
          </w:p>
        </w:tc>
        <w:tc>
          <w:tcPr>
            <w:tcW w:w="1473" w:type="dxa"/>
            <w:vAlign w:val="center"/>
          </w:tcPr>
          <w:p w14:paraId="488201C6"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7 898,0</w:t>
            </w:r>
          </w:p>
        </w:tc>
      </w:tr>
      <w:tr w:rsidR="00AD3BAE" w:rsidRPr="00EC5A7B" w14:paraId="6BEC6EBD" w14:textId="77777777" w:rsidTr="00AD3BAE">
        <w:tc>
          <w:tcPr>
            <w:tcW w:w="1447" w:type="dxa"/>
          </w:tcPr>
          <w:p w14:paraId="7121D1A0" w14:textId="60D01491" w:rsidR="00AD3BAE" w:rsidRPr="00EC5A7B" w:rsidRDefault="00DC683F" w:rsidP="00DC683F">
            <w:pPr>
              <w:pStyle w:val="NoSpacing"/>
              <w:jc w:val="both"/>
              <w:rPr>
                <w:rFonts w:asciiTheme="majorHAnsi" w:eastAsia="Times New Roman" w:hAnsiTheme="majorHAnsi" w:cstheme="majorHAnsi"/>
                <w:bCs/>
                <w:color w:val="5B9BD5" w:themeColor="accent1"/>
                <w:sz w:val="20"/>
                <w:szCs w:val="20"/>
                <w:lang w:val="ru-MD" w:eastAsia="ru-RU"/>
              </w:rPr>
            </w:pPr>
            <w:r w:rsidRPr="00EC5A7B">
              <w:rPr>
                <w:rFonts w:asciiTheme="majorHAnsi" w:hAnsiTheme="majorHAnsi" w:cstheme="majorHAnsi"/>
                <w:sz w:val="20"/>
                <w:szCs w:val="20"/>
                <w:lang w:val="ru-MD"/>
              </w:rPr>
              <w:t>КБ</w:t>
            </w:r>
            <w:r w:rsidR="00AD3BAE" w:rsidRPr="00EC5A7B">
              <w:rPr>
                <w:rFonts w:asciiTheme="majorHAnsi" w:hAnsiTheme="majorHAnsi" w:cstheme="majorHAnsi"/>
                <w:sz w:val="20"/>
                <w:szCs w:val="20"/>
                <w:lang w:val="ru-MD"/>
              </w:rPr>
              <w:t xml:space="preserve"> „Banca Socială” </w:t>
            </w:r>
            <w:r w:rsidRPr="00EC5A7B">
              <w:rPr>
                <w:rFonts w:asciiTheme="majorHAnsi" w:hAnsiTheme="majorHAnsi" w:cstheme="majorHAnsi"/>
                <w:sz w:val="20"/>
                <w:szCs w:val="20"/>
                <w:lang w:val="ru-MD"/>
              </w:rPr>
              <w:t>АО</w:t>
            </w:r>
          </w:p>
        </w:tc>
        <w:tc>
          <w:tcPr>
            <w:tcW w:w="1247" w:type="dxa"/>
            <w:vAlign w:val="center"/>
          </w:tcPr>
          <w:p w14:paraId="3973CCE1"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2 392,0</w:t>
            </w:r>
          </w:p>
        </w:tc>
        <w:tc>
          <w:tcPr>
            <w:tcW w:w="1445" w:type="dxa"/>
            <w:vAlign w:val="center"/>
          </w:tcPr>
          <w:p w14:paraId="2A87A0FE"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44,0</w:t>
            </w:r>
          </w:p>
        </w:tc>
        <w:tc>
          <w:tcPr>
            <w:tcW w:w="1253" w:type="dxa"/>
            <w:vAlign w:val="center"/>
          </w:tcPr>
          <w:p w14:paraId="3037EE2A"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90,0</w:t>
            </w:r>
          </w:p>
        </w:tc>
        <w:tc>
          <w:tcPr>
            <w:tcW w:w="1090" w:type="dxa"/>
            <w:vAlign w:val="center"/>
          </w:tcPr>
          <w:p w14:paraId="6CB89C71"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127,5</w:t>
            </w:r>
          </w:p>
        </w:tc>
        <w:tc>
          <w:tcPr>
            <w:tcW w:w="1390" w:type="dxa"/>
            <w:vAlign w:val="center"/>
          </w:tcPr>
          <w:p w14:paraId="01569D6E"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123,5</w:t>
            </w:r>
          </w:p>
        </w:tc>
        <w:tc>
          <w:tcPr>
            <w:tcW w:w="1473" w:type="dxa"/>
            <w:vAlign w:val="center"/>
          </w:tcPr>
          <w:p w14:paraId="72E23A88"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2 007,0</w:t>
            </w:r>
          </w:p>
        </w:tc>
      </w:tr>
      <w:tr w:rsidR="00AD3BAE" w:rsidRPr="00EC5A7B" w14:paraId="41420982" w14:textId="77777777" w:rsidTr="00AD3BAE">
        <w:tc>
          <w:tcPr>
            <w:tcW w:w="1447" w:type="dxa"/>
          </w:tcPr>
          <w:p w14:paraId="68612D49" w14:textId="5A1FFF37" w:rsidR="00AD3BAE" w:rsidRPr="00EC5A7B" w:rsidRDefault="00DC683F" w:rsidP="00DC683F">
            <w:pPr>
              <w:pStyle w:val="NoSpacing"/>
              <w:jc w:val="both"/>
              <w:rPr>
                <w:rFonts w:asciiTheme="majorHAnsi" w:eastAsia="Times New Roman" w:hAnsiTheme="majorHAnsi" w:cstheme="majorHAnsi"/>
                <w:bCs/>
                <w:color w:val="5B9BD5" w:themeColor="accent1"/>
                <w:sz w:val="20"/>
                <w:szCs w:val="20"/>
                <w:lang w:val="ru-MD" w:eastAsia="ru-RU"/>
              </w:rPr>
            </w:pPr>
            <w:r w:rsidRPr="00EC5A7B">
              <w:rPr>
                <w:rFonts w:asciiTheme="majorHAnsi" w:hAnsiTheme="majorHAnsi" w:cstheme="majorHAnsi"/>
                <w:sz w:val="20"/>
                <w:szCs w:val="20"/>
                <w:lang w:val="ru-MD"/>
              </w:rPr>
              <w:t>КБ</w:t>
            </w:r>
            <w:r w:rsidR="00AD3BAE" w:rsidRPr="00EC5A7B">
              <w:rPr>
                <w:rFonts w:asciiTheme="majorHAnsi" w:hAnsiTheme="majorHAnsi" w:cstheme="majorHAnsi"/>
                <w:sz w:val="20"/>
                <w:szCs w:val="20"/>
                <w:lang w:val="ru-MD"/>
              </w:rPr>
              <w:t xml:space="preserve"> „Unibank” </w:t>
            </w:r>
            <w:r w:rsidRPr="00EC5A7B">
              <w:rPr>
                <w:rFonts w:asciiTheme="majorHAnsi" w:hAnsiTheme="majorHAnsi" w:cstheme="majorHAnsi"/>
                <w:sz w:val="20"/>
                <w:szCs w:val="20"/>
                <w:lang w:val="ru-MD"/>
              </w:rPr>
              <w:t>АО</w:t>
            </w:r>
          </w:p>
        </w:tc>
        <w:tc>
          <w:tcPr>
            <w:tcW w:w="1247" w:type="dxa"/>
            <w:vAlign w:val="center"/>
          </w:tcPr>
          <w:p w14:paraId="7313479F"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1 866,2</w:t>
            </w:r>
          </w:p>
        </w:tc>
        <w:tc>
          <w:tcPr>
            <w:tcW w:w="1445" w:type="dxa"/>
            <w:vAlign w:val="center"/>
          </w:tcPr>
          <w:p w14:paraId="45AF9380"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8,5</w:t>
            </w:r>
          </w:p>
        </w:tc>
        <w:tc>
          <w:tcPr>
            <w:tcW w:w="1253" w:type="dxa"/>
            <w:vAlign w:val="center"/>
          </w:tcPr>
          <w:p w14:paraId="7BBA6F56"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10,1</w:t>
            </w:r>
          </w:p>
        </w:tc>
        <w:tc>
          <w:tcPr>
            <w:tcW w:w="1090" w:type="dxa"/>
            <w:vAlign w:val="center"/>
          </w:tcPr>
          <w:p w14:paraId="3A4E2E47" w14:textId="77777777" w:rsidR="00AD3BAE" w:rsidRPr="00EC5A7B" w:rsidRDefault="00AD3BAE" w:rsidP="00AD3BAE">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6,8</w:t>
            </w:r>
          </w:p>
        </w:tc>
        <w:tc>
          <w:tcPr>
            <w:tcW w:w="1390" w:type="dxa"/>
            <w:vAlign w:val="center"/>
          </w:tcPr>
          <w:p w14:paraId="64523355"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13,0</w:t>
            </w:r>
          </w:p>
        </w:tc>
        <w:tc>
          <w:tcPr>
            <w:tcW w:w="1473" w:type="dxa"/>
            <w:vAlign w:val="center"/>
          </w:tcPr>
          <w:p w14:paraId="4088200A" w14:textId="77777777" w:rsidR="00AD3BAE" w:rsidRPr="00EC5A7B" w:rsidRDefault="00AD3BAE" w:rsidP="00AD3BAE">
            <w:pPr>
              <w:pStyle w:val="NoSpacing"/>
              <w:jc w:val="center"/>
              <w:rPr>
                <w:rFonts w:asciiTheme="majorHAnsi" w:eastAsia="Times New Roman" w:hAnsiTheme="majorHAnsi" w:cstheme="majorHAnsi"/>
                <w:bCs/>
                <w:color w:val="000000" w:themeColor="text1"/>
                <w:sz w:val="20"/>
                <w:szCs w:val="20"/>
                <w:lang w:val="ru-MD" w:eastAsia="ru-RU"/>
              </w:rPr>
            </w:pPr>
            <w:r w:rsidRPr="00EC5A7B">
              <w:rPr>
                <w:rFonts w:asciiTheme="majorHAnsi" w:eastAsia="Times New Roman" w:hAnsiTheme="majorHAnsi" w:cstheme="majorHAnsi"/>
                <w:bCs/>
                <w:color w:val="000000" w:themeColor="text1"/>
                <w:sz w:val="20"/>
                <w:szCs w:val="20"/>
                <w:lang w:val="ru-MD" w:eastAsia="ru-RU"/>
              </w:rPr>
              <w:t>1 827,8</w:t>
            </w:r>
          </w:p>
        </w:tc>
      </w:tr>
      <w:tr w:rsidR="00AD3BAE" w:rsidRPr="00EC5A7B" w14:paraId="700188FE" w14:textId="77777777" w:rsidTr="00AD3BAE">
        <w:tc>
          <w:tcPr>
            <w:tcW w:w="1447" w:type="dxa"/>
          </w:tcPr>
          <w:p w14:paraId="1D738CF5" w14:textId="0DA49751" w:rsidR="00AD3BAE" w:rsidRPr="00EC5A7B" w:rsidRDefault="00DC683F" w:rsidP="00DC683F">
            <w:pPr>
              <w:pStyle w:val="NoSpacing"/>
              <w:jc w:val="both"/>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Всего</w:t>
            </w:r>
          </w:p>
        </w:tc>
        <w:tc>
          <w:tcPr>
            <w:tcW w:w="1247" w:type="dxa"/>
            <w:vAlign w:val="center"/>
          </w:tcPr>
          <w:p w14:paraId="74F3467A" w14:textId="77777777" w:rsidR="00AD3BAE" w:rsidRPr="00EC5A7B" w:rsidRDefault="00AD3BAE" w:rsidP="00AD3BAE">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13 341,2</w:t>
            </w:r>
          </w:p>
        </w:tc>
        <w:tc>
          <w:tcPr>
            <w:tcW w:w="1445" w:type="dxa"/>
            <w:shd w:val="clear" w:color="auto" w:fill="auto"/>
            <w:vAlign w:val="center"/>
          </w:tcPr>
          <w:p w14:paraId="33E3AE5B" w14:textId="77777777" w:rsidR="00AD3BAE" w:rsidRPr="00EC5A7B" w:rsidRDefault="00AD3BAE" w:rsidP="00AD3BAE">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80,7</w:t>
            </w:r>
          </w:p>
        </w:tc>
        <w:tc>
          <w:tcPr>
            <w:tcW w:w="1253" w:type="dxa"/>
            <w:shd w:val="clear" w:color="auto" w:fill="auto"/>
            <w:vAlign w:val="center"/>
          </w:tcPr>
          <w:p w14:paraId="40A4B299" w14:textId="77777777" w:rsidR="00AD3BAE" w:rsidRPr="00EC5A7B" w:rsidRDefault="00AD3BAE" w:rsidP="00AD3BAE">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209,9</w:t>
            </w:r>
          </w:p>
        </w:tc>
        <w:tc>
          <w:tcPr>
            <w:tcW w:w="1090" w:type="dxa"/>
            <w:shd w:val="clear" w:color="auto" w:fill="auto"/>
            <w:vAlign w:val="center"/>
          </w:tcPr>
          <w:p w14:paraId="096473BF" w14:textId="77777777" w:rsidR="00AD3BAE" w:rsidRPr="00EC5A7B" w:rsidRDefault="00AD3BAE" w:rsidP="00AD3BAE">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678,8</w:t>
            </w:r>
          </w:p>
        </w:tc>
        <w:tc>
          <w:tcPr>
            <w:tcW w:w="1390" w:type="dxa"/>
            <w:vAlign w:val="center"/>
          </w:tcPr>
          <w:p w14:paraId="6DB929E5" w14:textId="77777777" w:rsidR="00AD3BAE" w:rsidRPr="00EC5A7B" w:rsidRDefault="00AD3BAE" w:rsidP="00AD3BAE">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639,0</w:t>
            </w:r>
          </w:p>
        </w:tc>
        <w:tc>
          <w:tcPr>
            <w:tcW w:w="1473" w:type="dxa"/>
            <w:vAlign w:val="center"/>
          </w:tcPr>
          <w:p w14:paraId="73892947" w14:textId="77777777" w:rsidR="00AD3BAE" w:rsidRPr="00EC5A7B" w:rsidRDefault="00AD3BAE" w:rsidP="00AD3BAE">
            <w:pPr>
              <w:pStyle w:val="NoSpacing"/>
              <w:jc w:val="center"/>
              <w:rPr>
                <w:rFonts w:asciiTheme="majorHAnsi" w:eastAsia="Times New Roman" w:hAnsiTheme="majorHAnsi" w:cstheme="majorHAnsi"/>
                <w:b/>
                <w:bCs/>
                <w:color w:val="000000" w:themeColor="text1"/>
                <w:sz w:val="20"/>
                <w:szCs w:val="20"/>
                <w:lang w:val="ru-MD" w:eastAsia="ru-RU"/>
              </w:rPr>
            </w:pPr>
            <w:r w:rsidRPr="00EC5A7B">
              <w:rPr>
                <w:rFonts w:asciiTheme="majorHAnsi" w:eastAsia="Times New Roman" w:hAnsiTheme="majorHAnsi" w:cstheme="majorHAnsi"/>
                <w:b/>
                <w:bCs/>
                <w:color w:val="000000" w:themeColor="text1"/>
                <w:sz w:val="20"/>
                <w:szCs w:val="20"/>
                <w:lang w:val="ru-MD" w:eastAsia="ru-RU"/>
              </w:rPr>
              <w:t>11 732,8</w:t>
            </w:r>
          </w:p>
        </w:tc>
      </w:tr>
    </w:tbl>
    <w:p w14:paraId="05F17063" w14:textId="69D3E25E" w:rsidR="00DD70F6" w:rsidRPr="00EC5A7B" w:rsidRDefault="007B3D00" w:rsidP="00AD3BAE">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DD70F6" w:rsidRPr="00EC5A7B">
        <w:rPr>
          <w:rFonts w:asciiTheme="majorHAnsi" w:hAnsiTheme="majorHAnsi" w:cstheme="majorHAnsi"/>
          <w:b/>
          <w:i/>
          <w:sz w:val="20"/>
          <w:szCs w:val="20"/>
          <w:lang w:val="ru-MD" w:eastAsia="ru-RU"/>
        </w:rPr>
        <w:t>:</w:t>
      </w:r>
      <w:r w:rsidR="00DD70F6" w:rsidRPr="00EC5A7B">
        <w:rPr>
          <w:rFonts w:asciiTheme="majorHAnsi" w:hAnsiTheme="majorHAnsi" w:cstheme="majorHAnsi"/>
          <w:i/>
          <w:sz w:val="20"/>
          <w:szCs w:val="20"/>
          <w:lang w:val="ru-MD" w:eastAsia="ru-RU"/>
        </w:rPr>
        <w:t xml:space="preserve"> </w:t>
      </w:r>
      <w:r w:rsidR="00C1296C" w:rsidRPr="00EC5A7B">
        <w:rPr>
          <w:rFonts w:asciiTheme="majorHAnsi" w:hAnsiTheme="majorHAnsi" w:cstheme="majorHAnsi"/>
          <w:i/>
          <w:sz w:val="20"/>
          <w:szCs w:val="20"/>
          <w:lang w:val="ru-MD" w:eastAsia="ru-RU"/>
        </w:rPr>
        <w:t xml:space="preserve">Информация МФ об остатке задолженности банков в процессе ликвидации перед МФ, по состоянию на 31.12.2018 и по состоянию на 31.12.2019. </w:t>
      </w:r>
    </w:p>
    <w:p w14:paraId="1A714009" w14:textId="7227A249" w:rsidR="00E66876" w:rsidRPr="00EC5A7B" w:rsidRDefault="00E66876" w:rsidP="00E66876">
      <w:pPr>
        <w:spacing w:line="276" w:lineRule="auto"/>
        <w:jc w:val="both"/>
        <w:rPr>
          <w:rFonts w:asciiTheme="majorHAnsi" w:eastAsia="Times New Roman" w:hAnsiTheme="majorHAnsi" w:cstheme="majorHAnsi"/>
          <w:sz w:val="24"/>
          <w:szCs w:val="24"/>
          <w:lang w:val="ru-MD"/>
        </w:rPr>
      </w:pPr>
      <w:r w:rsidRPr="00EC5A7B">
        <w:rPr>
          <w:rFonts w:asciiTheme="majorHAnsi" w:eastAsia="Times New Roman" w:hAnsiTheme="majorHAnsi" w:cstheme="majorHAnsi"/>
          <w:sz w:val="24"/>
          <w:szCs w:val="24"/>
          <w:lang w:val="ru-MD"/>
        </w:rPr>
        <w:t xml:space="preserve"> </w:t>
      </w:r>
      <w:r w:rsidR="004F6DFA" w:rsidRPr="00EC5A7B">
        <w:rPr>
          <w:rFonts w:asciiTheme="majorHAnsi" w:eastAsia="Times New Roman" w:hAnsiTheme="majorHAnsi" w:cstheme="majorHAnsi"/>
          <w:sz w:val="24"/>
          <w:szCs w:val="24"/>
          <w:lang w:val="ru-MD"/>
        </w:rPr>
        <w:t xml:space="preserve">Вместе с тем аудит отмечает, что </w:t>
      </w:r>
      <w:r w:rsidR="004F6DFA" w:rsidRPr="00EC5A7B">
        <w:rPr>
          <w:rFonts w:asciiTheme="majorHAnsi" w:hAnsiTheme="majorHAnsi" w:cstheme="majorHAnsi"/>
          <w:sz w:val="24"/>
          <w:szCs w:val="24"/>
          <w:lang w:val="ru-MD"/>
        </w:rPr>
        <w:t xml:space="preserve">МФ выкупило ГО </w:t>
      </w:r>
      <w:r w:rsidR="00385E6F" w:rsidRPr="00EC5A7B">
        <w:rPr>
          <w:rFonts w:asciiTheme="majorHAnsi" w:hAnsiTheme="majorHAnsi" w:cstheme="majorHAnsi"/>
          <w:sz w:val="24"/>
          <w:szCs w:val="24"/>
          <w:lang w:val="ru-MD"/>
        </w:rPr>
        <w:t>на</w:t>
      </w:r>
      <w:r w:rsidR="004F6DFA" w:rsidRPr="00EC5A7B">
        <w:rPr>
          <w:rFonts w:asciiTheme="majorHAnsi" w:hAnsiTheme="majorHAnsi" w:cstheme="majorHAnsi"/>
          <w:sz w:val="24"/>
          <w:szCs w:val="24"/>
          <w:lang w:val="ru-MD"/>
        </w:rPr>
        <w:t xml:space="preserve"> сумм</w:t>
      </w:r>
      <w:r w:rsidR="00385E6F" w:rsidRPr="00EC5A7B">
        <w:rPr>
          <w:rFonts w:asciiTheme="majorHAnsi" w:hAnsiTheme="majorHAnsi" w:cstheme="majorHAnsi"/>
          <w:sz w:val="24"/>
          <w:szCs w:val="24"/>
          <w:lang w:val="ru-MD"/>
        </w:rPr>
        <w:t>у</w:t>
      </w:r>
      <w:r w:rsidR="004F6DFA" w:rsidRPr="00EC5A7B">
        <w:rPr>
          <w:rFonts w:asciiTheme="majorHAnsi" w:hAnsiTheme="majorHAnsi" w:cstheme="majorHAnsi"/>
          <w:sz w:val="24"/>
          <w:szCs w:val="24"/>
          <w:lang w:val="ru-MD"/>
        </w:rPr>
        <w:t xml:space="preserve"> </w:t>
      </w:r>
      <w:r w:rsidR="00385E6F" w:rsidRPr="00EC5A7B">
        <w:rPr>
          <w:rFonts w:asciiTheme="majorHAnsi" w:hAnsiTheme="majorHAnsi" w:cstheme="majorHAnsi"/>
          <w:sz w:val="24"/>
          <w:szCs w:val="24"/>
          <w:lang w:val="ru-MD"/>
        </w:rPr>
        <w:t xml:space="preserve">490,0 млн. леев </w:t>
      </w:r>
      <w:r w:rsidR="004F6DFA" w:rsidRPr="00EC5A7B">
        <w:rPr>
          <w:rFonts w:asciiTheme="majorHAnsi" w:hAnsiTheme="majorHAnsi" w:cstheme="majorHAnsi"/>
          <w:sz w:val="24"/>
          <w:szCs w:val="24"/>
          <w:lang w:val="ru-MD"/>
        </w:rPr>
        <w:t xml:space="preserve">из портфеля, имеющегося </w:t>
      </w:r>
      <w:r w:rsidR="00385E6F" w:rsidRPr="00EC5A7B">
        <w:rPr>
          <w:rFonts w:asciiTheme="majorHAnsi" w:hAnsiTheme="majorHAnsi" w:cstheme="majorHAnsi"/>
          <w:sz w:val="24"/>
          <w:szCs w:val="24"/>
          <w:lang w:val="ru-MD"/>
        </w:rPr>
        <w:t>у</w:t>
      </w:r>
      <w:r w:rsidR="004F6DFA" w:rsidRPr="00EC5A7B">
        <w:rPr>
          <w:rFonts w:asciiTheme="majorHAnsi" w:hAnsiTheme="majorHAnsi" w:cstheme="majorHAnsi"/>
          <w:sz w:val="24"/>
          <w:szCs w:val="24"/>
          <w:lang w:val="ru-MD"/>
        </w:rPr>
        <w:t xml:space="preserve"> НБМ</w:t>
      </w:r>
      <w:r w:rsidR="00385E6F" w:rsidRPr="00EC5A7B">
        <w:rPr>
          <w:rFonts w:asciiTheme="majorHAnsi" w:hAnsiTheme="majorHAnsi" w:cstheme="majorHAnsi"/>
          <w:sz w:val="24"/>
          <w:szCs w:val="24"/>
          <w:lang w:val="ru-MD"/>
        </w:rPr>
        <w:t xml:space="preserve">, в том числе </w:t>
      </w:r>
      <w:r w:rsidR="00385E6F" w:rsidRPr="00EC5A7B">
        <w:rPr>
          <w:rFonts w:asciiTheme="majorHAnsi" w:hAnsiTheme="majorHAnsi" w:cstheme="majorHAnsi"/>
          <w:sz w:val="24"/>
          <w:szCs w:val="24"/>
          <w:lang w:val="ru-MD"/>
        </w:rPr>
        <w:lastRenderedPageBreak/>
        <w:t>ГО на сумму 230,0 млн. леев в 2019 году</w:t>
      </w:r>
      <w:r w:rsidR="004F6DFA" w:rsidRPr="00EC5A7B">
        <w:rPr>
          <w:rFonts w:asciiTheme="majorHAnsi" w:hAnsiTheme="majorHAnsi" w:cstheme="majorHAnsi"/>
          <w:sz w:val="24"/>
          <w:szCs w:val="24"/>
          <w:lang w:val="ru-MD"/>
        </w:rPr>
        <w:t xml:space="preserve">. </w:t>
      </w:r>
      <w:r w:rsidR="00385E6F" w:rsidRPr="00EC5A7B">
        <w:rPr>
          <w:rFonts w:asciiTheme="majorHAnsi" w:hAnsiTheme="majorHAnsi" w:cstheme="majorHAnsi"/>
          <w:sz w:val="24"/>
          <w:szCs w:val="24"/>
          <w:lang w:val="ru-MD"/>
        </w:rPr>
        <w:t>Д</w:t>
      </w:r>
      <w:r w:rsidR="004F6DFA" w:rsidRPr="00EC5A7B">
        <w:rPr>
          <w:rFonts w:asciiTheme="majorHAnsi" w:hAnsiTheme="majorHAnsi" w:cstheme="majorHAnsi"/>
          <w:sz w:val="24"/>
          <w:szCs w:val="24"/>
          <w:lang w:val="ru-MD"/>
        </w:rPr>
        <w:t xml:space="preserve">олг МФ перед НБМ </w:t>
      </w:r>
      <w:r w:rsidR="004F6DFA" w:rsidRPr="00EC5A7B">
        <w:rPr>
          <w:rFonts w:asciiTheme="majorHAnsi" w:hAnsiTheme="majorHAnsi" w:cstheme="majorHAnsi"/>
          <w:bCs/>
          <w:color w:val="000000"/>
          <w:sz w:val="24"/>
          <w:szCs w:val="24"/>
          <w:lang w:val="ru-MD"/>
        </w:rPr>
        <w:t>по состоянию на</w:t>
      </w:r>
      <w:r w:rsidR="004F6DFA" w:rsidRPr="00EC5A7B">
        <w:rPr>
          <w:rFonts w:ascii="Times New Roman" w:hAnsi="Times New Roman"/>
          <w:bCs/>
          <w:color w:val="000000"/>
          <w:sz w:val="28"/>
          <w:szCs w:val="28"/>
          <w:lang w:val="ru-MD"/>
        </w:rPr>
        <w:t xml:space="preserve"> </w:t>
      </w:r>
      <w:r w:rsidR="004F6DFA" w:rsidRPr="00EC5A7B">
        <w:rPr>
          <w:rFonts w:asciiTheme="majorHAnsi" w:hAnsiTheme="majorHAnsi" w:cstheme="majorHAnsi"/>
          <w:sz w:val="24"/>
          <w:szCs w:val="24"/>
          <w:lang w:val="ru-MD"/>
        </w:rPr>
        <w:t>31.12.201</w:t>
      </w:r>
      <w:r w:rsidR="00385E6F" w:rsidRPr="00EC5A7B">
        <w:rPr>
          <w:rFonts w:asciiTheme="majorHAnsi" w:hAnsiTheme="majorHAnsi" w:cstheme="majorHAnsi"/>
          <w:sz w:val="24"/>
          <w:szCs w:val="24"/>
          <w:lang w:val="ru-MD"/>
        </w:rPr>
        <w:t>9</w:t>
      </w:r>
      <w:r w:rsidR="004F6DFA" w:rsidRPr="00EC5A7B">
        <w:rPr>
          <w:rFonts w:asciiTheme="majorHAnsi" w:hAnsiTheme="majorHAnsi" w:cstheme="majorHAnsi"/>
          <w:sz w:val="24"/>
          <w:szCs w:val="24"/>
          <w:lang w:val="ru-MD"/>
        </w:rPr>
        <w:t xml:space="preserve"> составлял </w:t>
      </w:r>
      <w:r w:rsidR="00DD70F6" w:rsidRPr="00EC5A7B">
        <w:rPr>
          <w:rFonts w:asciiTheme="majorHAnsi" w:hAnsiTheme="majorHAnsi" w:cstheme="majorHAnsi"/>
          <w:sz w:val="24"/>
          <w:szCs w:val="24"/>
          <w:lang w:val="ru-MD"/>
        </w:rPr>
        <w:t>12 851,2</w:t>
      </w:r>
      <w:r w:rsidRPr="00EC5A7B">
        <w:rPr>
          <w:rFonts w:asciiTheme="majorHAnsi" w:hAnsiTheme="majorHAnsi" w:cstheme="majorHAnsi"/>
          <w:sz w:val="24"/>
          <w:szCs w:val="24"/>
          <w:lang w:val="ru-MD"/>
        </w:rPr>
        <w:t xml:space="preserve"> </w:t>
      </w:r>
      <w:r w:rsidR="00220355" w:rsidRPr="00EC5A7B">
        <w:rPr>
          <w:rFonts w:asciiTheme="majorHAnsi" w:hAnsiTheme="majorHAnsi" w:cstheme="majorHAnsi"/>
          <w:sz w:val="24"/>
          <w:szCs w:val="24"/>
          <w:lang w:val="ru-MD"/>
        </w:rPr>
        <w:t>млн. леев</w:t>
      </w:r>
      <w:r w:rsidRPr="00EC5A7B">
        <w:rPr>
          <w:rFonts w:asciiTheme="majorHAnsi" w:hAnsiTheme="majorHAnsi" w:cstheme="majorHAnsi"/>
          <w:sz w:val="24"/>
          <w:szCs w:val="24"/>
          <w:lang w:val="ru-MD"/>
        </w:rPr>
        <w:t>.</w:t>
      </w:r>
    </w:p>
    <w:p w14:paraId="05B26A59" w14:textId="7B0C98F0" w:rsidR="006023D2" w:rsidRPr="00EC5A7B" w:rsidRDefault="00916BB1" w:rsidP="00916BB1">
      <w:pPr>
        <w:numPr>
          <w:ilvl w:val="2"/>
          <w:numId w:val="2"/>
        </w:numPr>
        <w:autoSpaceDE w:val="0"/>
        <w:autoSpaceDN w:val="0"/>
        <w:adjustRightInd w:val="0"/>
        <w:spacing w:line="240" w:lineRule="auto"/>
        <w:ind w:left="720" w:hanging="630"/>
        <w:contextualSpacing/>
        <w:jc w:val="both"/>
        <w:outlineLvl w:val="1"/>
        <w:rPr>
          <w:rFonts w:asciiTheme="majorHAnsi" w:eastAsia="Times New Roman" w:hAnsiTheme="majorHAnsi" w:cstheme="majorHAnsi"/>
          <w:b/>
          <w:bCs/>
          <w:i/>
          <w:color w:val="5B9BD5" w:themeColor="accent1"/>
          <w:sz w:val="24"/>
          <w:szCs w:val="24"/>
          <w:lang w:val="ru-MD" w:eastAsia="ru-RU"/>
        </w:rPr>
      </w:pPr>
      <w:bookmarkStart w:id="11" w:name="_Toc63157260"/>
      <w:r w:rsidRPr="00EC5A7B">
        <w:rPr>
          <w:rFonts w:asciiTheme="majorHAnsi" w:eastAsia="Times New Roman" w:hAnsiTheme="majorHAnsi" w:cstheme="majorHAnsi"/>
          <w:b/>
          <w:bCs/>
          <w:i/>
          <w:color w:val="5B9BD5" w:themeColor="accent1"/>
          <w:sz w:val="24"/>
          <w:szCs w:val="24"/>
          <w:lang w:val="ru-MD" w:eastAsia="ru-RU"/>
        </w:rPr>
        <w:t>Внешний государственный долг увеличился по сравнению с предыдущим годом благодаря положительному внешнему финансированию и колебаниям валютного курса доллара США по отношению к другим валютам</w:t>
      </w:r>
      <w:bookmarkEnd w:id="11"/>
      <w:r w:rsidRPr="00EC5A7B">
        <w:rPr>
          <w:rFonts w:asciiTheme="majorHAnsi" w:eastAsia="Times New Roman" w:hAnsiTheme="majorHAnsi" w:cstheme="majorHAnsi"/>
          <w:b/>
          <w:bCs/>
          <w:i/>
          <w:color w:val="5B9BD5" w:themeColor="accent1"/>
          <w:sz w:val="24"/>
          <w:szCs w:val="24"/>
          <w:lang w:val="ru-MD" w:eastAsia="ru-RU"/>
        </w:rPr>
        <w:t xml:space="preserve"> </w:t>
      </w:r>
    </w:p>
    <w:p w14:paraId="28A679FA" w14:textId="4B1291AE" w:rsidR="00AB1E33" w:rsidRPr="00EC5A7B" w:rsidRDefault="00840B9F" w:rsidP="006B48CC">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Согласно Закону о государственном бюджете на 2019 год, внешний государственный долг был утвержден в сумме 34 229,4 млн. леев (эквивалент 1 901,6 млн. долл. США). По состоянию на 31.12.2019 сальдо внешнего государственного долга составило 1 704,1 млн. долл. США (эквивалент 29 326,1 млн. леев), что на 15,1 млн. долл. США больше по сравнению с сальдо </w:t>
      </w:r>
      <w:r w:rsidR="00287122" w:rsidRPr="00EC5A7B">
        <w:rPr>
          <w:rFonts w:asciiTheme="majorHAnsi" w:hAnsiTheme="majorHAnsi" w:cstheme="majorHAnsi"/>
          <w:sz w:val="24"/>
          <w:szCs w:val="24"/>
          <w:lang w:val="ru-MD" w:eastAsia="ru-RU"/>
        </w:rPr>
        <w:t>предыдущего года</w:t>
      </w:r>
      <w:r w:rsidRPr="00EC5A7B">
        <w:rPr>
          <w:rFonts w:asciiTheme="majorHAnsi" w:hAnsiTheme="majorHAnsi" w:cstheme="majorHAnsi"/>
          <w:sz w:val="24"/>
          <w:szCs w:val="24"/>
          <w:lang w:val="ru-MD" w:eastAsia="ru-RU"/>
        </w:rPr>
        <w:t xml:space="preserve">. Это </w:t>
      </w:r>
      <w:r w:rsidR="00287122" w:rsidRPr="00EC5A7B">
        <w:rPr>
          <w:rFonts w:asciiTheme="majorHAnsi" w:hAnsiTheme="majorHAnsi" w:cstheme="majorHAnsi"/>
          <w:sz w:val="24"/>
          <w:szCs w:val="24"/>
          <w:lang w:val="ru-MD" w:eastAsia="ru-RU"/>
        </w:rPr>
        <w:t>увелич</w:t>
      </w:r>
      <w:r w:rsidRPr="00EC5A7B">
        <w:rPr>
          <w:rFonts w:asciiTheme="majorHAnsi" w:hAnsiTheme="majorHAnsi" w:cstheme="majorHAnsi"/>
          <w:sz w:val="24"/>
          <w:szCs w:val="24"/>
          <w:lang w:val="ru-MD" w:eastAsia="ru-RU"/>
        </w:rPr>
        <w:t xml:space="preserve">ение было обусловлено </w:t>
      </w:r>
      <w:r w:rsidR="00287122" w:rsidRPr="00EC5A7B">
        <w:rPr>
          <w:rFonts w:asciiTheme="majorHAnsi" w:hAnsiTheme="majorHAnsi" w:cstheme="majorHAnsi"/>
          <w:sz w:val="24"/>
          <w:szCs w:val="24"/>
          <w:lang w:val="ru-MD" w:eastAsia="ru-RU"/>
        </w:rPr>
        <w:t>преоблада</w:t>
      </w:r>
      <w:r w:rsidRPr="00EC5A7B">
        <w:rPr>
          <w:rFonts w:asciiTheme="majorHAnsi" w:hAnsiTheme="majorHAnsi" w:cstheme="majorHAnsi"/>
          <w:sz w:val="24"/>
          <w:szCs w:val="24"/>
          <w:lang w:val="ru-MD" w:eastAsia="ru-RU"/>
        </w:rPr>
        <w:t xml:space="preserve">нием поступлений внешних государственных займов </w:t>
      </w:r>
      <w:r w:rsidR="00287122" w:rsidRPr="00EC5A7B">
        <w:rPr>
          <w:rFonts w:asciiTheme="majorHAnsi" w:hAnsiTheme="majorHAnsi" w:cstheme="majorHAnsi"/>
          <w:sz w:val="24"/>
          <w:szCs w:val="24"/>
          <w:lang w:val="ru-MD" w:eastAsia="ru-RU"/>
        </w:rPr>
        <w:t>по отношению к их возмещению,</w:t>
      </w:r>
      <w:r w:rsidRPr="00EC5A7B">
        <w:rPr>
          <w:rFonts w:asciiTheme="majorHAnsi" w:hAnsiTheme="majorHAnsi" w:cstheme="majorHAnsi"/>
          <w:sz w:val="24"/>
          <w:szCs w:val="24"/>
          <w:lang w:val="ru-MD" w:eastAsia="ru-RU"/>
        </w:rPr>
        <w:t xml:space="preserve"> и колебанием обменного курса доллара США по отношению к </w:t>
      </w:r>
      <w:r w:rsidR="00287122" w:rsidRPr="00EC5A7B">
        <w:rPr>
          <w:rFonts w:asciiTheme="majorHAnsi" w:hAnsiTheme="majorHAnsi" w:cstheme="majorHAnsi"/>
          <w:sz w:val="24"/>
          <w:szCs w:val="24"/>
          <w:lang w:val="ru-MD" w:eastAsia="ru-RU"/>
        </w:rPr>
        <w:t>други</w:t>
      </w:r>
      <w:r w:rsidRPr="00EC5A7B">
        <w:rPr>
          <w:rFonts w:asciiTheme="majorHAnsi" w:hAnsiTheme="majorHAnsi" w:cstheme="majorHAnsi"/>
          <w:sz w:val="24"/>
          <w:szCs w:val="24"/>
          <w:lang w:val="ru-MD" w:eastAsia="ru-RU"/>
        </w:rPr>
        <w:t>м валютам</w:t>
      </w:r>
      <w:r w:rsidR="00907D56" w:rsidRPr="00EC5A7B">
        <w:rPr>
          <w:rFonts w:asciiTheme="majorHAnsi" w:hAnsiTheme="majorHAnsi" w:cstheme="majorHAnsi"/>
          <w:sz w:val="24"/>
          <w:szCs w:val="24"/>
          <w:lang w:val="ru-MD" w:eastAsia="ru-RU"/>
        </w:rPr>
        <w:t xml:space="preserve">. </w:t>
      </w:r>
      <w:r w:rsidR="00287122" w:rsidRPr="00EC5A7B">
        <w:rPr>
          <w:rFonts w:asciiTheme="majorHAnsi" w:hAnsiTheme="majorHAnsi" w:cstheme="majorHAnsi"/>
          <w:i/>
          <w:sz w:val="24"/>
          <w:szCs w:val="24"/>
          <w:lang w:val="ru-MD"/>
        </w:rPr>
        <w:t xml:space="preserve">Эволюция сальдо внешнего государственного долга представлена в </w:t>
      </w:r>
      <w:r w:rsidR="00220355" w:rsidRPr="00EC5A7B">
        <w:rPr>
          <w:rFonts w:asciiTheme="majorHAnsi" w:hAnsiTheme="majorHAnsi" w:cstheme="majorHAnsi"/>
          <w:i/>
          <w:sz w:val="24"/>
          <w:szCs w:val="24"/>
          <w:lang w:val="ru-MD" w:eastAsia="ru-RU"/>
        </w:rPr>
        <w:t>Таблиц</w:t>
      </w:r>
      <w:r w:rsidR="00287122" w:rsidRPr="00EC5A7B">
        <w:rPr>
          <w:rFonts w:asciiTheme="majorHAnsi" w:hAnsiTheme="majorHAnsi" w:cstheme="majorHAnsi"/>
          <w:i/>
          <w:sz w:val="24"/>
          <w:szCs w:val="24"/>
          <w:lang w:val="ru-MD" w:eastAsia="ru-RU"/>
        </w:rPr>
        <w:t>е</w:t>
      </w:r>
      <w:r w:rsidR="00220355" w:rsidRPr="00EC5A7B">
        <w:rPr>
          <w:rFonts w:asciiTheme="majorHAnsi" w:hAnsiTheme="majorHAnsi" w:cstheme="majorHAnsi"/>
          <w:i/>
          <w:sz w:val="24"/>
          <w:szCs w:val="24"/>
          <w:lang w:val="ru-MD" w:eastAsia="ru-RU"/>
        </w:rPr>
        <w:t xml:space="preserve"> №</w:t>
      </w:r>
      <w:r w:rsidR="00907D56" w:rsidRPr="00EC5A7B">
        <w:rPr>
          <w:rFonts w:asciiTheme="majorHAnsi" w:hAnsiTheme="majorHAnsi" w:cstheme="majorHAnsi"/>
          <w:i/>
          <w:sz w:val="24"/>
          <w:szCs w:val="24"/>
          <w:lang w:val="ru-MD" w:eastAsia="ru-RU"/>
        </w:rPr>
        <w:t>6.</w:t>
      </w:r>
    </w:p>
    <w:p w14:paraId="15A234A7" w14:textId="52E7D273" w:rsidR="001634BB" w:rsidRPr="00EC5A7B" w:rsidRDefault="00220355" w:rsidP="00712FA2">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6F221C" w:rsidRPr="00EC5A7B">
        <w:rPr>
          <w:rFonts w:asciiTheme="majorHAnsi" w:hAnsiTheme="majorHAnsi" w:cstheme="majorHAnsi"/>
          <w:b/>
          <w:i/>
          <w:color w:val="5B9BD5" w:themeColor="accent1"/>
          <w:sz w:val="24"/>
          <w:szCs w:val="24"/>
          <w:lang w:val="ru-MD" w:eastAsia="ru-RU"/>
        </w:rPr>
        <w:t>6</w:t>
      </w:r>
      <w:r w:rsidR="001634BB" w:rsidRPr="00EC5A7B">
        <w:rPr>
          <w:rFonts w:asciiTheme="majorHAnsi" w:hAnsiTheme="majorHAnsi" w:cstheme="majorHAnsi"/>
          <w:b/>
          <w:i/>
          <w:color w:val="5B9BD5" w:themeColor="accent1"/>
          <w:sz w:val="24"/>
          <w:szCs w:val="24"/>
          <w:lang w:val="ru-MD" w:eastAsia="ru-RU"/>
        </w:rPr>
        <w:t xml:space="preserve">, </w:t>
      </w:r>
      <w:r w:rsidR="00287122" w:rsidRPr="00EC5A7B">
        <w:rPr>
          <w:rFonts w:asciiTheme="majorHAnsi" w:hAnsiTheme="majorHAnsi" w:cstheme="majorHAnsi"/>
          <w:b/>
          <w:i/>
          <w:color w:val="5B9BD5" w:themeColor="accent1"/>
          <w:sz w:val="24"/>
          <w:szCs w:val="24"/>
          <w:lang w:val="ru-MD" w:eastAsia="ru-RU"/>
        </w:rPr>
        <w:t>млн. долл. США</w:t>
      </w:r>
    </w:p>
    <w:tbl>
      <w:tblPr>
        <w:tblStyle w:val="TableGrid"/>
        <w:tblW w:w="0" w:type="auto"/>
        <w:tblLook w:val="04A0" w:firstRow="1" w:lastRow="0" w:firstColumn="1" w:lastColumn="0" w:noHBand="0" w:noVBand="1"/>
      </w:tblPr>
      <w:tblGrid>
        <w:gridCol w:w="1348"/>
        <w:gridCol w:w="1715"/>
        <w:gridCol w:w="1879"/>
        <w:gridCol w:w="1469"/>
        <w:gridCol w:w="1413"/>
        <w:gridCol w:w="1715"/>
      </w:tblGrid>
      <w:tr w:rsidR="001634BB" w:rsidRPr="00EC5A7B" w14:paraId="0A58B5BA" w14:textId="77777777" w:rsidTr="001634BB">
        <w:tc>
          <w:tcPr>
            <w:tcW w:w="1557" w:type="dxa"/>
            <w:shd w:val="clear" w:color="auto" w:fill="DEEAF6" w:themeFill="accent1" w:themeFillTint="33"/>
            <w:vAlign w:val="center"/>
          </w:tcPr>
          <w:p w14:paraId="0ACAB36D" w14:textId="799C62E8" w:rsidR="001634BB" w:rsidRPr="00EC5A7B" w:rsidRDefault="00287122" w:rsidP="001634BB">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Год</w:t>
            </w:r>
          </w:p>
        </w:tc>
        <w:tc>
          <w:tcPr>
            <w:tcW w:w="1557" w:type="dxa"/>
            <w:shd w:val="clear" w:color="auto" w:fill="DEEAF6" w:themeFill="accent1" w:themeFillTint="33"/>
            <w:vAlign w:val="center"/>
          </w:tcPr>
          <w:p w14:paraId="1D521E63" w14:textId="3F11D121" w:rsidR="001634BB" w:rsidRPr="00EC5A7B" w:rsidRDefault="00287122" w:rsidP="001634BB">
            <w:pPr>
              <w:pStyle w:val="NoSpacing"/>
              <w:jc w:val="center"/>
              <w:rPr>
                <w:rFonts w:asciiTheme="majorHAnsi" w:hAnsiTheme="majorHAnsi" w:cstheme="majorHAnsi"/>
                <w:b/>
                <w:sz w:val="20"/>
                <w:szCs w:val="20"/>
                <w:lang w:val="ru-MD" w:eastAsia="ru-RU"/>
              </w:rPr>
            </w:pPr>
            <w:r w:rsidRPr="00EC5A7B">
              <w:rPr>
                <w:rFonts w:asciiTheme="majorHAnsi" w:hAnsiTheme="majorHAnsi"/>
                <w:b/>
                <w:sz w:val="20"/>
                <w:szCs w:val="20"/>
                <w:lang w:val="ru-MD"/>
              </w:rPr>
              <w:t>Сальдо внешнего государственного долга на начало года</w:t>
            </w:r>
          </w:p>
        </w:tc>
        <w:tc>
          <w:tcPr>
            <w:tcW w:w="1557" w:type="dxa"/>
            <w:shd w:val="clear" w:color="auto" w:fill="DEEAF6" w:themeFill="accent1" w:themeFillTint="33"/>
            <w:vAlign w:val="center"/>
          </w:tcPr>
          <w:p w14:paraId="726481DF" w14:textId="6F9A3304" w:rsidR="001634BB" w:rsidRPr="00EC5A7B" w:rsidRDefault="00287122" w:rsidP="001634BB">
            <w:pPr>
              <w:pStyle w:val="NoSpacing"/>
              <w:jc w:val="center"/>
              <w:rPr>
                <w:rFonts w:asciiTheme="majorHAnsi" w:hAnsiTheme="majorHAnsi" w:cstheme="majorHAnsi"/>
                <w:b/>
                <w:sz w:val="20"/>
                <w:szCs w:val="20"/>
                <w:lang w:val="ru-MD" w:eastAsia="ru-RU"/>
              </w:rPr>
            </w:pPr>
            <w:r w:rsidRPr="00EC5A7B">
              <w:rPr>
                <w:rFonts w:asciiTheme="majorHAnsi" w:hAnsiTheme="majorHAnsi"/>
                <w:b/>
                <w:sz w:val="20"/>
                <w:szCs w:val="20"/>
                <w:lang w:val="ru-MD"/>
              </w:rPr>
              <w:t>Профинансировано в течение года</w:t>
            </w:r>
          </w:p>
        </w:tc>
        <w:tc>
          <w:tcPr>
            <w:tcW w:w="1558" w:type="dxa"/>
            <w:shd w:val="clear" w:color="auto" w:fill="DEEAF6" w:themeFill="accent1" w:themeFillTint="33"/>
            <w:vAlign w:val="center"/>
          </w:tcPr>
          <w:p w14:paraId="14D733E9" w14:textId="0F77F080" w:rsidR="001634BB" w:rsidRPr="00EC5A7B" w:rsidRDefault="00287122" w:rsidP="00287122">
            <w:pPr>
              <w:pStyle w:val="NoSpacing"/>
              <w:jc w:val="center"/>
              <w:rPr>
                <w:rFonts w:asciiTheme="majorHAnsi" w:hAnsiTheme="majorHAnsi" w:cstheme="majorHAnsi"/>
                <w:b/>
                <w:sz w:val="20"/>
                <w:szCs w:val="20"/>
                <w:lang w:val="ru-MD" w:eastAsia="ru-RU"/>
              </w:rPr>
            </w:pPr>
            <w:r w:rsidRPr="00EC5A7B">
              <w:rPr>
                <w:rFonts w:asciiTheme="majorHAnsi" w:hAnsiTheme="majorHAnsi"/>
                <w:b/>
                <w:sz w:val="20"/>
                <w:szCs w:val="20"/>
                <w:lang w:val="ru-MD"/>
              </w:rPr>
              <w:t>Погашение основной суммы в течение года</w:t>
            </w:r>
            <w:r w:rsidRPr="00EC5A7B">
              <w:rPr>
                <w:rFonts w:asciiTheme="majorHAnsi" w:hAnsiTheme="majorHAnsi" w:cstheme="majorHAnsi"/>
                <w:b/>
                <w:sz w:val="20"/>
                <w:szCs w:val="20"/>
                <w:lang w:val="ru-MD" w:eastAsia="ru-RU"/>
              </w:rPr>
              <w:t xml:space="preserve"> </w:t>
            </w:r>
          </w:p>
        </w:tc>
        <w:tc>
          <w:tcPr>
            <w:tcW w:w="1558" w:type="dxa"/>
            <w:shd w:val="clear" w:color="auto" w:fill="DEEAF6" w:themeFill="accent1" w:themeFillTint="33"/>
            <w:vAlign w:val="center"/>
          </w:tcPr>
          <w:p w14:paraId="1EEF3AB4" w14:textId="7730659A" w:rsidR="001634BB" w:rsidRPr="00EC5A7B" w:rsidRDefault="00287122" w:rsidP="001634BB">
            <w:pPr>
              <w:pStyle w:val="NoSpacing"/>
              <w:jc w:val="center"/>
              <w:rPr>
                <w:rFonts w:asciiTheme="majorHAnsi" w:hAnsiTheme="majorHAnsi" w:cstheme="majorHAnsi"/>
                <w:b/>
                <w:sz w:val="20"/>
                <w:szCs w:val="20"/>
                <w:lang w:val="ru-MD" w:eastAsia="ru-RU"/>
              </w:rPr>
            </w:pPr>
            <w:r w:rsidRPr="00EC5A7B">
              <w:rPr>
                <w:rFonts w:asciiTheme="majorHAnsi" w:hAnsiTheme="majorHAnsi"/>
                <w:b/>
                <w:sz w:val="20"/>
                <w:szCs w:val="20"/>
                <w:lang w:val="ru-MD"/>
              </w:rPr>
              <w:t>Разница курсов валют</w:t>
            </w:r>
          </w:p>
        </w:tc>
        <w:tc>
          <w:tcPr>
            <w:tcW w:w="1558" w:type="dxa"/>
            <w:shd w:val="clear" w:color="auto" w:fill="DEEAF6" w:themeFill="accent1" w:themeFillTint="33"/>
            <w:vAlign w:val="center"/>
          </w:tcPr>
          <w:p w14:paraId="5AABC2B0" w14:textId="32F9D730" w:rsidR="001634BB" w:rsidRPr="00EC5A7B" w:rsidRDefault="00287122" w:rsidP="001634BB">
            <w:pPr>
              <w:pStyle w:val="NoSpacing"/>
              <w:jc w:val="center"/>
              <w:rPr>
                <w:rFonts w:asciiTheme="majorHAnsi" w:hAnsiTheme="majorHAnsi" w:cstheme="majorHAnsi"/>
                <w:b/>
                <w:sz w:val="20"/>
                <w:szCs w:val="20"/>
                <w:lang w:val="ru-MD" w:eastAsia="ru-RU"/>
              </w:rPr>
            </w:pPr>
            <w:r w:rsidRPr="00EC5A7B">
              <w:rPr>
                <w:rFonts w:asciiTheme="majorHAnsi" w:hAnsiTheme="majorHAnsi"/>
                <w:b/>
                <w:sz w:val="20"/>
                <w:szCs w:val="20"/>
                <w:lang w:val="ru-MD"/>
              </w:rPr>
              <w:t>Сальдо внешнего государственного долга на конец года</w:t>
            </w:r>
          </w:p>
        </w:tc>
      </w:tr>
      <w:tr w:rsidR="001634BB" w:rsidRPr="00EC5A7B" w14:paraId="74C8E5BA" w14:textId="77777777" w:rsidTr="001634BB">
        <w:tc>
          <w:tcPr>
            <w:tcW w:w="1557" w:type="dxa"/>
          </w:tcPr>
          <w:p w14:paraId="0840679B" w14:textId="77777777" w:rsidR="001634BB" w:rsidRPr="00EC5A7B" w:rsidRDefault="001634BB" w:rsidP="001634BB">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2017</w:t>
            </w:r>
          </w:p>
        </w:tc>
        <w:tc>
          <w:tcPr>
            <w:tcW w:w="1557" w:type="dxa"/>
          </w:tcPr>
          <w:p w14:paraId="29D36047"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1 464,7</w:t>
            </w:r>
          </w:p>
        </w:tc>
        <w:tc>
          <w:tcPr>
            <w:tcW w:w="1557" w:type="dxa"/>
          </w:tcPr>
          <w:p w14:paraId="2D215BC3"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195,6</w:t>
            </w:r>
          </w:p>
        </w:tc>
        <w:tc>
          <w:tcPr>
            <w:tcW w:w="1558" w:type="dxa"/>
          </w:tcPr>
          <w:p w14:paraId="73CA04C1"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71,7</w:t>
            </w:r>
          </w:p>
        </w:tc>
        <w:tc>
          <w:tcPr>
            <w:tcW w:w="1558" w:type="dxa"/>
          </w:tcPr>
          <w:p w14:paraId="282553CE"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+112,1</w:t>
            </w:r>
          </w:p>
        </w:tc>
        <w:tc>
          <w:tcPr>
            <w:tcW w:w="1558" w:type="dxa"/>
          </w:tcPr>
          <w:p w14:paraId="3B0CCAB2"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1 700,7</w:t>
            </w:r>
          </w:p>
        </w:tc>
      </w:tr>
      <w:tr w:rsidR="001634BB" w:rsidRPr="00EC5A7B" w14:paraId="46CD53BD" w14:textId="77777777" w:rsidTr="001634BB">
        <w:tc>
          <w:tcPr>
            <w:tcW w:w="1557" w:type="dxa"/>
          </w:tcPr>
          <w:p w14:paraId="5A221352" w14:textId="77777777" w:rsidR="001634BB" w:rsidRPr="00EC5A7B" w:rsidRDefault="001634BB" w:rsidP="001634BB">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2018</w:t>
            </w:r>
          </w:p>
        </w:tc>
        <w:tc>
          <w:tcPr>
            <w:tcW w:w="1557" w:type="dxa"/>
          </w:tcPr>
          <w:p w14:paraId="684C0947"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1 700,7</w:t>
            </w:r>
          </w:p>
        </w:tc>
        <w:tc>
          <w:tcPr>
            <w:tcW w:w="1557" w:type="dxa"/>
          </w:tcPr>
          <w:p w14:paraId="480CD67D"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144,8</w:t>
            </w:r>
          </w:p>
        </w:tc>
        <w:tc>
          <w:tcPr>
            <w:tcW w:w="1558" w:type="dxa"/>
          </w:tcPr>
          <w:p w14:paraId="2F8D5041"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111,9</w:t>
            </w:r>
          </w:p>
        </w:tc>
        <w:tc>
          <w:tcPr>
            <w:tcW w:w="1558" w:type="dxa"/>
          </w:tcPr>
          <w:p w14:paraId="5B4C9518"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-44,6</w:t>
            </w:r>
          </w:p>
        </w:tc>
        <w:tc>
          <w:tcPr>
            <w:tcW w:w="1558" w:type="dxa"/>
          </w:tcPr>
          <w:p w14:paraId="24009E80"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1 689,0</w:t>
            </w:r>
          </w:p>
        </w:tc>
      </w:tr>
      <w:tr w:rsidR="001634BB" w:rsidRPr="00EC5A7B" w14:paraId="119A5EEC" w14:textId="77777777" w:rsidTr="001634BB">
        <w:tc>
          <w:tcPr>
            <w:tcW w:w="1557" w:type="dxa"/>
          </w:tcPr>
          <w:p w14:paraId="4E125F30" w14:textId="77777777" w:rsidR="001634BB" w:rsidRPr="00EC5A7B" w:rsidRDefault="001634BB" w:rsidP="001634BB">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2019</w:t>
            </w:r>
          </w:p>
        </w:tc>
        <w:tc>
          <w:tcPr>
            <w:tcW w:w="1557" w:type="dxa"/>
          </w:tcPr>
          <w:p w14:paraId="31DA9300"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1 689,0</w:t>
            </w:r>
          </w:p>
        </w:tc>
        <w:tc>
          <w:tcPr>
            <w:tcW w:w="1557" w:type="dxa"/>
          </w:tcPr>
          <w:p w14:paraId="29462352"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149,1</w:t>
            </w:r>
          </w:p>
        </w:tc>
        <w:tc>
          <w:tcPr>
            <w:tcW w:w="1558" w:type="dxa"/>
          </w:tcPr>
          <w:p w14:paraId="02C5BCBC"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122,3</w:t>
            </w:r>
          </w:p>
        </w:tc>
        <w:tc>
          <w:tcPr>
            <w:tcW w:w="1558" w:type="dxa"/>
          </w:tcPr>
          <w:p w14:paraId="76E637C2"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-11,7</w:t>
            </w:r>
          </w:p>
        </w:tc>
        <w:tc>
          <w:tcPr>
            <w:tcW w:w="1558" w:type="dxa"/>
          </w:tcPr>
          <w:p w14:paraId="78F607E9" w14:textId="77777777" w:rsidR="001634BB" w:rsidRPr="00EC5A7B" w:rsidRDefault="00E17E60" w:rsidP="00E17E60">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1 704,1</w:t>
            </w:r>
          </w:p>
        </w:tc>
      </w:tr>
    </w:tbl>
    <w:p w14:paraId="6A383F26" w14:textId="3F3287ED" w:rsidR="001634BB" w:rsidRPr="00EC5A7B" w:rsidRDefault="007B3D00" w:rsidP="001634BB">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6B48CC" w:rsidRPr="00EC5A7B">
        <w:rPr>
          <w:rFonts w:asciiTheme="majorHAnsi" w:hAnsiTheme="majorHAnsi" w:cstheme="majorHAnsi"/>
          <w:b/>
          <w:i/>
          <w:sz w:val="20"/>
          <w:szCs w:val="20"/>
          <w:lang w:val="ru-MD" w:eastAsia="ru-RU"/>
        </w:rPr>
        <w:t>:</w:t>
      </w:r>
      <w:r w:rsidR="006B48CC" w:rsidRPr="00EC5A7B">
        <w:rPr>
          <w:rFonts w:asciiTheme="majorHAnsi" w:hAnsiTheme="majorHAnsi" w:cstheme="majorHAnsi"/>
          <w:i/>
          <w:sz w:val="20"/>
          <w:szCs w:val="20"/>
          <w:lang w:val="ru-MD" w:eastAsia="ru-RU"/>
        </w:rPr>
        <w:t xml:space="preserve"> </w:t>
      </w:r>
      <w:r w:rsidR="00287122" w:rsidRPr="00EC5A7B">
        <w:rPr>
          <w:rFonts w:asciiTheme="majorHAnsi" w:hAnsiTheme="majorHAnsi" w:cstheme="majorHAnsi"/>
          <w:i/>
          <w:sz w:val="20"/>
          <w:szCs w:val="20"/>
          <w:lang w:val="ru-MD" w:eastAsia="ru-RU"/>
        </w:rPr>
        <w:t>Отчеты о внешнем государственном долге по состоянию на</w:t>
      </w:r>
      <w:r w:rsidR="006B48CC" w:rsidRPr="00EC5A7B">
        <w:rPr>
          <w:rFonts w:asciiTheme="majorHAnsi" w:hAnsiTheme="majorHAnsi" w:cstheme="majorHAnsi"/>
          <w:i/>
          <w:sz w:val="20"/>
          <w:szCs w:val="20"/>
          <w:lang w:val="ru-MD" w:eastAsia="ru-RU"/>
        </w:rPr>
        <w:t xml:space="preserve"> 31.12.2017, 31.12.2018 </w:t>
      </w:r>
      <w:r w:rsidR="00287122" w:rsidRPr="00EC5A7B">
        <w:rPr>
          <w:rFonts w:asciiTheme="majorHAnsi" w:hAnsiTheme="majorHAnsi" w:cstheme="majorHAnsi"/>
          <w:i/>
          <w:sz w:val="20"/>
          <w:szCs w:val="20"/>
          <w:lang w:val="ru-MD" w:eastAsia="ru-RU"/>
        </w:rPr>
        <w:t>и</w:t>
      </w:r>
      <w:r w:rsidR="006B48CC" w:rsidRPr="00EC5A7B">
        <w:rPr>
          <w:rFonts w:asciiTheme="majorHAnsi" w:hAnsiTheme="majorHAnsi" w:cstheme="majorHAnsi"/>
          <w:i/>
          <w:sz w:val="20"/>
          <w:szCs w:val="20"/>
          <w:lang w:val="ru-MD" w:eastAsia="ru-RU"/>
        </w:rPr>
        <w:t xml:space="preserve"> 31.12.2019.</w:t>
      </w:r>
    </w:p>
    <w:p w14:paraId="0ADB9696" w14:textId="2AA97061" w:rsidR="006A10B0" w:rsidRPr="00EC5A7B" w:rsidRDefault="003904A0" w:rsidP="006A10B0">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В аспекте кредиторов, внешний государственный долг включает долги перед многосторонними кредиторами – </w:t>
      </w:r>
      <w:r w:rsidRPr="00EC5A7B">
        <w:rPr>
          <w:rFonts w:asciiTheme="majorHAnsi" w:hAnsiTheme="majorHAnsi" w:cstheme="majorHAnsi"/>
          <w:sz w:val="24"/>
          <w:szCs w:val="24"/>
          <w:lang w:val="ru-MD" w:eastAsia="ru-RU"/>
        </w:rPr>
        <w:t xml:space="preserve">1 467,5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sz w:val="24"/>
          <w:szCs w:val="24"/>
          <w:lang w:val="ru-MD"/>
        </w:rPr>
        <w:t>долл. США (86,1%), и долги перед двусторонними креди</w:t>
      </w:r>
      <w:r w:rsidRPr="00EC5A7B">
        <w:rPr>
          <w:rFonts w:asciiTheme="majorHAnsi" w:hAnsiTheme="majorHAnsi" w:cstheme="majorHAnsi"/>
          <w:sz w:val="24"/>
          <w:szCs w:val="24"/>
          <w:lang w:val="ru-MD"/>
        </w:rPr>
        <w:lastRenderedPageBreak/>
        <w:t xml:space="preserve">торами – </w:t>
      </w:r>
      <w:r w:rsidRPr="00EC5A7B">
        <w:rPr>
          <w:rFonts w:asciiTheme="majorHAnsi" w:hAnsiTheme="majorHAnsi" w:cstheme="majorHAnsi"/>
          <w:sz w:val="24"/>
          <w:szCs w:val="24"/>
          <w:lang w:val="ru-MD" w:eastAsia="ru-RU"/>
        </w:rPr>
        <w:t xml:space="preserve">236,6 </w:t>
      </w:r>
      <w:r w:rsidRPr="00EC5A7B">
        <w:rPr>
          <w:rFonts w:asciiTheme="majorHAnsi" w:hAnsiTheme="majorHAnsi" w:cstheme="majorHAnsi"/>
          <w:sz w:val="24"/>
          <w:szCs w:val="24"/>
          <w:lang w:val="ru-MD"/>
        </w:rPr>
        <w:t>млн. долл. США (13,9%)</w:t>
      </w:r>
      <w:r w:rsidR="00871200"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По сравнению с аналогичной ситуацией предыдущего года, сальдо долга перед многосторонними кредиторами увеличилось на 74,1 млн. дол. США, а сальдо перед двусторонними кредиторами снизилось на 59,0 млн. дол. США. </w:t>
      </w:r>
      <w:r w:rsidRPr="00EC5A7B">
        <w:rPr>
          <w:rFonts w:asciiTheme="majorHAnsi" w:hAnsiTheme="majorHAnsi" w:cstheme="majorHAnsi"/>
          <w:i/>
          <w:sz w:val="24"/>
          <w:szCs w:val="24"/>
          <w:lang w:val="ru-MD" w:eastAsia="ru-RU"/>
        </w:rPr>
        <w:t>Структура внешнего государственного долга по типу кредиторов, в 2017-2019 гг., представлена в Приложении №7 настоящего Отчета аудита</w:t>
      </w:r>
      <w:r w:rsidR="006A10B0" w:rsidRPr="00EC5A7B">
        <w:rPr>
          <w:rFonts w:asciiTheme="majorHAnsi" w:hAnsiTheme="majorHAnsi" w:cstheme="majorHAnsi"/>
          <w:i/>
          <w:sz w:val="24"/>
          <w:szCs w:val="24"/>
          <w:lang w:val="ru-MD" w:eastAsia="ru-RU"/>
        </w:rPr>
        <w:t>.</w:t>
      </w:r>
    </w:p>
    <w:p w14:paraId="252C9CAF" w14:textId="5862F126" w:rsidR="006A10B0" w:rsidRPr="00EC5A7B" w:rsidRDefault="00CD26A8" w:rsidP="006A10B0">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В структуре внешнего государственного долга наибольший удельный вес в аспекте многосторонних кредиторов приходится на МАР – </w:t>
      </w:r>
      <w:r w:rsidRPr="00EC5A7B">
        <w:rPr>
          <w:rFonts w:asciiTheme="majorHAnsi" w:hAnsiTheme="majorHAnsi" w:cstheme="majorHAnsi"/>
          <w:sz w:val="24"/>
          <w:szCs w:val="24"/>
          <w:lang w:val="ru-MD" w:eastAsia="ru-RU"/>
        </w:rPr>
        <w:t xml:space="preserve">42,0% </w:t>
      </w:r>
      <w:r w:rsidRPr="00EC5A7B">
        <w:rPr>
          <w:rFonts w:asciiTheme="majorHAnsi" w:hAnsiTheme="majorHAnsi" w:cstheme="majorHAnsi"/>
          <w:sz w:val="24"/>
          <w:szCs w:val="24"/>
          <w:lang w:val="ru-MD"/>
        </w:rPr>
        <w:t xml:space="preserve">(616,7 млн. долл. США), далее следуют ЕИБ и МВФ, на долю которых приходится </w:t>
      </w:r>
      <w:r w:rsidRPr="00EC5A7B">
        <w:rPr>
          <w:rFonts w:asciiTheme="majorHAnsi" w:hAnsiTheme="majorHAnsi" w:cstheme="majorHAnsi"/>
          <w:sz w:val="24"/>
          <w:szCs w:val="24"/>
          <w:lang w:val="ru-MD" w:eastAsia="ru-RU"/>
        </w:rPr>
        <w:t xml:space="preserve">18,9% (277,5 </w:t>
      </w:r>
      <w:r w:rsidRPr="00EC5A7B">
        <w:rPr>
          <w:rFonts w:asciiTheme="majorHAnsi" w:hAnsiTheme="majorHAnsi" w:cstheme="majorHAnsi"/>
          <w:sz w:val="24"/>
          <w:szCs w:val="24"/>
          <w:lang w:val="ru-MD"/>
        </w:rPr>
        <w:t xml:space="preserve">млн. долл. США и, соответственно, </w:t>
      </w:r>
      <w:r w:rsidRPr="00EC5A7B">
        <w:rPr>
          <w:rFonts w:asciiTheme="majorHAnsi" w:hAnsiTheme="majorHAnsi" w:cstheme="majorHAnsi"/>
          <w:sz w:val="24"/>
          <w:szCs w:val="24"/>
          <w:lang w:val="ru-MD" w:eastAsia="ru-RU"/>
        </w:rPr>
        <w:t xml:space="preserve">277,0 </w:t>
      </w:r>
      <w:r w:rsidRPr="00EC5A7B">
        <w:rPr>
          <w:rFonts w:asciiTheme="majorHAnsi" w:hAnsiTheme="majorHAnsi" w:cstheme="majorHAnsi"/>
          <w:sz w:val="24"/>
          <w:szCs w:val="24"/>
          <w:lang w:val="ru-MD"/>
        </w:rPr>
        <w:t xml:space="preserve">млн. долл. США). В общей сумме внешнего государственного долга перед двусторонними кредиторами наибольший удельный вес приходится на Правительство Румынии </w:t>
      </w:r>
      <w:r w:rsidRPr="00EC5A7B">
        <w:rPr>
          <w:rFonts w:asciiTheme="majorHAnsi" w:hAnsiTheme="majorHAnsi" w:cstheme="majorHAnsi"/>
          <w:sz w:val="24"/>
          <w:szCs w:val="24"/>
          <w:lang w:val="ru-MD" w:eastAsia="ru-RU"/>
        </w:rPr>
        <w:t xml:space="preserve">34,3% (81,1 </w:t>
      </w:r>
      <w:r w:rsidRPr="00EC5A7B">
        <w:rPr>
          <w:rFonts w:asciiTheme="majorHAnsi" w:hAnsiTheme="majorHAnsi" w:cstheme="majorHAnsi"/>
          <w:sz w:val="24"/>
          <w:szCs w:val="24"/>
          <w:lang w:val="ru-MD"/>
        </w:rPr>
        <w:t xml:space="preserve">млн. долл. США), далее следует ЯАМС </w:t>
      </w:r>
      <w:r w:rsidRPr="00EC5A7B">
        <w:rPr>
          <w:rFonts w:asciiTheme="majorHAnsi" w:hAnsiTheme="majorHAnsi" w:cstheme="majorHAnsi"/>
          <w:sz w:val="24"/>
          <w:szCs w:val="24"/>
          <w:lang w:val="ru-MD" w:eastAsia="ru-RU"/>
        </w:rPr>
        <w:t xml:space="preserve">22,1% (52,2 </w:t>
      </w:r>
      <w:r w:rsidRPr="00EC5A7B">
        <w:rPr>
          <w:rFonts w:asciiTheme="majorHAnsi" w:hAnsiTheme="majorHAnsi" w:cstheme="majorHAnsi"/>
          <w:sz w:val="24"/>
          <w:szCs w:val="24"/>
          <w:lang w:val="ru-MD"/>
        </w:rPr>
        <w:t xml:space="preserve">млн. долл. США) и Правительство России </w:t>
      </w:r>
      <w:r w:rsidRPr="00EC5A7B">
        <w:rPr>
          <w:rFonts w:asciiTheme="majorHAnsi" w:hAnsiTheme="majorHAnsi" w:cstheme="majorHAnsi"/>
          <w:sz w:val="24"/>
          <w:szCs w:val="24"/>
          <w:lang w:val="ru-MD" w:eastAsia="ru-RU"/>
        </w:rPr>
        <w:t xml:space="preserve">14,5% (34,4 </w:t>
      </w:r>
      <w:r w:rsidRPr="00EC5A7B">
        <w:rPr>
          <w:rFonts w:asciiTheme="majorHAnsi" w:hAnsiTheme="majorHAnsi" w:cstheme="majorHAnsi"/>
          <w:sz w:val="24"/>
          <w:szCs w:val="24"/>
          <w:lang w:val="ru-MD"/>
        </w:rPr>
        <w:t>млн. долл. США)</w:t>
      </w:r>
      <w:r w:rsidR="00AA71D6" w:rsidRPr="00EC5A7B">
        <w:rPr>
          <w:rFonts w:asciiTheme="majorHAnsi" w:hAnsiTheme="majorHAnsi" w:cstheme="majorHAnsi"/>
          <w:sz w:val="24"/>
          <w:szCs w:val="24"/>
          <w:lang w:val="ru-MD" w:eastAsia="ru-RU"/>
        </w:rPr>
        <w:t>.</w:t>
      </w:r>
    </w:p>
    <w:p w14:paraId="3B83B526" w14:textId="64D134EC" w:rsidR="00AA71D6" w:rsidRPr="00EC5A7B" w:rsidRDefault="001215A7" w:rsidP="00BF2F32">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Из общей суммы внешнего государственного долга, </w:t>
      </w:r>
      <w:r w:rsidRPr="00EC5A7B">
        <w:rPr>
          <w:rFonts w:asciiTheme="majorHAnsi" w:hAnsiTheme="majorHAnsi" w:cstheme="majorHAnsi"/>
          <w:sz w:val="24"/>
          <w:szCs w:val="24"/>
          <w:lang w:val="ru-MD" w:eastAsia="ru-RU"/>
        </w:rPr>
        <w:t xml:space="preserve">1 193,3 </w:t>
      </w:r>
      <w:r w:rsidRPr="00EC5A7B">
        <w:rPr>
          <w:rFonts w:asciiTheme="majorHAnsi" w:hAnsiTheme="majorHAnsi" w:cstheme="majorHAnsi"/>
          <w:sz w:val="24"/>
          <w:szCs w:val="24"/>
          <w:lang w:val="ru-MD"/>
        </w:rPr>
        <w:t xml:space="preserve">млн. долл. США, или 70,0% представляет долг с фиксированной процентной ставкой, и </w:t>
      </w:r>
      <w:r w:rsidRPr="00EC5A7B">
        <w:rPr>
          <w:rFonts w:asciiTheme="majorHAnsi" w:hAnsiTheme="majorHAnsi" w:cstheme="majorHAnsi"/>
          <w:sz w:val="24"/>
          <w:szCs w:val="24"/>
          <w:lang w:val="ru-MD" w:eastAsia="ru-RU"/>
        </w:rPr>
        <w:t>510,8</w:t>
      </w:r>
      <w:r w:rsidRPr="00EC5A7B">
        <w:rPr>
          <w:rFonts w:asciiTheme="majorHAnsi" w:hAnsiTheme="majorHAnsi" w:cstheme="majorHAnsi"/>
          <w:sz w:val="24"/>
          <w:szCs w:val="24"/>
          <w:lang w:val="ru-MD"/>
        </w:rPr>
        <w:t>млн. долл. США (30,0%) – долг с плавающей процентной ставкой. В общем объеме внешнего государственного долга с фиксированной процентной ставкой, 90,1% приходится на долг с процентной ставкой от 0,01% до 2,0%, 5,7% - на долг с процентной ставкой от 2,01% до 4,0%, 3,1% - на долг с процентной ставкой 0% и 1,1% - на долг с процентной ставкой между 4,01% и 6,0%.</w:t>
      </w:r>
    </w:p>
    <w:p w14:paraId="46C948E6" w14:textId="046CA0E5" w:rsidR="005A1B66" w:rsidRPr="00EC5A7B" w:rsidRDefault="00701188" w:rsidP="00871200">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lastRenderedPageBreak/>
        <w:t xml:space="preserve">В структуре внешнего государственного долга по валютам наибольший удельный вес занимают кредиты, контрактованные в СПЗ – </w:t>
      </w:r>
      <w:r w:rsidRPr="00EC5A7B">
        <w:rPr>
          <w:rFonts w:asciiTheme="majorHAnsi" w:hAnsiTheme="majorHAnsi" w:cstheme="majorHAnsi"/>
          <w:sz w:val="24"/>
          <w:szCs w:val="24"/>
          <w:lang w:val="ru-MD" w:eastAsia="ru-RU"/>
        </w:rPr>
        <w:t>54,6% портфеля внешнего государственного долга</w:t>
      </w:r>
      <w:r w:rsidRPr="00EC5A7B">
        <w:rPr>
          <w:rFonts w:asciiTheme="majorHAnsi" w:hAnsiTheme="majorHAnsi" w:cstheme="majorHAnsi"/>
          <w:sz w:val="24"/>
          <w:szCs w:val="24"/>
          <w:lang w:val="ru-MD"/>
        </w:rPr>
        <w:t>, далее следуют удельный вес кредитов, контрактованных в евро – 37,9% и в долларах США – 4,0%</w:t>
      </w:r>
      <w:r w:rsidR="005A1B66" w:rsidRPr="00EC5A7B">
        <w:rPr>
          <w:rFonts w:asciiTheme="majorHAnsi" w:hAnsiTheme="majorHAnsi" w:cstheme="majorHAnsi"/>
          <w:sz w:val="24"/>
          <w:szCs w:val="24"/>
          <w:lang w:val="ru-MD" w:eastAsia="ru-RU"/>
        </w:rPr>
        <w:t>.</w:t>
      </w:r>
    </w:p>
    <w:p w14:paraId="32FE6E15" w14:textId="4EFA805A" w:rsidR="006F3B72" w:rsidRPr="00EC5A7B" w:rsidRDefault="006E058C" w:rsidP="00AB1E33">
      <w:pPr>
        <w:pStyle w:val="NoSpacing"/>
        <w:spacing w:after="240" w:line="276" w:lineRule="auto"/>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 xml:space="preserve">В 2019 году выплаты внешних займов составили 149,1 млн. долл. США </w:t>
      </w:r>
      <w:r w:rsidRPr="00EC5A7B">
        <w:rPr>
          <w:rFonts w:asciiTheme="majorHAnsi" w:hAnsiTheme="majorHAnsi" w:cstheme="majorHAnsi"/>
          <w:sz w:val="24"/>
          <w:szCs w:val="24"/>
          <w:lang w:val="ru-MD" w:eastAsia="ru-RU"/>
        </w:rPr>
        <w:t>(эквивалент 2 624,2 млн. леев)</w:t>
      </w:r>
      <w:r w:rsidRPr="00EC5A7B">
        <w:rPr>
          <w:rFonts w:asciiTheme="majorHAnsi" w:hAnsiTheme="majorHAnsi" w:cstheme="majorHAnsi"/>
          <w:sz w:val="24"/>
          <w:szCs w:val="24"/>
          <w:lang w:val="ru-MD"/>
        </w:rPr>
        <w:t xml:space="preserve">, что на </w:t>
      </w:r>
      <w:r w:rsidRPr="00EC5A7B">
        <w:rPr>
          <w:rFonts w:asciiTheme="majorHAnsi" w:hAnsiTheme="majorHAnsi" w:cstheme="majorHAnsi"/>
          <w:sz w:val="24"/>
          <w:szCs w:val="24"/>
          <w:lang w:val="ru-MD" w:eastAsia="ru-RU"/>
        </w:rPr>
        <w:t xml:space="preserve">4,3 </w:t>
      </w:r>
      <w:r w:rsidRPr="00EC5A7B">
        <w:rPr>
          <w:rFonts w:asciiTheme="majorHAnsi" w:hAnsiTheme="majorHAnsi" w:cstheme="majorHAnsi"/>
          <w:sz w:val="24"/>
          <w:szCs w:val="24"/>
          <w:lang w:val="ru-MD"/>
        </w:rPr>
        <w:t>млн. долл. США больше по сравнению с выплатами предыдущего года</w:t>
      </w:r>
      <w:r w:rsidR="006F3B72" w:rsidRPr="00EC5A7B">
        <w:rPr>
          <w:rFonts w:asciiTheme="majorHAnsi" w:hAnsiTheme="majorHAnsi" w:cstheme="majorHAnsi"/>
          <w:sz w:val="24"/>
          <w:szCs w:val="24"/>
          <w:lang w:val="ru-MD" w:eastAsia="ru-RU"/>
        </w:rPr>
        <w:t xml:space="preserve">. </w:t>
      </w:r>
    </w:p>
    <w:p w14:paraId="65D1DCE4" w14:textId="1223552B" w:rsidR="00754D49" w:rsidRPr="00EC5A7B" w:rsidRDefault="00566F33" w:rsidP="006F3B7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 xml:space="preserve">Из общей суммы выплаченных внешних государственных займов, </w:t>
      </w:r>
      <w:r w:rsidRPr="00EC5A7B">
        <w:rPr>
          <w:rFonts w:asciiTheme="majorHAnsi" w:hAnsiTheme="majorHAnsi" w:cstheme="majorHAnsi"/>
          <w:sz w:val="24"/>
          <w:szCs w:val="24"/>
          <w:lang w:val="ru-MD" w:eastAsia="ru-RU"/>
        </w:rPr>
        <w:t xml:space="preserve">98,0 </w:t>
      </w:r>
      <w:r w:rsidRPr="00EC5A7B">
        <w:rPr>
          <w:rFonts w:asciiTheme="majorHAnsi" w:hAnsiTheme="majorHAnsi" w:cstheme="majorHAnsi"/>
          <w:sz w:val="24"/>
          <w:szCs w:val="24"/>
          <w:lang w:val="ru-MD"/>
        </w:rPr>
        <w:t xml:space="preserve">млн. долл. США </w:t>
      </w:r>
      <w:r w:rsidRPr="00EC5A7B">
        <w:rPr>
          <w:rFonts w:asciiTheme="majorHAnsi" w:hAnsiTheme="majorHAnsi" w:cstheme="majorHAnsi"/>
          <w:sz w:val="24"/>
          <w:szCs w:val="24"/>
          <w:lang w:val="ru-MD" w:eastAsia="ru-RU"/>
        </w:rPr>
        <w:t>(65,7%)</w:t>
      </w:r>
      <w:r w:rsidRPr="00EC5A7B">
        <w:rPr>
          <w:rFonts w:asciiTheme="majorHAnsi" w:hAnsiTheme="majorHAnsi" w:cstheme="majorHAnsi"/>
          <w:sz w:val="24"/>
          <w:szCs w:val="24"/>
          <w:lang w:val="ru-MD"/>
        </w:rPr>
        <w:t xml:space="preserve"> были предназначены для финансирования инвестиционных проектов, и </w:t>
      </w:r>
      <w:r w:rsidRPr="00EC5A7B">
        <w:rPr>
          <w:rFonts w:asciiTheme="majorHAnsi" w:hAnsiTheme="majorHAnsi" w:cstheme="majorHAnsi"/>
          <w:sz w:val="24"/>
          <w:szCs w:val="24"/>
          <w:lang w:val="ru-MD" w:eastAsia="ru-RU"/>
        </w:rPr>
        <w:t xml:space="preserve">51,1 </w:t>
      </w:r>
      <w:r w:rsidRPr="00EC5A7B">
        <w:rPr>
          <w:rFonts w:asciiTheme="majorHAnsi" w:hAnsiTheme="majorHAnsi" w:cstheme="majorHAnsi"/>
          <w:sz w:val="24"/>
          <w:szCs w:val="24"/>
          <w:lang w:val="ru-MD"/>
        </w:rPr>
        <w:t xml:space="preserve">млн. долл. США (34,3%) – финансовой помощи для поддержки бюджета. По сравнению с 2018 годом, выплаты внешних государственных займов, предназначенные для финансирования инвестиционных проектов, увеличились на </w:t>
      </w:r>
      <w:r w:rsidRPr="00EC5A7B">
        <w:rPr>
          <w:rFonts w:asciiTheme="majorHAnsi" w:hAnsiTheme="majorHAnsi" w:cstheme="majorHAnsi"/>
          <w:sz w:val="24"/>
          <w:szCs w:val="24"/>
          <w:lang w:val="ru-MD" w:eastAsia="ru-RU"/>
        </w:rPr>
        <w:t xml:space="preserve">2,2 </w:t>
      </w:r>
      <w:r w:rsidRPr="00EC5A7B">
        <w:rPr>
          <w:rFonts w:asciiTheme="majorHAnsi" w:hAnsiTheme="majorHAnsi" w:cstheme="majorHAnsi"/>
          <w:sz w:val="24"/>
          <w:szCs w:val="24"/>
          <w:lang w:val="ru-MD"/>
        </w:rPr>
        <w:t xml:space="preserve">млн. долл. США, и для поддержки государственного бюджета увеличились на </w:t>
      </w:r>
      <w:r w:rsidRPr="00EC5A7B">
        <w:rPr>
          <w:rFonts w:asciiTheme="majorHAnsi" w:hAnsiTheme="majorHAnsi" w:cstheme="majorHAnsi"/>
          <w:sz w:val="24"/>
          <w:szCs w:val="24"/>
          <w:lang w:val="ru-MD" w:eastAsia="ru-RU"/>
        </w:rPr>
        <w:t xml:space="preserve">2,1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долл. США.</w:t>
      </w:r>
    </w:p>
    <w:p w14:paraId="3F13F8AF" w14:textId="6E0B3909" w:rsidR="00754D49" w:rsidRPr="00EC5A7B" w:rsidRDefault="00670F69" w:rsidP="00670F69">
      <w:pPr>
        <w:spacing w:after="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 xml:space="preserve">В аспекте кредиторов, выплаты внешних займов формируются из кредитов, предоставленных: ЕИБ – </w:t>
      </w:r>
      <w:r w:rsidRPr="00EC5A7B">
        <w:rPr>
          <w:rFonts w:asciiTheme="majorHAnsi" w:hAnsiTheme="majorHAnsi" w:cstheme="majorHAnsi"/>
          <w:sz w:val="24"/>
          <w:szCs w:val="24"/>
          <w:lang w:val="ru-MD" w:eastAsia="ru-RU"/>
        </w:rPr>
        <w:t xml:space="preserve">56,3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долл. США</w:t>
      </w:r>
      <w:r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eastAsia="ru-RU"/>
        </w:rPr>
        <w:t>37,7</w:t>
      </w:r>
      <w:r w:rsidRPr="00EC5A7B">
        <w:rPr>
          <w:rFonts w:asciiTheme="majorHAnsi" w:hAnsiTheme="majorHAnsi" w:cstheme="majorHAnsi"/>
          <w:sz w:val="24"/>
          <w:szCs w:val="24"/>
          <w:lang w:val="ru-MD"/>
        </w:rPr>
        <w:t xml:space="preserve">%), МВФ – </w:t>
      </w:r>
      <w:r w:rsidRPr="00EC5A7B">
        <w:rPr>
          <w:rFonts w:asciiTheme="majorHAnsi" w:hAnsiTheme="majorHAnsi" w:cstheme="majorHAnsi"/>
          <w:sz w:val="24"/>
          <w:szCs w:val="24"/>
          <w:lang w:val="ru-MD" w:eastAsia="ru-RU"/>
        </w:rPr>
        <w:t xml:space="preserve">27,5 </w:t>
      </w:r>
      <w:r w:rsidRPr="00EC5A7B">
        <w:rPr>
          <w:rFonts w:asciiTheme="majorHAnsi" w:hAnsiTheme="majorHAnsi" w:cstheme="majorHAnsi"/>
          <w:sz w:val="24"/>
          <w:szCs w:val="24"/>
          <w:lang w:val="ru-MD"/>
        </w:rPr>
        <w:t>млн. долл. США (</w:t>
      </w:r>
      <w:r w:rsidRPr="00EC5A7B">
        <w:rPr>
          <w:rFonts w:asciiTheme="majorHAnsi" w:hAnsiTheme="majorHAnsi" w:cstheme="majorHAnsi"/>
          <w:sz w:val="24"/>
          <w:szCs w:val="24"/>
          <w:lang w:val="ru-MD" w:eastAsia="ru-RU"/>
        </w:rPr>
        <w:t>18,5</w:t>
      </w:r>
      <w:r w:rsidRPr="00EC5A7B">
        <w:rPr>
          <w:rFonts w:asciiTheme="majorHAnsi" w:hAnsiTheme="majorHAnsi" w:cstheme="majorHAnsi"/>
          <w:sz w:val="24"/>
          <w:szCs w:val="24"/>
          <w:lang w:val="ru-MD"/>
        </w:rPr>
        <w:t xml:space="preserve">%), СЕ – </w:t>
      </w:r>
      <w:r w:rsidRPr="00EC5A7B">
        <w:rPr>
          <w:rFonts w:asciiTheme="majorHAnsi" w:hAnsiTheme="majorHAnsi" w:cstheme="majorHAnsi"/>
          <w:sz w:val="24"/>
          <w:szCs w:val="24"/>
          <w:lang w:val="ru-MD" w:eastAsia="ru-RU"/>
        </w:rPr>
        <w:t xml:space="preserve">22,2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долл. США</w:t>
      </w:r>
      <w:r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eastAsia="ru-RU"/>
        </w:rPr>
        <w:t>14,9</w:t>
      </w:r>
      <w:r w:rsidRPr="00EC5A7B">
        <w:rPr>
          <w:rFonts w:asciiTheme="majorHAnsi" w:hAnsiTheme="majorHAnsi" w:cstheme="majorHAnsi"/>
          <w:sz w:val="24"/>
          <w:szCs w:val="24"/>
          <w:lang w:val="ru-MD"/>
        </w:rPr>
        <w:t xml:space="preserve">%), МАР – </w:t>
      </w:r>
      <w:r w:rsidRPr="00EC5A7B">
        <w:rPr>
          <w:rFonts w:asciiTheme="majorHAnsi" w:hAnsiTheme="majorHAnsi" w:cstheme="majorHAnsi"/>
          <w:sz w:val="24"/>
          <w:szCs w:val="24"/>
          <w:lang w:val="ru-MD" w:eastAsia="ru-RU"/>
        </w:rPr>
        <w:t xml:space="preserve">15,0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долл. США</w:t>
      </w:r>
      <w:r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eastAsia="ru-RU"/>
        </w:rPr>
        <w:t>10,1</w:t>
      </w:r>
      <w:r w:rsidRPr="00EC5A7B">
        <w:rPr>
          <w:rFonts w:asciiTheme="majorHAnsi" w:hAnsiTheme="majorHAnsi" w:cstheme="majorHAnsi"/>
          <w:sz w:val="24"/>
          <w:szCs w:val="24"/>
          <w:lang w:val="ru-MD"/>
        </w:rPr>
        <w:t>%) и др.</w:t>
      </w:r>
    </w:p>
    <w:p w14:paraId="7C3833F4" w14:textId="2DA6AA25" w:rsidR="00D472FF" w:rsidRPr="00EC5A7B" w:rsidRDefault="00670F69" w:rsidP="00D472FF">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 течение 2019 года было законтрактовано 4 новых кредита, с подписанием финансовых соглашений на общую сумму 231,1 млн. дол. США</w:t>
      </w:r>
      <w:r w:rsidR="00D472FF" w:rsidRPr="00EC5A7B">
        <w:rPr>
          <w:rFonts w:asciiTheme="majorHAnsi" w:hAnsiTheme="majorHAnsi" w:cstheme="majorHAnsi"/>
          <w:sz w:val="24"/>
          <w:szCs w:val="24"/>
          <w:lang w:val="ru-MD" w:eastAsia="ru-RU"/>
        </w:rPr>
        <w:t xml:space="preserve">. </w:t>
      </w:r>
    </w:p>
    <w:p w14:paraId="132E0471" w14:textId="5844E686" w:rsidR="00D472FF" w:rsidRPr="00EC5A7B" w:rsidRDefault="00CD158B" w:rsidP="006F3B7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Среди новых кредитов - 2 финансовых соглашения на сумму 61,0 млн. евро (70,0 млн. дол. США), подписанных с МАР для </w:t>
      </w:r>
      <w:r w:rsidRPr="00EC5A7B">
        <w:rPr>
          <w:rFonts w:asciiTheme="majorHAnsi" w:hAnsiTheme="majorHAnsi" w:cstheme="majorHAnsi"/>
          <w:sz w:val="24"/>
          <w:szCs w:val="24"/>
          <w:lang w:val="ru-MD" w:eastAsia="ru-RU"/>
        </w:rPr>
        <w:lastRenderedPageBreak/>
        <w:t xml:space="preserve">финансирования „Проекта развития электроэнергетической системы”, договор о финансировании между РМ и ЕИБ на сумму 100,0 млн. евро (111,1 млн. дол. США) для финансирования проекта „Твердые отходы в Республике Молдова” и </w:t>
      </w:r>
      <w:r w:rsidR="007A7557" w:rsidRPr="00EC5A7B">
        <w:rPr>
          <w:rFonts w:asciiTheme="majorHAnsi" w:hAnsiTheme="majorHAnsi" w:cstheme="majorHAnsi"/>
          <w:sz w:val="24"/>
          <w:szCs w:val="24"/>
          <w:lang w:val="ru-MD" w:eastAsia="ru-RU"/>
        </w:rPr>
        <w:t xml:space="preserve">одно </w:t>
      </w:r>
      <w:r w:rsidRPr="00EC5A7B">
        <w:rPr>
          <w:rFonts w:asciiTheme="majorHAnsi" w:hAnsiTheme="majorHAnsi" w:cstheme="majorHAnsi"/>
          <w:sz w:val="24"/>
          <w:szCs w:val="24"/>
          <w:lang w:val="ru-MD" w:eastAsia="ru-RU"/>
        </w:rPr>
        <w:t>соглашение о поддержке проекта и возмещении „Инструмент для закупки газа в чрезвычайной ситуации” между РМ и ЕБРР на сумму 50,0 млн. дол. США</w:t>
      </w:r>
      <w:r w:rsidR="00D472FF" w:rsidRPr="00EC5A7B">
        <w:rPr>
          <w:rFonts w:asciiTheme="majorHAnsi" w:hAnsiTheme="majorHAnsi" w:cstheme="majorHAnsi"/>
          <w:sz w:val="24"/>
          <w:szCs w:val="24"/>
          <w:lang w:val="ru-MD" w:eastAsia="ru-RU"/>
        </w:rPr>
        <w:t xml:space="preserve">. </w:t>
      </w:r>
    </w:p>
    <w:p w14:paraId="676D0CA2" w14:textId="01DF02E2" w:rsidR="00D472FF" w:rsidRPr="00EC5A7B" w:rsidRDefault="002914B6" w:rsidP="002914B6">
      <w:pPr>
        <w:pStyle w:val="ListParagraph"/>
        <w:numPr>
          <w:ilvl w:val="3"/>
          <w:numId w:val="2"/>
        </w:numPr>
        <w:tabs>
          <w:tab w:val="left" w:pos="1080"/>
          <w:tab w:val="left" w:pos="1260"/>
          <w:tab w:val="left" w:pos="1440"/>
          <w:tab w:val="left" w:pos="1530"/>
        </w:tabs>
        <w:autoSpaceDE w:val="0"/>
        <w:autoSpaceDN w:val="0"/>
        <w:adjustRightInd w:val="0"/>
        <w:spacing w:line="240" w:lineRule="auto"/>
        <w:ind w:hanging="2070"/>
        <w:jc w:val="both"/>
        <w:outlineLvl w:val="1"/>
        <w:rPr>
          <w:rFonts w:asciiTheme="majorHAnsi" w:eastAsia="Times New Roman" w:hAnsiTheme="majorHAnsi" w:cstheme="majorHAnsi"/>
          <w:b/>
          <w:bCs/>
          <w:i/>
          <w:color w:val="5B9BD5" w:themeColor="accent1"/>
          <w:sz w:val="24"/>
          <w:szCs w:val="24"/>
          <w:lang w:val="ru-MD" w:eastAsia="ru-RU"/>
        </w:rPr>
      </w:pPr>
      <w:bookmarkStart w:id="12" w:name="_Toc63157261"/>
      <w:r w:rsidRPr="00EC5A7B">
        <w:rPr>
          <w:rFonts w:asciiTheme="majorHAnsi" w:eastAsia="Times New Roman" w:hAnsiTheme="majorHAnsi" w:cstheme="majorHAnsi"/>
          <w:b/>
          <w:bCs/>
          <w:i/>
          <w:color w:val="5B9BD5" w:themeColor="accent1"/>
          <w:sz w:val="24"/>
          <w:szCs w:val="24"/>
          <w:lang w:val="ru-MD" w:eastAsia="ru-RU"/>
        </w:rPr>
        <w:t>Сохраняется низкий уровень освоения законтрактованных внешних ресурсов</w:t>
      </w:r>
      <w:bookmarkEnd w:id="12"/>
      <w:r w:rsidRPr="00EC5A7B">
        <w:rPr>
          <w:rFonts w:asciiTheme="majorHAnsi" w:eastAsia="Times New Roman" w:hAnsiTheme="majorHAnsi" w:cstheme="majorHAnsi"/>
          <w:b/>
          <w:bCs/>
          <w:i/>
          <w:color w:val="5B9BD5" w:themeColor="accent1"/>
          <w:sz w:val="24"/>
          <w:szCs w:val="24"/>
          <w:lang w:val="ru-MD" w:eastAsia="ru-RU"/>
        </w:rPr>
        <w:t xml:space="preserve"> </w:t>
      </w:r>
    </w:p>
    <w:p w14:paraId="5D8A9BC9" w14:textId="2FA58CAC" w:rsidR="00805751" w:rsidRPr="00EC5A7B" w:rsidRDefault="002914B6" w:rsidP="00805751">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Аудиторские проверки установили, что из общего объема внешних государственных займов, по 32 кредитам регистрируются невыплаченные суммы, размер которых может быть оценена в 27,66 млн. дол. США, 742,45 млн. евро и 106,38 млн. СПЗ</w:t>
      </w:r>
      <w:r w:rsidR="00805751" w:rsidRPr="00EC5A7B">
        <w:rPr>
          <w:rFonts w:asciiTheme="majorHAnsi" w:hAnsiTheme="majorHAnsi" w:cstheme="majorHAnsi"/>
          <w:sz w:val="24"/>
          <w:szCs w:val="24"/>
          <w:lang w:val="ru-MD" w:eastAsia="ru-RU"/>
        </w:rPr>
        <w:t>.</w:t>
      </w:r>
    </w:p>
    <w:p w14:paraId="29874E4E" w14:textId="7F399F81" w:rsidR="00AB1E33" w:rsidRPr="00EC5A7B" w:rsidRDefault="002914B6" w:rsidP="00C00E9A">
      <w:pPr>
        <w:pStyle w:val="NoSpacing"/>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Уровень выплаты по кредитам</w:t>
      </w:r>
      <w:r w:rsidR="006D2D8C"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в аспекте периодов </w:t>
      </w:r>
      <w:r w:rsidR="006D2D8C" w:rsidRPr="00EC5A7B">
        <w:rPr>
          <w:rFonts w:asciiTheme="majorHAnsi" w:hAnsiTheme="majorHAnsi" w:cstheme="majorHAnsi"/>
          <w:sz w:val="24"/>
          <w:szCs w:val="24"/>
          <w:lang w:val="ru-MD" w:eastAsia="ru-RU"/>
        </w:rPr>
        <w:t>снятия со счета,</w:t>
      </w:r>
      <w:r w:rsidRPr="00EC5A7B">
        <w:rPr>
          <w:rFonts w:asciiTheme="majorHAnsi" w:hAnsiTheme="majorHAnsi" w:cstheme="majorHAnsi"/>
          <w:sz w:val="24"/>
          <w:szCs w:val="24"/>
          <w:lang w:val="ru-MD" w:eastAsia="ru-RU"/>
        </w:rPr>
        <w:t xml:space="preserve"> указывает на то, что из 32 кредитов, </w:t>
      </w:r>
      <w:r w:rsidR="006D2D8C" w:rsidRPr="00EC5A7B">
        <w:rPr>
          <w:rFonts w:asciiTheme="majorHAnsi" w:hAnsiTheme="majorHAnsi" w:cstheme="majorHAnsi"/>
          <w:sz w:val="24"/>
          <w:szCs w:val="24"/>
          <w:lang w:val="ru-MD" w:eastAsia="ru-RU"/>
        </w:rPr>
        <w:t>по</w:t>
      </w:r>
      <w:r w:rsidRPr="00EC5A7B">
        <w:rPr>
          <w:rFonts w:asciiTheme="majorHAnsi" w:hAnsiTheme="majorHAnsi" w:cstheme="majorHAnsi"/>
          <w:sz w:val="24"/>
          <w:szCs w:val="24"/>
          <w:lang w:val="ru-MD" w:eastAsia="ru-RU"/>
        </w:rPr>
        <w:t xml:space="preserve"> которы</w:t>
      </w:r>
      <w:r w:rsidR="006D2D8C" w:rsidRPr="00EC5A7B">
        <w:rPr>
          <w:rFonts w:asciiTheme="majorHAnsi" w:hAnsiTheme="majorHAnsi" w:cstheme="majorHAnsi"/>
          <w:sz w:val="24"/>
          <w:szCs w:val="24"/>
          <w:lang w:val="ru-MD" w:eastAsia="ru-RU"/>
        </w:rPr>
        <w:t>м</w:t>
      </w:r>
      <w:r w:rsidRPr="00EC5A7B">
        <w:rPr>
          <w:rFonts w:asciiTheme="majorHAnsi" w:hAnsiTheme="majorHAnsi" w:cstheme="majorHAnsi"/>
          <w:sz w:val="24"/>
          <w:szCs w:val="24"/>
          <w:lang w:val="ru-MD" w:eastAsia="ru-RU"/>
        </w:rPr>
        <w:t xml:space="preserve"> регистрируются не</w:t>
      </w:r>
      <w:r w:rsidR="006D2D8C" w:rsidRPr="00EC5A7B">
        <w:rPr>
          <w:rFonts w:asciiTheme="majorHAnsi" w:hAnsiTheme="majorHAnsi" w:cstheme="majorHAnsi"/>
          <w:sz w:val="24"/>
          <w:szCs w:val="24"/>
          <w:lang w:val="ru-MD" w:eastAsia="ru-RU"/>
        </w:rPr>
        <w:t>выпла</w:t>
      </w:r>
      <w:r w:rsidRPr="00EC5A7B">
        <w:rPr>
          <w:rFonts w:asciiTheme="majorHAnsi" w:hAnsiTheme="majorHAnsi" w:cstheme="majorHAnsi"/>
          <w:sz w:val="24"/>
          <w:szCs w:val="24"/>
          <w:lang w:val="ru-MD" w:eastAsia="ru-RU"/>
        </w:rPr>
        <w:t>ченные суммы</w:t>
      </w:r>
      <w:r w:rsidR="00123BCC" w:rsidRPr="00EC5A7B">
        <w:rPr>
          <w:rFonts w:asciiTheme="majorHAnsi" w:hAnsiTheme="majorHAnsi" w:cstheme="majorHAnsi"/>
          <w:sz w:val="24"/>
          <w:szCs w:val="24"/>
          <w:lang w:val="ru-MD" w:eastAsia="ru-RU"/>
        </w:rPr>
        <w:t>:</w:t>
      </w:r>
    </w:p>
    <w:p w14:paraId="46D3C979" w14:textId="1EFDAF1A" w:rsidR="00123BCC" w:rsidRPr="00EC5A7B" w:rsidRDefault="00B07362" w:rsidP="00B07362">
      <w:pPr>
        <w:pStyle w:val="NoSpacing"/>
        <w:numPr>
          <w:ilvl w:val="1"/>
          <w:numId w:val="1"/>
        </w:numPr>
        <w:tabs>
          <w:tab w:val="left" w:pos="1080"/>
        </w:tabs>
        <w:spacing w:line="276" w:lineRule="auto"/>
        <w:ind w:left="0" w:firstLine="72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4 кредита с уровнем выплаты 8,9% - для 71,4% истек срок выплаты, а невыплаченная сумма может быть оценена в 32,36 млн. евро и 12,3 млн. СПЗ</w:t>
      </w:r>
      <w:r w:rsidR="00123BCC" w:rsidRPr="00EC5A7B">
        <w:rPr>
          <w:rFonts w:asciiTheme="majorHAnsi" w:hAnsiTheme="majorHAnsi" w:cstheme="majorHAnsi"/>
          <w:sz w:val="24"/>
          <w:szCs w:val="24"/>
          <w:lang w:val="ru-MD" w:eastAsia="ru-RU"/>
        </w:rPr>
        <w:t>:</w:t>
      </w:r>
    </w:p>
    <w:p w14:paraId="45E4F735" w14:textId="6C62CE3D" w:rsidR="00123BCC" w:rsidRPr="00EC5A7B" w:rsidRDefault="001F4227" w:rsidP="007213DF">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к</w:t>
      </w:r>
      <w:r w:rsidR="007213DF" w:rsidRPr="00EC5A7B">
        <w:rPr>
          <w:rFonts w:asciiTheme="majorHAnsi" w:hAnsiTheme="majorHAnsi" w:cstheme="majorHAnsi"/>
          <w:sz w:val="24"/>
          <w:szCs w:val="24"/>
          <w:lang w:val="ru-MD" w:eastAsia="ru-RU"/>
        </w:rPr>
        <w:t>редит, законтрактованный от ЕИБ в 2010 году для реализации проекта „Реабилитация дорог в РМ” в сумме 75,0 млн. евро, с предельным сроком снятия со счета 31.12.2018 был выплачен в размере 71,4% (53,57 млн. евро)</w:t>
      </w:r>
      <w:r w:rsidR="00123BCC" w:rsidRPr="00EC5A7B">
        <w:rPr>
          <w:rFonts w:asciiTheme="majorHAnsi" w:hAnsiTheme="majorHAnsi" w:cstheme="majorHAnsi"/>
          <w:sz w:val="24"/>
          <w:szCs w:val="24"/>
          <w:lang w:val="ru-MD" w:eastAsia="ru-RU"/>
        </w:rPr>
        <w:t>;</w:t>
      </w:r>
    </w:p>
    <w:p w14:paraId="7BEC7455" w14:textId="56288CA7" w:rsidR="00123BCC" w:rsidRPr="00EC5A7B" w:rsidRDefault="001F4227" w:rsidP="00182F0D">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кредит, законтрактованный от БРСЕ в 2018 году для реализации проекта </w:t>
      </w:r>
      <w:r w:rsidR="007213DF" w:rsidRPr="00EC5A7B">
        <w:rPr>
          <w:rFonts w:asciiTheme="majorHAnsi" w:hAnsiTheme="majorHAnsi"/>
          <w:sz w:val="24"/>
          <w:lang w:val="ru-MD"/>
        </w:rPr>
        <w:t xml:space="preserve">,,Закупка машин скорой помощи” в сумме 12,0 млн. </w:t>
      </w:r>
      <w:r w:rsidRPr="00EC5A7B">
        <w:rPr>
          <w:rFonts w:asciiTheme="majorHAnsi" w:hAnsiTheme="majorHAnsi"/>
          <w:sz w:val="24"/>
          <w:lang w:val="ru-MD"/>
        </w:rPr>
        <w:t>е</w:t>
      </w:r>
      <w:r w:rsidR="007213DF" w:rsidRPr="00EC5A7B">
        <w:rPr>
          <w:rFonts w:asciiTheme="majorHAnsi" w:hAnsiTheme="majorHAnsi"/>
          <w:sz w:val="24"/>
          <w:lang w:val="ru-MD"/>
        </w:rPr>
        <w:t>вро</w:t>
      </w:r>
      <w:r w:rsidRPr="00EC5A7B">
        <w:rPr>
          <w:rFonts w:asciiTheme="majorHAnsi" w:hAnsiTheme="majorHAnsi"/>
          <w:sz w:val="24"/>
          <w:lang w:val="ru-MD"/>
        </w:rPr>
        <w:t>, с предельным сроком снятия со счета</w:t>
      </w:r>
      <w:r w:rsidR="007213DF" w:rsidRPr="00EC5A7B">
        <w:rPr>
          <w:rFonts w:asciiTheme="majorHAnsi" w:hAnsiTheme="majorHAnsi"/>
          <w:sz w:val="24"/>
          <w:lang w:val="ru-MD"/>
        </w:rPr>
        <w:t xml:space="preserve"> </w:t>
      </w:r>
      <w:r w:rsidRPr="00EC5A7B">
        <w:rPr>
          <w:rFonts w:asciiTheme="majorHAnsi" w:hAnsiTheme="majorHAnsi" w:cstheme="majorHAnsi"/>
          <w:sz w:val="24"/>
          <w:szCs w:val="24"/>
          <w:lang w:val="ru-MD" w:eastAsia="ru-RU"/>
        </w:rPr>
        <w:t xml:space="preserve">31.12.2019,  был выплачен в размере </w:t>
      </w:r>
      <w:r w:rsidR="00123BCC" w:rsidRPr="00EC5A7B">
        <w:rPr>
          <w:rFonts w:asciiTheme="majorHAnsi" w:hAnsiTheme="majorHAnsi" w:cstheme="majorHAnsi"/>
          <w:sz w:val="24"/>
          <w:szCs w:val="24"/>
          <w:lang w:val="ru-MD" w:eastAsia="ru-RU"/>
        </w:rPr>
        <w:t xml:space="preserve">8,9% (1,07 </w:t>
      </w:r>
      <w:r w:rsidRPr="00EC5A7B">
        <w:rPr>
          <w:rFonts w:asciiTheme="majorHAnsi" w:hAnsiTheme="majorHAnsi" w:cstheme="majorHAnsi"/>
          <w:sz w:val="24"/>
          <w:szCs w:val="24"/>
          <w:lang w:val="ru-MD" w:eastAsia="ru-RU"/>
        </w:rPr>
        <w:t>млн. евро</w:t>
      </w:r>
      <w:r w:rsidR="00123BCC" w:rsidRPr="00EC5A7B">
        <w:rPr>
          <w:rFonts w:asciiTheme="majorHAnsi" w:hAnsiTheme="majorHAnsi" w:cstheme="majorHAnsi"/>
          <w:sz w:val="24"/>
          <w:szCs w:val="24"/>
          <w:lang w:val="ru-MD" w:eastAsia="ru-RU"/>
        </w:rPr>
        <w:t>);</w:t>
      </w:r>
    </w:p>
    <w:p w14:paraId="3937D70B" w14:textId="3E011355" w:rsidR="00123BCC" w:rsidRPr="00EC5A7B" w:rsidRDefault="001F4227" w:rsidP="001F4227">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кредит, законтрактованный от</w:t>
      </w:r>
      <w:r w:rsidR="00123BCC"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МАР</w:t>
      </w:r>
      <w:r w:rsidR="00123BCC"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в</w:t>
      </w:r>
      <w:r w:rsidR="00123BCC" w:rsidRPr="00EC5A7B">
        <w:rPr>
          <w:rFonts w:asciiTheme="majorHAnsi" w:hAnsiTheme="majorHAnsi" w:cstheme="majorHAnsi"/>
          <w:sz w:val="24"/>
          <w:szCs w:val="24"/>
          <w:lang w:val="ru-MD" w:eastAsia="ru-RU"/>
        </w:rPr>
        <w:t xml:space="preserve"> 2014 </w:t>
      </w:r>
      <w:r w:rsidRPr="00EC5A7B">
        <w:rPr>
          <w:rFonts w:asciiTheme="majorHAnsi" w:hAnsiTheme="majorHAnsi" w:cstheme="majorHAnsi"/>
          <w:sz w:val="24"/>
          <w:szCs w:val="24"/>
          <w:lang w:val="ru-MD" w:eastAsia="ru-RU"/>
        </w:rPr>
        <w:t>году для реализации проекта</w:t>
      </w:r>
      <w:r w:rsidR="00123BCC"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Модернизация сектора здравоохранения</w:t>
      </w:r>
      <w:r w:rsidR="00123BCC" w:rsidRPr="00EC5A7B">
        <w:rPr>
          <w:rFonts w:asciiTheme="majorHAnsi" w:hAnsiTheme="majorHAnsi" w:cstheme="majorHAnsi"/>
          <w:sz w:val="24"/>
          <w:szCs w:val="24"/>
          <w:lang w:val="ru-MD" w:eastAsia="ru-RU"/>
        </w:rPr>
        <w:t xml:space="preserve">” </w:t>
      </w:r>
      <w:r w:rsidRPr="00EC5A7B">
        <w:rPr>
          <w:rFonts w:asciiTheme="majorHAnsi" w:hAnsiTheme="majorHAnsi"/>
          <w:sz w:val="24"/>
          <w:lang w:val="ru-MD"/>
        </w:rPr>
        <w:t>в сумме 18,6 млн. СПЗ</w:t>
      </w:r>
      <w:r w:rsidR="00123BCC" w:rsidRPr="00EC5A7B">
        <w:rPr>
          <w:rFonts w:asciiTheme="majorHAnsi" w:hAnsiTheme="majorHAnsi" w:cstheme="majorHAnsi"/>
          <w:sz w:val="24"/>
          <w:szCs w:val="24"/>
          <w:lang w:val="ru-MD" w:eastAsia="ru-RU"/>
        </w:rPr>
        <w:t xml:space="preserve">, </w:t>
      </w:r>
      <w:r w:rsidRPr="00EC5A7B">
        <w:rPr>
          <w:rFonts w:asciiTheme="majorHAnsi" w:hAnsiTheme="majorHAnsi"/>
          <w:sz w:val="24"/>
          <w:lang w:val="ru-MD"/>
        </w:rPr>
        <w:t>с предельным сроком снятия со счета</w:t>
      </w:r>
      <w:r w:rsidR="00123BCC" w:rsidRPr="00EC5A7B">
        <w:rPr>
          <w:rFonts w:asciiTheme="majorHAnsi" w:hAnsiTheme="majorHAnsi" w:cstheme="majorHAnsi"/>
          <w:sz w:val="24"/>
          <w:szCs w:val="24"/>
          <w:lang w:val="ru-MD" w:eastAsia="ru-RU"/>
        </w:rPr>
        <w:t xml:space="preserve"> 30.03.2019, </w:t>
      </w:r>
      <w:r w:rsidRPr="00EC5A7B">
        <w:rPr>
          <w:rFonts w:asciiTheme="majorHAnsi" w:hAnsiTheme="majorHAnsi" w:cstheme="majorHAnsi"/>
          <w:sz w:val="24"/>
          <w:szCs w:val="24"/>
          <w:lang w:val="ru-MD" w:eastAsia="ru-RU"/>
        </w:rPr>
        <w:t xml:space="preserve">был выплачен в размере </w:t>
      </w:r>
      <w:r w:rsidR="00123BCC" w:rsidRPr="00EC5A7B">
        <w:rPr>
          <w:rFonts w:asciiTheme="majorHAnsi" w:hAnsiTheme="majorHAnsi" w:cstheme="majorHAnsi"/>
          <w:sz w:val="24"/>
          <w:szCs w:val="24"/>
          <w:lang w:val="ru-MD" w:eastAsia="ru-RU"/>
        </w:rPr>
        <w:t>55,2% (</w:t>
      </w:r>
      <w:r w:rsidR="00636097" w:rsidRPr="00EC5A7B">
        <w:rPr>
          <w:rFonts w:asciiTheme="majorHAnsi" w:hAnsiTheme="majorHAnsi" w:cstheme="majorHAnsi"/>
          <w:sz w:val="24"/>
          <w:szCs w:val="24"/>
          <w:lang w:val="ru-MD" w:eastAsia="ru-RU"/>
        </w:rPr>
        <w:t xml:space="preserve">10,27 </w:t>
      </w:r>
      <w:r w:rsidRPr="00EC5A7B">
        <w:rPr>
          <w:rFonts w:asciiTheme="majorHAnsi" w:hAnsiTheme="majorHAnsi"/>
          <w:sz w:val="24"/>
          <w:lang w:val="ru-MD"/>
        </w:rPr>
        <w:t>млн. СПЗ</w:t>
      </w:r>
      <w:r w:rsidR="00636097" w:rsidRPr="00EC5A7B">
        <w:rPr>
          <w:rFonts w:asciiTheme="majorHAnsi" w:hAnsiTheme="majorHAnsi" w:cstheme="majorHAnsi"/>
          <w:sz w:val="24"/>
          <w:szCs w:val="24"/>
          <w:lang w:val="ru-MD" w:eastAsia="ru-RU"/>
        </w:rPr>
        <w:t>);</w:t>
      </w:r>
    </w:p>
    <w:p w14:paraId="2E4185B5" w14:textId="47793745" w:rsidR="006A10B0" w:rsidRPr="00EC5A7B" w:rsidRDefault="001F4227" w:rsidP="006A10B0">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кредит, законтрактованный от МАР в 2016 году для реализации проекта </w:t>
      </w:r>
      <w:r w:rsidR="00636097"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Конкурентноспособное сельское хозяйство</w:t>
      </w:r>
      <w:r w:rsidR="00636097" w:rsidRPr="00EC5A7B">
        <w:rPr>
          <w:rFonts w:asciiTheme="majorHAnsi" w:hAnsiTheme="majorHAnsi" w:cstheme="majorHAnsi"/>
          <w:sz w:val="24"/>
          <w:szCs w:val="24"/>
          <w:lang w:val="ru-MD" w:eastAsia="ru-RU"/>
        </w:rPr>
        <w:t xml:space="preserve">” </w:t>
      </w:r>
      <w:r w:rsidR="00AC3462" w:rsidRPr="00EC5A7B">
        <w:rPr>
          <w:rFonts w:asciiTheme="majorHAnsi" w:hAnsiTheme="majorHAnsi"/>
          <w:sz w:val="24"/>
          <w:lang w:val="ru-MD"/>
        </w:rPr>
        <w:t>в сумме 7,1 млн. СПЗ</w:t>
      </w:r>
      <w:r w:rsidR="00636097" w:rsidRPr="00EC5A7B">
        <w:rPr>
          <w:rFonts w:asciiTheme="majorHAnsi" w:hAnsiTheme="majorHAnsi" w:cstheme="majorHAnsi"/>
          <w:sz w:val="24"/>
          <w:szCs w:val="24"/>
          <w:lang w:val="ru-MD" w:eastAsia="ru-RU"/>
        </w:rPr>
        <w:t xml:space="preserve">, </w:t>
      </w:r>
      <w:r w:rsidR="00AC3462" w:rsidRPr="00EC5A7B">
        <w:rPr>
          <w:rFonts w:asciiTheme="majorHAnsi" w:hAnsiTheme="majorHAnsi"/>
          <w:sz w:val="24"/>
          <w:lang w:val="ru-MD"/>
        </w:rPr>
        <w:t>с предельным сроком снятия со счета</w:t>
      </w:r>
      <w:r w:rsidR="00AC3462" w:rsidRPr="00EC5A7B">
        <w:rPr>
          <w:rFonts w:asciiTheme="majorHAnsi" w:hAnsiTheme="majorHAnsi" w:cstheme="majorHAnsi"/>
          <w:sz w:val="24"/>
          <w:szCs w:val="24"/>
          <w:lang w:val="ru-MD" w:eastAsia="ru-RU"/>
        </w:rPr>
        <w:t xml:space="preserve"> </w:t>
      </w:r>
      <w:r w:rsidR="00636097" w:rsidRPr="00EC5A7B">
        <w:rPr>
          <w:rFonts w:asciiTheme="majorHAnsi" w:hAnsiTheme="majorHAnsi" w:cstheme="majorHAnsi"/>
          <w:sz w:val="24"/>
          <w:szCs w:val="24"/>
          <w:lang w:val="ru-MD" w:eastAsia="ru-RU"/>
        </w:rPr>
        <w:t xml:space="preserve">30.06.2019, </w:t>
      </w:r>
      <w:r w:rsidR="00AC3462" w:rsidRPr="00EC5A7B">
        <w:rPr>
          <w:rFonts w:asciiTheme="majorHAnsi" w:hAnsiTheme="majorHAnsi" w:cstheme="majorHAnsi"/>
          <w:sz w:val="24"/>
          <w:szCs w:val="24"/>
          <w:lang w:val="ru-MD" w:eastAsia="ru-RU"/>
        </w:rPr>
        <w:t xml:space="preserve">был выплачен в размере </w:t>
      </w:r>
      <w:r w:rsidR="00636097" w:rsidRPr="00EC5A7B">
        <w:rPr>
          <w:rFonts w:asciiTheme="majorHAnsi" w:hAnsiTheme="majorHAnsi" w:cstheme="majorHAnsi"/>
          <w:sz w:val="24"/>
          <w:szCs w:val="24"/>
          <w:lang w:val="ru-MD" w:eastAsia="ru-RU"/>
        </w:rPr>
        <w:t xml:space="preserve">44,1% (3,13 </w:t>
      </w:r>
      <w:r w:rsidR="00AC3462" w:rsidRPr="00EC5A7B">
        <w:rPr>
          <w:rFonts w:asciiTheme="majorHAnsi" w:hAnsiTheme="majorHAnsi"/>
          <w:sz w:val="24"/>
          <w:lang w:val="ru-MD"/>
        </w:rPr>
        <w:t>млн. СПЗ</w:t>
      </w:r>
      <w:r w:rsidR="0051153B" w:rsidRPr="00EC5A7B">
        <w:rPr>
          <w:rFonts w:asciiTheme="majorHAnsi" w:hAnsiTheme="majorHAnsi" w:cstheme="majorHAnsi"/>
          <w:sz w:val="24"/>
          <w:szCs w:val="24"/>
          <w:lang w:val="ru-MD" w:eastAsia="ru-RU"/>
        </w:rPr>
        <w:t>);</w:t>
      </w:r>
    </w:p>
    <w:p w14:paraId="22B339E3" w14:textId="4F387751" w:rsidR="00636097" w:rsidRPr="00EC5A7B" w:rsidRDefault="00AC3462" w:rsidP="00182F0D">
      <w:pPr>
        <w:pStyle w:val="NoSpacing"/>
        <w:numPr>
          <w:ilvl w:val="1"/>
          <w:numId w:val="1"/>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B736AB" w:rsidRPr="00EC5A7B">
        <w:rPr>
          <w:rFonts w:asciiTheme="majorHAnsi" w:hAnsiTheme="majorHAnsi" w:cstheme="majorHAnsi"/>
          <w:sz w:val="24"/>
          <w:szCs w:val="24"/>
          <w:lang w:val="ru-MD" w:eastAsia="ru-RU"/>
        </w:rPr>
        <w:t>11</w:t>
      </w:r>
      <w:r w:rsidR="0063609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кредитам</w:t>
      </w:r>
      <w:r w:rsidR="0063609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с уровнем выплат</w:t>
      </w:r>
      <w:r w:rsidR="00B736AB" w:rsidRPr="00EC5A7B">
        <w:rPr>
          <w:rFonts w:asciiTheme="majorHAnsi" w:hAnsiTheme="majorHAnsi" w:cstheme="majorHAnsi"/>
          <w:sz w:val="24"/>
          <w:szCs w:val="24"/>
          <w:lang w:val="ru-MD" w:eastAsia="ru-RU"/>
        </w:rPr>
        <w:t xml:space="preserve"> 6,1</w:t>
      </w:r>
      <w:r w:rsidR="00636097" w:rsidRPr="00EC5A7B">
        <w:rPr>
          <w:rFonts w:asciiTheme="majorHAnsi" w:hAnsiTheme="majorHAnsi" w:cstheme="majorHAnsi"/>
          <w:sz w:val="24"/>
          <w:szCs w:val="24"/>
          <w:lang w:val="ru-MD" w:eastAsia="ru-RU"/>
        </w:rPr>
        <w:t>%</w:t>
      </w:r>
      <w:r w:rsidR="0051153B" w:rsidRPr="00EC5A7B">
        <w:rPr>
          <w:rFonts w:asciiTheme="majorHAnsi" w:hAnsiTheme="majorHAnsi" w:cstheme="majorHAnsi"/>
          <w:sz w:val="24"/>
          <w:szCs w:val="24"/>
          <w:lang w:val="ru-MD" w:eastAsia="ru-RU"/>
        </w:rPr>
        <w:t xml:space="preserve"> </w:t>
      </w:r>
      <w:r w:rsidR="00636097" w:rsidRPr="00EC5A7B">
        <w:rPr>
          <w:rFonts w:asciiTheme="majorHAnsi" w:hAnsiTheme="majorHAnsi" w:cstheme="majorHAnsi"/>
          <w:sz w:val="24"/>
          <w:szCs w:val="24"/>
          <w:lang w:val="ru-MD" w:eastAsia="ru-RU"/>
        </w:rPr>
        <w:t>-</w:t>
      </w:r>
      <w:r w:rsidR="0051153B" w:rsidRPr="00EC5A7B">
        <w:rPr>
          <w:rFonts w:asciiTheme="majorHAnsi" w:hAnsiTheme="majorHAnsi" w:cstheme="majorHAnsi"/>
          <w:sz w:val="24"/>
          <w:szCs w:val="24"/>
          <w:lang w:val="ru-MD" w:eastAsia="ru-RU"/>
        </w:rPr>
        <w:t xml:space="preserve"> </w:t>
      </w:r>
      <w:r w:rsidR="00636097" w:rsidRPr="00EC5A7B">
        <w:rPr>
          <w:rFonts w:asciiTheme="majorHAnsi" w:hAnsiTheme="majorHAnsi" w:cstheme="majorHAnsi"/>
          <w:sz w:val="24"/>
          <w:szCs w:val="24"/>
          <w:lang w:val="ru-MD" w:eastAsia="ru-RU"/>
        </w:rPr>
        <w:t xml:space="preserve">96,2% </w:t>
      </w:r>
      <w:r w:rsidRPr="00EC5A7B">
        <w:rPr>
          <w:rFonts w:asciiTheme="majorHAnsi" w:hAnsiTheme="majorHAnsi" w:cstheme="majorHAnsi"/>
          <w:sz w:val="24"/>
          <w:szCs w:val="24"/>
          <w:lang w:val="ru-MD" w:eastAsia="ru-RU"/>
        </w:rPr>
        <w:t>предельный срок выплаты истекает в</w:t>
      </w:r>
      <w:r w:rsidR="00636097" w:rsidRPr="00EC5A7B">
        <w:rPr>
          <w:rFonts w:asciiTheme="majorHAnsi" w:hAnsiTheme="majorHAnsi" w:cstheme="majorHAnsi"/>
          <w:sz w:val="24"/>
          <w:szCs w:val="24"/>
          <w:lang w:val="ru-MD" w:eastAsia="ru-RU"/>
        </w:rPr>
        <w:t xml:space="preserve"> 2020</w:t>
      </w:r>
      <w:r w:rsidRPr="00EC5A7B">
        <w:rPr>
          <w:rFonts w:asciiTheme="majorHAnsi" w:hAnsiTheme="majorHAnsi" w:cstheme="majorHAnsi"/>
          <w:sz w:val="24"/>
          <w:szCs w:val="24"/>
          <w:lang w:val="ru-MD" w:eastAsia="ru-RU"/>
        </w:rPr>
        <w:t xml:space="preserve"> году</w:t>
      </w:r>
      <w:r w:rsidR="00805751"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Оценочная сумма невыплаченных средств составляет </w:t>
      </w:r>
      <w:r w:rsidR="00805751" w:rsidRPr="00EC5A7B">
        <w:rPr>
          <w:rFonts w:asciiTheme="majorHAnsi" w:hAnsiTheme="majorHAnsi" w:cstheme="majorHAnsi"/>
          <w:sz w:val="24"/>
          <w:szCs w:val="24"/>
          <w:lang w:val="ru-MD" w:eastAsia="ru-RU"/>
        </w:rPr>
        <w:t xml:space="preserve">12,66 </w:t>
      </w:r>
      <w:r w:rsidRPr="00EC5A7B">
        <w:rPr>
          <w:rFonts w:asciiTheme="majorHAnsi" w:hAnsiTheme="majorHAnsi" w:cstheme="majorHAnsi"/>
          <w:sz w:val="24"/>
          <w:szCs w:val="24"/>
          <w:lang w:val="ru-MD" w:eastAsia="ru-RU"/>
        </w:rPr>
        <w:t>млн. дол. США</w:t>
      </w:r>
      <w:r w:rsidR="00B736AB" w:rsidRPr="00EC5A7B">
        <w:rPr>
          <w:rFonts w:asciiTheme="majorHAnsi" w:hAnsiTheme="majorHAnsi" w:cstheme="majorHAnsi"/>
          <w:sz w:val="24"/>
          <w:szCs w:val="24"/>
          <w:lang w:val="ru-MD" w:eastAsia="ru-RU"/>
        </w:rPr>
        <w:t xml:space="preserve">, 102,2 </w:t>
      </w:r>
      <w:r w:rsidRPr="00EC5A7B">
        <w:rPr>
          <w:rFonts w:asciiTheme="majorHAnsi" w:hAnsiTheme="majorHAnsi" w:cstheme="majorHAnsi"/>
          <w:sz w:val="24"/>
          <w:szCs w:val="24"/>
          <w:lang w:val="ru-MD" w:eastAsia="ru-RU"/>
        </w:rPr>
        <w:t>млн. евро и</w:t>
      </w:r>
      <w:r w:rsidR="00B736AB" w:rsidRPr="00EC5A7B">
        <w:rPr>
          <w:rFonts w:asciiTheme="majorHAnsi" w:hAnsiTheme="majorHAnsi" w:cstheme="majorHAnsi"/>
          <w:sz w:val="24"/>
          <w:szCs w:val="24"/>
          <w:lang w:val="ru-MD" w:eastAsia="ru-RU"/>
        </w:rPr>
        <w:t xml:space="preserve"> 22,47</w:t>
      </w:r>
      <w:r w:rsidR="00805751" w:rsidRPr="00EC5A7B">
        <w:rPr>
          <w:rFonts w:asciiTheme="majorHAnsi" w:hAnsiTheme="majorHAnsi" w:cstheme="majorHAnsi"/>
          <w:sz w:val="24"/>
          <w:szCs w:val="24"/>
          <w:lang w:val="ru-MD" w:eastAsia="ru-RU"/>
        </w:rPr>
        <w:t xml:space="preserve"> </w:t>
      </w:r>
      <w:r w:rsidRPr="00EC5A7B">
        <w:rPr>
          <w:rFonts w:asciiTheme="majorHAnsi" w:hAnsiTheme="majorHAnsi"/>
          <w:sz w:val="24"/>
          <w:lang w:val="ru-MD"/>
        </w:rPr>
        <w:t>млн. СПЗ</w:t>
      </w:r>
      <w:r w:rsidR="00636097" w:rsidRPr="00EC5A7B">
        <w:rPr>
          <w:rFonts w:asciiTheme="majorHAnsi" w:hAnsiTheme="majorHAnsi" w:cstheme="majorHAnsi"/>
          <w:sz w:val="24"/>
          <w:szCs w:val="24"/>
          <w:lang w:val="ru-MD" w:eastAsia="ru-RU"/>
        </w:rPr>
        <w:t>;</w:t>
      </w:r>
    </w:p>
    <w:p w14:paraId="50C077BB" w14:textId="55D30438" w:rsidR="00636097" w:rsidRPr="00EC5A7B" w:rsidRDefault="00AC3462" w:rsidP="00182F0D">
      <w:pPr>
        <w:pStyle w:val="NoSpacing"/>
        <w:numPr>
          <w:ilvl w:val="1"/>
          <w:numId w:val="1"/>
        </w:numPr>
        <w:spacing w:after="240"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B24F3E" w:rsidRPr="00EC5A7B">
        <w:rPr>
          <w:rFonts w:asciiTheme="majorHAnsi" w:hAnsiTheme="majorHAnsi" w:cstheme="majorHAnsi"/>
          <w:sz w:val="24"/>
          <w:szCs w:val="24"/>
          <w:lang w:val="ru-MD" w:eastAsia="ru-RU"/>
        </w:rPr>
        <w:t>17</w:t>
      </w:r>
      <w:r w:rsidR="0063609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кредитам</w:t>
      </w:r>
      <w:r w:rsidR="0063609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с уровнем выплат </w:t>
      </w:r>
      <w:r w:rsidR="00636097" w:rsidRPr="00EC5A7B">
        <w:rPr>
          <w:rFonts w:asciiTheme="majorHAnsi" w:hAnsiTheme="majorHAnsi" w:cstheme="majorHAnsi"/>
          <w:sz w:val="24"/>
          <w:szCs w:val="24"/>
          <w:lang w:val="ru-MD" w:eastAsia="ru-RU"/>
        </w:rPr>
        <w:t>0%</w:t>
      </w:r>
      <w:r w:rsidR="0051153B" w:rsidRPr="00EC5A7B">
        <w:rPr>
          <w:rFonts w:asciiTheme="majorHAnsi" w:hAnsiTheme="majorHAnsi" w:cstheme="majorHAnsi"/>
          <w:sz w:val="24"/>
          <w:szCs w:val="24"/>
          <w:lang w:val="ru-MD" w:eastAsia="ru-RU"/>
        </w:rPr>
        <w:t xml:space="preserve"> </w:t>
      </w:r>
      <w:r w:rsidR="00636097" w:rsidRPr="00EC5A7B">
        <w:rPr>
          <w:rFonts w:asciiTheme="majorHAnsi" w:hAnsiTheme="majorHAnsi" w:cstheme="majorHAnsi"/>
          <w:sz w:val="24"/>
          <w:szCs w:val="24"/>
          <w:lang w:val="ru-MD" w:eastAsia="ru-RU"/>
        </w:rPr>
        <w:t>-</w:t>
      </w:r>
      <w:r w:rsidR="0051153B" w:rsidRPr="00EC5A7B">
        <w:rPr>
          <w:rFonts w:asciiTheme="majorHAnsi" w:hAnsiTheme="majorHAnsi" w:cstheme="majorHAnsi"/>
          <w:sz w:val="24"/>
          <w:szCs w:val="24"/>
          <w:lang w:val="ru-MD" w:eastAsia="ru-RU"/>
        </w:rPr>
        <w:t xml:space="preserve"> 82,8% </w:t>
      </w:r>
      <w:r w:rsidRPr="00EC5A7B">
        <w:rPr>
          <w:rFonts w:asciiTheme="majorHAnsi" w:hAnsiTheme="majorHAnsi" w:cstheme="majorHAnsi"/>
          <w:sz w:val="24"/>
          <w:szCs w:val="24"/>
          <w:lang w:val="ru-MD" w:eastAsia="ru-RU"/>
        </w:rPr>
        <w:t xml:space="preserve">предельный срок снятия со счета истекает в </w:t>
      </w:r>
      <w:r w:rsidR="00805751" w:rsidRPr="00EC5A7B">
        <w:rPr>
          <w:rFonts w:asciiTheme="majorHAnsi" w:hAnsiTheme="majorHAnsi" w:cstheme="majorHAnsi"/>
          <w:sz w:val="24"/>
          <w:szCs w:val="24"/>
          <w:lang w:val="ru-MD" w:eastAsia="ru-RU"/>
        </w:rPr>
        <w:t>2021-2024</w:t>
      </w:r>
      <w:r w:rsidRPr="00EC5A7B">
        <w:rPr>
          <w:rFonts w:asciiTheme="majorHAnsi" w:hAnsiTheme="majorHAnsi" w:cstheme="majorHAnsi"/>
          <w:sz w:val="24"/>
          <w:szCs w:val="24"/>
          <w:lang w:val="ru-MD" w:eastAsia="ru-RU"/>
        </w:rPr>
        <w:t xml:space="preserve"> годах</w:t>
      </w:r>
      <w:r w:rsidR="00805751"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и</w:t>
      </w:r>
      <w:r w:rsidR="00805751"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сумма невыплаченных средств составляет </w:t>
      </w:r>
      <w:r w:rsidR="00805751" w:rsidRPr="00EC5A7B">
        <w:rPr>
          <w:rFonts w:asciiTheme="majorHAnsi" w:hAnsiTheme="majorHAnsi" w:cstheme="majorHAnsi"/>
          <w:sz w:val="24"/>
          <w:szCs w:val="24"/>
          <w:lang w:val="ru-MD" w:eastAsia="ru-RU"/>
        </w:rPr>
        <w:t xml:space="preserve">15,0 </w:t>
      </w:r>
      <w:r w:rsidRPr="00EC5A7B">
        <w:rPr>
          <w:rFonts w:asciiTheme="majorHAnsi" w:hAnsiTheme="majorHAnsi" w:cstheme="majorHAnsi"/>
          <w:sz w:val="24"/>
          <w:szCs w:val="24"/>
          <w:lang w:val="ru-MD" w:eastAsia="ru-RU"/>
        </w:rPr>
        <w:t>млн. дол. США</w:t>
      </w:r>
      <w:r w:rsidR="00805751" w:rsidRPr="00EC5A7B">
        <w:rPr>
          <w:rFonts w:asciiTheme="majorHAnsi" w:hAnsiTheme="majorHAnsi" w:cstheme="majorHAnsi"/>
          <w:sz w:val="24"/>
          <w:szCs w:val="24"/>
          <w:lang w:val="ru-MD" w:eastAsia="ru-RU"/>
        </w:rPr>
        <w:t xml:space="preserve">, </w:t>
      </w:r>
      <w:r w:rsidR="00B24F3E" w:rsidRPr="00EC5A7B">
        <w:rPr>
          <w:rFonts w:asciiTheme="majorHAnsi" w:hAnsiTheme="majorHAnsi" w:cstheme="majorHAnsi"/>
          <w:sz w:val="24"/>
          <w:szCs w:val="24"/>
          <w:lang w:val="ru-MD" w:eastAsia="ru-RU"/>
        </w:rPr>
        <w:t xml:space="preserve">607,89 </w:t>
      </w:r>
      <w:r w:rsidRPr="00EC5A7B">
        <w:rPr>
          <w:rFonts w:asciiTheme="majorHAnsi" w:hAnsiTheme="majorHAnsi" w:cstheme="majorHAnsi"/>
          <w:sz w:val="24"/>
          <w:szCs w:val="24"/>
          <w:lang w:val="ru-MD" w:eastAsia="ru-RU"/>
        </w:rPr>
        <w:t>млн. евро и</w:t>
      </w:r>
      <w:r w:rsidR="00B24F3E" w:rsidRPr="00EC5A7B">
        <w:rPr>
          <w:rFonts w:asciiTheme="majorHAnsi" w:hAnsiTheme="majorHAnsi" w:cstheme="majorHAnsi"/>
          <w:sz w:val="24"/>
          <w:szCs w:val="24"/>
          <w:lang w:val="ru-MD" w:eastAsia="ru-RU"/>
        </w:rPr>
        <w:t xml:space="preserve"> 71,61</w:t>
      </w:r>
      <w:r w:rsidR="00B956A8" w:rsidRPr="00EC5A7B">
        <w:rPr>
          <w:rFonts w:asciiTheme="majorHAnsi" w:hAnsiTheme="majorHAnsi" w:cstheme="majorHAnsi"/>
          <w:sz w:val="24"/>
          <w:szCs w:val="24"/>
          <w:lang w:val="ru-MD" w:eastAsia="ru-RU"/>
        </w:rPr>
        <w:t xml:space="preserve"> mil. DST.</w:t>
      </w:r>
    </w:p>
    <w:p w14:paraId="02BE189B" w14:textId="60D3BC0C" w:rsidR="00636097" w:rsidRPr="00EC5A7B" w:rsidRDefault="00AC3462" w:rsidP="00C00E9A">
      <w:pPr>
        <w:pStyle w:val="NoSpacing"/>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Выплата кредитов в аспекте уровня их освоения указывает на то, что из 32 кредитов, по которым регистрируются невыплаченные суммы</w:t>
      </w:r>
      <w:r w:rsidR="00636097" w:rsidRPr="00EC5A7B">
        <w:rPr>
          <w:rFonts w:asciiTheme="majorHAnsi" w:hAnsiTheme="majorHAnsi" w:cstheme="majorHAnsi"/>
          <w:sz w:val="24"/>
          <w:szCs w:val="24"/>
          <w:lang w:val="ru-MD" w:eastAsia="ru-RU"/>
        </w:rPr>
        <w:t>:</w:t>
      </w:r>
    </w:p>
    <w:p w14:paraId="51C2935A" w14:textId="563FDC90" w:rsidR="00636097" w:rsidRPr="00EC5A7B" w:rsidRDefault="00AA1830" w:rsidP="00182F0D">
      <w:pPr>
        <w:pStyle w:val="NoSpacing"/>
        <w:numPr>
          <w:ilvl w:val="0"/>
          <w:numId w:val="9"/>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по</w:t>
      </w:r>
      <w:r w:rsidR="00636097" w:rsidRPr="00EC5A7B">
        <w:rPr>
          <w:rFonts w:asciiTheme="majorHAnsi" w:hAnsiTheme="majorHAnsi" w:cstheme="majorHAnsi"/>
          <w:sz w:val="24"/>
          <w:szCs w:val="24"/>
          <w:lang w:val="ru-MD" w:eastAsia="ru-RU"/>
        </w:rPr>
        <w:t xml:space="preserve"> 3 </w:t>
      </w:r>
      <w:r w:rsidRPr="00EC5A7B">
        <w:rPr>
          <w:rFonts w:asciiTheme="majorHAnsi" w:hAnsiTheme="majorHAnsi" w:cstheme="majorHAnsi"/>
          <w:sz w:val="24"/>
          <w:szCs w:val="24"/>
          <w:lang w:val="ru-MD" w:eastAsia="ru-RU"/>
        </w:rPr>
        <w:t>законтрактованным кредитам вообще не снимались средства со счета</w:t>
      </w:r>
      <w:r w:rsidR="00636097" w:rsidRPr="00EC5A7B">
        <w:rPr>
          <w:rFonts w:asciiTheme="majorHAnsi" w:hAnsiTheme="majorHAnsi" w:cstheme="majorHAnsi"/>
          <w:sz w:val="24"/>
          <w:szCs w:val="24"/>
          <w:lang w:val="ru-MD" w:eastAsia="ru-RU"/>
        </w:rPr>
        <w:t>:</w:t>
      </w:r>
    </w:p>
    <w:p w14:paraId="309BC182" w14:textId="42EFBEA4" w:rsidR="00636097" w:rsidRPr="00EC5A7B" w:rsidRDefault="00AA1830" w:rsidP="00AA1830">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кредит, законтрактованный у ЕИБ в 2017 году для реализации проекта „Электрическое взаимоподключение RO-RM” на сумму 80,0 млн. евро, с предельным сроком снятия со счета 20.12.2014</w:t>
      </w:r>
      <w:r w:rsidR="00E85242" w:rsidRPr="00EC5A7B">
        <w:rPr>
          <w:rFonts w:asciiTheme="majorHAnsi" w:hAnsiTheme="majorHAnsi" w:cstheme="majorHAnsi"/>
          <w:sz w:val="24"/>
          <w:szCs w:val="24"/>
          <w:lang w:val="ru-MD" w:eastAsia="ru-RU"/>
        </w:rPr>
        <w:t>;</w:t>
      </w:r>
    </w:p>
    <w:p w14:paraId="625B7297" w14:textId="7ED789A1" w:rsidR="00E85242" w:rsidRPr="00EC5A7B" w:rsidRDefault="00AA1830" w:rsidP="00AA1830">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кредит, законтрактованный у ЕБРР в 2017 году для реализации проекта „Взаимоподключение электрических сетей между РМ и Румынией” на сумму 80,0 млн. евро, с предельным сроком снятия со счета 20.12.2021</w:t>
      </w:r>
      <w:r w:rsidR="00E85242" w:rsidRPr="00EC5A7B">
        <w:rPr>
          <w:rFonts w:asciiTheme="majorHAnsi" w:hAnsiTheme="majorHAnsi" w:cstheme="majorHAnsi"/>
          <w:sz w:val="24"/>
          <w:szCs w:val="24"/>
          <w:lang w:val="ru-MD" w:eastAsia="ru-RU"/>
        </w:rPr>
        <w:t>;</w:t>
      </w:r>
    </w:p>
    <w:p w14:paraId="6947E6F1" w14:textId="65CD729E" w:rsidR="00E85242" w:rsidRPr="00EC5A7B" w:rsidRDefault="00AA1830" w:rsidP="00AA1830">
      <w:pPr>
        <w:pStyle w:val="NoSpacing"/>
        <w:numPr>
          <w:ilvl w:val="0"/>
          <w:numId w:val="8"/>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 xml:space="preserve">кредит, законтрактованный у ЕБРР в 2016 году для реализации проекта </w:t>
      </w:r>
      <w:r w:rsidR="0047116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Модернизация налогово</w:t>
      </w:r>
      <w:r w:rsidR="0047116B" w:rsidRPr="00EC5A7B">
        <w:rPr>
          <w:rFonts w:asciiTheme="majorHAnsi" w:hAnsiTheme="majorHAnsi" w:cstheme="majorHAnsi"/>
          <w:sz w:val="24"/>
          <w:szCs w:val="24"/>
          <w:lang w:val="ru-MD" w:eastAsia="ru-RU"/>
        </w:rPr>
        <w:t>го</w:t>
      </w:r>
      <w:r w:rsidRPr="00EC5A7B">
        <w:rPr>
          <w:rFonts w:asciiTheme="majorHAnsi" w:hAnsiTheme="majorHAnsi" w:cstheme="majorHAnsi"/>
          <w:sz w:val="24"/>
          <w:szCs w:val="24"/>
          <w:lang w:val="ru-MD" w:eastAsia="ru-RU"/>
        </w:rPr>
        <w:t xml:space="preserve"> </w:t>
      </w:r>
      <w:r w:rsidR="0047116B" w:rsidRPr="00EC5A7B">
        <w:rPr>
          <w:rFonts w:asciiTheme="majorHAnsi" w:hAnsiTheme="majorHAnsi" w:cstheme="majorHAnsi"/>
          <w:sz w:val="24"/>
          <w:szCs w:val="24"/>
          <w:lang w:val="ru-MD" w:eastAsia="ru-RU"/>
        </w:rPr>
        <w:t>управления”</w:t>
      </w:r>
      <w:r w:rsidRPr="00EC5A7B">
        <w:rPr>
          <w:rFonts w:asciiTheme="majorHAnsi" w:hAnsiTheme="majorHAnsi" w:cstheme="majorHAnsi"/>
          <w:sz w:val="24"/>
          <w:szCs w:val="24"/>
          <w:lang w:val="ru-MD" w:eastAsia="ru-RU"/>
        </w:rPr>
        <w:t xml:space="preserve"> на сумму 11,1 млн. евро, с</w:t>
      </w:r>
      <w:r w:rsidR="0047116B" w:rsidRPr="00EC5A7B">
        <w:rPr>
          <w:rFonts w:asciiTheme="majorHAnsi" w:hAnsiTheme="majorHAnsi" w:cstheme="majorHAnsi"/>
          <w:sz w:val="24"/>
          <w:szCs w:val="24"/>
          <w:lang w:val="ru-MD" w:eastAsia="ru-RU"/>
        </w:rPr>
        <w:t xml:space="preserve"> предельным сроком снятия со счета</w:t>
      </w:r>
      <w:r w:rsidRPr="00EC5A7B">
        <w:rPr>
          <w:rFonts w:asciiTheme="majorHAnsi" w:hAnsiTheme="majorHAnsi" w:cstheme="majorHAnsi"/>
          <w:sz w:val="24"/>
          <w:szCs w:val="24"/>
          <w:lang w:val="ru-MD" w:eastAsia="ru-RU"/>
        </w:rPr>
        <w:t xml:space="preserve"> 30.11.2023</w:t>
      </w:r>
      <w:r w:rsidR="0051153B" w:rsidRPr="00EC5A7B">
        <w:rPr>
          <w:rFonts w:asciiTheme="majorHAnsi" w:hAnsiTheme="majorHAnsi" w:cstheme="majorHAnsi"/>
          <w:sz w:val="24"/>
          <w:szCs w:val="24"/>
          <w:lang w:val="ru-MD" w:eastAsia="ru-RU"/>
        </w:rPr>
        <w:t>;</w:t>
      </w:r>
    </w:p>
    <w:p w14:paraId="06738E76" w14:textId="450D6D60" w:rsidR="00E85242" w:rsidRPr="00EC5A7B" w:rsidRDefault="0047116B" w:rsidP="00182F0D">
      <w:pPr>
        <w:pStyle w:val="NoSpacing"/>
        <w:numPr>
          <w:ilvl w:val="0"/>
          <w:numId w:val="9"/>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E85242" w:rsidRPr="00EC5A7B">
        <w:rPr>
          <w:rFonts w:asciiTheme="majorHAnsi" w:hAnsiTheme="majorHAnsi" w:cstheme="majorHAnsi"/>
          <w:sz w:val="24"/>
          <w:szCs w:val="24"/>
          <w:lang w:val="ru-MD" w:eastAsia="ru-RU"/>
        </w:rPr>
        <w:t xml:space="preserve">11 </w:t>
      </w:r>
      <w:r w:rsidRPr="00EC5A7B">
        <w:rPr>
          <w:rFonts w:asciiTheme="majorHAnsi" w:hAnsiTheme="majorHAnsi" w:cstheme="majorHAnsi"/>
          <w:sz w:val="24"/>
          <w:szCs w:val="24"/>
          <w:lang w:val="ru-MD" w:eastAsia="ru-RU"/>
        </w:rPr>
        <w:t>кредитам уровень выплаты составляет менее</w:t>
      </w:r>
      <w:r w:rsidR="00E85242" w:rsidRPr="00EC5A7B">
        <w:rPr>
          <w:rFonts w:asciiTheme="majorHAnsi" w:hAnsiTheme="majorHAnsi" w:cstheme="majorHAnsi"/>
          <w:sz w:val="24"/>
          <w:szCs w:val="24"/>
          <w:lang w:val="ru-MD" w:eastAsia="ru-RU"/>
        </w:rPr>
        <w:t xml:space="preserve"> 15%;</w:t>
      </w:r>
    </w:p>
    <w:p w14:paraId="1A2CEF5B" w14:textId="03ABD444" w:rsidR="00E85242" w:rsidRPr="00EC5A7B" w:rsidRDefault="0047116B" w:rsidP="00182F0D">
      <w:pPr>
        <w:pStyle w:val="NoSpacing"/>
        <w:numPr>
          <w:ilvl w:val="0"/>
          <w:numId w:val="9"/>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E85242" w:rsidRPr="00EC5A7B">
        <w:rPr>
          <w:rFonts w:asciiTheme="majorHAnsi" w:hAnsiTheme="majorHAnsi" w:cstheme="majorHAnsi"/>
          <w:sz w:val="24"/>
          <w:szCs w:val="24"/>
          <w:lang w:val="ru-MD" w:eastAsia="ru-RU"/>
        </w:rPr>
        <w:t xml:space="preserve">2 </w:t>
      </w:r>
      <w:r w:rsidRPr="00EC5A7B">
        <w:rPr>
          <w:rFonts w:asciiTheme="majorHAnsi" w:hAnsiTheme="majorHAnsi" w:cstheme="majorHAnsi"/>
          <w:sz w:val="24"/>
          <w:szCs w:val="24"/>
          <w:lang w:val="ru-MD" w:eastAsia="ru-RU"/>
        </w:rPr>
        <w:t xml:space="preserve">кредитам уровень выплаты составляет </w:t>
      </w:r>
      <w:r w:rsidR="00E85242" w:rsidRPr="00EC5A7B">
        <w:rPr>
          <w:rFonts w:asciiTheme="majorHAnsi" w:hAnsiTheme="majorHAnsi" w:cstheme="majorHAnsi"/>
          <w:sz w:val="24"/>
          <w:szCs w:val="24"/>
          <w:lang w:val="ru-MD" w:eastAsia="ru-RU"/>
        </w:rPr>
        <w:t>15%-30%;</w:t>
      </w:r>
    </w:p>
    <w:p w14:paraId="48E72929" w14:textId="58BBAC3A" w:rsidR="00E85242" w:rsidRPr="00EC5A7B" w:rsidRDefault="0047116B" w:rsidP="00182F0D">
      <w:pPr>
        <w:pStyle w:val="NoSpacing"/>
        <w:numPr>
          <w:ilvl w:val="0"/>
          <w:numId w:val="9"/>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E85242" w:rsidRPr="00EC5A7B">
        <w:rPr>
          <w:rFonts w:asciiTheme="majorHAnsi" w:hAnsiTheme="majorHAnsi" w:cstheme="majorHAnsi"/>
          <w:sz w:val="24"/>
          <w:szCs w:val="24"/>
          <w:lang w:val="ru-MD" w:eastAsia="ru-RU"/>
        </w:rPr>
        <w:t xml:space="preserve">5 </w:t>
      </w:r>
      <w:r w:rsidRPr="00EC5A7B">
        <w:rPr>
          <w:rFonts w:asciiTheme="majorHAnsi" w:hAnsiTheme="majorHAnsi" w:cstheme="majorHAnsi"/>
          <w:sz w:val="24"/>
          <w:szCs w:val="24"/>
          <w:lang w:val="ru-MD" w:eastAsia="ru-RU"/>
        </w:rPr>
        <w:t xml:space="preserve">кредитам уровень выплаты составляет </w:t>
      </w:r>
      <w:r w:rsidR="00E85242" w:rsidRPr="00EC5A7B">
        <w:rPr>
          <w:rFonts w:asciiTheme="majorHAnsi" w:hAnsiTheme="majorHAnsi" w:cstheme="majorHAnsi"/>
          <w:sz w:val="24"/>
          <w:szCs w:val="24"/>
          <w:lang w:val="ru-MD" w:eastAsia="ru-RU"/>
        </w:rPr>
        <w:t>30%-60%;</w:t>
      </w:r>
    </w:p>
    <w:p w14:paraId="6722DF16" w14:textId="6470F61B" w:rsidR="00E85242" w:rsidRPr="00EC5A7B" w:rsidRDefault="0047116B" w:rsidP="00182F0D">
      <w:pPr>
        <w:pStyle w:val="NoSpacing"/>
        <w:numPr>
          <w:ilvl w:val="0"/>
          <w:numId w:val="9"/>
        </w:numPr>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E85242" w:rsidRPr="00EC5A7B">
        <w:rPr>
          <w:rFonts w:asciiTheme="majorHAnsi" w:hAnsiTheme="majorHAnsi" w:cstheme="majorHAnsi"/>
          <w:sz w:val="24"/>
          <w:szCs w:val="24"/>
          <w:lang w:val="ru-MD" w:eastAsia="ru-RU"/>
        </w:rPr>
        <w:t xml:space="preserve">5 </w:t>
      </w:r>
      <w:r w:rsidRPr="00EC5A7B">
        <w:rPr>
          <w:rFonts w:asciiTheme="majorHAnsi" w:hAnsiTheme="majorHAnsi" w:cstheme="majorHAnsi"/>
          <w:sz w:val="24"/>
          <w:szCs w:val="24"/>
          <w:lang w:val="ru-MD" w:eastAsia="ru-RU"/>
        </w:rPr>
        <w:t xml:space="preserve">кредитам уровень выплаты составляет </w:t>
      </w:r>
      <w:r w:rsidR="00E85242" w:rsidRPr="00EC5A7B">
        <w:rPr>
          <w:rFonts w:asciiTheme="majorHAnsi" w:hAnsiTheme="majorHAnsi" w:cstheme="majorHAnsi"/>
          <w:sz w:val="24"/>
          <w:szCs w:val="24"/>
          <w:lang w:val="ru-MD" w:eastAsia="ru-RU"/>
        </w:rPr>
        <w:t>60%-75%;</w:t>
      </w:r>
    </w:p>
    <w:p w14:paraId="3FD53CFD" w14:textId="3242FBC5" w:rsidR="00E85242" w:rsidRPr="00EC5A7B" w:rsidRDefault="0047116B" w:rsidP="00182F0D">
      <w:pPr>
        <w:pStyle w:val="NoSpacing"/>
        <w:numPr>
          <w:ilvl w:val="0"/>
          <w:numId w:val="9"/>
        </w:numPr>
        <w:spacing w:after="240"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w:t>
      </w:r>
      <w:r w:rsidR="00E85242" w:rsidRPr="00EC5A7B">
        <w:rPr>
          <w:rFonts w:asciiTheme="majorHAnsi" w:hAnsiTheme="majorHAnsi" w:cstheme="majorHAnsi"/>
          <w:sz w:val="24"/>
          <w:szCs w:val="24"/>
          <w:lang w:val="ru-MD" w:eastAsia="ru-RU"/>
        </w:rPr>
        <w:t xml:space="preserve">6 </w:t>
      </w:r>
      <w:r w:rsidRPr="00EC5A7B">
        <w:rPr>
          <w:rFonts w:asciiTheme="majorHAnsi" w:hAnsiTheme="majorHAnsi" w:cstheme="majorHAnsi"/>
          <w:sz w:val="24"/>
          <w:szCs w:val="24"/>
          <w:lang w:val="ru-MD" w:eastAsia="ru-RU"/>
        </w:rPr>
        <w:t>кредитам уровень выплаты составляет более</w:t>
      </w:r>
      <w:r w:rsidR="00E85242" w:rsidRPr="00EC5A7B">
        <w:rPr>
          <w:rFonts w:asciiTheme="majorHAnsi" w:hAnsiTheme="majorHAnsi" w:cstheme="majorHAnsi"/>
          <w:sz w:val="24"/>
          <w:szCs w:val="24"/>
          <w:lang w:val="ru-MD" w:eastAsia="ru-RU"/>
        </w:rPr>
        <w:t xml:space="preserve"> 75%.</w:t>
      </w:r>
    </w:p>
    <w:p w14:paraId="72918242" w14:textId="16595BCC" w:rsidR="00E85242" w:rsidRPr="00EC5A7B" w:rsidRDefault="007455C8"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Таким образом, отмечается</w:t>
      </w:r>
      <w:r w:rsidRPr="00EC5A7B">
        <w:rPr>
          <w:rFonts w:asciiTheme="majorHAnsi" w:hAnsiTheme="majorHAnsi"/>
          <w:sz w:val="24"/>
          <w:szCs w:val="24"/>
          <w:lang w:val="ru-MD"/>
        </w:rPr>
        <w:t xml:space="preserve"> </w:t>
      </w:r>
      <w:r w:rsidRPr="00EC5A7B">
        <w:rPr>
          <w:rFonts w:asciiTheme="majorHAnsi" w:hAnsiTheme="majorHAnsi" w:cstheme="majorHAnsi"/>
          <w:sz w:val="24"/>
          <w:szCs w:val="24"/>
          <w:lang w:val="ru-MD"/>
        </w:rPr>
        <w:t xml:space="preserve">несоблюдение учреждениями - </w:t>
      </w:r>
      <w:r w:rsidRPr="00EC5A7B">
        <w:rPr>
          <w:rFonts w:asciiTheme="majorHAnsi" w:hAnsiTheme="majorHAnsi" w:cstheme="majorHAnsi"/>
          <w:bCs/>
          <w:sz w:val="24"/>
          <w:szCs w:val="24"/>
          <w:lang w:val="ru-MD" w:eastAsia="ru-RU"/>
        </w:rPr>
        <w:t>бенефициар</w:t>
      </w:r>
      <w:r w:rsidRPr="00EC5A7B">
        <w:rPr>
          <w:rFonts w:asciiTheme="majorHAnsi" w:hAnsiTheme="majorHAnsi" w:cstheme="majorHAnsi"/>
          <w:sz w:val="24"/>
          <w:szCs w:val="24"/>
          <w:lang w:val="ru-MD"/>
        </w:rPr>
        <w:t xml:space="preserve">ами срока </w:t>
      </w:r>
      <w:r w:rsidRPr="00EC5A7B">
        <w:rPr>
          <w:rFonts w:asciiTheme="majorHAnsi" w:hAnsiTheme="majorHAnsi" w:cstheme="majorHAnsi"/>
          <w:bCs/>
          <w:iCs/>
          <w:sz w:val="24"/>
          <w:szCs w:val="24"/>
          <w:lang w:val="ru-MD" w:eastAsia="ru-RU"/>
        </w:rPr>
        <w:t>внедрени</w:t>
      </w:r>
      <w:r w:rsidRPr="00EC5A7B">
        <w:rPr>
          <w:rFonts w:asciiTheme="majorHAnsi" w:hAnsiTheme="majorHAnsi" w:cstheme="majorHAnsi"/>
          <w:sz w:val="24"/>
          <w:szCs w:val="24"/>
          <w:lang w:val="ru-MD"/>
        </w:rPr>
        <w:t>я проектов, основной причиной было невыполнениев срок предварительных условий для осуществления выплаты, предусмотренных в кредитных договорах</w:t>
      </w:r>
      <w:r w:rsidR="008E3D24" w:rsidRPr="00EC5A7B">
        <w:rPr>
          <w:rFonts w:asciiTheme="majorHAnsi" w:hAnsiTheme="majorHAnsi" w:cstheme="majorHAnsi"/>
          <w:sz w:val="24"/>
          <w:szCs w:val="24"/>
          <w:lang w:val="ru-MD"/>
        </w:rPr>
        <w:t>, реструктуризация проектов или изменение их компонентов, продолжительные процессы закупок, нерациональное планирование времени выполнения работ или оказания услуг, медленное выполнение работ местными подрядчиками и т. д</w:t>
      </w:r>
      <w:r w:rsidRPr="00EC5A7B">
        <w:rPr>
          <w:rFonts w:asciiTheme="majorHAnsi" w:hAnsiTheme="majorHAnsi" w:cstheme="majorHAnsi"/>
          <w:sz w:val="24"/>
          <w:szCs w:val="24"/>
          <w:lang w:val="ru-MD"/>
        </w:rPr>
        <w:t>.</w:t>
      </w:r>
      <w:r w:rsidR="008E3D24"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 xml:space="preserve"> </w:t>
      </w:r>
      <w:r w:rsidR="00B274FE" w:rsidRPr="00EC5A7B">
        <w:rPr>
          <w:rFonts w:asciiTheme="majorHAnsi" w:hAnsiTheme="majorHAnsi" w:cstheme="majorHAnsi"/>
          <w:sz w:val="24"/>
          <w:szCs w:val="24"/>
          <w:lang w:val="ru-MD" w:eastAsia="ru-RU"/>
        </w:rPr>
        <w:t xml:space="preserve"> </w:t>
      </w:r>
    </w:p>
    <w:p w14:paraId="533F21B3" w14:textId="5F36A4AC" w:rsidR="00114A62" w:rsidRPr="00EC5A7B" w:rsidRDefault="006531D9" w:rsidP="00E85242">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rPr>
        <w:t xml:space="preserve">Также, проверки аудита показывают, что выплаты некоторых кредитов производились с опозданием, а оплата комиссионных, предусмотренных в кредитных соглашениях, осуществляется из контрактованной и/или невыплаченной суммы кредита, в результате были генерированы дополнительные расходы бюджета. В период </w:t>
      </w:r>
      <w:r w:rsidRPr="00EC5A7B">
        <w:rPr>
          <w:rFonts w:asciiTheme="majorHAnsi" w:hAnsiTheme="majorHAnsi"/>
          <w:sz w:val="24"/>
          <w:shd w:val="clear" w:color="auto" w:fill="FFFFFF"/>
          <w:lang w:val="ru-MD"/>
        </w:rPr>
        <w:t xml:space="preserve">2010-2019 годов по указанным кредитам </w:t>
      </w:r>
      <w:r w:rsidRPr="00EC5A7B">
        <w:rPr>
          <w:rFonts w:asciiTheme="majorHAnsi" w:hAnsiTheme="majorHAnsi" w:cstheme="majorHAnsi"/>
          <w:sz w:val="24"/>
          <w:szCs w:val="24"/>
          <w:lang w:val="ru-MD" w:eastAsia="ru-RU"/>
        </w:rPr>
        <w:t xml:space="preserve">(32 кредита) </w:t>
      </w:r>
      <w:r w:rsidRPr="00EC5A7B">
        <w:rPr>
          <w:rFonts w:asciiTheme="majorHAnsi" w:hAnsiTheme="majorHAnsi" w:cstheme="majorHAnsi"/>
          <w:sz w:val="24"/>
          <w:szCs w:val="24"/>
          <w:shd w:val="clear" w:color="auto" w:fill="FFFFFF"/>
          <w:lang w:val="ru-MD"/>
        </w:rPr>
        <w:t xml:space="preserve">были оплачены </w:t>
      </w:r>
      <w:r w:rsidRPr="00EC5A7B">
        <w:rPr>
          <w:rFonts w:asciiTheme="majorHAnsi" w:hAnsiTheme="majorHAnsi" w:cstheme="majorHAnsi"/>
          <w:sz w:val="24"/>
          <w:szCs w:val="24"/>
          <w:lang w:val="ru-MD"/>
        </w:rPr>
        <w:t xml:space="preserve">комиссионные </w:t>
      </w:r>
      <w:r w:rsidRPr="00EC5A7B">
        <w:rPr>
          <w:rFonts w:asciiTheme="majorHAnsi" w:hAnsiTheme="majorHAnsi"/>
          <w:bCs/>
          <w:sz w:val="24"/>
          <w:szCs w:val="24"/>
          <w:lang w:val="ru-MD"/>
        </w:rPr>
        <w:t>на общую сумму</w:t>
      </w:r>
      <w:r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eastAsia="ru-RU"/>
        </w:rPr>
        <w:t xml:space="preserve">13,15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 xml:space="preserve">долл. США из которых в </w:t>
      </w:r>
      <w:r w:rsidRPr="00EC5A7B">
        <w:rPr>
          <w:rFonts w:asciiTheme="majorHAnsi" w:hAnsiTheme="majorHAnsi"/>
          <w:sz w:val="24"/>
          <w:shd w:val="clear" w:color="auto" w:fill="FFFFFF"/>
          <w:lang w:val="ru-MD"/>
        </w:rPr>
        <w:t xml:space="preserve">2019 году – </w:t>
      </w:r>
      <w:r w:rsidRPr="00EC5A7B">
        <w:rPr>
          <w:rFonts w:asciiTheme="majorHAnsi" w:hAnsiTheme="majorHAnsi" w:cstheme="majorHAnsi"/>
          <w:sz w:val="24"/>
          <w:szCs w:val="24"/>
          <w:lang w:val="ru-MD" w:eastAsia="ru-RU"/>
        </w:rPr>
        <w:t xml:space="preserve">3,42 </w:t>
      </w:r>
      <w:r w:rsidRPr="00EC5A7B">
        <w:rPr>
          <w:rFonts w:asciiTheme="majorHAnsi" w:hAnsiTheme="majorHAnsi" w:cstheme="majorHAnsi"/>
          <w:sz w:val="24"/>
          <w:szCs w:val="24"/>
          <w:lang w:val="ru-MD" w:eastAsia="ro-MD"/>
        </w:rPr>
        <w:t xml:space="preserve">млн. </w:t>
      </w:r>
      <w:r w:rsidRPr="00EC5A7B">
        <w:rPr>
          <w:rFonts w:asciiTheme="majorHAnsi" w:hAnsiTheme="majorHAnsi" w:cstheme="majorHAnsi"/>
          <w:color w:val="000000"/>
          <w:sz w:val="24"/>
          <w:szCs w:val="24"/>
          <w:lang w:val="ru-MD" w:eastAsia="ro-MD"/>
        </w:rPr>
        <w:t>долл. США</w:t>
      </w:r>
      <w:r w:rsidR="005B2DB1" w:rsidRPr="00EC5A7B">
        <w:rPr>
          <w:rFonts w:asciiTheme="majorHAnsi" w:hAnsiTheme="majorHAnsi" w:cstheme="majorHAnsi"/>
          <w:sz w:val="24"/>
          <w:szCs w:val="24"/>
          <w:lang w:val="ru-MD" w:eastAsia="ru-RU"/>
        </w:rPr>
        <w:t>.</w:t>
      </w:r>
      <w:r w:rsidR="00B274FE" w:rsidRPr="00EC5A7B">
        <w:rPr>
          <w:rFonts w:asciiTheme="majorHAnsi" w:hAnsiTheme="majorHAnsi" w:cstheme="majorHAnsi"/>
          <w:sz w:val="24"/>
          <w:szCs w:val="24"/>
          <w:lang w:val="ru-MD" w:eastAsia="ru-RU"/>
        </w:rPr>
        <w:t xml:space="preserve"> </w:t>
      </w:r>
      <w:r w:rsidR="006635F3" w:rsidRPr="00EC5A7B">
        <w:rPr>
          <w:rFonts w:asciiTheme="majorHAnsi" w:hAnsiTheme="majorHAnsi" w:cstheme="majorHAnsi"/>
          <w:i/>
          <w:sz w:val="24"/>
          <w:szCs w:val="24"/>
          <w:lang w:val="ru-MD" w:eastAsia="ru-RU"/>
        </w:rPr>
        <w:t xml:space="preserve">Подробная информация о невыплаченных суммах за счет внешних государственных займов, оплаченных комиссий и причинах невыплаты средств  (представленная по запросу </w:t>
      </w:r>
      <w:r w:rsidR="006635F3" w:rsidRPr="00EC5A7B">
        <w:rPr>
          <w:rFonts w:asciiTheme="majorHAnsi" w:hAnsiTheme="majorHAnsi" w:cstheme="majorHAnsi"/>
          <w:i/>
          <w:sz w:val="24"/>
          <w:szCs w:val="24"/>
          <w:lang w:val="ru-MD" w:eastAsia="ru-RU"/>
        </w:rPr>
        <w:lastRenderedPageBreak/>
        <w:t>аудиторской группы ответственными лицами МФ) представлена в Приложении №8 к настоящему Отчету аудита.</w:t>
      </w:r>
    </w:p>
    <w:p w14:paraId="37FCB675" w14:textId="3C2B55B1" w:rsidR="00C4116A" w:rsidRPr="00EC5A7B" w:rsidRDefault="006635F3"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 этом контексте аудит выделяет 2 кредита: (i) кредит, зак</w:t>
      </w:r>
      <w:r w:rsidR="00E5494F" w:rsidRPr="00EC5A7B">
        <w:rPr>
          <w:rFonts w:asciiTheme="majorHAnsi" w:hAnsiTheme="majorHAnsi" w:cstheme="majorHAnsi"/>
          <w:sz w:val="24"/>
          <w:szCs w:val="24"/>
          <w:lang w:val="ru-MD" w:eastAsia="ru-RU"/>
        </w:rPr>
        <w:t>онтрактова</w:t>
      </w:r>
      <w:r w:rsidRPr="00EC5A7B">
        <w:rPr>
          <w:rFonts w:asciiTheme="majorHAnsi" w:hAnsiTheme="majorHAnsi" w:cstheme="majorHAnsi"/>
          <w:sz w:val="24"/>
          <w:szCs w:val="24"/>
          <w:lang w:val="ru-MD" w:eastAsia="ru-RU"/>
        </w:rPr>
        <w:t xml:space="preserve">нный </w:t>
      </w:r>
      <w:r w:rsidR="00E5494F" w:rsidRPr="00EC5A7B">
        <w:rPr>
          <w:rFonts w:asciiTheme="majorHAnsi" w:hAnsiTheme="majorHAnsi" w:cstheme="majorHAnsi"/>
          <w:sz w:val="24"/>
          <w:szCs w:val="24"/>
          <w:lang w:val="ru-MD" w:eastAsia="ru-RU"/>
        </w:rPr>
        <w:t xml:space="preserve">в 2017 году у </w:t>
      </w:r>
      <w:r w:rsidRPr="00EC5A7B">
        <w:rPr>
          <w:rFonts w:asciiTheme="majorHAnsi" w:hAnsiTheme="majorHAnsi" w:cstheme="majorHAnsi"/>
          <w:sz w:val="24"/>
          <w:szCs w:val="24"/>
          <w:lang w:val="ru-MD" w:eastAsia="ru-RU"/>
        </w:rPr>
        <w:t xml:space="preserve">ЕБРР для реализации проекта </w:t>
      </w:r>
      <w:r w:rsidR="00E5494F" w:rsidRPr="00EC5A7B">
        <w:rPr>
          <w:rFonts w:asciiTheme="majorHAnsi" w:hAnsiTheme="majorHAnsi" w:cstheme="majorHAnsi"/>
          <w:sz w:val="24"/>
          <w:szCs w:val="24"/>
          <w:lang w:val="ru-MD" w:eastAsia="ru-RU"/>
        </w:rPr>
        <w:t>„В</w:t>
      </w:r>
      <w:r w:rsidRPr="00EC5A7B">
        <w:rPr>
          <w:rFonts w:asciiTheme="majorHAnsi" w:hAnsiTheme="majorHAnsi" w:cstheme="majorHAnsi"/>
          <w:sz w:val="24"/>
          <w:szCs w:val="24"/>
          <w:lang w:val="ru-MD" w:eastAsia="ru-RU"/>
        </w:rPr>
        <w:t>заимоподключение электр</w:t>
      </w:r>
      <w:r w:rsidR="00E5494F" w:rsidRPr="00EC5A7B">
        <w:rPr>
          <w:rFonts w:asciiTheme="majorHAnsi" w:hAnsiTheme="majorHAnsi" w:cstheme="majorHAnsi"/>
          <w:sz w:val="24"/>
          <w:szCs w:val="24"/>
          <w:lang w:val="ru-MD" w:eastAsia="ru-RU"/>
        </w:rPr>
        <w:t xml:space="preserve">ический </w:t>
      </w:r>
      <w:r w:rsidRPr="00EC5A7B">
        <w:rPr>
          <w:rFonts w:asciiTheme="majorHAnsi" w:hAnsiTheme="majorHAnsi" w:cstheme="majorHAnsi"/>
          <w:sz w:val="24"/>
          <w:szCs w:val="24"/>
          <w:lang w:val="ru-MD" w:eastAsia="ru-RU"/>
        </w:rPr>
        <w:t>сетей между РМ и Румынией</w:t>
      </w:r>
      <w:r w:rsidR="00E5494F"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на сумму 80,0 млн. евро, </w:t>
      </w:r>
      <w:r w:rsidR="00E5494F" w:rsidRPr="00EC5A7B">
        <w:rPr>
          <w:rFonts w:asciiTheme="majorHAnsi" w:hAnsiTheme="majorHAnsi" w:cstheme="majorHAnsi"/>
          <w:sz w:val="24"/>
          <w:szCs w:val="24"/>
          <w:lang w:val="ru-MD" w:eastAsia="ru-RU"/>
        </w:rPr>
        <w:t xml:space="preserve">из </w:t>
      </w:r>
      <w:r w:rsidRPr="00EC5A7B">
        <w:rPr>
          <w:rFonts w:asciiTheme="majorHAnsi" w:hAnsiTheme="majorHAnsi" w:cstheme="majorHAnsi"/>
          <w:sz w:val="24"/>
          <w:szCs w:val="24"/>
          <w:lang w:val="ru-MD" w:eastAsia="ru-RU"/>
        </w:rPr>
        <w:t xml:space="preserve">которого по состоянию на 31.12.2019 не </w:t>
      </w:r>
      <w:r w:rsidR="00E5494F" w:rsidRPr="00EC5A7B">
        <w:rPr>
          <w:rFonts w:asciiTheme="majorHAnsi" w:hAnsiTheme="majorHAnsi" w:cstheme="majorHAnsi"/>
          <w:sz w:val="24"/>
          <w:szCs w:val="24"/>
          <w:lang w:val="ru-MD" w:eastAsia="ru-RU"/>
        </w:rPr>
        <w:t>осуществлялись</w:t>
      </w:r>
      <w:r w:rsidRPr="00EC5A7B">
        <w:rPr>
          <w:rFonts w:asciiTheme="majorHAnsi" w:hAnsiTheme="majorHAnsi" w:cstheme="majorHAnsi"/>
          <w:sz w:val="24"/>
          <w:szCs w:val="24"/>
          <w:lang w:val="ru-MD" w:eastAsia="ru-RU"/>
        </w:rPr>
        <w:t xml:space="preserve"> выплат</w:t>
      </w:r>
      <w:r w:rsidR="00E5494F" w:rsidRPr="00EC5A7B">
        <w:rPr>
          <w:rFonts w:asciiTheme="majorHAnsi" w:hAnsiTheme="majorHAnsi" w:cstheme="majorHAnsi"/>
          <w:sz w:val="24"/>
          <w:szCs w:val="24"/>
          <w:lang w:val="ru-MD" w:eastAsia="ru-RU"/>
        </w:rPr>
        <w:t>ы</w:t>
      </w:r>
      <w:r w:rsidRPr="00EC5A7B">
        <w:rPr>
          <w:rFonts w:asciiTheme="majorHAnsi" w:hAnsiTheme="majorHAnsi" w:cstheme="majorHAnsi"/>
          <w:sz w:val="24"/>
          <w:szCs w:val="24"/>
          <w:lang w:val="ru-MD" w:eastAsia="ru-RU"/>
        </w:rPr>
        <w:t>, но сумма комиссий, уплаченных кредитору, составила 1,66 млн. дол. США</w:t>
      </w:r>
      <w:r w:rsidR="00E5494F" w:rsidRPr="00EC5A7B">
        <w:rPr>
          <w:rStyle w:val="FootnoteReference"/>
          <w:rFonts w:asciiTheme="majorHAnsi" w:hAnsiTheme="majorHAnsi" w:cstheme="majorHAnsi"/>
          <w:sz w:val="24"/>
          <w:szCs w:val="24"/>
          <w:lang w:val="ru-MD" w:eastAsia="ru-RU"/>
        </w:rPr>
        <w:footnoteReference w:id="8"/>
      </w:r>
      <w:r w:rsidRPr="00EC5A7B">
        <w:rPr>
          <w:rFonts w:asciiTheme="majorHAnsi" w:hAnsiTheme="majorHAnsi" w:cstheme="majorHAnsi"/>
          <w:sz w:val="24"/>
          <w:szCs w:val="24"/>
          <w:lang w:val="ru-MD" w:eastAsia="ru-RU"/>
        </w:rPr>
        <w:t xml:space="preserve">; (ii)кредит, </w:t>
      </w:r>
      <w:r w:rsidR="00E5494F" w:rsidRPr="00EC5A7B">
        <w:rPr>
          <w:rFonts w:asciiTheme="majorHAnsi" w:hAnsiTheme="majorHAnsi" w:cstheme="majorHAnsi"/>
          <w:sz w:val="24"/>
          <w:szCs w:val="24"/>
          <w:lang w:val="ru-MD" w:eastAsia="ru-RU"/>
        </w:rPr>
        <w:t>законтрактованный в 2016 году у</w:t>
      </w:r>
      <w:r w:rsidRPr="00EC5A7B">
        <w:rPr>
          <w:rFonts w:asciiTheme="majorHAnsi" w:hAnsiTheme="majorHAnsi" w:cstheme="majorHAnsi"/>
          <w:sz w:val="24"/>
          <w:szCs w:val="24"/>
          <w:lang w:val="ru-MD" w:eastAsia="ru-RU"/>
        </w:rPr>
        <w:t xml:space="preserve"> </w:t>
      </w:r>
      <w:r w:rsidR="00E5494F" w:rsidRPr="00EC5A7B">
        <w:rPr>
          <w:rFonts w:asciiTheme="majorHAnsi" w:hAnsiTheme="majorHAnsi" w:cstheme="majorHAnsi"/>
          <w:sz w:val="24"/>
          <w:szCs w:val="24"/>
          <w:lang w:val="ru-MD" w:eastAsia="ru-RU"/>
        </w:rPr>
        <w:t>ЕБРР</w:t>
      </w:r>
      <w:r w:rsidRPr="00EC5A7B">
        <w:rPr>
          <w:rFonts w:asciiTheme="majorHAnsi" w:hAnsiTheme="majorHAnsi" w:cstheme="majorHAnsi"/>
          <w:sz w:val="24"/>
          <w:szCs w:val="24"/>
          <w:lang w:val="ru-MD" w:eastAsia="ru-RU"/>
        </w:rPr>
        <w:t xml:space="preserve"> для реализации проекта </w:t>
      </w:r>
      <w:r w:rsidR="00601293"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Модернизация налогового администрирования</w:t>
      </w:r>
      <w:r w:rsidR="00601293"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на сумму 11,1 млн. евро, </w:t>
      </w:r>
      <w:r w:rsidR="00601293" w:rsidRPr="00EC5A7B">
        <w:rPr>
          <w:rFonts w:asciiTheme="majorHAnsi" w:hAnsiTheme="majorHAnsi" w:cstheme="majorHAnsi"/>
          <w:sz w:val="24"/>
          <w:szCs w:val="24"/>
          <w:lang w:val="ru-MD" w:eastAsia="ru-RU"/>
        </w:rPr>
        <w:t>из</w:t>
      </w:r>
      <w:r w:rsidRPr="00EC5A7B">
        <w:rPr>
          <w:rFonts w:asciiTheme="majorHAnsi" w:hAnsiTheme="majorHAnsi" w:cstheme="majorHAnsi"/>
          <w:sz w:val="24"/>
          <w:szCs w:val="24"/>
          <w:lang w:val="ru-MD" w:eastAsia="ru-RU"/>
        </w:rPr>
        <w:t xml:space="preserve"> которого также </w:t>
      </w:r>
      <w:r w:rsidR="00601293" w:rsidRPr="00EC5A7B">
        <w:rPr>
          <w:rFonts w:asciiTheme="majorHAnsi" w:hAnsiTheme="majorHAnsi" w:cstheme="majorHAnsi"/>
          <w:sz w:val="24"/>
          <w:szCs w:val="24"/>
          <w:lang w:val="ru-MD" w:eastAsia="ru-RU"/>
        </w:rPr>
        <w:t>не осуществлялись выплаты</w:t>
      </w:r>
      <w:r w:rsidRPr="00EC5A7B">
        <w:rPr>
          <w:rFonts w:asciiTheme="majorHAnsi" w:hAnsiTheme="majorHAnsi" w:cstheme="majorHAnsi"/>
          <w:sz w:val="24"/>
          <w:szCs w:val="24"/>
          <w:lang w:val="ru-MD" w:eastAsia="ru-RU"/>
        </w:rPr>
        <w:t>, а уплаченные комиссии составили 0,15 млн. дол. США</w:t>
      </w:r>
      <w:r w:rsidR="006E66F5" w:rsidRPr="00EC5A7B">
        <w:rPr>
          <w:rFonts w:asciiTheme="majorHAnsi" w:hAnsiTheme="majorHAnsi" w:cstheme="majorHAnsi"/>
          <w:sz w:val="24"/>
          <w:szCs w:val="24"/>
          <w:lang w:val="ru-MD" w:eastAsia="ru-RU"/>
        </w:rPr>
        <w:t>.</w:t>
      </w:r>
    </w:p>
    <w:p w14:paraId="74F06597" w14:textId="67742655" w:rsidR="007034A7" w:rsidRPr="00EC5A7B" w:rsidRDefault="005B77E9"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Проверки аудита установили, что в целях улучшения менеджмента внешней помощи, предоставленной РМ, а также в целях эффективной реализации и внедрения проектов, финансируемых из внешних государственных займов</w:t>
      </w:r>
      <w:r w:rsidR="007034A7" w:rsidRPr="00EC5A7B">
        <w:rPr>
          <w:rFonts w:asciiTheme="majorHAnsi" w:hAnsiTheme="majorHAnsi" w:cstheme="majorHAnsi"/>
          <w:sz w:val="24"/>
          <w:szCs w:val="24"/>
          <w:lang w:val="ru-MD" w:eastAsia="ru-RU"/>
        </w:rPr>
        <w:t xml:space="preserve">, </w:t>
      </w:r>
      <w:r w:rsidR="005572E7" w:rsidRPr="00EC5A7B">
        <w:rPr>
          <w:rFonts w:asciiTheme="majorHAnsi" w:hAnsiTheme="majorHAnsi" w:cstheme="majorHAnsi"/>
          <w:sz w:val="24"/>
          <w:szCs w:val="24"/>
          <w:lang w:val="ru-MD" w:eastAsia="ru-RU"/>
        </w:rPr>
        <w:t xml:space="preserve">03.06.2020 </w:t>
      </w:r>
      <w:r w:rsidRPr="00EC5A7B">
        <w:rPr>
          <w:rFonts w:asciiTheme="majorHAnsi" w:hAnsiTheme="majorHAnsi" w:cstheme="majorHAnsi"/>
          <w:sz w:val="24"/>
          <w:szCs w:val="24"/>
          <w:lang w:val="ru-MD" w:eastAsia="ru-RU"/>
        </w:rPr>
        <w:t>Публичное учреждение</w:t>
      </w:r>
      <w:r w:rsidR="007034A7" w:rsidRPr="00EC5A7B">
        <w:rPr>
          <w:rFonts w:asciiTheme="majorHAnsi" w:hAnsiTheme="majorHAnsi" w:cstheme="majorHAnsi"/>
          <w:sz w:val="24"/>
          <w:szCs w:val="24"/>
          <w:lang w:val="ru-MD" w:eastAsia="ru-RU"/>
        </w:rPr>
        <w:t xml:space="preserve"> </w:t>
      </w:r>
      <w:r w:rsidR="0051153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Директорат кредитной линии</w:t>
      </w:r>
      <w:r w:rsidR="0051153B" w:rsidRPr="00EC5A7B">
        <w:rPr>
          <w:rFonts w:asciiTheme="majorHAnsi" w:hAnsiTheme="majorHAnsi" w:cstheme="majorHAnsi"/>
          <w:sz w:val="24"/>
          <w:szCs w:val="24"/>
          <w:lang w:val="ru-MD" w:eastAsia="ru-RU"/>
        </w:rPr>
        <w:t>”</w:t>
      </w:r>
      <w:r w:rsidR="007034A7" w:rsidRPr="00EC5A7B">
        <w:rPr>
          <w:rStyle w:val="FootnoteReference"/>
          <w:rFonts w:asciiTheme="majorHAnsi" w:hAnsiTheme="majorHAnsi" w:cstheme="majorHAnsi"/>
          <w:sz w:val="24"/>
          <w:szCs w:val="24"/>
          <w:lang w:val="ru-MD" w:eastAsia="ru-RU"/>
        </w:rPr>
        <w:footnoteReference w:id="9"/>
      </w:r>
      <w:r w:rsidR="007034A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было преобразовано в Публичное учреждение</w:t>
      </w:r>
      <w:r w:rsidR="007034A7" w:rsidRPr="00EC5A7B">
        <w:rPr>
          <w:rFonts w:asciiTheme="majorHAnsi" w:hAnsiTheme="majorHAnsi" w:cstheme="majorHAnsi"/>
          <w:sz w:val="24"/>
          <w:szCs w:val="24"/>
          <w:lang w:val="ru-MD" w:eastAsia="ru-RU"/>
        </w:rPr>
        <w:t xml:space="preserve"> „</w:t>
      </w:r>
      <w:r w:rsidRPr="00EC5A7B">
        <w:rPr>
          <w:rFonts w:asciiTheme="majorHAnsi" w:hAnsiTheme="majorHAnsi" w:cstheme="majorHAnsi"/>
          <w:bCs/>
          <w:sz w:val="24"/>
          <w:szCs w:val="24"/>
          <w:lang w:val="ru-MD" w:eastAsia="ru-RU"/>
        </w:rPr>
        <w:t>Офис управления программами внешней помощи</w:t>
      </w:r>
      <w:r w:rsidR="007034A7" w:rsidRPr="00EC5A7B">
        <w:rPr>
          <w:rFonts w:asciiTheme="majorHAnsi" w:hAnsiTheme="majorHAnsi" w:cstheme="majorHAnsi"/>
          <w:sz w:val="24"/>
          <w:szCs w:val="24"/>
          <w:lang w:val="ru-MD" w:eastAsia="ru-RU"/>
        </w:rPr>
        <w:t>”</w:t>
      </w:r>
      <w:r w:rsidR="0051153B" w:rsidRPr="00EC5A7B">
        <w:rPr>
          <w:rFonts w:asciiTheme="majorHAnsi" w:hAnsiTheme="majorHAnsi" w:cstheme="majorHAnsi"/>
          <w:sz w:val="24"/>
          <w:szCs w:val="24"/>
          <w:lang w:val="ru-MD" w:eastAsia="ru-RU"/>
        </w:rPr>
        <w:t>.</w:t>
      </w:r>
      <w:r w:rsidR="007034A7"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В дополнение к функциям по управлению и мониторингу кредитных линий, Офис был наделен и такими полномочиями, как</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(1)</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 xml:space="preserve">содействие, на основе релевантного опыта, разработке предложений в процессе программирования, связанном с программами трансграничного и </w:t>
      </w:r>
      <w:r w:rsidR="0035269F" w:rsidRPr="00EC5A7B">
        <w:rPr>
          <w:rFonts w:asciiTheme="majorHAnsi" w:hAnsiTheme="majorHAnsi" w:cstheme="majorHAnsi"/>
          <w:sz w:val="24"/>
          <w:szCs w:val="24"/>
          <w:lang w:val="ru-MD" w:eastAsia="ru-RU"/>
        </w:rPr>
        <w:lastRenderedPageBreak/>
        <w:t>транснационального сотрудничества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(2)</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обеспечение поддержки национальным учреждениям в принятии мер, необходимых для назначения и ведения в действие на всех этапах национальной системы менеджмента и контроля в рамках программ трансграничного и транснационального сотрудничества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(3)</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обеспечение поддержки национальным бенефициарам в процессе подачи заявки на финансирование в рамках заявок на проекты из программ трансграничного и транснационального сотрудничества, а также на этапе внедрения и мониторинга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(4)</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содействие обеспечению видимости программ трансграничного и транснационального сотрудничества, приемлемых для Республики Молдова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(5)</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обеспечение организации обучения для бенефициаров, аудиторов/контролеров и национальных учреждений правилам программ трансграничного и транснационального сотрудничества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(6)</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активное участие, по необходимости, в процессе оценки предложений, поданных в рамках призывов, представленных в программах трансграничного и транснационального сотрудничества</w:t>
      </w:r>
      <w:r w:rsidR="007034A7" w:rsidRPr="00EC5A7B">
        <w:rPr>
          <w:rFonts w:asciiTheme="majorHAnsi" w:hAnsiTheme="majorHAnsi" w:cstheme="majorHAnsi"/>
          <w:sz w:val="24"/>
          <w:szCs w:val="24"/>
          <w:lang w:val="ru-MD" w:eastAsia="ru-RU"/>
        </w:rPr>
        <w:t xml:space="preserve">; </w:t>
      </w:r>
      <w:r w:rsidR="007034A7" w:rsidRPr="00EC5A7B">
        <w:rPr>
          <w:rFonts w:asciiTheme="majorHAnsi" w:hAnsiTheme="majorHAnsi" w:cstheme="majorHAnsi"/>
          <w:i/>
          <w:sz w:val="24"/>
          <w:szCs w:val="24"/>
          <w:lang w:val="ru-MD" w:eastAsia="ru-RU"/>
        </w:rPr>
        <w:t>(7)</w:t>
      </w:r>
      <w:r w:rsidR="007034A7" w:rsidRPr="00EC5A7B">
        <w:rPr>
          <w:rFonts w:asciiTheme="majorHAnsi" w:hAnsiTheme="majorHAnsi" w:cstheme="majorHAnsi"/>
          <w:sz w:val="24"/>
          <w:szCs w:val="24"/>
          <w:lang w:val="ru-MD" w:eastAsia="ru-RU"/>
        </w:rPr>
        <w:t xml:space="preserve"> </w:t>
      </w:r>
      <w:r w:rsidR="0035269F" w:rsidRPr="00EC5A7B">
        <w:rPr>
          <w:rFonts w:asciiTheme="majorHAnsi" w:hAnsiTheme="majorHAnsi" w:cstheme="majorHAnsi"/>
          <w:sz w:val="24"/>
          <w:szCs w:val="24"/>
          <w:lang w:val="ru-MD" w:eastAsia="ru-RU"/>
        </w:rPr>
        <w:t>внедрение проектов/программ внешней помощи согласно положениям нормативных актов или соглашений о внешней помощи, заключенных с внешними партнерами по развитию и др</w:t>
      </w:r>
      <w:r w:rsidR="007034A7" w:rsidRPr="00EC5A7B">
        <w:rPr>
          <w:rFonts w:asciiTheme="majorHAnsi" w:hAnsiTheme="majorHAnsi" w:cstheme="majorHAnsi"/>
          <w:sz w:val="24"/>
          <w:szCs w:val="24"/>
          <w:lang w:val="ru-MD" w:eastAsia="ru-RU"/>
        </w:rPr>
        <w:t>.</w:t>
      </w:r>
    </w:p>
    <w:p w14:paraId="45764FCF" w14:textId="7ABFBB0F" w:rsidR="00D472FF" w:rsidRPr="00EC5A7B" w:rsidRDefault="0080194C" w:rsidP="0080194C">
      <w:pPr>
        <w:pStyle w:val="ListParagraph"/>
        <w:numPr>
          <w:ilvl w:val="3"/>
          <w:numId w:val="2"/>
        </w:numPr>
        <w:tabs>
          <w:tab w:val="left" w:pos="720"/>
          <w:tab w:val="left" w:pos="1080"/>
          <w:tab w:val="left" w:pos="1440"/>
          <w:tab w:val="left" w:pos="1620"/>
        </w:tabs>
        <w:autoSpaceDE w:val="0"/>
        <w:autoSpaceDN w:val="0"/>
        <w:adjustRightInd w:val="0"/>
        <w:spacing w:line="240" w:lineRule="auto"/>
        <w:ind w:left="0" w:firstLine="720"/>
        <w:jc w:val="both"/>
        <w:outlineLvl w:val="1"/>
        <w:rPr>
          <w:rFonts w:asciiTheme="majorHAnsi" w:eastAsia="Times New Roman" w:hAnsiTheme="majorHAnsi" w:cstheme="majorHAnsi"/>
          <w:b/>
          <w:bCs/>
          <w:i/>
          <w:color w:val="5B9BD5" w:themeColor="accent1"/>
          <w:sz w:val="24"/>
          <w:szCs w:val="24"/>
          <w:lang w:val="ru-MD" w:eastAsia="ru-RU"/>
        </w:rPr>
      </w:pPr>
      <w:bookmarkStart w:id="13" w:name="_Toc63157262"/>
      <w:r w:rsidRPr="00EC5A7B">
        <w:rPr>
          <w:rFonts w:asciiTheme="majorHAnsi" w:eastAsia="Times New Roman" w:hAnsiTheme="majorHAnsi" w:cstheme="majorHAnsi"/>
          <w:b/>
          <w:bCs/>
          <w:i/>
          <w:color w:val="5B9BD5" w:themeColor="accent1"/>
          <w:sz w:val="24"/>
          <w:szCs w:val="24"/>
          <w:lang w:val="ru-MD" w:eastAsia="ru-RU"/>
        </w:rPr>
        <w:t>Конверсия некоторых внешних государственных займов способствует формированию сбережений, связанных с обслуживанием государственного долга</w:t>
      </w:r>
      <w:bookmarkEnd w:id="13"/>
    </w:p>
    <w:p w14:paraId="66E09F13" w14:textId="6A3A2F1E" w:rsidR="000374B8" w:rsidRPr="00EC5A7B" w:rsidRDefault="0080194C"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Проверки аудита установили</w:t>
      </w:r>
      <w:r w:rsidR="00D10627" w:rsidRPr="00EC5A7B">
        <w:rPr>
          <w:rFonts w:asciiTheme="majorHAnsi" w:hAnsiTheme="majorHAnsi" w:cstheme="majorHAnsi"/>
          <w:sz w:val="24"/>
          <w:szCs w:val="24"/>
          <w:lang w:val="ru-MD" w:eastAsia="ru-RU"/>
        </w:rPr>
        <w:t>, что</w:t>
      </w:r>
      <w:r w:rsidRPr="00EC5A7B">
        <w:rPr>
          <w:rFonts w:asciiTheme="majorHAnsi" w:hAnsiTheme="majorHAnsi" w:cstheme="majorHAnsi"/>
          <w:sz w:val="24"/>
          <w:szCs w:val="24"/>
          <w:lang w:val="ru-MD" w:eastAsia="ru-RU"/>
        </w:rPr>
        <w:t xml:space="preserve"> в 2019 году </w:t>
      </w:r>
      <w:r w:rsidR="00D10627" w:rsidRPr="00EC5A7B">
        <w:rPr>
          <w:rFonts w:asciiTheme="majorHAnsi" w:hAnsiTheme="majorHAnsi" w:cstheme="majorHAnsi"/>
          <w:sz w:val="24"/>
          <w:szCs w:val="24"/>
          <w:lang w:val="ru-MD" w:eastAsia="ru-RU"/>
        </w:rPr>
        <w:t xml:space="preserve">использовался </w:t>
      </w:r>
      <w:r w:rsidRPr="00EC5A7B">
        <w:rPr>
          <w:rFonts w:asciiTheme="majorHAnsi" w:hAnsiTheme="majorHAnsi" w:cstheme="majorHAnsi"/>
          <w:sz w:val="24"/>
          <w:szCs w:val="24"/>
          <w:lang w:val="ru-MD" w:eastAsia="ru-RU"/>
        </w:rPr>
        <w:t>нов</w:t>
      </w:r>
      <w:r w:rsidR="00D10627" w:rsidRPr="00EC5A7B">
        <w:rPr>
          <w:rFonts w:asciiTheme="majorHAnsi" w:hAnsiTheme="majorHAnsi" w:cstheme="majorHAnsi"/>
          <w:sz w:val="24"/>
          <w:szCs w:val="24"/>
          <w:lang w:val="ru-MD" w:eastAsia="ru-RU"/>
        </w:rPr>
        <w:t>ый</w:t>
      </w:r>
      <w:r w:rsidRPr="00EC5A7B">
        <w:rPr>
          <w:rFonts w:asciiTheme="majorHAnsi" w:hAnsiTheme="majorHAnsi" w:cstheme="majorHAnsi"/>
          <w:sz w:val="24"/>
          <w:szCs w:val="24"/>
          <w:lang w:val="ru-MD" w:eastAsia="ru-RU"/>
        </w:rPr>
        <w:t xml:space="preserve"> инструмент в процессе управления государственным долгом. В контексте </w:t>
      </w:r>
      <w:r w:rsidR="00D10627" w:rsidRPr="00EC5A7B">
        <w:rPr>
          <w:rFonts w:asciiTheme="majorHAnsi" w:hAnsiTheme="majorHAnsi" w:cstheme="majorHAnsi"/>
          <w:sz w:val="24"/>
          <w:szCs w:val="24"/>
          <w:lang w:val="ru-MD" w:eastAsia="ru-RU"/>
        </w:rPr>
        <w:t>прудент</w:t>
      </w:r>
      <w:r w:rsidRPr="00EC5A7B">
        <w:rPr>
          <w:rFonts w:asciiTheme="majorHAnsi" w:hAnsiTheme="majorHAnsi" w:cstheme="majorHAnsi"/>
          <w:sz w:val="24"/>
          <w:szCs w:val="24"/>
          <w:lang w:val="ru-MD" w:eastAsia="ru-RU"/>
        </w:rPr>
        <w:t>ного управления внешним государственным долгом</w:t>
      </w:r>
      <w:r w:rsidR="00D10627"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в декабре 2018 года МФ принял</w:t>
      </w:r>
      <w:r w:rsidR="00D10627"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 решение о </w:t>
      </w:r>
      <w:r w:rsidRPr="00EC5A7B">
        <w:rPr>
          <w:rFonts w:asciiTheme="majorHAnsi" w:hAnsiTheme="majorHAnsi" w:cstheme="majorHAnsi"/>
          <w:sz w:val="24"/>
          <w:szCs w:val="24"/>
          <w:lang w:val="ru-MD" w:eastAsia="ru-RU"/>
        </w:rPr>
        <w:lastRenderedPageBreak/>
        <w:t xml:space="preserve">конвертации внешних государственных займов, предоставленных </w:t>
      </w:r>
      <w:r w:rsidR="00CE6869" w:rsidRPr="00EC5A7B">
        <w:rPr>
          <w:rFonts w:asciiTheme="majorHAnsi" w:hAnsiTheme="majorHAnsi" w:cstheme="majorHAnsi"/>
          <w:sz w:val="24"/>
          <w:szCs w:val="24"/>
          <w:lang w:val="ru-MD" w:eastAsia="ru-RU"/>
        </w:rPr>
        <w:t>МБРР</w:t>
      </w:r>
      <w:r w:rsidRPr="00EC5A7B">
        <w:rPr>
          <w:rFonts w:asciiTheme="majorHAnsi" w:hAnsiTheme="majorHAnsi" w:cstheme="majorHAnsi"/>
          <w:sz w:val="24"/>
          <w:szCs w:val="24"/>
          <w:lang w:val="ru-MD" w:eastAsia="ru-RU"/>
        </w:rPr>
        <w:t xml:space="preserve">, ЕИБ и ЕБРР. Так, 4 марта 2019 года были осуществлены операции по конвертации 6 внешних государственных займов, предоставленных </w:t>
      </w:r>
      <w:r w:rsidR="00CE6869" w:rsidRPr="00EC5A7B">
        <w:rPr>
          <w:rFonts w:asciiTheme="majorHAnsi" w:hAnsiTheme="majorHAnsi" w:cstheme="majorHAnsi"/>
          <w:sz w:val="24"/>
          <w:szCs w:val="24"/>
          <w:lang w:val="ru-MD" w:eastAsia="ru-RU"/>
        </w:rPr>
        <w:t>МБРР</w:t>
      </w:r>
      <w:r w:rsidR="00CE6869" w:rsidRPr="00EC5A7B">
        <w:rPr>
          <w:rStyle w:val="FootnoteReference"/>
          <w:rFonts w:asciiTheme="majorHAnsi" w:hAnsiTheme="majorHAnsi" w:cstheme="majorHAnsi"/>
          <w:sz w:val="24"/>
          <w:szCs w:val="24"/>
          <w:lang w:val="ru-MD" w:eastAsia="ru-RU"/>
        </w:rPr>
        <w:footnoteReference w:id="10"/>
      </w:r>
      <w:r w:rsidR="00CE6869"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из валюты доллара США в валюте евро и, соответственно, изменение переменной процентной ставки </w:t>
      </w:r>
      <w:r w:rsidR="00CE6869" w:rsidRPr="00EC5A7B">
        <w:rPr>
          <w:rFonts w:asciiTheme="majorHAnsi" w:hAnsiTheme="majorHAnsi" w:cstheme="majorHAnsi"/>
          <w:sz w:val="24"/>
          <w:szCs w:val="24"/>
          <w:lang w:val="ru-MD" w:eastAsia="ru-RU"/>
        </w:rPr>
        <w:t>из</w:t>
      </w:r>
      <w:r w:rsidRPr="00EC5A7B">
        <w:rPr>
          <w:rFonts w:asciiTheme="majorHAnsi" w:hAnsiTheme="majorHAnsi" w:cstheme="majorHAnsi"/>
          <w:sz w:val="24"/>
          <w:szCs w:val="24"/>
          <w:lang w:val="ru-MD" w:eastAsia="ru-RU"/>
        </w:rPr>
        <w:t xml:space="preserve"> LIBOR6M + маржа </w:t>
      </w:r>
      <w:r w:rsidR="00CE6869" w:rsidRPr="00EC5A7B">
        <w:rPr>
          <w:rFonts w:asciiTheme="majorHAnsi" w:hAnsiTheme="majorHAnsi" w:cstheme="majorHAnsi"/>
          <w:sz w:val="24"/>
          <w:szCs w:val="24"/>
          <w:lang w:val="ru-MD" w:eastAsia="ru-RU"/>
        </w:rPr>
        <w:t>в</w:t>
      </w:r>
      <w:r w:rsidRPr="00EC5A7B">
        <w:rPr>
          <w:rFonts w:asciiTheme="majorHAnsi" w:hAnsiTheme="majorHAnsi" w:cstheme="majorHAnsi"/>
          <w:sz w:val="24"/>
          <w:szCs w:val="24"/>
          <w:lang w:val="ru-MD" w:eastAsia="ru-RU"/>
        </w:rPr>
        <w:t xml:space="preserve"> переменной процентной ставке EURIBOR6M + маржа</w:t>
      </w:r>
      <w:r w:rsidR="000374B8" w:rsidRPr="00EC5A7B">
        <w:rPr>
          <w:rFonts w:asciiTheme="majorHAnsi" w:hAnsiTheme="majorHAnsi" w:cstheme="majorHAnsi"/>
          <w:sz w:val="24"/>
          <w:szCs w:val="24"/>
          <w:lang w:val="ru-MD" w:eastAsia="ru-RU"/>
        </w:rPr>
        <w:t>.</w:t>
      </w:r>
    </w:p>
    <w:p w14:paraId="524384CD" w14:textId="6FAC4A62" w:rsidR="00B77059" w:rsidRPr="00EC5A7B" w:rsidRDefault="0080194C"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результате, долговые запасы, относящиеся к этим кредитам, </w:t>
      </w:r>
      <w:r w:rsidR="00CE6869" w:rsidRPr="00EC5A7B">
        <w:rPr>
          <w:rFonts w:asciiTheme="majorHAnsi" w:hAnsiTheme="majorHAnsi" w:cstheme="majorHAnsi"/>
          <w:sz w:val="24"/>
          <w:szCs w:val="24"/>
          <w:lang w:val="ru-MD" w:eastAsia="ru-RU"/>
        </w:rPr>
        <w:t>в сумме</w:t>
      </w:r>
      <w:r w:rsidRPr="00EC5A7B">
        <w:rPr>
          <w:rFonts w:asciiTheme="majorHAnsi" w:hAnsiTheme="majorHAnsi" w:cstheme="majorHAnsi"/>
          <w:sz w:val="24"/>
          <w:szCs w:val="24"/>
          <w:lang w:val="ru-MD" w:eastAsia="ru-RU"/>
        </w:rPr>
        <w:t xml:space="preserve"> 92,7 млн. долл. США были </w:t>
      </w:r>
      <w:r w:rsidR="00CE6869" w:rsidRPr="00EC5A7B">
        <w:rPr>
          <w:rFonts w:asciiTheme="majorHAnsi" w:hAnsiTheme="majorHAnsi" w:cstheme="majorHAnsi"/>
          <w:sz w:val="24"/>
          <w:szCs w:val="24"/>
          <w:lang w:val="ru-MD" w:eastAsia="ru-RU"/>
        </w:rPr>
        <w:t>конвертир</w:t>
      </w:r>
      <w:r w:rsidRPr="00EC5A7B">
        <w:rPr>
          <w:rFonts w:asciiTheme="majorHAnsi" w:hAnsiTheme="majorHAnsi" w:cstheme="majorHAnsi"/>
          <w:sz w:val="24"/>
          <w:szCs w:val="24"/>
          <w:lang w:val="ru-MD" w:eastAsia="ru-RU"/>
        </w:rPr>
        <w:t xml:space="preserve">ованы в 81,8 млн. евро и, соответственно, процентная ставка по кредитам в долларах США, составившая в среднем 3,76%, была изменена по процентной ставке по кредитам в евро, </w:t>
      </w:r>
      <w:r w:rsidR="00CE6869" w:rsidRPr="00EC5A7B">
        <w:rPr>
          <w:rFonts w:asciiTheme="majorHAnsi" w:hAnsiTheme="majorHAnsi" w:cstheme="majorHAnsi"/>
          <w:sz w:val="24"/>
          <w:szCs w:val="24"/>
          <w:lang w:val="ru-MD" w:eastAsia="ru-RU"/>
        </w:rPr>
        <w:t>которая</w:t>
      </w:r>
      <w:r w:rsidRPr="00EC5A7B">
        <w:rPr>
          <w:rFonts w:asciiTheme="majorHAnsi" w:hAnsiTheme="majorHAnsi" w:cstheme="majorHAnsi"/>
          <w:sz w:val="24"/>
          <w:szCs w:val="24"/>
          <w:lang w:val="ru-MD" w:eastAsia="ru-RU"/>
        </w:rPr>
        <w:t xml:space="preserve"> составляет в среднем 0,71%. В то же время</w:t>
      </w:r>
      <w:r w:rsidR="00CE6869"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был </w:t>
      </w:r>
      <w:r w:rsidR="00CE6869" w:rsidRPr="00EC5A7B">
        <w:rPr>
          <w:rFonts w:asciiTheme="majorHAnsi" w:hAnsiTheme="majorHAnsi" w:cstheme="majorHAnsi"/>
          <w:sz w:val="24"/>
          <w:szCs w:val="24"/>
          <w:lang w:val="ru-MD" w:eastAsia="ru-RU"/>
        </w:rPr>
        <w:t>конвертир</w:t>
      </w:r>
      <w:r w:rsidRPr="00EC5A7B">
        <w:rPr>
          <w:rFonts w:asciiTheme="majorHAnsi" w:hAnsiTheme="majorHAnsi" w:cstheme="majorHAnsi"/>
          <w:sz w:val="24"/>
          <w:szCs w:val="24"/>
          <w:lang w:val="ru-MD" w:eastAsia="ru-RU"/>
        </w:rPr>
        <w:t>ован и запас не</w:t>
      </w:r>
      <w:r w:rsidR="00CE6869" w:rsidRPr="00EC5A7B">
        <w:rPr>
          <w:rFonts w:asciiTheme="majorHAnsi" w:hAnsiTheme="majorHAnsi" w:cstheme="majorHAnsi"/>
          <w:sz w:val="24"/>
          <w:szCs w:val="24"/>
          <w:lang w:val="ru-MD" w:eastAsia="ru-RU"/>
        </w:rPr>
        <w:t>выпла</w:t>
      </w:r>
      <w:r w:rsidRPr="00EC5A7B">
        <w:rPr>
          <w:rFonts w:asciiTheme="majorHAnsi" w:hAnsiTheme="majorHAnsi" w:cstheme="majorHAnsi"/>
          <w:sz w:val="24"/>
          <w:szCs w:val="24"/>
          <w:lang w:val="ru-MD" w:eastAsia="ru-RU"/>
        </w:rPr>
        <w:t xml:space="preserve">ченных </w:t>
      </w:r>
      <w:r w:rsidR="00CE6869" w:rsidRPr="00EC5A7B">
        <w:rPr>
          <w:rFonts w:asciiTheme="majorHAnsi" w:hAnsiTheme="majorHAnsi" w:cstheme="majorHAnsi"/>
          <w:sz w:val="24"/>
          <w:szCs w:val="24"/>
          <w:lang w:val="ru-MD" w:eastAsia="ru-RU"/>
        </w:rPr>
        <w:t>средств</w:t>
      </w:r>
      <w:r w:rsidRPr="00EC5A7B">
        <w:rPr>
          <w:rFonts w:asciiTheme="majorHAnsi" w:hAnsiTheme="majorHAnsi" w:cstheme="majorHAnsi"/>
          <w:sz w:val="24"/>
          <w:szCs w:val="24"/>
          <w:lang w:val="ru-MD" w:eastAsia="ru-RU"/>
        </w:rPr>
        <w:t xml:space="preserve"> по этим кредитам на сумму 31,6 млн. дол. США в 27,9 млн. евро</w:t>
      </w:r>
      <w:r w:rsidR="00B77059" w:rsidRPr="00EC5A7B">
        <w:rPr>
          <w:rFonts w:asciiTheme="majorHAnsi" w:hAnsiTheme="majorHAnsi" w:cstheme="majorHAnsi"/>
          <w:sz w:val="24"/>
          <w:szCs w:val="24"/>
          <w:lang w:val="ru-MD" w:eastAsia="ru-RU"/>
        </w:rPr>
        <w:t xml:space="preserve">.  </w:t>
      </w:r>
    </w:p>
    <w:p w14:paraId="034A91B4" w14:textId="51EE9663" w:rsidR="00486711" w:rsidRPr="00EC5A7B" w:rsidRDefault="0080194C" w:rsidP="005572E7">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За конверсионные операции были уплачены единовременные комиссии в размере 0,7 млн. леев, а оценочные сбережения, </w:t>
      </w:r>
      <w:r w:rsidR="00CE6869" w:rsidRPr="00EC5A7B">
        <w:rPr>
          <w:rFonts w:asciiTheme="majorHAnsi" w:hAnsiTheme="majorHAnsi" w:cstheme="majorHAnsi"/>
          <w:sz w:val="24"/>
          <w:szCs w:val="24"/>
          <w:lang w:val="ru-MD" w:eastAsia="ru-RU"/>
        </w:rPr>
        <w:t>сформирова</w:t>
      </w:r>
      <w:r w:rsidRPr="00EC5A7B">
        <w:rPr>
          <w:rFonts w:asciiTheme="majorHAnsi" w:hAnsiTheme="majorHAnsi" w:cstheme="majorHAnsi"/>
          <w:sz w:val="24"/>
          <w:szCs w:val="24"/>
          <w:lang w:val="ru-MD" w:eastAsia="ru-RU"/>
        </w:rPr>
        <w:t>нные в период с 04.03.2019 по 31.12.2019 в государственн</w:t>
      </w:r>
      <w:r w:rsidR="00CE6869" w:rsidRPr="00EC5A7B">
        <w:rPr>
          <w:rFonts w:asciiTheme="majorHAnsi" w:hAnsiTheme="majorHAnsi" w:cstheme="majorHAnsi"/>
          <w:sz w:val="24"/>
          <w:szCs w:val="24"/>
          <w:lang w:val="ru-MD" w:eastAsia="ru-RU"/>
        </w:rPr>
        <w:t>ом</w:t>
      </w:r>
      <w:r w:rsidRPr="00EC5A7B">
        <w:rPr>
          <w:rFonts w:asciiTheme="majorHAnsi" w:hAnsiTheme="majorHAnsi" w:cstheme="majorHAnsi"/>
          <w:sz w:val="24"/>
          <w:szCs w:val="24"/>
          <w:lang w:val="ru-MD" w:eastAsia="ru-RU"/>
        </w:rPr>
        <w:t xml:space="preserve"> бюджет</w:t>
      </w:r>
      <w:r w:rsidR="00CE6869"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w:t>
      </w:r>
      <w:r w:rsidR="00CE6869" w:rsidRPr="00EC5A7B">
        <w:rPr>
          <w:rFonts w:asciiTheme="majorHAnsi" w:hAnsiTheme="majorHAnsi" w:cstheme="majorHAnsi"/>
          <w:sz w:val="24"/>
          <w:szCs w:val="24"/>
          <w:lang w:val="ru-MD" w:eastAsia="ru-RU"/>
        </w:rPr>
        <w:t>по разделу обслуживания</w:t>
      </w:r>
      <w:r w:rsidRPr="00EC5A7B">
        <w:rPr>
          <w:rFonts w:asciiTheme="majorHAnsi" w:hAnsiTheme="majorHAnsi" w:cstheme="majorHAnsi"/>
          <w:sz w:val="24"/>
          <w:szCs w:val="24"/>
          <w:lang w:val="ru-MD" w:eastAsia="ru-RU"/>
        </w:rPr>
        <w:t xml:space="preserve"> внешнего государственного долга, составили около 37,5 млн. леев. </w:t>
      </w:r>
      <w:r w:rsidRPr="00EC5A7B">
        <w:rPr>
          <w:rFonts w:asciiTheme="majorHAnsi" w:hAnsiTheme="majorHAnsi" w:cstheme="majorHAnsi"/>
          <w:i/>
          <w:sz w:val="24"/>
          <w:szCs w:val="24"/>
          <w:lang w:val="ru-MD" w:eastAsia="ru-RU"/>
        </w:rPr>
        <w:t>Подробная информация представлена в Таблица №7</w:t>
      </w:r>
      <w:r w:rsidR="00712FA2" w:rsidRPr="00EC5A7B">
        <w:rPr>
          <w:rFonts w:asciiTheme="majorHAnsi" w:hAnsiTheme="majorHAnsi" w:cstheme="majorHAnsi"/>
          <w:i/>
          <w:sz w:val="24"/>
          <w:szCs w:val="24"/>
          <w:lang w:val="ru-MD" w:eastAsia="ru-RU"/>
        </w:rPr>
        <w:t>.</w:t>
      </w:r>
    </w:p>
    <w:p w14:paraId="5EC46913" w14:textId="41E16AE0" w:rsidR="00A15905" w:rsidRPr="00EC5A7B" w:rsidRDefault="00220355" w:rsidP="00712FA2">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6F221C" w:rsidRPr="00EC5A7B">
        <w:rPr>
          <w:rFonts w:asciiTheme="majorHAnsi" w:hAnsiTheme="majorHAnsi" w:cstheme="majorHAnsi"/>
          <w:b/>
          <w:i/>
          <w:color w:val="5B9BD5" w:themeColor="accent1"/>
          <w:sz w:val="24"/>
          <w:szCs w:val="24"/>
          <w:lang w:val="ru-MD" w:eastAsia="ru-RU"/>
        </w:rPr>
        <w:t>7</w:t>
      </w:r>
    </w:p>
    <w:tbl>
      <w:tblPr>
        <w:tblStyle w:val="TableGrid"/>
        <w:tblW w:w="9535" w:type="dxa"/>
        <w:tblLook w:val="04A0" w:firstRow="1" w:lastRow="0" w:firstColumn="1" w:lastColumn="0" w:noHBand="0" w:noVBand="1"/>
      </w:tblPr>
      <w:tblGrid>
        <w:gridCol w:w="806"/>
        <w:gridCol w:w="1244"/>
        <w:gridCol w:w="1258"/>
        <w:gridCol w:w="753"/>
        <w:gridCol w:w="1021"/>
        <w:gridCol w:w="982"/>
        <w:gridCol w:w="1272"/>
        <w:gridCol w:w="993"/>
        <w:gridCol w:w="1206"/>
      </w:tblGrid>
      <w:tr w:rsidR="00BD2955" w:rsidRPr="00EC5A7B" w14:paraId="2D7B89FA" w14:textId="77777777" w:rsidTr="00A15905">
        <w:tc>
          <w:tcPr>
            <w:tcW w:w="866" w:type="dxa"/>
            <w:vMerge w:val="restart"/>
            <w:shd w:val="clear" w:color="auto" w:fill="DEEAF6" w:themeFill="accent1" w:themeFillTint="33"/>
          </w:tcPr>
          <w:p w14:paraId="2FFFF112" w14:textId="77777777" w:rsidR="000D3D3E" w:rsidRPr="00EC5A7B" w:rsidRDefault="000D3D3E" w:rsidP="000D3D3E">
            <w:pPr>
              <w:pStyle w:val="NoSpacing"/>
              <w:spacing w:line="276" w:lineRule="auto"/>
              <w:jc w:val="center"/>
              <w:rPr>
                <w:rFonts w:asciiTheme="majorHAnsi" w:hAnsiTheme="majorHAnsi" w:cstheme="majorHAnsi"/>
                <w:b/>
                <w:sz w:val="16"/>
                <w:szCs w:val="16"/>
                <w:lang w:val="ru-MD" w:eastAsia="ru-RU"/>
              </w:rPr>
            </w:pPr>
          </w:p>
          <w:p w14:paraId="08D010FD" w14:textId="3C2AA53B" w:rsidR="000D3D3E" w:rsidRPr="00EC5A7B" w:rsidRDefault="00CE6869"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lastRenderedPageBreak/>
              <w:t>Кредит</w:t>
            </w:r>
          </w:p>
        </w:tc>
        <w:tc>
          <w:tcPr>
            <w:tcW w:w="2459" w:type="dxa"/>
            <w:gridSpan w:val="2"/>
            <w:shd w:val="clear" w:color="auto" w:fill="DEEAF6" w:themeFill="accent1" w:themeFillTint="33"/>
          </w:tcPr>
          <w:p w14:paraId="31287E65" w14:textId="03FC3B4B" w:rsidR="000D3D3E" w:rsidRPr="00EC5A7B" w:rsidRDefault="00CE6869"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lastRenderedPageBreak/>
              <w:t>Долговой запас</w:t>
            </w:r>
          </w:p>
        </w:tc>
        <w:tc>
          <w:tcPr>
            <w:tcW w:w="1711" w:type="dxa"/>
            <w:gridSpan w:val="2"/>
            <w:shd w:val="clear" w:color="auto" w:fill="DEEAF6" w:themeFill="accent1" w:themeFillTint="33"/>
          </w:tcPr>
          <w:p w14:paraId="7985C347" w14:textId="1314B093" w:rsidR="000D3D3E" w:rsidRPr="00EC5A7B" w:rsidRDefault="007452A2"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Процентная ставка</w:t>
            </w:r>
            <w:r w:rsidR="000D3D3E" w:rsidRPr="00EC5A7B">
              <w:rPr>
                <w:rFonts w:asciiTheme="majorHAnsi" w:hAnsiTheme="majorHAnsi" w:cstheme="majorHAnsi"/>
                <w:b/>
                <w:sz w:val="16"/>
                <w:szCs w:val="16"/>
                <w:lang w:val="ru-MD" w:eastAsia="ru-RU"/>
              </w:rPr>
              <w:t>,%</w:t>
            </w:r>
          </w:p>
        </w:tc>
        <w:tc>
          <w:tcPr>
            <w:tcW w:w="1169" w:type="dxa"/>
            <w:vMerge w:val="restart"/>
            <w:shd w:val="clear" w:color="auto" w:fill="DEEAF6" w:themeFill="accent1" w:themeFillTint="33"/>
          </w:tcPr>
          <w:p w14:paraId="1BA16BCA" w14:textId="2B71215B" w:rsidR="000D3D3E" w:rsidRPr="00EC5A7B" w:rsidRDefault="007452A2" w:rsidP="007452A2">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Начислен</w:t>
            </w:r>
            <w:r w:rsidR="00BD2955" w:rsidRPr="00EC5A7B">
              <w:rPr>
                <w:rFonts w:asciiTheme="majorHAnsi" w:hAnsiTheme="majorHAnsi" w:cstheme="majorHAnsi"/>
                <w:b/>
                <w:sz w:val="16"/>
                <w:szCs w:val="16"/>
                <w:lang w:val="ru-MD" w:eastAsia="ru-RU"/>
              </w:rPr>
              <w:t>-</w:t>
            </w:r>
            <w:r w:rsidRPr="00EC5A7B">
              <w:rPr>
                <w:rFonts w:asciiTheme="majorHAnsi" w:hAnsiTheme="majorHAnsi" w:cstheme="majorHAnsi"/>
                <w:b/>
                <w:sz w:val="16"/>
                <w:szCs w:val="16"/>
                <w:lang w:val="ru-MD" w:eastAsia="ru-RU"/>
              </w:rPr>
              <w:t>ный процент</w:t>
            </w:r>
            <w:r w:rsidR="000D3D3E" w:rsidRPr="00EC5A7B">
              <w:rPr>
                <w:rFonts w:asciiTheme="majorHAnsi" w:hAnsiTheme="majorHAnsi" w:cstheme="majorHAnsi"/>
                <w:b/>
                <w:sz w:val="16"/>
                <w:szCs w:val="16"/>
                <w:lang w:val="ru-MD" w:eastAsia="ru-RU"/>
              </w:rPr>
              <w:t xml:space="preserve"> (</w:t>
            </w:r>
            <w:r w:rsidRPr="00EC5A7B">
              <w:rPr>
                <w:rFonts w:asciiTheme="majorHAnsi" w:hAnsiTheme="majorHAnsi" w:cstheme="majorHAnsi"/>
                <w:b/>
                <w:sz w:val="16"/>
                <w:szCs w:val="16"/>
                <w:lang w:val="ru-MD" w:eastAsia="ru-RU"/>
              </w:rPr>
              <w:t>эквив. в леях</w:t>
            </w:r>
            <w:r w:rsidR="000D3D3E" w:rsidRPr="00EC5A7B">
              <w:rPr>
                <w:rFonts w:asciiTheme="majorHAnsi" w:hAnsiTheme="majorHAnsi" w:cstheme="majorHAnsi"/>
                <w:b/>
                <w:sz w:val="16"/>
                <w:szCs w:val="16"/>
                <w:lang w:val="ru-MD" w:eastAsia="ru-RU"/>
              </w:rPr>
              <w:t>)</w:t>
            </w:r>
          </w:p>
        </w:tc>
        <w:tc>
          <w:tcPr>
            <w:tcW w:w="1105" w:type="dxa"/>
            <w:vMerge w:val="restart"/>
            <w:shd w:val="clear" w:color="auto" w:fill="DEEAF6" w:themeFill="accent1" w:themeFillTint="33"/>
          </w:tcPr>
          <w:p w14:paraId="1AB0D490" w14:textId="1A24C101" w:rsidR="000D3D3E" w:rsidRPr="00EC5A7B" w:rsidRDefault="007452A2"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 xml:space="preserve">Пересчитанные проценты </w:t>
            </w:r>
            <w:r w:rsidR="000D3D3E" w:rsidRPr="00EC5A7B">
              <w:rPr>
                <w:rFonts w:asciiTheme="majorHAnsi" w:hAnsiTheme="majorHAnsi" w:cstheme="majorHAnsi"/>
                <w:b/>
                <w:sz w:val="16"/>
                <w:szCs w:val="16"/>
                <w:lang w:val="ru-MD" w:eastAsia="ru-RU"/>
              </w:rPr>
              <w:t>(</w:t>
            </w:r>
            <w:r w:rsidRPr="00EC5A7B">
              <w:rPr>
                <w:rFonts w:asciiTheme="majorHAnsi" w:hAnsiTheme="majorHAnsi" w:cstheme="majorHAnsi"/>
                <w:b/>
                <w:sz w:val="16"/>
                <w:szCs w:val="16"/>
                <w:lang w:val="ru-MD" w:eastAsia="ru-RU"/>
              </w:rPr>
              <w:t>эквив. в леях)</w:t>
            </w:r>
          </w:p>
        </w:tc>
        <w:tc>
          <w:tcPr>
            <w:tcW w:w="1079" w:type="dxa"/>
            <w:vMerge w:val="restart"/>
            <w:shd w:val="clear" w:color="auto" w:fill="DEEAF6" w:themeFill="accent1" w:themeFillTint="33"/>
          </w:tcPr>
          <w:p w14:paraId="0CD76A4A" w14:textId="218F34F7" w:rsidR="000D3D3E" w:rsidRPr="00EC5A7B" w:rsidRDefault="007452A2" w:rsidP="007452A2">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 xml:space="preserve">Комиссия за конверсию </w:t>
            </w:r>
            <w:r w:rsidR="000D3D3E" w:rsidRPr="00EC5A7B">
              <w:rPr>
                <w:rFonts w:asciiTheme="majorHAnsi" w:hAnsiTheme="majorHAnsi" w:cstheme="majorHAnsi"/>
                <w:b/>
                <w:sz w:val="16"/>
                <w:szCs w:val="16"/>
                <w:lang w:val="ru-MD" w:eastAsia="ru-RU"/>
              </w:rPr>
              <w:t>(</w:t>
            </w:r>
            <w:r w:rsidRPr="00EC5A7B">
              <w:rPr>
                <w:rFonts w:asciiTheme="majorHAnsi" w:hAnsiTheme="majorHAnsi" w:cstheme="majorHAnsi"/>
                <w:b/>
                <w:sz w:val="16"/>
                <w:szCs w:val="16"/>
                <w:lang w:val="ru-MD" w:eastAsia="ru-RU"/>
              </w:rPr>
              <w:t>леев</w:t>
            </w:r>
            <w:r w:rsidR="000D3D3E" w:rsidRPr="00EC5A7B">
              <w:rPr>
                <w:rFonts w:asciiTheme="majorHAnsi" w:hAnsiTheme="majorHAnsi" w:cstheme="majorHAnsi"/>
                <w:b/>
                <w:sz w:val="16"/>
                <w:szCs w:val="16"/>
                <w:lang w:val="ru-MD" w:eastAsia="ru-RU"/>
              </w:rPr>
              <w:t>)</w:t>
            </w:r>
          </w:p>
        </w:tc>
        <w:tc>
          <w:tcPr>
            <w:tcW w:w="1146" w:type="dxa"/>
            <w:vMerge w:val="restart"/>
            <w:shd w:val="clear" w:color="auto" w:fill="DEEAF6" w:themeFill="accent1" w:themeFillTint="33"/>
          </w:tcPr>
          <w:p w14:paraId="3F15416B" w14:textId="67EB4BAB" w:rsidR="000D3D3E" w:rsidRPr="00EC5A7B" w:rsidRDefault="007452A2" w:rsidP="00BD2955">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Сформирован</w:t>
            </w:r>
            <w:r w:rsidR="00BD2955" w:rsidRPr="00EC5A7B">
              <w:rPr>
                <w:rFonts w:asciiTheme="majorHAnsi" w:hAnsiTheme="majorHAnsi" w:cstheme="majorHAnsi"/>
                <w:b/>
                <w:sz w:val="16"/>
                <w:szCs w:val="16"/>
                <w:lang w:val="ru-MD" w:eastAsia="ru-RU"/>
              </w:rPr>
              <w:t>-</w:t>
            </w:r>
            <w:r w:rsidRPr="00EC5A7B">
              <w:rPr>
                <w:rFonts w:asciiTheme="majorHAnsi" w:hAnsiTheme="majorHAnsi" w:cstheme="majorHAnsi"/>
                <w:b/>
                <w:sz w:val="16"/>
                <w:szCs w:val="16"/>
                <w:lang w:val="ru-MD" w:eastAsia="ru-RU"/>
              </w:rPr>
              <w:t>ная экономия</w:t>
            </w:r>
            <w:r w:rsidR="000D3D3E" w:rsidRPr="00EC5A7B">
              <w:rPr>
                <w:rFonts w:asciiTheme="majorHAnsi" w:hAnsiTheme="majorHAnsi" w:cstheme="majorHAnsi"/>
                <w:b/>
                <w:sz w:val="16"/>
                <w:szCs w:val="16"/>
                <w:lang w:val="ru-MD" w:eastAsia="ru-RU"/>
              </w:rPr>
              <w:t xml:space="preserve"> (</w:t>
            </w:r>
            <w:r w:rsidRPr="00EC5A7B">
              <w:rPr>
                <w:rFonts w:asciiTheme="majorHAnsi" w:hAnsiTheme="majorHAnsi" w:cstheme="majorHAnsi"/>
                <w:b/>
                <w:sz w:val="16"/>
                <w:szCs w:val="16"/>
                <w:lang w:val="ru-MD" w:eastAsia="ru-RU"/>
              </w:rPr>
              <w:t>леев</w:t>
            </w:r>
            <w:r w:rsidR="000D3D3E" w:rsidRPr="00EC5A7B">
              <w:rPr>
                <w:rFonts w:asciiTheme="majorHAnsi" w:hAnsiTheme="majorHAnsi" w:cstheme="majorHAnsi"/>
                <w:b/>
                <w:sz w:val="16"/>
                <w:szCs w:val="16"/>
                <w:lang w:val="ru-MD" w:eastAsia="ru-RU"/>
              </w:rPr>
              <w:t>)</w:t>
            </w:r>
          </w:p>
        </w:tc>
      </w:tr>
      <w:tr w:rsidR="00BD2955" w:rsidRPr="00EC5A7B" w14:paraId="1538CE80" w14:textId="77777777" w:rsidTr="00A15905">
        <w:tc>
          <w:tcPr>
            <w:tcW w:w="866" w:type="dxa"/>
            <w:vMerge/>
          </w:tcPr>
          <w:p w14:paraId="77690911" w14:textId="77777777" w:rsidR="000D3D3E" w:rsidRPr="00EC5A7B" w:rsidRDefault="000D3D3E" w:rsidP="003B4F37">
            <w:pPr>
              <w:pStyle w:val="NoSpacing"/>
              <w:spacing w:line="276" w:lineRule="auto"/>
              <w:jc w:val="both"/>
              <w:rPr>
                <w:rFonts w:asciiTheme="majorHAnsi" w:hAnsiTheme="majorHAnsi" w:cstheme="majorHAnsi"/>
                <w:sz w:val="16"/>
                <w:szCs w:val="16"/>
                <w:lang w:val="ru-MD" w:eastAsia="ru-RU"/>
              </w:rPr>
            </w:pPr>
          </w:p>
        </w:tc>
        <w:tc>
          <w:tcPr>
            <w:tcW w:w="1199" w:type="dxa"/>
            <w:shd w:val="clear" w:color="auto" w:fill="DEEAF6" w:themeFill="accent1" w:themeFillTint="33"/>
          </w:tcPr>
          <w:p w14:paraId="138DDBCC" w14:textId="102F752E" w:rsidR="000D3D3E" w:rsidRPr="00EC5A7B" w:rsidRDefault="00CE6869" w:rsidP="00CE6869">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Существующий</w:t>
            </w:r>
            <w:r w:rsidR="000D3D3E" w:rsidRPr="00EC5A7B">
              <w:rPr>
                <w:rFonts w:asciiTheme="majorHAnsi" w:hAnsiTheme="majorHAnsi" w:cstheme="majorHAnsi"/>
                <w:b/>
                <w:sz w:val="16"/>
                <w:szCs w:val="16"/>
                <w:lang w:val="ru-MD" w:eastAsia="ru-RU"/>
              </w:rPr>
              <w:t xml:space="preserve"> (</w:t>
            </w:r>
            <w:r w:rsidRPr="00EC5A7B">
              <w:rPr>
                <w:rFonts w:asciiTheme="majorHAnsi" w:hAnsiTheme="majorHAnsi" w:cstheme="majorHAnsi"/>
                <w:b/>
                <w:sz w:val="16"/>
                <w:szCs w:val="16"/>
                <w:lang w:val="ru-MD" w:eastAsia="ru-RU"/>
              </w:rPr>
              <w:t>дол. США</w:t>
            </w:r>
            <w:r w:rsidR="000D3D3E" w:rsidRPr="00EC5A7B">
              <w:rPr>
                <w:rFonts w:asciiTheme="majorHAnsi" w:hAnsiTheme="majorHAnsi" w:cstheme="majorHAnsi"/>
                <w:b/>
                <w:sz w:val="16"/>
                <w:szCs w:val="16"/>
                <w:lang w:val="ru-MD" w:eastAsia="ru-RU"/>
              </w:rPr>
              <w:t>)</w:t>
            </w:r>
          </w:p>
        </w:tc>
        <w:tc>
          <w:tcPr>
            <w:tcW w:w="1260" w:type="dxa"/>
            <w:shd w:val="clear" w:color="auto" w:fill="DEEAF6" w:themeFill="accent1" w:themeFillTint="33"/>
          </w:tcPr>
          <w:p w14:paraId="24BE41FD" w14:textId="77777777" w:rsidR="007452A2" w:rsidRPr="00EC5A7B" w:rsidRDefault="007452A2" w:rsidP="00BD2955">
            <w:pPr>
              <w:pStyle w:val="NoSpacing"/>
              <w:spacing w:line="276" w:lineRule="auto"/>
              <w:ind w:right="-59"/>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Конвертирован</w:t>
            </w:r>
          </w:p>
          <w:p w14:paraId="6062CD93" w14:textId="5DCE6E54" w:rsidR="000D3D3E" w:rsidRPr="00EC5A7B" w:rsidRDefault="007452A2" w:rsidP="007452A2">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ный</w:t>
            </w:r>
            <w:r w:rsidR="000D3D3E" w:rsidRPr="00EC5A7B">
              <w:rPr>
                <w:rFonts w:asciiTheme="majorHAnsi" w:hAnsiTheme="majorHAnsi" w:cstheme="majorHAnsi"/>
                <w:b/>
                <w:sz w:val="16"/>
                <w:szCs w:val="16"/>
                <w:lang w:val="ru-MD" w:eastAsia="ru-RU"/>
              </w:rPr>
              <w:t xml:space="preserve"> (</w:t>
            </w:r>
            <w:r w:rsidRPr="00EC5A7B">
              <w:rPr>
                <w:rFonts w:asciiTheme="majorHAnsi" w:hAnsiTheme="majorHAnsi" w:cstheme="majorHAnsi"/>
                <w:b/>
                <w:sz w:val="16"/>
                <w:szCs w:val="16"/>
                <w:lang w:val="ru-MD" w:eastAsia="ru-RU"/>
              </w:rPr>
              <w:t>евро</w:t>
            </w:r>
            <w:r w:rsidR="000D3D3E" w:rsidRPr="00EC5A7B">
              <w:rPr>
                <w:rFonts w:asciiTheme="majorHAnsi" w:hAnsiTheme="majorHAnsi" w:cstheme="majorHAnsi"/>
                <w:b/>
                <w:sz w:val="16"/>
                <w:szCs w:val="16"/>
                <w:lang w:val="ru-MD" w:eastAsia="ru-RU"/>
              </w:rPr>
              <w:t>)</w:t>
            </w:r>
          </w:p>
        </w:tc>
        <w:tc>
          <w:tcPr>
            <w:tcW w:w="817" w:type="dxa"/>
            <w:shd w:val="clear" w:color="auto" w:fill="DEEAF6" w:themeFill="accent1" w:themeFillTint="33"/>
          </w:tcPr>
          <w:p w14:paraId="6571057C" w14:textId="77777777" w:rsidR="007452A2" w:rsidRPr="00EC5A7B" w:rsidRDefault="007452A2" w:rsidP="00BD2955">
            <w:pPr>
              <w:pStyle w:val="NoSpacing"/>
              <w:spacing w:line="276" w:lineRule="auto"/>
              <w:ind w:right="-54" w:hanging="116"/>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Существу</w:t>
            </w:r>
          </w:p>
          <w:p w14:paraId="49757A76" w14:textId="3730C7E2" w:rsidR="000D3D3E" w:rsidRPr="00EC5A7B" w:rsidRDefault="007452A2" w:rsidP="007452A2">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ющая</w:t>
            </w:r>
          </w:p>
        </w:tc>
        <w:tc>
          <w:tcPr>
            <w:tcW w:w="894" w:type="dxa"/>
            <w:shd w:val="clear" w:color="auto" w:fill="DEEAF6" w:themeFill="accent1" w:themeFillTint="33"/>
          </w:tcPr>
          <w:p w14:paraId="7351647F" w14:textId="77777777" w:rsidR="007452A2" w:rsidRPr="00EC5A7B" w:rsidRDefault="007452A2" w:rsidP="00BD2955">
            <w:pPr>
              <w:pStyle w:val="NoSpacing"/>
              <w:spacing w:line="276" w:lineRule="auto"/>
              <w:ind w:right="-131"/>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Конвертиро</w:t>
            </w:r>
          </w:p>
          <w:p w14:paraId="3AE7D696" w14:textId="3E1CD62D" w:rsidR="000D3D3E" w:rsidRPr="00EC5A7B" w:rsidRDefault="007452A2" w:rsidP="007452A2">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ванная</w:t>
            </w:r>
          </w:p>
        </w:tc>
        <w:tc>
          <w:tcPr>
            <w:tcW w:w="1169" w:type="dxa"/>
            <w:vMerge/>
          </w:tcPr>
          <w:p w14:paraId="6B200A89" w14:textId="77777777" w:rsidR="000D3D3E" w:rsidRPr="00EC5A7B" w:rsidRDefault="000D3D3E" w:rsidP="003B4F37">
            <w:pPr>
              <w:pStyle w:val="NoSpacing"/>
              <w:spacing w:line="276" w:lineRule="auto"/>
              <w:jc w:val="both"/>
              <w:rPr>
                <w:rFonts w:asciiTheme="majorHAnsi" w:hAnsiTheme="majorHAnsi" w:cstheme="majorHAnsi"/>
                <w:sz w:val="16"/>
                <w:szCs w:val="16"/>
                <w:lang w:val="ru-MD" w:eastAsia="ru-RU"/>
              </w:rPr>
            </w:pPr>
          </w:p>
        </w:tc>
        <w:tc>
          <w:tcPr>
            <w:tcW w:w="1105" w:type="dxa"/>
            <w:vMerge/>
          </w:tcPr>
          <w:p w14:paraId="47412600" w14:textId="77777777" w:rsidR="000D3D3E" w:rsidRPr="00EC5A7B" w:rsidRDefault="000D3D3E" w:rsidP="003B4F37">
            <w:pPr>
              <w:pStyle w:val="NoSpacing"/>
              <w:spacing w:line="276" w:lineRule="auto"/>
              <w:jc w:val="both"/>
              <w:rPr>
                <w:rFonts w:asciiTheme="majorHAnsi" w:hAnsiTheme="majorHAnsi" w:cstheme="majorHAnsi"/>
                <w:sz w:val="16"/>
                <w:szCs w:val="16"/>
                <w:lang w:val="ru-MD" w:eastAsia="ru-RU"/>
              </w:rPr>
            </w:pPr>
          </w:p>
        </w:tc>
        <w:tc>
          <w:tcPr>
            <w:tcW w:w="1079" w:type="dxa"/>
            <w:vMerge/>
          </w:tcPr>
          <w:p w14:paraId="295BAE22" w14:textId="77777777" w:rsidR="000D3D3E" w:rsidRPr="00EC5A7B" w:rsidRDefault="000D3D3E" w:rsidP="003B4F37">
            <w:pPr>
              <w:pStyle w:val="NoSpacing"/>
              <w:spacing w:line="276" w:lineRule="auto"/>
              <w:jc w:val="both"/>
              <w:rPr>
                <w:rFonts w:asciiTheme="majorHAnsi" w:hAnsiTheme="majorHAnsi" w:cstheme="majorHAnsi"/>
                <w:sz w:val="16"/>
                <w:szCs w:val="16"/>
                <w:lang w:val="ru-MD" w:eastAsia="ru-RU"/>
              </w:rPr>
            </w:pPr>
          </w:p>
        </w:tc>
        <w:tc>
          <w:tcPr>
            <w:tcW w:w="1146" w:type="dxa"/>
            <w:vMerge/>
          </w:tcPr>
          <w:p w14:paraId="3D3429EA" w14:textId="77777777" w:rsidR="000D3D3E" w:rsidRPr="00EC5A7B" w:rsidRDefault="000D3D3E" w:rsidP="003B4F37">
            <w:pPr>
              <w:pStyle w:val="NoSpacing"/>
              <w:spacing w:line="276" w:lineRule="auto"/>
              <w:jc w:val="both"/>
              <w:rPr>
                <w:rFonts w:asciiTheme="majorHAnsi" w:hAnsiTheme="majorHAnsi" w:cstheme="majorHAnsi"/>
                <w:sz w:val="16"/>
                <w:szCs w:val="16"/>
                <w:lang w:val="ru-MD" w:eastAsia="ru-RU"/>
              </w:rPr>
            </w:pPr>
          </w:p>
        </w:tc>
      </w:tr>
      <w:tr w:rsidR="00BD2955" w:rsidRPr="00EC5A7B" w14:paraId="6B48F33E" w14:textId="77777777" w:rsidTr="000D3D3E">
        <w:tc>
          <w:tcPr>
            <w:tcW w:w="866" w:type="dxa"/>
          </w:tcPr>
          <w:p w14:paraId="3F56CBD5" w14:textId="77777777" w:rsidR="003B4F37" w:rsidRPr="00EC5A7B" w:rsidRDefault="003B4F37"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1</w:t>
            </w:r>
          </w:p>
        </w:tc>
        <w:tc>
          <w:tcPr>
            <w:tcW w:w="1199" w:type="dxa"/>
          </w:tcPr>
          <w:p w14:paraId="7FD68138" w14:textId="77777777" w:rsidR="003B4F37" w:rsidRPr="00EC5A7B" w:rsidRDefault="003B4F37"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2</w:t>
            </w:r>
          </w:p>
        </w:tc>
        <w:tc>
          <w:tcPr>
            <w:tcW w:w="1260" w:type="dxa"/>
          </w:tcPr>
          <w:p w14:paraId="63282F30" w14:textId="77777777" w:rsidR="003B4F37" w:rsidRPr="00EC5A7B" w:rsidRDefault="003B4F37"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3</w:t>
            </w:r>
          </w:p>
        </w:tc>
        <w:tc>
          <w:tcPr>
            <w:tcW w:w="817" w:type="dxa"/>
          </w:tcPr>
          <w:p w14:paraId="17A7295E" w14:textId="77777777" w:rsidR="003B4F37" w:rsidRPr="00EC5A7B" w:rsidRDefault="003B4F37"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4</w:t>
            </w:r>
          </w:p>
        </w:tc>
        <w:tc>
          <w:tcPr>
            <w:tcW w:w="894" w:type="dxa"/>
          </w:tcPr>
          <w:p w14:paraId="02EAC854" w14:textId="77777777" w:rsidR="003B4F37" w:rsidRPr="00EC5A7B" w:rsidRDefault="003B4F37"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5</w:t>
            </w:r>
          </w:p>
        </w:tc>
        <w:tc>
          <w:tcPr>
            <w:tcW w:w="1169" w:type="dxa"/>
          </w:tcPr>
          <w:p w14:paraId="0413F571" w14:textId="77777777" w:rsidR="003B4F37" w:rsidRPr="00EC5A7B" w:rsidRDefault="000D3D3E"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6</w:t>
            </w:r>
          </w:p>
        </w:tc>
        <w:tc>
          <w:tcPr>
            <w:tcW w:w="1105" w:type="dxa"/>
          </w:tcPr>
          <w:p w14:paraId="0CBBA901" w14:textId="77777777" w:rsidR="003B4F37" w:rsidRPr="00EC5A7B" w:rsidRDefault="000D3D3E"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7</w:t>
            </w:r>
          </w:p>
        </w:tc>
        <w:tc>
          <w:tcPr>
            <w:tcW w:w="1079" w:type="dxa"/>
          </w:tcPr>
          <w:p w14:paraId="164F3145" w14:textId="77777777" w:rsidR="003B4F37" w:rsidRPr="00EC5A7B" w:rsidRDefault="000D3D3E"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8</w:t>
            </w:r>
          </w:p>
        </w:tc>
        <w:tc>
          <w:tcPr>
            <w:tcW w:w="1146" w:type="dxa"/>
          </w:tcPr>
          <w:p w14:paraId="7721EB33" w14:textId="77777777" w:rsidR="003B4F37" w:rsidRPr="00EC5A7B" w:rsidRDefault="000D3D3E" w:rsidP="003B4F37">
            <w:pPr>
              <w:pStyle w:val="NoSpacing"/>
              <w:spacing w:line="276" w:lineRule="auto"/>
              <w:jc w:val="center"/>
              <w:rPr>
                <w:rFonts w:asciiTheme="majorHAnsi" w:hAnsiTheme="majorHAnsi" w:cstheme="majorHAnsi"/>
                <w:b/>
                <w:i/>
                <w:sz w:val="16"/>
                <w:szCs w:val="16"/>
                <w:lang w:val="ru-MD" w:eastAsia="ru-RU"/>
              </w:rPr>
            </w:pPr>
            <w:r w:rsidRPr="00EC5A7B">
              <w:rPr>
                <w:rFonts w:asciiTheme="majorHAnsi" w:hAnsiTheme="majorHAnsi" w:cstheme="majorHAnsi"/>
                <w:b/>
                <w:i/>
                <w:sz w:val="16"/>
                <w:szCs w:val="16"/>
                <w:lang w:val="ru-MD" w:eastAsia="ru-RU"/>
              </w:rPr>
              <w:t>9=6-7-8</w:t>
            </w:r>
          </w:p>
        </w:tc>
      </w:tr>
      <w:tr w:rsidR="00BD2955" w:rsidRPr="00EC5A7B" w14:paraId="78CD5C3C" w14:textId="77777777" w:rsidTr="000D3D3E">
        <w:tc>
          <w:tcPr>
            <w:tcW w:w="866" w:type="dxa"/>
          </w:tcPr>
          <w:p w14:paraId="68A88B21" w14:textId="05F47EAE"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83660</w:t>
            </w:r>
          </w:p>
        </w:tc>
        <w:tc>
          <w:tcPr>
            <w:tcW w:w="1199" w:type="dxa"/>
          </w:tcPr>
          <w:p w14:paraId="24EE69B3"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9 000 000,0</w:t>
            </w:r>
          </w:p>
        </w:tc>
        <w:tc>
          <w:tcPr>
            <w:tcW w:w="1260" w:type="dxa"/>
          </w:tcPr>
          <w:p w14:paraId="6959C367"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7 954 043,31</w:t>
            </w:r>
          </w:p>
        </w:tc>
        <w:tc>
          <w:tcPr>
            <w:tcW w:w="817" w:type="dxa"/>
          </w:tcPr>
          <w:p w14:paraId="33AA3C48"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3,86</w:t>
            </w:r>
          </w:p>
        </w:tc>
        <w:tc>
          <w:tcPr>
            <w:tcW w:w="894" w:type="dxa"/>
          </w:tcPr>
          <w:p w14:paraId="24D76548"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0,62</w:t>
            </w:r>
          </w:p>
        </w:tc>
        <w:tc>
          <w:tcPr>
            <w:tcW w:w="1169" w:type="dxa"/>
          </w:tcPr>
          <w:p w14:paraId="76554DCD"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4 612 425,74</w:t>
            </w:r>
          </w:p>
        </w:tc>
        <w:tc>
          <w:tcPr>
            <w:tcW w:w="1105" w:type="dxa"/>
          </w:tcPr>
          <w:p w14:paraId="419698B9"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738 116,66</w:t>
            </w:r>
          </w:p>
        </w:tc>
        <w:tc>
          <w:tcPr>
            <w:tcW w:w="1079" w:type="dxa"/>
          </w:tcPr>
          <w:p w14:paraId="496DD6BC"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p>
        </w:tc>
        <w:tc>
          <w:tcPr>
            <w:tcW w:w="1146" w:type="dxa"/>
          </w:tcPr>
          <w:p w14:paraId="15D3C8DC"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3 874 309,08</w:t>
            </w:r>
          </w:p>
        </w:tc>
      </w:tr>
      <w:tr w:rsidR="00BD2955" w:rsidRPr="00EC5A7B" w14:paraId="1A4F0553" w14:textId="77777777" w:rsidTr="000D3D3E">
        <w:tc>
          <w:tcPr>
            <w:tcW w:w="866" w:type="dxa"/>
          </w:tcPr>
          <w:p w14:paraId="79587277" w14:textId="2D98EF51"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84000</w:t>
            </w:r>
          </w:p>
        </w:tc>
        <w:tc>
          <w:tcPr>
            <w:tcW w:w="1199" w:type="dxa"/>
          </w:tcPr>
          <w:p w14:paraId="512C250F"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22 121 327,44</w:t>
            </w:r>
          </w:p>
        </w:tc>
        <w:tc>
          <w:tcPr>
            <w:tcW w:w="1260" w:type="dxa"/>
          </w:tcPr>
          <w:p w14:paraId="25968498"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19 550 444,05</w:t>
            </w:r>
          </w:p>
        </w:tc>
        <w:tc>
          <w:tcPr>
            <w:tcW w:w="817" w:type="dxa"/>
          </w:tcPr>
          <w:p w14:paraId="1A699463"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3,91</w:t>
            </w:r>
          </w:p>
        </w:tc>
        <w:tc>
          <w:tcPr>
            <w:tcW w:w="894" w:type="dxa"/>
          </w:tcPr>
          <w:p w14:paraId="5F6E5349"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0,64</w:t>
            </w:r>
          </w:p>
        </w:tc>
        <w:tc>
          <w:tcPr>
            <w:tcW w:w="1169" w:type="dxa"/>
          </w:tcPr>
          <w:p w14:paraId="267DEFA3"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11 782 363,0</w:t>
            </w:r>
          </w:p>
        </w:tc>
        <w:tc>
          <w:tcPr>
            <w:tcW w:w="1105" w:type="dxa"/>
          </w:tcPr>
          <w:p w14:paraId="485F0B11"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2 066 951,98</w:t>
            </w:r>
          </w:p>
        </w:tc>
        <w:tc>
          <w:tcPr>
            <w:tcW w:w="1079" w:type="dxa"/>
          </w:tcPr>
          <w:p w14:paraId="013876A1"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176 200,59</w:t>
            </w:r>
          </w:p>
        </w:tc>
        <w:tc>
          <w:tcPr>
            <w:tcW w:w="1146" w:type="dxa"/>
          </w:tcPr>
          <w:p w14:paraId="6E2B9DBB"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9 539 210,43</w:t>
            </w:r>
          </w:p>
        </w:tc>
      </w:tr>
      <w:tr w:rsidR="00BD2955" w:rsidRPr="00EC5A7B" w14:paraId="37292E9A" w14:textId="77777777" w:rsidTr="000D3D3E">
        <w:tc>
          <w:tcPr>
            <w:tcW w:w="866" w:type="dxa"/>
          </w:tcPr>
          <w:p w14:paraId="648BFFDE" w14:textId="4A90CEA6"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84510</w:t>
            </w:r>
          </w:p>
        </w:tc>
        <w:tc>
          <w:tcPr>
            <w:tcW w:w="1199" w:type="dxa"/>
          </w:tcPr>
          <w:p w14:paraId="69E3C2C2"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34 001 036,22</w:t>
            </w:r>
          </w:p>
        </w:tc>
        <w:tc>
          <w:tcPr>
            <w:tcW w:w="1260" w:type="dxa"/>
          </w:tcPr>
          <w:p w14:paraId="61B387E2"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30 001 229,97</w:t>
            </w:r>
          </w:p>
        </w:tc>
        <w:tc>
          <w:tcPr>
            <w:tcW w:w="817" w:type="dxa"/>
          </w:tcPr>
          <w:p w14:paraId="3F70C929"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3,63</w:t>
            </w:r>
          </w:p>
        </w:tc>
        <w:tc>
          <w:tcPr>
            <w:tcW w:w="894" w:type="dxa"/>
          </w:tcPr>
          <w:p w14:paraId="64E1FE7D"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0,83</w:t>
            </w:r>
          </w:p>
        </w:tc>
        <w:tc>
          <w:tcPr>
            <w:tcW w:w="1169" w:type="dxa"/>
          </w:tcPr>
          <w:p w14:paraId="4CECDE05"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17 275 512,81</w:t>
            </w:r>
          </w:p>
        </w:tc>
        <w:tc>
          <w:tcPr>
            <w:tcW w:w="1105" w:type="dxa"/>
          </w:tcPr>
          <w:p w14:paraId="360E5323"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3 885 637,92</w:t>
            </w:r>
          </w:p>
        </w:tc>
        <w:tc>
          <w:tcPr>
            <w:tcW w:w="1079" w:type="dxa"/>
          </w:tcPr>
          <w:p w14:paraId="5E984014"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145 344,37</w:t>
            </w:r>
          </w:p>
        </w:tc>
        <w:tc>
          <w:tcPr>
            <w:tcW w:w="1146" w:type="dxa"/>
          </w:tcPr>
          <w:p w14:paraId="11DF1B5B"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13 244 530,52</w:t>
            </w:r>
          </w:p>
        </w:tc>
      </w:tr>
      <w:tr w:rsidR="00BD2955" w:rsidRPr="00EC5A7B" w14:paraId="4AC1CCD8" w14:textId="77777777" w:rsidTr="000D3D3E">
        <w:tc>
          <w:tcPr>
            <w:tcW w:w="866" w:type="dxa"/>
          </w:tcPr>
          <w:p w14:paraId="41ED9ACB" w14:textId="01F95F55"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86740</w:t>
            </w:r>
          </w:p>
        </w:tc>
        <w:tc>
          <w:tcPr>
            <w:tcW w:w="1199" w:type="dxa"/>
          </w:tcPr>
          <w:p w14:paraId="53583736"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27 200 000,0</w:t>
            </w:r>
          </w:p>
        </w:tc>
        <w:tc>
          <w:tcPr>
            <w:tcW w:w="1260" w:type="dxa"/>
          </w:tcPr>
          <w:p w14:paraId="7A4AE7CF"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23 999 647,06</w:t>
            </w:r>
          </w:p>
        </w:tc>
        <w:tc>
          <w:tcPr>
            <w:tcW w:w="817" w:type="dxa"/>
          </w:tcPr>
          <w:p w14:paraId="26ABDE32"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3,75</w:t>
            </w:r>
          </w:p>
        </w:tc>
        <w:tc>
          <w:tcPr>
            <w:tcW w:w="894" w:type="dxa"/>
          </w:tcPr>
          <w:p w14:paraId="2A77F085"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0,69</w:t>
            </w:r>
          </w:p>
        </w:tc>
        <w:tc>
          <w:tcPr>
            <w:tcW w:w="1169" w:type="dxa"/>
          </w:tcPr>
          <w:p w14:paraId="5652D550"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13 868 984,84</w:t>
            </w:r>
          </w:p>
        </w:tc>
        <w:tc>
          <w:tcPr>
            <w:tcW w:w="1105" w:type="dxa"/>
          </w:tcPr>
          <w:p w14:paraId="42CE4457"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2 757 406,66</w:t>
            </w:r>
          </w:p>
        </w:tc>
        <w:tc>
          <w:tcPr>
            <w:tcW w:w="1079" w:type="dxa"/>
          </w:tcPr>
          <w:p w14:paraId="7E20951E"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p>
        </w:tc>
        <w:tc>
          <w:tcPr>
            <w:tcW w:w="1146" w:type="dxa"/>
          </w:tcPr>
          <w:p w14:paraId="4305A618"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11 111 578,18</w:t>
            </w:r>
          </w:p>
        </w:tc>
      </w:tr>
      <w:tr w:rsidR="00BD2955" w:rsidRPr="00EC5A7B" w14:paraId="1DFC57B4" w14:textId="77777777" w:rsidTr="000D3D3E">
        <w:tc>
          <w:tcPr>
            <w:tcW w:w="866" w:type="dxa"/>
          </w:tcPr>
          <w:p w14:paraId="07DC6A6A" w14:textId="452D7210"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87740</w:t>
            </w:r>
          </w:p>
        </w:tc>
        <w:tc>
          <w:tcPr>
            <w:tcW w:w="1199" w:type="dxa"/>
          </w:tcPr>
          <w:p w14:paraId="2DEB2639"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356 053,56</w:t>
            </w:r>
          </w:p>
        </w:tc>
        <w:tc>
          <w:tcPr>
            <w:tcW w:w="1260" w:type="dxa"/>
          </w:tcPr>
          <w:p w14:paraId="312617A6"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314 160,29</w:t>
            </w:r>
          </w:p>
        </w:tc>
        <w:tc>
          <w:tcPr>
            <w:tcW w:w="817" w:type="dxa"/>
          </w:tcPr>
          <w:p w14:paraId="1D6604F6"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3,64</w:t>
            </w:r>
          </w:p>
        </w:tc>
        <w:tc>
          <w:tcPr>
            <w:tcW w:w="894" w:type="dxa"/>
          </w:tcPr>
          <w:p w14:paraId="6DD91A0C"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0,83</w:t>
            </w:r>
          </w:p>
        </w:tc>
        <w:tc>
          <w:tcPr>
            <w:tcW w:w="1169" w:type="dxa"/>
          </w:tcPr>
          <w:p w14:paraId="3CC91F8B"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182 346,09</w:t>
            </w:r>
          </w:p>
        </w:tc>
        <w:tc>
          <w:tcPr>
            <w:tcW w:w="1105" w:type="dxa"/>
          </w:tcPr>
          <w:p w14:paraId="0ACBE19B"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40 429,93</w:t>
            </w:r>
          </w:p>
        </w:tc>
        <w:tc>
          <w:tcPr>
            <w:tcW w:w="1079" w:type="dxa"/>
          </w:tcPr>
          <w:p w14:paraId="4A9A9D12"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103 858,32</w:t>
            </w:r>
          </w:p>
        </w:tc>
        <w:tc>
          <w:tcPr>
            <w:tcW w:w="1146" w:type="dxa"/>
          </w:tcPr>
          <w:p w14:paraId="2888AA5C"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38 057,84</w:t>
            </w:r>
          </w:p>
        </w:tc>
      </w:tr>
      <w:tr w:rsidR="00BD2955" w:rsidRPr="00EC5A7B" w14:paraId="0AC73DF3" w14:textId="77777777" w:rsidTr="000D3D3E">
        <w:tc>
          <w:tcPr>
            <w:tcW w:w="866" w:type="dxa"/>
          </w:tcPr>
          <w:p w14:paraId="74BD446B" w14:textId="4DFF4DFB" w:rsidR="000D3D3E" w:rsidRPr="00EC5A7B" w:rsidRDefault="00BD2955" w:rsidP="003B4F37">
            <w:pPr>
              <w:pStyle w:val="NoSpacing"/>
              <w:spacing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0D3D3E" w:rsidRPr="00EC5A7B">
              <w:rPr>
                <w:rFonts w:asciiTheme="majorHAnsi" w:hAnsiTheme="majorHAnsi" w:cstheme="majorHAnsi"/>
                <w:sz w:val="16"/>
                <w:szCs w:val="16"/>
                <w:lang w:val="ru-MD" w:eastAsia="ru-RU"/>
              </w:rPr>
              <w:t>86250</w:t>
            </w:r>
          </w:p>
        </w:tc>
        <w:tc>
          <w:tcPr>
            <w:tcW w:w="1199" w:type="dxa"/>
          </w:tcPr>
          <w:p w14:paraId="1BF6A746"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w:t>
            </w:r>
          </w:p>
        </w:tc>
        <w:tc>
          <w:tcPr>
            <w:tcW w:w="1260" w:type="dxa"/>
          </w:tcPr>
          <w:p w14:paraId="607BD935"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w:t>
            </w:r>
          </w:p>
        </w:tc>
        <w:tc>
          <w:tcPr>
            <w:tcW w:w="817" w:type="dxa"/>
          </w:tcPr>
          <w:p w14:paraId="0A48A99D"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3,79</w:t>
            </w:r>
          </w:p>
        </w:tc>
        <w:tc>
          <w:tcPr>
            <w:tcW w:w="894" w:type="dxa"/>
          </w:tcPr>
          <w:p w14:paraId="209F99F8"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0,65</w:t>
            </w:r>
          </w:p>
        </w:tc>
        <w:tc>
          <w:tcPr>
            <w:tcW w:w="1169" w:type="dxa"/>
          </w:tcPr>
          <w:p w14:paraId="25E27FD5"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w:t>
            </w:r>
          </w:p>
        </w:tc>
        <w:tc>
          <w:tcPr>
            <w:tcW w:w="1105" w:type="dxa"/>
          </w:tcPr>
          <w:p w14:paraId="7D4EE5D1" w14:textId="77777777" w:rsidR="000D3D3E" w:rsidRPr="00EC5A7B" w:rsidRDefault="000D3D3E"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0</w:t>
            </w:r>
          </w:p>
        </w:tc>
        <w:tc>
          <w:tcPr>
            <w:tcW w:w="1079" w:type="dxa"/>
          </w:tcPr>
          <w:p w14:paraId="56D38227"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281 342,27</w:t>
            </w:r>
          </w:p>
        </w:tc>
        <w:tc>
          <w:tcPr>
            <w:tcW w:w="1146" w:type="dxa"/>
          </w:tcPr>
          <w:p w14:paraId="0B34FC7F" w14:textId="77777777" w:rsidR="000D3D3E" w:rsidRPr="00EC5A7B" w:rsidRDefault="00D120D1" w:rsidP="000D3D3E">
            <w:pPr>
              <w:pStyle w:val="NoSpacing"/>
              <w:spacing w:line="276" w:lineRule="auto"/>
              <w:jc w:val="center"/>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-281 342,27</w:t>
            </w:r>
          </w:p>
        </w:tc>
      </w:tr>
      <w:tr w:rsidR="00BD2955" w:rsidRPr="00EC5A7B" w14:paraId="6FC4C724" w14:textId="77777777" w:rsidTr="000D3D3E">
        <w:tc>
          <w:tcPr>
            <w:tcW w:w="866" w:type="dxa"/>
          </w:tcPr>
          <w:p w14:paraId="18A05465" w14:textId="4D7895AB" w:rsidR="003B4F37" w:rsidRPr="00EC5A7B" w:rsidRDefault="00BD2955" w:rsidP="00BD2955">
            <w:pPr>
              <w:pStyle w:val="NoSpacing"/>
              <w:spacing w:line="276" w:lineRule="auto"/>
              <w:jc w:val="both"/>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Всего</w:t>
            </w:r>
          </w:p>
        </w:tc>
        <w:tc>
          <w:tcPr>
            <w:tcW w:w="1199" w:type="dxa"/>
          </w:tcPr>
          <w:p w14:paraId="59D2543F"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92 678 417,22</w:t>
            </w:r>
          </w:p>
        </w:tc>
        <w:tc>
          <w:tcPr>
            <w:tcW w:w="1260" w:type="dxa"/>
          </w:tcPr>
          <w:p w14:paraId="74F6DF82"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81 819 524,68</w:t>
            </w:r>
          </w:p>
        </w:tc>
        <w:tc>
          <w:tcPr>
            <w:tcW w:w="817" w:type="dxa"/>
          </w:tcPr>
          <w:p w14:paraId="3DE96A46"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3,76</w:t>
            </w:r>
          </w:p>
        </w:tc>
        <w:tc>
          <w:tcPr>
            <w:tcW w:w="894" w:type="dxa"/>
          </w:tcPr>
          <w:p w14:paraId="3E9ED692"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0,71</w:t>
            </w:r>
          </w:p>
        </w:tc>
        <w:tc>
          <w:tcPr>
            <w:tcW w:w="1169" w:type="dxa"/>
          </w:tcPr>
          <w:p w14:paraId="6E9A8264" w14:textId="02995FFA" w:rsidR="003B4F37" w:rsidRPr="00EC5A7B" w:rsidRDefault="00757ED2" w:rsidP="00757ED2">
            <w:pPr>
              <w:pStyle w:val="NoSpacing"/>
              <w:spacing w:line="276" w:lineRule="auto"/>
              <w:ind w:left="-66" w:right="-69"/>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47 721</w:t>
            </w:r>
            <w:r w:rsidR="000D3D3E" w:rsidRPr="00EC5A7B">
              <w:rPr>
                <w:rFonts w:asciiTheme="majorHAnsi" w:hAnsiTheme="majorHAnsi" w:cstheme="majorHAnsi"/>
                <w:b/>
                <w:sz w:val="16"/>
                <w:szCs w:val="16"/>
                <w:lang w:val="ru-MD" w:eastAsia="ru-RU"/>
              </w:rPr>
              <w:t>632,48</w:t>
            </w:r>
          </w:p>
        </w:tc>
        <w:tc>
          <w:tcPr>
            <w:tcW w:w="1105" w:type="dxa"/>
          </w:tcPr>
          <w:p w14:paraId="388930FD"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9 488 543,16</w:t>
            </w:r>
          </w:p>
        </w:tc>
        <w:tc>
          <w:tcPr>
            <w:tcW w:w="1079" w:type="dxa"/>
          </w:tcPr>
          <w:p w14:paraId="02291ABA"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706 745,55</w:t>
            </w:r>
          </w:p>
        </w:tc>
        <w:tc>
          <w:tcPr>
            <w:tcW w:w="1146" w:type="dxa"/>
          </w:tcPr>
          <w:p w14:paraId="7DF3099D" w14:textId="77777777" w:rsidR="003B4F37" w:rsidRPr="00EC5A7B" w:rsidRDefault="000D3D3E" w:rsidP="000D3D3E">
            <w:pPr>
              <w:pStyle w:val="NoSpacing"/>
              <w:spacing w:line="276" w:lineRule="auto"/>
              <w:jc w:val="center"/>
              <w:rPr>
                <w:rFonts w:asciiTheme="majorHAnsi" w:hAnsiTheme="majorHAnsi" w:cstheme="majorHAnsi"/>
                <w:b/>
                <w:sz w:val="16"/>
                <w:szCs w:val="16"/>
                <w:lang w:val="ru-MD" w:eastAsia="ru-RU"/>
              </w:rPr>
            </w:pPr>
            <w:r w:rsidRPr="00EC5A7B">
              <w:rPr>
                <w:rFonts w:asciiTheme="majorHAnsi" w:hAnsiTheme="majorHAnsi" w:cstheme="majorHAnsi"/>
                <w:b/>
                <w:sz w:val="16"/>
                <w:szCs w:val="16"/>
                <w:lang w:val="ru-MD" w:eastAsia="ru-RU"/>
              </w:rPr>
              <w:t>37 526 343,77</w:t>
            </w:r>
          </w:p>
        </w:tc>
      </w:tr>
    </w:tbl>
    <w:p w14:paraId="6B18B1A0" w14:textId="5A2B9C4E" w:rsidR="004915EA" w:rsidRPr="00EC5A7B" w:rsidRDefault="007B3D00" w:rsidP="00E85242">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6B48CC" w:rsidRPr="00EC5A7B">
        <w:rPr>
          <w:rFonts w:asciiTheme="majorHAnsi" w:hAnsiTheme="majorHAnsi" w:cstheme="majorHAnsi"/>
          <w:b/>
          <w:i/>
          <w:sz w:val="20"/>
          <w:szCs w:val="20"/>
          <w:lang w:val="ru-MD" w:eastAsia="ru-RU"/>
        </w:rPr>
        <w:t>:</w:t>
      </w:r>
      <w:r w:rsidR="006B48CC" w:rsidRPr="00EC5A7B">
        <w:rPr>
          <w:rFonts w:asciiTheme="majorHAnsi" w:hAnsiTheme="majorHAnsi" w:cstheme="majorHAnsi"/>
          <w:i/>
          <w:sz w:val="20"/>
          <w:szCs w:val="20"/>
          <w:lang w:val="ru-MD" w:eastAsia="ru-RU"/>
        </w:rPr>
        <w:t xml:space="preserve"> </w:t>
      </w:r>
      <w:r w:rsidR="00BD2955" w:rsidRPr="00EC5A7B">
        <w:rPr>
          <w:rFonts w:asciiTheme="majorHAnsi" w:hAnsiTheme="majorHAnsi" w:cstheme="majorHAnsi"/>
          <w:i/>
          <w:sz w:val="20"/>
          <w:szCs w:val="20"/>
          <w:lang w:val="ru-MD" w:eastAsia="ru-RU"/>
        </w:rPr>
        <w:t>Справка-отчет о результатах конвертации внешних государственных займов, предоставленных МБРР по состоянию на 31 декабря 2019 года.</w:t>
      </w:r>
    </w:p>
    <w:p w14:paraId="2D634994" w14:textId="0FB4B313" w:rsidR="00F47F9C" w:rsidRPr="00EC5A7B" w:rsidRDefault="00B367F7" w:rsidP="00E852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На 2020 год планируется конверсия из валюты доллара США в валюту евро кредита №4856, предоставленного ЕБРР для реализации проекта „Восстановление электрических транспортных сетей „Moldelectrica””. Предполагается, что указанное изменение приведет к формированию экономии средств в государственном бюджете на сумму около 1,9 млн. леев</w:t>
      </w:r>
      <w:r w:rsidR="00A15905" w:rsidRPr="00EC5A7B">
        <w:rPr>
          <w:rFonts w:asciiTheme="majorHAnsi" w:hAnsiTheme="majorHAnsi" w:cstheme="majorHAnsi"/>
          <w:sz w:val="24"/>
          <w:szCs w:val="24"/>
          <w:lang w:val="ru-MD" w:eastAsia="ru-RU"/>
        </w:rPr>
        <w:t>.</w:t>
      </w:r>
    </w:p>
    <w:p w14:paraId="550A6F62" w14:textId="2FE9BB06" w:rsidR="006023D2" w:rsidRPr="00EC5A7B" w:rsidRDefault="00B367F7" w:rsidP="00B367F7">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u-MD" w:eastAsia="ru-RU"/>
        </w:rPr>
      </w:pPr>
      <w:bookmarkStart w:id="14" w:name="_Toc63157263"/>
      <w:r w:rsidRPr="00EC5A7B">
        <w:rPr>
          <w:rFonts w:asciiTheme="majorHAnsi" w:eastAsia="Times New Roman" w:hAnsiTheme="majorHAnsi" w:cstheme="majorHAnsi"/>
          <w:b/>
          <w:bCs/>
          <w:i/>
          <w:color w:val="5B9BD5" w:themeColor="accent1"/>
          <w:sz w:val="24"/>
          <w:szCs w:val="24"/>
          <w:lang w:val="ru-MD" w:eastAsia="ru-RU"/>
        </w:rPr>
        <w:t>Расходы на обслуживание государственного долга сократились по сравнению с предыдущим годом, в частности, в результате сокращения расходов на обслуживание внутреннего государственного долга</w:t>
      </w:r>
      <w:bookmarkEnd w:id="14"/>
      <w:r w:rsidRPr="00EC5A7B">
        <w:rPr>
          <w:rFonts w:asciiTheme="majorHAnsi" w:eastAsia="Times New Roman" w:hAnsiTheme="majorHAnsi" w:cstheme="majorHAnsi"/>
          <w:b/>
          <w:bCs/>
          <w:i/>
          <w:color w:val="5B9BD5" w:themeColor="accent1"/>
          <w:sz w:val="24"/>
          <w:szCs w:val="24"/>
          <w:lang w:val="ru-MD" w:eastAsia="ru-RU"/>
        </w:rPr>
        <w:t xml:space="preserve"> </w:t>
      </w:r>
    </w:p>
    <w:p w14:paraId="0C5FDA6C" w14:textId="6D63224B" w:rsidR="006023D2" w:rsidRPr="00EC5A7B" w:rsidRDefault="00F847D0" w:rsidP="00A65587">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 течение 2019 года на обслуживание государственного долга было выплачено 15 045,2 млн. леев, или на 775,4 млн. леев меньше, чем расходы предыдущего года. Из общих выплат по обслуживанию государственного долга, были направлены на погашение основной суммы и выкуп ГЦБ, достигших срока погашения, 13 425,7 млн. леев, а на уплату процентов и комиссий-1 619,5 млн. леев</w:t>
      </w:r>
      <w:r w:rsidR="00A65587" w:rsidRPr="00EC5A7B">
        <w:rPr>
          <w:rFonts w:asciiTheme="majorHAnsi" w:hAnsiTheme="majorHAnsi" w:cstheme="majorHAnsi"/>
          <w:sz w:val="24"/>
          <w:szCs w:val="24"/>
          <w:lang w:val="ru-MD" w:eastAsia="ru-RU"/>
        </w:rPr>
        <w:t xml:space="preserve">. </w:t>
      </w:r>
    </w:p>
    <w:p w14:paraId="544B1037" w14:textId="2AB2ADB9" w:rsidR="00AB1E33" w:rsidRPr="00EC5A7B" w:rsidRDefault="00F847D0" w:rsidP="00C32F2F">
      <w:pPr>
        <w:pStyle w:val="NoSpacing"/>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Из </w:t>
      </w:r>
      <w:r w:rsidR="00CA5033" w:rsidRPr="00EC5A7B">
        <w:rPr>
          <w:rFonts w:asciiTheme="majorHAnsi" w:hAnsiTheme="majorHAnsi" w:cstheme="majorHAnsi"/>
          <w:sz w:val="24"/>
          <w:szCs w:val="24"/>
          <w:lang w:val="ru-MD" w:eastAsia="ru-RU"/>
        </w:rPr>
        <w:t>общих</w:t>
      </w:r>
      <w:r w:rsidRPr="00EC5A7B">
        <w:rPr>
          <w:rFonts w:asciiTheme="majorHAnsi" w:hAnsiTheme="majorHAnsi" w:cstheme="majorHAnsi"/>
          <w:sz w:val="24"/>
          <w:szCs w:val="24"/>
          <w:lang w:val="ru-MD" w:eastAsia="ru-RU"/>
        </w:rPr>
        <w:t xml:space="preserve"> выплат по обслуживанию государственного долга, основная доля 83,0% (12 488,3 млн. леев) были перечислены на обслуживание внутреннего государственного долга, и 17,0% (2 </w:t>
      </w:r>
      <w:r w:rsidRPr="00EC5A7B">
        <w:rPr>
          <w:rFonts w:asciiTheme="majorHAnsi" w:hAnsiTheme="majorHAnsi" w:cstheme="majorHAnsi"/>
          <w:sz w:val="24"/>
          <w:szCs w:val="24"/>
          <w:lang w:val="ru-MD" w:eastAsia="ru-RU"/>
        </w:rPr>
        <w:lastRenderedPageBreak/>
        <w:t xml:space="preserve">556,9 млн. леев) - на обслуживание внешнего государственного долга. </w:t>
      </w:r>
      <w:r w:rsidR="00CA5033" w:rsidRPr="00EC5A7B">
        <w:rPr>
          <w:rFonts w:asciiTheme="majorHAnsi" w:hAnsiTheme="majorHAnsi" w:cstheme="majorHAnsi"/>
          <w:i/>
          <w:sz w:val="24"/>
          <w:szCs w:val="24"/>
          <w:lang w:val="ru-MD" w:eastAsia="ru-RU"/>
        </w:rPr>
        <w:t>Эволю</w:t>
      </w:r>
      <w:r w:rsidRPr="00EC5A7B">
        <w:rPr>
          <w:rFonts w:asciiTheme="majorHAnsi" w:hAnsiTheme="majorHAnsi" w:cstheme="majorHAnsi"/>
          <w:i/>
          <w:sz w:val="24"/>
          <w:szCs w:val="24"/>
          <w:lang w:val="ru-MD" w:eastAsia="ru-RU"/>
        </w:rPr>
        <w:t xml:space="preserve">ция расходов на обслуживание государственного долга </w:t>
      </w:r>
      <w:r w:rsidR="00CA5033" w:rsidRPr="00EC5A7B">
        <w:rPr>
          <w:rFonts w:asciiTheme="majorHAnsi" w:hAnsiTheme="majorHAnsi" w:cstheme="majorHAnsi"/>
          <w:i/>
          <w:sz w:val="24"/>
          <w:szCs w:val="24"/>
          <w:lang w:val="ru-MD" w:eastAsia="ru-RU"/>
        </w:rPr>
        <w:t>за</w:t>
      </w:r>
      <w:r w:rsidRPr="00EC5A7B">
        <w:rPr>
          <w:rFonts w:asciiTheme="majorHAnsi" w:hAnsiTheme="majorHAnsi" w:cstheme="majorHAnsi"/>
          <w:i/>
          <w:sz w:val="24"/>
          <w:szCs w:val="24"/>
          <w:lang w:val="ru-MD" w:eastAsia="ru-RU"/>
        </w:rPr>
        <w:t xml:space="preserve"> 2017-2019 г</w:t>
      </w:r>
      <w:r w:rsidR="00CA5033" w:rsidRPr="00EC5A7B">
        <w:rPr>
          <w:rFonts w:asciiTheme="majorHAnsi" w:hAnsiTheme="majorHAnsi" w:cstheme="majorHAnsi"/>
          <w:i/>
          <w:sz w:val="24"/>
          <w:szCs w:val="24"/>
          <w:lang w:val="ru-MD" w:eastAsia="ru-RU"/>
        </w:rPr>
        <w:t>оды</w:t>
      </w:r>
      <w:r w:rsidRPr="00EC5A7B">
        <w:rPr>
          <w:rFonts w:asciiTheme="majorHAnsi" w:hAnsiTheme="majorHAnsi" w:cstheme="majorHAnsi"/>
          <w:i/>
          <w:sz w:val="24"/>
          <w:szCs w:val="24"/>
          <w:lang w:val="ru-MD" w:eastAsia="ru-RU"/>
        </w:rPr>
        <w:t xml:space="preserve"> представлена в </w:t>
      </w:r>
      <w:r w:rsidR="00220355" w:rsidRPr="00EC5A7B">
        <w:rPr>
          <w:rFonts w:asciiTheme="majorHAnsi" w:hAnsiTheme="majorHAnsi" w:cstheme="majorHAnsi"/>
          <w:i/>
          <w:sz w:val="24"/>
          <w:szCs w:val="24"/>
          <w:lang w:val="ru-MD" w:eastAsia="ru-RU"/>
        </w:rPr>
        <w:t>Таблиц</w:t>
      </w:r>
      <w:r w:rsidR="00CA5033" w:rsidRPr="00EC5A7B">
        <w:rPr>
          <w:rFonts w:asciiTheme="majorHAnsi" w:hAnsiTheme="majorHAnsi" w:cstheme="majorHAnsi"/>
          <w:i/>
          <w:sz w:val="24"/>
          <w:szCs w:val="24"/>
          <w:lang w:val="ru-MD" w:eastAsia="ru-RU"/>
        </w:rPr>
        <w:t>е</w:t>
      </w:r>
      <w:r w:rsidR="00220355" w:rsidRPr="00EC5A7B">
        <w:rPr>
          <w:rFonts w:asciiTheme="majorHAnsi" w:hAnsiTheme="majorHAnsi" w:cstheme="majorHAnsi"/>
          <w:i/>
          <w:sz w:val="24"/>
          <w:szCs w:val="24"/>
          <w:lang w:val="ru-MD" w:eastAsia="ru-RU"/>
        </w:rPr>
        <w:t xml:space="preserve"> №</w:t>
      </w:r>
      <w:r w:rsidR="006F221C" w:rsidRPr="00EC5A7B">
        <w:rPr>
          <w:rFonts w:asciiTheme="majorHAnsi" w:hAnsiTheme="majorHAnsi" w:cstheme="majorHAnsi"/>
          <w:i/>
          <w:sz w:val="24"/>
          <w:szCs w:val="24"/>
          <w:lang w:val="ru-MD" w:eastAsia="ru-RU"/>
        </w:rPr>
        <w:t>8</w:t>
      </w:r>
      <w:r w:rsidR="00712FA2" w:rsidRPr="00EC5A7B">
        <w:rPr>
          <w:rFonts w:asciiTheme="majorHAnsi" w:hAnsiTheme="majorHAnsi" w:cstheme="majorHAnsi"/>
          <w:i/>
          <w:sz w:val="24"/>
          <w:szCs w:val="24"/>
          <w:lang w:val="ru-MD" w:eastAsia="ru-RU"/>
        </w:rPr>
        <w:t>.</w:t>
      </w:r>
    </w:p>
    <w:p w14:paraId="5EB9E38C" w14:textId="2C75D7EE" w:rsidR="00C57AC7" w:rsidRPr="00EC5A7B" w:rsidRDefault="00220355" w:rsidP="00712FA2">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6F221C" w:rsidRPr="00EC5A7B">
        <w:rPr>
          <w:rFonts w:asciiTheme="majorHAnsi" w:hAnsiTheme="majorHAnsi" w:cstheme="majorHAnsi"/>
          <w:b/>
          <w:i/>
          <w:color w:val="5B9BD5" w:themeColor="accent1"/>
          <w:sz w:val="24"/>
          <w:szCs w:val="24"/>
          <w:lang w:val="ru-MD" w:eastAsia="ru-RU"/>
        </w:rPr>
        <w:t>8</w:t>
      </w:r>
      <w:r w:rsidR="00712FA2" w:rsidRPr="00EC5A7B">
        <w:rPr>
          <w:rFonts w:asciiTheme="majorHAnsi" w:hAnsiTheme="majorHAnsi" w:cstheme="majorHAnsi"/>
          <w:b/>
          <w:i/>
          <w:color w:val="5B9BD5" w:themeColor="accent1"/>
          <w:sz w:val="24"/>
          <w:szCs w:val="24"/>
          <w:lang w:val="ru-MD" w:eastAsia="ru-RU"/>
        </w:rPr>
        <w:t xml:space="preserve">, </w:t>
      </w:r>
      <w:r w:rsidRPr="00EC5A7B">
        <w:rPr>
          <w:rFonts w:asciiTheme="majorHAnsi" w:hAnsiTheme="majorHAnsi" w:cstheme="majorHAnsi"/>
          <w:b/>
          <w:i/>
          <w:color w:val="5B9BD5" w:themeColor="accent1"/>
          <w:sz w:val="24"/>
          <w:szCs w:val="24"/>
          <w:lang w:val="ru-MD" w:eastAsia="ru-RU"/>
        </w:rPr>
        <w:t>млн. леев</w:t>
      </w:r>
    </w:p>
    <w:tbl>
      <w:tblPr>
        <w:tblStyle w:val="TableGrid"/>
        <w:tblW w:w="9365" w:type="dxa"/>
        <w:tblLook w:val="04A0" w:firstRow="1" w:lastRow="0" w:firstColumn="1" w:lastColumn="0" w:noHBand="0" w:noVBand="1"/>
      </w:tblPr>
      <w:tblGrid>
        <w:gridCol w:w="4405"/>
        <w:gridCol w:w="1186"/>
        <w:gridCol w:w="1207"/>
        <w:gridCol w:w="1228"/>
        <w:gridCol w:w="1339"/>
      </w:tblGrid>
      <w:tr w:rsidR="00C57AC7" w:rsidRPr="00EC5A7B" w14:paraId="4716ECD7" w14:textId="77777777" w:rsidTr="00C57AC7">
        <w:tc>
          <w:tcPr>
            <w:tcW w:w="4405" w:type="dxa"/>
            <w:shd w:val="clear" w:color="auto" w:fill="DEEAF6" w:themeFill="accent1" w:themeFillTint="33"/>
            <w:vAlign w:val="center"/>
          </w:tcPr>
          <w:p w14:paraId="1C5B5C56" w14:textId="107832FF" w:rsidR="00C57AC7" w:rsidRPr="00EC5A7B" w:rsidRDefault="00203D62"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Год</w:t>
            </w:r>
          </w:p>
        </w:tc>
        <w:tc>
          <w:tcPr>
            <w:tcW w:w="1186" w:type="dxa"/>
            <w:shd w:val="clear" w:color="auto" w:fill="DEEAF6" w:themeFill="accent1" w:themeFillTint="33"/>
            <w:vAlign w:val="center"/>
          </w:tcPr>
          <w:p w14:paraId="77F206FC"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p>
        </w:tc>
        <w:tc>
          <w:tcPr>
            <w:tcW w:w="1207" w:type="dxa"/>
            <w:shd w:val="clear" w:color="auto" w:fill="DEEAF6" w:themeFill="accent1" w:themeFillTint="33"/>
            <w:vAlign w:val="center"/>
          </w:tcPr>
          <w:p w14:paraId="1B02F726"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p>
        </w:tc>
        <w:tc>
          <w:tcPr>
            <w:tcW w:w="1228" w:type="dxa"/>
            <w:shd w:val="clear" w:color="auto" w:fill="DEEAF6" w:themeFill="accent1" w:themeFillTint="33"/>
            <w:vAlign w:val="center"/>
          </w:tcPr>
          <w:p w14:paraId="5BD01B2F"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p>
        </w:tc>
        <w:tc>
          <w:tcPr>
            <w:tcW w:w="1339" w:type="dxa"/>
            <w:shd w:val="clear" w:color="auto" w:fill="DEEAF6" w:themeFill="accent1" w:themeFillTint="33"/>
            <w:vAlign w:val="center"/>
          </w:tcPr>
          <w:p w14:paraId="59AFC49F" w14:textId="416A5B44" w:rsidR="00C57AC7" w:rsidRPr="00EC5A7B" w:rsidRDefault="00CA5033" w:rsidP="00CA5033">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Отклонения </w:t>
            </w:r>
            <w:r w:rsidR="00C57AC7" w:rsidRPr="00EC5A7B">
              <w:rPr>
                <w:rFonts w:asciiTheme="majorHAnsi" w:hAnsiTheme="majorHAnsi" w:cstheme="majorHAnsi"/>
                <w:b/>
                <w:sz w:val="20"/>
                <w:szCs w:val="20"/>
                <w:lang w:val="ru-MD" w:eastAsia="ru-RU"/>
              </w:rPr>
              <w:t xml:space="preserve">2019 </w:t>
            </w:r>
            <w:r w:rsidRPr="00EC5A7B">
              <w:rPr>
                <w:rFonts w:asciiTheme="majorHAnsi" w:hAnsiTheme="majorHAnsi" w:cstheme="majorHAnsi"/>
                <w:b/>
                <w:sz w:val="20"/>
                <w:szCs w:val="20"/>
                <w:lang w:val="ru-MD" w:eastAsia="ru-RU"/>
              </w:rPr>
              <w:t>против</w:t>
            </w:r>
            <w:r w:rsidR="00C57AC7" w:rsidRPr="00EC5A7B">
              <w:rPr>
                <w:rFonts w:asciiTheme="majorHAnsi" w:hAnsiTheme="majorHAnsi" w:cstheme="majorHAnsi"/>
                <w:b/>
                <w:sz w:val="20"/>
                <w:szCs w:val="20"/>
                <w:lang w:val="ru-MD" w:eastAsia="ru-RU"/>
              </w:rPr>
              <w:t xml:space="preserve"> 2018</w:t>
            </w:r>
          </w:p>
        </w:tc>
      </w:tr>
      <w:tr w:rsidR="00C57AC7" w:rsidRPr="00EC5A7B" w14:paraId="04766FC8" w14:textId="77777777" w:rsidTr="00C57AC7">
        <w:tc>
          <w:tcPr>
            <w:tcW w:w="4405" w:type="dxa"/>
          </w:tcPr>
          <w:p w14:paraId="5588CF38" w14:textId="7D617C91" w:rsidR="00C57AC7" w:rsidRPr="00EC5A7B" w:rsidRDefault="00CA5033" w:rsidP="00CA5033">
            <w:pPr>
              <w:pStyle w:val="NoSpacing"/>
              <w:tabs>
                <w:tab w:val="left" w:pos="338"/>
              </w:tabs>
              <w:ind w:firstLine="337"/>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Обслуживание государственного долга, в том числе</w:t>
            </w:r>
            <w:r w:rsidR="00C57AC7" w:rsidRPr="00EC5A7B">
              <w:rPr>
                <w:rFonts w:asciiTheme="majorHAnsi" w:hAnsiTheme="majorHAnsi" w:cstheme="majorHAnsi"/>
                <w:b/>
                <w:sz w:val="20"/>
                <w:szCs w:val="20"/>
                <w:lang w:val="ru-MD" w:eastAsia="ru-RU"/>
              </w:rPr>
              <w:t>:</w:t>
            </w:r>
          </w:p>
          <w:p w14:paraId="7C826C62" w14:textId="1B8A1224" w:rsidR="00C57AC7" w:rsidRPr="00EC5A7B" w:rsidRDefault="00CA5033" w:rsidP="00CA5033">
            <w:pPr>
              <w:pStyle w:val="NoSpacing"/>
              <w:numPr>
                <w:ilvl w:val="0"/>
                <w:numId w:val="7"/>
              </w:numPr>
              <w:tabs>
                <w:tab w:val="left" w:pos="350"/>
              </w:tabs>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возврат основной суммы и выкуп ГЦБ</w:t>
            </w:r>
            <w:r w:rsidRPr="00EC5A7B">
              <w:rPr>
                <w:rFonts w:asciiTheme="majorHAnsi" w:hAnsiTheme="majorHAnsi" w:cstheme="majorHAnsi"/>
                <w:i/>
                <w:sz w:val="20"/>
                <w:szCs w:val="20"/>
                <w:lang w:val="ru-MD" w:eastAsia="ru-RU"/>
              </w:rPr>
              <w:t xml:space="preserve"> </w:t>
            </w:r>
          </w:p>
          <w:p w14:paraId="3284F206" w14:textId="6A288D5E" w:rsidR="00C57AC7" w:rsidRPr="00EC5A7B" w:rsidRDefault="00CA5033" w:rsidP="00CA5033">
            <w:pPr>
              <w:pStyle w:val="NoSpacing"/>
              <w:numPr>
                <w:ilvl w:val="0"/>
                <w:numId w:val="7"/>
              </w:numPr>
              <w:tabs>
                <w:tab w:val="left" w:pos="338"/>
              </w:tabs>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 xml:space="preserve">оплата процентов и комиссионных </w:t>
            </w:r>
          </w:p>
        </w:tc>
        <w:tc>
          <w:tcPr>
            <w:tcW w:w="1186" w:type="dxa"/>
          </w:tcPr>
          <w:p w14:paraId="3145A4ED"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20 353,6</w:t>
            </w:r>
          </w:p>
          <w:p w14:paraId="57D4DC48"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18 424,6</w:t>
            </w:r>
          </w:p>
          <w:p w14:paraId="1C139B3D" w14:textId="77777777" w:rsidR="00C57AC7" w:rsidRPr="00EC5A7B" w:rsidRDefault="00C57AC7" w:rsidP="00C57AC7">
            <w:pPr>
              <w:pStyle w:val="NoSpacing"/>
              <w:jc w:val="center"/>
              <w:rPr>
                <w:rFonts w:asciiTheme="majorHAnsi" w:hAnsiTheme="majorHAnsi" w:cstheme="majorHAnsi"/>
                <w:sz w:val="20"/>
                <w:szCs w:val="20"/>
                <w:lang w:val="ru-MD" w:eastAsia="ru-RU"/>
              </w:rPr>
            </w:pPr>
          </w:p>
          <w:p w14:paraId="373727E9"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1 929,0</w:t>
            </w:r>
          </w:p>
        </w:tc>
        <w:tc>
          <w:tcPr>
            <w:tcW w:w="1207" w:type="dxa"/>
          </w:tcPr>
          <w:p w14:paraId="5A02EAB0" w14:textId="77777777" w:rsidR="00C57AC7" w:rsidRPr="00EC5A7B" w:rsidRDefault="00163D6D"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15 820,6</w:t>
            </w:r>
          </w:p>
          <w:p w14:paraId="3CF241FF"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14 315,8</w:t>
            </w:r>
          </w:p>
          <w:p w14:paraId="34DAA83B" w14:textId="77777777" w:rsidR="00C57AC7" w:rsidRPr="00EC5A7B" w:rsidRDefault="00C57AC7" w:rsidP="00C57AC7">
            <w:pPr>
              <w:pStyle w:val="NoSpacing"/>
              <w:jc w:val="center"/>
              <w:rPr>
                <w:rFonts w:asciiTheme="majorHAnsi" w:hAnsiTheme="majorHAnsi" w:cstheme="majorHAnsi"/>
                <w:sz w:val="20"/>
                <w:szCs w:val="20"/>
                <w:lang w:val="ru-MD" w:eastAsia="ru-RU"/>
              </w:rPr>
            </w:pPr>
          </w:p>
          <w:p w14:paraId="4374BC0C"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1 504,8</w:t>
            </w:r>
          </w:p>
        </w:tc>
        <w:tc>
          <w:tcPr>
            <w:tcW w:w="1228" w:type="dxa"/>
          </w:tcPr>
          <w:p w14:paraId="705EDF50"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15 045,2</w:t>
            </w:r>
          </w:p>
          <w:p w14:paraId="02AA00CB" w14:textId="77777777" w:rsidR="00A45E59" w:rsidRPr="00EC5A7B" w:rsidRDefault="00C3076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13 425,6</w:t>
            </w:r>
          </w:p>
          <w:p w14:paraId="4EED219E" w14:textId="77777777" w:rsidR="00A45E59" w:rsidRPr="00EC5A7B" w:rsidRDefault="00A45E59" w:rsidP="00C57AC7">
            <w:pPr>
              <w:pStyle w:val="NoSpacing"/>
              <w:jc w:val="center"/>
              <w:rPr>
                <w:rFonts w:asciiTheme="majorHAnsi" w:hAnsiTheme="majorHAnsi" w:cstheme="majorHAnsi"/>
                <w:sz w:val="20"/>
                <w:szCs w:val="20"/>
                <w:lang w:val="ru-MD" w:eastAsia="ru-RU"/>
              </w:rPr>
            </w:pPr>
          </w:p>
          <w:p w14:paraId="7A2F9B3D" w14:textId="77777777" w:rsidR="00A45E59" w:rsidRPr="00EC5A7B" w:rsidRDefault="00C3076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1 619,6</w:t>
            </w:r>
          </w:p>
        </w:tc>
        <w:tc>
          <w:tcPr>
            <w:tcW w:w="1339" w:type="dxa"/>
          </w:tcPr>
          <w:p w14:paraId="0F637923" w14:textId="77777777" w:rsidR="00C57AC7" w:rsidRPr="00EC5A7B" w:rsidRDefault="00163D6D"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-775,4</w:t>
            </w:r>
          </w:p>
          <w:p w14:paraId="762ADE7F" w14:textId="77777777" w:rsidR="00163D6D" w:rsidRPr="00EC5A7B" w:rsidRDefault="00C3076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-890,2</w:t>
            </w:r>
          </w:p>
          <w:p w14:paraId="65A6A379" w14:textId="77777777" w:rsidR="00163D6D" w:rsidRPr="00EC5A7B" w:rsidRDefault="00163D6D" w:rsidP="00C57AC7">
            <w:pPr>
              <w:pStyle w:val="NoSpacing"/>
              <w:jc w:val="center"/>
              <w:rPr>
                <w:rFonts w:asciiTheme="majorHAnsi" w:hAnsiTheme="majorHAnsi" w:cstheme="majorHAnsi"/>
                <w:sz w:val="20"/>
                <w:szCs w:val="20"/>
                <w:lang w:val="ru-MD" w:eastAsia="ru-RU"/>
              </w:rPr>
            </w:pPr>
          </w:p>
          <w:p w14:paraId="44DA442E" w14:textId="77777777" w:rsidR="00163D6D" w:rsidRPr="00EC5A7B" w:rsidRDefault="00C3076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+114,8</w:t>
            </w:r>
          </w:p>
        </w:tc>
      </w:tr>
      <w:tr w:rsidR="00C57AC7" w:rsidRPr="00EC5A7B" w14:paraId="333705B0" w14:textId="77777777" w:rsidTr="00C57AC7">
        <w:tc>
          <w:tcPr>
            <w:tcW w:w="4405" w:type="dxa"/>
          </w:tcPr>
          <w:p w14:paraId="4EAB01AE" w14:textId="2875C79E" w:rsidR="00C57AC7" w:rsidRPr="00EC5A7B" w:rsidRDefault="00CA5033" w:rsidP="00CA5033">
            <w:pPr>
              <w:pStyle w:val="NoSpacing"/>
              <w:ind w:firstLine="337"/>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Обслуживание внутреннего государствен ного долга</w:t>
            </w:r>
            <w:r w:rsidR="00C57AC7" w:rsidRPr="00EC5A7B">
              <w:rPr>
                <w:rFonts w:asciiTheme="majorHAnsi" w:hAnsiTheme="majorHAnsi" w:cstheme="majorHAnsi"/>
                <w:b/>
                <w:sz w:val="20"/>
                <w:szCs w:val="20"/>
                <w:lang w:val="ru-MD" w:eastAsia="ru-RU"/>
              </w:rPr>
              <w:t xml:space="preserve">, </w:t>
            </w:r>
            <w:r w:rsidRPr="00EC5A7B">
              <w:rPr>
                <w:rFonts w:asciiTheme="majorHAnsi" w:hAnsiTheme="majorHAnsi" w:cstheme="majorHAnsi"/>
                <w:b/>
                <w:sz w:val="20"/>
                <w:szCs w:val="20"/>
                <w:lang w:val="ru-MD" w:eastAsia="ru-RU"/>
              </w:rPr>
              <w:t>в том числе</w:t>
            </w:r>
            <w:r w:rsidR="00A45E59" w:rsidRPr="00EC5A7B">
              <w:rPr>
                <w:rFonts w:asciiTheme="majorHAnsi" w:hAnsiTheme="majorHAnsi" w:cstheme="majorHAnsi"/>
                <w:b/>
                <w:sz w:val="20"/>
                <w:szCs w:val="20"/>
                <w:lang w:val="ru-MD" w:eastAsia="ru-RU"/>
              </w:rPr>
              <w:t>:</w:t>
            </w:r>
          </w:p>
          <w:p w14:paraId="116C48A1" w14:textId="433B4DE2" w:rsidR="00C57AC7" w:rsidRPr="00EC5A7B" w:rsidRDefault="00CA5033" w:rsidP="00CA5033">
            <w:pPr>
              <w:pStyle w:val="NoSpacing"/>
              <w:numPr>
                <w:ilvl w:val="0"/>
                <w:numId w:val="7"/>
              </w:numPr>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выкуп ГЦБ</w:t>
            </w:r>
          </w:p>
          <w:p w14:paraId="022B08DB" w14:textId="363D40E8" w:rsidR="00C57AC7" w:rsidRPr="00EC5A7B" w:rsidRDefault="00CA5033" w:rsidP="00CA5033">
            <w:pPr>
              <w:pStyle w:val="NoSpacing"/>
              <w:numPr>
                <w:ilvl w:val="0"/>
                <w:numId w:val="7"/>
              </w:numPr>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оплата процентов</w:t>
            </w:r>
          </w:p>
        </w:tc>
        <w:tc>
          <w:tcPr>
            <w:tcW w:w="1186" w:type="dxa"/>
          </w:tcPr>
          <w:p w14:paraId="47FF6E28"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18 666,0</w:t>
            </w:r>
          </w:p>
          <w:p w14:paraId="2D31E201"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17 094,9</w:t>
            </w:r>
          </w:p>
          <w:p w14:paraId="6DB8194D"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1 571,1</w:t>
            </w:r>
          </w:p>
        </w:tc>
        <w:tc>
          <w:tcPr>
            <w:tcW w:w="1207" w:type="dxa"/>
          </w:tcPr>
          <w:p w14:paraId="4AAF901D" w14:textId="77777777" w:rsidR="00C57AC7" w:rsidRPr="00EC5A7B" w:rsidRDefault="00C57AC7"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13 567,7</w:t>
            </w:r>
          </w:p>
          <w:p w14:paraId="4C388D2A"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12 442,5</w:t>
            </w:r>
          </w:p>
          <w:p w14:paraId="308C5BED" w14:textId="77777777" w:rsidR="00C57AC7" w:rsidRPr="00EC5A7B" w:rsidRDefault="00C57AC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1 125,3</w:t>
            </w:r>
          </w:p>
        </w:tc>
        <w:tc>
          <w:tcPr>
            <w:tcW w:w="1228" w:type="dxa"/>
          </w:tcPr>
          <w:p w14:paraId="13AF5A82"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12 488,3</w:t>
            </w:r>
          </w:p>
          <w:p w14:paraId="492FE4AC" w14:textId="77777777" w:rsidR="00C57AC7" w:rsidRPr="00EC5A7B" w:rsidRDefault="00C3076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11 280,8</w:t>
            </w:r>
          </w:p>
          <w:p w14:paraId="4D648435" w14:textId="77777777" w:rsidR="00C57AC7" w:rsidRPr="00EC5A7B" w:rsidRDefault="00A77A7C"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1 207,5</w:t>
            </w:r>
          </w:p>
        </w:tc>
        <w:tc>
          <w:tcPr>
            <w:tcW w:w="1339" w:type="dxa"/>
          </w:tcPr>
          <w:p w14:paraId="2430CA69" w14:textId="77777777" w:rsidR="00C57AC7" w:rsidRPr="00EC5A7B" w:rsidRDefault="00A77A7C"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-1 079,5</w:t>
            </w:r>
          </w:p>
          <w:p w14:paraId="7ED1D9DC" w14:textId="77777777" w:rsidR="00A45E59" w:rsidRPr="00EC5A7B" w:rsidRDefault="00A77A7C"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-1 161,7</w:t>
            </w:r>
          </w:p>
          <w:p w14:paraId="539FC435" w14:textId="77777777" w:rsidR="00A45E59" w:rsidRPr="00EC5A7B" w:rsidRDefault="00A77A7C"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+82,2</w:t>
            </w:r>
          </w:p>
        </w:tc>
      </w:tr>
      <w:tr w:rsidR="00C57AC7" w:rsidRPr="00EC5A7B" w14:paraId="7AE2B596" w14:textId="77777777" w:rsidTr="00C57AC7">
        <w:tc>
          <w:tcPr>
            <w:tcW w:w="4405" w:type="dxa"/>
          </w:tcPr>
          <w:p w14:paraId="60E20202" w14:textId="5EBA2556" w:rsidR="00C57AC7" w:rsidRPr="00EC5A7B" w:rsidRDefault="00CA5033" w:rsidP="00CA5033">
            <w:pPr>
              <w:pStyle w:val="NoSpacing"/>
              <w:ind w:firstLine="337"/>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Обслуживание внешнего государственного долга</w:t>
            </w:r>
            <w:r w:rsidR="00A45E59" w:rsidRPr="00EC5A7B">
              <w:rPr>
                <w:rFonts w:asciiTheme="majorHAnsi" w:hAnsiTheme="majorHAnsi" w:cstheme="majorHAnsi"/>
                <w:b/>
                <w:sz w:val="20"/>
                <w:szCs w:val="20"/>
                <w:lang w:val="ru-MD" w:eastAsia="ru-RU"/>
              </w:rPr>
              <w:t xml:space="preserve">, </w:t>
            </w:r>
            <w:r w:rsidRPr="00EC5A7B">
              <w:rPr>
                <w:rFonts w:asciiTheme="majorHAnsi" w:hAnsiTheme="majorHAnsi" w:cstheme="majorHAnsi"/>
                <w:b/>
                <w:sz w:val="20"/>
                <w:szCs w:val="20"/>
                <w:lang w:val="ru-MD" w:eastAsia="ru-RU"/>
              </w:rPr>
              <w:t>в том числе</w:t>
            </w:r>
            <w:r w:rsidR="00A45E59" w:rsidRPr="00EC5A7B">
              <w:rPr>
                <w:rFonts w:asciiTheme="majorHAnsi" w:hAnsiTheme="majorHAnsi" w:cstheme="majorHAnsi"/>
                <w:b/>
                <w:sz w:val="20"/>
                <w:szCs w:val="20"/>
                <w:lang w:val="ru-MD" w:eastAsia="ru-RU"/>
              </w:rPr>
              <w:t>:</w:t>
            </w:r>
          </w:p>
          <w:p w14:paraId="5973F518" w14:textId="617771FA" w:rsidR="00A45E59" w:rsidRPr="00EC5A7B" w:rsidRDefault="00CA5033" w:rsidP="00CA5033">
            <w:pPr>
              <w:pStyle w:val="NoSpacing"/>
              <w:numPr>
                <w:ilvl w:val="0"/>
                <w:numId w:val="7"/>
              </w:numPr>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возврат основной суммы</w:t>
            </w:r>
          </w:p>
          <w:p w14:paraId="508E88E9" w14:textId="02D01490" w:rsidR="00A45E59" w:rsidRPr="00EC5A7B" w:rsidRDefault="00CA5033" w:rsidP="00CA5033">
            <w:pPr>
              <w:pStyle w:val="NoSpacing"/>
              <w:numPr>
                <w:ilvl w:val="0"/>
                <w:numId w:val="7"/>
              </w:numPr>
              <w:ind w:left="0" w:firstLine="337"/>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оплата процентов и комиссионных</w:t>
            </w:r>
          </w:p>
        </w:tc>
        <w:tc>
          <w:tcPr>
            <w:tcW w:w="1186" w:type="dxa"/>
          </w:tcPr>
          <w:p w14:paraId="072741C4"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1 687,6</w:t>
            </w:r>
          </w:p>
          <w:p w14:paraId="0812BDFE"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1 329,7</w:t>
            </w:r>
          </w:p>
          <w:p w14:paraId="520F7F2E"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357,9</w:t>
            </w:r>
          </w:p>
        </w:tc>
        <w:tc>
          <w:tcPr>
            <w:tcW w:w="1207" w:type="dxa"/>
          </w:tcPr>
          <w:p w14:paraId="378EF39C"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2 252,9</w:t>
            </w:r>
          </w:p>
          <w:p w14:paraId="022470BB"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1 873,4</w:t>
            </w:r>
          </w:p>
          <w:p w14:paraId="4B056D3B"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379,5</w:t>
            </w:r>
          </w:p>
        </w:tc>
        <w:tc>
          <w:tcPr>
            <w:tcW w:w="1228" w:type="dxa"/>
          </w:tcPr>
          <w:p w14:paraId="2A3C4C3A"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2 556,9</w:t>
            </w:r>
          </w:p>
          <w:p w14:paraId="664504BD"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2 144,8</w:t>
            </w:r>
          </w:p>
          <w:p w14:paraId="00D3C54B"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412,1</w:t>
            </w:r>
          </w:p>
        </w:tc>
        <w:tc>
          <w:tcPr>
            <w:tcW w:w="1339" w:type="dxa"/>
          </w:tcPr>
          <w:p w14:paraId="574480AC" w14:textId="77777777" w:rsidR="00C57AC7" w:rsidRPr="00EC5A7B" w:rsidRDefault="00A45E59" w:rsidP="00C57AC7">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+304,0</w:t>
            </w:r>
          </w:p>
          <w:p w14:paraId="7A0929B0"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+271,4</w:t>
            </w:r>
          </w:p>
          <w:p w14:paraId="4C913D1F" w14:textId="77777777" w:rsidR="00A45E59" w:rsidRPr="00EC5A7B" w:rsidRDefault="00A45E59"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+32,6</w:t>
            </w:r>
          </w:p>
        </w:tc>
      </w:tr>
      <w:tr w:rsidR="00C57AC7" w:rsidRPr="00EC5A7B" w14:paraId="79E55D52" w14:textId="77777777" w:rsidTr="00C57AC7">
        <w:tc>
          <w:tcPr>
            <w:tcW w:w="4405" w:type="dxa"/>
          </w:tcPr>
          <w:p w14:paraId="665D27D6" w14:textId="0424414C" w:rsidR="00C57AC7" w:rsidRPr="00EC5A7B" w:rsidRDefault="00CA5033" w:rsidP="00163D6D">
            <w:pPr>
              <w:pStyle w:val="NoSpacing"/>
              <w:jc w:val="both"/>
              <w:rPr>
                <w:rFonts w:asciiTheme="majorHAnsi" w:hAnsiTheme="majorHAnsi" w:cstheme="majorHAnsi"/>
                <w:sz w:val="20"/>
                <w:szCs w:val="20"/>
                <w:lang w:val="ru-MD" w:eastAsia="ru-RU"/>
              </w:rPr>
            </w:pPr>
            <w:r w:rsidRPr="00EC5A7B">
              <w:rPr>
                <w:rFonts w:asciiTheme="majorHAnsi" w:hAnsiTheme="majorHAnsi"/>
                <w:sz w:val="20"/>
                <w:szCs w:val="20"/>
                <w:lang w:val="ru-MD"/>
              </w:rPr>
              <w:t>Темп роста обслуживания государственного долга</w:t>
            </w:r>
            <w:r w:rsidR="00163D6D" w:rsidRPr="00EC5A7B">
              <w:rPr>
                <w:rFonts w:asciiTheme="majorHAnsi" w:hAnsiTheme="majorHAnsi" w:cstheme="majorHAnsi"/>
                <w:sz w:val="20"/>
                <w:szCs w:val="20"/>
                <w:lang w:val="ru-MD" w:eastAsia="ru-RU"/>
              </w:rPr>
              <w:t>, %</w:t>
            </w:r>
          </w:p>
        </w:tc>
        <w:tc>
          <w:tcPr>
            <w:tcW w:w="1186" w:type="dxa"/>
          </w:tcPr>
          <w:p w14:paraId="1ECE2FC2"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+10,4</w:t>
            </w:r>
          </w:p>
        </w:tc>
        <w:tc>
          <w:tcPr>
            <w:tcW w:w="1207" w:type="dxa"/>
          </w:tcPr>
          <w:p w14:paraId="670AF858"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-22,0</w:t>
            </w:r>
          </w:p>
        </w:tc>
        <w:tc>
          <w:tcPr>
            <w:tcW w:w="1228" w:type="dxa"/>
          </w:tcPr>
          <w:p w14:paraId="2AE64420"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+7,6</w:t>
            </w:r>
          </w:p>
        </w:tc>
        <w:tc>
          <w:tcPr>
            <w:tcW w:w="1339" w:type="dxa"/>
          </w:tcPr>
          <w:p w14:paraId="5ED058A3"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X</w:t>
            </w:r>
          </w:p>
        </w:tc>
      </w:tr>
      <w:tr w:rsidR="00C57AC7" w:rsidRPr="00EC5A7B" w14:paraId="0E04CE08" w14:textId="77777777" w:rsidTr="00C57AC7">
        <w:tc>
          <w:tcPr>
            <w:tcW w:w="4405" w:type="dxa"/>
          </w:tcPr>
          <w:p w14:paraId="6F3A1982" w14:textId="7FE9F684" w:rsidR="00C57AC7" w:rsidRPr="00EC5A7B" w:rsidRDefault="00CA5033" w:rsidP="00C57AC7">
            <w:pPr>
              <w:pStyle w:val="NoSpacing"/>
              <w:jc w:val="both"/>
              <w:rPr>
                <w:rFonts w:asciiTheme="majorHAnsi" w:hAnsiTheme="majorHAnsi" w:cstheme="majorHAnsi"/>
                <w:sz w:val="20"/>
                <w:szCs w:val="20"/>
                <w:lang w:val="ru-MD" w:eastAsia="ru-RU"/>
              </w:rPr>
            </w:pPr>
            <w:r w:rsidRPr="00EC5A7B">
              <w:rPr>
                <w:rFonts w:asciiTheme="majorHAnsi" w:hAnsiTheme="majorHAnsi"/>
                <w:sz w:val="20"/>
                <w:szCs w:val="20"/>
                <w:lang w:val="ru-MD"/>
              </w:rPr>
              <w:t>Темп роста ВВП</w:t>
            </w:r>
            <w:r w:rsidR="00163D6D" w:rsidRPr="00EC5A7B">
              <w:rPr>
                <w:rFonts w:asciiTheme="majorHAnsi" w:hAnsiTheme="majorHAnsi" w:cstheme="majorHAnsi"/>
                <w:sz w:val="20"/>
                <w:szCs w:val="20"/>
                <w:lang w:val="ru-MD" w:eastAsia="ru-RU"/>
              </w:rPr>
              <w:t>, %</w:t>
            </w:r>
          </w:p>
        </w:tc>
        <w:tc>
          <w:tcPr>
            <w:tcW w:w="1186" w:type="dxa"/>
          </w:tcPr>
          <w:p w14:paraId="22F180D9"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+11,2</w:t>
            </w:r>
          </w:p>
        </w:tc>
        <w:tc>
          <w:tcPr>
            <w:tcW w:w="1207" w:type="dxa"/>
          </w:tcPr>
          <w:p w14:paraId="25E8B89C"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+7,6</w:t>
            </w:r>
          </w:p>
        </w:tc>
        <w:tc>
          <w:tcPr>
            <w:tcW w:w="1228" w:type="dxa"/>
          </w:tcPr>
          <w:p w14:paraId="6BFEFFDA"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+9,1</w:t>
            </w:r>
          </w:p>
        </w:tc>
        <w:tc>
          <w:tcPr>
            <w:tcW w:w="1339" w:type="dxa"/>
          </w:tcPr>
          <w:p w14:paraId="30AA3D77" w14:textId="77777777" w:rsidR="00C57AC7" w:rsidRPr="00EC5A7B" w:rsidRDefault="00163D6D"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X</w:t>
            </w:r>
          </w:p>
        </w:tc>
      </w:tr>
      <w:tr w:rsidR="00C57AC7" w:rsidRPr="00EC5A7B" w14:paraId="26582D4F" w14:textId="77777777" w:rsidTr="00C57AC7">
        <w:tc>
          <w:tcPr>
            <w:tcW w:w="4405" w:type="dxa"/>
          </w:tcPr>
          <w:p w14:paraId="6960CD8A" w14:textId="07449FC5" w:rsidR="00C57AC7" w:rsidRPr="00EC5A7B" w:rsidRDefault="00CA5033" w:rsidP="00CA5033">
            <w:pPr>
              <w:pStyle w:val="NoSpacing"/>
              <w:tabs>
                <w:tab w:val="left" w:pos="4194"/>
              </w:tabs>
              <w:ind w:hanging="113"/>
              <w:jc w:val="both"/>
              <w:rPr>
                <w:rFonts w:asciiTheme="majorHAnsi" w:hAnsiTheme="majorHAnsi" w:cstheme="majorHAnsi"/>
                <w:sz w:val="20"/>
                <w:szCs w:val="20"/>
                <w:lang w:val="ru-MD" w:eastAsia="ru-RU"/>
              </w:rPr>
            </w:pPr>
            <w:r w:rsidRPr="00EC5A7B">
              <w:rPr>
                <w:rFonts w:asciiTheme="majorHAnsi" w:hAnsiTheme="majorHAnsi"/>
                <w:sz w:val="20"/>
                <w:szCs w:val="20"/>
                <w:lang w:val="ru-MD"/>
              </w:rPr>
              <w:t>Темп роста расходов государственного бюджета</w:t>
            </w:r>
            <w:r w:rsidR="00FF3307" w:rsidRPr="00EC5A7B">
              <w:rPr>
                <w:rFonts w:asciiTheme="majorHAnsi" w:hAnsiTheme="majorHAnsi" w:cstheme="majorHAnsi"/>
                <w:sz w:val="20"/>
                <w:szCs w:val="20"/>
                <w:lang w:val="ru-MD" w:eastAsia="ru-RU"/>
              </w:rPr>
              <w:t>, %</w:t>
            </w:r>
          </w:p>
        </w:tc>
        <w:tc>
          <w:tcPr>
            <w:tcW w:w="1186" w:type="dxa"/>
          </w:tcPr>
          <w:p w14:paraId="41BA0FA8" w14:textId="77777777" w:rsidR="00C57AC7" w:rsidRPr="00EC5A7B" w:rsidRDefault="00A77A7C"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+9,8</w:t>
            </w:r>
          </w:p>
        </w:tc>
        <w:tc>
          <w:tcPr>
            <w:tcW w:w="1207" w:type="dxa"/>
          </w:tcPr>
          <w:p w14:paraId="19F788C9" w14:textId="77777777" w:rsidR="00C57AC7" w:rsidRPr="00EC5A7B" w:rsidRDefault="00A77A7C"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+9,1</w:t>
            </w:r>
          </w:p>
        </w:tc>
        <w:tc>
          <w:tcPr>
            <w:tcW w:w="1228" w:type="dxa"/>
          </w:tcPr>
          <w:p w14:paraId="484737F3" w14:textId="77777777" w:rsidR="00C57AC7" w:rsidRPr="00EC5A7B" w:rsidRDefault="00FF330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+11,3</w:t>
            </w:r>
          </w:p>
        </w:tc>
        <w:tc>
          <w:tcPr>
            <w:tcW w:w="1339" w:type="dxa"/>
          </w:tcPr>
          <w:p w14:paraId="6F3A3034" w14:textId="77777777" w:rsidR="00C57AC7" w:rsidRPr="00EC5A7B" w:rsidRDefault="00FF3307" w:rsidP="00C57AC7">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X</w:t>
            </w:r>
          </w:p>
        </w:tc>
      </w:tr>
    </w:tbl>
    <w:p w14:paraId="1FCEF144" w14:textId="591294E5" w:rsidR="00C57AC7" w:rsidRPr="00EC5A7B" w:rsidRDefault="007B3D00" w:rsidP="00C57AC7">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6B48CC" w:rsidRPr="00EC5A7B">
        <w:rPr>
          <w:rFonts w:asciiTheme="majorHAnsi" w:hAnsiTheme="majorHAnsi" w:cstheme="majorHAnsi"/>
          <w:b/>
          <w:i/>
          <w:sz w:val="20"/>
          <w:szCs w:val="20"/>
          <w:lang w:val="ru-MD" w:eastAsia="ru-RU"/>
        </w:rPr>
        <w:t>:</w:t>
      </w:r>
      <w:r w:rsidR="006B48CC" w:rsidRPr="00EC5A7B">
        <w:rPr>
          <w:rFonts w:asciiTheme="majorHAnsi" w:hAnsiTheme="majorHAnsi" w:cstheme="majorHAnsi"/>
          <w:i/>
          <w:sz w:val="20"/>
          <w:szCs w:val="20"/>
          <w:lang w:val="ru-MD" w:eastAsia="ru-RU"/>
        </w:rPr>
        <w:t xml:space="preserve"> </w:t>
      </w:r>
      <w:r w:rsidR="00CA5033" w:rsidRPr="00EC5A7B">
        <w:rPr>
          <w:rFonts w:asciiTheme="majorHAnsi" w:hAnsiTheme="majorHAnsi" w:cstheme="majorHAnsi"/>
          <w:i/>
          <w:sz w:val="20"/>
          <w:szCs w:val="20"/>
          <w:lang w:val="ru-MD" w:eastAsia="ru-RU"/>
        </w:rPr>
        <w:t xml:space="preserve">Информация МФ относительно обслуживания внутреннего и внешнего государственного долга по состоянию на </w:t>
      </w:r>
      <w:r w:rsidR="006B48CC" w:rsidRPr="00EC5A7B">
        <w:rPr>
          <w:rFonts w:asciiTheme="majorHAnsi" w:hAnsiTheme="majorHAnsi" w:cstheme="majorHAnsi"/>
          <w:i/>
          <w:sz w:val="20"/>
          <w:szCs w:val="20"/>
          <w:lang w:val="ru-MD" w:eastAsia="ru-RU"/>
        </w:rPr>
        <w:t xml:space="preserve">31.12.2017, 31.12.2018 </w:t>
      </w:r>
      <w:r w:rsidR="00096779" w:rsidRPr="00EC5A7B">
        <w:rPr>
          <w:rFonts w:asciiTheme="majorHAnsi" w:hAnsiTheme="majorHAnsi" w:cstheme="majorHAnsi"/>
          <w:i/>
          <w:sz w:val="20"/>
          <w:szCs w:val="20"/>
          <w:lang w:val="ru-MD" w:eastAsia="ru-RU"/>
        </w:rPr>
        <w:t>и</w:t>
      </w:r>
      <w:r w:rsidR="006B48CC" w:rsidRPr="00EC5A7B">
        <w:rPr>
          <w:rFonts w:asciiTheme="majorHAnsi" w:hAnsiTheme="majorHAnsi" w:cstheme="majorHAnsi"/>
          <w:i/>
          <w:sz w:val="20"/>
          <w:szCs w:val="20"/>
          <w:lang w:val="ru-MD" w:eastAsia="ru-RU"/>
        </w:rPr>
        <w:t xml:space="preserve"> 31.12.2019</w:t>
      </w:r>
      <w:r w:rsidR="00C32F2F" w:rsidRPr="00EC5A7B">
        <w:rPr>
          <w:rFonts w:asciiTheme="majorHAnsi" w:hAnsiTheme="majorHAnsi" w:cstheme="majorHAnsi"/>
          <w:i/>
          <w:sz w:val="20"/>
          <w:szCs w:val="20"/>
          <w:lang w:val="ru-MD" w:eastAsia="ru-RU"/>
        </w:rPr>
        <w:t>.</w:t>
      </w:r>
    </w:p>
    <w:p w14:paraId="610A6EB4" w14:textId="363CFAD6" w:rsidR="00FF3307" w:rsidRPr="00EC5A7B" w:rsidRDefault="00640ECA" w:rsidP="00C57AC7">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Данные из таблицы показывают, </w:t>
      </w:r>
      <w:r w:rsidRPr="00EC5A7B">
        <w:rPr>
          <w:rFonts w:asciiTheme="majorHAnsi" w:hAnsiTheme="majorHAnsi" w:cstheme="majorHAnsi"/>
          <w:bCs/>
          <w:color w:val="000000"/>
          <w:sz w:val="24"/>
          <w:szCs w:val="24"/>
          <w:lang w:val="ru-MD" w:eastAsia="ro-RO"/>
        </w:rPr>
        <w:t xml:space="preserve">что в 2019 году наметилась тенденция роста обслуживания государственного долга </w:t>
      </w:r>
      <w:r w:rsidRPr="00EC5A7B">
        <w:rPr>
          <w:rFonts w:asciiTheme="majorHAnsi" w:hAnsiTheme="majorHAnsi" w:cstheme="majorHAnsi"/>
          <w:sz w:val="24"/>
          <w:szCs w:val="24"/>
          <w:lang w:val="ru-MD" w:eastAsia="ru-RU"/>
        </w:rPr>
        <w:t>(+7,6%), как и</w:t>
      </w:r>
      <w:r w:rsidRPr="00EC5A7B">
        <w:rPr>
          <w:rFonts w:asciiTheme="majorHAnsi" w:hAnsiTheme="majorHAnsi" w:cstheme="majorHAnsi"/>
          <w:color w:val="000000"/>
          <w:sz w:val="24"/>
          <w:szCs w:val="24"/>
          <w:lang w:val="ru-MD"/>
        </w:rPr>
        <w:t xml:space="preserve"> ВВП (+9,1%) и расходов государственного бюджета</w:t>
      </w:r>
      <w:r w:rsidRPr="00EC5A7B">
        <w:rPr>
          <w:rFonts w:asciiTheme="majorHAnsi" w:hAnsiTheme="majorHAnsi" w:cstheme="majorHAnsi"/>
          <w:sz w:val="24"/>
          <w:szCs w:val="24"/>
          <w:lang w:val="ru-MD" w:eastAsia="ru-RU"/>
        </w:rPr>
        <w:t xml:space="preserve"> </w:t>
      </w:r>
      <w:r w:rsidR="00FF3307" w:rsidRPr="00EC5A7B">
        <w:rPr>
          <w:rFonts w:asciiTheme="majorHAnsi" w:hAnsiTheme="majorHAnsi" w:cstheme="majorHAnsi"/>
          <w:sz w:val="24"/>
          <w:szCs w:val="24"/>
          <w:lang w:val="ru-MD" w:eastAsia="ru-RU"/>
        </w:rPr>
        <w:t>(+11,3%).</w:t>
      </w:r>
    </w:p>
    <w:p w14:paraId="4C556008" w14:textId="45B0105D" w:rsidR="00640ECA" w:rsidRPr="00EC5A7B" w:rsidRDefault="00640ECA" w:rsidP="00640ECA">
      <w:pPr>
        <w:pStyle w:val="NoSpacing"/>
        <w:spacing w:after="24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По состоянию на</w:t>
      </w:r>
      <w:r w:rsidR="00FF3307" w:rsidRPr="00EC5A7B">
        <w:rPr>
          <w:rFonts w:asciiTheme="majorHAnsi" w:hAnsiTheme="majorHAnsi" w:cstheme="majorHAnsi"/>
          <w:sz w:val="24"/>
          <w:szCs w:val="24"/>
          <w:lang w:val="ru-MD" w:eastAsia="ru-RU"/>
        </w:rPr>
        <w:t xml:space="preserve"> 31.12.2019, </w:t>
      </w:r>
      <w:r w:rsidRPr="00EC5A7B">
        <w:rPr>
          <w:rFonts w:asciiTheme="majorHAnsi" w:hAnsiTheme="majorHAnsi" w:cstheme="majorHAnsi"/>
          <w:sz w:val="24"/>
          <w:szCs w:val="24"/>
          <w:lang w:val="ru-MD" w:eastAsia="ru-RU"/>
        </w:rPr>
        <w:t xml:space="preserve">для обслуживания внутреннего государственного долга были произведены выплаты на общую сумму 12 488,3 млн. леев, в том числе 11 280,8 млн. леев для выкупа ГЦБ, достигших даты погашения, и 1 207,5 млн. леев – на выплату процентов.  </w:t>
      </w:r>
      <w:r w:rsidRPr="00EC5A7B">
        <w:rPr>
          <w:rFonts w:asciiTheme="majorHAnsi" w:hAnsiTheme="majorHAnsi" w:cstheme="majorHAnsi"/>
          <w:i/>
          <w:sz w:val="24"/>
          <w:szCs w:val="24"/>
          <w:lang w:val="ru-MD" w:eastAsia="ru-RU"/>
        </w:rPr>
        <w:t>Информация о проданных и выкупленных ГЦБ в 2019 году представлена в</w:t>
      </w:r>
      <w:r w:rsidRPr="00EC5A7B">
        <w:rPr>
          <w:rFonts w:asciiTheme="majorHAnsi" w:hAnsiTheme="majorHAnsi" w:cstheme="majorHAnsi"/>
          <w:sz w:val="24"/>
          <w:szCs w:val="24"/>
          <w:lang w:val="ru-MD" w:eastAsia="ru-RU"/>
        </w:rPr>
        <w:t xml:space="preserve"> </w:t>
      </w:r>
      <w:r w:rsidRPr="00EC5A7B">
        <w:rPr>
          <w:rFonts w:asciiTheme="majorHAnsi" w:hAnsiTheme="majorHAnsi" w:cstheme="majorHAnsi"/>
          <w:i/>
          <w:sz w:val="24"/>
          <w:szCs w:val="24"/>
          <w:lang w:val="ru-MD" w:eastAsia="ru-RU"/>
        </w:rPr>
        <w:t>Приложении №9 к настоящему Отчету аудита.</w:t>
      </w:r>
    </w:p>
    <w:p w14:paraId="5CD4B999" w14:textId="2E772E53" w:rsidR="002B5F6B" w:rsidRPr="00EC5A7B" w:rsidRDefault="00413931" w:rsidP="007F43B9">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В 2019 году на обслуживание внутреннего государственного долга было перечислено 1 207,4 млн. леев, или на 82,1 млн. леев больше по сравнению с 2018 годом. Из общей суммы расходов на обслуживание внутреннего государственного долга, </w:t>
      </w:r>
      <w:r w:rsidRPr="00EC5A7B">
        <w:rPr>
          <w:rFonts w:asciiTheme="majorHAnsi" w:hAnsiTheme="majorHAnsi" w:cstheme="majorHAnsi"/>
          <w:sz w:val="24"/>
          <w:szCs w:val="24"/>
          <w:lang w:val="ru-MD" w:eastAsia="ru-RU"/>
        </w:rPr>
        <w:lastRenderedPageBreak/>
        <w:t xml:space="preserve">основная доля приходится на выплату процентов по ГЦБ, выпущенным для исполнения платежных обязательств, вытекающих из государственных гарантий - 50,9%, для процентов по ГЦБ, выпущенным на первичном рынке, было перечислено 36,4%, и по конвертированным ГЦБ - 12,7%. </w:t>
      </w:r>
      <w:r w:rsidRPr="00EC5A7B">
        <w:rPr>
          <w:rFonts w:asciiTheme="majorHAnsi" w:hAnsiTheme="majorHAnsi" w:cstheme="majorHAnsi"/>
          <w:i/>
          <w:sz w:val="24"/>
          <w:szCs w:val="24"/>
          <w:lang w:val="ru-MD" w:eastAsia="ru-RU"/>
        </w:rPr>
        <w:t>Эволюция расходов на обслуживание внутреннего государственного долга представлена в Приложении №10 к настоящему Отчету аудита.</w:t>
      </w:r>
    </w:p>
    <w:p w14:paraId="67E10ACE" w14:textId="3309A0EB" w:rsidR="00971529" w:rsidRPr="00EC5A7B" w:rsidRDefault="00EF3C13" w:rsidP="002B5F6B">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Увеличение расходов на обслуживание внутреннего государственного долга обусловлено, в частности, увеличением расходов на выплату процентов по конвертированным ГЦБ, которые в 2019 году увеличились примерно в 3,6 раза по сравнению с предыдущим годом</w:t>
      </w:r>
      <w:r w:rsidR="00971529" w:rsidRPr="00EC5A7B">
        <w:rPr>
          <w:rFonts w:asciiTheme="majorHAnsi" w:hAnsiTheme="majorHAnsi" w:cstheme="majorHAnsi"/>
          <w:sz w:val="24"/>
          <w:szCs w:val="24"/>
          <w:lang w:val="ru-MD" w:eastAsia="ru-RU"/>
        </w:rPr>
        <w:t>.</w:t>
      </w:r>
    </w:p>
    <w:p w14:paraId="3F687413" w14:textId="69374577" w:rsidR="00971529" w:rsidRPr="00EC5A7B" w:rsidRDefault="00EF3C13" w:rsidP="00532A37">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Расходы на обслуживание внешнего государственного долга составили 145,8 млн. дол. США, или на 11,3 млн. дол. США больше по сравнению с предыдущим годом. Из общего объема платежей за обслуживание внешнего государственного долга, 83,9% были направлены на выплату основной суммы, и 16,1% – на выплату процентов и комиссий. </w:t>
      </w:r>
      <w:r w:rsidRPr="00EC5A7B">
        <w:rPr>
          <w:rFonts w:asciiTheme="majorHAnsi" w:hAnsiTheme="majorHAnsi" w:cstheme="majorHAnsi"/>
          <w:i/>
          <w:sz w:val="24"/>
          <w:szCs w:val="24"/>
          <w:lang w:val="ru-MD" w:eastAsia="ru-RU"/>
        </w:rPr>
        <w:t>Синтез расходов за 2017-2019 годы на обслуживание внешнего государственного долга представлен в Приложении №11 к настоящему Отчету аудита</w:t>
      </w:r>
      <w:r w:rsidRPr="00EC5A7B">
        <w:rPr>
          <w:rFonts w:asciiTheme="majorHAnsi" w:hAnsiTheme="majorHAnsi" w:cstheme="majorHAnsi"/>
          <w:sz w:val="24"/>
          <w:szCs w:val="24"/>
          <w:lang w:val="ru-MD" w:eastAsia="ru-RU"/>
        </w:rPr>
        <w:t xml:space="preserve">. </w:t>
      </w:r>
    </w:p>
    <w:p w14:paraId="2539E4AE" w14:textId="5DAC6C1B" w:rsidR="002957E8" w:rsidRPr="00EC5A7B" w:rsidRDefault="00EF3C13" w:rsidP="00FF3307">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Увеличение расходов на обслуживание внешнего государственного долга объясняется, в частности, увеличением выплат, уплаченных при погашении основной суммы</w:t>
      </w:r>
      <w:r w:rsidR="00D21FBB" w:rsidRPr="00EC5A7B">
        <w:rPr>
          <w:rFonts w:asciiTheme="majorHAnsi" w:hAnsiTheme="majorHAnsi" w:cstheme="majorHAnsi"/>
          <w:sz w:val="24"/>
          <w:szCs w:val="24"/>
          <w:lang w:val="ru-MD" w:eastAsia="ru-RU"/>
        </w:rPr>
        <w:t>.</w:t>
      </w:r>
      <w:r w:rsidR="00794686" w:rsidRPr="00EC5A7B">
        <w:rPr>
          <w:rFonts w:asciiTheme="majorHAnsi" w:hAnsiTheme="majorHAnsi" w:cstheme="majorHAnsi"/>
          <w:sz w:val="24"/>
          <w:szCs w:val="24"/>
          <w:lang w:val="ru-MD" w:eastAsia="ru-RU"/>
        </w:rPr>
        <w:t xml:space="preserve"> </w:t>
      </w:r>
    </w:p>
    <w:p w14:paraId="3906B0A4" w14:textId="1817AD72" w:rsidR="00B474B0" w:rsidRPr="00EC5A7B" w:rsidRDefault="00A9785A" w:rsidP="001657CC">
      <w:pPr>
        <w:numPr>
          <w:ilvl w:val="1"/>
          <w:numId w:val="2"/>
        </w:numPr>
        <w:autoSpaceDE w:val="0"/>
        <w:autoSpaceDN w:val="0"/>
        <w:adjustRightInd w:val="0"/>
        <w:spacing w:line="240" w:lineRule="auto"/>
        <w:ind w:left="0" w:firstLine="0"/>
        <w:contextualSpacing/>
        <w:jc w:val="both"/>
        <w:outlineLvl w:val="1"/>
        <w:rPr>
          <w:rFonts w:asciiTheme="majorHAnsi" w:eastAsia="Times New Roman" w:hAnsiTheme="majorHAnsi" w:cstheme="majorHAnsi"/>
          <w:b/>
          <w:bCs/>
          <w:color w:val="5B9BD5" w:themeColor="accent1"/>
          <w:sz w:val="24"/>
          <w:szCs w:val="24"/>
          <w:lang w:val="ru-MD" w:eastAsia="ru-RU"/>
        </w:rPr>
      </w:pPr>
      <w:bookmarkStart w:id="15" w:name="_Toc63157264"/>
      <w:r w:rsidRPr="00EC5A7B">
        <w:rPr>
          <w:rFonts w:asciiTheme="majorHAnsi" w:eastAsia="Times New Roman" w:hAnsiTheme="majorHAnsi" w:cstheme="majorHAnsi"/>
          <w:b/>
          <w:bCs/>
          <w:color w:val="5B9BD5" w:themeColor="accent1"/>
          <w:sz w:val="24"/>
          <w:szCs w:val="24"/>
          <w:lang w:val="ru-MD" w:eastAsia="ru-RU"/>
        </w:rPr>
        <w:t>Конкретная цель</w:t>
      </w:r>
      <w:r w:rsidR="006023D2" w:rsidRPr="00EC5A7B">
        <w:rPr>
          <w:rFonts w:asciiTheme="majorHAnsi" w:eastAsia="Times New Roman" w:hAnsiTheme="majorHAnsi" w:cstheme="majorHAnsi"/>
          <w:b/>
          <w:bCs/>
          <w:color w:val="5B9BD5" w:themeColor="accent1"/>
          <w:sz w:val="24"/>
          <w:szCs w:val="24"/>
          <w:lang w:val="ru-MD" w:eastAsia="ru-RU"/>
        </w:rPr>
        <w:t xml:space="preserve"> II. </w:t>
      </w:r>
      <w:r w:rsidR="001657CC" w:rsidRPr="00EC5A7B">
        <w:rPr>
          <w:rFonts w:asciiTheme="majorHAnsi" w:eastAsia="Times New Roman" w:hAnsiTheme="majorHAnsi" w:cstheme="majorHAnsi"/>
          <w:b/>
          <w:bCs/>
          <w:color w:val="5B9BD5" w:themeColor="accent1"/>
          <w:sz w:val="24"/>
          <w:szCs w:val="24"/>
          <w:lang w:val="ru-MD" w:eastAsia="ru-RU"/>
        </w:rPr>
        <w:t xml:space="preserve">Оценка достижения специфических целей по управлению государственным долгом, </w:t>
      </w:r>
      <w:r w:rsidR="001657CC" w:rsidRPr="00EC5A7B">
        <w:rPr>
          <w:rFonts w:asciiTheme="majorHAnsi" w:eastAsia="Times New Roman" w:hAnsiTheme="majorHAnsi" w:cstheme="majorHAnsi"/>
          <w:b/>
          <w:bCs/>
          <w:color w:val="5B9BD5" w:themeColor="accent1"/>
          <w:sz w:val="24"/>
          <w:szCs w:val="24"/>
          <w:lang w:val="ru-MD" w:eastAsia="ru-RU"/>
        </w:rPr>
        <w:lastRenderedPageBreak/>
        <w:t>установленных в Программе „Управление государственным долгом на среднесрочный период (2019-2021)”</w:t>
      </w:r>
      <w:bookmarkEnd w:id="15"/>
    </w:p>
    <w:p w14:paraId="09C0B8E9" w14:textId="5D1F78F9" w:rsidR="00F85715" w:rsidRPr="00EC5A7B" w:rsidRDefault="001657CC" w:rsidP="00F85715">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eastAsia="ru-RU"/>
        </w:rPr>
        <w:t>Анализ параметров риска</w:t>
      </w:r>
      <w:r w:rsidR="009E281D" w:rsidRPr="00EC5A7B">
        <w:rPr>
          <w:rFonts w:asciiTheme="majorHAnsi" w:hAnsiTheme="majorHAnsi" w:cstheme="majorHAnsi"/>
          <w:i/>
          <w:sz w:val="24"/>
          <w:szCs w:val="24"/>
          <w:lang w:val="ru-MD" w:eastAsia="ru-RU"/>
        </w:rPr>
        <w:t xml:space="preserve"> </w:t>
      </w:r>
      <w:r w:rsidRPr="00EC5A7B">
        <w:rPr>
          <w:rFonts w:asciiTheme="majorHAnsi" w:hAnsiTheme="majorHAnsi" w:cstheme="majorHAnsi"/>
          <w:i/>
          <w:sz w:val="24"/>
          <w:szCs w:val="24"/>
          <w:lang w:val="ru-MD" w:eastAsia="ru-RU"/>
        </w:rPr>
        <w:t xml:space="preserve">и устойчивости государственного долга показал, что они вписались в установленные пределы, за исключением показателя ATM для </w:t>
      </w:r>
      <w:r w:rsidR="009E281D" w:rsidRPr="00EC5A7B">
        <w:rPr>
          <w:rFonts w:asciiTheme="majorHAnsi" w:hAnsiTheme="majorHAnsi" w:cstheme="majorHAnsi"/>
          <w:i/>
          <w:sz w:val="24"/>
          <w:szCs w:val="24"/>
          <w:lang w:val="ru-MD" w:eastAsia="ru-RU"/>
        </w:rPr>
        <w:t>ГЦБ</w:t>
      </w:r>
      <w:r w:rsidRPr="00EC5A7B">
        <w:rPr>
          <w:rFonts w:asciiTheme="majorHAnsi" w:hAnsiTheme="majorHAnsi" w:cstheme="majorHAnsi"/>
          <w:i/>
          <w:sz w:val="24"/>
          <w:szCs w:val="24"/>
          <w:lang w:val="ru-MD" w:eastAsia="ru-RU"/>
        </w:rPr>
        <w:t>, выпущенн</w:t>
      </w:r>
      <w:r w:rsidR="009E281D" w:rsidRPr="00EC5A7B">
        <w:rPr>
          <w:rFonts w:asciiTheme="majorHAnsi" w:hAnsiTheme="majorHAnsi" w:cstheme="majorHAnsi"/>
          <w:i/>
          <w:sz w:val="24"/>
          <w:szCs w:val="24"/>
          <w:lang w:val="ru-MD" w:eastAsia="ru-RU"/>
        </w:rPr>
        <w:t>ых</w:t>
      </w:r>
      <w:r w:rsidRPr="00EC5A7B">
        <w:rPr>
          <w:rFonts w:asciiTheme="majorHAnsi" w:hAnsiTheme="majorHAnsi" w:cstheme="majorHAnsi"/>
          <w:i/>
          <w:sz w:val="24"/>
          <w:szCs w:val="24"/>
          <w:lang w:val="ru-MD" w:eastAsia="ru-RU"/>
        </w:rPr>
        <w:t xml:space="preserve"> на первичном рынке. </w:t>
      </w:r>
      <w:r w:rsidR="009E281D" w:rsidRPr="00EC5A7B">
        <w:rPr>
          <w:rFonts w:asciiTheme="majorHAnsi" w:hAnsiTheme="majorHAnsi" w:cstheme="majorHAnsi"/>
          <w:i/>
          <w:sz w:val="24"/>
          <w:szCs w:val="24"/>
          <w:lang w:val="ru-MD" w:eastAsia="ru-RU"/>
        </w:rPr>
        <w:t>Одновременно,</w:t>
      </w:r>
      <w:r w:rsidRPr="00EC5A7B">
        <w:rPr>
          <w:rFonts w:asciiTheme="majorHAnsi" w:hAnsiTheme="majorHAnsi" w:cstheme="majorHAnsi"/>
          <w:i/>
          <w:sz w:val="24"/>
          <w:szCs w:val="24"/>
          <w:lang w:val="ru-MD" w:eastAsia="ru-RU"/>
        </w:rPr>
        <w:t xml:space="preserve"> наблюдается высокий риск процентной ставки, обусловленный высокой долей внутреннего государственного долга, </w:t>
      </w:r>
      <w:r w:rsidR="009E281D" w:rsidRPr="00EC5A7B">
        <w:rPr>
          <w:rFonts w:asciiTheme="majorHAnsi" w:hAnsiTheme="majorHAnsi" w:cstheme="majorHAnsi"/>
          <w:i/>
          <w:sz w:val="24"/>
          <w:szCs w:val="24"/>
          <w:lang w:val="ru-MD" w:eastAsia="ru-RU"/>
        </w:rPr>
        <w:t>со сроком погашения</w:t>
      </w:r>
      <w:r w:rsidRPr="00EC5A7B">
        <w:rPr>
          <w:rFonts w:asciiTheme="majorHAnsi" w:hAnsiTheme="majorHAnsi" w:cstheme="majorHAnsi"/>
          <w:i/>
          <w:sz w:val="24"/>
          <w:szCs w:val="24"/>
          <w:lang w:val="ru-MD" w:eastAsia="ru-RU"/>
        </w:rPr>
        <w:t xml:space="preserve"> в течение 1 года. В</w:t>
      </w:r>
      <w:r w:rsidR="009E281D" w:rsidRPr="00EC5A7B">
        <w:rPr>
          <w:rFonts w:asciiTheme="majorHAnsi" w:hAnsiTheme="majorHAnsi" w:cstheme="majorHAnsi"/>
          <w:i/>
          <w:sz w:val="24"/>
          <w:szCs w:val="24"/>
          <w:lang w:val="ru-MD" w:eastAsia="ru-RU"/>
        </w:rPr>
        <w:t>месте с тем</w:t>
      </w:r>
      <w:r w:rsidRPr="00EC5A7B">
        <w:rPr>
          <w:rFonts w:asciiTheme="majorHAnsi" w:hAnsiTheme="majorHAnsi" w:cstheme="majorHAnsi"/>
          <w:i/>
          <w:sz w:val="24"/>
          <w:szCs w:val="24"/>
          <w:lang w:val="ru-MD" w:eastAsia="ru-RU"/>
        </w:rPr>
        <w:t>, в течение 2019 года МФ предпринял</w:t>
      </w:r>
      <w:r w:rsidR="009E281D" w:rsidRPr="00EC5A7B">
        <w:rPr>
          <w:rFonts w:asciiTheme="majorHAnsi" w:hAnsiTheme="majorHAnsi" w:cstheme="majorHAnsi"/>
          <w:i/>
          <w:sz w:val="24"/>
          <w:szCs w:val="24"/>
          <w:lang w:val="ru-MD" w:eastAsia="ru-RU"/>
        </w:rPr>
        <w:t>о</w:t>
      </w:r>
      <w:r w:rsidRPr="00EC5A7B">
        <w:rPr>
          <w:rFonts w:asciiTheme="majorHAnsi" w:hAnsiTheme="majorHAnsi" w:cstheme="majorHAnsi"/>
          <w:i/>
          <w:sz w:val="24"/>
          <w:szCs w:val="24"/>
          <w:lang w:val="ru-MD" w:eastAsia="ru-RU"/>
        </w:rPr>
        <w:t xml:space="preserve"> действия в целях достижения конкретных целей </w:t>
      </w:r>
      <w:r w:rsidR="009E281D" w:rsidRPr="00EC5A7B">
        <w:rPr>
          <w:rFonts w:asciiTheme="majorHAnsi" w:hAnsiTheme="majorHAnsi" w:cstheme="majorHAnsi"/>
          <w:i/>
          <w:sz w:val="24"/>
          <w:szCs w:val="24"/>
          <w:lang w:val="ru-MD" w:eastAsia="ru-RU"/>
        </w:rPr>
        <w:t xml:space="preserve">по </w:t>
      </w:r>
      <w:r w:rsidRPr="00EC5A7B">
        <w:rPr>
          <w:rFonts w:asciiTheme="majorHAnsi" w:hAnsiTheme="majorHAnsi" w:cstheme="majorHAnsi"/>
          <w:i/>
          <w:sz w:val="24"/>
          <w:szCs w:val="24"/>
          <w:lang w:val="ru-MD" w:eastAsia="ru-RU"/>
        </w:rPr>
        <w:t>управлени</w:t>
      </w:r>
      <w:r w:rsidR="009E281D" w:rsidRPr="00EC5A7B">
        <w:rPr>
          <w:rFonts w:asciiTheme="majorHAnsi" w:hAnsiTheme="majorHAnsi" w:cstheme="majorHAnsi"/>
          <w:i/>
          <w:sz w:val="24"/>
          <w:szCs w:val="24"/>
          <w:lang w:val="ru-MD" w:eastAsia="ru-RU"/>
        </w:rPr>
        <w:t>ю</w:t>
      </w:r>
      <w:r w:rsidRPr="00EC5A7B">
        <w:rPr>
          <w:rFonts w:asciiTheme="majorHAnsi" w:hAnsiTheme="majorHAnsi" w:cstheme="majorHAnsi"/>
          <w:i/>
          <w:sz w:val="24"/>
          <w:szCs w:val="24"/>
          <w:lang w:val="ru-MD" w:eastAsia="ru-RU"/>
        </w:rPr>
        <w:t xml:space="preserve"> государственным долгом</w:t>
      </w:r>
      <w:r w:rsidR="00F85715" w:rsidRPr="00EC5A7B">
        <w:rPr>
          <w:rFonts w:asciiTheme="majorHAnsi" w:hAnsiTheme="majorHAnsi" w:cstheme="majorHAnsi"/>
          <w:i/>
          <w:sz w:val="24"/>
          <w:szCs w:val="24"/>
          <w:lang w:val="ru-MD" w:eastAsia="ru-RU"/>
        </w:rPr>
        <w:t>.</w:t>
      </w:r>
    </w:p>
    <w:p w14:paraId="50B35DB7" w14:textId="7DE99F08" w:rsidR="00354DCC" w:rsidRPr="00EC5A7B" w:rsidRDefault="009E281D" w:rsidP="009E281D">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u-MD" w:eastAsia="ru-RU"/>
        </w:rPr>
      </w:pPr>
      <w:bookmarkStart w:id="16" w:name="_Toc63157265"/>
      <w:r w:rsidRPr="00EC5A7B">
        <w:rPr>
          <w:rFonts w:asciiTheme="majorHAnsi" w:eastAsia="Times New Roman" w:hAnsiTheme="majorHAnsi" w:cstheme="majorHAnsi"/>
          <w:b/>
          <w:bCs/>
          <w:i/>
          <w:color w:val="5B9BD5" w:themeColor="accent1"/>
          <w:sz w:val="24"/>
          <w:szCs w:val="24"/>
          <w:lang w:val="ru-MD" w:eastAsia="ru-RU"/>
        </w:rPr>
        <w:t>Большинство параметров риска и устойчивости вписались в пределы, установленные на 2019 год</w:t>
      </w:r>
      <w:bookmarkEnd w:id="16"/>
      <w:r w:rsidRPr="00EC5A7B">
        <w:rPr>
          <w:rFonts w:asciiTheme="majorHAnsi" w:eastAsia="Times New Roman" w:hAnsiTheme="majorHAnsi" w:cstheme="majorHAnsi"/>
          <w:b/>
          <w:bCs/>
          <w:i/>
          <w:color w:val="5B9BD5" w:themeColor="accent1"/>
          <w:sz w:val="24"/>
          <w:szCs w:val="24"/>
          <w:lang w:val="ru-MD" w:eastAsia="ru-RU"/>
        </w:rPr>
        <w:t xml:space="preserve"> </w:t>
      </w:r>
    </w:p>
    <w:p w14:paraId="0C1F2307" w14:textId="01C6CF7E" w:rsidR="004D4E5A" w:rsidRPr="00EC5A7B" w:rsidRDefault="009E281D"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Программа </w:t>
      </w:r>
      <w:r w:rsidR="004D4E5A" w:rsidRPr="00EC5A7B">
        <w:rPr>
          <w:rFonts w:asciiTheme="majorHAnsi" w:hAnsiTheme="majorHAnsi" w:cstheme="majorHAnsi"/>
          <w:sz w:val="24"/>
          <w:szCs w:val="24"/>
          <w:lang w:val="ru-MD" w:eastAsia="ru-RU"/>
        </w:rPr>
        <w:t>„</w:t>
      </w:r>
      <w:r w:rsidRPr="00EC5A7B">
        <w:rPr>
          <w:rFonts w:asciiTheme="majorHAnsi" w:hAnsiTheme="majorHAnsi" w:cstheme="majorHAnsi"/>
          <w:bCs/>
          <w:sz w:val="24"/>
          <w:szCs w:val="24"/>
          <w:lang w:val="ru-MD" w:eastAsia="ru-RU"/>
        </w:rPr>
        <w:t>Управление государственным долгом в среднесрочной перспективе</w:t>
      </w:r>
      <w:r w:rsidRPr="00EC5A7B">
        <w:rPr>
          <w:rFonts w:asciiTheme="majorHAnsi" w:hAnsiTheme="majorHAnsi" w:cstheme="majorHAnsi"/>
          <w:sz w:val="24"/>
          <w:szCs w:val="24"/>
          <w:lang w:val="ru-MD" w:eastAsia="ru-RU"/>
        </w:rPr>
        <w:t xml:space="preserve"> </w:t>
      </w:r>
      <w:r w:rsidR="004D4E5A" w:rsidRPr="00EC5A7B">
        <w:rPr>
          <w:rFonts w:asciiTheme="majorHAnsi" w:hAnsiTheme="majorHAnsi" w:cstheme="majorHAnsi"/>
          <w:sz w:val="24"/>
          <w:szCs w:val="24"/>
          <w:lang w:val="ru-MD" w:eastAsia="ru-RU"/>
        </w:rPr>
        <w:t>(2019-2021)”</w:t>
      </w:r>
      <w:r w:rsidR="004D4E5A" w:rsidRPr="00EC5A7B">
        <w:rPr>
          <w:rStyle w:val="FootnoteReference"/>
          <w:rFonts w:asciiTheme="majorHAnsi" w:hAnsiTheme="majorHAnsi" w:cstheme="majorHAnsi"/>
          <w:sz w:val="24"/>
          <w:szCs w:val="24"/>
          <w:lang w:val="ru-MD" w:eastAsia="ru-RU"/>
        </w:rPr>
        <w:footnoteReference w:id="11"/>
      </w:r>
      <w:r w:rsidR="0001142F"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устанавливает основную цель процесса управления государственным долгом, конкретные цели, а также действия, которые будут предприняты органами с целью обеспечения финансирования и улучшения структуры портфеля государственного долга, а их внедрение не создаст давления на устойчивость фискальной политики в целом</w:t>
      </w:r>
      <w:r w:rsidR="004D4E5A" w:rsidRPr="00EC5A7B">
        <w:rPr>
          <w:rFonts w:asciiTheme="majorHAnsi" w:hAnsiTheme="majorHAnsi" w:cstheme="majorHAnsi"/>
          <w:sz w:val="24"/>
          <w:szCs w:val="24"/>
          <w:lang w:val="ru-MD" w:eastAsia="ru-RU"/>
        </w:rPr>
        <w:t xml:space="preserve">. </w:t>
      </w:r>
    </w:p>
    <w:p w14:paraId="218F8C73" w14:textId="13FA6ADB" w:rsidR="004D4E5A" w:rsidRPr="00EC5A7B" w:rsidRDefault="00077E4F"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Для того, чтобы не подвергать портфель государственного долга чрезмерному воздействию </w:t>
      </w:r>
      <w:r w:rsidR="00122EC5" w:rsidRPr="00EC5A7B">
        <w:rPr>
          <w:rFonts w:asciiTheme="majorHAnsi" w:hAnsiTheme="majorHAnsi" w:cstheme="majorHAnsi"/>
          <w:sz w:val="24"/>
          <w:szCs w:val="24"/>
          <w:lang w:val="ru-MD" w:eastAsia="ru-RU"/>
        </w:rPr>
        <w:t>валютно</w:t>
      </w:r>
      <w:r w:rsidR="00E0559A" w:rsidRPr="00EC5A7B">
        <w:rPr>
          <w:rFonts w:asciiTheme="majorHAnsi" w:hAnsiTheme="majorHAnsi" w:cstheme="majorHAnsi"/>
          <w:sz w:val="24"/>
          <w:szCs w:val="24"/>
          <w:lang w:val="ru-MD" w:eastAsia="ru-RU"/>
        </w:rPr>
        <w:t>го</w:t>
      </w:r>
      <w:r w:rsidR="00122EC5" w:rsidRPr="00EC5A7B">
        <w:rPr>
          <w:rFonts w:asciiTheme="majorHAnsi" w:hAnsiTheme="majorHAnsi" w:cstheme="majorHAnsi"/>
          <w:sz w:val="24"/>
          <w:szCs w:val="24"/>
          <w:lang w:val="ru-MD" w:eastAsia="ru-RU"/>
        </w:rPr>
        <w:t xml:space="preserve"> риск</w:t>
      </w:r>
      <w:r w:rsidR="00E0559A" w:rsidRPr="00EC5A7B">
        <w:rPr>
          <w:rFonts w:asciiTheme="majorHAnsi" w:hAnsiTheme="majorHAnsi" w:cstheme="majorHAnsi"/>
          <w:sz w:val="24"/>
          <w:szCs w:val="24"/>
          <w:lang w:val="ru-MD" w:eastAsia="ru-RU"/>
        </w:rPr>
        <w:t>а</w:t>
      </w:r>
      <w:r w:rsidR="00122EC5" w:rsidRPr="00EC5A7B">
        <w:rPr>
          <w:rFonts w:asciiTheme="majorHAnsi" w:hAnsiTheme="majorHAnsi" w:cstheme="majorHAnsi"/>
          <w:sz w:val="24"/>
          <w:szCs w:val="24"/>
          <w:lang w:val="ru-MD" w:eastAsia="ru-RU"/>
        </w:rPr>
        <w:t>, риск</w:t>
      </w:r>
      <w:r w:rsidR="00E0559A" w:rsidRPr="00EC5A7B">
        <w:rPr>
          <w:rFonts w:asciiTheme="majorHAnsi" w:hAnsiTheme="majorHAnsi" w:cstheme="majorHAnsi"/>
          <w:sz w:val="24"/>
          <w:szCs w:val="24"/>
          <w:lang w:val="ru-MD" w:eastAsia="ru-RU"/>
        </w:rPr>
        <w:t>а</w:t>
      </w:r>
      <w:r w:rsidR="00122EC5" w:rsidRPr="00EC5A7B">
        <w:rPr>
          <w:rFonts w:asciiTheme="majorHAnsi" w:hAnsiTheme="majorHAnsi" w:cstheme="majorHAnsi"/>
          <w:sz w:val="24"/>
          <w:szCs w:val="24"/>
          <w:lang w:val="ru-MD" w:eastAsia="ru-RU"/>
        </w:rPr>
        <w:t xml:space="preserve"> процентной ставки и риск</w:t>
      </w:r>
      <w:r w:rsidR="00E0559A" w:rsidRPr="00EC5A7B">
        <w:rPr>
          <w:rFonts w:asciiTheme="majorHAnsi" w:hAnsiTheme="majorHAnsi" w:cstheme="majorHAnsi"/>
          <w:sz w:val="24"/>
          <w:szCs w:val="24"/>
          <w:lang w:val="ru-MD" w:eastAsia="ru-RU"/>
        </w:rPr>
        <w:t>а</w:t>
      </w:r>
      <w:r w:rsidR="00122EC5" w:rsidRPr="00EC5A7B">
        <w:rPr>
          <w:rFonts w:asciiTheme="majorHAnsi" w:hAnsiTheme="majorHAnsi" w:cstheme="majorHAnsi"/>
          <w:sz w:val="24"/>
          <w:szCs w:val="24"/>
          <w:lang w:val="ru-MD" w:eastAsia="ru-RU"/>
        </w:rPr>
        <w:t xml:space="preserve"> рефинансирования, настоящая Программа устанавливает ориентировочные целевые интервалы </w:t>
      </w:r>
      <w:r w:rsidR="00122EC5" w:rsidRPr="00EC5A7B">
        <w:rPr>
          <w:rFonts w:asciiTheme="majorHAnsi" w:hAnsiTheme="majorHAnsi" w:cstheme="majorHAnsi"/>
          <w:sz w:val="24"/>
          <w:szCs w:val="24"/>
          <w:lang w:val="ru-MD" w:eastAsia="ru-RU"/>
        </w:rPr>
        <w:lastRenderedPageBreak/>
        <w:t xml:space="preserve">для основных параметров риска и устойчивости, связанных </w:t>
      </w:r>
      <w:r w:rsidR="00671D2F" w:rsidRPr="00EC5A7B">
        <w:rPr>
          <w:rFonts w:asciiTheme="majorHAnsi" w:hAnsiTheme="majorHAnsi" w:cstheme="majorHAnsi"/>
          <w:sz w:val="24"/>
          <w:szCs w:val="24"/>
          <w:lang w:val="ru-MD" w:eastAsia="ru-RU"/>
        </w:rPr>
        <w:t>с портфелем</w:t>
      </w:r>
      <w:r w:rsidR="00122EC5" w:rsidRPr="00EC5A7B">
        <w:rPr>
          <w:rFonts w:asciiTheme="majorHAnsi" w:hAnsiTheme="majorHAnsi" w:cstheme="majorHAnsi"/>
          <w:sz w:val="24"/>
          <w:szCs w:val="24"/>
          <w:lang w:val="ru-MD" w:eastAsia="ru-RU"/>
        </w:rPr>
        <w:t xml:space="preserve"> государственного долга</w:t>
      </w:r>
      <w:r w:rsidR="004D4E5A" w:rsidRPr="00EC5A7B">
        <w:rPr>
          <w:rFonts w:asciiTheme="majorHAnsi" w:hAnsiTheme="majorHAnsi" w:cstheme="majorHAnsi"/>
          <w:sz w:val="24"/>
          <w:szCs w:val="24"/>
          <w:lang w:val="ru-MD" w:eastAsia="ru-RU"/>
        </w:rPr>
        <w:t xml:space="preserve">. </w:t>
      </w:r>
    </w:p>
    <w:p w14:paraId="1B0BE781" w14:textId="681AF98F" w:rsidR="0009184E" w:rsidRPr="00EC5A7B" w:rsidRDefault="007B5D21" w:rsidP="00C32F2F">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rPr>
        <w:t>Проведенный аудитом анализ относительно ситуации о том, как вписываются параметры государственного долга за 2019 год в установленные пределы, представлен</w:t>
      </w:r>
      <w:r w:rsidRPr="00EC5A7B">
        <w:rPr>
          <w:rFonts w:asciiTheme="majorHAnsi" w:hAnsiTheme="majorHAnsi" w:cstheme="majorHAnsi"/>
          <w:sz w:val="24"/>
          <w:szCs w:val="24"/>
          <w:lang w:val="ru-MD"/>
        </w:rPr>
        <w:t xml:space="preserve"> в </w:t>
      </w:r>
      <w:r w:rsidR="00220355" w:rsidRPr="00EC5A7B">
        <w:rPr>
          <w:rFonts w:asciiTheme="majorHAnsi" w:hAnsiTheme="majorHAnsi" w:cstheme="majorHAnsi"/>
          <w:i/>
          <w:sz w:val="24"/>
          <w:szCs w:val="24"/>
          <w:lang w:val="ru-MD" w:eastAsia="ru-RU"/>
        </w:rPr>
        <w:t>Таблиц</w:t>
      </w:r>
      <w:r w:rsidR="00D270FA" w:rsidRPr="00EC5A7B">
        <w:rPr>
          <w:rFonts w:asciiTheme="majorHAnsi" w:hAnsiTheme="majorHAnsi" w:cstheme="majorHAnsi"/>
          <w:i/>
          <w:sz w:val="24"/>
          <w:szCs w:val="24"/>
          <w:lang w:val="ru-MD" w:eastAsia="ru-RU"/>
        </w:rPr>
        <w:t>е</w:t>
      </w:r>
      <w:r w:rsidR="00220355" w:rsidRPr="00EC5A7B">
        <w:rPr>
          <w:rFonts w:asciiTheme="majorHAnsi" w:hAnsiTheme="majorHAnsi" w:cstheme="majorHAnsi"/>
          <w:i/>
          <w:sz w:val="24"/>
          <w:szCs w:val="24"/>
          <w:lang w:val="ru-MD" w:eastAsia="ru-RU"/>
        </w:rPr>
        <w:t xml:space="preserve"> №</w:t>
      </w:r>
      <w:r w:rsidR="006F221C" w:rsidRPr="00EC5A7B">
        <w:rPr>
          <w:rFonts w:asciiTheme="majorHAnsi" w:hAnsiTheme="majorHAnsi" w:cstheme="majorHAnsi"/>
          <w:i/>
          <w:sz w:val="24"/>
          <w:szCs w:val="24"/>
          <w:lang w:val="ru-MD" w:eastAsia="ru-RU"/>
        </w:rPr>
        <w:t>9</w:t>
      </w:r>
      <w:r w:rsidR="00C32F2F" w:rsidRPr="00EC5A7B">
        <w:rPr>
          <w:rFonts w:asciiTheme="majorHAnsi" w:hAnsiTheme="majorHAnsi" w:cstheme="majorHAnsi"/>
          <w:i/>
          <w:sz w:val="24"/>
          <w:szCs w:val="24"/>
          <w:lang w:val="ru-MD" w:eastAsia="ru-RU"/>
        </w:rPr>
        <w:t>.</w:t>
      </w:r>
    </w:p>
    <w:p w14:paraId="32BCFD88" w14:textId="1F450067" w:rsidR="0009184E" w:rsidRPr="00EC5A7B" w:rsidRDefault="00220355" w:rsidP="00712FA2">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6F221C" w:rsidRPr="00EC5A7B">
        <w:rPr>
          <w:rFonts w:asciiTheme="majorHAnsi" w:hAnsiTheme="majorHAnsi" w:cstheme="majorHAnsi"/>
          <w:b/>
          <w:i/>
          <w:color w:val="5B9BD5" w:themeColor="accent1"/>
          <w:sz w:val="24"/>
          <w:szCs w:val="24"/>
          <w:lang w:val="ru-MD" w:eastAsia="ru-RU"/>
        </w:rPr>
        <w:t>9</w:t>
      </w:r>
    </w:p>
    <w:tbl>
      <w:tblPr>
        <w:tblStyle w:val="TableGrid"/>
        <w:tblW w:w="9481" w:type="dxa"/>
        <w:tblLook w:val="04A0" w:firstRow="1" w:lastRow="0" w:firstColumn="1" w:lastColumn="0" w:noHBand="0" w:noVBand="1"/>
      </w:tblPr>
      <w:tblGrid>
        <w:gridCol w:w="5125"/>
        <w:gridCol w:w="2190"/>
        <w:gridCol w:w="2160"/>
        <w:gridCol w:w="6"/>
      </w:tblGrid>
      <w:tr w:rsidR="0009184E" w:rsidRPr="00EC5A7B" w14:paraId="565163E9" w14:textId="77777777" w:rsidTr="0009184E">
        <w:trPr>
          <w:gridAfter w:val="1"/>
          <w:wAfter w:w="6" w:type="dxa"/>
        </w:trPr>
        <w:tc>
          <w:tcPr>
            <w:tcW w:w="5125" w:type="dxa"/>
            <w:shd w:val="clear" w:color="auto" w:fill="DEEAF6" w:themeFill="accent1" w:themeFillTint="33"/>
            <w:vAlign w:val="center"/>
          </w:tcPr>
          <w:p w14:paraId="175710B1" w14:textId="53C9D0EE" w:rsidR="0009184E" w:rsidRPr="00EC5A7B" w:rsidRDefault="00A13632" w:rsidP="0009184E">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Показатели</w:t>
            </w:r>
          </w:p>
        </w:tc>
        <w:tc>
          <w:tcPr>
            <w:tcW w:w="2190" w:type="dxa"/>
            <w:shd w:val="clear" w:color="auto" w:fill="DEEAF6" w:themeFill="accent1" w:themeFillTint="33"/>
            <w:vAlign w:val="center"/>
          </w:tcPr>
          <w:p w14:paraId="02281851" w14:textId="627BC304" w:rsidR="0009184E" w:rsidRPr="00EC5A7B" w:rsidRDefault="00A13632" w:rsidP="00A1363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 xml:space="preserve">Установленные значения на период </w:t>
            </w:r>
            <w:r w:rsidR="0009184E" w:rsidRPr="00EC5A7B">
              <w:rPr>
                <w:rFonts w:asciiTheme="majorHAnsi" w:hAnsiTheme="majorHAnsi" w:cstheme="majorHAnsi"/>
                <w:b/>
                <w:sz w:val="20"/>
                <w:szCs w:val="20"/>
                <w:lang w:val="ru-MD" w:eastAsia="ru-RU"/>
              </w:rPr>
              <w:t>2019-2021</w:t>
            </w:r>
            <w:r w:rsidRPr="00EC5A7B">
              <w:rPr>
                <w:rFonts w:asciiTheme="majorHAnsi" w:hAnsiTheme="majorHAnsi" w:cstheme="majorHAnsi"/>
                <w:b/>
                <w:sz w:val="20"/>
                <w:szCs w:val="20"/>
                <w:lang w:val="ru-MD" w:eastAsia="ru-RU"/>
              </w:rPr>
              <w:t xml:space="preserve"> годов</w:t>
            </w:r>
          </w:p>
        </w:tc>
        <w:tc>
          <w:tcPr>
            <w:tcW w:w="2160" w:type="dxa"/>
            <w:shd w:val="clear" w:color="auto" w:fill="DEEAF6" w:themeFill="accent1" w:themeFillTint="33"/>
            <w:vAlign w:val="center"/>
          </w:tcPr>
          <w:p w14:paraId="57398FE0" w14:textId="5D0D6AA3" w:rsidR="0009184E" w:rsidRPr="00EC5A7B" w:rsidRDefault="00A13632" w:rsidP="00A1363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Зарегистрированные значения</w:t>
            </w:r>
            <w:r w:rsidRPr="00EC5A7B">
              <w:rPr>
                <w:rFonts w:asciiTheme="majorHAnsi" w:hAnsiTheme="majorHAnsi" w:cstheme="majorHAnsi"/>
                <w:b/>
                <w:sz w:val="20"/>
                <w:szCs w:val="20"/>
                <w:lang w:val="ru-MD" w:eastAsia="ru-RU"/>
              </w:rPr>
              <w:t xml:space="preserve"> в</w:t>
            </w:r>
            <w:r w:rsidR="0009184E" w:rsidRPr="00EC5A7B">
              <w:rPr>
                <w:rFonts w:asciiTheme="majorHAnsi" w:hAnsiTheme="majorHAnsi" w:cstheme="majorHAnsi"/>
                <w:b/>
                <w:sz w:val="20"/>
                <w:szCs w:val="20"/>
                <w:lang w:val="ru-MD" w:eastAsia="ru-RU"/>
              </w:rPr>
              <w:t xml:space="preserve"> 2019</w:t>
            </w:r>
            <w:r w:rsidRPr="00EC5A7B">
              <w:rPr>
                <w:rFonts w:asciiTheme="majorHAnsi" w:hAnsiTheme="majorHAnsi" w:cstheme="majorHAnsi"/>
                <w:b/>
                <w:sz w:val="20"/>
                <w:szCs w:val="20"/>
                <w:lang w:val="ru-MD" w:eastAsia="ru-RU"/>
              </w:rPr>
              <w:t xml:space="preserve"> году</w:t>
            </w:r>
          </w:p>
        </w:tc>
      </w:tr>
      <w:tr w:rsidR="0009184E" w:rsidRPr="00EC5A7B" w14:paraId="4CA9090B" w14:textId="77777777" w:rsidTr="0009184E">
        <w:tc>
          <w:tcPr>
            <w:tcW w:w="9481" w:type="dxa"/>
            <w:gridSpan w:val="4"/>
          </w:tcPr>
          <w:p w14:paraId="0B72C2D4" w14:textId="4925E62D" w:rsidR="0009184E" w:rsidRPr="00EC5A7B" w:rsidRDefault="00BE4A86" w:rsidP="0009184E">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Параметры риска</w:t>
            </w:r>
          </w:p>
        </w:tc>
      </w:tr>
      <w:tr w:rsidR="0009184E" w:rsidRPr="00EC5A7B" w14:paraId="59B033A2" w14:textId="77777777" w:rsidTr="0009184E">
        <w:trPr>
          <w:gridAfter w:val="1"/>
          <w:wAfter w:w="6" w:type="dxa"/>
        </w:trPr>
        <w:tc>
          <w:tcPr>
            <w:tcW w:w="5125" w:type="dxa"/>
          </w:tcPr>
          <w:p w14:paraId="0BCCD686" w14:textId="54CBF24A"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Государственный долг, подлежащий оплате в течение одного года (% из всего)</w:t>
            </w:r>
          </w:p>
        </w:tc>
        <w:tc>
          <w:tcPr>
            <w:tcW w:w="2190" w:type="dxa"/>
          </w:tcPr>
          <w:p w14:paraId="4C4E78E5" w14:textId="37B552E0"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 - 25% (</w:t>
            </w:r>
            <w:r w:rsidR="00BE4A86" w:rsidRPr="00EC5A7B">
              <w:rPr>
                <w:rFonts w:asciiTheme="majorHAnsi" w:hAnsiTheme="majorHAnsi" w:cstheme="majorHAnsi"/>
                <w:sz w:val="20"/>
                <w:szCs w:val="20"/>
                <w:lang w:val="ru-MD" w:eastAsia="ru-RU"/>
              </w:rPr>
              <w:t>максимум</w:t>
            </w:r>
            <w:r w:rsidRPr="00EC5A7B">
              <w:rPr>
                <w:rFonts w:asciiTheme="majorHAnsi" w:hAnsiTheme="majorHAnsi" w:cstheme="majorHAnsi"/>
                <w:sz w:val="20"/>
                <w:szCs w:val="20"/>
                <w:lang w:val="ru-MD" w:eastAsia="ru-RU"/>
              </w:rPr>
              <w:t>)</w:t>
            </w:r>
          </w:p>
        </w:tc>
        <w:tc>
          <w:tcPr>
            <w:tcW w:w="2160" w:type="dxa"/>
          </w:tcPr>
          <w:p w14:paraId="7980B517" w14:textId="77777777" w:rsidR="0009184E" w:rsidRPr="00EC5A7B" w:rsidRDefault="00382628"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18,4%</w:t>
            </w:r>
          </w:p>
        </w:tc>
      </w:tr>
      <w:tr w:rsidR="0009184E" w:rsidRPr="00EC5A7B" w14:paraId="65EDC6D0" w14:textId="77777777" w:rsidTr="0009184E">
        <w:trPr>
          <w:gridAfter w:val="1"/>
          <w:wAfter w:w="6" w:type="dxa"/>
        </w:trPr>
        <w:tc>
          <w:tcPr>
            <w:tcW w:w="5125" w:type="dxa"/>
          </w:tcPr>
          <w:p w14:paraId="57B9A67E" w14:textId="1725C3D4"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Внутренний государственный долг (% из всего)</w:t>
            </w:r>
          </w:p>
        </w:tc>
        <w:tc>
          <w:tcPr>
            <w:tcW w:w="2190" w:type="dxa"/>
          </w:tcPr>
          <w:p w14:paraId="0835050C" w14:textId="104E0586"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 (</w:t>
            </w:r>
            <w:r w:rsidR="00BE4A86" w:rsidRPr="00EC5A7B">
              <w:rPr>
                <w:rFonts w:asciiTheme="majorHAnsi" w:hAnsiTheme="majorHAnsi" w:cstheme="majorHAnsi"/>
                <w:sz w:val="20"/>
                <w:szCs w:val="20"/>
                <w:lang w:val="ru-MD" w:eastAsia="ru-RU"/>
              </w:rPr>
              <w:t>минимум</w:t>
            </w:r>
            <w:r w:rsidRPr="00EC5A7B">
              <w:rPr>
                <w:rFonts w:asciiTheme="majorHAnsi" w:hAnsiTheme="majorHAnsi" w:cstheme="majorHAnsi"/>
                <w:sz w:val="20"/>
                <w:szCs w:val="20"/>
                <w:lang w:val="ru-MD" w:eastAsia="ru-RU"/>
              </w:rPr>
              <w:t>) – 50%</w:t>
            </w:r>
          </w:p>
        </w:tc>
        <w:tc>
          <w:tcPr>
            <w:tcW w:w="2160" w:type="dxa"/>
          </w:tcPr>
          <w:p w14:paraId="750F4598" w14:textId="77777777" w:rsidR="0009184E" w:rsidRPr="00EC5A7B" w:rsidRDefault="00A46A0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44,1%</w:t>
            </w:r>
          </w:p>
        </w:tc>
      </w:tr>
      <w:tr w:rsidR="0009184E" w:rsidRPr="00EC5A7B" w14:paraId="57757EE5" w14:textId="77777777" w:rsidTr="0009184E">
        <w:trPr>
          <w:gridAfter w:val="1"/>
          <w:wAfter w:w="6" w:type="dxa"/>
        </w:trPr>
        <w:tc>
          <w:tcPr>
            <w:tcW w:w="5125" w:type="dxa"/>
          </w:tcPr>
          <w:p w14:paraId="6DF0F74C" w14:textId="08736374"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Государственный долг в определенной иностранной валюте (% из всего)</w:t>
            </w:r>
          </w:p>
        </w:tc>
        <w:tc>
          <w:tcPr>
            <w:tcW w:w="2190" w:type="dxa"/>
          </w:tcPr>
          <w:p w14:paraId="504C015D" w14:textId="6D89E83D"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 - 40% (</w:t>
            </w:r>
            <w:r w:rsidR="00BE4A86" w:rsidRPr="00EC5A7B">
              <w:rPr>
                <w:rFonts w:asciiTheme="majorHAnsi" w:hAnsiTheme="majorHAnsi" w:cstheme="majorHAnsi"/>
                <w:sz w:val="20"/>
                <w:szCs w:val="20"/>
                <w:lang w:val="ru-MD" w:eastAsia="ru-RU"/>
              </w:rPr>
              <w:t>максимум</w:t>
            </w:r>
            <w:r w:rsidRPr="00EC5A7B">
              <w:rPr>
                <w:rFonts w:asciiTheme="majorHAnsi" w:hAnsiTheme="majorHAnsi" w:cstheme="majorHAnsi"/>
                <w:sz w:val="20"/>
                <w:szCs w:val="20"/>
                <w:lang w:val="ru-MD" w:eastAsia="ru-RU"/>
              </w:rPr>
              <w:t>)</w:t>
            </w:r>
          </w:p>
        </w:tc>
        <w:tc>
          <w:tcPr>
            <w:tcW w:w="2160" w:type="dxa"/>
          </w:tcPr>
          <w:p w14:paraId="0EDD3636" w14:textId="77777777" w:rsidR="0009184E" w:rsidRPr="00EC5A7B" w:rsidRDefault="00382628"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30,7%</w:t>
            </w:r>
          </w:p>
        </w:tc>
      </w:tr>
      <w:tr w:rsidR="0009184E" w:rsidRPr="00EC5A7B" w14:paraId="3C4C93AB" w14:textId="77777777" w:rsidTr="0009184E">
        <w:trPr>
          <w:gridAfter w:val="1"/>
          <w:wAfter w:w="6" w:type="dxa"/>
        </w:trPr>
        <w:tc>
          <w:tcPr>
            <w:tcW w:w="5125" w:type="dxa"/>
          </w:tcPr>
          <w:p w14:paraId="519209C2" w14:textId="2E926E8D"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Государственный долг с переменной процентной ставкой  (% из всего)</w:t>
            </w:r>
          </w:p>
        </w:tc>
        <w:tc>
          <w:tcPr>
            <w:tcW w:w="2190" w:type="dxa"/>
          </w:tcPr>
          <w:p w14:paraId="6A8D26E6" w14:textId="4882A32F"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 - 40% (</w:t>
            </w:r>
            <w:r w:rsidR="00BE4A86" w:rsidRPr="00EC5A7B">
              <w:rPr>
                <w:rFonts w:asciiTheme="majorHAnsi" w:hAnsiTheme="majorHAnsi" w:cstheme="majorHAnsi"/>
                <w:sz w:val="20"/>
                <w:szCs w:val="20"/>
                <w:lang w:val="ru-MD" w:eastAsia="ru-RU"/>
              </w:rPr>
              <w:t>максимум</w:t>
            </w:r>
            <w:r w:rsidRPr="00EC5A7B">
              <w:rPr>
                <w:rFonts w:asciiTheme="majorHAnsi" w:hAnsiTheme="majorHAnsi" w:cstheme="majorHAnsi"/>
                <w:sz w:val="20"/>
                <w:szCs w:val="20"/>
                <w:lang w:val="ru-MD" w:eastAsia="ru-RU"/>
              </w:rPr>
              <w:t>)</w:t>
            </w:r>
          </w:p>
        </w:tc>
        <w:tc>
          <w:tcPr>
            <w:tcW w:w="2160" w:type="dxa"/>
          </w:tcPr>
          <w:p w14:paraId="441A3413" w14:textId="77777777" w:rsidR="0009184E" w:rsidRPr="00EC5A7B" w:rsidRDefault="00EE60C5"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28,6</w:t>
            </w:r>
            <w:r w:rsidR="001A01E4" w:rsidRPr="00EC5A7B">
              <w:rPr>
                <w:rFonts w:asciiTheme="majorHAnsi" w:hAnsiTheme="majorHAnsi" w:cstheme="majorHAnsi"/>
                <w:sz w:val="20"/>
                <w:szCs w:val="20"/>
                <w:lang w:val="ru-MD" w:eastAsia="ru-RU"/>
              </w:rPr>
              <w:t>%</w:t>
            </w:r>
            <w:r w:rsidRPr="00EC5A7B">
              <w:rPr>
                <w:rFonts w:asciiTheme="majorHAnsi" w:hAnsiTheme="majorHAnsi" w:cstheme="majorHAnsi"/>
                <w:sz w:val="20"/>
                <w:szCs w:val="20"/>
                <w:lang w:val="ru-MD" w:eastAsia="ru-RU"/>
              </w:rPr>
              <w:t>*</w:t>
            </w:r>
          </w:p>
        </w:tc>
      </w:tr>
      <w:tr w:rsidR="0009184E" w:rsidRPr="00EC5A7B" w14:paraId="227F53B0" w14:textId="77777777" w:rsidTr="0009184E">
        <w:trPr>
          <w:gridAfter w:val="1"/>
          <w:wAfter w:w="6" w:type="dxa"/>
        </w:trPr>
        <w:tc>
          <w:tcPr>
            <w:tcW w:w="5125" w:type="dxa"/>
          </w:tcPr>
          <w:p w14:paraId="60C9EDFF" w14:textId="32E85B00"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ГЦБ, выпущенные на первичном рынке, подлежащие оплате в течение одного года (% из всего)</w:t>
            </w:r>
          </w:p>
        </w:tc>
        <w:tc>
          <w:tcPr>
            <w:tcW w:w="2190" w:type="dxa"/>
          </w:tcPr>
          <w:p w14:paraId="3DBC3889" w14:textId="5345B444"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70% - 85% (</w:t>
            </w:r>
            <w:r w:rsidR="00BE4A86" w:rsidRPr="00EC5A7B">
              <w:rPr>
                <w:rFonts w:asciiTheme="majorHAnsi" w:hAnsiTheme="majorHAnsi" w:cstheme="majorHAnsi"/>
                <w:sz w:val="20"/>
                <w:szCs w:val="20"/>
                <w:lang w:val="ru-MD" w:eastAsia="ru-RU"/>
              </w:rPr>
              <w:t>максимум</w:t>
            </w:r>
            <w:r w:rsidRPr="00EC5A7B">
              <w:rPr>
                <w:rFonts w:asciiTheme="majorHAnsi" w:hAnsiTheme="majorHAnsi" w:cstheme="majorHAnsi"/>
                <w:sz w:val="20"/>
                <w:szCs w:val="20"/>
                <w:lang w:val="ru-MD" w:eastAsia="ru-RU"/>
              </w:rPr>
              <w:t>)</w:t>
            </w:r>
          </w:p>
        </w:tc>
        <w:tc>
          <w:tcPr>
            <w:tcW w:w="2160" w:type="dxa"/>
          </w:tcPr>
          <w:p w14:paraId="78D1C4FF" w14:textId="77777777" w:rsidR="0009184E" w:rsidRPr="00EC5A7B" w:rsidRDefault="0001142F"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84,3</w:t>
            </w:r>
            <w:r w:rsidR="001A01E4" w:rsidRPr="00EC5A7B">
              <w:rPr>
                <w:rFonts w:asciiTheme="majorHAnsi" w:hAnsiTheme="majorHAnsi" w:cstheme="majorHAnsi"/>
                <w:sz w:val="20"/>
                <w:szCs w:val="20"/>
                <w:lang w:val="ru-MD" w:eastAsia="ru-RU"/>
              </w:rPr>
              <w:t>%</w:t>
            </w:r>
          </w:p>
        </w:tc>
      </w:tr>
      <w:tr w:rsidR="0009184E" w:rsidRPr="00EC5A7B" w14:paraId="032BB49D" w14:textId="77777777" w:rsidTr="0009184E">
        <w:trPr>
          <w:gridAfter w:val="1"/>
          <w:wAfter w:w="6" w:type="dxa"/>
        </w:trPr>
        <w:tc>
          <w:tcPr>
            <w:tcW w:w="5125" w:type="dxa"/>
          </w:tcPr>
          <w:p w14:paraId="09BA53E4" w14:textId="08756419" w:rsidR="0009184E" w:rsidRPr="00EC5A7B" w:rsidRDefault="00BE4A86" w:rsidP="0009184E">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АТМ для ГЦБ, выпущенных на первичном рынке (лет)</w:t>
            </w:r>
          </w:p>
        </w:tc>
        <w:tc>
          <w:tcPr>
            <w:tcW w:w="2190" w:type="dxa"/>
          </w:tcPr>
          <w:p w14:paraId="4C311A35" w14:textId="70ECE7F6" w:rsidR="0009184E" w:rsidRPr="00EC5A7B" w:rsidRDefault="0009184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 (</w:t>
            </w:r>
            <w:r w:rsidR="00BE4A86" w:rsidRPr="00EC5A7B">
              <w:rPr>
                <w:rFonts w:asciiTheme="majorHAnsi" w:hAnsiTheme="majorHAnsi" w:cstheme="majorHAnsi"/>
                <w:sz w:val="20"/>
                <w:szCs w:val="20"/>
                <w:lang w:val="ru-MD" w:eastAsia="ru-RU"/>
              </w:rPr>
              <w:t>минимум</w:t>
            </w:r>
            <w:r w:rsidRPr="00EC5A7B">
              <w:rPr>
                <w:rFonts w:asciiTheme="majorHAnsi" w:hAnsiTheme="majorHAnsi" w:cstheme="majorHAnsi"/>
                <w:sz w:val="20"/>
                <w:szCs w:val="20"/>
                <w:lang w:val="ru-MD" w:eastAsia="ru-RU"/>
              </w:rPr>
              <w:t>) – 2,0</w:t>
            </w:r>
          </w:p>
        </w:tc>
        <w:tc>
          <w:tcPr>
            <w:tcW w:w="2160" w:type="dxa"/>
          </w:tcPr>
          <w:p w14:paraId="12C74EEE" w14:textId="77777777" w:rsidR="0009184E" w:rsidRPr="00EC5A7B" w:rsidRDefault="001A01E4"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0,8</w:t>
            </w:r>
          </w:p>
        </w:tc>
      </w:tr>
      <w:tr w:rsidR="00A46A0E" w:rsidRPr="00EC5A7B" w14:paraId="6786BD54" w14:textId="77777777" w:rsidTr="00AB1E33">
        <w:trPr>
          <w:gridAfter w:val="1"/>
          <w:wAfter w:w="6" w:type="dxa"/>
        </w:trPr>
        <w:tc>
          <w:tcPr>
            <w:tcW w:w="9475" w:type="dxa"/>
            <w:gridSpan w:val="3"/>
          </w:tcPr>
          <w:p w14:paraId="3EBCAEB2" w14:textId="075E0828" w:rsidR="00A46A0E" w:rsidRPr="00EC5A7B" w:rsidRDefault="00BE4A86" w:rsidP="0009184E">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Параметры устойчивости</w:t>
            </w:r>
          </w:p>
        </w:tc>
      </w:tr>
      <w:tr w:rsidR="0009184E" w:rsidRPr="00EC5A7B" w14:paraId="01398A54" w14:textId="77777777" w:rsidTr="0009184E">
        <w:trPr>
          <w:gridAfter w:val="1"/>
          <w:wAfter w:w="6" w:type="dxa"/>
        </w:trPr>
        <w:tc>
          <w:tcPr>
            <w:tcW w:w="5125" w:type="dxa"/>
          </w:tcPr>
          <w:p w14:paraId="371A281E" w14:textId="3E9D93E0" w:rsidR="0009184E" w:rsidRPr="00EC5A7B" w:rsidRDefault="00BE4A86" w:rsidP="00BE4A86">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 xml:space="preserve">Обслуживание государственного долга (%, по отношению к доходам государственного бюджета)  </w:t>
            </w:r>
          </w:p>
        </w:tc>
        <w:tc>
          <w:tcPr>
            <w:tcW w:w="2190" w:type="dxa"/>
          </w:tcPr>
          <w:p w14:paraId="0181D042" w14:textId="77777777" w:rsidR="0009184E" w:rsidRPr="00EC5A7B" w:rsidRDefault="00A46A0E"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w:t>
            </w:r>
          </w:p>
        </w:tc>
        <w:tc>
          <w:tcPr>
            <w:tcW w:w="2160" w:type="dxa"/>
          </w:tcPr>
          <w:p w14:paraId="6C1F20C8" w14:textId="77777777" w:rsidR="0009184E" w:rsidRPr="00EC5A7B" w:rsidRDefault="008D72B4" w:rsidP="0009184E">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4,1</w:t>
            </w:r>
            <w:r w:rsidR="00820FC3" w:rsidRPr="00EC5A7B">
              <w:rPr>
                <w:rFonts w:asciiTheme="majorHAnsi" w:hAnsiTheme="majorHAnsi" w:cstheme="majorHAnsi"/>
                <w:sz w:val="20"/>
                <w:szCs w:val="20"/>
                <w:lang w:val="ru-MD" w:eastAsia="ru-RU"/>
              </w:rPr>
              <w:t>%</w:t>
            </w:r>
          </w:p>
        </w:tc>
      </w:tr>
    </w:tbl>
    <w:p w14:paraId="177C664D" w14:textId="348B0ECB" w:rsidR="00C32F2F" w:rsidRPr="00EC5A7B" w:rsidRDefault="007B3D00" w:rsidP="00C32F2F">
      <w:pPr>
        <w:pStyle w:val="NoSpacing"/>
        <w:spacing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C32F2F" w:rsidRPr="00EC5A7B">
        <w:rPr>
          <w:rFonts w:asciiTheme="majorHAnsi" w:hAnsiTheme="majorHAnsi" w:cstheme="majorHAnsi"/>
          <w:b/>
          <w:i/>
          <w:sz w:val="20"/>
          <w:szCs w:val="20"/>
          <w:lang w:val="ru-MD" w:eastAsia="ru-RU"/>
        </w:rPr>
        <w:t>:</w:t>
      </w:r>
      <w:r w:rsidR="00C32F2F" w:rsidRPr="00EC5A7B">
        <w:rPr>
          <w:rFonts w:asciiTheme="majorHAnsi" w:hAnsiTheme="majorHAnsi" w:cstheme="majorHAnsi"/>
          <w:i/>
          <w:sz w:val="20"/>
          <w:szCs w:val="20"/>
          <w:lang w:val="ru-MD" w:eastAsia="ru-RU"/>
        </w:rPr>
        <w:t xml:space="preserve"> </w:t>
      </w:r>
      <w:r w:rsidR="00387DBC" w:rsidRPr="00EC5A7B">
        <w:rPr>
          <w:rFonts w:asciiTheme="majorHAnsi" w:hAnsiTheme="majorHAnsi" w:cstheme="majorHAnsi"/>
          <w:i/>
          <w:sz w:val="20"/>
          <w:szCs w:val="20"/>
          <w:lang w:val="ru-MD" w:eastAsia="ru-RU"/>
        </w:rPr>
        <w:t xml:space="preserve">Данные Отчетов о государственном долге </w:t>
      </w:r>
      <w:r w:rsidR="00387DBC" w:rsidRPr="00EC5A7B">
        <w:rPr>
          <w:rFonts w:asciiTheme="majorHAnsi" w:hAnsiTheme="majorHAnsi" w:cstheme="majorHAnsi"/>
          <w:bCs/>
          <w:i/>
          <w:sz w:val="20"/>
          <w:szCs w:val="20"/>
          <w:lang w:val="ru-MD" w:eastAsia="ru-RU"/>
        </w:rPr>
        <w:t xml:space="preserve">по состоянию на </w:t>
      </w:r>
      <w:r w:rsidR="00387DBC" w:rsidRPr="00EC5A7B">
        <w:rPr>
          <w:rFonts w:asciiTheme="majorHAnsi" w:hAnsiTheme="majorHAnsi" w:cstheme="majorHAnsi"/>
          <w:i/>
          <w:sz w:val="20"/>
          <w:szCs w:val="20"/>
          <w:lang w:val="ru-MD" w:eastAsia="ru-RU"/>
        </w:rPr>
        <w:t>31.12.2019, Программа</w:t>
      </w:r>
      <w:r w:rsidR="00C32F2F" w:rsidRPr="00EC5A7B">
        <w:rPr>
          <w:rFonts w:asciiTheme="majorHAnsi" w:hAnsiTheme="majorHAnsi" w:cstheme="majorHAnsi"/>
          <w:i/>
          <w:sz w:val="20"/>
          <w:szCs w:val="20"/>
          <w:lang w:val="ru-MD" w:eastAsia="ru-RU"/>
        </w:rPr>
        <w:t xml:space="preserve"> „</w:t>
      </w:r>
      <w:r w:rsidR="00387DBC" w:rsidRPr="00EC5A7B">
        <w:rPr>
          <w:rFonts w:asciiTheme="majorHAnsi" w:hAnsiTheme="majorHAnsi" w:cstheme="majorHAnsi"/>
          <w:bCs/>
          <w:i/>
          <w:sz w:val="20"/>
          <w:szCs w:val="20"/>
          <w:lang w:val="ru-MD" w:eastAsia="ru-RU"/>
        </w:rPr>
        <w:t>Управление государственным долгом в среднесрочной перспективе (2019-2021)</w:t>
      </w:r>
      <w:r w:rsidR="00387DBC" w:rsidRPr="00EC5A7B">
        <w:rPr>
          <w:rFonts w:asciiTheme="majorHAnsi" w:hAnsiTheme="majorHAnsi" w:cstheme="majorHAnsi"/>
          <w:i/>
          <w:sz w:val="20"/>
          <w:szCs w:val="20"/>
          <w:lang w:val="ru-MD" w:eastAsia="ru-RU"/>
        </w:rPr>
        <w:t>”</w:t>
      </w:r>
      <w:r w:rsidR="00C32F2F" w:rsidRPr="00EC5A7B">
        <w:rPr>
          <w:rFonts w:asciiTheme="majorHAnsi" w:hAnsiTheme="majorHAnsi" w:cstheme="majorHAnsi"/>
          <w:i/>
          <w:sz w:val="20"/>
          <w:szCs w:val="20"/>
          <w:lang w:val="ru-MD" w:eastAsia="ru-RU"/>
        </w:rPr>
        <w:t>”.</w:t>
      </w:r>
    </w:p>
    <w:p w14:paraId="1A6D4AC7" w14:textId="54EA491E" w:rsidR="0009184E" w:rsidRPr="00EC5A7B" w:rsidRDefault="00EE60C5" w:rsidP="0009184E">
      <w:pPr>
        <w:pStyle w:val="NoSpacing"/>
        <w:spacing w:after="240" w:line="276" w:lineRule="auto"/>
        <w:jc w:val="both"/>
        <w:rPr>
          <w:rFonts w:asciiTheme="majorHAnsi" w:hAnsiTheme="majorHAnsi" w:cstheme="majorHAnsi"/>
          <w:sz w:val="16"/>
          <w:szCs w:val="16"/>
          <w:lang w:val="ru-MD" w:eastAsia="ru-RU"/>
        </w:rPr>
      </w:pPr>
      <w:r w:rsidRPr="00EC5A7B">
        <w:rPr>
          <w:rFonts w:asciiTheme="majorHAnsi" w:hAnsiTheme="majorHAnsi" w:cstheme="majorHAnsi"/>
          <w:sz w:val="16"/>
          <w:szCs w:val="16"/>
          <w:lang w:val="ru-MD" w:eastAsia="ru-RU"/>
        </w:rPr>
        <w:t>*</w:t>
      </w:r>
      <w:r w:rsidR="00387DBC" w:rsidRPr="00EC5A7B">
        <w:rPr>
          <w:rFonts w:asciiTheme="majorHAnsi" w:hAnsiTheme="majorHAnsi" w:cstheme="majorHAnsi"/>
          <w:sz w:val="16"/>
          <w:szCs w:val="16"/>
          <w:lang w:val="ru-MD" w:eastAsia="ru-RU"/>
        </w:rPr>
        <w:t>В контексте анализа параметров риска</w:t>
      </w:r>
      <w:r w:rsidR="0038022A" w:rsidRPr="00EC5A7B">
        <w:rPr>
          <w:rFonts w:asciiTheme="majorHAnsi" w:hAnsiTheme="majorHAnsi" w:cstheme="majorHAnsi"/>
          <w:sz w:val="16"/>
          <w:szCs w:val="16"/>
          <w:lang w:val="ru-MD" w:eastAsia="ru-RU"/>
        </w:rPr>
        <w:t>, в частности, риска</w:t>
      </w:r>
      <w:r w:rsidR="00387DBC" w:rsidRPr="00EC5A7B">
        <w:rPr>
          <w:rFonts w:asciiTheme="majorHAnsi" w:hAnsiTheme="majorHAnsi" w:cstheme="majorHAnsi"/>
          <w:sz w:val="16"/>
          <w:szCs w:val="16"/>
          <w:lang w:val="ru-MD" w:eastAsia="ru-RU"/>
        </w:rPr>
        <w:t xml:space="preserve"> процентной ставкой, внутренний государственный долг с погашением до одного года и несущий фиксированную процентную ставку </w:t>
      </w:r>
      <w:r w:rsidR="0038022A" w:rsidRPr="00EC5A7B">
        <w:rPr>
          <w:rFonts w:asciiTheme="majorHAnsi" w:hAnsiTheme="majorHAnsi" w:cstheme="majorHAnsi"/>
          <w:sz w:val="16"/>
          <w:szCs w:val="16"/>
          <w:lang w:val="ru-MD" w:eastAsia="ru-RU"/>
        </w:rPr>
        <w:t xml:space="preserve">(ГЦБ 91 день, 182 дня, 364 дня и конвертированные ГЦБ) </w:t>
      </w:r>
      <w:r w:rsidR="00387DBC" w:rsidRPr="00EC5A7B">
        <w:rPr>
          <w:rFonts w:asciiTheme="majorHAnsi" w:hAnsiTheme="majorHAnsi" w:cstheme="majorHAnsi"/>
          <w:sz w:val="16"/>
          <w:szCs w:val="16"/>
          <w:lang w:val="ru-MD" w:eastAsia="ru-RU"/>
        </w:rPr>
        <w:t>б</w:t>
      </w:r>
      <w:r w:rsidR="0038022A" w:rsidRPr="00EC5A7B">
        <w:rPr>
          <w:rFonts w:asciiTheme="majorHAnsi" w:hAnsiTheme="majorHAnsi" w:cstheme="majorHAnsi"/>
          <w:sz w:val="16"/>
          <w:szCs w:val="16"/>
          <w:lang w:val="ru-MD" w:eastAsia="ru-RU"/>
        </w:rPr>
        <w:t>ыл</w:t>
      </w:r>
      <w:r w:rsidR="00387DBC" w:rsidRPr="00EC5A7B">
        <w:rPr>
          <w:rFonts w:asciiTheme="majorHAnsi" w:hAnsiTheme="majorHAnsi" w:cstheme="majorHAnsi"/>
          <w:sz w:val="16"/>
          <w:szCs w:val="16"/>
          <w:lang w:val="ru-MD" w:eastAsia="ru-RU"/>
        </w:rPr>
        <w:t xml:space="preserve"> отнесен на категорию государственного долга с переменной процентной ставкой, поскольку, по причине пониженного </w:t>
      </w:r>
      <w:r w:rsidR="0038022A" w:rsidRPr="00EC5A7B">
        <w:rPr>
          <w:rFonts w:asciiTheme="majorHAnsi" w:hAnsiTheme="majorHAnsi" w:cstheme="majorHAnsi"/>
          <w:sz w:val="16"/>
          <w:szCs w:val="16"/>
          <w:lang w:val="ru-MD" w:eastAsia="ru-RU"/>
        </w:rPr>
        <w:t xml:space="preserve">срока </w:t>
      </w:r>
      <w:r w:rsidR="00387DBC" w:rsidRPr="00EC5A7B">
        <w:rPr>
          <w:rFonts w:asciiTheme="majorHAnsi" w:hAnsiTheme="majorHAnsi" w:cstheme="majorHAnsi"/>
          <w:sz w:val="16"/>
          <w:szCs w:val="16"/>
          <w:lang w:val="ru-MD" w:eastAsia="ru-RU"/>
        </w:rPr>
        <w:t>погашения, он будет рефинансироваться каждый год в новых рыночных условиях, будучи подверженным риску процентной ставки</w:t>
      </w:r>
      <w:r w:rsidRPr="00EC5A7B">
        <w:rPr>
          <w:rFonts w:asciiTheme="majorHAnsi" w:hAnsiTheme="majorHAnsi" w:cstheme="majorHAnsi"/>
          <w:sz w:val="16"/>
          <w:szCs w:val="16"/>
          <w:lang w:val="ru-MD" w:eastAsia="ru-RU"/>
        </w:rPr>
        <w:t>.</w:t>
      </w:r>
    </w:p>
    <w:p w14:paraId="6DDA791D" w14:textId="5F2DF953" w:rsidR="008D72B4" w:rsidRPr="00EC5A7B" w:rsidRDefault="00783284"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Анализ показателей риска показал, что в 2019 году все параметры риска и устойчивости вписались в установленные пределы, за исключением показателя ATM по ГЦБ, выпущенным на первичном рынке, который достиг 0,8 года, будучи ниже установленного минимального срока 1,2 года. Это связано с тем, что в течение 2019 года спрос на ГЦБ был преимущественно краткосрочные ГЦБ.</w:t>
      </w:r>
    </w:p>
    <w:p w14:paraId="7165344C" w14:textId="5AF56708" w:rsidR="00354DCC" w:rsidRPr="00EC5A7B" w:rsidRDefault="00077E4F" w:rsidP="00077E4F">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u-MD" w:eastAsia="ru-RU"/>
        </w:rPr>
      </w:pPr>
      <w:bookmarkStart w:id="17" w:name="_Toc63157266"/>
      <w:r w:rsidRPr="00EC5A7B">
        <w:rPr>
          <w:rFonts w:asciiTheme="majorHAnsi" w:eastAsia="Times New Roman" w:hAnsiTheme="majorHAnsi" w:cstheme="majorHAnsi"/>
          <w:b/>
          <w:bCs/>
          <w:i/>
          <w:color w:val="5B9BD5" w:themeColor="accent1"/>
          <w:sz w:val="24"/>
          <w:szCs w:val="24"/>
          <w:lang w:val="ru-MD" w:eastAsia="ru-RU"/>
        </w:rPr>
        <w:lastRenderedPageBreak/>
        <w:t>МФ предприняло конкретные действия, направленные на достижение конкретных целей по управлению государственным долгом</w:t>
      </w:r>
      <w:bookmarkEnd w:id="17"/>
      <w:r w:rsidRPr="00EC5A7B">
        <w:rPr>
          <w:rFonts w:asciiTheme="majorHAnsi" w:eastAsia="Times New Roman" w:hAnsiTheme="majorHAnsi" w:cstheme="majorHAnsi"/>
          <w:b/>
          <w:bCs/>
          <w:i/>
          <w:color w:val="5B9BD5" w:themeColor="accent1"/>
          <w:sz w:val="24"/>
          <w:szCs w:val="24"/>
          <w:lang w:val="ru-MD" w:eastAsia="ru-RU"/>
        </w:rPr>
        <w:t xml:space="preserve"> </w:t>
      </w:r>
    </w:p>
    <w:p w14:paraId="52943946" w14:textId="0210E58A" w:rsidR="00B474B0" w:rsidRPr="00EC5A7B" w:rsidRDefault="00077E4F"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Основная цель управления государственным долгом, установленная в Программе Программа „</w:t>
      </w:r>
      <w:r w:rsidRPr="00EC5A7B">
        <w:rPr>
          <w:rFonts w:asciiTheme="majorHAnsi" w:hAnsiTheme="majorHAnsi" w:cstheme="majorHAnsi"/>
          <w:bCs/>
          <w:sz w:val="24"/>
          <w:szCs w:val="24"/>
          <w:lang w:val="ru-MD" w:eastAsia="ru-RU"/>
        </w:rPr>
        <w:t>Управление государственным долгом в среднесрочной перспективе</w:t>
      </w:r>
      <w:r w:rsidRPr="00EC5A7B">
        <w:rPr>
          <w:rFonts w:asciiTheme="majorHAnsi" w:hAnsiTheme="majorHAnsi" w:cstheme="majorHAnsi"/>
          <w:sz w:val="24"/>
          <w:szCs w:val="24"/>
          <w:lang w:val="ru-MD" w:eastAsia="ru-RU"/>
        </w:rPr>
        <w:t xml:space="preserve"> (2019-2021)”, заключается в обеспечении потребностей в финансировании остатка (дефицита) государственного бюджета на приемлемом уровне среднесрочных и долгосрочных расходов в условиях ограничения сопутствующих рисков</w:t>
      </w:r>
      <w:r w:rsidR="00B474B0" w:rsidRPr="00EC5A7B">
        <w:rPr>
          <w:rFonts w:asciiTheme="majorHAnsi" w:hAnsiTheme="majorHAnsi" w:cstheme="majorHAnsi"/>
          <w:sz w:val="24"/>
          <w:szCs w:val="24"/>
          <w:lang w:val="ru-MD" w:eastAsia="ru-RU"/>
        </w:rPr>
        <w:t xml:space="preserve">. </w:t>
      </w:r>
    </w:p>
    <w:p w14:paraId="1B662167" w14:textId="2D6AF18F" w:rsidR="00B474B0" w:rsidRPr="00EC5A7B" w:rsidRDefault="00713A14"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Для достижения основной цели, МФ установило конкретные цели по управлению государственным долгом на 2019-2021 годы</w:t>
      </w:r>
      <w:r w:rsidR="00DE4D03" w:rsidRPr="00EC5A7B">
        <w:rPr>
          <w:rFonts w:asciiTheme="majorHAnsi" w:hAnsiTheme="majorHAnsi" w:cstheme="majorHAnsi"/>
          <w:sz w:val="24"/>
          <w:szCs w:val="24"/>
          <w:lang w:val="ru-MD" w:eastAsia="ru-RU"/>
        </w:rPr>
        <w:t>.</w:t>
      </w:r>
    </w:p>
    <w:p w14:paraId="381C2045" w14:textId="62DF200A" w:rsidR="00B474B0" w:rsidRPr="00EC5A7B" w:rsidRDefault="008628E2" w:rsidP="008628E2">
      <w:pPr>
        <w:pStyle w:val="NoSpacing"/>
        <w:numPr>
          <w:ilvl w:val="2"/>
          <w:numId w:val="1"/>
        </w:numPr>
        <w:spacing w:after="240"/>
        <w:ind w:left="1080" w:hanging="360"/>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Развитие внутреннего рынка государственных ценных бумаг </w:t>
      </w:r>
    </w:p>
    <w:p w14:paraId="2A0EC538" w14:textId="593BF391" w:rsidR="00A77A7C" w:rsidRPr="00EC5A7B" w:rsidRDefault="00F60DDB" w:rsidP="00A77A7C">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Проверки аудита </w:t>
      </w:r>
      <w:r w:rsidR="0064578A" w:rsidRPr="00EC5A7B">
        <w:rPr>
          <w:rFonts w:asciiTheme="majorHAnsi" w:hAnsiTheme="majorHAnsi" w:cstheme="majorHAnsi"/>
          <w:sz w:val="24"/>
          <w:szCs w:val="24"/>
          <w:lang w:val="ru-MD" w:eastAsia="ru-RU"/>
        </w:rPr>
        <w:t xml:space="preserve">в отношении выполненных </w:t>
      </w:r>
      <w:r w:rsidRPr="00EC5A7B">
        <w:rPr>
          <w:rFonts w:asciiTheme="majorHAnsi" w:hAnsiTheme="majorHAnsi" w:cstheme="majorHAnsi"/>
          <w:sz w:val="24"/>
          <w:szCs w:val="24"/>
          <w:lang w:val="ru-MD" w:eastAsia="ru-RU"/>
        </w:rPr>
        <w:t>действий для достижения этой цели, показ</w:t>
      </w:r>
      <w:r w:rsidR="0064578A" w:rsidRPr="00EC5A7B">
        <w:rPr>
          <w:rFonts w:asciiTheme="majorHAnsi" w:hAnsiTheme="majorHAnsi" w:cstheme="majorHAnsi"/>
          <w:sz w:val="24"/>
          <w:szCs w:val="24"/>
          <w:lang w:val="ru-MD" w:eastAsia="ru-RU"/>
        </w:rPr>
        <w:t>али</w:t>
      </w:r>
      <w:r w:rsidRPr="00EC5A7B">
        <w:rPr>
          <w:rFonts w:asciiTheme="majorHAnsi" w:hAnsiTheme="majorHAnsi" w:cstheme="majorHAnsi"/>
          <w:sz w:val="24"/>
          <w:szCs w:val="24"/>
          <w:lang w:val="ru-MD" w:eastAsia="ru-RU"/>
        </w:rPr>
        <w:t xml:space="preserve">, что за последние 5 лет внутренний рынок ГЦБ зарегистрировал </w:t>
      </w:r>
      <w:r w:rsidR="0064578A" w:rsidRPr="00EC5A7B">
        <w:rPr>
          <w:rFonts w:asciiTheme="majorHAnsi" w:hAnsiTheme="majorHAnsi" w:cstheme="majorHAnsi"/>
          <w:sz w:val="24"/>
          <w:szCs w:val="24"/>
          <w:lang w:val="ru-MD" w:eastAsia="ru-RU"/>
        </w:rPr>
        <w:t xml:space="preserve">определенное </w:t>
      </w:r>
      <w:r w:rsidRPr="00EC5A7B">
        <w:rPr>
          <w:rFonts w:asciiTheme="majorHAnsi" w:hAnsiTheme="majorHAnsi" w:cstheme="majorHAnsi"/>
          <w:sz w:val="24"/>
          <w:szCs w:val="24"/>
          <w:lang w:val="ru-MD" w:eastAsia="ru-RU"/>
        </w:rPr>
        <w:t xml:space="preserve">развитие. Важными </w:t>
      </w:r>
      <w:r w:rsidR="0064578A" w:rsidRPr="00EC5A7B">
        <w:rPr>
          <w:rFonts w:asciiTheme="majorHAnsi" w:hAnsiTheme="majorHAnsi" w:cstheme="majorHAnsi"/>
          <w:sz w:val="24"/>
          <w:szCs w:val="24"/>
          <w:lang w:val="ru-MD" w:eastAsia="ru-RU"/>
        </w:rPr>
        <w:t>успеха</w:t>
      </w:r>
      <w:r w:rsidRPr="00EC5A7B">
        <w:rPr>
          <w:rFonts w:asciiTheme="majorHAnsi" w:hAnsiTheme="majorHAnsi" w:cstheme="majorHAnsi"/>
          <w:sz w:val="24"/>
          <w:szCs w:val="24"/>
          <w:lang w:val="ru-MD" w:eastAsia="ru-RU"/>
        </w:rPr>
        <w:t xml:space="preserve">ми, достигнутыми на рынке ГЦБ, стали: (i) </w:t>
      </w:r>
      <w:r w:rsidR="0064578A" w:rsidRPr="00EC5A7B">
        <w:rPr>
          <w:rFonts w:asciiTheme="majorHAnsi" w:hAnsiTheme="majorHAnsi" w:cstheme="majorHAnsi"/>
          <w:sz w:val="24"/>
          <w:szCs w:val="24"/>
          <w:lang w:val="ru-MD" w:eastAsia="ru-RU"/>
        </w:rPr>
        <w:t>эмиссия</w:t>
      </w:r>
      <w:r w:rsidRPr="00EC5A7B">
        <w:rPr>
          <w:rFonts w:asciiTheme="majorHAnsi" w:hAnsiTheme="majorHAnsi" w:cstheme="majorHAnsi"/>
          <w:sz w:val="24"/>
          <w:szCs w:val="24"/>
          <w:lang w:val="ru-MD" w:eastAsia="ru-RU"/>
        </w:rPr>
        <w:t xml:space="preserve"> в марте 2018 года, впервые в деятельности </w:t>
      </w:r>
      <w:r w:rsidR="0064578A"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w:t>
      </w:r>
      <w:r w:rsidR="0064578A" w:rsidRPr="00EC5A7B">
        <w:rPr>
          <w:rFonts w:asciiTheme="majorHAnsi" w:hAnsiTheme="majorHAnsi" w:cstheme="majorHAnsi"/>
          <w:sz w:val="24"/>
          <w:szCs w:val="24"/>
          <w:lang w:val="ru-MD" w:eastAsia="ru-RU"/>
        </w:rPr>
        <w:t>ГО с</w:t>
      </w:r>
      <w:r w:rsidRPr="00EC5A7B">
        <w:rPr>
          <w:rFonts w:asciiTheme="majorHAnsi" w:hAnsiTheme="majorHAnsi" w:cstheme="majorHAnsi"/>
          <w:sz w:val="24"/>
          <w:szCs w:val="24"/>
          <w:lang w:val="ru-MD" w:eastAsia="ru-RU"/>
        </w:rPr>
        <w:t xml:space="preserve"> фиксированн</w:t>
      </w:r>
      <w:r w:rsidR="0064578A" w:rsidRPr="00EC5A7B">
        <w:rPr>
          <w:rFonts w:asciiTheme="majorHAnsi" w:hAnsiTheme="majorHAnsi" w:cstheme="majorHAnsi"/>
          <w:sz w:val="24"/>
          <w:szCs w:val="24"/>
          <w:lang w:val="ru-MD" w:eastAsia="ru-RU"/>
        </w:rPr>
        <w:t>ой</w:t>
      </w:r>
      <w:r w:rsidRPr="00EC5A7B">
        <w:rPr>
          <w:rFonts w:asciiTheme="majorHAnsi" w:hAnsiTheme="majorHAnsi" w:cstheme="majorHAnsi"/>
          <w:sz w:val="24"/>
          <w:szCs w:val="24"/>
          <w:lang w:val="ru-MD" w:eastAsia="ru-RU"/>
        </w:rPr>
        <w:t xml:space="preserve"> процентн</w:t>
      </w:r>
      <w:r w:rsidR="0064578A" w:rsidRPr="00EC5A7B">
        <w:rPr>
          <w:rFonts w:asciiTheme="majorHAnsi" w:hAnsiTheme="majorHAnsi" w:cstheme="majorHAnsi"/>
          <w:sz w:val="24"/>
          <w:szCs w:val="24"/>
          <w:lang w:val="ru-MD" w:eastAsia="ru-RU"/>
        </w:rPr>
        <w:t>ой ставкой сроком на 5 лет;</w:t>
      </w:r>
      <w:r w:rsidRPr="00EC5A7B">
        <w:rPr>
          <w:rFonts w:asciiTheme="majorHAnsi" w:hAnsiTheme="majorHAnsi" w:cstheme="majorHAnsi"/>
          <w:sz w:val="24"/>
          <w:szCs w:val="24"/>
          <w:lang w:val="ru-MD" w:eastAsia="ru-RU"/>
        </w:rPr>
        <w:t xml:space="preserve"> (ii) снижение, начиная со II квартала 2018 года, частоты проведения аукционов по размещению ГЦБ, </w:t>
      </w:r>
      <w:r w:rsidR="0064578A" w:rsidRPr="00EC5A7B">
        <w:rPr>
          <w:rFonts w:asciiTheme="majorHAnsi" w:hAnsiTheme="majorHAnsi" w:cstheme="majorHAnsi"/>
          <w:sz w:val="24"/>
          <w:szCs w:val="24"/>
          <w:lang w:val="ru-MD" w:eastAsia="ru-RU"/>
        </w:rPr>
        <w:t>от</w:t>
      </w:r>
      <w:r w:rsidRPr="00EC5A7B">
        <w:rPr>
          <w:rFonts w:asciiTheme="majorHAnsi" w:hAnsiTheme="majorHAnsi" w:cstheme="majorHAnsi"/>
          <w:sz w:val="24"/>
          <w:szCs w:val="24"/>
          <w:lang w:val="ru-MD" w:eastAsia="ru-RU"/>
        </w:rPr>
        <w:t xml:space="preserve"> 4 до 2 аукционов в неделю, что позволило сократить количество </w:t>
      </w:r>
      <w:r w:rsidR="0064578A" w:rsidRPr="00EC5A7B">
        <w:rPr>
          <w:rFonts w:asciiTheme="majorHAnsi" w:hAnsiTheme="majorHAnsi" w:cstheme="majorHAnsi"/>
          <w:sz w:val="24"/>
          <w:szCs w:val="24"/>
          <w:lang w:val="ru-MD" w:eastAsia="ru-RU"/>
        </w:rPr>
        <w:t>эмиссий</w:t>
      </w:r>
      <w:r w:rsidRPr="00EC5A7B">
        <w:rPr>
          <w:rFonts w:asciiTheme="majorHAnsi" w:hAnsiTheme="majorHAnsi" w:cstheme="majorHAnsi"/>
          <w:sz w:val="24"/>
          <w:szCs w:val="24"/>
          <w:lang w:val="ru-MD" w:eastAsia="ru-RU"/>
        </w:rPr>
        <w:t xml:space="preserve"> ГЦБ в обращении; (iii) возобновление </w:t>
      </w:r>
      <w:r w:rsidR="0064578A" w:rsidRPr="00EC5A7B">
        <w:rPr>
          <w:rFonts w:asciiTheme="majorHAnsi" w:hAnsiTheme="majorHAnsi" w:cstheme="majorHAnsi"/>
          <w:sz w:val="24"/>
          <w:szCs w:val="24"/>
          <w:lang w:val="ru-MD" w:eastAsia="ru-RU"/>
        </w:rPr>
        <w:t xml:space="preserve">открытия (reopening) эмиссии ГЦБ </w:t>
      </w:r>
      <w:r w:rsidRPr="00EC5A7B">
        <w:rPr>
          <w:rFonts w:asciiTheme="majorHAnsi" w:hAnsiTheme="majorHAnsi" w:cstheme="majorHAnsi"/>
          <w:sz w:val="24"/>
          <w:szCs w:val="24"/>
          <w:lang w:val="ru-MD" w:eastAsia="ru-RU"/>
        </w:rPr>
        <w:t>с целью кон</w:t>
      </w:r>
      <w:r w:rsidRPr="00EC5A7B">
        <w:rPr>
          <w:rFonts w:asciiTheme="majorHAnsi" w:hAnsiTheme="majorHAnsi" w:cstheme="majorHAnsi"/>
          <w:sz w:val="24"/>
          <w:szCs w:val="24"/>
          <w:lang w:val="ru-MD" w:eastAsia="ru-RU"/>
        </w:rPr>
        <w:lastRenderedPageBreak/>
        <w:t xml:space="preserve">солидации портфеля </w:t>
      </w:r>
      <w:r w:rsidR="0064578A" w:rsidRPr="00EC5A7B">
        <w:rPr>
          <w:rFonts w:asciiTheme="majorHAnsi" w:hAnsiTheme="majorHAnsi" w:cstheme="majorHAnsi"/>
          <w:sz w:val="24"/>
          <w:szCs w:val="24"/>
          <w:lang w:val="ru-MD" w:eastAsia="ru-RU"/>
        </w:rPr>
        <w:t>ГЦБ</w:t>
      </w:r>
      <w:r w:rsidRPr="00EC5A7B">
        <w:rPr>
          <w:rFonts w:asciiTheme="majorHAnsi" w:hAnsiTheme="majorHAnsi" w:cstheme="majorHAnsi"/>
          <w:sz w:val="24"/>
          <w:szCs w:val="24"/>
          <w:lang w:val="ru-MD" w:eastAsia="ru-RU"/>
        </w:rPr>
        <w:t>; (iv) запуск</w:t>
      </w:r>
      <w:r w:rsidR="0064578A" w:rsidRPr="00EC5A7B">
        <w:rPr>
          <w:rFonts w:asciiTheme="majorHAnsi" w:hAnsiTheme="majorHAnsi" w:cstheme="majorHAnsi"/>
          <w:sz w:val="24"/>
          <w:szCs w:val="24"/>
          <w:lang w:val="ru-MD" w:eastAsia="ru-RU"/>
        </w:rPr>
        <w:t xml:space="preserve"> с</w:t>
      </w:r>
      <w:r w:rsidRPr="00EC5A7B">
        <w:rPr>
          <w:rFonts w:asciiTheme="majorHAnsi" w:hAnsiTheme="majorHAnsi" w:cstheme="majorHAnsi"/>
          <w:sz w:val="24"/>
          <w:szCs w:val="24"/>
          <w:lang w:val="ru-MD" w:eastAsia="ru-RU"/>
        </w:rPr>
        <w:t xml:space="preserve"> 1 октября 2018 года платформы</w:t>
      </w:r>
      <w:r w:rsidR="0064578A" w:rsidRPr="00EC5A7B">
        <w:rPr>
          <w:rFonts w:asciiTheme="majorHAnsi" w:hAnsiTheme="majorHAnsi" w:cstheme="majorHAnsi"/>
          <w:sz w:val="24"/>
          <w:szCs w:val="24"/>
          <w:lang w:val="ru-MD"/>
        </w:rPr>
        <w:t xml:space="preserve"> E-Bond</w:t>
      </w:r>
      <w:r w:rsidRPr="00EC5A7B">
        <w:rPr>
          <w:rFonts w:asciiTheme="majorHAnsi" w:hAnsiTheme="majorHAnsi" w:cstheme="majorHAnsi"/>
          <w:sz w:val="24"/>
          <w:szCs w:val="24"/>
          <w:lang w:val="ru-MD" w:eastAsia="ru-RU"/>
        </w:rPr>
        <w:t xml:space="preserve"> электронной </w:t>
      </w:r>
      <w:r w:rsidR="0064578A" w:rsidRPr="00EC5A7B">
        <w:rPr>
          <w:rFonts w:asciiTheme="majorHAnsi" w:hAnsiTheme="majorHAnsi" w:cstheme="majorHAnsi"/>
          <w:sz w:val="24"/>
          <w:szCs w:val="24"/>
          <w:lang w:val="ru-MD" w:eastAsia="ru-RU"/>
        </w:rPr>
        <w:t>системы</w:t>
      </w:r>
      <w:r w:rsidRPr="00EC5A7B">
        <w:rPr>
          <w:rFonts w:asciiTheme="majorHAnsi" w:hAnsiTheme="majorHAnsi" w:cstheme="majorHAnsi"/>
          <w:sz w:val="24"/>
          <w:szCs w:val="24"/>
          <w:lang w:val="ru-MD" w:eastAsia="ru-RU"/>
        </w:rPr>
        <w:t xml:space="preserve"> Bloomberg для </w:t>
      </w:r>
      <w:r w:rsidR="0064578A" w:rsidRPr="00EC5A7B">
        <w:rPr>
          <w:rFonts w:asciiTheme="majorHAnsi" w:hAnsiTheme="majorHAnsi" w:cstheme="majorHAnsi"/>
          <w:sz w:val="24"/>
          <w:szCs w:val="24"/>
          <w:lang w:val="ru-MD" w:eastAsia="ru-RU"/>
        </w:rPr>
        <w:t>продажи</w:t>
      </w:r>
      <w:r w:rsidRPr="00EC5A7B">
        <w:rPr>
          <w:rFonts w:asciiTheme="majorHAnsi" w:hAnsiTheme="majorHAnsi" w:cstheme="majorHAnsi"/>
          <w:sz w:val="24"/>
          <w:szCs w:val="24"/>
          <w:lang w:val="ru-MD" w:eastAsia="ru-RU"/>
        </w:rPr>
        <w:t xml:space="preserve"> </w:t>
      </w:r>
      <w:r w:rsidR="0064578A" w:rsidRPr="00EC5A7B">
        <w:rPr>
          <w:rFonts w:asciiTheme="majorHAnsi" w:hAnsiTheme="majorHAnsi" w:cstheme="majorHAnsi"/>
          <w:sz w:val="24"/>
          <w:szCs w:val="24"/>
          <w:lang w:val="ru-MD" w:eastAsia="ru-RU"/>
        </w:rPr>
        <w:t>ГЦБ</w:t>
      </w:r>
      <w:r w:rsidRPr="00EC5A7B">
        <w:rPr>
          <w:rFonts w:asciiTheme="majorHAnsi" w:hAnsiTheme="majorHAnsi" w:cstheme="majorHAnsi"/>
          <w:sz w:val="24"/>
          <w:szCs w:val="24"/>
          <w:lang w:val="ru-MD" w:eastAsia="ru-RU"/>
        </w:rPr>
        <w:t xml:space="preserve"> на вторичном рынке и </w:t>
      </w:r>
      <w:r w:rsidR="0064578A" w:rsidRPr="00EC5A7B">
        <w:rPr>
          <w:rFonts w:asciiTheme="majorHAnsi" w:hAnsiTheme="majorHAnsi" w:cstheme="majorHAnsi"/>
          <w:sz w:val="24"/>
          <w:szCs w:val="24"/>
          <w:lang w:val="ru-MD" w:eastAsia="ru-RU"/>
        </w:rPr>
        <w:t>др</w:t>
      </w:r>
      <w:r w:rsidR="00A77A7C" w:rsidRPr="00EC5A7B">
        <w:rPr>
          <w:rFonts w:asciiTheme="majorHAnsi" w:hAnsiTheme="majorHAnsi" w:cstheme="majorHAnsi"/>
          <w:sz w:val="24"/>
          <w:szCs w:val="24"/>
          <w:lang w:val="ru-MD" w:eastAsia="ru-RU"/>
        </w:rPr>
        <w:t>.</w:t>
      </w:r>
    </w:p>
    <w:p w14:paraId="7DE15415" w14:textId="54A31B54" w:rsidR="007516B0" w:rsidRPr="00EC5A7B" w:rsidRDefault="00F60DDB" w:rsidP="00F15593">
      <w:pPr>
        <w:pStyle w:val="NoSpacing"/>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то же время наблюдается значительный рост внутреннего государственного долга, который в 2019 году вырос примерно в 3 раза по сравнению с 2015 годом, что </w:t>
      </w:r>
      <w:r w:rsidR="003C6CFF" w:rsidRPr="00EC5A7B">
        <w:rPr>
          <w:rFonts w:asciiTheme="majorHAnsi" w:hAnsiTheme="majorHAnsi" w:cstheme="majorHAnsi"/>
          <w:sz w:val="24"/>
          <w:szCs w:val="24"/>
          <w:lang w:val="ru-MD" w:eastAsia="ru-RU"/>
        </w:rPr>
        <w:t>существен</w:t>
      </w:r>
      <w:r w:rsidRPr="00EC5A7B">
        <w:rPr>
          <w:rFonts w:asciiTheme="majorHAnsi" w:hAnsiTheme="majorHAnsi" w:cstheme="majorHAnsi"/>
          <w:sz w:val="24"/>
          <w:szCs w:val="24"/>
          <w:lang w:val="ru-MD" w:eastAsia="ru-RU"/>
        </w:rPr>
        <w:t xml:space="preserve">но повлияло на эмиссию ГЦБ для исполнения государственных гарантий. </w:t>
      </w:r>
      <w:r w:rsidRPr="00EC5A7B">
        <w:rPr>
          <w:rFonts w:asciiTheme="majorHAnsi" w:hAnsiTheme="majorHAnsi" w:cstheme="majorHAnsi"/>
          <w:i/>
          <w:sz w:val="24"/>
          <w:szCs w:val="24"/>
          <w:lang w:val="ru-MD" w:eastAsia="ru-RU"/>
        </w:rPr>
        <w:t>Информация представлена в Таблиц</w:t>
      </w:r>
      <w:r w:rsidR="003C6CFF" w:rsidRPr="00EC5A7B">
        <w:rPr>
          <w:rFonts w:asciiTheme="majorHAnsi" w:hAnsiTheme="majorHAnsi" w:cstheme="majorHAnsi"/>
          <w:i/>
          <w:sz w:val="24"/>
          <w:szCs w:val="24"/>
          <w:lang w:val="ru-MD" w:eastAsia="ru-RU"/>
        </w:rPr>
        <w:t>е</w:t>
      </w:r>
      <w:r w:rsidRPr="00EC5A7B">
        <w:rPr>
          <w:rFonts w:asciiTheme="majorHAnsi" w:hAnsiTheme="majorHAnsi" w:cstheme="majorHAnsi"/>
          <w:i/>
          <w:sz w:val="24"/>
          <w:szCs w:val="24"/>
          <w:lang w:val="ru-MD" w:eastAsia="ru-RU"/>
        </w:rPr>
        <w:t xml:space="preserve"> №10</w:t>
      </w:r>
      <w:r w:rsidR="00DE7D06" w:rsidRPr="00EC5A7B">
        <w:rPr>
          <w:rFonts w:asciiTheme="majorHAnsi" w:hAnsiTheme="majorHAnsi" w:cstheme="majorHAnsi"/>
          <w:i/>
          <w:sz w:val="24"/>
          <w:szCs w:val="24"/>
          <w:lang w:val="ru-MD" w:eastAsia="ru-RU"/>
        </w:rPr>
        <w:t>.</w:t>
      </w:r>
    </w:p>
    <w:p w14:paraId="4863B080" w14:textId="0765C75E" w:rsidR="00DE7D06" w:rsidRPr="00EC5A7B" w:rsidRDefault="00220355" w:rsidP="00DE7D06">
      <w:pPr>
        <w:pStyle w:val="NoSpacing"/>
        <w:spacing w:line="276" w:lineRule="auto"/>
        <w:jc w:val="right"/>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color w:val="5B9BD5" w:themeColor="accent1"/>
          <w:sz w:val="24"/>
          <w:szCs w:val="24"/>
          <w:lang w:val="ru-MD" w:eastAsia="ru-RU"/>
        </w:rPr>
        <w:t>Таблица №</w:t>
      </w:r>
      <w:r w:rsidR="006F221C" w:rsidRPr="00EC5A7B">
        <w:rPr>
          <w:rFonts w:asciiTheme="majorHAnsi" w:hAnsiTheme="majorHAnsi" w:cstheme="majorHAnsi"/>
          <w:b/>
          <w:i/>
          <w:color w:val="5B9BD5" w:themeColor="accent1"/>
          <w:sz w:val="24"/>
          <w:szCs w:val="24"/>
          <w:lang w:val="ru-MD" w:eastAsia="ru-RU"/>
        </w:rPr>
        <w:t>10</w:t>
      </w:r>
      <w:r w:rsidR="00EE4645" w:rsidRPr="00EC5A7B">
        <w:rPr>
          <w:rFonts w:asciiTheme="majorHAnsi" w:hAnsiTheme="majorHAnsi" w:cstheme="majorHAnsi"/>
          <w:b/>
          <w:i/>
          <w:color w:val="5B9BD5" w:themeColor="accent1"/>
          <w:sz w:val="24"/>
          <w:szCs w:val="24"/>
          <w:lang w:val="ru-MD" w:eastAsia="ru-RU"/>
        </w:rPr>
        <w:t xml:space="preserve">, </w:t>
      </w:r>
      <w:r w:rsidRPr="00EC5A7B">
        <w:rPr>
          <w:rFonts w:asciiTheme="majorHAnsi" w:hAnsiTheme="majorHAnsi" w:cstheme="majorHAnsi"/>
          <w:b/>
          <w:i/>
          <w:color w:val="5B9BD5" w:themeColor="accent1"/>
          <w:sz w:val="24"/>
          <w:szCs w:val="24"/>
          <w:lang w:val="ru-MD" w:eastAsia="ru-RU"/>
        </w:rPr>
        <w:t>млн. леев</w:t>
      </w:r>
    </w:p>
    <w:tbl>
      <w:tblPr>
        <w:tblStyle w:val="TableGrid"/>
        <w:tblW w:w="9360" w:type="dxa"/>
        <w:tblLook w:val="04A0" w:firstRow="1" w:lastRow="0" w:firstColumn="1" w:lastColumn="0" w:noHBand="0" w:noVBand="1"/>
      </w:tblPr>
      <w:tblGrid>
        <w:gridCol w:w="2875"/>
        <w:gridCol w:w="1000"/>
        <w:gridCol w:w="1015"/>
        <w:gridCol w:w="1030"/>
        <w:gridCol w:w="1045"/>
        <w:gridCol w:w="1060"/>
        <w:gridCol w:w="1335"/>
      </w:tblGrid>
      <w:tr w:rsidR="00E95895" w:rsidRPr="00EC5A7B" w14:paraId="60FE06C1" w14:textId="77777777" w:rsidTr="004D4E5A">
        <w:tc>
          <w:tcPr>
            <w:tcW w:w="2875" w:type="dxa"/>
            <w:shd w:val="clear" w:color="auto" w:fill="DEEAF6" w:themeFill="accent1" w:themeFillTint="33"/>
            <w:vAlign w:val="center"/>
          </w:tcPr>
          <w:p w14:paraId="3376F68B" w14:textId="092C0728" w:rsidR="00E95895" w:rsidRPr="00EC5A7B" w:rsidRDefault="003C6CFF"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Показатель</w:t>
            </w:r>
          </w:p>
        </w:tc>
        <w:tc>
          <w:tcPr>
            <w:tcW w:w="1000" w:type="dxa"/>
            <w:shd w:val="clear" w:color="auto" w:fill="DEEAF6" w:themeFill="accent1" w:themeFillTint="33"/>
            <w:vAlign w:val="center"/>
          </w:tcPr>
          <w:p w14:paraId="75DCF661"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2015</w:t>
            </w:r>
          </w:p>
        </w:tc>
        <w:tc>
          <w:tcPr>
            <w:tcW w:w="1015" w:type="dxa"/>
            <w:shd w:val="clear" w:color="auto" w:fill="DEEAF6" w:themeFill="accent1" w:themeFillTint="33"/>
            <w:vAlign w:val="center"/>
          </w:tcPr>
          <w:p w14:paraId="38E4D6CF"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2016</w:t>
            </w:r>
          </w:p>
        </w:tc>
        <w:tc>
          <w:tcPr>
            <w:tcW w:w="1030" w:type="dxa"/>
            <w:shd w:val="clear" w:color="auto" w:fill="DEEAF6" w:themeFill="accent1" w:themeFillTint="33"/>
            <w:vAlign w:val="center"/>
          </w:tcPr>
          <w:p w14:paraId="3E118882"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p>
        </w:tc>
        <w:tc>
          <w:tcPr>
            <w:tcW w:w="1045" w:type="dxa"/>
            <w:shd w:val="clear" w:color="auto" w:fill="DEEAF6" w:themeFill="accent1" w:themeFillTint="33"/>
            <w:vAlign w:val="center"/>
          </w:tcPr>
          <w:p w14:paraId="41AEBDBD"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p>
        </w:tc>
        <w:tc>
          <w:tcPr>
            <w:tcW w:w="1060" w:type="dxa"/>
            <w:shd w:val="clear" w:color="auto" w:fill="DEEAF6" w:themeFill="accent1" w:themeFillTint="33"/>
            <w:vAlign w:val="center"/>
          </w:tcPr>
          <w:p w14:paraId="67B1E5AE"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p>
        </w:tc>
        <w:tc>
          <w:tcPr>
            <w:tcW w:w="1335" w:type="dxa"/>
            <w:shd w:val="clear" w:color="auto" w:fill="DEEAF6" w:themeFill="accent1" w:themeFillTint="33"/>
            <w:vAlign w:val="center"/>
          </w:tcPr>
          <w:p w14:paraId="2EC5453D" w14:textId="37ED8B91" w:rsidR="00E95895" w:rsidRPr="00EC5A7B" w:rsidRDefault="003C6CFF" w:rsidP="003C6CFF">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Разница между</w:t>
            </w:r>
            <w:r w:rsidR="00E95895" w:rsidRPr="00EC5A7B">
              <w:rPr>
                <w:rFonts w:asciiTheme="majorHAnsi" w:hAnsiTheme="majorHAnsi" w:cstheme="majorHAnsi"/>
                <w:b/>
                <w:sz w:val="20"/>
                <w:szCs w:val="20"/>
                <w:lang w:val="ru-MD" w:eastAsia="ru-RU"/>
              </w:rPr>
              <w:t xml:space="preserve"> 2019 </w:t>
            </w:r>
            <w:r w:rsidRPr="00EC5A7B">
              <w:rPr>
                <w:rFonts w:asciiTheme="majorHAnsi" w:hAnsiTheme="majorHAnsi" w:cstheme="majorHAnsi"/>
                <w:b/>
                <w:sz w:val="20"/>
                <w:szCs w:val="20"/>
                <w:lang w:val="ru-MD" w:eastAsia="ru-RU"/>
              </w:rPr>
              <w:t xml:space="preserve">и </w:t>
            </w:r>
            <w:r w:rsidR="00E95895" w:rsidRPr="00EC5A7B">
              <w:rPr>
                <w:rFonts w:asciiTheme="majorHAnsi" w:hAnsiTheme="majorHAnsi" w:cstheme="majorHAnsi"/>
                <w:b/>
                <w:sz w:val="20"/>
                <w:szCs w:val="20"/>
                <w:lang w:val="ru-MD" w:eastAsia="ru-RU"/>
              </w:rPr>
              <w:t>2015</w:t>
            </w:r>
            <w:r w:rsidRPr="00EC5A7B">
              <w:rPr>
                <w:rFonts w:asciiTheme="majorHAnsi" w:hAnsiTheme="majorHAnsi" w:cstheme="majorHAnsi"/>
                <w:b/>
                <w:sz w:val="20"/>
                <w:szCs w:val="20"/>
                <w:lang w:val="ru-MD" w:eastAsia="ru-RU"/>
              </w:rPr>
              <w:t xml:space="preserve"> годами</w:t>
            </w:r>
          </w:p>
        </w:tc>
      </w:tr>
      <w:tr w:rsidR="00E95895" w:rsidRPr="00EC5A7B" w14:paraId="098F75D1" w14:textId="77777777" w:rsidTr="004D4E5A">
        <w:tc>
          <w:tcPr>
            <w:tcW w:w="2875" w:type="dxa"/>
          </w:tcPr>
          <w:p w14:paraId="0C5612E7" w14:textId="6B7E2DED" w:rsidR="00E95895" w:rsidRPr="00EC5A7B" w:rsidRDefault="003C6CFF" w:rsidP="004D4E5A">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Внутренний государственный долг</w:t>
            </w:r>
          </w:p>
        </w:tc>
        <w:tc>
          <w:tcPr>
            <w:tcW w:w="1000" w:type="dxa"/>
          </w:tcPr>
          <w:p w14:paraId="5D1FD3E6"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7 225,4</w:t>
            </w:r>
          </w:p>
        </w:tc>
        <w:tc>
          <w:tcPr>
            <w:tcW w:w="1015" w:type="dxa"/>
          </w:tcPr>
          <w:p w14:paraId="2911104C"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21 519,6</w:t>
            </w:r>
          </w:p>
        </w:tc>
        <w:tc>
          <w:tcPr>
            <w:tcW w:w="1030" w:type="dxa"/>
          </w:tcPr>
          <w:p w14:paraId="0EAB031D"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22 578,5</w:t>
            </w:r>
          </w:p>
        </w:tc>
        <w:tc>
          <w:tcPr>
            <w:tcW w:w="1045" w:type="dxa"/>
          </w:tcPr>
          <w:p w14:paraId="51A3184C"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23 058,6</w:t>
            </w:r>
          </w:p>
        </w:tc>
        <w:tc>
          <w:tcPr>
            <w:tcW w:w="1060" w:type="dxa"/>
          </w:tcPr>
          <w:p w14:paraId="78E7EE41"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23 168,2</w:t>
            </w:r>
          </w:p>
        </w:tc>
        <w:tc>
          <w:tcPr>
            <w:tcW w:w="1335" w:type="dxa"/>
          </w:tcPr>
          <w:p w14:paraId="74AC1ADD"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+15 942,8</w:t>
            </w:r>
          </w:p>
        </w:tc>
      </w:tr>
      <w:tr w:rsidR="00E95895" w:rsidRPr="00EC5A7B" w14:paraId="5B98F7AC" w14:textId="77777777" w:rsidTr="004D4E5A">
        <w:tc>
          <w:tcPr>
            <w:tcW w:w="2875" w:type="dxa"/>
          </w:tcPr>
          <w:p w14:paraId="5FA78B32" w14:textId="4184A2CA" w:rsidR="00E95895" w:rsidRPr="00EC5A7B" w:rsidRDefault="003C6CFF" w:rsidP="003C6CFF">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Внешний государственный долг</w:t>
            </w:r>
          </w:p>
        </w:tc>
        <w:tc>
          <w:tcPr>
            <w:tcW w:w="1000" w:type="dxa"/>
          </w:tcPr>
          <w:p w14:paraId="3993E6D0"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26 283,8</w:t>
            </w:r>
          </w:p>
        </w:tc>
        <w:tc>
          <w:tcPr>
            <w:tcW w:w="1015" w:type="dxa"/>
          </w:tcPr>
          <w:p w14:paraId="7A0A97BF"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29 266,2</w:t>
            </w:r>
          </w:p>
        </w:tc>
        <w:tc>
          <w:tcPr>
            <w:tcW w:w="1030" w:type="dxa"/>
          </w:tcPr>
          <w:p w14:paraId="036C6098"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29 081,8</w:t>
            </w:r>
          </w:p>
        </w:tc>
        <w:tc>
          <w:tcPr>
            <w:tcW w:w="1045" w:type="dxa"/>
          </w:tcPr>
          <w:p w14:paraId="6FC25167"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28 954,0</w:t>
            </w:r>
          </w:p>
        </w:tc>
        <w:tc>
          <w:tcPr>
            <w:tcW w:w="1060" w:type="dxa"/>
          </w:tcPr>
          <w:p w14:paraId="0CB9C060"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29 326,1</w:t>
            </w:r>
          </w:p>
        </w:tc>
        <w:tc>
          <w:tcPr>
            <w:tcW w:w="1335" w:type="dxa"/>
          </w:tcPr>
          <w:p w14:paraId="4D15E257"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+3 042,3</w:t>
            </w:r>
          </w:p>
        </w:tc>
      </w:tr>
      <w:tr w:rsidR="00E95895" w:rsidRPr="00EC5A7B" w14:paraId="35CB3AB0" w14:textId="77777777" w:rsidTr="004D4E5A">
        <w:tc>
          <w:tcPr>
            <w:tcW w:w="2875" w:type="dxa"/>
          </w:tcPr>
          <w:p w14:paraId="16627A0C" w14:textId="1536FBE9" w:rsidR="00E95895" w:rsidRPr="00EC5A7B" w:rsidRDefault="003C6CFF" w:rsidP="003C6CFF">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государственного долга</w:t>
            </w:r>
          </w:p>
        </w:tc>
        <w:tc>
          <w:tcPr>
            <w:tcW w:w="1000" w:type="dxa"/>
          </w:tcPr>
          <w:p w14:paraId="5AF0DBCD"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33 509,2</w:t>
            </w:r>
          </w:p>
        </w:tc>
        <w:tc>
          <w:tcPr>
            <w:tcW w:w="1015" w:type="dxa"/>
          </w:tcPr>
          <w:p w14:paraId="652D1F36"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50 785,8</w:t>
            </w:r>
          </w:p>
        </w:tc>
        <w:tc>
          <w:tcPr>
            <w:tcW w:w="1030" w:type="dxa"/>
          </w:tcPr>
          <w:p w14:paraId="0F134F5C"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51 660,3</w:t>
            </w:r>
          </w:p>
        </w:tc>
        <w:tc>
          <w:tcPr>
            <w:tcW w:w="1045" w:type="dxa"/>
          </w:tcPr>
          <w:p w14:paraId="72D82FBF"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52 012,5</w:t>
            </w:r>
          </w:p>
        </w:tc>
        <w:tc>
          <w:tcPr>
            <w:tcW w:w="1060" w:type="dxa"/>
          </w:tcPr>
          <w:p w14:paraId="6AAC9C7C"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52 494,3</w:t>
            </w:r>
          </w:p>
        </w:tc>
        <w:tc>
          <w:tcPr>
            <w:tcW w:w="1335" w:type="dxa"/>
          </w:tcPr>
          <w:p w14:paraId="7AFC22AD"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+18 985,1</w:t>
            </w:r>
          </w:p>
        </w:tc>
      </w:tr>
      <w:tr w:rsidR="00E95895" w:rsidRPr="00EC5A7B" w14:paraId="6F9F688B" w14:textId="77777777" w:rsidTr="004D4E5A">
        <w:tc>
          <w:tcPr>
            <w:tcW w:w="2875" w:type="dxa"/>
          </w:tcPr>
          <w:p w14:paraId="509744E2" w14:textId="3FEF9423" w:rsidR="00E95895" w:rsidRPr="00EC5A7B" w:rsidRDefault="003C6CFF" w:rsidP="003C6CFF">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Обслуживание</w:t>
            </w:r>
            <w:r w:rsidR="00E95895" w:rsidRPr="00EC5A7B">
              <w:rPr>
                <w:rFonts w:asciiTheme="majorHAnsi" w:hAnsiTheme="majorHAnsi" w:cstheme="majorHAnsi"/>
                <w:sz w:val="20"/>
                <w:szCs w:val="20"/>
                <w:lang w:val="ru-MD" w:eastAsia="ru-RU"/>
              </w:rPr>
              <w:t xml:space="preserve"> </w:t>
            </w:r>
            <w:r w:rsidRPr="00EC5A7B">
              <w:rPr>
                <w:rFonts w:asciiTheme="majorHAnsi" w:hAnsiTheme="majorHAnsi" w:cstheme="majorHAnsi"/>
                <w:sz w:val="20"/>
                <w:szCs w:val="20"/>
                <w:lang w:val="ru-MD" w:eastAsia="ru-RU"/>
              </w:rPr>
              <w:t>внутреннего государственного долга</w:t>
            </w:r>
          </w:p>
        </w:tc>
        <w:tc>
          <w:tcPr>
            <w:tcW w:w="1000" w:type="dxa"/>
          </w:tcPr>
          <w:p w14:paraId="563A6EDD"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793,6</w:t>
            </w:r>
          </w:p>
        </w:tc>
        <w:tc>
          <w:tcPr>
            <w:tcW w:w="1015" w:type="dxa"/>
          </w:tcPr>
          <w:p w14:paraId="1ABBE92E"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1 462,5</w:t>
            </w:r>
          </w:p>
        </w:tc>
        <w:tc>
          <w:tcPr>
            <w:tcW w:w="1030" w:type="dxa"/>
          </w:tcPr>
          <w:p w14:paraId="35ED5BD5" w14:textId="77777777" w:rsidR="00E95895" w:rsidRPr="00EC5A7B" w:rsidRDefault="00A77A7C"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1 171</w:t>
            </w:r>
            <w:r w:rsidR="00E95895" w:rsidRPr="00EC5A7B">
              <w:rPr>
                <w:rFonts w:asciiTheme="majorHAnsi" w:hAnsiTheme="majorHAnsi" w:cstheme="majorHAnsi"/>
                <w:sz w:val="20"/>
                <w:szCs w:val="20"/>
                <w:lang w:val="ru-MD" w:eastAsia="ru-RU"/>
              </w:rPr>
              <w:t>,1</w:t>
            </w:r>
          </w:p>
        </w:tc>
        <w:tc>
          <w:tcPr>
            <w:tcW w:w="1045" w:type="dxa"/>
          </w:tcPr>
          <w:p w14:paraId="6DE8D736"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1 125,3</w:t>
            </w:r>
          </w:p>
        </w:tc>
        <w:tc>
          <w:tcPr>
            <w:tcW w:w="1060" w:type="dxa"/>
          </w:tcPr>
          <w:p w14:paraId="189534D8"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1 207,4</w:t>
            </w:r>
          </w:p>
        </w:tc>
        <w:tc>
          <w:tcPr>
            <w:tcW w:w="1335" w:type="dxa"/>
          </w:tcPr>
          <w:p w14:paraId="2F19109F"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+413,8</w:t>
            </w:r>
          </w:p>
        </w:tc>
      </w:tr>
      <w:tr w:rsidR="00E95895" w:rsidRPr="00EC5A7B" w14:paraId="40F9353E" w14:textId="77777777" w:rsidTr="004D4E5A">
        <w:tc>
          <w:tcPr>
            <w:tcW w:w="2875" w:type="dxa"/>
          </w:tcPr>
          <w:p w14:paraId="517A92F5" w14:textId="42C21742" w:rsidR="00E95895" w:rsidRPr="00EC5A7B" w:rsidRDefault="003C6CFF" w:rsidP="003C6CFF">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Обслуживание внешнего государственного долга</w:t>
            </w:r>
          </w:p>
        </w:tc>
        <w:tc>
          <w:tcPr>
            <w:tcW w:w="1000" w:type="dxa"/>
          </w:tcPr>
          <w:p w14:paraId="6664A196"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249,7</w:t>
            </w:r>
          </w:p>
        </w:tc>
        <w:tc>
          <w:tcPr>
            <w:tcW w:w="1015" w:type="dxa"/>
          </w:tcPr>
          <w:p w14:paraId="3D97D680"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284,6</w:t>
            </w:r>
          </w:p>
        </w:tc>
        <w:tc>
          <w:tcPr>
            <w:tcW w:w="1030" w:type="dxa"/>
          </w:tcPr>
          <w:p w14:paraId="050CD2A2"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357,9</w:t>
            </w:r>
          </w:p>
        </w:tc>
        <w:tc>
          <w:tcPr>
            <w:tcW w:w="1045" w:type="dxa"/>
          </w:tcPr>
          <w:p w14:paraId="57F93411"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379,5</w:t>
            </w:r>
          </w:p>
        </w:tc>
        <w:tc>
          <w:tcPr>
            <w:tcW w:w="1060" w:type="dxa"/>
          </w:tcPr>
          <w:p w14:paraId="0E4F5841"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412,1</w:t>
            </w:r>
          </w:p>
        </w:tc>
        <w:tc>
          <w:tcPr>
            <w:tcW w:w="1335" w:type="dxa"/>
          </w:tcPr>
          <w:p w14:paraId="14F9748E" w14:textId="77777777" w:rsidR="00E95895" w:rsidRPr="00EC5A7B" w:rsidRDefault="00E95895" w:rsidP="004D4E5A">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+162,4</w:t>
            </w:r>
          </w:p>
        </w:tc>
      </w:tr>
      <w:tr w:rsidR="00E95895" w:rsidRPr="00EC5A7B" w14:paraId="4173556D" w14:textId="77777777" w:rsidTr="004D4E5A">
        <w:tc>
          <w:tcPr>
            <w:tcW w:w="2875" w:type="dxa"/>
          </w:tcPr>
          <w:p w14:paraId="337C5434" w14:textId="682AAD09" w:rsidR="00E95895" w:rsidRPr="00EC5A7B" w:rsidRDefault="003C6CFF" w:rsidP="004D4E5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обслуживание государственного долга</w:t>
            </w:r>
          </w:p>
        </w:tc>
        <w:tc>
          <w:tcPr>
            <w:tcW w:w="1000" w:type="dxa"/>
          </w:tcPr>
          <w:p w14:paraId="43B73013"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1 043,3</w:t>
            </w:r>
          </w:p>
        </w:tc>
        <w:tc>
          <w:tcPr>
            <w:tcW w:w="1015" w:type="dxa"/>
          </w:tcPr>
          <w:p w14:paraId="65BC12EE"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1 747,2</w:t>
            </w:r>
          </w:p>
        </w:tc>
        <w:tc>
          <w:tcPr>
            <w:tcW w:w="1030" w:type="dxa"/>
          </w:tcPr>
          <w:p w14:paraId="7B2F1FFB"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1 929,0</w:t>
            </w:r>
          </w:p>
        </w:tc>
        <w:tc>
          <w:tcPr>
            <w:tcW w:w="1045" w:type="dxa"/>
          </w:tcPr>
          <w:p w14:paraId="59EAD31F"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1 504,8</w:t>
            </w:r>
          </w:p>
        </w:tc>
        <w:tc>
          <w:tcPr>
            <w:tcW w:w="1060" w:type="dxa"/>
          </w:tcPr>
          <w:p w14:paraId="20B23EAE"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1 619,6</w:t>
            </w:r>
          </w:p>
        </w:tc>
        <w:tc>
          <w:tcPr>
            <w:tcW w:w="1335" w:type="dxa"/>
          </w:tcPr>
          <w:p w14:paraId="711B5AB2" w14:textId="77777777" w:rsidR="00E95895" w:rsidRPr="00EC5A7B" w:rsidRDefault="00E95895" w:rsidP="004D4E5A">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+576,3</w:t>
            </w:r>
          </w:p>
        </w:tc>
      </w:tr>
    </w:tbl>
    <w:p w14:paraId="00A10CB2" w14:textId="2D7649D2" w:rsidR="00E95895" w:rsidRPr="00EC5A7B" w:rsidRDefault="007B3D00" w:rsidP="00E95895">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FF7D18" w:rsidRPr="00EC5A7B">
        <w:rPr>
          <w:rFonts w:asciiTheme="majorHAnsi" w:hAnsiTheme="majorHAnsi" w:cstheme="majorHAnsi"/>
          <w:b/>
          <w:i/>
          <w:sz w:val="20"/>
          <w:szCs w:val="20"/>
          <w:lang w:val="ru-MD" w:eastAsia="ru-RU"/>
        </w:rPr>
        <w:t>:</w:t>
      </w:r>
      <w:r w:rsidR="00FF7D18" w:rsidRPr="00EC5A7B">
        <w:rPr>
          <w:rFonts w:asciiTheme="majorHAnsi" w:hAnsiTheme="majorHAnsi" w:cstheme="majorHAnsi"/>
          <w:i/>
          <w:sz w:val="20"/>
          <w:szCs w:val="20"/>
          <w:lang w:val="ru-MD" w:eastAsia="ru-RU"/>
        </w:rPr>
        <w:t xml:space="preserve"> </w:t>
      </w:r>
      <w:r w:rsidR="003C6CFF" w:rsidRPr="00EC5A7B">
        <w:rPr>
          <w:rFonts w:asciiTheme="majorHAnsi" w:hAnsiTheme="majorHAnsi" w:cstheme="majorHAnsi"/>
          <w:i/>
          <w:sz w:val="20"/>
          <w:szCs w:val="20"/>
          <w:lang w:val="ru-MD" w:eastAsia="ru-RU"/>
        </w:rPr>
        <w:t>Данные Отчетов о государственном долге по состоянию на 31.12.2017, 31.12.2018 и 31.12.2019; Информация МФ по обслуживанию внутреннего и внешнего государственного долга по состоянию на 31.12.2017, 31.12.2018 и 31.12.2019</w:t>
      </w:r>
      <w:r w:rsidR="00FF7D18" w:rsidRPr="00EC5A7B">
        <w:rPr>
          <w:rFonts w:asciiTheme="majorHAnsi" w:hAnsiTheme="majorHAnsi" w:cstheme="majorHAnsi"/>
          <w:i/>
          <w:sz w:val="20"/>
          <w:szCs w:val="20"/>
          <w:lang w:val="ru-MD" w:eastAsia="ru-RU"/>
        </w:rPr>
        <w:t>.</w:t>
      </w:r>
    </w:p>
    <w:p w14:paraId="3D70B0D3" w14:textId="7142490D" w:rsidR="00E95895" w:rsidRPr="00EC5A7B" w:rsidRDefault="00F60DDB"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Рост внутреннего гос</w:t>
      </w:r>
      <w:r w:rsidR="00163A00" w:rsidRPr="00EC5A7B">
        <w:rPr>
          <w:rFonts w:asciiTheme="majorHAnsi" w:hAnsiTheme="majorHAnsi" w:cstheme="majorHAnsi"/>
          <w:sz w:val="24"/>
          <w:szCs w:val="24"/>
          <w:lang w:val="ru-MD" w:eastAsia="ru-RU"/>
        </w:rPr>
        <w:t xml:space="preserve">ударственного </w:t>
      </w:r>
      <w:r w:rsidRPr="00EC5A7B">
        <w:rPr>
          <w:rFonts w:asciiTheme="majorHAnsi" w:hAnsiTheme="majorHAnsi" w:cstheme="majorHAnsi"/>
          <w:sz w:val="24"/>
          <w:szCs w:val="24"/>
          <w:lang w:val="ru-MD" w:eastAsia="ru-RU"/>
        </w:rPr>
        <w:t>долга п</w:t>
      </w:r>
      <w:r w:rsidR="00163A00"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влек и рост расходов на обслуживание внутреннего гос</w:t>
      </w:r>
      <w:r w:rsidR="00163A00" w:rsidRPr="00EC5A7B">
        <w:rPr>
          <w:rFonts w:asciiTheme="majorHAnsi" w:hAnsiTheme="majorHAnsi" w:cstheme="majorHAnsi"/>
          <w:sz w:val="24"/>
          <w:szCs w:val="24"/>
          <w:lang w:val="ru-MD" w:eastAsia="ru-RU"/>
        </w:rPr>
        <w:t xml:space="preserve">ударственного </w:t>
      </w:r>
      <w:r w:rsidRPr="00EC5A7B">
        <w:rPr>
          <w:rFonts w:asciiTheme="majorHAnsi" w:hAnsiTheme="majorHAnsi" w:cstheme="majorHAnsi"/>
          <w:sz w:val="24"/>
          <w:szCs w:val="24"/>
          <w:lang w:val="ru-MD" w:eastAsia="ru-RU"/>
        </w:rPr>
        <w:t>долга, который</w:t>
      </w:r>
      <w:r w:rsidR="00163A00"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по сравнению с 2015 годом</w:t>
      </w:r>
      <w:r w:rsidR="00163A00"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увеличился в 1,5 раза. </w:t>
      </w:r>
      <w:r w:rsidR="00163A00" w:rsidRPr="00EC5A7B">
        <w:rPr>
          <w:rFonts w:asciiTheme="majorHAnsi" w:hAnsiTheme="majorHAnsi" w:cstheme="majorHAnsi"/>
          <w:sz w:val="24"/>
          <w:szCs w:val="24"/>
          <w:lang w:val="ru-MD" w:eastAsia="ru-RU"/>
        </w:rPr>
        <w:t>Одновременно</w:t>
      </w:r>
      <w:r w:rsidRPr="00EC5A7B">
        <w:rPr>
          <w:rFonts w:asciiTheme="majorHAnsi" w:hAnsiTheme="majorHAnsi" w:cstheme="majorHAnsi"/>
          <w:sz w:val="24"/>
          <w:szCs w:val="24"/>
          <w:lang w:val="ru-MD" w:eastAsia="ru-RU"/>
        </w:rPr>
        <w:t xml:space="preserve"> отмечается, что внутренний государственный долг дороже в обслуживании по отношению к внешнему долгу. Так, в 2019 году </w:t>
      </w:r>
      <w:r w:rsidR="00163A00" w:rsidRPr="00EC5A7B">
        <w:rPr>
          <w:rFonts w:asciiTheme="majorHAnsi" w:hAnsiTheme="majorHAnsi" w:cstheme="majorHAnsi"/>
          <w:sz w:val="24"/>
          <w:szCs w:val="24"/>
          <w:lang w:val="ru-MD" w:eastAsia="ru-RU"/>
        </w:rPr>
        <w:t>на обслуживание</w:t>
      </w:r>
      <w:r w:rsidRPr="00EC5A7B">
        <w:rPr>
          <w:rFonts w:asciiTheme="majorHAnsi" w:hAnsiTheme="majorHAnsi" w:cstheme="majorHAnsi"/>
          <w:sz w:val="24"/>
          <w:szCs w:val="24"/>
          <w:lang w:val="ru-MD" w:eastAsia="ru-RU"/>
        </w:rPr>
        <w:t xml:space="preserve"> внутреннего государственного долга, составляюще</w:t>
      </w:r>
      <w:r w:rsidR="00163A00" w:rsidRPr="00EC5A7B">
        <w:rPr>
          <w:rFonts w:asciiTheme="majorHAnsi" w:hAnsiTheme="majorHAnsi" w:cstheme="majorHAnsi"/>
          <w:sz w:val="24"/>
          <w:szCs w:val="24"/>
          <w:lang w:val="ru-MD" w:eastAsia="ru-RU"/>
        </w:rPr>
        <w:t>го</w:t>
      </w:r>
      <w:r w:rsidRPr="00EC5A7B">
        <w:rPr>
          <w:rFonts w:asciiTheme="majorHAnsi" w:hAnsiTheme="majorHAnsi" w:cstheme="majorHAnsi"/>
          <w:sz w:val="24"/>
          <w:szCs w:val="24"/>
          <w:lang w:val="ru-MD" w:eastAsia="ru-RU"/>
        </w:rPr>
        <w:t xml:space="preserve"> 44,1% от общего государственного долга, было выплачено 74,6% от общих расходов на обслуживание государственного долга. Даже в </w:t>
      </w:r>
      <w:r w:rsidR="00163A00" w:rsidRPr="00EC5A7B">
        <w:rPr>
          <w:rFonts w:asciiTheme="majorHAnsi" w:hAnsiTheme="majorHAnsi" w:cstheme="majorHAnsi"/>
          <w:sz w:val="24"/>
          <w:szCs w:val="24"/>
          <w:lang w:val="ru-MD" w:eastAsia="ru-RU"/>
        </w:rPr>
        <w:t>так</w:t>
      </w:r>
      <w:r w:rsidRPr="00EC5A7B">
        <w:rPr>
          <w:rFonts w:asciiTheme="majorHAnsi" w:hAnsiTheme="majorHAnsi" w:cstheme="majorHAnsi"/>
          <w:sz w:val="24"/>
          <w:szCs w:val="24"/>
          <w:lang w:val="ru-MD" w:eastAsia="ru-RU"/>
        </w:rPr>
        <w:t>ом контексте</w:t>
      </w:r>
      <w:r w:rsidR="00163A00"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уста</w:t>
      </w:r>
      <w:r w:rsidRPr="00EC5A7B">
        <w:rPr>
          <w:rFonts w:asciiTheme="majorHAnsi" w:hAnsiTheme="majorHAnsi" w:cstheme="majorHAnsi"/>
          <w:sz w:val="24"/>
          <w:szCs w:val="24"/>
          <w:lang w:val="ru-MD" w:eastAsia="ru-RU"/>
        </w:rPr>
        <w:lastRenderedPageBreak/>
        <w:t xml:space="preserve">новленная </w:t>
      </w:r>
      <w:r w:rsidR="00163A00"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w:t>
      </w:r>
      <w:r w:rsidR="00BE66ED" w:rsidRPr="00EC5A7B">
        <w:rPr>
          <w:rFonts w:asciiTheme="majorHAnsi" w:hAnsiTheme="majorHAnsi" w:cstheme="majorHAnsi"/>
          <w:sz w:val="24"/>
          <w:szCs w:val="24"/>
          <w:lang w:val="ru-MD" w:eastAsia="ru-RU"/>
        </w:rPr>
        <w:t xml:space="preserve">цель </w:t>
      </w:r>
      <w:r w:rsidRPr="00EC5A7B">
        <w:rPr>
          <w:rFonts w:asciiTheme="majorHAnsi" w:hAnsiTheme="majorHAnsi" w:cstheme="majorHAnsi"/>
          <w:sz w:val="24"/>
          <w:szCs w:val="24"/>
          <w:lang w:val="ru-MD" w:eastAsia="ru-RU"/>
        </w:rPr>
        <w:t>по развитию внутреннего рынка ГЦБ</w:t>
      </w:r>
      <w:r w:rsidR="00BE66ED" w:rsidRPr="00EC5A7B">
        <w:rPr>
          <w:rFonts w:asciiTheme="majorHAnsi" w:hAnsiTheme="majorHAnsi" w:cstheme="majorHAnsi"/>
          <w:sz w:val="24"/>
          <w:szCs w:val="24"/>
          <w:lang w:val="ru-MD" w:eastAsia="ru-RU"/>
        </w:rPr>
        <w:t xml:space="preserve"> обоснована</w:t>
      </w:r>
      <w:r w:rsidRPr="00EC5A7B">
        <w:rPr>
          <w:rFonts w:asciiTheme="majorHAnsi" w:hAnsiTheme="majorHAnsi" w:cstheme="majorHAnsi"/>
          <w:sz w:val="24"/>
          <w:szCs w:val="24"/>
          <w:lang w:val="ru-MD" w:eastAsia="ru-RU"/>
        </w:rPr>
        <w:t xml:space="preserve">, </w:t>
      </w:r>
      <w:r w:rsidR="00BE66ED" w:rsidRPr="00EC5A7B">
        <w:rPr>
          <w:rFonts w:asciiTheme="majorHAnsi" w:hAnsiTheme="majorHAnsi" w:cstheme="majorHAnsi"/>
          <w:sz w:val="24"/>
          <w:szCs w:val="24"/>
          <w:lang w:val="ru-MD" w:eastAsia="ru-RU"/>
        </w:rPr>
        <w:t>поскольку</w:t>
      </w:r>
      <w:r w:rsidRPr="00EC5A7B">
        <w:rPr>
          <w:rFonts w:asciiTheme="majorHAnsi" w:hAnsiTheme="majorHAnsi" w:cstheme="majorHAnsi"/>
          <w:sz w:val="24"/>
          <w:szCs w:val="24"/>
          <w:lang w:val="ru-MD" w:eastAsia="ru-RU"/>
        </w:rPr>
        <w:t xml:space="preserve"> это ограничивает </w:t>
      </w:r>
      <w:r w:rsidR="00BE66ED" w:rsidRPr="00EC5A7B">
        <w:rPr>
          <w:rFonts w:asciiTheme="majorHAnsi" w:hAnsiTheme="majorHAnsi" w:cstheme="majorHAnsi"/>
          <w:sz w:val="24"/>
          <w:szCs w:val="24"/>
          <w:lang w:val="ru-MD" w:eastAsia="ru-RU"/>
        </w:rPr>
        <w:t>подверженность</w:t>
      </w:r>
      <w:r w:rsidRPr="00EC5A7B">
        <w:rPr>
          <w:rFonts w:asciiTheme="majorHAnsi" w:hAnsiTheme="majorHAnsi" w:cstheme="majorHAnsi"/>
          <w:sz w:val="24"/>
          <w:szCs w:val="24"/>
          <w:lang w:val="ru-MD" w:eastAsia="ru-RU"/>
        </w:rPr>
        <w:t xml:space="preserve"> портфеля государственного долга валютн</w:t>
      </w:r>
      <w:r w:rsidR="00BE66ED" w:rsidRPr="00EC5A7B">
        <w:rPr>
          <w:rFonts w:asciiTheme="majorHAnsi" w:hAnsiTheme="majorHAnsi" w:cstheme="majorHAnsi"/>
          <w:sz w:val="24"/>
          <w:szCs w:val="24"/>
          <w:lang w:val="ru-MD" w:eastAsia="ru-RU"/>
        </w:rPr>
        <w:t>ому</w:t>
      </w:r>
      <w:r w:rsidRPr="00EC5A7B">
        <w:rPr>
          <w:rFonts w:asciiTheme="majorHAnsi" w:hAnsiTheme="majorHAnsi" w:cstheme="majorHAnsi"/>
          <w:sz w:val="24"/>
          <w:szCs w:val="24"/>
          <w:lang w:val="ru-MD" w:eastAsia="ru-RU"/>
        </w:rPr>
        <w:t xml:space="preserve"> риск</w:t>
      </w:r>
      <w:r w:rsidR="00BE66ED" w:rsidRPr="00EC5A7B">
        <w:rPr>
          <w:rFonts w:asciiTheme="majorHAnsi" w:hAnsiTheme="majorHAnsi" w:cstheme="majorHAnsi"/>
          <w:sz w:val="24"/>
          <w:szCs w:val="24"/>
          <w:lang w:val="ru-MD" w:eastAsia="ru-RU"/>
        </w:rPr>
        <w:t>у</w:t>
      </w:r>
      <w:r w:rsidR="00E95895" w:rsidRPr="00EC5A7B">
        <w:rPr>
          <w:rFonts w:asciiTheme="majorHAnsi" w:hAnsiTheme="majorHAnsi" w:cstheme="majorHAnsi"/>
          <w:sz w:val="24"/>
          <w:szCs w:val="24"/>
          <w:lang w:val="ru-MD" w:eastAsia="ru-RU"/>
        </w:rPr>
        <w:t>.</w:t>
      </w:r>
    </w:p>
    <w:p w14:paraId="273C7648" w14:textId="0D268AE5" w:rsidR="00E95895" w:rsidRPr="00EC5A7B" w:rsidRDefault="00F60DDB"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 целях достижения конкретной цели</w:t>
      </w:r>
      <w:r w:rsidR="00762B3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МФ </w:t>
      </w:r>
      <w:r w:rsidR="00762B3A" w:rsidRPr="00EC5A7B">
        <w:rPr>
          <w:rFonts w:asciiTheme="majorHAnsi" w:hAnsiTheme="majorHAnsi" w:cstheme="majorHAnsi"/>
          <w:sz w:val="24"/>
          <w:szCs w:val="24"/>
          <w:lang w:val="ru-MD" w:eastAsia="ru-RU"/>
        </w:rPr>
        <w:t>решило</w:t>
      </w:r>
      <w:r w:rsidRPr="00EC5A7B">
        <w:rPr>
          <w:rFonts w:asciiTheme="majorHAnsi" w:hAnsiTheme="majorHAnsi" w:cstheme="majorHAnsi"/>
          <w:sz w:val="24"/>
          <w:szCs w:val="24"/>
          <w:lang w:val="ru-MD" w:eastAsia="ru-RU"/>
        </w:rPr>
        <w:t xml:space="preserve"> расширить </w:t>
      </w:r>
      <w:r w:rsidR="00762B3A" w:rsidRPr="00EC5A7B">
        <w:rPr>
          <w:rFonts w:asciiTheme="majorHAnsi" w:hAnsiTheme="majorHAnsi" w:cstheme="majorHAnsi"/>
          <w:sz w:val="24"/>
          <w:szCs w:val="24"/>
          <w:lang w:val="ru-MD" w:eastAsia="ru-RU"/>
        </w:rPr>
        <w:t>срок погашения</w:t>
      </w:r>
      <w:r w:rsidRPr="00EC5A7B">
        <w:rPr>
          <w:rFonts w:asciiTheme="majorHAnsi" w:hAnsiTheme="majorHAnsi" w:cstheme="majorHAnsi"/>
          <w:sz w:val="24"/>
          <w:szCs w:val="24"/>
          <w:lang w:val="ru-MD" w:eastAsia="ru-RU"/>
        </w:rPr>
        <w:t xml:space="preserve"> портфеля долга и диверсифицировать инвестиционную базу. В </w:t>
      </w:r>
      <w:r w:rsidR="00762B3A" w:rsidRPr="00EC5A7B">
        <w:rPr>
          <w:rFonts w:asciiTheme="majorHAnsi" w:hAnsiTheme="majorHAnsi" w:cstheme="majorHAnsi"/>
          <w:sz w:val="24"/>
          <w:szCs w:val="24"/>
          <w:lang w:val="ru-MD" w:eastAsia="ru-RU"/>
        </w:rPr>
        <w:t xml:space="preserve">этой </w:t>
      </w:r>
      <w:r w:rsidRPr="00EC5A7B">
        <w:rPr>
          <w:rFonts w:asciiTheme="majorHAnsi" w:hAnsiTheme="majorHAnsi" w:cstheme="majorHAnsi"/>
          <w:sz w:val="24"/>
          <w:szCs w:val="24"/>
          <w:lang w:val="ru-MD" w:eastAsia="ru-RU"/>
        </w:rPr>
        <w:t>связи</w:t>
      </w:r>
      <w:r w:rsidR="00762B3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Приказом МФ №29 от 14.02.2019 была утверждена </w:t>
      </w:r>
      <w:r w:rsidR="007A7465" w:rsidRPr="00EC5A7B">
        <w:rPr>
          <w:rFonts w:asciiTheme="majorHAnsi" w:hAnsiTheme="majorHAnsi" w:cstheme="majorHAnsi"/>
          <w:bCs/>
          <w:sz w:val="24"/>
          <w:szCs w:val="24"/>
          <w:lang w:val="ru-MD" w:eastAsia="ru-RU"/>
        </w:rPr>
        <w:t>Инструкция о размещении, торговле и выкупе Государственных облигаций с плавающей ставкой и Инструкция о размещении, торговле и выкупе Государственных облигаций с фиксированной ставкой</w:t>
      </w:r>
      <w:r w:rsidRPr="00EC5A7B">
        <w:rPr>
          <w:rFonts w:asciiTheme="majorHAnsi" w:hAnsiTheme="majorHAnsi" w:cstheme="majorHAnsi"/>
          <w:sz w:val="24"/>
          <w:szCs w:val="24"/>
          <w:lang w:val="ru-MD" w:eastAsia="ru-RU"/>
        </w:rPr>
        <w:t xml:space="preserve">, </w:t>
      </w:r>
      <w:r w:rsidR="007A7465" w:rsidRPr="00EC5A7B">
        <w:rPr>
          <w:rFonts w:asciiTheme="majorHAnsi" w:hAnsiTheme="majorHAnsi" w:cstheme="majorHAnsi"/>
          <w:sz w:val="24"/>
          <w:szCs w:val="24"/>
          <w:lang w:val="ru-MD" w:eastAsia="ru-RU"/>
        </w:rPr>
        <w:t xml:space="preserve">которые </w:t>
      </w:r>
      <w:r w:rsidRPr="00EC5A7B">
        <w:rPr>
          <w:rFonts w:asciiTheme="majorHAnsi" w:hAnsiTheme="majorHAnsi" w:cstheme="majorHAnsi"/>
          <w:sz w:val="24"/>
          <w:szCs w:val="24"/>
          <w:lang w:val="ru-MD" w:eastAsia="ru-RU"/>
        </w:rPr>
        <w:t>позволяю</w:t>
      </w:r>
      <w:r w:rsidR="007A7465" w:rsidRPr="00EC5A7B">
        <w:rPr>
          <w:rFonts w:asciiTheme="majorHAnsi" w:hAnsiTheme="majorHAnsi" w:cstheme="majorHAnsi"/>
          <w:sz w:val="24"/>
          <w:szCs w:val="24"/>
          <w:lang w:val="ru-MD" w:eastAsia="ru-RU"/>
        </w:rPr>
        <w:t>т</w:t>
      </w:r>
      <w:r w:rsidRPr="00EC5A7B">
        <w:rPr>
          <w:rFonts w:asciiTheme="majorHAnsi" w:hAnsiTheme="majorHAnsi" w:cstheme="majorHAnsi"/>
          <w:sz w:val="24"/>
          <w:szCs w:val="24"/>
          <w:lang w:val="ru-MD" w:eastAsia="ru-RU"/>
        </w:rPr>
        <w:t xml:space="preserve"> в</w:t>
      </w:r>
      <w:r w:rsidR="007A7465" w:rsidRPr="00EC5A7B">
        <w:rPr>
          <w:rFonts w:asciiTheme="majorHAnsi" w:hAnsiTheme="majorHAnsi" w:cstheme="majorHAnsi"/>
          <w:sz w:val="24"/>
          <w:szCs w:val="24"/>
          <w:lang w:val="ru-MD" w:eastAsia="ru-RU"/>
        </w:rPr>
        <w:t>ыпускать ГЦБ на длительный срок</w:t>
      </w:r>
      <w:r w:rsidR="00E95895" w:rsidRPr="00EC5A7B">
        <w:rPr>
          <w:rFonts w:asciiTheme="majorHAnsi" w:hAnsiTheme="majorHAnsi" w:cstheme="majorHAnsi"/>
          <w:sz w:val="24"/>
          <w:szCs w:val="24"/>
          <w:lang w:val="ru-MD" w:eastAsia="ru-RU"/>
        </w:rPr>
        <w:t xml:space="preserve">. </w:t>
      </w:r>
    </w:p>
    <w:p w14:paraId="55926F1D" w14:textId="5ACD5BAE" w:rsidR="00E95895" w:rsidRPr="00EC5A7B" w:rsidRDefault="0057025E"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Хотя</w:t>
      </w:r>
      <w:r w:rsidR="00F60DDB" w:rsidRPr="00EC5A7B">
        <w:rPr>
          <w:rFonts w:asciiTheme="majorHAnsi" w:hAnsiTheme="majorHAnsi" w:cstheme="majorHAnsi"/>
          <w:sz w:val="24"/>
          <w:szCs w:val="24"/>
          <w:lang w:val="ru-MD" w:eastAsia="ru-RU"/>
        </w:rPr>
        <w:t xml:space="preserve"> МФ предложил</w:t>
      </w:r>
      <w:r w:rsidRPr="00EC5A7B">
        <w:rPr>
          <w:rFonts w:asciiTheme="majorHAnsi" w:hAnsiTheme="majorHAnsi" w:cstheme="majorHAnsi"/>
          <w:sz w:val="24"/>
          <w:szCs w:val="24"/>
          <w:lang w:val="ru-MD" w:eastAsia="ru-RU"/>
        </w:rPr>
        <w:t>о</w:t>
      </w:r>
      <w:r w:rsidR="00F60DDB" w:rsidRPr="00EC5A7B">
        <w:rPr>
          <w:rFonts w:asciiTheme="majorHAnsi" w:hAnsiTheme="majorHAnsi" w:cstheme="majorHAnsi"/>
          <w:sz w:val="24"/>
          <w:szCs w:val="24"/>
          <w:lang w:val="ru-MD" w:eastAsia="ru-RU"/>
        </w:rPr>
        <w:t xml:space="preserve"> расширить </w:t>
      </w:r>
      <w:r w:rsidRPr="00EC5A7B">
        <w:rPr>
          <w:rFonts w:asciiTheme="majorHAnsi" w:hAnsiTheme="majorHAnsi" w:cstheme="majorHAnsi"/>
          <w:sz w:val="24"/>
          <w:szCs w:val="24"/>
          <w:lang w:val="ru-MD" w:eastAsia="ru-RU"/>
        </w:rPr>
        <w:t>срок погашения</w:t>
      </w:r>
      <w:r w:rsidR="00F60DDB" w:rsidRPr="00EC5A7B">
        <w:rPr>
          <w:rFonts w:asciiTheme="majorHAnsi" w:hAnsiTheme="majorHAnsi" w:cstheme="majorHAnsi"/>
          <w:sz w:val="24"/>
          <w:szCs w:val="24"/>
          <w:lang w:val="ru-MD" w:eastAsia="ru-RU"/>
        </w:rPr>
        <w:t xml:space="preserve"> портфеля государственного долга, в том числе внутреннего государственного долга, и принять меры для достижения этой цели, в 2019 году </w:t>
      </w:r>
      <w:r w:rsidRPr="00EC5A7B">
        <w:rPr>
          <w:rFonts w:asciiTheme="majorHAnsi" w:hAnsiTheme="majorHAnsi" w:cstheme="majorHAnsi"/>
          <w:sz w:val="24"/>
          <w:szCs w:val="24"/>
          <w:lang w:val="ru-MD" w:eastAsia="ru-RU"/>
        </w:rPr>
        <w:t>наибольший удельный вес</w:t>
      </w:r>
      <w:r w:rsidR="00F60DDB" w:rsidRPr="00EC5A7B">
        <w:rPr>
          <w:rFonts w:asciiTheme="majorHAnsi" w:hAnsiTheme="majorHAnsi" w:cstheme="majorHAnsi"/>
          <w:sz w:val="24"/>
          <w:szCs w:val="24"/>
          <w:lang w:val="ru-MD" w:eastAsia="ru-RU"/>
        </w:rPr>
        <w:t xml:space="preserve"> ГЦБ, продаваемых на первичном рынке, составля</w:t>
      </w:r>
      <w:r w:rsidRPr="00EC5A7B">
        <w:rPr>
          <w:rFonts w:asciiTheme="majorHAnsi" w:hAnsiTheme="majorHAnsi" w:cstheme="majorHAnsi"/>
          <w:sz w:val="24"/>
          <w:szCs w:val="24"/>
          <w:lang w:val="ru-MD" w:eastAsia="ru-RU"/>
        </w:rPr>
        <w:t>ли</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КО</w:t>
      </w:r>
      <w:r w:rsidR="00F60DDB" w:rsidRPr="00EC5A7B">
        <w:rPr>
          <w:rFonts w:asciiTheme="majorHAnsi" w:hAnsiTheme="majorHAnsi" w:cstheme="majorHAnsi"/>
          <w:sz w:val="24"/>
          <w:szCs w:val="24"/>
          <w:lang w:val="ru-MD" w:eastAsia="ru-RU"/>
        </w:rPr>
        <w:t xml:space="preserve"> со сроком погашения 364 дня (41,6%), </w:t>
      </w:r>
      <w:r w:rsidRPr="00EC5A7B">
        <w:rPr>
          <w:rFonts w:asciiTheme="majorHAnsi" w:hAnsiTheme="majorHAnsi" w:cstheme="majorHAnsi"/>
          <w:sz w:val="24"/>
          <w:szCs w:val="24"/>
          <w:lang w:val="ru-MD" w:eastAsia="ru-RU"/>
        </w:rPr>
        <w:t>за ними следовали КО</w:t>
      </w:r>
      <w:r w:rsidR="00F60DDB" w:rsidRPr="00EC5A7B">
        <w:rPr>
          <w:rFonts w:asciiTheme="majorHAnsi" w:hAnsiTheme="majorHAnsi" w:cstheme="majorHAnsi"/>
          <w:sz w:val="24"/>
          <w:szCs w:val="24"/>
          <w:lang w:val="ru-MD" w:eastAsia="ru-RU"/>
        </w:rPr>
        <w:t xml:space="preserve"> со сроком погашения 182 дня (37,3%) и </w:t>
      </w:r>
      <w:r w:rsidRPr="00EC5A7B">
        <w:rPr>
          <w:rFonts w:asciiTheme="majorHAnsi" w:hAnsiTheme="majorHAnsi" w:cstheme="majorHAnsi"/>
          <w:sz w:val="24"/>
          <w:szCs w:val="24"/>
          <w:lang w:val="ru-MD" w:eastAsia="ru-RU"/>
        </w:rPr>
        <w:t xml:space="preserve">КО </w:t>
      </w:r>
      <w:r w:rsidR="00F60DDB" w:rsidRPr="00EC5A7B">
        <w:rPr>
          <w:rFonts w:asciiTheme="majorHAnsi" w:hAnsiTheme="majorHAnsi" w:cstheme="majorHAnsi"/>
          <w:sz w:val="24"/>
          <w:szCs w:val="24"/>
          <w:lang w:val="ru-MD" w:eastAsia="ru-RU"/>
        </w:rPr>
        <w:t xml:space="preserve">со сроком погашения 91 день (12,7%). </w:t>
      </w:r>
      <w:r w:rsidRPr="00EC5A7B">
        <w:rPr>
          <w:rFonts w:asciiTheme="majorHAnsi" w:hAnsiTheme="majorHAnsi" w:cstheme="majorHAnsi"/>
          <w:sz w:val="24"/>
          <w:szCs w:val="24"/>
          <w:lang w:val="ru-MD" w:eastAsia="ru-RU"/>
        </w:rPr>
        <w:t>Проданн</w:t>
      </w:r>
      <w:r w:rsidR="00F60DDB" w:rsidRPr="00EC5A7B">
        <w:rPr>
          <w:rFonts w:asciiTheme="majorHAnsi" w:hAnsiTheme="majorHAnsi" w:cstheme="majorHAnsi"/>
          <w:sz w:val="24"/>
          <w:szCs w:val="24"/>
          <w:lang w:val="ru-MD" w:eastAsia="ru-RU"/>
        </w:rPr>
        <w:t xml:space="preserve">ый объем </w:t>
      </w:r>
      <w:r w:rsidRPr="00EC5A7B">
        <w:rPr>
          <w:rFonts w:asciiTheme="majorHAnsi" w:hAnsiTheme="majorHAnsi" w:cstheme="majorHAnsi"/>
          <w:sz w:val="24"/>
          <w:szCs w:val="24"/>
          <w:lang w:val="ru-MD" w:eastAsia="ru-RU"/>
        </w:rPr>
        <w:t xml:space="preserve">ГО </w:t>
      </w:r>
      <w:r w:rsidR="00F60DDB" w:rsidRPr="00EC5A7B">
        <w:rPr>
          <w:rFonts w:asciiTheme="majorHAnsi" w:hAnsiTheme="majorHAnsi" w:cstheme="majorHAnsi"/>
          <w:sz w:val="24"/>
          <w:szCs w:val="24"/>
          <w:lang w:val="ru-MD" w:eastAsia="ru-RU"/>
        </w:rPr>
        <w:t>сроком на 1, 2, 3 и 5 лет составляет всего 8,4%, из-за отсутствия институциональных инвесторов на рынке ГЦБ (пенсионны</w:t>
      </w:r>
      <w:r w:rsidRPr="00EC5A7B">
        <w:rPr>
          <w:rFonts w:asciiTheme="majorHAnsi" w:hAnsiTheme="majorHAnsi" w:cstheme="majorHAnsi"/>
          <w:sz w:val="24"/>
          <w:szCs w:val="24"/>
          <w:lang w:val="ru-MD" w:eastAsia="ru-RU"/>
        </w:rPr>
        <w:t>х</w:t>
      </w:r>
      <w:r w:rsidR="00F60DDB" w:rsidRPr="00EC5A7B">
        <w:rPr>
          <w:rFonts w:asciiTheme="majorHAnsi" w:hAnsiTheme="majorHAnsi" w:cstheme="majorHAnsi"/>
          <w:sz w:val="24"/>
          <w:szCs w:val="24"/>
          <w:lang w:val="ru-MD" w:eastAsia="ru-RU"/>
        </w:rPr>
        <w:t xml:space="preserve"> фонд</w:t>
      </w:r>
      <w:r w:rsidRPr="00EC5A7B">
        <w:rPr>
          <w:rFonts w:asciiTheme="majorHAnsi" w:hAnsiTheme="majorHAnsi" w:cstheme="majorHAnsi"/>
          <w:sz w:val="24"/>
          <w:szCs w:val="24"/>
          <w:lang w:val="ru-MD" w:eastAsia="ru-RU"/>
        </w:rPr>
        <w:t>ов</w:t>
      </w:r>
      <w:r w:rsidR="00F60DDB" w:rsidRPr="00EC5A7B">
        <w:rPr>
          <w:rFonts w:asciiTheme="majorHAnsi" w:hAnsiTheme="majorHAnsi" w:cstheme="majorHAnsi"/>
          <w:sz w:val="24"/>
          <w:szCs w:val="24"/>
          <w:lang w:val="ru-MD" w:eastAsia="ru-RU"/>
        </w:rPr>
        <w:t>, инвестиционны</w:t>
      </w:r>
      <w:r w:rsidRPr="00EC5A7B">
        <w:rPr>
          <w:rFonts w:asciiTheme="majorHAnsi" w:hAnsiTheme="majorHAnsi" w:cstheme="majorHAnsi"/>
          <w:sz w:val="24"/>
          <w:szCs w:val="24"/>
          <w:lang w:val="ru-MD" w:eastAsia="ru-RU"/>
        </w:rPr>
        <w:t>х</w:t>
      </w:r>
      <w:r w:rsidR="00F60DDB" w:rsidRPr="00EC5A7B">
        <w:rPr>
          <w:rFonts w:asciiTheme="majorHAnsi" w:hAnsiTheme="majorHAnsi" w:cstheme="majorHAnsi"/>
          <w:sz w:val="24"/>
          <w:szCs w:val="24"/>
          <w:lang w:val="ru-MD" w:eastAsia="ru-RU"/>
        </w:rPr>
        <w:t xml:space="preserve"> фонд</w:t>
      </w:r>
      <w:r w:rsidRPr="00EC5A7B">
        <w:rPr>
          <w:rFonts w:asciiTheme="majorHAnsi" w:hAnsiTheme="majorHAnsi" w:cstheme="majorHAnsi"/>
          <w:sz w:val="24"/>
          <w:szCs w:val="24"/>
          <w:lang w:val="ru-MD" w:eastAsia="ru-RU"/>
        </w:rPr>
        <w:t>ов</w:t>
      </w:r>
      <w:r w:rsidR="00F60DDB" w:rsidRPr="00EC5A7B">
        <w:rPr>
          <w:rFonts w:asciiTheme="majorHAnsi" w:hAnsiTheme="majorHAnsi" w:cstheme="majorHAnsi"/>
          <w:sz w:val="24"/>
          <w:szCs w:val="24"/>
          <w:lang w:val="ru-MD" w:eastAsia="ru-RU"/>
        </w:rPr>
        <w:t xml:space="preserve"> и т. д.)</w:t>
      </w:r>
      <w:r w:rsidRPr="00EC5A7B">
        <w:rPr>
          <w:rFonts w:asciiTheme="majorHAnsi" w:hAnsiTheme="majorHAnsi" w:cstheme="majorHAnsi"/>
          <w:sz w:val="24"/>
          <w:szCs w:val="24"/>
          <w:lang w:val="ru-MD" w:eastAsia="ru-RU"/>
        </w:rPr>
        <w:t>, а таже</w:t>
      </w:r>
      <w:r w:rsidR="00F60DDB" w:rsidRPr="00EC5A7B">
        <w:rPr>
          <w:rFonts w:asciiTheme="majorHAnsi" w:hAnsiTheme="majorHAnsi" w:cstheme="majorHAnsi"/>
          <w:sz w:val="24"/>
          <w:szCs w:val="24"/>
          <w:lang w:val="ru-MD" w:eastAsia="ru-RU"/>
        </w:rPr>
        <w:t xml:space="preserve"> спроса на ГЦБ, выпущенные преимущественно </w:t>
      </w:r>
      <w:r w:rsidRPr="00EC5A7B">
        <w:rPr>
          <w:rFonts w:asciiTheme="majorHAnsi" w:hAnsiTheme="majorHAnsi" w:cstheme="majorHAnsi"/>
          <w:sz w:val="24"/>
          <w:szCs w:val="24"/>
          <w:lang w:val="ru-MD" w:eastAsia="ru-RU"/>
        </w:rPr>
        <w:t>на</w:t>
      </w:r>
      <w:r w:rsidR="00F60DDB" w:rsidRPr="00EC5A7B">
        <w:rPr>
          <w:rFonts w:asciiTheme="majorHAnsi" w:hAnsiTheme="majorHAnsi" w:cstheme="majorHAnsi"/>
          <w:sz w:val="24"/>
          <w:szCs w:val="24"/>
          <w:lang w:val="ru-MD" w:eastAsia="ru-RU"/>
        </w:rPr>
        <w:t xml:space="preserve"> кратк</w:t>
      </w:r>
      <w:r w:rsidRPr="00EC5A7B">
        <w:rPr>
          <w:rFonts w:asciiTheme="majorHAnsi" w:hAnsiTheme="majorHAnsi" w:cstheme="majorHAnsi"/>
          <w:sz w:val="24"/>
          <w:szCs w:val="24"/>
          <w:lang w:val="ru-MD" w:eastAsia="ru-RU"/>
        </w:rPr>
        <w:t xml:space="preserve">ий </w:t>
      </w:r>
      <w:r w:rsidR="00F60DDB" w:rsidRPr="00EC5A7B">
        <w:rPr>
          <w:rFonts w:asciiTheme="majorHAnsi" w:hAnsiTheme="majorHAnsi" w:cstheme="majorHAnsi"/>
          <w:sz w:val="24"/>
          <w:szCs w:val="24"/>
          <w:lang w:val="ru-MD" w:eastAsia="ru-RU"/>
        </w:rPr>
        <w:t>сро</w:t>
      </w:r>
      <w:r w:rsidRPr="00EC5A7B">
        <w:rPr>
          <w:rFonts w:asciiTheme="majorHAnsi" w:hAnsiTheme="majorHAnsi" w:cstheme="majorHAnsi"/>
          <w:sz w:val="24"/>
          <w:szCs w:val="24"/>
          <w:lang w:val="ru-MD" w:eastAsia="ru-RU"/>
        </w:rPr>
        <w:t>к.</w:t>
      </w:r>
      <w:r w:rsidR="00F60DDB" w:rsidRPr="00EC5A7B">
        <w:rPr>
          <w:rFonts w:asciiTheme="majorHAnsi" w:hAnsiTheme="majorHAnsi" w:cstheme="majorHAnsi"/>
          <w:sz w:val="24"/>
          <w:szCs w:val="24"/>
          <w:lang w:val="ru-MD" w:eastAsia="ru-RU"/>
        </w:rPr>
        <w:t xml:space="preserve"> </w:t>
      </w:r>
    </w:p>
    <w:p w14:paraId="6DBD85E5" w14:textId="568F407F" w:rsidR="00E95895" w:rsidRPr="00EC5A7B" w:rsidRDefault="00AF46A8" w:rsidP="004D4E5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Другим</w:t>
      </w:r>
      <w:r w:rsidR="00F60DDB" w:rsidRPr="00EC5A7B">
        <w:rPr>
          <w:rFonts w:asciiTheme="majorHAnsi" w:hAnsiTheme="majorHAnsi" w:cstheme="majorHAnsi"/>
          <w:sz w:val="24"/>
          <w:szCs w:val="24"/>
          <w:lang w:val="ru-MD" w:eastAsia="ru-RU"/>
        </w:rPr>
        <w:t xml:space="preserve"> действие</w:t>
      </w:r>
      <w:r w:rsidRPr="00EC5A7B">
        <w:rPr>
          <w:rFonts w:asciiTheme="majorHAnsi" w:hAnsiTheme="majorHAnsi" w:cstheme="majorHAnsi"/>
          <w:sz w:val="24"/>
          <w:szCs w:val="24"/>
          <w:lang w:val="ru-MD" w:eastAsia="ru-RU"/>
        </w:rPr>
        <w:t>м</w:t>
      </w:r>
      <w:r w:rsidR="00F60DDB" w:rsidRPr="00EC5A7B">
        <w:rPr>
          <w:rFonts w:asciiTheme="majorHAnsi" w:hAnsiTheme="majorHAnsi" w:cstheme="majorHAnsi"/>
          <w:sz w:val="24"/>
          <w:szCs w:val="24"/>
          <w:lang w:val="ru-MD" w:eastAsia="ru-RU"/>
        </w:rPr>
        <w:t>, установленн</w:t>
      </w:r>
      <w:r w:rsidRPr="00EC5A7B">
        <w:rPr>
          <w:rFonts w:asciiTheme="majorHAnsi" w:hAnsiTheme="majorHAnsi" w:cstheme="majorHAnsi"/>
          <w:sz w:val="24"/>
          <w:szCs w:val="24"/>
          <w:lang w:val="ru-MD" w:eastAsia="ru-RU"/>
        </w:rPr>
        <w:t>ым МФ</w:t>
      </w:r>
      <w:r w:rsidR="00F60DDB" w:rsidRPr="00EC5A7B">
        <w:rPr>
          <w:rFonts w:asciiTheme="majorHAnsi" w:hAnsiTheme="majorHAnsi" w:cstheme="majorHAnsi"/>
          <w:sz w:val="24"/>
          <w:szCs w:val="24"/>
          <w:lang w:val="ru-MD" w:eastAsia="ru-RU"/>
        </w:rPr>
        <w:t xml:space="preserve">, заключалось в диверсификации каналов продаж </w:t>
      </w:r>
      <w:r w:rsidRPr="00EC5A7B">
        <w:rPr>
          <w:rFonts w:asciiTheme="majorHAnsi" w:hAnsiTheme="majorHAnsi" w:cstheme="majorHAnsi"/>
          <w:sz w:val="24"/>
          <w:szCs w:val="24"/>
          <w:lang w:val="ru-MD" w:eastAsia="ru-RU"/>
        </w:rPr>
        <w:t>ГЦБ</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одновременно с</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повыш</w:t>
      </w:r>
      <w:r w:rsidR="00F60DDB" w:rsidRPr="00EC5A7B">
        <w:rPr>
          <w:rFonts w:asciiTheme="majorHAnsi" w:hAnsiTheme="majorHAnsi" w:cstheme="majorHAnsi"/>
          <w:sz w:val="24"/>
          <w:szCs w:val="24"/>
          <w:lang w:val="ru-MD" w:eastAsia="ru-RU"/>
        </w:rPr>
        <w:t xml:space="preserve">ением доступности физических лиц </w:t>
      </w:r>
      <w:r w:rsidRPr="00EC5A7B">
        <w:rPr>
          <w:rFonts w:asciiTheme="majorHAnsi" w:hAnsiTheme="majorHAnsi" w:cstheme="majorHAnsi"/>
          <w:sz w:val="24"/>
          <w:szCs w:val="24"/>
          <w:lang w:val="ru-MD" w:eastAsia="ru-RU"/>
        </w:rPr>
        <w:t>к</w:t>
      </w:r>
      <w:r w:rsidR="00F60DDB" w:rsidRPr="00EC5A7B">
        <w:rPr>
          <w:rFonts w:asciiTheme="majorHAnsi" w:hAnsiTheme="majorHAnsi" w:cstheme="majorHAnsi"/>
          <w:sz w:val="24"/>
          <w:szCs w:val="24"/>
          <w:lang w:val="ru-MD" w:eastAsia="ru-RU"/>
        </w:rPr>
        <w:t xml:space="preserve"> покупке </w:t>
      </w:r>
      <w:r w:rsidRPr="00EC5A7B">
        <w:rPr>
          <w:rFonts w:asciiTheme="majorHAnsi" w:hAnsiTheme="majorHAnsi" w:cstheme="majorHAnsi"/>
          <w:sz w:val="24"/>
          <w:szCs w:val="24"/>
          <w:lang w:val="ru-MD" w:eastAsia="ru-RU"/>
        </w:rPr>
        <w:t>ГЦБ</w:t>
      </w:r>
      <w:r w:rsidR="00F60DDB" w:rsidRPr="00EC5A7B">
        <w:rPr>
          <w:rFonts w:asciiTheme="majorHAnsi" w:hAnsiTheme="majorHAnsi" w:cstheme="majorHAnsi"/>
          <w:sz w:val="24"/>
          <w:szCs w:val="24"/>
          <w:lang w:val="ru-MD" w:eastAsia="ru-RU"/>
        </w:rPr>
        <w:t xml:space="preserve">. В соответствии с </w:t>
      </w:r>
      <w:r w:rsidRPr="00EC5A7B">
        <w:rPr>
          <w:rFonts w:asciiTheme="majorHAnsi" w:hAnsiTheme="majorHAnsi" w:cstheme="majorHAnsi"/>
          <w:sz w:val="24"/>
          <w:szCs w:val="24"/>
          <w:lang w:val="ru-MD" w:eastAsia="ru-RU"/>
        </w:rPr>
        <w:t>П</w:t>
      </w:r>
      <w:r w:rsidR="00F60DDB" w:rsidRPr="00EC5A7B">
        <w:rPr>
          <w:rFonts w:asciiTheme="majorHAnsi" w:hAnsiTheme="majorHAnsi" w:cstheme="majorHAnsi"/>
          <w:sz w:val="24"/>
          <w:szCs w:val="24"/>
          <w:lang w:val="ru-MD" w:eastAsia="ru-RU"/>
        </w:rPr>
        <w:t xml:space="preserve">ланом действий </w:t>
      </w:r>
      <w:r w:rsidRPr="00EC5A7B">
        <w:rPr>
          <w:rFonts w:asciiTheme="majorHAnsi" w:hAnsiTheme="majorHAnsi" w:cstheme="majorHAnsi"/>
          <w:sz w:val="24"/>
          <w:szCs w:val="24"/>
          <w:lang w:val="ru-MD" w:eastAsia="ru-RU"/>
        </w:rPr>
        <w:t>П</w:t>
      </w:r>
      <w:r w:rsidR="00F60DDB" w:rsidRPr="00EC5A7B">
        <w:rPr>
          <w:rFonts w:asciiTheme="majorHAnsi" w:hAnsiTheme="majorHAnsi" w:cstheme="majorHAnsi"/>
          <w:sz w:val="24"/>
          <w:szCs w:val="24"/>
          <w:lang w:val="ru-MD" w:eastAsia="ru-RU"/>
        </w:rPr>
        <w:t xml:space="preserve">равительства на 2020-2023 годы (действие </w:t>
      </w:r>
      <w:r w:rsidR="00F60DDB" w:rsidRPr="00EC5A7B">
        <w:rPr>
          <w:rFonts w:asciiTheme="majorHAnsi" w:hAnsiTheme="majorHAnsi" w:cstheme="majorHAnsi"/>
          <w:sz w:val="24"/>
          <w:szCs w:val="24"/>
          <w:lang w:val="ru-MD" w:eastAsia="ru-RU"/>
        </w:rPr>
        <w:lastRenderedPageBreak/>
        <w:t>4.17.2.</w:t>
      </w:r>
      <w:r w:rsidRPr="00EC5A7B">
        <w:rPr>
          <w:rFonts w:asciiTheme="majorHAnsi" w:hAnsiTheme="majorHAnsi" w:cstheme="majorHAnsi"/>
          <w:sz w:val="24"/>
          <w:szCs w:val="24"/>
          <w:lang w:val="ru-MD" w:eastAsia="ru-RU"/>
        </w:rPr>
        <w:t xml:space="preserve">), </w:t>
      </w:r>
      <w:r w:rsidR="00F60DDB" w:rsidRPr="00EC5A7B">
        <w:rPr>
          <w:rFonts w:asciiTheme="majorHAnsi" w:hAnsiTheme="majorHAnsi" w:cstheme="majorHAnsi"/>
          <w:sz w:val="24"/>
          <w:szCs w:val="24"/>
          <w:lang w:val="ru-MD" w:eastAsia="ru-RU"/>
        </w:rPr>
        <w:t xml:space="preserve">к 2021 году </w:t>
      </w:r>
      <w:r w:rsidRPr="00EC5A7B">
        <w:rPr>
          <w:rFonts w:asciiTheme="majorHAnsi" w:hAnsiTheme="majorHAnsi" w:cstheme="majorHAnsi"/>
          <w:sz w:val="24"/>
          <w:szCs w:val="24"/>
          <w:lang w:val="ru-MD" w:eastAsia="ru-RU"/>
        </w:rPr>
        <w:t>должна быть</w:t>
      </w:r>
      <w:r w:rsidR="00F60DDB" w:rsidRPr="00EC5A7B">
        <w:rPr>
          <w:rFonts w:asciiTheme="majorHAnsi" w:hAnsiTheme="majorHAnsi" w:cstheme="majorHAnsi"/>
          <w:sz w:val="24"/>
          <w:szCs w:val="24"/>
          <w:lang w:val="ru-MD" w:eastAsia="ru-RU"/>
        </w:rPr>
        <w:t xml:space="preserve"> внедрена платформа </w:t>
      </w:r>
      <w:r w:rsidRPr="00EC5A7B">
        <w:rPr>
          <w:rFonts w:asciiTheme="majorHAnsi" w:hAnsiTheme="majorHAnsi" w:cstheme="majorHAnsi"/>
          <w:sz w:val="24"/>
          <w:szCs w:val="24"/>
          <w:lang w:val="ru-MD" w:eastAsia="ru-RU"/>
        </w:rPr>
        <w:t xml:space="preserve">для прямой продажи </w:t>
      </w:r>
      <w:r w:rsidR="00F60DDB" w:rsidRPr="00EC5A7B">
        <w:rPr>
          <w:rFonts w:asciiTheme="majorHAnsi" w:hAnsiTheme="majorHAnsi" w:cstheme="majorHAnsi"/>
          <w:sz w:val="24"/>
          <w:szCs w:val="24"/>
          <w:lang w:val="ru-MD" w:eastAsia="ru-RU"/>
        </w:rPr>
        <w:t>ГЦБ физически</w:t>
      </w:r>
      <w:r w:rsidRPr="00EC5A7B">
        <w:rPr>
          <w:rFonts w:asciiTheme="majorHAnsi" w:hAnsiTheme="majorHAnsi" w:cstheme="majorHAnsi"/>
          <w:sz w:val="24"/>
          <w:szCs w:val="24"/>
          <w:lang w:val="ru-MD" w:eastAsia="ru-RU"/>
        </w:rPr>
        <w:t>м</w:t>
      </w:r>
      <w:r w:rsidR="00F60DDB" w:rsidRPr="00EC5A7B">
        <w:rPr>
          <w:rFonts w:asciiTheme="majorHAnsi" w:hAnsiTheme="majorHAnsi" w:cstheme="majorHAnsi"/>
          <w:sz w:val="24"/>
          <w:szCs w:val="24"/>
          <w:lang w:val="ru-MD" w:eastAsia="ru-RU"/>
        </w:rPr>
        <w:t xml:space="preserve"> лиц</w:t>
      </w:r>
      <w:r w:rsidRPr="00EC5A7B">
        <w:rPr>
          <w:rFonts w:asciiTheme="majorHAnsi" w:hAnsiTheme="majorHAnsi" w:cstheme="majorHAnsi"/>
          <w:sz w:val="24"/>
          <w:szCs w:val="24"/>
          <w:lang w:val="ru-MD" w:eastAsia="ru-RU"/>
        </w:rPr>
        <w:t>ам</w:t>
      </w:r>
      <w:r w:rsidR="00E95895" w:rsidRPr="00EC5A7B">
        <w:rPr>
          <w:rFonts w:asciiTheme="majorHAnsi" w:hAnsiTheme="majorHAnsi" w:cstheme="majorHAnsi"/>
          <w:sz w:val="24"/>
          <w:szCs w:val="24"/>
          <w:lang w:val="ru-MD" w:eastAsia="ru-RU"/>
        </w:rPr>
        <w:t xml:space="preserve">. </w:t>
      </w:r>
    </w:p>
    <w:p w14:paraId="1AC6A4A5" w14:textId="314FB6B1" w:rsidR="00E95895" w:rsidRPr="00EC5A7B" w:rsidRDefault="00F60DDB" w:rsidP="00C04C50">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Среди действий, установленных </w:t>
      </w:r>
      <w:r w:rsidR="00D04099"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были также обеспечение высокой степени прозрачности и предсказуемости рынка </w:t>
      </w:r>
      <w:r w:rsidR="00D04099" w:rsidRPr="00EC5A7B">
        <w:rPr>
          <w:rFonts w:asciiTheme="majorHAnsi" w:hAnsiTheme="majorHAnsi" w:cstheme="majorHAnsi"/>
          <w:sz w:val="24"/>
          <w:szCs w:val="24"/>
          <w:lang w:val="ru-MD" w:eastAsia="ru-RU"/>
        </w:rPr>
        <w:t>ГЦБ</w:t>
      </w:r>
      <w:r w:rsidRPr="00EC5A7B">
        <w:rPr>
          <w:rFonts w:asciiTheme="majorHAnsi" w:hAnsiTheme="majorHAnsi" w:cstheme="majorHAnsi"/>
          <w:sz w:val="24"/>
          <w:szCs w:val="24"/>
          <w:lang w:val="ru-MD" w:eastAsia="ru-RU"/>
        </w:rPr>
        <w:t xml:space="preserve">, мониторинг и оценка эффективности первичных дилеров. Так, в соответствии с </w:t>
      </w:r>
      <w:r w:rsidR="00D04099" w:rsidRPr="00EC5A7B">
        <w:rPr>
          <w:rFonts w:asciiTheme="majorHAnsi" w:hAnsiTheme="majorHAnsi" w:cstheme="majorHAnsi"/>
          <w:sz w:val="24"/>
          <w:szCs w:val="24"/>
          <w:lang w:val="ru-MD" w:eastAsia="ru-RU"/>
        </w:rPr>
        <w:t>Регламентом</w:t>
      </w:r>
      <w:r w:rsidRPr="00EC5A7B">
        <w:rPr>
          <w:rFonts w:asciiTheme="majorHAnsi" w:hAnsiTheme="majorHAnsi" w:cstheme="majorHAnsi"/>
          <w:sz w:val="24"/>
          <w:szCs w:val="24"/>
          <w:lang w:val="ru-MD" w:eastAsia="ru-RU"/>
        </w:rPr>
        <w:t xml:space="preserve"> о размещении, </w:t>
      </w:r>
      <w:r w:rsidR="00D04099" w:rsidRPr="00EC5A7B">
        <w:rPr>
          <w:rFonts w:asciiTheme="majorHAnsi" w:hAnsiTheme="majorHAnsi" w:cstheme="majorHAnsi"/>
          <w:sz w:val="24"/>
          <w:szCs w:val="24"/>
          <w:lang w:val="ru-MD" w:eastAsia="ru-RU"/>
        </w:rPr>
        <w:t>продаже</w:t>
      </w:r>
      <w:r w:rsidRPr="00EC5A7B">
        <w:rPr>
          <w:rFonts w:asciiTheme="majorHAnsi" w:hAnsiTheme="majorHAnsi" w:cstheme="majorHAnsi"/>
          <w:sz w:val="24"/>
          <w:szCs w:val="24"/>
          <w:lang w:val="ru-MD" w:eastAsia="ru-RU"/>
        </w:rPr>
        <w:t xml:space="preserve"> и выкупе ГЦБ в виде </w:t>
      </w:r>
      <w:r w:rsidR="00D04099" w:rsidRPr="00EC5A7B">
        <w:rPr>
          <w:rFonts w:asciiTheme="majorHAnsi" w:hAnsiTheme="majorHAnsi" w:cstheme="majorHAnsi"/>
          <w:sz w:val="24"/>
          <w:szCs w:val="24"/>
          <w:lang w:val="ru-MD" w:eastAsia="ru-RU"/>
        </w:rPr>
        <w:t>записи</w:t>
      </w:r>
      <w:r w:rsidRPr="00EC5A7B">
        <w:rPr>
          <w:rFonts w:asciiTheme="majorHAnsi" w:hAnsiTheme="majorHAnsi" w:cstheme="majorHAnsi"/>
          <w:sz w:val="24"/>
          <w:szCs w:val="24"/>
          <w:lang w:val="ru-MD" w:eastAsia="ru-RU"/>
        </w:rPr>
        <w:t xml:space="preserve"> на счет</w:t>
      </w:r>
      <w:r w:rsidR="00D04099" w:rsidRPr="00EC5A7B">
        <w:rPr>
          <w:rFonts w:asciiTheme="majorHAnsi" w:hAnsiTheme="majorHAnsi" w:cstheme="majorHAnsi"/>
          <w:sz w:val="24"/>
          <w:szCs w:val="24"/>
          <w:lang w:val="ru-MD" w:eastAsia="ru-RU"/>
        </w:rPr>
        <w:t>е</w:t>
      </w:r>
      <w:r w:rsidR="00D04099" w:rsidRPr="00EC5A7B">
        <w:rPr>
          <w:rStyle w:val="FootnoteReference"/>
          <w:rFonts w:asciiTheme="majorHAnsi" w:hAnsiTheme="majorHAnsi" w:cstheme="majorHAnsi"/>
          <w:sz w:val="24"/>
          <w:szCs w:val="24"/>
          <w:lang w:val="ru-MD" w:eastAsia="ru-RU"/>
        </w:rPr>
        <w:footnoteReference w:id="12"/>
      </w:r>
      <w:r w:rsidRPr="00EC5A7B">
        <w:rPr>
          <w:rFonts w:asciiTheme="majorHAnsi" w:hAnsiTheme="majorHAnsi" w:cstheme="majorHAnsi"/>
          <w:sz w:val="24"/>
          <w:szCs w:val="24"/>
          <w:lang w:val="ru-MD" w:eastAsia="ru-RU"/>
        </w:rPr>
        <w:t>, в течение 2019 года был</w:t>
      </w:r>
      <w:r w:rsidR="00D04099"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проведен</w:t>
      </w:r>
      <w:r w:rsidR="00D04099" w:rsidRPr="00EC5A7B">
        <w:rPr>
          <w:rFonts w:asciiTheme="majorHAnsi" w:hAnsiTheme="majorHAnsi" w:cstheme="majorHAnsi"/>
          <w:sz w:val="24"/>
          <w:szCs w:val="24"/>
          <w:lang w:val="ru-MD" w:eastAsia="ru-RU"/>
        </w:rPr>
        <w:t>ы</w:t>
      </w:r>
      <w:r w:rsidRPr="00EC5A7B">
        <w:rPr>
          <w:rFonts w:asciiTheme="majorHAnsi" w:hAnsiTheme="majorHAnsi" w:cstheme="majorHAnsi"/>
          <w:sz w:val="24"/>
          <w:szCs w:val="24"/>
          <w:lang w:val="ru-MD" w:eastAsia="ru-RU"/>
        </w:rPr>
        <w:t xml:space="preserve"> 4 оценки эффективности первичных дилеров. В то же время были организованы и 4 встречи с ними, в ходе которых были сообщены результаты оценок, а также проанализированы перспективы развития рынка ГЦБ</w:t>
      </w:r>
      <w:r w:rsidR="00E95895" w:rsidRPr="00EC5A7B">
        <w:rPr>
          <w:rFonts w:asciiTheme="majorHAnsi" w:hAnsiTheme="majorHAnsi" w:cstheme="majorHAnsi"/>
          <w:sz w:val="24"/>
          <w:szCs w:val="24"/>
          <w:lang w:val="ru-MD" w:eastAsia="ru-RU"/>
        </w:rPr>
        <w:t>.</w:t>
      </w:r>
    </w:p>
    <w:p w14:paraId="51A70A8F" w14:textId="01A0A0C0" w:rsidR="00670C20" w:rsidRPr="00EC5A7B" w:rsidRDefault="00D3532C" w:rsidP="00F60DDB">
      <w:pPr>
        <w:pStyle w:val="NoSpacing"/>
        <w:numPr>
          <w:ilvl w:val="2"/>
          <w:numId w:val="1"/>
        </w:numPr>
        <w:spacing w:after="240"/>
        <w:ind w:left="0" w:firstLine="720"/>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Контрактация</w:t>
      </w:r>
      <w:r w:rsidR="00F60DDB" w:rsidRPr="00EC5A7B">
        <w:rPr>
          <w:rFonts w:asciiTheme="majorHAnsi" w:hAnsiTheme="majorHAnsi" w:cstheme="majorHAnsi"/>
          <w:b/>
          <w:i/>
          <w:sz w:val="24"/>
          <w:szCs w:val="24"/>
          <w:lang w:val="ru-MD" w:eastAsia="ru-RU"/>
        </w:rPr>
        <w:t xml:space="preserve"> внешних государственных займов с учетом соотношения затрат и рисков </w:t>
      </w:r>
    </w:p>
    <w:p w14:paraId="104CE7C5" w14:textId="217DDF71" w:rsidR="005948A5" w:rsidRPr="00EC5A7B" w:rsidRDefault="00F60DDB" w:rsidP="005948A5">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Правильное определение потребностей в кредитах имеет существенное значение для государства. Их оценка на следующий год представляет собой сложный процесс, требующий </w:t>
      </w:r>
      <w:r w:rsidR="00F2412F" w:rsidRPr="00EC5A7B">
        <w:rPr>
          <w:rFonts w:asciiTheme="majorHAnsi" w:hAnsiTheme="majorHAnsi" w:cstheme="majorHAnsi"/>
          <w:sz w:val="24"/>
          <w:szCs w:val="24"/>
          <w:lang w:val="ru-MD" w:eastAsia="ru-RU"/>
        </w:rPr>
        <w:t>глубок</w:t>
      </w:r>
      <w:r w:rsidRPr="00EC5A7B">
        <w:rPr>
          <w:rFonts w:asciiTheme="majorHAnsi" w:hAnsiTheme="majorHAnsi" w:cstheme="majorHAnsi"/>
          <w:sz w:val="24"/>
          <w:szCs w:val="24"/>
          <w:lang w:val="ru-MD" w:eastAsia="ru-RU"/>
        </w:rPr>
        <w:t xml:space="preserve">ого анализа различной информации и координации между различными правительственными учреждениями. На основе правильных оценок можно избежать </w:t>
      </w:r>
      <w:r w:rsidR="00F2412F" w:rsidRPr="00EC5A7B">
        <w:rPr>
          <w:rFonts w:asciiTheme="majorHAnsi" w:hAnsiTheme="majorHAnsi" w:cstheme="majorHAnsi"/>
          <w:sz w:val="24"/>
          <w:szCs w:val="24"/>
          <w:lang w:val="ru-MD" w:eastAsia="ru-RU"/>
        </w:rPr>
        <w:t>контрактацию</w:t>
      </w:r>
      <w:r w:rsidRPr="00EC5A7B">
        <w:rPr>
          <w:rFonts w:asciiTheme="majorHAnsi" w:hAnsiTheme="majorHAnsi" w:cstheme="majorHAnsi"/>
          <w:sz w:val="24"/>
          <w:szCs w:val="24"/>
          <w:lang w:val="ru-MD" w:eastAsia="ru-RU"/>
        </w:rPr>
        <w:t xml:space="preserve"> ненужны</w:t>
      </w:r>
      <w:r w:rsidR="00F2412F" w:rsidRPr="00EC5A7B">
        <w:rPr>
          <w:rFonts w:asciiTheme="majorHAnsi" w:hAnsiTheme="majorHAnsi" w:cstheme="majorHAnsi"/>
          <w:sz w:val="24"/>
          <w:szCs w:val="24"/>
          <w:lang w:val="ru-MD" w:eastAsia="ru-RU"/>
        </w:rPr>
        <w:t>х</w:t>
      </w:r>
      <w:r w:rsidRPr="00EC5A7B">
        <w:rPr>
          <w:rFonts w:asciiTheme="majorHAnsi" w:hAnsiTheme="majorHAnsi" w:cstheme="majorHAnsi"/>
          <w:sz w:val="24"/>
          <w:szCs w:val="24"/>
          <w:lang w:val="ru-MD" w:eastAsia="ru-RU"/>
        </w:rPr>
        <w:t xml:space="preserve"> кредит</w:t>
      </w:r>
      <w:r w:rsidR="00F2412F" w:rsidRPr="00EC5A7B">
        <w:rPr>
          <w:rFonts w:asciiTheme="majorHAnsi" w:hAnsiTheme="majorHAnsi" w:cstheme="majorHAnsi"/>
          <w:sz w:val="24"/>
          <w:szCs w:val="24"/>
          <w:lang w:val="ru-MD" w:eastAsia="ru-RU"/>
        </w:rPr>
        <w:t>ов</w:t>
      </w:r>
      <w:r w:rsidRPr="00EC5A7B">
        <w:rPr>
          <w:rFonts w:asciiTheme="majorHAnsi" w:hAnsiTheme="majorHAnsi" w:cstheme="majorHAnsi"/>
          <w:sz w:val="24"/>
          <w:szCs w:val="24"/>
          <w:lang w:val="ru-MD" w:eastAsia="ru-RU"/>
        </w:rPr>
        <w:t>, которые приведут к дополнительным бюджетным расходам или не</w:t>
      </w:r>
      <w:r w:rsidR="00F2412F" w:rsidRPr="00EC5A7B">
        <w:rPr>
          <w:rFonts w:asciiTheme="majorHAnsi" w:hAnsiTheme="majorHAnsi" w:cstheme="majorHAnsi"/>
          <w:sz w:val="24"/>
          <w:szCs w:val="24"/>
          <w:lang w:val="ru-MD" w:eastAsia="ru-RU"/>
        </w:rPr>
        <w:t>контрактации</w:t>
      </w:r>
      <w:r w:rsidRPr="00EC5A7B">
        <w:rPr>
          <w:rFonts w:asciiTheme="majorHAnsi" w:hAnsiTheme="majorHAnsi" w:cstheme="majorHAnsi"/>
          <w:sz w:val="24"/>
          <w:szCs w:val="24"/>
          <w:lang w:val="ru-MD" w:eastAsia="ru-RU"/>
        </w:rPr>
        <w:t xml:space="preserve"> необходимых </w:t>
      </w:r>
      <w:r w:rsidR="00F2412F" w:rsidRPr="00EC5A7B">
        <w:rPr>
          <w:rFonts w:asciiTheme="majorHAnsi" w:hAnsiTheme="majorHAnsi" w:cstheme="majorHAnsi"/>
          <w:sz w:val="24"/>
          <w:szCs w:val="24"/>
          <w:lang w:val="ru-MD" w:eastAsia="ru-RU"/>
        </w:rPr>
        <w:t>займ</w:t>
      </w:r>
      <w:r w:rsidRPr="00EC5A7B">
        <w:rPr>
          <w:rFonts w:asciiTheme="majorHAnsi" w:hAnsiTheme="majorHAnsi" w:cstheme="majorHAnsi"/>
          <w:sz w:val="24"/>
          <w:szCs w:val="24"/>
          <w:lang w:val="ru-MD" w:eastAsia="ru-RU"/>
        </w:rPr>
        <w:t xml:space="preserve">ов, </w:t>
      </w:r>
      <w:r w:rsidR="00F2412F" w:rsidRPr="00EC5A7B">
        <w:rPr>
          <w:rFonts w:asciiTheme="majorHAnsi" w:hAnsiTheme="majorHAnsi" w:cstheme="majorHAnsi"/>
          <w:sz w:val="24"/>
          <w:szCs w:val="24"/>
          <w:lang w:val="ru-MD" w:eastAsia="ru-RU"/>
        </w:rPr>
        <w:t>что</w:t>
      </w:r>
      <w:r w:rsidRPr="00EC5A7B">
        <w:rPr>
          <w:rFonts w:asciiTheme="majorHAnsi" w:hAnsiTheme="majorHAnsi" w:cstheme="majorHAnsi"/>
          <w:sz w:val="24"/>
          <w:szCs w:val="24"/>
          <w:lang w:val="ru-MD" w:eastAsia="ru-RU"/>
        </w:rPr>
        <w:t xml:space="preserve"> мо</w:t>
      </w:r>
      <w:r w:rsidR="00F2412F" w:rsidRPr="00EC5A7B">
        <w:rPr>
          <w:rFonts w:asciiTheme="majorHAnsi" w:hAnsiTheme="majorHAnsi" w:cstheme="majorHAnsi"/>
          <w:sz w:val="24"/>
          <w:szCs w:val="24"/>
          <w:lang w:val="ru-MD" w:eastAsia="ru-RU"/>
        </w:rPr>
        <w:t>же</w:t>
      </w:r>
      <w:r w:rsidRPr="00EC5A7B">
        <w:rPr>
          <w:rFonts w:asciiTheme="majorHAnsi" w:hAnsiTheme="majorHAnsi" w:cstheme="majorHAnsi"/>
          <w:sz w:val="24"/>
          <w:szCs w:val="24"/>
          <w:lang w:val="ru-MD" w:eastAsia="ru-RU"/>
        </w:rPr>
        <w:t xml:space="preserve">т привести к </w:t>
      </w:r>
      <w:r w:rsidR="00F2412F" w:rsidRPr="00EC5A7B">
        <w:rPr>
          <w:rFonts w:asciiTheme="majorHAnsi" w:hAnsiTheme="majorHAnsi" w:cstheme="majorHAnsi"/>
          <w:sz w:val="24"/>
          <w:szCs w:val="24"/>
          <w:lang w:val="ru-MD" w:eastAsia="ru-RU"/>
        </w:rPr>
        <w:t>нехватке</w:t>
      </w:r>
      <w:r w:rsidRPr="00EC5A7B">
        <w:rPr>
          <w:rFonts w:asciiTheme="majorHAnsi" w:hAnsiTheme="majorHAnsi" w:cstheme="majorHAnsi"/>
          <w:sz w:val="24"/>
          <w:szCs w:val="24"/>
          <w:lang w:val="ru-MD" w:eastAsia="ru-RU"/>
        </w:rPr>
        <w:t xml:space="preserve"> ликвидности.</w:t>
      </w:r>
    </w:p>
    <w:p w14:paraId="71641F8B" w14:textId="286A5FA6" w:rsidR="00430C42" w:rsidRPr="00EC5A7B" w:rsidRDefault="00F60DDB" w:rsidP="00430C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 xml:space="preserve">Как и конкретная цель, установленная </w:t>
      </w:r>
      <w:r w:rsidR="00F2412F"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международные стандарты предусматривают </w:t>
      </w:r>
      <w:r w:rsidR="00F2412F" w:rsidRPr="00EC5A7B">
        <w:rPr>
          <w:rFonts w:asciiTheme="majorHAnsi" w:hAnsiTheme="majorHAnsi" w:cstheme="majorHAnsi"/>
          <w:sz w:val="24"/>
          <w:szCs w:val="24"/>
          <w:lang w:val="ru-MD" w:eastAsia="ru-RU"/>
        </w:rPr>
        <w:t>контрактацию</w:t>
      </w:r>
      <w:r w:rsidRPr="00EC5A7B">
        <w:rPr>
          <w:rFonts w:asciiTheme="majorHAnsi" w:hAnsiTheme="majorHAnsi" w:cstheme="majorHAnsi"/>
          <w:sz w:val="24"/>
          <w:szCs w:val="24"/>
          <w:lang w:val="ru-MD" w:eastAsia="ru-RU"/>
        </w:rPr>
        <w:t xml:space="preserve"> необходимых </w:t>
      </w:r>
      <w:r w:rsidR="00F2412F"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равительству</w:t>
      </w:r>
      <w:r w:rsidR="00F2412F" w:rsidRPr="00EC5A7B">
        <w:rPr>
          <w:rFonts w:asciiTheme="majorHAnsi" w:hAnsiTheme="majorHAnsi" w:cstheme="majorHAnsi"/>
          <w:sz w:val="24"/>
          <w:szCs w:val="24"/>
          <w:lang w:val="ru-MD" w:eastAsia="ru-RU"/>
        </w:rPr>
        <w:t xml:space="preserve"> ресурсов</w:t>
      </w:r>
      <w:r w:rsidRPr="00EC5A7B">
        <w:rPr>
          <w:rFonts w:asciiTheme="majorHAnsi" w:hAnsiTheme="majorHAnsi" w:cstheme="majorHAnsi"/>
          <w:sz w:val="24"/>
          <w:szCs w:val="24"/>
          <w:lang w:val="ru-MD" w:eastAsia="ru-RU"/>
        </w:rPr>
        <w:t xml:space="preserve"> </w:t>
      </w:r>
      <w:r w:rsidR="00F2412F" w:rsidRPr="00EC5A7B">
        <w:rPr>
          <w:rFonts w:asciiTheme="majorHAnsi" w:hAnsiTheme="majorHAnsi" w:cstheme="majorHAnsi"/>
          <w:sz w:val="24"/>
          <w:szCs w:val="24"/>
          <w:lang w:val="ru-MD" w:eastAsia="ru-RU"/>
        </w:rPr>
        <w:t>на</w:t>
      </w:r>
      <w:r w:rsidRPr="00EC5A7B">
        <w:rPr>
          <w:rFonts w:asciiTheme="majorHAnsi" w:hAnsiTheme="majorHAnsi" w:cstheme="majorHAnsi"/>
          <w:sz w:val="24"/>
          <w:szCs w:val="24"/>
          <w:lang w:val="ru-MD" w:eastAsia="ru-RU"/>
        </w:rPr>
        <w:t xml:space="preserve"> самые выгодные сроки и условия</w:t>
      </w:r>
      <w:r w:rsidR="00F2412F" w:rsidRPr="00EC5A7B">
        <w:rPr>
          <w:rFonts w:asciiTheme="majorHAnsi" w:hAnsiTheme="majorHAnsi" w:cstheme="majorHAnsi"/>
          <w:sz w:val="24"/>
          <w:szCs w:val="24"/>
          <w:lang w:val="ru-MD" w:eastAsia="ru-RU"/>
        </w:rPr>
        <w:t>х</w:t>
      </w:r>
      <w:r w:rsidRPr="00EC5A7B">
        <w:rPr>
          <w:rFonts w:asciiTheme="majorHAnsi" w:hAnsiTheme="majorHAnsi" w:cstheme="majorHAnsi"/>
          <w:sz w:val="24"/>
          <w:szCs w:val="24"/>
          <w:lang w:val="ru-MD" w:eastAsia="ru-RU"/>
        </w:rPr>
        <w:t>, чтобы</w:t>
      </w:r>
      <w:r w:rsidR="00F2412F" w:rsidRPr="00EC5A7B">
        <w:rPr>
          <w:rFonts w:asciiTheme="majorHAnsi" w:hAnsiTheme="majorHAnsi" w:cstheme="majorHAnsi"/>
          <w:sz w:val="24"/>
          <w:szCs w:val="24"/>
          <w:lang w:val="ru-MD" w:eastAsia="ru-RU"/>
        </w:rPr>
        <w:t>, таким образом, не оказать отрицательного воздействия</w:t>
      </w:r>
      <w:r w:rsidRPr="00EC5A7B">
        <w:rPr>
          <w:rFonts w:asciiTheme="majorHAnsi" w:hAnsiTheme="majorHAnsi" w:cstheme="majorHAnsi"/>
          <w:sz w:val="24"/>
          <w:szCs w:val="24"/>
          <w:lang w:val="ru-MD" w:eastAsia="ru-RU"/>
        </w:rPr>
        <w:t xml:space="preserve"> на устойчивост</w:t>
      </w:r>
      <w:r w:rsidR="006752A9"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портфеля государственного долга</w:t>
      </w:r>
      <w:r w:rsidR="005E1B37" w:rsidRPr="00EC5A7B">
        <w:rPr>
          <w:rFonts w:asciiTheme="majorHAnsi" w:hAnsiTheme="majorHAnsi" w:cstheme="majorHAnsi"/>
          <w:sz w:val="24"/>
          <w:szCs w:val="24"/>
          <w:lang w:val="ru-MD" w:eastAsia="ru-RU"/>
        </w:rPr>
        <w:t>.</w:t>
      </w:r>
    </w:p>
    <w:p w14:paraId="291B136E" w14:textId="67E14CCD" w:rsidR="00430C42" w:rsidRPr="00EC5A7B" w:rsidRDefault="00F60DDB" w:rsidP="00430C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течение 2019 года </w:t>
      </w:r>
      <w:r w:rsidR="006752A9"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равительство РМ </w:t>
      </w:r>
      <w:r w:rsidR="006752A9" w:rsidRPr="00EC5A7B">
        <w:rPr>
          <w:rFonts w:asciiTheme="majorHAnsi" w:hAnsiTheme="majorHAnsi" w:cstheme="majorHAnsi"/>
          <w:sz w:val="24"/>
          <w:szCs w:val="24"/>
          <w:lang w:val="ru-MD" w:eastAsia="ru-RU"/>
        </w:rPr>
        <w:t>законтрактова</w:t>
      </w:r>
      <w:r w:rsidRPr="00EC5A7B">
        <w:rPr>
          <w:rFonts w:asciiTheme="majorHAnsi" w:hAnsiTheme="majorHAnsi" w:cstheme="majorHAnsi"/>
          <w:sz w:val="24"/>
          <w:szCs w:val="24"/>
          <w:lang w:val="ru-MD" w:eastAsia="ru-RU"/>
        </w:rPr>
        <w:t xml:space="preserve">ло 4 новых кредита на общую сумму 231,2 млн. дол. США (2 </w:t>
      </w:r>
      <w:r w:rsidR="006752A9" w:rsidRPr="00EC5A7B">
        <w:rPr>
          <w:rFonts w:asciiTheme="majorHAnsi" w:hAnsiTheme="majorHAnsi" w:cstheme="majorHAnsi"/>
          <w:sz w:val="24"/>
          <w:szCs w:val="24"/>
          <w:lang w:val="ru-MD" w:eastAsia="ru-RU"/>
        </w:rPr>
        <w:t xml:space="preserve">Финансовых </w:t>
      </w:r>
      <w:r w:rsidRPr="00EC5A7B">
        <w:rPr>
          <w:rFonts w:asciiTheme="majorHAnsi" w:hAnsiTheme="majorHAnsi" w:cstheme="majorHAnsi"/>
          <w:sz w:val="24"/>
          <w:szCs w:val="24"/>
          <w:lang w:val="ru-MD" w:eastAsia="ru-RU"/>
        </w:rPr>
        <w:t xml:space="preserve">соглашения, подписанные с </w:t>
      </w:r>
      <w:r w:rsidR="006752A9" w:rsidRPr="00EC5A7B">
        <w:rPr>
          <w:rFonts w:asciiTheme="majorHAnsi" w:hAnsiTheme="majorHAnsi" w:cstheme="majorHAnsi"/>
          <w:sz w:val="24"/>
          <w:szCs w:val="24"/>
          <w:lang w:val="ru-MD" w:eastAsia="ru-RU"/>
        </w:rPr>
        <w:t>МАР</w:t>
      </w:r>
      <w:r w:rsidRPr="00EC5A7B">
        <w:rPr>
          <w:rFonts w:asciiTheme="majorHAnsi" w:hAnsiTheme="majorHAnsi" w:cstheme="majorHAnsi"/>
          <w:sz w:val="24"/>
          <w:szCs w:val="24"/>
          <w:lang w:val="ru-MD" w:eastAsia="ru-RU"/>
        </w:rPr>
        <w:t xml:space="preserve"> для финансирования </w:t>
      </w:r>
      <w:r w:rsidR="006752A9"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роекта по развитию электроэнергетической системы, </w:t>
      </w:r>
      <w:r w:rsidR="006752A9" w:rsidRPr="00EC5A7B">
        <w:rPr>
          <w:rFonts w:asciiTheme="majorHAnsi" w:hAnsiTheme="majorHAnsi" w:cstheme="majorHAnsi"/>
          <w:sz w:val="24"/>
          <w:szCs w:val="24"/>
          <w:lang w:val="ru-MD" w:eastAsia="ru-RU"/>
        </w:rPr>
        <w:t>одно Финансовое соглашение</w:t>
      </w:r>
      <w:r w:rsidRPr="00EC5A7B">
        <w:rPr>
          <w:rFonts w:asciiTheme="majorHAnsi" w:hAnsiTheme="majorHAnsi" w:cstheme="majorHAnsi"/>
          <w:sz w:val="24"/>
          <w:szCs w:val="24"/>
          <w:lang w:val="ru-MD" w:eastAsia="ru-RU"/>
        </w:rPr>
        <w:t xml:space="preserve"> между РМ и ЕИБ для финансирования проекта </w:t>
      </w:r>
      <w:r w:rsidR="006752A9"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Твердые отходы в Республике Молдова</w:t>
      </w:r>
      <w:r w:rsidR="006752A9"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и </w:t>
      </w:r>
      <w:r w:rsidR="006752A9" w:rsidRPr="00EC5A7B">
        <w:rPr>
          <w:rFonts w:asciiTheme="majorHAnsi" w:hAnsiTheme="majorHAnsi" w:cstheme="majorHAnsi"/>
          <w:sz w:val="24"/>
          <w:szCs w:val="24"/>
          <w:lang w:val="ru-MD" w:eastAsia="ru-RU"/>
        </w:rPr>
        <w:t xml:space="preserve">одно </w:t>
      </w:r>
      <w:r w:rsidRPr="00EC5A7B">
        <w:rPr>
          <w:rFonts w:asciiTheme="majorHAnsi" w:hAnsiTheme="majorHAnsi" w:cstheme="majorHAnsi"/>
          <w:sz w:val="24"/>
          <w:szCs w:val="24"/>
          <w:lang w:val="ru-MD" w:eastAsia="ru-RU"/>
        </w:rPr>
        <w:t xml:space="preserve">соглашение о поддержке проекта и возмещении </w:t>
      </w:r>
      <w:r w:rsidR="006752A9"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нструмент закупки газа в чрезвычайной ситуации</w:t>
      </w:r>
      <w:r w:rsidR="006752A9" w:rsidRPr="00EC5A7B">
        <w:rPr>
          <w:rFonts w:asciiTheme="majorHAnsi" w:hAnsiTheme="majorHAnsi" w:cstheme="majorHAnsi"/>
          <w:sz w:val="24"/>
          <w:szCs w:val="24"/>
          <w:lang w:val="ru-MD" w:eastAsia="ru-RU"/>
        </w:rPr>
        <w:t>” между РМ и ЕБРР)</w:t>
      </w:r>
      <w:r w:rsidR="00430C42" w:rsidRPr="00EC5A7B">
        <w:rPr>
          <w:rFonts w:asciiTheme="majorHAnsi" w:hAnsiTheme="majorHAnsi" w:cstheme="majorHAnsi"/>
          <w:sz w:val="24"/>
          <w:szCs w:val="24"/>
          <w:lang w:val="ru-MD" w:eastAsia="ru-RU"/>
        </w:rPr>
        <w:t xml:space="preserve">. </w:t>
      </w:r>
    </w:p>
    <w:p w14:paraId="0EC52739" w14:textId="4D5F59E5" w:rsidR="001D76FD" w:rsidRPr="00EC5A7B" w:rsidRDefault="003E62D0" w:rsidP="00430C42">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А</w:t>
      </w:r>
      <w:r w:rsidR="00F60DDB" w:rsidRPr="00EC5A7B">
        <w:rPr>
          <w:rFonts w:asciiTheme="majorHAnsi" w:hAnsiTheme="majorHAnsi" w:cstheme="majorHAnsi"/>
          <w:sz w:val="24"/>
          <w:szCs w:val="24"/>
          <w:lang w:val="ru-MD" w:eastAsia="ru-RU"/>
        </w:rPr>
        <w:t>удит</w:t>
      </w:r>
      <w:r w:rsidRPr="00EC5A7B">
        <w:rPr>
          <w:rFonts w:asciiTheme="majorHAnsi" w:hAnsiTheme="majorHAnsi" w:cstheme="majorHAnsi"/>
          <w:sz w:val="24"/>
          <w:szCs w:val="24"/>
          <w:lang w:val="ru-MD" w:eastAsia="ru-RU"/>
        </w:rPr>
        <w:t>орские проверки установ</w:t>
      </w:r>
      <w:r w:rsidR="00F60DDB" w:rsidRPr="00EC5A7B">
        <w:rPr>
          <w:rFonts w:asciiTheme="majorHAnsi" w:hAnsiTheme="majorHAnsi" w:cstheme="majorHAnsi"/>
          <w:sz w:val="24"/>
          <w:szCs w:val="24"/>
          <w:lang w:val="ru-MD" w:eastAsia="ru-RU"/>
        </w:rPr>
        <w:t xml:space="preserve">или, что для всех </w:t>
      </w:r>
      <w:r w:rsidR="006F4967" w:rsidRPr="00EC5A7B">
        <w:rPr>
          <w:rFonts w:asciiTheme="majorHAnsi" w:hAnsiTheme="majorHAnsi" w:cstheme="majorHAnsi"/>
          <w:sz w:val="24"/>
          <w:szCs w:val="24"/>
          <w:lang w:val="ru-MD" w:eastAsia="ru-RU"/>
        </w:rPr>
        <w:t>за</w:t>
      </w:r>
      <w:r w:rsidR="00F60DDB" w:rsidRPr="00EC5A7B">
        <w:rPr>
          <w:rFonts w:asciiTheme="majorHAnsi" w:hAnsiTheme="majorHAnsi" w:cstheme="majorHAnsi"/>
          <w:sz w:val="24"/>
          <w:szCs w:val="24"/>
          <w:lang w:val="ru-MD" w:eastAsia="ru-RU"/>
        </w:rPr>
        <w:t>контракт</w:t>
      </w:r>
      <w:r w:rsidRPr="00EC5A7B">
        <w:rPr>
          <w:rFonts w:asciiTheme="majorHAnsi" w:hAnsiTheme="majorHAnsi" w:cstheme="majorHAnsi"/>
          <w:sz w:val="24"/>
          <w:szCs w:val="24"/>
          <w:lang w:val="ru-MD" w:eastAsia="ru-RU"/>
        </w:rPr>
        <w:t>ован</w:t>
      </w:r>
      <w:r w:rsidR="00F60DDB" w:rsidRPr="00EC5A7B">
        <w:rPr>
          <w:rFonts w:asciiTheme="majorHAnsi" w:hAnsiTheme="majorHAnsi" w:cstheme="majorHAnsi"/>
          <w:sz w:val="24"/>
          <w:szCs w:val="24"/>
          <w:lang w:val="ru-MD" w:eastAsia="ru-RU"/>
        </w:rPr>
        <w:t>ных кредитов сформулирован</w:t>
      </w:r>
      <w:r w:rsidRPr="00EC5A7B">
        <w:rPr>
          <w:rFonts w:asciiTheme="majorHAnsi" w:hAnsiTheme="majorHAnsi" w:cstheme="majorHAnsi"/>
          <w:sz w:val="24"/>
          <w:szCs w:val="24"/>
          <w:lang w:val="ru-MD" w:eastAsia="ru-RU"/>
        </w:rPr>
        <w:t>о</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обоснование</w:t>
      </w:r>
      <w:r w:rsidR="00F60DDB" w:rsidRPr="00EC5A7B">
        <w:rPr>
          <w:rFonts w:asciiTheme="majorHAnsi" w:hAnsiTheme="majorHAnsi" w:cstheme="majorHAnsi"/>
          <w:sz w:val="24"/>
          <w:szCs w:val="24"/>
          <w:lang w:val="ru-MD" w:eastAsia="ru-RU"/>
        </w:rPr>
        <w:t xml:space="preserve"> необходимости </w:t>
      </w:r>
      <w:r w:rsidRPr="00EC5A7B">
        <w:rPr>
          <w:rFonts w:asciiTheme="majorHAnsi" w:hAnsiTheme="majorHAnsi" w:cstheme="majorHAnsi"/>
          <w:sz w:val="24"/>
          <w:szCs w:val="24"/>
          <w:lang w:val="ru-MD" w:eastAsia="ru-RU"/>
        </w:rPr>
        <w:t>инициирования</w:t>
      </w:r>
      <w:r w:rsidR="00F60DDB" w:rsidRPr="00EC5A7B">
        <w:rPr>
          <w:rFonts w:asciiTheme="majorHAnsi" w:hAnsiTheme="majorHAnsi" w:cstheme="majorHAnsi"/>
          <w:sz w:val="24"/>
          <w:szCs w:val="24"/>
          <w:lang w:val="ru-MD" w:eastAsia="ru-RU"/>
        </w:rPr>
        <w:t xml:space="preserve"> переговоров, с описанием проекта и анализом его в</w:t>
      </w:r>
      <w:r w:rsidRPr="00EC5A7B">
        <w:rPr>
          <w:rFonts w:asciiTheme="majorHAnsi" w:hAnsiTheme="majorHAnsi" w:cstheme="majorHAnsi"/>
          <w:sz w:val="24"/>
          <w:szCs w:val="24"/>
          <w:lang w:val="ru-MD" w:eastAsia="ru-RU"/>
        </w:rPr>
        <w:t>оздейств</w:t>
      </w:r>
      <w:r w:rsidR="00F60DDB" w:rsidRPr="00EC5A7B">
        <w:rPr>
          <w:rFonts w:asciiTheme="majorHAnsi" w:hAnsiTheme="majorHAnsi" w:cstheme="majorHAnsi"/>
          <w:sz w:val="24"/>
          <w:szCs w:val="24"/>
          <w:lang w:val="ru-MD" w:eastAsia="ru-RU"/>
        </w:rPr>
        <w:t xml:space="preserve">ия, политических, культурных, социальных, финансовых, экономических, экологических аспектов </w:t>
      </w:r>
      <w:r w:rsidRPr="00EC5A7B">
        <w:rPr>
          <w:rFonts w:asciiTheme="majorHAnsi" w:hAnsiTheme="majorHAnsi" w:cstheme="majorHAnsi"/>
          <w:sz w:val="24"/>
          <w:szCs w:val="24"/>
          <w:lang w:val="ru-MD" w:eastAsia="ru-RU"/>
        </w:rPr>
        <w:t>и т.д.</w:t>
      </w:r>
    </w:p>
    <w:p w14:paraId="3C7E7B64" w14:textId="40272F0D" w:rsidR="009532A7" w:rsidRPr="00EC5A7B" w:rsidRDefault="006F4967" w:rsidP="009532A7">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Кроме того,</w:t>
      </w:r>
      <w:r w:rsidR="00F60DDB" w:rsidRPr="00EC5A7B">
        <w:rPr>
          <w:rFonts w:asciiTheme="majorHAnsi" w:hAnsiTheme="majorHAnsi" w:cstheme="majorHAnsi"/>
          <w:sz w:val="24"/>
          <w:szCs w:val="24"/>
          <w:lang w:val="ru-MD" w:eastAsia="ru-RU"/>
        </w:rPr>
        <w:t xml:space="preserve"> аудит </w:t>
      </w:r>
      <w:r w:rsidRPr="00EC5A7B">
        <w:rPr>
          <w:rFonts w:asciiTheme="majorHAnsi" w:hAnsiTheme="majorHAnsi" w:cstheme="majorHAnsi"/>
          <w:sz w:val="24"/>
          <w:szCs w:val="24"/>
          <w:lang w:val="ru-MD" w:eastAsia="ru-RU"/>
        </w:rPr>
        <w:t>отмеч</w:t>
      </w:r>
      <w:r w:rsidR="00F60DDB" w:rsidRPr="00EC5A7B">
        <w:rPr>
          <w:rFonts w:asciiTheme="majorHAnsi" w:hAnsiTheme="majorHAnsi" w:cstheme="majorHAnsi"/>
          <w:sz w:val="24"/>
          <w:szCs w:val="24"/>
          <w:lang w:val="ru-MD" w:eastAsia="ru-RU"/>
        </w:rPr>
        <w:t xml:space="preserve">ает, что для </w:t>
      </w:r>
      <w:r w:rsidRPr="00EC5A7B">
        <w:rPr>
          <w:rFonts w:asciiTheme="majorHAnsi" w:hAnsiTheme="majorHAnsi" w:cstheme="majorHAnsi"/>
          <w:sz w:val="24"/>
          <w:szCs w:val="24"/>
          <w:lang w:val="ru-MD" w:eastAsia="ru-RU"/>
        </w:rPr>
        <w:t xml:space="preserve">законтрактованных </w:t>
      </w:r>
      <w:r w:rsidR="00F60DDB" w:rsidRPr="00EC5A7B">
        <w:rPr>
          <w:rFonts w:asciiTheme="majorHAnsi" w:hAnsiTheme="majorHAnsi" w:cstheme="majorHAnsi"/>
          <w:sz w:val="24"/>
          <w:szCs w:val="24"/>
          <w:lang w:val="ru-MD" w:eastAsia="ru-RU"/>
        </w:rPr>
        <w:t xml:space="preserve">новых кредитов, в зависимости от специфики внешнего кредитора, либо проводится анализ финансовых условий, связанных с новыми кредитными соглашениями, либо анализируются предложения по выплате с несколькими вариантами финансовых условий за счет </w:t>
      </w:r>
      <w:r w:rsidRPr="00EC5A7B">
        <w:rPr>
          <w:rFonts w:asciiTheme="majorHAnsi" w:hAnsiTheme="majorHAnsi" w:cstheme="majorHAnsi"/>
          <w:sz w:val="24"/>
          <w:szCs w:val="24"/>
          <w:lang w:val="ru-MD" w:eastAsia="ru-RU"/>
        </w:rPr>
        <w:t xml:space="preserve">заключенных </w:t>
      </w:r>
      <w:r w:rsidR="00F60DDB" w:rsidRPr="00EC5A7B">
        <w:rPr>
          <w:rFonts w:asciiTheme="majorHAnsi" w:hAnsiTheme="majorHAnsi" w:cstheme="majorHAnsi"/>
          <w:sz w:val="24"/>
          <w:szCs w:val="24"/>
          <w:lang w:val="ru-MD" w:eastAsia="ru-RU"/>
        </w:rPr>
        <w:t>новых кредитов</w:t>
      </w:r>
      <w:r w:rsidR="00CB1CBD" w:rsidRPr="00EC5A7B">
        <w:rPr>
          <w:rFonts w:asciiTheme="majorHAnsi" w:hAnsiTheme="majorHAnsi" w:cstheme="majorHAnsi"/>
          <w:sz w:val="24"/>
          <w:szCs w:val="24"/>
          <w:lang w:val="ru-MD" w:eastAsia="ru-RU"/>
        </w:rPr>
        <w:t xml:space="preserve">. </w:t>
      </w:r>
    </w:p>
    <w:p w14:paraId="5B508252" w14:textId="78036714" w:rsidR="00CB1CBD" w:rsidRPr="00EC5A7B" w:rsidRDefault="00F60DDB" w:rsidP="0088675D">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Так, что касается анализа финансовых условий, связанных с новыми соглашениями, это осуществляется Управлением публич</w:t>
      </w:r>
      <w:r w:rsidRPr="00EC5A7B">
        <w:rPr>
          <w:rFonts w:asciiTheme="majorHAnsi" w:hAnsiTheme="majorHAnsi" w:cstheme="majorHAnsi"/>
          <w:sz w:val="24"/>
          <w:szCs w:val="24"/>
          <w:lang w:val="ru-MD" w:eastAsia="ru-RU"/>
        </w:rPr>
        <w:lastRenderedPageBreak/>
        <w:t xml:space="preserve">ного долга МФ, с </w:t>
      </w:r>
      <w:r w:rsidR="00873395" w:rsidRPr="00EC5A7B">
        <w:rPr>
          <w:rFonts w:asciiTheme="majorHAnsi" w:hAnsiTheme="majorHAnsi" w:cstheme="majorHAnsi"/>
          <w:sz w:val="24"/>
          <w:szCs w:val="24"/>
          <w:lang w:val="ru-MD" w:eastAsia="ru-RU"/>
        </w:rPr>
        <w:t xml:space="preserve">выдвижением </w:t>
      </w:r>
      <w:r w:rsidRPr="00EC5A7B">
        <w:rPr>
          <w:rFonts w:asciiTheme="majorHAnsi" w:hAnsiTheme="majorHAnsi" w:cstheme="majorHAnsi"/>
          <w:sz w:val="24"/>
          <w:szCs w:val="24"/>
          <w:lang w:val="ru-MD" w:eastAsia="ru-RU"/>
        </w:rPr>
        <w:t>предложени</w:t>
      </w:r>
      <w:r w:rsidR="00873395" w:rsidRPr="00EC5A7B">
        <w:rPr>
          <w:rFonts w:asciiTheme="majorHAnsi" w:hAnsiTheme="majorHAnsi" w:cstheme="majorHAnsi"/>
          <w:sz w:val="24"/>
          <w:szCs w:val="24"/>
          <w:lang w:val="ru-MD" w:eastAsia="ru-RU"/>
        </w:rPr>
        <w:t>й</w:t>
      </w:r>
      <w:r w:rsidRPr="00EC5A7B">
        <w:rPr>
          <w:rFonts w:asciiTheme="majorHAnsi" w:hAnsiTheme="majorHAnsi" w:cstheme="majorHAnsi"/>
          <w:sz w:val="24"/>
          <w:szCs w:val="24"/>
          <w:lang w:val="ru-MD" w:eastAsia="ru-RU"/>
        </w:rPr>
        <w:t xml:space="preserve"> по отбору наиболее </w:t>
      </w:r>
      <w:r w:rsidR="00873395" w:rsidRPr="00EC5A7B">
        <w:rPr>
          <w:rFonts w:asciiTheme="majorHAnsi" w:hAnsiTheme="majorHAnsi" w:cstheme="majorHAnsi"/>
          <w:sz w:val="24"/>
          <w:szCs w:val="24"/>
          <w:lang w:val="ru-MD" w:eastAsia="ru-RU"/>
        </w:rPr>
        <w:t>выгод</w:t>
      </w:r>
      <w:r w:rsidRPr="00EC5A7B">
        <w:rPr>
          <w:rFonts w:asciiTheme="majorHAnsi" w:hAnsiTheme="majorHAnsi" w:cstheme="majorHAnsi"/>
          <w:sz w:val="24"/>
          <w:szCs w:val="24"/>
          <w:lang w:val="ru-MD" w:eastAsia="ru-RU"/>
        </w:rPr>
        <w:t xml:space="preserve">ных </w:t>
      </w:r>
      <w:r w:rsidR="00873395" w:rsidRPr="00EC5A7B">
        <w:rPr>
          <w:rFonts w:asciiTheme="majorHAnsi" w:hAnsiTheme="majorHAnsi" w:cstheme="majorHAnsi"/>
          <w:sz w:val="24"/>
          <w:szCs w:val="24"/>
          <w:lang w:val="ru-MD" w:eastAsia="ru-RU"/>
        </w:rPr>
        <w:t>аспект</w:t>
      </w:r>
      <w:r w:rsidRPr="00EC5A7B">
        <w:rPr>
          <w:rFonts w:asciiTheme="majorHAnsi" w:hAnsiTheme="majorHAnsi" w:cstheme="majorHAnsi"/>
          <w:sz w:val="24"/>
          <w:szCs w:val="24"/>
          <w:lang w:val="ru-MD" w:eastAsia="ru-RU"/>
        </w:rPr>
        <w:t>ов</w:t>
      </w:r>
      <w:r w:rsidR="00873395"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с учетом соотношения стоимость-риск. </w:t>
      </w:r>
      <w:r w:rsidRPr="00EC5A7B">
        <w:rPr>
          <w:rFonts w:asciiTheme="majorHAnsi" w:hAnsiTheme="majorHAnsi" w:cstheme="majorHAnsi"/>
          <w:i/>
          <w:sz w:val="24"/>
          <w:szCs w:val="24"/>
          <w:lang w:val="ru-MD" w:eastAsia="ru-RU"/>
        </w:rPr>
        <w:t xml:space="preserve">В качестве примера в </w:t>
      </w:r>
      <w:r w:rsidR="00873395" w:rsidRPr="00EC5A7B">
        <w:rPr>
          <w:rFonts w:asciiTheme="majorHAnsi" w:hAnsiTheme="majorHAnsi" w:cstheme="majorHAnsi"/>
          <w:i/>
          <w:sz w:val="24"/>
          <w:szCs w:val="24"/>
          <w:lang w:val="ru-MD" w:eastAsia="ru-RU"/>
        </w:rPr>
        <w:t>П</w:t>
      </w:r>
      <w:r w:rsidRPr="00EC5A7B">
        <w:rPr>
          <w:rFonts w:asciiTheme="majorHAnsi" w:hAnsiTheme="majorHAnsi" w:cstheme="majorHAnsi"/>
          <w:i/>
          <w:sz w:val="24"/>
          <w:szCs w:val="24"/>
          <w:lang w:val="ru-MD" w:eastAsia="ru-RU"/>
        </w:rPr>
        <w:t xml:space="preserve">риложении №12 к настоящему </w:t>
      </w:r>
      <w:r w:rsidR="00873395" w:rsidRPr="00EC5A7B">
        <w:rPr>
          <w:rFonts w:asciiTheme="majorHAnsi" w:hAnsiTheme="majorHAnsi" w:cstheme="majorHAnsi"/>
          <w:i/>
          <w:sz w:val="24"/>
          <w:szCs w:val="24"/>
          <w:lang w:val="ru-MD" w:eastAsia="ru-RU"/>
        </w:rPr>
        <w:t>О</w:t>
      </w:r>
      <w:r w:rsidRPr="00EC5A7B">
        <w:rPr>
          <w:rFonts w:asciiTheme="majorHAnsi" w:hAnsiTheme="majorHAnsi" w:cstheme="majorHAnsi"/>
          <w:i/>
          <w:sz w:val="24"/>
          <w:szCs w:val="24"/>
          <w:lang w:val="ru-MD" w:eastAsia="ru-RU"/>
        </w:rPr>
        <w:t xml:space="preserve">тчету аудита приводится анализ финансовых условий, </w:t>
      </w:r>
      <w:r w:rsidR="00873395" w:rsidRPr="00EC5A7B">
        <w:rPr>
          <w:rFonts w:asciiTheme="majorHAnsi" w:hAnsiTheme="majorHAnsi" w:cstheme="majorHAnsi"/>
          <w:i/>
          <w:sz w:val="24"/>
          <w:szCs w:val="24"/>
          <w:lang w:val="ru-MD" w:eastAsia="ru-RU"/>
        </w:rPr>
        <w:t>проведенный</w:t>
      </w:r>
      <w:r w:rsidRPr="00EC5A7B">
        <w:rPr>
          <w:rFonts w:asciiTheme="majorHAnsi" w:hAnsiTheme="majorHAnsi" w:cstheme="majorHAnsi"/>
          <w:i/>
          <w:sz w:val="24"/>
          <w:szCs w:val="24"/>
          <w:lang w:val="ru-MD" w:eastAsia="ru-RU"/>
        </w:rPr>
        <w:t xml:space="preserve"> МФ по кредиту, зак</w:t>
      </w:r>
      <w:r w:rsidR="00873395" w:rsidRPr="00EC5A7B">
        <w:rPr>
          <w:rFonts w:asciiTheme="majorHAnsi" w:hAnsiTheme="majorHAnsi" w:cstheme="majorHAnsi"/>
          <w:i/>
          <w:sz w:val="24"/>
          <w:szCs w:val="24"/>
          <w:lang w:val="ru-MD" w:eastAsia="ru-RU"/>
        </w:rPr>
        <w:t>онтрактова</w:t>
      </w:r>
      <w:r w:rsidRPr="00EC5A7B">
        <w:rPr>
          <w:rFonts w:asciiTheme="majorHAnsi" w:hAnsiTheme="majorHAnsi" w:cstheme="majorHAnsi"/>
          <w:i/>
          <w:sz w:val="24"/>
          <w:szCs w:val="24"/>
          <w:lang w:val="ru-MD" w:eastAsia="ru-RU"/>
        </w:rPr>
        <w:t xml:space="preserve">нному в </w:t>
      </w:r>
      <w:r w:rsidR="00873395" w:rsidRPr="00EC5A7B">
        <w:rPr>
          <w:rFonts w:asciiTheme="majorHAnsi" w:hAnsiTheme="majorHAnsi" w:cstheme="majorHAnsi"/>
          <w:i/>
          <w:sz w:val="24"/>
          <w:szCs w:val="24"/>
          <w:lang w:val="ru-MD" w:eastAsia="ru-RU"/>
        </w:rPr>
        <w:t>МАР</w:t>
      </w:r>
      <w:r w:rsidRPr="00EC5A7B">
        <w:rPr>
          <w:rFonts w:asciiTheme="majorHAnsi" w:hAnsiTheme="majorHAnsi" w:cstheme="majorHAnsi"/>
          <w:i/>
          <w:sz w:val="24"/>
          <w:szCs w:val="24"/>
          <w:lang w:val="ru-MD" w:eastAsia="ru-RU"/>
        </w:rPr>
        <w:t xml:space="preserve"> для финансирования </w:t>
      </w:r>
      <w:r w:rsidR="00873395" w:rsidRPr="00EC5A7B">
        <w:rPr>
          <w:rFonts w:asciiTheme="majorHAnsi" w:hAnsiTheme="majorHAnsi" w:cstheme="majorHAnsi"/>
          <w:i/>
          <w:sz w:val="24"/>
          <w:szCs w:val="24"/>
          <w:lang w:val="ru-MD" w:eastAsia="ru-RU"/>
        </w:rPr>
        <w:t>П</w:t>
      </w:r>
      <w:r w:rsidRPr="00EC5A7B">
        <w:rPr>
          <w:rFonts w:asciiTheme="majorHAnsi" w:hAnsiTheme="majorHAnsi" w:cstheme="majorHAnsi"/>
          <w:i/>
          <w:sz w:val="24"/>
          <w:szCs w:val="24"/>
          <w:lang w:val="ru-MD" w:eastAsia="ru-RU"/>
        </w:rPr>
        <w:t>роекта развития электроэнергетической системы на сумму 47,9 млн. евро.</w:t>
      </w:r>
    </w:p>
    <w:p w14:paraId="3AA45935" w14:textId="57471F32" w:rsidR="00F90C4B" w:rsidRPr="00EC5A7B" w:rsidRDefault="00F60DDB" w:rsidP="00D7638B">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Согласно расчетам, представленным в </w:t>
      </w:r>
      <w:r w:rsidR="00844FAA"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риложении, наиболее </w:t>
      </w:r>
      <w:r w:rsidR="00844FAA" w:rsidRPr="00EC5A7B">
        <w:rPr>
          <w:rFonts w:asciiTheme="majorHAnsi" w:hAnsiTheme="majorHAnsi" w:cstheme="majorHAnsi"/>
          <w:sz w:val="24"/>
          <w:szCs w:val="24"/>
          <w:lang w:val="ru-MD" w:eastAsia="ru-RU"/>
        </w:rPr>
        <w:t>выгод</w:t>
      </w:r>
      <w:r w:rsidRPr="00EC5A7B">
        <w:rPr>
          <w:rFonts w:asciiTheme="majorHAnsi" w:hAnsiTheme="majorHAnsi" w:cstheme="majorHAnsi"/>
          <w:sz w:val="24"/>
          <w:szCs w:val="24"/>
          <w:lang w:val="ru-MD" w:eastAsia="ru-RU"/>
        </w:rPr>
        <w:t xml:space="preserve">ным вариантом с точки зрения соотношения стоимость-риск, который был предложен МФ при заключении </w:t>
      </w:r>
      <w:r w:rsidR="00844FAA" w:rsidRPr="00EC5A7B">
        <w:rPr>
          <w:rFonts w:asciiTheme="majorHAnsi" w:hAnsiTheme="majorHAnsi" w:cstheme="majorHAnsi"/>
          <w:sz w:val="24"/>
          <w:szCs w:val="24"/>
          <w:lang w:val="ru-MD" w:eastAsia="ru-RU"/>
        </w:rPr>
        <w:t xml:space="preserve">Финансового </w:t>
      </w:r>
      <w:r w:rsidRPr="00EC5A7B">
        <w:rPr>
          <w:rFonts w:asciiTheme="majorHAnsi" w:hAnsiTheme="majorHAnsi" w:cstheme="majorHAnsi"/>
          <w:sz w:val="24"/>
          <w:szCs w:val="24"/>
          <w:lang w:val="ru-MD" w:eastAsia="ru-RU"/>
        </w:rPr>
        <w:t xml:space="preserve">соглашения, был рассмотрен вариант с валютой </w:t>
      </w:r>
      <w:r w:rsidR="00844FAA" w:rsidRPr="00EC5A7B">
        <w:rPr>
          <w:rFonts w:asciiTheme="majorHAnsi" w:hAnsiTheme="majorHAnsi" w:cstheme="majorHAnsi"/>
          <w:sz w:val="24"/>
          <w:szCs w:val="24"/>
          <w:lang w:val="ru-MD" w:eastAsia="ru-RU"/>
        </w:rPr>
        <w:t>С</w:t>
      </w:r>
      <w:r w:rsidRPr="00EC5A7B">
        <w:rPr>
          <w:rFonts w:asciiTheme="majorHAnsi" w:hAnsiTheme="majorHAnsi" w:cstheme="majorHAnsi"/>
          <w:sz w:val="24"/>
          <w:szCs w:val="24"/>
          <w:lang w:val="ru-MD" w:eastAsia="ru-RU"/>
        </w:rPr>
        <w:t xml:space="preserve">оглашения евро, </w:t>
      </w:r>
      <w:r w:rsidR="00844FAA"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фиксированн</w:t>
      </w:r>
      <w:r w:rsidR="00844FAA" w:rsidRPr="00EC5A7B">
        <w:rPr>
          <w:rFonts w:asciiTheme="majorHAnsi" w:hAnsiTheme="majorHAnsi" w:cstheme="majorHAnsi"/>
          <w:sz w:val="24"/>
          <w:szCs w:val="24"/>
          <w:lang w:val="ru-MD" w:eastAsia="ru-RU"/>
        </w:rPr>
        <w:t>ой</w:t>
      </w:r>
      <w:r w:rsidRPr="00EC5A7B">
        <w:rPr>
          <w:rFonts w:asciiTheme="majorHAnsi" w:hAnsiTheme="majorHAnsi" w:cstheme="majorHAnsi"/>
          <w:sz w:val="24"/>
          <w:szCs w:val="24"/>
          <w:lang w:val="ru-MD" w:eastAsia="ru-RU"/>
        </w:rPr>
        <w:t xml:space="preserve"> процентн</w:t>
      </w:r>
      <w:r w:rsidR="00844FAA" w:rsidRPr="00EC5A7B">
        <w:rPr>
          <w:rFonts w:asciiTheme="majorHAnsi" w:hAnsiTheme="majorHAnsi" w:cstheme="majorHAnsi"/>
          <w:sz w:val="24"/>
          <w:szCs w:val="24"/>
          <w:lang w:val="ru-MD" w:eastAsia="ru-RU"/>
        </w:rPr>
        <w:t>ой</w:t>
      </w:r>
      <w:r w:rsidRPr="00EC5A7B">
        <w:rPr>
          <w:rFonts w:asciiTheme="majorHAnsi" w:hAnsiTheme="majorHAnsi" w:cstheme="majorHAnsi"/>
          <w:sz w:val="24"/>
          <w:szCs w:val="24"/>
          <w:lang w:val="ru-MD" w:eastAsia="ru-RU"/>
        </w:rPr>
        <w:t xml:space="preserve"> ставк</w:t>
      </w:r>
      <w:r w:rsidR="00844FAA" w:rsidRPr="00EC5A7B">
        <w:rPr>
          <w:rFonts w:asciiTheme="majorHAnsi" w:hAnsiTheme="majorHAnsi" w:cstheme="majorHAnsi"/>
          <w:sz w:val="24"/>
          <w:szCs w:val="24"/>
          <w:lang w:val="ru-MD" w:eastAsia="ru-RU"/>
        </w:rPr>
        <w:t>ой</w:t>
      </w:r>
      <w:r w:rsidRPr="00EC5A7B">
        <w:rPr>
          <w:rFonts w:asciiTheme="majorHAnsi" w:hAnsiTheme="majorHAnsi" w:cstheme="majorHAnsi"/>
          <w:sz w:val="24"/>
          <w:szCs w:val="24"/>
          <w:lang w:val="ru-MD" w:eastAsia="ru-RU"/>
        </w:rPr>
        <w:t xml:space="preserve"> 1,32% годовых, </w:t>
      </w:r>
      <w:r w:rsidR="00844FAA" w:rsidRPr="00EC5A7B">
        <w:rPr>
          <w:rFonts w:asciiTheme="majorHAnsi" w:hAnsiTheme="majorHAnsi" w:cstheme="majorHAnsi"/>
          <w:sz w:val="24"/>
          <w:szCs w:val="24"/>
          <w:lang w:val="ru-MD" w:eastAsia="ru-RU"/>
        </w:rPr>
        <w:t xml:space="preserve">срок погашения кредита </w:t>
      </w:r>
      <w:r w:rsidRPr="00EC5A7B">
        <w:rPr>
          <w:rFonts w:asciiTheme="majorHAnsi" w:hAnsiTheme="majorHAnsi" w:cstheme="majorHAnsi"/>
          <w:sz w:val="24"/>
          <w:szCs w:val="24"/>
          <w:lang w:val="ru-MD" w:eastAsia="ru-RU"/>
        </w:rPr>
        <w:t xml:space="preserve">30 лет, включая льготный период 5 лет, а грантовый элемент, рассчитанный </w:t>
      </w:r>
      <w:r w:rsidR="00844FAA" w:rsidRPr="00EC5A7B">
        <w:rPr>
          <w:rFonts w:asciiTheme="majorHAnsi" w:hAnsiTheme="majorHAnsi" w:cstheme="majorHAnsi"/>
          <w:sz w:val="24"/>
          <w:szCs w:val="24"/>
          <w:lang w:val="ru-MD" w:eastAsia="ru-RU"/>
        </w:rPr>
        <w:t>для</w:t>
      </w:r>
      <w:r w:rsidRPr="00EC5A7B">
        <w:rPr>
          <w:rFonts w:asciiTheme="majorHAnsi" w:hAnsiTheme="majorHAnsi" w:cstheme="majorHAnsi"/>
          <w:sz w:val="24"/>
          <w:szCs w:val="24"/>
          <w:lang w:val="ru-MD" w:eastAsia="ru-RU"/>
        </w:rPr>
        <w:t xml:space="preserve"> это</w:t>
      </w:r>
      <w:r w:rsidR="00844FAA" w:rsidRPr="00EC5A7B">
        <w:rPr>
          <w:rFonts w:asciiTheme="majorHAnsi" w:hAnsiTheme="majorHAnsi" w:cstheme="majorHAnsi"/>
          <w:sz w:val="24"/>
          <w:szCs w:val="24"/>
          <w:lang w:val="ru-MD" w:eastAsia="ru-RU"/>
        </w:rPr>
        <w:t>го</w:t>
      </w:r>
      <w:r w:rsidRPr="00EC5A7B">
        <w:rPr>
          <w:rFonts w:asciiTheme="majorHAnsi" w:hAnsiTheme="majorHAnsi" w:cstheme="majorHAnsi"/>
          <w:sz w:val="24"/>
          <w:szCs w:val="24"/>
          <w:lang w:val="ru-MD" w:eastAsia="ru-RU"/>
        </w:rPr>
        <w:t xml:space="preserve"> вариант</w:t>
      </w:r>
      <w:r w:rsidR="00844FAA" w:rsidRPr="00EC5A7B">
        <w:rPr>
          <w:rFonts w:asciiTheme="majorHAnsi" w:hAnsiTheme="majorHAnsi" w:cstheme="majorHAnsi"/>
          <w:sz w:val="24"/>
          <w:szCs w:val="24"/>
          <w:lang w:val="ru-MD" w:eastAsia="ru-RU"/>
        </w:rPr>
        <w:t>а</w:t>
      </w:r>
      <w:r w:rsidRPr="00EC5A7B">
        <w:rPr>
          <w:rFonts w:asciiTheme="majorHAnsi" w:hAnsiTheme="majorHAnsi" w:cstheme="majorHAnsi"/>
          <w:sz w:val="24"/>
          <w:szCs w:val="24"/>
          <w:lang w:val="ru-MD" w:eastAsia="ru-RU"/>
        </w:rPr>
        <w:t>, составля</w:t>
      </w:r>
      <w:r w:rsidR="00844FAA" w:rsidRPr="00EC5A7B">
        <w:rPr>
          <w:rFonts w:asciiTheme="majorHAnsi" w:hAnsiTheme="majorHAnsi" w:cstheme="majorHAnsi"/>
          <w:sz w:val="24"/>
          <w:szCs w:val="24"/>
          <w:lang w:val="ru-MD" w:eastAsia="ru-RU"/>
        </w:rPr>
        <w:t>л</w:t>
      </w:r>
      <w:r w:rsidRPr="00EC5A7B">
        <w:rPr>
          <w:rFonts w:asciiTheme="majorHAnsi" w:hAnsiTheme="majorHAnsi" w:cstheme="majorHAnsi"/>
          <w:sz w:val="24"/>
          <w:szCs w:val="24"/>
          <w:lang w:val="ru-MD" w:eastAsia="ru-RU"/>
        </w:rPr>
        <w:t xml:space="preserve"> около 45,9%.</w:t>
      </w:r>
      <w:r w:rsidR="00F90C4B" w:rsidRPr="00EC5A7B">
        <w:rPr>
          <w:rFonts w:asciiTheme="majorHAnsi" w:hAnsiTheme="majorHAnsi" w:cstheme="majorHAnsi"/>
          <w:sz w:val="24"/>
          <w:szCs w:val="24"/>
          <w:lang w:val="ru-MD" w:eastAsia="ru-RU"/>
        </w:rPr>
        <w:t xml:space="preserve"> </w:t>
      </w:r>
    </w:p>
    <w:p w14:paraId="4DFF22CA" w14:textId="187D9532" w:rsidR="00BC3A6A" w:rsidRPr="00EC5A7B" w:rsidRDefault="00026081" w:rsidP="00BC3A6A">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В случае, е</w:t>
      </w:r>
      <w:r w:rsidR="00F60DDB" w:rsidRPr="00EC5A7B">
        <w:rPr>
          <w:rFonts w:asciiTheme="majorHAnsi" w:hAnsiTheme="majorHAnsi" w:cstheme="majorHAnsi"/>
          <w:sz w:val="24"/>
          <w:szCs w:val="24"/>
          <w:lang w:val="ru-MD" w:eastAsia="ru-RU"/>
        </w:rPr>
        <w:t>сли процентная ставка плава</w:t>
      </w:r>
      <w:r w:rsidRPr="00EC5A7B">
        <w:rPr>
          <w:rFonts w:asciiTheme="majorHAnsi" w:hAnsiTheme="majorHAnsi" w:cstheme="majorHAnsi"/>
          <w:sz w:val="24"/>
          <w:szCs w:val="24"/>
          <w:lang w:val="ru-MD" w:eastAsia="ru-RU"/>
        </w:rPr>
        <w:t>ющая</w:t>
      </w:r>
      <w:r w:rsidR="00F60DDB" w:rsidRPr="00EC5A7B">
        <w:rPr>
          <w:rFonts w:asciiTheme="majorHAnsi" w:hAnsiTheme="majorHAnsi" w:cstheme="majorHAnsi"/>
          <w:sz w:val="24"/>
          <w:szCs w:val="24"/>
          <w:lang w:val="ru-MD" w:eastAsia="ru-RU"/>
        </w:rPr>
        <w:t>, анализируется эволюция средних контрольных ставок EURIBOR6M (для евро) и LIBOR6M (</w:t>
      </w:r>
      <w:r w:rsidRPr="00EC5A7B">
        <w:rPr>
          <w:rFonts w:asciiTheme="majorHAnsi" w:hAnsiTheme="majorHAnsi" w:cstheme="majorHAnsi"/>
          <w:sz w:val="24"/>
          <w:szCs w:val="24"/>
          <w:lang w:val="ru-MD" w:eastAsia="ru-RU"/>
        </w:rPr>
        <w:t>для дол</w:t>
      </w:r>
      <w:r w:rsidR="00F60DDB" w:rsidRPr="00EC5A7B">
        <w:rPr>
          <w:rFonts w:asciiTheme="majorHAnsi" w:hAnsiTheme="majorHAnsi" w:cstheme="majorHAnsi"/>
          <w:sz w:val="24"/>
          <w:szCs w:val="24"/>
          <w:lang w:val="ru-MD" w:eastAsia="ru-RU"/>
        </w:rPr>
        <w:t xml:space="preserve">. США) и выбирается </w:t>
      </w:r>
      <w:r w:rsidRPr="00EC5A7B">
        <w:rPr>
          <w:rFonts w:asciiTheme="majorHAnsi" w:hAnsiTheme="majorHAnsi" w:cstheme="majorHAnsi"/>
          <w:sz w:val="24"/>
          <w:szCs w:val="24"/>
          <w:lang w:val="ru-MD" w:eastAsia="ru-RU"/>
        </w:rPr>
        <w:t>наи</w:t>
      </w:r>
      <w:r w:rsidR="00F60DDB" w:rsidRPr="00EC5A7B">
        <w:rPr>
          <w:rFonts w:asciiTheme="majorHAnsi" w:hAnsiTheme="majorHAnsi" w:cstheme="majorHAnsi"/>
          <w:sz w:val="24"/>
          <w:szCs w:val="24"/>
          <w:lang w:val="ru-MD" w:eastAsia="ru-RU"/>
        </w:rPr>
        <w:t>лучший финансовый вариант. Так, в случае кредита, зак</w:t>
      </w:r>
      <w:r w:rsidRPr="00EC5A7B">
        <w:rPr>
          <w:rFonts w:asciiTheme="majorHAnsi" w:hAnsiTheme="majorHAnsi" w:cstheme="majorHAnsi"/>
          <w:sz w:val="24"/>
          <w:szCs w:val="24"/>
          <w:lang w:val="ru-MD" w:eastAsia="ru-RU"/>
        </w:rPr>
        <w:t>онтрактова</w:t>
      </w:r>
      <w:r w:rsidR="00F60DDB" w:rsidRPr="00EC5A7B">
        <w:rPr>
          <w:rFonts w:asciiTheme="majorHAnsi" w:hAnsiTheme="majorHAnsi" w:cstheme="majorHAnsi"/>
          <w:sz w:val="24"/>
          <w:szCs w:val="24"/>
          <w:lang w:val="ru-MD" w:eastAsia="ru-RU"/>
        </w:rPr>
        <w:t xml:space="preserve">нного в </w:t>
      </w:r>
      <w:r w:rsidRPr="00EC5A7B">
        <w:rPr>
          <w:rFonts w:asciiTheme="majorHAnsi" w:hAnsiTheme="majorHAnsi" w:cstheme="majorHAnsi"/>
          <w:sz w:val="24"/>
          <w:szCs w:val="24"/>
          <w:lang w:val="ru-MD" w:eastAsia="ru-RU"/>
        </w:rPr>
        <w:t>МАР</w:t>
      </w:r>
      <w:r w:rsidR="00F60DDB" w:rsidRPr="00EC5A7B">
        <w:rPr>
          <w:rFonts w:asciiTheme="majorHAnsi" w:hAnsiTheme="majorHAnsi" w:cstheme="majorHAnsi"/>
          <w:sz w:val="24"/>
          <w:szCs w:val="24"/>
          <w:lang w:val="ru-MD" w:eastAsia="ru-RU"/>
        </w:rPr>
        <w:t xml:space="preserve"> с целью финансирования „</w:t>
      </w:r>
      <w:r w:rsidRPr="00EC5A7B">
        <w:rPr>
          <w:rFonts w:asciiTheme="majorHAnsi" w:hAnsiTheme="majorHAnsi" w:cstheme="majorHAnsi"/>
          <w:sz w:val="24"/>
          <w:szCs w:val="24"/>
          <w:lang w:val="ru-MD" w:eastAsia="ru-RU"/>
        </w:rPr>
        <w:t>П</w:t>
      </w:r>
      <w:r w:rsidR="00F60DDB" w:rsidRPr="00EC5A7B">
        <w:rPr>
          <w:rFonts w:asciiTheme="majorHAnsi" w:hAnsiTheme="majorHAnsi" w:cstheme="majorHAnsi"/>
          <w:sz w:val="24"/>
          <w:szCs w:val="24"/>
          <w:lang w:val="ru-MD" w:eastAsia="ru-RU"/>
        </w:rPr>
        <w:t xml:space="preserve">роекта развития электроэнергетической системы” на сумму 13,1 млн. евро, аргументация была: </w:t>
      </w:r>
      <w:r w:rsidRPr="00EC5A7B">
        <w:rPr>
          <w:rFonts w:asciiTheme="majorHAnsi" w:hAnsiTheme="majorHAnsi" w:cstheme="majorHAnsi"/>
          <w:sz w:val="24"/>
          <w:szCs w:val="24"/>
          <w:lang w:val="ru-MD" w:eastAsia="ru-RU"/>
        </w:rPr>
        <w:t>„О</w:t>
      </w:r>
      <w:r w:rsidR="00F60DDB" w:rsidRPr="00EC5A7B">
        <w:rPr>
          <w:rFonts w:asciiTheme="majorHAnsi" w:hAnsiTheme="majorHAnsi" w:cstheme="majorHAnsi"/>
          <w:sz w:val="24"/>
          <w:szCs w:val="24"/>
          <w:lang w:val="ru-MD" w:eastAsia="ru-RU"/>
        </w:rPr>
        <w:t xml:space="preserve">тносительно плавающей </w:t>
      </w:r>
      <w:r w:rsidRPr="00EC5A7B">
        <w:rPr>
          <w:rFonts w:asciiTheme="majorHAnsi" w:hAnsiTheme="majorHAnsi" w:cstheme="majorHAnsi"/>
          <w:sz w:val="24"/>
          <w:szCs w:val="24"/>
          <w:lang w:val="ru-MD" w:eastAsia="ru-RU"/>
        </w:rPr>
        <w:t xml:space="preserve">процентной </w:t>
      </w:r>
      <w:r w:rsidR="00F60DDB" w:rsidRPr="00EC5A7B">
        <w:rPr>
          <w:rFonts w:asciiTheme="majorHAnsi" w:hAnsiTheme="majorHAnsi" w:cstheme="majorHAnsi"/>
          <w:sz w:val="24"/>
          <w:szCs w:val="24"/>
          <w:lang w:val="ru-MD" w:eastAsia="ru-RU"/>
        </w:rPr>
        <w:t>ставки отме</w:t>
      </w:r>
      <w:r w:rsidRPr="00EC5A7B">
        <w:rPr>
          <w:rFonts w:asciiTheme="majorHAnsi" w:hAnsiTheme="majorHAnsi" w:cstheme="majorHAnsi"/>
          <w:sz w:val="24"/>
          <w:szCs w:val="24"/>
          <w:lang w:val="ru-MD" w:eastAsia="ru-RU"/>
        </w:rPr>
        <w:t>чается</w:t>
      </w:r>
      <w:r w:rsidR="00F60DDB" w:rsidRPr="00EC5A7B">
        <w:rPr>
          <w:rFonts w:asciiTheme="majorHAnsi" w:hAnsiTheme="majorHAnsi" w:cstheme="majorHAnsi"/>
          <w:sz w:val="24"/>
          <w:szCs w:val="24"/>
          <w:lang w:val="ru-MD" w:eastAsia="ru-RU"/>
        </w:rPr>
        <w:t xml:space="preserve">, что на 1 февраля 2018 года котировка EURIBOR6M составила (– 0,238%). В этом же контексте необходимо отметить, что по сравнению с котировками LIBOR6M, относящимися к валюте доллара США, </w:t>
      </w:r>
      <w:r w:rsidRPr="00EC5A7B">
        <w:rPr>
          <w:rFonts w:asciiTheme="majorHAnsi" w:hAnsiTheme="majorHAnsi" w:cstheme="majorHAnsi"/>
          <w:sz w:val="24"/>
          <w:szCs w:val="24"/>
          <w:lang w:val="ru-MD" w:eastAsia="ru-RU"/>
        </w:rPr>
        <w:t>эволюция</w:t>
      </w:r>
      <w:r w:rsidR="00F60DDB" w:rsidRPr="00EC5A7B">
        <w:rPr>
          <w:rFonts w:asciiTheme="majorHAnsi" w:hAnsiTheme="majorHAnsi" w:cstheme="majorHAnsi"/>
          <w:sz w:val="24"/>
          <w:szCs w:val="24"/>
          <w:lang w:val="ru-MD" w:eastAsia="ru-RU"/>
        </w:rPr>
        <w:t xml:space="preserve"> исторических котировок EURIBOR6M в период 2015-2018 годов </w:t>
      </w:r>
      <w:r w:rsidR="00A029D6" w:rsidRPr="00EC5A7B">
        <w:rPr>
          <w:rFonts w:asciiTheme="majorHAnsi" w:hAnsiTheme="majorHAnsi" w:cstheme="majorHAnsi"/>
          <w:sz w:val="24"/>
          <w:szCs w:val="24"/>
          <w:lang w:val="ru-MD" w:eastAsia="ru-RU"/>
        </w:rPr>
        <w:t>наметила</w:t>
      </w:r>
      <w:r w:rsidR="00F60DDB" w:rsidRPr="00EC5A7B">
        <w:rPr>
          <w:rFonts w:asciiTheme="majorHAnsi" w:hAnsiTheme="majorHAnsi" w:cstheme="majorHAnsi"/>
          <w:sz w:val="24"/>
          <w:szCs w:val="24"/>
          <w:lang w:val="ru-MD" w:eastAsia="ru-RU"/>
        </w:rPr>
        <w:t xml:space="preserve"> нисходящ</w:t>
      </w:r>
      <w:r w:rsidR="00A029D6" w:rsidRPr="00EC5A7B">
        <w:rPr>
          <w:rFonts w:asciiTheme="majorHAnsi" w:hAnsiTheme="majorHAnsi" w:cstheme="majorHAnsi"/>
          <w:sz w:val="24"/>
          <w:szCs w:val="24"/>
          <w:lang w:val="ru-MD" w:eastAsia="ru-RU"/>
        </w:rPr>
        <w:t>ую</w:t>
      </w:r>
      <w:r w:rsidR="00F60DDB" w:rsidRPr="00EC5A7B">
        <w:rPr>
          <w:rFonts w:asciiTheme="majorHAnsi" w:hAnsiTheme="majorHAnsi" w:cstheme="majorHAnsi"/>
          <w:sz w:val="24"/>
          <w:szCs w:val="24"/>
          <w:lang w:val="ru-MD" w:eastAsia="ru-RU"/>
        </w:rPr>
        <w:t xml:space="preserve"> т</w:t>
      </w:r>
      <w:r w:rsidR="00A029D6" w:rsidRPr="00EC5A7B">
        <w:rPr>
          <w:rFonts w:asciiTheme="majorHAnsi" w:hAnsiTheme="majorHAnsi" w:cstheme="majorHAnsi"/>
          <w:sz w:val="24"/>
          <w:szCs w:val="24"/>
          <w:lang w:val="ru-MD" w:eastAsia="ru-RU"/>
        </w:rPr>
        <w:t>енденцию”</w:t>
      </w:r>
      <w:r w:rsidR="00F60DDB" w:rsidRPr="00EC5A7B">
        <w:rPr>
          <w:rFonts w:asciiTheme="majorHAnsi" w:hAnsiTheme="majorHAnsi" w:cstheme="majorHAnsi"/>
          <w:sz w:val="24"/>
          <w:szCs w:val="24"/>
          <w:lang w:val="ru-MD" w:eastAsia="ru-RU"/>
        </w:rPr>
        <w:t xml:space="preserve">. </w:t>
      </w:r>
      <w:r w:rsidR="00F60DDB" w:rsidRPr="00EC5A7B">
        <w:rPr>
          <w:rFonts w:asciiTheme="majorHAnsi" w:hAnsiTheme="majorHAnsi" w:cstheme="majorHAnsi"/>
          <w:sz w:val="24"/>
          <w:szCs w:val="24"/>
          <w:lang w:val="ru-MD" w:eastAsia="ru-RU"/>
        </w:rPr>
        <w:lastRenderedPageBreak/>
        <w:t xml:space="preserve">Таким образом, была выбрана валюта кредита в евро, как самая </w:t>
      </w:r>
      <w:r w:rsidR="00A029D6" w:rsidRPr="00EC5A7B">
        <w:rPr>
          <w:rFonts w:asciiTheme="majorHAnsi" w:hAnsiTheme="majorHAnsi" w:cstheme="majorHAnsi"/>
          <w:sz w:val="24"/>
          <w:szCs w:val="24"/>
          <w:lang w:val="ru-MD" w:eastAsia="ru-RU"/>
        </w:rPr>
        <w:t>выгодн</w:t>
      </w:r>
      <w:r w:rsidR="00F60DDB" w:rsidRPr="00EC5A7B">
        <w:rPr>
          <w:rFonts w:asciiTheme="majorHAnsi" w:hAnsiTheme="majorHAnsi" w:cstheme="majorHAnsi"/>
          <w:sz w:val="24"/>
          <w:szCs w:val="24"/>
          <w:lang w:val="ru-MD" w:eastAsia="ru-RU"/>
        </w:rPr>
        <w:t xml:space="preserve">ая. </w:t>
      </w:r>
      <w:r w:rsidR="00F60DDB" w:rsidRPr="00EC5A7B">
        <w:rPr>
          <w:rFonts w:asciiTheme="majorHAnsi" w:hAnsiTheme="majorHAnsi" w:cstheme="majorHAnsi"/>
          <w:i/>
          <w:sz w:val="24"/>
          <w:szCs w:val="24"/>
          <w:lang w:val="ru-MD" w:eastAsia="ru-RU"/>
        </w:rPr>
        <w:t>Анализ финансовых условий, проведенны</w:t>
      </w:r>
      <w:r w:rsidR="00A029D6" w:rsidRPr="00EC5A7B">
        <w:rPr>
          <w:rFonts w:asciiTheme="majorHAnsi" w:hAnsiTheme="majorHAnsi" w:cstheme="majorHAnsi"/>
          <w:i/>
          <w:sz w:val="24"/>
          <w:szCs w:val="24"/>
          <w:lang w:val="ru-MD" w:eastAsia="ru-RU"/>
        </w:rPr>
        <w:t>й</w:t>
      </w:r>
      <w:r w:rsidR="00F60DDB" w:rsidRPr="00EC5A7B">
        <w:rPr>
          <w:rFonts w:asciiTheme="majorHAnsi" w:hAnsiTheme="majorHAnsi" w:cstheme="majorHAnsi"/>
          <w:i/>
          <w:sz w:val="24"/>
          <w:szCs w:val="24"/>
          <w:lang w:val="ru-MD" w:eastAsia="ru-RU"/>
        </w:rPr>
        <w:t xml:space="preserve"> МФ по кредиту, зак</w:t>
      </w:r>
      <w:r w:rsidR="00A029D6" w:rsidRPr="00EC5A7B">
        <w:rPr>
          <w:rFonts w:asciiTheme="majorHAnsi" w:hAnsiTheme="majorHAnsi" w:cstheme="majorHAnsi"/>
          <w:i/>
          <w:sz w:val="24"/>
          <w:szCs w:val="24"/>
          <w:lang w:val="ru-MD" w:eastAsia="ru-RU"/>
        </w:rPr>
        <w:t>онтрактова</w:t>
      </w:r>
      <w:r w:rsidR="00F60DDB" w:rsidRPr="00EC5A7B">
        <w:rPr>
          <w:rFonts w:asciiTheme="majorHAnsi" w:hAnsiTheme="majorHAnsi" w:cstheme="majorHAnsi"/>
          <w:i/>
          <w:sz w:val="24"/>
          <w:szCs w:val="24"/>
          <w:lang w:val="ru-MD" w:eastAsia="ru-RU"/>
        </w:rPr>
        <w:t xml:space="preserve">нному в </w:t>
      </w:r>
      <w:r w:rsidR="00A029D6" w:rsidRPr="00EC5A7B">
        <w:rPr>
          <w:rFonts w:asciiTheme="majorHAnsi" w:hAnsiTheme="majorHAnsi" w:cstheme="majorHAnsi"/>
          <w:i/>
          <w:sz w:val="24"/>
          <w:szCs w:val="24"/>
          <w:lang w:val="ru-MD" w:eastAsia="ru-RU"/>
        </w:rPr>
        <w:t>МАР</w:t>
      </w:r>
      <w:r w:rsidR="00F60DDB" w:rsidRPr="00EC5A7B">
        <w:rPr>
          <w:rFonts w:asciiTheme="majorHAnsi" w:hAnsiTheme="majorHAnsi" w:cstheme="majorHAnsi"/>
          <w:i/>
          <w:sz w:val="24"/>
          <w:szCs w:val="24"/>
          <w:lang w:val="ru-MD" w:eastAsia="ru-RU"/>
        </w:rPr>
        <w:t xml:space="preserve"> с целью финансирования </w:t>
      </w:r>
      <w:r w:rsidR="00A029D6" w:rsidRPr="00EC5A7B">
        <w:rPr>
          <w:rFonts w:asciiTheme="majorHAnsi" w:hAnsiTheme="majorHAnsi" w:cstheme="majorHAnsi"/>
          <w:i/>
          <w:sz w:val="24"/>
          <w:szCs w:val="24"/>
          <w:lang w:val="ru-MD" w:eastAsia="ru-RU"/>
        </w:rPr>
        <w:t>„П</w:t>
      </w:r>
      <w:r w:rsidR="00F60DDB" w:rsidRPr="00EC5A7B">
        <w:rPr>
          <w:rFonts w:asciiTheme="majorHAnsi" w:hAnsiTheme="majorHAnsi" w:cstheme="majorHAnsi"/>
          <w:i/>
          <w:sz w:val="24"/>
          <w:szCs w:val="24"/>
          <w:lang w:val="ru-MD" w:eastAsia="ru-RU"/>
        </w:rPr>
        <w:t>роекта развития электроэнергетической системы</w:t>
      </w:r>
      <w:r w:rsidR="00A029D6" w:rsidRPr="00EC5A7B">
        <w:rPr>
          <w:rFonts w:asciiTheme="majorHAnsi" w:hAnsiTheme="majorHAnsi" w:cstheme="majorHAnsi"/>
          <w:sz w:val="24"/>
          <w:szCs w:val="24"/>
          <w:lang w:val="ru-MD" w:eastAsia="ru-RU"/>
        </w:rPr>
        <w:t>”</w:t>
      </w:r>
      <w:r w:rsidR="00F60DDB" w:rsidRPr="00EC5A7B">
        <w:rPr>
          <w:rFonts w:asciiTheme="majorHAnsi" w:hAnsiTheme="majorHAnsi" w:cstheme="majorHAnsi"/>
          <w:i/>
          <w:sz w:val="24"/>
          <w:szCs w:val="24"/>
          <w:lang w:val="ru-MD" w:eastAsia="ru-RU"/>
        </w:rPr>
        <w:t xml:space="preserve"> на сумму 13,1 млн. евро</w:t>
      </w:r>
      <w:r w:rsidR="00A029D6" w:rsidRPr="00EC5A7B">
        <w:rPr>
          <w:rFonts w:asciiTheme="majorHAnsi" w:hAnsiTheme="majorHAnsi" w:cstheme="majorHAnsi"/>
          <w:i/>
          <w:sz w:val="24"/>
          <w:szCs w:val="24"/>
          <w:lang w:val="ru-MD" w:eastAsia="ru-RU"/>
        </w:rPr>
        <w:t>,</w:t>
      </w:r>
      <w:r w:rsidR="00F60DDB" w:rsidRPr="00EC5A7B">
        <w:rPr>
          <w:rFonts w:asciiTheme="majorHAnsi" w:hAnsiTheme="majorHAnsi" w:cstheme="majorHAnsi"/>
          <w:i/>
          <w:sz w:val="24"/>
          <w:szCs w:val="24"/>
          <w:lang w:val="ru-MD" w:eastAsia="ru-RU"/>
        </w:rPr>
        <w:t xml:space="preserve"> представлен в Приложении №13 </w:t>
      </w:r>
      <w:r w:rsidR="00A029D6" w:rsidRPr="00EC5A7B">
        <w:rPr>
          <w:rFonts w:asciiTheme="majorHAnsi" w:hAnsiTheme="majorHAnsi" w:cstheme="majorHAnsi"/>
          <w:i/>
          <w:sz w:val="24"/>
          <w:szCs w:val="24"/>
          <w:lang w:val="ru-MD" w:eastAsia="ru-RU"/>
        </w:rPr>
        <w:t>к</w:t>
      </w:r>
      <w:r w:rsidR="00F60DDB" w:rsidRPr="00EC5A7B">
        <w:rPr>
          <w:rFonts w:asciiTheme="majorHAnsi" w:hAnsiTheme="majorHAnsi" w:cstheme="majorHAnsi"/>
          <w:i/>
          <w:sz w:val="24"/>
          <w:szCs w:val="24"/>
          <w:lang w:val="ru-MD" w:eastAsia="ru-RU"/>
        </w:rPr>
        <w:t xml:space="preserve"> настоящем</w:t>
      </w:r>
      <w:r w:rsidR="00A029D6" w:rsidRPr="00EC5A7B">
        <w:rPr>
          <w:rFonts w:asciiTheme="majorHAnsi" w:hAnsiTheme="majorHAnsi" w:cstheme="majorHAnsi"/>
          <w:i/>
          <w:sz w:val="24"/>
          <w:szCs w:val="24"/>
          <w:lang w:val="ru-MD" w:eastAsia="ru-RU"/>
        </w:rPr>
        <w:t>у</w:t>
      </w:r>
      <w:r w:rsidR="00F60DDB" w:rsidRPr="00EC5A7B">
        <w:rPr>
          <w:rFonts w:asciiTheme="majorHAnsi" w:hAnsiTheme="majorHAnsi" w:cstheme="majorHAnsi"/>
          <w:i/>
          <w:sz w:val="24"/>
          <w:szCs w:val="24"/>
          <w:lang w:val="ru-MD" w:eastAsia="ru-RU"/>
        </w:rPr>
        <w:t xml:space="preserve"> </w:t>
      </w:r>
      <w:r w:rsidR="00A029D6" w:rsidRPr="00EC5A7B">
        <w:rPr>
          <w:rFonts w:asciiTheme="majorHAnsi" w:hAnsiTheme="majorHAnsi" w:cstheme="majorHAnsi"/>
          <w:i/>
          <w:sz w:val="24"/>
          <w:szCs w:val="24"/>
          <w:lang w:val="ru-MD" w:eastAsia="ru-RU"/>
        </w:rPr>
        <w:t>О</w:t>
      </w:r>
      <w:r w:rsidR="00F60DDB" w:rsidRPr="00EC5A7B">
        <w:rPr>
          <w:rFonts w:asciiTheme="majorHAnsi" w:hAnsiTheme="majorHAnsi" w:cstheme="majorHAnsi"/>
          <w:i/>
          <w:sz w:val="24"/>
          <w:szCs w:val="24"/>
          <w:lang w:val="ru-MD" w:eastAsia="ru-RU"/>
        </w:rPr>
        <w:t>тчет</w:t>
      </w:r>
      <w:r w:rsidR="00A029D6" w:rsidRPr="00EC5A7B">
        <w:rPr>
          <w:rFonts w:asciiTheme="majorHAnsi" w:hAnsiTheme="majorHAnsi" w:cstheme="majorHAnsi"/>
          <w:i/>
          <w:sz w:val="24"/>
          <w:szCs w:val="24"/>
          <w:lang w:val="ru-MD" w:eastAsia="ru-RU"/>
        </w:rPr>
        <w:t>у</w:t>
      </w:r>
      <w:r w:rsidR="00F60DDB" w:rsidRPr="00EC5A7B">
        <w:rPr>
          <w:rFonts w:asciiTheme="majorHAnsi" w:hAnsiTheme="majorHAnsi" w:cstheme="majorHAnsi"/>
          <w:i/>
          <w:sz w:val="24"/>
          <w:szCs w:val="24"/>
          <w:lang w:val="ru-MD" w:eastAsia="ru-RU"/>
        </w:rPr>
        <w:t xml:space="preserve"> аудита</w:t>
      </w:r>
      <w:r w:rsidR="00F60DDB" w:rsidRPr="00EC5A7B">
        <w:rPr>
          <w:rFonts w:asciiTheme="majorHAnsi" w:hAnsiTheme="majorHAnsi" w:cstheme="majorHAnsi"/>
          <w:sz w:val="24"/>
          <w:szCs w:val="24"/>
          <w:lang w:val="ru-MD" w:eastAsia="ru-RU"/>
        </w:rPr>
        <w:t>.</w:t>
      </w:r>
    </w:p>
    <w:p w14:paraId="4FE685BC" w14:textId="7AF3F3ED" w:rsidR="005C5379" w:rsidRPr="00EC5A7B" w:rsidRDefault="00F60DDB" w:rsidP="004855D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результате проведенного анализа, представленного в </w:t>
      </w:r>
      <w:r w:rsidR="00D71D29"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риложении, был выбран следующий вариант: валюта </w:t>
      </w:r>
      <w:r w:rsidR="00D71D29" w:rsidRPr="00EC5A7B">
        <w:rPr>
          <w:rFonts w:asciiTheme="majorHAnsi" w:hAnsiTheme="majorHAnsi" w:cstheme="majorHAnsi"/>
          <w:sz w:val="24"/>
          <w:szCs w:val="24"/>
          <w:lang w:val="ru-MD" w:eastAsia="ru-RU"/>
        </w:rPr>
        <w:t>С</w:t>
      </w:r>
      <w:r w:rsidRPr="00EC5A7B">
        <w:rPr>
          <w:rFonts w:asciiTheme="majorHAnsi" w:hAnsiTheme="majorHAnsi" w:cstheme="majorHAnsi"/>
          <w:sz w:val="24"/>
          <w:szCs w:val="24"/>
          <w:lang w:val="ru-MD" w:eastAsia="ru-RU"/>
        </w:rPr>
        <w:t>оглашения евро, плавающая процентная ставка – EURIBOR6M+переменная маржа, срок погашения кредита-22 года, в том числе 17,5 лет льготный период, 9 равных полугодовых выплат по погашению базовой суммы.</w:t>
      </w:r>
    </w:p>
    <w:p w14:paraId="59A55BC8" w14:textId="5DBD5BD4" w:rsidR="00F90C4B" w:rsidRPr="00EC5A7B" w:rsidRDefault="00D71D29" w:rsidP="00430C42">
      <w:pPr>
        <w:pStyle w:val="NoSpacing"/>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eastAsia="ru-RU"/>
        </w:rPr>
        <w:t>Одновременно</w:t>
      </w:r>
      <w:r w:rsidR="00F60DDB" w:rsidRPr="00EC5A7B">
        <w:rPr>
          <w:rFonts w:asciiTheme="majorHAnsi" w:hAnsiTheme="majorHAnsi" w:cstheme="majorHAnsi"/>
          <w:sz w:val="24"/>
          <w:szCs w:val="24"/>
          <w:lang w:val="ru-MD" w:eastAsia="ru-RU"/>
        </w:rPr>
        <w:t xml:space="preserve">, при </w:t>
      </w:r>
      <w:r w:rsidRPr="00EC5A7B">
        <w:rPr>
          <w:rFonts w:asciiTheme="majorHAnsi" w:hAnsiTheme="majorHAnsi" w:cstheme="majorHAnsi"/>
          <w:sz w:val="24"/>
          <w:szCs w:val="24"/>
          <w:lang w:val="ru-MD" w:eastAsia="ru-RU"/>
        </w:rPr>
        <w:t>контрактации</w:t>
      </w:r>
      <w:r w:rsidR="00F60DDB" w:rsidRPr="00EC5A7B">
        <w:rPr>
          <w:rFonts w:asciiTheme="majorHAnsi" w:hAnsiTheme="majorHAnsi" w:cstheme="majorHAnsi"/>
          <w:sz w:val="24"/>
          <w:szCs w:val="24"/>
          <w:lang w:val="ru-MD" w:eastAsia="ru-RU"/>
        </w:rPr>
        <w:t xml:space="preserve"> нового займа с целью оценки и управления рисками, связанными с портфелем государственного долга и условного долга, проверяется</w:t>
      </w:r>
      <w:r w:rsidRPr="00EC5A7B">
        <w:rPr>
          <w:rFonts w:asciiTheme="majorHAnsi" w:hAnsiTheme="majorHAnsi" w:cstheme="majorHAnsi"/>
          <w:sz w:val="24"/>
          <w:szCs w:val="24"/>
          <w:lang w:val="ru-MD" w:eastAsia="ru-RU"/>
        </w:rPr>
        <w:t xml:space="preserve"> если</w:t>
      </w:r>
      <w:r w:rsidR="00F60DDB" w:rsidRPr="00EC5A7B">
        <w:rPr>
          <w:rFonts w:asciiTheme="majorHAnsi" w:hAnsiTheme="majorHAnsi" w:cstheme="majorHAnsi"/>
          <w:sz w:val="24"/>
          <w:szCs w:val="24"/>
          <w:lang w:val="ru-MD" w:eastAsia="ru-RU"/>
        </w:rPr>
        <w:t xml:space="preserve"> параметры риска </w:t>
      </w:r>
      <w:r w:rsidRPr="00EC5A7B">
        <w:rPr>
          <w:rFonts w:asciiTheme="majorHAnsi" w:hAnsiTheme="majorHAnsi" w:cstheme="majorHAnsi"/>
          <w:sz w:val="24"/>
          <w:szCs w:val="24"/>
          <w:lang w:val="ru-MD" w:eastAsia="ru-RU"/>
        </w:rPr>
        <w:t xml:space="preserve">вписываются в </w:t>
      </w:r>
      <w:r w:rsidR="00F60DDB" w:rsidRPr="00EC5A7B">
        <w:rPr>
          <w:rFonts w:asciiTheme="majorHAnsi" w:hAnsiTheme="majorHAnsi" w:cstheme="majorHAnsi"/>
          <w:sz w:val="24"/>
          <w:szCs w:val="24"/>
          <w:lang w:val="ru-MD" w:eastAsia="ru-RU"/>
        </w:rPr>
        <w:t>годовы</w:t>
      </w:r>
      <w:r w:rsidRPr="00EC5A7B">
        <w:rPr>
          <w:rFonts w:asciiTheme="majorHAnsi" w:hAnsiTheme="majorHAnsi" w:cstheme="majorHAnsi"/>
          <w:sz w:val="24"/>
          <w:szCs w:val="24"/>
          <w:lang w:val="ru-MD" w:eastAsia="ru-RU"/>
        </w:rPr>
        <w:t>е</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пределы</w:t>
      </w:r>
      <w:r w:rsidR="00F60DDB" w:rsidRPr="00EC5A7B">
        <w:rPr>
          <w:rFonts w:asciiTheme="majorHAnsi" w:hAnsiTheme="majorHAnsi" w:cstheme="majorHAnsi"/>
          <w:sz w:val="24"/>
          <w:szCs w:val="24"/>
          <w:lang w:val="ru-MD" w:eastAsia="ru-RU"/>
        </w:rPr>
        <w:t>, установленны</w:t>
      </w:r>
      <w:r w:rsidRPr="00EC5A7B">
        <w:rPr>
          <w:rFonts w:asciiTheme="majorHAnsi" w:hAnsiTheme="majorHAnsi" w:cstheme="majorHAnsi"/>
          <w:sz w:val="24"/>
          <w:szCs w:val="24"/>
          <w:lang w:val="ru-MD" w:eastAsia="ru-RU"/>
        </w:rPr>
        <w:t>е</w:t>
      </w:r>
      <w:r w:rsidR="00F60DDB" w:rsidRPr="00EC5A7B">
        <w:rPr>
          <w:rFonts w:asciiTheme="majorHAnsi" w:hAnsiTheme="majorHAnsi" w:cstheme="majorHAnsi"/>
          <w:sz w:val="24"/>
          <w:szCs w:val="24"/>
          <w:lang w:val="ru-MD" w:eastAsia="ru-RU"/>
        </w:rPr>
        <w:t xml:space="preserve"> в рамках </w:t>
      </w:r>
      <w:r w:rsidRPr="00EC5A7B">
        <w:rPr>
          <w:rFonts w:asciiTheme="majorHAnsi" w:hAnsiTheme="majorHAnsi" w:cstheme="majorHAnsi"/>
          <w:sz w:val="24"/>
          <w:szCs w:val="24"/>
          <w:lang w:val="ru-MD" w:eastAsia="ru-RU"/>
        </w:rPr>
        <w:t>П</w:t>
      </w:r>
      <w:r w:rsidR="00F60DDB" w:rsidRPr="00EC5A7B">
        <w:rPr>
          <w:rFonts w:asciiTheme="majorHAnsi" w:hAnsiTheme="majorHAnsi" w:cstheme="majorHAnsi"/>
          <w:sz w:val="24"/>
          <w:szCs w:val="24"/>
          <w:lang w:val="ru-MD" w:eastAsia="ru-RU"/>
        </w:rPr>
        <w:t xml:space="preserve">рограммы </w:t>
      </w:r>
      <w:r w:rsidRPr="00EC5A7B">
        <w:rPr>
          <w:rFonts w:asciiTheme="majorHAnsi" w:hAnsiTheme="majorHAnsi" w:cstheme="majorHAnsi"/>
          <w:sz w:val="24"/>
          <w:szCs w:val="24"/>
          <w:lang w:val="ru-MD" w:eastAsia="ru-RU"/>
        </w:rPr>
        <w:t>„Управление</w:t>
      </w:r>
      <w:r w:rsidR="00F60DDB" w:rsidRPr="00EC5A7B">
        <w:rPr>
          <w:rFonts w:asciiTheme="majorHAnsi" w:hAnsiTheme="majorHAnsi" w:cstheme="majorHAnsi"/>
          <w:sz w:val="24"/>
          <w:szCs w:val="24"/>
          <w:lang w:val="ru-MD" w:eastAsia="ru-RU"/>
        </w:rPr>
        <w:t xml:space="preserve"> государственн</w:t>
      </w:r>
      <w:r w:rsidRPr="00EC5A7B">
        <w:rPr>
          <w:rFonts w:asciiTheme="majorHAnsi" w:hAnsiTheme="majorHAnsi" w:cstheme="majorHAnsi"/>
          <w:sz w:val="24"/>
          <w:szCs w:val="24"/>
          <w:lang w:val="ru-MD" w:eastAsia="ru-RU"/>
        </w:rPr>
        <w:t>ым</w:t>
      </w:r>
      <w:r w:rsidR="00F60DDB" w:rsidRPr="00EC5A7B">
        <w:rPr>
          <w:rFonts w:asciiTheme="majorHAnsi" w:hAnsiTheme="majorHAnsi" w:cstheme="majorHAnsi"/>
          <w:sz w:val="24"/>
          <w:szCs w:val="24"/>
          <w:lang w:val="ru-MD" w:eastAsia="ru-RU"/>
        </w:rPr>
        <w:t xml:space="preserve"> долг</w:t>
      </w:r>
      <w:r w:rsidRPr="00EC5A7B">
        <w:rPr>
          <w:rFonts w:asciiTheme="majorHAnsi" w:hAnsiTheme="majorHAnsi" w:cstheme="majorHAnsi"/>
          <w:sz w:val="24"/>
          <w:szCs w:val="24"/>
          <w:lang w:val="ru-MD" w:eastAsia="ru-RU"/>
        </w:rPr>
        <w:t>ом</w:t>
      </w:r>
      <w:r w:rsidR="00F60DDB"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на</w:t>
      </w:r>
      <w:r w:rsidR="00F60DDB" w:rsidRPr="00EC5A7B">
        <w:rPr>
          <w:rFonts w:asciiTheme="majorHAnsi" w:hAnsiTheme="majorHAnsi" w:cstheme="majorHAnsi"/>
          <w:sz w:val="24"/>
          <w:szCs w:val="24"/>
          <w:lang w:val="ru-MD" w:eastAsia="ru-RU"/>
        </w:rPr>
        <w:t xml:space="preserve"> среднесрочн</w:t>
      </w:r>
      <w:r w:rsidRPr="00EC5A7B">
        <w:rPr>
          <w:rFonts w:asciiTheme="majorHAnsi" w:hAnsiTheme="majorHAnsi" w:cstheme="majorHAnsi"/>
          <w:sz w:val="24"/>
          <w:szCs w:val="24"/>
          <w:lang w:val="ru-MD" w:eastAsia="ru-RU"/>
        </w:rPr>
        <w:t>ый</w:t>
      </w:r>
      <w:r w:rsidR="00F60DDB" w:rsidRPr="00EC5A7B">
        <w:rPr>
          <w:rFonts w:asciiTheme="majorHAnsi" w:hAnsiTheme="majorHAnsi" w:cstheme="majorHAnsi"/>
          <w:sz w:val="24"/>
          <w:szCs w:val="24"/>
          <w:lang w:val="ru-MD" w:eastAsia="ru-RU"/>
        </w:rPr>
        <w:t xml:space="preserve"> пер</w:t>
      </w:r>
      <w:r w:rsidRPr="00EC5A7B">
        <w:rPr>
          <w:rFonts w:asciiTheme="majorHAnsi" w:hAnsiTheme="majorHAnsi" w:cstheme="majorHAnsi"/>
          <w:sz w:val="24"/>
          <w:szCs w:val="24"/>
          <w:lang w:val="ru-MD" w:eastAsia="ru-RU"/>
        </w:rPr>
        <w:t>иод</w:t>
      </w:r>
      <w:r w:rsidR="00F60DD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w:t>
      </w:r>
      <w:r w:rsidR="00F60DDB" w:rsidRPr="00EC5A7B">
        <w:rPr>
          <w:rFonts w:asciiTheme="majorHAnsi" w:hAnsiTheme="majorHAnsi" w:cstheme="majorHAnsi"/>
          <w:sz w:val="24"/>
          <w:szCs w:val="24"/>
          <w:lang w:val="ru-MD" w:eastAsia="ru-RU"/>
        </w:rPr>
        <w:t xml:space="preserve"> Таким образом, в результате заключения в 2019 году 4 новых внешних государственных займов</w:t>
      </w:r>
      <w:r w:rsidRPr="00EC5A7B">
        <w:rPr>
          <w:rFonts w:asciiTheme="majorHAnsi" w:hAnsiTheme="majorHAnsi" w:cstheme="majorHAnsi"/>
          <w:sz w:val="24"/>
          <w:szCs w:val="24"/>
          <w:lang w:val="ru-MD" w:eastAsia="ru-RU"/>
        </w:rPr>
        <w:t>,</w:t>
      </w:r>
      <w:r w:rsidR="00F60DDB" w:rsidRPr="00EC5A7B">
        <w:rPr>
          <w:rFonts w:asciiTheme="majorHAnsi" w:hAnsiTheme="majorHAnsi" w:cstheme="majorHAnsi"/>
          <w:sz w:val="24"/>
          <w:szCs w:val="24"/>
          <w:lang w:val="ru-MD" w:eastAsia="ru-RU"/>
        </w:rPr>
        <w:t xml:space="preserve"> все параметры риска вписались в годовые </w:t>
      </w:r>
      <w:r w:rsidRPr="00EC5A7B">
        <w:rPr>
          <w:rFonts w:asciiTheme="majorHAnsi" w:hAnsiTheme="majorHAnsi" w:cstheme="majorHAnsi"/>
          <w:sz w:val="24"/>
          <w:szCs w:val="24"/>
          <w:lang w:val="ru-MD" w:eastAsia="ru-RU"/>
        </w:rPr>
        <w:t>предел</w:t>
      </w:r>
      <w:r w:rsidR="00F60DDB" w:rsidRPr="00EC5A7B">
        <w:rPr>
          <w:rFonts w:asciiTheme="majorHAnsi" w:hAnsiTheme="majorHAnsi" w:cstheme="majorHAnsi"/>
          <w:sz w:val="24"/>
          <w:szCs w:val="24"/>
          <w:lang w:val="ru-MD" w:eastAsia="ru-RU"/>
        </w:rPr>
        <w:t xml:space="preserve">ы, установленные в рамках </w:t>
      </w:r>
      <w:r w:rsidRPr="00EC5A7B">
        <w:rPr>
          <w:rFonts w:asciiTheme="majorHAnsi" w:hAnsiTheme="majorHAnsi" w:cstheme="majorHAnsi"/>
          <w:sz w:val="24"/>
          <w:szCs w:val="24"/>
          <w:lang w:val="ru-MD" w:eastAsia="ru-RU"/>
        </w:rPr>
        <w:t>П</w:t>
      </w:r>
      <w:r w:rsidR="00F60DDB" w:rsidRPr="00EC5A7B">
        <w:rPr>
          <w:rFonts w:asciiTheme="majorHAnsi" w:hAnsiTheme="majorHAnsi" w:cstheme="majorHAnsi"/>
          <w:sz w:val="24"/>
          <w:szCs w:val="24"/>
          <w:lang w:val="ru-MD" w:eastAsia="ru-RU"/>
        </w:rPr>
        <w:t xml:space="preserve">рограммы </w:t>
      </w:r>
      <w:r w:rsidRPr="00EC5A7B">
        <w:rPr>
          <w:rFonts w:asciiTheme="majorHAnsi" w:hAnsiTheme="majorHAnsi" w:cstheme="majorHAnsi"/>
          <w:sz w:val="24"/>
          <w:szCs w:val="24"/>
          <w:lang w:val="ru-MD" w:eastAsia="ru-RU"/>
        </w:rPr>
        <w:t xml:space="preserve">„Управление государственным долгом на среднесрочный период </w:t>
      </w:r>
      <w:r w:rsidR="00F60DDB" w:rsidRPr="00EC5A7B">
        <w:rPr>
          <w:rFonts w:asciiTheme="majorHAnsi" w:hAnsiTheme="majorHAnsi" w:cstheme="majorHAnsi"/>
          <w:sz w:val="24"/>
          <w:szCs w:val="24"/>
          <w:lang w:val="ru-MD" w:eastAsia="ru-RU"/>
        </w:rPr>
        <w:t>(2019-2021)</w:t>
      </w:r>
      <w:r w:rsidRPr="00EC5A7B">
        <w:rPr>
          <w:rFonts w:asciiTheme="majorHAnsi" w:hAnsiTheme="majorHAnsi" w:cstheme="majorHAnsi"/>
          <w:sz w:val="24"/>
          <w:szCs w:val="24"/>
          <w:lang w:val="ru-MD" w:eastAsia="ru-RU"/>
        </w:rPr>
        <w:t>”</w:t>
      </w:r>
      <w:r w:rsidR="005A1B6A" w:rsidRPr="00EC5A7B">
        <w:rPr>
          <w:rFonts w:asciiTheme="majorHAnsi" w:hAnsiTheme="majorHAnsi" w:cstheme="majorHAnsi"/>
          <w:sz w:val="24"/>
          <w:szCs w:val="24"/>
          <w:lang w:val="ru-MD" w:eastAsia="ru-RU"/>
        </w:rPr>
        <w:t>.</w:t>
      </w:r>
    </w:p>
    <w:p w14:paraId="37BEE35F" w14:textId="14946C2A" w:rsidR="006023D2" w:rsidRPr="00EC5A7B" w:rsidRDefault="00F60DDB" w:rsidP="00443BC8">
      <w:pPr>
        <w:pStyle w:val="NoSpacing"/>
        <w:numPr>
          <w:ilvl w:val="2"/>
          <w:numId w:val="1"/>
        </w:numPr>
        <w:tabs>
          <w:tab w:val="left" w:pos="360"/>
          <w:tab w:val="left" w:pos="1080"/>
        </w:tabs>
        <w:spacing w:after="240"/>
        <w:ind w:left="0" w:firstLine="0"/>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Реализация управления операционным риском, связанным с государственным долгом</w:t>
      </w:r>
      <w:r w:rsidR="00443BC8" w:rsidRPr="00EC5A7B">
        <w:rPr>
          <w:rFonts w:asciiTheme="majorHAnsi" w:hAnsiTheme="majorHAnsi" w:cstheme="majorHAnsi"/>
          <w:b/>
          <w:i/>
          <w:sz w:val="24"/>
          <w:szCs w:val="24"/>
          <w:lang w:val="ru-MD" w:eastAsia="ru-RU"/>
        </w:rPr>
        <w:t xml:space="preserve"> </w:t>
      </w:r>
    </w:p>
    <w:p w14:paraId="31257394" w14:textId="6728789C" w:rsidR="00055934" w:rsidRPr="00EC5A7B" w:rsidRDefault="00443BC8" w:rsidP="0005593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Операционный риск представляет собой риск</w:t>
      </w:r>
      <w:r w:rsidR="008747DC" w:rsidRPr="00EC5A7B">
        <w:rPr>
          <w:rFonts w:asciiTheme="majorHAnsi" w:hAnsiTheme="majorHAnsi" w:cstheme="majorHAnsi"/>
          <w:sz w:val="24"/>
          <w:szCs w:val="24"/>
          <w:lang w:val="ru-MD" w:eastAsia="ru-RU"/>
        </w:rPr>
        <w:t> убытка в результате неадекватных внутренних процессов, действий сотрудников и систем или внешних событий</w:t>
      </w:r>
      <w:r w:rsidRPr="00EC5A7B">
        <w:rPr>
          <w:rFonts w:asciiTheme="majorHAnsi" w:hAnsiTheme="majorHAnsi" w:cstheme="majorHAnsi"/>
          <w:sz w:val="24"/>
          <w:szCs w:val="24"/>
          <w:lang w:val="ru-MD" w:eastAsia="ru-RU"/>
        </w:rPr>
        <w:t xml:space="preserve">, вызванной внутренними </w:t>
      </w:r>
      <w:r w:rsidRPr="00EC5A7B">
        <w:rPr>
          <w:rFonts w:asciiTheme="majorHAnsi" w:hAnsiTheme="majorHAnsi" w:cstheme="majorHAnsi"/>
          <w:sz w:val="24"/>
          <w:szCs w:val="24"/>
          <w:lang w:val="ru-MD" w:eastAsia="ru-RU"/>
        </w:rPr>
        <w:lastRenderedPageBreak/>
        <w:t xml:space="preserve">процессами, людьми, неправильными системами или внешними событиями, которые </w:t>
      </w:r>
      <w:r w:rsidR="008747DC" w:rsidRPr="00EC5A7B">
        <w:rPr>
          <w:rFonts w:asciiTheme="majorHAnsi" w:hAnsiTheme="majorHAnsi" w:cstheme="majorHAnsi"/>
          <w:sz w:val="24"/>
          <w:szCs w:val="24"/>
          <w:lang w:val="ru-MD" w:eastAsia="ru-RU"/>
        </w:rPr>
        <w:t>отражаются</w:t>
      </w:r>
      <w:r w:rsidRPr="00EC5A7B">
        <w:rPr>
          <w:rFonts w:asciiTheme="majorHAnsi" w:hAnsiTheme="majorHAnsi" w:cstheme="majorHAnsi"/>
          <w:sz w:val="24"/>
          <w:szCs w:val="24"/>
          <w:lang w:val="ru-MD" w:eastAsia="ru-RU"/>
        </w:rPr>
        <w:t xml:space="preserve"> на способност</w:t>
      </w:r>
      <w:r w:rsidR="008747DC"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учреждения </w:t>
      </w:r>
      <w:r w:rsidR="008747DC" w:rsidRPr="00EC5A7B">
        <w:rPr>
          <w:rFonts w:asciiTheme="majorHAnsi" w:hAnsiTheme="majorHAnsi" w:cstheme="majorHAnsi"/>
          <w:sz w:val="24"/>
          <w:szCs w:val="24"/>
          <w:lang w:val="ru-MD" w:eastAsia="ru-RU"/>
        </w:rPr>
        <w:t>осуществл</w:t>
      </w:r>
      <w:r w:rsidRPr="00EC5A7B">
        <w:rPr>
          <w:rFonts w:asciiTheme="majorHAnsi" w:hAnsiTheme="majorHAnsi" w:cstheme="majorHAnsi"/>
          <w:sz w:val="24"/>
          <w:szCs w:val="24"/>
          <w:lang w:val="ru-MD" w:eastAsia="ru-RU"/>
        </w:rPr>
        <w:t xml:space="preserve">ять свою </w:t>
      </w:r>
      <w:r w:rsidR="008747DC" w:rsidRPr="00EC5A7B">
        <w:rPr>
          <w:rFonts w:asciiTheme="majorHAnsi" w:hAnsiTheme="majorHAnsi" w:cstheme="majorHAnsi"/>
          <w:sz w:val="24"/>
          <w:szCs w:val="24"/>
          <w:lang w:val="ru-MD" w:eastAsia="ru-RU"/>
        </w:rPr>
        <w:t>деятельность</w:t>
      </w:r>
      <w:r w:rsidR="00055934" w:rsidRPr="00EC5A7B">
        <w:rPr>
          <w:rFonts w:asciiTheme="majorHAnsi" w:hAnsiTheme="majorHAnsi" w:cstheme="majorHAnsi"/>
          <w:sz w:val="24"/>
          <w:szCs w:val="24"/>
          <w:lang w:val="ru-MD" w:eastAsia="ru-RU"/>
        </w:rPr>
        <w:t xml:space="preserve">. </w:t>
      </w:r>
    </w:p>
    <w:p w14:paraId="04CFB3DC" w14:textId="2008CB75" w:rsidR="006B6B93" w:rsidRPr="00EC5A7B" w:rsidRDefault="00443BC8" w:rsidP="0005593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Управление операционным риском очень важно, </w:t>
      </w:r>
      <w:r w:rsidR="008747DC" w:rsidRPr="00EC5A7B">
        <w:rPr>
          <w:rFonts w:asciiTheme="majorHAnsi" w:hAnsiTheme="majorHAnsi" w:cstheme="majorHAnsi"/>
          <w:sz w:val="24"/>
          <w:szCs w:val="24"/>
          <w:lang w:val="ru-MD" w:eastAsia="ru-RU"/>
        </w:rPr>
        <w:t>в частности,</w:t>
      </w:r>
      <w:r w:rsidRPr="00EC5A7B">
        <w:rPr>
          <w:rFonts w:asciiTheme="majorHAnsi" w:hAnsiTheme="majorHAnsi" w:cstheme="majorHAnsi"/>
          <w:sz w:val="24"/>
          <w:szCs w:val="24"/>
          <w:lang w:val="ru-MD" w:eastAsia="ru-RU"/>
        </w:rPr>
        <w:t xml:space="preserve"> из-за событий, которые могут нарушить нормальную деятельность по управлению государственным долгом, особенно в случае чрезвычайных ситуаций, таких как установление чрезвычайного положения в стране</w:t>
      </w:r>
      <w:r w:rsidR="006B6B93" w:rsidRPr="00EC5A7B">
        <w:rPr>
          <w:rFonts w:asciiTheme="majorHAnsi" w:hAnsiTheme="majorHAnsi" w:cstheme="majorHAnsi"/>
          <w:sz w:val="24"/>
          <w:szCs w:val="24"/>
          <w:lang w:val="ru-MD" w:eastAsia="ru-RU"/>
        </w:rPr>
        <w:t>.</w:t>
      </w:r>
    </w:p>
    <w:p w14:paraId="2F33B027" w14:textId="210B76DE" w:rsidR="00055934" w:rsidRPr="00EC5A7B" w:rsidRDefault="00443BC8" w:rsidP="0005593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 целях мониторинга и управления операционным риском</w:t>
      </w:r>
      <w:r w:rsidR="008747DC"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в рамках МФ был разработан и внедрен </w:t>
      </w:r>
      <w:r w:rsidR="008747DC"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лан управления операционным риском и </w:t>
      </w:r>
      <w:r w:rsidR="008747DC" w:rsidRPr="00EC5A7B">
        <w:rPr>
          <w:rFonts w:asciiTheme="majorHAnsi" w:hAnsiTheme="majorHAnsi" w:cstheme="majorHAnsi"/>
          <w:sz w:val="24"/>
          <w:szCs w:val="24"/>
          <w:lang w:val="ru-MD" w:eastAsia="ru-RU"/>
        </w:rPr>
        <w:t xml:space="preserve">обеспечения </w:t>
      </w:r>
      <w:r w:rsidRPr="00EC5A7B">
        <w:rPr>
          <w:rFonts w:asciiTheme="majorHAnsi" w:hAnsiTheme="majorHAnsi" w:cstheme="majorHAnsi"/>
          <w:sz w:val="24"/>
          <w:szCs w:val="24"/>
          <w:lang w:val="ru-MD" w:eastAsia="ru-RU"/>
        </w:rPr>
        <w:t xml:space="preserve">непрерывности деятельности, связанной с управлением государственным долгом, который ежегодно пересматривается и обновляется. Этот </w:t>
      </w:r>
      <w:r w:rsidR="008747DC"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лан предполагает анализ и описание операционных рисков, </w:t>
      </w:r>
      <w:r w:rsidR="00491F9F" w:rsidRPr="00EC5A7B">
        <w:rPr>
          <w:rFonts w:asciiTheme="majorHAnsi" w:hAnsiTheme="majorHAnsi" w:cstheme="majorHAnsi"/>
          <w:sz w:val="24"/>
          <w:szCs w:val="24"/>
          <w:lang w:val="ru-MD" w:eastAsia="ru-RU"/>
        </w:rPr>
        <w:t>сопутствующих</w:t>
      </w:r>
      <w:r w:rsidRPr="00EC5A7B">
        <w:rPr>
          <w:rFonts w:asciiTheme="majorHAnsi" w:hAnsiTheme="majorHAnsi" w:cstheme="majorHAnsi"/>
          <w:sz w:val="24"/>
          <w:szCs w:val="24"/>
          <w:lang w:val="ru-MD" w:eastAsia="ru-RU"/>
        </w:rPr>
        <w:t xml:space="preserve"> процессам, связанным с управлением государственным долгом, а также </w:t>
      </w:r>
      <w:r w:rsidR="00491F9F" w:rsidRPr="00EC5A7B">
        <w:rPr>
          <w:rFonts w:asciiTheme="majorHAnsi" w:hAnsiTheme="majorHAnsi" w:cstheme="majorHAnsi"/>
          <w:sz w:val="24"/>
          <w:szCs w:val="24"/>
          <w:lang w:val="ru-MD" w:eastAsia="ru-RU"/>
        </w:rPr>
        <w:t>опреде</w:t>
      </w:r>
      <w:r w:rsidRPr="00EC5A7B">
        <w:rPr>
          <w:rFonts w:asciiTheme="majorHAnsi" w:hAnsiTheme="majorHAnsi" w:cstheme="majorHAnsi"/>
          <w:sz w:val="24"/>
          <w:szCs w:val="24"/>
          <w:lang w:val="ru-MD" w:eastAsia="ru-RU"/>
        </w:rPr>
        <w:t xml:space="preserve">ление стратегий </w:t>
      </w:r>
      <w:r w:rsidR="00491F9F" w:rsidRPr="00EC5A7B">
        <w:rPr>
          <w:rFonts w:asciiTheme="majorHAnsi" w:hAnsiTheme="majorHAnsi" w:cstheme="majorHAnsi"/>
          <w:sz w:val="24"/>
          <w:szCs w:val="24"/>
          <w:lang w:val="ru-MD" w:eastAsia="ru-RU"/>
        </w:rPr>
        <w:t xml:space="preserve">по </w:t>
      </w:r>
      <w:r w:rsidRPr="00EC5A7B">
        <w:rPr>
          <w:rFonts w:asciiTheme="majorHAnsi" w:hAnsiTheme="majorHAnsi" w:cstheme="majorHAnsi"/>
          <w:sz w:val="24"/>
          <w:szCs w:val="24"/>
          <w:lang w:val="ru-MD" w:eastAsia="ru-RU"/>
        </w:rPr>
        <w:t>с</w:t>
      </w:r>
      <w:r w:rsidR="00491F9F" w:rsidRPr="00EC5A7B">
        <w:rPr>
          <w:rFonts w:asciiTheme="majorHAnsi" w:hAnsiTheme="majorHAnsi" w:cstheme="majorHAnsi"/>
          <w:sz w:val="24"/>
          <w:szCs w:val="24"/>
          <w:lang w:val="ru-MD" w:eastAsia="ru-RU"/>
        </w:rPr>
        <w:t>окращению</w:t>
      </w:r>
      <w:r w:rsidRPr="00EC5A7B">
        <w:rPr>
          <w:rFonts w:asciiTheme="majorHAnsi" w:hAnsiTheme="majorHAnsi" w:cstheme="majorHAnsi"/>
          <w:sz w:val="24"/>
          <w:szCs w:val="24"/>
          <w:lang w:val="ru-MD" w:eastAsia="ru-RU"/>
        </w:rPr>
        <w:t xml:space="preserve"> вероятности возникновения этих рисков</w:t>
      </w:r>
      <w:r w:rsidR="00055934" w:rsidRPr="00EC5A7B">
        <w:rPr>
          <w:rFonts w:asciiTheme="majorHAnsi" w:hAnsiTheme="majorHAnsi" w:cstheme="majorHAnsi"/>
          <w:sz w:val="24"/>
          <w:szCs w:val="24"/>
          <w:lang w:val="ru-MD" w:eastAsia="ru-RU"/>
        </w:rPr>
        <w:t xml:space="preserve">. </w:t>
      </w:r>
    </w:p>
    <w:p w14:paraId="6CF9889B" w14:textId="712654D8" w:rsidR="006B6B93" w:rsidRPr="00EC5A7B" w:rsidRDefault="00443BC8" w:rsidP="0005593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План управления операционным риском и </w:t>
      </w:r>
      <w:r w:rsidR="00941C16" w:rsidRPr="00EC5A7B">
        <w:rPr>
          <w:rFonts w:asciiTheme="majorHAnsi" w:hAnsiTheme="majorHAnsi" w:cstheme="majorHAnsi"/>
          <w:sz w:val="24"/>
          <w:szCs w:val="24"/>
          <w:lang w:val="ru-MD" w:eastAsia="ru-RU"/>
        </w:rPr>
        <w:t xml:space="preserve">обеспечения </w:t>
      </w:r>
      <w:r w:rsidRPr="00EC5A7B">
        <w:rPr>
          <w:rFonts w:asciiTheme="majorHAnsi" w:hAnsiTheme="majorHAnsi" w:cstheme="majorHAnsi"/>
          <w:sz w:val="24"/>
          <w:szCs w:val="24"/>
          <w:lang w:val="ru-MD" w:eastAsia="ru-RU"/>
        </w:rPr>
        <w:t xml:space="preserve">непрерывности деятельности, связанной с управлением государственным долгом, был разработан в соответствии с </w:t>
      </w:r>
      <w:r w:rsidR="00941C16" w:rsidRPr="00EC5A7B">
        <w:rPr>
          <w:rFonts w:asciiTheme="majorHAnsi" w:hAnsiTheme="majorHAnsi" w:cstheme="majorHAnsi"/>
          <w:sz w:val="24"/>
          <w:szCs w:val="24"/>
          <w:lang w:val="ru-MD" w:eastAsia="ru-RU"/>
        </w:rPr>
        <w:t>Р</w:t>
      </w:r>
      <w:r w:rsidRPr="00EC5A7B">
        <w:rPr>
          <w:rFonts w:asciiTheme="majorHAnsi" w:hAnsiTheme="majorHAnsi" w:cstheme="majorHAnsi"/>
          <w:sz w:val="24"/>
          <w:szCs w:val="24"/>
          <w:lang w:val="ru-MD" w:eastAsia="ru-RU"/>
        </w:rPr>
        <w:t xml:space="preserve">уководящими принципами ВБ и рекомендациями международных экспертов в рамках </w:t>
      </w:r>
      <w:r w:rsidR="00941C16" w:rsidRPr="00EC5A7B">
        <w:rPr>
          <w:rFonts w:asciiTheme="majorHAnsi" w:hAnsiTheme="majorHAnsi" w:cstheme="majorHAnsi"/>
          <w:sz w:val="24"/>
          <w:szCs w:val="24"/>
          <w:lang w:val="ru-MD" w:eastAsia="ru-RU"/>
        </w:rPr>
        <w:t>П</w:t>
      </w:r>
      <w:r w:rsidRPr="00EC5A7B">
        <w:rPr>
          <w:rFonts w:asciiTheme="majorHAnsi" w:hAnsiTheme="majorHAnsi" w:cstheme="majorHAnsi"/>
          <w:sz w:val="24"/>
          <w:szCs w:val="24"/>
          <w:lang w:val="ru-MD" w:eastAsia="ru-RU"/>
        </w:rPr>
        <w:t xml:space="preserve">роекта технической помощи по </w:t>
      </w:r>
      <w:r w:rsidR="0021097A"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лучшению </w:t>
      </w:r>
      <w:r w:rsidR="0021097A" w:rsidRPr="00EC5A7B">
        <w:rPr>
          <w:rFonts w:asciiTheme="majorHAnsi" w:hAnsiTheme="majorHAnsi" w:cstheme="majorHAnsi"/>
          <w:sz w:val="24"/>
          <w:szCs w:val="24"/>
          <w:lang w:val="ru-MD" w:eastAsia="ru-RU"/>
        </w:rPr>
        <w:t>р</w:t>
      </w:r>
      <w:r w:rsidRPr="00EC5A7B">
        <w:rPr>
          <w:rFonts w:asciiTheme="majorHAnsi" w:hAnsiTheme="majorHAnsi" w:cstheme="majorHAnsi"/>
          <w:sz w:val="24"/>
          <w:szCs w:val="24"/>
          <w:lang w:val="ru-MD" w:eastAsia="ru-RU"/>
        </w:rPr>
        <w:t xml:space="preserve">еформы управления </w:t>
      </w:r>
      <w:r w:rsidR="00941C16" w:rsidRPr="00EC5A7B">
        <w:rPr>
          <w:rFonts w:asciiTheme="majorHAnsi" w:hAnsiTheme="majorHAnsi" w:cstheme="majorHAnsi"/>
          <w:sz w:val="24"/>
          <w:szCs w:val="24"/>
          <w:lang w:val="ru-MD" w:eastAsia="ru-RU"/>
        </w:rPr>
        <w:t>публич</w:t>
      </w:r>
      <w:r w:rsidRPr="00EC5A7B">
        <w:rPr>
          <w:rFonts w:asciiTheme="majorHAnsi" w:hAnsiTheme="majorHAnsi" w:cstheme="majorHAnsi"/>
          <w:sz w:val="24"/>
          <w:szCs w:val="24"/>
          <w:lang w:val="ru-MD" w:eastAsia="ru-RU"/>
        </w:rPr>
        <w:t>ными финансами в РМ. При его разработке</w:t>
      </w:r>
      <w:r w:rsidR="0021097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риски оценивались с учетом влияния на репутацию, потенциальные финансовые </w:t>
      </w:r>
      <w:r w:rsidR="0021097A" w:rsidRPr="00EC5A7B">
        <w:rPr>
          <w:rFonts w:asciiTheme="majorHAnsi" w:hAnsiTheme="majorHAnsi" w:cstheme="majorHAnsi"/>
          <w:sz w:val="24"/>
          <w:szCs w:val="24"/>
          <w:lang w:val="ru-MD" w:eastAsia="ru-RU"/>
        </w:rPr>
        <w:t>убытк</w:t>
      </w:r>
      <w:r w:rsidRPr="00EC5A7B">
        <w:rPr>
          <w:rFonts w:asciiTheme="majorHAnsi" w:hAnsiTheme="majorHAnsi" w:cstheme="majorHAnsi"/>
          <w:sz w:val="24"/>
          <w:szCs w:val="24"/>
          <w:lang w:val="ru-MD" w:eastAsia="ru-RU"/>
        </w:rPr>
        <w:t xml:space="preserve">и, а также на достижение целей </w:t>
      </w:r>
      <w:r w:rsidR="0021097A"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правления </w:t>
      </w:r>
      <w:r w:rsidR="00AE195A" w:rsidRPr="00EC5A7B">
        <w:rPr>
          <w:rFonts w:asciiTheme="majorHAnsi" w:hAnsiTheme="majorHAnsi" w:cstheme="majorHAnsi"/>
          <w:sz w:val="24"/>
          <w:szCs w:val="24"/>
          <w:lang w:val="ru-MD" w:eastAsia="ru-RU"/>
        </w:rPr>
        <w:t>публич</w:t>
      </w:r>
      <w:r w:rsidRPr="00EC5A7B">
        <w:rPr>
          <w:rFonts w:asciiTheme="majorHAnsi" w:hAnsiTheme="majorHAnsi" w:cstheme="majorHAnsi"/>
          <w:sz w:val="24"/>
          <w:szCs w:val="24"/>
          <w:lang w:val="ru-MD" w:eastAsia="ru-RU"/>
        </w:rPr>
        <w:t>ного долга и МФ в целом</w:t>
      </w:r>
      <w:r w:rsidR="006B6B93" w:rsidRPr="00EC5A7B">
        <w:rPr>
          <w:rFonts w:asciiTheme="majorHAnsi" w:hAnsiTheme="majorHAnsi" w:cstheme="majorHAnsi"/>
          <w:sz w:val="24"/>
          <w:szCs w:val="24"/>
          <w:lang w:val="ru-MD" w:eastAsia="ru-RU"/>
        </w:rPr>
        <w:t xml:space="preserve">. </w:t>
      </w:r>
    </w:p>
    <w:p w14:paraId="3BFA843E" w14:textId="06ED84FD" w:rsidR="004F04CF" w:rsidRPr="00EC5A7B" w:rsidRDefault="00443BC8" w:rsidP="004F04CF">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 xml:space="preserve">Запланированные и реализованные МФ действия по </w:t>
      </w:r>
      <w:r w:rsidR="0021097A" w:rsidRPr="00EC5A7B">
        <w:rPr>
          <w:rFonts w:asciiTheme="majorHAnsi" w:hAnsiTheme="majorHAnsi" w:cstheme="majorHAnsi"/>
          <w:sz w:val="24"/>
          <w:szCs w:val="24"/>
          <w:lang w:val="ru-MD" w:eastAsia="ru-RU"/>
        </w:rPr>
        <w:t>сокращ</w:t>
      </w:r>
      <w:r w:rsidRPr="00EC5A7B">
        <w:rPr>
          <w:rFonts w:asciiTheme="majorHAnsi" w:hAnsiTheme="majorHAnsi" w:cstheme="majorHAnsi"/>
          <w:sz w:val="24"/>
          <w:szCs w:val="24"/>
          <w:lang w:val="ru-MD" w:eastAsia="ru-RU"/>
        </w:rPr>
        <w:t>ению выявленных рисков</w:t>
      </w:r>
      <w:r w:rsidR="0021097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были: выявление </w:t>
      </w:r>
      <w:r w:rsidR="0021097A" w:rsidRPr="00EC5A7B">
        <w:rPr>
          <w:rFonts w:asciiTheme="majorHAnsi" w:hAnsiTheme="majorHAnsi" w:cstheme="majorHAnsi"/>
          <w:sz w:val="24"/>
          <w:szCs w:val="24"/>
          <w:lang w:val="ru-MD" w:eastAsia="ru-RU"/>
        </w:rPr>
        <w:t>потреб</w:t>
      </w:r>
      <w:r w:rsidRPr="00EC5A7B">
        <w:rPr>
          <w:rFonts w:asciiTheme="majorHAnsi" w:hAnsiTheme="majorHAnsi" w:cstheme="majorHAnsi"/>
          <w:sz w:val="24"/>
          <w:szCs w:val="24"/>
          <w:lang w:val="ru-MD" w:eastAsia="ru-RU"/>
        </w:rPr>
        <w:t xml:space="preserve">ностей </w:t>
      </w:r>
      <w:r w:rsidR="0021097A" w:rsidRPr="00EC5A7B">
        <w:rPr>
          <w:rFonts w:asciiTheme="majorHAnsi" w:hAnsiTheme="majorHAnsi" w:cstheme="majorHAnsi"/>
          <w:sz w:val="24"/>
          <w:szCs w:val="24"/>
          <w:lang w:val="ru-MD" w:eastAsia="ru-RU"/>
        </w:rPr>
        <w:t xml:space="preserve">в </w:t>
      </w:r>
      <w:r w:rsidRPr="00EC5A7B">
        <w:rPr>
          <w:rFonts w:asciiTheme="majorHAnsi" w:hAnsiTheme="majorHAnsi" w:cstheme="majorHAnsi"/>
          <w:sz w:val="24"/>
          <w:szCs w:val="24"/>
          <w:lang w:val="ru-MD" w:eastAsia="ru-RU"/>
        </w:rPr>
        <w:t>обучени</w:t>
      </w:r>
      <w:r w:rsidR="0021097A"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и </w:t>
      </w:r>
      <w:r w:rsidR="0021097A" w:rsidRPr="00EC5A7B">
        <w:rPr>
          <w:rFonts w:asciiTheme="majorHAnsi" w:hAnsiTheme="majorHAnsi" w:cstheme="majorHAnsi"/>
          <w:sz w:val="24"/>
          <w:szCs w:val="24"/>
          <w:lang w:val="ru-MD" w:eastAsia="ru-RU"/>
        </w:rPr>
        <w:t>подготовка</w:t>
      </w:r>
      <w:r w:rsidRPr="00EC5A7B">
        <w:rPr>
          <w:rFonts w:asciiTheme="majorHAnsi" w:hAnsiTheme="majorHAnsi" w:cstheme="majorHAnsi"/>
          <w:sz w:val="24"/>
          <w:szCs w:val="24"/>
          <w:lang w:val="ru-MD" w:eastAsia="ru-RU"/>
        </w:rPr>
        <w:t xml:space="preserve"> персонала по тема</w:t>
      </w:r>
      <w:r w:rsidR="00AE195A" w:rsidRPr="00EC5A7B">
        <w:rPr>
          <w:rFonts w:asciiTheme="majorHAnsi" w:hAnsiTheme="majorHAnsi" w:cstheme="majorHAnsi"/>
          <w:sz w:val="24"/>
          <w:szCs w:val="24"/>
          <w:lang w:val="ru-MD" w:eastAsia="ru-RU"/>
        </w:rPr>
        <w:t>м, связанным с</w:t>
      </w:r>
      <w:r w:rsidRPr="00EC5A7B">
        <w:rPr>
          <w:rFonts w:asciiTheme="majorHAnsi" w:hAnsiTheme="majorHAnsi" w:cstheme="majorHAnsi"/>
          <w:sz w:val="24"/>
          <w:szCs w:val="24"/>
          <w:lang w:val="ru-MD" w:eastAsia="ru-RU"/>
        </w:rPr>
        <w:t xml:space="preserve"> деятельност</w:t>
      </w:r>
      <w:r w:rsidR="00AE195A" w:rsidRPr="00EC5A7B">
        <w:rPr>
          <w:rFonts w:asciiTheme="majorHAnsi" w:hAnsiTheme="majorHAnsi" w:cstheme="majorHAnsi"/>
          <w:sz w:val="24"/>
          <w:szCs w:val="24"/>
          <w:lang w:val="ru-MD" w:eastAsia="ru-RU"/>
        </w:rPr>
        <w:t>ью</w:t>
      </w:r>
      <w:r w:rsidRPr="00EC5A7B">
        <w:rPr>
          <w:rFonts w:asciiTheme="majorHAnsi" w:hAnsiTheme="majorHAnsi" w:cstheme="majorHAnsi"/>
          <w:sz w:val="24"/>
          <w:szCs w:val="24"/>
          <w:lang w:val="ru-MD" w:eastAsia="ru-RU"/>
        </w:rPr>
        <w:t xml:space="preserve"> Управления публичного долга, обмен опытом с другими государствами </w:t>
      </w:r>
      <w:r w:rsidR="00AE195A" w:rsidRPr="00EC5A7B">
        <w:rPr>
          <w:rFonts w:asciiTheme="majorHAnsi" w:hAnsiTheme="majorHAnsi" w:cstheme="majorHAnsi"/>
          <w:sz w:val="24"/>
          <w:szCs w:val="24"/>
          <w:lang w:val="ru-MD" w:eastAsia="ru-RU"/>
        </w:rPr>
        <w:t>по</w:t>
      </w:r>
      <w:r w:rsidRPr="00EC5A7B">
        <w:rPr>
          <w:rFonts w:asciiTheme="majorHAnsi" w:hAnsiTheme="majorHAnsi" w:cstheme="majorHAnsi"/>
          <w:sz w:val="24"/>
          <w:szCs w:val="24"/>
          <w:lang w:val="ru-MD" w:eastAsia="ru-RU"/>
        </w:rPr>
        <w:t xml:space="preserve"> областя</w:t>
      </w:r>
      <w:r w:rsidR="00AE195A" w:rsidRPr="00EC5A7B">
        <w:rPr>
          <w:rFonts w:asciiTheme="majorHAnsi" w:hAnsiTheme="majorHAnsi" w:cstheme="majorHAnsi"/>
          <w:sz w:val="24"/>
          <w:szCs w:val="24"/>
          <w:lang w:val="ru-MD" w:eastAsia="ru-RU"/>
        </w:rPr>
        <w:t>м</w:t>
      </w:r>
      <w:r w:rsidRPr="00EC5A7B">
        <w:rPr>
          <w:rFonts w:asciiTheme="majorHAnsi" w:hAnsiTheme="majorHAnsi" w:cstheme="majorHAnsi"/>
          <w:sz w:val="24"/>
          <w:szCs w:val="24"/>
          <w:lang w:val="ru-MD" w:eastAsia="ru-RU"/>
        </w:rPr>
        <w:t>, имеющи</w:t>
      </w:r>
      <w:r w:rsidR="00AE195A" w:rsidRPr="00EC5A7B">
        <w:rPr>
          <w:rFonts w:asciiTheme="majorHAnsi" w:hAnsiTheme="majorHAnsi" w:cstheme="majorHAnsi"/>
          <w:sz w:val="24"/>
          <w:szCs w:val="24"/>
          <w:lang w:val="ru-MD" w:eastAsia="ru-RU"/>
        </w:rPr>
        <w:t>м</w:t>
      </w:r>
      <w:r w:rsidRPr="00EC5A7B">
        <w:rPr>
          <w:rFonts w:asciiTheme="majorHAnsi" w:hAnsiTheme="majorHAnsi" w:cstheme="majorHAnsi"/>
          <w:sz w:val="24"/>
          <w:szCs w:val="24"/>
          <w:lang w:val="ru-MD" w:eastAsia="ru-RU"/>
        </w:rPr>
        <w:t xml:space="preserve"> отношение к деятельности Управления, справедливое распределение задач сотрудникам Управления, </w:t>
      </w:r>
      <w:r w:rsidR="00AE195A" w:rsidRPr="00EC5A7B">
        <w:rPr>
          <w:rFonts w:asciiTheme="majorHAnsi" w:hAnsiTheme="majorHAnsi" w:cstheme="majorHAnsi"/>
          <w:sz w:val="24"/>
          <w:szCs w:val="24"/>
          <w:lang w:val="ru-MD" w:eastAsia="ru-RU"/>
        </w:rPr>
        <w:t>подход</w:t>
      </w:r>
      <w:r w:rsidRPr="00EC5A7B">
        <w:rPr>
          <w:rFonts w:asciiTheme="majorHAnsi" w:hAnsiTheme="majorHAnsi" w:cstheme="majorHAnsi"/>
          <w:sz w:val="24"/>
          <w:szCs w:val="24"/>
          <w:lang w:val="ru-MD" w:eastAsia="ru-RU"/>
        </w:rPr>
        <w:t xml:space="preserve"> и продвижение </w:t>
      </w:r>
      <w:r w:rsidR="00AE195A" w:rsidRPr="00EC5A7B">
        <w:rPr>
          <w:rFonts w:asciiTheme="majorHAnsi" w:hAnsiTheme="majorHAnsi" w:cstheme="majorHAnsi"/>
          <w:sz w:val="24"/>
          <w:szCs w:val="24"/>
          <w:lang w:val="ru-MD" w:eastAsia="ru-RU"/>
        </w:rPr>
        <w:t>персонала</w:t>
      </w:r>
      <w:r w:rsidRPr="00EC5A7B">
        <w:rPr>
          <w:rFonts w:asciiTheme="majorHAnsi" w:hAnsiTheme="majorHAnsi" w:cstheme="majorHAnsi"/>
          <w:sz w:val="24"/>
          <w:szCs w:val="24"/>
          <w:lang w:val="ru-MD" w:eastAsia="ru-RU"/>
        </w:rPr>
        <w:t xml:space="preserve"> по принципу</w:t>
      </w:r>
      <w:r w:rsidR="00AE195A" w:rsidRPr="00EC5A7B">
        <w:rPr>
          <w:rFonts w:asciiTheme="majorHAnsi" w:hAnsiTheme="majorHAnsi" w:cstheme="majorHAnsi"/>
          <w:sz w:val="24"/>
          <w:szCs w:val="24"/>
          <w:lang w:val="ru-MD" w:eastAsia="ru-RU"/>
        </w:rPr>
        <w:t xml:space="preserve"> справедливости</w:t>
      </w:r>
      <w:r w:rsidRPr="00EC5A7B">
        <w:rPr>
          <w:rFonts w:asciiTheme="majorHAnsi" w:hAnsiTheme="majorHAnsi" w:cstheme="majorHAnsi"/>
          <w:sz w:val="24"/>
          <w:szCs w:val="24"/>
          <w:lang w:val="ru-MD" w:eastAsia="ru-RU"/>
        </w:rPr>
        <w:t xml:space="preserve">, принятие и </w:t>
      </w:r>
      <w:r w:rsidR="00AE195A" w:rsidRPr="00EC5A7B">
        <w:rPr>
          <w:rFonts w:asciiTheme="majorHAnsi" w:hAnsiTheme="majorHAnsi" w:cstheme="majorHAnsi"/>
          <w:sz w:val="24"/>
          <w:szCs w:val="24"/>
          <w:lang w:val="ru-MD" w:eastAsia="ru-RU"/>
        </w:rPr>
        <w:t xml:space="preserve">представление </w:t>
      </w:r>
      <w:r w:rsidRPr="00EC5A7B">
        <w:rPr>
          <w:rFonts w:asciiTheme="majorHAnsi" w:hAnsiTheme="majorHAnsi" w:cstheme="majorHAnsi"/>
          <w:sz w:val="24"/>
          <w:szCs w:val="24"/>
          <w:lang w:val="ru-MD" w:eastAsia="ru-RU"/>
        </w:rPr>
        <w:t>отчетност</w:t>
      </w:r>
      <w:r w:rsidR="00AE195A"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 xml:space="preserve"> Центр</w:t>
      </w:r>
      <w:r w:rsidR="00AE195A" w:rsidRPr="00EC5A7B">
        <w:rPr>
          <w:rFonts w:asciiTheme="majorHAnsi" w:hAnsiTheme="majorHAnsi" w:cstheme="majorHAnsi"/>
          <w:sz w:val="24"/>
          <w:szCs w:val="24"/>
          <w:lang w:val="ru-MD" w:eastAsia="ru-RU"/>
        </w:rPr>
        <w:t>у</w:t>
      </w:r>
      <w:r w:rsidRPr="00EC5A7B">
        <w:rPr>
          <w:rFonts w:asciiTheme="majorHAnsi" w:hAnsiTheme="majorHAnsi" w:cstheme="majorHAnsi"/>
          <w:sz w:val="24"/>
          <w:szCs w:val="24"/>
          <w:lang w:val="ru-MD" w:eastAsia="ru-RU"/>
        </w:rPr>
        <w:t xml:space="preserve"> информационных технологий в области финансов </w:t>
      </w:r>
      <w:r w:rsidR="00AE195A" w:rsidRPr="00EC5A7B">
        <w:rPr>
          <w:rFonts w:asciiTheme="majorHAnsi" w:hAnsiTheme="majorHAnsi" w:cstheme="majorHAnsi"/>
          <w:sz w:val="24"/>
          <w:szCs w:val="24"/>
          <w:lang w:val="ru-MD" w:eastAsia="ru-RU"/>
        </w:rPr>
        <w:t xml:space="preserve">по </w:t>
      </w:r>
      <w:r w:rsidRPr="00EC5A7B">
        <w:rPr>
          <w:rFonts w:asciiTheme="majorHAnsi" w:hAnsiTheme="majorHAnsi" w:cstheme="majorHAnsi"/>
          <w:sz w:val="24"/>
          <w:szCs w:val="24"/>
          <w:lang w:val="ru-MD" w:eastAsia="ru-RU"/>
        </w:rPr>
        <w:t>выявленны</w:t>
      </w:r>
      <w:r w:rsidR="00AE195A" w:rsidRPr="00EC5A7B">
        <w:rPr>
          <w:rFonts w:asciiTheme="majorHAnsi" w:hAnsiTheme="majorHAnsi" w:cstheme="majorHAnsi"/>
          <w:sz w:val="24"/>
          <w:szCs w:val="24"/>
          <w:lang w:val="ru-MD" w:eastAsia="ru-RU"/>
        </w:rPr>
        <w:t>м</w:t>
      </w:r>
      <w:r w:rsidRPr="00EC5A7B">
        <w:rPr>
          <w:rFonts w:asciiTheme="majorHAnsi" w:hAnsiTheme="majorHAnsi" w:cstheme="majorHAnsi"/>
          <w:sz w:val="24"/>
          <w:szCs w:val="24"/>
          <w:lang w:val="ru-MD" w:eastAsia="ru-RU"/>
        </w:rPr>
        <w:t xml:space="preserve"> проблем</w:t>
      </w:r>
      <w:r w:rsidR="00AE195A" w:rsidRPr="00EC5A7B">
        <w:rPr>
          <w:rFonts w:asciiTheme="majorHAnsi" w:hAnsiTheme="majorHAnsi" w:cstheme="majorHAnsi"/>
          <w:sz w:val="24"/>
          <w:szCs w:val="24"/>
          <w:lang w:val="ru-MD" w:eastAsia="ru-RU"/>
        </w:rPr>
        <w:t>ам</w:t>
      </w:r>
      <w:r w:rsidRPr="00EC5A7B">
        <w:rPr>
          <w:rFonts w:asciiTheme="majorHAnsi" w:hAnsiTheme="majorHAnsi" w:cstheme="majorHAnsi"/>
          <w:sz w:val="24"/>
          <w:szCs w:val="24"/>
          <w:lang w:val="ru-MD" w:eastAsia="ru-RU"/>
        </w:rPr>
        <w:t xml:space="preserve">, передача </w:t>
      </w:r>
      <w:r w:rsidR="00AE195A" w:rsidRPr="00EC5A7B">
        <w:rPr>
          <w:rFonts w:asciiTheme="majorHAnsi" w:hAnsiTheme="majorHAnsi" w:cstheme="majorHAnsi"/>
          <w:sz w:val="24"/>
          <w:szCs w:val="24"/>
          <w:lang w:val="ru-MD" w:eastAsia="ru-RU"/>
        </w:rPr>
        <w:t>важно</w:t>
      </w:r>
      <w:r w:rsidRPr="00EC5A7B">
        <w:rPr>
          <w:rFonts w:asciiTheme="majorHAnsi" w:hAnsiTheme="majorHAnsi" w:cstheme="majorHAnsi"/>
          <w:sz w:val="24"/>
          <w:szCs w:val="24"/>
          <w:lang w:val="ru-MD" w:eastAsia="ru-RU"/>
        </w:rPr>
        <w:t>й информации на бумажном носителе, регулярное выполнение процедур проверки использ</w:t>
      </w:r>
      <w:r w:rsidR="00AE195A" w:rsidRPr="00EC5A7B">
        <w:rPr>
          <w:rFonts w:asciiTheme="majorHAnsi" w:hAnsiTheme="majorHAnsi" w:cstheme="majorHAnsi"/>
          <w:sz w:val="24"/>
          <w:szCs w:val="24"/>
          <w:lang w:val="ru-MD" w:eastAsia="ru-RU"/>
        </w:rPr>
        <w:t>уемых ИС</w:t>
      </w:r>
      <w:r w:rsidRPr="00EC5A7B">
        <w:rPr>
          <w:rFonts w:asciiTheme="majorHAnsi" w:hAnsiTheme="majorHAnsi" w:cstheme="majorHAnsi"/>
          <w:sz w:val="24"/>
          <w:szCs w:val="24"/>
          <w:lang w:val="ru-MD" w:eastAsia="ru-RU"/>
        </w:rPr>
        <w:t xml:space="preserve"> и т. д</w:t>
      </w:r>
      <w:r w:rsidR="009B614E" w:rsidRPr="00EC5A7B">
        <w:rPr>
          <w:rFonts w:asciiTheme="majorHAnsi" w:hAnsiTheme="majorHAnsi" w:cstheme="majorHAnsi"/>
          <w:sz w:val="24"/>
          <w:szCs w:val="24"/>
          <w:lang w:val="ru-MD" w:eastAsia="ru-RU"/>
        </w:rPr>
        <w:t>.</w:t>
      </w:r>
      <w:r w:rsidR="004F04CF" w:rsidRPr="00EC5A7B">
        <w:rPr>
          <w:rFonts w:asciiTheme="majorHAnsi" w:hAnsiTheme="majorHAnsi" w:cstheme="majorHAnsi"/>
          <w:sz w:val="24"/>
          <w:szCs w:val="24"/>
          <w:lang w:val="ru-MD" w:eastAsia="ru-RU"/>
        </w:rPr>
        <w:t xml:space="preserve"> </w:t>
      </w:r>
    </w:p>
    <w:p w14:paraId="14B00196" w14:textId="18A0A511" w:rsidR="003D7C2D" w:rsidRPr="00EC5A7B" w:rsidRDefault="00443BC8" w:rsidP="004F04CF">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В </w:t>
      </w:r>
      <w:r w:rsidR="00AE195A" w:rsidRPr="00EC5A7B">
        <w:rPr>
          <w:rFonts w:asciiTheme="majorHAnsi" w:hAnsiTheme="majorHAnsi" w:cstheme="majorHAnsi"/>
          <w:sz w:val="24"/>
          <w:szCs w:val="24"/>
          <w:lang w:val="ru-MD" w:eastAsia="ru-RU"/>
        </w:rPr>
        <w:t xml:space="preserve">рамках </w:t>
      </w:r>
      <w:r w:rsidRPr="00EC5A7B">
        <w:rPr>
          <w:rFonts w:asciiTheme="majorHAnsi" w:hAnsiTheme="majorHAnsi" w:cstheme="majorHAnsi"/>
          <w:sz w:val="24"/>
          <w:szCs w:val="24"/>
          <w:lang w:val="ru-MD" w:eastAsia="ru-RU"/>
        </w:rPr>
        <w:t>процесс</w:t>
      </w:r>
      <w:r w:rsidR="00AE195A" w:rsidRPr="00EC5A7B">
        <w:rPr>
          <w:rFonts w:asciiTheme="majorHAnsi" w:hAnsiTheme="majorHAnsi" w:cstheme="majorHAnsi"/>
          <w:sz w:val="24"/>
          <w:szCs w:val="24"/>
          <w:lang w:val="ru-MD" w:eastAsia="ru-RU"/>
        </w:rPr>
        <w:t>а по</w:t>
      </w:r>
      <w:r w:rsidRPr="00EC5A7B">
        <w:rPr>
          <w:rFonts w:asciiTheme="majorHAnsi" w:hAnsiTheme="majorHAnsi" w:cstheme="majorHAnsi"/>
          <w:sz w:val="24"/>
          <w:szCs w:val="24"/>
          <w:lang w:val="ru-MD" w:eastAsia="ru-RU"/>
        </w:rPr>
        <w:t xml:space="preserve"> управлени</w:t>
      </w:r>
      <w:r w:rsidR="00AE195A" w:rsidRPr="00EC5A7B">
        <w:rPr>
          <w:rFonts w:asciiTheme="majorHAnsi" w:hAnsiTheme="majorHAnsi" w:cstheme="majorHAnsi"/>
          <w:sz w:val="24"/>
          <w:szCs w:val="24"/>
          <w:lang w:val="ru-MD" w:eastAsia="ru-RU"/>
        </w:rPr>
        <w:t>ю</w:t>
      </w:r>
      <w:r w:rsidRPr="00EC5A7B">
        <w:rPr>
          <w:rFonts w:asciiTheme="majorHAnsi" w:hAnsiTheme="majorHAnsi" w:cstheme="majorHAnsi"/>
          <w:sz w:val="24"/>
          <w:szCs w:val="24"/>
          <w:lang w:val="ru-MD" w:eastAsia="ru-RU"/>
        </w:rPr>
        <w:t xml:space="preserve"> </w:t>
      </w:r>
      <w:r w:rsidR="00AE195A" w:rsidRPr="00EC5A7B">
        <w:rPr>
          <w:rFonts w:asciiTheme="majorHAnsi" w:hAnsiTheme="majorHAnsi" w:cstheme="majorHAnsi"/>
          <w:sz w:val="24"/>
          <w:szCs w:val="24"/>
          <w:lang w:val="ru-MD" w:eastAsia="ru-RU"/>
        </w:rPr>
        <w:t>государствен</w:t>
      </w:r>
      <w:r w:rsidRPr="00EC5A7B">
        <w:rPr>
          <w:rFonts w:asciiTheme="majorHAnsi" w:hAnsiTheme="majorHAnsi" w:cstheme="majorHAnsi"/>
          <w:sz w:val="24"/>
          <w:szCs w:val="24"/>
          <w:lang w:val="ru-MD" w:eastAsia="ru-RU"/>
        </w:rPr>
        <w:t xml:space="preserve">ным долгом используются две информационные системы: </w:t>
      </w:r>
      <w:r w:rsidR="00AE195A" w:rsidRPr="00EC5A7B">
        <w:rPr>
          <w:rFonts w:asciiTheme="majorHAnsi" w:hAnsiTheme="majorHAnsi" w:cstheme="majorHAnsi"/>
          <w:sz w:val="24"/>
          <w:szCs w:val="24"/>
          <w:lang w:val="ru-MD" w:eastAsia="ru-RU"/>
        </w:rPr>
        <w:t>ИС</w:t>
      </w:r>
      <w:r w:rsidRPr="00EC5A7B">
        <w:rPr>
          <w:rFonts w:asciiTheme="majorHAnsi" w:hAnsiTheme="majorHAnsi" w:cstheme="majorHAnsi"/>
          <w:sz w:val="24"/>
          <w:szCs w:val="24"/>
          <w:lang w:val="ru-MD" w:eastAsia="ru-RU"/>
        </w:rPr>
        <w:t xml:space="preserve"> DMFAS</w:t>
      </w:r>
      <w:r w:rsidR="00AE195A"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w:t>
      </w:r>
      <w:r w:rsidR="00AE195A"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используется для регистрации, мониторинга, отчетности, распространения и анализа </w:t>
      </w:r>
      <w:r w:rsidR="00AE195A" w:rsidRPr="00EC5A7B">
        <w:rPr>
          <w:rFonts w:asciiTheme="majorHAnsi" w:hAnsiTheme="majorHAnsi" w:cstheme="majorHAnsi"/>
          <w:sz w:val="24"/>
          <w:szCs w:val="24"/>
          <w:lang w:val="ru-MD" w:eastAsia="ru-RU"/>
        </w:rPr>
        <w:t>долга</w:t>
      </w:r>
      <w:r w:rsidRPr="00EC5A7B">
        <w:rPr>
          <w:rFonts w:asciiTheme="majorHAnsi" w:hAnsiTheme="majorHAnsi" w:cstheme="majorHAnsi"/>
          <w:sz w:val="24"/>
          <w:szCs w:val="24"/>
          <w:lang w:val="ru-MD" w:eastAsia="ru-RU"/>
        </w:rPr>
        <w:t xml:space="preserve"> </w:t>
      </w:r>
      <w:r w:rsidR="00AE195A" w:rsidRPr="00EC5A7B">
        <w:rPr>
          <w:rFonts w:asciiTheme="majorHAnsi" w:hAnsiTheme="majorHAnsi" w:cstheme="majorHAnsi"/>
          <w:sz w:val="24"/>
          <w:szCs w:val="24"/>
          <w:lang w:val="ru-MD" w:eastAsia="ru-RU"/>
        </w:rPr>
        <w:t>публич</w:t>
      </w:r>
      <w:r w:rsidRPr="00EC5A7B">
        <w:rPr>
          <w:rFonts w:asciiTheme="majorHAnsi" w:hAnsiTheme="majorHAnsi" w:cstheme="majorHAnsi"/>
          <w:sz w:val="24"/>
          <w:szCs w:val="24"/>
          <w:lang w:val="ru-MD" w:eastAsia="ru-RU"/>
        </w:rPr>
        <w:t xml:space="preserve">ного сектора, и </w:t>
      </w:r>
      <w:r w:rsidR="00AE195A" w:rsidRPr="00EC5A7B">
        <w:rPr>
          <w:rFonts w:asciiTheme="majorHAnsi" w:hAnsiTheme="majorHAnsi" w:cstheme="majorHAnsi"/>
          <w:sz w:val="24"/>
          <w:szCs w:val="24"/>
          <w:lang w:val="ru-MD" w:eastAsia="ru-RU"/>
        </w:rPr>
        <w:t>ИС</w:t>
      </w:r>
      <w:r w:rsidRPr="00EC5A7B">
        <w:rPr>
          <w:rFonts w:asciiTheme="majorHAnsi" w:hAnsiTheme="majorHAnsi" w:cstheme="majorHAnsi"/>
          <w:sz w:val="24"/>
          <w:szCs w:val="24"/>
          <w:lang w:val="ru-MD" w:eastAsia="ru-RU"/>
        </w:rPr>
        <w:t xml:space="preserve"> Bloomberg Professional Service-используется для мониторинга выполнения первичными дилерами минимальных обязательств по ежедневной котировке ГЦБ, эволюции процентных ставок на вторичном рынке и объемов, </w:t>
      </w:r>
      <w:r w:rsidR="00AE195A" w:rsidRPr="00EC5A7B">
        <w:rPr>
          <w:rFonts w:asciiTheme="majorHAnsi" w:hAnsiTheme="majorHAnsi" w:cstheme="majorHAnsi"/>
          <w:sz w:val="24"/>
          <w:szCs w:val="24"/>
          <w:lang w:val="ru-MD" w:eastAsia="ru-RU"/>
        </w:rPr>
        <w:t>продава</w:t>
      </w:r>
      <w:r w:rsidRPr="00EC5A7B">
        <w:rPr>
          <w:rFonts w:asciiTheme="majorHAnsi" w:hAnsiTheme="majorHAnsi" w:cstheme="majorHAnsi"/>
          <w:sz w:val="24"/>
          <w:szCs w:val="24"/>
          <w:lang w:val="ru-MD" w:eastAsia="ru-RU"/>
        </w:rPr>
        <w:t xml:space="preserve">емых на вторичном рынке ГЦБ, заключенных в </w:t>
      </w:r>
      <w:r w:rsidR="00AE195A" w:rsidRPr="00EC5A7B">
        <w:rPr>
          <w:rFonts w:asciiTheme="majorHAnsi" w:hAnsiTheme="majorHAnsi" w:cstheme="majorHAnsi"/>
          <w:bCs/>
          <w:sz w:val="24"/>
          <w:szCs w:val="24"/>
          <w:lang w:val="ru-MD" w:eastAsia="ru-RU"/>
        </w:rPr>
        <w:t>E-bond system</w:t>
      </w:r>
      <w:r w:rsidRPr="00EC5A7B">
        <w:rPr>
          <w:rFonts w:asciiTheme="majorHAnsi" w:hAnsiTheme="majorHAnsi" w:cstheme="majorHAnsi"/>
          <w:sz w:val="24"/>
          <w:szCs w:val="24"/>
          <w:lang w:val="ru-MD" w:eastAsia="ru-RU"/>
        </w:rPr>
        <w:t>; результат</w:t>
      </w:r>
      <w:r w:rsidR="00AE195A" w:rsidRPr="00EC5A7B">
        <w:rPr>
          <w:rFonts w:asciiTheme="majorHAnsi" w:hAnsiTheme="majorHAnsi" w:cstheme="majorHAnsi"/>
          <w:sz w:val="24"/>
          <w:szCs w:val="24"/>
          <w:lang w:val="ru-MD" w:eastAsia="ru-RU"/>
        </w:rPr>
        <w:t>ов</w:t>
      </w:r>
      <w:r w:rsidRPr="00EC5A7B">
        <w:rPr>
          <w:rFonts w:asciiTheme="majorHAnsi" w:hAnsiTheme="majorHAnsi" w:cstheme="majorHAnsi"/>
          <w:sz w:val="24"/>
          <w:szCs w:val="24"/>
          <w:lang w:val="ru-MD" w:eastAsia="ru-RU"/>
        </w:rPr>
        <w:t xml:space="preserve"> аукционов </w:t>
      </w:r>
      <w:r w:rsidR="00AE195A" w:rsidRPr="00EC5A7B">
        <w:rPr>
          <w:rFonts w:asciiTheme="majorHAnsi" w:hAnsiTheme="majorHAnsi" w:cstheme="majorHAnsi"/>
          <w:sz w:val="24"/>
          <w:szCs w:val="24"/>
          <w:lang w:val="ru-MD" w:eastAsia="ru-RU"/>
        </w:rPr>
        <w:t>ГЦБ</w:t>
      </w:r>
      <w:r w:rsidRPr="00EC5A7B">
        <w:rPr>
          <w:rFonts w:asciiTheme="majorHAnsi" w:hAnsiTheme="majorHAnsi" w:cstheme="majorHAnsi"/>
          <w:sz w:val="24"/>
          <w:szCs w:val="24"/>
          <w:lang w:val="ru-MD" w:eastAsia="ru-RU"/>
        </w:rPr>
        <w:t xml:space="preserve"> на первичном рынке, а также </w:t>
      </w:r>
      <w:r w:rsidR="00AE195A" w:rsidRPr="00EC5A7B">
        <w:rPr>
          <w:rFonts w:asciiTheme="majorHAnsi" w:hAnsiTheme="majorHAnsi" w:cstheme="majorHAnsi"/>
          <w:sz w:val="24"/>
          <w:szCs w:val="24"/>
          <w:lang w:val="ru-MD" w:eastAsia="ru-RU"/>
        </w:rPr>
        <w:t xml:space="preserve">обеспечения </w:t>
      </w:r>
      <w:r w:rsidRPr="00EC5A7B">
        <w:rPr>
          <w:rFonts w:asciiTheme="majorHAnsi" w:hAnsiTheme="majorHAnsi" w:cstheme="majorHAnsi"/>
          <w:sz w:val="24"/>
          <w:szCs w:val="24"/>
          <w:lang w:val="ru-MD" w:eastAsia="ru-RU"/>
        </w:rPr>
        <w:t>доступ</w:t>
      </w:r>
      <w:r w:rsidR="00AE195A" w:rsidRPr="00EC5A7B">
        <w:rPr>
          <w:rFonts w:asciiTheme="majorHAnsi" w:hAnsiTheme="majorHAnsi" w:cstheme="majorHAnsi"/>
          <w:sz w:val="24"/>
          <w:szCs w:val="24"/>
          <w:lang w:val="ru-MD" w:eastAsia="ru-RU"/>
        </w:rPr>
        <w:t>а</w:t>
      </w:r>
      <w:r w:rsidRPr="00EC5A7B">
        <w:rPr>
          <w:rFonts w:asciiTheme="majorHAnsi" w:hAnsiTheme="majorHAnsi" w:cstheme="majorHAnsi"/>
          <w:sz w:val="24"/>
          <w:szCs w:val="24"/>
          <w:lang w:val="ru-MD" w:eastAsia="ru-RU"/>
        </w:rPr>
        <w:t xml:space="preserve"> в режиме реального времени</w:t>
      </w:r>
      <w:r w:rsidR="00AE195A" w:rsidRPr="00EC5A7B">
        <w:rPr>
          <w:rFonts w:asciiTheme="majorHAnsi" w:hAnsiTheme="majorHAnsi" w:cstheme="majorHAnsi"/>
          <w:sz w:val="24"/>
          <w:szCs w:val="24"/>
          <w:lang w:val="ru-MD" w:eastAsia="ru-RU"/>
        </w:rPr>
        <w:t xml:space="preserve"> к некоторым данным</w:t>
      </w:r>
      <w:r w:rsidRPr="00EC5A7B">
        <w:rPr>
          <w:rFonts w:asciiTheme="majorHAnsi" w:hAnsiTheme="majorHAnsi" w:cstheme="majorHAnsi"/>
          <w:sz w:val="24"/>
          <w:szCs w:val="24"/>
          <w:lang w:val="ru-MD" w:eastAsia="ru-RU"/>
        </w:rPr>
        <w:t>, анализу, новостям финансового рынка по всему миру, необходимым в процессе управления государственным долгом</w:t>
      </w:r>
      <w:r w:rsidR="003D7C2D" w:rsidRPr="00EC5A7B">
        <w:rPr>
          <w:rFonts w:asciiTheme="majorHAnsi" w:hAnsiTheme="majorHAnsi" w:cstheme="majorHAnsi"/>
          <w:bCs/>
          <w:sz w:val="24"/>
          <w:szCs w:val="24"/>
          <w:lang w:val="ru-MD" w:eastAsia="ru-RU"/>
        </w:rPr>
        <w:t>.</w:t>
      </w:r>
    </w:p>
    <w:p w14:paraId="3F39A0C6" w14:textId="0D42C04A" w:rsidR="004F04CF" w:rsidRPr="00EC5A7B" w:rsidRDefault="00443BC8" w:rsidP="004F04CF">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Что касается риска, связанного с существующей информационной системой, </w:t>
      </w:r>
      <w:r w:rsidR="00C86131"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будет использовать </w:t>
      </w:r>
      <w:r w:rsidR="00C86131" w:rsidRPr="00EC5A7B">
        <w:rPr>
          <w:rFonts w:asciiTheme="majorHAnsi" w:hAnsiTheme="majorHAnsi" w:cstheme="majorHAnsi"/>
          <w:sz w:val="24"/>
          <w:szCs w:val="24"/>
          <w:lang w:val="ru-MD" w:eastAsia="ru-RU"/>
        </w:rPr>
        <w:t xml:space="preserve">в полной мере </w:t>
      </w:r>
      <w:r w:rsidRPr="00EC5A7B">
        <w:rPr>
          <w:rFonts w:asciiTheme="majorHAnsi" w:hAnsiTheme="majorHAnsi" w:cstheme="majorHAnsi"/>
          <w:sz w:val="24"/>
          <w:szCs w:val="24"/>
          <w:lang w:val="ru-MD" w:eastAsia="ru-RU"/>
        </w:rPr>
        <w:t xml:space="preserve">обновленную версию информационной системы </w:t>
      </w:r>
      <w:r w:rsidR="00C86131" w:rsidRPr="00EC5A7B">
        <w:rPr>
          <w:rFonts w:asciiTheme="majorHAnsi" w:hAnsiTheme="majorHAnsi" w:cstheme="majorHAnsi"/>
          <w:sz w:val="24"/>
          <w:szCs w:val="24"/>
          <w:lang w:val="ru-MD" w:eastAsia="ru-RU"/>
        </w:rPr>
        <w:t xml:space="preserve">по </w:t>
      </w:r>
      <w:r w:rsidRPr="00EC5A7B">
        <w:rPr>
          <w:rFonts w:asciiTheme="majorHAnsi" w:hAnsiTheme="majorHAnsi" w:cstheme="majorHAnsi"/>
          <w:sz w:val="24"/>
          <w:szCs w:val="24"/>
          <w:lang w:val="ru-MD" w:eastAsia="ru-RU"/>
        </w:rPr>
        <w:t>управлени</w:t>
      </w:r>
      <w:r w:rsidR="00C86131" w:rsidRPr="00EC5A7B">
        <w:rPr>
          <w:rFonts w:asciiTheme="majorHAnsi" w:hAnsiTheme="majorHAnsi" w:cstheme="majorHAnsi"/>
          <w:sz w:val="24"/>
          <w:szCs w:val="24"/>
          <w:lang w:val="ru-MD" w:eastAsia="ru-RU"/>
        </w:rPr>
        <w:t>ю</w:t>
      </w:r>
      <w:r w:rsidRPr="00EC5A7B">
        <w:rPr>
          <w:rFonts w:asciiTheme="majorHAnsi" w:hAnsiTheme="majorHAnsi" w:cstheme="majorHAnsi"/>
          <w:sz w:val="24"/>
          <w:szCs w:val="24"/>
          <w:lang w:val="ru-MD" w:eastAsia="ru-RU"/>
        </w:rPr>
        <w:t xml:space="preserve"> </w:t>
      </w:r>
      <w:r w:rsidR="00C86131" w:rsidRPr="00EC5A7B">
        <w:rPr>
          <w:rFonts w:asciiTheme="majorHAnsi" w:hAnsiTheme="majorHAnsi" w:cstheme="majorHAnsi"/>
          <w:sz w:val="24"/>
          <w:szCs w:val="24"/>
          <w:lang w:val="ru-MD" w:eastAsia="ru-RU"/>
        </w:rPr>
        <w:lastRenderedPageBreak/>
        <w:t>долга</w:t>
      </w:r>
      <w:r w:rsidRPr="00EC5A7B">
        <w:rPr>
          <w:rFonts w:asciiTheme="majorHAnsi" w:hAnsiTheme="majorHAnsi" w:cstheme="majorHAnsi"/>
          <w:sz w:val="24"/>
          <w:szCs w:val="24"/>
          <w:lang w:val="ru-MD" w:eastAsia="ru-RU"/>
        </w:rPr>
        <w:t xml:space="preserve"> DMFAS 6.1, установленной в 2016 году, и регулярно выполнять процедуры проверки базы данных в соответствии с </w:t>
      </w:r>
      <w:r w:rsidR="00C86131" w:rsidRPr="00EC5A7B">
        <w:rPr>
          <w:rFonts w:asciiTheme="majorHAnsi" w:hAnsiTheme="majorHAnsi" w:cstheme="majorHAnsi"/>
          <w:sz w:val="24"/>
          <w:szCs w:val="24"/>
          <w:lang w:val="ru-MD" w:eastAsia="ru-RU"/>
        </w:rPr>
        <w:t>графиком</w:t>
      </w:r>
      <w:r w:rsidRPr="00EC5A7B">
        <w:rPr>
          <w:rFonts w:asciiTheme="majorHAnsi" w:hAnsiTheme="majorHAnsi" w:cstheme="majorHAnsi"/>
          <w:sz w:val="24"/>
          <w:szCs w:val="24"/>
          <w:lang w:val="ru-MD" w:eastAsia="ru-RU"/>
        </w:rPr>
        <w:t xml:space="preserve"> проверки, разработанным UNCTAD и утвержденным </w:t>
      </w:r>
      <w:r w:rsidR="00C86131"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Функциональность системы также будет обеспечена UNCTAD, </w:t>
      </w:r>
      <w:r w:rsidR="00C86131" w:rsidRPr="00EC5A7B">
        <w:rPr>
          <w:rFonts w:asciiTheme="majorHAnsi" w:hAnsiTheme="majorHAnsi" w:cstheme="majorHAnsi"/>
          <w:sz w:val="24"/>
          <w:szCs w:val="24"/>
          <w:lang w:val="ru-MD" w:eastAsia="ru-RU"/>
        </w:rPr>
        <w:t>в частности, посредством</w:t>
      </w:r>
      <w:r w:rsidRPr="00EC5A7B">
        <w:rPr>
          <w:rFonts w:asciiTheme="majorHAnsi" w:hAnsiTheme="majorHAnsi" w:cstheme="majorHAnsi"/>
          <w:sz w:val="24"/>
          <w:szCs w:val="24"/>
          <w:lang w:val="ru-MD" w:eastAsia="ru-RU"/>
        </w:rPr>
        <w:t xml:space="preserve"> онлайн-</w:t>
      </w:r>
      <w:r w:rsidR="00C86131" w:rsidRPr="00EC5A7B">
        <w:rPr>
          <w:rFonts w:asciiTheme="majorHAnsi" w:hAnsiTheme="majorHAnsi" w:cstheme="majorHAnsi"/>
          <w:sz w:val="24"/>
          <w:szCs w:val="24"/>
          <w:lang w:val="ru-MD" w:eastAsia="ru-RU"/>
        </w:rPr>
        <w:t>услуги</w:t>
      </w:r>
      <w:r w:rsidRPr="00EC5A7B">
        <w:rPr>
          <w:rFonts w:asciiTheme="majorHAnsi" w:hAnsiTheme="majorHAnsi" w:cstheme="majorHAnsi"/>
          <w:sz w:val="24"/>
          <w:szCs w:val="24"/>
          <w:lang w:val="ru-MD" w:eastAsia="ru-RU"/>
        </w:rPr>
        <w:t xml:space="preserve"> поддержки со стороны экспертов, ответственных за раз</w:t>
      </w:r>
      <w:r w:rsidR="00C86131" w:rsidRPr="00EC5A7B">
        <w:rPr>
          <w:rFonts w:asciiTheme="majorHAnsi" w:hAnsiTheme="majorHAnsi" w:cstheme="majorHAnsi"/>
          <w:sz w:val="24"/>
          <w:szCs w:val="24"/>
          <w:lang w:val="ru-MD" w:eastAsia="ru-RU"/>
        </w:rPr>
        <w:t>работку</w:t>
      </w:r>
      <w:r w:rsidRPr="00EC5A7B">
        <w:rPr>
          <w:rFonts w:asciiTheme="majorHAnsi" w:hAnsiTheme="majorHAnsi" w:cstheme="majorHAnsi"/>
          <w:sz w:val="24"/>
          <w:szCs w:val="24"/>
          <w:lang w:val="ru-MD" w:eastAsia="ru-RU"/>
        </w:rPr>
        <w:t xml:space="preserve"> системы. За техническое обслуживание </w:t>
      </w:r>
      <w:r w:rsidR="00C86131" w:rsidRPr="00EC5A7B">
        <w:rPr>
          <w:rFonts w:asciiTheme="majorHAnsi" w:hAnsiTheme="majorHAnsi" w:cstheme="majorHAnsi"/>
          <w:sz w:val="24"/>
          <w:szCs w:val="24"/>
          <w:lang w:val="ru-MD" w:eastAsia="ru-RU"/>
        </w:rPr>
        <w:t>ИС</w:t>
      </w:r>
      <w:r w:rsidRPr="00EC5A7B">
        <w:rPr>
          <w:rFonts w:asciiTheme="majorHAnsi" w:hAnsiTheme="majorHAnsi" w:cstheme="majorHAnsi"/>
          <w:sz w:val="24"/>
          <w:szCs w:val="24"/>
          <w:lang w:val="ru-MD" w:eastAsia="ru-RU"/>
        </w:rPr>
        <w:t xml:space="preserve"> DMFAS в 2019 году МФ оплатил</w:t>
      </w:r>
      <w:r w:rsidR="00C86131"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 </w:t>
      </w:r>
      <w:r w:rsidR="00C86131" w:rsidRPr="00EC5A7B">
        <w:rPr>
          <w:rFonts w:asciiTheme="majorHAnsi" w:hAnsiTheme="majorHAnsi" w:cstheme="majorHAnsi"/>
          <w:sz w:val="24"/>
          <w:szCs w:val="24"/>
          <w:lang w:val="ru-MD" w:eastAsia="ru-RU"/>
        </w:rPr>
        <w:t>UNCTAD</w:t>
      </w:r>
      <w:r w:rsidRPr="00EC5A7B">
        <w:rPr>
          <w:rFonts w:asciiTheme="majorHAnsi" w:hAnsiTheme="majorHAnsi" w:cstheme="majorHAnsi"/>
          <w:sz w:val="24"/>
          <w:szCs w:val="24"/>
          <w:lang w:val="ru-MD" w:eastAsia="ru-RU"/>
        </w:rPr>
        <w:t xml:space="preserve"> годовой взнос в размере 261,0 тыс. леев. В то же время, для </w:t>
      </w:r>
      <w:r w:rsidR="00C86131" w:rsidRPr="00EC5A7B">
        <w:rPr>
          <w:rFonts w:asciiTheme="majorHAnsi" w:hAnsiTheme="majorHAnsi" w:cstheme="majorHAnsi"/>
          <w:sz w:val="24"/>
          <w:szCs w:val="24"/>
          <w:lang w:val="ru-MD" w:eastAsia="ru-RU"/>
        </w:rPr>
        <w:t>поддержки</w:t>
      </w:r>
      <w:r w:rsidRPr="00EC5A7B">
        <w:rPr>
          <w:rFonts w:asciiTheme="majorHAnsi" w:hAnsiTheme="majorHAnsi" w:cstheme="majorHAnsi"/>
          <w:sz w:val="24"/>
          <w:szCs w:val="24"/>
          <w:lang w:val="ru-MD" w:eastAsia="ru-RU"/>
        </w:rPr>
        <w:t xml:space="preserve"> системы, которая обеспечивается Центром информационных технологий в финанс</w:t>
      </w:r>
      <w:r w:rsidR="00C86131" w:rsidRPr="00EC5A7B">
        <w:rPr>
          <w:rFonts w:asciiTheme="majorHAnsi" w:hAnsiTheme="majorHAnsi" w:cstheme="majorHAnsi"/>
          <w:sz w:val="24"/>
          <w:szCs w:val="24"/>
          <w:lang w:val="ru-MD" w:eastAsia="ru-RU"/>
        </w:rPr>
        <w:t>ах</w:t>
      </w:r>
      <w:r w:rsidRPr="00EC5A7B">
        <w:rPr>
          <w:rFonts w:asciiTheme="majorHAnsi" w:hAnsiTheme="majorHAnsi" w:cstheme="majorHAnsi"/>
          <w:sz w:val="24"/>
          <w:szCs w:val="24"/>
          <w:lang w:val="ru-MD" w:eastAsia="ru-RU"/>
        </w:rPr>
        <w:t>, в 2019 году была пере</w:t>
      </w:r>
      <w:r w:rsidR="00C86131" w:rsidRPr="00EC5A7B">
        <w:rPr>
          <w:rFonts w:asciiTheme="majorHAnsi" w:hAnsiTheme="majorHAnsi" w:cstheme="majorHAnsi"/>
          <w:sz w:val="24"/>
          <w:szCs w:val="24"/>
          <w:lang w:val="ru-MD" w:eastAsia="ru-RU"/>
        </w:rPr>
        <w:t>числ</w:t>
      </w:r>
      <w:r w:rsidRPr="00EC5A7B">
        <w:rPr>
          <w:rFonts w:asciiTheme="majorHAnsi" w:hAnsiTheme="majorHAnsi" w:cstheme="majorHAnsi"/>
          <w:sz w:val="24"/>
          <w:szCs w:val="24"/>
          <w:lang w:val="ru-MD" w:eastAsia="ru-RU"/>
        </w:rPr>
        <w:t>ена сумма в 214,4 тыс. леев</w:t>
      </w:r>
      <w:r w:rsidR="003D7C2D" w:rsidRPr="00EC5A7B">
        <w:rPr>
          <w:rFonts w:asciiTheme="majorHAnsi" w:hAnsiTheme="majorHAnsi" w:cstheme="majorHAnsi"/>
          <w:sz w:val="24"/>
          <w:szCs w:val="24"/>
          <w:lang w:val="ru-MD" w:eastAsia="ru-RU"/>
        </w:rPr>
        <w:t>.</w:t>
      </w:r>
    </w:p>
    <w:p w14:paraId="20D99822" w14:textId="636F8486" w:rsidR="003D7C2D" w:rsidRPr="00EC5A7B" w:rsidRDefault="007A5A6A" w:rsidP="004F04CF">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Техническое обслуживание </w:t>
      </w:r>
      <w:r w:rsidR="00C86131" w:rsidRPr="00EC5A7B">
        <w:rPr>
          <w:rFonts w:asciiTheme="majorHAnsi" w:hAnsiTheme="majorHAnsi" w:cstheme="majorHAnsi"/>
          <w:sz w:val="24"/>
          <w:szCs w:val="24"/>
          <w:lang w:val="ru-MD" w:eastAsia="ru-RU"/>
        </w:rPr>
        <w:t>ИС</w:t>
      </w:r>
      <w:r w:rsidRPr="00EC5A7B">
        <w:rPr>
          <w:rFonts w:asciiTheme="majorHAnsi" w:hAnsiTheme="majorHAnsi" w:cstheme="majorHAnsi"/>
          <w:sz w:val="24"/>
          <w:szCs w:val="24"/>
          <w:lang w:val="ru-MD" w:eastAsia="ru-RU"/>
        </w:rPr>
        <w:t xml:space="preserve"> Bloomberg Professional Service обеспечивается Bloombeg Finance LP</w:t>
      </w:r>
      <w:r w:rsidR="00C86131"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и его стоимость в 2019 </w:t>
      </w:r>
      <w:r w:rsidR="00C86131" w:rsidRPr="00EC5A7B">
        <w:rPr>
          <w:rFonts w:asciiTheme="majorHAnsi" w:hAnsiTheme="majorHAnsi" w:cstheme="majorHAnsi"/>
          <w:sz w:val="24"/>
          <w:szCs w:val="24"/>
          <w:lang w:val="ru-MD" w:eastAsia="ru-RU"/>
        </w:rPr>
        <w:t>году составила 449,6 тыс. леев</w:t>
      </w:r>
      <w:r w:rsidR="003D7C2D" w:rsidRPr="00EC5A7B">
        <w:rPr>
          <w:rFonts w:asciiTheme="majorHAnsi" w:hAnsiTheme="majorHAnsi" w:cstheme="majorHAnsi"/>
          <w:bCs/>
          <w:sz w:val="24"/>
          <w:szCs w:val="24"/>
          <w:lang w:val="ru-MD" w:eastAsia="ru-RU"/>
        </w:rPr>
        <w:t>.</w:t>
      </w:r>
    </w:p>
    <w:p w14:paraId="56AE1FC6" w14:textId="50C5583C" w:rsidR="005B4DA0" w:rsidRPr="00EC5A7B" w:rsidRDefault="007A5A6A" w:rsidP="00055934">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Для снижения операционного риска, начиная с 20.10.2018, резервные копии </w:t>
      </w:r>
      <w:r w:rsidR="00C86131" w:rsidRPr="00EC5A7B">
        <w:rPr>
          <w:rFonts w:asciiTheme="majorHAnsi" w:hAnsiTheme="majorHAnsi" w:cstheme="majorHAnsi"/>
          <w:sz w:val="24"/>
          <w:szCs w:val="24"/>
          <w:lang w:val="ru-MD" w:eastAsia="ru-RU"/>
        </w:rPr>
        <w:t>ИС</w:t>
      </w:r>
      <w:r w:rsidRPr="00EC5A7B">
        <w:rPr>
          <w:rFonts w:asciiTheme="majorHAnsi" w:hAnsiTheme="majorHAnsi" w:cstheme="majorHAnsi"/>
          <w:sz w:val="24"/>
          <w:szCs w:val="24"/>
          <w:lang w:val="ru-MD" w:eastAsia="ru-RU"/>
        </w:rPr>
        <w:t xml:space="preserve"> DMFAS хранятся в двух местах: в </w:t>
      </w:r>
      <w:r w:rsidR="00C86131"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(Центре информационных технологий в финанс</w:t>
      </w:r>
      <w:r w:rsidR="00C86131" w:rsidRPr="00EC5A7B">
        <w:rPr>
          <w:rFonts w:asciiTheme="majorHAnsi" w:hAnsiTheme="majorHAnsi" w:cstheme="majorHAnsi"/>
          <w:sz w:val="24"/>
          <w:szCs w:val="24"/>
          <w:lang w:val="ru-MD" w:eastAsia="ru-RU"/>
        </w:rPr>
        <w:t>ах</w:t>
      </w:r>
      <w:r w:rsidRPr="00EC5A7B">
        <w:rPr>
          <w:rFonts w:asciiTheme="majorHAnsi" w:hAnsiTheme="majorHAnsi" w:cstheme="majorHAnsi"/>
          <w:sz w:val="24"/>
          <w:szCs w:val="24"/>
          <w:lang w:val="ru-MD" w:eastAsia="ru-RU"/>
        </w:rPr>
        <w:t>)и в Службе информационных технологий и кибербезопасности. Следующим предусмотренным этапом является определение альтернативного помещения для сотрудников ответственного управления, откуда они могли бы выполнять свою критическую деятельность</w:t>
      </w:r>
      <w:r w:rsidR="00C86131"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в случае невозможности доступа в </w:t>
      </w:r>
      <w:r w:rsidR="00C86131" w:rsidRPr="00EC5A7B">
        <w:rPr>
          <w:rFonts w:asciiTheme="majorHAnsi" w:hAnsiTheme="majorHAnsi" w:cstheme="majorHAnsi"/>
          <w:sz w:val="24"/>
          <w:szCs w:val="24"/>
          <w:lang w:val="ru-MD" w:eastAsia="ru-RU"/>
        </w:rPr>
        <w:t>здание</w:t>
      </w:r>
      <w:r w:rsidRPr="00EC5A7B">
        <w:rPr>
          <w:rFonts w:asciiTheme="majorHAnsi" w:hAnsiTheme="majorHAnsi" w:cstheme="majorHAnsi"/>
          <w:sz w:val="24"/>
          <w:szCs w:val="24"/>
          <w:lang w:val="ru-MD" w:eastAsia="ru-RU"/>
        </w:rPr>
        <w:t xml:space="preserve"> МФ</w:t>
      </w:r>
      <w:r w:rsidR="004F04CF" w:rsidRPr="00EC5A7B">
        <w:rPr>
          <w:rFonts w:asciiTheme="majorHAnsi" w:hAnsiTheme="majorHAnsi" w:cstheme="majorHAnsi"/>
          <w:sz w:val="24"/>
          <w:szCs w:val="24"/>
          <w:lang w:val="ru-MD" w:eastAsia="ru-RU"/>
        </w:rPr>
        <w:t>.</w:t>
      </w:r>
    </w:p>
    <w:p w14:paraId="7105DD72" w14:textId="3180030C" w:rsidR="007516B0" w:rsidRPr="00EC5A7B" w:rsidRDefault="007A5A6A" w:rsidP="00B97416">
      <w:pPr>
        <w:pStyle w:val="CommentText"/>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Таким образом, в результате </w:t>
      </w:r>
      <w:r w:rsidR="00C86131" w:rsidRPr="00EC5A7B">
        <w:rPr>
          <w:rFonts w:asciiTheme="majorHAnsi" w:hAnsiTheme="majorHAnsi" w:cstheme="majorHAnsi"/>
          <w:sz w:val="24"/>
          <w:szCs w:val="24"/>
          <w:lang w:val="ru-MD" w:eastAsia="ru-RU"/>
        </w:rPr>
        <w:t>принятия</w:t>
      </w:r>
      <w:r w:rsidRPr="00EC5A7B">
        <w:rPr>
          <w:rFonts w:asciiTheme="majorHAnsi" w:hAnsiTheme="majorHAnsi" w:cstheme="majorHAnsi"/>
          <w:sz w:val="24"/>
          <w:szCs w:val="24"/>
          <w:lang w:val="ru-MD" w:eastAsia="ru-RU"/>
        </w:rPr>
        <w:t xml:space="preserve"> МФ </w:t>
      </w:r>
      <w:r w:rsidR="00C86131" w:rsidRPr="00EC5A7B">
        <w:rPr>
          <w:rFonts w:asciiTheme="majorHAnsi" w:hAnsiTheme="majorHAnsi" w:cstheme="majorHAnsi"/>
          <w:sz w:val="24"/>
          <w:szCs w:val="24"/>
          <w:lang w:val="ru-MD" w:eastAsia="ru-RU"/>
        </w:rPr>
        <w:t xml:space="preserve">действий </w:t>
      </w:r>
      <w:r w:rsidRPr="00EC5A7B">
        <w:rPr>
          <w:rFonts w:asciiTheme="majorHAnsi" w:hAnsiTheme="majorHAnsi" w:cstheme="majorHAnsi"/>
          <w:sz w:val="24"/>
          <w:szCs w:val="24"/>
          <w:lang w:val="ru-MD" w:eastAsia="ru-RU"/>
        </w:rPr>
        <w:t xml:space="preserve">по </w:t>
      </w:r>
      <w:r w:rsidR="00C86131" w:rsidRPr="00EC5A7B">
        <w:rPr>
          <w:rFonts w:asciiTheme="majorHAnsi" w:hAnsiTheme="majorHAnsi" w:cstheme="majorHAnsi"/>
          <w:sz w:val="24"/>
          <w:szCs w:val="24"/>
          <w:lang w:val="ru-MD" w:eastAsia="ru-RU"/>
        </w:rPr>
        <w:t>выполн</w:t>
      </w:r>
      <w:r w:rsidRPr="00EC5A7B">
        <w:rPr>
          <w:rFonts w:asciiTheme="majorHAnsi" w:hAnsiTheme="majorHAnsi" w:cstheme="majorHAnsi"/>
          <w:sz w:val="24"/>
          <w:szCs w:val="24"/>
          <w:lang w:val="ru-MD" w:eastAsia="ru-RU"/>
        </w:rPr>
        <w:t>ению конкретных целей</w:t>
      </w:r>
      <w:r w:rsidR="00C86131"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отмечается, что не во всех случаях они достигли ожидаемого </w:t>
      </w:r>
      <w:r w:rsidR="00C86131" w:rsidRPr="00EC5A7B">
        <w:rPr>
          <w:rFonts w:asciiTheme="majorHAnsi" w:hAnsiTheme="majorHAnsi" w:cstheme="majorHAnsi"/>
          <w:sz w:val="24"/>
          <w:szCs w:val="24"/>
          <w:lang w:val="ru-MD" w:eastAsia="ru-RU"/>
        </w:rPr>
        <w:t>рвоздействия</w:t>
      </w:r>
      <w:r w:rsidRPr="00EC5A7B">
        <w:rPr>
          <w:rFonts w:asciiTheme="majorHAnsi" w:hAnsiTheme="majorHAnsi" w:cstheme="majorHAnsi"/>
          <w:sz w:val="24"/>
          <w:szCs w:val="24"/>
          <w:lang w:val="ru-MD" w:eastAsia="ru-RU"/>
        </w:rPr>
        <w:t xml:space="preserve">, хотя, </w:t>
      </w:r>
      <w:r w:rsidR="00C86131" w:rsidRPr="00EC5A7B">
        <w:rPr>
          <w:rFonts w:asciiTheme="majorHAnsi" w:hAnsiTheme="majorHAnsi" w:cstheme="majorHAnsi"/>
          <w:sz w:val="24"/>
          <w:szCs w:val="24"/>
          <w:lang w:val="ru-MD" w:eastAsia="ru-RU"/>
        </w:rPr>
        <w:t>согласно объяснениям</w:t>
      </w:r>
      <w:r w:rsidRPr="00EC5A7B">
        <w:rPr>
          <w:rFonts w:asciiTheme="majorHAnsi" w:hAnsiTheme="majorHAnsi" w:cstheme="majorHAnsi"/>
          <w:sz w:val="24"/>
          <w:szCs w:val="24"/>
          <w:lang w:val="ru-MD" w:eastAsia="ru-RU"/>
        </w:rPr>
        <w:t xml:space="preserve"> МФ: </w:t>
      </w:r>
      <w:r w:rsidR="00540415" w:rsidRPr="00EC5A7B">
        <w:rPr>
          <w:rFonts w:asciiTheme="majorHAnsi" w:hAnsiTheme="majorHAnsi" w:cstheme="majorHAnsi"/>
          <w:sz w:val="24"/>
          <w:szCs w:val="24"/>
          <w:lang w:val="ru-MD" w:eastAsia="ru-RU"/>
        </w:rPr>
        <w:t>„Д</w:t>
      </w:r>
      <w:r w:rsidRPr="00EC5A7B">
        <w:rPr>
          <w:rFonts w:asciiTheme="majorHAnsi" w:hAnsiTheme="majorHAnsi" w:cstheme="majorHAnsi"/>
          <w:sz w:val="24"/>
          <w:szCs w:val="24"/>
          <w:lang w:val="ru-MD" w:eastAsia="ru-RU"/>
        </w:rPr>
        <w:t xml:space="preserve">ействия устанавливаются на 3-летний </w:t>
      </w:r>
      <w:r w:rsidR="00540415" w:rsidRPr="00EC5A7B">
        <w:rPr>
          <w:rFonts w:asciiTheme="majorHAnsi" w:hAnsiTheme="majorHAnsi" w:cstheme="majorHAnsi"/>
          <w:sz w:val="24"/>
          <w:szCs w:val="24"/>
          <w:lang w:val="ru-MD" w:eastAsia="ru-RU"/>
        </w:rPr>
        <w:t>период</w:t>
      </w:r>
      <w:r w:rsidRPr="00EC5A7B">
        <w:rPr>
          <w:rFonts w:asciiTheme="majorHAnsi" w:hAnsiTheme="majorHAnsi" w:cstheme="majorHAnsi"/>
          <w:sz w:val="24"/>
          <w:szCs w:val="24"/>
          <w:lang w:val="ru-MD" w:eastAsia="ru-RU"/>
        </w:rPr>
        <w:t xml:space="preserve">, а </w:t>
      </w:r>
      <w:r w:rsidRPr="00EC5A7B">
        <w:rPr>
          <w:rFonts w:asciiTheme="majorHAnsi" w:hAnsiTheme="majorHAnsi" w:cstheme="majorHAnsi"/>
          <w:sz w:val="24"/>
          <w:szCs w:val="24"/>
          <w:lang w:val="ru-MD" w:eastAsia="ru-RU"/>
        </w:rPr>
        <w:lastRenderedPageBreak/>
        <w:t>при необходимости они обновляются ежегодно. Соответственно, нельзя утверждать, что эффект не был достигнут, анализируя только один год. В то же время</w:t>
      </w:r>
      <w:r w:rsidR="00540415"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достижение таких целей, как расширение </w:t>
      </w:r>
      <w:r w:rsidR="00540415" w:rsidRPr="00EC5A7B">
        <w:rPr>
          <w:rFonts w:asciiTheme="majorHAnsi" w:hAnsiTheme="majorHAnsi" w:cstheme="majorHAnsi"/>
          <w:sz w:val="24"/>
          <w:szCs w:val="24"/>
          <w:lang w:val="ru-MD" w:eastAsia="ru-RU"/>
        </w:rPr>
        <w:t>срока погашения</w:t>
      </w:r>
      <w:r w:rsidRPr="00EC5A7B">
        <w:rPr>
          <w:rFonts w:asciiTheme="majorHAnsi" w:hAnsiTheme="majorHAnsi" w:cstheme="majorHAnsi"/>
          <w:sz w:val="24"/>
          <w:szCs w:val="24"/>
          <w:lang w:val="ru-MD" w:eastAsia="ru-RU"/>
        </w:rPr>
        <w:t xml:space="preserve"> ГЦБ, зависит не только от деятельности Управления </w:t>
      </w:r>
      <w:r w:rsidR="00540415" w:rsidRPr="00EC5A7B">
        <w:rPr>
          <w:rFonts w:asciiTheme="majorHAnsi" w:hAnsiTheme="majorHAnsi" w:cstheme="majorHAnsi"/>
          <w:sz w:val="24"/>
          <w:szCs w:val="24"/>
          <w:lang w:val="ru-MD" w:eastAsia="ru-RU"/>
        </w:rPr>
        <w:t>публич</w:t>
      </w:r>
      <w:r w:rsidRPr="00EC5A7B">
        <w:rPr>
          <w:rFonts w:asciiTheme="majorHAnsi" w:hAnsiTheme="majorHAnsi" w:cstheme="majorHAnsi"/>
          <w:sz w:val="24"/>
          <w:szCs w:val="24"/>
          <w:lang w:val="ru-MD" w:eastAsia="ru-RU"/>
        </w:rPr>
        <w:t xml:space="preserve">ного долга, </w:t>
      </w:r>
      <w:r w:rsidR="00540415" w:rsidRPr="00EC5A7B">
        <w:rPr>
          <w:rFonts w:asciiTheme="majorHAnsi" w:hAnsiTheme="majorHAnsi" w:cstheme="majorHAnsi"/>
          <w:sz w:val="24"/>
          <w:szCs w:val="24"/>
          <w:lang w:val="ru-MD" w:eastAsia="ru-RU"/>
        </w:rPr>
        <w:t>существуют</w:t>
      </w:r>
      <w:r w:rsidRPr="00EC5A7B">
        <w:rPr>
          <w:rFonts w:asciiTheme="majorHAnsi" w:hAnsiTheme="majorHAnsi" w:cstheme="majorHAnsi"/>
          <w:sz w:val="24"/>
          <w:szCs w:val="24"/>
          <w:lang w:val="ru-MD" w:eastAsia="ru-RU"/>
        </w:rPr>
        <w:t xml:space="preserve"> и другие факторы, которые необходимо учитывать, такие как предпочтения инвесторов для определенных </w:t>
      </w:r>
      <w:r w:rsidR="00540415" w:rsidRPr="00EC5A7B">
        <w:rPr>
          <w:rFonts w:asciiTheme="majorHAnsi" w:hAnsiTheme="majorHAnsi" w:cstheme="majorHAnsi"/>
          <w:sz w:val="24"/>
          <w:szCs w:val="24"/>
          <w:lang w:val="ru-MD" w:eastAsia="ru-RU"/>
        </w:rPr>
        <w:t>сроков погашения</w:t>
      </w:r>
      <w:r w:rsidRPr="00EC5A7B">
        <w:rPr>
          <w:rFonts w:asciiTheme="majorHAnsi" w:hAnsiTheme="majorHAnsi" w:cstheme="majorHAnsi"/>
          <w:sz w:val="24"/>
          <w:szCs w:val="24"/>
          <w:lang w:val="ru-MD" w:eastAsia="ru-RU"/>
        </w:rPr>
        <w:t>, как правило, краткосрочн</w:t>
      </w:r>
      <w:r w:rsidR="00540415" w:rsidRPr="00EC5A7B">
        <w:rPr>
          <w:rFonts w:asciiTheme="majorHAnsi" w:hAnsiTheme="majorHAnsi" w:cstheme="majorHAnsi"/>
          <w:sz w:val="24"/>
          <w:szCs w:val="24"/>
          <w:lang w:val="ru-MD" w:eastAsia="ru-RU"/>
        </w:rPr>
        <w:t>ы</w:t>
      </w:r>
      <w:r w:rsidRPr="00EC5A7B">
        <w:rPr>
          <w:rFonts w:asciiTheme="majorHAnsi" w:hAnsiTheme="majorHAnsi" w:cstheme="majorHAnsi"/>
          <w:sz w:val="24"/>
          <w:szCs w:val="24"/>
          <w:lang w:val="ru-MD" w:eastAsia="ru-RU"/>
        </w:rPr>
        <w:t>й пер</w:t>
      </w:r>
      <w:r w:rsidR="00540415" w:rsidRPr="00EC5A7B">
        <w:rPr>
          <w:rFonts w:asciiTheme="majorHAnsi" w:hAnsiTheme="majorHAnsi" w:cstheme="majorHAnsi"/>
          <w:sz w:val="24"/>
          <w:szCs w:val="24"/>
          <w:lang w:val="ru-MD" w:eastAsia="ru-RU"/>
        </w:rPr>
        <w:t>иод</w:t>
      </w:r>
      <w:r w:rsidRPr="00EC5A7B">
        <w:rPr>
          <w:rFonts w:asciiTheme="majorHAnsi" w:hAnsiTheme="majorHAnsi" w:cstheme="majorHAnsi"/>
          <w:sz w:val="24"/>
          <w:szCs w:val="24"/>
          <w:lang w:val="ru-MD" w:eastAsia="ru-RU"/>
        </w:rPr>
        <w:t>, экономически</w:t>
      </w:r>
      <w:r w:rsidR="00540415" w:rsidRPr="00EC5A7B">
        <w:rPr>
          <w:rFonts w:asciiTheme="majorHAnsi" w:hAnsiTheme="majorHAnsi" w:cstheme="majorHAnsi"/>
          <w:sz w:val="24"/>
          <w:szCs w:val="24"/>
          <w:lang w:val="ru-MD" w:eastAsia="ru-RU"/>
        </w:rPr>
        <w:t>е</w:t>
      </w:r>
      <w:r w:rsidRPr="00EC5A7B">
        <w:rPr>
          <w:rFonts w:asciiTheme="majorHAnsi" w:hAnsiTheme="majorHAnsi" w:cstheme="majorHAnsi"/>
          <w:sz w:val="24"/>
          <w:szCs w:val="24"/>
          <w:lang w:val="ru-MD" w:eastAsia="ru-RU"/>
        </w:rPr>
        <w:t xml:space="preserve"> кризис</w:t>
      </w:r>
      <w:r w:rsidR="00540415" w:rsidRPr="00EC5A7B">
        <w:rPr>
          <w:rFonts w:asciiTheme="majorHAnsi" w:hAnsiTheme="majorHAnsi" w:cstheme="majorHAnsi"/>
          <w:sz w:val="24"/>
          <w:szCs w:val="24"/>
          <w:lang w:val="ru-MD" w:eastAsia="ru-RU"/>
        </w:rPr>
        <w:t>ы</w:t>
      </w:r>
      <w:r w:rsidRPr="00EC5A7B">
        <w:rPr>
          <w:rFonts w:asciiTheme="majorHAnsi" w:hAnsiTheme="majorHAnsi" w:cstheme="majorHAnsi"/>
          <w:sz w:val="24"/>
          <w:szCs w:val="24"/>
          <w:lang w:val="ru-MD" w:eastAsia="ru-RU"/>
        </w:rPr>
        <w:t xml:space="preserve"> и т.д.”</w:t>
      </w:r>
      <w:r w:rsidR="00540415" w:rsidRPr="00EC5A7B">
        <w:rPr>
          <w:rFonts w:asciiTheme="majorHAnsi" w:hAnsiTheme="majorHAnsi" w:cstheme="majorHAnsi"/>
          <w:sz w:val="24"/>
          <w:szCs w:val="24"/>
          <w:lang w:val="ru-MD" w:eastAsia="ru-RU"/>
        </w:rPr>
        <w:t>.</w:t>
      </w:r>
    </w:p>
    <w:p w14:paraId="727D8CD9" w14:textId="6CF26540" w:rsidR="000561FB" w:rsidRPr="00EC5A7B" w:rsidRDefault="00A9785A" w:rsidP="000B5BEA">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u-MD" w:eastAsia="ru-RU"/>
        </w:rPr>
      </w:pPr>
      <w:bookmarkStart w:id="18" w:name="_Toc63157267"/>
      <w:r w:rsidRPr="00EC5A7B">
        <w:rPr>
          <w:rFonts w:asciiTheme="majorHAnsi" w:eastAsia="Times New Roman" w:hAnsiTheme="majorHAnsi" w:cstheme="majorHAnsi"/>
          <w:b/>
          <w:bCs/>
          <w:color w:val="5B9BD5" w:themeColor="accent1"/>
          <w:sz w:val="24"/>
          <w:szCs w:val="24"/>
          <w:lang w:val="ru-MD" w:eastAsia="ru-RU"/>
        </w:rPr>
        <w:t>Конкретная цель</w:t>
      </w:r>
      <w:r w:rsidR="006023D2" w:rsidRPr="00EC5A7B">
        <w:rPr>
          <w:rFonts w:asciiTheme="majorHAnsi" w:eastAsia="Times New Roman" w:hAnsiTheme="majorHAnsi" w:cstheme="majorHAnsi"/>
          <w:b/>
          <w:bCs/>
          <w:color w:val="5B9BD5" w:themeColor="accent1"/>
          <w:sz w:val="24"/>
          <w:szCs w:val="24"/>
          <w:lang w:val="ru-MD" w:eastAsia="ru-RU"/>
        </w:rPr>
        <w:t xml:space="preserve"> III. </w:t>
      </w:r>
      <w:r w:rsidR="00A20873" w:rsidRPr="00EC5A7B">
        <w:rPr>
          <w:rFonts w:asciiTheme="majorHAnsi" w:eastAsia="Times New Roman" w:hAnsiTheme="majorHAnsi" w:cstheme="majorHAnsi"/>
          <w:b/>
          <w:bCs/>
          <w:color w:val="5B9BD5" w:themeColor="accent1"/>
          <w:sz w:val="24"/>
          <w:szCs w:val="24"/>
          <w:lang w:val="ru-MD" w:eastAsia="ru-RU"/>
        </w:rPr>
        <w:t>Оценка тенденций по предоставлению государственных гарантий</w:t>
      </w:r>
      <w:bookmarkEnd w:id="18"/>
    </w:p>
    <w:p w14:paraId="45B6D457" w14:textId="4D54F716" w:rsidR="00F85715" w:rsidRPr="00EC5A7B" w:rsidRDefault="00A20873" w:rsidP="00F85715">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rPr>
        <w:t xml:space="preserve">Сальдо государственных гарантий, выданных для гарантирования ипотечных кредитов, предназначенных для приобретения жилья в рамках Государственной программы </w:t>
      </w:r>
      <w:r w:rsidR="00EC5A7B">
        <w:rPr>
          <w:rFonts w:asciiTheme="majorHAnsi" w:hAnsiTheme="majorHAnsi" w:cstheme="majorHAnsi"/>
          <w:i/>
          <w:sz w:val="24"/>
          <w:szCs w:val="24"/>
          <w:lang w:val="ru-MD" w:eastAsia="ru-RU"/>
        </w:rPr>
        <w:t>“Первый дом”</w:t>
      </w:r>
      <w:r w:rsidRPr="00EC5A7B">
        <w:rPr>
          <w:rFonts w:asciiTheme="majorHAnsi" w:hAnsiTheme="majorHAnsi" w:cstheme="majorHAnsi"/>
          <w:i/>
          <w:sz w:val="24"/>
          <w:szCs w:val="24"/>
          <w:lang w:val="ru-MD" w:eastAsia="ru-RU"/>
        </w:rPr>
        <w:t xml:space="preserve">, </w:t>
      </w:r>
      <w:r w:rsidRPr="00EC5A7B">
        <w:rPr>
          <w:rFonts w:asciiTheme="majorHAnsi" w:hAnsiTheme="majorHAnsi" w:cstheme="majorHAnsi"/>
          <w:i/>
          <w:sz w:val="24"/>
          <w:szCs w:val="24"/>
          <w:lang w:val="ru-MD"/>
        </w:rPr>
        <w:t xml:space="preserve">составило </w:t>
      </w:r>
      <w:r w:rsidRPr="00EC5A7B">
        <w:rPr>
          <w:rFonts w:asciiTheme="majorHAnsi" w:hAnsiTheme="majorHAnsi" w:cstheme="majorHAnsi"/>
          <w:i/>
          <w:sz w:val="24"/>
          <w:szCs w:val="24"/>
          <w:lang w:val="ru-MD" w:eastAsia="ru-RU"/>
        </w:rPr>
        <w:t xml:space="preserve">928,6 млн. леев. </w:t>
      </w:r>
      <w:r w:rsidRPr="00EC5A7B">
        <w:rPr>
          <w:rFonts w:asciiTheme="majorHAnsi" w:hAnsiTheme="majorHAnsi" w:cstheme="majorHAnsi"/>
          <w:i/>
          <w:sz w:val="24"/>
          <w:szCs w:val="24"/>
          <w:lang w:val="ru-MD"/>
        </w:rPr>
        <w:t xml:space="preserve"> Одновременно, сальдо долга гарантированных дебиторов перед МФ </w:t>
      </w:r>
      <w:r w:rsidRPr="00EC5A7B">
        <w:rPr>
          <w:rFonts w:asciiTheme="majorHAnsi" w:hAnsiTheme="majorHAnsi" w:cstheme="majorHAnsi"/>
          <w:bCs/>
          <w:i/>
          <w:color w:val="000000"/>
          <w:sz w:val="24"/>
          <w:szCs w:val="24"/>
          <w:lang w:val="ru-MD" w:eastAsia="ru-RU"/>
        </w:rPr>
        <w:t>по состоянию на</w:t>
      </w:r>
      <w:r w:rsidRPr="00EC5A7B">
        <w:rPr>
          <w:rFonts w:ascii="Times New Roman" w:hAnsi="Times New Roman"/>
          <w:bCs/>
          <w:i/>
          <w:color w:val="000000"/>
          <w:sz w:val="28"/>
          <w:szCs w:val="28"/>
          <w:lang w:val="ru-MD" w:eastAsia="ru-RU"/>
        </w:rPr>
        <w:t xml:space="preserve"> </w:t>
      </w:r>
      <w:r w:rsidRPr="00EC5A7B">
        <w:rPr>
          <w:rFonts w:asciiTheme="majorHAnsi" w:hAnsiTheme="majorHAnsi" w:cstheme="majorHAnsi"/>
          <w:i/>
          <w:sz w:val="24"/>
          <w:szCs w:val="24"/>
          <w:lang w:val="ru-MD"/>
        </w:rPr>
        <w:t xml:space="preserve">31.12.2019 составило эквивалент </w:t>
      </w:r>
      <w:r w:rsidRPr="00EC5A7B">
        <w:rPr>
          <w:rFonts w:asciiTheme="majorHAnsi" w:hAnsiTheme="majorHAnsi" w:cstheme="majorHAnsi"/>
          <w:i/>
          <w:sz w:val="24"/>
          <w:szCs w:val="24"/>
          <w:lang w:val="ru-MD" w:eastAsia="ru-RU"/>
        </w:rPr>
        <w:t>431,1 млн. леев</w:t>
      </w:r>
      <w:r w:rsidRPr="00EC5A7B">
        <w:rPr>
          <w:rFonts w:asciiTheme="majorHAnsi" w:hAnsiTheme="majorHAnsi" w:cstheme="majorHAnsi"/>
          <w:i/>
          <w:sz w:val="24"/>
          <w:szCs w:val="24"/>
          <w:lang w:val="ru-MD"/>
        </w:rPr>
        <w:t>, и оно полностью целом с истекшим сроком погашения</w:t>
      </w:r>
      <w:r w:rsidR="00F85715" w:rsidRPr="00EC5A7B">
        <w:rPr>
          <w:rFonts w:asciiTheme="majorHAnsi" w:hAnsiTheme="majorHAnsi" w:cstheme="majorHAnsi"/>
          <w:i/>
          <w:sz w:val="24"/>
          <w:szCs w:val="24"/>
          <w:lang w:val="ru-MD" w:eastAsia="ru-RU"/>
        </w:rPr>
        <w:t>.</w:t>
      </w:r>
    </w:p>
    <w:p w14:paraId="32922F25" w14:textId="1C97655F" w:rsidR="00A20873" w:rsidRPr="00EC5A7B" w:rsidRDefault="00A20873" w:rsidP="00A20873">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u-MD" w:eastAsia="ru-RU"/>
        </w:rPr>
      </w:pPr>
      <w:bookmarkStart w:id="19" w:name="_Toc63157268"/>
      <w:r w:rsidRPr="00EC5A7B">
        <w:rPr>
          <w:rFonts w:asciiTheme="majorHAnsi" w:eastAsia="Times New Roman" w:hAnsiTheme="majorHAnsi" w:cstheme="majorHAnsi"/>
          <w:b/>
          <w:bCs/>
          <w:i/>
          <w:color w:val="5B9BD5" w:themeColor="accent1"/>
          <w:sz w:val="24"/>
          <w:szCs w:val="24"/>
          <w:lang w:val="ru-MD" w:eastAsia="ru-RU"/>
        </w:rPr>
        <w:t xml:space="preserve">Сальдо внутренних государственных гарантий, предоставленных в 2019 году в рамках Государственной программы </w:t>
      </w:r>
      <w:r w:rsidR="00EC5A7B">
        <w:rPr>
          <w:rFonts w:asciiTheme="majorHAnsi" w:eastAsia="Times New Roman" w:hAnsiTheme="majorHAnsi" w:cstheme="majorHAnsi"/>
          <w:b/>
          <w:bCs/>
          <w:i/>
          <w:color w:val="5B9BD5" w:themeColor="accent1"/>
          <w:sz w:val="24"/>
          <w:szCs w:val="24"/>
          <w:lang w:val="ru-MD" w:eastAsia="ru-RU"/>
        </w:rPr>
        <w:t>“Первый дом”</w:t>
      </w:r>
      <w:r w:rsidRPr="00EC5A7B">
        <w:rPr>
          <w:rFonts w:asciiTheme="majorHAnsi" w:eastAsia="Times New Roman" w:hAnsiTheme="majorHAnsi" w:cstheme="majorHAnsi"/>
          <w:b/>
          <w:bCs/>
          <w:i/>
          <w:color w:val="5B9BD5" w:themeColor="accent1"/>
          <w:sz w:val="24"/>
          <w:szCs w:val="24"/>
          <w:lang w:val="ru-MD" w:eastAsia="ru-RU"/>
        </w:rPr>
        <w:t>, значительно увеличилось</w:t>
      </w:r>
      <w:bookmarkEnd w:id="19"/>
    </w:p>
    <w:p w14:paraId="53CEE3E6" w14:textId="77777777" w:rsidR="00B97416" w:rsidRPr="00EC5A7B" w:rsidRDefault="00B97416" w:rsidP="00B97416">
      <w:pPr>
        <w:autoSpaceDE w:val="0"/>
        <w:autoSpaceDN w:val="0"/>
        <w:adjustRightInd w:val="0"/>
        <w:spacing w:line="240" w:lineRule="auto"/>
        <w:ind w:left="90"/>
        <w:contextualSpacing/>
        <w:jc w:val="both"/>
        <w:outlineLvl w:val="1"/>
        <w:rPr>
          <w:rFonts w:asciiTheme="majorHAnsi" w:eastAsia="Times New Roman" w:hAnsiTheme="majorHAnsi" w:cstheme="majorHAnsi"/>
          <w:b/>
          <w:bCs/>
          <w:i/>
          <w:color w:val="5B9BD5" w:themeColor="accent1"/>
          <w:sz w:val="24"/>
          <w:szCs w:val="24"/>
          <w:lang w:val="ru-MD" w:eastAsia="ru-RU"/>
        </w:rPr>
      </w:pPr>
    </w:p>
    <w:p w14:paraId="1E023059" w14:textId="54A956FD" w:rsidR="00D43501" w:rsidRPr="00EC5A7B" w:rsidRDefault="00E378B5" w:rsidP="00354DCC">
      <w:pPr>
        <w:shd w:val="clear" w:color="auto" w:fill="FFFFFF"/>
        <w:spacing w:after="240" w:line="276" w:lineRule="auto"/>
        <w:jc w:val="both"/>
        <w:rPr>
          <w:rFonts w:asciiTheme="majorHAnsi" w:hAnsiTheme="majorHAnsi" w:cstheme="majorHAnsi"/>
          <w:bCs/>
          <w:sz w:val="24"/>
          <w:szCs w:val="24"/>
          <w:lang w:val="ru-MD"/>
        </w:rPr>
      </w:pPr>
      <w:r w:rsidRPr="00EC5A7B">
        <w:rPr>
          <w:rFonts w:asciiTheme="majorHAnsi" w:hAnsiTheme="majorHAnsi" w:cstheme="majorHAnsi"/>
          <w:bCs/>
          <w:sz w:val="24"/>
          <w:szCs w:val="24"/>
          <w:lang w:val="ru-MD"/>
        </w:rPr>
        <w:t xml:space="preserve">Государственная программа </w:t>
      </w:r>
      <w:r w:rsidR="00EC5A7B">
        <w:rPr>
          <w:rFonts w:asciiTheme="majorHAnsi" w:hAnsiTheme="majorHAnsi" w:cstheme="majorHAnsi"/>
          <w:bCs/>
          <w:sz w:val="24"/>
          <w:szCs w:val="24"/>
          <w:lang w:val="ru-MD"/>
        </w:rPr>
        <w:t>“Первый дом”</w:t>
      </w:r>
      <w:r w:rsidRPr="00EC5A7B">
        <w:rPr>
          <w:rFonts w:asciiTheme="majorHAnsi" w:hAnsiTheme="majorHAnsi" w:cstheme="majorHAnsi"/>
          <w:bCs/>
          <w:sz w:val="24"/>
          <w:szCs w:val="24"/>
          <w:lang w:val="ru-MD"/>
        </w:rPr>
        <w:t xml:space="preserve"> представляет собой национальную программу, применяемую на всей территории РМ, носит социальный характер и направлена на облегчение доступа физических лиц к приобретению жилья путем заключения договоров об ипотечных кредитах, частично гарантируемых государством</w:t>
      </w:r>
      <w:r w:rsidR="00D43501" w:rsidRPr="00EC5A7B">
        <w:rPr>
          <w:rFonts w:asciiTheme="majorHAnsi" w:hAnsiTheme="majorHAnsi" w:cstheme="majorHAnsi"/>
          <w:sz w:val="24"/>
          <w:szCs w:val="24"/>
          <w:lang w:val="ru-MD"/>
        </w:rPr>
        <w:t>.</w:t>
      </w:r>
    </w:p>
    <w:p w14:paraId="1D7AE1AC" w14:textId="430216A1" w:rsidR="00354DCC" w:rsidRPr="00EC5A7B" w:rsidRDefault="00A20873" w:rsidP="00354DCC">
      <w:pPr>
        <w:shd w:val="clear" w:color="auto" w:fill="FFFFFF"/>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lastRenderedPageBreak/>
        <w:t xml:space="preserve">Согласно положениям Закона о </w:t>
      </w:r>
      <w:r w:rsidRPr="00EC5A7B">
        <w:rPr>
          <w:rFonts w:asciiTheme="majorHAnsi" w:hAnsiTheme="majorHAnsi" w:cstheme="majorHAnsi"/>
          <w:bCs/>
          <w:sz w:val="24"/>
          <w:szCs w:val="24"/>
          <w:lang w:val="ru-MD"/>
        </w:rPr>
        <w:t>долге публичного сектора, государственных</w:t>
      </w:r>
      <w:r w:rsidRPr="00EC5A7B">
        <w:rPr>
          <w:rFonts w:asciiTheme="majorHAnsi" w:hAnsiTheme="majorHAnsi" w:cstheme="majorHAnsi"/>
          <w:bCs/>
          <w:sz w:val="24"/>
          <w:szCs w:val="24"/>
          <w:lang w:val="ru-MD"/>
        </w:rPr>
        <w:br/>
        <w:t>гарантиях и государственном рекредитовании</w:t>
      </w:r>
      <w:r w:rsidR="00A268D2" w:rsidRPr="00EC5A7B">
        <w:rPr>
          <w:rFonts w:asciiTheme="majorHAnsi" w:hAnsiTheme="majorHAnsi" w:cstheme="majorHAnsi"/>
          <w:bCs/>
          <w:sz w:val="24"/>
          <w:szCs w:val="24"/>
          <w:lang w:val="ru-MD"/>
        </w:rPr>
        <w:t xml:space="preserve"> №</w:t>
      </w:r>
      <w:r w:rsidR="004A299E" w:rsidRPr="00EC5A7B">
        <w:rPr>
          <w:rFonts w:asciiTheme="majorHAnsi" w:hAnsiTheme="majorHAnsi" w:cstheme="majorHAnsi"/>
          <w:sz w:val="24"/>
          <w:szCs w:val="24"/>
          <w:lang w:val="ru-MD"/>
        </w:rPr>
        <w:t xml:space="preserve">419-XVI </w:t>
      </w:r>
      <w:r w:rsidR="00A268D2" w:rsidRPr="00EC5A7B">
        <w:rPr>
          <w:rFonts w:asciiTheme="majorHAnsi" w:hAnsiTheme="majorHAnsi" w:cstheme="majorHAnsi"/>
          <w:sz w:val="24"/>
          <w:szCs w:val="24"/>
          <w:lang w:val="ru-MD"/>
        </w:rPr>
        <w:t>от</w:t>
      </w:r>
      <w:r w:rsidR="004A299E" w:rsidRPr="00EC5A7B">
        <w:rPr>
          <w:rFonts w:asciiTheme="majorHAnsi" w:hAnsiTheme="majorHAnsi" w:cstheme="majorHAnsi"/>
          <w:sz w:val="24"/>
          <w:szCs w:val="24"/>
          <w:lang w:val="ru-MD"/>
        </w:rPr>
        <w:t xml:space="preserve"> 22.12.2006</w:t>
      </w:r>
      <w:r w:rsidR="00B97416" w:rsidRPr="00EC5A7B">
        <w:rPr>
          <w:rStyle w:val="FootnoteReference"/>
          <w:rFonts w:asciiTheme="majorHAnsi" w:hAnsiTheme="majorHAnsi" w:cstheme="majorHAnsi"/>
          <w:bCs/>
          <w:sz w:val="24"/>
          <w:szCs w:val="24"/>
          <w:lang w:val="ru-MD"/>
        </w:rPr>
        <w:footnoteReference w:id="13"/>
      </w:r>
      <w:r w:rsidR="00354DCC" w:rsidRPr="00EC5A7B">
        <w:rPr>
          <w:rFonts w:asciiTheme="majorHAnsi" w:hAnsiTheme="majorHAnsi" w:cstheme="majorHAnsi"/>
          <w:sz w:val="24"/>
          <w:szCs w:val="24"/>
          <w:lang w:val="ru-MD"/>
        </w:rPr>
        <w:t xml:space="preserve">, </w:t>
      </w:r>
      <w:r w:rsidR="00E378B5" w:rsidRPr="00EC5A7B">
        <w:rPr>
          <w:rFonts w:asciiTheme="majorHAnsi" w:hAnsiTheme="majorHAnsi" w:cstheme="majorHAnsi"/>
          <w:sz w:val="24"/>
          <w:szCs w:val="24"/>
          <w:lang w:val="ru-MD"/>
        </w:rPr>
        <w:t>Правительство в лице Министерства финансов уполномочено предоставлять внутренние и внешние государственные гарантии в национальной или любой иностранной валюте</w:t>
      </w:r>
      <w:r w:rsidR="00354DCC" w:rsidRPr="00EC5A7B">
        <w:rPr>
          <w:rFonts w:asciiTheme="majorHAnsi" w:hAnsiTheme="majorHAnsi" w:cstheme="majorHAnsi"/>
          <w:sz w:val="24"/>
          <w:szCs w:val="24"/>
          <w:lang w:val="ru-MD"/>
        </w:rPr>
        <w:t xml:space="preserve">. </w:t>
      </w:r>
      <w:r w:rsidR="00E378B5" w:rsidRPr="00EC5A7B">
        <w:rPr>
          <w:rFonts w:asciiTheme="majorHAnsi" w:hAnsiTheme="majorHAnsi" w:cstheme="majorHAnsi"/>
          <w:sz w:val="24"/>
          <w:szCs w:val="24"/>
          <w:lang w:val="ru-MD"/>
        </w:rPr>
        <w:t>Государственная гарантия обеспечивает полное или частичное погашение основной суммы гарантированного государством кредита и выплату соответствующих процентов, если выплата процентов предусмотрена в договоре о государственной гарантии</w:t>
      </w:r>
      <w:r w:rsidR="00354DCC" w:rsidRPr="00EC5A7B">
        <w:rPr>
          <w:rFonts w:asciiTheme="majorHAnsi" w:hAnsiTheme="majorHAnsi" w:cstheme="majorHAnsi"/>
          <w:sz w:val="24"/>
          <w:szCs w:val="24"/>
          <w:lang w:val="ru-MD"/>
        </w:rPr>
        <w:t xml:space="preserve">. </w:t>
      </w:r>
    </w:p>
    <w:p w14:paraId="0E3037B6" w14:textId="665DEF16" w:rsidR="00354DCC" w:rsidRPr="00EC5A7B" w:rsidRDefault="00E378B5" w:rsidP="00354DCC">
      <w:pPr>
        <w:shd w:val="clear" w:color="auto" w:fill="FFFFFF"/>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 xml:space="preserve">Согласно положениям нормативной базы, </w:t>
      </w:r>
      <w:r w:rsidR="003351D7" w:rsidRPr="00EC5A7B">
        <w:rPr>
          <w:rFonts w:asciiTheme="majorHAnsi" w:hAnsiTheme="majorHAnsi" w:cstheme="majorHAnsi"/>
          <w:sz w:val="24"/>
          <w:szCs w:val="24"/>
          <w:lang w:val="ru-MD"/>
        </w:rPr>
        <w:t>в</w:t>
      </w:r>
      <w:r w:rsidRPr="00EC5A7B">
        <w:rPr>
          <w:rFonts w:asciiTheme="majorHAnsi" w:hAnsiTheme="majorHAnsi" w:cstheme="majorHAnsi"/>
          <w:sz w:val="24"/>
          <w:szCs w:val="24"/>
          <w:lang w:val="ru-MD"/>
        </w:rPr>
        <w:t>нутренние и внешние государственные гарантии выпускаются в исключительных случаях</w:t>
      </w:r>
      <w:r w:rsidR="00354DCC" w:rsidRPr="00EC5A7B">
        <w:rPr>
          <w:rFonts w:asciiTheme="majorHAnsi" w:hAnsiTheme="majorHAnsi" w:cstheme="majorHAnsi"/>
          <w:sz w:val="24"/>
          <w:szCs w:val="24"/>
          <w:lang w:val="ru-MD"/>
        </w:rPr>
        <w:t xml:space="preserve">, </w:t>
      </w:r>
      <w:r w:rsidR="003351D7" w:rsidRPr="00EC5A7B">
        <w:rPr>
          <w:rFonts w:asciiTheme="majorHAnsi" w:hAnsiTheme="majorHAnsi" w:cstheme="majorHAnsi"/>
          <w:sz w:val="24"/>
          <w:szCs w:val="24"/>
          <w:lang w:val="ru-MD"/>
        </w:rPr>
        <w:t xml:space="preserve">в том числе для гарантирования кредитов, предоставляемых физическим лицам в соответствии с Законом о некоторых мерах по реализации государственной программы </w:t>
      </w:r>
      <w:r w:rsidR="00EC5A7B">
        <w:rPr>
          <w:rFonts w:asciiTheme="majorHAnsi" w:hAnsiTheme="majorHAnsi" w:cstheme="majorHAnsi"/>
          <w:sz w:val="24"/>
          <w:szCs w:val="24"/>
          <w:lang w:val="ru-MD"/>
        </w:rPr>
        <w:t>“Первый дом”</w:t>
      </w:r>
      <w:r w:rsidR="00B33210" w:rsidRPr="00EC5A7B">
        <w:rPr>
          <w:rFonts w:asciiTheme="majorHAnsi" w:hAnsiTheme="majorHAnsi" w:cstheme="majorHAnsi"/>
          <w:sz w:val="24"/>
          <w:szCs w:val="24"/>
          <w:lang w:val="ru-MD"/>
        </w:rPr>
        <w:t xml:space="preserve">. </w:t>
      </w:r>
      <w:r w:rsidR="003351D7" w:rsidRPr="00EC5A7B">
        <w:rPr>
          <w:rFonts w:asciiTheme="majorHAnsi" w:hAnsiTheme="majorHAnsi" w:cstheme="majorHAnsi"/>
          <w:sz w:val="24"/>
          <w:szCs w:val="24"/>
          <w:lang w:val="ru-MD"/>
        </w:rPr>
        <w:t xml:space="preserve">Это положение было введено Законом </w:t>
      </w:r>
      <w:r w:rsidR="003351D7" w:rsidRPr="00EC5A7B">
        <w:rPr>
          <w:rFonts w:asciiTheme="majorHAnsi" w:hAnsiTheme="majorHAnsi" w:cstheme="majorHAnsi"/>
          <w:bCs/>
          <w:sz w:val="24"/>
          <w:szCs w:val="24"/>
          <w:lang w:val="ru-MD"/>
        </w:rPr>
        <w:t>о внесении изменений и дополнений в некоторые законодательные акты</w:t>
      </w:r>
      <w:r w:rsidR="003351D7" w:rsidRPr="00EC5A7B">
        <w:rPr>
          <w:rFonts w:asciiTheme="majorHAnsi" w:hAnsiTheme="majorHAnsi" w:cstheme="majorHAnsi"/>
          <w:sz w:val="24"/>
          <w:szCs w:val="24"/>
          <w:lang w:val="ru-MD"/>
        </w:rPr>
        <w:t xml:space="preserve"> №294 от 21.12.2017</w:t>
      </w:r>
      <w:r w:rsidR="00B33210" w:rsidRPr="00EC5A7B">
        <w:rPr>
          <w:rStyle w:val="FootnoteReference"/>
          <w:rFonts w:asciiTheme="majorHAnsi" w:hAnsiTheme="majorHAnsi" w:cstheme="majorHAnsi"/>
          <w:sz w:val="24"/>
          <w:szCs w:val="24"/>
          <w:lang w:val="ru-MD"/>
        </w:rPr>
        <w:footnoteReference w:id="14"/>
      </w:r>
      <w:r w:rsidR="00B33210" w:rsidRPr="00EC5A7B">
        <w:rPr>
          <w:rFonts w:asciiTheme="majorHAnsi" w:hAnsiTheme="majorHAnsi" w:cstheme="majorHAnsi"/>
          <w:sz w:val="24"/>
          <w:szCs w:val="24"/>
          <w:lang w:val="ru-MD"/>
        </w:rPr>
        <w:t xml:space="preserve"> </w:t>
      </w:r>
      <w:r w:rsidR="003351D7" w:rsidRPr="00EC5A7B">
        <w:rPr>
          <w:rFonts w:asciiTheme="majorHAnsi" w:hAnsiTheme="majorHAnsi" w:cstheme="majorHAnsi"/>
          <w:sz w:val="24"/>
          <w:szCs w:val="24"/>
          <w:lang w:val="ru-MD"/>
        </w:rPr>
        <w:t>путем дополнения Закона №</w:t>
      </w:r>
      <w:r w:rsidR="00B33210" w:rsidRPr="00EC5A7B">
        <w:rPr>
          <w:rFonts w:asciiTheme="majorHAnsi" w:hAnsiTheme="majorHAnsi" w:cstheme="majorHAnsi"/>
          <w:sz w:val="24"/>
          <w:szCs w:val="24"/>
          <w:lang w:val="ru-MD"/>
        </w:rPr>
        <w:t xml:space="preserve">419 </w:t>
      </w:r>
      <w:r w:rsidR="003351D7" w:rsidRPr="00EC5A7B">
        <w:rPr>
          <w:rFonts w:asciiTheme="majorHAnsi" w:hAnsiTheme="majorHAnsi" w:cstheme="majorHAnsi"/>
          <w:sz w:val="24"/>
          <w:szCs w:val="24"/>
          <w:lang w:val="ru-MD"/>
        </w:rPr>
        <w:t>от</w:t>
      </w:r>
      <w:r w:rsidR="00B33210" w:rsidRPr="00EC5A7B">
        <w:rPr>
          <w:rFonts w:asciiTheme="majorHAnsi" w:hAnsiTheme="majorHAnsi" w:cstheme="majorHAnsi"/>
          <w:sz w:val="24"/>
          <w:szCs w:val="24"/>
          <w:lang w:val="ru-MD"/>
        </w:rPr>
        <w:t xml:space="preserve"> 22.12.2006.</w:t>
      </w:r>
    </w:p>
    <w:p w14:paraId="6E643DD9" w14:textId="5B9BA14C" w:rsidR="00B97416" w:rsidRPr="00EC5A7B" w:rsidRDefault="003351D7" w:rsidP="003351D7">
      <w:pPr>
        <w:spacing w:after="240" w:line="276" w:lineRule="auto"/>
        <w:jc w:val="both"/>
        <w:rPr>
          <w:rFonts w:asciiTheme="majorHAnsi" w:hAnsiTheme="majorHAnsi" w:cstheme="majorHAnsi"/>
          <w:bCs/>
          <w:sz w:val="24"/>
          <w:szCs w:val="24"/>
          <w:highlight w:val="yellow"/>
          <w:lang w:val="ru-MD"/>
        </w:rPr>
      </w:pPr>
      <w:r w:rsidRPr="00EC5A7B">
        <w:rPr>
          <w:rFonts w:asciiTheme="majorHAnsi" w:hAnsiTheme="majorHAnsi" w:cstheme="majorHAnsi"/>
          <w:bCs/>
          <w:sz w:val="24"/>
          <w:szCs w:val="24"/>
          <w:lang w:val="ru-MD"/>
        </w:rPr>
        <w:t xml:space="preserve">Вместе с тем, согласно Закону о некоторых мерах по реализации государственной программы </w:t>
      </w:r>
      <w:r w:rsidR="00EC5A7B">
        <w:rPr>
          <w:rFonts w:asciiTheme="majorHAnsi" w:hAnsiTheme="majorHAnsi" w:cstheme="majorHAnsi"/>
          <w:bCs/>
          <w:sz w:val="24"/>
          <w:szCs w:val="24"/>
          <w:lang w:val="ru-MD"/>
        </w:rPr>
        <w:t>“Первый дом”</w:t>
      </w:r>
      <w:r w:rsidRPr="00EC5A7B">
        <w:rPr>
          <w:rFonts w:asciiTheme="majorHAnsi" w:hAnsiTheme="majorHAnsi" w:cstheme="majorHAnsi"/>
          <w:bCs/>
          <w:sz w:val="24"/>
          <w:szCs w:val="24"/>
          <w:lang w:val="ru-MD"/>
        </w:rPr>
        <w:t xml:space="preserve"> №</w:t>
      </w:r>
      <w:r w:rsidR="00407D35" w:rsidRPr="00EC5A7B">
        <w:rPr>
          <w:rFonts w:asciiTheme="majorHAnsi" w:hAnsiTheme="majorHAnsi" w:cstheme="majorHAnsi"/>
          <w:bCs/>
          <w:sz w:val="24"/>
          <w:szCs w:val="24"/>
          <w:lang w:val="ru-MD"/>
        </w:rPr>
        <w:t xml:space="preserve">293 </w:t>
      </w:r>
      <w:r w:rsidRPr="00EC5A7B">
        <w:rPr>
          <w:rFonts w:asciiTheme="majorHAnsi" w:hAnsiTheme="majorHAnsi" w:cstheme="majorHAnsi"/>
          <w:bCs/>
          <w:sz w:val="24"/>
          <w:szCs w:val="24"/>
          <w:lang w:val="ru-MD"/>
        </w:rPr>
        <w:t>от</w:t>
      </w:r>
      <w:r w:rsidR="00407D35" w:rsidRPr="00EC5A7B">
        <w:rPr>
          <w:rFonts w:asciiTheme="majorHAnsi" w:hAnsiTheme="majorHAnsi" w:cstheme="majorHAnsi"/>
          <w:bCs/>
          <w:sz w:val="24"/>
          <w:szCs w:val="24"/>
          <w:lang w:val="ru-MD"/>
        </w:rPr>
        <w:t xml:space="preserve"> </w:t>
      </w:r>
      <w:r w:rsidR="00407D35" w:rsidRPr="00EC5A7B">
        <w:rPr>
          <w:rFonts w:asciiTheme="majorHAnsi" w:hAnsiTheme="majorHAnsi" w:cstheme="majorHAnsi"/>
          <w:bCs/>
          <w:sz w:val="24"/>
          <w:szCs w:val="24"/>
          <w:lang w:val="ru-MD"/>
        </w:rPr>
        <w:lastRenderedPageBreak/>
        <w:t>21.12.2017”</w:t>
      </w:r>
      <w:r w:rsidR="00B97416" w:rsidRPr="00EC5A7B">
        <w:rPr>
          <w:rStyle w:val="FootnoteReference"/>
          <w:rFonts w:asciiTheme="majorHAnsi" w:hAnsiTheme="majorHAnsi" w:cstheme="majorHAnsi"/>
          <w:bCs/>
          <w:sz w:val="24"/>
          <w:szCs w:val="24"/>
          <w:lang w:val="ru-MD"/>
        </w:rPr>
        <w:footnoteReference w:id="15"/>
      </w:r>
      <w:r w:rsidR="00407D35" w:rsidRPr="00EC5A7B">
        <w:rPr>
          <w:rFonts w:asciiTheme="majorHAnsi" w:hAnsiTheme="majorHAnsi" w:cstheme="majorHAnsi"/>
          <w:bCs/>
          <w:sz w:val="24"/>
          <w:szCs w:val="24"/>
          <w:lang w:val="ru-MD"/>
        </w:rPr>
        <w:t>,</w:t>
      </w:r>
      <w:r w:rsidR="00012F1E" w:rsidRPr="00EC5A7B">
        <w:rPr>
          <w:rFonts w:asciiTheme="majorHAnsi" w:hAnsiTheme="majorHAnsi" w:cstheme="majorHAnsi"/>
          <w:bCs/>
          <w:sz w:val="24"/>
          <w:szCs w:val="24"/>
          <w:lang w:val="ru-MD"/>
        </w:rPr>
        <w:t xml:space="preserve"> </w:t>
      </w:r>
      <w:r w:rsidRPr="00EC5A7B">
        <w:rPr>
          <w:rFonts w:asciiTheme="majorHAnsi" w:hAnsiTheme="majorHAnsi" w:cstheme="majorHAnsi"/>
          <w:bCs/>
          <w:sz w:val="24"/>
          <w:szCs w:val="24"/>
          <w:lang w:val="ru-MD"/>
        </w:rPr>
        <w:t>субъектами Программы являются</w:t>
      </w:r>
      <w:r w:rsidR="009771E0" w:rsidRPr="00EC5A7B">
        <w:rPr>
          <w:rFonts w:asciiTheme="majorHAnsi" w:hAnsiTheme="majorHAnsi" w:cstheme="majorHAnsi"/>
          <w:bCs/>
          <w:sz w:val="24"/>
          <w:szCs w:val="24"/>
          <w:lang w:val="ru-MD"/>
        </w:rPr>
        <w:t xml:space="preserve">: </w:t>
      </w:r>
      <w:r w:rsidRPr="00EC5A7B">
        <w:rPr>
          <w:rFonts w:asciiTheme="majorHAnsi" w:hAnsiTheme="majorHAnsi" w:cstheme="majorHAnsi"/>
          <w:bCs/>
          <w:sz w:val="24"/>
          <w:szCs w:val="24"/>
          <w:lang w:val="ru-MD"/>
        </w:rPr>
        <w:t>a) бенефициар – физическое лицо, отвечающее предусмотренным Программой критериям отбора и получающее ипотечный кредит в рамках Программы; b) кредитор (финансирующий банк) – банк, получивший лицензию Национального банка Молдовы согласно положениям действующего законодательства и допущенный к участию в Программе; c) гарант – Правительство в лице Министерства финансов, которое наделяет Организацию по развитию сектора малых и средних предприятий правом выдавать гарантии от имени и за счет государства в пользу кредитора в пределах лимитов, ежегодно утверждаемых на эти цели Парламентом</w:t>
      </w:r>
      <w:r w:rsidR="00B97416" w:rsidRPr="00EC5A7B">
        <w:rPr>
          <w:rFonts w:asciiTheme="majorHAnsi" w:hAnsiTheme="majorHAnsi" w:cstheme="majorHAnsi"/>
          <w:bCs/>
          <w:sz w:val="24"/>
          <w:szCs w:val="24"/>
          <w:lang w:val="ru-MD"/>
        </w:rPr>
        <w:t>.</w:t>
      </w:r>
    </w:p>
    <w:p w14:paraId="7D4D84EB" w14:textId="534881E3" w:rsidR="00D43501" w:rsidRPr="00EC5A7B" w:rsidRDefault="003351D7" w:rsidP="005E50E6">
      <w:pPr>
        <w:spacing w:after="240" w:line="276" w:lineRule="auto"/>
        <w:jc w:val="both"/>
        <w:rPr>
          <w:rFonts w:asciiTheme="majorHAnsi" w:hAnsiTheme="majorHAnsi" w:cstheme="majorHAnsi"/>
          <w:bCs/>
          <w:sz w:val="24"/>
          <w:szCs w:val="24"/>
          <w:lang w:val="ru-MD"/>
        </w:rPr>
      </w:pPr>
      <w:r w:rsidRPr="00EC5A7B">
        <w:rPr>
          <w:rFonts w:asciiTheme="majorHAnsi" w:hAnsiTheme="majorHAnsi" w:cstheme="majorHAnsi"/>
          <w:bCs/>
          <w:sz w:val="24"/>
          <w:szCs w:val="24"/>
          <w:lang w:val="ru-MD"/>
        </w:rPr>
        <w:t>Таким образом, хотя, согласно положениям Закона №</w:t>
      </w:r>
      <w:r w:rsidR="000B488E" w:rsidRPr="00EC5A7B">
        <w:rPr>
          <w:rFonts w:asciiTheme="majorHAnsi" w:hAnsiTheme="majorHAnsi" w:cstheme="majorHAnsi"/>
          <w:bCs/>
          <w:sz w:val="24"/>
          <w:szCs w:val="24"/>
          <w:lang w:val="ru-MD"/>
        </w:rPr>
        <w:t>419 din 22.12.2006</w:t>
      </w:r>
      <w:r w:rsidR="00DA6473" w:rsidRPr="00EC5A7B">
        <w:rPr>
          <w:rFonts w:asciiTheme="majorHAnsi" w:hAnsiTheme="majorHAnsi" w:cstheme="majorHAnsi"/>
          <w:bCs/>
          <w:sz w:val="24"/>
          <w:szCs w:val="24"/>
          <w:lang w:val="ru-MD"/>
        </w:rPr>
        <w:t xml:space="preserve">, </w:t>
      </w:r>
      <w:r w:rsidRPr="00EC5A7B">
        <w:rPr>
          <w:rFonts w:asciiTheme="majorHAnsi" w:hAnsiTheme="majorHAnsi" w:cstheme="majorHAnsi"/>
          <w:sz w:val="24"/>
          <w:szCs w:val="24"/>
          <w:lang w:val="ru-MD"/>
        </w:rPr>
        <w:t>Правительство в лице Министерства финансов уполномочено предоставлять внутренние и внешние государственные гарантии в национальной или любой иностранной валюте</w:t>
      </w:r>
      <w:r w:rsidR="000B488E" w:rsidRPr="00EC5A7B">
        <w:rPr>
          <w:rFonts w:asciiTheme="majorHAnsi" w:hAnsiTheme="majorHAnsi" w:cstheme="majorHAnsi"/>
          <w:bCs/>
          <w:sz w:val="24"/>
          <w:szCs w:val="24"/>
          <w:lang w:val="ru-MD"/>
        </w:rPr>
        <w:t xml:space="preserve">, </w:t>
      </w:r>
      <w:r w:rsidRPr="00EC5A7B">
        <w:rPr>
          <w:rFonts w:asciiTheme="majorHAnsi" w:hAnsiTheme="majorHAnsi" w:cstheme="majorHAnsi"/>
          <w:bCs/>
          <w:sz w:val="24"/>
          <w:szCs w:val="24"/>
          <w:lang w:val="ru-MD"/>
        </w:rPr>
        <w:t>Законом №</w:t>
      </w:r>
      <w:r w:rsidR="00407D35" w:rsidRPr="00EC5A7B">
        <w:rPr>
          <w:rFonts w:asciiTheme="majorHAnsi" w:hAnsiTheme="majorHAnsi" w:cstheme="majorHAnsi"/>
          <w:sz w:val="24"/>
          <w:szCs w:val="24"/>
          <w:lang w:val="ru-MD"/>
        </w:rPr>
        <w:t xml:space="preserve">293 </w:t>
      </w:r>
      <w:r w:rsidR="005E50E6" w:rsidRPr="00EC5A7B">
        <w:rPr>
          <w:rFonts w:asciiTheme="majorHAnsi" w:hAnsiTheme="majorHAnsi" w:cstheme="majorHAnsi"/>
          <w:sz w:val="24"/>
          <w:szCs w:val="24"/>
          <w:lang w:val="ru-MD"/>
        </w:rPr>
        <w:t>от</w:t>
      </w:r>
      <w:r w:rsidR="00407D35" w:rsidRPr="00EC5A7B">
        <w:rPr>
          <w:rFonts w:asciiTheme="majorHAnsi" w:hAnsiTheme="majorHAnsi" w:cstheme="majorHAnsi"/>
          <w:sz w:val="24"/>
          <w:szCs w:val="24"/>
          <w:lang w:val="ru-MD"/>
        </w:rPr>
        <w:t xml:space="preserve"> 21.12.2017</w:t>
      </w:r>
      <w:r w:rsidR="00012F1E" w:rsidRPr="00EC5A7B">
        <w:rPr>
          <w:rFonts w:asciiTheme="majorHAnsi" w:hAnsiTheme="majorHAnsi" w:cstheme="majorHAnsi"/>
          <w:sz w:val="24"/>
          <w:szCs w:val="24"/>
          <w:lang w:val="ru-MD"/>
        </w:rPr>
        <w:t xml:space="preserve"> </w:t>
      </w:r>
      <w:r w:rsidR="005E50E6" w:rsidRPr="00EC5A7B">
        <w:rPr>
          <w:rFonts w:asciiTheme="majorHAnsi" w:hAnsiTheme="majorHAnsi" w:cstheme="majorHAnsi"/>
          <w:bCs/>
          <w:sz w:val="24"/>
          <w:szCs w:val="24"/>
          <w:lang w:val="ru-MD"/>
        </w:rPr>
        <w:t>установлено, что</w:t>
      </w:r>
      <w:r w:rsidR="00407D35" w:rsidRPr="00EC5A7B">
        <w:rPr>
          <w:rFonts w:asciiTheme="majorHAnsi" w:hAnsiTheme="majorHAnsi" w:cstheme="majorHAnsi"/>
          <w:sz w:val="24"/>
          <w:szCs w:val="24"/>
          <w:lang w:val="ru-MD"/>
        </w:rPr>
        <w:t xml:space="preserve">: </w:t>
      </w:r>
      <w:r w:rsidR="00407D35" w:rsidRPr="00EC5A7B">
        <w:rPr>
          <w:rFonts w:asciiTheme="majorHAnsi" w:hAnsiTheme="majorHAnsi" w:cstheme="majorHAnsi"/>
          <w:bCs/>
          <w:sz w:val="24"/>
          <w:szCs w:val="24"/>
          <w:lang w:val="ru-MD"/>
        </w:rPr>
        <w:t>„</w:t>
      </w:r>
      <w:r w:rsidR="005E50E6" w:rsidRPr="00EC5A7B">
        <w:rPr>
          <w:rFonts w:asciiTheme="majorHAnsi" w:hAnsiTheme="majorHAnsi" w:cstheme="majorHAnsi"/>
          <w:bCs/>
          <w:sz w:val="24"/>
          <w:szCs w:val="24"/>
          <w:lang w:val="ru-MD"/>
        </w:rPr>
        <w:t>В отступление от положений Закона о долге публичного сектора, государственных гарантиях и государственном рекредитовании № 419/2006 Правительство в лице Министерства финансов вправе: а) выдавать государственные гарантии в пользу кредиторов в рамках Программы; b) уполномочить ОРМСП выдавать государственные гарантии от имени и за счет государства в пользу кредиторов в рамках Программы, заключать с кредиторами договоры о государственной гарантии, а с бенефициа</w:t>
      </w:r>
      <w:r w:rsidR="005E50E6" w:rsidRPr="00EC5A7B">
        <w:rPr>
          <w:rFonts w:asciiTheme="majorHAnsi" w:hAnsiTheme="majorHAnsi" w:cstheme="majorHAnsi"/>
          <w:bCs/>
          <w:sz w:val="24"/>
          <w:szCs w:val="24"/>
          <w:lang w:val="ru-MD"/>
        </w:rPr>
        <w:lastRenderedPageBreak/>
        <w:t>рами – договоры о выдаче государственной гарантии и ипотечные договоры</w:t>
      </w:r>
      <w:r w:rsidR="00407D35" w:rsidRPr="00EC5A7B">
        <w:rPr>
          <w:rFonts w:asciiTheme="majorHAnsi" w:hAnsiTheme="majorHAnsi" w:cstheme="majorHAnsi"/>
          <w:sz w:val="24"/>
          <w:szCs w:val="24"/>
          <w:lang w:val="ru-MD"/>
        </w:rPr>
        <w:t>”.</w:t>
      </w:r>
      <w:r w:rsidR="00407D35" w:rsidRPr="00EC5A7B">
        <w:rPr>
          <w:rFonts w:asciiTheme="majorHAnsi" w:hAnsiTheme="majorHAnsi" w:cstheme="majorHAnsi"/>
          <w:bCs/>
          <w:sz w:val="24"/>
          <w:szCs w:val="24"/>
          <w:lang w:val="ru-MD"/>
        </w:rPr>
        <w:t xml:space="preserve"> </w:t>
      </w:r>
      <w:r w:rsidR="005E50E6" w:rsidRPr="00EC5A7B">
        <w:rPr>
          <w:rFonts w:asciiTheme="majorHAnsi" w:hAnsiTheme="majorHAnsi" w:cstheme="majorHAnsi"/>
          <w:bCs/>
          <w:sz w:val="24"/>
          <w:szCs w:val="24"/>
          <w:lang w:val="ru-MD"/>
        </w:rPr>
        <w:t>В итоге, Законом №</w:t>
      </w:r>
      <w:r w:rsidR="000B488E" w:rsidRPr="00EC5A7B">
        <w:rPr>
          <w:rFonts w:asciiTheme="majorHAnsi" w:hAnsiTheme="majorHAnsi" w:cstheme="majorHAnsi"/>
          <w:bCs/>
          <w:sz w:val="24"/>
          <w:szCs w:val="24"/>
          <w:lang w:val="ru-MD"/>
        </w:rPr>
        <w:t xml:space="preserve">293 </w:t>
      </w:r>
      <w:r w:rsidR="005E50E6" w:rsidRPr="00EC5A7B">
        <w:rPr>
          <w:rFonts w:asciiTheme="majorHAnsi" w:hAnsiTheme="majorHAnsi" w:cstheme="majorHAnsi"/>
          <w:bCs/>
          <w:sz w:val="24"/>
          <w:szCs w:val="24"/>
          <w:lang w:val="ru-MD"/>
        </w:rPr>
        <w:t>от</w:t>
      </w:r>
      <w:r w:rsidR="000B488E" w:rsidRPr="00EC5A7B">
        <w:rPr>
          <w:rFonts w:asciiTheme="majorHAnsi" w:hAnsiTheme="majorHAnsi" w:cstheme="majorHAnsi"/>
          <w:bCs/>
          <w:sz w:val="24"/>
          <w:szCs w:val="24"/>
          <w:lang w:val="ru-MD"/>
        </w:rPr>
        <w:t xml:space="preserve"> 21.12.2017, </w:t>
      </w:r>
      <w:r w:rsidR="005E50E6" w:rsidRPr="00EC5A7B">
        <w:rPr>
          <w:rFonts w:asciiTheme="majorHAnsi" w:hAnsiTheme="majorHAnsi" w:cstheme="majorHAnsi"/>
          <w:bCs/>
          <w:sz w:val="24"/>
          <w:szCs w:val="24"/>
          <w:lang w:val="ru-MD"/>
        </w:rPr>
        <w:t>право выд</w:t>
      </w:r>
      <w:r w:rsidR="001A69E4" w:rsidRPr="00EC5A7B">
        <w:rPr>
          <w:rFonts w:asciiTheme="majorHAnsi" w:hAnsiTheme="majorHAnsi" w:cstheme="majorHAnsi"/>
          <w:bCs/>
          <w:sz w:val="24"/>
          <w:szCs w:val="24"/>
          <w:lang w:val="ru-MD"/>
        </w:rPr>
        <w:t>а</w:t>
      </w:r>
      <w:r w:rsidR="005E50E6" w:rsidRPr="00EC5A7B">
        <w:rPr>
          <w:rFonts w:asciiTheme="majorHAnsi" w:hAnsiTheme="majorHAnsi" w:cstheme="majorHAnsi"/>
          <w:bCs/>
          <w:sz w:val="24"/>
          <w:szCs w:val="24"/>
          <w:lang w:val="ru-MD"/>
        </w:rPr>
        <w:t>вать гарантии от имени и за счет государства было делегировано ОРМСП</w:t>
      </w:r>
      <w:r w:rsidR="000B488E" w:rsidRPr="00EC5A7B">
        <w:rPr>
          <w:rFonts w:asciiTheme="majorHAnsi" w:hAnsiTheme="majorHAnsi" w:cstheme="majorHAnsi"/>
          <w:sz w:val="24"/>
          <w:szCs w:val="24"/>
          <w:lang w:val="ru-MD"/>
        </w:rPr>
        <w:t xml:space="preserve">. </w:t>
      </w:r>
    </w:p>
    <w:p w14:paraId="35295C92" w14:textId="793D24ED" w:rsidR="00C9511B" w:rsidRPr="00EC5A7B" w:rsidRDefault="00BF69D4" w:rsidP="00C85848">
      <w:pPr>
        <w:shd w:val="clear" w:color="auto" w:fill="FFFFFF"/>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Одновременно</w:t>
      </w:r>
      <w:r w:rsidR="00C9511B" w:rsidRPr="00EC5A7B">
        <w:rPr>
          <w:rFonts w:asciiTheme="majorHAnsi" w:hAnsiTheme="majorHAnsi" w:cstheme="majorHAnsi"/>
          <w:sz w:val="24"/>
          <w:szCs w:val="24"/>
          <w:lang w:val="ru-MD"/>
        </w:rPr>
        <w:t xml:space="preserve">, </w:t>
      </w:r>
      <w:r w:rsidR="000C7A12" w:rsidRPr="00EC5A7B">
        <w:rPr>
          <w:rFonts w:asciiTheme="majorHAnsi" w:hAnsiTheme="majorHAnsi" w:cstheme="majorHAnsi"/>
          <w:sz w:val="24"/>
          <w:szCs w:val="24"/>
          <w:lang w:val="ru-MD"/>
        </w:rPr>
        <w:t>Постановление Правительства №</w:t>
      </w:r>
      <w:r w:rsidR="00C9511B" w:rsidRPr="00EC5A7B">
        <w:rPr>
          <w:rFonts w:asciiTheme="majorHAnsi" w:hAnsiTheme="majorHAnsi" w:cstheme="majorHAnsi"/>
          <w:sz w:val="24"/>
          <w:szCs w:val="24"/>
          <w:lang w:val="ru-MD"/>
        </w:rPr>
        <w:t xml:space="preserve">202 </w:t>
      </w:r>
      <w:r w:rsidR="000C7A12" w:rsidRPr="00EC5A7B">
        <w:rPr>
          <w:rFonts w:asciiTheme="majorHAnsi" w:hAnsiTheme="majorHAnsi" w:cstheme="majorHAnsi"/>
          <w:sz w:val="24"/>
          <w:szCs w:val="24"/>
          <w:lang w:val="ru-MD"/>
        </w:rPr>
        <w:t>от</w:t>
      </w:r>
      <w:r w:rsidR="00C9511B" w:rsidRPr="00EC5A7B">
        <w:rPr>
          <w:rFonts w:asciiTheme="majorHAnsi" w:hAnsiTheme="majorHAnsi" w:cstheme="majorHAnsi"/>
          <w:sz w:val="24"/>
          <w:szCs w:val="24"/>
          <w:lang w:val="ru-MD"/>
        </w:rPr>
        <w:t xml:space="preserve"> 28.02.2018 „</w:t>
      </w:r>
      <w:r w:rsidR="000C7A12" w:rsidRPr="00EC5A7B">
        <w:rPr>
          <w:rFonts w:asciiTheme="majorHAnsi" w:hAnsiTheme="majorHAnsi" w:cstheme="majorHAnsi"/>
          <w:bCs/>
          <w:sz w:val="24"/>
          <w:szCs w:val="24"/>
          <w:lang w:val="ru-MD"/>
        </w:rPr>
        <w:t>Об утверждении Положения по реализации государственной программы</w:t>
      </w:r>
      <w:r w:rsidR="00C9511B" w:rsidRPr="00EC5A7B">
        <w:rPr>
          <w:rFonts w:asciiTheme="majorHAnsi" w:hAnsiTheme="majorHAnsi" w:cstheme="majorHAnsi"/>
          <w:sz w:val="24"/>
          <w:szCs w:val="24"/>
          <w:lang w:val="ru-MD"/>
        </w:rPr>
        <w:t xml:space="preserve"> </w:t>
      </w:r>
      <w:r w:rsidR="00EC5A7B">
        <w:rPr>
          <w:rFonts w:asciiTheme="majorHAnsi" w:hAnsiTheme="majorHAnsi" w:cstheme="majorHAnsi"/>
          <w:sz w:val="24"/>
          <w:szCs w:val="24"/>
          <w:lang w:val="ru-MD"/>
        </w:rPr>
        <w:t>“Первый дом”</w:t>
      </w:r>
      <w:r w:rsidR="00012F1E" w:rsidRPr="00EC5A7B">
        <w:rPr>
          <w:rFonts w:asciiTheme="majorHAnsi" w:hAnsiTheme="majorHAnsi" w:cstheme="majorHAnsi"/>
          <w:sz w:val="24"/>
          <w:szCs w:val="24"/>
          <w:lang w:val="ru-MD"/>
        </w:rPr>
        <w:t>”</w:t>
      </w:r>
      <w:r w:rsidR="001602ED" w:rsidRPr="00EC5A7B">
        <w:rPr>
          <w:rStyle w:val="FootnoteReference"/>
          <w:rFonts w:asciiTheme="majorHAnsi" w:hAnsiTheme="majorHAnsi" w:cstheme="majorHAnsi"/>
          <w:sz w:val="24"/>
          <w:szCs w:val="24"/>
          <w:lang w:val="ru-MD"/>
        </w:rPr>
        <w:footnoteReference w:id="16"/>
      </w:r>
      <w:r w:rsidR="00C9511B"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 xml:space="preserve">устанавливает процедуры предоставления государственных гарантий и мониторинга процесса гарантирования в рамках государственной программы </w:t>
      </w:r>
      <w:r w:rsidR="00EC5A7B">
        <w:rPr>
          <w:rFonts w:asciiTheme="majorHAnsi" w:hAnsiTheme="majorHAnsi" w:cstheme="majorHAnsi"/>
          <w:sz w:val="24"/>
          <w:szCs w:val="24"/>
          <w:lang w:val="ru-MD"/>
        </w:rPr>
        <w:t>“Первый дом”</w:t>
      </w:r>
      <w:r w:rsidR="00C9511B"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Дополнительно</w:t>
      </w:r>
      <w:r w:rsidR="001602ED"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обязанности</w:t>
      </w:r>
      <w:r w:rsidR="001602ED" w:rsidRPr="00EC5A7B">
        <w:rPr>
          <w:rFonts w:asciiTheme="majorHAnsi" w:hAnsiTheme="majorHAnsi" w:cstheme="majorHAnsi"/>
          <w:sz w:val="24"/>
          <w:szCs w:val="24"/>
          <w:lang w:val="ru-MD"/>
        </w:rPr>
        <w:t xml:space="preserve"> </w:t>
      </w:r>
      <w:r w:rsidRPr="00EC5A7B">
        <w:rPr>
          <w:rFonts w:asciiTheme="majorHAnsi" w:hAnsiTheme="majorHAnsi" w:cstheme="majorHAnsi"/>
          <w:bCs/>
          <w:sz w:val="24"/>
          <w:szCs w:val="24"/>
          <w:lang w:val="ru-MD"/>
        </w:rPr>
        <w:t>ОРМСП</w:t>
      </w:r>
      <w:r w:rsidR="001602ED"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относительно выдачи государственных гарантий и соблюдения условий, предусмотренных Законом №</w:t>
      </w:r>
      <w:r w:rsidR="001602ED" w:rsidRPr="00EC5A7B">
        <w:rPr>
          <w:rFonts w:asciiTheme="majorHAnsi" w:hAnsiTheme="majorHAnsi" w:cstheme="majorHAnsi"/>
          <w:sz w:val="24"/>
          <w:szCs w:val="24"/>
          <w:lang w:val="ru-MD"/>
        </w:rPr>
        <w:t xml:space="preserve">293 </w:t>
      </w:r>
      <w:r w:rsidRPr="00EC5A7B">
        <w:rPr>
          <w:rFonts w:asciiTheme="majorHAnsi" w:hAnsiTheme="majorHAnsi" w:cstheme="majorHAnsi"/>
          <w:sz w:val="24"/>
          <w:szCs w:val="24"/>
          <w:lang w:val="ru-MD"/>
        </w:rPr>
        <w:t>от</w:t>
      </w:r>
      <w:r w:rsidR="001602ED" w:rsidRPr="00EC5A7B">
        <w:rPr>
          <w:rFonts w:asciiTheme="majorHAnsi" w:hAnsiTheme="majorHAnsi" w:cstheme="majorHAnsi"/>
          <w:sz w:val="24"/>
          <w:szCs w:val="24"/>
          <w:lang w:val="ru-MD"/>
        </w:rPr>
        <w:t xml:space="preserve"> 21.12.2017 </w:t>
      </w:r>
      <w:r w:rsidRPr="00EC5A7B">
        <w:rPr>
          <w:rFonts w:asciiTheme="majorHAnsi" w:hAnsiTheme="majorHAnsi" w:cstheme="majorHAnsi"/>
          <w:sz w:val="24"/>
          <w:szCs w:val="24"/>
          <w:lang w:val="ru-MD"/>
        </w:rPr>
        <w:t xml:space="preserve">и </w:t>
      </w:r>
      <w:r w:rsidR="001602ED"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Постановлением Правительства №</w:t>
      </w:r>
      <w:r w:rsidR="001602ED" w:rsidRPr="00EC5A7B">
        <w:rPr>
          <w:rFonts w:asciiTheme="majorHAnsi" w:hAnsiTheme="majorHAnsi" w:cstheme="majorHAnsi"/>
          <w:sz w:val="24"/>
          <w:szCs w:val="24"/>
          <w:lang w:val="ru-MD"/>
        </w:rPr>
        <w:t xml:space="preserve">202 </w:t>
      </w:r>
      <w:r w:rsidRPr="00EC5A7B">
        <w:rPr>
          <w:rFonts w:asciiTheme="majorHAnsi" w:hAnsiTheme="majorHAnsi" w:cstheme="majorHAnsi"/>
          <w:sz w:val="24"/>
          <w:szCs w:val="24"/>
          <w:lang w:val="ru-MD"/>
        </w:rPr>
        <w:t>от</w:t>
      </w:r>
      <w:r w:rsidR="001602ED" w:rsidRPr="00EC5A7B">
        <w:rPr>
          <w:rFonts w:asciiTheme="majorHAnsi" w:hAnsiTheme="majorHAnsi" w:cstheme="majorHAnsi"/>
          <w:sz w:val="24"/>
          <w:szCs w:val="24"/>
          <w:lang w:val="ru-MD"/>
        </w:rPr>
        <w:t xml:space="preserve"> 28.02.2018</w:t>
      </w:r>
      <w:r w:rsidRPr="00EC5A7B">
        <w:rPr>
          <w:rFonts w:asciiTheme="majorHAnsi" w:hAnsiTheme="majorHAnsi" w:cstheme="majorHAnsi"/>
          <w:sz w:val="24"/>
          <w:szCs w:val="24"/>
          <w:lang w:val="ru-MD"/>
        </w:rPr>
        <w:t xml:space="preserve">, также предусмотрены и Договором о мандате, заключенном 3 мая 2019 года между МФ и </w:t>
      </w:r>
      <w:r w:rsidRPr="00EC5A7B">
        <w:rPr>
          <w:rFonts w:asciiTheme="majorHAnsi" w:hAnsiTheme="majorHAnsi" w:cstheme="majorHAnsi"/>
          <w:bCs/>
          <w:sz w:val="24"/>
          <w:szCs w:val="24"/>
          <w:lang w:val="ru-MD"/>
        </w:rPr>
        <w:t>ОРМСП</w:t>
      </w:r>
      <w:r w:rsidR="001602ED" w:rsidRPr="00EC5A7B">
        <w:rPr>
          <w:rFonts w:asciiTheme="majorHAnsi" w:hAnsiTheme="majorHAnsi" w:cstheme="majorHAnsi"/>
          <w:sz w:val="24"/>
          <w:szCs w:val="24"/>
          <w:lang w:val="ru-MD"/>
        </w:rPr>
        <w:t>.</w:t>
      </w:r>
    </w:p>
    <w:p w14:paraId="47D97118" w14:textId="41300345" w:rsidR="00C85848" w:rsidRPr="00EC5A7B" w:rsidRDefault="00A9449F" w:rsidP="00C85848">
      <w:pPr>
        <w:shd w:val="clear" w:color="auto" w:fill="FFFFFF"/>
        <w:spacing w:after="240"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 xml:space="preserve">Согласно годовому закону о бюджете </w:t>
      </w:r>
      <w:r w:rsidR="00735891" w:rsidRPr="00EC5A7B">
        <w:rPr>
          <w:rFonts w:asciiTheme="majorHAnsi" w:hAnsiTheme="majorHAnsi" w:cstheme="majorHAnsi"/>
          <w:sz w:val="24"/>
          <w:szCs w:val="24"/>
          <w:lang w:val="ru-MD"/>
        </w:rPr>
        <w:t xml:space="preserve">на 2019 год, было </w:t>
      </w:r>
      <w:r w:rsidRPr="00EC5A7B">
        <w:rPr>
          <w:rFonts w:asciiTheme="majorHAnsi" w:hAnsiTheme="majorHAnsi" w:cstheme="majorHAnsi"/>
          <w:sz w:val="24"/>
          <w:szCs w:val="24"/>
          <w:lang w:val="ru-MD"/>
        </w:rPr>
        <w:t xml:space="preserve">установлено, что сальдо внутренних государственных гарантий не должно превышать </w:t>
      </w:r>
      <w:r w:rsidR="00735891" w:rsidRPr="00EC5A7B">
        <w:rPr>
          <w:rFonts w:asciiTheme="majorHAnsi" w:hAnsiTheme="majorHAnsi" w:cstheme="majorHAnsi"/>
          <w:sz w:val="24"/>
          <w:szCs w:val="24"/>
          <w:lang w:val="ru-MD"/>
        </w:rPr>
        <w:t>1 100,0 млн. леев</w:t>
      </w:r>
      <w:r w:rsidRPr="00EC5A7B">
        <w:rPr>
          <w:rFonts w:asciiTheme="majorHAnsi" w:hAnsiTheme="majorHAnsi" w:cstheme="majorHAnsi"/>
          <w:sz w:val="24"/>
          <w:szCs w:val="24"/>
          <w:lang w:val="ru-MD"/>
        </w:rPr>
        <w:t xml:space="preserve">. </w:t>
      </w:r>
      <w:r w:rsidR="00735891" w:rsidRPr="00EC5A7B">
        <w:rPr>
          <w:rFonts w:asciiTheme="majorHAnsi" w:hAnsiTheme="majorHAnsi" w:cstheme="majorHAnsi"/>
          <w:bCs/>
          <w:sz w:val="24"/>
          <w:szCs w:val="24"/>
          <w:lang w:val="ru-MD"/>
        </w:rPr>
        <w:t>По состоянию на</w:t>
      </w:r>
      <w:r w:rsidR="00735891" w:rsidRPr="00EC5A7B">
        <w:rPr>
          <w:rFonts w:asciiTheme="majorHAnsi" w:hAnsiTheme="majorHAnsi" w:cstheme="majorHAnsi"/>
          <w:sz w:val="24"/>
          <w:szCs w:val="24"/>
          <w:lang w:val="ru-MD"/>
        </w:rPr>
        <w:t xml:space="preserve"> 31.12.2019 </w:t>
      </w:r>
      <w:r w:rsidRPr="00EC5A7B">
        <w:rPr>
          <w:rFonts w:asciiTheme="majorHAnsi" w:hAnsiTheme="majorHAnsi" w:cstheme="majorHAnsi"/>
          <w:sz w:val="24"/>
          <w:szCs w:val="24"/>
          <w:lang w:val="ru-MD"/>
        </w:rPr>
        <w:t xml:space="preserve">сальдо государственных гарантий составило </w:t>
      </w:r>
      <w:r w:rsidR="00735891" w:rsidRPr="00EC5A7B">
        <w:rPr>
          <w:rFonts w:asciiTheme="majorHAnsi" w:hAnsiTheme="majorHAnsi" w:cstheme="majorHAnsi"/>
          <w:sz w:val="24"/>
          <w:szCs w:val="24"/>
          <w:lang w:val="ru-MD"/>
        </w:rPr>
        <w:t xml:space="preserve">928,6 млн. леев, увеличившись на 670,3 млн. леев по сравнению с сальдо на конец предыдущего года, оно было полностью сформировано из внутренних государственных гарантий, предоставленных в рамках государственной программы </w:t>
      </w:r>
      <w:r w:rsidR="00EC5A7B">
        <w:rPr>
          <w:rFonts w:asciiTheme="majorHAnsi" w:hAnsiTheme="majorHAnsi" w:cstheme="majorHAnsi"/>
          <w:sz w:val="24"/>
          <w:szCs w:val="24"/>
          <w:lang w:val="ru-MD"/>
        </w:rPr>
        <w:t>“Первый дом”</w:t>
      </w:r>
      <w:r w:rsidR="00735891" w:rsidRPr="00EC5A7B">
        <w:rPr>
          <w:rFonts w:asciiTheme="majorHAnsi" w:hAnsiTheme="majorHAnsi" w:cstheme="majorHAnsi"/>
          <w:sz w:val="24"/>
          <w:szCs w:val="24"/>
          <w:lang w:val="ru-MD"/>
        </w:rPr>
        <w:t>. В течение 2019 года коммерческие банки</w:t>
      </w:r>
      <w:r w:rsidRPr="00EC5A7B">
        <w:rPr>
          <w:rFonts w:asciiTheme="majorHAnsi" w:hAnsiTheme="majorHAnsi" w:cstheme="majorHAnsi"/>
          <w:sz w:val="24"/>
          <w:szCs w:val="24"/>
          <w:lang w:val="ru-MD"/>
        </w:rPr>
        <w:t xml:space="preserve">: КБ „Moldova-Agroindbank” АО, КБ „Moldindconbank” АО, КБ „Victoriabank” АО, </w:t>
      </w:r>
      <w:r w:rsidRPr="00EC5A7B">
        <w:rPr>
          <w:rFonts w:asciiTheme="majorHAnsi" w:hAnsiTheme="majorHAnsi" w:cstheme="majorHAnsi"/>
          <w:sz w:val="24"/>
          <w:szCs w:val="24"/>
          <w:lang w:val="ru-MD"/>
        </w:rPr>
        <w:lastRenderedPageBreak/>
        <w:t>КБ „</w:t>
      </w:r>
      <w:r w:rsidR="00735891" w:rsidRPr="00EC5A7B">
        <w:rPr>
          <w:rFonts w:asciiTheme="majorHAnsi" w:hAnsiTheme="majorHAnsi" w:cstheme="majorHAnsi"/>
          <w:sz w:val="24"/>
          <w:szCs w:val="24"/>
          <w:lang w:val="ru-MD"/>
        </w:rPr>
        <w:t xml:space="preserve"> Mobiasbanca - OTP Group</w:t>
      </w:r>
      <w:r w:rsidRPr="00EC5A7B">
        <w:rPr>
          <w:rFonts w:asciiTheme="majorHAnsi" w:hAnsiTheme="majorHAnsi" w:cstheme="majorHAnsi"/>
          <w:sz w:val="24"/>
          <w:szCs w:val="24"/>
          <w:lang w:val="ru-MD"/>
        </w:rPr>
        <w:t>” АО и КБ „Eximbank” АО</w:t>
      </w:r>
      <w:r w:rsidR="00735891" w:rsidRPr="00EC5A7B">
        <w:rPr>
          <w:rFonts w:asciiTheme="majorHAnsi" w:hAnsiTheme="majorHAnsi" w:cstheme="majorHAnsi"/>
          <w:sz w:val="24"/>
          <w:szCs w:val="24"/>
          <w:lang w:val="ru-MD"/>
        </w:rPr>
        <w:t xml:space="preserve"> предоставили в рамках Программы новые кредиты, гарантированные государством, в размере 700,7 млн. леев</w:t>
      </w:r>
      <w:r w:rsidRPr="00EC5A7B">
        <w:rPr>
          <w:rFonts w:asciiTheme="majorHAnsi" w:hAnsiTheme="majorHAnsi" w:cstheme="majorHAnsi"/>
          <w:sz w:val="24"/>
          <w:szCs w:val="24"/>
          <w:lang w:val="ru-MD"/>
        </w:rPr>
        <w:t>.</w:t>
      </w:r>
      <w:r w:rsidR="00735891" w:rsidRPr="00EC5A7B">
        <w:rPr>
          <w:rFonts w:asciiTheme="majorHAnsi" w:hAnsiTheme="majorHAnsi" w:cstheme="majorHAnsi"/>
          <w:sz w:val="24"/>
          <w:szCs w:val="24"/>
          <w:lang w:val="ru-MD"/>
        </w:rPr>
        <w:t xml:space="preserve"> За тот же период бенефициары Программы погасили гарантированные кредиты всего лишь на сумму 30,4 млн. леев</w:t>
      </w:r>
      <w:r w:rsidR="00C85848" w:rsidRPr="00EC5A7B">
        <w:rPr>
          <w:rFonts w:asciiTheme="majorHAnsi" w:hAnsiTheme="majorHAnsi" w:cstheme="majorHAnsi"/>
          <w:sz w:val="24"/>
          <w:szCs w:val="24"/>
          <w:lang w:val="ru-MD"/>
        </w:rPr>
        <w:t>.</w:t>
      </w:r>
      <w:r w:rsidR="00FB2AFB" w:rsidRPr="00EC5A7B">
        <w:rPr>
          <w:rFonts w:asciiTheme="majorHAnsi" w:hAnsiTheme="majorHAnsi" w:cstheme="majorHAnsi"/>
          <w:sz w:val="24"/>
          <w:szCs w:val="24"/>
          <w:lang w:val="ru-MD"/>
        </w:rPr>
        <w:t xml:space="preserve"> </w:t>
      </w:r>
    </w:p>
    <w:p w14:paraId="3EB7604E" w14:textId="2F8935C5" w:rsidR="00C9511B" w:rsidRPr="00EC5A7B" w:rsidRDefault="001D62E0" w:rsidP="00C85848">
      <w:pPr>
        <w:shd w:val="clear" w:color="auto" w:fill="FFFFFF"/>
        <w:spacing w:after="240" w:line="276" w:lineRule="auto"/>
        <w:jc w:val="both"/>
        <w:rPr>
          <w:rFonts w:asciiTheme="majorHAnsi" w:eastAsia="Times New Roman" w:hAnsiTheme="majorHAnsi" w:cstheme="majorHAnsi"/>
          <w:sz w:val="24"/>
          <w:szCs w:val="24"/>
          <w:lang w:val="ru-MD" w:eastAsia="ro-RO"/>
        </w:rPr>
      </w:pPr>
      <w:r w:rsidRPr="00EC5A7B">
        <w:rPr>
          <w:rFonts w:asciiTheme="majorHAnsi" w:hAnsiTheme="majorHAnsi" w:cstheme="majorHAnsi"/>
          <w:sz w:val="24"/>
          <w:szCs w:val="24"/>
          <w:lang w:val="ru-MD"/>
        </w:rPr>
        <w:t xml:space="preserve">Хотя, по состоянию на 31.12.2019 государственные гарантии, предоставленные в рамках Программы </w:t>
      </w:r>
      <w:r w:rsidR="00EC5A7B">
        <w:rPr>
          <w:rFonts w:asciiTheme="majorHAnsi" w:hAnsiTheme="majorHAnsi" w:cstheme="majorHAnsi"/>
          <w:sz w:val="24"/>
          <w:szCs w:val="24"/>
          <w:lang w:val="ru-MD"/>
        </w:rPr>
        <w:t>“Первый дом”</w:t>
      </w:r>
      <w:r w:rsidRPr="00EC5A7B">
        <w:rPr>
          <w:rFonts w:asciiTheme="majorHAnsi" w:hAnsiTheme="majorHAnsi" w:cstheme="majorHAnsi"/>
          <w:sz w:val="24"/>
          <w:szCs w:val="24"/>
          <w:lang w:val="ru-MD"/>
        </w:rPr>
        <w:t>, не были активизированы, они могут оказать возможное влияние на государственный бюджет, путем невыполнения платежных обязательств гарантированными заемщиками</w:t>
      </w:r>
      <w:r w:rsidR="00C9511B" w:rsidRPr="00EC5A7B">
        <w:rPr>
          <w:rFonts w:asciiTheme="majorHAnsi" w:eastAsia="Times New Roman" w:hAnsiTheme="majorHAnsi" w:cstheme="majorHAnsi"/>
          <w:sz w:val="24"/>
          <w:szCs w:val="24"/>
          <w:lang w:val="ru-MD" w:eastAsia="ro-RO"/>
        </w:rPr>
        <w:t>.</w:t>
      </w:r>
    </w:p>
    <w:p w14:paraId="5B1166B0" w14:textId="02A33A8D" w:rsidR="00A9449F" w:rsidRPr="00EC5A7B" w:rsidRDefault="00A9449F" w:rsidP="00A9449F">
      <w:pPr>
        <w:shd w:val="clear" w:color="auto" w:fill="FFFFFF"/>
        <w:spacing w:after="240" w:line="276" w:lineRule="auto"/>
        <w:jc w:val="both"/>
        <w:rPr>
          <w:rFonts w:asciiTheme="majorHAnsi" w:hAnsiTheme="majorHAnsi" w:cstheme="majorHAnsi"/>
          <w:sz w:val="24"/>
          <w:szCs w:val="24"/>
          <w:lang w:val="ru-MD"/>
        </w:rPr>
      </w:pPr>
      <w:r w:rsidRPr="00EC5A7B">
        <w:rPr>
          <w:rFonts w:asciiTheme="majorHAnsi" w:hAnsiTheme="majorHAnsi" w:cstheme="majorHAnsi"/>
          <w:bCs/>
          <w:sz w:val="24"/>
          <w:szCs w:val="24"/>
          <w:lang w:val="ru-MD"/>
        </w:rPr>
        <w:t xml:space="preserve">По состоянию на </w:t>
      </w:r>
      <w:r w:rsidRPr="00EC5A7B">
        <w:rPr>
          <w:rFonts w:asciiTheme="majorHAnsi" w:hAnsiTheme="majorHAnsi" w:cstheme="majorHAnsi"/>
          <w:sz w:val="24"/>
          <w:szCs w:val="24"/>
          <w:lang w:val="ru-MD"/>
        </w:rPr>
        <w:t>31.12.201</w:t>
      </w:r>
      <w:r w:rsidR="0002037F" w:rsidRPr="00EC5A7B">
        <w:rPr>
          <w:rFonts w:asciiTheme="majorHAnsi" w:hAnsiTheme="majorHAnsi" w:cstheme="majorHAnsi"/>
          <w:sz w:val="24"/>
          <w:szCs w:val="24"/>
          <w:lang w:val="ru-MD"/>
        </w:rPr>
        <w:t>9</w:t>
      </w:r>
      <w:r w:rsidRPr="00EC5A7B">
        <w:rPr>
          <w:rFonts w:asciiTheme="majorHAnsi" w:hAnsiTheme="majorHAnsi" w:cstheme="majorHAnsi"/>
          <w:sz w:val="24"/>
          <w:szCs w:val="24"/>
          <w:lang w:val="ru-MD"/>
        </w:rPr>
        <w:t xml:space="preserve">, сальдо внешних государственных гарантий составило ноль </w:t>
      </w:r>
      <w:r w:rsidR="0002037F" w:rsidRPr="00EC5A7B">
        <w:rPr>
          <w:rFonts w:asciiTheme="majorHAnsi" w:hAnsiTheme="majorHAnsi" w:cstheme="majorHAnsi"/>
          <w:sz w:val="24"/>
          <w:szCs w:val="24"/>
          <w:lang w:val="ru-MD"/>
        </w:rPr>
        <w:t>леев</w:t>
      </w:r>
      <w:r w:rsidRPr="00EC5A7B">
        <w:rPr>
          <w:rFonts w:asciiTheme="majorHAnsi" w:hAnsiTheme="majorHAnsi" w:cstheme="majorHAnsi"/>
          <w:sz w:val="24"/>
          <w:szCs w:val="24"/>
          <w:lang w:val="ru-MD"/>
        </w:rPr>
        <w:t>, как было установлено годовым законом о бюджете.</w:t>
      </w:r>
    </w:p>
    <w:p w14:paraId="4F4128D5" w14:textId="1DBED326" w:rsidR="006023D2" w:rsidRPr="00EC5A7B" w:rsidRDefault="00AD0A10" w:rsidP="00D472FF">
      <w:pPr>
        <w:numPr>
          <w:ilvl w:val="2"/>
          <w:numId w:val="2"/>
        </w:numPr>
        <w:autoSpaceDE w:val="0"/>
        <w:autoSpaceDN w:val="0"/>
        <w:adjustRightInd w:val="0"/>
        <w:spacing w:line="240" w:lineRule="auto"/>
        <w:contextualSpacing/>
        <w:jc w:val="both"/>
        <w:outlineLvl w:val="1"/>
        <w:rPr>
          <w:rFonts w:asciiTheme="majorHAnsi" w:eastAsia="Times New Roman" w:hAnsiTheme="majorHAnsi" w:cstheme="majorHAnsi"/>
          <w:b/>
          <w:bCs/>
          <w:i/>
          <w:color w:val="5B9BD5" w:themeColor="accent1"/>
          <w:sz w:val="24"/>
          <w:szCs w:val="24"/>
          <w:lang w:val="ru-MD" w:eastAsia="ru-RU"/>
        </w:rPr>
      </w:pPr>
      <w:bookmarkStart w:id="20" w:name="_Toc63157269"/>
      <w:r w:rsidRPr="00EC5A7B">
        <w:rPr>
          <w:rFonts w:asciiTheme="majorHAnsi" w:eastAsia="Times New Roman" w:hAnsiTheme="majorHAnsi" w:cstheme="majorHAnsi"/>
          <w:b/>
          <w:bCs/>
          <w:i/>
          <w:color w:val="5B9BD5" w:themeColor="accent1"/>
          <w:sz w:val="24"/>
          <w:szCs w:val="24"/>
          <w:lang w:val="ru-MD" w:eastAsia="ru-RU"/>
        </w:rPr>
        <w:t>Задолженности гарантированных дебиторов перед Министерством финансов полностью просрочены</w:t>
      </w:r>
      <w:bookmarkEnd w:id="20"/>
    </w:p>
    <w:p w14:paraId="11C840C8" w14:textId="77777777" w:rsidR="006023D2" w:rsidRPr="00EC5A7B" w:rsidRDefault="006023D2" w:rsidP="004C35C3">
      <w:pPr>
        <w:contextualSpacing/>
        <w:rPr>
          <w:rFonts w:asciiTheme="majorHAnsi" w:eastAsia="Times New Roman" w:hAnsiTheme="majorHAnsi" w:cstheme="majorHAnsi"/>
          <w:bCs/>
          <w:color w:val="5B9BD5" w:themeColor="accent1"/>
          <w:sz w:val="24"/>
          <w:szCs w:val="24"/>
          <w:lang w:val="ru-MD" w:eastAsia="ru-RU"/>
        </w:rPr>
      </w:pPr>
    </w:p>
    <w:p w14:paraId="4A6A047C" w14:textId="17970E09" w:rsidR="00AF7647" w:rsidRPr="00EC5A7B" w:rsidRDefault="00AD0A10" w:rsidP="004C35C3">
      <w:pPr>
        <w:tabs>
          <w:tab w:val="left" w:pos="284"/>
          <w:tab w:val="left" w:pos="567"/>
        </w:tabs>
        <w:spacing w:line="276" w:lineRule="auto"/>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 xml:space="preserve">По состоянию на 31.12.2019, остаток задолженности гарантированных </w:t>
      </w:r>
      <w:r w:rsidR="007F02EA" w:rsidRPr="00EC5A7B">
        <w:rPr>
          <w:rFonts w:asciiTheme="majorHAnsi" w:hAnsiTheme="majorHAnsi" w:cstheme="majorHAnsi"/>
          <w:sz w:val="24"/>
          <w:szCs w:val="24"/>
          <w:lang w:val="ru-MD"/>
        </w:rPr>
        <w:t>заемщиков перед</w:t>
      </w:r>
      <w:r w:rsidRPr="00EC5A7B">
        <w:rPr>
          <w:rFonts w:asciiTheme="majorHAnsi" w:hAnsiTheme="majorHAnsi" w:cstheme="majorHAnsi"/>
          <w:sz w:val="24"/>
          <w:szCs w:val="24"/>
          <w:lang w:val="ru-MD"/>
        </w:rPr>
        <w:t xml:space="preserve"> МФ, возникших в результате </w:t>
      </w:r>
      <w:r w:rsidR="007F02EA" w:rsidRPr="00EC5A7B">
        <w:rPr>
          <w:rFonts w:asciiTheme="majorHAnsi" w:hAnsiTheme="majorHAnsi" w:cstheme="majorHAnsi"/>
          <w:sz w:val="24"/>
          <w:szCs w:val="24"/>
          <w:lang w:val="ru-MD"/>
        </w:rPr>
        <w:t>отвлече</w:t>
      </w:r>
      <w:r w:rsidRPr="00EC5A7B">
        <w:rPr>
          <w:rFonts w:asciiTheme="majorHAnsi" w:hAnsiTheme="majorHAnsi" w:cstheme="majorHAnsi"/>
          <w:sz w:val="24"/>
          <w:szCs w:val="24"/>
          <w:lang w:val="ru-MD"/>
        </w:rPr>
        <w:t xml:space="preserve">ния средств </w:t>
      </w:r>
      <w:r w:rsidR="007F02EA" w:rsidRPr="00EC5A7B">
        <w:rPr>
          <w:rFonts w:asciiTheme="majorHAnsi" w:hAnsiTheme="majorHAnsi" w:cstheme="majorHAnsi"/>
          <w:sz w:val="24"/>
          <w:szCs w:val="24"/>
          <w:lang w:val="ru-MD"/>
        </w:rPr>
        <w:t>на</w:t>
      </w:r>
      <w:r w:rsidRPr="00EC5A7B">
        <w:rPr>
          <w:rFonts w:asciiTheme="majorHAnsi" w:hAnsiTheme="majorHAnsi" w:cstheme="majorHAnsi"/>
          <w:sz w:val="24"/>
          <w:szCs w:val="24"/>
          <w:lang w:val="ru-MD"/>
        </w:rPr>
        <w:t xml:space="preserve"> выполнени</w:t>
      </w:r>
      <w:r w:rsidR="007F02EA" w:rsidRPr="00EC5A7B">
        <w:rPr>
          <w:rFonts w:asciiTheme="majorHAnsi" w:hAnsiTheme="majorHAnsi" w:cstheme="majorHAnsi"/>
          <w:sz w:val="24"/>
          <w:szCs w:val="24"/>
          <w:lang w:val="ru-MD"/>
        </w:rPr>
        <w:t>е</w:t>
      </w:r>
      <w:r w:rsidRPr="00EC5A7B">
        <w:rPr>
          <w:rFonts w:asciiTheme="majorHAnsi" w:hAnsiTheme="majorHAnsi" w:cstheme="majorHAnsi"/>
          <w:sz w:val="24"/>
          <w:szCs w:val="24"/>
          <w:lang w:val="ru-MD"/>
        </w:rPr>
        <w:t xml:space="preserve"> обязательств</w:t>
      </w:r>
      <w:r w:rsidR="007F02EA" w:rsidRPr="00EC5A7B">
        <w:rPr>
          <w:rFonts w:asciiTheme="majorHAnsi" w:hAnsiTheme="majorHAnsi" w:cstheme="majorHAnsi"/>
          <w:sz w:val="24"/>
          <w:szCs w:val="24"/>
          <w:lang w:val="ru-MD"/>
        </w:rPr>
        <w:t>, вытекающих из</w:t>
      </w:r>
      <w:r w:rsidRPr="00EC5A7B">
        <w:rPr>
          <w:rFonts w:asciiTheme="majorHAnsi" w:hAnsiTheme="majorHAnsi" w:cstheme="majorHAnsi"/>
          <w:sz w:val="24"/>
          <w:szCs w:val="24"/>
          <w:lang w:val="ru-MD"/>
        </w:rPr>
        <w:t xml:space="preserve"> внутренних и внешних государственных гарантий, составляет 2,4 млн. леев, 3,5 млн. дол. США и 19,1 млн. евро, или эквивалент 431,1 млн. леев. Общая задолженность </w:t>
      </w:r>
      <w:r w:rsidR="007F02EA" w:rsidRPr="00EC5A7B">
        <w:rPr>
          <w:rFonts w:asciiTheme="majorHAnsi" w:hAnsiTheme="majorHAnsi" w:cstheme="majorHAnsi"/>
          <w:sz w:val="24"/>
          <w:szCs w:val="24"/>
          <w:lang w:val="ru-MD"/>
        </w:rPr>
        <w:t>гарантирова</w:t>
      </w:r>
      <w:r w:rsidRPr="00EC5A7B">
        <w:rPr>
          <w:rFonts w:asciiTheme="majorHAnsi" w:hAnsiTheme="majorHAnsi" w:cstheme="majorHAnsi"/>
          <w:sz w:val="24"/>
          <w:szCs w:val="24"/>
          <w:lang w:val="ru-MD"/>
        </w:rPr>
        <w:t xml:space="preserve">нных заемщиков состоит из долгов по внутренним кредитам в размере 2,4 млн. </w:t>
      </w:r>
      <w:r w:rsidR="007F02EA" w:rsidRPr="00EC5A7B">
        <w:rPr>
          <w:rFonts w:asciiTheme="majorHAnsi" w:hAnsiTheme="majorHAnsi" w:cstheme="majorHAnsi"/>
          <w:sz w:val="24"/>
          <w:szCs w:val="24"/>
          <w:lang w:val="ru-MD"/>
        </w:rPr>
        <w:t>леев</w:t>
      </w:r>
      <w:r w:rsidRPr="00EC5A7B">
        <w:rPr>
          <w:rFonts w:asciiTheme="majorHAnsi" w:hAnsiTheme="majorHAnsi" w:cstheme="majorHAnsi"/>
          <w:sz w:val="24"/>
          <w:szCs w:val="24"/>
          <w:lang w:val="ru-MD"/>
        </w:rPr>
        <w:t xml:space="preserve"> и долг</w:t>
      </w:r>
      <w:r w:rsidR="007F02EA" w:rsidRPr="00EC5A7B">
        <w:rPr>
          <w:rFonts w:asciiTheme="majorHAnsi" w:hAnsiTheme="majorHAnsi" w:cstheme="majorHAnsi"/>
          <w:sz w:val="24"/>
          <w:szCs w:val="24"/>
          <w:lang w:val="ru-MD"/>
        </w:rPr>
        <w:t>ов</w:t>
      </w:r>
      <w:r w:rsidRPr="00EC5A7B">
        <w:rPr>
          <w:rFonts w:asciiTheme="majorHAnsi" w:hAnsiTheme="majorHAnsi" w:cstheme="majorHAnsi"/>
          <w:sz w:val="24"/>
          <w:szCs w:val="24"/>
          <w:lang w:val="ru-MD"/>
        </w:rPr>
        <w:t xml:space="preserve"> по внешним кредитам</w:t>
      </w:r>
      <w:r w:rsidR="007F02EA"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w:t>
      </w:r>
      <w:r w:rsidR="007F02EA"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rPr>
        <w:t>428,7</w:t>
      </w:r>
      <w:r w:rsidR="007F02EA" w:rsidRPr="00EC5A7B">
        <w:rPr>
          <w:rFonts w:asciiTheme="majorHAnsi" w:hAnsiTheme="majorHAnsi" w:cstheme="majorHAnsi"/>
          <w:sz w:val="24"/>
          <w:szCs w:val="24"/>
          <w:lang w:val="ru-MD"/>
        </w:rPr>
        <w:t xml:space="preserve"> млн</w:t>
      </w:r>
      <w:r w:rsidRPr="00EC5A7B">
        <w:rPr>
          <w:rFonts w:asciiTheme="majorHAnsi" w:hAnsiTheme="majorHAnsi" w:cstheme="majorHAnsi"/>
          <w:sz w:val="24"/>
          <w:szCs w:val="24"/>
          <w:lang w:val="ru-MD"/>
        </w:rPr>
        <w:t xml:space="preserve">. леев. </w:t>
      </w:r>
      <w:r w:rsidR="007F02EA" w:rsidRPr="00EC5A7B">
        <w:rPr>
          <w:rFonts w:asciiTheme="majorHAnsi" w:hAnsiTheme="majorHAnsi" w:cstheme="majorHAnsi"/>
          <w:sz w:val="24"/>
          <w:szCs w:val="24"/>
          <w:lang w:val="ru-MD"/>
        </w:rPr>
        <w:t>Отмеч</w:t>
      </w:r>
      <w:r w:rsidRPr="00EC5A7B">
        <w:rPr>
          <w:rFonts w:asciiTheme="majorHAnsi" w:hAnsiTheme="majorHAnsi" w:cstheme="majorHAnsi"/>
          <w:sz w:val="24"/>
          <w:szCs w:val="24"/>
          <w:lang w:val="ru-MD"/>
        </w:rPr>
        <w:t xml:space="preserve">ается, что </w:t>
      </w:r>
      <w:r w:rsidR="007F02EA" w:rsidRPr="00EC5A7B">
        <w:rPr>
          <w:rFonts w:asciiTheme="majorHAnsi" w:hAnsiTheme="majorHAnsi" w:cstheme="majorHAnsi"/>
          <w:sz w:val="24"/>
          <w:szCs w:val="24"/>
          <w:lang w:val="ru-MD"/>
        </w:rPr>
        <w:t>сальдо долга</w:t>
      </w:r>
      <w:r w:rsidRPr="00EC5A7B">
        <w:rPr>
          <w:rFonts w:asciiTheme="majorHAnsi" w:hAnsiTheme="majorHAnsi" w:cstheme="majorHAnsi"/>
          <w:sz w:val="24"/>
          <w:szCs w:val="24"/>
          <w:lang w:val="ru-MD"/>
        </w:rPr>
        <w:t xml:space="preserve"> гарантированных заемщиков полн</w:t>
      </w:r>
      <w:r w:rsidR="007F02EA" w:rsidRPr="00EC5A7B">
        <w:rPr>
          <w:rFonts w:asciiTheme="majorHAnsi" w:hAnsiTheme="majorHAnsi" w:cstheme="majorHAnsi"/>
          <w:sz w:val="24"/>
          <w:szCs w:val="24"/>
          <w:lang w:val="ru-MD"/>
        </w:rPr>
        <w:t>остью просрочено</w:t>
      </w:r>
      <w:r w:rsidR="00AF7647" w:rsidRPr="00EC5A7B">
        <w:rPr>
          <w:rFonts w:asciiTheme="majorHAnsi" w:hAnsiTheme="majorHAnsi" w:cstheme="majorHAnsi"/>
          <w:sz w:val="24"/>
          <w:szCs w:val="24"/>
          <w:lang w:val="ru-MD"/>
        </w:rPr>
        <w:t>.</w:t>
      </w:r>
    </w:p>
    <w:p w14:paraId="603ADBFE" w14:textId="2122FF41" w:rsidR="004C35C3" w:rsidRPr="00EC5A7B" w:rsidRDefault="00AD0A10" w:rsidP="00A87074">
      <w:pPr>
        <w:tabs>
          <w:tab w:val="left" w:pos="284"/>
          <w:tab w:val="left" w:pos="567"/>
        </w:tabs>
        <w:spacing w:line="276" w:lineRule="auto"/>
        <w:jc w:val="both"/>
        <w:rPr>
          <w:rFonts w:asciiTheme="majorHAnsi" w:hAnsiTheme="majorHAnsi" w:cstheme="majorHAnsi"/>
          <w:i/>
          <w:sz w:val="24"/>
          <w:szCs w:val="24"/>
          <w:lang w:val="ru-MD"/>
        </w:rPr>
      </w:pPr>
      <w:r w:rsidRPr="00EC5A7B">
        <w:rPr>
          <w:rFonts w:asciiTheme="majorHAnsi" w:hAnsiTheme="majorHAnsi" w:cstheme="majorHAnsi"/>
          <w:sz w:val="24"/>
          <w:szCs w:val="24"/>
          <w:lang w:val="ru-MD"/>
        </w:rPr>
        <w:lastRenderedPageBreak/>
        <w:t xml:space="preserve">По сравнению с </w:t>
      </w:r>
      <w:r w:rsidR="007F02EA" w:rsidRPr="00EC5A7B">
        <w:rPr>
          <w:rFonts w:asciiTheme="majorHAnsi" w:hAnsiTheme="majorHAnsi" w:cstheme="majorHAnsi"/>
          <w:sz w:val="24"/>
          <w:szCs w:val="24"/>
          <w:lang w:val="ru-MD"/>
        </w:rPr>
        <w:t>тем же периодом прошлого</w:t>
      </w:r>
      <w:r w:rsidRPr="00EC5A7B">
        <w:rPr>
          <w:rFonts w:asciiTheme="majorHAnsi" w:hAnsiTheme="majorHAnsi" w:cstheme="majorHAnsi"/>
          <w:sz w:val="24"/>
          <w:szCs w:val="24"/>
          <w:lang w:val="ru-MD"/>
        </w:rPr>
        <w:t xml:space="preserve"> года, сальдо долга </w:t>
      </w:r>
      <w:r w:rsidR="007F02EA" w:rsidRPr="00EC5A7B">
        <w:rPr>
          <w:rFonts w:asciiTheme="majorHAnsi" w:hAnsiTheme="majorHAnsi" w:cstheme="majorHAnsi"/>
          <w:sz w:val="24"/>
          <w:szCs w:val="24"/>
          <w:lang w:val="ru-MD"/>
        </w:rPr>
        <w:t xml:space="preserve">увеличилось на 493,3 тыс. евро в результате 2 платежей, произведенных МФ в течение 2019 года в пользу внешнего кредитора. Несмотря на то, что сальдо долга в иностранной валюте увеличилось, его эквивалент в леях сократился на 4,8 млн. леев, из-за разницы в валютном курсе. </w:t>
      </w:r>
      <w:r w:rsidR="007F02EA" w:rsidRPr="00EC5A7B">
        <w:rPr>
          <w:rFonts w:asciiTheme="majorHAnsi" w:hAnsiTheme="majorHAnsi" w:cstheme="majorHAnsi"/>
          <w:i/>
          <w:sz w:val="24"/>
          <w:szCs w:val="24"/>
          <w:lang w:val="ru-MD"/>
        </w:rPr>
        <w:t>Информация о долгах гарантированных заемщиков перед МФ по внутренним и внешним кредитам, предоставленным в виде государственной гарантии, представлена в Приложении №14 к настоящему Отчету аудита</w:t>
      </w:r>
      <w:r w:rsidR="00DE7D06" w:rsidRPr="00EC5A7B">
        <w:rPr>
          <w:rFonts w:asciiTheme="majorHAnsi" w:hAnsiTheme="majorHAnsi" w:cstheme="majorHAnsi"/>
          <w:i/>
          <w:sz w:val="24"/>
          <w:szCs w:val="24"/>
          <w:lang w:val="ru-MD"/>
        </w:rPr>
        <w:t>.</w:t>
      </w:r>
    </w:p>
    <w:p w14:paraId="29F0BEF9" w14:textId="77777777" w:rsidR="009C7EEF" w:rsidRPr="00EC5A7B" w:rsidRDefault="009C7EEF" w:rsidP="00A87074">
      <w:pPr>
        <w:tabs>
          <w:tab w:val="left" w:pos="284"/>
          <w:tab w:val="left" w:pos="567"/>
        </w:tabs>
        <w:spacing w:line="276" w:lineRule="auto"/>
        <w:jc w:val="both"/>
        <w:rPr>
          <w:rFonts w:asciiTheme="majorHAnsi" w:hAnsiTheme="majorHAnsi" w:cstheme="majorHAnsi"/>
          <w:sz w:val="24"/>
          <w:szCs w:val="24"/>
          <w:lang w:val="ru-MD"/>
        </w:rPr>
      </w:pPr>
    </w:p>
    <w:p w14:paraId="4D167C09" w14:textId="5A7252DB" w:rsidR="006023D2" w:rsidRPr="00EC5A7B" w:rsidRDefault="00A9785A" w:rsidP="00D472FF">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u-MD" w:eastAsia="ru-RU"/>
        </w:rPr>
      </w:pPr>
      <w:bookmarkStart w:id="21" w:name="_Toc63157270"/>
      <w:r w:rsidRPr="00EC5A7B">
        <w:rPr>
          <w:rFonts w:asciiTheme="majorHAnsi" w:eastAsia="Times New Roman" w:hAnsiTheme="majorHAnsi" w:cstheme="majorHAnsi"/>
          <w:b/>
          <w:bCs/>
          <w:color w:val="5B9BD5" w:themeColor="accent1"/>
          <w:sz w:val="24"/>
          <w:szCs w:val="24"/>
          <w:lang w:val="ru-MD" w:eastAsia="ru-RU"/>
        </w:rPr>
        <w:t>Конкретная цель</w:t>
      </w:r>
      <w:r w:rsidR="006023D2" w:rsidRPr="00EC5A7B">
        <w:rPr>
          <w:rFonts w:asciiTheme="majorHAnsi" w:eastAsia="Times New Roman" w:hAnsiTheme="majorHAnsi" w:cstheme="majorHAnsi"/>
          <w:b/>
          <w:bCs/>
          <w:color w:val="5B9BD5" w:themeColor="accent1"/>
          <w:sz w:val="24"/>
          <w:szCs w:val="24"/>
          <w:lang w:val="ru-MD" w:eastAsia="ru-RU"/>
        </w:rPr>
        <w:t xml:space="preserve"> IV. </w:t>
      </w:r>
      <w:r w:rsidR="00412CCD" w:rsidRPr="00EC5A7B">
        <w:rPr>
          <w:rFonts w:asciiTheme="majorHAnsi" w:eastAsia="Times New Roman" w:hAnsiTheme="majorHAnsi" w:cstheme="majorHAnsi"/>
          <w:b/>
          <w:bCs/>
          <w:color w:val="5B9BD5" w:themeColor="accent1"/>
          <w:sz w:val="24"/>
          <w:szCs w:val="24"/>
          <w:lang w:val="ru-MD" w:eastAsia="ru-RU"/>
        </w:rPr>
        <w:t>Оценка администрирования и мониторинга кредитов, рекредитованных государством</w:t>
      </w:r>
      <w:bookmarkEnd w:id="21"/>
      <w:r w:rsidR="00412CCD" w:rsidRPr="00EC5A7B">
        <w:rPr>
          <w:rFonts w:asciiTheme="majorHAnsi" w:eastAsia="Times New Roman" w:hAnsiTheme="majorHAnsi" w:cstheme="majorHAnsi"/>
          <w:b/>
          <w:bCs/>
          <w:color w:val="5B9BD5" w:themeColor="accent1"/>
          <w:sz w:val="24"/>
          <w:szCs w:val="24"/>
          <w:lang w:val="ru-MD" w:eastAsia="ru-RU"/>
        </w:rPr>
        <w:t xml:space="preserve"> </w:t>
      </w:r>
    </w:p>
    <w:p w14:paraId="35E3181E" w14:textId="522866E9" w:rsidR="007453BF" w:rsidRPr="00EC5A7B" w:rsidRDefault="00531389" w:rsidP="00F85715">
      <w:pPr>
        <w:pStyle w:val="NoSpacing"/>
        <w:spacing w:after="240" w:line="276" w:lineRule="auto"/>
        <w:jc w:val="both"/>
        <w:rPr>
          <w:rFonts w:asciiTheme="majorHAnsi" w:hAnsiTheme="majorHAnsi" w:cstheme="majorHAnsi"/>
          <w:i/>
          <w:sz w:val="24"/>
          <w:szCs w:val="24"/>
          <w:lang w:val="ru-MD" w:eastAsia="ru-RU"/>
        </w:rPr>
      </w:pPr>
      <w:r w:rsidRPr="00EC5A7B">
        <w:rPr>
          <w:rFonts w:asciiTheme="majorHAnsi" w:hAnsiTheme="majorHAnsi" w:cstheme="majorHAnsi"/>
          <w:i/>
          <w:sz w:val="24"/>
          <w:szCs w:val="24"/>
          <w:lang w:val="ru-MD" w:eastAsia="ru-RU"/>
        </w:rPr>
        <w:t xml:space="preserve">Из </w:t>
      </w:r>
      <w:r w:rsidR="006958E6" w:rsidRPr="00EC5A7B">
        <w:rPr>
          <w:rFonts w:asciiTheme="majorHAnsi" w:hAnsiTheme="majorHAnsi" w:cstheme="majorHAnsi"/>
          <w:i/>
          <w:sz w:val="24"/>
          <w:szCs w:val="24"/>
          <w:lang w:val="ru-MD" w:eastAsia="ru-RU"/>
        </w:rPr>
        <w:t xml:space="preserve">общей </w:t>
      </w:r>
      <w:r w:rsidRPr="00EC5A7B">
        <w:rPr>
          <w:rFonts w:asciiTheme="majorHAnsi" w:hAnsiTheme="majorHAnsi" w:cstheme="majorHAnsi"/>
          <w:i/>
          <w:sz w:val="24"/>
          <w:szCs w:val="24"/>
          <w:lang w:val="ru-MD" w:eastAsia="ru-RU"/>
        </w:rPr>
        <w:t xml:space="preserve">суммы общих долгов </w:t>
      </w:r>
      <w:r w:rsidR="006958E6" w:rsidRPr="00EC5A7B">
        <w:rPr>
          <w:rFonts w:asciiTheme="majorHAnsi" w:hAnsiTheme="majorHAnsi" w:cstheme="majorHAnsi"/>
          <w:i/>
          <w:sz w:val="24"/>
          <w:szCs w:val="24"/>
          <w:lang w:val="ru-MD" w:eastAsia="ru-RU"/>
        </w:rPr>
        <w:t>рекредитованных</w:t>
      </w:r>
      <w:r w:rsidRPr="00EC5A7B">
        <w:rPr>
          <w:rFonts w:asciiTheme="majorHAnsi" w:hAnsiTheme="majorHAnsi" w:cstheme="majorHAnsi"/>
          <w:i/>
          <w:sz w:val="24"/>
          <w:szCs w:val="24"/>
          <w:lang w:val="ru-MD" w:eastAsia="ru-RU"/>
        </w:rPr>
        <w:t xml:space="preserve"> бенефициаров</w:t>
      </w:r>
      <w:r w:rsidR="006958E6" w:rsidRPr="00EC5A7B">
        <w:rPr>
          <w:rFonts w:asciiTheme="majorHAnsi" w:hAnsiTheme="majorHAnsi" w:cstheme="majorHAnsi"/>
          <w:i/>
          <w:sz w:val="24"/>
          <w:szCs w:val="24"/>
          <w:lang w:val="ru-MD" w:eastAsia="ru-RU"/>
        </w:rPr>
        <w:t>,</w:t>
      </w:r>
      <w:r w:rsidRPr="00EC5A7B">
        <w:rPr>
          <w:rFonts w:asciiTheme="majorHAnsi" w:hAnsiTheme="majorHAnsi" w:cstheme="majorHAnsi"/>
          <w:i/>
          <w:sz w:val="24"/>
          <w:szCs w:val="24"/>
          <w:lang w:val="ru-MD" w:eastAsia="ru-RU"/>
        </w:rPr>
        <w:t xml:space="preserve"> долги с истекшим сроком погашения составляют 5,9% и представляют повышенный риск не</w:t>
      </w:r>
      <w:r w:rsidR="006958E6" w:rsidRPr="00EC5A7B">
        <w:rPr>
          <w:rFonts w:asciiTheme="majorHAnsi" w:hAnsiTheme="majorHAnsi" w:cstheme="majorHAnsi"/>
          <w:i/>
          <w:sz w:val="24"/>
          <w:szCs w:val="24"/>
          <w:lang w:val="ru-MD" w:eastAsia="ru-RU"/>
        </w:rPr>
        <w:t>возмещ</w:t>
      </w:r>
      <w:r w:rsidRPr="00EC5A7B">
        <w:rPr>
          <w:rFonts w:asciiTheme="majorHAnsi" w:hAnsiTheme="majorHAnsi" w:cstheme="majorHAnsi"/>
          <w:i/>
          <w:sz w:val="24"/>
          <w:szCs w:val="24"/>
          <w:lang w:val="ru-MD" w:eastAsia="ru-RU"/>
        </w:rPr>
        <w:t>ечения</w:t>
      </w:r>
      <w:r w:rsidR="00F85715" w:rsidRPr="00EC5A7B">
        <w:rPr>
          <w:rFonts w:asciiTheme="majorHAnsi" w:hAnsiTheme="majorHAnsi" w:cstheme="majorHAnsi"/>
          <w:i/>
          <w:sz w:val="24"/>
          <w:szCs w:val="24"/>
          <w:lang w:val="ru-MD" w:eastAsia="ru-RU"/>
        </w:rPr>
        <w:t>.</w:t>
      </w:r>
      <w:r w:rsidR="007453BF" w:rsidRPr="00EC5A7B">
        <w:rPr>
          <w:rFonts w:asciiTheme="majorHAnsi" w:hAnsiTheme="majorHAnsi" w:cstheme="majorHAnsi"/>
          <w:i/>
          <w:sz w:val="24"/>
          <w:szCs w:val="24"/>
          <w:lang w:val="ru-MD" w:eastAsia="ru-RU"/>
        </w:rPr>
        <w:t xml:space="preserve"> </w:t>
      </w:r>
    </w:p>
    <w:p w14:paraId="72A13A29" w14:textId="479E5B0D" w:rsidR="005E482D" w:rsidRPr="00EC5A7B" w:rsidRDefault="00531389" w:rsidP="00531389">
      <w:pPr>
        <w:pStyle w:val="ListParagraph"/>
        <w:numPr>
          <w:ilvl w:val="2"/>
          <w:numId w:val="2"/>
        </w:numPr>
        <w:autoSpaceDE w:val="0"/>
        <w:autoSpaceDN w:val="0"/>
        <w:adjustRightInd w:val="0"/>
        <w:spacing w:line="240" w:lineRule="auto"/>
        <w:jc w:val="both"/>
        <w:outlineLvl w:val="1"/>
        <w:rPr>
          <w:rFonts w:asciiTheme="majorHAnsi" w:eastAsia="Times New Roman" w:hAnsiTheme="majorHAnsi" w:cstheme="majorHAnsi"/>
          <w:b/>
          <w:bCs/>
          <w:i/>
          <w:color w:val="5B9BD5" w:themeColor="accent1"/>
          <w:sz w:val="24"/>
          <w:szCs w:val="24"/>
          <w:lang w:val="ru-MD" w:eastAsia="ru-RU"/>
        </w:rPr>
      </w:pPr>
      <w:bookmarkStart w:id="22" w:name="_Toc63157271"/>
      <w:r w:rsidRPr="00EC5A7B">
        <w:rPr>
          <w:rFonts w:asciiTheme="majorHAnsi" w:eastAsia="Times New Roman" w:hAnsiTheme="majorHAnsi" w:cstheme="majorHAnsi"/>
          <w:b/>
          <w:bCs/>
          <w:i/>
          <w:color w:val="5B9BD5" w:themeColor="accent1"/>
          <w:sz w:val="24"/>
          <w:szCs w:val="24"/>
          <w:lang w:val="ru-MD" w:eastAsia="ru-RU"/>
        </w:rPr>
        <w:t xml:space="preserve">Финансовые средства, </w:t>
      </w:r>
      <w:r w:rsidR="006958E6" w:rsidRPr="00EC5A7B">
        <w:rPr>
          <w:rFonts w:asciiTheme="majorHAnsi" w:eastAsia="Times New Roman" w:hAnsiTheme="majorHAnsi" w:cstheme="majorHAnsi"/>
          <w:b/>
          <w:bCs/>
          <w:i/>
          <w:color w:val="5B9BD5" w:themeColor="accent1"/>
          <w:sz w:val="24"/>
          <w:szCs w:val="24"/>
          <w:lang w:val="ru-MD" w:eastAsia="ru-RU"/>
        </w:rPr>
        <w:t>используем</w:t>
      </w:r>
      <w:r w:rsidRPr="00EC5A7B">
        <w:rPr>
          <w:rFonts w:asciiTheme="majorHAnsi" w:eastAsia="Times New Roman" w:hAnsiTheme="majorHAnsi" w:cstheme="majorHAnsi"/>
          <w:b/>
          <w:bCs/>
          <w:i/>
          <w:color w:val="5B9BD5" w:themeColor="accent1"/>
          <w:sz w:val="24"/>
          <w:szCs w:val="24"/>
          <w:lang w:val="ru-MD" w:eastAsia="ru-RU"/>
        </w:rPr>
        <w:t xml:space="preserve">ые на государственное </w:t>
      </w:r>
      <w:r w:rsidR="006958E6" w:rsidRPr="00EC5A7B">
        <w:rPr>
          <w:rFonts w:asciiTheme="majorHAnsi" w:eastAsia="Times New Roman" w:hAnsiTheme="majorHAnsi" w:cstheme="majorHAnsi"/>
          <w:b/>
          <w:bCs/>
          <w:i/>
          <w:color w:val="5B9BD5" w:themeColor="accent1"/>
          <w:sz w:val="24"/>
          <w:szCs w:val="24"/>
          <w:lang w:val="ru-MD" w:eastAsia="ru-RU"/>
        </w:rPr>
        <w:t>ре</w:t>
      </w:r>
      <w:r w:rsidRPr="00EC5A7B">
        <w:rPr>
          <w:rFonts w:asciiTheme="majorHAnsi" w:eastAsia="Times New Roman" w:hAnsiTheme="majorHAnsi" w:cstheme="majorHAnsi"/>
          <w:b/>
          <w:bCs/>
          <w:i/>
          <w:color w:val="5B9BD5" w:themeColor="accent1"/>
          <w:sz w:val="24"/>
          <w:szCs w:val="24"/>
          <w:lang w:val="ru-MD" w:eastAsia="ru-RU"/>
        </w:rPr>
        <w:t xml:space="preserve">кредитование, увеличились, </w:t>
      </w:r>
      <w:r w:rsidR="006958E6" w:rsidRPr="00EC5A7B">
        <w:rPr>
          <w:rFonts w:asciiTheme="majorHAnsi" w:eastAsia="Times New Roman" w:hAnsiTheme="majorHAnsi" w:cstheme="majorHAnsi"/>
          <w:b/>
          <w:bCs/>
          <w:i/>
          <w:color w:val="5B9BD5" w:themeColor="accent1"/>
          <w:sz w:val="24"/>
          <w:szCs w:val="24"/>
          <w:lang w:val="ru-MD" w:eastAsia="ru-RU"/>
        </w:rPr>
        <w:t>и,</w:t>
      </w:r>
      <w:r w:rsidRPr="00EC5A7B">
        <w:rPr>
          <w:rFonts w:asciiTheme="majorHAnsi" w:eastAsia="Times New Roman" w:hAnsiTheme="majorHAnsi" w:cstheme="majorHAnsi"/>
          <w:b/>
          <w:bCs/>
          <w:i/>
          <w:color w:val="5B9BD5" w:themeColor="accent1"/>
          <w:sz w:val="24"/>
          <w:szCs w:val="24"/>
          <w:lang w:val="ru-MD" w:eastAsia="ru-RU"/>
        </w:rPr>
        <w:t xml:space="preserve"> в основном</w:t>
      </w:r>
      <w:r w:rsidR="006958E6" w:rsidRPr="00EC5A7B">
        <w:rPr>
          <w:rFonts w:asciiTheme="majorHAnsi" w:eastAsia="Times New Roman" w:hAnsiTheme="majorHAnsi" w:cstheme="majorHAnsi"/>
          <w:b/>
          <w:bCs/>
          <w:i/>
          <w:color w:val="5B9BD5" w:themeColor="accent1"/>
          <w:sz w:val="24"/>
          <w:szCs w:val="24"/>
          <w:lang w:val="ru-MD" w:eastAsia="ru-RU"/>
        </w:rPr>
        <w:t>, были</w:t>
      </w:r>
      <w:r w:rsidRPr="00EC5A7B">
        <w:rPr>
          <w:rFonts w:asciiTheme="majorHAnsi" w:eastAsia="Times New Roman" w:hAnsiTheme="majorHAnsi" w:cstheme="majorHAnsi"/>
          <w:b/>
          <w:bCs/>
          <w:i/>
          <w:color w:val="5B9BD5" w:themeColor="accent1"/>
          <w:sz w:val="24"/>
          <w:szCs w:val="24"/>
          <w:lang w:val="ru-MD" w:eastAsia="ru-RU"/>
        </w:rPr>
        <w:t xml:space="preserve"> направлены через ДКЛ</w:t>
      </w:r>
      <w:bookmarkEnd w:id="22"/>
      <w:r w:rsidRPr="00EC5A7B">
        <w:rPr>
          <w:rFonts w:asciiTheme="majorHAnsi" w:eastAsia="Times New Roman" w:hAnsiTheme="majorHAnsi" w:cstheme="majorHAnsi"/>
          <w:b/>
          <w:bCs/>
          <w:i/>
          <w:color w:val="5B9BD5" w:themeColor="accent1"/>
          <w:sz w:val="24"/>
          <w:szCs w:val="24"/>
          <w:lang w:val="ru-MD" w:eastAsia="ru-RU"/>
        </w:rPr>
        <w:t xml:space="preserve"> </w:t>
      </w:r>
    </w:p>
    <w:p w14:paraId="2E412F61" w14:textId="16376D09" w:rsidR="003A2013" w:rsidRPr="00EC5A7B" w:rsidRDefault="00531389"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Согласно законодательству, </w:t>
      </w:r>
      <w:r w:rsidRPr="00EC5A7B">
        <w:rPr>
          <w:rFonts w:asciiTheme="majorHAnsi" w:hAnsiTheme="majorHAnsi"/>
          <w:sz w:val="24"/>
          <w:szCs w:val="24"/>
          <w:lang w:val="ru-MD" w:eastAsia="ru-RU"/>
        </w:rPr>
        <w:t xml:space="preserve">МФ финансов </w:t>
      </w:r>
      <w:r w:rsidRPr="00EC5A7B">
        <w:rPr>
          <w:rFonts w:asciiTheme="majorHAnsi" w:hAnsiTheme="majorHAnsi" w:cstheme="majorHAnsi"/>
          <w:sz w:val="24"/>
          <w:szCs w:val="24"/>
          <w:lang w:val="ru-MD" w:eastAsia="ru-RU"/>
        </w:rPr>
        <w:t>уполномочено совершать операции рекредитирования непосредственно, либо через финансовые учреждения, либо через подразделения, специально созданные в целях рекредитования</w:t>
      </w:r>
      <w:r w:rsidR="00AA07FA"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t xml:space="preserve">Таким образом, государственное рекредитование осуществляется посредством МФ, </w:t>
      </w:r>
      <w:r w:rsidR="006958E6" w:rsidRPr="00EC5A7B">
        <w:rPr>
          <w:rFonts w:asciiTheme="majorHAnsi" w:hAnsiTheme="majorHAnsi" w:cstheme="majorHAnsi"/>
          <w:sz w:val="24"/>
          <w:szCs w:val="24"/>
          <w:lang w:val="ru-MD" w:eastAsia="ru-RU"/>
        </w:rPr>
        <w:t xml:space="preserve">Директората кредитной линии </w:t>
      </w:r>
      <w:r w:rsidRPr="00EC5A7B">
        <w:rPr>
          <w:rFonts w:asciiTheme="majorHAnsi" w:hAnsiTheme="majorHAnsi" w:cstheme="majorHAnsi"/>
          <w:sz w:val="24"/>
          <w:szCs w:val="24"/>
          <w:lang w:val="ru-MD" w:eastAsia="ru-RU"/>
        </w:rPr>
        <w:t xml:space="preserve">и </w:t>
      </w:r>
      <w:r w:rsidR="006958E6" w:rsidRPr="00EC5A7B">
        <w:rPr>
          <w:rFonts w:asciiTheme="majorHAnsi" w:hAnsiTheme="majorHAnsi" w:cstheme="majorHAnsi"/>
          <w:bCs/>
          <w:sz w:val="24"/>
          <w:szCs w:val="24"/>
          <w:lang w:val="ru-MD" w:eastAsia="ru-RU"/>
        </w:rPr>
        <w:t>Консолидирующего управления по внедрению программ Международного фонда сельскохозяйственного развития</w:t>
      </w:r>
      <w:r w:rsidR="00AA07FA" w:rsidRPr="00EC5A7B">
        <w:rPr>
          <w:rFonts w:asciiTheme="majorHAnsi" w:hAnsiTheme="majorHAnsi" w:cstheme="majorHAnsi"/>
          <w:sz w:val="24"/>
          <w:szCs w:val="24"/>
          <w:lang w:val="ru-MD" w:eastAsia="ru-RU"/>
        </w:rPr>
        <w:t>.</w:t>
      </w:r>
    </w:p>
    <w:p w14:paraId="15C37914" w14:textId="70054DDC" w:rsidR="00AA07FA" w:rsidRPr="00EC5A7B" w:rsidRDefault="00883556"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В течение 2019 года</w:t>
      </w:r>
      <w:r w:rsidR="00531389" w:rsidRPr="00EC5A7B">
        <w:rPr>
          <w:rFonts w:asciiTheme="majorHAnsi" w:hAnsiTheme="majorHAnsi" w:cstheme="majorHAnsi"/>
          <w:sz w:val="24"/>
          <w:szCs w:val="24"/>
          <w:lang w:val="ru-MD" w:eastAsia="ru-RU"/>
        </w:rPr>
        <w:t xml:space="preserve"> через МФ, </w:t>
      </w:r>
      <w:r w:rsidRPr="00EC5A7B">
        <w:rPr>
          <w:rFonts w:asciiTheme="majorHAnsi" w:hAnsiTheme="majorHAnsi" w:cstheme="majorHAnsi"/>
          <w:sz w:val="24"/>
          <w:szCs w:val="24"/>
          <w:lang w:val="ru-MD" w:eastAsia="ru-RU"/>
        </w:rPr>
        <w:t>ДКЛ</w:t>
      </w:r>
      <w:r w:rsidR="00531389" w:rsidRPr="00EC5A7B">
        <w:rPr>
          <w:rFonts w:asciiTheme="majorHAnsi" w:hAnsiTheme="majorHAnsi" w:cstheme="majorHAnsi"/>
          <w:sz w:val="24"/>
          <w:szCs w:val="24"/>
          <w:lang w:val="ru-MD" w:eastAsia="ru-RU"/>
        </w:rPr>
        <w:t xml:space="preserve"> и UCIP-IFAD, за счет кредитных линий и накопленных оборотных средств (от погашения Ф</w:t>
      </w:r>
      <w:r w:rsidRPr="00EC5A7B">
        <w:rPr>
          <w:rFonts w:asciiTheme="majorHAnsi" w:hAnsiTheme="majorHAnsi" w:cstheme="majorHAnsi"/>
          <w:sz w:val="24"/>
          <w:szCs w:val="24"/>
          <w:lang w:val="ru-MD" w:eastAsia="ru-RU"/>
        </w:rPr>
        <w:t>УУ</w:t>
      </w:r>
      <w:r w:rsidR="00531389" w:rsidRPr="00EC5A7B">
        <w:rPr>
          <w:rFonts w:asciiTheme="majorHAnsi" w:hAnsiTheme="majorHAnsi" w:cstheme="majorHAnsi"/>
          <w:sz w:val="24"/>
          <w:szCs w:val="24"/>
          <w:lang w:val="ru-MD" w:eastAsia="ru-RU"/>
        </w:rPr>
        <w:t xml:space="preserve"> основных сумм и процентов</w:t>
      </w:r>
      <w:r w:rsidRPr="00EC5A7B">
        <w:rPr>
          <w:rFonts w:asciiTheme="majorHAnsi" w:hAnsiTheme="majorHAnsi" w:cstheme="majorHAnsi"/>
          <w:sz w:val="24"/>
          <w:szCs w:val="24"/>
          <w:lang w:val="ru-MD" w:eastAsia="ru-RU"/>
        </w:rPr>
        <w:t xml:space="preserve"> по ним</w:t>
      </w:r>
      <w:r w:rsidR="00531389" w:rsidRPr="00EC5A7B">
        <w:rPr>
          <w:rFonts w:asciiTheme="majorHAnsi" w:hAnsiTheme="majorHAnsi" w:cstheme="majorHAnsi"/>
          <w:sz w:val="24"/>
          <w:szCs w:val="24"/>
          <w:lang w:val="ru-MD" w:eastAsia="ru-RU"/>
        </w:rPr>
        <w:t xml:space="preserve">), для реализации проектов, финансируемых из внешних источников, были </w:t>
      </w:r>
      <w:r w:rsidRPr="00EC5A7B">
        <w:rPr>
          <w:rFonts w:asciiTheme="majorHAnsi" w:hAnsiTheme="majorHAnsi" w:cstheme="majorHAnsi"/>
          <w:sz w:val="24"/>
          <w:szCs w:val="24"/>
          <w:lang w:val="ru-MD" w:eastAsia="ru-RU"/>
        </w:rPr>
        <w:t>рекредитова</w:t>
      </w:r>
      <w:r w:rsidR="00531389" w:rsidRPr="00EC5A7B">
        <w:rPr>
          <w:rFonts w:asciiTheme="majorHAnsi" w:hAnsiTheme="majorHAnsi" w:cstheme="majorHAnsi"/>
          <w:sz w:val="24"/>
          <w:szCs w:val="24"/>
          <w:lang w:val="ru-MD" w:eastAsia="ru-RU"/>
        </w:rPr>
        <w:t xml:space="preserve">ны </w:t>
      </w:r>
      <w:r w:rsidR="00220AE4" w:rsidRPr="00EC5A7B">
        <w:rPr>
          <w:rFonts w:asciiTheme="majorHAnsi" w:hAnsiTheme="majorHAnsi" w:cstheme="majorHAnsi"/>
          <w:sz w:val="24"/>
          <w:szCs w:val="24"/>
          <w:lang w:val="ru-MD" w:eastAsia="ru-RU"/>
        </w:rPr>
        <w:t>займы</w:t>
      </w:r>
      <w:r w:rsidR="00531389" w:rsidRPr="00EC5A7B">
        <w:rPr>
          <w:rFonts w:asciiTheme="majorHAnsi" w:hAnsiTheme="majorHAnsi" w:cstheme="majorHAnsi"/>
          <w:sz w:val="24"/>
          <w:szCs w:val="24"/>
          <w:lang w:val="ru-MD" w:eastAsia="ru-RU"/>
        </w:rPr>
        <w:t xml:space="preserve"> и гранты на общую сумму: 512,2 млн. леев, 2,0 млн. дол. США и 18,3 млн. евро (эквивалент 904,7</w:t>
      </w:r>
      <w:r w:rsidRPr="00EC5A7B">
        <w:rPr>
          <w:rFonts w:asciiTheme="majorHAnsi" w:hAnsiTheme="majorHAnsi" w:cstheme="majorHAnsi"/>
          <w:sz w:val="24"/>
          <w:szCs w:val="24"/>
          <w:lang w:val="ru-MD" w:eastAsia="ru-RU"/>
        </w:rPr>
        <w:t xml:space="preserve"> млн.</w:t>
      </w:r>
      <w:r w:rsidR="00531389" w:rsidRPr="00EC5A7B">
        <w:rPr>
          <w:rFonts w:asciiTheme="majorHAnsi" w:hAnsiTheme="majorHAnsi" w:cstheme="majorHAnsi"/>
          <w:sz w:val="24"/>
          <w:szCs w:val="24"/>
          <w:lang w:val="ru-MD" w:eastAsia="ru-RU"/>
        </w:rPr>
        <w:t xml:space="preserve"> леев), в том числе из </w:t>
      </w:r>
      <w:r w:rsidRPr="00EC5A7B">
        <w:rPr>
          <w:rFonts w:asciiTheme="majorHAnsi" w:hAnsiTheme="majorHAnsi" w:cstheme="majorHAnsi"/>
          <w:sz w:val="24"/>
          <w:szCs w:val="24"/>
          <w:lang w:val="ru-MD" w:eastAsia="ru-RU"/>
        </w:rPr>
        <w:t>рекредитованных средств за счет</w:t>
      </w:r>
      <w:r w:rsidR="00531389" w:rsidRPr="00EC5A7B">
        <w:rPr>
          <w:rFonts w:asciiTheme="majorHAnsi" w:hAnsiTheme="majorHAnsi" w:cstheme="majorHAnsi"/>
          <w:sz w:val="24"/>
          <w:szCs w:val="24"/>
          <w:lang w:val="ru-MD" w:eastAsia="ru-RU"/>
        </w:rPr>
        <w:t xml:space="preserve"> накопленных оборотных средств – 363,4</w:t>
      </w:r>
      <w:r w:rsidRPr="00EC5A7B">
        <w:rPr>
          <w:rFonts w:asciiTheme="majorHAnsi" w:hAnsiTheme="majorHAnsi" w:cstheme="majorHAnsi"/>
          <w:sz w:val="24"/>
          <w:szCs w:val="24"/>
          <w:lang w:val="ru-MD" w:eastAsia="ru-RU"/>
        </w:rPr>
        <w:t xml:space="preserve"> млн. леев</w:t>
      </w:r>
      <w:r w:rsidR="00531389" w:rsidRPr="00EC5A7B">
        <w:rPr>
          <w:rFonts w:asciiTheme="majorHAnsi" w:hAnsiTheme="majorHAnsi" w:cstheme="majorHAnsi"/>
          <w:sz w:val="24"/>
          <w:szCs w:val="24"/>
          <w:lang w:val="ru-MD" w:eastAsia="ru-RU"/>
        </w:rPr>
        <w:t>, 0,3 млн. дол. США и 2,4 млн. евро (эквивалент 412,7</w:t>
      </w:r>
      <w:r w:rsidRPr="00EC5A7B">
        <w:rPr>
          <w:rFonts w:asciiTheme="majorHAnsi" w:hAnsiTheme="majorHAnsi" w:cstheme="majorHAnsi"/>
          <w:sz w:val="24"/>
          <w:szCs w:val="24"/>
          <w:lang w:val="ru-MD" w:eastAsia="ru-RU"/>
        </w:rPr>
        <w:t xml:space="preserve"> млн. леев</w:t>
      </w:r>
      <w:r w:rsidR="00531389" w:rsidRPr="00EC5A7B">
        <w:rPr>
          <w:rFonts w:asciiTheme="majorHAnsi" w:hAnsiTheme="majorHAnsi" w:cstheme="majorHAnsi"/>
          <w:sz w:val="24"/>
          <w:szCs w:val="24"/>
          <w:lang w:val="ru-MD" w:eastAsia="ru-RU"/>
        </w:rPr>
        <w:t>), или 45,6% от общей рекредитованной</w:t>
      </w:r>
      <w:r w:rsidRPr="00EC5A7B">
        <w:rPr>
          <w:rFonts w:asciiTheme="majorHAnsi" w:hAnsiTheme="majorHAnsi" w:cstheme="majorHAnsi"/>
          <w:sz w:val="24"/>
          <w:szCs w:val="24"/>
          <w:lang w:val="ru-MD" w:eastAsia="ru-RU"/>
        </w:rPr>
        <w:t xml:space="preserve"> суммы.</w:t>
      </w:r>
      <w:r w:rsidR="006F4CBE" w:rsidRPr="00EC5A7B">
        <w:rPr>
          <w:rFonts w:asciiTheme="majorHAnsi" w:hAnsiTheme="majorHAnsi" w:cstheme="majorHAnsi"/>
          <w:sz w:val="24"/>
          <w:szCs w:val="24"/>
          <w:lang w:val="ru-MD" w:eastAsia="ru-RU"/>
        </w:rPr>
        <w:t xml:space="preserve"> </w:t>
      </w:r>
    </w:p>
    <w:p w14:paraId="0708A9C5" w14:textId="398AE9C3" w:rsidR="00361A6E" w:rsidRPr="00EC5A7B" w:rsidRDefault="00531389"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Из общей </w:t>
      </w:r>
      <w:r w:rsidR="00220AE4" w:rsidRPr="00EC5A7B">
        <w:rPr>
          <w:rFonts w:asciiTheme="majorHAnsi" w:hAnsiTheme="majorHAnsi" w:cstheme="majorHAnsi"/>
          <w:sz w:val="24"/>
          <w:szCs w:val="24"/>
          <w:lang w:val="ru-MD" w:eastAsia="ru-RU"/>
        </w:rPr>
        <w:t xml:space="preserve">рекредитованной </w:t>
      </w:r>
      <w:r w:rsidRPr="00EC5A7B">
        <w:rPr>
          <w:rFonts w:asciiTheme="majorHAnsi" w:hAnsiTheme="majorHAnsi" w:cstheme="majorHAnsi"/>
          <w:sz w:val="24"/>
          <w:szCs w:val="24"/>
          <w:lang w:val="ru-MD" w:eastAsia="ru-RU"/>
        </w:rPr>
        <w:t xml:space="preserve">суммы, через МФ были </w:t>
      </w:r>
      <w:r w:rsidR="00952F4B" w:rsidRPr="00EC5A7B">
        <w:rPr>
          <w:rFonts w:asciiTheme="majorHAnsi" w:hAnsiTheme="majorHAnsi" w:cstheme="majorHAnsi"/>
          <w:sz w:val="24"/>
          <w:szCs w:val="24"/>
          <w:lang w:val="ru-MD" w:eastAsia="ru-RU"/>
        </w:rPr>
        <w:t>рекредитован</w:t>
      </w:r>
      <w:r w:rsidRPr="00EC5A7B">
        <w:rPr>
          <w:rFonts w:asciiTheme="majorHAnsi" w:hAnsiTheme="majorHAnsi" w:cstheme="majorHAnsi"/>
          <w:sz w:val="24"/>
          <w:szCs w:val="24"/>
          <w:lang w:val="ru-MD" w:eastAsia="ru-RU"/>
        </w:rPr>
        <w:t xml:space="preserve">ы бенефициары на сумму 1,7 млн. дол. США и 11,1 млн. евро (эквивалент 247,3 млн. </w:t>
      </w:r>
      <w:r w:rsidR="00952F4B" w:rsidRPr="00EC5A7B">
        <w:rPr>
          <w:rFonts w:asciiTheme="majorHAnsi" w:hAnsiTheme="majorHAnsi" w:cstheme="majorHAnsi"/>
          <w:sz w:val="24"/>
          <w:szCs w:val="24"/>
          <w:lang w:val="ru-MD" w:eastAsia="ru-RU"/>
        </w:rPr>
        <w:t>леев</w:t>
      </w:r>
      <w:r w:rsidRPr="00EC5A7B">
        <w:rPr>
          <w:rFonts w:asciiTheme="majorHAnsi" w:hAnsiTheme="majorHAnsi" w:cstheme="majorHAnsi"/>
          <w:sz w:val="24"/>
          <w:szCs w:val="24"/>
          <w:lang w:val="ru-MD" w:eastAsia="ru-RU"/>
        </w:rPr>
        <w:t>)</w:t>
      </w:r>
      <w:r w:rsidR="00952F4B"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через </w:t>
      </w:r>
      <w:r w:rsidR="00952F4B" w:rsidRPr="00EC5A7B">
        <w:rPr>
          <w:rFonts w:asciiTheme="majorHAnsi" w:hAnsiTheme="majorHAnsi" w:cstheme="majorHAnsi"/>
          <w:sz w:val="24"/>
          <w:szCs w:val="24"/>
          <w:lang w:val="ru-MD" w:eastAsia="ru-RU"/>
        </w:rPr>
        <w:t>ДКЛ</w:t>
      </w:r>
      <w:r w:rsidRPr="00EC5A7B">
        <w:rPr>
          <w:rFonts w:asciiTheme="majorHAnsi" w:hAnsiTheme="majorHAnsi" w:cstheme="majorHAnsi"/>
          <w:sz w:val="24"/>
          <w:szCs w:val="24"/>
          <w:lang w:val="ru-MD" w:eastAsia="ru-RU"/>
        </w:rPr>
        <w:t xml:space="preserve"> – 447,9</w:t>
      </w:r>
      <w:r w:rsidR="00952F4B" w:rsidRPr="00EC5A7B">
        <w:rPr>
          <w:rFonts w:asciiTheme="majorHAnsi" w:hAnsiTheme="majorHAnsi" w:cstheme="majorHAnsi"/>
          <w:sz w:val="24"/>
          <w:szCs w:val="24"/>
          <w:lang w:val="ru-MD" w:eastAsia="ru-RU"/>
        </w:rPr>
        <w:t xml:space="preserve"> млн</w:t>
      </w:r>
      <w:r w:rsidRPr="00EC5A7B">
        <w:rPr>
          <w:rFonts w:asciiTheme="majorHAnsi" w:hAnsiTheme="majorHAnsi" w:cstheme="majorHAnsi"/>
          <w:sz w:val="24"/>
          <w:szCs w:val="24"/>
          <w:lang w:val="ru-MD" w:eastAsia="ru-RU"/>
        </w:rPr>
        <w:t xml:space="preserve">. леев, 0,3 млн. дол. США и 7,0 млн. евро (эквивалент 589,8 </w:t>
      </w:r>
      <w:r w:rsidR="00952F4B" w:rsidRPr="00EC5A7B">
        <w:rPr>
          <w:rFonts w:asciiTheme="majorHAnsi" w:hAnsiTheme="majorHAnsi" w:cstheme="majorHAnsi"/>
          <w:sz w:val="24"/>
          <w:szCs w:val="24"/>
          <w:lang w:val="ru-MD" w:eastAsia="ru-RU"/>
        </w:rPr>
        <w:t>млн. леев</w:t>
      </w:r>
      <w:r w:rsidRPr="00EC5A7B">
        <w:rPr>
          <w:rFonts w:asciiTheme="majorHAnsi" w:hAnsiTheme="majorHAnsi" w:cstheme="majorHAnsi"/>
          <w:sz w:val="24"/>
          <w:szCs w:val="24"/>
          <w:lang w:val="ru-MD" w:eastAsia="ru-RU"/>
        </w:rPr>
        <w:t xml:space="preserve">) и через </w:t>
      </w:r>
      <w:r w:rsidR="00952F4B" w:rsidRPr="00EC5A7B">
        <w:rPr>
          <w:rFonts w:asciiTheme="majorHAnsi" w:hAnsiTheme="majorHAnsi" w:cstheme="majorHAnsi"/>
          <w:sz w:val="24"/>
          <w:szCs w:val="24"/>
          <w:lang w:val="ru-MD" w:eastAsia="ru-RU"/>
        </w:rPr>
        <w:t xml:space="preserve">UCIP-IFAD </w:t>
      </w:r>
      <w:r w:rsidRPr="00EC5A7B">
        <w:rPr>
          <w:rFonts w:asciiTheme="majorHAnsi" w:hAnsiTheme="majorHAnsi" w:cstheme="majorHAnsi"/>
          <w:sz w:val="24"/>
          <w:szCs w:val="24"/>
          <w:lang w:val="ru-MD" w:eastAsia="ru-RU"/>
        </w:rPr>
        <w:t>– 64,3</w:t>
      </w:r>
      <w:r w:rsidR="00952F4B" w:rsidRPr="00EC5A7B">
        <w:rPr>
          <w:rFonts w:asciiTheme="majorHAnsi" w:hAnsiTheme="majorHAnsi" w:cstheme="majorHAnsi"/>
          <w:sz w:val="24"/>
          <w:szCs w:val="24"/>
          <w:lang w:val="ru-MD" w:eastAsia="ru-RU"/>
        </w:rPr>
        <w:t xml:space="preserve"> млн. леев</w:t>
      </w:r>
      <w:r w:rsidRPr="00EC5A7B">
        <w:rPr>
          <w:rFonts w:asciiTheme="majorHAnsi" w:hAnsiTheme="majorHAnsi" w:cstheme="majorHAnsi"/>
          <w:sz w:val="24"/>
          <w:szCs w:val="24"/>
          <w:lang w:val="ru-MD" w:eastAsia="ru-RU"/>
        </w:rPr>
        <w:t xml:space="preserve"> и 0,2 млн. евро (эквивалент 67,6 млн. леев)</w:t>
      </w:r>
      <w:r w:rsidR="00C132B1" w:rsidRPr="00EC5A7B">
        <w:rPr>
          <w:rFonts w:asciiTheme="majorHAnsi" w:hAnsiTheme="majorHAnsi" w:cstheme="majorHAnsi"/>
          <w:sz w:val="24"/>
          <w:szCs w:val="24"/>
          <w:lang w:val="ru-MD" w:eastAsia="ru-RU"/>
        </w:rPr>
        <w:t xml:space="preserve">. </w:t>
      </w:r>
    </w:p>
    <w:p w14:paraId="72659233" w14:textId="2C1BB848" w:rsidR="00C132B1" w:rsidRPr="00EC5A7B" w:rsidRDefault="00531389"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Таким образом, в рамках государственного ре</w:t>
      </w:r>
      <w:r w:rsidR="00952F4B" w:rsidRPr="00EC5A7B">
        <w:rPr>
          <w:rFonts w:asciiTheme="majorHAnsi" w:hAnsiTheme="majorHAnsi" w:cstheme="majorHAnsi"/>
          <w:sz w:val="24"/>
          <w:szCs w:val="24"/>
          <w:lang w:val="ru-MD" w:eastAsia="ru-RU"/>
        </w:rPr>
        <w:t>кредитования</w:t>
      </w:r>
      <w:r w:rsidRPr="00EC5A7B">
        <w:rPr>
          <w:rFonts w:asciiTheme="majorHAnsi" w:hAnsiTheme="majorHAnsi" w:cstheme="majorHAnsi"/>
          <w:sz w:val="24"/>
          <w:szCs w:val="24"/>
          <w:lang w:val="ru-MD" w:eastAsia="ru-RU"/>
        </w:rPr>
        <w:t xml:space="preserve"> </w:t>
      </w:r>
      <w:r w:rsidR="00952F4B" w:rsidRPr="00EC5A7B">
        <w:rPr>
          <w:rFonts w:asciiTheme="majorHAnsi" w:hAnsiTheme="majorHAnsi" w:cstheme="majorHAnsi"/>
          <w:sz w:val="24"/>
          <w:szCs w:val="24"/>
          <w:lang w:val="ru-MD" w:eastAsia="ru-RU"/>
        </w:rPr>
        <w:t>наибольший удельный вес</w:t>
      </w:r>
      <w:r w:rsidRPr="00EC5A7B">
        <w:rPr>
          <w:rFonts w:asciiTheme="majorHAnsi" w:hAnsiTheme="majorHAnsi" w:cstheme="majorHAnsi"/>
          <w:sz w:val="24"/>
          <w:szCs w:val="24"/>
          <w:lang w:val="ru-MD" w:eastAsia="ru-RU"/>
        </w:rPr>
        <w:t xml:space="preserve"> при</w:t>
      </w:r>
      <w:r w:rsidR="00952F4B" w:rsidRPr="00EC5A7B">
        <w:rPr>
          <w:rFonts w:asciiTheme="majorHAnsi" w:hAnsiTheme="majorHAnsi" w:cstheme="majorHAnsi"/>
          <w:sz w:val="24"/>
          <w:szCs w:val="24"/>
          <w:lang w:val="ru-MD" w:eastAsia="ru-RU"/>
        </w:rPr>
        <w:t>ходится на ДКЛ</w:t>
      </w:r>
      <w:r w:rsidRPr="00EC5A7B">
        <w:rPr>
          <w:rFonts w:asciiTheme="majorHAnsi" w:hAnsiTheme="majorHAnsi" w:cstheme="majorHAnsi"/>
          <w:sz w:val="24"/>
          <w:szCs w:val="24"/>
          <w:lang w:val="ru-MD" w:eastAsia="ru-RU"/>
        </w:rPr>
        <w:t>, котор</w:t>
      </w:r>
      <w:r w:rsidR="00952F4B" w:rsidRPr="00EC5A7B">
        <w:rPr>
          <w:rFonts w:asciiTheme="majorHAnsi" w:hAnsiTheme="majorHAnsi" w:cstheme="majorHAnsi"/>
          <w:sz w:val="24"/>
          <w:szCs w:val="24"/>
          <w:lang w:val="ru-MD" w:eastAsia="ru-RU"/>
        </w:rPr>
        <w:t>ый</w:t>
      </w:r>
      <w:r w:rsidRPr="00EC5A7B">
        <w:rPr>
          <w:rFonts w:asciiTheme="majorHAnsi" w:hAnsiTheme="majorHAnsi" w:cstheme="majorHAnsi"/>
          <w:sz w:val="24"/>
          <w:szCs w:val="24"/>
          <w:lang w:val="ru-MD" w:eastAsia="ru-RU"/>
        </w:rPr>
        <w:t xml:space="preserve"> в 2019 году составил 65,2% от общего </w:t>
      </w:r>
      <w:r w:rsidR="00952F4B" w:rsidRPr="00EC5A7B">
        <w:rPr>
          <w:rFonts w:asciiTheme="majorHAnsi" w:hAnsiTheme="majorHAnsi" w:cstheme="majorHAnsi"/>
          <w:sz w:val="24"/>
          <w:szCs w:val="24"/>
          <w:lang w:val="ru-MD" w:eastAsia="ru-RU"/>
        </w:rPr>
        <w:t xml:space="preserve">рекредитованного </w:t>
      </w:r>
      <w:r w:rsidRPr="00EC5A7B">
        <w:rPr>
          <w:rFonts w:asciiTheme="majorHAnsi" w:hAnsiTheme="majorHAnsi" w:cstheme="majorHAnsi"/>
          <w:sz w:val="24"/>
          <w:szCs w:val="24"/>
          <w:lang w:val="ru-MD" w:eastAsia="ru-RU"/>
        </w:rPr>
        <w:t xml:space="preserve">объема, </w:t>
      </w:r>
      <w:r w:rsidR="00952F4B" w:rsidRPr="00EC5A7B">
        <w:rPr>
          <w:rFonts w:asciiTheme="majorHAnsi" w:hAnsiTheme="majorHAnsi" w:cstheme="majorHAnsi"/>
          <w:sz w:val="24"/>
          <w:szCs w:val="24"/>
          <w:lang w:val="ru-MD" w:eastAsia="ru-RU"/>
        </w:rPr>
        <w:t>исходя из этого факта,</w:t>
      </w:r>
      <w:r w:rsidRPr="00EC5A7B">
        <w:rPr>
          <w:rFonts w:asciiTheme="majorHAnsi" w:hAnsiTheme="majorHAnsi" w:cstheme="majorHAnsi"/>
          <w:sz w:val="24"/>
          <w:szCs w:val="24"/>
          <w:lang w:val="ru-MD" w:eastAsia="ru-RU"/>
        </w:rPr>
        <w:t xml:space="preserve"> Счетная палата провела отдельный аудит в </w:t>
      </w:r>
      <w:r w:rsidR="00952F4B" w:rsidRPr="00EC5A7B">
        <w:rPr>
          <w:rFonts w:asciiTheme="majorHAnsi" w:hAnsiTheme="majorHAnsi" w:cstheme="majorHAnsi"/>
          <w:sz w:val="24"/>
          <w:szCs w:val="24"/>
          <w:lang w:val="ru-MD" w:eastAsia="ru-RU"/>
        </w:rPr>
        <w:t>ДКЛ,</w:t>
      </w:r>
      <w:r w:rsidRPr="00EC5A7B">
        <w:rPr>
          <w:rFonts w:asciiTheme="majorHAnsi" w:hAnsiTheme="majorHAnsi" w:cstheme="majorHAnsi"/>
          <w:sz w:val="24"/>
          <w:szCs w:val="24"/>
          <w:lang w:val="ru-MD" w:eastAsia="ru-RU"/>
        </w:rPr>
        <w:t xml:space="preserve"> для оценки достигнутых </w:t>
      </w:r>
      <w:r w:rsidR="00952F4B" w:rsidRPr="00EC5A7B">
        <w:rPr>
          <w:rFonts w:asciiTheme="majorHAnsi" w:hAnsiTheme="majorHAnsi" w:cstheme="majorHAnsi"/>
          <w:sz w:val="24"/>
          <w:szCs w:val="24"/>
          <w:lang w:val="ru-MD" w:eastAsia="ru-RU"/>
        </w:rPr>
        <w:t>им</w:t>
      </w:r>
      <w:r w:rsidRPr="00EC5A7B">
        <w:rPr>
          <w:rFonts w:asciiTheme="majorHAnsi" w:hAnsiTheme="majorHAnsi" w:cstheme="majorHAnsi"/>
          <w:sz w:val="24"/>
          <w:szCs w:val="24"/>
          <w:lang w:val="ru-MD" w:eastAsia="ru-RU"/>
        </w:rPr>
        <w:t xml:space="preserve"> результатов в процессе </w:t>
      </w:r>
      <w:r w:rsidR="00952F4B" w:rsidRPr="00EC5A7B">
        <w:rPr>
          <w:rFonts w:asciiTheme="majorHAnsi" w:hAnsiTheme="majorHAnsi" w:cstheme="majorHAnsi"/>
          <w:sz w:val="24"/>
          <w:szCs w:val="24"/>
          <w:lang w:val="ru-MD" w:eastAsia="ru-RU"/>
        </w:rPr>
        <w:t>рекредитования</w:t>
      </w:r>
      <w:r w:rsidR="000F6997" w:rsidRPr="00EC5A7B">
        <w:rPr>
          <w:rStyle w:val="FootnoteReference"/>
          <w:rFonts w:asciiTheme="majorHAnsi" w:hAnsiTheme="majorHAnsi" w:cstheme="majorHAnsi"/>
          <w:sz w:val="24"/>
          <w:szCs w:val="24"/>
          <w:lang w:val="ru-MD" w:eastAsia="ru-RU"/>
        </w:rPr>
        <w:footnoteReference w:id="17"/>
      </w:r>
      <w:r w:rsidR="00C132B1" w:rsidRPr="00EC5A7B">
        <w:rPr>
          <w:rFonts w:asciiTheme="majorHAnsi" w:hAnsiTheme="majorHAnsi" w:cstheme="majorHAnsi"/>
          <w:sz w:val="24"/>
          <w:szCs w:val="24"/>
          <w:lang w:val="ru-MD" w:eastAsia="ru-RU"/>
        </w:rPr>
        <w:t>.</w:t>
      </w:r>
    </w:p>
    <w:p w14:paraId="3DA6B21A" w14:textId="60D4B197" w:rsidR="00C132B1" w:rsidRPr="00EC5A7B" w:rsidRDefault="00952F4B"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В аспекте</w:t>
      </w:r>
      <w:r w:rsidR="00531389" w:rsidRPr="00EC5A7B">
        <w:rPr>
          <w:rFonts w:asciiTheme="majorHAnsi" w:hAnsiTheme="majorHAnsi" w:cstheme="majorHAnsi"/>
          <w:sz w:val="24"/>
          <w:szCs w:val="24"/>
          <w:lang w:val="ru-MD" w:eastAsia="ru-RU"/>
        </w:rPr>
        <w:t xml:space="preserve"> отраслей национальной экономики, основная доля </w:t>
      </w:r>
      <w:r w:rsidRPr="00EC5A7B">
        <w:rPr>
          <w:rFonts w:asciiTheme="majorHAnsi" w:hAnsiTheme="majorHAnsi" w:cstheme="majorHAnsi"/>
          <w:sz w:val="24"/>
          <w:szCs w:val="24"/>
          <w:lang w:val="ru-MD" w:eastAsia="ru-RU"/>
        </w:rPr>
        <w:t xml:space="preserve">рекредитованных </w:t>
      </w:r>
      <w:r w:rsidR="00531389" w:rsidRPr="00EC5A7B">
        <w:rPr>
          <w:rFonts w:asciiTheme="majorHAnsi" w:hAnsiTheme="majorHAnsi" w:cstheme="majorHAnsi"/>
          <w:sz w:val="24"/>
          <w:szCs w:val="24"/>
          <w:lang w:val="ru-MD" w:eastAsia="ru-RU"/>
        </w:rPr>
        <w:t xml:space="preserve">средств была направлена на сельское хозяйство, лесное хозяйство и рыболовство – 55,0%, </w:t>
      </w:r>
      <w:r w:rsidRPr="00EC5A7B">
        <w:rPr>
          <w:rFonts w:asciiTheme="majorHAnsi" w:hAnsiTheme="majorHAnsi" w:cstheme="majorHAnsi"/>
          <w:sz w:val="24"/>
          <w:szCs w:val="24"/>
          <w:lang w:val="ru-MD" w:eastAsia="ru-RU"/>
        </w:rPr>
        <w:t>з</w:t>
      </w:r>
      <w:r w:rsidR="00531389" w:rsidRPr="00EC5A7B">
        <w:rPr>
          <w:rFonts w:asciiTheme="majorHAnsi" w:hAnsiTheme="majorHAnsi" w:cstheme="majorHAnsi"/>
          <w:sz w:val="24"/>
          <w:szCs w:val="24"/>
          <w:lang w:val="ru-MD" w:eastAsia="ru-RU"/>
        </w:rPr>
        <w:t xml:space="preserve">а </w:t>
      </w:r>
      <w:r w:rsidRPr="00EC5A7B">
        <w:rPr>
          <w:rFonts w:asciiTheme="majorHAnsi" w:hAnsiTheme="majorHAnsi" w:cstheme="majorHAnsi"/>
          <w:sz w:val="24"/>
          <w:szCs w:val="24"/>
          <w:lang w:val="ru-MD" w:eastAsia="ru-RU"/>
        </w:rPr>
        <w:t>ними -</w:t>
      </w:r>
      <w:r w:rsidR="00531389" w:rsidRPr="00EC5A7B">
        <w:rPr>
          <w:rFonts w:asciiTheme="majorHAnsi" w:hAnsiTheme="majorHAnsi" w:cstheme="majorHAnsi"/>
          <w:sz w:val="24"/>
          <w:szCs w:val="24"/>
          <w:lang w:val="ru-MD" w:eastAsia="ru-RU"/>
        </w:rPr>
        <w:t xml:space="preserve"> на производство и поставку электрической, тепловой</w:t>
      </w:r>
      <w:r w:rsidR="00C03214" w:rsidRPr="00EC5A7B">
        <w:rPr>
          <w:rFonts w:asciiTheme="majorHAnsi" w:hAnsiTheme="majorHAnsi" w:cstheme="majorHAnsi"/>
          <w:sz w:val="24"/>
          <w:szCs w:val="24"/>
          <w:lang w:val="ru-MD" w:eastAsia="ru-RU"/>
        </w:rPr>
        <w:t xml:space="preserve"> энергии</w:t>
      </w:r>
      <w:r w:rsidR="00531389" w:rsidRPr="00EC5A7B">
        <w:rPr>
          <w:rFonts w:asciiTheme="majorHAnsi" w:hAnsiTheme="majorHAnsi" w:cstheme="majorHAnsi"/>
          <w:sz w:val="24"/>
          <w:szCs w:val="24"/>
          <w:lang w:val="ru-MD" w:eastAsia="ru-RU"/>
        </w:rPr>
        <w:t>, газ</w:t>
      </w:r>
      <w:r w:rsidR="00C03214" w:rsidRPr="00EC5A7B">
        <w:rPr>
          <w:rFonts w:asciiTheme="majorHAnsi" w:hAnsiTheme="majorHAnsi" w:cstheme="majorHAnsi"/>
          <w:sz w:val="24"/>
          <w:szCs w:val="24"/>
          <w:lang w:val="ru-MD" w:eastAsia="ru-RU"/>
        </w:rPr>
        <w:t>а</w:t>
      </w:r>
      <w:r w:rsidR="00531389" w:rsidRPr="00EC5A7B">
        <w:rPr>
          <w:rFonts w:asciiTheme="majorHAnsi" w:hAnsiTheme="majorHAnsi" w:cstheme="majorHAnsi"/>
          <w:sz w:val="24"/>
          <w:szCs w:val="24"/>
          <w:lang w:val="ru-MD" w:eastAsia="ru-RU"/>
        </w:rPr>
        <w:t xml:space="preserve">, горячей воды и кондиционирования воздуха – 24,3%, </w:t>
      </w:r>
      <w:r w:rsidR="00C03214" w:rsidRPr="00EC5A7B">
        <w:rPr>
          <w:rFonts w:asciiTheme="majorHAnsi" w:hAnsiTheme="majorHAnsi" w:cstheme="majorHAnsi"/>
          <w:sz w:val="24"/>
          <w:szCs w:val="24"/>
          <w:lang w:val="ru-MD" w:eastAsia="ru-RU"/>
        </w:rPr>
        <w:t xml:space="preserve">на </w:t>
      </w:r>
      <w:r w:rsidR="00531389" w:rsidRPr="00EC5A7B">
        <w:rPr>
          <w:rFonts w:asciiTheme="majorHAnsi" w:hAnsiTheme="majorHAnsi" w:cstheme="majorHAnsi"/>
          <w:sz w:val="24"/>
          <w:szCs w:val="24"/>
          <w:lang w:val="ru-MD" w:eastAsia="ru-RU"/>
        </w:rPr>
        <w:t>перерабатывающ</w:t>
      </w:r>
      <w:r w:rsidR="00C03214" w:rsidRPr="00EC5A7B">
        <w:rPr>
          <w:rFonts w:asciiTheme="majorHAnsi" w:hAnsiTheme="majorHAnsi" w:cstheme="majorHAnsi"/>
          <w:sz w:val="24"/>
          <w:szCs w:val="24"/>
          <w:lang w:val="ru-MD" w:eastAsia="ru-RU"/>
        </w:rPr>
        <w:t>ую</w:t>
      </w:r>
      <w:r w:rsidR="00531389" w:rsidRPr="00EC5A7B">
        <w:rPr>
          <w:rFonts w:asciiTheme="majorHAnsi" w:hAnsiTheme="majorHAnsi" w:cstheme="majorHAnsi"/>
          <w:sz w:val="24"/>
          <w:szCs w:val="24"/>
          <w:lang w:val="ru-MD" w:eastAsia="ru-RU"/>
        </w:rPr>
        <w:t xml:space="preserve"> промышленност</w:t>
      </w:r>
      <w:r w:rsidR="00C03214" w:rsidRPr="00EC5A7B">
        <w:rPr>
          <w:rFonts w:asciiTheme="majorHAnsi" w:hAnsiTheme="majorHAnsi" w:cstheme="majorHAnsi"/>
          <w:sz w:val="24"/>
          <w:szCs w:val="24"/>
          <w:lang w:val="ru-MD" w:eastAsia="ru-RU"/>
        </w:rPr>
        <w:t xml:space="preserve">ь </w:t>
      </w:r>
      <w:r w:rsidR="00531389" w:rsidRPr="00EC5A7B">
        <w:rPr>
          <w:rFonts w:asciiTheme="majorHAnsi" w:hAnsiTheme="majorHAnsi" w:cstheme="majorHAnsi"/>
          <w:sz w:val="24"/>
          <w:szCs w:val="24"/>
          <w:lang w:val="ru-MD" w:eastAsia="ru-RU"/>
        </w:rPr>
        <w:t>-</w:t>
      </w:r>
      <w:r w:rsidR="00C03214" w:rsidRPr="00EC5A7B">
        <w:rPr>
          <w:rFonts w:asciiTheme="majorHAnsi" w:hAnsiTheme="majorHAnsi" w:cstheme="majorHAnsi"/>
          <w:sz w:val="24"/>
          <w:szCs w:val="24"/>
          <w:lang w:val="ru-MD" w:eastAsia="ru-RU"/>
        </w:rPr>
        <w:t xml:space="preserve"> </w:t>
      </w:r>
      <w:r w:rsidR="00531389" w:rsidRPr="00EC5A7B">
        <w:rPr>
          <w:rFonts w:asciiTheme="majorHAnsi" w:hAnsiTheme="majorHAnsi" w:cstheme="majorHAnsi"/>
          <w:sz w:val="24"/>
          <w:szCs w:val="24"/>
          <w:lang w:val="ru-MD" w:eastAsia="ru-RU"/>
        </w:rPr>
        <w:t xml:space="preserve">9,7% и </w:t>
      </w:r>
      <w:r w:rsidR="00C03214" w:rsidRPr="00EC5A7B">
        <w:rPr>
          <w:rFonts w:asciiTheme="majorHAnsi" w:hAnsiTheme="majorHAnsi" w:cstheme="majorHAnsi"/>
          <w:sz w:val="24"/>
          <w:szCs w:val="24"/>
          <w:lang w:val="ru-MD" w:eastAsia="ru-RU"/>
        </w:rPr>
        <w:t>т.</w:t>
      </w:r>
      <w:r w:rsidR="00531389" w:rsidRPr="00EC5A7B">
        <w:rPr>
          <w:rFonts w:asciiTheme="majorHAnsi" w:hAnsiTheme="majorHAnsi" w:cstheme="majorHAnsi"/>
          <w:sz w:val="24"/>
          <w:szCs w:val="24"/>
          <w:lang w:val="ru-MD" w:eastAsia="ru-RU"/>
        </w:rPr>
        <w:t>д.</w:t>
      </w:r>
    </w:p>
    <w:p w14:paraId="3F0B67C9" w14:textId="515DA676" w:rsidR="004A72E3" w:rsidRPr="00EC5A7B" w:rsidRDefault="004A398A"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За</w:t>
      </w:r>
      <w:r w:rsidR="00531389" w:rsidRPr="00EC5A7B">
        <w:rPr>
          <w:rFonts w:asciiTheme="majorHAnsi" w:hAnsiTheme="majorHAnsi" w:cstheme="majorHAnsi"/>
          <w:sz w:val="24"/>
          <w:szCs w:val="24"/>
          <w:lang w:val="ru-MD" w:eastAsia="ru-RU"/>
        </w:rPr>
        <w:t xml:space="preserve"> отчетн</w:t>
      </w:r>
      <w:r w:rsidRPr="00EC5A7B">
        <w:rPr>
          <w:rFonts w:asciiTheme="majorHAnsi" w:hAnsiTheme="majorHAnsi" w:cstheme="majorHAnsi"/>
          <w:sz w:val="24"/>
          <w:szCs w:val="24"/>
          <w:lang w:val="ru-MD" w:eastAsia="ru-RU"/>
        </w:rPr>
        <w:t>ый</w:t>
      </w:r>
      <w:r w:rsidR="00531389" w:rsidRPr="00EC5A7B">
        <w:rPr>
          <w:rFonts w:asciiTheme="majorHAnsi" w:hAnsiTheme="majorHAnsi" w:cstheme="majorHAnsi"/>
          <w:sz w:val="24"/>
          <w:szCs w:val="24"/>
          <w:lang w:val="ru-MD" w:eastAsia="ru-RU"/>
        </w:rPr>
        <w:t xml:space="preserve"> год</w:t>
      </w:r>
      <w:r w:rsidRPr="00EC5A7B">
        <w:rPr>
          <w:rFonts w:asciiTheme="majorHAnsi" w:hAnsiTheme="majorHAnsi" w:cstheme="majorHAnsi"/>
          <w:sz w:val="24"/>
          <w:szCs w:val="24"/>
          <w:lang w:val="ru-MD" w:eastAsia="ru-RU"/>
        </w:rPr>
        <w:t xml:space="preserve"> ре</w:t>
      </w:r>
      <w:r w:rsidR="00531389" w:rsidRPr="00EC5A7B">
        <w:rPr>
          <w:rFonts w:asciiTheme="majorHAnsi" w:hAnsiTheme="majorHAnsi" w:cstheme="majorHAnsi"/>
          <w:sz w:val="24"/>
          <w:szCs w:val="24"/>
          <w:lang w:val="ru-MD" w:eastAsia="ru-RU"/>
        </w:rPr>
        <w:t>кредитован</w:t>
      </w:r>
      <w:r w:rsidRPr="00EC5A7B">
        <w:rPr>
          <w:rFonts w:asciiTheme="majorHAnsi" w:hAnsiTheme="majorHAnsi" w:cstheme="majorHAnsi"/>
          <w:sz w:val="24"/>
          <w:szCs w:val="24"/>
          <w:lang w:val="ru-MD" w:eastAsia="ru-RU"/>
        </w:rPr>
        <w:t>ные бенефициары</w:t>
      </w:r>
      <w:r w:rsidR="00531389" w:rsidRPr="00EC5A7B">
        <w:rPr>
          <w:rFonts w:asciiTheme="majorHAnsi" w:hAnsiTheme="majorHAnsi" w:cstheme="majorHAnsi"/>
          <w:sz w:val="24"/>
          <w:szCs w:val="24"/>
          <w:lang w:val="ru-MD" w:eastAsia="ru-RU"/>
        </w:rPr>
        <w:t xml:space="preserve"> возместили средства на общую сумму 431,7 млн. </w:t>
      </w:r>
      <w:r w:rsidRPr="00EC5A7B">
        <w:rPr>
          <w:rFonts w:asciiTheme="majorHAnsi" w:hAnsiTheme="majorHAnsi" w:cstheme="majorHAnsi"/>
          <w:sz w:val="24"/>
          <w:szCs w:val="24"/>
          <w:lang w:val="ru-MD" w:eastAsia="ru-RU"/>
        </w:rPr>
        <w:t>леев</w:t>
      </w:r>
      <w:r w:rsidR="00531389" w:rsidRPr="00EC5A7B">
        <w:rPr>
          <w:rFonts w:asciiTheme="majorHAnsi" w:hAnsiTheme="majorHAnsi" w:cstheme="majorHAnsi"/>
          <w:sz w:val="24"/>
          <w:szCs w:val="24"/>
          <w:lang w:val="ru-MD" w:eastAsia="ru-RU"/>
        </w:rPr>
        <w:t>, 7,2 млн. дол. США, 16,2 млн. евро и 0,9 млн. японск</w:t>
      </w:r>
      <w:r w:rsidRPr="00EC5A7B">
        <w:rPr>
          <w:rFonts w:asciiTheme="majorHAnsi" w:hAnsiTheme="majorHAnsi" w:cstheme="majorHAnsi"/>
          <w:sz w:val="24"/>
          <w:szCs w:val="24"/>
          <w:lang w:val="ru-MD" w:eastAsia="ru-RU"/>
        </w:rPr>
        <w:t>их</w:t>
      </w:r>
      <w:r w:rsidR="00531389" w:rsidRPr="00EC5A7B">
        <w:rPr>
          <w:rFonts w:asciiTheme="majorHAnsi" w:hAnsiTheme="majorHAnsi" w:cstheme="majorHAnsi"/>
          <w:sz w:val="24"/>
          <w:szCs w:val="24"/>
          <w:lang w:val="ru-MD" w:eastAsia="ru-RU"/>
        </w:rPr>
        <w:t xml:space="preserve"> иен (эквивалент 873,9 млн. леев), в том числе по кредитам, рекредитованным через </w:t>
      </w:r>
      <w:r w:rsidRPr="00EC5A7B">
        <w:rPr>
          <w:rFonts w:asciiTheme="majorHAnsi" w:hAnsiTheme="majorHAnsi" w:cstheme="majorHAnsi"/>
          <w:sz w:val="24"/>
          <w:szCs w:val="24"/>
          <w:lang w:val="ru-MD" w:eastAsia="ru-RU"/>
        </w:rPr>
        <w:t xml:space="preserve">МФ </w:t>
      </w:r>
      <w:r w:rsidR="00531389"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w:t>
      </w:r>
      <w:r w:rsidR="00531389" w:rsidRPr="00EC5A7B">
        <w:rPr>
          <w:rFonts w:asciiTheme="majorHAnsi" w:hAnsiTheme="majorHAnsi" w:cstheme="majorHAnsi"/>
          <w:sz w:val="24"/>
          <w:szCs w:val="24"/>
          <w:lang w:val="ru-MD" w:eastAsia="ru-RU"/>
        </w:rPr>
        <w:t xml:space="preserve">0,1. </w:t>
      </w:r>
      <w:r w:rsidRPr="00EC5A7B">
        <w:rPr>
          <w:rFonts w:asciiTheme="majorHAnsi" w:hAnsiTheme="majorHAnsi" w:cstheme="majorHAnsi"/>
          <w:sz w:val="24"/>
          <w:szCs w:val="24"/>
          <w:lang w:val="ru-MD" w:eastAsia="ru-RU"/>
        </w:rPr>
        <w:t>млн. леев</w:t>
      </w:r>
      <w:r w:rsidR="00531389" w:rsidRPr="00EC5A7B">
        <w:rPr>
          <w:rFonts w:asciiTheme="majorHAnsi" w:hAnsiTheme="majorHAnsi" w:cstheme="majorHAnsi"/>
          <w:sz w:val="24"/>
          <w:szCs w:val="24"/>
          <w:lang w:val="ru-MD" w:eastAsia="ru-RU"/>
        </w:rPr>
        <w:t>, 5,7 млн. дол. США, 4,1 млн. евро и 0,9 млн. японск</w:t>
      </w:r>
      <w:r w:rsidRPr="00EC5A7B">
        <w:rPr>
          <w:rFonts w:asciiTheme="majorHAnsi" w:hAnsiTheme="majorHAnsi" w:cstheme="majorHAnsi"/>
          <w:sz w:val="24"/>
          <w:szCs w:val="24"/>
          <w:lang w:val="ru-MD" w:eastAsia="ru-RU"/>
        </w:rPr>
        <w:t>их</w:t>
      </w:r>
      <w:r w:rsidR="00531389" w:rsidRPr="00EC5A7B">
        <w:rPr>
          <w:rFonts w:asciiTheme="majorHAnsi" w:hAnsiTheme="majorHAnsi" w:cstheme="majorHAnsi"/>
          <w:sz w:val="24"/>
          <w:szCs w:val="24"/>
          <w:lang w:val="ru-MD" w:eastAsia="ru-RU"/>
        </w:rPr>
        <w:t xml:space="preserve"> иен</w:t>
      </w:r>
      <w:r w:rsidRPr="00EC5A7B">
        <w:rPr>
          <w:rFonts w:asciiTheme="majorHAnsi" w:hAnsiTheme="majorHAnsi" w:cstheme="majorHAnsi"/>
          <w:sz w:val="24"/>
          <w:szCs w:val="24"/>
          <w:lang w:val="ru-MD" w:eastAsia="ru-RU"/>
        </w:rPr>
        <w:t xml:space="preserve">, </w:t>
      </w:r>
      <w:r w:rsidR="00531389" w:rsidRPr="00EC5A7B">
        <w:rPr>
          <w:rFonts w:asciiTheme="majorHAnsi" w:hAnsiTheme="majorHAnsi" w:cstheme="majorHAnsi"/>
          <w:sz w:val="24"/>
          <w:szCs w:val="24"/>
          <w:lang w:val="ru-MD" w:eastAsia="ru-RU"/>
        </w:rPr>
        <w:t xml:space="preserve"> через </w:t>
      </w:r>
      <w:r w:rsidRPr="00EC5A7B">
        <w:rPr>
          <w:rFonts w:asciiTheme="majorHAnsi" w:hAnsiTheme="majorHAnsi" w:cstheme="majorHAnsi"/>
          <w:sz w:val="24"/>
          <w:szCs w:val="24"/>
          <w:lang w:val="ru-MD" w:eastAsia="ru-RU"/>
        </w:rPr>
        <w:t>ДКЛ</w:t>
      </w:r>
      <w:r w:rsidR="00531389" w:rsidRPr="00EC5A7B">
        <w:rPr>
          <w:rFonts w:asciiTheme="majorHAnsi" w:hAnsiTheme="majorHAnsi" w:cstheme="majorHAnsi"/>
          <w:sz w:val="24"/>
          <w:szCs w:val="24"/>
          <w:lang w:val="ru-MD" w:eastAsia="ru-RU"/>
        </w:rPr>
        <w:t xml:space="preserve"> – 392,3 млн. леев, 1,1 млн. дол. США и 11,9 млн. евро и через UCIP-IFAD были возвращены 39,3 млн. леев, 0,</w:t>
      </w:r>
      <w:r w:rsidRPr="00EC5A7B">
        <w:rPr>
          <w:rFonts w:asciiTheme="majorHAnsi" w:hAnsiTheme="majorHAnsi" w:cstheme="majorHAnsi"/>
          <w:sz w:val="24"/>
          <w:szCs w:val="24"/>
          <w:lang w:val="ru-MD" w:eastAsia="ru-RU"/>
        </w:rPr>
        <w:t>4 млн. дол. США и 0,2 млн. евро</w:t>
      </w:r>
      <w:r w:rsidR="004A72E3" w:rsidRPr="00EC5A7B">
        <w:rPr>
          <w:rFonts w:asciiTheme="majorHAnsi" w:hAnsiTheme="majorHAnsi" w:cstheme="majorHAnsi"/>
          <w:sz w:val="24"/>
          <w:szCs w:val="24"/>
          <w:lang w:val="ru-MD" w:eastAsia="ru-RU"/>
        </w:rPr>
        <w:t>.</w:t>
      </w:r>
    </w:p>
    <w:p w14:paraId="339969C7" w14:textId="525AB9B2" w:rsidR="00913DC2" w:rsidRPr="00EC5A7B" w:rsidRDefault="00531389"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По состоянию на 31.12.2019, </w:t>
      </w:r>
      <w:r w:rsidR="001A562D" w:rsidRPr="00EC5A7B">
        <w:rPr>
          <w:rFonts w:asciiTheme="majorHAnsi" w:hAnsiTheme="majorHAnsi" w:cstheme="majorHAnsi"/>
          <w:sz w:val="24"/>
          <w:szCs w:val="24"/>
          <w:lang w:val="ru-MD" w:eastAsia="ru-RU"/>
        </w:rPr>
        <w:t>сальдо</w:t>
      </w:r>
      <w:r w:rsidRPr="00EC5A7B">
        <w:rPr>
          <w:rFonts w:asciiTheme="majorHAnsi" w:hAnsiTheme="majorHAnsi" w:cstheme="majorHAnsi"/>
          <w:sz w:val="24"/>
          <w:szCs w:val="24"/>
          <w:lang w:val="ru-MD" w:eastAsia="ru-RU"/>
        </w:rPr>
        <w:t xml:space="preserve"> </w:t>
      </w:r>
      <w:r w:rsidR="001A562D" w:rsidRPr="00EC5A7B">
        <w:rPr>
          <w:rFonts w:asciiTheme="majorHAnsi" w:hAnsiTheme="majorHAnsi" w:cstheme="majorHAnsi"/>
          <w:sz w:val="24"/>
          <w:szCs w:val="24"/>
          <w:lang w:val="ru-MD" w:eastAsia="ru-RU"/>
        </w:rPr>
        <w:t>долга</w:t>
      </w:r>
      <w:r w:rsidRPr="00EC5A7B">
        <w:rPr>
          <w:rFonts w:asciiTheme="majorHAnsi" w:hAnsiTheme="majorHAnsi" w:cstheme="majorHAnsi"/>
          <w:sz w:val="24"/>
          <w:szCs w:val="24"/>
          <w:lang w:val="ru-MD" w:eastAsia="ru-RU"/>
        </w:rPr>
        <w:t xml:space="preserve"> рекредитованных бенефициаров составлял</w:t>
      </w:r>
      <w:r w:rsidR="001A562D" w:rsidRPr="00EC5A7B">
        <w:rPr>
          <w:rFonts w:asciiTheme="majorHAnsi" w:hAnsiTheme="majorHAnsi" w:cstheme="majorHAnsi"/>
          <w:sz w:val="24"/>
          <w:szCs w:val="24"/>
          <w:lang w:val="ru-MD" w:eastAsia="ru-RU"/>
        </w:rPr>
        <w:t>о</w:t>
      </w:r>
      <w:r w:rsidRPr="00EC5A7B">
        <w:rPr>
          <w:rFonts w:asciiTheme="majorHAnsi" w:hAnsiTheme="majorHAnsi" w:cstheme="majorHAnsi"/>
          <w:sz w:val="24"/>
          <w:szCs w:val="24"/>
          <w:lang w:val="ru-MD" w:eastAsia="ru-RU"/>
        </w:rPr>
        <w:t xml:space="preserve"> 1238,0</w:t>
      </w:r>
      <w:r w:rsidR="001A562D" w:rsidRPr="00EC5A7B">
        <w:rPr>
          <w:rFonts w:asciiTheme="majorHAnsi" w:hAnsiTheme="majorHAnsi" w:cstheme="majorHAnsi"/>
          <w:sz w:val="24"/>
          <w:szCs w:val="24"/>
          <w:lang w:val="ru-MD" w:eastAsia="ru-RU"/>
        </w:rPr>
        <w:t xml:space="preserve"> млн. леев</w:t>
      </w:r>
      <w:r w:rsidRPr="00EC5A7B">
        <w:rPr>
          <w:rFonts w:asciiTheme="majorHAnsi" w:hAnsiTheme="majorHAnsi" w:cstheme="majorHAnsi"/>
          <w:sz w:val="24"/>
          <w:szCs w:val="24"/>
          <w:lang w:val="ru-MD" w:eastAsia="ru-RU"/>
        </w:rPr>
        <w:t>, 49,0 млн. дол. США, 121,5 млн. евро и 896,9 млн. японск</w:t>
      </w:r>
      <w:r w:rsidR="001A562D" w:rsidRPr="00EC5A7B">
        <w:rPr>
          <w:rFonts w:asciiTheme="majorHAnsi" w:hAnsiTheme="majorHAnsi" w:cstheme="majorHAnsi"/>
          <w:sz w:val="24"/>
          <w:szCs w:val="24"/>
          <w:lang w:val="ru-MD" w:eastAsia="ru-RU"/>
        </w:rPr>
        <w:t>их</w:t>
      </w:r>
      <w:r w:rsidRPr="00EC5A7B">
        <w:rPr>
          <w:rFonts w:asciiTheme="majorHAnsi" w:hAnsiTheme="majorHAnsi" w:cstheme="majorHAnsi"/>
          <w:sz w:val="24"/>
          <w:szCs w:val="24"/>
          <w:lang w:val="ru-MD" w:eastAsia="ru-RU"/>
        </w:rPr>
        <w:t xml:space="preserve"> иен (эквивалент 4 562,6</w:t>
      </w:r>
      <w:r w:rsidR="001A562D" w:rsidRPr="00EC5A7B">
        <w:rPr>
          <w:rFonts w:asciiTheme="majorHAnsi" w:hAnsiTheme="majorHAnsi" w:cstheme="majorHAnsi"/>
          <w:sz w:val="24"/>
          <w:szCs w:val="24"/>
          <w:lang w:val="ru-MD" w:eastAsia="ru-RU"/>
        </w:rPr>
        <w:t xml:space="preserve"> млн. леев</w:t>
      </w:r>
      <w:r w:rsidRPr="00EC5A7B">
        <w:rPr>
          <w:rFonts w:asciiTheme="majorHAnsi" w:hAnsiTheme="majorHAnsi" w:cstheme="majorHAnsi"/>
          <w:sz w:val="24"/>
          <w:szCs w:val="24"/>
          <w:lang w:val="ru-MD" w:eastAsia="ru-RU"/>
        </w:rPr>
        <w:t xml:space="preserve">), увеличившись по сравнению с тем же периодом 2018 года на 141,8 млн. леев, или </w:t>
      </w:r>
      <w:r w:rsidR="001A562D" w:rsidRPr="00EC5A7B">
        <w:rPr>
          <w:rFonts w:asciiTheme="majorHAnsi" w:hAnsiTheme="majorHAnsi" w:cstheme="majorHAnsi"/>
          <w:sz w:val="24"/>
          <w:szCs w:val="24"/>
          <w:lang w:val="ru-MD" w:eastAsia="ru-RU"/>
        </w:rPr>
        <w:t>на 3,2%</w:t>
      </w:r>
      <w:r w:rsidR="00913DC2" w:rsidRPr="00EC5A7B">
        <w:rPr>
          <w:rFonts w:asciiTheme="majorHAnsi" w:hAnsiTheme="majorHAnsi" w:cstheme="majorHAnsi"/>
          <w:sz w:val="24"/>
          <w:szCs w:val="24"/>
          <w:lang w:val="ru-MD" w:eastAsia="ru-RU"/>
        </w:rPr>
        <w:t>.</w:t>
      </w:r>
    </w:p>
    <w:p w14:paraId="1F7BD661" w14:textId="64D3E2DE" w:rsidR="00B5272F" w:rsidRPr="00EC5A7B" w:rsidRDefault="00531389" w:rsidP="00AA07FA">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 xml:space="preserve">Из общего </w:t>
      </w:r>
      <w:r w:rsidR="001A562D" w:rsidRPr="00EC5A7B">
        <w:rPr>
          <w:rFonts w:asciiTheme="majorHAnsi" w:hAnsiTheme="majorHAnsi" w:cstheme="majorHAnsi"/>
          <w:sz w:val="24"/>
          <w:szCs w:val="24"/>
          <w:lang w:val="ru-MD" w:eastAsia="ru-RU"/>
        </w:rPr>
        <w:t>сальдо</w:t>
      </w:r>
      <w:r w:rsidRPr="00EC5A7B">
        <w:rPr>
          <w:rFonts w:asciiTheme="majorHAnsi" w:hAnsiTheme="majorHAnsi" w:cstheme="majorHAnsi"/>
          <w:sz w:val="24"/>
          <w:szCs w:val="24"/>
          <w:lang w:val="ru-MD" w:eastAsia="ru-RU"/>
        </w:rPr>
        <w:t xml:space="preserve"> </w:t>
      </w:r>
      <w:r w:rsidR="001A562D" w:rsidRPr="00EC5A7B">
        <w:rPr>
          <w:rFonts w:asciiTheme="majorHAnsi" w:hAnsiTheme="majorHAnsi" w:cstheme="majorHAnsi"/>
          <w:sz w:val="24"/>
          <w:szCs w:val="24"/>
          <w:lang w:val="ru-MD" w:eastAsia="ru-RU"/>
        </w:rPr>
        <w:t>долга</w:t>
      </w:r>
      <w:r w:rsidRPr="00EC5A7B">
        <w:rPr>
          <w:rFonts w:asciiTheme="majorHAnsi" w:hAnsiTheme="majorHAnsi" w:cstheme="majorHAnsi"/>
          <w:sz w:val="24"/>
          <w:szCs w:val="24"/>
          <w:lang w:val="ru-MD" w:eastAsia="ru-RU"/>
        </w:rPr>
        <w:t xml:space="preserve"> </w:t>
      </w:r>
      <w:r w:rsidR="006958E6" w:rsidRPr="00EC5A7B">
        <w:rPr>
          <w:rFonts w:asciiTheme="majorHAnsi" w:hAnsiTheme="majorHAnsi" w:cstheme="majorHAnsi"/>
          <w:sz w:val="24"/>
          <w:szCs w:val="24"/>
          <w:lang w:val="ru-MD" w:eastAsia="ru-RU"/>
        </w:rPr>
        <w:t>рекредитованных</w:t>
      </w:r>
      <w:r w:rsidRPr="00EC5A7B">
        <w:rPr>
          <w:rFonts w:asciiTheme="majorHAnsi" w:hAnsiTheme="majorHAnsi" w:cstheme="majorHAnsi"/>
          <w:sz w:val="24"/>
          <w:szCs w:val="24"/>
          <w:lang w:val="ru-MD" w:eastAsia="ru-RU"/>
        </w:rPr>
        <w:t xml:space="preserve"> бенефициаров</w:t>
      </w:r>
      <w:r w:rsidR="001A562D"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w:t>
      </w:r>
      <w:r w:rsidR="001A562D" w:rsidRPr="00EC5A7B">
        <w:rPr>
          <w:rFonts w:asciiTheme="majorHAnsi" w:hAnsiTheme="majorHAnsi" w:cstheme="majorHAnsi"/>
          <w:sz w:val="24"/>
          <w:szCs w:val="24"/>
          <w:lang w:val="ru-MD" w:eastAsia="ru-RU"/>
        </w:rPr>
        <w:t>долг</w:t>
      </w:r>
      <w:r w:rsidRPr="00EC5A7B">
        <w:rPr>
          <w:rFonts w:asciiTheme="majorHAnsi" w:hAnsiTheme="majorHAnsi" w:cstheme="majorHAnsi"/>
          <w:sz w:val="24"/>
          <w:szCs w:val="24"/>
          <w:lang w:val="ru-MD" w:eastAsia="ru-RU"/>
        </w:rPr>
        <w:t xml:space="preserve"> с истекшим сроком</w:t>
      </w:r>
      <w:r w:rsidR="001A562D" w:rsidRPr="00EC5A7B">
        <w:rPr>
          <w:rFonts w:asciiTheme="majorHAnsi" w:hAnsiTheme="majorHAnsi" w:cstheme="majorHAnsi"/>
          <w:sz w:val="24"/>
          <w:szCs w:val="24"/>
          <w:lang w:val="ru-MD" w:eastAsia="ru-RU"/>
        </w:rPr>
        <w:t xml:space="preserve"> погашения</w:t>
      </w:r>
      <w:r w:rsidRPr="00EC5A7B">
        <w:rPr>
          <w:rFonts w:asciiTheme="majorHAnsi" w:hAnsiTheme="majorHAnsi" w:cstheme="majorHAnsi"/>
          <w:sz w:val="24"/>
          <w:szCs w:val="24"/>
          <w:lang w:val="ru-MD" w:eastAsia="ru-RU"/>
        </w:rPr>
        <w:t xml:space="preserve"> составляет 72,9 млн. леев, 10,4 млн. дол. США и 0,8 млн. евро (эквивалент 267,87 млн. леев), или 5,9% от общей суммы долга. По сравнению с 2018 годом, просроченный долг увеличился на 2,2 млн. леев, или </w:t>
      </w:r>
      <w:r w:rsidR="001A562D" w:rsidRPr="00EC5A7B">
        <w:rPr>
          <w:rFonts w:asciiTheme="majorHAnsi" w:hAnsiTheme="majorHAnsi" w:cstheme="majorHAnsi"/>
          <w:sz w:val="24"/>
          <w:szCs w:val="24"/>
          <w:lang w:val="ru-MD" w:eastAsia="ru-RU"/>
        </w:rPr>
        <w:t>на</w:t>
      </w:r>
      <w:r w:rsidRPr="00EC5A7B">
        <w:rPr>
          <w:rFonts w:asciiTheme="majorHAnsi" w:hAnsiTheme="majorHAnsi" w:cstheme="majorHAnsi"/>
          <w:sz w:val="24"/>
          <w:szCs w:val="24"/>
          <w:lang w:val="ru-MD" w:eastAsia="ru-RU"/>
        </w:rPr>
        <w:t xml:space="preserve"> 0,8%. Просроченная задолженность регистрируется для кредитов, </w:t>
      </w:r>
      <w:r w:rsidR="001A562D" w:rsidRPr="00EC5A7B">
        <w:rPr>
          <w:rFonts w:asciiTheme="majorHAnsi" w:hAnsiTheme="majorHAnsi" w:cstheme="majorHAnsi"/>
          <w:sz w:val="24"/>
          <w:szCs w:val="24"/>
          <w:lang w:val="ru-MD" w:eastAsia="ru-RU"/>
        </w:rPr>
        <w:t>рекредитов</w:t>
      </w:r>
      <w:r w:rsidRPr="00EC5A7B">
        <w:rPr>
          <w:rFonts w:asciiTheme="majorHAnsi" w:hAnsiTheme="majorHAnsi" w:cstheme="majorHAnsi"/>
          <w:sz w:val="24"/>
          <w:szCs w:val="24"/>
          <w:lang w:val="ru-MD" w:eastAsia="ru-RU"/>
        </w:rPr>
        <w:t xml:space="preserve">анных через </w:t>
      </w:r>
      <w:r w:rsidR="001A562D"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 71,5 млн. леев, 10,4 млн. дол. США и 0,2 млн. евро (эквивалент 255,02</w:t>
      </w:r>
      <w:r w:rsidR="001A562D" w:rsidRPr="00EC5A7B">
        <w:rPr>
          <w:rFonts w:asciiTheme="majorHAnsi" w:hAnsiTheme="majorHAnsi" w:cstheme="majorHAnsi"/>
          <w:sz w:val="24"/>
          <w:szCs w:val="24"/>
          <w:lang w:val="ru-MD" w:eastAsia="ru-RU"/>
        </w:rPr>
        <w:t xml:space="preserve"> млн. леев</w:t>
      </w:r>
      <w:r w:rsidRPr="00EC5A7B">
        <w:rPr>
          <w:rFonts w:asciiTheme="majorHAnsi" w:hAnsiTheme="majorHAnsi" w:cstheme="majorHAnsi"/>
          <w:sz w:val="24"/>
          <w:szCs w:val="24"/>
          <w:lang w:val="ru-MD" w:eastAsia="ru-RU"/>
        </w:rPr>
        <w:t xml:space="preserve">) и через </w:t>
      </w:r>
      <w:r w:rsidR="001A562D" w:rsidRPr="00EC5A7B">
        <w:rPr>
          <w:rFonts w:asciiTheme="majorHAnsi" w:hAnsiTheme="majorHAnsi" w:cstheme="majorHAnsi"/>
          <w:sz w:val="24"/>
          <w:szCs w:val="24"/>
          <w:lang w:val="ru-MD" w:eastAsia="ru-RU"/>
        </w:rPr>
        <w:t>ДКЛ</w:t>
      </w:r>
      <w:r w:rsidRPr="00EC5A7B">
        <w:rPr>
          <w:rFonts w:asciiTheme="majorHAnsi" w:hAnsiTheme="majorHAnsi" w:cstheme="majorHAnsi"/>
          <w:sz w:val="24"/>
          <w:szCs w:val="24"/>
          <w:lang w:val="ru-MD" w:eastAsia="ru-RU"/>
        </w:rPr>
        <w:t xml:space="preserve"> </w:t>
      </w:r>
      <w:r w:rsidRPr="00EC5A7B">
        <w:rPr>
          <w:rFonts w:asciiTheme="majorHAnsi" w:hAnsiTheme="majorHAnsi" w:cstheme="majorHAnsi"/>
          <w:sz w:val="24"/>
          <w:szCs w:val="24"/>
          <w:lang w:val="ru-MD" w:eastAsia="ru-RU"/>
        </w:rPr>
        <w:lastRenderedPageBreak/>
        <w:t>– 1,44</w:t>
      </w:r>
      <w:r w:rsidR="001A562D" w:rsidRPr="00EC5A7B">
        <w:rPr>
          <w:rFonts w:asciiTheme="majorHAnsi" w:hAnsiTheme="majorHAnsi" w:cstheme="majorHAnsi"/>
          <w:sz w:val="24"/>
          <w:szCs w:val="24"/>
          <w:lang w:val="ru-MD" w:eastAsia="ru-RU"/>
        </w:rPr>
        <w:t xml:space="preserve"> млн. леев </w:t>
      </w:r>
      <w:r w:rsidRPr="00EC5A7B">
        <w:rPr>
          <w:rFonts w:asciiTheme="majorHAnsi" w:hAnsiTheme="majorHAnsi" w:cstheme="majorHAnsi"/>
          <w:sz w:val="24"/>
          <w:szCs w:val="24"/>
          <w:lang w:val="ru-MD" w:eastAsia="ru-RU"/>
        </w:rPr>
        <w:t xml:space="preserve">и 0,6 млн. евро (эквивалент 12,84 млн. леев). Таким образом, </w:t>
      </w:r>
      <w:r w:rsidR="0010428B" w:rsidRPr="00EC5A7B">
        <w:rPr>
          <w:rFonts w:asciiTheme="majorHAnsi" w:hAnsiTheme="majorHAnsi" w:cstheme="majorHAnsi"/>
          <w:sz w:val="24"/>
          <w:szCs w:val="24"/>
          <w:lang w:val="ru-MD" w:eastAsia="ru-RU"/>
        </w:rPr>
        <w:t>хотя на ДКЛ</w:t>
      </w:r>
      <w:r w:rsidRPr="00EC5A7B">
        <w:rPr>
          <w:rFonts w:asciiTheme="majorHAnsi" w:hAnsiTheme="majorHAnsi" w:cstheme="majorHAnsi"/>
          <w:sz w:val="24"/>
          <w:szCs w:val="24"/>
          <w:lang w:val="ru-MD" w:eastAsia="ru-RU"/>
        </w:rPr>
        <w:t xml:space="preserve"> </w:t>
      </w:r>
      <w:r w:rsidR="0010428B" w:rsidRPr="00EC5A7B">
        <w:rPr>
          <w:rFonts w:asciiTheme="majorHAnsi" w:hAnsiTheme="majorHAnsi" w:cstheme="majorHAnsi"/>
          <w:sz w:val="24"/>
          <w:szCs w:val="24"/>
          <w:lang w:val="ru-MD" w:eastAsia="ru-RU"/>
        </w:rPr>
        <w:t>приходится</w:t>
      </w:r>
      <w:r w:rsidRPr="00EC5A7B">
        <w:rPr>
          <w:rFonts w:asciiTheme="majorHAnsi" w:hAnsiTheme="majorHAnsi" w:cstheme="majorHAnsi"/>
          <w:sz w:val="24"/>
          <w:szCs w:val="24"/>
          <w:lang w:val="ru-MD" w:eastAsia="ru-RU"/>
        </w:rPr>
        <w:t xml:space="preserve"> </w:t>
      </w:r>
      <w:r w:rsidR="0010428B" w:rsidRPr="00EC5A7B">
        <w:rPr>
          <w:rFonts w:asciiTheme="majorHAnsi" w:hAnsiTheme="majorHAnsi" w:cstheme="majorHAnsi"/>
          <w:sz w:val="24"/>
          <w:szCs w:val="24"/>
          <w:lang w:val="ru-MD" w:eastAsia="ru-RU"/>
        </w:rPr>
        <w:t>наибольший удельный вес</w:t>
      </w:r>
      <w:r w:rsidRPr="00EC5A7B">
        <w:rPr>
          <w:rFonts w:asciiTheme="majorHAnsi" w:hAnsiTheme="majorHAnsi" w:cstheme="majorHAnsi"/>
          <w:sz w:val="24"/>
          <w:szCs w:val="24"/>
          <w:lang w:val="ru-MD" w:eastAsia="ru-RU"/>
        </w:rPr>
        <w:t xml:space="preserve"> в процессе </w:t>
      </w:r>
      <w:r w:rsidR="0010428B" w:rsidRPr="00EC5A7B">
        <w:rPr>
          <w:rFonts w:asciiTheme="majorHAnsi" w:hAnsiTheme="majorHAnsi" w:cstheme="majorHAnsi"/>
          <w:sz w:val="24"/>
          <w:szCs w:val="24"/>
          <w:lang w:val="ru-MD" w:eastAsia="ru-RU"/>
        </w:rPr>
        <w:t>ре</w:t>
      </w:r>
      <w:r w:rsidRPr="00EC5A7B">
        <w:rPr>
          <w:rFonts w:asciiTheme="majorHAnsi" w:hAnsiTheme="majorHAnsi" w:cstheme="majorHAnsi"/>
          <w:sz w:val="24"/>
          <w:szCs w:val="24"/>
          <w:lang w:val="ru-MD" w:eastAsia="ru-RU"/>
        </w:rPr>
        <w:t xml:space="preserve">кредитования, большинство долгов с истекшим сроком погашения </w:t>
      </w:r>
      <w:r w:rsidR="0010428B" w:rsidRPr="00EC5A7B">
        <w:rPr>
          <w:rFonts w:asciiTheme="majorHAnsi" w:hAnsiTheme="majorHAnsi" w:cstheme="majorHAnsi"/>
          <w:sz w:val="24"/>
          <w:szCs w:val="24"/>
          <w:lang w:val="ru-MD" w:eastAsia="ru-RU"/>
        </w:rPr>
        <w:t>за</w:t>
      </w:r>
      <w:r w:rsidRPr="00EC5A7B">
        <w:rPr>
          <w:rFonts w:asciiTheme="majorHAnsi" w:hAnsiTheme="majorHAnsi" w:cstheme="majorHAnsi"/>
          <w:sz w:val="24"/>
          <w:szCs w:val="24"/>
          <w:lang w:val="ru-MD" w:eastAsia="ru-RU"/>
        </w:rPr>
        <w:t>регистрир</w:t>
      </w:r>
      <w:r w:rsidR="0010428B" w:rsidRPr="00EC5A7B">
        <w:rPr>
          <w:rFonts w:asciiTheme="majorHAnsi" w:hAnsiTheme="majorHAnsi" w:cstheme="majorHAnsi"/>
          <w:sz w:val="24"/>
          <w:szCs w:val="24"/>
          <w:lang w:val="ru-MD" w:eastAsia="ru-RU"/>
        </w:rPr>
        <w:t>ованы у</w:t>
      </w:r>
      <w:r w:rsidRPr="00EC5A7B">
        <w:rPr>
          <w:rFonts w:asciiTheme="majorHAnsi" w:hAnsiTheme="majorHAnsi" w:cstheme="majorHAnsi"/>
          <w:sz w:val="24"/>
          <w:szCs w:val="24"/>
          <w:lang w:val="ru-MD" w:eastAsia="ru-RU"/>
        </w:rPr>
        <w:t xml:space="preserve"> бенефициар</w:t>
      </w:r>
      <w:r w:rsidR="0010428B" w:rsidRPr="00EC5A7B">
        <w:rPr>
          <w:rFonts w:asciiTheme="majorHAnsi" w:hAnsiTheme="majorHAnsi" w:cstheme="majorHAnsi"/>
          <w:sz w:val="24"/>
          <w:szCs w:val="24"/>
          <w:lang w:val="ru-MD" w:eastAsia="ru-RU"/>
        </w:rPr>
        <w:t>ов</w:t>
      </w:r>
      <w:r w:rsidRPr="00EC5A7B">
        <w:rPr>
          <w:rFonts w:asciiTheme="majorHAnsi" w:hAnsiTheme="majorHAnsi" w:cstheme="majorHAnsi"/>
          <w:sz w:val="24"/>
          <w:szCs w:val="24"/>
          <w:lang w:val="ru-MD" w:eastAsia="ru-RU"/>
        </w:rPr>
        <w:t xml:space="preserve">, </w:t>
      </w:r>
      <w:r w:rsidR="0010428B" w:rsidRPr="00EC5A7B">
        <w:rPr>
          <w:rFonts w:asciiTheme="majorHAnsi" w:hAnsiTheme="majorHAnsi" w:cstheme="majorHAnsi"/>
          <w:sz w:val="24"/>
          <w:szCs w:val="24"/>
          <w:lang w:val="ru-MD" w:eastAsia="ru-RU"/>
        </w:rPr>
        <w:t>рекредитованных</w:t>
      </w:r>
      <w:r w:rsidRPr="00EC5A7B">
        <w:rPr>
          <w:rFonts w:asciiTheme="majorHAnsi" w:hAnsiTheme="majorHAnsi" w:cstheme="majorHAnsi"/>
          <w:sz w:val="24"/>
          <w:szCs w:val="24"/>
          <w:lang w:val="ru-MD" w:eastAsia="ru-RU"/>
        </w:rPr>
        <w:t xml:space="preserve"> через </w:t>
      </w:r>
      <w:r w:rsidR="0010428B" w:rsidRPr="00EC5A7B">
        <w:rPr>
          <w:rFonts w:asciiTheme="majorHAnsi" w:hAnsiTheme="majorHAnsi" w:cstheme="majorHAnsi"/>
          <w:sz w:val="24"/>
          <w:szCs w:val="24"/>
          <w:lang w:val="ru-MD" w:eastAsia="ru-RU"/>
        </w:rPr>
        <w:t>МФ</w:t>
      </w:r>
      <w:r w:rsidRPr="00EC5A7B">
        <w:rPr>
          <w:rFonts w:asciiTheme="majorHAnsi" w:hAnsiTheme="majorHAnsi" w:cstheme="majorHAnsi"/>
          <w:sz w:val="24"/>
          <w:szCs w:val="24"/>
          <w:lang w:val="ru-MD" w:eastAsia="ru-RU"/>
        </w:rPr>
        <w:t xml:space="preserve"> (95,2%). В этом контексте отмечается, что </w:t>
      </w:r>
      <w:r w:rsidR="0010428B" w:rsidRPr="00EC5A7B">
        <w:rPr>
          <w:rFonts w:asciiTheme="majorHAnsi" w:hAnsiTheme="majorHAnsi" w:cstheme="majorHAnsi"/>
          <w:sz w:val="24"/>
          <w:szCs w:val="24"/>
          <w:lang w:val="ru-MD" w:eastAsia="ru-RU"/>
        </w:rPr>
        <w:t>рекредитование</w:t>
      </w:r>
      <w:r w:rsidRPr="00EC5A7B">
        <w:rPr>
          <w:rFonts w:asciiTheme="majorHAnsi" w:hAnsiTheme="majorHAnsi" w:cstheme="majorHAnsi"/>
          <w:sz w:val="24"/>
          <w:szCs w:val="24"/>
          <w:lang w:val="ru-MD" w:eastAsia="ru-RU"/>
        </w:rPr>
        <w:t>, осуществляем</w:t>
      </w:r>
      <w:r w:rsidR="0010428B" w:rsidRPr="00EC5A7B">
        <w:rPr>
          <w:rFonts w:asciiTheme="majorHAnsi" w:hAnsiTheme="majorHAnsi" w:cstheme="majorHAnsi"/>
          <w:sz w:val="24"/>
          <w:szCs w:val="24"/>
          <w:lang w:val="ru-MD" w:eastAsia="ru-RU"/>
        </w:rPr>
        <w:t>ое</w:t>
      </w:r>
      <w:r w:rsidRPr="00EC5A7B">
        <w:rPr>
          <w:rFonts w:asciiTheme="majorHAnsi" w:hAnsiTheme="majorHAnsi" w:cstheme="majorHAnsi"/>
          <w:sz w:val="24"/>
          <w:szCs w:val="24"/>
          <w:lang w:val="ru-MD" w:eastAsia="ru-RU"/>
        </w:rPr>
        <w:t xml:space="preserve"> через участвующие финансовые учреждения, более эффектив</w:t>
      </w:r>
      <w:r w:rsidR="0010428B" w:rsidRPr="00EC5A7B">
        <w:rPr>
          <w:rFonts w:asciiTheme="majorHAnsi" w:hAnsiTheme="majorHAnsi" w:cstheme="majorHAnsi"/>
          <w:sz w:val="24"/>
          <w:szCs w:val="24"/>
          <w:lang w:val="ru-MD" w:eastAsia="ru-RU"/>
        </w:rPr>
        <w:t>ное</w:t>
      </w:r>
      <w:r w:rsidRPr="00EC5A7B">
        <w:rPr>
          <w:rFonts w:asciiTheme="majorHAnsi" w:hAnsiTheme="majorHAnsi" w:cstheme="majorHAnsi"/>
          <w:sz w:val="24"/>
          <w:szCs w:val="24"/>
          <w:lang w:val="ru-MD" w:eastAsia="ru-RU"/>
        </w:rPr>
        <w:t xml:space="preserve">, приводит к своевременному погашению задолженности </w:t>
      </w:r>
      <w:r w:rsidR="006958E6" w:rsidRPr="00EC5A7B">
        <w:rPr>
          <w:rFonts w:asciiTheme="majorHAnsi" w:hAnsiTheme="majorHAnsi" w:cstheme="majorHAnsi"/>
          <w:sz w:val="24"/>
          <w:szCs w:val="24"/>
          <w:lang w:val="ru-MD" w:eastAsia="ru-RU"/>
        </w:rPr>
        <w:t>рекредитованными</w:t>
      </w:r>
      <w:r w:rsidRPr="00EC5A7B">
        <w:rPr>
          <w:rFonts w:asciiTheme="majorHAnsi" w:hAnsiTheme="majorHAnsi" w:cstheme="majorHAnsi"/>
          <w:sz w:val="24"/>
          <w:szCs w:val="24"/>
          <w:lang w:val="ru-MD" w:eastAsia="ru-RU"/>
        </w:rPr>
        <w:t xml:space="preserve"> бенефициарами и не предполагает дополнительных рисков для государственного бюджета</w:t>
      </w:r>
      <w:r w:rsidR="003B2218" w:rsidRPr="00EC5A7B">
        <w:rPr>
          <w:rFonts w:asciiTheme="majorHAnsi" w:hAnsiTheme="majorHAnsi" w:cstheme="majorHAnsi"/>
          <w:sz w:val="24"/>
          <w:szCs w:val="24"/>
          <w:lang w:val="ru-MD" w:eastAsia="ru-RU"/>
        </w:rPr>
        <w:t>.</w:t>
      </w:r>
      <w:r w:rsidR="007F2E5A" w:rsidRPr="00EC5A7B">
        <w:rPr>
          <w:rFonts w:asciiTheme="majorHAnsi" w:hAnsiTheme="majorHAnsi" w:cstheme="majorHAnsi"/>
          <w:sz w:val="24"/>
          <w:szCs w:val="24"/>
          <w:lang w:val="ru-MD" w:eastAsia="ru-RU"/>
        </w:rPr>
        <w:t xml:space="preserve">  </w:t>
      </w:r>
    </w:p>
    <w:p w14:paraId="6CDC0DF8" w14:textId="38AB6005" w:rsidR="00F26567" w:rsidRPr="00EC5A7B" w:rsidRDefault="00531389" w:rsidP="000F6997">
      <w:pPr>
        <w:pStyle w:val="NoSpacing"/>
        <w:spacing w:line="276" w:lineRule="auto"/>
        <w:jc w:val="both"/>
        <w:rPr>
          <w:rFonts w:asciiTheme="majorHAnsi" w:hAnsiTheme="majorHAnsi" w:cstheme="majorHAnsi"/>
          <w:i/>
          <w:sz w:val="24"/>
          <w:szCs w:val="24"/>
          <w:lang w:val="ru-MD" w:eastAsia="ru-RU"/>
        </w:rPr>
      </w:pPr>
      <w:r w:rsidRPr="00EC5A7B">
        <w:rPr>
          <w:rFonts w:asciiTheme="majorHAnsi" w:hAnsiTheme="majorHAnsi" w:cstheme="majorHAnsi"/>
          <w:sz w:val="24"/>
          <w:szCs w:val="24"/>
          <w:lang w:val="ru-MD" w:eastAsia="ru-RU"/>
        </w:rPr>
        <w:t xml:space="preserve">Из общего числа 89 </w:t>
      </w:r>
      <w:r w:rsidR="00983815" w:rsidRPr="00EC5A7B">
        <w:rPr>
          <w:rFonts w:asciiTheme="majorHAnsi" w:hAnsiTheme="majorHAnsi" w:cstheme="majorHAnsi"/>
          <w:sz w:val="24"/>
          <w:szCs w:val="24"/>
          <w:lang w:val="ru-MD" w:eastAsia="ru-RU"/>
        </w:rPr>
        <w:t>бенефициаров рекредитованных</w:t>
      </w:r>
      <w:r w:rsidRPr="00EC5A7B">
        <w:rPr>
          <w:rFonts w:asciiTheme="majorHAnsi" w:hAnsiTheme="majorHAnsi" w:cstheme="majorHAnsi"/>
          <w:sz w:val="24"/>
          <w:szCs w:val="24"/>
          <w:lang w:val="ru-MD" w:eastAsia="ru-RU"/>
        </w:rPr>
        <w:t xml:space="preserve"> кредитов, в результате несоблюдения графиков погашения </w:t>
      </w:r>
      <w:r w:rsidR="00983815" w:rsidRPr="00EC5A7B">
        <w:rPr>
          <w:rFonts w:asciiTheme="majorHAnsi" w:hAnsiTheme="majorHAnsi" w:cstheme="majorHAnsi"/>
          <w:sz w:val="24"/>
          <w:szCs w:val="24"/>
          <w:lang w:val="ru-MD" w:eastAsia="ru-RU"/>
        </w:rPr>
        <w:t>рекредитованных кредитов</w:t>
      </w:r>
      <w:r w:rsidRPr="00EC5A7B">
        <w:rPr>
          <w:rFonts w:asciiTheme="majorHAnsi" w:hAnsiTheme="majorHAnsi" w:cstheme="majorHAnsi"/>
          <w:sz w:val="24"/>
          <w:szCs w:val="24"/>
          <w:lang w:val="ru-MD" w:eastAsia="ru-RU"/>
        </w:rPr>
        <w:t xml:space="preserve">, задолженность </w:t>
      </w:r>
      <w:r w:rsidR="00983815" w:rsidRPr="00EC5A7B">
        <w:rPr>
          <w:rFonts w:asciiTheme="majorHAnsi" w:hAnsiTheme="majorHAnsi" w:cstheme="majorHAnsi"/>
          <w:sz w:val="24"/>
          <w:szCs w:val="24"/>
          <w:lang w:val="ru-MD" w:eastAsia="ru-RU"/>
        </w:rPr>
        <w:t>с</w:t>
      </w:r>
      <w:r w:rsidRPr="00EC5A7B">
        <w:rPr>
          <w:rFonts w:asciiTheme="majorHAnsi" w:hAnsiTheme="majorHAnsi" w:cstheme="majorHAnsi"/>
          <w:sz w:val="24"/>
          <w:szCs w:val="24"/>
          <w:lang w:val="ru-MD" w:eastAsia="ru-RU"/>
        </w:rPr>
        <w:t xml:space="preserve"> истекш</w:t>
      </w:r>
      <w:r w:rsidR="00983815" w:rsidRPr="00EC5A7B">
        <w:rPr>
          <w:rFonts w:asciiTheme="majorHAnsi" w:hAnsiTheme="majorHAnsi" w:cstheme="majorHAnsi"/>
          <w:sz w:val="24"/>
          <w:szCs w:val="24"/>
          <w:lang w:val="ru-MD" w:eastAsia="ru-RU"/>
        </w:rPr>
        <w:t>и</w:t>
      </w:r>
      <w:r w:rsidRPr="00EC5A7B">
        <w:rPr>
          <w:rFonts w:asciiTheme="majorHAnsi" w:hAnsiTheme="majorHAnsi" w:cstheme="majorHAnsi"/>
          <w:sz w:val="24"/>
          <w:szCs w:val="24"/>
          <w:lang w:val="ru-MD" w:eastAsia="ru-RU"/>
        </w:rPr>
        <w:t>м срок</w:t>
      </w:r>
      <w:r w:rsidR="00983815" w:rsidRPr="00EC5A7B">
        <w:rPr>
          <w:rFonts w:asciiTheme="majorHAnsi" w:hAnsiTheme="majorHAnsi" w:cstheme="majorHAnsi"/>
          <w:sz w:val="24"/>
          <w:szCs w:val="24"/>
          <w:lang w:val="ru-MD" w:eastAsia="ru-RU"/>
        </w:rPr>
        <w:t>ом</w:t>
      </w:r>
      <w:r w:rsidRPr="00EC5A7B">
        <w:rPr>
          <w:rFonts w:asciiTheme="majorHAnsi" w:hAnsiTheme="majorHAnsi" w:cstheme="majorHAnsi"/>
          <w:sz w:val="24"/>
          <w:szCs w:val="24"/>
          <w:lang w:val="ru-MD" w:eastAsia="ru-RU"/>
        </w:rPr>
        <w:t xml:space="preserve"> </w:t>
      </w:r>
      <w:r w:rsidR="00983815" w:rsidRPr="00EC5A7B">
        <w:rPr>
          <w:rFonts w:asciiTheme="majorHAnsi" w:hAnsiTheme="majorHAnsi" w:cstheme="majorHAnsi"/>
          <w:sz w:val="24"/>
          <w:szCs w:val="24"/>
          <w:lang w:val="ru-MD" w:eastAsia="ru-RU"/>
        </w:rPr>
        <w:t>погашения</w:t>
      </w:r>
      <w:r w:rsidRPr="00EC5A7B">
        <w:rPr>
          <w:rFonts w:asciiTheme="majorHAnsi" w:hAnsiTheme="majorHAnsi" w:cstheme="majorHAnsi"/>
          <w:sz w:val="24"/>
          <w:szCs w:val="24"/>
          <w:lang w:val="ru-MD" w:eastAsia="ru-RU"/>
        </w:rPr>
        <w:t xml:space="preserve"> отмечается у 44 бенефициаров. </w:t>
      </w:r>
      <w:r w:rsidRPr="00EC5A7B">
        <w:rPr>
          <w:rFonts w:asciiTheme="majorHAnsi" w:hAnsiTheme="majorHAnsi" w:cstheme="majorHAnsi"/>
          <w:i/>
          <w:sz w:val="24"/>
          <w:szCs w:val="24"/>
          <w:lang w:val="ru-MD" w:eastAsia="ru-RU"/>
        </w:rPr>
        <w:t>Подробная информация представлена в</w:t>
      </w:r>
      <w:r w:rsidR="00983815" w:rsidRPr="00EC5A7B">
        <w:rPr>
          <w:rFonts w:asciiTheme="majorHAnsi" w:hAnsiTheme="majorHAnsi" w:cstheme="majorHAnsi"/>
          <w:i/>
          <w:sz w:val="24"/>
          <w:szCs w:val="24"/>
          <w:lang w:val="ru-MD" w:eastAsia="ru-RU"/>
        </w:rPr>
        <w:t xml:space="preserve"> Таблице </w:t>
      </w:r>
      <w:r w:rsidRPr="00EC5A7B">
        <w:rPr>
          <w:rFonts w:asciiTheme="majorHAnsi" w:hAnsiTheme="majorHAnsi" w:cstheme="majorHAnsi"/>
          <w:i/>
          <w:sz w:val="24"/>
          <w:szCs w:val="24"/>
          <w:lang w:val="ru-MD" w:eastAsia="ru-RU"/>
        </w:rPr>
        <w:t xml:space="preserve"> №</w:t>
      </w:r>
      <w:r w:rsidR="00983815" w:rsidRPr="00EC5A7B">
        <w:rPr>
          <w:rFonts w:asciiTheme="majorHAnsi" w:hAnsiTheme="majorHAnsi" w:cstheme="majorHAnsi"/>
          <w:i/>
          <w:sz w:val="24"/>
          <w:szCs w:val="24"/>
          <w:lang w:val="ru-MD" w:eastAsia="ru-RU"/>
        </w:rPr>
        <w:t>11</w:t>
      </w:r>
      <w:r w:rsidR="00FF2265" w:rsidRPr="00EC5A7B">
        <w:rPr>
          <w:rFonts w:asciiTheme="majorHAnsi" w:hAnsiTheme="majorHAnsi" w:cstheme="majorHAnsi"/>
          <w:i/>
          <w:sz w:val="24"/>
          <w:szCs w:val="24"/>
          <w:lang w:val="ru-MD" w:eastAsia="ru-RU"/>
        </w:rPr>
        <w:t>.</w:t>
      </w:r>
    </w:p>
    <w:p w14:paraId="5110CEEA" w14:textId="14888366" w:rsidR="00FF2265" w:rsidRPr="00EC5A7B" w:rsidRDefault="00220355" w:rsidP="00DE7D06">
      <w:pPr>
        <w:tabs>
          <w:tab w:val="left" w:pos="284"/>
        </w:tabs>
        <w:spacing w:after="0" w:line="240" w:lineRule="auto"/>
        <w:contextualSpacing/>
        <w:jc w:val="right"/>
        <w:rPr>
          <w:rFonts w:asciiTheme="majorHAnsi" w:eastAsia="Times New Roman" w:hAnsiTheme="majorHAnsi" w:cstheme="majorHAnsi"/>
          <w:b/>
          <w:i/>
          <w:color w:val="5B9BD5" w:themeColor="accent1"/>
          <w:sz w:val="24"/>
          <w:szCs w:val="24"/>
          <w:lang w:val="ru-MD" w:eastAsia="ro-RO"/>
        </w:rPr>
      </w:pPr>
      <w:r w:rsidRPr="00EC5A7B">
        <w:rPr>
          <w:rFonts w:asciiTheme="majorHAnsi" w:eastAsia="Times New Roman" w:hAnsiTheme="majorHAnsi" w:cstheme="majorHAnsi"/>
          <w:b/>
          <w:i/>
          <w:color w:val="5B9BD5" w:themeColor="accent1"/>
          <w:sz w:val="24"/>
          <w:szCs w:val="24"/>
          <w:lang w:val="ru-MD" w:eastAsia="ro-RO"/>
        </w:rPr>
        <w:t>Таблица №</w:t>
      </w:r>
      <w:r w:rsidR="006F221C" w:rsidRPr="00EC5A7B">
        <w:rPr>
          <w:rFonts w:asciiTheme="majorHAnsi" w:eastAsia="Times New Roman" w:hAnsiTheme="majorHAnsi" w:cstheme="majorHAnsi"/>
          <w:b/>
          <w:i/>
          <w:color w:val="5B9BD5" w:themeColor="accent1"/>
          <w:sz w:val="24"/>
          <w:szCs w:val="24"/>
          <w:lang w:val="ru-MD" w:eastAsia="ro-RO"/>
        </w:rPr>
        <w:t>11</w:t>
      </w:r>
      <w:r w:rsidR="00E94098" w:rsidRPr="00EC5A7B">
        <w:rPr>
          <w:rFonts w:asciiTheme="majorHAnsi" w:eastAsia="Times New Roman" w:hAnsiTheme="majorHAnsi" w:cstheme="majorHAnsi"/>
          <w:b/>
          <w:i/>
          <w:color w:val="5B9BD5" w:themeColor="accent1"/>
          <w:sz w:val="24"/>
          <w:szCs w:val="24"/>
          <w:lang w:val="ru-MD" w:eastAsia="ro-RO"/>
        </w:rPr>
        <w:t xml:space="preserve">, </w:t>
      </w:r>
      <w:r w:rsidRPr="00EC5A7B">
        <w:rPr>
          <w:rFonts w:asciiTheme="majorHAnsi" w:eastAsia="Times New Roman" w:hAnsiTheme="majorHAnsi" w:cstheme="majorHAnsi"/>
          <w:b/>
          <w:i/>
          <w:color w:val="5B9BD5" w:themeColor="accent1"/>
          <w:sz w:val="24"/>
          <w:szCs w:val="24"/>
          <w:lang w:val="ru-MD" w:eastAsia="ro-RO"/>
        </w:rPr>
        <w:t>млн. леев</w:t>
      </w:r>
    </w:p>
    <w:tbl>
      <w:tblPr>
        <w:tblStyle w:val="TableGrid"/>
        <w:tblW w:w="9354" w:type="dxa"/>
        <w:tblLook w:val="04A0" w:firstRow="1" w:lastRow="0" w:firstColumn="1" w:lastColumn="0" w:noHBand="0" w:noVBand="1"/>
      </w:tblPr>
      <w:tblGrid>
        <w:gridCol w:w="1696"/>
        <w:gridCol w:w="537"/>
        <w:gridCol w:w="714"/>
        <w:gridCol w:w="558"/>
        <w:gridCol w:w="733"/>
        <w:gridCol w:w="537"/>
        <w:gridCol w:w="714"/>
        <w:gridCol w:w="537"/>
        <w:gridCol w:w="717"/>
        <w:gridCol w:w="537"/>
        <w:gridCol w:w="730"/>
        <w:gridCol w:w="537"/>
        <w:gridCol w:w="807"/>
      </w:tblGrid>
      <w:tr w:rsidR="005F325C" w:rsidRPr="00EC5A7B" w14:paraId="4278EF95" w14:textId="77777777" w:rsidTr="00805570">
        <w:tc>
          <w:tcPr>
            <w:tcW w:w="1885" w:type="dxa"/>
            <w:vMerge w:val="restart"/>
            <w:shd w:val="clear" w:color="auto" w:fill="DEEAF6" w:themeFill="accent1" w:themeFillTint="33"/>
          </w:tcPr>
          <w:p w14:paraId="0CDECF89" w14:textId="77777777" w:rsidR="005F325C" w:rsidRPr="00EC5A7B" w:rsidRDefault="005F325C" w:rsidP="00FF2265">
            <w:pPr>
              <w:jc w:val="center"/>
              <w:rPr>
                <w:rFonts w:asciiTheme="majorHAnsi" w:eastAsia="Times New Roman" w:hAnsiTheme="majorHAnsi" w:cstheme="majorHAnsi"/>
                <w:b/>
                <w:sz w:val="18"/>
                <w:szCs w:val="18"/>
                <w:lang w:val="ru-MD" w:eastAsia="ro-RO"/>
              </w:rPr>
            </w:pPr>
          </w:p>
          <w:p w14:paraId="5ACC7D28" w14:textId="0E06B607" w:rsidR="005F325C" w:rsidRPr="00EC5A7B" w:rsidRDefault="00AA1AB4"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Рекредитованные бенефициары</w:t>
            </w:r>
          </w:p>
        </w:tc>
        <w:tc>
          <w:tcPr>
            <w:tcW w:w="7469" w:type="dxa"/>
            <w:gridSpan w:val="12"/>
            <w:shd w:val="clear" w:color="auto" w:fill="DEEAF6" w:themeFill="accent1" w:themeFillTint="33"/>
          </w:tcPr>
          <w:p w14:paraId="71EA3ED2" w14:textId="711D530A" w:rsidR="005F325C" w:rsidRPr="00EC5A7B" w:rsidRDefault="00AA1AB4"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Задолженность по рекредитованным займам</w:t>
            </w:r>
          </w:p>
        </w:tc>
      </w:tr>
      <w:tr w:rsidR="005F325C" w:rsidRPr="00EC5A7B" w14:paraId="726CF524" w14:textId="77777777" w:rsidTr="00805570">
        <w:tc>
          <w:tcPr>
            <w:tcW w:w="1885" w:type="dxa"/>
            <w:vMerge/>
            <w:shd w:val="clear" w:color="auto" w:fill="DEEAF6" w:themeFill="accent1" w:themeFillTint="33"/>
          </w:tcPr>
          <w:p w14:paraId="348BF32F" w14:textId="77777777" w:rsidR="005F325C" w:rsidRPr="00EC5A7B" w:rsidRDefault="005F325C" w:rsidP="00FF2265">
            <w:pPr>
              <w:jc w:val="center"/>
              <w:rPr>
                <w:rFonts w:asciiTheme="majorHAnsi" w:eastAsia="Times New Roman" w:hAnsiTheme="majorHAnsi" w:cstheme="majorHAnsi"/>
                <w:b/>
                <w:sz w:val="18"/>
                <w:szCs w:val="18"/>
                <w:lang w:val="ru-MD" w:eastAsia="ro-RO"/>
              </w:rPr>
            </w:pPr>
          </w:p>
        </w:tc>
        <w:tc>
          <w:tcPr>
            <w:tcW w:w="2429" w:type="dxa"/>
            <w:gridSpan w:val="4"/>
            <w:shd w:val="clear" w:color="auto" w:fill="DEEAF6" w:themeFill="accent1" w:themeFillTint="33"/>
          </w:tcPr>
          <w:p w14:paraId="77FD138F" w14:textId="5502E8EB" w:rsidR="005F325C" w:rsidRPr="00EC5A7B" w:rsidRDefault="005F325C"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2017</w:t>
            </w:r>
            <w:r w:rsidR="00880D9B" w:rsidRPr="00EC5A7B">
              <w:rPr>
                <w:rFonts w:asciiTheme="majorHAnsi" w:eastAsia="Times New Roman" w:hAnsiTheme="majorHAnsi" w:cstheme="majorHAnsi"/>
                <w:b/>
                <w:sz w:val="18"/>
                <w:szCs w:val="18"/>
                <w:lang w:val="ru-MD" w:eastAsia="ro-RO"/>
              </w:rPr>
              <w:t xml:space="preserve"> год</w:t>
            </w:r>
          </w:p>
        </w:tc>
        <w:tc>
          <w:tcPr>
            <w:tcW w:w="2521" w:type="dxa"/>
            <w:gridSpan w:val="4"/>
            <w:shd w:val="clear" w:color="auto" w:fill="DEEAF6" w:themeFill="accent1" w:themeFillTint="33"/>
          </w:tcPr>
          <w:p w14:paraId="42E44BB6" w14:textId="1AAC3AD7" w:rsidR="005F325C" w:rsidRPr="00EC5A7B" w:rsidRDefault="005F325C"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2018</w:t>
            </w:r>
            <w:r w:rsidR="00880D9B" w:rsidRPr="00EC5A7B">
              <w:rPr>
                <w:rFonts w:asciiTheme="majorHAnsi" w:eastAsia="Times New Roman" w:hAnsiTheme="majorHAnsi" w:cstheme="majorHAnsi"/>
                <w:b/>
                <w:sz w:val="18"/>
                <w:szCs w:val="18"/>
                <w:lang w:val="ru-MD" w:eastAsia="ro-RO"/>
              </w:rPr>
              <w:t xml:space="preserve"> год</w:t>
            </w:r>
          </w:p>
        </w:tc>
        <w:tc>
          <w:tcPr>
            <w:tcW w:w="2519" w:type="dxa"/>
            <w:gridSpan w:val="4"/>
            <w:shd w:val="clear" w:color="auto" w:fill="DEEAF6" w:themeFill="accent1" w:themeFillTint="33"/>
          </w:tcPr>
          <w:p w14:paraId="4B395B36" w14:textId="4F2EC2BD" w:rsidR="005F325C" w:rsidRPr="00EC5A7B" w:rsidRDefault="005F325C"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2019</w:t>
            </w:r>
            <w:r w:rsidR="00880D9B" w:rsidRPr="00EC5A7B">
              <w:rPr>
                <w:rFonts w:asciiTheme="majorHAnsi" w:eastAsia="Times New Roman" w:hAnsiTheme="majorHAnsi" w:cstheme="majorHAnsi"/>
                <w:b/>
                <w:sz w:val="18"/>
                <w:szCs w:val="18"/>
                <w:lang w:val="ru-MD" w:eastAsia="ro-RO"/>
              </w:rPr>
              <w:t xml:space="preserve"> год</w:t>
            </w:r>
          </w:p>
        </w:tc>
      </w:tr>
      <w:tr w:rsidR="00AA1AB4" w:rsidRPr="00EC5A7B" w14:paraId="4CF0FAB0" w14:textId="77777777" w:rsidTr="00805570">
        <w:tc>
          <w:tcPr>
            <w:tcW w:w="1885" w:type="dxa"/>
            <w:vMerge/>
            <w:shd w:val="clear" w:color="auto" w:fill="DEEAF6" w:themeFill="accent1" w:themeFillTint="33"/>
          </w:tcPr>
          <w:p w14:paraId="59054DB4" w14:textId="77777777" w:rsidR="005F325C" w:rsidRPr="00EC5A7B" w:rsidRDefault="005F325C" w:rsidP="00FF2265">
            <w:pPr>
              <w:jc w:val="center"/>
              <w:rPr>
                <w:rFonts w:asciiTheme="majorHAnsi" w:eastAsia="Times New Roman" w:hAnsiTheme="majorHAnsi" w:cstheme="majorHAnsi"/>
                <w:b/>
                <w:sz w:val="18"/>
                <w:szCs w:val="18"/>
                <w:lang w:val="ru-MD" w:eastAsia="ro-RO"/>
              </w:rPr>
            </w:pPr>
          </w:p>
        </w:tc>
        <w:tc>
          <w:tcPr>
            <w:tcW w:w="1260" w:type="dxa"/>
            <w:gridSpan w:val="2"/>
            <w:shd w:val="clear" w:color="auto" w:fill="DEEAF6" w:themeFill="accent1" w:themeFillTint="33"/>
          </w:tcPr>
          <w:p w14:paraId="3B82D453" w14:textId="11B025DA" w:rsidR="005F325C" w:rsidRPr="00EC5A7B" w:rsidRDefault="00AA1AB4"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1169" w:type="dxa"/>
            <w:gridSpan w:val="2"/>
            <w:shd w:val="clear" w:color="auto" w:fill="DEEAF6" w:themeFill="accent1" w:themeFillTint="33"/>
          </w:tcPr>
          <w:p w14:paraId="25183724" w14:textId="0BDEB996" w:rsidR="005F325C" w:rsidRPr="00EC5A7B" w:rsidRDefault="00AA1AB4" w:rsidP="00AA1AB4">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просроченная</w:t>
            </w:r>
          </w:p>
        </w:tc>
        <w:tc>
          <w:tcPr>
            <w:tcW w:w="1261" w:type="dxa"/>
            <w:gridSpan w:val="2"/>
            <w:shd w:val="clear" w:color="auto" w:fill="DEEAF6" w:themeFill="accent1" w:themeFillTint="33"/>
          </w:tcPr>
          <w:p w14:paraId="2D082264" w14:textId="03AAA31E" w:rsidR="005F325C" w:rsidRPr="00EC5A7B" w:rsidRDefault="00AA1AB4"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1260" w:type="dxa"/>
            <w:gridSpan w:val="2"/>
            <w:shd w:val="clear" w:color="auto" w:fill="DEEAF6" w:themeFill="accent1" w:themeFillTint="33"/>
          </w:tcPr>
          <w:p w14:paraId="2C1C26A7" w14:textId="53CC375A" w:rsidR="005F325C" w:rsidRPr="00EC5A7B" w:rsidRDefault="00880D9B" w:rsidP="00880D9B">
            <w:pPr>
              <w:ind w:right="-126" w:hanging="56"/>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просроченная</w:t>
            </w:r>
          </w:p>
        </w:tc>
        <w:tc>
          <w:tcPr>
            <w:tcW w:w="1350" w:type="dxa"/>
            <w:gridSpan w:val="2"/>
            <w:shd w:val="clear" w:color="auto" w:fill="DEEAF6" w:themeFill="accent1" w:themeFillTint="33"/>
          </w:tcPr>
          <w:p w14:paraId="4F03A3B7" w14:textId="263C094D" w:rsidR="005F325C" w:rsidRPr="00EC5A7B" w:rsidRDefault="00AA1AB4"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1169" w:type="dxa"/>
            <w:gridSpan w:val="2"/>
            <w:shd w:val="clear" w:color="auto" w:fill="DEEAF6" w:themeFill="accent1" w:themeFillTint="33"/>
          </w:tcPr>
          <w:p w14:paraId="59AC9585" w14:textId="3CD2DD80" w:rsidR="005F325C" w:rsidRPr="00EC5A7B" w:rsidRDefault="00880D9B" w:rsidP="00FF2265">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просроченная</w:t>
            </w:r>
          </w:p>
        </w:tc>
      </w:tr>
      <w:tr w:rsidR="00AA1AB4" w:rsidRPr="00EC5A7B" w14:paraId="42AFAA73" w14:textId="77777777" w:rsidTr="00805570">
        <w:tc>
          <w:tcPr>
            <w:tcW w:w="1885" w:type="dxa"/>
            <w:vMerge/>
            <w:shd w:val="clear" w:color="auto" w:fill="DEEAF6" w:themeFill="accent1" w:themeFillTint="33"/>
          </w:tcPr>
          <w:p w14:paraId="53CE16F1" w14:textId="77777777" w:rsidR="005F325C" w:rsidRPr="00EC5A7B" w:rsidRDefault="005F325C" w:rsidP="005F325C">
            <w:pPr>
              <w:jc w:val="center"/>
              <w:rPr>
                <w:rFonts w:asciiTheme="majorHAnsi" w:eastAsia="Times New Roman" w:hAnsiTheme="majorHAnsi" w:cstheme="majorHAnsi"/>
                <w:b/>
                <w:sz w:val="18"/>
                <w:szCs w:val="18"/>
                <w:lang w:val="ru-MD" w:eastAsia="ro-RO"/>
              </w:rPr>
            </w:pPr>
          </w:p>
        </w:tc>
        <w:tc>
          <w:tcPr>
            <w:tcW w:w="450" w:type="dxa"/>
            <w:shd w:val="clear" w:color="auto" w:fill="DEEAF6" w:themeFill="accent1" w:themeFillTint="33"/>
          </w:tcPr>
          <w:p w14:paraId="2452EFB3" w14:textId="41C57B88" w:rsidR="005F325C" w:rsidRPr="00EC5A7B" w:rsidRDefault="00AA1AB4" w:rsidP="00AA1AB4">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810" w:type="dxa"/>
            <w:shd w:val="clear" w:color="auto" w:fill="DEEAF6" w:themeFill="accent1" w:themeFillTint="33"/>
          </w:tcPr>
          <w:p w14:paraId="1CC258D5" w14:textId="08F63AC2" w:rsidR="005F325C" w:rsidRPr="00EC5A7B" w:rsidRDefault="00AA1AB4"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c>
          <w:tcPr>
            <w:tcW w:w="450" w:type="dxa"/>
            <w:shd w:val="clear" w:color="auto" w:fill="DEEAF6" w:themeFill="accent1" w:themeFillTint="33"/>
          </w:tcPr>
          <w:p w14:paraId="66D69CB2" w14:textId="2C983ACF"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719" w:type="dxa"/>
            <w:shd w:val="clear" w:color="auto" w:fill="DEEAF6" w:themeFill="accent1" w:themeFillTint="33"/>
          </w:tcPr>
          <w:p w14:paraId="52465724" w14:textId="100D6725"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c>
          <w:tcPr>
            <w:tcW w:w="451" w:type="dxa"/>
            <w:shd w:val="clear" w:color="auto" w:fill="DEEAF6" w:themeFill="accent1" w:themeFillTint="33"/>
          </w:tcPr>
          <w:p w14:paraId="6F89F14B" w14:textId="15C741EA"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810" w:type="dxa"/>
            <w:shd w:val="clear" w:color="auto" w:fill="DEEAF6" w:themeFill="accent1" w:themeFillTint="33"/>
          </w:tcPr>
          <w:p w14:paraId="19FAB5B2" w14:textId="15B18707"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c>
          <w:tcPr>
            <w:tcW w:w="450" w:type="dxa"/>
            <w:shd w:val="clear" w:color="auto" w:fill="DEEAF6" w:themeFill="accent1" w:themeFillTint="33"/>
          </w:tcPr>
          <w:p w14:paraId="4219336C" w14:textId="0FD0D9A8"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810" w:type="dxa"/>
            <w:shd w:val="clear" w:color="auto" w:fill="DEEAF6" w:themeFill="accent1" w:themeFillTint="33"/>
          </w:tcPr>
          <w:p w14:paraId="5BD69431" w14:textId="598838CE"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c>
          <w:tcPr>
            <w:tcW w:w="450" w:type="dxa"/>
            <w:shd w:val="clear" w:color="auto" w:fill="DEEAF6" w:themeFill="accent1" w:themeFillTint="33"/>
          </w:tcPr>
          <w:p w14:paraId="52001376" w14:textId="666F3D95"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900" w:type="dxa"/>
            <w:shd w:val="clear" w:color="auto" w:fill="DEEAF6" w:themeFill="accent1" w:themeFillTint="33"/>
          </w:tcPr>
          <w:p w14:paraId="67F772C7" w14:textId="5E47AAA1"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c>
          <w:tcPr>
            <w:tcW w:w="450" w:type="dxa"/>
            <w:shd w:val="clear" w:color="auto" w:fill="DEEAF6" w:themeFill="accent1" w:themeFillTint="33"/>
          </w:tcPr>
          <w:p w14:paraId="1AFB1F20" w14:textId="44397B8E"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кол-во</w:t>
            </w:r>
          </w:p>
        </w:tc>
        <w:tc>
          <w:tcPr>
            <w:tcW w:w="719" w:type="dxa"/>
            <w:shd w:val="clear" w:color="auto" w:fill="DEEAF6" w:themeFill="accent1" w:themeFillTint="33"/>
          </w:tcPr>
          <w:p w14:paraId="2EE5D881" w14:textId="1A4C2A4E" w:rsidR="005F325C" w:rsidRPr="00EC5A7B" w:rsidRDefault="00880D9B"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сумма</w:t>
            </w:r>
          </w:p>
        </w:tc>
      </w:tr>
      <w:tr w:rsidR="005F325C" w:rsidRPr="00EC5A7B" w14:paraId="4DDE02BC" w14:textId="77777777" w:rsidTr="00805570">
        <w:tc>
          <w:tcPr>
            <w:tcW w:w="9354" w:type="dxa"/>
            <w:gridSpan w:val="13"/>
            <w:shd w:val="clear" w:color="auto" w:fill="EDEDED" w:themeFill="accent3" w:themeFillTint="33"/>
          </w:tcPr>
          <w:p w14:paraId="682AD298" w14:textId="2B7C31A3" w:rsidR="005F325C" w:rsidRPr="00EC5A7B" w:rsidRDefault="00880D9B" w:rsidP="00880D9B">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Экономические агенты</w:t>
            </w:r>
          </w:p>
        </w:tc>
      </w:tr>
      <w:tr w:rsidR="00AA1AB4" w:rsidRPr="00EC5A7B" w14:paraId="2253D13A" w14:textId="77777777" w:rsidTr="005F325C">
        <w:tc>
          <w:tcPr>
            <w:tcW w:w="1885" w:type="dxa"/>
          </w:tcPr>
          <w:p w14:paraId="591BC741" w14:textId="179347F7" w:rsidR="005F325C" w:rsidRPr="00EC5A7B" w:rsidRDefault="003A3F9C" w:rsidP="005F325C">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Работают в обычном режиме</w:t>
            </w:r>
          </w:p>
        </w:tc>
        <w:tc>
          <w:tcPr>
            <w:tcW w:w="450" w:type="dxa"/>
          </w:tcPr>
          <w:p w14:paraId="19B7E41A" w14:textId="77777777" w:rsidR="005F325C" w:rsidRPr="00EC5A7B" w:rsidRDefault="00C361CE"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32</w:t>
            </w:r>
          </w:p>
        </w:tc>
        <w:tc>
          <w:tcPr>
            <w:tcW w:w="810" w:type="dxa"/>
          </w:tcPr>
          <w:p w14:paraId="3EB68AF8" w14:textId="77777777" w:rsidR="005F325C" w:rsidRPr="00EC5A7B" w:rsidRDefault="00C361CE"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1 222,3</w:t>
            </w:r>
          </w:p>
        </w:tc>
        <w:tc>
          <w:tcPr>
            <w:tcW w:w="450" w:type="dxa"/>
          </w:tcPr>
          <w:p w14:paraId="7BFE178B"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w:t>
            </w:r>
          </w:p>
        </w:tc>
        <w:tc>
          <w:tcPr>
            <w:tcW w:w="719" w:type="dxa"/>
          </w:tcPr>
          <w:p w14:paraId="5DDA2C53"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27,0</w:t>
            </w:r>
          </w:p>
        </w:tc>
        <w:tc>
          <w:tcPr>
            <w:tcW w:w="451" w:type="dxa"/>
          </w:tcPr>
          <w:p w14:paraId="15E35DAC"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30</w:t>
            </w:r>
          </w:p>
        </w:tc>
        <w:tc>
          <w:tcPr>
            <w:tcW w:w="810" w:type="dxa"/>
          </w:tcPr>
          <w:p w14:paraId="4E8D4A14"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1 498,7</w:t>
            </w:r>
          </w:p>
        </w:tc>
        <w:tc>
          <w:tcPr>
            <w:tcW w:w="450" w:type="dxa"/>
          </w:tcPr>
          <w:p w14:paraId="1D5FBCC1"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w:t>
            </w:r>
          </w:p>
        </w:tc>
        <w:tc>
          <w:tcPr>
            <w:tcW w:w="810" w:type="dxa"/>
          </w:tcPr>
          <w:p w14:paraId="7CD909A2"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16,4</w:t>
            </w:r>
          </w:p>
        </w:tc>
        <w:tc>
          <w:tcPr>
            <w:tcW w:w="450" w:type="dxa"/>
          </w:tcPr>
          <w:p w14:paraId="2D537DAB"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28</w:t>
            </w:r>
          </w:p>
        </w:tc>
        <w:tc>
          <w:tcPr>
            <w:tcW w:w="900" w:type="dxa"/>
          </w:tcPr>
          <w:p w14:paraId="7708DFA9"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1 592,5</w:t>
            </w:r>
          </w:p>
        </w:tc>
        <w:tc>
          <w:tcPr>
            <w:tcW w:w="450" w:type="dxa"/>
          </w:tcPr>
          <w:p w14:paraId="2A794EBB" w14:textId="77777777" w:rsidR="005F325C" w:rsidRPr="00EC5A7B" w:rsidRDefault="00F2427E"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w:t>
            </w:r>
            <w:r w:rsidR="00805570" w:rsidRPr="00EC5A7B">
              <w:rPr>
                <w:rFonts w:asciiTheme="majorHAnsi" w:eastAsia="Times New Roman" w:hAnsiTheme="majorHAnsi" w:cstheme="majorHAnsi"/>
                <w:sz w:val="18"/>
                <w:szCs w:val="18"/>
                <w:lang w:val="ru-MD" w:eastAsia="ro-RO"/>
              </w:rPr>
              <w:t>3</w:t>
            </w:r>
          </w:p>
        </w:tc>
        <w:tc>
          <w:tcPr>
            <w:tcW w:w="719" w:type="dxa"/>
          </w:tcPr>
          <w:p w14:paraId="0ACE2AFD"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13,7</w:t>
            </w:r>
          </w:p>
        </w:tc>
      </w:tr>
      <w:tr w:rsidR="00AA1AB4" w:rsidRPr="00EC5A7B" w14:paraId="5B1F4B57" w14:textId="77777777" w:rsidTr="005F325C">
        <w:tc>
          <w:tcPr>
            <w:tcW w:w="1885" w:type="dxa"/>
          </w:tcPr>
          <w:p w14:paraId="048E6315" w14:textId="46DCDA35" w:rsidR="005F325C" w:rsidRPr="00EC5A7B" w:rsidRDefault="003A3F9C" w:rsidP="003A3F9C">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Находятся в процессе несостоятельности</w:t>
            </w:r>
          </w:p>
        </w:tc>
        <w:tc>
          <w:tcPr>
            <w:tcW w:w="450" w:type="dxa"/>
          </w:tcPr>
          <w:p w14:paraId="657BDB44"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w:t>
            </w:r>
          </w:p>
        </w:tc>
        <w:tc>
          <w:tcPr>
            <w:tcW w:w="810" w:type="dxa"/>
          </w:tcPr>
          <w:p w14:paraId="5B97BA36"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187,0</w:t>
            </w:r>
          </w:p>
        </w:tc>
        <w:tc>
          <w:tcPr>
            <w:tcW w:w="450" w:type="dxa"/>
          </w:tcPr>
          <w:p w14:paraId="66CF82C8"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w:t>
            </w:r>
          </w:p>
        </w:tc>
        <w:tc>
          <w:tcPr>
            <w:tcW w:w="719" w:type="dxa"/>
          </w:tcPr>
          <w:p w14:paraId="41D91257"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187,0</w:t>
            </w:r>
          </w:p>
        </w:tc>
        <w:tc>
          <w:tcPr>
            <w:tcW w:w="451" w:type="dxa"/>
          </w:tcPr>
          <w:p w14:paraId="3FA16BB9"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11</w:t>
            </w:r>
          </w:p>
        </w:tc>
        <w:tc>
          <w:tcPr>
            <w:tcW w:w="810" w:type="dxa"/>
          </w:tcPr>
          <w:p w14:paraId="2EAE6310"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165,0</w:t>
            </w:r>
          </w:p>
        </w:tc>
        <w:tc>
          <w:tcPr>
            <w:tcW w:w="450" w:type="dxa"/>
          </w:tcPr>
          <w:p w14:paraId="731B21E5"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11</w:t>
            </w:r>
          </w:p>
        </w:tc>
        <w:tc>
          <w:tcPr>
            <w:tcW w:w="810" w:type="dxa"/>
          </w:tcPr>
          <w:p w14:paraId="72F03A29"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165,0</w:t>
            </w:r>
          </w:p>
        </w:tc>
        <w:tc>
          <w:tcPr>
            <w:tcW w:w="450" w:type="dxa"/>
          </w:tcPr>
          <w:p w14:paraId="04F42D5C"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11</w:t>
            </w:r>
          </w:p>
        </w:tc>
        <w:tc>
          <w:tcPr>
            <w:tcW w:w="900" w:type="dxa"/>
          </w:tcPr>
          <w:p w14:paraId="267CDCA5"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165,6</w:t>
            </w:r>
          </w:p>
        </w:tc>
        <w:tc>
          <w:tcPr>
            <w:tcW w:w="450" w:type="dxa"/>
          </w:tcPr>
          <w:p w14:paraId="1F295E97"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11</w:t>
            </w:r>
          </w:p>
        </w:tc>
        <w:tc>
          <w:tcPr>
            <w:tcW w:w="719" w:type="dxa"/>
          </w:tcPr>
          <w:p w14:paraId="111E869F"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165,6</w:t>
            </w:r>
          </w:p>
        </w:tc>
      </w:tr>
      <w:tr w:rsidR="00AA1AB4" w:rsidRPr="00EC5A7B" w14:paraId="41F2E229" w14:textId="77777777" w:rsidTr="005F325C">
        <w:tc>
          <w:tcPr>
            <w:tcW w:w="1885" w:type="dxa"/>
          </w:tcPr>
          <w:p w14:paraId="5A9A30AE" w14:textId="078501E3" w:rsidR="005F325C" w:rsidRPr="00EC5A7B" w:rsidRDefault="003A3F9C" w:rsidP="003A3F9C">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Являются потенциальными банкротами</w:t>
            </w:r>
          </w:p>
        </w:tc>
        <w:tc>
          <w:tcPr>
            <w:tcW w:w="450" w:type="dxa"/>
          </w:tcPr>
          <w:p w14:paraId="684A6883"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8</w:t>
            </w:r>
          </w:p>
        </w:tc>
        <w:tc>
          <w:tcPr>
            <w:tcW w:w="810" w:type="dxa"/>
          </w:tcPr>
          <w:p w14:paraId="0998599C"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74,1</w:t>
            </w:r>
          </w:p>
        </w:tc>
        <w:tc>
          <w:tcPr>
            <w:tcW w:w="450" w:type="dxa"/>
          </w:tcPr>
          <w:p w14:paraId="34B27E5A"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8</w:t>
            </w:r>
          </w:p>
        </w:tc>
        <w:tc>
          <w:tcPr>
            <w:tcW w:w="719" w:type="dxa"/>
          </w:tcPr>
          <w:p w14:paraId="3EA623E1"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74,1</w:t>
            </w:r>
          </w:p>
        </w:tc>
        <w:tc>
          <w:tcPr>
            <w:tcW w:w="451" w:type="dxa"/>
          </w:tcPr>
          <w:p w14:paraId="06BB38C5"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w:t>
            </w:r>
          </w:p>
        </w:tc>
        <w:tc>
          <w:tcPr>
            <w:tcW w:w="810" w:type="dxa"/>
          </w:tcPr>
          <w:p w14:paraId="577DA2B9"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73,0</w:t>
            </w:r>
          </w:p>
        </w:tc>
        <w:tc>
          <w:tcPr>
            <w:tcW w:w="450" w:type="dxa"/>
          </w:tcPr>
          <w:p w14:paraId="09D88627"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w:t>
            </w:r>
          </w:p>
        </w:tc>
        <w:tc>
          <w:tcPr>
            <w:tcW w:w="810" w:type="dxa"/>
          </w:tcPr>
          <w:p w14:paraId="529F2BB5"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73,0</w:t>
            </w:r>
          </w:p>
        </w:tc>
        <w:tc>
          <w:tcPr>
            <w:tcW w:w="450" w:type="dxa"/>
          </w:tcPr>
          <w:p w14:paraId="3F5C98AB"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6</w:t>
            </w:r>
          </w:p>
        </w:tc>
        <w:tc>
          <w:tcPr>
            <w:tcW w:w="900" w:type="dxa"/>
          </w:tcPr>
          <w:p w14:paraId="5E59B0C2"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72,8</w:t>
            </w:r>
          </w:p>
        </w:tc>
        <w:tc>
          <w:tcPr>
            <w:tcW w:w="450" w:type="dxa"/>
          </w:tcPr>
          <w:p w14:paraId="31DEFE1C"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6</w:t>
            </w:r>
          </w:p>
        </w:tc>
        <w:tc>
          <w:tcPr>
            <w:tcW w:w="719" w:type="dxa"/>
          </w:tcPr>
          <w:p w14:paraId="52C746C5" w14:textId="54633FF4" w:rsidR="005F325C" w:rsidRPr="00EC5A7B" w:rsidRDefault="00BD7353"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72,84</w:t>
            </w:r>
          </w:p>
        </w:tc>
      </w:tr>
      <w:tr w:rsidR="00AA1AB4" w:rsidRPr="00EC5A7B" w14:paraId="1A9C3328" w14:textId="77777777" w:rsidTr="005F325C">
        <w:tc>
          <w:tcPr>
            <w:tcW w:w="1885" w:type="dxa"/>
          </w:tcPr>
          <w:p w14:paraId="1DDB1CA2" w14:textId="62C3E31B" w:rsidR="005F325C" w:rsidRPr="00EC5A7B" w:rsidRDefault="003A3F9C" w:rsidP="003A3F9C">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Отсутствуют в Государственном регистре предприятий и организаций</w:t>
            </w:r>
          </w:p>
        </w:tc>
        <w:tc>
          <w:tcPr>
            <w:tcW w:w="450" w:type="dxa"/>
          </w:tcPr>
          <w:p w14:paraId="79E62F3E"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810" w:type="dxa"/>
          </w:tcPr>
          <w:p w14:paraId="0EAF46CD"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w:t>
            </w:r>
          </w:p>
        </w:tc>
        <w:tc>
          <w:tcPr>
            <w:tcW w:w="450" w:type="dxa"/>
          </w:tcPr>
          <w:p w14:paraId="753BE1E3"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719" w:type="dxa"/>
          </w:tcPr>
          <w:p w14:paraId="1555C33E"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w:t>
            </w:r>
          </w:p>
        </w:tc>
        <w:tc>
          <w:tcPr>
            <w:tcW w:w="451" w:type="dxa"/>
          </w:tcPr>
          <w:p w14:paraId="162FEC14"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810" w:type="dxa"/>
          </w:tcPr>
          <w:p w14:paraId="47808AD7"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w:t>
            </w:r>
          </w:p>
        </w:tc>
        <w:tc>
          <w:tcPr>
            <w:tcW w:w="450" w:type="dxa"/>
          </w:tcPr>
          <w:p w14:paraId="295B3033"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810" w:type="dxa"/>
          </w:tcPr>
          <w:p w14:paraId="2A54E30E"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w:t>
            </w:r>
          </w:p>
        </w:tc>
        <w:tc>
          <w:tcPr>
            <w:tcW w:w="450" w:type="dxa"/>
          </w:tcPr>
          <w:p w14:paraId="1597515A"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900" w:type="dxa"/>
          </w:tcPr>
          <w:p w14:paraId="6918A530"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w:t>
            </w:r>
          </w:p>
        </w:tc>
        <w:tc>
          <w:tcPr>
            <w:tcW w:w="450" w:type="dxa"/>
          </w:tcPr>
          <w:p w14:paraId="718604D1" w14:textId="77777777" w:rsidR="005F325C" w:rsidRPr="00EC5A7B" w:rsidRDefault="00805570"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w:t>
            </w:r>
          </w:p>
        </w:tc>
        <w:tc>
          <w:tcPr>
            <w:tcW w:w="719" w:type="dxa"/>
          </w:tcPr>
          <w:p w14:paraId="3D73B2B9" w14:textId="33952184" w:rsidR="005F325C" w:rsidRPr="00EC5A7B" w:rsidRDefault="00BD7353"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9,84</w:t>
            </w:r>
          </w:p>
        </w:tc>
      </w:tr>
      <w:tr w:rsidR="00AA1AB4" w:rsidRPr="00EC5A7B" w14:paraId="79E13556" w14:textId="77777777" w:rsidTr="00805570">
        <w:tc>
          <w:tcPr>
            <w:tcW w:w="1885" w:type="dxa"/>
            <w:shd w:val="clear" w:color="auto" w:fill="DEEAF6" w:themeFill="accent1" w:themeFillTint="33"/>
          </w:tcPr>
          <w:p w14:paraId="75635819" w14:textId="5D067C98" w:rsidR="005F325C" w:rsidRPr="00EC5A7B" w:rsidRDefault="003A3F9C" w:rsidP="00805570">
            <w:pPr>
              <w:jc w:val="both"/>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450" w:type="dxa"/>
            <w:shd w:val="clear" w:color="auto" w:fill="DEEAF6" w:themeFill="accent1" w:themeFillTint="33"/>
          </w:tcPr>
          <w:p w14:paraId="7F37BDBA"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55</w:t>
            </w:r>
          </w:p>
        </w:tc>
        <w:tc>
          <w:tcPr>
            <w:tcW w:w="810" w:type="dxa"/>
            <w:shd w:val="clear" w:color="auto" w:fill="DEEAF6" w:themeFill="accent1" w:themeFillTint="33"/>
          </w:tcPr>
          <w:p w14:paraId="18767226"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1 493,2</w:t>
            </w:r>
          </w:p>
        </w:tc>
        <w:tc>
          <w:tcPr>
            <w:tcW w:w="450" w:type="dxa"/>
            <w:shd w:val="clear" w:color="auto" w:fill="DEEAF6" w:themeFill="accent1" w:themeFillTint="33"/>
          </w:tcPr>
          <w:p w14:paraId="1305CCBC"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32</w:t>
            </w:r>
          </w:p>
        </w:tc>
        <w:tc>
          <w:tcPr>
            <w:tcW w:w="719" w:type="dxa"/>
            <w:shd w:val="clear" w:color="auto" w:fill="DEEAF6" w:themeFill="accent1" w:themeFillTint="33"/>
          </w:tcPr>
          <w:p w14:paraId="608C1339"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297,9</w:t>
            </w:r>
          </w:p>
        </w:tc>
        <w:tc>
          <w:tcPr>
            <w:tcW w:w="451" w:type="dxa"/>
            <w:shd w:val="clear" w:color="auto" w:fill="DEEAF6" w:themeFill="accent1" w:themeFillTint="33"/>
          </w:tcPr>
          <w:p w14:paraId="78CA641F"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50</w:t>
            </w:r>
          </w:p>
        </w:tc>
        <w:tc>
          <w:tcPr>
            <w:tcW w:w="810" w:type="dxa"/>
            <w:shd w:val="clear" w:color="auto" w:fill="DEEAF6" w:themeFill="accent1" w:themeFillTint="33"/>
          </w:tcPr>
          <w:p w14:paraId="076FE11E"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1 746,5</w:t>
            </w:r>
          </w:p>
        </w:tc>
        <w:tc>
          <w:tcPr>
            <w:tcW w:w="450" w:type="dxa"/>
            <w:shd w:val="clear" w:color="auto" w:fill="DEEAF6" w:themeFill="accent1" w:themeFillTint="33"/>
          </w:tcPr>
          <w:p w14:paraId="6A1BE615"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33</w:t>
            </w:r>
          </w:p>
        </w:tc>
        <w:tc>
          <w:tcPr>
            <w:tcW w:w="810" w:type="dxa"/>
            <w:shd w:val="clear" w:color="auto" w:fill="DEEAF6" w:themeFill="accent1" w:themeFillTint="33"/>
          </w:tcPr>
          <w:p w14:paraId="4B569795"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264,2</w:t>
            </w:r>
          </w:p>
        </w:tc>
        <w:tc>
          <w:tcPr>
            <w:tcW w:w="450" w:type="dxa"/>
            <w:shd w:val="clear" w:color="auto" w:fill="DEEAF6" w:themeFill="accent1" w:themeFillTint="33"/>
          </w:tcPr>
          <w:p w14:paraId="540214CE"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47</w:t>
            </w:r>
          </w:p>
        </w:tc>
        <w:tc>
          <w:tcPr>
            <w:tcW w:w="900" w:type="dxa"/>
            <w:shd w:val="clear" w:color="auto" w:fill="DEEAF6" w:themeFill="accent1" w:themeFillTint="33"/>
          </w:tcPr>
          <w:p w14:paraId="6EE50F54" w14:textId="77777777" w:rsidR="005F325C" w:rsidRPr="00EC5A7B" w:rsidRDefault="00805570"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1 840,7</w:t>
            </w:r>
          </w:p>
        </w:tc>
        <w:tc>
          <w:tcPr>
            <w:tcW w:w="450" w:type="dxa"/>
            <w:shd w:val="clear" w:color="auto" w:fill="DEEAF6" w:themeFill="accent1" w:themeFillTint="33"/>
          </w:tcPr>
          <w:p w14:paraId="648A0A51" w14:textId="77777777" w:rsidR="005F325C" w:rsidRPr="00EC5A7B" w:rsidRDefault="00F2427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3</w:t>
            </w:r>
            <w:r w:rsidR="00805570" w:rsidRPr="00EC5A7B">
              <w:rPr>
                <w:rFonts w:asciiTheme="majorHAnsi" w:eastAsia="Times New Roman" w:hAnsiTheme="majorHAnsi" w:cstheme="majorHAnsi"/>
                <w:b/>
                <w:sz w:val="18"/>
                <w:szCs w:val="18"/>
                <w:lang w:val="ru-MD" w:eastAsia="ro-RO"/>
              </w:rPr>
              <w:t>2</w:t>
            </w:r>
          </w:p>
        </w:tc>
        <w:tc>
          <w:tcPr>
            <w:tcW w:w="719" w:type="dxa"/>
            <w:shd w:val="clear" w:color="auto" w:fill="DEEAF6" w:themeFill="accent1" w:themeFillTint="33"/>
          </w:tcPr>
          <w:p w14:paraId="1EBAA88F" w14:textId="525BE83D" w:rsidR="005F325C" w:rsidRPr="00EC5A7B" w:rsidRDefault="00986F3D"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262,02</w:t>
            </w:r>
            <w:r w:rsidR="00BD7353" w:rsidRPr="00EC5A7B">
              <w:rPr>
                <w:rFonts w:asciiTheme="majorHAnsi" w:eastAsia="Times New Roman" w:hAnsiTheme="majorHAnsi" w:cstheme="majorHAnsi"/>
                <w:b/>
                <w:sz w:val="18"/>
                <w:szCs w:val="18"/>
                <w:lang w:val="ru-MD" w:eastAsia="ro-RO"/>
              </w:rPr>
              <w:t>*</w:t>
            </w:r>
          </w:p>
        </w:tc>
      </w:tr>
      <w:tr w:rsidR="00805570" w:rsidRPr="00EC5A7B" w14:paraId="4A425125" w14:textId="77777777" w:rsidTr="00805570">
        <w:tc>
          <w:tcPr>
            <w:tcW w:w="9354" w:type="dxa"/>
            <w:gridSpan w:val="13"/>
            <w:shd w:val="clear" w:color="auto" w:fill="EDEDED" w:themeFill="accent3" w:themeFillTint="33"/>
          </w:tcPr>
          <w:p w14:paraId="4FC817B5" w14:textId="0D5E811A" w:rsidR="00805570" w:rsidRPr="00EC5A7B" w:rsidRDefault="003A3F9C" w:rsidP="005F325C">
            <w:pPr>
              <w:jc w:val="center"/>
              <w:rPr>
                <w:rFonts w:asciiTheme="majorHAnsi" w:eastAsia="Times New Roman" w:hAnsiTheme="majorHAnsi" w:cstheme="majorHAnsi"/>
                <w:b/>
                <w:sz w:val="18"/>
                <w:szCs w:val="18"/>
                <w:lang w:val="ru-MD" w:eastAsia="ro-RO"/>
              </w:rPr>
            </w:pPr>
            <w:r w:rsidRPr="00EC5A7B">
              <w:rPr>
                <w:rFonts w:asciiTheme="majorHAnsi" w:hAnsiTheme="majorHAnsi"/>
                <w:b/>
                <w:sz w:val="20"/>
                <w:lang w:val="ru-MD"/>
              </w:rPr>
              <w:t xml:space="preserve">Местные публичные органы  </w:t>
            </w:r>
          </w:p>
        </w:tc>
      </w:tr>
      <w:tr w:rsidR="00AA1AB4" w:rsidRPr="00EC5A7B" w14:paraId="12F28FD9" w14:textId="77777777" w:rsidTr="005F325C">
        <w:tc>
          <w:tcPr>
            <w:tcW w:w="1885" w:type="dxa"/>
          </w:tcPr>
          <w:p w14:paraId="6D2FE2D6" w14:textId="085BB24D" w:rsidR="005F325C" w:rsidRPr="00EC5A7B" w:rsidRDefault="003A3F9C" w:rsidP="00805570">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МПО</w:t>
            </w:r>
          </w:p>
        </w:tc>
        <w:tc>
          <w:tcPr>
            <w:tcW w:w="450" w:type="dxa"/>
          </w:tcPr>
          <w:p w14:paraId="611E293F"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24</w:t>
            </w:r>
          </w:p>
        </w:tc>
        <w:tc>
          <w:tcPr>
            <w:tcW w:w="810" w:type="dxa"/>
          </w:tcPr>
          <w:p w14:paraId="5D213951" w14:textId="77777777" w:rsidR="005F325C" w:rsidRPr="00EC5A7B" w:rsidRDefault="00C361CE"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718,2</w:t>
            </w:r>
          </w:p>
        </w:tc>
        <w:tc>
          <w:tcPr>
            <w:tcW w:w="450" w:type="dxa"/>
          </w:tcPr>
          <w:p w14:paraId="5EA0B3B0"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10</w:t>
            </w:r>
          </w:p>
        </w:tc>
        <w:tc>
          <w:tcPr>
            <w:tcW w:w="719" w:type="dxa"/>
          </w:tcPr>
          <w:p w14:paraId="561A49EB"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13,4</w:t>
            </w:r>
          </w:p>
        </w:tc>
        <w:tc>
          <w:tcPr>
            <w:tcW w:w="451" w:type="dxa"/>
          </w:tcPr>
          <w:p w14:paraId="49929430"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26</w:t>
            </w:r>
          </w:p>
        </w:tc>
        <w:tc>
          <w:tcPr>
            <w:tcW w:w="810" w:type="dxa"/>
          </w:tcPr>
          <w:p w14:paraId="174BCAC9" w14:textId="77777777" w:rsidR="005F325C" w:rsidRPr="00EC5A7B" w:rsidRDefault="0067089A"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684,0</w:t>
            </w:r>
          </w:p>
        </w:tc>
        <w:tc>
          <w:tcPr>
            <w:tcW w:w="450" w:type="dxa"/>
          </w:tcPr>
          <w:p w14:paraId="51AF3039"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6</w:t>
            </w:r>
          </w:p>
        </w:tc>
        <w:tc>
          <w:tcPr>
            <w:tcW w:w="810" w:type="dxa"/>
          </w:tcPr>
          <w:p w14:paraId="48D9E52E"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0,03</w:t>
            </w:r>
          </w:p>
        </w:tc>
        <w:tc>
          <w:tcPr>
            <w:tcW w:w="450" w:type="dxa"/>
          </w:tcPr>
          <w:p w14:paraId="6A39F3D2"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27</w:t>
            </w:r>
          </w:p>
        </w:tc>
        <w:tc>
          <w:tcPr>
            <w:tcW w:w="900" w:type="dxa"/>
          </w:tcPr>
          <w:p w14:paraId="4C4B9E86"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673,3</w:t>
            </w:r>
          </w:p>
        </w:tc>
        <w:tc>
          <w:tcPr>
            <w:tcW w:w="450" w:type="dxa"/>
          </w:tcPr>
          <w:p w14:paraId="0C0D4F5A"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11</w:t>
            </w:r>
          </w:p>
        </w:tc>
        <w:tc>
          <w:tcPr>
            <w:tcW w:w="719" w:type="dxa"/>
          </w:tcPr>
          <w:p w14:paraId="75A9ECE9" w14:textId="77777777" w:rsidR="005F325C" w:rsidRPr="00EC5A7B" w:rsidRDefault="003174A1"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4,4</w:t>
            </w:r>
          </w:p>
        </w:tc>
      </w:tr>
      <w:tr w:rsidR="00AA1AB4" w:rsidRPr="00EC5A7B" w14:paraId="3D8C48BE" w14:textId="77777777" w:rsidTr="00805570">
        <w:tc>
          <w:tcPr>
            <w:tcW w:w="1885" w:type="dxa"/>
            <w:shd w:val="clear" w:color="auto" w:fill="DEEAF6" w:themeFill="accent1" w:themeFillTint="33"/>
          </w:tcPr>
          <w:p w14:paraId="7E852C34" w14:textId="570CF15D" w:rsidR="005F325C" w:rsidRPr="00EC5A7B" w:rsidRDefault="003A3F9C" w:rsidP="00805570">
            <w:pPr>
              <w:jc w:val="both"/>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450" w:type="dxa"/>
            <w:shd w:val="clear" w:color="auto" w:fill="DEEAF6" w:themeFill="accent1" w:themeFillTint="33"/>
          </w:tcPr>
          <w:p w14:paraId="55FDC5D1"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24</w:t>
            </w:r>
          </w:p>
        </w:tc>
        <w:tc>
          <w:tcPr>
            <w:tcW w:w="810" w:type="dxa"/>
            <w:shd w:val="clear" w:color="auto" w:fill="DEEAF6" w:themeFill="accent1" w:themeFillTint="33"/>
          </w:tcPr>
          <w:p w14:paraId="039AD7BE"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718,2</w:t>
            </w:r>
          </w:p>
        </w:tc>
        <w:tc>
          <w:tcPr>
            <w:tcW w:w="450" w:type="dxa"/>
            <w:shd w:val="clear" w:color="auto" w:fill="DEEAF6" w:themeFill="accent1" w:themeFillTint="33"/>
          </w:tcPr>
          <w:p w14:paraId="66534E51"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10</w:t>
            </w:r>
          </w:p>
        </w:tc>
        <w:tc>
          <w:tcPr>
            <w:tcW w:w="719" w:type="dxa"/>
            <w:shd w:val="clear" w:color="auto" w:fill="DEEAF6" w:themeFill="accent1" w:themeFillTint="33"/>
          </w:tcPr>
          <w:p w14:paraId="24F05F68"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13,4</w:t>
            </w:r>
          </w:p>
        </w:tc>
        <w:tc>
          <w:tcPr>
            <w:tcW w:w="451" w:type="dxa"/>
            <w:shd w:val="clear" w:color="auto" w:fill="DEEAF6" w:themeFill="accent1" w:themeFillTint="33"/>
          </w:tcPr>
          <w:p w14:paraId="3488D46D"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26</w:t>
            </w:r>
          </w:p>
        </w:tc>
        <w:tc>
          <w:tcPr>
            <w:tcW w:w="810" w:type="dxa"/>
            <w:shd w:val="clear" w:color="auto" w:fill="DEEAF6" w:themeFill="accent1" w:themeFillTint="33"/>
          </w:tcPr>
          <w:p w14:paraId="004A238E" w14:textId="77777777" w:rsidR="005F325C" w:rsidRPr="00EC5A7B" w:rsidRDefault="0067089A"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684,0</w:t>
            </w:r>
          </w:p>
        </w:tc>
        <w:tc>
          <w:tcPr>
            <w:tcW w:w="450" w:type="dxa"/>
            <w:shd w:val="clear" w:color="auto" w:fill="DEEAF6" w:themeFill="accent1" w:themeFillTint="33"/>
          </w:tcPr>
          <w:p w14:paraId="3742BCC7"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6</w:t>
            </w:r>
          </w:p>
        </w:tc>
        <w:tc>
          <w:tcPr>
            <w:tcW w:w="810" w:type="dxa"/>
            <w:shd w:val="clear" w:color="auto" w:fill="DEEAF6" w:themeFill="accent1" w:themeFillTint="33"/>
          </w:tcPr>
          <w:p w14:paraId="1650EEFF"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0,03</w:t>
            </w:r>
          </w:p>
        </w:tc>
        <w:tc>
          <w:tcPr>
            <w:tcW w:w="450" w:type="dxa"/>
            <w:shd w:val="clear" w:color="auto" w:fill="DEEAF6" w:themeFill="accent1" w:themeFillTint="33"/>
          </w:tcPr>
          <w:p w14:paraId="39ED6030"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27</w:t>
            </w:r>
          </w:p>
        </w:tc>
        <w:tc>
          <w:tcPr>
            <w:tcW w:w="900" w:type="dxa"/>
            <w:shd w:val="clear" w:color="auto" w:fill="DEEAF6" w:themeFill="accent1" w:themeFillTint="33"/>
          </w:tcPr>
          <w:p w14:paraId="628FEA13"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673,3</w:t>
            </w:r>
          </w:p>
        </w:tc>
        <w:tc>
          <w:tcPr>
            <w:tcW w:w="450" w:type="dxa"/>
            <w:shd w:val="clear" w:color="auto" w:fill="DEEAF6" w:themeFill="accent1" w:themeFillTint="33"/>
          </w:tcPr>
          <w:p w14:paraId="4613D689"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11</w:t>
            </w:r>
          </w:p>
        </w:tc>
        <w:tc>
          <w:tcPr>
            <w:tcW w:w="719" w:type="dxa"/>
            <w:shd w:val="clear" w:color="auto" w:fill="DEEAF6" w:themeFill="accent1" w:themeFillTint="33"/>
          </w:tcPr>
          <w:p w14:paraId="021A1460" w14:textId="77777777" w:rsidR="005F325C" w:rsidRPr="00EC5A7B" w:rsidRDefault="003174A1"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4,4</w:t>
            </w:r>
          </w:p>
        </w:tc>
      </w:tr>
      <w:tr w:rsidR="00805570" w:rsidRPr="00EC5A7B" w14:paraId="383ED23C" w14:textId="77777777" w:rsidTr="00805570">
        <w:tc>
          <w:tcPr>
            <w:tcW w:w="9354" w:type="dxa"/>
            <w:gridSpan w:val="13"/>
            <w:shd w:val="clear" w:color="auto" w:fill="EDEDED" w:themeFill="accent3" w:themeFillTint="33"/>
          </w:tcPr>
          <w:p w14:paraId="49CF7EC3" w14:textId="59E5D39E" w:rsidR="00805570" w:rsidRPr="00EC5A7B" w:rsidRDefault="003A3F9C" w:rsidP="005F325C">
            <w:pPr>
              <w:jc w:val="center"/>
              <w:rPr>
                <w:rFonts w:asciiTheme="majorHAnsi" w:eastAsia="Times New Roman" w:hAnsiTheme="majorHAnsi" w:cstheme="majorHAnsi"/>
                <w:b/>
                <w:sz w:val="18"/>
                <w:szCs w:val="18"/>
                <w:lang w:val="ru-MD" w:eastAsia="ro-RO"/>
              </w:rPr>
            </w:pPr>
            <w:r w:rsidRPr="00EC5A7B">
              <w:rPr>
                <w:rFonts w:asciiTheme="majorHAnsi" w:hAnsiTheme="majorHAnsi"/>
                <w:b/>
                <w:sz w:val="20"/>
                <w:lang w:val="ru-MD"/>
              </w:rPr>
              <w:t>Участвующие финансовые учреждения</w:t>
            </w:r>
          </w:p>
        </w:tc>
      </w:tr>
      <w:tr w:rsidR="00AA1AB4" w:rsidRPr="00EC5A7B" w14:paraId="01FFFD72" w14:textId="77777777" w:rsidTr="005F325C">
        <w:tc>
          <w:tcPr>
            <w:tcW w:w="1885" w:type="dxa"/>
          </w:tcPr>
          <w:p w14:paraId="5D142801" w14:textId="79F1D0F5" w:rsidR="005F325C" w:rsidRPr="00EC5A7B" w:rsidRDefault="003A3F9C" w:rsidP="00805570">
            <w:pPr>
              <w:jc w:val="both"/>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УФУ</w:t>
            </w:r>
          </w:p>
        </w:tc>
        <w:tc>
          <w:tcPr>
            <w:tcW w:w="450" w:type="dxa"/>
          </w:tcPr>
          <w:p w14:paraId="694F90E4"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w:t>
            </w:r>
          </w:p>
        </w:tc>
        <w:tc>
          <w:tcPr>
            <w:tcW w:w="810" w:type="dxa"/>
          </w:tcPr>
          <w:p w14:paraId="2C767590" w14:textId="77777777" w:rsidR="005F325C" w:rsidRPr="00EC5A7B" w:rsidRDefault="00C361CE"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2 464,8</w:t>
            </w:r>
          </w:p>
        </w:tc>
        <w:tc>
          <w:tcPr>
            <w:tcW w:w="450" w:type="dxa"/>
          </w:tcPr>
          <w:p w14:paraId="5788DD05"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w:t>
            </w:r>
          </w:p>
        </w:tc>
        <w:tc>
          <w:tcPr>
            <w:tcW w:w="719" w:type="dxa"/>
          </w:tcPr>
          <w:p w14:paraId="3893DC23"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1,4</w:t>
            </w:r>
          </w:p>
        </w:tc>
        <w:tc>
          <w:tcPr>
            <w:tcW w:w="451" w:type="dxa"/>
          </w:tcPr>
          <w:p w14:paraId="1B7103F5"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13</w:t>
            </w:r>
          </w:p>
        </w:tc>
        <w:tc>
          <w:tcPr>
            <w:tcW w:w="810" w:type="dxa"/>
          </w:tcPr>
          <w:p w14:paraId="59B18E4B"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1 990,3</w:t>
            </w:r>
          </w:p>
        </w:tc>
        <w:tc>
          <w:tcPr>
            <w:tcW w:w="450" w:type="dxa"/>
          </w:tcPr>
          <w:p w14:paraId="0BACA73F"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w:t>
            </w:r>
          </w:p>
        </w:tc>
        <w:tc>
          <w:tcPr>
            <w:tcW w:w="810" w:type="dxa"/>
          </w:tcPr>
          <w:p w14:paraId="7998C0C0"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1,4</w:t>
            </w:r>
          </w:p>
        </w:tc>
        <w:tc>
          <w:tcPr>
            <w:tcW w:w="450" w:type="dxa"/>
          </w:tcPr>
          <w:p w14:paraId="74276DAC"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15</w:t>
            </w:r>
          </w:p>
        </w:tc>
        <w:tc>
          <w:tcPr>
            <w:tcW w:w="900" w:type="dxa"/>
          </w:tcPr>
          <w:p w14:paraId="27A75D4A"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2 048,6</w:t>
            </w:r>
          </w:p>
        </w:tc>
        <w:tc>
          <w:tcPr>
            <w:tcW w:w="450" w:type="dxa"/>
          </w:tcPr>
          <w:p w14:paraId="5AB2B8D2"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w:t>
            </w:r>
          </w:p>
        </w:tc>
        <w:tc>
          <w:tcPr>
            <w:tcW w:w="719" w:type="dxa"/>
          </w:tcPr>
          <w:p w14:paraId="1569416F" w14:textId="77777777" w:rsidR="005F325C" w:rsidRPr="00EC5A7B" w:rsidRDefault="00B43EF2" w:rsidP="005F325C">
            <w:pPr>
              <w:jc w:val="center"/>
              <w:rPr>
                <w:rFonts w:asciiTheme="majorHAnsi" w:eastAsia="Times New Roman" w:hAnsiTheme="majorHAnsi" w:cstheme="majorHAnsi"/>
                <w:sz w:val="18"/>
                <w:szCs w:val="18"/>
                <w:lang w:val="ru-MD" w:eastAsia="ro-RO"/>
              </w:rPr>
            </w:pPr>
            <w:r w:rsidRPr="00EC5A7B">
              <w:rPr>
                <w:rFonts w:asciiTheme="majorHAnsi" w:eastAsia="Times New Roman" w:hAnsiTheme="majorHAnsi" w:cstheme="majorHAnsi"/>
                <w:sz w:val="18"/>
                <w:szCs w:val="18"/>
                <w:lang w:val="ru-MD" w:eastAsia="ro-RO"/>
              </w:rPr>
              <w:t>1,44</w:t>
            </w:r>
          </w:p>
        </w:tc>
      </w:tr>
      <w:tr w:rsidR="00AA1AB4" w:rsidRPr="00EC5A7B" w14:paraId="626174E6" w14:textId="77777777" w:rsidTr="00805570">
        <w:tc>
          <w:tcPr>
            <w:tcW w:w="1885" w:type="dxa"/>
            <w:shd w:val="clear" w:color="auto" w:fill="DEEAF6" w:themeFill="accent1" w:themeFillTint="33"/>
          </w:tcPr>
          <w:p w14:paraId="54AAA1C7" w14:textId="4505D062" w:rsidR="005F325C" w:rsidRPr="00EC5A7B" w:rsidRDefault="003A3F9C" w:rsidP="00805570">
            <w:pPr>
              <w:jc w:val="both"/>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Всего</w:t>
            </w:r>
          </w:p>
        </w:tc>
        <w:tc>
          <w:tcPr>
            <w:tcW w:w="450" w:type="dxa"/>
            <w:shd w:val="clear" w:color="auto" w:fill="DEEAF6" w:themeFill="accent1" w:themeFillTint="33"/>
          </w:tcPr>
          <w:p w14:paraId="310D454F"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13</w:t>
            </w:r>
          </w:p>
        </w:tc>
        <w:tc>
          <w:tcPr>
            <w:tcW w:w="810" w:type="dxa"/>
            <w:shd w:val="clear" w:color="auto" w:fill="DEEAF6" w:themeFill="accent1" w:themeFillTint="33"/>
          </w:tcPr>
          <w:p w14:paraId="6528B566"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2 464,8</w:t>
            </w:r>
          </w:p>
        </w:tc>
        <w:tc>
          <w:tcPr>
            <w:tcW w:w="450" w:type="dxa"/>
            <w:shd w:val="clear" w:color="auto" w:fill="DEEAF6" w:themeFill="accent1" w:themeFillTint="33"/>
          </w:tcPr>
          <w:p w14:paraId="65C3F1C1"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w:t>
            </w:r>
          </w:p>
        </w:tc>
        <w:tc>
          <w:tcPr>
            <w:tcW w:w="719" w:type="dxa"/>
            <w:shd w:val="clear" w:color="auto" w:fill="DEEAF6" w:themeFill="accent1" w:themeFillTint="33"/>
          </w:tcPr>
          <w:p w14:paraId="291E61F1"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1,4</w:t>
            </w:r>
          </w:p>
        </w:tc>
        <w:tc>
          <w:tcPr>
            <w:tcW w:w="451" w:type="dxa"/>
            <w:shd w:val="clear" w:color="auto" w:fill="DEEAF6" w:themeFill="accent1" w:themeFillTint="33"/>
          </w:tcPr>
          <w:p w14:paraId="0DA01273"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13</w:t>
            </w:r>
          </w:p>
        </w:tc>
        <w:tc>
          <w:tcPr>
            <w:tcW w:w="810" w:type="dxa"/>
            <w:shd w:val="clear" w:color="auto" w:fill="DEEAF6" w:themeFill="accent1" w:themeFillTint="33"/>
          </w:tcPr>
          <w:p w14:paraId="50F08C95"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1 990,3</w:t>
            </w:r>
          </w:p>
        </w:tc>
        <w:tc>
          <w:tcPr>
            <w:tcW w:w="450" w:type="dxa"/>
            <w:shd w:val="clear" w:color="auto" w:fill="DEEAF6" w:themeFill="accent1" w:themeFillTint="33"/>
          </w:tcPr>
          <w:p w14:paraId="374E22EB"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w:t>
            </w:r>
          </w:p>
        </w:tc>
        <w:tc>
          <w:tcPr>
            <w:tcW w:w="810" w:type="dxa"/>
            <w:shd w:val="clear" w:color="auto" w:fill="DEEAF6" w:themeFill="accent1" w:themeFillTint="33"/>
          </w:tcPr>
          <w:p w14:paraId="4B9E75B3"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1,4</w:t>
            </w:r>
          </w:p>
        </w:tc>
        <w:tc>
          <w:tcPr>
            <w:tcW w:w="450" w:type="dxa"/>
            <w:shd w:val="clear" w:color="auto" w:fill="DEEAF6" w:themeFill="accent1" w:themeFillTint="33"/>
          </w:tcPr>
          <w:p w14:paraId="19163630"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15</w:t>
            </w:r>
          </w:p>
        </w:tc>
        <w:tc>
          <w:tcPr>
            <w:tcW w:w="900" w:type="dxa"/>
            <w:shd w:val="clear" w:color="auto" w:fill="DEEAF6" w:themeFill="accent1" w:themeFillTint="33"/>
          </w:tcPr>
          <w:p w14:paraId="042980F8"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2 048,6</w:t>
            </w:r>
          </w:p>
        </w:tc>
        <w:tc>
          <w:tcPr>
            <w:tcW w:w="450" w:type="dxa"/>
            <w:shd w:val="clear" w:color="auto" w:fill="DEEAF6" w:themeFill="accent1" w:themeFillTint="33"/>
          </w:tcPr>
          <w:p w14:paraId="4745600B"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w:t>
            </w:r>
          </w:p>
        </w:tc>
        <w:tc>
          <w:tcPr>
            <w:tcW w:w="719" w:type="dxa"/>
            <w:shd w:val="clear" w:color="auto" w:fill="DEEAF6" w:themeFill="accent1" w:themeFillTint="33"/>
          </w:tcPr>
          <w:p w14:paraId="4B825771"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1,44</w:t>
            </w:r>
          </w:p>
        </w:tc>
      </w:tr>
      <w:tr w:rsidR="00AA1AB4" w:rsidRPr="00EC5A7B" w14:paraId="2B2EC04D" w14:textId="77777777" w:rsidTr="00805570">
        <w:tc>
          <w:tcPr>
            <w:tcW w:w="1885" w:type="dxa"/>
            <w:shd w:val="clear" w:color="auto" w:fill="DEEAF6" w:themeFill="accent1" w:themeFillTint="33"/>
          </w:tcPr>
          <w:p w14:paraId="4FCE7624" w14:textId="0A44CC00" w:rsidR="005F325C" w:rsidRPr="00EC5A7B" w:rsidRDefault="003A3F9C" w:rsidP="00805570">
            <w:pPr>
              <w:jc w:val="both"/>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Общий итог</w:t>
            </w:r>
          </w:p>
        </w:tc>
        <w:tc>
          <w:tcPr>
            <w:tcW w:w="450" w:type="dxa"/>
            <w:shd w:val="clear" w:color="auto" w:fill="DEEAF6" w:themeFill="accent1" w:themeFillTint="33"/>
          </w:tcPr>
          <w:p w14:paraId="3E973412"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90</w:t>
            </w:r>
          </w:p>
        </w:tc>
        <w:tc>
          <w:tcPr>
            <w:tcW w:w="810" w:type="dxa"/>
            <w:shd w:val="clear" w:color="auto" w:fill="DEEAF6" w:themeFill="accent1" w:themeFillTint="33"/>
          </w:tcPr>
          <w:p w14:paraId="49B56D15"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4 676,2</w:t>
            </w:r>
          </w:p>
        </w:tc>
        <w:tc>
          <w:tcPr>
            <w:tcW w:w="450" w:type="dxa"/>
            <w:shd w:val="clear" w:color="auto" w:fill="DEEAF6" w:themeFill="accent1" w:themeFillTint="33"/>
          </w:tcPr>
          <w:p w14:paraId="5026909A"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43</w:t>
            </w:r>
          </w:p>
        </w:tc>
        <w:tc>
          <w:tcPr>
            <w:tcW w:w="719" w:type="dxa"/>
            <w:shd w:val="clear" w:color="auto" w:fill="DEEAF6" w:themeFill="accent1" w:themeFillTint="33"/>
          </w:tcPr>
          <w:p w14:paraId="728632D8" w14:textId="77777777" w:rsidR="005F325C" w:rsidRPr="00EC5A7B" w:rsidRDefault="00C361C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312,7</w:t>
            </w:r>
          </w:p>
        </w:tc>
        <w:tc>
          <w:tcPr>
            <w:tcW w:w="451" w:type="dxa"/>
            <w:shd w:val="clear" w:color="auto" w:fill="DEEAF6" w:themeFill="accent1" w:themeFillTint="33"/>
          </w:tcPr>
          <w:p w14:paraId="21596C93"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89</w:t>
            </w:r>
          </w:p>
        </w:tc>
        <w:tc>
          <w:tcPr>
            <w:tcW w:w="810" w:type="dxa"/>
            <w:shd w:val="clear" w:color="auto" w:fill="DEEAF6" w:themeFill="accent1" w:themeFillTint="33"/>
          </w:tcPr>
          <w:p w14:paraId="7EA710A6" w14:textId="77777777" w:rsidR="005F325C" w:rsidRPr="00EC5A7B" w:rsidRDefault="0067089A"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4 420,8</w:t>
            </w:r>
          </w:p>
        </w:tc>
        <w:tc>
          <w:tcPr>
            <w:tcW w:w="450" w:type="dxa"/>
            <w:shd w:val="clear" w:color="auto" w:fill="DEEAF6" w:themeFill="accent1" w:themeFillTint="33"/>
          </w:tcPr>
          <w:p w14:paraId="6A36BAEB"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40</w:t>
            </w:r>
          </w:p>
        </w:tc>
        <w:tc>
          <w:tcPr>
            <w:tcW w:w="810" w:type="dxa"/>
            <w:shd w:val="clear" w:color="auto" w:fill="DEEAF6" w:themeFill="accent1" w:themeFillTint="33"/>
          </w:tcPr>
          <w:p w14:paraId="50ADCB12"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265,7</w:t>
            </w:r>
          </w:p>
        </w:tc>
        <w:tc>
          <w:tcPr>
            <w:tcW w:w="450" w:type="dxa"/>
            <w:shd w:val="clear" w:color="auto" w:fill="DEEAF6" w:themeFill="accent1" w:themeFillTint="33"/>
          </w:tcPr>
          <w:p w14:paraId="36545B7D"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89</w:t>
            </w:r>
          </w:p>
        </w:tc>
        <w:tc>
          <w:tcPr>
            <w:tcW w:w="900" w:type="dxa"/>
            <w:shd w:val="clear" w:color="auto" w:fill="DEEAF6" w:themeFill="accent1" w:themeFillTint="33"/>
          </w:tcPr>
          <w:p w14:paraId="5D469E1B" w14:textId="77777777" w:rsidR="005F325C" w:rsidRPr="00EC5A7B" w:rsidRDefault="00B43EF2"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4 562,6</w:t>
            </w:r>
          </w:p>
        </w:tc>
        <w:tc>
          <w:tcPr>
            <w:tcW w:w="450" w:type="dxa"/>
            <w:shd w:val="clear" w:color="auto" w:fill="DEEAF6" w:themeFill="accent1" w:themeFillTint="33"/>
          </w:tcPr>
          <w:p w14:paraId="792C4786" w14:textId="77777777" w:rsidR="005F325C" w:rsidRPr="00EC5A7B" w:rsidRDefault="00F2427E"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4</w:t>
            </w:r>
            <w:r w:rsidR="00B43EF2" w:rsidRPr="00EC5A7B">
              <w:rPr>
                <w:rFonts w:asciiTheme="majorHAnsi" w:eastAsia="Times New Roman" w:hAnsiTheme="majorHAnsi" w:cstheme="majorHAnsi"/>
                <w:b/>
                <w:sz w:val="18"/>
                <w:szCs w:val="18"/>
                <w:lang w:val="ru-MD" w:eastAsia="ro-RO"/>
              </w:rPr>
              <w:t>4</w:t>
            </w:r>
          </w:p>
        </w:tc>
        <w:tc>
          <w:tcPr>
            <w:tcW w:w="719" w:type="dxa"/>
            <w:shd w:val="clear" w:color="auto" w:fill="DEEAF6" w:themeFill="accent1" w:themeFillTint="33"/>
          </w:tcPr>
          <w:p w14:paraId="32C0D817" w14:textId="73B940FA" w:rsidR="005F325C" w:rsidRPr="00EC5A7B" w:rsidRDefault="00986F3D" w:rsidP="005F325C">
            <w:pPr>
              <w:jc w:val="center"/>
              <w:rPr>
                <w:rFonts w:asciiTheme="majorHAnsi" w:eastAsia="Times New Roman" w:hAnsiTheme="majorHAnsi" w:cstheme="majorHAnsi"/>
                <w:b/>
                <w:sz w:val="18"/>
                <w:szCs w:val="18"/>
                <w:lang w:val="ru-MD" w:eastAsia="ro-RO"/>
              </w:rPr>
            </w:pPr>
            <w:r w:rsidRPr="00EC5A7B">
              <w:rPr>
                <w:rFonts w:asciiTheme="majorHAnsi" w:eastAsia="Times New Roman" w:hAnsiTheme="majorHAnsi" w:cstheme="majorHAnsi"/>
                <w:b/>
                <w:sz w:val="18"/>
                <w:szCs w:val="18"/>
                <w:lang w:val="ru-MD" w:eastAsia="ro-RO"/>
              </w:rPr>
              <w:t>267,87</w:t>
            </w:r>
          </w:p>
        </w:tc>
      </w:tr>
    </w:tbl>
    <w:p w14:paraId="3B940A90" w14:textId="23503AC2" w:rsidR="00B43EF2" w:rsidRPr="00EC5A7B" w:rsidRDefault="007B3D00" w:rsidP="00BD7353">
      <w:pPr>
        <w:pStyle w:val="NoSpacing"/>
        <w:jc w:val="both"/>
        <w:rPr>
          <w:rFonts w:asciiTheme="majorHAnsi" w:hAnsiTheme="majorHAnsi" w:cstheme="majorHAnsi"/>
          <w:sz w:val="18"/>
          <w:szCs w:val="18"/>
          <w:lang w:val="ru-MD" w:eastAsia="ru-RU"/>
        </w:rPr>
      </w:pPr>
      <w:r w:rsidRPr="00EC5A7B">
        <w:rPr>
          <w:rFonts w:asciiTheme="majorHAnsi" w:hAnsiTheme="majorHAnsi" w:cstheme="majorHAnsi"/>
          <w:b/>
          <w:i/>
          <w:sz w:val="18"/>
          <w:szCs w:val="18"/>
          <w:lang w:val="ru-MD" w:eastAsia="ru-RU"/>
        </w:rPr>
        <w:t>Источник</w:t>
      </w:r>
      <w:r w:rsidR="00FF7D18" w:rsidRPr="00EC5A7B">
        <w:rPr>
          <w:rFonts w:asciiTheme="majorHAnsi" w:hAnsiTheme="majorHAnsi" w:cstheme="majorHAnsi"/>
          <w:b/>
          <w:i/>
          <w:sz w:val="18"/>
          <w:szCs w:val="18"/>
          <w:lang w:val="ru-MD" w:eastAsia="ru-RU"/>
        </w:rPr>
        <w:t>:</w:t>
      </w:r>
      <w:r w:rsidR="00FF7D18" w:rsidRPr="00EC5A7B">
        <w:rPr>
          <w:rFonts w:asciiTheme="majorHAnsi" w:hAnsiTheme="majorHAnsi" w:cstheme="majorHAnsi"/>
          <w:sz w:val="18"/>
          <w:szCs w:val="18"/>
          <w:lang w:val="ru-MD" w:eastAsia="ru-RU"/>
        </w:rPr>
        <w:t xml:space="preserve"> </w:t>
      </w:r>
      <w:r w:rsidR="00A970BA" w:rsidRPr="00EC5A7B">
        <w:rPr>
          <w:rFonts w:asciiTheme="majorHAnsi" w:hAnsiTheme="majorHAnsi" w:cstheme="majorHAnsi"/>
          <w:sz w:val="20"/>
          <w:szCs w:val="20"/>
          <w:lang w:val="ru-MD"/>
        </w:rPr>
        <w:t xml:space="preserve">Информация по </w:t>
      </w:r>
      <w:r w:rsidR="00A970BA" w:rsidRPr="00EC5A7B">
        <w:rPr>
          <w:rFonts w:asciiTheme="majorHAnsi" w:hAnsiTheme="majorHAnsi" w:cstheme="majorHAnsi"/>
          <w:sz w:val="20"/>
          <w:szCs w:val="20"/>
          <w:lang w:val="ru-MD" w:eastAsia="ru-RU"/>
        </w:rPr>
        <w:t xml:space="preserve">рекредитированным займам посредством МФ, ДКЛ и </w:t>
      </w:r>
      <w:r w:rsidR="00A970BA" w:rsidRPr="00EC5A7B">
        <w:rPr>
          <w:rFonts w:asciiTheme="majorHAnsi" w:hAnsiTheme="majorHAnsi" w:cstheme="majorHAnsi"/>
          <w:sz w:val="18"/>
          <w:szCs w:val="18"/>
          <w:lang w:val="ru-MD" w:eastAsia="ru-RU"/>
        </w:rPr>
        <w:t>UCIP-FIDA</w:t>
      </w:r>
      <w:r w:rsidR="00A970BA" w:rsidRPr="00EC5A7B">
        <w:rPr>
          <w:rFonts w:asciiTheme="majorHAnsi" w:hAnsiTheme="majorHAnsi" w:cstheme="majorHAnsi"/>
          <w:sz w:val="20"/>
          <w:szCs w:val="20"/>
          <w:lang w:val="ru-MD" w:eastAsia="ru-RU"/>
        </w:rPr>
        <w:t xml:space="preserve"> </w:t>
      </w:r>
      <w:r w:rsidR="00A970BA" w:rsidRPr="00EC5A7B">
        <w:rPr>
          <w:rFonts w:asciiTheme="majorHAnsi" w:hAnsiTheme="majorHAnsi" w:cstheme="majorHAnsi"/>
          <w:bCs/>
          <w:color w:val="000000"/>
          <w:sz w:val="20"/>
          <w:szCs w:val="20"/>
          <w:lang w:val="ru-MD" w:eastAsia="ru-RU"/>
        </w:rPr>
        <w:t>по состоянию на</w:t>
      </w:r>
      <w:r w:rsidR="00A970BA" w:rsidRPr="00EC5A7B">
        <w:rPr>
          <w:rFonts w:ascii="Times New Roman" w:hAnsi="Times New Roman"/>
          <w:bCs/>
          <w:color w:val="000000"/>
          <w:sz w:val="20"/>
          <w:szCs w:val="20"/>
          <w:lang w:val="ru-MD" w:eastAsia="ru-RU"/>
        </w:rPr>
        <w:t xml:space="preserve"> </w:t>
      </w:r>
      <w:r w:rsidR="002A0EB3" w:rsidRPr="00EC5A7B">
        <w:rPr>
          <w:rFonts w:asciiTheme="majorHAnsi" w:hAnsiTheme="majorHAnsi" w:cstheme="majorHAnsi"/>
          <w:sz w:val="18"/>
          <w:szCs w:val="18"/>
          <w:lang w:val="ru-MD" w:eastAsia="ru-RU"/>
        </w:rPr>
        <w:t xml:space="preserve">31.12.2017, 31.12.2018 </w:t>
      </w:r>
      <w:r w:rsidR="00A970BA" w:rsidRPr="00EC5A7B">
        <w:rPr>
          <w:rFonts w:asciiTheme="majorHAnsi" w:hAnsiTheme="majorHAnsi" w:cstheme="majorHAnsi"/>
          <w:sz w:val="18"/>
          <w:szCs w:val="18"/>
          <w:lang w:val="ru-MD" w:eastAsia="ru-RU"/>
        </w:rPr>
        <w:t xml:space="preserve">и </w:t>
      </w:r>
      <w:r w:rsidR="002A0EB3" w:rsidRPr="00EC5A7B">
        <w:rPr>
          <w:rFonts w:asciiTheme="majorHAnsi" w:hAnsiTheme="majorHAnsi" w:cstheme="majorHAnsi"/>
          <w:sz w:val="18"/>
          <w:szCs w:val="18"/>
          <w:lang w:val="ru-MD" w:eastAsia="ru-RU"/>
        </w:rPr>
        <w:t>31.12.2019</w:t>
      </w:r>
      <w:r w:rsidR="00FF7D18" w:rsidRPr="00EC5A7B">
        <w:rPr>
          <w:rFonts w:asciiTheme="majorHAnsi" w:hAnsiTheme="majorHAnsi" w:cstheme="majorHAnsi"/>
          <w:sz w:val="18"/>
          <w:szCs w:val="18"/>
          <w:lang w:val="ru-MD" w:eastAsia="ru-RU"/>
        </w:rPr>
        <w:t>.</w:t>
      </w:r>
    </w:p>
    <w:p w14:paraId="1E0CDF71" w14:textId="0C204267" w:rsidR="00BD7353" w:rsidRPr="00EC5A7B" w:rsidRDefault="00BD7353" w:rsidP="002A0EB3">
      <w:pPr>
        <w:pStyle w:val="NoSpacing"/>
        <w:spacing w:after="240"/>
        <w:jc w:val="both"/>
        <w:rPr>
          <w:rFonts w:asciiTheme="majorHAnsi" w:hAnsiTheme="majorHAnsi" w:cstheme="majorHAnsi"/>
          <w:sz w:val="24"/>
          <w:szCs w:val="24"/>
          <w:lang w:val="ru-MD" w:eastAsia="ru-RU"/>
        </w:rPr>
      </w:pPr>
      <w:r w:rsidRPr="00EC5A7B">
        <w:rPr>
          <w:rFonts w:asciiTheme="majorHAnsi" w:hAnsiTheme="majorHAnsi" w:cstheme="majorHAnsi"/>
          <w:sz w:val="18"/>
          <w:szCs w:val="18"/>
          <w:lang w:val="ru-MD" w:eastAsia="ru-RU"/>
        </w:rPr>
        <w:t xml:space="preserve">* </w:t>
      </w:r>
      <w:r w:rsidR="00A970BA" w:rsidRPr="00EC5A7B">
        <w:rPr>
          <w:rFonts w:asciiTheme="majorHAnsi" w:hAnsiTheme="majorHAnsi" w:cstheme="majorHAnsi"/>
          <w:sz w:val="18"/>
          <w:szCs w:val="18"/>
          <w:lang w:val="ru-MD" w:eastAsia="ru-RU"/>
        </w:rPr>
        <w:t>В результате округления, общая сумма может незначительно от</w:t>
      </w:r>
      <w:r w:rsidR="004D6F48" w:rsidRPr="00EC5A7B">
        <w:rPr>
          <w:rFonts w:asciiTheme="majorHAnsi" w:hAnsiTheme="majorHAnsi" w:cstheme="majorHAnsi"/>
          <w:sz w:val="18"/>
          <w:szCs w:val="18"/>
          <w:lang w:val="ru-MD" w:eastAsia="ru-RU"/>
        </w:rPr>
        <w:t>тлича</w:t>
      </w:r>
      <w:r w:rsidR="00A970BA" w:rsidRPr="00EC5A7B">
        <w:rPr>
          <w:rFonts w:asciiTheme="majorHAnsi" w:hAnsiTheme="majorHAnsi" w:cstheme="majorHAnsi"/>
          <w:sz w:val="18"/>
          <w:szCs w:val="18"/>
          <w:lang w:val="ru-MD" w:eastAsia="ru-RU"/>
        </w:rPr>
        <w:t>ться от суммы компонентов</w:t>
      </w:r>
      <w:r w:rsidRPr="00EC5A7B">
        <w:rPr>
          <w:rFonts w:asciiTheme="majorHAnsi" w:hAnsiTheme="majorHAnsi" w:cstheme="majorHAnsi"/>
          <w:sz w:val="18"/>
          <w:szCs w:val="18"/>
          <w:lang w:val="ru-MD" w:eastAsia="ru-RU"/>
        </w:rPr>
        <w:t>.</w:t>
      </w:r>
    </w:p>
    <w:p w14:paraId="3965FFD1" w14:textId="025DE017" w:rsidR="006023D2" w:rsidRPr="00EC5A7B" w:rsidRDefault="005255CE" w:rsidP="00E13366">
      <w:pPr>
        <w:pStyle w:val="NoSpacing"/>
        <w:spacing w:after="240"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Для взыскания просроченных долгов</w:t>
      </w:r>
      <w:r w:rsidR="00520C6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МФ</w:t>
      </w:r>
      <w:r w:rsidR="00520C6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через Государственную налоговую службу</w:t>
      </w:r>
      <w:r w:rsidR="00520C6A" w:rsidRPr="00EC5A7B">
        <w:rPr>
          <w:rFonts w:asciiTheme="majorHAnsi" w:hAnsiTheme="majorHAnsi" w:cstheme="majorHAnsi"/>
          <w:sz w:val="24"/>
          <w:szCs w:val="24"/>
          <w:lang w:val="ru-MD" w:eastAsia="ru-RU"/>
        </w:rPr>
        <w:t>,</w:t>
      </w:r>
      <w:r w:rsidRPr="00EC5A7B">
        <w:rPr>
          <w:rFonts w:asciiTheme="majorHAnsi" w:hAnsiTheme="majorHAnsi" w:cstheme="majorHAnsi"/>
          <w:sz w:val="24"/>
          <w:szCs w:val="24"/>
          <w:lang w:val="ru-MD" w:eastAsia="ru-RU"/>
        </w:rPr>
        <w:t xml:space="preserve"> применяет меры </w:t>
      </w:r>
      <w:r w:rsidR="00520C6A" w:rsidRPr="00EC5A7B">
        <w:rPr>
          <w:rFonts w:asciiTheme="majorHAnsi" w:hAnsiTheme="majorHAnsi" w:cstheme="majorHAnsi"/>
          <w:sz w:val="24"/>
          <w:szCs w:val="24"/>
          <w:lang w:val="ru-MD" w:eastAsia="ru-RU"/>
        </w:rPr>
        <w:t xml:space="preserve">принудительного исполнения </w:t>
      </w:r>
      <w:r w:rsidRPr="00EC5A7B">
        <w:rPr>
          <w:rFonts w:asciiTheme="majorHAnsi" w:hAnsiTheme="majorHAnsi" w:cstheme="majorHAnsi"/>
          <w:sz w:val="24"/>
          <w:szCs w:val="24"/>
          <w:lang w:val="ru-MD" w:eastAsia="ru-RU"/>
        </w:rPr>
        <w:t>по отношению к рекредитованным бенефициарам, имею</w:t>
      </w:r>
      <w:r w:rsidR="00520C6A" w:rsidRPr="00EC5A7B">
        <w:rPr>
          <w:rFonts w:asciiTheme="majorHAnsi" w:hAnsiTheme="majorHAnsi" w:cstheme="majorHAnsi"/>
          <w:sz w:val="24"/>
          <w:szCs w:val="24"/>
          <w:lang w:val="ru-MD" w:eastAsia="ru-RU"/>
        </w:rPr>
        <w:t>щим</w:t>
      </w:r>
      <w:r w:rsidRPr="00EC5A7B">
        <w:rPr>
          <w:rFonts w:asciiTheme="majorHAnsi" w:hAnsiTheme="majorHAnsi" w:cstheme="majorHAnsi"/>
          <w:sz w:val="24"/>
          <w:szCs w:val="24"/>
          <w:lang w:val="ru-MD" w:eastAsia="ru-RU"/>
        </w:rPr>
        <w:t xml:space="preserve"> задолженность по </w:t>
      </w:r>
      <w:r w:rsidR="00520C6A" w:rsidRPr="00EC5A7B">
        <w:rPr>
          <w:rFonts w:asciiTheme="majorHAnsi" w:hAnsiTheme="majorHAnsi" w:cstheme="majorHAnsi"/>
          <w:sz w:val="24"/>
          <w:szCs w:val="24"/>
          <w:lang w:val="ru-MD" w:eastAsia="ru-RU"/>
        </w:rPr>
        <w:t>ре</w:t>
      </w:r>
      <w:r w:rsidRPr="00EC5A7B">
        <w:rPr>
          <w:rFonts w:asciiTheme="majorHAnsi" w:hAnsiTheme="majorHAnsi" w:cstheme="majorHAnsi"/>
          <w:sz w:val="24"/>
          <w:szCs w:val="24"/>
          <w:lang w:val="ru-MD" w:eastAsia="ru-RU"/>
        </w:rPr>
        <w:t>кредит</w:t>
      </w:r>
      <w:r w:rsidR="00520C6A" w:rsidRPr="00EC5A7B">
        <w:rPr>
          <w:rFonts w:asciiTheme="majorHAnsi" w:hAnsiTheme="majorHAnsi" w:cstheme="majorHAnsi"/>
          <w:sz w:val="24"/>
          <w:szCs w:val="24"/>
          <w:lang w:val="ru-MD" w:eastAsia="ru-RU"/>
        </w:rPr>
        <w:t>ованным займ</w:t>
      </w:r>
      <w:r w:rsidRPr="00EC5A7B">
        <w:rPr>
          <w:rFonts w:asciiTheme="majorHAnsi" w:hAnsiTheme="majorHAnsi" w:cstheme="majorHAnsi"/>
          <w:sz w:val="24"/>
          <w:szCs w:val="24"/>
          <w:lang w:val="ru-MD" w:eastAsia="ru-RU"/>
        </w:rPr>
        <w:t xml:space="preserve">ам. Таким образом, в течение 2019 года в государственный бюджет </w:t>
      </w:r>
      <w:r w:rsidR="00520C6A" w:rsidRPr="00EC5A7B">
        <w:rPr>
          <w:rFonts w:asciiTheme="majorHAnsi" w:hAnsiTheme="majorHAnsi" w:cstheme="majorHAnsi"/>
          <w:sz w:val="24"/>
          <w:szCs w:val="24"/>
          <w:lang w:val="ru-MD" w:eastAsia="ru-RU"/>
        </w:rPr>
        <w:t>было взыскано</w:t>
      </w:r>
      <w:r w:rsidRPr="00EC5A7B">
        <w:rPr>
          <w:rFonts w:asciiTheme="majorHAnsi" w:hAnsiTheme="majorHAnsi" w:cstheme="majorHAnsi"/>
          <w:sz w:val="24"/>
          <w:szCs w:val="24"/>
          <w:lang w:val="ru-MD" w:eastAsia="ru-RU"/>
        </w:rPr>
        <w:t xml:space="preserve"> 23,7 млн. леев</w:t>
      </w:r>
      <w:r w:rsidR="001505F8" w:rsidRPr="00EC5A7B">
        <w:rPr>
          <w:rFonts w:asciiTheme="majorHAnsi" w:hAnsiTheme="majorHAnsi" w:cstheme="majorHAnsi"/>
          <w:sz w:val="24"/>
          <w:szCs w:val="24"/>
          <w:lang w:val="ru-MD" w:eastAsia="ru-RU"/>
        </w:rPr>
        <w:t>.</w:t>
      </w:r>
    </w:p>
    <w:p w14:paraId="1913D609" w14:textId="6BCEDB82" w:rsidR="00653E1E" w:rsidRPr="00EC5A7B" w:rsidRDefault="004C64E1" w:rsidP="00D472FF">
      <w:pPr>
        <w:numPr>
          <w:ilvl w:val="1"/>
          <w:numId w:val="2"/>
        </w:numPr>
        <w:autoSpaceDE w:val="0"/>
        <w:autoSpaceDN w:val="0"/>
        <w:adjustRightInd w:val="0"/>
        <w:spacing w:line="240" w:lineRule="auto"/>
        <w:contextualSpacing/>
        <w:jc w:val="both"/>
        <w:outlineLvl w:val="1"/>
        <w:rPr>
          <w:rFonts w:asciiTheme="majorHAnsi" w:eastAsia="Times New Roman" w:hAnsiTheme="majorHAnsi" w:cstheme="majorHAnsi"/>
          <w:b/>
          <w:bCs/>
          <w:color w:val="5B9BD5" w:themeColor="accent1"/>
          <w:sz w:val="24"/>
          <w:szCs w:val="24"/>
          <w:lang w:val="ru-MD" w:eastAsia="ru-RU"/>
        </w:rPr>
      </w:pPr>
      <w:bookmarkStart w:id="23" w:name="_Toc63157272"/>
      <w:r w:rsidRPr="00EC5A7B">
        <w:rPr>
          <w:rFonts w:asciiTheme="majorHAnsi" w:eastAsia="Times New Roman" w:hAnsiTheme="majorHAnsi" w:cstheme="majorHAnsi"/>
          <w:b/>
          <w:bCs/>
          <w:color w:val="5B9BD5" w:themeColor="accent1"/>
          <w:sz w:val="24"/>
          <w:szCs w:val="24"/>
          <w:lang w:val="ru-MD" w:eastAsia="ru-RU"/>
        </w:rPr>
        <w:t xml:space="preserve">Принятые меры с целью </w:t>
      </w:r>
      <w:r w:rsidRPr="00EC5A7B">
        <w:rPr>
          <w:rFonts w:asciiTheme="majorHAnsi" w:eastAsia="Times New Roman" w:hAnsiTheme="majorHAnsi" w:cstheme="majorHAnsi"/>
          <w:b/>
          <w:bCs/>
          <w:iCs/>
          <w:color w:val="5B9BD5" w:themeColor="accent1"/>
          <w:sz w:val="24"/>
          <w:szCs w:val="24"/>
          <w:lang w:val="ru-MD" w:eastAsia="ru-RU"/>
        </w:rPr>
        <w:t>внедрени</w:t>
      </w:r>
      <w:r w:rsidRPr="00EC5A7B">
        <w:rPr>
          <w:rFonts w:asciiTheme="majorHAnsi" w:eastAsia="Times New Roman" w:hAnsiTheme="majorHAnsi" w:cstheme="majorHAnsi"/>
          <w:b/>
          <w:bCs/>
          <w:color w:val="5B9BD5" w:themeColor="accent1"/>
          <w:sz w:val="24"/>
          <w:szCs w:val="24"/>
          <w:lang w:val="ru-MD" w:eastAsia="ru-RU"/>
        </w:rPr>
        <w:t>я предыдущих рекомендаций Счетной палаты</w:t>
      </w:r>
      <w:bookmarkEnd w:id="23"/>
      <w:r w:rsidRPr="00EC5A7B">
        <w:rPr>
          <w:rFonts w:asciiTheme="majorHAnsi" w:eastAsia="Times New Roman" w:hAnsiTheme="majorHAnsi" w:cstheme="majorHAnsi"/>
          <w:b/>
          <w:bCs/>
          <w:color w:val="5B9BD5" w:themeColor="accent1"/>
          <w:sz w:val="24"/>
          <w:szCs w:val="24"/>
          <w:lang w:val="ru-MD" w:eastAsia="ru-RU"/>
        </w:rPr>
        <w:t xml:space="preserve"> </w:t>
      </w:r>
    </w:p>
    <w:p w14:paraId="06F54CEA" w14:textId="7A22E457" w:rsidR="005255CE" w:rsidRPr="00EC5A7B" w:rsidRDefault="004C64E1" w:rsidP="005255CE">
      <w:pPr>
        <w:pStyle w:val="NoSpacing"/>
        <w:spacing w:line="276" w:lineRule="auto"/>
        <w:jc w:val="both"/>
        <w:rPr>
          <w:rFonts w:asciiTheme="majorHAnsi" w:hAnsiTheme="majorHAnsi" w:cstheme="majorHAnsi"/>
          <w:sz w:val="24"/>
          <w:szCs w:val="24"/>
          <w:lang w:val="ru-MD" w:eastAsia="ru-RU"/>
        </w:rPr>
      </w:pPr>
      <w:r w:rsidRPr="00EC5A7B">
        <w:rPr>
          <w:rFonts w:asciiTheme="majorHAnsi" w:hAnsiTheme="majorHAnsi"/>
          <w:sz w:val="24"/>
          <w:lang w:val="ru-MD"/>
        </w:rPr>
        <w:t xml:space="preserve">Проведенные аудитом проверки относительно </w:t>
      </w:r>
      <w:r w:rsidRPr="00EC5A7B">
        <w:rPr>
          <w:rFonts w:asciiTheme="majorHAnsi" w:hAnsiTheme="majorHAnsi" w:cstheme="majorHAnsi"/>
          <w:bCs/>
          <w:iCs/>
          <w:sz w:val="24"/>
          <w:szCs w:val="24"/>
          <w:lang w:val="ru-MD" w:eastAsia="ru-RU"/>
        </w:rPr>
        <w:t>внедрени</w:t>
      </w:r>
      <w:r w:rsidRPr="00EC5A7B">
        <w:rPr>
          <w:rFonts w:asciiTheme="majorHAnsi" w:hAnsiTheme="majorHAnsi"/>
          <w:sz w:val="24"/>
          <w:lang w:val="ru-MD"/>
        </w:rPr>
        <w:t xml:space="preserve">я </w:t>
      </w:r>
      <w:r w:rsidRPr="00EC5A7B">
        <w:rPr>
          <w:rFonts w:asciiTheme="majorHAnsi" w:hAnsiTheme="majorHAnsi"/>
          <w:sz w:val="24"/>
          <w:lang w:val="ru-MD" w:eastAsia="ru-RU"/>
        </w:rPr>
        <w:t>рекомендаций</w:t>
      </w:r>
      <w:r w:rsidRPr="00EC5A7B">
        <w:rPr>
          <w:rFonts w:asciiTheme="majorHAnsi" w:hAnsiTheme="majorHAnsi"/>
          <w:sz w:val="24"/>
          <w:lang w:val="ru-MD"/>
        </w:rPr>
        <w:t xml:space="preserve">, направленных </w:t>
      </w:r>
      <w:r w:rsidRPr="00EC5A7B">
        <w:rPr>
          <w:rFonts w:asciiTheme="majorHAnsi" w:hAnsiTheme="majorHAnsi"/>
          <w:sz w:val="24"/>
          <w:lang w:val="ru-MD" w:eastAsia="ru-RU"/>
        </w:rPr>
        <w:t>Постановлени</w:t>
      </w:r>
      <w:r w:rsidRPr="00EC5A7B">
        <w:rPr>
          <w:rFonts w:asciiTheme="majorHAnsi" w:hAnsiTheme="majorHAnsi"/>
          <w:sz w:val="24"/>
          <w:lang w:val="ru-MD"/>
        </w:rPr>
        <w:t xml:space="preserve">ем </w:t>
      </w:r>
      <w:r w:rsidRPr="00EC5A7B">
        <w:rPr>
          <w:rFonts w:asciiTheme="majorHAnsi" w:hAnsiTheme="majorHAnsi" w:cstheme="majorHAnsi"/>
          <w:bCs/>
          <w:sz w:val="24"/>
          <w:szCs w:val="24"/>
          <w:lang w:val="ru-MD" w:eastAsia="ru-RU"/>
        </w:rPr>
        <w:t>Счетной палаты</w:t>
      </w:r>
      <w:r w:rsidRPr="00EC5A7B">
        <w:rPr>
          <w:rFonts w:ascii="Times New Roman" w:hAnsi="Times New Roman"/>
          <w:bCs/>
          <w:sz w:val="28"/>
          <w:szCs w:val="28"/>
          <w:lang w:val="ru-MD" w:eastAsia="ru-RU"/>
        </w:rPr>
        <w:t xml:space="preserve"> </w:t>
      </w:r>
      <w:r w:rsidRPr="00EC5A7B">
        <w:rPr>
          <w:rFonts w:asciiTheme="majorHAnsi" w:hAnsiTheme="majorHAnsi"/>
          <w:sz w:val="24"/>
          <w:lang w:val="ru-MD"/>
        </w:rPr>
        <w:t xml:space="preserve">№45 от </w:t>
      </w:r>
      <w:r w:rsidRPr="00EC5A7B">
        <w:rPr>
          <w:rFonts w:asciiTheme="majorHAnsi" w:hAnsiTheme="majorHAnsi" w:cstheme="majorHAnsi"/>
          <w:sz w:val="24"/>
          <w:szCs w:val="24"/>
          <w:lang w:val="ru-MD" w:eastAsia="ru-RU"/>
        </w:rPr>
        <w:t xml:space="preserve">45 от 28.05.2019 </w:t>
      </w:r>
      <w:r w:rsidRPr="00EC5A7B">
        <w:rPr>
          <w:rFonts w:asciiTheme="majorHAnsi" w:hAnsiTheme="majorHAnsi"/>
          <w:sz w:val="24"/>
          <w:lang w:val="ru-MD"/>
        </w:rPr>
        <w:t xml:space="preserve">по Отчету аудита </w:t>
      </w:r>
      <w:r w:rsidRPr="00EC5A7B">
        <w:rPr>
          <w:rFonts w:asciiTheme="majorHAnsi" w:hAnsiTheme="majorHAnsi"/>
          <w:sz w:val="24"/>
          <w:lang w:val="ru-MD" w:eastAsia="ru-RU"/>
        </w:rPr>
        <w:t>эффективност</w:t>
      </w:r>
      <w:r w:rsidRPr="00EC5A7B">
        <w:rPr>
          <w:rFonts w:asciiTheme="majorHAnsi" w:hAnsiTheme="majorHAnsi"/>
          <w:sz w:val="24"/>
          <w:lang w:val="ru-MD"/>
        </w:rPr>
        <w:t xml:space="preserve">и </w:t>
      </w:r>
      <w:r w:rsidRPr="00EC5A7B">
        <w:rPr>
          <w:rFonts w:asciiTheme="majorHAnsi" w:hAnsiTheme="majorHAnsi" w:cstheme="majorHAnsi"/>
          <w:sz w:val="24"/>
          <w:szCs w:val="24"/>
          <w:lang w:val="ru-MD" w:eastAsia="ru-RU"/>
        </w:rPr>
        <w:t>управления государственным долгом, государственными гарантиями и государственным рекредитованием на 2018 год</w:t>
      </w:r>
      <w:r w:rsidRPr="00EC5A7B">
        <w:rPr>
          <w:rFonts w:asciiTheme="majorHAnsi" w:hAnsiTheme="majorHAnsi"/>
          <w:sz w:val="24"/>
          <w:lang w:val="ru-MD" w:eastAsia="ru-RU"/>
        </w:rPr>
        <w:t>, установили следующее</w:t>
      </w:r>
      <w:r w:rsidR="005255CE" w:rsidRPr="00EC5A7B">
        <w:rPr>
          <w:rFonts w:asciiTheme="majorHAnsi" w:hAnsiTheme="majorHAnsi" w:cstheme="majorHAnsi"/>
          <w:sz w:val="24"/>
          <w:szCs w:val="24"/>
          <w:lang w:val="ru-MD" w:eastAsia="ru-RU"/>
        </w:rPr>
        <w:t>:</w:t>
      </w:r>
    </w:p>
    <w:p w14:paraId="06F2B82A" w14:textId="4B2F8E99" w:rsidR="00551587" w:rsidRPr="00EC5A7B" w:rsidRDefault="004C64E1" w:rsidP="00551587">
      <w:pPr>
        <w:pStyle w:val="NoSpacing"/>
        <w:numPr>
          <w:ilvl w:val="0"/>
          <w:numId w:val="19"/>
        </w:numPr>
        <w:spacing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выдвинутые требования согласно подпункту 2.1. Постановления были выполнены</w:t>
      </w:r>
      <w:r w:rsidR="00551587" w:rsidRPr="00EC5A7B">
        <w:rPr>
          <w:rFonts w:asciiTheme="majorHAnsi" w:hAnsiTheme="majorHAnsi" w:cstheme="majorHAnsi"/>
          <w:sz w:val="24"/>
          <w:szCs w:val="24"/>
          <w:lang w:val="ru-MD" w:eastAsia="ru-RU"/>
        </w:rPr>
        <w:t>;</w:t>
      </w:r>
    </w:p>
    <w:p w14:paraId="288FC919" w14:textId="43FAB091" w:rsidR="007516B0" w:rsidRPr="00EC5A7B" w:rsidRDefault="004C64E1" w:rsidP="005572E7">
      <w:pPr>
        <w:pStyle w:val="NoSpacing"/>
        <w:numPr>
          <w:ilvl w:val="0"/>
          <w:numId w:val="19"/>
        </w:numPr>
        <w:spacing w:after="240" w:line="276" w:lineRule="auto"/>
        <w:ind w:left="0" w:firstLine="36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что касается рекомендаций, представленных в Отчете аудита, отмечается, что из 4 направленных рекомендаций, 2 были выполнены, а 2 - частично выполнены. Частично выполненные рекомендации повторно изложены в настоящем Отчете аудита</w:t>
      </w:r>
      <w:r w:rsidR="00551587" w:rsidRPr="00EC5A7B">
        <w:rPr>
          <w:rFonts w:asciiTheme="majorHAnsi" w:hAnsiTheme="majorHAnsi" w:cstheme="majorHAnsi"/>
          <w:sz w:val="24"/>
          <w:szCs w:val="24"/>
          <w:lang w:val="ru-MD" w:eastAsia="ru-RU"/>
        </w:rPr>
        <w:t>.</w:t>
      </w:r>
    </w:p>
    <w:p w14:paraId="2F229382" w14:textId="30BBA501" w:rsidR="006023D2" w:rsidRPr="00EC5A7B" w:rsidRDefault="004C64E1" w:rsidP="006023D2">
      <w:pPr>
        <w:numPr>
          <w:ilvl w:val="0"/>
          <w:numId w:val="1"/>
        </w:numPr>
        <w:autoSpaceDE w:val="0"/>
        <w:autoSpaceDN w:val="0"/>
        <w:adjustRightInd w:val="0"/>
        <w:spacing w:line="240" w:lineRule="auto"/>
        <w:contextualSpacing/>
        <w:outlineLvl w:val="0"/>
        <w:rPr>
          <w:rFonts w:asciiTheme="majorHAnsi" w:eastAsia="Times New Roman" w:hAnsiTheme="majorHAnsi" w:cstheme="majorHAnsi"/>
          <w:b/>
          <w:bCs/>
          <w:color w:val="5B9BD5" w:themeColor="accent1"/>
          <w:sz w:val="26"/>
          <w:szCs w:val="26"/>
          <w:lang w:val="ru-MD" w:eastAsia="ru-RU"/>
        </w:rPr>
      </w:pPr>
      <w:bookmarkStart w:id="24" w:name="_Toc63157273"/>
      <w:r w:rsidRPr="00EC5A7B">
        <w:rPr>
          <w:rFonts w:asciiTheme="majorHAnsi" w:eastAsia="Times New Roman" w:hAnsiTheme="majorHAnsi" w:cstheme="majorHAnsi"/>
          <w:b/>
          <w:bCs/>
          <w:color w:val="5B9BD5" w:themeColor="accent1"/>
          <w:sz w:val="26"/>
          <w:szCs w:val="26"/>
          <w:lang w:val="ru-MD" w:eastAsia="ru-RU"/>
        </w:rPr>
        <w:t>ОБЩИЙ ВЫВОД</w:t>
      </w:r>
      <w:bookmarkEnd w:id="24"/>
    </w:p>
    <w:p w14:paraId="5C81AA62" w14:textId="77243659" w:rsidR="00D014CC" w:rsidRPr="00EC5A7B" w:rsidRDefault="003C01FF" w:rsidP="004B4F5F">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Результаты о</w:t>
      </w:r>
      <w:r w:rsidR="005255CE" w:rsidRPr="00EC5A7B">
        <w:rPr>
          <w:rFonts w:asciiTheme="majorHAnsi" w:eastAsia="Times New Roman" w:hAnsiTheme="majorHAnsi" w:cstheme="majorHAnsi"/>
          <w:bCs/>
          <w:sz w:val="24"/>
          <w:szCs w:val="24"/>
          <w:lang w:val="ru-MD" w:eastAsia="ru-RU"/>
        </w:rPr>
        <w:t>ценк</w:t>
      </w:r>
      <w:r w:rsidRPr="00EC5A7B">
        <w:rPr>
          <w:rFonts w:asciiTheme="majorHAnsi" w:eastAsia="Times New Roman" w:hAnsiTheme="majorHAnsi" w:cstheme="majorHAnsi"/>
          <w:bCs/>
          <w:sz w:val="24"/>
          <w:szCs w:val="24"/>
          <w:lang w:val="ru-MD" w:eastAsia="ru-RU"/>
        </w:rPr>
        <w:t>и</w:t>
      </w:r>
      <w:r w:rsidR="005255CE" w:rsidRPr="00EC5A7B">
        <w:rPr>
          <w:rFonts w:asciiTheme="majorHAnsi" w:eastAsia="Times New Roman" w:hAnsiTheme="majorHAnsi" w:cstheme="majorHAnsi"/>
          <w:bCs/>
          <w:sz w:val="24"/>
          <w:szCs w:val="24"/>
          <w:lang w:val="ru-MD" w:eastAsia="ru-RU"/>
        </w:rPr>
        <w:t xml:space="preserve"> </w:t>
      </w:r>
      <w:r w:rsidR="004C64E1" w:rsidRPr="00EC5A7B">
        <w:rPr>
          <w:rFonts w:asciiTheme="majorHAnsi" w:eastAsia="Times New Roman" w:hAnsiTheme="majorHAnsi" w:cstheme="majorHAnsi"/>
          <w:bCs/>
          <w:sz w:val="24"/>
          <w:szCs w:val="24"/>
          <w:lang w:val="ru-MD" w:eastAsia="ru-RU"/>
        </w:rPr>
        <w:t>управления</w:t>
      </w:r>
      <w:r w:rsidR="005255CE" w:rsidRPr="00EC5A7B">
        <w:rPr>
          <w:rFonts w:asciiTheme="majorHAnsi" w:eastAsia="Times New Roman" w:hAnsiTheme="majorHAnsi" w:cstheme="majorHAnsi"/>
          <w:bCs/>
          <w:sz w:val="24"/>
          <w:szCs w:val="24"/>
          <w:lang w:val="ru-MD" w:eastAsia="ru-RU"/>
        </w:rPr>
        <w:t xml:space="preserve"> государственн</w:t>
      </w:r>
      <w:r w:rsidR="004C64E1" w:rsidRPr="00EC5A7B">
        <w:rPr>
          <w:rFonts w:asciiTheme="majorHAnsi" w:eastAsia="Times New Roman" w:hAnsiTheme="majorHAnsi" w:cstheme="majorHAnsi"/>
          <w:bCs/>
          <w:sz w:val="24"/>
          <w:szCs w:val="24"/>
          <w:lang w:val="ru-MD" w:eastAsia="ru-RU"/>
        </w:rPr>
        <w:t>ым</w:t>
      </w:r>
      <w:r w:rsidR="005255CE" w:rsidRPr="00EC5A7B">
        <w:rPr>
          <w:rFonts w:asciiTheme="majorHAnsi" w:eastAsia="Times New Roman" w:hAnsiTheme="majorHAnsi" w:cstheme="majorHAnsi"/>
          <w:bCs/>
          <w:sz w:val="24"/>
          <w:szCs w:val="24"/>
          <w:lang w:val="ru-MD" w:eastAsia="ru-RU"/>
        </w:rPr>
        <w:t xml:space="preserve"> долг</w:t>
      </w:r>
      <w:r w:rsidR="004C64E1" w:rsidRPr="00EC5A7B">
        <w:rPr>
          <w:rFonts w:asciiTheme="majorHAnsi" w:eastAsia="Times New Roman" w:hAnsiTheme="majorHAnsi" w:cstheme="majorHAnsi"/>
          <w:bCs/>
          <w:sz w:val="24"/>
          <w:szCs w:val="24"/>
          <w:lang w:val="ru-MD" w:eastAsia="ru-RU"/>
        </w:rPr>
        <w:t>ом</w:t>
      </w:r>
      <w:r w:rsidR="005255CE" w:rsidRPr="00EC5A7B">
        <w:rPr>
          <w:rFonts w:asciiTheme="majorHAnsi" w:eastAsia="Times New Roman" w:hAnsiTheme="majorHAnsi" w:cstheme="majorHAnsi"/>
          <w:bCs/>
          <w:sz w:val="24"/>
          <w:szCs w:val="24"/>
          <w:lang w:val="ru-MD" w:eastAsia="ru-RU"/>
        </w:rPr>
        <w:t>, государственны</w:t>
      </w:r>
      <w:r w:rsidR="004C64E1" w:rsidRPr="00EC5A7B">
        <w:rPr>
          <w:rFonts w:asciiTheme="majorHAnsi" w:eastAsia="Times New Roman" w:hAnsiTheme="majorHAnsi" w:cstheme="majorHAnsi"/>
          <w:bCs/>
          <w:sz w:val="24"/>
          <w:szCs w:val="24"/>
          <w:lang w:val="ru-MD" w:eastAsia="ru-RU"/>
        </w:rPr>
        <w:t>ми</w:t>
      </w:r>
      <w:r w:rsidR="005255CE" w:rsidRPr="00EC5A7B">
        <w:rPr>
          <w:rFonts w:asciiTheme="majorHAnsi" w:eastAsia="Times New Roman" w:hAnsiTheme="majorHAnsi" w:cstheme="majorHAnsi"/>
          <w:bCs/>
          <w:sz w:val="24"/>
          <w:szCs w:val="24"/>
          <w:lang w:val="ru-MD" w:eastAsia="ru-RU"/>
        </w:rPr>
        <w:t xml:space="preserve"> гаранти</w:t>
      </w:r>
      <w:r w:rsidR="004C64E1" w:rsidRPr="00EC5A7B">
        <w:rPr>
          <w:rFonts w:asciiTheme="majorHAnsi" w:eastAsia="Times New Roman" w:hAnsiTheme="majorHAnsi" w:cstheme="majorHAnsi"/>
          <w:bCs/>
          <w:sz w:val="24"/>
          <w:szCs w:val="24"/>
          <w:lang w:val="ru-MD" w:eastAsia="ru-RU"/>
        </w:rPr>
        <w:t>ями</w:t>
      </w:r>
      <w:r w:rsidR="005255CE" w:rsidRPr="00EC5A7B">
        <w:rPr>
          <w:rFonts w:asciiTheme="majorHAnsi" w:eastAsia="Times New Roman" w:hAnsiTheme="majorHAnsi" w:cstheme="majorHAnsi"/>
          <w:bCs/>
          <w:sz w:val="24"/>
          <w:szCs w:val="24"/>
          <w:lang w:val="ru-MD" w:eastAsia="ru-RU"/>
        </w:rPr>
        <w:t xml:space="preserve"> и государственн</w:t>
      </w:r>
      <w:r w:rsidR="004C64E1" w:rsidRPr="00EC5A7B">
        <w:rPr>
          <w:rFonts w:asciiTheme="majorHAnsi" w:eastAsia="Times New Roman" w:hAnsiTheme="majorHAnsi" w:cstheme="majorHAnsi"/>
          <w:bCs/>
          <w:sz w:val="24"/>
          <w:szCs w:val="24"/>
          <w:lang w:val="ru-MD" w:eastAsia="ru-RU"/>
        </w:rPr>
        <w:t>ым</w:t>
      </w:r>
      <w:r w:rsidR="005255CE" w:rsidRPr="00EC5A7B">
        <w:rPr>
          <w:rFonts w:asciiTheme="majorHAnsi" w:eastAsia="Times New Roman" w:hAnsiTheme="majorHAnsi" w:cstheme="majorHAnsi"/>
          <w:bCs/>
          <w:sz w:val="24"/>
          <w:szCs w:val="24"/>
          <w:lang w:val="ru-MD" w:eastAsia="ru-RU"/>
        </w:rPr>
        <w:t xml:space="preserve"> </w:t>
      </w:r>
      <w:r w:rsidR="004C64E1" w:rsidRPr="00EC5A7B">
        <w:rPr>
          <w:rFonts w:asciiTheme="majorHAnsi" w:eastAsia="Times New Roman" w:hAnsiTheme="majorHAnsi" w:cstheme="majorHAnsi"/>
          <w:bCs/>
          <w:sz w:val="24"/>
          <w:szCs w:val="24"/>
          <w:lang w:val="ru-MD" w:eastAsia="ru-RU"/>
        </w:rPr>
        <w:t>рекредитованием</w:t>
      </w:r>
      <w:r w:rsidR="005255CE" w:rsidRPr="00EC5A7B">
        <w:rPr>
          <w:rFonts w:asciiTheme="majorHAnsi" w:eastAsia="Times New Roman" w:hAnsiTheme="majorHAnsi" w:cstheme="majorHAnsi"/>
          <w:bCs/>
          <w:sz w:val="24"/>
          <w:szCs w:val="24"/>
          <w:lang w:val="ru-MD" w:eastAsia="ru-RU"/>
        </w:rPr>
        <w:t xml:space="preserve">, </w:t>
      </w:r>
      <w:r w:rsidR="004C64E1" w:rsidRPr="00EC5A7B">
        <w:rPr>
          <w:rFonts w:asciiTheme="majorHAnsi" w:eastAsia="Times New Roman" w:hAnsiTheme="majorHAnsi" w:cstheme="majorHAnsi"/>
          <w:bCs/>
          <w:sz w:val="24"/>
          <w:szCs w:val="24"/>
          <w:lang w:val="ru-MD" w:eastAsia="ru-RU"/>
        </w:rPr>
        <w:t>осуществля</w:t>
      </w:r>
      <w:r w:rsidR="005255CE" w:rsidRPr="00EC5A7B">
        <w:rPr>
          <w:rFonts w:asciiTheme="majorHAnsi" w:eastAsia="Times New Roman" w:hAnsiTheme="majorHAnsi" w:cstheme="majorHAnsi"/>
          <w:bCs/>
          <w:sz w:val="24"/>
          <w:szCs w:val="24"/>
          <w:lang w:val="ru-MD" w:eastAsia="ru-RU"/>
        </w:rPr>
        <w:t>емого МФ в течение 2019 года, свидетельству</w:t>
      </w:r>
      <w:r w:rsidRPr="00EC5A7B">
        <w:rPr>
          <w:rFonts w:asciiTheme="majorHAnsi" w:eastAsia="Times New Roman" w:hAnsiTheme="majorHAnsi" w:cstheme="majorHAnsi"/>
          <w:bCs/>
          <w:sz w:val="24"/>
          <w:szCs w:val="24"/>
          <w:lang w:val="ru-MD" w:eastAsia="ru-RU"/>
        </w:rPr>
        <w:t>ю</w:t>
      </w:r>
      <w:r w:rsidR="005255CE" w:rsidRPr="00EC5A7B">
        <w:rPr>
          <w:rFonts w:asciiTheme="majorHAnsi" w:eastAsia="Times New Roman" w:hAnsiTheme="majorHAnsi" w:cstheme="majorHAnsi"/>
          <w:bCs/>
          <w:sz w:val="24"/>
          <w:szCs w:val="24"/>
          <w:lang w:val="ru-MD" w:eastAsia="ru-RU"/>
        </w:rPr>
        <w:t>т о развитии внутреннего рынка ГЦБ, контракт</w:t>
      </w:r>
      <w:r w:rsidR="004C64E1" w:rsidRPr="00EC5A7B">
        <w:rPr>
          <w:rFonts w:asciiTheme="majorHAnsi" w:eastAsia="Times New Roman" w:hAnsiTheme="majorHAnsi" w:cstheme="majorHAnsi"/>
          <w:bCs/>
          <w:sz w:val="24"/>
          <w:szCs w:val="24"/>
          <w:lang w:val="ru-MD" w:eastAsia="ru-RU"/>
        </w:rPr>
        <w:t>ации</w:t>
      </w:r>
      <w:r w:rsidR="005255CE" w:rsidRPr="00EC5A7B">
        <w:rPr>
          <w:rFonts w:asciiTheme="majorHAnsi" w:eastAsia="Times New Roman" w:hAnsiTheme="majorHAnsi" w:cstheme="majorHAnsi"/>
          <w:bCs/>
          <w:sz w:val="24"/>
          <w:szCs w:val="24"/>
          <w:lang w:val="ru-MD" w:eastAsia="ru-RU"/>
        </w:rPr>
        <w:t xml:space="preserve"> новы</w:t>
      </w:r>
      <w:r w:rsidR="004C64E1" w:rsidRPr="00EC5A7B">
        <w:rPr>
          <w:rFonts w:asciiTheme="majorHAnsi" w:eastAsia="Times New Roman" w:hAnsiTheme="majorHAnsi" w:cstheme="majorHAnsi"/>
          <w:bCs/>
          <w:sz w:val="24"/>
          <w:szCs w:val="24"/>
          <w:lang w:val="ru-MD" w:eastAsia="ru-RU"/>
        </w:rPr>
        <w:t>х</w:t>
      </w:r>
      <w:r w:rsidR="005255CE" w:rsidRPr="00EC5A7B">
        <w:rPr>
          <w:rFonts w:asciiTheme="majorHAnsi" w:eastAsia="Times New Roman" w:hAnsiTheme="majorHAnsi" w:cstheme="majorHAnsi"/>
          <w:bCs/>
          <w:sz w:val="24"/>
          <w:szCs w:val="24"/>
          <w:lang w:val="ru-MD" w:eastAsia="ru-RU"/>
        </w:rPr>
        <w:t xml:space="preserve"> </w:t>
      </w:r>
      <w:r w:rsidR="005255CE" w:rsidRPr="00EC5A7B">
        <w:rPr>
          <w:rFonts w:asciiTheme="majorHAnsi" w:eastAsia="Times New Roman" w:hAnsiTheme="majorHAnsi" w:cstheme="majorHAnsi"/>
          <w:bCs/>
          <w:sz w:val="24"/>
          <w:szCs w:val="24"/>
          <w:lang w:val="ru-MD" w:eastAsia="ru-RU"/>
        </w:rPr>
        <w:lastRenderedPageBreak/>
        <w:t>внешни</w:t>
      </w:r>
      <w:r w:rsidR="004C64E1" w:rsidRPr="00EC5A7B">
        <w:rPr>
          <w:rFonts w:asciiTheme="majorHAnsi" w:eastAsia="Times New Roman" w:hAnsiTheme="majorHAnsi" w:cstheme="majorHAnsi"/>
          <w:bCs/>
          <w:sz w:val="24"/>
          <w:szCs w:val="24"/>
          <w:lang w:val="ru-MD" w:eastAsia="ru-RU"/>
        </w:rPr>
        <w:t>х</w:t>
      </w:r>
      <w:r w:rsidR="005255CE" w:rsidRPr="00EC5A7B">
        <w:rPr>
          <w:rFonts w:asciiTheme="majorHAnsi" w:eastAsia="Times New Roman" w:hAnsiTheme="majorHAnsi" w:cstheme="majorHAnsi"/>
          <w:bCs/>
          <w:sz w:val="24"/>
          <w:szCs w:val="24"/>
          <w:lang w:val="ru-MD" w:eastAsia="ru-RU"/>
        </w:rPr>
        <w:t xml:space="preserve"> государственны</w:t>
      </w:r>
      <w:r w:rsidRPr="00EC5A7B">
        <w:rPr>
          <w:rFonts w:asciiTheme="majorHAnsi" w:eastAsia="Times New Roman" w:hAnsiTheme="majorHAnsi" w:cstheme="majorHAnsi"/>
          <w:bCs/>
          <w:sz w:val="24"/>
          <w:szCs w:val="24"/>
          <w:lang w:val="ru-MD" w:eastAsia="ru-RU"/>
        </w:rPr>
        <w:t>х</w:t>
      </w:r>
      <w:r w:rsidR="005255CE" w:rsidRPr="00EC5A7B">
        <w:rPr>
          <w:rFonts w:asciiTheme="majorHAnsi" w:eastAsia="Times New Roman" w:hAnsiTheme="majorHAnsi" w:cstheme="majorHAnsi"/>
          <w:bCs/>
          <w:sz w:val="24"/>
          <w:szCs w:val="24"/>
          <w:lang w:val="ru-MD" w:eastAsia="ru-RU"/>
        </w:rPr>
        <w:t xml:space="preserve"> займ</w:t>
      </w:r>
      <w:r w:rsidRPr="00EC5A7B">
        <w:rPr>
          <w:rFonts w:asciiTheme="majorHAnsi" w:eastAsia="Times New Roman" w:hAnsiTheme="majorHAnsi" w:cstheme="majorHAnsi"/>
          <w:bCs/>
          <w:sz w:val="24"/>
          <w:szCs w:val="24"/>
          <w:lang w:val="ru-MD" w:eastAsia="ru-RU"/>
        </w:rPr>
        <w:t>ов</w:t>
      </w:r>
      <w:r w:rsidR="005255CE" w:rsidRPr="00EC5A7B">
        <w:rPr>
          <w:rFonts w:asciiTheme="majorHAnsi" w:eastAsia="Times New Roman" w:hAnsiTheme="majorHAnsi" w:cstheme="majorHAnsi"/>
          <w:bCs/>
          <w:sz w:val="24"/>
          <w:szCs w:val="24"/>
          <w:lang w:val="ru-MD" w:eastAsia="ru-RU"/>
        </w:rPr>
        <w:t xml:space="preserve"> с учетом соотношения стоимость-риск, сокращении расходов на обслуживание внешнего государственного долга путем конвертации кредитов из одной валюты в другую, управлении операционным риском, связанным с государственным долгом и т. д</w:t>
      </w:r>
      <w:r w:rsidR="00305C99" w:rsidRPr="00EC5A7B">
        <w:rPr>
          <w:rFonts w:asciiTheme="majorHAnsi" w:eastAsia="Times New Roman" w:hAnsiTheme="majorHAnsi" w:cstheme="majorHAnsi"/>
          <w:bCs/>
          <w:sz w:val="24"/>
          <w:szCs w:val="24"/>
          <w:lang w:val="ru-MD" w:eastAsia="ru-RU"/>
        </w:rPr>
        <w:t xml:space="preserve">. </w:t>
      </w:r>
    </w:p>
    <w:p w14:paraId="7572485E" w14:textId="05869582" w:rsidR="00F24F0A" w:rsidRPr="00EC5A7B" w:rsidRDefault="005255CE" w:rsidP="004B4F5F">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В</w:t>
      </w:r>
      <w:r w:rsidR="001C1AA7" w:rsidRPr="00EC5A7B">
        <w:rPr>
          <w:rFonts w:asciiTheme="majorHAnsi" w:eastAsia="Times New Roman" w:hAnsiTheme="majorHAnsi" w:cstheme="majorHAnsi"/>
          <w:bCs/>
          <w:sz w:val="24"/>
          <w:szCs w:val="24"/>
          <w:lang w:val="ru-MD" w:eastAsia="ru-RU"/>
        </w:rPr>
        <w:t>месте с тем,</w:t>
      </w:r>
      <w:r w:rsidRPr="00EC5A7B">
        <w:rPr>
          <w:rFonts w:asciiTheme="majorHAnsi" w:eastAsia="Times New Roman" w:hAnsiTheme="majorHAnsi" w:cstheme="majorHAnsi"/>
          <w:bCs/>
          <w:sz w:val="24"/>
          <w:szCs w:val="24"/>
          <w:lang w:val="ru-MD" w:eastAsia="ru-RU"/>
        </w:rPr>
        <w:t xml:space="preserve"> необходимо </w:t>
      </w:r>
      <w:r w:rsidR="001A69E4" w:rsidRPr="00EC5A7B">
        <w:rPr>
          <w:rFonts w:asciiTheme="majorHAnsi" w:eastAsia="Times New Roman" w:hAnsiTheme="majorHAnsi" w:cstheme="majorHAnsi"/>
          <w:bCs/>
          <w:sz w:val="24"/>
          <w:szCs w:val="24"/>
          <w:lang w:val="ru-MD" w:eastAsia="ru-RU"/>
        </w:rPr>
        <w:t>отмет</w:t>
      </w:r>
      <w:r w:rsidRPr="00EC5A7B">
        <w:rPr>
          <w:rFonts w:asciiTheme="majorHAnsi" w:eastAsia="Times New Roman" w:hAnsiTheme="majorHAnsi" w:cstheme="majorHAnsi"/>
          <w:bCs/>
          <w:sz w:val="24"/>
          <w:szCs w:val="24"/>
          <w:lang w:val="ru-MD" w:eastAsia="ru-RU"/>
        </w:rPr>
        <w:t xml:space="preserve">ить некоторые проблемы и существенные аспекты, </w:t>
      </w:r>
      <w:r w:rsidR="001A69E4" w:rsidRPr="00EC5A7B">
        <w:rPr>
          <w:rFonts w:asciiTheme="majorHAnsi" w:eastAsia="Times New Roman" w:hAnsiTheme="majorHAnsi" w:cstheme="majorHAnsi"/>
          <w:bCs/>
          <w:sz w:val="24"/>
          <w:szCs w:val="24"/>
          <w:lang w:val="ru-MD" w:eastAsia="ru-RU"/>
        </w:rPr>
        <w:t>касающиеся</w:t>
      </w:r>
      <w:r w:rsidRPr="00EC5A7B">
        <w:rPr>
          <w:rFonts w:asciiTheme="majorHAnsi" w:eastAsia="Times New Roman" w:hAnsiTheme="majorHAnsi" w:cstheme="majorHAnsi"/>
          <w:bCs/>
          <w:sz w:val="24"/>
          <w:szCs w:val="24"/>
          <w:lang w:val="ru-MD" w:eastAsia="ru-RU"/>
        </w:rPr>
        <w:t>: i) отсутстви</w:t>
      </w:r>
      <w:r w:rsidR="001A69E4" w:rsidRPr="00EC5A7B">
        <w:rPr>
          <w:rFonts w:asciiTheme="majorHAnsi" w:eastAsia="Times New Roman" w:hAnsiTheme="majorHAnsi" w:cstheme="majorHAnsi"/>
          <w:bCs/>
          <w:sz w:val="24"/>
          <w:szCs w:val="24"/>
          <w:lang w:val="ru-MD" w:eastAsia="ru-RU"/>
        </w:rPr>
        <w:t>я</w:t>
      </w:r>
      <w:r w:rsidRPr="00EC5A7B">
        <w:rPr>
          <w:rFonts w:asciiTheme="majorHAnsi" w:eastAsia="Times New Roman" w:hAnsiTheme="majorHAnsi" w:cstheme="majorHAnsi"/>
          <w:bCs/>
          <w:sz w:val="24"/>
          <w:szCs w:val="24"/>
          <w:lang w:val="ru-MD" w:eastAsia="ru-RU"/>
        </w:rPr>
        <w:t xml:space="preserve"> положений </w:t>
      </w:r>
      <w:r w:rsidR="001A69E4" w:rsidRPr="00EC5A7B">
        <w:rPr>
          <w:rFonts w:asciiTheme="majorHAnsi" w:eastAsia="Times New Roman" w:hAnsiTheme="majorHAnsi" w:cstheme="majorHAnsi"/>
          <w:bCs/>
          <w:sz w:val="24"/>
          <w:szCs w:val="24"/>
          <w:lang w:val="ru-MD" w:eastAsia="ru-RU"/>
        </w:rPr>
        <w:t>о надел</w:t>
      </w:r>
      <w:r w:rsidRPr="00EC5A7B">
        <w:rPr>
          <w:rFonts w:asciiTheme="majorHAnsi" w:eastAsia="Times New Roman" w:hAnsiTheme="majorHAnsi" w:cstheme="majorHAnsi"/>
          <w:bCs/>
          <w:sz w:val="24"/>
          <w:szCs w:val="24"/>
          <w:lang w:val="ru-MD" w:eastAsia="ru-RU"/>
        </w:rPr>
        <w:t>ени</w:t>
      </w:r>
      <w:r w:rsidR="001A69E4" w:rsidRPr="00EC5A7B">
        <w:rPr>
          <w:rFonts w:asciiTheme="majorHAnsi" w:eastAsia="Times New Roman" w:hAnsiTheme="majorHAnsi" w:cstheme="majorHAnsi"/>
          <w:bCs/>
          <w:sz w:val="24"/>
          <w:szCs w:val="24"/>
          <w:lang w:val="ru-MD" w:eastAsia="ru-RU"/>
        </w:rPr>
        <w:t>и</w:t>
      </w:r>
      <w:r w:rsidRPr="00EC5A7B">
        <w:rPr>
          <w:rFonts w:asciiTheme="majorHAnsi" w:eastAsia="Times New Roman" w:hAnsiTheme="majorHAnsi" w:cstheme="majorHAnsi"/>
          <w:bCs/>
          <w:sz w:val="24"/>
          <w:szCs w:val="24"/>
          <w:lang w:val="ru-MD" w:eastAsia="ru-RU"/>
        </w:rPr>
        <w:t xml:space="preserve"> МФ</w:t>
      </w:r>
      <w:r w:rsidR="001A69E4" w:rsidRPr="00EC5A7B">
        <w:rPr>
          <w:rFonts w:asciiTheme="majorHAnsi" w:eastAsia="Times New Roman" w:hAnsiTheme="majorHAnsi" w:cstheme="majorHAnsi"/>
          <w:bCs/>
          <w:sz w:val="24"/>
          <w:szCs w:val="24"/>
          <w:lang w:val="ru-MD" w:eastAsia="ru-RU"/>
        </w:rPr>
        <w:t xml:space="preserve"> полномочиями</w:t>
      </w:r>
      <w:r w:rsidRPr="00EC5A7B">
        <w:rPr>
          <w:rFonts w:asciiTheme="majorHAnsi" w:eastAsia="Times New Roman" w:hAnsiTheme="majorHAnsi" w:cstheme="majorHAnsi"/>
          <w:bCs/>
          <w:sz w:val="24"/>
          <w:szCs w:val="24"/>
          <w:lang w:val="ru-MD" w:eastAsia="ru-RU"/>
        </w:rPr>
        <w:t xml:space="preserve"> </w:t>
      </w:r>
      <w:r w:rsidR="001A69E4" w:rsidRPr="00EC5A7B">
        <w:rPr>
          <w:rFonts w:asciiTheme="majorHAnsi" w:eastAsia="Times New Roman" w:hAnsiTheme="majorHAnsi" w:cstheme="majorHAnsi"/>
          <w:bCs/>
          <w:sz w:val="24"/>
          <w:szCs w:val="24"/>
          <w:lang w:val="ru-MD" w:eastAsia="ru-RU"/>
        </w:rPr>
        <w:t>по</w:t>
      </w:r>
      <w:r w:rsidRPr="00EC5A7B">
        <w:rPr>
          <w:rFonts w:asciiTheme="majorHAnsi" w:eastAsia="Times New Roman" w:hAnsiTheme="majorHAnsi" w:cstheme="majorHAnsi"/>
          <w:bCs/>
          <w:sz w:val="24"/>
          <w:szCs w:val="24"/>
          <w:lang w:val="ru-MD" w:eastAsia="ru-RU"/>
        </w:rPr>
        <w:t xml:space="preserve"> создани</w:t>
      </w:r>
      <w:r w:rsidR="001A69E4" w:rsidRPr="00EC5A7B">
        <w:rPr>
          <w:rFonts w:asciiTheme="majorHAnsi" w:eastAsia="Times New Roman" w:hAnsiTheme="majorHAnsi" w:cstheme="majorHAnsi"/>
          <w:bCs/>
          <w:sz w:val="24"/>
          <w:szCs w:val="24"/>
          <w:lang w:val="ru-MD" w:eastAsia="ru-RU"/>
        </w:rPr>
        <w:t>ю</w:t>
      </w:r>
      <w:r w:rsidRPr="00EC5A7B">
        <w:rPr>
          <w:rFonts w:asciiTheme="majorHAnsi" w:eastAsia="Times New Roman" w:hAnsiTheme="majorHAnsi" w:cstheme="majorHAnsi"/>
          <w:bCs/>
          <w:sz w:val="24"/>
          <w:szCs w:val="24"/>
          <w:lang w:val="ru-MD" w:eastAsia="ru-RU"/>
        </w:rPr>
        <w:t xml:space="preserve"> резервов ликвидности путем выдачи ГЦБ и ii) делегировани</w:t>
      </w:r>
      <w:r w:rsidR="001A69E4" w:rsidRPr="00EC5A7B">
        <w:rPr>
          <w:rFonts w:asciiTheme="majorHAnsi" w:eastAsia="Times New Roman" w:hAnsiTheme="majorHAnsi" w:cstheme="majorHAnsi"/>
          <w:bCs/>
          <w:sz w:val="24"/>
          <w:szCs w:val="24"/>
          <w:lang w:val="ru-MD" w:eastAsia="ru-RU"/>
        </w:rPr>
        <w:t>я</w:t>
      </w:r>
      <w:r w:rsidRPr="00EC5A7B">
        <w:rPr>
          <w:rFonts w:asciiTheme="majorHAnsi" w:eastAsia="Times New Roman" w:hAnsiTheme="majorHAnsi" w:cstheme="majorHAnsi"/>
          <w:bCs/>
          <w:sz w:val="24"/>
          <w:szCs w:val="24"/>
          <w:lang w:val="ru-MD" w:eastAsia="ru-RU"/>
        </w:rPr>
        <w:t xml:space="preserve"> </w:t>
      </w:r>
      <w:r w:rsidR="001A69E4" w:rsidRPr="00EC5A7B">
        <w:rPr>
          <w:rFonts w:asciiTheme="majorHAnsi" w:hAnsiTheme="majorHAnsi" w:cstheme="majorHAnsi"/>
          <w:bCs/>
          <w:sz w:val="24"/>
          <w:szCs w:val="24"/>
          <w:lang w:val="ru-MD"/>
        </w:rPr>
        <w:t>ОРМСП</w:t>
      </w:r>
      <w:r w:rsidR="001A69E4" w:rsidRPr="00EC5A7B">
        <w:rPr>
          <w:rFonts w:asciiTheme="majorHAnsi" w:eastAsia="Times New Roman" w:hAnsiTheme="majorHAnsi" w:cstheme="majorHAnsi"/>
          <w:bCs/>
          <w:sz w:val="24"/>
          <w:szCs w:val="24"/>
          <w:lang w:val="ru-MD" w:eastAsia="ru-RU"/>
        </w:rPr>
        <w:t xml:space="preserve"> </w:t>
      </w:r>
      <w:r w:rsidRPr="00EC5A7B">
        <w:rPr>
          <w:rFonts w:asciiTheme="majorHAnsi" w:eastAsia="Times New Roman" w:hAnsiTheme="majorHAnsi" w:cstheme="majorHAnsi"/>
          <w:bCs/>
          <w:sz w:val="24"/>
          <w:szCs w:val="24"/>
          <w:lang w:val="ru-MD" w:eastAsia="ru-RU"/>
        </w:rPr>
        <w:t xml:space="preserve">права выдавать гарантии от имени и за счет государства бенефициарам государственной программы </w:t>
      </w:r>
      <w:r w:rsidR="00EC5A7B">
        <w:rPr>
          <w:rFonts w:asciiTheme="majorHAnsi" w:eastAsia="Times New Roman" w:hAnsiTheme="majorHAnsi" w:cstheme="majorHAnsi"/>
          <w:bCs/>
          <w:sz w:val="24"/>
          <w:szCs w:val="24"/>
          <w:lang w:val="ru-MD" w:eastAsia="ru-RU"/>
        </w:rPr>
        <w:t>“Первый дом”</w:t>
      </w:r>
      <w:r w:rsidRPr="00EC5A7B">
        <w:rPr>
          <w:rFonts w:asciiTheme="majorHAnsi" w:eastAsia="Times New Roman" w:hAnsiTheme="majorHAnsi" w:cstheme="majorHAnsi"/>
          <w:bCs/>
          <w:sz w:val="24"/>
          <w:szCs w:val="24"/>
          <w:lang w:val="ru-MD" w:eastAsia="ru-RU"/>
        </w:rPr>
        <w:t xml:space="preserve">. Изложенные </w:t>
      </w:r>
      <w:r w:rsidR="001A69E4" w:rsidRPr="00EC5A7B">
        <w:rPr>
          <w:rFonts w:asciiTheme="majorHAnsi" w:eastAsia="Times New Roman" w:hAnsiTheme="majorHAnsi" w:cstheme="majorHAnsi"/>
          <w:bCs/>
          <w:sz w:val="24"/>
          <w:szCs w:val="24"/>
          <w:lang w:val="ru-MD" w:eastAsia="ru-RU"/>
        </w:rPr>
        <w:t>аспект</w:t>
      </w:r>
      <w:r w:rsidRPr="00EC5A7B">
        <w:rPr>
          <w:rFonts w:asciiTheme="majorHAnsi" w:eastAsia="Times New Roman" w:hAnsiTheme="majorHAnsi" w:cstheme="majorHAnsi"/>
          <w:bCs/>
          <w:sz w:val="24"/>
          <w:szCs w:val="24"/>
          <w:lang w:val="ru-MD" w:eastAsia="ru-RU"/>
        </w:rPr>
        <w:t xml:space="preserve">ы, а также наличие </w:t>
      </w:r>
      <w:r w:rsidR="001A69E4" w:rsidRPr="00EC5A7B">
        <w:rPr>
          <w:rFonts w:asciiTheme="majorHAnsi" w:eastAsia="Times New Roman" w:hAnsiTheme="majorHAnsi" w:cstheme="majorHAnsi"/>
          <w:bCs/>
          <w:sz w:val="24"/>
          <w:szCs w:val="24"/>
          <w:lang w:val="ru-MD" w:eastAsia="ru-RU"/>
        </w:rPr>
        <w:t>высок</w:t>
      </w:r>
      <w:r w:rsidRPr="00EC5A7B">
        <w:rPr>
          <w:rFonts w:asciiTheme="majorHAnsi" w:eastAsia="Times New Roman" w:hAnsiTheme="majorHAnsi" w:cstheme="majorHAnsi"/>
          <w:bCs/>
          <w:sz w:val="24"/>
          <w:szCs w:val="24"/>
          <w:lang w:val="ru-MD" w:eastAsia="ru-RU"/>
        </w:rPr>
        <w:t>ого риска нев</w:t>
      </w:r>
      <w:r w:rsidR="001A69E4" w:rsidRPr="00EC5A7B">
        <w:rPr>
          <w:rFonts w:asciiTheme="majorHAnsi" w:eastAsia="Times New Roman" w:hAnsiTheme="majorHAnsi" w:cstheme="majorHAnsi"/>
          <w:bCs/>
          <w:sz w:val="24"/>
          <w:szCs w:val="24"/>
          <w:lang w:val="ru-MD" w:eastAsia="ru-RU"/>
        </w:rPr>
        <w:t>озмещ</w:t>
      </w:r>
      <w:r w:rsidRPr="00EC5A7B">
        <w:rPr>
          <w:rFonts w:asciiTheme="majorHAnsi" w:eastAsia="Times New Roman" w:hAnsiTheme="majorHAnsi" w:cstheme="majorHAnsi"/>
          <w:bCs/>
          <w:sz w:val="24"/>
          <w:szCs w:val="24"/>
          <w:lang w:val="ru-MD" w:eastAsia="ru-RU"/>
        </w:rPr>
        <w:t xml:space="preserve">ения долгов банков, </w:t>
      </w:r>
      <w:r w:rsidR="001A69E4" w:rsidRPr="00EC5A7B">
        <w:rPr>
          <w:rFonts w:asciiTheme="majorHAnsi" w:eastAsia="Times New Roman" w:hAnsiTheme="majorHAnsi" w:cstheme="majorHAnsi"/>
          <w:bCs/>
          <w:sz w:val="24"/>
          <w:szCs w:val="24"/>
          <w:lang w:val="ru-MD" w:eastAsia="ru-RU"/>
        </w:rPr>
        <w:t>находящихся в процессе</w:t>
      </w:r>
      <w:r w:rsidRPr="00EC5A7B">
        <w:rPr>
          <w:rFonts w:asciiTheme="majorHAnsi" w:eastAsia="Times New Roman" w:hAnsiTheme="majorHAnsi" w:cstheme="majorHAnsi"/>
          <w:bCs/>
          <w:sz w:val="24"/>
          <w:szCs w:val="24"/>
          <w:lang w:val="ru-MD" w:eastAsia="ru-RU"/>
        </w:rPr>
        <w:t xml:space="preserve"> ликвидации, задолженностей рекредитованных и гарантированных государством бенефициаров, могут существенно повлиять на устойчивость всей бюджетной системы</w:t>
      </w:r>
      <w:r w:rsidR="001A69E4" w:rsidRPr="00EC5A7B">
        <w:rPr>
          <w:rFonts w:asciiTheme="majorHAnsi" w:eastAsia="Times New Roman" w:hAnsiTheme="majorHAnsi" w:cstheme="majorHAnsi"/>
          <w:bCs/>
          <w:sz w:val="24"/>
          <w:szCs w:val="24"/>
          <w:lang w:val="ru-MD" w:eastAsia="ru-RU"/>
        </w:rPr>
        <w:t>,</w:t>
      </w:r>
      <w:r w:rsidRPr="00EC5A7B">
        <w:rPr>
          <w:rFonts w:asciiTheme="majorHAnsi" w:eastAsia="Times New Roman" w:hAnsiTheme="majorHAnsi" w:cstheme="majorHAnsi"/>
          <w:bCs/>
          <w:sz w:val="24"/>
          <w:szCs w:val="24"/>
          <w:lang w:val="ru-MD" w:eastAsia="ru-RU"/>
        </w:rPr>
        <w:t xml:space="preserve"> с возможным значительным воздействием путем </w:t>
      </w:r>
      <w:r w:rsidR="001A69E4" w:rsidRPr="00EC5A7B">
        <w:rPr>
          <w:rFonts w:asciiTheme="majorHAnsi" w:eastAsia="Times New Roman" w:hAnsiTheme="majorHAnsi" w:cstheme="majorHAnsi"/>
          <w:bCs/>
          <w:sz w:val="24"/>
          <w:szCs w:val="24"/>
          <w:lang w:val="ru-MD" w:eastAsia="ru-RU"/>
        </w:rPr>
        <w:t>генериров</w:t>
      </w:r>
      <w:r w:rsidRPr="00EC5A7B">
        <w:rPr>
          <w:rFonts w:asciiTheme="majorHAnsi" w:eastAsia="Times New Roman" w:hAnsiTheme="majorHAnsi" w:cstheme="majorHAnsi"/>
          <w:bCs/>
          <w:sz w:val="24"/>
          <w:szCs w:val="24"/>
          <w:lang w:val="ru-MD" w:eastAsia="ru-RU"/>
        </w:rPr>
        <w:t xml:space="preserve">ания дополнительных расходов </w:t>
      </w:r>
      <w:r w:rsidR="001A69E4" w:rsidRPr="00EC5A7B">
        <w:rPr>
          <w:rFonts w:asciiTheme="majorHAnsi" w:eastAsia="Times New Roman" w:hAnsiTheme="majorHAnsi" w:cstheme="majorHAnsi"/>
          <w:bCs/>
          <w:sz w:val="24"/>
          <w:szCs w:val="24"/>
          <w:lang w:val="ru-MD" w:eastAsia="ru-RU"/>
        </w:rPr>
        <w:t>для</w:t>
      </w:r>
      <w:r w:rsidRPr="00EC5A7B">
        <w:rPr>
          <w:rFonts w:asciiTheme="majorHAnsi" w:eastAsia="Times New Roman" w:hAnsiTheme="majorHAnsi" w:cstheme="majorHAnsi"/>
          <w:bCs/>
          <w:sz w:val="24"/>
          <w:szCs w:val="24"/>
          <w:lang w:val="ru-MD" w:eastAsia="ru-RU"/>
        </w:rPr>
        <w:t xml:space="preserve"> государственн</w:t>
      </w:r>
      <w:r w:rsidR="001A69E4" w:rsidRPr="00EC5A7B">
        <w:rPr>
          <w:rFonts w:asciiTheme="majorHAnsi" w:eastAsia="Times New Roman" w:hAnsiTheme="majorHAnsi" w:cstheme="majorHAnsi"/>
          <w:bCs/>
          <w:sz w:val="24"/>
          <w:szCs w:val="24"/>
          <w:lang w:val="ru-MD" w:eastAsia="ru-RU"/>
        </w:rPr>
        <w:t>ого</w:t>
      </w:r>
      <w:r w:rsidRPr="00EC5A7B">
        <w:rPr>
          <w:rFonts w:asciiTheme="majorHAnsi" w:eastAsia="Times New Roman" w:hAnsiTheme="majorHAnsi" w:cstheme="majorHAnsi"/>
          <w:bCs/>
          <w:sz w:val="24"/>
          <w:szCs w:val="24"/>
          <w:lang w:val="ru-MD" w:eastAsia="ru-RU"/>
        </w:rPr>
        <w:t xml:space="preserve"> бюджет</w:t>
      </w:r>
      <w:r w:rsidR="001A69E4" w:rsidRPr="00EC5A7B">
        <w:rPr>
          <w:rFonts w:asciiTheme="majorHAnsi" w:eastAsia="Times New Roman" w:hAnsiTheme="majorHAnsi" w:cstheme="majorHAnsi"/>
          <w:bCs/>
          <w:sz w:val="24"/>
          <w:szCs w:val="24"/>
          <w:lang w:val="ru-MD" w:eastAsia="ru-RU"/>
        </w:rPr>
        <w:t>а</w:t>
      </w:r>
      <w:r w:rsidR="001F183A" w:rsidRPr="00EC5A7B">
        <w:rPr>
          <w:rFonts w:asciiTheme="majorHAnsi" w:eastAsia="Times New Roman" w:hAnsiTheme="majorHAnsi" w:cstheme="majorHAnsi"/>
          <w:bCs/>
          <w:sz w:val="24"/>
          <w:szCs w:val="24"/>
          <w:lang w:val="ru-MD" w:eastAsia="ru-RU"/>
        </w:rPr>
        <w:t>.</w:t>
      </w:r>
    </w:p>
    <w:p w14:paraId="3C4F2507" w14:textId="76D21A13" w:rsidR="00F24F0A" w:rsidRPr="00EC5A7B" w:rsidRDefault="005255CE" w:rsidP="00F24F0A">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t xml:space="preserve">Таким образом, в результате проведенной аудиторской </w:t>
      </w:r>
      <w:r w:rsidR="001A69E4" w:rsidRPr="00EC5A7B">
        <w:rPr>
          <w:rFonts w:asciiTheme="majorHAnsi" w:eastAsia="Times New Roman" w:hAnsiTheme="majorHAnsi" w:cstheme="majorHAnsi"/>
          <w:bCs/>
          <w:sz w:val="24"/>
          <w:szCs w:val="24"/>
          <w:lang w:val="ru-MD" w:eastAsia="ru-RU"/>
        </w:rPr>
        <w:t>миссии,</w:t>
      </w:r>
      <w:r w:rsidRPr="00EC5A7B">
        <w:rPr>
          <w:rFonts w:asciiTheme="majorHAnsi" w:eastAsia="Times New Roman" w:hAnsiTheme="majorHAnsi" w:cstheme="majorHAnsi"/>
          <w:bCs/>
          <w:sz w:val="24"/>
          <w:szCs w:val="24"/>
          <w:lang w:val="ru-MD" w:eastAsia="ru-RU"/>
        </w:rPr>
        <w:t xml:space="preserve"> отмечается необходимость консолидации процесса управления государственным долгом путем регулярного мониторинга показателей устойчивости и уязвимости, а также установленных параметров риска, принятия необходимых мер для </w:t>
      </w:r>
      <w:r w:rsidR="001A69E4" w:rsidRPr="00EC5A7B">
        <w:rPr>
          <w:rFonts w:asciiTheme="majorHAnsi" w:eastAsia="Times New Roman" w:hAnsiTheme="majorHAnsi" w:cstheme="majorHAnsi"/>
          <w:bCs/>
          <w:sz w:val="24"/>
          <w:szCs w:val="24"/>
          <w:lang w:val="ru-MD" w:eastAsia="ru-RU"/>
        </w:rPr>
        <w:t>соблюдения</w:t>
      </w:r>
      <w:r w:rsidRPr="00EC5A7B">
        <w:rPr>
          <w:rFonts w:asciiTheme="majorHAnsi" w:eastAsia="Times New Roman" w:hAnsiTheme="majorHAnsi" w:cstheme="majorHAnsi"/>
          <w:bCs/>
          <w:sz w:val="24"/>
          <w:szCs w:val="24"/>
          <w:lang w:val="ru-MD" w:eastAsia="ru-RU"/>
        </w:rPr>
        <w:t xml:space="preserve"> установленных </w:t>
      </w:r>
      <w:r w:rsidR="001A69E4" w:rsidRPr="00EC5A7B">
        <w:rPr>
          <w:rFonts w:asciiTheme="majorHAnsi" w:eastAsia="Times New Roman" w:hAnsiTheme="majorHAnsi" w:cstheme="majorHAnsi"/>
          <w:bCs/>
          <w:sz w:val="24"/>
          <w:szCs w:val="24"/>
          <w:lang w:val="ru-MD" w:eastAsia="ru-RU"/>
        </w:rPr>
        <w:t xml:space="preserve">для них </w:t>
      </w:r>
      <w:r w:rsidRPr="00EC5A7B">
        <w:rPr>
          <w:rFonts w:asciiTheme="majorHAnsi" w:eastAsia="Times New Roman" w:hAnsiTheme="majorHAnsi" w:cstheme="majorHAnsi"/>
          <w:bCs/>
          <w:sz w:val="24"/>
          <w:szCs w:val="24"/>
          <w:lang w:val="ru-MD" w:eastAsia="ru-RU"/>
        </w:rPr>
        <w:t>предел</w:t>
      </w:r>
      <w:r w:rsidR="001A69E4" w:rsidRPr="00EC5A7B">
        <w:rPr>
          <w:rFonts w:asciiTheme="majorHAnsi" w:eastAsia="Times New Roman" w:hAnsiTheme="majorHAnsi" w:cstheme="majorHAnsi"/>
          <w:bCs/>
          <w:sz w:val="24"/>
          <w:szCs w:val="24"/>
          <w:lang w:val="ru-MD" w:eastAsia="ru-RU"/>
        </w:rPr>
        <w:t>ов,</w:t>
      </w:r>
      <w:r w:rsidRPr="00EC5A7B">
        <w:rPr>
          <w:rFonts w:asciiTheme="majorHAnsi" w:eastAsia="Times New Roman" w:hAnsiTheme="majorHAnsi" w:cstheme="majorHAnsi"/>
          <w:bCs/>
          <w:sz w:val="24"/>
          <w:szCs w:val="24"/>
          <w:lang w:val="ru-MD" w:eastAsia="ru-RU"/>
        </w:rPr>
        <w:t xml:space="preserve"> и недопущения формирования дополнительных финансовых расходов </w:t>
      </w:r>
      <w:r w:rsidR="001A69E4" w:rsidRPr="00EC5A7B">
        <w:rPr>
          <w:rFonts w:asciiTheme="majorHAnsi" w:eastAsia="Times New Roman" w:hAnsiTheme="majorHAnsi" w:cstheme="majorHAnsi"/>
          <w:bCs/>
          <w:sz w:val="24"/>
          <w:szCs w:val="24"/>
          <w:lang w:val="ru-MD" w:eastAsia="ru-RU"/>
        </w:rPr>
        <w:t>из</w:t>
      </w:r>
      <w:r w:rsidRPr="00EC5A7B">
        <w:rPr>
          <w:rFonts w:asciiTheme="majorHAnsi" w:eastAsia="Times New Roman" w:hAnsiTheme="majorHAnsi" w:cstheme="majorHAnsi"/>
          <w:bCs/>
          <w:sz w:val="24"/>
          <w:szCs w:val="24"/>
          <w:lang w:val="ru-MD" w:eastAsia="ru-RU"/>
        </w:rPr>
        <w:t xml:space="preserve"> государственного бюджета. </w:t>
      </w:r>
    </w:p>
    <w:p w14:paraId="2DD5D3EA" w14:textId="5584E010" w:rsidR="008E79E8" w:rsidRPr="00EC5A7B" w:rsidRDefault="001A69E4" w:rsidP="00F24F0A">
      <w:pPr>
        <w:pStyle w:val="NoSpacing"/>
        <w:spacing w:after="240" w:line="276" w:lineRule="auto"/>
        <w:jc w:val="both"/>
        <w:rPr>
          <w:rFonts w:asciiTheme="majorHAnsi" w:eastAsia="Times New Roman" w:hAnsiTheme="majorHAnsi" w:cstheme="majorHAnsi"/>
          <w:bCs/>
          <w:sz w:val="24"/>
          <w:szCs w:val="24"/>
          <w:lang w:val="ru-MD" w:eastAsia="ru-RU"/>
        </w:rPr>
      </w:pPr>
      <w:r w:rsidRPr="00EC5A7B">
        <w:rPr>
          <w:rFonts w:asciiTheme="majorHAnsi" w:eastAsia="Times New Roman" w:hAnsiTheme="majorHAnsi" w:cstheme="majorHAnsi"/>
          <w:bCs/>
          <w:sz w:val="24"/>
          <w:szCs w:val="24"/>
          <w:lang w:val="ru-MD" w:eastAsia="ru-RU"/>
        </w:rPr>
        <w:lastRenderedPageBreak/>
        <w:t>На основании</w:t>
      </w:r>
      <w:r w:rsidR="005255CE" w:rsidRPr="00EC5A7B">
        <w:rPr>
          <w:rFonts w:asciiTheme="majorHAnsi" w:eastAsia="Times New Roman" w:hAnsiTheme="majorHAnsi" w:cstheme="majorHAnsi"/>
          <w:bCs/>
          <w:sz w:val="24"/>
          <w:szCs w:val="24"/>
          <w:lang w:val="ru-MD" w:eastAsia="ru-RU"/>
        </w:rPr>
        <w:t xml:space="preserve"> результат</w:t>
      </w:r>
      <w:r w:rsidRPr="00EC5A7B">
        <w:rPr>
          <w:rFonts w:asciiTheme="majorHAnsi" w:eastAsia="Times New Roman" w:hAnsiTheme="majorHAnsi" w:cstheme="majorHAnsi"/>
          <w:bCs/>
          <w:sz w:val="24"/>
          <w:szCs w:val="24"/>
          <w:lang w:val="ru-MD" w:eastAsia="ru-RU"/>
        </w:rPr>
        <w:t>ов</w:t>
      </w:r>
      <w:r w:rsidR="005255CE" w:rsidRPr="00EC5A7B">
        <w:rPr>
          <w:rFonts w:asciiTheme="majorHAnsi" w:eastAsia="Times New Roman" w:hAnsiTheme="majorHAnsi" w:cstheme="majorHAnsi"/>
          <w:bCs/>
          <w:sz w:val="24"/>
          <w:szCs w:val="24"/>
          <w:lang w:val="ru-MD" w:eastAsia="ru-RU"/>
        </w:rPr>
        <w:t xml:space="preserve"> аудиторской </w:t>
      </w:r>
      <w:r w:rsidRPr="00EC5A7B">
        <w:rPr>
          <w:rFonts w:asciiTheme="majorHAnsi" w:eastAsia="Times New Roman" w:hAnsiTheme="majorHAnsi" w:cstheme="majorHAnsi"/>
          <w:bCs/>
          <w:sz w:val="24"/>
          <w:szCs w:val="24"/>
          <w:lang w:val="ru-MD" w:eastAsia="ru-RU"/>
        </w:rPr>
        <w:t>миссии</w:t>
      </w:r>
      <w:r w:rsidR="005255CE" w:rsidRPr="00EC5A7B">
        <w:rPr>
          <w:rFonts w:asciiTheme="majorHAnsi" w:eastAsia="Times New Roman" w:hAnsiTheme="majorHAnsi" w:cstheme="majorHAnsi"/>
          <w:bCs/>
          <w:sz w:val="24"/>
          <w:szCs w:val="24"/>
          <w:lang w:val="ru-MD" w:eastAsia="ru-RU"/>
        </w:rPr>
        <w:t xml:space="preserve">, проведенной в Министерстве финансов и </w:t>
      </w:r>
      <w:r w:rsidR="005A4733" w:rsidRPr="00EC5A7B">
        <w:rPr>
          <w:rFonts w:asciiTheme="majorHAnsi" w:eastAsia="Times New Roman" w:hAnsiTheme="majorHAnsi" w:cstheme="majorHAnsi"/>
          <w:bCs/>
          <w:sz w:val="24"/>
          <w:szCs w:val="24"/>
          <w:lang w:val="ru-MD" w:eastAsia="ru-RU"/>
        </w:rPr>
        <w:t>Д</w:t>
      </w:r>
      <w:r w:rsidR="005255CE" w:rsidRPr="00EC5A7B">
        <w:rPr>
          <w:rFonts w:asciiTheme="majorHAnsi" w:eastAsia="Times New Roman" w:hAnsiTheme="majorHAnsi" w:cstheme="majorHAnsi"/>
          <w:bCs/>
          <w:sz w:val="24"/>
          <w:szCs w:val="24"/>
          <w:lang w:val="ru-MD" w:eastAsia="ru-RU"/>
        </w:rPr>
        <w:t xml:space="preserve">иректорате кредитной линии, аудит подтверждает, что </w:t>
      </w:r>
      <w:r w:rsidRPr="00EC5A7B">
        <w:rPr>
          <w:rFonts w:asciiTheme="majorHAnsi" w:eastAsia="Times New Roman" w:hAnsiTheme="majorHAnsi" w:cstheme="majorHAnsi"/>
          <w:bCs/>
          <w:sz w:val="24"/>
          <w:szCs w:val="24"/>
          <w:lang w:val="ru-MD" w:eastAsia="ru-RU"/>
        </w:rPr>
        <w:t>О</w:t>
      </w:r>
      <w:r w:rsidR="005255CE" w:rsidRPr="00EC5A7B">
        <w:rPr>
          <w:rFonts w:asciiTheme="majorHAnsi" w:eastAsia="Times New Roman" w:hAnsiTheme="majorHAnsi" w:cstheme="majorHAnsi"/>
          <w:bCs/>
          <w:sz w:val="24"/>
          <w:szCs w:val="24"/>
          <w:lang w:val="ru-MD" w:eastAsia="ru-RU"/>
        </w:rPr>
        <w:t xml:space="preserve">тчет о ситуации в области </w:t>
      </w:r>
      <w:r w:rsidRPr="00EC5A7B">
        <w:rPr>
          <w:rFonts w:asciiTheme="majorHAnsi" w:eastAsia="Times New Roman" w:hAnsiTheme="majorHAnsi" w:cstheme="majorHAnsi"/>
          <w:bCs/>
          <w:sz w:val="24"/>
          <w:szCs w:val="24"/>
          <w:lang w:val="ru-MD" w:eastAsia="ru-RU"/>
        </w:rPr>
        <w:t>долга</w:t>
      </w:r>
      <w:r w:rsidR="005255CE" w:rsidRPr="00EC5A7B">
        <w:rPr>
          <w:rFonts w:asciiTheme="majorHAnsi" w:eastAsia="Times New Roman" w:hAnsiTheme="majorHAnsi" w:cstheme="majorHAnsi"/>
          <w:bCs/>
          <w:sz w:val="24"/>
          <w:szCs w:val="24"/>
          <w:lang w:val="ru-MD" w:eastAsia="ru-RU"/>
        </w:rPr>
        <w:t xml:space="preserve"> </w:t>
      </w:r>
      <w:r w:rsidRPr="00EC5A7B">
        <w:rPr>
          <w:rFonts w:asciiTheme="majorHAnsi" w:eastAsia="Times New Roman" w:hAnsiTheme="majorHAnsi" w:cstheme="majorHAnsi"/>
          <w:bCs/>
          <w:sz w:val="24"/>
          <w:szCs w:val="24"/>
          <w:lang w:val="ru-MD" w:eastAsia="ru-RU"/>
        </w:rPr>
        <w:t>публич</w:t>
      </w:r>
      <w:r w:rsidR="005255CE" w:rsidRPr="00EC5A7B">
        <w:rPr>
          <w:rFonts w:asciiTheme="majorHAnsi" w:eastAsia="Times New Roman" w:hAnsiTheme="majorHAnsi" w:cstheme="majorHAnsi"/>
          <w:bCs/>
          <w:sz w:val="24"/>
          <w:szCs w:val="24"/>
          <w:lang w:val="ru-MD" w:eastAsia="ru-RU"/>
        </w:rPr>
        <w:t>ного сектора, государственных гарантий и государственного ре</w:t>
      </w:r>
      <w:r w:rsidR="005A646D" w:rsidRPr="00EC5A7B">
        <w:rPr>
          <w:rFonts w:asciiTheme="majorHAnsi" w:eastAsia="Times New Roman" w:hAnsiTheme="majorHAnsi" w:cstheme="majorHAnsi"/>
          <w:bCs/>
          <w:sz w:val="24"/>
          <w:szCs w:val="24"/>
          <w:lang w:val="ru-MD" w:eastAsia="ru-RU"/>
        </w:rPr>
        <w:t>кредитования</w:t>
      </w:r>
      <w:r w:rsidR="005255CE" w:rsidRPr="00EC5A7B">
        <w:rPr>
          <w:rFonts w:asciiTheme="majorHAnsi" w:eastAsia="Times New Roman" w:hAnsiTheme="majorHAnsi" w:cstheme="majorHAnsi"/>
          <w:bCs/>
          <w:sz w:val="24"/>
          <w:szCs w:val="24"/>
          <w:lang w:val="ru-MD" w:eastAsia="ru-RU"/>
        </w:rPr>
        <w:t xml:space="preserve"> на 2019 год был разработан в соответствии с данными, зарегистрированными в </w:t>
      </w:r>
      <w:r w:rsidR="005A646D" w:rsidRPr="00EC5A7B">
        <w:rPr>
          <w:rFonts w:asciiTheme="majorHAnsi" w:eastAsia="Times New Roman" w:hAnsiTheme="majorHAnsi" w:cstheme="majorHAnsi"/>
          <w:bCs/>
          <w:sz w:val="24"/>
          <w:szCs w:val="24"/>
          <w:lang w:val="ru-MD" w:eastAsia="ru-RU"/>
        </w:rPr>
        <w:t>Г</w:t>
      </w:r>
      <w:r w:rsidR="005255CE" w:rsidRPr="00EC5A7B">
        <w:rPr>
          <w:rFonts w:asciiTheme="majorHAnsi" w:eastAsia="Times New Roman" w:hAnsiTheme="majorHAnsi" w:cstheme="majorHAnsi"/>
          <w:bCs/>
          <w:sz w:val="24"/>
          <w:szCs w:val="24"/>
          <w:lang w:val="ru-MD" w:eastAsia="ru-RU"/>
        </w:rPr>
        <w:t xml:space="preserve">осударственных отчетах о государственном долге, государственных гарантиях и государственном </w:t>
      </w:r>
      <w:r w:rsidR="005A646D" w:rsidRPr="00EC5A7B">
        <w:rPr>
          <w:rFonts w:asciiTheme="majorHAnsi" w:eastAsia="Times New Roman" w:hAnsiTheme="majorHAnsi" w:cstheme="majorHAnsi"/>
          <w:bCs/>
          <w:sz w:val="24"/>
          <w:szCs w:val="24"/>
          <w:lang w:val="ru-MD" w:eastAsia="ru-RU"/>
        </w:rPr>
        <w:t>рекредитовании</w:t>
      </w:r>
      <w:r w:rsidR="005255CE" w:rsidRPr="00EC5A7B">
        <w:rPr>
          <w:rFonts w:asciiTheme="majorHAnsi" w:eastAsia="Times New Roman" w:hAnsiTheme="majorHAnsi" w:cstheme="majorHAnsi"/>
          <w:bCs/>
          <w:sz w:val="24"/>
          <w:szCs w:val="24"/>
          <w:lang w:val="ru-MD" w:eastAsia="ru-RU"/>
        </w:rPr>
        <w:t xml:space="preserve">, с данными, полученными </w:t>
      </w:r>
      <w:r w:rsidR="005A646D" w:rsidRPr="00EC5A7B">
        <w:rPr>
          <w:rFonts w:asciiTheme="majorHAnsi" w:eastAsia="Times New Roman" w:hAnsiTheme="majorHAnsi" w:cstheme="majorHAnsi"/>
          <w:bCs/>
          <w:sz w:val="24"/>
          <w:szCs w:val="24"/>
          <w:lang w:val="ru-MD" w:eastAsia="ru-RU"/>
        </w:rPr>
        <w:t>из ИС</w:t>
      </w:r>
      <w:r w:rsidR="005255CE" w:rsidRPr="00EC5A7B">
        <w:rPr>
          <w:rFonts w:asciiTheme="majorHAnsi" w:eastAsia="Times New Roman" w:hAnsiTheme="majorHAnsi" w:cstheme="majorHAnsi"/>
          <w:bCs/>
          <w:sz w:val="24"/>
          <w:szCs w:val="24"/>
          <w:lang w:val="ru-MD" w:eastAsia="ru-RU"/>
        </w:rPr>
        <w:t xml:space="preserve"> </w:t>
      </w:r>
      <w:r w:rsidR="005A646D" w:rsidRPr="00EC5A7B">
        <w:rPr>
          <w:rFonts w:asciiTheme="majorHAnsi" w:hAnsiTheme="majorHAnsi" w:cstheme="majorHAnsi"/>
          <w:sz w:val="24"/>
          <w:szCs w:val="24"/>
          <w:lang w:val="ru-MD" w:eastAsia="ru-RU"/>
        </w:rPr>
        <w:t>МФАПД</w:t>
      </w:r>
      <w:r w:rsidR="005255CE" w:rsidRPr="00EC5A7B">
        <w:rPr>
          <w:rFonts w:asciiTheme="majorHAnsi" w:eastAsia="Times New Roman" w:hAnsiTheme="majorHAnsi" w:cstheme="majorHAnsi"/>
          <w:bCs/>
          <w:sz w:val="24"/>
          <w:szCs w:val="24"/>
          <w:lang w:val="ru-MD" w:eastAsia="ru-RU"/>
        </w:rPr>
        <w:t xml:space="preserve">, с данными о кассовом исполнении государственного бюджета </w:t>
      </w:r>
      <w:r w:rsidR="005A646D" w:rsidRPr="00EC5A7B">
        <w:rPr>
          <w:rFonts w:asciiTheme="majorHAnsi" w:eastAsia="Times New Roman" w:hAnsiTheme="majorHAnsi" w:cstheme="majorHAnsi"/>
          <w:bCs/>
          <w:sz w:val="24"/>
          <w:szCs w:val="24"/>
          <w:lang w:val="ru-MD" w:eastAsia="ru-RU"/>
        </w:rPr>
        <w:t xml:space="preserve">из </w:t>
      </w:r>
      <w:r w:rsidR="005255CE" w:rsidRPr="00EC5A7B">
        <w:rPr>
          <w:rFonts w:asciiTheme="majorHAnsi" w:eastAsia="Times New Roman" w:hAnsiTheme="majorHAnsi" w:cstheme="majorHAnsi"/>
          <w:bCs/>
          <w:sz w:val="24"/>
          <w:szCs w:val="24"/>
          <w:lang w:val="ru-MD" w:eastAsia="ru-RU"/>
        </w:rPr>
        <w:t xml:space="preserve">системы </w:t>
      </w:r>
      <w:r w:rsidR="005A646D" w:rsidRPr="00EC5A7B">
        <w:rPr>
          <w:rFonts w:asciiTheme="majorHAnsi" w:eastAsia="Times New Roman" w:hAnsiTheme="majorHAnsi" w:cstheme="majorHAnsi"/>
          <w:bCs/>
          <w:sz w:val="24"/>
          <w:szCs w:val="24"/>
          <w:lang w:val="ru-MD" w:eastAsia="ru-RU"/>
        </w:rPr>
        <w:t>Г</w:t>
      </w:r>
      <w:r w:rsidR="005255CE" w:rsidRPr="00EC5A7B">
        <w:rPr>
          <w:rFonts w:asciiTheme="majorHAnsi" w:eastAsia="Times New Roman" w:hAnsiTheme="majorHAnsi" w:cstheme="majorHAnsi"/>
          <w:bCs/>
          <w:sz w:val="24"/>
          <w:szCs w:val="24"/>
          <w:lang w:val="ru-MD" w:eastAsia="ru-RU"/>
        </w:rPr>
        <w:t>осударственного казначейства</w:t>
      </w:r>
      <w:r w:rsidR="005A646D" w:rsidRPr="00EC5A7B">
        <w:rPr>
          <w:rFonts w:asciiTheme="majorHAnsi" w:eastAsia="Times New Roman" w:hAnsiTheme="majorHAnsi" w:cstheme="majorHAnsi"/>
          <w:bCs/>
          <w:sz w:val="24"/>
          <w:szCs w:val="24"/>
          <w:lang w:val="ru-MD" w:eastAsia="ru-RU"/>
        </w:rPr>
        <w:t>,</w:t>
      </w:r>
      <w:r w:rsidR="005255CE" w:rsidRPr="00EC5A7B">
        <w:rPr>
          <w:rFonts w:asciiTheme="majorHAnsi" w:eastAsia="Times New Roman" w:hAnsiTheme="majorHAnsi" w:cstheme="majorHAnsi"/>
          <w:bCs/>
          <w:sz w:val="24"/>
          <w:szCs w:val="24"/>
          <w:lang w:val="ru-MD" w:eastAsia="ru-RU"/>
        </w:rPr>
        <w:t xml:space="preserve"> а также </w:t>
      </w:r>
      <w:r w:rsidR="005A646D" w:rsidRPr="00EC5A7B">
        <w:rPr>
          <w:rFonts w:asciiTheme="majorHAnsi" w:eastAsia="Times New Roman" w:hAnsiTheme="majorHAnsi" w:cstheme="majorHAnsi"/>
          <w:bCs/>
          <w:sz w:val="24"/>
          <w:szCs w:val="24"/>
          <w:lang w:val="ru-MD" w:eastAsia="ru-RU"/>
        </w:rPr>
        <w:t xml:space="preserve">с данными, </w:t>
      </w:r>
      <w:r w:rsidR="005255CE" w:rsidRPr="00EC5A7B">
        <w:rPr>
          <w:rFonts w:asciiTheme="majorHAnsi" w:eastAsia="Times New Roman" w:hAnsiTheme="majorHAnsi" w:cstheme="majorHAnsi"/>
          <w:bCs/>
          <w:sz w:val="24"/>
          <w:szCs w:val="24"/>
          <w:lang w:val="ru-MD" w:eastAsia="ru-RU"/>
        </w:rPr>
        <w:t>представленные и зарегистрированны</w:t>
      </w:r>
      <w:r w:rsidR="005A646D" w:rsidRPr="00EC5A7B">
        <w:rPr>
          <w:rFonts w:asciiTheme="majorHAnsi" w:eastAsia="Times New Roman" w:hAnsiTheme="majorHAnsi" w:cstheme="majorHAnsi"/>
          <w:bCs/>
          <w:sz w:val="24"/>
          <w:szCs w:val="24"/>
          <w:lang w:val="ru-MD" w:eastAsia="ru-RU"/>
        </w:rPr>
        <w:t>ми</w:t>
      </w:r>
      <w:r w:rsidR="005255CE" w:rsidRPr="00EC5A7B">
        <w:rPr>
          <w:rFonts w:asciiTheme="majorHAnsi" w:eastAsia="Times New Roman" w:hAnsiTheme="majorHAnsi" w:cstheme="majorHAnsi"/>
          <w:bCs/>
          <w:sz w:val="24"/>
          <w:szCs w:val="24"/>
          <w:lang w:val="ru-MD" w:eastAsia="ru-RU"/>
        </w:rPr>
        <w:t xml:space="preserve"> </w:t>
      </w:r>
      <w:r w:rsidR="005A646D" w:rsidRPr="00EC5A7B">
        <w:rPr>
          <w:rFonts w:asciiTheme="majorHAnsi" w:eastAsia="Times New Roman" w:hAnsiTheme="majorHAnsi" w:cstheme="majorHAnsi"/>
          <w:bCs/>
          <w:sz w:val="24"/>
          <w:szCs w:val="24"/>
          <w:lang w:val="ru-MD" w:eastAsia="ru-RU"/>
        </w:rPr>
        <w:t>Д</w:t>
      </w:r>
      <w:r w:rsidR="005255CE" w:rsidRPr="00EC5A7B">
        <w:rPr>
          <w:rFonts w:asciiTheme="majorHAnsi" w:eastAsia="Times New Roman" w:hAnsiTheme="majorHAnsi" w:cstheme="majorHAnsi"/>
          <w:bCs/>
          <w:sz w:val="24"/>
          <w:szCs w:val="24"/>
          <w:lang w:val="ru-MD" w:eastAsia="ru-RU"/>
        </w:rPr>
        <w:t>иректор</w:t>
      </w:r>
      <w:r w:rsidR="005A646D" w:rsidRPr="00EC5A7B">
        <w:rPr>
          <w:rFonts w:asciiTheme="majorHAnsi" w:eastAsia="Times New Roman" w:hAnsiTheme="majorHAnsi" w:cstheme="majorHAnsi"/>
          <w:bCs/>
          <w:sz w:val="24"/>
          <w:szCs w:val="24"/>
          <w:lang w:val="ru-MD" w:eastAsia="ru-RU"/>
        </w:rPr>
        <w:t>ат</w:t>
      </w:r>
      <w:r w:rsidR="005255CE" w:rsidRPr="00EC5A7B">
        <w:rPr>
          <w:rFonts w:asciiTheme="majorHAnsi" w:eastAsia="Times New Roman" w:hAnsiTheme="majorHAnsi" w:cstheme="majorHAnsi"/>
          <w:bCs/>
          <w:sz w:val="24"/>
          <w:szCs w:val="24"/>
          <w:lang w:val="ru-MD" w:eastAsia="ru-RU"/>
        </w:rPr>
        <w:t>ом кредитн</w:t>
      </w:r>
      <w:r w:rsidR="005A646D" w:rsidRPr="00EC5A7B">
        <w:rPr>
          <w:rFonts w:asciiTheme="majorHAnsi" w:eastAsia="Times New Roman" w:hAnsiTheme="majorHAnsi" w:cstheme="majorHAnsi"/>
          <w:bCs/>
          <w:sz w:val="24"/>
          <w:szCs w:val="24"/>
          <w:lang w:val="ru-MD" w:eastAsia="ru-RU"/>
        </w:rPr>
        <w:t>ых</w:t>
      </w:r>
      <w:r w:rsidR="005255CE" w:rsidRPr="00EC5A7B">
        <w:rPr>
          <w:rFonts w:asciiTheme="majorHAnsi" w:eastAsia="Times New Roman" w:hAnsiTheme="majorHAnsi" w:cstheme="majorHAnsi"/>
          <w:bCs/>
          <w:sz w:val="24"/>
          <w:szCs w:val="24"/>
          <w:lang w:val="ru-MD" w:eastAsia="ru-RU"/>
        </w:rPr>
        <w:t xml:space="preserve"> лини</w:t>
      </w:r>
      <w:r w:rsidR="005A646D" w:rsidRPr="00EC5A7B">
        <w:rPr>
          <w:rFonts w:asciiTheme="majorHAnsi" w:eastAsia="Times New Roman" w:hAnsiTheme="majorHAnsi" w:cstheme="majorHAnsi"/>
          <w:bCs/>
          <w:sz w:val="24"/>
          <w:szCs w:val="24"/>
          <w:lang w:val="ru-MD" w:eastAsia="ru-RU"/>
        </w:rPr>
        <w:t>й</w:t>
      </w:r>
      <w:r w:rsidR="005255CE" w:rsidRPr="00EC5A7B">
        <w:rPr>
          <w:rFonts w:asciiTheme="majorHAnsi" w:eastAsia="Times New Roman" w:hAnsiTheme="majorHAnsi" w:cstheme="majorHAnsi"/>
          <w:bCs/>
          <w:sz w:val="24"/>
          <w:szCs w:val="24"/>
          <w:lang w:val="ru-MD" w:eastAsia="ru-RU"/>
        </w:rPr>
        <w:t xml:space="preserve"> в </w:t>
      </w:r>
      <w:r w:rsidR="005A646D" w:rsidRPr="00EC5A7B">
        <w:rPr>
          <w:rFonts w:asciiTheme="majorHAnsi" w:eastAsia="Times New Roman" w:hAnsiTheme="majorHAnsi" w:cstheme="majorHAnsi"/>
          <w:bCs/>
          <w:sz w:val="24"/>
          <w:szCs w:val="24"/>
          <w:lang w:val="ru-MD" w:eastAsia="ru-RU"/>
        </w:rPr>
        <w:t>И</w:t>
      </w:r>
      <w:r w:rsidR="005255CE" w:rsidRPr="00EC5A7B">
        <w:rPr>
          <w:rFonts w:asciiTheme="majorHAnsi" w:eastAsia="Times New Roman" w:hAnsiTheme="majorHAnsi" w:cstheme="majorHAnsi"/>
          <w:bCs/>
          <w:sz w:val="24"/>
          <w:szCs w:val="24"/>
          <w:lang w:val="ru-MD" w:eastAsia="ru-RU"/>
        </w:rPr>
        <w:t xml:space="preserve">нформации о деятельности по </w:t>
      </w:r>
      <w:r w:rsidR="005A646D" w:rsidRPr="00EC5A7B">
        <w:rPr>
          <w:rFonts w:asciiTheme="majorHAnsi" w:eastAsia="Times New Roman" w:hAnsiTheme="majorHAnsi" w:cstheme="majorHAnsi"/>
          <w:bCs/>
          <w:sz w:val="24"/>
          <w:szCs w:val="24"/>
          <w:lang w:val="ru-MD" w:eastAsia="ru-RU"/>
        </w:rPr>
        <w:t>рекредитованию</w:t>
      </w:r>
      <w:r w:rsidR="005255CE" w:rsidRPr="00EC5A7B">
        <w:rPr>
          <w:rFonts w:asciiTheme="majorHAnsi" w:eastAsia="Times New Roman" w:hAnsiTheme="majorHAnsi" w:cstheme="majorHAnsi"/>
          <w:bCs/>
          <w:sz w:val="24"/>
          <w:szCs w:val="24"/>
          <w:lang w:val="ru-MD" w:eastAsia="ru-RU"/>
        </w:rPr>
        <w:t xml:space="preserve"> средств </w:t>
      </w:r>
      <w:r w:rsidR="005A646D" w:rsidRPr="00EC5A7B">
        <w:rPr>
          <w:rFonts w:asciiTheme="majorHAnsi" w:eastAsia="Times New Roman" w:hAnsiTheme="majorHAnsi" w:cstheme="majorHAnsi"/>
          <w:bCs/>
          <w:sz w:val="24"/>
          <w:szCs w:val="24"/>
          <w:lang w:val="ru-MD" w:eastAsia="ru-RU"/>
        </w:rPr>
        <w:t>И</w:t>
      </w:r>
      <w:r w:rsidR="005255CE" w:rsidRPr="00EC5A7B">
        <w:rPr>
          <w:rFonts w:asciiTheme="majorHAnsi" w:eastAsia="Times New Roman" w:hAnsiTheme="majorHAnsi" w:cstheme="majorHAnsi"/>
          <w:bCs/>
          <w:sz w:val="24"/>
          <w:szCs w:val="24"/>
          <w:lang w:val="ru-MD" w:eastAsia="ru-RU"/>
        </w:rPr>
        <w:t xml:space="preserve">нвестиционных кредитных линий посредством </w:t>
      </w:r>
      <w:r w:rsidR="005A646D" w:rsidRPr="00EC5A7B">
        <w:rPr>
          <w:rFonts w:asciiTheme="majorHAnsi" w:eastAsia="Times New Roman" w:hAnsiTheme="majorHAnsi" w:cstheme="majorHAnsi"/>
          <w:bCs/>
          <w:sz w:val="24"/>
          <w:szCs w:val="24"/>
          <w:lang w:val="ru-MD" w:eastAsia="ru-RU"/>
        </w:rPr>
        <w:t>У</w:t>
      </w:r>
      <w:r w:rsidR="005255CE" w:rsidRPr="00EC5A7B">
        <w:rPr>
          <w:rFonts w:asciiTheme="majorHAnsi" w:eastAsia="Times New Roman" w:hAnsiTheme="majorHAnsi" w:cstheme="majorHAnsi"/>
          <w:bCs/>
          <w:sz w:val="24"/>
          <w:szCs w:val="24"/>
          <w:lang w:val="ru-MD" w:eastAsia="ru-RU"/>
        </w:rPr>
        <w:t xml:space="preserve">частвующих финансовых учреждений </w:t>
      </w:r>
      <w:r w:rsidR="005A646D" w:rsidRPr="00EC5A7B">
        <w:rPr>
          <w:rFonts w:asciiTheme="majorHAnsi" w:eastAsia="Times New Roman" w:hAnsiTheme="majorHAnsi" w:cstheme="majorHAnsi"/>
          <w:bCs/>
          <w:sz w:val="24"/>
          <w:szCs w:val="24"/>
          <w:lang w:val="ru-MD" w:eastAsia="ru-RU"/>
        </w:rPr>
        <w:t>з</w:t>
      </w:r>
      <w:r w:rsidR="005255CE" w:rsidRPr="00EC5A7B">
        <w:rPr>
          <w:rFonts w:asciiTheme="majorHAnsi" w:eastAsia="Times New Roman" w:hAnsiTheme="majorHAnsi" w:cstheme="majorHAnsi"/>
          <w:bCs/>
          <w:sz w:val="24"/>
          <w:szCs w:val="24"/>
          <w:lang w:val="ru-MD" w:eastAsia="ru-RU"/>
        </w:rPr>
        <w:t>а 2019</w:t>
      </w:r>
      <w:r w:rsidR="005A646D" w:rsidRPr="00EC5A7B">
        <w:rPr>
          <w:rFonts w:asciiTheme="majorHAnsi" w:eastAsia="Times New Roman" w:hAnsiTheme="majorHAnsi" w:cstheme="majorHAnsi"/>
          <w:bCs/>
          <w:sz w:val="24"/>
          <w:szCs w:val="24"/>
          <w:lang w:val="ru-MD" w:eastAsia="ru-RU"/>
        </w:rPr>
        <w:t xml:space="preserve"> год.</w:t>
      </w:r>
    </w:p>
    <w:p w14:paraId="434C4028" w14:textId="6F487B30" w:rsidR="00BA41AA" w:rsidRPr="00EC5A7B" w:rsidRDefault="005A646D" w:rsidP="00BA41AA">
      <w:pPr>
        <w:numPr>
          <w:ilvl w:val="0"/>
          <w:numId w:val="1"/>
        </w:numPr>
        <w:autoSpaceDE w:val="0"/>
        <w:autoSpaceDN w:val="0"/>
        <w:adjustRightInd w:val="0"/>
        <w:spacing w:line="240" w:lineRule="auto"/>
        <w:contextualSpacing/>
        <w:outlineLvl w:val="0"/>
        <w:rPr>
          <w:rFonts w:asciiTheme="majorHAnsi" w:eastAsia="Times New Roman" w:hAnsiTheme="majorHAnsi" w:cstheme="majorHAnsi"/>
          <w:b/>
          <w:bCs/>
          <w:color w:val="5B9BD5" w:themeColor="accent1"/>
          <w:sz w:val="26"/>
          <w:szCs w:val="26"/>
          <w:lang w:val="ru-MD" w:eastAsia="ru-RU"/>
        </w:rPr>
      </w:pPr>
      <w:bookmarkStart w:id="25" w:name="_Toc63157274"/>
      <w:r w:rsidRPr="00EC5A7B">
        <w:rPr>
          <w:rFonts w:asciiTheme="majorHAnsi" w:eastAsia="Times New Roman" w:hAnsiTheme="majorHAnsi" w:cstheme="majorHAnsi"/>
          <w:b/>
          <w:bCs/>
          <w:color w:val="5B9BD5" w:themeColor="accent1"/>
          <w:sz w:val="26"/>
          <w:szCs w:val="26"/>
          <w:lang w:val="ru-MD" w:eastAsia="ru-RU"/>
        </w:rPr>
        <w:t>РЕКОМЕНДАЦИИ МИНИСТЕРСТВУ ФИНАНСОВ</w:t>
      </w:r>
      <w:bookmarkEnd w:id="25"/>
    </w:p>
    <w:p w14:paraId="5F46045D" w14:textId="662DBBEE" w:rsidR="00BA41AA" w:rsidRPr="00EC5A7B" w:rsidRDefault="005A646D" w:rsidP="007A0AE0">
      <w:pPr>
        <w:pStyle w:val="NoSpacing"/>
        <w:numPr>
          <w:ilvl w:val="0"/>
          <w:numId w:val="21"/>
        </w:numPr>
        <w:tabs>
          <w:tab w:val="left" w:pos="360"/>
          <w:tab w:val="left" w:pos="720"/>
        </w:tabs>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rPr>
        <w:t>Продолжать осуществлять контроль за подверженностью портфеля государственного долга рискам процентной ставки, ре</w:t>
      </w:r>
      <w:r w:rsidRPr="00EC5A7B">
        <w:rPr>
          <w:rFonts w:asciiTheme="majorHAnsi" w:hAnsiTheme="majorHAnsi" w:cstheme="majorHAnsi"/>
          <w:sz w:val="24"/>
          <w:szCs w:val="24"/>
          <w:lang w:val="ru-MD" w:eastAsia="ru-RU"/>
        </w:rPr>
        <w:t>финансирования и валютному риску</w:t>
      </w:r>
      <w:r w:rsidR="00551587" w:rsidRPr="00EC5A7B">
        <w:rPr>
          <w:rFonts w:asciiTheme="majorHAnsi" w:hAnsiTheme="majorHAnsi" w:cstheme="majorHAnsi"/>
          <w:sz w:val="24"/>
          <w:szCs w:val="24"/>
          <w:lang w:val="ru-MD" w:eastAsia="ru-RU"/>
        </w:rPr>
        <w:t>;</w:t>
      </w:r>
    </w:p>
    <w:p w14:paraId="1C2248B7" w14:textId="3295DD24" w:rsidR="00D20722" w:rsidRPr="00EC5A7B" w:rsidRDefault="005A646D" w:rsidP="005A646D">
      <w:pPr>
        <w:pStyle w:val="NoSpacing"/>
        <w:numPr>
          <w:ilvl w:val="0"/>
          <w:numId w:val="21"/>
        </w:numPr>
        <w:tabs>
          <w:tab w:val="left" w:pos="360"/>
        </w:tabs>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Обеспечить диверсификацию каналов продажи инструментов по контрактации внутреннего государственного долга потенциальным инвесторам</w:t>
      </w:r>
      <w:r w:rsidR="00D20722" w:rsidRPr="00EC5A7B">
        <w:rPr>
          <w:rFonts w:asciiTheme="majorHAnsi" w:hAnsiTheme="majorHAnsi" w:cstheme="majorHAnsi"/>
          <w:sz w:val="24"/>
          <w:szCs w:val="24"/>
          <w:lang w:val="ru-MD" w:eastAsia="ru-RU"/>
        </w:rPr>
        <w:t>;</w:t>
      </w:r>
    </w:p>
    <w:p w14:paraId="6A4C61A8" w14:textId="7E7DE604" w:rsidR="00B16A82" w:rsidRPr="00EC5A7B" w:rsidRDefault="005A646D" w:rsidP="007A0AE0">
      <w:pPr>
        <w:pStyle w:val="NoSpacing"/>
        <w:numPr>
          <w:ilvl w:val="0"/>
          <w:numId w:val="21"/>
        </w:numPr>
        <w:tabs>
          <w:tab w:val="left" w:pos="360"/>
          <w:tab w:val="left" w:pos="540"/>
        </w:tabs>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Продолжить анализ финансовых условий новых внешних займов, которые должны быть законтрактованы, с целью принятия оптимальных условий, в зависимости от соотношения затрат и рисков</w:t>
      </w:r>
      <w:r w:rsidR="00B16A82" w:rsidRPr="00EC5A7B">
        <w:rPr>
          <w:rFonts w:asciiTheme="majorHAnsi" w:hAnsiTheme="majorHAnsi" w:cstheme="majorHAnsi"/>
          <w:sz w:val="24"/>
          <w:szCs w:val="24"/>
          <w:lang w:val="ru-MD" w:eastAsia="ru-RU"/>
        </w:rPr>
        <w:t>;</w:t>
      </w:r>
    </w:p>
    <w:p w14:paraId="0F4B4752" w14:textId="6106D82F" w:rsidR="0068244E" w:rsidRPr="00EC5A7B" w:rsidRDefault="007A0AE0" w:rsidP="007A0AE0">
      <w:pPr>
        <w:pStyle w:val="NoSpacing"/>
        <w:numPr>
          <w:ilvl w:val="0"/>
          <w:numId w:val="21"/>
        </w:numPr>
        <w:tabs>
          <w:tab w:val="left" w:pos="360"/>
        </w:tabs>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Обеспечить мониторинг и возмещение кредитов, предоставленных под государственной гарантией</w:t>
      </w:r>
      <w:r w:rsidR="00D20722" w:rsidRPr="00EC5A7B">
        <w:rPr>
          <w:rFonts w:asciiTheme="majorHAnsi" w:hAnsiTheme="majorHAnsi" w:cstheme="majorHAnsi"/>
          <w:sz w:val="24"/>
          <w:szCs w:val="24"/>
          <w:lang w:val="ru-MD" w:eastAsia="ru-RU"/>
        </w:rPr>
        <w:t>;</w:t>
      </w:r>
    </w:p>
    <w:p w14:paraId="55FBCDBC" w14:textId="446F2578" w:rsidR="00371E3D" w:rsidRPr="00EC5A7B" w:rsidRDefault="007A0AE0" w:rsidP="007A0AE0">
      <w:pPr>
        <w:pStyle w:val="NoSpacing"/>
        <w:numPr>
          <w:ilvl w:val="0"/>
          <w:numId w:val="21"/>
        </w:numPr>
        <w:tabs>
          <w:tab w:val="left" w:pos="360"/>
        </w:tabs>
        <w:spacing w:line="276" w:lineRule="auto"/>
        <w:ind w:left="0" w:firstLine="0"/>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lastRenderedPageBreak/>
        <w:t>Обеспечить проведение мер по возвращению в государственный бюджет долгов с истекшим сроком погашения</w:t>
      </w:r>
      <w:r w:rsidR="00D20722" w:rsidRPr="00EC5A7B">
        <w:rPr>
          <w:rFonts w:asciiTheme="majorHAnsi" w:hAnsiTheme="majorHAnsi" w:cstheme="majorHAnsi"/>
          <w:sz w:val="24"/>
          <w:szCs w:val="24"/>
          <w:lang w:val="ru-MD" w:eastAsia="ru-RU"/>
        </w:rPr>
        <w:t>.</w:t>
      </w:r>
    </w:p>
    <w:p w14:paraId="19CAFC4B" w14:textId="77777777" w:rsidR="0028572A" w:rsidRPr="00EC5A7B" w:rsidRDefault="0028572A" w:rsidP="00D014CC">
      <w:pPr>
        <w:spacing w:after="0"/>
        <w:jc w:val="both"/>
        <w:rPr>
          <w:rFonts w:asciiTheme="majorHAnsi" w:hAnsiTheme="majorHAnsi" w:cstheme="majorHAnsi"/>
          <w:b/>
          <w:sz w:val="24"/>
          <w:szCs w:val="24"/>
          <w:lang w:val="ru-MD" w:eastAsia="ru-RU"/>
        </w:rPr>
      </w:pPr>
    </w:p>
    <w:p w14:paraId="31039FC6" w14:textId="77777777" w:rsidR="0028572A" w:rsidRPr="00EC5A7B" w:rsidRDefault="0028572A" w:rsidP="0028572A">
      <w:pPr>
        <w:pStyle w:val="NoSpacing"/>
        <w:rPr>
          <w:rFonts w:asciiTheme="majorHAnsi" w:hAnsiTheme="majorHAnsi" w:cstheme="majorHAnsi"/>
          <w:b/>
          <w:sz w:val="24"/>
          <w:szCs w:val="24"/>
          <w:lang w:val="ru-MD"/>
        </w:rPr>
      </w:pPr>
      <w:r w:rsidRPr="00EC5A7B">
        <w:rPr>
          <w:rFonts w:asciiTheme="majorHAnsi" w:hAnsiTheme="majorHAnsi" w:cstheme="majorHAnsi"/>
          <w:b/>
          <w:sz w:val="24"/>
          <w:szCs w:val="24"/>
          <w:lang w:val="ru-MD"/>
        </w:rPr>
        <w:t xml:space="preserve">Подписи </w:t>
      </w:r>
      <w:r w:rsidRPr="00EC5A7B">
        <w:rPr>
          <w:rFonts w:asciiTheme="majorHAnsi" w:eastAsia="Calibri" w:hAnsiTheme="majorHAnsi"/>
          <w:b/>
          <w:sz w:val="24"/>
          <w:szCs w:val="24"/>
          <w:lang w:val="ru-MD"/>
        </w:rPr>
        <w:t>аудиторской группы</w:t>
      </w:r>
      <w:r w:rsidRPr="00EC5A7B">
        <w:rPr>
          <w:rFonts w:asciiTheme="majorHAnsi" w:hAnsiTheme="majorHAnsi" w:cstheme="majorHAnsi"/>
          <w:b/>
          <w:sz w:val="24"/>
          <w:szCs w:val="24"/>
          <w:lang w:val="ru-MD"/>
        </w:rPr>
        <w:t xml:space="preserve"> </w:t>
      </w:r>
    </w:p>
    <w:p w14:paraId="0ED3943A" w14:textId="5A4C36E2" w:rsidR="00D014CC" w:rsidRPr="00EC5A7B" w:rsidRDefault="0028572A" w:rsidP="00D014CC">
      <w:pPr>
        <w:spacing w:after="0"/>
        <w:jc w:val="both"/>
        <w:rPr>
          <w:rFonts w:asciiTheme="majorHAnsi" w:hAnsiTheme="majorHAnsi" w:cstheme="majorHAnsi"/>
          <w:b/>
          <w:sz w:val="24"/>
          <w:szCs w:val="24"/>
          <w:lang w:val="ru-MD" w:eastAsia="ru-RU"/>
        </w:rPr>
      </w:pPr>
      <w:r w:rsidRPr="00EC5A7B">
        <w:rPr>
          <w:rFonts w:asciiTheme="majorHAnsi" w:hAnsiTheme="majorHAnsi" w:cstheme="majorHAnsi"/>
          <w:b/>
          <w:sz w:val="24"/>
          <w:szCs w:val="24"/>
          <w:lang w:val="ru-MD"/>
        </w:rPr>
        <w:t xml:space="preserve">Руководитель </w:t>
      </w:r>
      <w:r w:rsidRPr="00EC5A7B">
        <w:rPr>
          <w:rFonts w:asciiTheme="majorHAnsi" w:eastAsia="Calibri" w:hAnsiTheme="majorHAnsi"/>
          <w:b/>
          <w:sz w:val="24"/>
          <w:szCs w:val="24"/>
          <w:lang w:val="ru-MD"/>
        </w:rPr>
        <w:t>аудиторской группы</w:t>
      </w:r>
      <w:r w:rsidR="00D014CC" w:rsidRPr="00EC5A7B">
        <w:rPr>
          <w:rFonts w:asciiTheme="majorHAnsi" w:hAnsiTheme="majorHAnsi" w:cstheme="majorHAnsi"/>
          <w:b/>
          <w:sz w:val="24"/>
          <w:szCs w:val="24"/>
          <w:lang w:val="ru-MD" w:eastAsia="ru-RU"/>
        </w:rPr>
        <w:t>,</w:t>
      </w:r>
    </w:p>
    <w:p w14:paraId="65EA3FFF" w14:textId="230C59AF" w:rsidR="00D014CC" w:rsidRPr="00EC5A7B" w:rsidRDefault="0028572A" w:rsidP="00D014CC">
      <w:pPr>
        <w:jc w:val="both"/>
        <w:rPr>
          <w:rFonts w:asciiTheme="majorHAnsi" w:hAnsiTheme="majorHAnsi" w:cstheme="majorHAnsi"/>
          <w:sz w:val="24"/>
          <w:szCs w:val="24"/>
          <w:lang w:val="ru-MD" w:eastAsia="ru-RU"/>
        </w:rPr>
      </w:pPr>
      <w:r w:rsidRPr="00EC5A7B">
        <w:rPr>
          <w:rFonts w:asciiTheme="majorHAnsi" w:hAnsiTheme="majorHAnsi" w:cstheme="majorHAnsi"/>
          <w:i/>
          <w:sz w:val="24"/>
          <w:szCs w:val="24"/>
          <w:lang w:val="ru-MD"/>
        </w:rPr>
        <w:t>главный публичный аудитор</w:t>
      </w:r>
      <w:r w:rsidRPr="00EC5A7B">
        <w:rPr>
          <w:rFonts w:asciiTheme="majorHAnsi" w:hAnsiTheme="majorHAnsi" w:cstheme="majorHAnsi"/>
          <w:sz w:val="24"/>
          <w:szCs w:val="24"/>
          <w:lang w:val="ru-MD" w:eastAsia="ru-RU"/>
        </w:rPr>
        <w:t xml:space="preserve">, </w:t>
      </w:r>
      <w:r w:rsidR="00D014CC" w:rsidRPr="00EC5A7B">
        <w:rPr>
          <w:rFonts w:asciiTheme="majorHAnsi" w:hAnsiTheme="majorHAnsi" w:cstheme="majorHAnsi"/>
          <w:sz w:val="24"/>
          <w:szCs w:val="24"/>
          <w:lang w:val="ru-MD" w:eastAsia="ru-RU"/>
        </w:rPr>
        <w:t xml:space="preserve">                                                                             </w:t>
      </w:r>
      <w:r w:rsidRPr="00EC5A7B">
        <w:rPr>
          <w:rFonts w:asciiTheme="majorHAnsi" w:hAnsiTheme="majorHAnsi" w:cstheme="majorHAnsi"/>
          <w:b/>
          <w:i/>
          <w:sz w:val="24"/>
          <w:szCs w:val="24"/>
          <w:lang w:val="ru-MD" w:eastAsia="ru-RU"/>
        </w:rPr>
        <w:t>Ирина Постолаки</w:t>
      </w:r>
    </w:p>
    <w:p w14:paraId="0B293694" w14:textId="24D2AA36" w:rsidR="00D014CC" w:rsidRPr="00EC5A7B" w:rsidRDefault="0028572A" w:rsidP="00CB5311">
      <w:pPr>
        <w:jc w:val="both"/>
        <w:rPr>
          <w:rFonts w:asciiTheme="majorHAnsi" w:hAnsiTheme="majorHAnsi" w:cstheme="majorHAnsi"/>
          <w:b/>
          <w:i/>
          <w:sz w:val="24"/>
          <w:szCs w:val="24"/>
          <w:lang w:val="ru-MD" w:eastAsia="ru-RU"/>
        </w:rPr>
      </w:pPr>
      <w:r w:rsidRPr="00EC5A7B">
        <w:rPr>
          <w:rFonts w:asciiTheme="majorHAnsi" w:hAnsiTheme="majorHAnsi" w:cstheme="majorHAnsi"/>
          <w:i/>
          <w:sz w:val="24"/>
          <w:szCs w:val="24"/>
          <w:lang w:val="ru-MD"/>
        </w:rPr>
        <w:t>Старший публичный аудитор</w:t>
      </w:r>
      <w:r w:rsidR="00D014CC" w:rsidRPr="00EC5A7B">
        <w:rPr>
          <w:rFonts w:asciiTheme="majorHAnsi" w:hAnsiTheme="majorHAnsi" w:cstheme="majorHAnsi"/>
          <w:sz w:val="24"/>
          <w:szCs w:val="24"/>
          <w:lang w:val="ru-MD" w:eastAsia="ru-RU"/>
        </w:rPr>
        <w:t xml:space="preserve">,                                                                                </w:t>
      </w:r>
      <w:r w:rsidRPr="00EC5A7B">
        <w:rPr>
          <w:rFonts w:asciiTheme="majorHAnsi" w:hAnsiTheme="majorHAnsi" w:cstheme="majorHAnsi"/>
          <w:b/>
          <w:i/>
          <w:sz w:val="24"/>
          <w:szCs w:val="24"/>
          <w:lang w:val="ru-MD" w:eastAsia="ru-RU"/>
        </w:rPr>
        <w:t>Оксана Попеску</w:t>
      </w:r>
    </w:p>
    <w:p w14:paraId="471F75CD" w14:textId="1A88C99E" w:rsidR="00D014CC" w:rsidRPr="00EC5A7B" w:rsidRDefault="0028572A" w:rsidP="00D014CC">
      <w:pPr>
        <w:spacing w:after="0"/>
        <w:jc w:val="both"/>
        <w:rPr>
          <w:rFonts w:asciiTheme="majorHAnsi" w:hAnsiTheme="majorHAnsi" w:cstheme="majorHAnsi"/>
          <w:b/>
          <w:sz w:val="24"/>
          <w:szCs w:val="24"/>
          <w:lang w:val="ru-MD" w:eastAsia="ru-RU"/>
        </w:rPr>
      </w:pPr>
      <w:r w:rsidRPr="00EC5A7B">
        <w:rPr>
          <w:rFonts w:asciiTheme="majorHAnsi" w:hAnsiTheme="majorHAnsi" w:cstheme="majorHAnsi"/>
          <w:b/>
          <w:sz w:val="24"/>
          <w:szCs w:val="24"/>
          <w:lang w:val="ru-MD"/>
        </w:rPr>
        <w:t>Ответственный за аудит</w:t>
      </w:r>
      <w:r w:rsidR="00D014CC" w:rsidRPr="00EC5A7B">
        <w:rPr>
          <w:rFonts w:asciiTheme="majorHAnsi" w:hAnsiTheme="majorHAnsi" w:cstheme="majorHAnsi"/>
          <w:b/>
          <w:sz w:val="24"/>
          <w:szCs w:val="24"/>
          <w:lang w:val="ru-MD" w:eastAsia="ru-RU"/>
        </w:rPr>
        <w:t>:</w:t>
      </w:r>
    </w:p>
    <w:p w14:paraId="4972258E" w14:textId="1BA2D3B0" w:rsidR="007A5A6A" w:rsidRPr="00EC5A7B" w:rsidRDefault="0028572A" w:rsidP="00D014CC">
      <w:pPr>
        <w:jc w:val="both"/>
        <w:rPr>
          <w:rFonts w:asciiTheme="majorHAnsi" w:hAnsiTheme="majorHAnsi" w:cstheme="majorHAnsi"/>
          <w:b/>
          <w:i/>
          <w:sz w:val="24"/>
          <w:szCs w:val="24"/>
          <w:lang w:val="ru-MD" w:eastAsia="ru-RU"/>
        </w:rPr>
      </w:pPr>
      <w:r w:rsidRPr="00EC5A7B">
        <w:rPr>
          <w:rFonts w:asciiTheme="majorHAnsi" w:hAnsiTheme="majorHAnsi" w:cstheme="majorHAnsi"/>
          <w:i/>
          <w:sz w:val="24"/>
          <w:szCs w:val="24"/>
          <w:lang w:val="ru-MD"/>
        </w:rPr>
        <w:t>Начальник Главного управления аудита I</w:t>
      </w:r>
      <w:r w:rsidR="00D014CC" w:rsidRPr="00EC5A7B">
        <w:rPr>
          <w:rFonts w:asciiTheme="majorHAnsi" w:hAnsiTheme="majorHAnsi" w:cstheme="majorHAnsi"/>
          <w:i/>
          <w:sz w:val="24"/>
          <w:szCs w:val="24"/>
          <w:lang w:val="ru-MD" w:eastAsia="ru-RU"/>
        </w:rPr>
        <w:t>,</w:t>
      </w:r>
      <w:r w:rsidR="00D014CC" w:rsidRPr="00EC5A7B">
        <w:rPr>
          <w:rFonts w:asciiTheme="majorHAnsi" w:hAnsiTheme="majorHAnsi" w:cstheme="majorHAnsi"/>
          <w:sz w:val="24"/>
          <w:szCs w:val="24"/>
          <w:lang w:val="ru-MD" w:eastAsia="ru-RU"/>
        </w:rPr>
        <w:t xml:space="preserve">                                                              </w:t>
      </w:r>
      <w:r w:rsidRPr="00EC5A7B">
        <w:rPr>
          <w:rFonts w:asciiTheme="majorHAnsi" w:hAnsiTheme="majorHAnsi" w:cstheme="majorHAnsi"/>
          <w:b/>
          <w:i/>
          <w:sz w:val="24"/>
          <w:szCs w:val="24"/>
          <w:lang w:val="ru-MD" w:eastAsia="ru-RU"/>
        </w:rPr>
        <w:t>Наталья Трофим</w:t>
      </w:r>
    </w:p>
    <w:p w14:paraId="25CAB081" w14:textId="60338D6B" w:rsidR="007A5A6A" w:rsidRPr="00EC5A7B" w:rsidRDefault="007A5A6A" w:rsidP="00D014CC">
      <w:pPr>
        <w:jc w:val="both"/>
        <w:rPr>
          <w:rFonts w:asciiTheme="majorHAnsi" w:hAnsiTheme="majorHAnsi" w:cstheme="majorHAnsi"/>
          <w:b/>
          <w:i/>
          <w:sz w:val="24"/>
          <w:szCs w:val="24"/>
          <w:lang w:val="ru-MD" w:eastAsia="ru-RU"/>
        </w:rPr>
      </w:pPr>
    </w:p>
    <w:p w14:paraId="34C53257" w14:textId="08C83304" w:rsidR="003E2BFB" w:rsidRPr="00EC5A7B" w:rsidRDefault="003E2BFB" w:rsidP="00D014CC">
      <w:pPr>
        <w:jc w:val="both"/>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br w:type="page"/>
      </w:r>
    </w:p>
    <w:p w14:paraId="4D1A1C54" w14:textId="605DC96F" w:rsidR="006023D2" w:rsidRPr="00EC5A7B" w:rsidRDefault="00C47F71" w:rsidP="006023D2">
      <w:pPr>
        <w:keepNext/>
        <w:keepLines/>
        <w:spacing w:before="240" w:after="0"/>
        <w:jc w:val="right"/>
        <w:outlineLvl w:val="0"/>
        <w:rPr>
          <w:rFonts w:asciiTheme="majorHAnsi" w:eastAsia="Times New Roman" w:hAnsiTheme="majorHAnsi" w:cstheme="majorHAnsi"/>
          <w:b/>
          <w:bCs/>
          <w:color w:val="5B9BD5" w:themeColor="accent1"/>
          <w:sz w:val="26"/>
          <w:szCs w:val="26"/>
          <w:lang w:val="ru-MD" w:eastAsia="ru-RU"/>
        </w:rPr>
      </w:pPr>
      <w:r w:rsidRPr="00EC5A7B">
        <w:rPr>
          <w:rFonts w:asciiTheme="majorHAnsi" w:eastAsia="Times New Roman" w:hAnsiTheme="majorHAnsi" w:cstheme="majorHAnsi"/>
          <w:b/>
          <w:bCs/>
          <w:color w:val="5B9BD5" w:themeColor="accent1"/>
          <w:sz w:val="26"/>
          <w:szCs w:val="26"/>
          <w:lang w:val="ru-MD" w:eastAsia="ru-RU"/>
        </w:rPr>
        <w:lastRenderedPageBreak/>
        <w:t xml:space="preserve"> </w:t>
      </w:r>
      <w:bookmarkStart w:id="26" w:name="_Toc63157275"/>
      <w:r w:rsidR="001868AD" w:rsidRPr="00EC5A7B">
        <w:rPr>
          <w:rFonts w:asciiTheme="majorHAnsi" w:eastAsia="Times New Roman" w:hAnsiTheme="majorHAnsi" w:cstheme="majorHAnsi"/>
          <w:b/>
          <w:bCs/>
          <w:color w:val="5B9BD5" w:themeColor="accent1"/>
          <w:sz w:val="26"/>
          <w:szCs w:val="26"/>
          <w:lang w:val="ru-MD" w:eastAsia="ru-RU"/>
        </w:rPr>
        <w:t>ПРИЛОЖЕНИЯ</w:t>
      </w:r>
      <w:bookmarkEnd w:id="26"/>
    </w:p>
    <w:p w14:paraId="7DBDAE42" w14:textId="5A358ED9" w:rsidR="006023D2" w:rsidRPr="00EC5A7B" w:rsidRDefault="001868AD" w:rsidP="006023D2">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023D2" w:rsidRPr="00EC5A7B">
        <w:rPr>
          <w:rFonts w:asciiTheme="majorHAnsi" w:hAnsiTheme="majorHAnsi" w:cstheme="majorHAnsi"/>
          <w:b/>
          <w:i/>
          <w:color w:val="5B9BD5" w:themeColor="accent1"/>
          <w:sz w:val="24"/>
          <w:szCs w:val="24"/>
          <w:lang w:val="ru-MD"/>
          <w14:glow w14:rad="0">
            <w14:schemeClr w14:val="tx1"/>
          </w14:glow>
        </w:rPr>
        <w:t>1</w:t>
      </w:r>
    </w:p>
    <w:p w14:paraId="70D321D2" w14:textId="68FF9EAE" w:rsidR="006023D2" w:rsidRPr="00EC5A7B" w:rsidRDefault="001868AD" w:rsidP="006023D2">
      <w:pPr>
        <w:spacing w:after="0" w:line="276" w:lineRule="auto"/>
        <w:jc w:val="center"/>
        <w:rPr>
          <w:rFonts w:asciiTheme="majorHAnsi" w:hAnsiTheme="majorHAnsi" w:cstheme="majorHAnsi"/>
          <w:b/>
          <w:i/>
          <w:sz w:val="24"/>
          <w:szCs w:val="24"/>
          <w:lang w:val="ru-MD"/>
          <w14:glow w14:rad="0">
            <w14:schemeClr w14:val="tx1"/>
          </w14:glow>
        </w:rPr>
      </w:pPr>
      <w:bookmarkStart w:id="27" w:name="_Toc16252968"/>
      <w:r w:rsidRPr="00EC5A7B">
        <w:rPr>
          <w:rFonts w:asciiTheme="majorHAnsi" w:hAnsiTheme="majorHAnsi" w:cstheme="majorHAnsi"/>
          <w:b/>
          <w:i/>
          <w:sz w:val="24"/>
          <w:szCs w:val="24"/>
          <w:lang w:val="ru-MD"/>
          <w14:glow w14:rad="0">
            <w14:schemeClr w14:val="tx1"/>
          </w14:glow>
        </w:rPr>
        <w:t>Область применения и методология аудита</w:t>
      </w:r>
      <w:bookmarkEnd w:id="27"/>
      <w:r w:rsidRPr="00EC5A7B">
        <w:rPr>
          <w:rFonts w:asciiTheme="majorHAnsi" w:hAnsiTheme="majorHAnsi" w:cstheme="majorHAnsi"/>
          <w:b/>
          <w:i/>
          <w:sz w:val="24"/>
          <w:szCs w:val="24"/>
          <w:lang w:val="ru-MD"/>
          <w14:glow w14:rad="0">
            <w14:schemeClr w14:val="tx1"/>
          </w14:glow>
        </w:rPr>
        <w:t xml:space="preserve"> </w:t>
      </w:r>
    </w:p>
    <w:p w14:paraId="6EC55B44" w14:textId="2D44ECFB" w:rsidR="006023D2" w:rsidRPr="00EC5A7B" w:rsidRDefault="001868AD" w:rsidP="006023D2">
      <w:pPr>
        <w:spacing w:line="276" w:lineRule="auto"/>
        <w:jc w:val="both"/>
        <w:rPr>
          <w:rFonts w:asciiTheme="majorHAnsi" w:hAnsiTheme="majorHAnsi" w:cstheme="majorHAnsi"/>
          <w:b/>
          <w:sz w:val="24"/>
          <w:szCs w:val="24"/>
          <w:lang w:val="ru-MD"/>
          <w14:glow w14:rad="0">
            <w14:schemeClr w14:val="tx1"/>
          </w14:glow>
        </w:rPr>
      </w:pPr>
      <w:r w:rsidRPr="00EC5A7B">
        <w:rPr>
          <w:rFonts w:asciiTheme="majorHAnsi" w:hAnsiTheme="majorHAnsi" w:cstheme="majorHAnsi"/>
          <w:b/>
          <w:sz w:val="24"/>
          <w:szCs w:val="24"/>
          <w:lang w:val="ru-MD"/>
        </w:rPr>
        <w:t xml:space="preserve">Область применения </w:t>
      </w:r>
    </w:p>
    <w:p w14:paraId="244B21C9" w14:textId="29E21BB6" w:rsidR="006023D2" w:rsidRPr="00EC5A7B" w:rsidRDefault="0056082A" w:rsidP="006023D2">
      <w:pPr>
        <w:spacing w:line="276" w:lineRule="auto"/>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eastAsia="ru-RU"/>
        </w:rPr>
        <w:t>Счетная палата Республики Молдова, в</w:t>
      </w:r>
      <w:r w:rsidRPr="00EC5A7B">
        <w:rPr>
          <w:rFonts w:asciiTheme="majorHAnsi" w:hAnsiTheme="majorHAnsi" w:cstheme="majorHAnsi"/>
          <w:sz w:val="24"/>
          <w:szCs w:val="24"/>
          <w:lang w:val="ru-MD"/>
        </w:rPr>
        <w:t xml:space="preserve"> </w:t>
      </w:r>
      <w:r w:rsidRPr="00EC5A7B">
        <w:rPr>
          <w:rFonts w:asciiTheme="majorHAnsi" w:hAnsiTheme="majorHAnsi" w:cstheme="majorHAnsi"/>
          <w:sz w:val="24"/>
          <w:szCs w:val="24"/>
          <w:lang w:val="ru-MD" w:eastAsia="ru-RU"/>
        </w:rPr>
        <w:t xml:space="preserve">соответствии с Программой аудиторской деятельности на </w:t>
      </w:r>
      <w:r w:rsidRPr="00EC5A7B">
        <w:rPr>
          <w:rFonts w:asciiTheme="majorHAnsi" w:hAnsiTheme="majorHAnsi" w:cstheme="majorHAnsi"/>
          <w:sz w:val="24"/>
          <w:szCs w:val="24"/>
          <w:lang w:val="ru-MD"/>
        </w:rPr>
        <w:t>2020 год, утвержденной Постановление №</w:t>
      </w:r>
      <w:r w:rsidRPr="00EC5A7B">
        <w:rPr>
          <w:rFonts w:asciiTheme="majorHAnsi" w:hAnsiTheme="majorHAnsi" w:cstheme="majorHAnsi"/>
          <w:sz w:val="24"/>
          <w:szCs w:val="24"/>
          <w:lang w:val="ru-MD"/>
          <w14:glow w14:rad="0">
            <w14:schemeClr w14:val="tx1"/>
          </w14:glow>
        </w:rPr>
        <w:t xml:space="preserve">77 от 27.12.2019, </w:t>
      </w:r>
      <w:r w:rsidRPr="00EC5A7B">
        <w:rPr>
          <w:rFonts w:asciiTheme="majorHAnsi" w:hAnsiTheme="majorHAnsi" w:cstheme="majorHAnsi"/>
          <w:sz w:val="24"/>
          <w:szCs w:val="24"/>
          <w:lang w:val="ru-MD" w:eastAsia="ru-RU"/>
        </w:rPr>
        <w:t xml:space="preserve">инициировала аудит </w:t>
      </w:r>
      <w:r w:rsidRPr="00EC5A7B">
        <w:rPr>
          <w:rFonts w:asciiTheme="majorHAnsi" w:hAnsiTheme="majorHAnsi" w:cstheme="majorHAnsi"/>
          <w:sz w:val="24"/>
          <w:szCs w:val="24"/>
          <w:lang w:val="ru-MD"/>
        </w:rPr>
        <w:t>эффективности менеджмента государственного долга,</w:t>
      </w:r>
      <w:r w:rsidRPr="00EC5A7B">
        <w:rPr>
          <w:rFonts w:asciiTheme="majorHAnsi" w:hAnsiTheme="majorHAnsi"/>
          <w:sz w:val="24"/>
          <w:szCs w:val="24"/>
          <w:lang w:val="ru-MD"/>
        </w:rPr>
        <w:t xml:space="preserve"> государственных </w:t>
      </w:r>
      <w:r w:rsidRPr="00EC5A7B">
        <w:rPr>
          <w:rFonts w:asciiTheme="majorHAnsi" w:hAnsiTheme="majorHAnsi"/>
          <w:bCs/>
          <w:sz w:val="24"/>
          <w:szCs w:val="24"/>
          <w:lang w:val="ru-MD"/>
        </w:rPr>
        <w:t>гарантий и государственного рекредитования за 2019 год,</w:t>
      </w:r>
      <w:r w:rsidRPr="00EC5A7B">
        <w:rPr>
          <w:rFonts w:asciiTheme="majorHAnsi" w:hAnsiTheme="majorHAnsi" w:cstheme="majorHAnsi"/>
          <w:sz w:val="24"/>
          <w:szCs w:val="24"/>
          <w:lang w:val="ru-MD"/>
        </w:rPr>
        <w:t xml:space="preserve"> с целью оценки порядка </w:t>
      </w:r>
      <w:r w:rsidRPr="00EC5A7B">
        <w:rPr>
          <w:rFonts w:asciiTheme="majorHAnsi" w:hAnsiTheme="majorHAnsi" w:cstheme="majorHAnsi"/>
          <w:sz w:val="24"/>
          <w:szCs w:val="24"/>
          <w:lang w:val="ru-MD" w:eastAsia="ru-RU"/>
        </w:rPr>
        <w:t xml:space="preserve">администрирования государственного долга, </w:t>
      </w:r>
      <w:r w:rsidRPr="00EC5A7B">
        <w:rPr>
          <w:rFonts w:asciiTheme="majorHAnsi" w:hAnsiTheme="majorHAnsi"/>
          <w:sz w:val="24"/>
          <w:szCs w:val="24"/>
          <w:lang w:val="ru-MD"/>
        </w:rPr>
        <w:t xml:space="preserve">государственных </w:t>
      </w:r>
      <w:r w:rsidRPr="00EC5A7B">
        <w:rPr>
          <w:rFonts w:asciiTheme="majorHAnsi" w:hAnsiTheme="majorHAnsi"/>
          <w:bCs/>
          <w:sz w:val="24"/>
          <w:szCs w:val="24"/>
          <w:lang w:val="ru-MD"/>
        </w:rPr>
        <w:t>гарантий и государственного рекредитования</w:t>
      </w:r>
      <w:r w:rsidRPr="00EC5A7B">
        <w:rPr>
          <w:rFonts w:asciiTheme="majorHAnsi" w:hAnsiTheme="majorHAnsi"/>
          <w:sz w:val="24"/>
          <w:szCs w:val="24"/>
          <w:lang w:val="ru-MD" w:eastAsia="ru-RU"/>
        </w:rPr>
        <w:t xml:space="preserve"> Министерством финансов</w:t>
      </w:r>
      <w:r w:rsidRPr="00EC5A7B">
        <w:rPr>
          <w:rFonts w:asciiTheme="majorHAnsi" w:hAnsiTheme="majorHAnsi"/>
          <w:bCs/>
          <w:sz w:val="24"/>
          <w:szCs w:val="24"/>
          <w:lang w:val="ru-MD"/>
        </w:rPr>
        <w:t xml:space="preserve">, а также мониторинга и организации обслуживания государственного </w:t>
      </w:r>
      <w:r w:rsidRPr="00EC5A7B">
        <w:rPr>
          <w:rFonts w:asciiTheme="majorHAnsi" w:hAnsiTheme="majorHAnsi" w:cstheme="majorHAnsi"/>
          <w:sz w:val="24"/>
          <w:szCs w:val="24"/>
          <w:lang w:val="ru-MD" w:eastAsia="ru-RU"/>
        </w:rPr>
        <w:t>долга сквозь</w:t>
      </w:r>
      <w:r w:rsidRPr="00EC5A7B">
        <w:rPr>
          <w:rFonts w:asciiTheme="majorHAnsi" w:hAnsiTheme="majorHAnsi"/>
          <w:bCs/>
          <w:sz w:val="24"/>
          <w:szCs w:val="24"/>
          <w:lang w:val="ru-MD"/>
        </w:rPr>
        <w:t xml:space="preserve"> </w:t>
      </w:r>
      <w:r w:rsidRPr="00EC5A7B">
        <w:rPr>
          <w:rFonts w:asciiTheme="majorHAnsi" w:hAnsiTheme="majorHAnsi" w:cstheme="majorHAnsi"/>
          <w:sz w:val="24"/>
          <w:szCs w:val="24"/>
          <w:lang w:val="ru-MD" w:eastAsia="ru-RU"/>
        </w:rPr>
        <w:t xml:space="preserve">призму возложенных на него полномочий. </w:t>
      </w:r>
      <w:r w:rsidR="006023D2" w:rsidRPr="00EC5A7B">
        <w:rPr>
          <w:rFonts w:asciiTheme="majorHAnsi" w:hAnsiTheme="majorHAnsi" w:cstheme="majorHAnsi"/>
          <w:sz w:val="24"/>
          <w:szCs w:val="24"/>
          <w:lang w:val="ru-MD"/>
          <w14:glow w14:rad="0">
            <w14:schemeClr w14:val="tx1"/>
          </w14:glow>
        </w:rPr>
        <w:t xml:space="preserve">  </w:t>
      </w:r>
    </w:p>
    <w:p w14:paraId="715BED04" w14:textId="1E33654F" w:rsidR="006023D2" w:rsidRPr="00EC5A7B" w:rsidRDefault="0056082A" w:rsidP="006023D2">
      <w:pPr>
        <w:spacing w:line="276" w:lineRule="auto"/>
        <w:jc w:val="both"/>
        <w:rPr>
          <w:rFonts w:asciiTheme="majorHAnsi" w:hAnsiTheme="majorHAnsi" w:cstheme="majorHAnsi"/>
          <w:sz w:val="24"/>
          <w:szCs w:val="24"/>
          <w:lang w:val="ru-MD"/>
          <w14:glow w14:rad="0">
            <w14:schemeClr w14:val="tx1"/>
          </w14:glow>
        </w:rPr>
      </w:pPr>
      <w:r w:rsidRPr="00EC5A7B">
        <w:rPr>
          <w:rFonts w:asciiTheme="majorHAnsi" w:hAnsiTheme="majorHAnsi"/>
          <w:sz w:val="24"/>
          <w:lang w:val="ru-MD"/>
        </w:rPr>
        <w:t xml:space="preserve">Аудит был проведен в </w:t>
      </w:r>
      <w:r w:rsidRPr="00EC5A7B">
        <w:rPr>
          <w:rFonts w:asciiTheme="majorHAnsi" w:hAnsiTheme="majorHAnsi" w:cstheme="majorHAnsi"/>
          <w:sz w:val="24"/>
          <w:szCs w:val="24"/>
          <w:lang w:val="ru-MD"/>
          <w14:glow w14:rad="0">
            <w14:schemeClr w14:val="tx1"/>
          </w14:glow>
        </w:rPr>
        <w:t>Министерстве финансов и Публичном учреждении Директорат кредитной линии</w:t>
      </w:r>
      <w:r w:rsidR="006023D2" w:rsidRPr="00EC5A7B">
        <w:rPr>
          <w:rFonts w:asciiTheme="majorHAnsi" w:hAnsiTheme="majorHAnsi" w:cstheme="majorHAnsi"/>
          <w:sz w:val="24"/>
          <w:szCs w:val="24"/>
          <w:lang w:val="ru-MD"/>
          <w14:glow w14:rad="0">
            <w14:schemeClr w14:val="tx1"/>
          </w14:glow>
        </w:rPr>
        <w:t>.</w:t>
      </w:r>
    </w:p>
    <w:p w14:paraId="6EA099DA" w14:textId="7DBD5877" w:rsidR="0040249D" w:rsidRPr="00EC5A7B" w:rsidRDefault="00FE03FF" w:rsidP="0040249D">
      <w:pPr>
        <w:spacing w:line="276" w:lineRule="auto"/>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rPr>
        <w:t xml:space="preserve">Для получения уместных и разумных доказательств, подтверждающих выводы и достоверность констатаций, изложенных в Отчете аудита, аудиторская группа использовала различные процедуры аудита, такие, как: рассмотрение документов и отчетов, </w:t>
      </w:r>
      <w:r w:rsidRPr="00EC5A7B">
        <w:rPr>
          <w:rFonts w:asciiTheme="majorHAnsi" w:hAnsiTheme="majorHAnsi"/>
          <w:bCs/>
          <w:sz w:val="24"/>
          <w:szCs w:val="24"/>
          <w:lang w:val="ru-MD"/>
        </w:rPr>
        <w:t xml:space="preserve">опрос, </w:t>
      </w:r>
      <w:r w:rsidRPr="00EC5A7B">
        <w:rPr>
          <w:rFonts w:asciiTheme="majorHAnsi" w:hAnsiTheme="majorHAnsi" w:cstheme="majorHAnsi"/>
          <w:sz w:val="24"/>
          <w:szCs w:val="24"/>
          <w:lang w:val="ru-MD"/>
        </w:rPr>
        <w:t>расчеты и сравнения, изучение международных стандартов/руководств, относящихся к аудируемой области. Анализы были проведены на основании данных из отчетов, составленных МФ, а также других данных, запрошенных аудиторской группой. Кроме того, отмечается, что анализ данных/информации за 2019 год был проведен в сравнении с 2017 и 2018 годами</w:t>
      </w:r>
      <w:r w:rsidR="0040249D" w:rsidRPr="00EC5A7B">
        <w:rPr>
          <w:rFonts w:asciiTheme="majorHAnsi" w:hAnsiTheme="majorHAnsi" w:cstheme="majorHAnsi"/>
          <w:sz w:val="24"/>
          <w:szCs w:val="24"/>
          <w:lang w:val="ru-MD"/>
          <w14:glow w14:rad="0">
            <w14:schemeClr w14:val="tx1"/>
          </w14:glow>
        </w:rPr>
        <w:t>.</w:t>
      </w:r>
    </w:p>
    <w:p w14:paraId="223B3383" w14:textId="5A0055E9" w:rsidR="006023D2" w:rsidRPr="00EC5A7B" w:rsidRDefault="00FE03FF" w:rsidP="006023D2">
      <w:pPr>
        <w:spacing w:line="276" w:lineRule="auto"/>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rPr>
        <w:lastRenderedPageBreak/>
        <w:t>В ходе аудиторской миссии при проведении соответствующих мероприятий аудиторская группа Счетной палаты руководствовалась</w:t>
      </w:r>
      <w:r w:rsidR="006023D2" w:rsidRPr="00EC5A7B">
        <w:rPr>
          <w:rFonts w:asciiTheme="majorHAnsi" w:hAnsiTheme="majorHAnsi" w:cstheme="majorHAnsi"/>
          <w:sz w:val="24"/>
          <w:szCs w:val="24"/>
          <w:lang w:val="ru-MD"/>
          <w14:glow w14:rad="0">
            <w14:schemeClr w14:val="tx1"/>
          </w14:glow>
        </w:rPr>
        <w:t xml:space="preserve">: </w:t>
      </w:r>
    </w:p>
    <w:p w14:paraId="5433F10B" w14:textId="42FA3BB4" w:rsidR="006023D2" w:rsidRPr="00EC5A7B" w:rsidRDefault="006023D2"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ISSAI 100 „</w:t>
      </w:r>
      <w:r w:rsidR="00FE03FF" w:rsidRPr="00EC5A7B">
        <w:rPr>
          <w:rFonts w:asciiTheme="majorHAnsi" w:hAnsiTheme="majorHAnsi" w:cstheme="majorHAnsi"/>
          <w:sz w:val="24"/>
          <w:szCs w:val="24"/>
          <w:lang w:val="ru-MD"/>
        </w:rPr>
        <w:t>Основополагающие принципы аудита публичного сектора</w:t>
      </w:r>
      <w:r w:rsidRPr="00EC5A7B">
        <w:rPr>
          <w:rFonts w:asciiTheme="majorHAnsi" w:hAnsiTheme="majorHAnsi" w:cstheme="majorHAnsi"/>
          <w:sz w:val="24"/>
          <w:szCs w:val="24"/>
          <w:lang w:val="ru-MD"/>
          <w14:glow w14:rad="0">
            <w14:schemeClr w14:val="tx1"/>
          </w14:glow>
        </w:rPr>
        <w:t>”;</w:t>
      </w:r>
    </w:p>
    <w:p w14:paraId="67B325A2" w14:textId="017DA4D9" w:rsidR="006023D2" w:rsidRPr="00EC5A7B" w:rsidRDefault="006023D2"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ISSAI 300 „</w:t>
      </w:r>
      <w:r w:rsidR="00FE03FF" w:rsidRPr="00EC5A7B">
        <w:rPr>
          <w:rFonts w:asciiTheme="majorHAnsi" w:hAnsiTheme="majorHAnsi" w:cstheme="majorHAnsi"/>
          <w:sz w:val="24"/>
          <w:szCs w:val="24"/>
          <w:lang w:val="ru-MD"/>
        </w:rPr>
        <w:t>Основополагающие принципы аудита эффективности</w:t>
      </w:r>
      <w:r w:rsidRPr="00EC5A7B">
        <w:rPr>
          <w:rFonts w:asciiTheme="majorHAnsi" w:hAnsiTheme="majorHAnsi" w:cstheme="majorHAnsi"/>
          <w:sz w:val="24"/>
          <w:szCs w:val="24"/>
          <w:lang w:val="ru-MD"/>
          <w14:glow w14:rad="0">
            <w14:schemeClr w14:val="tx1"/>
          </w14:glow>
        </w:rPr>
        <w:t>”;</w:t>
      </w:r>
    </w:p>
    <w:p w14:paraId="5EB7B49B" w14:textId="3AAB869D" w:rsidR="006023D2" w:rsidRPr="00EC5A7B" w:rsidRDefault="006023D2"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ISSAI 3000 „</w:t>
      </w:r>
      <w:r w:rsidR="00FE03FF" w:rsidRPr="00EC5A7B">
        <w:rPr>
          <w:rFonts w:asciiTheme="majorHAnsi" w:hAnsiTheme="majorHAnsi" w:cstheme="majorHAnsi"/>
          <w:sz w:val="24"/>
          <w:szCs w:val="24"/>
          <w:lang w:val="ru-MD"/>
        </w:rPr>
        <w:t>Стандарты</w:t>
      </w:r>
      <w:r w:rsidRPr="00EC5A7B">
        <w:rPr>
          <w:rFonts w:asciiTheme="majorHAnsi" w:hAnsiTheme="majorHAnsi" w:cstheme="majorHAnsi"/>
          <w:sz w:val="24"/>
          <w:szCs w:val="24"/>
          <w:lang w:val="ru-MD"/>
          <w14:glow w14:rad="0">
            <w14:schemeClr w14:val="tx1"/>
          </w14:glow>
        </w:rPr>
        <w:t xml:space="preserve"> </w:t>
      </w:r>
      <w:r w:rsidR="00FE03FF" w:rsidRPr="00EC5A7B">
        <w:rPr>
          <w:rFonts w:asciiTheme="majorHAnsi" w:hAnsiTheme="majorHAnsi" w:cstheme="majorHAnsi"/>
          <w:sz w:val="24"/>
          <w:szCs w:val="24"/>
          <w:lang w:val="ru-MD"/>
        </w:rPr>
        <w:t>аудита эффективности</w:t>
      </w:r>
      <w:r w:rsidRPr="00EC5A7B">
        <w:rPr>
          <w:rFonts w:asciiTheme="majorHAnsi" w:hAnsiTheme="majorHAnsi" w:cstheme="majorHAnsi"/>
          <w:sz w:val="24"/>
          <w:szCs w:val="24"/>
          <w:lang w:val="ru-MD"/>
          <w14:glow w14:rad="0">
            <w14:schemeClr w14:val="tx1"/>
          </w14:glow>
        </w:rPr>
        <w:t>”;</w:t>
      </w:r>
    </w:p>
    <w:p w14:paraId="489888B5" w14:textId="28AFA9A4" w:rsidR="006023D2" w:rsidRPr="00EC5A7B" w:rsidRDefault="002C131E" w:rsidP="002C131E">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rPr>
        <w:t xml:space="preserve">Направляющими линиями INTOSAI для аудита </w:t>
      </w:r>
      <w:r w:rsidRPr="00EC5A7B">
        <w:rPr>
          <w:rFonts w:asciiTheme="majorHAnsi" w:hAnsiTheme="majorHAnsi" w:cstheme="majorHAnsi"/>
          <w:sz w:val="24"/>
          <w:szCs w:val="24"/>
          <w:lang w:val="ru-MD" w:eastAsia="ru-RU"/>
        </w:rPr>
        <w:t>эффективност</w:t>
      </w:r>
      <w:r w:rsidRPr="00EC5A7B">
        <w:rPr>
          <w:rFonts w:asciiTheme="majorHAnsi" w:hAnsiTheme="majorHAnsi" w:cstheme="majorHAnsi"/>
          <w:sz w:val="24"/>
          <w:szCs w:val="24"/>
          <w:lang w:val="ru-MD"/>
        </w:rPr>
        <w:t xml:space="preserve">и </w:t>
      </w:r>
      <w:r w:rsidR="006023D2" w:rsidRPr="00EC5A7B">
        <w:rPr>
          <w:rFonts w:asciiTheme="majorHAnsi" w:hAnsiTheme="majorHAnsi" w:cstheme="majorHAnsi"/>
          <w:sz w:val="24"/>
          <w:szCs w:val="24"/>
          <w:lang w:val="ru-MD"/>
          <w14:glow w14:rad="0">
            <w14:schemeClr w14:val="tx1"/>
          </w14:glow>
        </w:rPr>
        <w:t>(GUID 3910 „</w:t>
      </w:r>
      <w:r w:rsidRPr="00EC5A7B">
        <w:rPr>
          <w:rFonts w:asciiTheme="majorHAnsi" w:hAnsiTheme="majorHAnsi" w:cstheme="majorHAnsi"/>
          <w:sz w:val="24"/>
          <w:szCs w:val="24"/>
          <w:lang w:val="ru-MD"/>
          <w14:glow w14:rad="0">
            <w14:schemeClr w14:val="tx1"/>
          </w14:glow>
        </w:rPr>
        <w:t>Основные концепции аудита эффективности</w:t>
      </w:r>
      <w:r w:rsidR="006023D2" w:rsidRPr="00EC5A7B">
        <w:rPr>
          <w:rFonts w:asciiTheme="majorHAnsi" w:hAnsiTheme="majorHAnsi" w:cstheme="majorHAnsi"/>
          <w:sz w:val="24"/>
          <w:szCs w:val="24"/>
          <w:lang w:val="ru-MD"/>
          <w14:glow w14:rad="0">
            <w14:schemeClr w14:val="tx1"/>
          </w14:glow>
        </w:rPr>
        <w:t xml:space="preserve">” </w:t>
      </w:r>
      <w:r w:rsidRPr="00EC5A7B">
        <w:rPr>
          <w:rFonts w:asciiTheme="majorHAnsi" w:hAnsiTheme="majorHAnsi" w:cstheme="majorHAnsi"/>
          <w:sz w:val="24"/>
          <w:szCs w:val="24"/>
          <w:lang w:val="ru-MD"/>
          <w14:glow w14:rad="0">
            <w14:schemeClr w14:val="tx1"/>
          </w14:glow>
        </w:rPr>
        <w:t>и</w:t>
      </w:r>
      <w:r w:rsidR="006023D2" w:rsidRPr="00EC5A7B">
        <w:rPr>
          <w:rFonts w:asciiTheme="majorHAnsi" w:hAnsiTheme="majorHAnsi" w:cstheme="majorHAnsi"/>
          <w:sz w:val="24"/>
          <w:szCs w:val="24"/>
          <w:lang w:val="ru-MD"/>
          <w14:glow w14:rad="0">
            <w14:schemeClr w14:val="tx1"/>
          </w14:glow>
        </w:rPr>
        <w:t xml:space="preserve"> GUID 3920 „</w:t>
      </w:r>
      <w:r w:rsidRPr="00EC5A7B">
        <w:rPr>
          <w:rFonts w:asciiTheme="majorHAnsi" w:hAnsiTheme="majorHAnsi" w:cstheme="majorHAnsi"/>
          <w:sz w:val="24"/>
          <w:szCs w:val="24"/>
          <w:lang w:val="ru-MD"/>
          <w14:glow w14:rad="0">
            <w14:schemeClr w14:val="tx1"/>
          </w14:glow>
        </w:rPr>
        <w:t xml:space="preserve">Процесс </w:t>
      </w:r>
      <w:r w:rsidRPr="00EC5A7B">
        <w:rPr>
          <w:rFonts w:asciiTheme="majorHAnsi" w:hAnsiTheme="majorHAnsi" w:cstheme="majorHAnsi"/>
          <w:sz w:val="24"/>
          <w:szCs w:val="24"/>
          <w:lang w:val="ru-MD"/>
        </w:rPr>
        <w:t>аудита эффективности</w:t>
      </w:r>
      <w:r w:rsidR="006023D2" w:rsidRPr="00EC5A7B">
        <w:rPr>
          <w:rFonts w:asciiTheme="majorHAnsi" w:hAnsiTheme="majorHAnsi" w:cstheme="majorHAnsi"/>
          <w:sz w:val="24"/>
          <w:szCs w:val="24"/>
          <w:lang w:val="ru-MD"/>
          <w14:glow w14:rad="0">
            <w14:schemeClr w14:val="tx1"/>
          </w14:glow>
        </w:rPr>
        <w:t>”);</w:t>
      </w:r>
    </w:p>
    <w:p w14:paraId="1EC15EE6" w14:textId="01831E7B" w:rsidR="006023D2" w:rsidRPr="00EC5A7B" w:rsidRDefault="002C131E"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 xml:space="preserve">Пособием по </w:t>
      </w:r>
      <w:r w:rsidRPr="00EC5A7B">
        <w:rPr>
          <w:rFonts w:asciiTheme="majorHAnsi" w:hAnsiTheme="majorHAnsi" w:cstheme="majorHAnsi"/>
          <w:sz w:val="24"/>
          <w:szCs w:val="24"/>
          <w:lang w:val="ru-MD"/>
        </w:rPr>
        <w:t>аудиту эффективности</w:t>
      </w:r>
      <w:r w:rsidR="006023D2" w:rsidRPr="00EC5A7B">
        <w:rPr>
          <w:rFonts w:asciiTheme="majorHAnsi" w:hAnsiTheme="majorHAnsi" w:cstheme="majorHAnsi"/>
          <w:sz w:val="24"/>
          <w:szCs w:val="24"/>
          <w:lang w:val="ru-MD"/>
          <w14:glow w14:rad="0">
            <w14:schemeClr w14:val="tx1"/>
          </w14:glow>
        </w:rPr>
        <w:t>;</w:t>
      </w:r>
    </w:p>
    <w:p w14:paraId="7B625A8B" w14:textId="618CF299" w:rsidR="0040249D" w:rsidRPr="00EC5A7B" w:rsidRDefault="002C131E"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rPr>
        <w:t>Законодательными и нормативными актами, относящимися к аудируемой области</w:t>
      </w:r>
      <w:r w:rsidR="0040249D" w:rsidRPr="00EC5A7B">
        <w:rPr>
          <w:rFonts w:asciiTheme="majorHAnsi" w:hAnsiTheme="majorHAnsi" w:cstheme="majorHAnsi"/>
          <w:sz w:val="24"/>
          <w:szCs w:val="24"/>
          <w:lang w:val="ru-MD"/>
          <w14:glow w14:rad="0">
            <w14:schemeClr w14:val="tx1"/>
          </w14:glow>
        </w:rPr>
        <w:t>;</w:t>
      </w:r>
    </w:p>
    <w:p w14:paraId="07388128" w14:textId="129C9D2D" w:rsidR="006023D2" w:rsidRPr="00EC5A7B" w:rsidRDefault="002C131E" w:rsidP="00182F0D">
      <w:pPr>
        <w:numPr>
          <w:ilvl w:val="0"/>
          <w:numId w:val="3"/>
        </w:numPr>
        <w:spacing w:line="276" w:lineRule="auto"/>
        <w:contextualSpacing/>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Передовой практикой в данной области и др</w:t>
      </w:r>
      <w:r w:rsidR="006023D2" w:rsidRPr="00EC5A7B">
        <w:rPr>
          <w:rFonts w:asciiTheme="majorHAnsi" w:hAnsiTheme="majorHAnsi" w:cstheme="majorHAnsi"/>
          <w:sz w:val="24"/>
          <w:szCs w:val="24"/>
          <w:lang w:val="ru-MD"/>
          <w14:glow w14:rad="0">
            <w14:schemeClr w14:val="tx1"/>
          </w14:glow>
        </w:rPr>
        <w:t>.</w:t>
      </w:r>
    </w:p>
    <w:p w14:paraId="6CDCC6B4" w14:textId="1A914307" w:rsidR="00CB5311" w:rsidRPr="00EC5A7B" w:rsidRDefault="00CB5311" w:rsidP="00CB5311">
      <w:pPr>
        <w:spacing w:line="276" w:lineRule="auto"/>
        <w:ind w:left="360"/>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b/>
          <w:sz w:val="24"/>
          <w:szCs w:val="24"/>
          <w:lang w:val="ru-MD"/>
          <w14:glow w14:rad="0">
            <w14:schemeClr w14:val="tx1"/>
          </w14:glow>
        </w:rPr>
        <w:t>*</w:t>
      </w:r>
      <w:r w:rsidR="002C131E" w:rsidRPr="00EC5A7B">
        <w:rPr>
          <w:rFonts w:asciiTheme="majorHAnsi" w:hAnsiTheme="majorHAnsi" w:cstheme="majorHAnsi"/>
          <w:sz w:val="24"/>
          <w:szCs w:val="24"/>
          <w:lang w:val="ru-MD"/>
          <w14:glow w14:rad="0">
            <w14:schemeClr w14:val="tx1"/>
          </w14:glow>
        </w:rPr>
        <w:t>Кроме того, аудиторская группа проконсультировала и руководствовалась положениями, включенными в Проект GUID 5250 „Руководство по аудиту публичного долга”, который находится в процессе разработки и тестирования странами-членами Рабочей группы по государственному долгу INTOSAI</w:t>
      </w:r>
      <w:r w:rsidRPr="00EC5A7B">
        <w:rPr>
          <w:rFonts w:asciiTheme="majorHAnsi" w:hAnsiTheme="majorHAnsi" w:cstheme="majorHAnsi"/>
          <w:sz w:val="24"/>
          <w:szCs w:val="24"/>
          <w:lang w:val="ru-MD"/>
          <w14:glow w14:rad="0">
            <w14:schemeClr w14:val="tx1"/>
          </w14:glow>
        </w:rPr>
        <w:t>.</w:t>
      </w:r>
    </w:p>
    <w:p w14:paraId="1DBF9C59" w14:textId="77777777" w:rsidR="001D0BE7" w:rsidRPr="00EC5A7B" w:rsidRDefault="001D0BE7" w:rsidP="001D0BE7">
      <w:pPr>
        <w:spacing w:line="276" w:lineRule="auto"/>
        <w:ind w:left="720"/>
        <w:contextualSpacing/>
        <w:jc w:val="both"/>
        <w:rPr>
          <w:rFonts w:asciiTheme="majorHAnsi" w:hAnsiTheme="majorHAnsi" w:cstheme="majorHAnsi"/>
          <w:sz w:val="24"/>
          <w:szCs w:val="24"/>
          <w:lang w:val="ru-MD"/>
          <w14:glow w14:rad="0">
            <w14:schemeClr w14:val="tx1"/>
          </w14:glow>
        </w:rPr>
      </w:pPr>
    </w:p>
    <w:p w14:paraId="5ADDBA61" w14:textId="6CDCF85E" w:rsidR="006023D2" w:rsidRPr="00EC5A7B" w:rsidRDefault="001868AD" w:rsidP="006023D2">
      <w:pPr>
        <w:spacing w:line="276" w:lineRule="auto"/>
        <w:jc w:val="both"/>
        <w:rPr>
          <w:rFonts w:asciiTheme="majorHAnsi" w:hAnsiTheme="majorHAnsi" w:cstheme="majorHAnsi"/>
          <w:b/>
          <w:sz w:val="24"/>
          <w:szCs w:val="24"/>
          <w:lang w:val="ru-MD"/>
          <w14:glow w14:rad="0">
            <w14:schemeClr w14:val="tx1"/>
          </w14:glow>
        </w:rPr>
      </w:pPr>
      <w:r w:rsidRPr="00EC5A7B">
        <w:rPr>
          <w:rFonts w:asciiTheme="majorHAnsi" w:hAnsiTheme="majorHAnsi" w:cstheme="majorHAnsi"/>
          <w:b/>
          <w:sz w:val="24"/>
          <w:szCs w:val="24"/>
          <w:lang w:val="ru-MD"/>
        </w:rPr>
        <w:t>Методология аудита</w:t>
      </w:r>
      <w:r w:rsidRPr="00EC5A7B">
        <w:rPr>
          <w:rFonts w:asciiTheme="majorHAnsi" w:hAnsiTheme="majorHAnsi" w:cstheme="majorHAnsi"/>
          <w:b/>
          <w:sz w:val="24"/>
          <w:szCs w:val="24"/>
          <w:lang w:val="ru-MD"/>
          <w14:glow w14:rad="0">
            <w14:schemeClr w14:val="tx1"/>
          </w14:glow>
        </w:rPr>
        <w:t xml:space="preserve"> </w:t>
      </w:r>
    </w:p>
    <w:p w14:paraId="0743EFFC" w14:textId="395BEC58" w:rsidR="006023D2" w:rsidRPr="00EC5A7B" w:rsidRDefault="00D67B5B" w:rsidP="006023D2">
      <w:pPr>
        <w:spacing w:line="276" w:lineRule="auto"/>
        <w:jc w:val="both"/>
        <w:rPr>
          <w:rFonts w:asciiTheme="majorHAnsi" w:hAnsiTheme="majorHAnsi" w:cstheme="majorHAnsi"/>
          <w:sz w:val="24"/>
          <w:szCs w:val="24"/>
          <w:lang w:val="ru-MD"/>
          <w14:glow w14:rad="0">
            <w14:schemeClr w14:val="tx1"/>
          </w14:glow>
        </w:rPr>
      </w:pPr>
      <w:r w:rsidRPr="00EC5A7B">
        <w:rPr>
          <w:rFonts w:asciiTheme="majorHAnsi" w:hAnsiTheme="majorHAnsi" w:cstheme="majorHAnsi"/>
          <w:sz w:val="24"/>
          <w:szCs w:val="24"/>
          <w:lang w:val="ru-MD"/>
          <w14:glow w14:rad="0">
            <w14:schemeClr w14:val="tx1"/>
          </w14:glow>
        </w:rPr>
        <w:t>Для получения достаточных и адекватных доказательств, подтверждающих выводы и достоверность констатаций, изложенных в Отчете аудита, аудиторская группа использовала следующие техники, методологии и процедуры аудита</w:t>
      </w:r>
      <w:r w:rsidR="006023D2" w:rsidRPr="00EC5A7B">
        <w:rPr>
          <w:rFonts w:asciiTheme="majorHAnsi" w:hAnsiTheme="majorHAnsi" w:cstheme="majorHAnsi"/>
          <w:sz w:val="24"/>
          <w:szCs w:val="24"/>
          <w:lang w:val="ru-MD"/>
          <w14:glow w14:rad="0">
            <w14:schemeClr w14:val="tx1"/>
          </w14:glow>
        </w:rPr>
        <w:t>:</w:t>
      </w:r>
    </w:p>
    <w:p w14:paraId="545A5ABB" w14:textId="2E72E6AF" w:rsidR="0040249D" w:rsidRPr="00EC5A7B" w:rsidRDefault="00540442" w:rsidP="00540442">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lastRenderedPageBreak/>
        <w:t>был рассмотрен Отчет о ситуации в области долга публичного сектора, государственных гарантий и государственного рекредитования за 2019 год</w:t>
      </w:r>
      <w:r w:rsidR="0040249D" w:rsidRPr="00EC5A7B">
        <w:rPr>
          <w:rFonts w:asciiTheme="majorHAnsi" w:hAnsiTheme="majorHAnsi" w:cstheme="majorHAnsi"/>
          <w:sz w:val="24"/>
          <w:szCs w:val="24"/>
          <w:lang w:val="ru-MD"/>
        </w:rPr>
        <w:t>;</w:t>
      </w:r>
    </w:p>
    <w:p w14:paraId="29579D03" w14:textId="6AEF63DA" w:rsidR="0040249D" w:rsidRPr="00EC5A7B" w:rsidRDefault="00540442"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рассмотрена и проанализирована Программа „Управление государственным долгом в среднесрочном периоде” (2018-2020)</w:t>
      </w:r>
      <w:r w:rsidR="0040249D" w:rsidRPr="00EC5A7B">
        <w:rPr>
          <w:rFonts w:asciiTheme="majorHAnsi" w:hAnsiTheme="majorHAnsi" w:cstheme="majorHAnsi"/>
          <w:sz w:val="24"/>
          <w:szCs w:val="24"/>
          <w:lang w:val="ru-MD"/>
        </w:rPr>
        <w:t>;</w:t>
      </w:r>
    </w:p>
    <w:p w14:paraId="212F5734" w14:textId="72748E3B" w:rsidR="0040249D" w:rsidRPr="00EC5A7B" w:rsidRDefault="00540442"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были проанализированы и пересчитаны показатели риска и устойчивости государственного долга, а также меры, принятые МФ с целью обеспечения мониторинга этих показателей</w:t>
      </w:r>
      <w:r w:rsidR="0040249D" w:rsidRPr="00EC5A7B">
        <w:rPr>
          <w:rFonts w:asciiTheme="majorHAnsi" w:hAnsiTheme="majorHAnsi" w:cstheme="majorHAnsi"/>
          <w:sz w:val="24"/>
          <w:szCs w:val="24"/>
          <w:lang w:val="ru-MD"/>
        </w:rPr>
        <w:t>;</w:t>
      </w:r>
    </w:p>
    <w:p w14:paraId="30313AEF" w14:textId="44D44D6A" w:rsidR="0040249D" w:rsidRPr="00EC5A7B" w:rsidRDefault="00DB23BE"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проанализирована эволюция расходов, связанных с обслуживанием государственного долга, в том числе обслуживания внутреннего и внешнего государственного долга</w:t>
      </w:r>
      <w:r w:rsidR="0040249D" w:rsidRPr="00EC5A7B">
        <w:rPr>
          <w:rFonts w:asciiTheme="majorHAnsi" w:hAnsiTheme="majorHAnsi" w:cstheme="majorHAnsi"/>
          <w:sz w:val="24"/>
          <w:szCs w:val="24"/>
          <w:lang w:val="ru-MD"/>
        </w:rPr>
        <w:t>;</w:t>
      </w:r>
    </w:p>
    <w:p w14:paraId="6BAEC2E1" w14:textId="462DCECA" w:rsidR="0040249D" w:rsidRPr="00EC5A7B" w:rsidRDefault="00DB23BE"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 рассмотрен портфель государственного долга в аспекте срока погашения, процентной ставки, валюты и др.</w:t>
      </w:r>
      <w:r w:rsidR="0040249D" w:rsidRPr="00EC5A7B">
        <w:rPr>
          <w:rFonts w:asciiTheme="majorHAnsi" w:hAnsiTheme="majorHAnsi" w:cstheme="majorHAnsi"/>
          <w:sz w:val="24"/>
          <w:szCs w:val="24"/>
          <w:lang w:val="ru-MD"/>
        </w:rPr>
        <w:t>;</w:t>
      </w:r>
    </w:p>
    <w:p w14:paraId="2A772CB2" w14:textId="74DE0595" w:rsidR="0040249D" w:rsidRPr="00EC5A7B" w:rsidRDefault="001C3684"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были проанализированы графики проведения аукционов по продаже ГЦБ на первичном рынке и сооообщения о их результатах</w:t>
      </w:r>
      <w:r w:rsidR="0040249D" w:rsidRPr="00EC5A7B">
        <w:rPr>
          <w:rFonts w:asciiTheme="majorHAnsi" w:hAnsiTheme="majorHAnsi" w:cstheme="majorHAnsi"/>
          <w:sz w:val="24"/>
          <w:szCs w:val="24"/>
          <w:lang w:val="ru-MD"/>
        </w:rPr>
        <w:t>;</w:t>
      </w:r>
    </w:p>
    <w:p w14:paraId="38FA855A" w14:textId="626047B4" w:rsidR="0040249D" w:rsidRPr="00EC5A7B" w:rsidRDefault="009211C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запрошена информация об объеме ГЦБ, закупленных коммерческими банками (первичными дилерами)</w:t>
      </w:r>
      <w:r w:rsidR="0040249D" w:rsidRPr="00EC5A7B">
        <w:rPr>
          <w:rFonts w:asciiTheme="majorHAnsi" w:hAnsiTheme="majorHAnsi" w:cstheme="majorHAnsi"/>
          <w:sz w:val="24"/>
          <w:szCs w:val="24"/>
          <w:lang w:val="ru-MD"/>
        </w:rPr>
        <w:t>;</w:t>
      </w:r>
    </w:p>
    <w:p w14:paraId="7DDA9B9E" w14:textId="58B3441A" w:rsidR="0040249D" w:rsidRPr="00EC5A7B" w:rsidRDefault="009211C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были проанализированы процентные ставки по ГЦБ с периодом погашения 91 день, 182 дня, 364 дня, для финансовых инструментов со сроком погашения до 1 года, 2-3 года, средневзвешенные номинальные процентные ставки по ГЦБ, выпущенным на первичном рынке, и по конвертированным ГЦБ</w:t>
      </w:r>
      <w:r w:rsidR="0040249D" w:rsidRPr="00EC5A7B">
        <w:rPr>
          <w:rFonts w:asciiTheme="majorHAnsi" w:hAnsiTheme="majorHAnsi" w:cstheme="majorHAnsi"/>
          <w:sz w:val="24"/>
          <w:szCs w:val="24"/>
          <w:lang w:val="ru-MD"/>
        </w:rPr>
        <w:t>;</w:t>
      </w:r>
    </w:p>
    <w:p w14:paraId="4690F901" w14:textId="5106B28E" w:rsidR="0040249D" w:rsidRPr="00EC5A7B" w:rsidRDefault="009211C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lastRenderedPageBreak/>
        <w:t>была проанализирована ситуация по внешним кредитам и уровню их финансирования</w:t>
      </w:r>
      <w:r w:rsidR="0040249D" w:rsidRPr="00EC5A7B">
        <w:rPr>
          <w:rFonts w:asciiTheme="majorHAnsi" w:hAnsiTheme="majorHAnsi" w:cstheme="majorHAnsi"/>
          <w:sz w:val="24"/>
          <w:szCs w:val="24"/>
          <w:lang w:val="ru-MD"/>
        </w:rPr>
        <w:t>;</w:t>
      </w:r>
    </w:p>
    <w:p w14:paraId="42AD77E6" w14:textId="49E58F62" w:rsidR="00B461DD" w:rsidRPr="00EC5A7B" w:rsidRDefault="009B38BC" w:rsidP="009B38BC">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были запрошены объяснения ответственных лиц относительно низкого уровня выплат по некоторым внешним государственным займам</w:t>
      </w:r>
      <w:r w:rsidR="00B461DD" w:rsidRPr="00EC5A7B">
        <w:rPr>
          <w:rFonts w:asciiTheme="majorHAnsi" w:hAnsiTheme="majorHAnsi" w:cstheme="majorHAnsi"/>
          <w:sz w:val="24"/>
          <w:szCs w:val="24"/>
          <w:lang w:val="ru-MD"/>
        </w:rPr>
        <w:t>;</w:t>
      </w:r>
    </w:p>
    <w:p w14:paraId="13DD98E9" w14:textId="5902E720" w:rsidR="00B461DD" w:rsidRPr="00EC5A7B" w:rsidRDefault="009B38BC" w:rsidP="009B38BC">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 проанализирован аспект, касающийся затрат и рисков новых кредитов, зак</w:t>
      </w:r>
      <w:r w:rsidR="00AC08FA" w:rsidRPr="00EC5A7B">
        <w:rPr>
          <w:rFonts w:asciiTheme="majorHAnsi" w:hAnsiTheme="majorHAnsi" w:cstheme="majorHAnsi"/>
          <w:sz w:val="24"/>
          <w:szCs w:val="24"/>
          <w:lang w:val="ru-MD"/>
        </w:rPr>
        <w:t>онтрактова</w:t>
      </w:r>
      <w:r w:rsidRPr="00EC5A7B">
        <w:rPr>
          <w:rFonts w:asciiTheme="majorHAnsi" w:hAnsiTheme="majorHAnsi" w:cstheme="majorHAnsi"/>
          <w:sz w:val="24"/>
          <w:szCs w:val="24"/>
          <w:lang w:val="ru-MD"/>
        </w:rPr>
        <w:t>нных в 2019 году</w:t>
      </w:r>
      <w:r w:rsidR="00B461DD" w:rsidRPr="00EC5A7B">
        <w:rPr>
          <w:rFonts w:asciiTheme="majorHAnsi" w:hAnsiTheme="majorHAnsi" w:cstheme="majorHAnsi"/>
          <w:sz w:val="24"/>
          <w:szCs w:val="24"/>
          <w:lang w:val="ru-MD"/>
        </w:rPr>
        <w:t>;</w:t>
      </w:r>
    </w:p>
    <w:p w14:paraId="373FDAC4" w14:textId="64B4CF49" w:rsidR="00DF4BED" w:rsidRPr="00EC5A7B" w:rsidRDefault="00AC08FA" w:rsidP="00AC08FA">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проанализирована информация о конвертировании некоторых внешних государственных займов из дол</w:t>
      </w:r>
      <w:r w:rsidR="00775E76" w:rsidRPr="00EC5A7B">
        <w:rPr>
          <w:rFonts w:asciiTheme="majorHAnsi" w:hAnsiTheme="majorHAnsi" w:cstheme="majorHAnsi"/>
          <w:sz w:val="24"/>
          <w:szCs w:val="24"/>
          <w:lang w:val="ru-MD"/>
        </w:rPr>
        <w:t>л</w:t>
      </w:r>
      <w:r w:rsidRPr="00EC5A7B">
        <w:rPr>
          <w:rFonts w:asciiTheme="majorHAnsi" w:hAnsiTheme="majorHAnsi" w:cstheme="majorHAnsi"/>
          <w:sz w:val="24"/>
          <w:szCs w:val="24"/>
          <w:lang w:val="ru-MD"/>
        </w:rPr>
        <w:t>. США в евро, а также расходы, понесенные МФ для проведения этих операций</w:t>
      </w:r>
      <w:r w:rsidR="00DF4BED" w:rsidRPr="00EC5A7B">
        <w:rPr>
          <w:rFonts w:asciiTheme="majorHAnsi" w:hAnsiTheme="majorHAnsi" w:cstheme="majorHAnsi"/>
          <w:sz w:val="24"/>
          <w:szCs w:val="24"/>
          <w:lang w:val="ru-MD"/>
        </w:rPr>
        <w:t>;</w:t>
      </w:r>
    </w:p>
    <w:p w14:paraId="27B86CEB" w14:textId="6DAC024B" w:rsidR="00B461DD" w:rsidRPr="00EC5A7B" w:rsidRDefault="00775E76" w:rsidP="00775E76">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 проанализирован План управления операционным риском и непрерывности деятельности, связанной с управлением государственным долгом на 2019 год</w:t>
      </w:r>
      <w:r w:rsidR="00B461DD" w:rsidRPr="00EC5A7B">
        <w:rPr>
          <w:rFonts w:asciiTheme="majorHAnsi" w:hAnsiTheme="majorHAnsi" w:cstheme="majorHAnsi"/>
          <w:sz w:val="24"/>
          <w:szCs w:val="24"/>
          <w:lang w:val="ru-MD"/>
        </w:rPr>
        <w:t>;</w:t>
      </w:r>
    </w:p>
    <w:p w14:paraId="6937336F" w14:textId="37AEF404" w:rsidR="0040249D" w:rsidRPr="00EC5A7B" w:rsidRDefault="00CE16B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проанализирована ситуация по гарантированным дебиторам и рекредитованным бенефициарам в аспекте выполнения обязательств перед государственным бюджетом и задолженностей с истекшим сроком погашения</w:t>
      </w:r>
      <w:r w:rsidR="0040249D" w:rsidRPr="00EC5A7B">
        <w:rPr>
          <w:rFonts w:asciiTheme="majorHAnsi" w:hAnsiTheme="majorHAnsi" w:cstheme="majorHAnsi"/>
          <w:sz w:val="24"/>
          <w:szCs w:val="24"/>
          <w:lang w:val="ru-MD"/>
        </w:rPr>
        <w:t>;</w:t>
      </w:r>
    </w:p>
    <w:p w14:paraId="05BD0EC8" w14:textId="76492FF7" w:rsidR="0040249D" w:rsidRPr="00EC5A7B" w:rsidRDefault="00CE16B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была запрошена информация о мерах, принимаемых МФ с целью недопущения и сокращения задолженностей с истекшим сроком погашения по рекредитованным займам и гарантированным кредитам, а также обеспечения достоверности отчетных данных, представленных бенефициарами соответствующих займов</w:t>
      </w:r>
      <w:r w:rsidR="0040249D" w:rsidRPr="00EC5A7B">
        <w:rPr>
          <w:rFonts w:asciiTheme="majorHAnsi" w:hAnsiTheme="majorHAnsi" w:cstheme="majorHAnsi"/>
          <w:sz w:val="24"/>
          <w:szCs w:val="24"/>
          <w:lang w:val="ru-MD"/>
        </w:rPr>
        <w:t>;</w:t>
      </w:r>
    </w:p>
    <w:p w14:paraId="40ECBFE2" w14:textId="0BCB7B62" w:rsidR="00B461DD" w:rsidRPr="00EC5A7B" w:rsidRDefault="00CE16B0" w:rsidP="00CE16B0">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 xml:space="preserve">была проанализирована правовая база, связанная с реструктуризацией Публичного учреждения </w:t>
      </w:r>
      <w:r w:rsidR="001D0BE7" w:rsidRPr="00EC5A7B">
        <w:rPr>
          <w:rFonts w:asciiTheme="majorHAnsi" w:hAnsiTheme="majorHAnsi" w:cstheme="majorHAnsi"/>
          <w:sz w:val="24"/>
          <w:szCs w:val="24"/>
          <w:lang w:val="ru-MD"/>
        </w:rPr>
        <w:t>„</w:t>
      </w:r>
      <w:r w:rsidRPr="00EC5A7B">
        <w:rPr>
          <w:rFonts w:asciiTheme="majorHAnsi" w:hAnsiTheme="majorHAnsi" w:cstheme="majorHAnsi"/>
          <w:sz w:val="24"/>
          <w:szCs w:val="24"/>
          <w:lang w:val="ru-MD"/>
        </w:rPr>
        <w:t>Директорат кредитной линии</w:t>
      </w:r>
      <w:r w:rsidR="001D0BE7" w:rsidRPr="00EC5A7B">
        <w:rPr>
          <w:rFonts w:asciiTheme="majorHAnsi" w:hAnsiTheme="majorHAnsi" w:cstheme="majorHAnsi"/>
          <w:sz w:val="24"/>
          <w:szCs w:val="24"/>
          <w:lang w:val="ru-MD"/>
        </w:rPr>
        <w:t>”</w:t>
      </w:r>
      <w:r w:rsidR="00DF4BED" w:rsidRPr="00EC5A7B">
        <w:rPr>
          <w:rFonts w:asciiTheme="majorHAnsi" w:hAnsiTheme="majorHAnsi" w:cstheme="majorHAnsi"/>
          <w:sz w:val="24"/>
          <w:szCs w:val="24"/>
          <w:lang w:val="ru-MD"/>
        </w:rPr>
        <w:t>;</w:t>
      </w:r>
    </w:p>
    <w:p w14:paraId="558A27E7" w14:textId="24CA205E" w:rsidR="0040249D" w:rsidRPr="00EC5A7B" w:rsidRDefault="00CE16B0" w:rsidP="00CE16B0">
      <w:pPr>
        <w:numPr>
          <w:ilvl w:val="0"/>
          <w:numId w:val="5"/>
        </w:numPr>
        <w:spacing w:line="276" w:lineRule="auto"/>
        <w:contextualSpacing/>
        <w:jc w:val="both"/>
        <w:rPr>
          <w:rFonts w:asciiTheme="majorHAnsi" w:hAnsiTheme="majorHAnsi" w:cstheme="majorHAnsi"/>
          <w:sz w:val="24"/>
          <w:lang w:val="ru-MD"/>
        </w:rPr>
      </w:pPr>
      <w:r w:rsidRPr="00EC5A7B">
        <w:rPr>
          <w:rFonts w:ascii="Calibri Light" w:hAnsi="Calibri Light" w:cs="Calibri Light"/>
          <w:bCs/>
          <w:sz w:val="24"/>
          <w:szCs w:val="24"/>
          <w:lang w:val="ru-MD"/>
        </w:rPr>
        <w:lastRenderedPageBreak/>
        <w:t>была проанализирована другая релевантная информация, относящаяся к аудиту</w:t>
      </w:r>
      <w:r w:rsidR="00B461DD" w:rsidRPr="00EC5A7B">
        <w:rPr>
          <w:rFonts w:ascii="Calibri Light" w:hAnsi="Calibri Light" w:cs="Calibri Light"/>
          <w:bCs/>
          <w:sz w:val="24"/>
          <w:szCs w:val="24"/>
          <w:lang w:val="ru-MD"/>
        </w:rPr>
        <w:t>;</w:t>
      </w:r>
    </w:p>
    <w:p w14:paraId="3029AADA" w14:textId="5DBE9796" w:rsidR="0040249D" w:rsidRPr="00EC5A7B" w:rsidRDefault="00CE16B0" w:rsidP="0040249D">
      <w:pPr>
        <w:numPr>
          <w:ilvl w:val="0"/>
          <w:numId w:val="5"/>
        </w:numPr>
        <w:spacing w:line="276" w:lineRule="auto"/>
        <w:contextualSpacing/>
        <w:jc w:val="both"/>
        <w:rPr>
          <w:rFonts w:asciiTheme="majorHAnsi" w:hAnsiTheme="majorHAnsi" w:cstheme="majorHAnsi"/>
          <w:sz w:val="24"/>
          <w:szCs w:val="24"/>
          <w:lang w:val="ru-MD"/>
        </w:rPr>
      </w:pPr>
      <w:r w:rsidRPr="00EC5A7B">
        <w:rPr>
          <w:rFonts w:asciiTheme="majorHAnsi" w:hAnsiTheme="majorHAnsi" w:cstheme="majorHAnsi"/>
          <w:sz w:val="24"/>
          <w:szCs w:val="24"/>
          <w:lang w:val="ru-MD"/>
        </w:rPr>
        <w:t>были обсуждены с руководящими лицами некоторые установленные аспекты</w:t>
      </w:r>
      <w:r w:rsidR="0040249D" w:rsidRPr="00EC5A7B">
        <w:rPr>
          <w:rFonts w:asciiTheme="majorHAnsi" w:hAnsiTheme="majorHAnsi" w:cstheme="majorHAnsi"/>
          <w:sz w:val="24"/>
          <w:szCs w:val="24"/>
          <w:lang w:val="ru-MD"/>
        </w:rPr>
        <w:t>.</w:t>
      </w:r>
    </w:p>
    <w:p w14:paraId="498C302E" w14:textId="77777777" w:rsidR="0040249D" w:rsidRPr="00EC5A7B" w:rsidRDefault="0040249D" w:rsidP="00B461DD">
      <w:pPr>
        <w:spacing w:line="276" w:lineRule="auto"/>
        <w:contextualSpacing/>
        <w:jc w:val="both"/>
        <w:rPr>
          <w:rFonts w:asciiTheme="majorHAnsi" w:hAnsiTheme="majorHAnsi" w:cstheme="majorHAnsi"/>
          <w:sz w:val="24"/>
          <w:szCs w:val="24"/>
          <w:lang w:val="ru-MD"/>
        </w:rPr>
      </w:pPr>
    </w:p>
    <w:p w14:paraId="3277C30F" w14:textId="75A8938D" w:rsidR="00651290" w:rsidRPr="00EC5A7B" w:rsidRDefault="00532D8D" w:rsidP="00651290">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noProof/>
          <w:sz w:val="24"/>
          <w:szCs w:val="24"/>
        </w:rPr>
        <w:drawing>
          <wp:anchor distT="0" distB="0" distL="114300" distR="114300" simplePos="0" relativeHeight="251659264" behindDoc="0" locked="0" layoutInCell="1" allowOverlap="1" wp14:anchorId="53971F8A" wp14:editId="67A1C473">
            <wp:simplePos x="0" y="0"/>
            <wp:positionH relativeFrom="column">
              <wp:posOffset>-152400</wp:posOffset>
            </wp:positionH>
            <wp:positionV relativeFrom="paragraph">
              <wp:posOffset>283210</wp:posOffset>
            </wp:positionV>
            <wp:extent cx="5940425" cy="8224520"/>
            <wp:effectExtent l="0" t="0" r="3175" b="5080"/>
            <wp:wrapThrough wrapText="bothSides">
              <wp:wrapPolygon edited="0">
                <wp:start x="0" y="0"/>
                <wp:lineTo x="0" y="21563"/>
                <wp:lineTo x="21542" y="21563"/>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a MF1.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8224520"/>
                    </a:xfrm>
                    <a:prstGeom prst="rect">
                      <a:avLst/>
                    </a:prstGeom>
                  </pic:spPr>
                </pic:pic>
              </a:graphicData>
            </a:graphic>
          </wp:anchor>
        </w:drawing>
      </w:r>
      <w:r w:rsidR="001868AD" w:rsidRPr="00EC5A7B">
        <w:rPr>
          <w:rFonts w:asciiTheme="majorHAnsi" w:hAnsiTheme="majorHAnsi" w:cstheme="majorHAnsi"/>
          <w:b/>
          <w:i/>
          <w:color w:val="5B9BD5" w:themeColor="accent1"/>
          <w:sz w:val="24"/>
          <w:szCs w:val="24"/>
          <w:lang w:val="ru-MD"/>
          <w14:glow w14:rad="0">
            <w14:schemeClr w14:val="tx1"/>
          </w14:glow>
        </w:rPr>
        <w:t>Приложение №</w:t>
      </w:r>
      <w:r w:rsidR="00651290" w:rsidRPr="00EC5A7B">
        <w:rPr>
          <w:rFonts w:asciiTheme="majorHAnsi" w:hAnsiTheme="majorHAnsi" w:cstheme="majorHAnsi"/>
          <w:b/>
          <w:i/>
          <w:color w:val="5B9BD5" w:themeColor="accent1"/>
          <w:sz w:val="24"/>
          <w:szCs w:val="24"/>
          <w:lang w:val="ru-MD"/>
          <w14:glow w14:rad="0">
            <w14:schemeClr w14:val="tx1"/>
          </w14:glow>
        </w:rPr>
        <w:t>2</w:t>
      </w:r>
    </w:p>
    <w:p w14:paraId="3782D28B" w14:textId="77777777" w:rsidR="00532D8D" w:rsidRPr="00EC5A7B" w:rsidRDefault="00532D8D" w:rsidP="00246BFA">
      <w:pPr>
        <w:spacing w:line="276" w:lineRule="auto"/>
        <w:jc w:val="both"/>
        <w:rPr>
          <w:rFonts w:asciiTheme="majorHAnsi" w:hAnsiTheme="majorHAnsi" w:cstheme="majorHAnsi"/>
          <w:sz w:val="24"/>
          <w:szCs w:val="24"/>
          <w:lang w:val="ru-MD" w:eastAsia="ru-RU"/>
        </w:rPr>
      </w:pPr>
    </w:p>
    <w:p w14:paraId="30D3EBE6" w14:textId="027E95D0" w:rsidR="00E46C02" w:rsidRPr="00EC5A7B" w:rsidRDefault="007B3D00" w:rsidP="00532D8D">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2A0EB3" w:rsidRPr="00EC5A7B">
        <w:rPr>
          <w:rFonts w:asciiTheme="majorHAnsi" w:hAnsiTheme="majorHAnsi" w:cstheme="majorHAnsi"/>
          <w:b/>
          <w:i/>
          <w:sz w:val="20"/>
          <w:szCs w:val="20"/>
          <w:lang w:val="ru-MD" w:eastAsia="ru-RU"/>
        </w:rPr>
        <w:t>:</w:t>
      </w:r>
      <w:r w:rsidR="002A0EB3" w:rsidRPr="00EC5A7B">
        <w:rPr>
          <w:rFonts w:asciiTheme="majorHAnsi" w:hAnsiTheme="majorHAnsi" w:cstheme="majorHAnsi"/>
          <w:i/>
          <w:sz w:val="20"/>
          <w:szCs w:val="20"/>
          <w:lang w:val="ru-MD" w:eastAsia="ru-RU"/>
        </w:rPr>
        <w:t xml:space="preserve"> </w:t>
      </w:r>
      <w:r w:rsidR="00321ACA" w:rsidRPr="00EC5A7B">
        <w:rPr>
          <w:rFonts w:asciiTheme="majorHAnsi" w:hAnsiTheme="majorHAnsi" w:cstheme="majorHAnsi"/>
          <w:i/>
          <w:sz w:val="20"/>
          <w:szCs w:val="20"/>
          <w:lang w:val="ru-MD" w:eastAsia="ru-RU"/>
        </w:rPr>
        <w:t>Регламент Управления публичного долга МФ</w:t>
      </w:r>
      <w:r w:rsidR="002A0EB3" w:rsidRPr="00EC5A7B">
        <w:rPr>
          <w:rFonts w:asciiTheme="majorHAnsi" w:hAnsiTheme="majorHAnsi" w:cstheme="majorHAnsi"/>
          <w:i/>
          <w:sz w:val="20"/>
          <w:szCs w:val="20"/>
          <w:lang w:val="ru-MD" w:eastAsia="ru-RU"/>
        </w:rPr>
        <w:t>.</w:t>
      </w:r>
    </w:p>
    <w:p w14:paraId="4D0DA262" w14:textId="6C302F75" w:rsidR="00E46C02" w:rsidRPr="00EC5A7B" w:rsidRDefault="001868AD" w:rsidP="00E46C02">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E46C02" w:rsidRPr="00EC5A7B">
        <w:rPr>
          <w:rFonts w:asciiTheme="majorHAnsi" w:hAnsiTheme="majorHAnsi" w:cstheme="majorHAnsi"/>
          <w:b/>
          <w:i/>
          <w:color w:val="5B9BD5" w:themeColor="accent1"/>
          <w:sz w:val="24"/>
          <w:szCs w:val="24"/>
          <w:lang w:val="ru-MD"/>
          <w14:glow w14:rad="0">
            <w14:schemeClr w14:val="tx1"/>
          </w14:glow>
        </w:rPr>
        <w:t>3</w:t>
      </w:r>
    </w:p>
    <w:p w14:paraId="4643902F" w14:textId="3E1378F2" w:rsidR="00066564" w:rsidRPr="00EC5A7B" w:rsidRDefault="00066564" w:rsidP="00066564">
      <w:pPr>
        <w:spacing w:after="0"/>
        <w:jc w:val="center"/>
        <w:rPr>
          <w:rFonts w:asciiTheme="majorHAnsi" w:eastAsia="Times New Roman" w:hAnsiTheme="majorHAnsi" w:cstheme="majorHAnsi"/>
          <w:b/>
          <w:bCs/>
          <w:i/>
          <w:sz w:val="24"/>
          <w:szCs w:val="24"/>
          <w:lang w:val="ru-MD"/>
        </w:rPr>
      </w:pPr>
      <w:r w:rsidRPr="00EC5A7B">
        <w:rPr>
          <w:rFonts w:asciiTheme="majorHAnsi" w:eastAsia="Times New Roman" w:hAnsiTheme="majorHAnsi" w:cstheme="majorHAnsi"/>
          <w:b/>
          <w:bCs/>
          <w:i/>
          <w:sz w:val="24"/>
          <w:szCs w:val="24"/>
          <w:lang w:val="ru-MD"/>
        </w:rPr>
        <w:t xml:space="preserve">Эволюция темпа роста/снижения государственного долга, экспорта и ВВП </w:t>
      </w:r>
    </w:p>
    <w:p w14:paraId="1D0E56DA" w14:textId="4AE62AEE" w:rsidR="006E05B8" w:rsidRPr="00EC5A7B" w:rsidRDefault="00066564" w:rsidP="006E05B8">
      <w:pPr>
        <w:spacing w:after="0"/>
        <w:jc w:val="center"/>
        <w:rPr>
          <w:rFonts w:asciiTheme="majorHAnsi" w:eastAsia="Times New Roman" w:hAnsiTheme="majorHAnsi" w:cstheme="majorHAnsi"/>
          <w:b/>
          <w:i/>
          <w:sz w:val="24"/>
          <w:szCs w:val="24"/>
          <w:lang w:val="ru-MD"/>
        </w:rPr>
      </w:pPr>
      <w:r w:rsidRPr="00EC5A7B">
        <w:rPr>
          <w:rFonts w:asciiTheme="majorHAnsi" w:eastAsia="Times New Roman" w:hAnsiTheme="majorHAnsi" w:cstheme="majorHAnsi"/>
          <w:b/>
          <w:bCs/>
          <w:i/>
          <w:sz w:val="24"/>
          <w:szCs w:val="24"/>
          <w:lang w:val="ru-MD"/>
        </w:rPr>
        <w:t xml:space="preserve">в 2017-2019 годах, </w:t>
      </w:r>
      <w:r w:rsidRPr="00EC5A7B">
        <w:rPr>
          <w:rFonts w:asciiTheme="majorHAnsi" w:eastAsia="Times New Roman" w:hAnsiTheme="majorHAnsi" w:cstheme="majorHAnsi"/>
          <w:b/>
          <w:i/>
          <w:sz w:val="24"/>
          <w:szCs w:val="24"/>
          <w:lang w:val="ru-MD"/>
        </w:rPr>
        <w:t>%</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3402"/>
        <w:gridCol w:w="2548"/>
      </w:tblGrid>
      <w:tr w:rsidR="006E05B8" w:rsidRPr="00EC5A7B" w14:paraId="011CA037" w14:textId="77777777" w:rsidTr="00D45A87">
        <w:trPr>
          <w:trHeight w:val="547"/>
        </w:trPr>
        <w:tc>
          <w:tcPr>
            <w:tcW w:w="851" w:type="dxa"/>
            <w:shd w:val="clear" w:color="auto" w:fill="DEEAF6" w:themeFill="accent1" w:themeFillTint="33"/>
            <w:vAlign w:val="center"/>
          </w:tcPr>
          <w:p w14:paraId="4A26A1C4" w14:textId="0CCA1B2A" w:rsidR="006E05B8" w:rsidRPr="00EC5A7B" w:rsidRDefault="00066564"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b/>
                <w:bCs/>
                <w:color w:val="000000"/>
                <w:sz w:val="20"/>
                <w:szCs w:val="20"/>
                <w:lang w:val="ru-MD"/>
              </w:rPr>
              <w:t>Год</w:t>
            </w:r>
          </w:p>
        </w:tc>
        <w:tc>
          <w:tcPr>
            <w:tcW w:w="2551" w:type="dxa"/>
            <w:shd w:val="clear" w:color="auto" w:fill="DEEAF6" w:themeFill="accent1" w:themeFillTint="33"/>
            <w:vAlign w:val="center"/>
          </w:tcPr>
          <w:p w14:paraId="4718BB5D" w14:textId="7C203D03" w:rsidR="006E05B8" w:rsidRPr="00EC5A7B" w:rsidRDefault="00066564" w:rsidP="00066564">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hAnsiTheme="majorHAnsi" w:cstheme="majorHAnsi"/>
                <w:b/>
                <w:bCs/>
                <w:sz w:val="20"/>
                <w:szCs w:val="20"/>
                <w:lang w:val="ru-MD"/>
              </w:rPr>
              <w:t>Темп роста/снижения государственного долга</w:t>
            </w:r>
          </w:p>
        </w:tc>
        <w:tc>
          <w:tcPr>
            <w:tcW w:w="3402" w:type="dxa"/>
            <w:shd w:val="clear" w:color="auto" w:fill="DEEAF6" w:themeFill="accent1" w:themeFillTint="33"/>
            <w:vAlign w:val="center"/>
          </w:tcPr>
          <w:p w14:paraId="1AD8AC7D" w14:textId="5BECEEE6" w:rsidR="006E05B8" w:rsidRPr="00EC5A7B" w:rsidRDefault="00066564"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hAnsiTheme="majorHAnsi" w:cstheme="majorHAnsi"/>
                <w:b/>
                <w:bCs/>
                <w:sz w:val="20"/>
                <w:szCs w:val="20"/>
                <w:lang w:val="ru-MD"/>
              </w:rPr>
              <w:t>Темп роста/снижения экспорта товаров и услуг</w:t>
            </w:r>
          </w:p>
        </w:tc>
        <w:tc>
          <w:tcPr>
            <w:tcW w:w="2548" w:type="dxa"/>
            <w:shd w:val="clear" w:color="auto" w:fill="DEEAF6" w:themeFill="accent1" w:themeFillTint="33"/>
            <w:vAlign w:val="center"/>
          </w:tcPr>
          <w:p w14:paraId="055DF8C0" w14:textId="25C1E246" w:rsidR="006E05B8" w:rsidRPr="00EC5A7B" w:rsidRDefault="00066564" w:rsidP="00D45A87">
            <w:pPr>
              <w:autoSpaceDE w:val="0"/>
              <w:autoSpaceDN w:val="0"/>
              <w:adjustRightInd w:val="0"/>
              <w:spacing w:after="0" w:line="240" w:lineRule="auto"/>
              <w:jc w:val="center"/>
              <w:rPr>
                <w:rFonts w:asciiTheme="majorHAnsi" w:eastAsia="Times New Roman" w:hAnsiTheme="majorHAnsi" w:cstheme="majorHAnsi"/>
                <w:b/>
                <w:bCs/>
                <w:color w:val="000000"/>
                <w:sz w:val="20"/>
                <w:szCs w:val="20"/>
                <w:lang w:val="ru-MD"/>
              </w:rPr>
            </w:pPr>
            <w:r w:rsidRPr="00EC5A7B">
              <w:rPr>
                <w:rFonts w:asciiTheme="majorHAnsi" w:hAnsiTheme="majorHAnsi" w:cstheme="majorHAnsi"/>
                <w:b/>
                <w:bCs/>
                <w:sz w:val="20"/>
                <w:szCs w:val="20"/>
                <w:lang w:val="ru-MD"/>
              </w:rPr>
              <w:t>Темп роста/ снижения ВВП</w:t>
            </w:r>
          </w:p>
        </w:tc>
      </w:tr>
      <w:tr w:rsidR="006E05B8" w:rsidRPr="00EC5A7B" w14:paraId="46DD6E21" w14:textId="77777777" w:rsidTr="00D45A87">
        <w:trPr>
          <w:trHeight w:val="94"/>
        </w:trPr>
        <w:tc>
          <w:tcPr>
            <w:tcW w:w="851" w:type="dxa"/>
          </w:tcPr>
          <w:p w14:paraId="423B15E1"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bCs/>
                <w:color w:val="000000"/>
                <w:sz w:val="20"/>
                <w:szCs w:val="20"/>
                <w:lang w:val="ru-MD"/>
              </w:rPr>
              <w:t>1</w:t>
            </w:r>
          </w:p>
        </w:tc>
        <w:tc>
          <w:tcPr>
            <w:tcW w:w="2551" w:type="dxa"/>
          </w:tcPr>
          <w:p w14:paraId="6FC31F8B"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color w:val="000000"/>
                <w:sz w:val="20"/>
                <w:szCs w:val="20"/>
                <w:lang w:val="ru-MD"/>
              </w:rPr>
              <w:t>2</w:t>
            </w:r>
          </w:p>
        </w:tc>
        <w:tc>
          <w:tcPr>
            <w:tcW w:w="3402" w:type="dxa"/>
          </w:tcPr>
          <w:p w14:paraId="2B9E15C0"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color w:val="000000"/>
                <w:sz w:val="20"/>
                <w:szCs w:val="20"/>
                <w:lang w:val="ru-MD"/>
              </w:rPr>
              <w:t>3</w:t>
            </w:r>
          </w:p>
        </w:tc>
        <w:tc>
          <w:tcPr>
            <w:tcW w:w="2548" w:type="dxa"/>
          </w:tcPr>
          <w:p w14:paraId="6AB54322"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color w:val="000000"/>
                <w:sz w:val="20"/>
                <w:szCs w:val="20"/>
                <w:lang w:val="ru-MD"/>
              </w:rPr>
              <w:t>4</w:t>
            </w:r>
          </w:p>
        </w:tc>
      </w:tr>
      <w:tr w:rsidR="006E05B8" w:rsidRPr="00EC5A7B" w14:paraId="17358C3F" w14:textId="77777777" w:rsidTr="00D45A87">
        <w:trPr>
          <w:trHeight w:val="94"/>
        </w:trPr>
        <w:tc>
          <w:tcPr>
            <w:tcW w:w="851" w:type="dxa"/>
          </w:tcPr>
          <w:p w14:paraId="37D6CEB7"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bCs/>
                <w:color w:val="000000"/>
                <w:sz w:val="20"/>
                <w:szCs w:val="20"/>
                <w:lang w:val="ru-MD"/>
              </w:rPr>
            </w:pPr>
            <w:r w:rsidRPr="00EC5A7B">
              <w:rPr>
                <w:rFonts w:asciiTheme="majorHAnsi" w:eastAsia="Times New Roman" w:hAnsiTheme="majorHAnsi" w:cstheme="majorHAnsi"/>
                <w:b/>
                <w:color w:val="000000"/>
                <w:sz w:val="20"/>
                <w:szCs w:val="20"/>
                <w:lang w:val="ru-MD"/>
              </w:rPr>
              <w:t>2017</w:t>
            </w:r>
          </w:p>
        </w:tc>
        <w:tc>
          <w:tcPr>
            <w:tcW w:w="2551" w:type="dxa"/>
          </w:tcPr>
          <w:p w14:paraId="46C51D71"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color w:val="000000"/>
                <w:sz w:val="20"/>
                <w:szCs w:val="20"/>
                <w:lang w:val="ru-MD"/>
              </w:rPr>
              <w:t>1,7</w:t>
            </w:r>
          </w:p>
        </w:tc>
        <w:tc>
          <w:tcPr>
            <w:tcW w:w="3402" w:type="dxa"/>
          </w:tcPr>
          <w:p w14:paraId="13076586"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color w:val="000000"/>
                <w:sz w:val="20"/>
                <w:szCs w:val="20"/>
                <w:lang w:val="ru-MD"/>
              </w:rPr>
              <w:t>18,6</w:t>
            </w:r>
          </w:p>
        </w:tc>
        <w:tc>
          <w:tcPr>
            <w:tcW w:w="2548" w:type="dxa"/>
          </w:tcPr>
          <w:p w14:paraId="1DCE879E"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color w:val="000000"/>
                <w:sz w:val="20"/>
                <w:szCs w:val="20"/>
                <w:lang w:val="ru-MD"/>
              </w:rPr>
              <w:t>11,2</w:t>
            </w:r>
          </w:p>
        </w:tc>
      </w:tr>
      <w:tr w:rsidR="006E05B8" w:rsidRPr="00EC5A7B" w14:paraId="622384B9" w14:textId="77777777" w:rsidTr="00D45A87">
        <w:trPr>
          <w:trHeight w:val="94"/>
        </w:trPr>
        <w:tc>
          <w:tcPr>
            <w:tcW w:w="851" w:type="dxa"/>
          </w:tcPr>
          <w:p w14:paraId="7C520A2D"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color w:val="000000"/>
                <w:sz w:val="20"/>
                <w:szCs w:val="20"/>
                <w:lang w:val="ru-MD"/>
              </w:rPr>
              <w:t>2018</w:t>
            </w:r>
          </w:p>
        </w:tc>
        <w:tc>
          <w:tcPr>
            <w:tcW w:w="2551" w:type="dxa"/>
          </w:tcPr>
          <w:p w14:paraId="725D5083"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0,7</w:t>
            </w:r>
          </w:p>
        </w:tc>
        <w:tc>
          <w:tcPr>
            <w:tcW w:w="3402" w:type="dxa"/>
          </w:tcPr>
          <w:p w14:paraId="00E6AEA6"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11,6</w:t>
            </w:r>
          </w:p>
        </w:tc>
        <w:tc>
          <w:tcPr>
            <w:tcW w:w="2548" w:type="dxa"/>
          </w:tcPr>
          <w:p w14:paraId="2CC6CFED"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7,6</w:t>
            </w:r>
          </w:p>
        </w:tc>
      </w:tr>
      <w:tr w:rsidR="006E05B8" w:rsidRPr="00EC5A7B" w14:paraId="6BD414AF" w14:textId="77777777" w:rsidTr="00D45A87">
        <w:trPr>
          <w:trHeight w:val="94"/>
        </w:trPr>
        <w:tc>
          <w:tcPr>
            <w:tcW w:w="851" w:type="dxa"/>
          </w:tcPr>
          <w:p w14:paraId="07A79972"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b/>
                <w:color w:val="000000"/>
                <w:sz w:val="20"/>
                <w:szCs w:val="20"/>
                <w:lang w:val="ru-MD"/>
              </w:rPr>
            </w:pPr>
            <w:r w:rsidRPr="00EC5A7B">
              <w:rPr>
                <w:rFonts w:asciiTheme="majorHAnsi" w:eastAsia="Times New Roman" w:hAnsiTheme="majorHAnsi" w:cstheme="majorHAnsi"/>
                <w:b/>
                <w:color w:val="000000"/>
                <w:sz w:val="20"/>
                <w:szCs w:val="20"/>
                <w:lang w:val="ru-MD"/>
              </w:rPr>
              <w:t>2019</w:t>
            </w:r>
          </w:p>
        </w:tc>
        <w:tc>
          <w:tcPr>
            <w:tcW w:w="2551" w:type="dxa"/>
          </w:tcPr>
          <w:p w14:paraId="43B65952"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0,9</w:t>
            </w:r>
          </w:p>
        </w:tc>
        <w:tc>
          <w:tcPr>
            <w:tcW w:w="3402" w:type="dxa"/>
          </w:tcPr>
          <w:p w14:paraId="458D6D64"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2,7</w:t>
            </w:r>
          </w:p>
        </w:tc>
        <w:tc>
          <w:tcPr>
            <w:tcW w:w="2548" w:type="dxa"/>
          </w:tcPr>
          <w:p w14:paraId="5DAA5D8F" w14:textId="77777777" w:rsidR="006E05B8" w:rsidRPr="00EC5A7B" w:rsidRDefault="006E05B8" w:rsidP="00D45A87">
            <w:pPr>
              <w:autoSpaceDE w:val="0"/>
              <w:autoSpaceDN w:val="0"/>
              <w:adjustRightInd w:val="0"/>
              <w:spacing w:after="0" w:line="240" w:lineRule="auto"/>
              <w:jc w:val="center"/>
              <w:rPr>
                <w:rFonts w:asciiTheme="majorHAnsi" w:eastAsia="Times New Roman" w:hAnsiTheme="majorHAnsi" w:cstheme="majorHAnsi"/>
                <w:color w:val="000000"/>
                <w:sz w:val="20"/>
                <w:szCs w:val="20"/>
                <w:lang w:val="ru-MD"/>
              </w:rPr>
            </w:pPr>
            <w:r w:rsidRPr="00EC5A7B">
              <w:rPr>
                <w:rFonts w:asciiTheme="majorHAnsi" w:eastAsia="Times New Roman" w:hAnsiTheme="majorHAnsi" w:cstheme="majorHAnsi"/>
                <w:color w:val="000000"/>
                <w:sz w:val="20"/>
                <w:szCs w:val="20"/>
                <w:lang w:val="ru-MD"/>
              </w:rPr>
              <w:t>9,1</w:t>
            </w:r>
          </w:p>
        </w:tc>
      </w:tr>
    </w:tbl>
    <w:p w14:paraId="422A6054" w14:textId="2DFA8DD2" w:rsidR="006E05B8" w:rsidRPr="00EC5A7B" w:rsidRDefault="007B3D00" w:rsidP="006E05B8">
      <w:pPr>
        <w:spacing w:line="240" w:lineRule="auto"/>
        <w:jc w:val="both"/>
        <w:rPr>
          <w:rFonts w:asciiTheme="majorHAnsi" w:eastAsia="Times New Roman" w:hAnsiTheme="majorHAnsi" w:cstheme="majorHAnsi"/>
          <w:sz w:val="20"/>
          <w:szCs w:val="20"/>
          <w:lang w:val="ru-MD" w:eastAsia="ru-RU"/>
        </w:rPr>
      </w:pPr>
      <w:r w:rsidRPr="00EC5A7B">
        <w:rPr>
          <w:rFonts w:asciiTheme="majorHAnsi" w:eastAsia="Times New Roman" w:hAnsiTheme="majorHAnsi" w:cstheme="majorHAnsi"/>
          <w:b/>
          <w:i/>
          <w:sz w:val="20"/>
          <w:szCs w:val="20"/>
          <w:lang w:val="ru-MD" w:eastAsia="ru-RU"/>
        </w:rPr>
        <w:lastRenderedPageBreak/>
        <w:t>Источник</w:t>
      </w:r>
      <w:r w:rsidR="006E05B8" w:rsidRPr="00EC5A7B">
        <w:rPr>
          <w:rFonts w:asciiTheme="majorHAnsi" w:eastAsia="Times New Roman" w:hAnsiTheme="majorHAnsi" w:cstheme="majorHAnsi"/>
          <w:b/>
          <w:i/>
          <w:sz w:val="20"/>
          <w:szCs w:val="20"/>
          <w:lang w:val="ru-MD" w:eastAsia="ru-RU"/>
        </w:rPr>
        <w:t>:</w:t>
      </w:r>
      <w:r w:rsidR="006E05B8" w:rsidRPr="00EC5A7B">
        <w:rPr>
          <w:rFonts w:asciiTheme="majorHAnsi" w:eastAsia="Times New Roman" w:hAnsiTheme="majorHAnsi" w:cstheme="majorHAnsi"/>
          <w:b/>
          <w:sz w:val="20"/>
          <w:szCs w:val="20"/>
          <w:lang w:val="ru-MD" w:eastAsia="ru-RU"/>
        </w:rPr>
        <w:t xml:space="preserve"> </w:t>
      </w:r>
      <w:r w:rsidR="00C12174" w:rsidRPr="00EC5A7B">
        <w:rPr>
          <w:rFonts w:asciiTheme="majorHAnsi" w:hAnsiTheme="majorHAnsi" w:cstheme="majorHAnsi"/>
          <w:sz w:val="20"/>
          <w:szCs w:val="20"/>
          <w:lang w:val="ru-MD" w:eastAsia="ru-RU"/>
        </w:rPr>
        <w:t xml:space="preserve">Данные Отчетов о государственном долге </w:t>
      </w:r>
      <w:r w:rsidR="00C12174" w:rsidRPr="00EC5A7B">
        <w:rPr>
          <w:rFonts w:asciiTheme="majorHAnsi" w:hAnsiTheme="majorHAnsi" w:cstheme="majorHAnsi"/>
          <w:bCs/>
          <w:color w:val="000000"/>
          <w:sz w:val="20"/>
          <w:szCs w:val="20"/>
          <w:lang w:val="ru-MD" w:eastAsia="ru-RU"/>
        </w:rPr>
        <w:t xml:space="preserve">по состоянию на </w:t>
      </w:r>
      <w:r w:rsidR="00C12174" w:rsidRPr="00EC5A7B">
        <w:rPr>
          <w:rFonts w:asciiTheme="majorHAnsi" w:hAnsiTheme="majorHAnsi" w:cstheme="majorHAnsi"/>
          <w:sz w:val="20"/>
          <w:szCs w:val="20"/>
          <w:lang w:val="ru-MD"/>
        </w:rPr>
        <w:t>31.12.2017, 31.12.2018 и 31.12.2019 и информация, размещенная НБС на сайте</w:t>
      </w:r>
      <w:r w:rsidR="00C12174" w:rsidRPr="00EC5A7B">
        <w:rPr>
          <w:rFonts w:asciiTheme="majorHAnsi" w:eastAsia="Times New Roman" w:hAnsiTheme="majorHAnsi" w:cstheme="majorHAnsi"/>
          <w:sz w:val="20"/>
          <w:szCs w:val="20"/>
          <w:lang w:val="ru-MD" w:eastAsia="ru-RU"/>
        </w:rPr>
        <w:t xml:space="preserve"> </w:t>
      </w:r>
      <w:hyperlink r:id="rId16" w:history="1">
        <w:r w:rsidR="006E05B8" w:rsidRPr="00EC5A7B">
          <w:rPr>
            <w:rFonts w:asciiTheme="majorHAnsi" w:eastAsia="Times New Roman" w:hAnsiTheme="majorHAnsi" w:cstheme="majorHAnsi"/>
            <w:bCs/>
            <w:color w:val="0563C1"/>
            <w:sz w:val="20"/>
            <w:szCs w:val="20"/>
            <w:u w:val="single"/>
            <w:lang w:val="ru-MD" w:eastAsia="ru-RU"/>
          </w:rPr>
          <w:t>www.statistica.md</w:t>
        </w:r>
      </w:hyperlink>
      <w:r w:rsidR="006E05B8" w:rsidRPr="00EC5A7B">
        <w:rPr>
          <w:rFonts w:asciiTheme="majorHAnsi" w:eastAsia="Times New Roman" w:hAnsiTheme="majorHAnsi" w:cstheme="majorHAnsi"/>
          <w:sz w:val="20"/>
          <w:szCs w:val="20"/>
          <w:lang w:val="ru-MD" w:eastAsia="ru-RU"/>
        </w:rPr>
        <w:t>.</w:t>
      </w:r>
    </w:p>
    <w:p w14:paraId="0AEB89C6" w14:textId="35C64F09" w:rsidR="006E05B8" w:rsidRPr="00EC5A7B" w:rsidRDefault="001868AD" w:rsidP="006E05B8">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4</w:t>
      </w:r>
    </w:p>
    <w:p w14:paraId="1F1B5C8D" w14:textId="1FDC63CF" w:rsidR="00556CBE" w:rsidRPr="00EC5A7B" w:rsidRDefault="00660342" w:rsidP="00E46C02">
      <w:pPr>
        <w:spacing w:after="0" w:line="276" w:lineRule="auto"/>
        <w:jc w:val="center"/>
        <w:rPr>
          <w:rFonts w:asciiTheme="majorHAnsi" w:hAnsiTheme="majorHAnsi" w:cstheme="majorHAnsi"/>
          <w:b/>
          <w:i/>
          <w:sz w:val="24"/>
          <w:szCs w:val="24"/>
          <w:lang w:val="ru-MD"/>
          <w14:glow w14:rad="0">
            <w14:schemeClr w14:val="tx1"/>
          </w14:glow>
        </w:rPr>
      </w:pPr>
      <w:r w:rsidRPr="00EC5A7B">
        <w:rPr>
          <w:rFonts w:asciiTheme="majorHAnsi" w:hAnsiTheme="majorHAnsi" w:cstheme="majorHAnsi"/>
          <w:b/>
          <w:i/>
          <w:sz w:val="24"/>
          <w:szCs w:val="24"/>
          <w:lang w:val="ru-MD"/>
          <w14:glow w14:rad="0">
            <w14:schemeClr w14:val="tx1"/>
          </w14:glow>
        </w:rPr>
        <w:t>Структура внутреннего государственного долга в 2017-2019 годах</w:t>
      </w:r>
      <w:r w:rsidR="00556CBE" w:rsidRPr="00EC5A7B">
        <w:rPr>
          <w:rFonts w:asciiTheme="majorHAnsi" w:hAnsiTheme="majorHAnsi" w:cstheme="majorHAnsi"/>
          <w:b/>
          <w:i/>
          <w:sz w:val="24"/>
          <w:szCs w:val="24"/>
          <w:lang w:val="ru-MD"/>
          <w14:glow w14:rad="0">
            <w14:schemeClr w14:val="tx1"/>
          </w14:glow>
        </w:rPr>
        <w:t xml:space="preserve">, </w:t>
      </w:r>
      <w:r w:rsidR="00220355" w:rsidRPr="00EC5A7B">
        <w:rPr>
          <w:rFonts w:asciiTheme="majorHAnsi" w:hAnsiTheme="majorHAnsi" w:cstheme="majorHAnsi"/>
          <w:b/>
          <w:i/>
          <w:sz w:val="24"/>
          <w:szCs w:val="24"/>
          <w:lang w:val="ru-MD"/>
          <w14:glow w14:rad="0">
            <w14:schemeClr w14:val="tx1"/>
          </w14:glow>
        </w:rPr>
        <w:t>млн. леев</w:t>
      </w:r>
    </w:p>
    <w:tbl>
      <w:tblPr>
        <w:tblStyle w:val="TableGrid"/>
        <w:tblW w:w="9451" w:type="dxa"/>
        <w:tblLook w:val="04A0" w:firstRow="1" w:lastRow="0" w:firstColumn="1" w:lastColumn="0" w:noHBand="0" w:noVBand="1"/>
      </w:tblPr>
      <w:tblGrid>
        <w:gridCol w:w="1736"/>
        <w:gridCol w:w="832"/>
        <w:gridCol w:w="1060"/>
        <w:gridCol w:w="882"/>
        <w:gridCol w:w="1060"/>
        <w:gridCol w:w="942"/>
        <w:gridCol w:w="884"/>
        <w:gridCol w:w="1060"/>
        <w:gridCol w:w="995"/>
      </w:tblGrid>
      <w:tr w:rsidR="00660342" w:rsidRPr="00EC5A7B" w14:paraId="395DE745" w14:textId="77777777" w:rsidTr="00FC634E">
        <w:tc>
          <w:tcPr>
            <w:tcW w:w="1795" w:type="dxa"/>
            <w:vMerge w:val="restart"/>
            <w:shd w:val="clear" w:color="auto" w:fill="DEEAF6" w:themeFill="accent1" w:themeFillTint="33"/>
            <w:vAlign w:val="center"/>
          </w:tcPr>
          <w:p w14:paraId="77BA439E" w14:textId="1C5FB298"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Показатели</w:t>
            </w:r>
          </w:p>
        </w:tc>
        <w:tc>
          <w:tcPr>
            <w:tcW w:w="1800" w:type="dxa"/>
            <w:gridSpan w:val="2"/>
            <w:shd w:val="clear" w:color="auto" w:fill="DEEAF6" w:themeFill="accent1" w:themeFillTint="33"/>
            <w:vAlign w:val="center"/>
          </w:tcPr>
          <w:p w14:paraId="3FC0FFA8" w14:textId="04744C84"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r w:rsidR="00660342" w:rsidRPr="00EC5A7B">
              <w:rPr>
                <w:rFonts w:asciiTheme="majorHAnsi" w:hAnsiTheme="majorHAnsi" w:cstheme="majorHAnsi"/>
                <w:b/>
                <w:sz w:val="20"/>
                <w:szCs w:val="20"/>
                <w:lang w:val="ru-MD" w:eastAsia="ru-RU"/>
              </w:rPr>
              <w:t xml:space="preserve"> год</w:t>
            </w:r>
          </w:p>
        </w:tc>
        <w:tc>
          <w:tcPr>
            <w:tcW w:w="1904" w:type="dxa"/>
            <w:gridSpan w:val="2"/>
            <w:shd w:val="clear" w:color="auto" w:fill="DEEAF6" w:themeFill="accent1" w:themeFillTint="33"/>
            <w:vAlign w:val="center"/>
          </w:tcPr>
          <w:p w14:paraId="6A1CA23A" w14:textId="035875E7"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r w:rsidR="00660342" w:rsidRPr="00EC5A7B">
              <w:rPr>
                <w:rFonts w:asciiTheme="majorHAnsi" w:hAnsiTheme="majorHAnsi" w:cstheme="majorHAnsi"/>
                <w:b/>
                <w:sz w:val="20"/>
                <w:szCs w:val="20"/>
                <w:lang w:val="ru-MD" w:eastAsia="ru-RU"/>
              </w:rPr>
              <w:t xml:space="preserve"> год</w:t>
            </w:r>
          </w:p>
        </w:tc>
        <w:tc>
          <w:tcPr>
            <w:tcW w:w="973" w:type="dxa"/>
            <w:vMerge w:val="restart"/>
            <w:shd w:val="clear" w:color="auto" w:fill="DEEAF6" w:themeFill="accent1" w:themeFillTint="33"/>
            <w:vAlign w:val="center"/>
          </w:tcPr>
          <w:p w14:paraId="67886EDF" w14:textId="538AAC0B" w:rsidR="00556CBE" w:rsidRPr="00EC5A7B" w:rsidRDefault="00660342" w:rsidP="0066034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Разница между </w:t>
            </w:r>
            <w:r w:rsidR="00556CBE" w:rsidRPr="00EC5A7B">
              <w:rPr>
                <w:rFonts w:asciiTheme="majorHAnsi" w:hAnsiTheme="majorHAnsi" w:cstheme="majorHAnsi"/>
                <w:b/>
                <w:sz w:val="20"/>
                <w:szCs w:val="20"/>
                <w:lang w:val="ru-MD" w:eastAsia="ru-RU"/>
              </w:rPr>
              <w:t xml:space="preserve">2018 </w:t>
            </w:r>
            <w:r w:rsidRPr="00EC5A7B">
              <w:rPr>
                <w:rFonts w:asciiTheme="majorHAnsi" w:hAnsiTheme="majorHAnsi" w:cstheme="majorHAnsi"/>
                <w:b/>
                <w:sz w:val="20"/>
                <w:szCs w:val="20"/>
                <w:lang w:val="ru-MD" w:eastAsia="ru-RU"/>
              </w:rPr>
              <w:t>и</w:t>
            </w:r>
            <w:r w:rsidR="00556CBE" w:rsidRPr="00EC5A7B">
              <w:rPr>
                <w:rFonts w:asciiTheme="majorHAnsi" w:hAnsiTheme="majorHAnsi" w:cstheme="majorHAnsi"/>
                <w:b/>
                <w:sz w:val="20"/>
                <w:szCs w:val="20"/>
                <w:lang w:val="ru-MD" w:eastAsia="ru-RU"/>
              </w:rPr>
              <w:t xml:space="preserve"> 2017</w:t>
            </w:r>
            <w:r w:rsidRPr="00EC5A7B">
              <w:rPr>
                <w:rFonts w:asciiTheme="majorHAnsi" w:hAnsiTheme="majorHAnsi" w:cstheme="majorHAnsi"/>
                <w:b/>
                <w:sz w:val="20"/>
                <w:szCs w:val="20"/>
                <w:lang w:val="ru-MD" w:eastAsia="ru-RU"/>
              </w:rPr>
              <w:t xml:space="preserve"> годом</w:t>
            </w:r>
          </w:p>
        </w:tc>
        <w:tc>
          <w:tcPr>
            <w:tcW w:w="1905" w:type="dxa"/>
            <w:gridSpan w:val="2"/>
            <w:shd w:val="clear" w:color="auto" w:fill="DEEAF6" w:themeFill="accent1" w:themeFillTint="33"/>
            <w:vAlign w:val="center"/>
          </w:tcPr>
          <w:p w14:paraId="78125F1D" w14:textId="121B8FA8"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r w:rsidR="00660342" w:rsidRPr="00EC5A7B">
              <w:rPr>
                <w:rFonts w:asciiTheme="majorHAnsi" w:hAnsiTheme="majorHAnsi" w:cstheme="majorHAnsi"/>
                <w:b/>
                <w:sz w:val="20"/>
                <w:szCs w:val="20"/>
                <w:lang w:val="ru-MD" w:eastAsia="ru-RU"/>
              </w:rPr>
              <w:t xml:space="preserve"> год</w:t>
            </w:r>
          </w:p>
        </w:tc>
        <w:tc>
          <w:tcPr>
            <w:tcW w:w="1068" w:type="dxa"/>
            <w:vMerge w:val="restart"/>
            <w:shd w:val="clear" w:color="auto" w:fill="DEEAF6" w:themeFill="accent1" w:themeFillTint="33"/>
            <w:vAlign w:val="center"/>
          </w:tcPr>
          <w:p w14:paraId="73D7D045" w14:textId="7BBB63DF" w:rsidR="00556CBE" w:rsidRPr="00EC5A7B" w:rsidRDefault="00660342" w:rsidP="0066034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Разница между</w:t>
            </w:r>
            <w:r w:rsidR="00556CBE" w:rsidRPr="00EC5A7B">
              <w:rPr>
                <w:rFonts w:asciiTheme="majorHAnsi" w:hAnsiTheme="majorHAnsi" w:cstheme="majorHAnsi"/>
                <w:b/>
                <w:sz w:val="20"/>
                <w:szCs w:val="20"/>
                <w:lang w:val="ru-MD" w:eastAsia="ru-RU"/>
              </w:rPr>
              <w:t xml:space="preserve"> 2019 </w:t>
            </w:r>
            <w:r w:rsidRPr="00EC5A7B">
              <w:rPr>
                <w:rFonts w:asciiTheme="majorHAnsi" w:hAnsiTheme="majorHAnsi" w:cstheme="majorHAnsi"/>
                <w:b/>
                <w:sz w:val="20"/>
                <w:szCs w:val="20"/>
                <w:lang w:val="ru-MD" w:eastAsia="ru-RU"/>
              </w:rPr>
              <w:t>и</w:t>
            </w:r>
            <w:r w:rsidR="00556CBE" w:rsidRPr="00EC5A7B">
              <w:rPr>
                <w:rFonts w:asciiTheme="majorHAnsi" w:hAnsiTheme="majorHAnsi" w:cstheme="majorHAnsi"/>
                <w:b/>
                <w:sz w:val="20"/>
                <w:szCs w:val="20"/>
                <w:lang w:val="ru-MD" w:eastAsia="ru-RU"/>
              </w:rPr>
              <w:t xml:space="preserve"> 2018</w:t>
            </w:r>
            <w:r w:rsidRPr="00EC5A7B">
              <w:rPr>
                <w:rFonts w:asciiTheme="majorHAnsi" w:hAnsiTheme="majorHAnsi" w:cstheme="majorHAnsi"/>
                <w:b/>
                <w:sz w:val="20"/>
                <w:szCs w:val="20"/>
                <w:lang w:val="ru-MD" w:eastAsia="ru-RU"/>
              </w:rPr>
              <w:t xml:space="preserve"> годом</w:t>
            </w:r>
          </w:p>
        </w:tc>
      </w:tr>
      <w:tr w:rsidR="00660342" w:rsidRPr="00EC5A7B" w14:paraId="3CC7DB81" w14:textId="77777777" w:rsidTr="00FC634E">
        <w:tc>
          <w:tcPr>
            <w:tcW w:w="1795" w:type="dxa"/>
            <w:vMerge/>
          </w:tcPr>
          <w:p w14:paraId="627E13D0"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c>
          <w:tcPr>
            <w:tcW w:w="889" w:type="dxa"/>
            <w:shd w:val="clear" w:color="auto" w:fill="DEEAF6" w:themeFill="accent1" w:themeFillTint="33"/>
            <w:vAlign w:val="center"/>
          </w:tcPr>
          <w:p w14:paraId="19CAF2EC" w14:textId="098F9B7A"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Сумма </w:t>
            </w:r>
          </w:p>
        </w:tc>
        <w:tc>
          <w:tcPr>
            <w:tcW w:w="911" w:type="dxa"/>
            <w:shd w:val="clear" w:color="auto" w:fill="DEEAF6" w:themeFill="accent1" w:themeFillTint="33"/>
            <w:vAlign w:val="center"/>
          </w:tcPr>
          <w:p w14:paraId="19D611D7" w14:textId="5B5C8D50"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Удельный вес в общем объеме</w:t>
            </w:r>
            <w:r w:rsidR="00556CBE" w:rsidRPr="00EC5A7B">
              <w:rPr>
                <w:rFonts w:asciiTheme="majorHAnsi" w:hAnsiTheme="majorHAnsi" w:cstheme="majorHAnsi"/>
                <w:b/>
                <w:sz w:val="20"/>
                <w:szCs w:val="20"/>
                <w:lang w:val="ru-MD" w:eastAsia="ru-RU"/>
              </w:rPr>
              <w:t>,%</w:t>
            </w:r>
          </w:p>
        </w:tc>
        <w:tc>
          <w:tcPr>
            <w:tcW w:w="985" w:type="dxa"/>
            <w:shd w:val="clear" w:color="auto" w:fill="DEEAF6" w:themeFill="accent1" w:themeFillTint="33"/>
            <w:vAlign w:val="center"/>
          </w:tcPr>
          <w:p w14:paraId="4477313C" w14:textId="40DC0E41"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Сумма</w:t>
            </w:r>
          </w:p>
        </w:tc>
        <w:tc>
          <w:tcPr>
            <w:tcW w:w="919" w:type="dxa"/>
            <w:shd w:val="clear" w:color="auto" w:fill="DEEAF6" w:themeFill="accent1" w:themeFillTint="33"/>
            <w:vAlign w:val="center"/>
          </w:tcPr>
          <w:p w14:paraId="2BA89341" w14:textId="08B2934C"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Удельный вес в общем объеме</w:t>
            </w:r>
            <w:r w:rsidR="00556CBE" w:rsidRPr="00EC5A7B">
              <w:rPr>
                <w:rFonts w:asciiTheme="majorHAnsi" w:hAnsiTheme="majorHAnsi" w:cstheme="majorHAnsi"/>
                <w:b/>
                <w:sz w:val="20"/>
                <w:szCs w:val="20"/>
                <w:lang w:val="ru-MD" w:eastAsia="ru-RU"/>
              </w:rPr>
              <w:t>,%</w:t>
            </w:r>
          </w:p>
        </w:tc>
        <w:tc>
          <w:tcPr>
            <w:tcW w:w="973" w:type="dxa"/>
            <w:vMerge/>
            <w:shd w:val="clear" w:color="auto" w:fill="DEEAF6" w:themeFill="accent1" w:themeFillTint="33"/>
            <w:vAlign w:val="center"/>
          </w:tcPr>
          <w:p w14:paraId="7D25F0E3" w14:textId="77777777" w:rsidR="00556CBE" w:rsidRPr="00EC5A7B" w:rsidRDefault="00556CBE" w:rsidP="00FC634E">
            <w:pPr>
              <w:pStyle w:val="NoSpacing"/>
              <w:spacing w:line="276" w:lineRule="auto"/>
              <w:jc w:val="center"/>
              <w:rPr>
                <w:rFonts w:asciiTheme="majorHAnsi" w:hAnsiTheme="majorHAnsi" w:cstheme="majorHAnsi"/>
                <w:b/>
                <w:sz w:val="20"/>
                <w:szCs w:val="20"/>
                <w:lang w:val="ru-MD" w:eastAsia="ru-RU"/>
              </w:rPr>
            </w:pPr>
          </w:p>
        </w:tc>
        <w:tc>
          <w:tcPr>
            <w:tcW w:w="988" w:type="dxa"/>
            <w:shd w:val="clear" w:color="auto" w:fill="DEEAF6" w:themeFill="accent1" w:themeFillTint="33"/>
            <w:vAlign w:val="center"/>
          </w:tcPr>
          <w:p w14:paraId="33973139" w14:textId="5CD7EF43"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Сумма</w:t>
            </w:r>
          </w:p>
        </w:tc>
        <w:tc>
          <w:tcPr>
            <w:tcW w:w="917" w:type="dxa"/>
            <w:shd w:val="clear" w:color="auto" w:fill="DEEAF6" w:themeFill="accent1" w:themeFillTint="33"/>
            <w:vAlign w:val="center"/>
          </w:tcPr>
          <w:p w14:paraId="4A481BD1" w14:textId="2728166E"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Удельный вес в общем объеме</w:t>
            </w:r>
            <w:r w:rsidR="00556CBE" w:rsidRPr="00EC5A7B">
              <w:rPr>
                <w:rFonts w:asciiTheme="majorHAnsi" w:hAnsiTheme="majorHAnsi" w:cstheme="majorHAnsi"/>
                <w:b/>
                <w:sz w:val="20"/>
                <w:szCs w:val="20"/>
                <w:lang w:val="ru-MD" w:eastAsia="ru-RU"/>
              </w:rPr>
              <w:t>,%</w:t>
            </w:r>
          </w:p>
        </w:tc>
        <w:tc>
          <w:tcPr>
            <w:tcW w:w="1068" w:type="dxa"/>
            <w:vMerge/>
          </w:tcPr>
          <w:p w14:paraId="4B5FFF09" w14:textId="77777777" w:rsidR="00556CBE" w:rsidRPr="00EC5A7B" w:rsidRDefault="00556CBE" w:rsidP="00FC634E">
            <w:pPr>
              <w:pStyle w:val="NoSpacing"/>
              <w:spacing w:line="276" w:lineRule="auto"/>
              <w:jc w:val="both"/>
              <w:rPr>
                <w:rFonts w:asciiTheme="majorHAnsi" w:hAnsiTheme="majorHAnsi" w:cstheme="majorHAnsi"/>
                <w:sz w:val="20"/>
                <w:szCs w:val="20"/>
                <w:lang w:val="ru-MD" w:eastAsia="ru-RU"/>
              </w:rPr>
            </w:pPr>
          </w:p>
        </w:tc>
      </w:tr>
      <w:tr w:rsidR="00660342" w:rsidRPr="00EC5A7B" w14:paraId="33296781" w14:textId="77777777" w:rsidTr="00FC634E">
        <w:tc>
          <w:tcPr>
            <w:tcW w:w="1795" w:type="dxa"/>
          </w:tcPr>
          <w:p w14:paraId="5A3CB888"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1</w:t>
            </w:r>
          </w:p>
        </w:tc>
        <w:tc>
          <w:tcPr>
            <w:tcW w:w="889" w:type="dxa"/>
          </w:tcPr>
          <w:p w14:paraId="66801CFC"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2</w:t>
            </w:r>
          </w:p>
        </w:tc>
        <w:tc>
          <w:tcPr>
            <w:tcW w:w="911" w:type="dxa"/>
          </w:tcPr>
          <w:p w14:paraId="5BE4D8BF"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3</w:t>
            </w:r>
          </w:p>
        </w:tc>
        <w:tc>
          <w:tcPr>
            <w:tcW w:w="985" w:type="dxa"/>
          </w:tcPr>
          <w:p w14:paraId="755BF21F"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4</w:t>
            </w:r>
          </w:p>
        </w:tc>
        <w:tc>
          <w:tcPr>
            <w:tcW w:w="919" w:type="dxa"/>
          </w:tcPr>
          <w:p w14:paraId="63648E30"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5</w:t>
            </w:r>
          </w:p>
        </w:tc>
        <w:tc>
          <w:tcPr>
            <w:tcW w:w="973" w:type="dxa"/>
          </w:tcPr>
          <w:p w14:paraId="23AFBC41"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6=4-2</w:t>
            </w:r>
          </w:p>
        </w:tc>
        <w:tc>
          <w:tcPr>
            <w:tcW w:w="988" w:type="dxa"/>
          </w:tcPr>
          <w:p w14:paraId="27D5C3E9"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7</w:t>
            </w:r>
          </w:p>
        </w:tc>
        <w:tc>
          <w:tcPr>
            <w:tcW w:w="917" w:type="dxa"/>
          </w:tcPr>
          <w:p w14:paraId="4EC98142"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8</w:t>
            </w:r>
          </w:p>
        </w:tc>
        <w:tc>
          <w:tcPr>
            <w:tcW w:w="1068" w:type="dxa"/>
          </w:tcPr>
          <w:p w14:paraId="2370A2FC" w14:textId="77777777" w:rsidR="00556CBE" w:rsidRPr="00EC5A7B" w:rsidRDefault="00556CBE" w:rsidP="00FC634E">
            <w:pPr>
              <w:pStyle w:val="NoSpacing"/>
              <w:spacing w:line="276" w:lineRule="auto"/>
              <w:jc w:val="center"/>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9=7-4</w:t>
            </w:r>
          </w:p>
        </w:tc>
      </w:tr>
      <w:tr w:rsidR="00660342" w:rsidRPr="00EC5A7B" w14:paraId="31ED3150" w14:textId="77777777" w:rsidTr="00FC634E">
        <w:tc>
          <w:tcPr>
            <w:tcW w:w="1795" w:type="dxa"/>
          </w:tcPr>
          <w:p w14:paraId="56747E0D" w14:textId="0B18EF8D" w:rsidR="00556CBE" w:rsidRPr="00EC5A7B" w:rsidRDefault="00573956" w:rsidP="00573956">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Внутренний государственный долг</w:t>
            </w:r>
          </w:p>
        </w:tc>
        <w:tc>
          <w:tcPr>
            <w:tcW w:w="889" w:type="dxa"/>
          </w:tcPr>
          <w:p w14:paraId="4E14AFC8"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22 578,5</w:t>
            </w:r>
          </w:p>
        </w:tc>
        <w:tc>
          <w:tcPr>
            <w:tcW w:w="911" w:type="dxa"/>
          </w:tcPr>
          <w:p w14:paraId="0AA87D8D"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100</w:t>
            </w:r>
          </w:p>
        </w:tc>
        <w:tc>
          <w:tcPr>
            <w:tcW w:w="985" w:type="dxa"/>
          </w:tcPr>
          <w:p w14:paraId="7CE5414B"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23 058,6</w:t>
            </w:r>
          </w:p>
        </w:tc>
        <w:tc>
          <w:tcPr>
            <w:tcW w:w="919" w:type="dxa"/>
          </w:tcPr>
          <w:p w14:paraId="0206C77F"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100</w:t>
            </w:r>
          </w:p>
        </w:tc>
        <w:tc>
          <w:tcPr>
            <w:tcW w:w="973" w:type="dxa"/>
          </w:tcPr>
          <w:p w14:paraId="59200051"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+480,1</w:t>
            </w:r>
          </w:p>
        </w:tc>
        <w:tc>
          <w:tcPr>
            <w:tcW w:w="988" w:type="dxa"/>
          </w:tcPr>
          <w:p w14:paraId="3BB91193"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23 168,2</w:t>
            </w:r>
          </w:p>
        </w:tc>
        <w:tc>
          <w:tcPr>
            <w:tcW w:w="917" w:type="dxa"/>
          </w:tcPr>
          <w:p w14:paraId="45E3FF55"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100</w:t>
            </w:r>
          </w:p>
        </w:tc>
        <w:tc>
          <w:tcPr>
            <w:tcW w:w="1068" w:type="dxa"/>
          </w:tcPr>
          <w:p w14:paraId="56C72BE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+109,6</w:t>
            </w:r>
          </w:p>
        </w:tc>
      </w:tr>
      <w:tr w:rsidR="00556CBE" w:rsidRPr="00EC5A7B" w14:paraId="00F776E4" w14:textId="77777777" w:rsidTr="00FC634E">
        <w:tc>
          <w:tcPr>
            <w:tcW w:w="9451" w:type="dxa"/>
            <w:gridSpan w:val="9"/>
          </w:tcPr>
          <w:p w14:paraId="73899A75" w14:textId="573D120D"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По типу инструментов</w:t>
            </w:r>
          </w:p>
        </w:tc>
      </w:tr>
      <w:tr w:rsidR="00660342" w:rsidRPr="00EC5A7B" w14:paraId="1563E290" w14:textId="77777777" w:rsidTr="00FC634E">
        <w:tc>
          <w:tcPr>
            <w:tcW w:w="1795" w:type="dxa"/>
          </w:tcPr>
          <w:p w14:paraId="3098AA06" w14:textId="790A2D91" w:rsidR="00556CBE" w:rsidRPr="00EC5A7B" w:rsidRDefault="00573956" w:rsidP="00FC634E">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ГЦБ, выпущенные на первичном рынке</w:t>
            </w:r>
          </w:p>
        </w:tc>
        <w:tc>
          <w:tcPr>
            <w:tcW w:w="889" w:type="dxa"/>
          </w:tcPr>
          <w:p w14:paraId="6BBF6D90"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7 223,9</w:t>
            </w:r>
          </w:p>
        </w:tc>
        <w:tc>
          <w:tcPr>
            <w:tcW w:w="911" w:type="dxa"/>
          </w:tcPr>
          <w:p w14:paraId="29DB1A4C"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32,0</w:t>
            </w:r>
          </w:p>
        </w:tc>
        <w:tc>
          <w:tcPr>
            <w:tcW w:w="985" w:type="dxa"/>
          </w:tcPr>
          <w:p w14:paraId="558CA3E9"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7 914,0</w:t>
            </w:r>
          </w:p>
        </w:tc>
        <w:tc>
          <w:tcPr>
            <w:tcW w:w="919" w:type="dxa"/>
          </w:tcPr>
          <w:p w14:paraId="0F78F45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34,3</w:t>
            </w:r>
          </w:p>
        </w:tc>
        <w:tc>
          <w:tcPr>
            <w:tcW w:w="973" w:type="dxa"/>
          </w:tcPr>
          <w:p w14:paraId="2E438202"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+690,1</w:t>
            </w:r>
          </w:p>
        </w:tc>
        <w:tc>
          <w:tcPr>
            <w:tcW w:w="988" w:type="dxa"/>
          </w:tcPr>
          <w:p w14:paraId="6EDF419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8 253,6</w:t>
            </w:r>
          </w:p>
        </w:tc>
        <w:tc>
          <w:tcPr>
            <w:tcW w:w="917" w:type="dxa"/>
          </w:tcPr>
          <w:p w14:paraId="05E541C3"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35,6</w:t>
            </w:r>
          </w:p>
        </w:tc>
        <w:tc>
          <w:tcPr>
            <w:tcW w:w="1068" w:type="dxa"/>
          </w:tcPr>
          <w:p w14:paraId="471896F4"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+339,6</w:t>
            </w:r>
          </w:p>
        </w:tc>
      </w:tr>
      <w:tr w:rsidR="00660342" w:rsidRPr="00EC5A7B" w14:paraId="5C128F34" w14:textId="77777777" w:rsidTr="00FC634E">
        <w:tc>
          <w:tcPr>
            <w:tcW w:w="1795" w:type="dxa"/>
          </w:tcPr>
          <w:p w14:paraId="33F77293" w14:textId="2B983332" w:rsidR="00556CBE" w:rsidRPr="00EC5A7B" w:rsidRDefault="00573956" w:rsidP="00FC634E">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Конвертиро-ванные ГЦБ</w:t>
            </w:r>
          </w:p>
        </w:tc>
        <w:tc>
          <w:tcPr>
            <w:tcW w:w="889" w:type="dxa"/>
          </w:tcPr>
          <w:p w14:paraId="36F33716"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2 063,4</w:t>
            </w:r>
          </w:p>
        </w:tc>
        <w:tc>
          <w:tcPr>
            <w:tcW w:w="911" w:type="dxa"/>
          </w:tcPr>
          <w:p w14:paraId="2B951DFC"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9,1</w:t>
            </w:r>
          </w:p>
        </w:tc>
        <w:tc>
          <w:tcPr>
            <w:tcW w:w="985" w:type="dxa"/>
          </w:tcPr>
          <w:p w14:paraId="12AC21F8"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2 063,4</w:t>
            </w:r>
          </w:p>
        </w:tc>
        <w:tc>
          <w:tcPr>
            <w:tcW w:w="919" w:type="dxa"/>
          </w:tcPr>
          <w:p w14:paraId="709FDD44"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8,9</w:t>
            </w:r>
          </w:p>
        </w:tc>
        <w:tc>
          <w:tcPr>
            <w:tcW w:w="973" w:type="dxa"/>
          </w:tcPr>
          <w:p w14:paraId="3FF8600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988" w:type="dxa"/>
          </w:tcPr>
          <w:p w14:paraId="3689D7B9"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2 063,4</w:t>
            </w:r>
          </w:p>
        </w:tc>
        <w:tc>
          <w:tcPr>
            <w:tcW w:w="917" w:type="dxa"/>
          </w:tcPr>
          <w:p w14:paraId="6125977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8,9</w:t>
            </w:r>
          </w:p>
        </w:tc>
        <w:tc>
          <w:tcPr>
            <w:tcW w:w="1068" w:type="dxa"/>
          </w:tcPr>
          <w:p w14:paraId="7A319AF4"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r>
      <w:tr w:rsidR="00660342" w:rsidRPr="00EC5A7B" w14:paraId="0EC67273" w14:textId="77777777" w:rsidTr="00FC634E">
        <w:tc>
          <w:tcPr>
            <w:tcW w:w="1795" w:type="dxa"/>
          </w:tcPr>
          <w:p w14:paraId="1A34A55D" w14:textId="77777777" w:rsidR="009473E3" w:rsidRPr="00EC5A7B" w:rsidRDefault="00573956" w:rsidP="00573956">
            <w:pPr>
              <w:pStyle w:val="NoSpacing"/>
              <w:spacing w:line="276" w:lineRule="auto"/>
              <w:jc w:val="both"/>
              <w:rPr>
                <w:rFonts w:asciiTheme="majorHAnsi" w:hAnsiTheme="majorHAnsi" w:cstheme="majorHAnsi"/>
                <w:sz w:val="20"/>
                <w:szCs w:val="20"/>
                <w:lang w:val="ru-MD"/>
              </w:rPr>
            </w:pPr>
            <w:r w:rsidRPr="00EC5A7B">
              <w:rPr>
                <w:rFonts w:asciiTheme="majorHAnsi" w:hAnsiTheme="majorHAnsi" w:cstheme="majorHAnsi"/>
                <w:sz w:val="20"/>
                <w:szCs w:val="20"/>
                <w:lang w:val="ru-MD"/>
              </w:rPr>
              <w:t>ГЦБ, выпущенные для некоторых це</w:t>
            </w:r>
          </w:p>
          <w:p w14:paraId="47173101" w14:textId="77777777" w:rsidR="009473E3" w:rsidRPr="00EC5A7B" w:rsidRDefault="00573956" w:rsidP="00573956">
            <w:pPr>
              <w:pStyle w:val="NoSpacing"/>
              <w:spacing w:line="276" w:lineRule="auto"/>
              <w:jc w:val="both"/>
              <w:rPr>
                <w:rFonts w:asciiTheme="majorHAnsi" w:hAnsiTheme="majorHAnsi" w:cstheme="majorHAnsi"/>
                <w:sz w:val="20"/>
                <w:szCs w:val="20"/>
                <w:lang w:val="ru-MD"/>
              </w:rPr>
            </w:pPr>
            <w:r w:rsidRPr="00EC5A7B">
              <w:rPr>
                <w:rFonts w:asciiTheme="majorHAnsi" w:hAnsiTheme="majorHAnsi" w:cstheme="majorHAnsi"/>
                <w:sz w:val="20"/>
                <w:szCs w:val="20"/>
                <w:lang w:val="ru-MD"/>
              </w:rPr>
              <w:t>лей, установлен</w:t>
            </w:r>
          </w:p>
          <w:p w14:paraId="4F0CB4CD" w14:textId="214DF75B" w:rsidR="00556CBE" w:rsidRPr="00EC5A7B" w:rsidRDefault="00573956" w:rsidP="00573956">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ных законом</w:t>
            </w:r>
          </w:p>
        </w:tc>
        <w:tc>
          <w:tcPr>
            <w:tcW w:w="889" w:type="dxa"/>
          </w:tcPr>
          <w:p w14:paraId="3581006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13 291,2</w:t>
            </w:r>
          </w:p>
        </w:tc>
        <w:tc>
          <w:tcPr>
            <w:tcW w:w="911" w:type="dxa"/>
          </w:tcPr>
          <w:p w14:paraId="30FA3B47"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58,9</w:t>
            </w:r>
          </w:p>
        </w:tc>
        <w:tc>
          <w:tcPr>
            <w:tcW w:w="985" w:type="dxa"/>
          </w:tcPr>
          <w:p w14:paraId="0AC0D8EE"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13 081,2</w:t>
            </w:r>
          </w:p>
        </w:tc>
        <w:tc>
          <w:tcPr>
            <w:tcW w:w="919" w:type="dxa"/>
          </w:tcPr>
          <w:p w14:paraId="234ED68A"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56,7</w:t>
            </w:r>
          </w:p>
        </w:tc>
        <w:tc>
          <w:tcPr>
            <w:tcW w:w="973" w:type="dxa"/>
          </w:tcPr>
          <w:p w14:paraId="228928D4"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-210,0</w:t>
            </w:r>
          </w:p>
        </w:tc>
        <w:tc>
          <w:tcPr>
            <w:tcW w:w="988" w:type="dxa"/>
          </w:tcPr>
          <w:p w14:paraId="02F00571"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12 851,2</w:t>
            </w:r>
          </w:p>
        </w:tc>
        <w:tc>
          <w:tcPr>
            <w:tcW w:w="917" w:type="dxa"/>
          </w:tcPr>
          <w:p w14:paraId="4D0D6AE9"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55,5</w:t>
            </w:r>
          </w:p>
        </w:tc>
        <w:tc>
          <w:tcPr>
            <w:tcW w:w="1068" w:type="dxa"/>
          </w:tcPr>
          <w:p w14:paraId="16CB4298" w14:textId="77777777" w:rsidR="00556CBE" w:rsidRPr="00EC5A7B" w:rsidRDefault="00556CBE" w:rsidP="00FC634E">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-230,0</w:t>
            </w:r>
          </w:p>
        </w:tc>
      </w:tr>
      <w:tr w:rsidR="00556CBE" w:rsidRPr="00EC5A7B" w14:paraId="125B2DEA" w14:textId="77777777" w:rsidTr="00FC634E">
        <w:tc>
          <w:tcPr>
            <w:tcW w:w="9451" w:type="dxa"/>
            <w:gridSpan w:val="9"/>
          </w:tcPr>
          <w:p w14:paraId="6E216637" w14:textId="6EED5D5F" w:rsidR="00556CBE" w:rsidRPr="00EC5A7B" w:rsidRDefault="00660342" w:rsidP="00FC634E">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По первоначальному сроку погашения</w:t>
            </w:r>
          </w:p>
        </w:tc>
      </w:tr>
      <w:tr w:rsidR="00660342" w:rsidRPr="00EC5A7B" w14:paraId="2FC2547A" w14:textId="77777777" w:rsidTr="00FC634E">
        <w:tc>
          <w:tcPr>
            <w:tcW w:w="1795" w:type="dxa"/>
          </w:tcPr>
          <w:p w14:paraId="4EFD2D11" w14:textId="33654ECF"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Короткий срок</w:t>
            </w:r>
          </w:p>
        </w:tc>
        <w:tc>
          <w:tcPr>
            <w:tcW w:w="889" w:type="dxa"/>
          </w:tcPr>
          <w:p w14:paraId="61B6D4D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8 138,7</w:t>
            </w:r>
          </w:p>
        </w:tc>
        <w:tc>
          <w:tcPr>
            <w:tcW w:w="911" w:type="dxa"/>
          </w:tcPr>
          <w:p w14:paraId="3E0F487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36,0</w:t>
            </w:r>
          </w:p>
        </w:tc>
        <w:tc>
          <w:tcPr>
            <w:tcW w:w="985" w:type="dxa"/>
          </w:tcPr>
          <w:p w14:paraId="6B5CD932"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7 609,8</w:t>
            </w:r>
          </w:p>
        </w:tc>
        <w:tc>
          <w:tcPr>
            <w:tcW w:w="919" w:type="dxa"/>
          </w:tcPr>
          <w:p w14:paraId="640541A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33,0</w:t>
            </w:r>
          </w:p>
        </w:tc>
        <w:tc>
          <w:tcPr>
            <w:tcW w:w="973" w:type="dxa"/>
          </w:tcPr>
          <w:p w14:paraId="38B5AD6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-528,9</w:t>
            </w:r>
          </w:p>
        </w:tc>
        <w:tc>
          <w:tcPr>
            <w:tcW w:w="988" w:type="dxa"/>
          </w:tcPr>
          <w:p w14:paraId="2CCAA95B"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5 958,1</w:t>
            </w:r>
          </w:p>
        </w:tc>
        <w:tc>
          <w:tcPr>
            <w:tcW w:w="917" w:type="dxa"/>
          </w:tcPr>
          <w:p w14:paraId="75CFC679"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25,7</w:t>
            </w:r>
          </w:p>
        </w:tc>
        <w:tc>
          <w:tcPr>
            <w:tcW w:w="1068" w:type="dxa"/>
          </w:tcPr>
          <w:p w14:paraId="3EFDF58F"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-1651,7</w:t>
            </w:r>
          </w:p>
        </w:tc>
      </w:tr>
      <w:tr w:rsidR="00660342" w:rsidRPr="00EC5A7B" w14:paraId="5CE24F81" w14:textId="77777777" w:rsidTr="00FC634E">
        <w:tc>
          <w:tcPr>
            <w:tcW w:w="1795" w:type="dxa"/>
          </w:tcPr>
          <w:p w14:paraId="4D2FAAE1" w14:textId="00798528"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Долгий срок</w:t>
            </w:r>
          </w:p>
        </w:tc>
        <w:tc>
          <w:tcPr>
            <w:tcW w:w="889" w:type="dxa"/>
          </w:tcPr>
          <w:p w14:paraId="38BB5C6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14 439,8</w:t>
            </w:r>
          </w:p>
        </w:tc>
        <w:tc>
          <w:tcPr>
            <w:tcW w:w="911" w:type="dxa"/>
          </w:tcPr>
          <w:p w14:paraId="06D5572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64,0</w:t>
            </w:r>
          </w:p>
        </w:tc>
        <w:tc>
          <w:tcPr>
            <w:tcW w:w="985" w:type="dxa"/>
          </w:tcPr>
          <w:p w14:paraId="417E3F2D"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15 448,7</w:t>
            </w:r>
          </w:p>
        </w:tc>
        <w:tc>
          <w:tcPr>
            <w:tcW w:w="919" w:type="dxa"/>
          </w:tcPr>
          <w:p w14:paraId="234A756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67,0</w:t>
            </w:r>
          </w:p>
        </w:tc>
        <w:tc>
          <w:tcPr>
            <w:tcW w:w="973" w:type="dxa"/>
          </w:tcPr>
          <w:p w14:paraId="7A875C10"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+1 008,9</w:t>
            </w:r>
          </w:p>
        </w:tc>
        <w:tc>
          <w:tcPr>
            <w:tcW w:w="988" w:type="dxa"/>
          </w:tcPr>
          <w:p w14:paraId="35E3DBFB"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17 210,1</w:t>
            </w:r>
          </w:p>
        </w:tc>
        <w:tc>
          <w:tcPr>
            <w:tcW w:w="917" w:type="dxa"/>
          </w:tcPr>
          <w:p w14:paraId="017B03EE"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74,3</w:t>
            </w:r>
          </w:p>
        </w:tc>
        <w:tc>
          <w:tcPr>
            <w:tcW w:w="1068" w:type="dxa"/>
          </w:tcPr>
          <w:p w14:paraId="67526978"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+1761,4</w:t>
            </w:r>
          </w:p>
          <w:p w14:paraId="5FA520A5"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p>
        </w:tc>
      </w:tr>
      <w:tr w:rsidR="003B3F94" w:rsidRPr="00EC5A7B" w14:paraId="2FA6E874" w14:textId="77777777" w:rsidTr="00FC634E">
        <w:tc>
          <w:tcPr>
            <w:tcW w:w="9451" w:type="dxa"/>
            <w:gridSpan w:val="9"/>
          </w:tcPr>
          <w:p w14:paraId="7110E17A" w14:textId="3051A534" w:rsidR="003B3F94" w:rsidRPr="00EC5A7B" w:rsidRDefault="00660342" w:rsidP="003B3F94">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По оставшемуся сроку погашения</w:t>
            </w:r>
          </w:p>
        </w:tc>
      </w:tr>
      <w:tr w:rsidR="00660342" w:rsidRPr="00EC5A7B" w14:paraId="2C4210C8" w14:textId="77777777" w:rsidTr="00FC634E">
        <w:tc>
          <w:tcPr>
            <w:tcW w:w="1795" w:type="dxa"/>
          </w:tcPr>
          <w:p w14:paraId="3130699B" w14:textId="61F6CDC1"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Короткий срок</w:t>
            </w:r>
          </w:p>
        </w:tc>
        <w:tc>
          <w:tcPr>
            <w:tcW w:w="889" w:type="dxa"/>
          </w:tcPr>
          <w:p w14:paraId="2950336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8 639,9</w:t>
            </w:r>
          </w:p>
        </w:tc>
        <w:tc>
          <w:tcPr>
            <w:tcW w:w="911" w:type="dxa"/>
          </w:tcPr>
          <w:p w14:paraId="04CFE270"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38,3</w:t>
            </w:r>
          </w:p>
        </w:tc>
        <w:tc>
          <w:tcPr>
            <w:tcW w:w="985" w:type="dxa"/>
          </w:tcPr>
          <w:p w14:paraId="362EA02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8 539,0</w:t>
            </w:r>
          </w:p>
        </w:tc>
        <w:tc>
          <w:tcPr>
            <w:tcW w:w="919" w:type="dxa"/>
          </w:tcPr>
          <w:p w14:paraId="35C1E9B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37,0</w:t>
            </w:r>
          </w:p>
        </w:tc>
        <w:tc>
          <w:tcPr>
            <w:tcW w:w="973" w:type="dxa"/>
          </w:tcPr>
          <w:p w14:paraId="6B30794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-100,9</w:t>
            </w:r>
          </w:p>
        </w:tc>
        <w:tc>
          <w:tcPr>
            <w:tcW w:w="988" w:type="dxa"/>
          </w:tcPr>
          <w:p w14:paraId="3DAAA564"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7 356,2</w:t>
            </w:r>
          </w:p>
        </w:tc>
        <w:tc>
          <w:tcPr>
            <w:tcW w:w="917" w:type="dxa"/>
          </w:tcPr>
          <w:p w14:paraId="5697B123"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31,7</w:t>
            </w:r>
          </w:p>
        </w:tc>
        <w:tc>
          <w:tcPr>
            <w:tcW w:w="1068" w:type="dxa"/>
          </w:tcPr>
          <w:p w14:paraId="14737451"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-1182,8</w:t>
            </w:r>
          </w:p>
        </w:tc>
      </w:tr>
      <w:tr w:rsidR="00660342" w:rsidRPr="00EC5A7B" w14:paraId="35879578" w14:textId="77777777" w:rsidTr="00FC634E">
        <w:tc>
          <w:tcPr>
            <w:tcW w:w="1795" w:type="dxa"/>
          </w:tcPr>
          <w:p w14:paraId="7D8A9BD3" w14:textId="1CE6AAAA"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Долгий срок</w:t>
            </w:r>
          </w:p>
        </w:tc>
        <w:tc>
          <w:tcPr>
            <w:tcW w:w="889" w:type="dxa"/>
          </w:tcPr>
          <w:p w14:paraId="4988DF5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13 938,6</w:t>
            </w:r>
          </w:p>
        </w:tc>
        <w:tc>
          <w:tcPr>
            <w:tcW w:w="911" w:type="dxa"/>
          </w:tcPr>
          <w:p w14:paraId="22EC1566"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61,7</w:t>
            </w:r>
          </w:p>
        </w:tc>
        <w:tc>
          <w:tcPr>
            <w:tcW w:w="985" w:type="dxa"/>
          </w:tcPr>
          <w:p w14:paraId="55FD9DE7"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14 519,6</w:t>
            </w:r>
          </w:p>
        </w:tc>
        <w:tc>
          <w:tcPr>
            <w:tcW w:w="919" w:type="dxa"/>
          </w:tcPr>
          <w:p w14:paraId="7D9F9B6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63,0</w:t>
            </w:r>
          </w:p>
        </w:tc>
        <w:tc>
          <w:tcPr>
            <w:tcW w:w="973" w:type="dxa"/>
          </w:tcPr>
          <w:p w14:paraId="6F1AB61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+581,0</w:t>
            </w:r>
          </w:p>
        </w:tc>
        <w:tc>
          <w:tcPr>
            <w:tcW w:w="988" w:type="dxa"/>
          </w:tcPr>
          <w:p w14:paraId="6EC9206B"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15 812,0</w:t>
            </w:r>
          </w:p>
        </w:tc>
        <w:tc>
          <w:tcPr>
            <w:tcW w:w="917" w:type="dxa"/>
          </w:tcPr>
          <w:p w14:paraId="34ED9764"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68,3</w:t>
            </w:r>
          </w:p>
        </w:tc>
        <w:tc>
          <w:tcPr>
            <w:tcW w:w="1068" w:type="dxa"/>
          </w:tcPr>
          <w:p w14:paraId="19D5AE2C" w14:textId="77777777" w:rsidR="003B3F94" w:rsidRPr="00EC5A7B" w:rsidRDefault="003B3F94" w:rsidP="003B3F94">
            <w:pPr>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+1292,4</w:t>
            </w:r>
          </w:p>
        </w:tc>
      </w:tr>
      <w:tr w:rsidR="003B3F94" w:rsidRPr="00EC5A7B" w14:paraId="5047C154" w14:textId="77777777" w:rsidTr="00FC634E">
        <w:tc>
          <w:tcPr>
            <w:tcW w:w="9451" w:type="dxa"/>
            <w:gridSpan w:val="9"/>
          </w:tcPr>
          <w:p w14:paraId="2D7DDB03" w14:textId="7895AA48" w:rsidR="003B3F94" w:rsidRPr="00EC5A7B" w:rsidRDefault="00660342" w:rsidP="003B3F94">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По процентной ставке</w:t>
            </w:r>
          </w:p>
        </w:tc>
      </w:tr>
      <w:tr w:rsidR="00660342" w:rsidRPr="00EC5A7B" w14:paraId="711A561E" w14:textId="77777777" w:rsidTr="00FC634E">
        <w:tc>
          <w:tcPr>
            <w:tcW w:w="1795" w:type="dxa"/>
          </w:tcPr>
          <w:p w14:paraId="6BD0990B" w14:textId="1631ADD6"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Фиксированная</w:t>
            </w:r>
          </w:p>
        </w:tc>
        <w:tc>
          <w:tcPr>
            <w:tcW w:w="889" w:type="dxa"/>
          </w:tcPr>
          <w:p w14:paraId="3C8C198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22 310,2</w:t>
            </w:r>
          </w:p>
        </w:tc>
        <w:tc>
          <w:tcPr>
            <w:tcW w:w="911" w:type="dxa"/>
          </w:tcPr>
          <w:p w14:paraId="65BD3F6A"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98,8</w:t>
            </w:r>
          </w:p>
        </w:tc>
        <w:tc>
          <w:tcPr>
            <w:tcW w:w="985" w:type="dxa"/>
          </w:tcPr>
          <w:p w14:paraId="2836B5C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22 761,6</w:t>
            </w:r>
          </w:p>
        </w:tc>
        <w:tc>
          <w:tcPr>
            <w:tcW w:w="919" w:type="dxa"/>
          </w:tcPr>
          <w:p w14:paraId="55E76456"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98,7</w:t>
            </w:r>
          </w:p>
        </w:tc>
        <w:tc>
          <w:tcPr>
            <w:tcW w:w="973" w:type="dxa"/>
          </w:tcPr>
          <w:p w14:paraId="29010C10"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+451,4</w:t>
            </w:r>
          </w:p>
        </w:tc>
        <w:tc>
          <w:tcPr>
            <w:tcW w:w="988" w:type="dxa"/>
          </w:tcPr>
          <w:p w14:paraId="28388CF8"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22 918,3</w:t>
            </w:r>
          </w:p>
        </w:tc>
        <w:tc>
          <w:tcPr>
            <w:tcW w:w="917" w:type="dxa"/>
          </w:tcPr>
          <w:p w14:paraId="1C84C0B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98,9</w:t>
            </w:r>
          </w:p>
        </w:tc>
        <w:tc>
          <w:tcPr>
            <w:tcW w:w="1068" w:type="dxa"/>
          </w:tcPr>
          <w:p w14:paraId="2BE0FB6D"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+156,7</w:t>
            </w:r>
          </w:p>
        </w:tc>
      </w:tr>
      <w:tr w:rsidR="00660342" w:rsidRPr="00EC5A7B" w14:paraId="79DB2532" w14:textId="77777777" w:rsidTr="00FC634E">
        <w:tc>
          <w:tcPr>
            <w:tcW w:w="1795" w:type="dxa"/>
          </w:tcPr>
          <w:p w14:paraId="1A66AEB8" w14:textId="089D610B" w:rsidR="003B3F94" w:rsidRPr="00EC5A7B" w:rsidRDefault="00660342" w:rsidP="0066034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Плавающая</w:t>
            </w:r>
          </w:p>
        </w:tc>
        <w:tc>
          <w:tcPr>
            <w:tcW w:w="889" w:type="dxa"/>
          </w:tcPr>
          <w:p w14:paraId="70497905"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268,3</w:t>
            </w:r>
          </w:p>
        </w:tc>
        <w:tc>
          <w:tcPr>
            <w:tcW w:w="911" w:type="dxa"/>
          </w:tcPr>
          <w:p w14:paraId="4DB4AD27"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w:t>
            </w:r>
          </w:p>
        </w:tc>
        <w:tc>
          <w:tcPr>
            <w:tcW w:w="985" w:type="dxa"/>
          </w:tcPr>
          <w:p w14:paraId="27638038"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296,9</w:t>
            </w:r>
          </w:p>
        </w:tc>
        <w:tc>
          <w:tcPr>
            <w:tcW w:w="919" w:type="dxa"/>
          </w:tcPr>
          <w:p w14:paraId="2F3AB006"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w:t>
            </w:r>
          </w:p>
        </w:tc>
        <w:tc>
          <w:tcPr>
            <w:tcW w:w="973" w:type="dxa"/>
          </w:tcPr>
          <w:p w14:paraId="797F9B2F"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+28,6</w:t>
            </w:r>
          </w:p>
        </w:tc>
        <w:tc>
          <w:tcPr>
            <w:tcW w:w="988" w:type="dxa"/>
          </w:tcPr>
          <w:p w14:paraId="2F71657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249,9</w:t>
            </w:r>
          </w:p>
        </w:tc>
        <w:tc>
          <w:tcPr>
            <w:tcW w:w="917" w:type="dxa"/>
          </w:tcPr>
          <w:p w14:paraId="2C4D7432"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w:t>
            </w:r>
          </w:p>
        </w:tc>
        <w:tc>
          <w:tcPr>
            <w:tcW w:w="1068" w:type="dxa"/>
          </w:tcPr>
          <w:p w14:paraId="326F7B54"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-47,0</w:t>
            </w:r>
          </w:p>
        </w:tc>
      </w:tr>
      <w:tr w:rsidR="003B3F94" w:rsidRPr="00EC5A7B" w14:paraId="0E5F9DCC" w14:textId="77777777" w:rsidTr="00FC634E">
        <w:tc>
          <w:tcPr>
            <w:tcW w:w="9451" w:type="dxa"/>
            <w:gridSpan w:val="9"/>
          </w:tcPr>
          <w:p w14:paraId="672EEDA4" w14:textId="694DF183" w:rsidR="003B3F94" w:rsidRPr="00EC5A7B" w:rsidRDefault="00660342" w:rsidP="003B3F94">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rPr>
              <w:t xml:space="preserve">По назначению  </w:t>
            </w:r>
          </w:p>
        </w:tc>
      </w:tr>
      <w:tr w:rsidR="00660342" w:rsidRPr="00EC5A7B" w14:paraId="018577CB" w14:textId="77777777" w:rsidTr="00FC634E">
        <w:tc>
          <w:tcPr>
            <w:tcW w:w="1795" w:type="dxa"/>
          </w:tcPr>
          <w:p w14:paraId="05356032" w14:textId="0F0D5315" w:rsidR="003B3F94" w:rsidRPr="00EC5A7B" w:rsidRDefault="00660342" w:rsidP="0066034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Финансирование бюджетного дефицита</w:t>
            </w:r>
          </w:p>
        </w:tc>
        <w:tc>
          <w:tcPr>
            <w:tcW w:w="889" w:type="dxa"/>
          </w:tcPr>
          <w:p w14:paraId="6BB823C5"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8 778,4</w:t>
            </w:r>
          </w:p>
        </w:tc>
        <w:tc>
          <w:tcPr>
            <w:tcW w:w="911" w:type="dxa"/>
          </w:tcPr>
          <w:p w14:paraId="124132F5"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38,9</w:t>
            </w:r>
          </w:p>
        </w:tc>
        <w:tc>
          <w:tcPr>
            <w:tcW w:w="985" w:type="dxa"/>
          </w:tcPr>
          <w:p w14:paraId="6A4C942D"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9 378,5</w:t>
            </w:r>
          </w:p>
        </w:tc>
        <w:tc>
          <w:tcPr>
            <w:tcW w:w="919" w:type="dxa"/>
          </w:tcPr>
          <w:p w14:paraId="16DD84E0"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40,7</w:t>
            </w:r>
          </w:p>
        </w:tc>
        <w:tc>
          <w:tcPr>
            <w:tcW w:w="973" w:type="dxa"/>
          </w:tcPr>
          <w:p w14:paraId="4B3F48E3"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+600,1</w:t>
            </w:r>
          </w:p>
        </w:tc>
        <w:tc>
          <w:tcPr>
            <w:tcW w:w="988" w:type="dxa"/>
          </w:tcPr>
          <w:p w14:paraId="55DBF93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10 063,5</w:t>
            </w:r>
          </w:p>
        </w:tc>
        <w:tc>
          <w:tcPr>
            <w:tcW w:w="917" w:type="dxa"/>
          </w:tcPr>
          <w:p w14:paraId="72F3A6A3"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43,4</w:t>
            </w:r>
          </w:p>
        </w:tc>
        <w:tc>
          <w:tcPr>
            <w:tcW w:w="1068" w:type="dxa"/>
          </w:tcPr>
          <w:p w14:paraId="084CB34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+685,0</w:t>
            </w:r>
          </w:p>
        </w:tc>
      </w:tr>
      <w:tr w:rsidR="00660342" w:rsidRPr="00EC5A7B" w14:paraId="41B7B067" w14:textId="77777777" w:rsidTr="00FC634E">
        <w:tc>
          <w:tcPr>
            <w:tcW w:w="1795" w:type="dxa"/>
          </w:tcPr>
          <w:p w14:paraId="78515C8B" w14:textId="2A1A15F2" w:rsidR="003B3F94" w:rsidRPr="00EC5A7B" w:rsidRDefault="00660342" w:rsidP="009473E3">
            <w:pPr>
              <w:pStyle w:val="NoSpacing"/>
              <w:spacing w:line="276" w:lineRule="auto"/>
              <w:ind w:right="-82"/>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 xml:space="preserve">Создание </w:t>
            </w:r>
            <w:r w:rsidR="009473E3" w:rsidRPr="00EC5A7B">
              <w:rPr>
                <w:rFonts w:asciiTheme="majorHAnsi" w:hAnsiTheme="majorHAnsi" w:cstheme="majorHAnsi"/>
                <w:sz w:val="20"/>
                <w:szCs w:val="20"/>
                <w:lang w:val="ru-MD"/>
              </w:rPr>
              <w:t>ре</w:t>
            </w:r>
            <w:r w:rsidRPr="00EC5A7B">
              <w:rPr>
                <w:rFonts w:asciiTheme="majorHAnsi" w:hAnsiTheme="majorHAnsi" w:cstheme="majorHAnsi"/>
                <w:sz w:val="20"/>
                <w:szCs w:val="20"/>
                <w:lang w:val="ru-MD"/>
              </w:rPr>
              <w:t>зерва ликвидности</w:t>
            </w:r>
          </w:p>
        </w:tc>
        <w:tc>
          <w:tcPr>
            <w:tcW w:w="889" w:type="dxa"/>
          </w:tcPr>
          <w:p w14:paraId="64582A5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508,9</w:t>
            </w:r>
          </w:p>
        </w:tc>
        <w:tc>
          <w:tcPr>
            <w:tcW w:w="911" w:type="dxa"/>
          </w:tcPr>
          <w:p w14:paraId="255E56DB"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w:t>
            </w:r>
          </w:p>
        </w:tc>
        <w:tc>
          <w:tcPr>
            <w:tcW w:w="985" w:type="dxa"/>
          </w:tcPr>
          <w:p w14:paraId="2F36C8F4"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598,9</w:t>
            </w:r>
          </w:p>
        </w:tc>
        <w:tc>
          <w:tcPr>
            <w:tcW w:w="919" w:type="dxa"/>
          </w:tcPr>
          <w:p w14:paraId="63C817B9"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2,6</w:t>
            </w:r>
          </w:p>
        </w:tc>
        <w:tc>
          <w:tcPr>
            <w:tcW w:w="973" w:type="dxa"/>
          </w:tcPr>
          <w:p w14:paraId="0E43014E"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+90,0</w:t>
            </w:r>
          </w:p>
        </w:tc>
        <w:tc>
          <w:tcPr>
            <w:tcW w:w="988" w:type="dxa"/>
          </w:tcPr>
          <w:p w14:paraId="3B95D2CC"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253,5</w:t>
            </w:r>
          </w:p>
        </w:tc>
        <w:tc>
          <w:tcPr>
            <w:tcW w:w="917" w:type="dxa"/>
          </w:tcPr>
          <w:p w14:paraId="7DC49E3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w:t>
            </w:r>
          </w:p>
        </w:tc>
        <w:tc>
          <w:tcPr>
            <w:tcW w:w="1068" w:type="dxa"/>
          </w:tcPr>
          <w:p w14:paraId="7AF5C5F1"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-345,5</w:t>
            </w:r>
          </w:p>
        </w:tc>
      </w:tr>
      <w:tr w:rsidR="00660342" w:rsidRPr="00EC5A7B" w14:paraId="78852EE2" w14:textId="77777777" w:rsidTr="00FC634E">
        <w:tc>
          <w:tcPr>
            <w:tcW w:w="1795" w:type="dxa"/>
          </w:tcPr>
          <w:p w14:paraId="3EF73104" w14:textId="25953A91" w:rsidR="003B3F94" w:rsidRPr="00EC5A7B" w:rsidRDefault="00660342" w:rsidP="003B3F94">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rPr>
              <w:t>Обеспечение выполнения финансовых гарантий</w:t>
            </w:r>
          </w:p>
        </w:tc>
        <w:tc>
          <w:tcPr>
            <w:tcW w:w="889" w:type="dxa"/>
          </w:tcPr>
          <w:p w14:paraId="2C2038E0"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13 291,2</w:t>
            </w:r>
          </w:p>
        </w:tc>
        <w:tc>
          <w:tcPr>
            <w:tcW w:w="911" w:type="dxa"/>
          </w:tcPr>
          <w:p w14:paraId="6B32BBB8"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58,9</w:t>
            </w:r>
          </w:p>
        </w:tc>
        <w:tc>
          <w:tcPr>
            <w:tcW w:w="985" w:type="dxa"/>
          </w:tcPr>
          <w:p w14:paraId="14587397"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13 081,2</w:t>
            </w:r>
          </w:p>
        </w:tc>
        <w:tc>
          <w:tcPr>
            <w:tcW w:w="919" w:type="dxa"/>
          </w:tcPr>
          <w:p w14:paraId="20571125"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56,7</w:t>
            </w:r>
          </w:p>
        </w:tc>
        <w:tc>
          <w:tcPr>
            <w:tcW w:w="973" w:type="dxa"/>
          </w:tcPr>
          <w:p w14:paraId="47396F24"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-210,0</w:t>
            </w:r>
          </w:p>
        </w:tc>
        <w:tc>
          <w:tcPr>
            <w:tcW w:w="988" w:type="dxa"/>
          </w:tcPr>
          <w:p w14:paraId="0169827C"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12 851,2</w:t>
            </w:r>
          </w:p>
        </w:tc>
        <w:tc>
          <w:tcPr>
            <w:tcW w:w="917" w:type="dxa"/>
          </w:tcPr>
          <w:p w14:paraId="47BF90AF"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55,5</w:t>
            </w:r>
          </w:p>
        </w:tc>
        <w:tc>
          <w:tcPr>
            <w:tcW w:w="1068" w:type="dxa"/>
          </w:tcPr>
          <w:p w14:paraId="1B1E67EA" w14:textId="77777777" w:rsidR="003B3F94" w:rsidRPr="00EC5A7B" w:rsidRDefault="003B3F94" w:rsidP="003B3F94">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-230,0</w:t>
            </w:r>
          </w:p>
        </w:tc>
      </w:tr>
    </w:tbl>
    <w:p w14:paraId="28647AC1" w14:textId="01316B45" w:rsidR="002A0EB3" w:rsidRPr="00EC5A7B" w:rsidRDefault="007B3D00" w:rsidP="002A0EB3">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2A0EB3" w:rsidRPr="00EC5A7B">
        <w:rPr>
          <w:rFonts w:asciiTheme="majorHAnsi" w:hAnsiTheme="majorHAnsi" w:cstheme="majorHAnsi"/>
          <w:b/>
          <w:i/>
          <w:sz w:val="20"/>
          <w:szCs w:val="20"/>
          <w:lang w:val="ru-MD" w:eastAsia="ru-RU"/>
        </w:rPr>
        <w:t>:</w:t>
      </w:r>
      <w:r w:rsidR="00660342" w:rsidRPr="00EC5A7B">
        <w:rPr>
          <w:rFonts w:asciiTheme="majorHAnsi" w:hAnsiTheme="majorHAnsi" w:cstheme="majorHAnsi"/>
          <w:b/>
          <w:i/>
          <w:sz w:val="20"/>
          <w:szCs w:val="20"/>
          <w:lang w:val="ru-MD" w:eastAsia="ru-RU"/>
        </w:rPr>
        <w:t xml:space="preserve"> </w:t>
      </w:r>
      <w:r w:rsidR="00660342" w:rsidRPr="00EC5A7B">
        <w:rPr>
          <w:rFonts w:asciiTheme="majorHAnsi" w:hAnsiTheme="majorHAnsi" w:cstheme="majorHAnsi"/>
          <w:i/>
          <w:sz w:val="20"/>
          <w:szCs w:val="20"/>
          <w:lang w:val="ru-MD" w:eastAsia="ru-RU"/>
        </w:rPr>
        <w:t>Информация МФ о структуре внутреннего государственного долга в 2017-2019 годах</w:t>
      </w:r>
      <w:r w:rsidR="002A0EB3" w:rsidRPr="00EC5A7B">
        <w:rPr>
          <w:rFonts w:asciiTheme="majorHAnsi" w:hAnsiTheme="majorHAnsi" w:cstheme="majorHAnsi"/>
          <w:i/>
          <w:sz w:val="20"/>
          <w:szCs w:val="20"/>
          <w:lang w:val="ru-MD" w:eastAsia="ru-RU"/>
        </w:rPr>
        <w:t>.</w:t>
      </w:r>
    </w:p>
    <w:p w14:paraId="31C61242" w14:textId="616C0120" w:rsidR="001C0F87" w:rsidRPr="00EC5A7B" w:rsidRDefault="001868AD" w:rsidP="001C0F87">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5</w:t>
      </w:r>
    </w:p>
    <w:p w14:paraId="1CB6D3F1" w14:textId="376F7448" w:rsidR="001778BF" w:rsidRPr="00EC5A7B" w:rsidRDefault="001778BF" w:rsidP="001778BF">
      <w:pPr>
        <w:rPr>
          <w:rFonts w:asciiTheme="majorHAnsi" w:eastAsia="Times New Roman" w:hAnsiTheme="majorHAnsi" w:cstheme="majorHAnsi"/>
          <w:b/>
          <w:i/>
          <w:sz w:val="24"/>
          <w:szCs w:val="24"/>
          <w:lang w:val="ru-MD"/>
        </w:rPr>
      </w:pPr>
      <w:r w:rsidRPr="00EC5A7B">
        <w:rPr>
          <w:rFonts w:asciiTheme="majorHAnsi" w:eastAsia="Times New Roman" w:hAnsiTheme="majorHAnsi" w:cstheme="majorHAnsi"/>
          <w:b/>
          <w:i/>
          <w:sz w:val="24"/>
          <w:szCs w:val="24"/>
          <w:lang w:val="ru-MD"/>
        </w:rPr>
        <w:t>Диаграмма №</w:t>
      </w:r>
      <w:r w:rsidR="006E05B8" w:rsidRPr="00EC5A7B">
        <w:rPr>
          <w:rFonts w:asciiTheme="majorHAnsi" w:eastAsia="Times New Roman" w:hAnsiTheme="majorHAnsi" w:cstheme="majorHAnsi"/>
          <w:b/>
          <w:i/>
          <w:sz w:val="24"/>
          <w:szCs w:val="24"/>
          <w:lang w:val="ru-MD"/>
        </w:rPr>
        <w:t xml:space="preserve">1. </w:t>
      </w:r>
      <w:r w:rsidRPr="00EC5A7B">
        <w:rPr>
          <w:rFonts w:asciiTheme="majorHAnsi" w:eastAsia="Times New Roman" w:hAnsiTheme="majorHAnsi" w:cstheme="majorHAnsi"/>
          <w:b/>
          <w:bCs/>
          <w:i/>
          <w:sz w:val="24"/>
          <w:szCs w:val="24"/>
          <w:lang w:val="ru-MD"/>
        </w:rPr>
        <w:t>Эволюция процентных ставок по финансовым инструментам в 2018 году</w:t>
      </w:r>
    </w:p>
    <w:p w14:paraId="049DB1BE" w14:textId="77777777" w:rsidR="006E05B8" w:rsidRPr="00EC5A7B" w:rsidRDefault="006E05B8" w:rsidP="006E05B8">
      <w:pPr>
        <w:spacing w:after="0" w:line="240" w:lineRule="auto"/>
        <w:rPr>
          <w:rFonts w:asciiTheme="majorHAnsi" w:eastAsia="Times New Roman" w:hAnsiTheme="majorHAnsi" w:cs="Times New Roman"/>
          <w:sz w:val="28"/>
          <w:lang w:val="ru-MD"/>
        </w:rPr>
      </w:pPr>
      <w:r w:rsidRPr="00EC5A7B">
        <w:rPr>
          <w:rFonts w:asciiTheme="majorHAnsi" w:eastAsia="Times New Roman" w:hAnsiTheme="majorHAnsi" w:cstheme="majorHAnsi"/>
          <w:noProof/>
          <w:sz w:val="28"/>
          <w:szCs w:val="28"/>
          <w:shd w:val="clear" w:color="auto" w:fill="538135" w:themeFill="accent6" w:themeFillShade="BF"/>
        </w:rPr>
        <w:lastRenderedPageBreak/>
        <w:drawing>
          <wp:inline distT="0" distB="0" distL="0" distR="0" wp14:anchorId="35817B77" wp14:editId="045753F4">
            <wp:extent cx="6027420" cy="3200400"/>
            <wp:effectExtent l="0" t="0" r="1143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B88557" w14:textId="300F14FF" w:rsidR="006E05B8" w:rsidRPr="00EC5A7B" w:rsidRDefault="006E05B8" w:rsidP="009473E3">
      <w:pPr>
        <w:spacing w:after="0" w:line="240" w:lineRule="auto"/>
        <w:jc w:val="both"/>
        <w:rPr>
          <w:rFonts w:asciiTheme="majorHAnsi" w:eastAsia="Times New Roman" w:hAnsiTheme="majorHAnsi" w:cstheme="majorHAnsi"/>
          <w:sz w:val="20"/>
          <w:szCs w:val="20"/>
          <w:lang w:val="ru-MD"/>
        </w:rPr>
      </w:pPr>
      <w:r w:rsidRPr="00EC5A7B">
        <w:rPr>
          <w:rFonts w:asciiTheme="majorHAnsi" w:eastAsia="Times New Roman" w:hAnsiTheme="majorHAnsi" w:cstheme="majorHAnsi"/>
          <w:b/>
          <w:i/>
          <w:sz w:val="28"/>
          <w:szCs w:val="28"/>
          <w:lang w:val="ru-MD"/>
        </w:rPr>
        <w:t xml:space="preserve"> </w:t>
      </w:r>
      <w:r w:rsidR="007B3D00" w:rsidRPr="00EC5A7B">
        <w:rPr>
          <w:rFonts w:asciiTheme="majorHAnsi" w:eastAsia="Times New Roman" w:hAnsiTheme="majorHAnsi" w:cstheme="majorHAnsi"/>
          <w:b/>
          <w:i/>
          <w:sz w:val="20"/>
          <w:szCs w:val="20"/>
          <w:lang w:val="ru-MD"/>
        </w:rPr>
        <w:t>Источник</w:t>
      </w:r>
      <w:r w:rsidRPr="00EC5A7B">
        <w:rPr>
          <w:rFonts w:asciiTheme="majorHAnsi" w:eastAsia="Times New Roman" w:hAnsiTheme="majorHAnsi" w:cstheme="majorHAnsi"/>
          <w:b/>
          <w:i/>
          <w:sz w:val="20"/>
          <w:szCs w:val="20"/>
          <w:lang w:val="ru-MD"/>
        </w:rPr>
        <w:t>:</w:t>
      </w:r>
      <w:r w:rsidRPr="00EC5A7B">
        <w:rPr>
          <w:rFonts w:asciiTheme="majorHAnsi" w:eastAsia="Times New Roman" w:hAnsiTheme="majorHAnsi" w:cstheme="majorHAnsi"/>
          <w:sz w:val="20"/>
          <w:szCs w:val="20"/>
          <w:lang w:val="ru-MD"/>
        </w:rPr>
        <w:t xml:space="preserve"> </w:t>
      </w:r>
      <w:r w:rsidR="00520609" w:rsidRPr="00EC5A7B">
        <w:rPr>
          <w:rFonts w:asciiTheme="majorHAnsi" w:hAnsiTheme="majorHAnsi" w:cstheme="majorHAnsi"/>
          <w:sz w:val="16"/>
          <w:szCs w:val="16"/>
          <w:lang w:val="ru-MD"/>
        </w:rPr>
        <w:t>Информация о динамике годовой процентной ставки ГЦБ в 2018 году; Информация о базовой ставке НБМ в 2018 году; Информация о средней процентной ставке по кредитам и депозитам в 2018 году</w:t>
      </w:r>
      <w:r w:rsidRPr="00EC5A7B">
        <w:rPr>
          <w:rFonts w:asciiTheme="majorHAnsi" w:eastAsia="Times New Roman" w:hAnsiTheme="majorHAnsi" w:cstheme="majorHAnsi"/>
          <w:sz w:val="16"/>
          <w:szCs w:val="16"/>
          <w:lang w:val="ru-MD"/>
        </w:rPr>
        <w:t>.</w:t>
      </w:r>
    </w:p>
    <w:p w14:paraId="31E020BD" w14:textId="77777777" w:rsidR="006E05B8" w:rsidRPr="00EC5A7B" w:rsidRDefault="006E05B8" w:rsidP="006E05B8">
      <w:pPr>
        <w:spacing w:after="0" w:line="240" w:lineRule="auto"/>
        <w:rPr>
          <w:rFonts w:asciiTheme="majorHAnsi" w:eastAsia="Times New Roman" w:hAnsiTheme="majorHAnsi" w:cstheme="majorHAnsi"/>
          <w:sz w:val="20"/>
          <w:szCs w:val="20"/>
          <w:lang w:val="ru-MD"/>
        </w:rPr>
      </w:pPr>
    </w:p>
    <w:p w14:paraId="4A60F60E" w14:textId="4054794B" w:rsidR="0051498B" w:rsidRPr="00EC5A7B" w:rsidRDefault="0051498B" w:rsidP="009473E3">
      <w:pPr>
        <w:pStyle w:val="NormalWeb"/>
        <w:spacing w:after="0"/>
        <w:rPr>
          <w:rFonts w:asciiTheme="majorHAnsi" w:eastAsia="Times New Roman" w:hAnsiTheme="majorHAnsi" w:cstheme="majorHAnsi"/>
          <w:i/>
          <w:lang w:val="ru-MD"/>
        </w:rPr>
      </w:pPr>
      <w:r w:rsidRPr="00EC5A7B">
        <w:rPr>
          <w:rFonts w:asciiTheme="majorHAnsi" w:eastAsia="Times New Roman" w:hAnsiTheme="majorHAnsi" w:cstheme="majorHAnsi"/>
          <w:b/>
          <w:i/>
          <w:lang w:val="ru-MD"/>
        </w:rPr>
        <w:t>Диаграмма №</w:t>
      </w:r>
      <w:r w:rsidR="006E05B8" w:rsidRPr="00EC5A7B">
        <w:rPr>
          <w:rFonts w:asciiTheme="majorHAnsi" w:eastAsia="Times New Roman" w:hAnsiTheme="majorHAnsi" w:cstheme="majorHAnsi"/>
          <w:b/>
          <w:i/>
          <w:lang w:val="ru-MD"/>
        </w:rPr>
        <w:t xml:space="preserve">2. </w:t>
      </w:r>
      <w:r w:rsidRPr="00EC5A7B">
        <w:rPr>
          <w:rFonts w:asciiTheme="majorHAnsi" w:eastAsia="Times New Roman" w:hAnsiTheme="majorHAnsi" w:cstheme="majorHAnsi"/>
          <w:b/>
          <w:bCs/>
          <w:i/>
          <w:color w:val="000000"/>
          <w:kern w:val="24"/>
          <w:lang w:val="ru-MD"/>
        </w:rPr>
        <w:t>Эволюция процентных ставок по финансовым инструментам</w:t>
      </w:r>
      <w:r w:rsidR="009473E3" w:rsidRPr="00EC5A7B">
        <w:rPr>
          <w:rFonts w:asciiTheme="majorHAnsi" w:eastAsia="Times New Roman" w:hAnsiTheme="majorHAnsi" w:cstheme="majorHAnsi"/>
          <w:b/>
          <w:bCs/>
          <w:i/>
          <w:color w:val="000000"/>
          <w:kern w:val="24"/>
          <w:lang w:val="ru-MD"/>
        </w:rPr>
        <w:t xml:space="preserve"> </w:t>
      </w:r>
      <w:r w:rsidRPr="00EC5A7B">
        <w:rPr>
          <w:rFonts w:asciiTheme="majorHAnsi" w:eastAsia="Times New Roman" w:hAnsiTheme="majorHAnsi" w:cstheme="majorHAnsi"/>
          <w:b/>
          <w:bCs/>
          <w:i/>
          <w:color w:val="000000"/>
          <w:kern w:val="24"/>
          <w:lang w:val="ru-MD"/>
        </w:rPr>
        <w:t>в 2019 году</w:t>
      </w:r>
    </w:p>
    <w:p w14:paraId="164D1B24" w14:textId="77777777" w:rsidR="006E05B8" w:rsidRPr="00EC5A7B" w:rsidRDefault="006E05B8" w:rsidP="006E05B8">
      <w:pPr>
        <w:spacing w:after="0" w:line="240" w:lineRule="auto"/>
        <w:rPr>
          <w:rFonts w:asciiTheme="majorHAnsi" w:eastAsia="Times New Roman" w:hAnsiTheme="majorHAnsi" w:cs="Times New Roman"/>
          <w:sz w:val="28"/>
          <w:lang w:val="ru-MD"/>
        </w:rPr>
      </w:pPr>
      <w:r w:rsidRPr="00EC5A7B">
        <w:rPr>
          <w:rFonts w:asciiTheme="majorHAnsi" w:eastAsia="Times New Roman" w:hAnsiTheme="majorHAnsi" w:cstheme="majorHAnsi"/>
          <w:noProof/>
          <w:sz w:val="28"/>
          <w:szCs w:val="28"/>
          <w:shd w:val="clear" w:color="auto" w:fill="538135" w:themeFill="accent6" w:themeFillShade="BF"/>
        </w:rPr>
        <w:drawing>
          <wp:inline distT="0" distB="0" distL="0" distR="0" wp14:anchorId="60D5FF29" wp14:editId="59D172CB">
            <wp:extent cx="6027420" cy="2973788"/>
            <wp:effectExtent l="0" t="0" r="1143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16ECA7" w14:textId="1030F35C" w:rsidR="006E05B8" w:rsidRPr="00EC5A7B" w:rsidRDefault="006E05B8" w:rsidP="009473E3">
      <w:pPr>
        <w:spacing w:after="0" w:line="240" w:lineRule="auto"/>
        <w:jc w:val="both"/>
        <w:rPr>
          <w:rFonts w:asciiTheme="majorHAnsi" w:eastAsia="Times New Roman" w:hAnsiTheme="majorHAnsi" w:cstheme="majorHAnsi"/>
          <w:sz w:val="20"/>
          <w:szCs w:val="20"/>
          <w:lang w:val="ru-MD"/>
        </w:rPr>
      </w:pPr>
      <w:r w:rsidRPr="00EC5A7B">
        <w:rPr>
          <w:rFonts w:asciiTheme="majorHAnsi" w:eastAsia="Times New Roman" w:hAnsiTheme="majorHAnsi" w:cstheme="majorHAnsi"/>
          <w:b/>
          <w:i/>
          <w:sz w:val="28"/>
          <w:szCs w:val="28"/>
          <w:lang w:val="ru-MD"/>
        </w:rPr>
        <w:t xml:space="preserve"> </w:t>
      </w:r>
      <w:r w:rsidR="007B3D00" w:rsidRPr="00EC5A7B">
        <w:rPr>
          <w:rFonts w:asciiTheme="majorHAnsi" w:eastAsia="Times New Roman" w:hAnsiTheme="majorHAnsi" w:cstheme="majorHAnsi"/>
          <w:b/>
          <w:i/>
          <w:sz w:val="20"/>
          <w:szCs w:val="20"/>
          <w:lang w:val="ru-MD"/>
        </w:rPr>
        <w:t>Источник</w:t>
      </w:r>
      <w:r w:rsidRPr="00EC5A7B">
        <w:rPr>
          <w:rFonts w:asciiTheme="majorHAnsi" w:eastAsia="Times New Roman" w:hAnsiTheme="majorHAnsi" w:cstheme="majorHAnsi"/>
          <w:b/>
          <w:i/>
          <w:sz w:val="20"/>
          <w:szCs w:val="20"/>
          <w:lang w:val="ru-MD"/>
        </w:rPr>
        <w:t>:</w:t>
      </w:r>
      <w:r w:rsidRPr="00EC5A7B">
        <w:rPr>
          <w:rFonts w:asciiTheme="majorHAnsi" w:eastAsia="Times New Roman" w:hAnsiTheme="majorHAnsi" w:cstheme="majorHAnsi"/>
          <w:sz w:val="20"/>
          <w:szCs w:val="20"/>
          <w:lang w:val="ru-MD"/>
        </w:rPr>
        <w:t xml:space="preserve"> </w:t>
      </w:r>
      <w:r w:rsidR="009473E3" w:rsidRPr="00EC5A7B">
        <w:rPr>
          <w:rFonts w:asciiTheme="majorHAnsi" w:hAnsiTheme="majorHAnsi" w:cstheme="majorHAnsi"/>
          <w:sz w:val="16"/>
          <w:szCs w:val="16"/>
          <w:lang w:val="ru-MD"/>
        </w:rPr>
        <w:t>Информация о динамике годовой процентной ставки ГЦБ в 2019 году; Информация о базовой ставке НБМ в 2019 году; Информация о средней процентной ставке по кредитам и депозитам в 2019 году</w:t>
      </w:r>
      <w:r w:rsidRPr="00EC5A7B">
        <w:rPr>
          <w:rFonts w:asciiTheme="majorHAnsi" w:eastAsia="Times New Roman" w:hAnsiTheme="majorHAnsi" w:cstheme="majorHAnsi"/>
          <w:sz w:val="16"/>
          <w:szCs w:val="16"/>
          <w:lang w:val="ru-MD"/>
        </w:rPr>
        <w:t>.</w:t>
      </w:r>
    </w:p>
    <w:p w14:paraId="0C5DC419" w14:textId="75B98D6C" w:rsidR="006E05B8" w:rsidRPr="00EC5A7B" w:rsidRDefault="001868AD" w:rsidP="001C0F87">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6</w:t>
      </w:r>
    </w:p>
    <w:p w14:paraId="16B74725" w14:textId="5A75FEE7" w:rsidR="001C0F87" w:rsidRPr="00EC5A7B" w:rsidRDefault="00077D5D" w:rsidP="001C0F87">
      <w:pPr>
        <w:spacing w:after="0" w:line="276" w:lineRule="auto"/>
        <w:jc w:val="center"/>
        <w:rPr>
          <w:rFonts w:asciiTheme="majorHAnsi" w:hAnsiTheme="majorHAnsi" w:cstheme="majorHAnsi"/>
          <w:b/>
          <w:i/>
          <w:sz w:val="24"/>
          <w:szCs w:val="24"/>
          <w:lang w:val="ru-MD"/>
          <w14:glow w14:rad="0">
            <w14:schemeClr w14:val="tx1"/>
          </w14:glow>
        </w:rPr>
      </w:pPr>
      <w:r w:rsidRPr="00EC5A7B">
        <w:rPr>
          <w:rFonts w:asciiTheme="majorHAnsi" w:hAnsiTheme="majorHAnsi" w:cstheme="majorHAnsi"/>
          <w:b/>
          <w:i/>
          <w:sz w:val="24"/>
          <w:szCs w:val="24"/>
          <w:lang w:val="ru-MD"/>
          <w14:glow w14:rad="0">
            <w14:schemeClr w14:val="tx1"/>
          </w14:glow>
        </w:rPr>
        <w:t xml:space="preserve">Остаток ГЦБ в портфеле держателей на </w:t>
      </w:r>
      <w:r w:rsidR="001C0F87" w:rsidRPr="00EC5A7B">
        <w:rPr>
          <w:rFonts w:asciiTheme="majorHAnsi" w:hAnsiTheme="majorHAnsi" w:cstheme="majorHAnsi"/>
          <w:b/>
          <w:i/>
          <w:sz w:val="24"/>
          <w:szCs w:val="24"/>
          <w:lang w:val="ru-MD"/>
          <w14:glow w14:rad="0">
            <w14:schemeClr w14:val="tx1"/>
          </w14:glow>
        </w:rPr>
        <w:t>31.12.2019, %</w:t>
      </w:r>
    </w:p>
    <w:tbl>
      <w:tblPr>
        <w:tblStyle w:val="TableGrid"/>
        <w:tblW w:w="9461" w:type="dxa"/>
        <w:tblLook w:val="04A0" w:firstRow="1" w:lastRow="0" w:firstColumn="1" w:lastColumn="0" w:noHBand="0" w:noVBand="1"/>
      </w:tblPr>
      <w:tblGrid>
        <w:gridCol w:w="3145"/>
        <w:gridCol w:w="1546"/>
        <w:gridCol w:w="1869"/>
        <w:gridCol w:w="1821"/>
        <w:gridCol w:w="1080"/>
      </w:tblGrid>
      <w:tr w:rsidR="001C0F87" w:rsidRPr="00EC5A7B" w14:paraId="55ED1A44" w14:textId="77777777" w:rsidTr="00E342E2">
        <w:tc>
          <w:tcPr>
            <w:tcW w:w="3145" w:type="dxa"/>
            <w:shd w:val="clear" w:color="auto" w:fill="DEEAF6" w:themeFill="accent1" w:themeFillTint="33"/>
          </w:tcPr>
          <w:p w14:paraId="10310FC4" w14:textId="194022FD" w:rsidR="001C0F87" w:rsidRPr="00EC5A7B" w:rsidRDefault="00077D5D"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Инвесторы</w:t>
            </w:r>
          </w:p>
        </w:tc>
        <w:tc>
          <w:tcPr>
            <w:tcW w:w="1546" w:type="dxa"/>
            <w:shd w:val="clear" w:color="auto" w:fill="DEEAF6" w:themeFill="accent1" w:themeFillTint="33"/>
          </w:tcPr>
          <w:p w14:paraId="453683F5" w14:textId="4C52FBB8" w:rsidR="001C0F87" w:rsidRPr="00EC5A7B" w:rsidRDefault="00077D5D"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Банковский сектор</w:t>
            </w:r>
          </w:p>
        </w:tc>
        <w:tc>
          <w:tcPr>
            <w:tcW w:w="1869" w:type="dxa"/>
            <w:shd w:val="clear" w:color="auto" w:fill="DEEAF6" w:themeFill="accent1" w:themeFillTint="33"/>
          </w:tcPr>
          <w:p w14:paraId="577118DB" w14:textId="59AC08D7" w:rsidR="001C0F87" w:rsidRPr="00EC5A7B" w:rsidRDefault="00077D5D" w:rsidP="00077D5D">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Небанковский сектор</w:t>
            </w:r>
          </w:p>
        </w:tc>
        <w:tc>
          <w:tcPr>
            <w:tcW w:w="1821" w:type="dxa"/>
            <w:shd w:val="clear" w:color="auto" w:fill="DEEAF6" w:themeFill="accent1" w:themeFillTint="33"/>
          </w:tcPr>
          <w:p w14:paraId="28D37502" w14:textId="37C3087F" w:rsidR="001C0F87" w:rsidRPr="00EC5A7B" w:rsidRDefault="00077D5D"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Включая нерезидентов</w:t>
            </w:r>
          </w:p>
        </w:tc>
        <w:tc>
          <w:tcPr>
            <w:tcW w:w="1080" w:type="dxa"/>
            <w:shd w:val="clear" w:color="auto" w:fill="DEEAF6" w:themeFill="accent1" w:themeFillTint="33"/>
          </w:tcPr>
          <w:p w14:paraId="533C9356" w14:textId="068A3B8E" w:rsidR="001C0F87" w:rsidRPr="00EC5A7B" w:rsidRDefault="00077D5D"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p>
        </w:tc>
      </w:tr>
      <w:tr w:rsidR="001C0F87" w:rsidRPr="00EC5A7B" w14:paraId="3C974A10" w14:textId="77777777" w:rsidTr="00E342E2">
        <w:tc>
          <w:tcPr>
            <w:tcW w:w="3145" w:type="dxa"/>
          </w:tcPr>
          <w:p w14:paraId="04157C3F" w14:textId="540F8777"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„Moldova-Agroindbank” </w:t>
            </w:r>
            <w:r w:rsidRPr="00EC5A7B">
              <w:rPr>
                <w:rFonts w:asciiTheme="majorHAnsi" w:hAnsiTheme="majorHAnsi" w:cstheme="majorHAnsi"/>
                <w:sz w:val="20"/>
                <w:szCs w:val="20"/>
                <w:lang w:val="ru-MD" w:eastAsia="ru-RU"/>
              </w:rPr>
              <w:t>АО</w:t>
            </w:r>
          </w:p>
        </w:tc>
        <w:tc>
          <w:tcPr>
            <w:tcW w:w="1546" w:type="dxa"/>
          </w:tcPr>
          <w:p w14:paraId="474C32AF"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12,9</w:t>
            </w:r>
          </w:p>
        </w:tc>
        <w:tc>
          <w:tcPr>
            <w:tcW w:w="1869" w:type="dxa"/>
          </w:tcPr>
          <w:p w14:paraId="51414D72"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0,8</w:t>
            </w:r>
          </w:p>
        </w:tc>
        <w:tc>
          <w:tcPr>
            <w:tcW w:w="1821" w:type="dxa"/>
          </w:tcPr>
          <w:p w14:paraId="51450181"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5F578BB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13,7</w:t>
            </w:r>
          </w:p>
        </w:tc>
      </w:tr>
      <w:tr w:rsidR="001C0F87" w:rsidRPr="00EC5A7B" w14:paraId="5E3B2F2C" w14:textId="77777777" w:rsidTr="00E342E2">
        <w:tc>
          <w:tcPr>
            <w:tcW w:w="3145" w:type="dxa"/>
          </w:tcPr>
          <w:p w14:paraId="13012134" w14:textId="52B87238"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„Victoriabank” </w:t>
            </w:r>
            <w:r w:rsidRPr="00EC5A7B">
              <w:rPr>
                <w:rFonts w:asciiTheme="majorHAnsi" w:hAnsiTheme="majorHAnsi" w:cstheme="majorHAnsi"/>
                <w:sz w:val="20"/>
                <w:szCs w:val="20"/>
                <w:lang w:val="ru-MD" w:eastAsia="ru-RU"/>
              </w:rPr>
              <w:t>АО</w:t>
            </w:r>
          </w:p>
        </w:tc>
        <w:tc>
          <w:tcPr>
            <w:tcW w:w="1546" w:type="dxa"/>
          </w:tcPr>
          <w:p w14:paraId="2D63961E"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18,2</w:t>
            </w:r>
          </w:p>
        </w:tc>
        <w:tc>
          <w:tcPr>
            <w:tcW w:w="1869" w:type="dxa"/>
          </w:tcPr>
          <w:p w14:paraId="6082C8A6"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13,3</w:t>
            </w:r>
          </w:p>
        </w:tc>
        <w:tc>
          <w:tcPr>
            <w:tcW w:w="1821" w:type="dxa"/>
          </w:tcPr>
          <w:p w14:paraId="14587AA6"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0,004</w:t>
            </w:r>
          </w:p>
        </w:tc>
        <w:tc>
          <w:tcPr>
            <w:tcW w:w="1080" w:type="dxa"/>
          </w:tcPr>
          <w:p w14:paraId="2165ECD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31,5</w:t>
            </w:r>
          </w:p>
        </w:tc>
      </w:tr>
      <w:tr w:rsidR="001C0F87" w:rsidRPr="00EC5A7B" w14:paraId="04F63D96" w14:textId="77777777" w:rsidTr="00E342E2">
        <w:tc>
          <w:tcPr>
            <w:tcW w:w="3145" w:type="dxa"/>
          </w:tcPr>
          <w:p w14:paraId="1F8D80A1" w14:textId="6AD3DBBF"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„Moldinconbank” </w:t>
            </w:r>
            <w:r w:rsidRPr="00EC5A7B">
              <w:rPr>
                <w:rFonts w:asciiTheme="majorHAnsi" w:hAnsiTheme="majorHAnsi" w:cstheme="majorHAnsi"/>
                <w:sz w:val="20"/>
                <w:szCs w:val="20"/>
                <w:lang w:val="ru-MD" w:eastAsia="ru-RU"/>
              </w:rPr>
              <w:t>АО</w:t>
            </w:r>
          </w:p>
        </w:tc>
        <w:tc>
          <w:tcPr>
            <w:tcW w:w="1546" w:type="dxa"/>
          </w:tcPr>
          <w:p w14:paraId="128C6B92"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23,8</w:t>
            </w:r>
          </w:p>
        </w:tc>
        <w:tc>
          <w:tcPr>
            <w:tcW w:w="1869" w:type="dxa"/>
          </w:tcPr>
          <w:p w14:paraId="300773AA"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w:t>
            </w:r>
          </w:p>
        </w:tc>
        <w:tc>
          <w:tcPr>
            <w:tcW w:w="1821" w:type="dxa"/>
          </w:tcPr>
          <w:p w14:paraId="28ED205E"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2BFF874C"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25,2</w:t>
            </w:r>
          </w:p>
        </w:tc>
      </w:tr>
      <w:tr w:rsidR="001C0F87" w:rsidRPr="00EC5A7B" w14:paraId="53BBB514" w14:textId="77777777" w:rsidTr="00E342E2">
        <w:tc>
          <w:tcPr>
            <w:tcW w:w="3145" w:type="dxa"/>
          </w:tcPr>
          <w:p w14:paraId="75A56833" w14:textId="6459BEB0"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„Mobiasbanca –OTP Group”</w:t>
            </w:r>
          </w:p>
        </w:tc>
        <w:tc>
          <w:tcPr>
            <w:tcW w:w="1546" w:type="dxa"/>
          </w:tcPr>
          <w:p w14:paraId="659B5C05"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5,7</w:t>
            </w:r>
          </w:p>
        </w:tc>
        <w:tc>
          <w:tcPr>
            <w:tcW w:w="1869" w:type="dxa"/>
          </w:tcPr>
          <w:p w14:paraId="1426107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1,6</w:t>
            </w:r>
          </w:p>
        </w:tc>
        <w:tc>
          <w:tcPr>
            <w:tcW w:w="1821" w:type="dxa"/>
          </w:tcPr>
          <w:p w14:paraId="1351BD15"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41CF9609"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7,3</w:t>
            </w:r>
          </w:p>
        </w:tc>
      </w:tr>
      <w:tr w:rsidR="001C0F87" w:rsidRPr="00EC5A7B" w14:paraId="27E5DC2B" w14:textId="77777777" w:rsidTr="00E342E2">
        <w:tc>
          <w:tcPr>
            <w:tcW w:w="3145" w:type="dxa"/>
          </w:tcPr>
          <w:p w14:paraId="631EA9FD" w14:textId="40D48666"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lastRenderedPageBreak/>
              <w:t>КБ</w:t>
            </w:r>
            <w:r w:rsidR="001C0F87" w:rsidRPr="00EC5A7B">
              <w:rPr>
                <w:rFonts w:asciiTheme="majorHAnsi" w:hAnsiTheme="majorHAnsi" w:cstheme="majorHAnsi"/>
                <w:sz w:val="20"/>
                <w:szCs w:val="20"/>
                <w:lang w:val="ru-MD" w:eastAsia="ru-RU"/>
              </w:rPr>
              <w:t xml:space="preserve"> „Energbank” </w:t>
            </w:r>
            <w:r w:rsidRPr="00EC5A7B">
              <w:rPr>
                <w:rFonts w:asciiTheme="majorHAnsi" w:hAnsiTheme="majorHAnsi" w:cstheme="majorHAnsi"/>
                <w:sz w:val="20"/>
                <w:szCs w:val="20"/>
                <w:lang w:val="ru-MD" w:eastAsia="ru-RU"/>
              </w:rPr>
              <w:t>АО</w:t>
            </w:r>
          </w:p>
        </w:tc>
        <w:tc>
          <w:tcPr>
            <w:tcW w:w="1546" w:type="dxa"/>
          </w:tcPr>
          <w:p w14:paraId="2A6C3411"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w:t>
            </w:r>
          </w:p>
        </w:tc>
        <w:tc>
          <w:tcPr>
            <w:tcW w:w="1869" w:type="dxa"/>
          </w:tcPr>
          <w:p w14:paraId="14162BE6"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821" w:type="dxa"/>
          </w:tcPr>
          <w:p w14:paraId="319EC11D"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326355F8"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3,1</w:t>
            </w:r>
          </w:p>
        </w:tc>
      </w:tr>
      <w:tr w:rsidR="001C0F87" w:rsidRPr="00EC5A7B" w14:paraId="6D3E2B67" w14:textId="77777777" w:rsidTr="00E342E2">
        <w:tc>
          <w:tcPr>
            <w:tcW w:w="3145" w:type="dxa"/>
          </w:tcPr>
          <w:p w14:paraId="383C25A1" w14:textId="77519A93" w:rsidR="001C0F87" w:rsidRPr="00EC5A7B" w:rsidRDefault="001C0F87" w:rsidP="00E86FFE">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Banca Comercială Română </w:t>
            </w:r>
            <w:r w:rsidR="00E86FFE" w:rsidRPr="00EC5A7B">
              <w:rPr>
                <w:rFonts w:asciiTheme="majorHAnsi" w:hAnsiTheme="majorHAnsi" w:cstheme="majorHAnsi"/>
                <w:sz w:val="20"/>
                <w:szCs w:val="20"/>
                <w:lang w:val="ru-MD" w:eastAsia="ru-RU"/>
              </w:rPr>
              <w:t>Кишинэу</w:t>
            </w:r>
            <w:r w:rsidRPr="00EC5A7B">
              <w:rPr>
                <w:rFonts w:asciiTheme="majorHAnsi" w:hAnsiTheme="majorHAnsi" w:cstheme="majorHAnsi"/>
                <w:sz w:val="20"/>
                <w:szCs w:val="20"/>
                <w:lang w:val="ru-MD" w:eastAsia="ru-RU"/>
              </w:rPr>
              <w:t xml:space="preserve"> </w:t>
            </w:r>
            <w:r w:rsidR="00E86FFE" w:rsidRPr="00EC5A7B">
              <w:rPr>
                <w:rFonts w:asciiTheme="majorHAnsi" w:hAnsiTheme="majorHAnsi" w:cstheme="majorHAnsi"/>
                <w:sz w:val="20"/>
                <w:szCs w:val="20"/>
                <w:lang w:val="ru-MD" w:eastAsia="ru-RU"/>
              </w:rPr>
              <w:t>АО</w:t>
            </w:r>
          </w:p>
        </w:tc>
        <w:tc>
          <w:tcPr>
            <w:tcW w:w="1546" w:type="dxa"/>
          </w:tcPr>
          <w:p w14:paraId="767C5A51"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2,5</w:t>
            </w:r>
          </w:p>
        </w:tc>
        <w:tc>
          <w:tcPr>
            <w:tcW w:w="1869" w:type="dxa"/>
          </w:tcPr>
          <w:p w14:paraId="1BA1C48C"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0,1</w:t>
            </w:r>
          </w:p>
        </w:tc>
        <w:tc>
          <w:tcPr>
            <w:tcW w:w="1821" w:type="dxa"/>
          </w:tcPr>
          <w:p w14:paraId="27FDF0B9"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5408B615"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2,6</w:t>
            </w:r>
          </w:p>
        </w:tc>
      </w:tr>
      <w:tr w:rsidR="001C0F87" w:rsidRPr="00EC5A7B" w14:paraId="07CDD97A" w14:textId="77777777" w:rsidTr="00E342E2">
        <w:tc>
          <w:tcPr>
            <w:tcW w:w="3145" w:type="dxa"/>
          </w:tcPr>
          <w:p w14:paraId="0513FE37" w14:textId="3F38FC44" w:rsidR="001C0F87" w:rsidRPr="00EC5A7B" w:rsidRDefault="001C0F87"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 xml:space="preserve">Banca de Finanțe și Comerț </w:t>
            </w:r>
            <w:r w:rsidR="00E86FFE" w:rsidRPr="00EC5A7B">
              <w:rPr>
                <w:rFonts w:asciiTheme="majorHAnsi" w:hAnsiTheme="majorHAnsi" w:cstheme="majorHAnsi"/>
                <w:sz w:val="20"/>
                <w:szCs w:val="20"/>
                <w:lang w:val="ru-MD" w:eastAsia="ru-RU"/>
              </w:rPr>
              <w:t>АО</w:t>
            </w:r>
          </w:p>
        </w:tc>
        <w:tc>
          <w:tcPr>
            <w:tcW w:w="1546" w:type="dxa"/>
          </w:tcPr>
          <w:p w14:paraId="6B0C37C1"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3,3</w:t>
            </w:r>
          </w:p>
        </w:tc>
        <w:tc>
          <w:tcPr>
            <w:tcW w:w="1869" w:type="dxa"/>
          </w:tcPr>
          <w:p w14:paraId="4EC3D4A8"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tc>
        <w:tc>
          <w:tcPr>
            <w:tcW w:w="1821" w:type="dxa"/>
          </w:tcPr>
          <w:p w14:paraId="49C2207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3763B970"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3,4</w:t>
            </w:r>
          </w:p>
        </w:tc>
      </w:tr>
      <w:tr w:rsidR="001C0F87" w:rsidRPr="00EC5A7B" w14:paraId="3E9598A6" w14:textId="77777777" w:rsidTr="00E342E2">
        <w:tc>
          <w:tcPr>
            <w:tcW w:w="3145" w:type="dxa"/>
          </w:tcPr>
          <w:p w14:paraId="7F1CE459" w14:textId="43C390B7"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„Comerțbank” </w:t>
            </w:r>
            <w:r w:rsidRPr="00EC5A7B">
              <w:rPr>
                <w:rFonts w:asciiTheme="majorHAnsi" w:hAnsiTheme="majorHAnsi" w:cstheme="majorHAnsi"/>
                <w:sz w:val="20"/>
                <w:szCs w:val="20"/>
                <w:lang w:val="ru-MD" w:eastAsia="ru-RU"/>
              </w:rPr>
              <w:t>АО</w:t>
            </w:r>
          </w:p>
        </w:tc>
        <w:tc>
          <w:tcPr>
            <w:tcW w:w="1546" w:type="dxa"/>
          </w:tcPr>
          <w:p w14:paraId="12713208"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3,2</w:t>
            </w:r>
          </w:p>
        </w:tc>
        <w:tc>
          <w:tcPr>
            <w:tcW w:w="1869" w:type="dxa"/>
          </w:tcPr>
          <w:p w14:paraId="1B990E96"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821" w:type="dxa"/>
          </w:tcPr>
          <w:p w14:paraId="59D15460"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4E9ED671"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3,2</w:t>
            </w:r>
          </w:p>
        </w:tc>
      </w:tr>
      <w:tr w:rsidR="001C0F87" w:rsidRPr="00EC5A7B" w14:paraId="7CB0591D" w14:textId="77777777" w:rsidTr="00E342E2">
        <w:tc>
          <w:tcPr>
            <w:tcW w:w="3145" w:type="dxa"/>
          </w:tcPr>
          <w:p w14:paraId="0C0DEBDA" w14:textId="166C94CD"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„Eximbank” </w:t>
            </w:r>
            <w:r w:rsidRPr="00EC5A7B">
              <w:rPr>
                <w:rFonts w:asciiTheme="majorHAnsi" w:hAnsiTheme="majorHAnsi" w:cstheme="majorHAnsi"/>
                <w:sz w:val="20"/>
                <w:szCs w:val="20"/>
                <w:lang w:val="ru-MD" w:eastAsia="ru-RU"/>
              </w:rPr>
              <w:t>АО</w:t>
            </w:r>
          </w:p>
        </w:tc>
        <w:tc>
          <w:tcPr>
            <w:tcW w:w="1546" w:type="dxa"/>
          </w:tcPr>
          <w:p w14:paraId="0D1DD1FB"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w:t>
            </w:r>
          </w:p>
        </w:tc>
        <w:tc>
          <w:tcPr>
            <w:tcW w:w="1869" w:type="dxa"/>
          </w:tcPr>
          <w:p w14:paraId="4C0D3E1C"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0,3</w:t>
            </w:r>
          </w:p>
        </w:tc>
        <w:tc>
          <w:tcPr>
            <w:tcW w:w="1821" w:type="dxa"/>
          </w:tcPr>
          <w:p w14:paraId="33148D4B"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367D36E9"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1,8</w:t>
            </w:r>
          </w:p>
        </w:tc>
      </w:tr>
      <w:tr w:rsidR="001C0F87" w:rsidRPr="00EC5A7B" w14:paraId="146EE2B7" w14:textId="77777777" w:rsidTr="00E342E2">
        <w:tc>
          <w:tcPr>
            <w:tcW w:w="3145" w:type="dxa"/>
          </w:tcPr>
          <w:p w14:paraId="1457B0E3" w14:textId="7AF0D35A"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КБ</w:t>
            </w:r>
            <w:r w:rsidR="001C0F87" w:rsidRPr="00EC5A7B">
              <w:rPr>
                <w:rFonts w:asciiTheme="majorHAnsi" w:hAnsiTheme="majorHAnsi" w:cstheme="majorHAnsi"/>
                <w:sz w:val="20"/>
                <w:szCs w:val="20"/>
                <w:lang w:val="ru-MD" w:eastAsia="ru-RU"/>
              </w:rPr>
              <w:t xml:space="preserve"> „EuroCreditBank” </w:t>
            </w:r>
            <w:r w:rsidRPr="00EC5A7B">
              <w:rPr>
                <w:rFonts w:asciiTheme="majorHAnsi" w:hAnsiTheme="majorHAnsi" w:cstheme="majorHAnsi"/>
                <w:sz w:val="20"/>
                <w:szCs w:val="20"/>
                <w:lang w:val="ru-MD" w:eastAsia="ru-RU"/>
              </w:rPr>
              <w:t>АО</w:t>
            </w:r>
          </w:p>
        </w:tc>
        <w:tc>
          <w:tcPr>
            <w:tcW w:w="1546" w:type="dxa"/>
          </w:tcPr>
          <w:p w14:paraId="0329B7FB"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0,5</w:t>
            </w:r>
          </w:p>
        </w:tc>
        <w:tc>
          <w:tcPr>
            <w:tcW w:w="1869" w:type="dxa"/>
          </w:tcPr>
          <w:p w14:paraId="7283BE8B"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0,7</w:t>
            </w:r>
          </w:p>
        </w:tc>
        <w:tc>
          <w:tcPr>
            <w:tcW w:w="1821" w:type="dxa"/>
          </w:tcPr>
          <w:p w14:paraId="4331DAB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6A9FEDB3"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w:t>
            </w:r>
          </w:p>
        </w:tc>
      </w:tr>
      <w:tr w:rsidR="001C0F87" w:rsidRPr="00EC5A7B" w14:paraId="6ED2C0AF" w14:textId="77777777" w:rsidTr="00E342E2">
        <w:tc>
          <w:tcPr>
            <w:tcW w:w="3145" w:type="dxa"/>
          </w:tcPr>
          <w:p w14:paraId="7CFC5587" w14:textId="26B94A72"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Фонд гарантирования вкладов</w:t>
            </w:r>
          </w:p>
        </w:tc>
        <w:tc>
          <w:tcPr>
            <w:tcW w:w="1546" w:type="dxa"/>
          </w:tcPr>
          <w:p w14:paraId="776A0E15"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869" w:type="dxa"/>
          </w:tcPr>
          <w:p w14:paraId="3AAB2727"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6,7</w:t>
            </w:r>
          </w:p>
        </w:tc>
        <w:tc>
          <w:tcPr>
            <w:tcW w:w="1821" w:type="dxa"/>
          </w:tcPr>
          <w:p w14:paraId="5309CFD2"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3A767E29"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6,7</w:t>
            </w:r>
          </w:p>
        </w:tc>
      </w:tr>
      <w:tr w:rsidR="001C0F87" w:rsidRPr="00EC5A7B" w14:paraId="4D8F5622" w14:textId="77777777" w:rsidTr="00E342E2">
        <w:tc>
          <w:tcPr>
            <w:tcW w:w="3145" w:type="dxa"/>
          </w:tcPr>
          <w:p w14:paraId="2636F8F4" w14:textId="46EE2ABE" w:rsidR="001C0F87" w:rsidRPr="00EC5A7B" w:rsidRDefault="00E86FFE" w:rsidP="00E342E2">
            <w:pPr>
              <w:pStyle w:val="NoSpacing"/>
              <w:spacing w:line="276" w:lineRule="auto"/>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Единый центральный депозитарий ценных бумаг</w:t>
            </w:r>
          </w:p>
        </w:tc>
        <w:tc>
          <w:tcPr>
            <w:tcW w:w="1546" w:type="dxa"/>
          </w:tcPr>
          <w:p w14:paraId="25F97A64"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869" w:type="dxa"/>
          </w:tcPr>
          <w:p w14:paraId="6ED90852"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tc>
        <w:tc>
          <w:tcPr>
            <w:tcW w:w="1821" w:type="dxa"/>
          </w:tcPr>
          <w:p w14:paraId="17212242"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tc>
        <w:tc>
          <w:tcPr>
            <w:tcW w:w="1080" w:type="dxa"/>
          </w:tcPr>
          <w:p w14:paraId="6D2C0A2D" w14:textId="77777777" w:rsidR="001C0F87" w:rsidRPr="00EC5A7B" w:rsidRDefault="001C0F87" w:rsidP="00E342E2">
            <w:pPr>
              <w:pStyle w:val="NoSpacing"/>
              <w:spacing w:line="276" w:lineRule="auto"/>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0,2</w:t>
            </w:r>
          </w:p>
        </w:tc>
      </w:tr>
      <w:tr w:rsidR="001C0F87" w:rsidRPr="00EC5A7B" w14:paraId="5C891A6F" w14:textId="77777777" w:rsidTr="00E342E2">
        <w:tc>
          <w:tcPr>
            <w:tcW w:w="3145" w:type="dxa"/>
          </w:tcPr>
          <w:p w14:paraId="0EE844E0" w14:textId="143DC9F0" w:rsidR="001C0F87" w:rsidRPr="00EC5A7B" w:rsidRDefault="00E86FFE" w:rsidP="00E342E2">
            <w:pPr>
              <w:pStyle w:val="NoSpacing"/>
              <w:spacing w:line="276" w:lineRule="auto"/>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p>
        </w:tc>
        <w:tc>
          <w:tcPr>
            <w:tcW w:w="1546" w:type="dxa"/>
          </w:tcPr>
          <w:p w14:paraId="7FA6F5C6" w14:textId="77777777" w:rsidR="001C0F87" w:rsidRPr="00EC5A7B" w:rsidRDefault="001C0F87"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74,7</w:t>
            </w:r>
          </w:p>
        </w:tc>
        <w:tc>
          <w:tcPr>
            <w:tcW w:w="1869" w:type="dxa"/>
          </w:tcPr>
          <w:p w14:paraId="432FBA2B" w14:textId="77777777" w:rsidR="001C0F87" w:rsidRPr="00EC5A7B" w:rsidRDefault="001C0F87"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25,3</w:t>
            </w:r>
          </w:p>
        </w:tc>
        <w:tc>
          <w:tcPr>
            <w:tcW w:w="1821" w:type="dxa"/>
          </w:tcPr>
          <w:p w14:paraId="1905EC99" w14:textId="77777777" w:rsidR="001C0F87" w:rsidRPr="00EC5A7B" w:rsidRDefault="001C0F87"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0,004</w:t>
            </w:r>
          </w:p>
        </w:tc>
        <w:tc>
          <w:tcPr>
            <w:tcW w:w="1080" w:type="dxa"/>
          </w:tcPr>
          <w:p w14:paraId="13526F6B" w14:textId="77777777" w:rsidR="001C0F87" w:rsidRPr="00EC5A7B" w:rsidRDefault="001C0F87" w:rsidP="00E342E2">
            <w:pPr>
              <w:pStyle w:val="NoSpacing"/>
              <w:spacing w:line="276" w:lineRule="auto"/>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100</w:t>
            </w:r>
          </w:p>
        </w:tc>
      </w:tr>
    </w:tbl>
    <w:p w14:paraId="12C807DE" w14:textId="4AE36D26" w:rsidR="001C0F87" w:rsidRPr="00EC5A7B" w:rsidRDefault="007B3D00" w:rsidP="001C0F87">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1C0F87" w:rsidRPr="00EC5A7B">
        <w:rPr>
          <w:rFonts w:asciiTheme="majorHAnsi" w:hAnsiTheme="majorHAnsi" w:cstheme="majorHAnsi"/>
          <w:b/>
          <w:i/>
          <w:sz w:val="20"/>
          <w:szCs w:val="20"/>
          <w:lang w:val="ru-MD" w:eastAsia="ru-RU"/>
        </w:rPr>
        <w:t>:</w:t>
      </w:r>
      <w:r w:rsidR="001C0F87" w:rsidRPr="00EC5A7B">
        <w:rPr>
          <w:rFonts w:asciiTheme="majorHAnsi" w:hAnsiTheme="majorHAnsi" w:cstheme="majorHAnsi"/>
          <w:i/>
          <w:sz w:val="20"/>
          <w:szCs w:val="20"/>
          <w:lang w:val="ru-MD" w:eastAsia="ru-RU"/>
        </w:rPr>
        <w:t xml:space="preserve"> </w:t>
      </w:r>
      <w:r w:rsidR="00E86FFE" w:rsidRPr="00EC5A7B">
        <w:rPr>
          <w:rFonts w:asciiTheme="majorHAnsi" w:hAnsiTheme="majorHAnsi" w:cstheme="majorHAnsi"/>
          <w:i/>
          <w:sz w:val="20"/>
          <w:szCs w:val="20"/>
          <w:lang w:val="ru-MD" w:eastAsia="ru-RU"/>
        </w:rPr>
        <w:t>Информация МФ об остаткее ГЦБ в портфеле держателей ГЦБ на</w:t>
      </w:r>
      <w:r w:rsidR="001C0F87" w:rsidRPr="00EC5A7B">
        <w:rPr>
          <w:rFonts w:asciiTheme="majorHAnsi" w:hAnsiTheme="majorHAnsi" w:cstheme="majorHAnsi"/>
          <w:i/>
          <w:sz w:val="20"/>
          <w:szCs w:val="20"/>
          <w:lang w:val="ru-MD" w:eastAsia="ru-RU"/>
        </w:rPr>
        <w:t xml:space="preserve"> 31.12.2019.</w:t>
      </w:r>
    </w:p>
    <w:p w14:paraId="1EE28693" w14:textId="77777777" w:rsidR="000504F5" w:rsidRPr="00EC5A7B" w:rsidRDefault="000504F5" w:rsidP="000504F5">
      <w:pPr>
        <w:pStyle w:val="NoSpacing"/>
        <w:spacing w:line="276" w:lineRule="auto"/>
        <w:jc w:val="both"/>
        <w:rPr>
          <w:rFonts w:asciiTheme="majorHAnsi" w:hAnsiTheme="majorHAnsi" w:cstheme="majorHAnsi"/>
          <w:i/>
          <w:sz w:val="24"/>
          <w:szCs w:val="24"/>
          <w:lang w:val="ru-MD" w:eastAsia="ru-RU"/>
        </w:rPr>
      </w:pPr>
    </w:p>
    <w:p w14:paraId="73516E58" w14:textId="327C9856" w:rsidR="000504F5" w:rsidRPr="00EC5A7B" w:rsidRDefault="001868AD" w:rsidP="000504F5">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7</w:t>
      </w:r>
    </w:p>
    <w:p w14:paraId="160327F9" w14:textId="74DCFD67" w:rsidR="000504F5" w:rsidRPr="00EC5A7B" w:rsidRDefault="00931A40" w:rsidP="000504F5">
      <w:pPr>
        <w:pStyle w:val="NoSpacing"/>
        <w:spacing w:line="276" w:lineRule="auto"/>
        <w:jc w:val="center"/>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sz w:val="24"/>
          <w:szCs w:val="24"/>
          <w:lang w:val="ru-MD"/>
        </w:rPr>
        <w:t>Структура внешнего государственного долга по типам кредиторов, в</w:t>
      </w:r>
      <w:r w:rsidRPr="00EC5A7B">
        <w:rPr>
          <w:rFonts w:asciiTheme="majorHAnsi" w:hAnsiTheme="majorHAnsi" w:cstheme="majorHAnsi"/>
          <w:b/>
          <w:sz w:val="24"/>
          <w:szCs w:val="24"/>
          <w:lang w:val="ru-MD"/>
        </w:rPr>
        <w:t xml:space="preserve"> </w:t>
      </w:r>
      <w:r w:rsidRPr="00EC5A7B">
        <w:rPr>
          <w:rFonts w:asciiTheme="majorHAnsi" w:hAnsiTheme="majorHAnsi" w:cstheme="majorHAnsi"/>
          <w:b/>
          <w:i/>
          <w:sz w:val="24"/>
          <w:szCs w:val="24"/>
          <w:lang w:val="ru-MD" w:eastAsia="ru-RU"/>
        </w:rPr>
        <w:t xml:space="preserve">2017-2019 </w:t>
      </w:r>
      <w:r w:rsidRPr="00EC5A7B">
        <w:rPr>
          <w:rFonts w:asciiTheme="majorHAnsi" w:hAnsiTheme="majorHAnsi" w:cstheme="majorHAnsi"/>
          <w:b/>
          <w:sz w:val="24"/>
          <w:szCs w:val="24"/>
          <w:lang w:val="ru-MD"/>
        </w:rPr>
        <w:t xml:space="preserve">годах </w:t>
      </w:r>
    </w:p>
    <w:tbl>
      <w:tblPr>
        <w:tblStyle w:val="TableGrid"/>
        <w:tblW w:w="0" w:type="auto"/>
        <w:tblLook w:val="04A0" w:firstRow="1" w:lastRow="0" w:firstColumn="1" w:lastColumn="0" w:noHBand="0" w:noVBand="1"/>
      </w:tblPr>
      <w:tblGrid>
        <w:gridCol w:w="1515"/>
        <w:gridCol w:w="1378"/>
        <w:gridCol w:w="1222"/>
        <w:gridCol w:w="1378"/>
        <w:gridCol w:w="1295"/>
        <w:gridCol w:w="1378"/>
        <w:gridCol w:w="1222"/>
      </w:tblGrid>
      <w:tr w:rsidR="000504F5" w:rsidRPr="00EC5A7B" w14:paraId="7C6DB8DC" w14:textId="77777777" w:rsidTr="00E342E2">
        <w:tc>
          <w:tcPr>
            <w:tcW w:w="1472" w:type="dxa"/>
            <w:vMerge w:val="restart"/>
            <w:shd w:val="clear" w:color="auto" w:fill="DEEAF6" w:themeFill="accent1" w:themeFillTint="33"/>
          </w:tcPr>
          <w:p w14:paraId="122134A1" w14:textId="6A67692F" w:rsidR="000504F5" w:rsidRPr="00EC5A7B" w:rsidRDefault="00931A40"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Тип кредиторов</w:t>
            </w:r>
          </w:p>
        </w:tc>
        <w:tc>
          <w:tcPr>
            <w:tcW w:w="2600" w:type="dxa"/>
            <w:gridSpan w:val="2"/>
            <w:shd w:val="clear" w:color="auto" w:fill="DEEAF6" w:themeFill="accent1" w:themeFillTint="33"/>
          </w:tcPr>
          <w:p w14:paraId="1EECCEAB" w14:textId="4274721F"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r w:rsidR="00931A40" w:rsidRPr="00EC5A7B">
              <w:rPr>
                <w:rFonts w:asciiTheme="majorHAnsi" w:hAnsiTheme="majorHAnsi" w:cstheme="majorHAnsi"/>
                <w:b/>
                <w:sz w:val="20"/>
                <w:szCs w:val="20"/>
                <w:lang w:val="ru-MD" w:eastAsia="ru-RU"/>
              </w:rPr>
              <w:t xml:space="preserve"> год</w:t>
            </w:r>
          </w:p>
        </w:tc>
        <w:tc>
          <w:tcPr>
            <w:tcW w:w="2673" w:type="dxa"/>
            <w:gridSpan w:val="2"/>
            <w:shd w:val="clear" w:color="auto" w:fill="DEEAF6" w:themeFill="accent1" w:themeFillTint="33"/>
          </w:tcPr>
          <w:p w14:paraId="7DC14937" w14:textId="2CCB5ADB"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r w:rsidR="00931A40" w:rsidRPr="00EC5A7B">
              <w:rPr>
                <w:rFonts w:asciiTheme="majorHAnsi" w:hAnsiTheme="majorHAnsi" w:cstheme="majorHAnsi"/>
                <w:b/>
                <w:sz w:val="20"/>
                <w:szCs w:val="20"/>
                <w:lang w:val="ru-MD" w:eastAsia="ru-RU"/>
              </w:rPr>
              <w:t xml:space="preserve"> год</w:t>
            </w:r>
          </w:p>
        </w:tc>
        <w:tc>
          <w:tcPr>
            <w:tcW w:w="2600" w:type="dxa"/>
            <w:gridSpan w:val="2"/>
            <w:shd w:val="clear" w:color="auto" w:fill="DEEAF6" w:themeFill="accent1" w:themeFillTint="33"/>
          </w:tcPr>
          <w:p w14:paraId="7B22ADAD" w14:textId="433F06A8"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r w:rsidR="00931A40" w:rsidRPr="00EC5A7B">
              <w:rPr>
                <w:rFonts w:asciiTheme="majorHAnsi" w:hAnsiTheme="majorHAnsi" w:cstheme="majorHAnsi"/>
                <w:b/>
                <w:sz w:val="20"/>
                <w:szCs w:val="20"/>
                <w:lang w:val="ru-MD" w:eastAsia="ru-RU"/>
              </w:rPr>
              <w:t xml:space="preserve"> год</w:t>
            </w:r>
          </w:p>
        </w:tc>
      </w:tr>
      <w:tr w:rsidR="000504F5" w:rsidRPr="00EC5A7B" w14:paraId="41FABB69" w14:textId="77777777" w:rsidTr="00E342E2">
        <w:tc>
          <w:tcPr>
            <w:tcW w:w="1472" w:type="dxa"/>
            <w:vMerge/>
            <w:shd w:val="clear" w:color="auto" w:fill="DEEAF6" w:themeFill="accent1" w:themeFillTint="33"/>
          </w:tcPr>
          <w:p w14:paraId="1859C93C" w14:textId="77777777" w:rsidR="000504F5" w:rsidRPr="00EC5A7B" w:rsidRDefault="000504F5" w:rsidP="00E342E2">
            <w:pPr>
              <w:pStyle w:val="NoSpacing"/>
              <w:jc w:val="center"/>
              <w:rPr>
                <w:rFonts w:asciiTheme="majorHAnsi" w:hAnsiTheme="majorHAnsi" w:cstheme="majorHAnsi"/>
                <w:b/>
                <w:sz w:val="20"/>
                <w:szCs w:val="20"/>
                <w:lang w:val="ru-MD" w:eastAsia="ru-RU"/>
              </w:rPr>
            </w:pPr>
          </w:p>
        </w:tc>
        <w:tc>
          <w:tcPr>
            <w:tcW w:w="1378" w:type="dxa"/>
            <w:shd w:val="clear" w:color="auto" w:fill="DEEAF6" w:themeFill="accent1" w:themeFillTint="33"/>
          </w:tcPr>
          <w:p w14:paraId="4789B945" w14:textId="60F69FDC" w:rsidR="000504F5" w:rsidRPr="00EC5A7B" w:rsidRDefault="00931A40"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долл. США</w:t>
            </w:r>
          </w:p>
        </w:tc>
        <w:tc>
          <w:tcPr>
            <w:tcW w:w="1222" w:type="dxa"/>
            <w:shd w:val="clear" w:color="auto" w:fill="DEEAF6" w:themeFill="accent1" w:themeFillTint="33"/>
          </w:tcPr>
          <w:p w14:paraId="099567EF" w14:textId="52A5D2DD"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 </w:t>
            </w:r>
            <w:r w:rsidR="00931A40" w:rsidRPr="00EC5A7B">
              <w:rPr>
                <w:rFonts w:asciiTheme="majorHAnsi" w:hAnsiTheme="majorHAnsi" w:cstheme="majorHAnsi"/>
                <w:b/>
                <w:sz w:val="20"/>
                <w:szCs w:val="20"/>
                <w:lang w:val="ru-MD" w:eastAsia="ru-RU"/>
              </w:rPr>
              <w:t>от общего объема</w:t>
            </w:r>
          </w:p>
        </w:tc>
        <w:tc>
          <w:tcPr>
            <w:tcW w:w="1378" w:type="dxa"/>
            <w:shd w:val="clear" w:color="auto" w:fill="DEEAF6" w:themeFill="accent1" w:themeFillTint="33"/>
          </w:tcPr>
          <w:p w14:paraId="43C0E376" w14:textId="747436D5" w:rsidR="000504F5" w:rsidRPr="00EC5A7B" w:rsidRDefault="00931A40"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долл. США</w:t>
            </w:r>
          </w:p>
        </w:tc>
        <w:tc>
          <w:tcPr>
            <w:tcW w:w="1295" w:type="dxa"/>
            <w:shd w:val="clear" w:color="auto" w:fill="DEEAF6" w:themeFill="accent1" w:themeFillTint="33"/>
          </w:tcPr>
          <w:p w14:paraId="59E30314" w14:textId="0DE7C8DF" w:rsidR="000504F5" w:rsidRPr="00EC5A7B" w:rsidRDefault="000504F5" w:rsidP="00931A40">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 </w:t>
            </w:r>
            <w:r w:rsidR="00931A40" w:rsidRPr="00EC5A7B">
              <w:rPr>
                <w:rFonts w:asciiTheme="majorHAnsi" w:hAnsiTheme="majorHAnsi" w:cstheme="majorHAnsi"/>
                <w:b/>
                <w:sz w:val="20"/>
                <w:szCs w:val="20"/>
                <w:lang w:val="ru-MD" w:eastAsia="ru-RU"/>
              </w:rPr>
              <w:t>от общего объема</w:t>
            </w:r>
          </w:p>
        </w:tc>
        <w:tc>
          <w:tcPr>
            <w:tcW w:w="1378" w:type="dxa"/>
            <w:shd w:val="clear" w:color="auto" w:fill="DEEAF6" w:themeFill="accent1" w:themeFillTint="33"/>
          </w:tcPr>
          <w:p w14:paraId="74F9EE9A" w14:textId="7E450D5D" w:rsidR="000504F5" w:rsidRPr="00EC5A7B" w:rsidRDefault="00931A40"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долл. США</w:t>
            </w:r>
          </w:p>
        </w:tc>
        <w:tc>
          <w:tcPr>
            <w:tcW w:w="1222" w:type="dxa"/>
            <w:shd w:val="clear" w:color="auto" w:fill="DEEAF6" w:themeFill="accent1" w:themeFillTint="33"/>
          </w:tcPr>
          <w:p w14:paraId="33439011" w14:textId="5C27AD63"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 </w:t>
            </w:r>
            <w:r w:rsidR="00931A40" w:rsidRPr="00EC5A7B">
              <w:rPr>
                <w:rFonts w:asciiTheme="majorHAnsi" w:hAnsiTheme="majorHAnsi" w:cstheme="majorHAnsi"/>
                <w:b/>
                <w:sz w:val="20"/>
                <w:szCs w:val="20"/>
                <w:lang w:val="ru-MD" w:eastAsia="ru-RU"/>
              </w:rPr>
              <w:t>от общего объема</w:t>
            </w:r>
          </w:p>
        </w:tc>
      </w:tr>
      <w:tr w:rsidR="000504F5" w:rsidRPr="00EC5A7B" w14:paraId="13CF3E63" w14:textId="77777777" w:rsidTr="00E342E2">
        <w:tc>
          <w:tcPr>
            <w:tcW w:w="1472" w:type="dxa"/>
          </w:tcPr>
          <w:p w14:paraId="4AF47FD0" w14:textId="6C9C68CC" w:rsidR="000504F5" w:rsidRPr="00EC5A7B" w:rsidRDefault="00931A40"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18"/>
                <w:szCs w:val="18"/>
                <w:lang w:val="ru-MD"/>
              </w:rPr>
              <w:t>Многосторонние</w:t>
            </w:r>
          </w:p>
        </w:tc>
        <w:tc>
          <w:tcPr>
            <w:tcW w:w="1378" w:type="dxa"/>
          </w:tcPr>
          <w:p w14:paraId="20D83225"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1 345,8</w:t>
            </w:r>
          </w:p>
        </w:tc>
        <w:tc>
          <w:tcPr>
            <w:tcW w:w="1222" w:type="dxa"/>
          </w:tcPr>
          <w:p w14:paraId="21087848"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79,1</w:t>
            </w:r>
          </w:p>
        </w:tc>
        <w:tc>
          <w:tcPr>
            <w:tcW w:w="1378" w:type="dxa"/>
          </w:tcPr>
          <w:p w14:paraId="5CFB1688"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1 393,4</w:t>
            </w:r>
          </w:p>
        </w:tc>
        <w:tc>
          <w:tcPr>
            <w:tcW w:w="1295" w:type="dxa"/>
          </w:tcPr>
          <w:p w14:paraId="279C37F9"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82,5</w:t>
            </w:r>
          </w:p>
        </w:tc>
        <w:tc>
          <w:tcPr>
            <w:tcW w:w="1378" w:type="dxa"/>
          </w:tcPr>
          <w:p w14:paraId="2F1C19C2"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1 467,5</w:t>
            </w:r>
          </w:p>
        </w:tc>
        <w:tc>
          <w:tcPr>
            <w:tcW w:w="1222" w:type="dxa"/>
          </w:tcPr>
          <w:p w14:paraId="6414FA32"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86,1</w:t>
            </w:r>
          </w:p>
        </w:tc>
      </w:tr>
      <w:tr w:rsidR="000504F5" w:rsidRPr="00EC5A7B" w14:paraId="4AD23010" w14:textId="77777777" w:rsidTr="00E342E2">
        <w:tc>
          <w:tcPr>
            <w:tcW w:w="1472" w:type="dxa"/>
          </w:tcPr>
          <w:p w14:paraId="109916DD" w14:textId="0B06F9C8" w:rsidR="000504F5" w:rsidRPr="00EC5A7B" w:rsidRDefault="00931A40"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18"/>
                <w:szCs w:val="18"/>
                <w:lang w:val="ru-MD"/>
              </w:rPr>
              <w:t>Двусторонние</w:t>
            </w:r>
          </w:p>
        </w:tc>
        <w:tc>
          <w:tcPr>
            <w:tcW w:w="1378" w:type="dxa"/>
          </w:tcPr>
          <w:p w14:paraId="5C0EC6EB"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354,9</w:t>
            </w:r>
          </w:p>
        </w:tc>
        <w:tc>
          <w:tcPr>
            <w:tcW w:w="1222" w:type="dxa"/>
          </w:tcPr>
          <w:p w14:paraId="3DF20CC6"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20,9</w:t>
            </w:r>
          </w:p>
        </w:tc>
        <w:tc>
          <w:tcPr>
            <w:tcW w:w="1378" w:type="dxa"/>
          </w:tcPr>
          <w:p w14:paraId="09E0D4E2"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295,6</w:t>
            </w:r>
          </w:p>
        </w:tc>
        <w:tc>
          <w:tcPr>
            <w:tcW w:w="1295" w:type="dxa"/>
          </w:tcPr>
          <w:p w14:paraId="1153AA7C"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17,5</w:t>
            </w:r>
          </w:p>
        </w:tc>
        <w:tc>
          <w:tcPr>
            <w:tcW w:w="1378" w:type="dxa"/>
          </w:tcPr>
          <w:p w14:paraId="51C01C5B"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236,6</w:t>
            </w:r>
          </w:p>
        </w:tc>
        <w:tc>
          <w:tcPr>
            <w:tcW w:w="1222" w:type="dxa"/>
          </w:tcPr>
          <w:p w14:paraId="520CA992" w14:textId="77777777" w:rsidR="000504F5" w:rsidRPr="00EC5A7B" w:rsidRDefault="000504F5"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13,9</w:t>
            </w:r>
          </w:p>
        </w:tc>
      </w:tr>
      <w:tr w:rsidR="000504F5" w:rsidRPr="00EC5A7B" w14:paraId="78B8A788" w14:textId="77777777" w:rsidTr="00E342E2">
        <w:tc>
          <w:tcPr>
            <w:tcW w:w="1472" w:type="dxa"/>
          </w:tcPr>
          <w:p w14:paraId="7C8AB079" w14:textId="68BCABFB" w:rsidR="000504F5" w:rsidRPr="00EC5A7B" w:rsidRDefault="00931A40" w:rsidP="00931A40">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p>
        </w:tc>
        <w:tc>
          <w:tcPr>
            <w:tcW w:w="1378" w:type="dxa"/>
          </w:tcPr>
          <w:p w14:paraId="6FA109EA"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1 700,7</w:t>
            </w:r>
          </w:p>
        </w:tc>
        <w:tc>
          <w:tcPr>
            <w:tcW w:w="1222" w:type="dxa"/>
          </w:tcPr>
          <w:p w14:paraId="10064EDF"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100</w:t>
            </w:r>
          </w:p>
        </w:tc>
        <w:tc>
          <w:tcPr>
            <w:tcW w:w="1378" w:type="dxa"/>
          </w:tcPr>
          <w:p w14:paraId="5D0C7409"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1 689,0</w:t>
            </w:r>
          </w:p>
        </w:tc>
        <w:tc>
          <w:tcPr>
            <w:tcW w:w="1295" w:type="dxa"/>
          </w:tcPr>
          <w:p w14:paraId="41CC71DC"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100</w:t>
            </w:r>
          </w:p>
        </w:tc>
        <w:tc>
          <w:tcPr>
            <w:tcW w:w="1378" w:type="dxa"/>
          </w:tcPr>
          <w:p w14:paraId="5B38D0AC"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1 704,1</w:t>
            </w:r>
          </w:p>
        </w:tc>
        <w:tc>
          <w:tcPr>
            <w:tcW w:w="1222" w:type="dxa"/>
          </w:tcPr>
          <w:p w14:paraId="2DAA48D4" w14:textId="77777777" w:rsidR="000504F5" w:rsidRPr="00EC5A7B" w:rsidRDefault="000504F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100</w:t>
            </w:r>
          </w:p>
        </w:tc>
      </w:tr>
    </w:tbl>
    <w:p w14:paraId="5F000749" w14:textId="185C6B54" w:rsidR="000504F5" w:rsidRPr="00EC5A7B" w:rsidRDefault="007B3D00" w:rsidP="000504F5">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0504F5" w:rsidRPr="00EC5A7B">
        <w:rPr>
          <w:rFonts w:asciiTheme="majorHAnsi" w:hAnsiTheme="majorHAnsi" w:cstheme="majorHAnsi"/>
          <w:b/>
          <w:i/>
          <w:sz w:val="20"/>
          <w:szCs w:val="20"/>
          <w:lang w:val="ru-MD" w:eastAsia="ru-RU"/>
        </w:rPr>
        <w:t>:</w:t>
      </w:r>
      <w:r w:rsidR="000504F5" w:rsidRPr="00EC5A7B">
        <w:rPr>
          <w:rFonts w:asciiTheme="majorHAnsi" w:hAnsiTheme="majorHAnsi" w:cstheme="majorHAnsi"/>
          <w:i/>
          <w:sz w:val="20"/>
          <w:szCs w:val="20"/>
          <w:lang w:val="ru-MD" w:eastAsia="ru-RU"/>
        </w:rPr>
        <w:t xml:space="preserve"> </w:t>
      </w:r>
      <w:r w:rsidR="00931A40" w:rsidRPr="00EC5A7B">
        <w:rPr>
          <w:rFonts w:asciiTheme="majorHAnsi" w:hAnsiTheme="majorHAnsi" w:cstheme="majorHAnsi"/>
          <w:i/>
          <w:sz w:val="20"/>
          <w:szCs w:val="20"/>
          <w:lang w:val="ru-MD" w:eastAsia="ru-RU"/>
        </w:rPr>
        <w:t xml:space="preserve">Отчеты о внешнем государственном долге по состоянию на </w:t>
      </w:r>
      <w:r w:rsidR="000504F5" w:rsidRPr="00EC5A7B">
        <w:rPr>
          <w:rFonts w:asciiTheme="majorHAnsi" w:hAnsiTheme="majorHAnsi" w:cstheme="majorHAnsi"/>
          <w:i/>
          <w:sz w:val="20"/>
          <w:szCs w:val="20"/>
          <w:lang w:val="ru-MD" w:eastAsia="ru-RU"/>
        </w:rPr>
        <w:t xml:space="preserve">31.12.2017, 31.12.2018 </w:t>
      </w:r>
      <w:r w:rsidR="00931A40" w:rsidRPr="00EC5A7B">
        <w:rPr>
          <w:rFonts w:asciiTheme="majorHAnsi" w:hAnsiTheme="majorHAnsi" w:cstheme="majorHAnsi"/>
          <w:i/>
          <w:sz w:val="20"/>
          <w:szCs w:val="20"/>
          <w:lang w:val="ru-MD" w:eastAsia="ru-RU"/>
        </w:rPr>
        <w:t>и</w:t>
      </w:r>
      <w:r w:rsidR="000504F5" w:rsidRPr="00EC5A7B">
        <w:rPr>
          <w:rFonts w:asciiTheme="majorHAnsi" w:hAnsiTheme="majorHAnsi" w:cstheme="majorHAnsi"/>
          <w:i/>
          <w:sz w:val="20"/>
          <w:szCs w:val="20"/>
          <w:lang w:val="ru-MD" w:eastAsia="ru-RU"/>
        </w:rPr>
        <w:t xml:space="preserve"> 31.12.2019.</w:t>
      </w:r>
    </w:p>
    <w:p w14:paraId="1F247787" w14:textId="77777777" w:rsidR="0086680B" w:rsidRPr="00EC5A7B" w:rsidRDefault="0086680B" w:rsidP="009A5625">
      <w:pPr>
        <w:tabs>
          <w:tab w:val="left" w:pos="6072"/>
        </w:tabs>
        <w:spacing w:line="276" w:lineRule="auto"/>
        <w:jc w:val="both"/>
        <w:rPr>
          <w:rFonts w:asciiTheme="majorHAnsi" w:hAnsiTheme="majorHAnsi" w:cstheme="majorHAnsi"/>
          <w:sz w:val="24"/>
          <w:szCs w:val="24"/>
          <w:lang w:val="ru-MD" w:eastAsia="ru-RU"/>
        </w:rPr>
      </w:pPr>
    </w:p>
    <w:p w14:paraId="550A411F" w14:textId="77777777" w:rsidR="0086680B" w:rsidRPr="00EC5A7B" w:rsidRDefault="0086680B" w:rsidP="009A5625">
      <w:pPr>
        <w:tabs>
          <w:tab w:val="left" w:pos="6072"/>
        </w:tabs>
        <w:spacing w:line="276" w:lineRule="auto"/>
        <w:jc w:val="both"/>
        <w:rPr>
          <w:rFonts w:asciiTheme="majorHAnsi" w:hAnsiTheme="majorHAnsi" w:cstheme="majorHAnsi"/>
          <w:sz w:val="24"/>
          <w:szCs w:val="24"/>
          <w:lang w:val="ru-MD" w:eastAsia="ru-RU"/>
        </w:rPr>
      </w:pPr>
    </w:p>
    <w:p w14:paraId="05711C41" w14:textId="77777777" w:rsidR="0086680B" w:rsidRPr="00EC5A7B" w:rsidRDefault="0086680B" w:rsidP="009A5625">
      <w:pPr>
        <w:tabs>
          <w:tab w:val="left" w:pos="6072"/>
        </w:tabs>
        <w:spacing w:line="276" w:lineRule="auto"/>
        <w:jc w:val="both"/>
        <w:rPr>
          <w:rFonts w:asciiTheme="majorHAnsi" w:hAnsiTheme="majorHAnsi" w:cstheme="majorHAnsi"/>
          <w:sz w:val="24"/>
          <w:szCs w:val="24"/>
          <w:lang w:val="ru-MD" w:eastAsia="ru-RU"/>
        </w:rPr>
      </w:pPr>
    </w:p>
    <w:p w14:paraId="5F55A2DB" w14:textId="77777777" w:rsidR="0086680B" w:rsidRPr="00EC5A7B" w:rsidRDefault="0086680B" w:rsidP="009A5625">
      <w:pPr>
        <w:tabs>
          <w:tab w:val="left" w:pos="6072"/>
        </w:tabs>
        <w:spacing w:line="276" w:lineRule="auto"/>
        <w:jc w:val="both"/>
        <w:rPr>
          <w:rFonts w:asciiTheme="majorHAnsi" w:hAnsiTheme="majorHAnsi" w:cstheme="majorHAnsi"/>
          <w:sz w:val="24"/>
          <w:szCs w:val="24"/>
          <w:lang w:val="ru-MD" w:eastAsia="ru-RU"/>
        </w:rPr>
      </w:pPr>
    </w:p>
    <w:p w14:paraId="7355A311" w14:textId="77777777" w:rsidR="009A5625" w:rsidRPr="00EC5A7B" w:rsidRDefault="009A5625" w:rsidP="009A5625">
      <w:pPr>
        <w:tabs>
          <w:tab w:val="left" w:pos="6072"/>
        </w:tabs>
        <w:spacing w:line="276" w:lineRule="auto"/>
        <w:jc w:val="both"/>
        <w:rPr>
          <w:rFonts w:asciiTheme="majorHAnsi" w:hAnsiTheme="majorHAnsi" w:cstheme="majorHAnsi"/>
          <w:sz w:val="24"/>
          <w:szCs w:val="24"/>
          <w:lang w:val="ru-MD" w:eastAsia="ru-RU"/>
        </w:rPr>
      </w:pPr>
      <w:r w:rsidRPr="00EC5A7B">
        <w:rPr>
          <w:rFonts w:asciiTheme="majorHAnsi" w:hAnsiTheme="majorHAnsi" w:cstheme="majorHAnsi"/>
          <w:sz w:val="24"/>
          <w:szCs w:val="24"/>
          <w:lang w:val="ru-MD" w:eastAsia="ru-RU"/>
        </w:rPr>
        <w:tab/>
      </w:r>
    </w:p>
    <w:p w14:paraId="375DB884" w14:textId="77777777" w:rsidR="0086680B" w:rsidRPr="00EC5A7B" w:rsidRDefault="0086680B" w:rsidP="00F55AC0">
      <w:pPr>
        <w:spacing w:after="0" w:line="276" w:lineRule="auto"/>
        <w:jc w:val="both"/>
        <w:rPr>
          <w:rFonts w:asciiTheme="majorHAnsi" w:eastAsia="Times New Roman" w:hAnsiTheme="majorHAnsi" w:cstheme="majorHAnsi"/>
          <w:b/>
          <w:sz w:val="24"/>
          <w:szCs w:val="24"/>
          <w:lang w:val="ru-MD"/>
        </w:rPr>
        <w:sectPr w:rsidR="0086680B" w:rsidRPr="00EC5A7B" w:rsidSect="008C371F">
          <w:footerReference w:type="default" r:id="rId19"/>
          <w:pgSz w:w="11906" w:h="16838" w:code="9"/>
          <w:pgMar w:top="1138" w:right="656" w:bottom="1138" w:left="1701" w:header="720" w:footer="720" w:gutter="0"/>
          <w:cols w:space="720"/>
          <w:docGrid w:linePitch="360"/>
        </w:sectPr>
      </w:pPr>
    </w:p>
    <w:p w14:paraId="217C64D0" w14:textId="204813D4" w:rsidR="00E46C02" w:rsidRPr="00EC5A7B" w:rsidRDefault="001868AD" w:rsidP="00E46C02">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lastRenderedPageBreak/>
        <w:t>Приложение №</w:t>
      </w:r>
      <w:r w:rsidR="006E05B8" w:rsidRPr="00EC5A7B">
        <w:rPr>
          <w:rFonts w:asciiTheme="majorHAnsi" w:hAnsiTheme="majorHAnsi" w:cstheme="majorHAnsi"/>
          <w:b/>
          <w:i/>
          <w:color w:val="5B9BD5" w:themeColor="accent1"/>
          <w:sz w:val="24"/>
          <w:szCs w:val="24"/>
          <w:lang w:val="ru-MD"/>
          <w14:glow w14:rad="0">
            <w14:schemeClr w14:val="tx1"/>
          </w14:glow>
        </w:rPr>
        <w:t>8</w:t>
      </w:r>
    </w:p>
    <w:p w14:paraId="3C3456A1" w14:textId="41C6C6A3" w:rsidR="00F55AC0" w:rsidRPr="00EC5A7B" w:rsidRDefault="007E0E39" w:rsidP="00851B37">
      <w:pPr>
        <w:spacing w:after="0" w:line="276" w:lineRule="auto"/>
        <w:jc w:val="center"/>
        <w:rPr>
          <w:rFonts w:asciiTheme="majorHAnsi" w:hAnsiTheme="majorHAnsi" w:cstheme="majorHAnsi"/>
          <w:b/>
          <w:i/>
          <w:sz w:val="24"/>
          <w:szCs w:val="24"/>
          <w:lang w:val="ru-MD"/>
          <w14:glow w14:rad="0">
            <w14:schemeClr w14:val="tx1"/>
          </w14:glow>
        </w:rPr>
      </w:pPr>
      <w:r w:rsidRPr="00EC5A7B">
        <w:rPr>
          <w:rFonts w:asciiTheme="majorHAnsi" w:hAnsiTheme="majorHAnsi" w:cstheme="majorHAnsi"/>
          <w:b/>
          <w:i/>
          <w:sz w:val="24"/>
          <w:szCs w:val="24"/>
          <w:lang w:val="ru-MD"/>
          <w14:glow w14:rad="0">
            <w14:schemeClr w14:val="tx1"/>
          </w14:glow>
        </w:rPr>
        <w:t>Информация о невыплаченных суммах по внешним государственным займам, мил. е. и</w:t>
      </w:r>
      <w:r w:rsidR="00F55AC0" w:rsidRPr="00EC5A7B">
        <w:rPr>
          <w:rFonts w:asciiTheme="majorHAnsi" w:hAnsiTheme="majorHAnsi" w:cstheme="majorHAnsi"/>
          <w:b/>
          <w:i/>
          <w:sz w:val="24"/>
          <w:szCs w:val="24"/>
          <w:lang w:val="ru-MD"/>
          <w14:glow w14:rad="0">
            <w14:schemeClr w14:val="tx1"/>
          </w14:glow>
        </w:rPr>
        <w:t>.</w:t>
      </w:r>
    </w:p>
    <w:tbl>
      <w:tblPr>
        <w:tblStyle w:val="TableGrid3"/>
        <w:tblW w:w="15210" w:type="dxa"/>
        <w:tblInd w:w="-275" w:type="dxa"/>
        <w:tblLayout w:type="fixed"/>
        <w:tblLook w:val="04A0" w:firstRow="1" w:lastRow="0" w:firstColumn="1" w:lastColumn="0" w:noHBand="0" w:noVBand="1"/>
      </w:tblPr>
      <w:tblGrid>
        <w:gridCol w:w="1435"/>
        <w:gridCol w:w="1621"/>
        <w:gridCol w:w="630"/>
        <w:gridCol w:w="1171"/>
        <w:gridCol w:w="947"/>
        <w:gridCol w:w="992"/>
        <w:gridCol w:w="831"/>
        <w:gridCol w:w="1102"/>
        <w:gridCol w:w="1171"/>
        <w:gridCol w:w="1171"/>
        <w:gridCol w:w="4139"/>
      </w:tblGrid>
      <w:tr w:rsidR="0086680B" w:rsidRPr="00EC5A7B" w14:paraId="31E1E208" w14:textId="77777777" w:rsidTr="002C34F0">
        <w:tc>
          <w:tcPr>
            <w:tcW w:w="1435" w:type="dxa"/>
            <w:shd w:val="clear" w:color="auto" w:fill="DEEAF6" w:themeFill="accent1" w:themeFillTint="33"/>
            <w:vAlign w:val="center"/>
          </w:tcPr>
          <w:p w14:paraId="079B7BCB" w14:textId="217BEAF1" w:rsidR="0086680B"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Код проекта</w:t>
            </w:r>
          </w:p>
        </w:tc>
        <w:tc>
          <w:tcPr>
            <w:tcW w:w="1621" w:type="dxa"/>
            <w:shd w:val="clear" w:color="auto" w:fill="DEEAF6" w:themeFill="accent1" w:themeFillTint="33"/>
            <w:vAlign w:val="center"/>
          </w:tcPr>
          <w:p w14:paraId="72E8DB1B" w14:textId="27E4C26D" w:rsidR="0086680B"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Назначение</w:t>
            </w:r>
          </w:p>
        </w:tc>
        <w:tc>
          <w:tcPr>
            <w:tcW w:w="630" w:type="dxa"/>
            <w:shd w:val="clear" w:color="auto" w:fill="DEEAF6" w:themeFill="accent1" w:themeFillTint="33"/>
            <w:vAlign w:val="center"/>
          </w:tcPr>
          <w:p w14:paraId="6A2A9C22" w14:textId="11A949ED" w:rsidR="0086680B" w:rsidRPr="00EC5A7B" w:rsidRDefault="007E0E39" w:rsidP="00B74C49">
            <w:pPr>
              <w:ind w:hanging="102"/>
              <w:jc w:val="center"/>
              <w:rPr>
                <w:rFonts w:asciiTheme="majorHAnsi" w:hAnsiTheme="majorHAnsi"/>
                <w:b/>
                <w:sz w:val="16"/>
                <w:lang w:val="ru-MD"/>
              </w:rPr>
            </w:pPr>
            <w:r w:rsidRPr="00EC5A7B">
              <w:rPr>
                <w:rFonts w:asciiTheme="majorHAnsi" w:hAnsiTheme="majorHAnsi"/>
                <w:b/>
                <w:sz w:val="16"/>
                <w:lang w:val="ru-MD"/>
              </w:rPr>
              <w:t>Валюта</w:t>
            </w:r>
          </w:p>
        </w:tc>
        <w:tc>
          <w:tcPr>
            <w:tcW w:w="1171" w:type="dxa"/>
            <w:shd w:val="clear" w:color="auto" w:fill="DEEAF6" w:themeFill="accent1" w:themeFillTint="33"/>
            <w:vAlign w:val="center"/>
          </w:tcPr>
          <w:p w14:paraId="7FB4B1F8" w14:textId="6A4E82E2" w:rsidR="0086680B"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Сумма кредита</w:t>
            </w:r>
          </w:p>
        </w:tc>
        <w:tc>
          <w:tcPr>
            <w:tcW w:w="947" w:type="dxa"/>
            <w:shd w:val="clear" w:color="auto" w:fill="DEEAF6" w:themeFill="accent1" w:themeFillTint="33"/>
            <w:vAlign w:val="center"/>
          </w:tcPr>
          <w:p w14:paraId="521C6D54" w14:textId="4C0F02E3" w:rsidR="0086680B"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Дата подписания</w:t>
            </w:r>
          </w:p>
        </w:tc>
        <w:tc>
          <w:tcPr>
            <w:tcW w:w="992" w:type="dxa"/>
            <w:shd w:val="clear" w:color="auto" w:fill="DEEAF6" w:themeFill="accent1" w:themeFillTint="33"/>
            <w:vAlign w:val="center"/>
          </w:tcPr>
          <w:p w14:paraId="279B21A2" w14:textId="6F1F40C6" w:rsidR="0086680B" w:rsidRPr="00EC5A7B" w:rsidRDefault="007E0E39" w:rsidP="007E0E39">
            <w:pPr>
              <w:tabs>
                <w:tab w:val="left" w:pos="776"/>
              </w:tabs>
              <w:ind w:left="-67"/>
              <w:jc w:val="center"/>
              <w:rPr>
                <w:rFonts w:asciiTheme="majorHAnsi" w:hAnsiTheme="majorHAnsi"/>
                <w:b/>
                <w:sz w:val="16"/>
                <w:lang w:val="ru-MD"/>
              </w:rPr>
            </w:pPr>
            <w:r w:rsidRPr="00EC5A7B">
              <w:rPr>
                <w:rFonts w:asciiTheme="majorHAnsi" w:hAnsiTheme="majorHAnsi"/>
                <w:b/>
                <w:sz w:val="16"/>
                <w:lang w:val="ru-MD"/>
              </w:rPr>
              <w:t>Предельный срок снятия со счета средств</w:t>
            </w:r>
          </w:p>
        </w:tc>
        <w:tc>
          <w:tcPr>
            <w:tcW w:w="831" w:type="dxa"/>
            <w:shd w:val="clear" w:color="auto" w:fill="DEEAF6" w:themeFill="accent1" w:themeFillTint="33"/>
            <w:vAlign w:val="center"/>
          </w:tcPr>
          <w:p w14:paraId="05660FD5" w14:textId="583C2B30" w:rsidR="0086680B" w:rsidRPr="00EC5A7B" w:rsidRDefault="007E0E39" w:rsidP="007E0E39">
            <w:pPr>
              <w:ind w:hanging="66"/>
              <w:jc w:val="center"/>
              <w:rPr>
                <w:rFonts w:asciiTheme="majorHAnsi" w:hAnsiTheme="majorHAnsi"/>
                <w:b/>
                <w:sz w:val="16"/>
                <w:lang w:val="ru-MD"/>
              </w:rPr>
            </w:pPr>
            <w:r w:rsidRPr="00EC5A7B">
              <w:rPr>
                <w:rFonts w:asciiTheme="majorHAnsi" w:hAnsiTheme="majorHAnsi"/>
                <w:b/>
                <w:sz w:val="16"/>
                <w:lang w:val="ru-MD"/>
              </w:rPr>
              <w:t>Средства, снятые со счета</w:t>
            </w:r>
            <w:r w:rsidR="0086680B" w:rsidRPr="00EC5A7B">
              <w:rPr>
                <w:rFonts w:asciiTheme="majorHAnsi" w:hAnsiTheme="majorHAnsi"/>
                <w:b/>
                <w:sz w:val="16"/>
                <w:lang w:val="ru-MD"/>
              </w:rPr>
              <w:t xml:space="preserve"> </w:t>
            </w:r>
            <w:r w:rsidRPr="00EC5A7B">
              <w:rPr>
                <w:rFonts w:asciiTheme="majorHAnsi" w:hAnsiTheme="majorHAnsi"/>
                <w:b/>
                <w:sz w:val="16"/>
                <w:lang w:val="ru-MD"/>
              </w:rPr>
              <w:t xml:space="preserve">в </w:t>
            </w:r>
            <w:r w:rsidR="0086680B" w:rsidRPr="00EC5A7B">
              <w:rPr>
                <w:rFonts w:asciiTheme="majorHAnsi" w:hAnsiTheme="majorHAnsi"/>
                <w:b/>
                <w:sz w:val="16"/>
                <w:lang w:val="ru-MD"/>
              </w:rPr>
              <w:t>1992-2019</w:t>
            </w:r>
            <w:r w:rsidRPr="00EC5A7B">
              <w:rPr>
                <w:rFonts w:asciiTheme="majorHAnsi" w:hAnsiTheme="majorHAnsi"/>
                <w:b/>
                <w:sz w:val="16"/>
                <w:lang w:val="ru-MD"/>
              </w:rPr>
              <w:t xml:space="preserve"> годах</w:t>
            </w:r>
          </w:p>
        </w:tc>
        <w:tc>
          <w:tcPr>
            <w:tcW w:w="1102" w:type="dxa"/>
            <w:shd w:val="clear" w:color="auto" w:fill="DEEAF6" w:themeFill="accent1" w:themeFillTint="33"/>
            <w:vAlign w:val="center"/>
          </w:tcPr>
          <w:p w14:paraId="377A18E6" w14:textId="295E5299" w:rsidR="0086680B" w:rsidRPr="00EC5A7B" w:rsidRDefault="007E0E39" w:rsidP="007E0E39">
            <w:pPr>
              <w:jc w:val="center"/>
              <w:rPr>
                <w:rFonts w:asciiTheme="majorHAnsi" w:hAnsiTheme="majorHAnsi"/>
                <w:b/>
                <w:sz w:val="16"/>
                <w:lang w:val="ru-MD"/>
              </w:rPr>
            </w:pPr>
            <w:r w:rsidRPr="00EC5A7B">
              <w:rPr>
                <w:rFonts w:asciiTheme="majorHAnsi" w:hAnsiTheme="majorHAnsi"/>
                <w:b/>
                <w:sz w:val="16"/>
                <w:lang w:val="ru-MD"/>
              </w:rPr>
              <w:t>Невыплаченная сумма</w:t>
            </w:r>
          </w:p>
        </w:tc>
        <w:tc>
          <w:tcPr>
            <w:tcW w:w="1171" w:type="dxa"/>
            <w:shd w:val="clear" w:color="auto" w:fill="DEEAF6" w:themeFill="accent1" w:themeFillTint="33"/>
            <w:vAlign w:val="center"/>
          </w:tcPr>
          <w:p w14:paraId="621A0412" w14:textId="190650DE" w:rsidR="0086680B"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Удельный вес выплаченной суммы в сумме кредита</w:t>
            </w:r>
            <w:r w:rsidR="0086680B" w:rsidRPr="00EC5A7B">
              <w:rPr>
                <w:rFonts w:asciiTheme="majorHAnsi" w:hAnsiTheme="majorHAnsi"/>
                <w:b/>
                <w:sz w:val="16"/>
                <w:lang w:val="ru-MD"/>
              </w:rPr>
              <w:t>,%</w:t>
            </w:r>
          </w:p>
        </w:tc>
        <w:tc>
          <w:tcPr>
            <w:tcW w:w="1171" w:type="dxa"/>
            <w:shd w:val="clear" w:color="auto" w:fill="DEEAF6" w:themeFill="accent1" w:themeFillTint="33"/>
            <w:vAlign w:val="center"/>
          </w:tcPr>
          <w:p w14:paraId="1B1B228C" w14:textId="6985F047" w:rsidR="00BD513F" w:rsidRPr="00EC5A7B" w:rsidRDefault="007E0E39" w:rsidP="003A2013">
            <w:pPr>
              <w:jc w:val="center"/>
              <w:rPr>
                <w:rFonts w:asciiTheme="majorHAnsi" w:hAnsiTheme="majorHAnsi"/>
                <w:b/>
                <w:sz w:val="16"/>
                <w:lang w:val="ru-MD"/>
              </w:rPr>
            </w:pPr>
            <w:r w:rsidRPr="00EC5A7B">
              <w:rPr>
                <w:rFonts w:asciiTheme="majorHAnsi" w:hAnsiTheme="majorHAnsi"/>
                <w:b/>
                <w:sz w:val="16"/>
                <w:lang w:val="ru-MD"/>
              </w:rPr>
              <w:t>Уплаченные комиссии</w:t>
            </w:r>
            <w:r w:rsidR="00BD513F" w:rsidRPr="00EC5A7B">
              <w:rPr>
                <w:rFonts w:asciiTheme="majorHAnsi" w:hAnsiTheme="majorHAnsi"/>
                <w:b/>
                <w:sz w:val="16"/>
                <w:lang w:val="ru-MD"/>
              </w:rPr>
              <w:t xml:space="preserve">, </w:t>
            </w:r>
          </w:p>
          <w:p w14:paraId="7B091FEF" w14:textId="1950B38B" w:rsidR="0086680B" w:rsidRPr="00EC5A7B" w:rsidRDefault="007E0E39" w:rsidP="007E0E39">
            <w:pPr>
              <w:jc w:val="center"/>
              <w:rPr>
                <w:rFonts w:asciiTheme="majorHAnsi" w:hAnsiTheme="majorHAnsi"/>
                <w:b/>
                <w:sz w:val="16"/>
                <w:lang w:val="ru-MD"/>
              </w:rPr>
            </w:pPr>
            <w:r w:rsidRPr="00EC5A7B">
              <w:rPr>
                <w:rFonts w:asciiTheme="majorHAnsi" w:hAnsiTheme="majorHAnsi"/>
                <w:b/>
                <w:sz w:val="16"/>
                <w:lang w:val="ru-MD"/>
              </w:rPr>
              <w:t>тыс. дол. США</w:t>
            </w:r>
          </w:p>
        </w:tc>
        <w:tc>
          <w:tcPr>
            <w:tcW w:w="4139" w:type="dxa"/>
            <w:shd w:val="clear" w:color="auto" w:fill="DEEAF6" w:themeFill="accent1" w:themeFillTint="33"/>
            <w:vAlign w:val="center"/>
          </w:tcPr>
          <w:p w14:paraId="281B142E" w14:textId="19E8AFED" w:rsidR="0086680B" w:rsidRPr="00EC5A7B" w:rsidRDefault="007E0E39" w:rsidP="007E0E39">
            <w:pPr>
              <w:jc w:val="center"/>
              <w:rPr>
                <w:rFonts w:asciiTheme="majorHAnsi" w:hAnsiTheme="majorHAnsi"/>
                <w:b/>
                <w:sz w:val="16"/>
                <w:lang w:val="ru-MD"/>
              </w:rPr>
            </w:pPr>
            <w:r w:rsidRPr="00EC5A7B">
              <w:rPr>
                <w:rFonts w:asciiTheme="majorHAnsi" w:hAnsiTheme="majorHAnsi"/>
                <w:b/>
                <w:sz w:val="16"/>
                <w:lang w:val="ru-MD"/>
              </w:rPr>
              <w:t>Причины низкого уровня выплаты</w:t>
            </w:r>
          </w:p>
        </w:tc>
      </w:tr>
      <w:tr w:rsidR="004006F4" w:rsidRPr="00EC5A7B" w14:paraId="3AAE734B" w14:textId="77777777" w:rsidTr="00194F19">
        <w:trPr>
          <w:trHeight w:val="451"/>
        </w:trPr>
        <w:tc>
          <w:tcPr>
            <w:tcW w:w="1435" w:type="dxa"/>
            <w:shd w:val="clear" w:color="auto" w:fill="auto"/>
            <w:vAlign w:val="center"/>
          </w:tcPr>
          <w:p w14:paraId="41A92506"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D-109/BEI/2010</w:t>
            </w:r>
          </w:p>
        </w:tc>
        <w:tc>
          <w:tcPr>
            <w:tcW w:w="1621" w:type="dxa"/>
            <w:shd w:val="clear" w:color="auto" w:fill="auto"/>
            <w:vAlign w:val="center"/>
          </w:tcPr>
          <w:p w14:paraId="10FE2209" w14:textId="1B741DDB" w:rsidR="004006F4" w:rsidRPr="00EC5A7B" w:rsidRDefault="00C26C7F" w:rsidP="00C26C7F">
            <w:pPr>
              <w:jc w:val="center"/>
              <w:rPr>
                <w:rFonts w:asciiTheme="majorHAnsi" w:hAnsiTheme="majorHAnsi"/>
                <w:sz w:val="16"/>
                <w:lang w:val="ru-MD"/>
              </w:rPr>
            </w:pPr>
            <w:r w:rsidRPr="00EC5A7B">
              <w:rPr>
                <w:rFonts w:asciiTheme="majorHAnsi" w:hAnsiTheme="majorHAnsi"/>
                <w:sz w:val="16"/>
                <w:lang w:val="ru-MD"/>
              </w:rPr>
              <w:t>Реабилитация дорог в РМ</w:t>
            </w:r>
          </w:p>
        </w:tc>
        <w:tc>
          <w:tcPr>
            <w:tcW w:w="630" w:type="dxa"/>
            <w:shd w:val="clear" w:color="auto" w:fill="auto"/>
            <w:vAlign w:val="center"/>
          </w:tcPr>
          <w:p w14:paraId="006C785C" w14:textId="2A9DC111" w:rsidR="004006F4" w:rsidRPr="00EC5A7B" w:rsidRDefault="00C673C7" w:rsidP="003A2013">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5C5200AA"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75,0</w:t>
            </w:r>
          </w:p>
        </w:tc>
        <w:tc>
          <w:tcPr>
            <w:tcW w:w="947" w:type="dxa"/>
            <w:shd w:val="clear" w:color="auto" w:fill="auto"/>
            <w:vAlign w:val="center"/>
          </w:tcPr>
          <w:p w14:paraId="50F07025"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23.11.10</w:t>
            </w:r>
          </w:p>
        </w:tc>
        <w:tc>
          <w:tcPr>
            <w:tcW w:w="992" w:type="dxa"/>
            <w:shd w:val="clear" w:color="auto" w:fill="auto"/>
            <w:vAlign w:val="center"/>
          </w:tcPr>
          <w:p w14:paraId="330B2072"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31.12.18</w:t>
            </w:r>
          </w:p>
        </w:tc>
        <w:tc>
          <w:tcPr>
            <w:tcW w:w="831" w:type="dxa"/>
            <w:shd w:val="clear" w:color="auto" w:fill="auto"/>
            <w:vAlign w:val="center"/>
          </w:tcPr>
          <w:p w14:paraId="4CE8898F"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53,57</w:t>
            </w:r>
          </w:p>
        </w:tc>
        <w:tc>
          <w:tcPr>
            <w:tcW w:w="1102" w:type="dxa"/>
            <w:shd w:val="clear" w:color="auto" w:fill="auto"/>
            <w:vAlign w:val="center"/>
          </w:tcPr>
          <w:p w14:paraId="0FF20C1E"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21,43</w:t>
            </w:r>
          </w:p>
        </w:tc>
        <w:tc>
          <w:tcPr>
            <w:tcW w:w="1171" w:type="dxa"/>
            <w:shd w:val="clear" w:color="auto" w:fill="auto"/>
            <w:vAlign w:val="center"/>
          </w:tcPr>
          <w:p w14:paraId="53C79438" w14:textId="77777777" w:rsidR="004006F4" w:rsidRPr="00EC5A7B" w:rsidRDefault="004006F4" w:rsidP="003A2013">
            <w:pPr>
              <w:jc w:val="center"/>
              <w:rPr>
                <w:rFonts w:asciiTheme="majorHAnsi" w:hAnsiTheme="majorHAnsi"/>
                <w:sz w:val="16"/>
                <w:lang w:val="ru-MD"/>
              </w:rPr>
            </w:pPr>
            <w:r w:rsidRPr="00EC5A7B">
              <w:rPr>
                <w:rFonts w:asciiTheme="majorHAnsi" w:hAnsiTheme="majorHAnsi"/>
                <w:sz w:val="16"/>
                <w:lang w:val="ru-MD"/>
              </w:rPr>
              <w:t>71,4</w:t>
            </w:r>
          </w:p>
        </w:tc>
        <w:tc>
          <w:tcPr>
            <w:tcW w:w="1171" w:type="dxa"/>
            <w:vAlign w:val="center"/>
          </w:tcPr>
          <w:p w14:paraId="2A8E0076" w14:textId="77777777" w:rsidR="004006F4" w:rsidRPr="00EC5A7B" w:rsidRDefault="008D3454" w:rsidP="003A2013">
            <w:pPr>
              <w:jc w:val="center"/>
              <w:rPr>
                <w:rFonts w:asciiTheme="majorHAnsi" w:hAnsiTheme="majorHAnsi"/>
                <w:sz w:val="16"/>
                <w:lang w:val="ru-MD"/>
              </w:rPr>
            </w:pPr>
            <w:r w:rsidRPr="00EC5A7B">
              <w:rPr>
                <w:rFonts w:asciiTheme="majorHAnsi" w:hAnsiTheme="majorHAnsi"/>
                <w:sz w:val="16"/>
                <w:lang w:val="ru-MD"/>
              </w:rPr>
              <w:t>730,2</w:t>
            </w:r>
          </w:p>
        </w:tc>
        <w:tc>
          <w:tcPr>
            <w:tcW w:w="4139" w:type="dxa"/>
            <w:vMerge w:val="restart"/>
          </w:tcPr>
          <w:p w14:paraId="24B479B9" w14:textId="177C27EB" w:rsidR="004006F4" w:rsidRPr="00EC5A7B" w:rsidRDefault="0027111E" w:rsidP="00C30865">
            <w:pPr>
              <w:jc w:val="both"/>
              <w:rPr>
                <w:rFonts w:asciiTheme="majorHAnsi" w:hAnsiTheme="majorHAnsi"/>
                <w:sz w:val="16"/>
                <w:lang w:val="ru-MD"/>
              </w:rPr>
            </w:pPr>
            <w:r w:rsidRPr="00EC5A7B">
              <w:rPr>
                <w:rFonts w:asciiTheme="majorHAnsi" w:hAnsiTheme="majorHAnsi"/>
                <w:sz w:val="16"/>
                <w:lang w:val="ru-MD"/>
              </w:rPr>
              <w:t xml:space="preserve">Низкий уровень выплат </w:t>
            </w:r>
            <w:r w:rsidR="00C30865" w:rsidRPr="00EC5A7B">
              <w:rPr>
                <w:rFonts w:asciiTheme="majorHAnsi" w:hAnsiTheme="majorHAnsi"/>
                <w:sz w:val="16"/>
                <w:lang w:val="ru-MD"/>
              </w:rPr>
              <w:t>обусловлен</w:t>
            </w:r>
            <w:r w:rsidRPr="00EC5A7B">
              <w:rPr>
                <w:rFonts w:asciiTheme="majorHAnsi" w:hAnsiTheme="majorHAnsi"/>
                <w:sz w:val="16"/>
                <w:lang w:val="ru-MD"/>
              </w:rPr>
              <w:t xml:space="preserve"> медленным </w:t>
            </w:r>
            <w:r w:rsidR="00C30865" w:rsidRPr="00EC5A7B">
              <w:rPr>
                <w:rFonts w:asciiTheme="majorHAnsi" w:hAnsiTheme="majorHAnsi"/>
                <w:sz w:val="16"/>
                <w:lang w:val="ru-MD"/>
              </w:rPr>
              <w:t>выполнением</w:t>
            </w:r>
            <w:r w:rsidRPr="00EC5A7B">
              <w:rPr>
                <w:rFonts w:asciiTheme="majorHAnsi" w:hAnsiTheme="majorHAnsi"/>
                <w:sz w:val="16"/>
                <w:lang w:val="ru-MD"/>
              </w:rPr>
              <w:t xml:space="preserve"> работ по некоторым </w:t>
            </w:r>
            <w:r w:rsidR="00C30865" w:rsidRPr="00EC5A7B">
              <w:rPr>
                <w:rFonts w:asciiTheme="majorHAnsi" w:hAnsiTheme="majorHAnsi"/>
                <w:sz w:val="16"/>
                <w:lang w:val="ru-MD"/>
              </w:rPr>
              <w:t>договор</w:t>
            </w:r>
            <w:r w:rsidRPr="00EC5A7B">
              <w:rPr>
                <w:rFonts w:asciiTheme="majorHAnsi" w:hAnsiTheme="majorHAnsi"/>
                <w:sz w:val="16"/>
                <w:lang w:val="ru-MD"/>
              </w:rPr>
              <w:t>ам, отсутствием финансовых возможностей у некоторых предпринимателей, а также не</w:t>
            </w:r>
            <w:r w:rsidR="00C30865" w:rsidRPr="00EC5A7B">
              <w:rPr>
                <w:rFonts w:asciiTheme="majorHAnsi" w:hAnsiTheme="majorHAnsi"/>
                <w:sz w:val="16"/>
                <w:lang w:val="ru-MD"/>
              </w:rPr>
              <w:t>эффектив</w:t>
            </w:r>
            <w:r w:rsidRPr="00EC5A7B">
              <w:rPr>
                <w:rFonts w:asciiTheme="majorHAnsi" w:hAnsiTheme="majorHAnsi"/>
                <w:sz w:val="16"/>
                <w:lang w:val="ru-MD"/>
              </w:rPr>
              <w:t xml:space="preserve">ным управлением </w:t>
            </w:r>
            <w:r w:rsidR="00C30865" w:rsidRPr="00EC5A7B">
              <w:rPr>
                <w:rFonts w:asciiTheme="majorHAnsi" w:hAnsiTheme="majorHAnsi"/>
                <w:sz w:val="16"/>
                <w:lang w:val="ru-MD"/>
              </w:rPr>
              <w:t xml:space="preserve">со стороны </w:t>
            </w:r>
            <w:r w:rsidRPr="00EC5A7B">
              <w:rPr>
                <w:rFonts w:asciiTheme="majorHAnsi" w:hAnsiTheme="majorHAnsi"/>
                <w:sz w:val="16"/>
                <w:lang w:val="ru-MD"/>
              </w:rPr>
              <w:t>некоторы</w:t>
            </w:r>
            <w:r w:rsidR="00C30865" w:rsidRPr="00EC5A7B">
              <w:rPr>
                <w:rFonts w:asciiTheme="majorHAnsi" w:hAnsiTheme="majorHAnsi"/>
                <w:sz w:val="16"/>
                <w:lang w:val="ru-MD"/>
              </w:rPr>
              <w:t>х</w:t>
            </w:r>
            <w:r w:rsidRPr="00EC5A7B">
              <w:rPr>
                <w:rFonts w:asciiTheme="majorHAnsi" w:hAnsiTheme="majorHAnsi"/>
                <w:sz w:val="16"/>
                <w:lang w:val="ru-MD"/>
              </w:rPr>
              <w:t xml:space="preserve"> предпринимател</w:t>
            </w:r>
            <w:r w:rsidR="00C30865" w:rsidRPr="00EC5A7B">
              <w:rPr>
                <w:rFonts w:asciiTheme="majorHAnsi" w:hAnsiTheme="majorHAnsi"/>
                <w:sz w:val="16"/>
                <w:lang w:val="ru-MD"/>
              </w:rPr>
              <w:t>ей</w:t>
            </w:r>
            <w:r w:rsidRPr="00EC5A7B">
              <w:rPr>
                <w:rFonts w:asciiTheme="majorHAnsi" w:hAnsiTheme="majorHAnsi"/>
                <w:sz w:val="16"/>
                <w:lang w:val="ru-MD"/>
              </w:rPr>
              <w:t xml:space="preserve">. Подтверждающие документы </w:t>
            </w:r>
            <w:r w:rsidR="00C30865" w:rsidRPr="00EC5A7B">
              <w:rPr>
                <w:rFonts w:asciiTheme="majorHAnsi" w:hAnsiTheme="majorHAnsi"/>
                <w:sz w:val="16"/>
                <w:lang w:val="ru-MD"/>
              </w:rPr>
              <w:t>о</w:t>
            </w:r>
            <w:r w:rsidRPr="00EC5A7B">
              <w:rPr>
                <w:rFonts w:asciiTheme="majorHAnsi" w:hAnsiTheme="majorHAnsi"/>
                <w:sz w:val="16"/>
                <w:lang w:val="ru-MD"/>
              </w:rPr>
              <w:t xml:space="preserve"> выполнени</w:t>
            </w:r>
            <w:r w:rsidR="00C30865" w:rsidRPr="00EC5A7B">
              <w:rPr>
                <w:rFonts w:asciiTheme="majorHAnsi" w:hAnsiTheme="majorHAnsi"/>
                <w:sz w:val="16"/>
                <w:lang w:val="ru-MD"/>
              </w:rPr>
              <w:t>и</w:t>
            </w:r>
            <w:r w:rsidRPr="00EC5A7B">
              <w:rPr>
                <w:rFonts w:asciiTheme="majorHAnsi" w:hAnsiTheme="majorHAnsi"/>
                <w:sz w:val="16"/>
                <w:lang w:val="ru-MD"/>
              </w:rPr>
              <w:t xml:space="preserve"> работ и оказани</w:t>
            </w:r>
            <w:r w:rsidR="00C30865" w:rsidRPr="00EC5A7B">
              <w:rPr>
                <w:rFonts w:asciiTheme="majorHAnsi" w:hAnsiTheme="majorHAnsi"/>
                <w:sz w:val="16"/>
                <w:lang w:val="ru-MD"/>
              </w:rPr>
              <w:t>и</w:t>
            </w:r>
            <w:r w:rsidRPr="00EC5A7B">
              <w:rPr>
                <w:rFonts w:asciiTheme="majorHAnsi" w:hAnsiTheme="majorHAnsi"/>
                <w:sz w:val="16"/>
                <w:lang w:val="ru-MD"/>
              </w:rPr>
              <w:t xml:space="preserve"> услуг, осуществленных в 2019 году, которые были представлены в конце декабря 2019 </w:t>
            </w:r>
            <w:r w:rsidR="00C30865" w:rsidRPr="00EC5A7B">
              <w:rPr>
                <w:rFonts w:asciiTheme="majorHAnsi" w:hAnsiTheme="majorHAnsi"/>
                <w:sz w:val="16"/>
                <w:lang w:val="ru-MD"/>
              </w:rPr>
              <w:t>года, были оплачены в 2020 году.</w:t>
            </w:r>
          </w:p>
        </w:tc>
      </w:tr>
      <w:tr w:rsidR="00276BEA" w:rsidRPr="00EC5A7B" w14:paraId="3D30BD03" w14:textId="77777777" w:rsidTr="00194F19">
        <w:trPr>
          <w:trHeight w:val="613"/>
        </w:trPr>
        <w:tc>
          <w:tcPr>
            <w:tcW w:w="1435" w:type="dxa"/>
            <w:shd w:val="clear" w:color="auto" w:fill="auto"/>
            <w:vAlign w:val="center"/>
          </w:tcPr>
          <w:p w14:paraId="5189C9DB"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D-124/BEI/2013</w:t>
            </w:r>
          </w:p>
        </w:tc>
        <w:tc>
          <w:tcPr>
            <w:tcW w:w="1621" w:type="dxa"/>
            <w:shd w:val="clear" w:color="auto" w:fill="auto"/>
            <w:vAlign w:val="center"/>
          </w:tcPr>
          <w:p w14:paraId="2E11A695" w14:textId="0283CB1A" w:rsidR="00276BEA" w:rsidRPr="00EC5A7B" w:rsidRDefault="00C26C7F" w:rsidP="00C26C7F">
            <w:pPr>
              <w:jc w:val="center"/>
              <w:rPr>
                <w:rFonts w:asciiTheme="majorHAnsi" w:hAnsiTheme="majorHAnsi"/>
                <w:sz w:val="16"/>
                <w:lang w:val="ru-MD"/>
              </w:rPr>
            </w:pPr>
            <w:r w:rsidRPr="00EC5A7B">
              <w:rPr>
                <w:rFonts w:asciiTheme="majorHAnsi" w:hAnsiTheme="majorHAnsi"/>
                <w:sz w:val="16"/>
                <w:lang w:val="ru-MD"/>
              </w:rPr>
              <w:t>Работы по строительству и реабилитации дорог в РМ</w:t>
            </w:r>
          </w:p>
        </w:tc>
        <w:tc>
          <w:tcPr>
            <w:tcW w:w="630" w:type="dxa"/>
            <w:shd w:val="clear" w:color="auto" w:fill="auto"/>
            <w:vAlign w:val="center"/>
          </w:tcPr>
          <w:p w14:paraId="76307BAA" w14:textId="2B9A7CD3"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3D052B49"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150,0</w:t>
            </w:r>
          </w:p>
        </w:tc>
        <w:tc>
          <w:tcPr>
            <w:tcW w:w="947" w:type="dxa"/>
            <w:shd w:val="clear" w:color="auto" w:fill="auto"/>
            <w:vAlign w:val="center"/>
          </w:tcPr>
          <w:p w14:paraId="0A5A532F"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25.06.13</w:t>
            </w:r>
          </w:p>
        </w:tc>
        <w:tc>
          <w:tcPr>
            <w:tcW w:w="992" w:type="dxa"/>
            <w:shd w:val="clear" w:color="auto" w:fill="auto"/>
            <w:vAlign w:val="center"/>
          </w:tcPr>
          <w:p w14:paraId="4635E66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25.06.20</w:t>
            </w:r>
          </w:p>
        </w:tc>
        <w:tc>
          <w:tcPr>
            <w:tcW w:w="831" w:type="dxa"/>
            <w:shd w:val="clear" w:color="auto" w:fill="auto"/>
            <w:vAlign w:val="center"/>
          </w:tcPr>
          <w:p w14:paraId="1CD3C279"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94,75</w:t>
            </w:r>
          </w:p>
        </w:tc>
        <w:tc>
          <w:tcPr>
            <w:tcW w:w="1102" w:type="dxa"/>
            <w:shd w:val="clear" w:color="auto" w:fill="auto"/>
            <w:vAlign w:val="center"/>
          </w:tcPr>
          <w:p w14:paraId="02D86E62"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55,25</w:t>
            </w:r>
          </w:p>
        </w:tc>
        <w:tc>
          <w:tcPr>
            <w:tcW w:w="1171" w:type="dxa"/>
            <w:shd w:val="clear" w:color="auto" w:fill="auto"/>
            <w:vAlign w:val="center"/>
          </w:tcPr>
          <w:p w14:paraId="440F5196"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63,2</w:t>
            </w:r>
          </w:p>
        </w:tc>
        <w:tc>
          <w:tcPr>
            <w:tcW w:w="1171" w:type="dxa"/>
            <w:vAlign w:val="center"/>
          </w:tcPr>
          <w:p w14:paraId="1AB9B2E0" w14:textId="77777777" w:rsidR="00276BEA" w:rsidRPr="00EC5A7B" w:rsidRDefault="008D3454" w:rsidP="00276BEA">
            <w:pPr>
              <w:jc w:val="center"/>
              <w:rPr>
                <w:rFonts w:asciiTheme="majorHAnsi" w:hAnsiTheme="majorHAnsi"/>
                <w:sz w:val="16"/>
                <w:lang w:val="ru-MD"/>
              </w:rPr>
            </w:pPr>
            <w:r w:rsidRPr="00EC5A7B">
              <w:rPr>
                <w:rFonts w:asciiTheme="majorHAnsi" w:hAnsiTheme="majorHAnsi"/>
                <w:sz w:val="16"/>
                <w:lang w:val="ru-MD"/>
              </w:rPr>
              <w:t>66,66</w:t>
            </w:r>
          </w:p>
        </w:tc>
        <w:tc>
          <w:tcPr>
            <w:tcW w:w="4139" w:type="dxa"/>
            <w:vMerge/>
          </w:tcPr>
          <w:p w14:paraId="610FFB83" w14:textId="77777777" w:rsidR="00276BEA" w:rsidRPr="00EC5A7B" w:rsidRDefault="00276BEA" w:rsidP="00276BEA">
            <w:pPr>
              <w:jc w:val="both"/>
              <w:rPr>
                <w:rFonts w:asciiTheme="majorHAnsi" w:hAnsiTheme="majorHAnsi"/>
                <w:sz w:val="16"/>
                <w:lang w:val="ru-MD"/>
              </w:rPr>
            </w:pPr>
          </w:p>
        </w:tc>
      </w:tr>
      <w:tr w:rsidR="00276BEA" w:rsidRPr="00EC5A7B" w14:paraId="03A23910" w14:textId="77777777" w:rsidTr="00194F19">
        <w:trPr>
          <w:trHeight w:val="442"/>
        </w:trPr>
        <w:tc>
          <w:tcPr>
            <w:tcW w:w="1435" w:type="dxa"/>
            <w:shd w:val="clear" w:color="auto" w:fill="auto"/>
            <w:vAlign w:val="center"/>
          </w:tcPr>
          <w:p w14:paraId="11CFEF9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D-108/BERD/2010</w:t>
            </w:r>
          </w:p>
        </w:tc>
        <w:tc>
          <w:tcPr>
            <w:tcW w:w="1621" w:type="dxa"/>
            <w:shd w:val="clear" w:color="auto" w:fill="auto"/>
            <w:vAlign w:val="center"/>
          </w:tcPr>
          <w:p w14:paraId="707D03ED" w14:textId="77777777" w:rsidR="00C26C7F" w:rsidRPr="00EC5A7B" w:rsidRDefault="00C26C7F" w:rsidP="00276BEA">
            <w:pPr>
              <w:jc w:val="center"/>
              <w:rPr>
                <w:rFonts w:asciiTheme="majorHAnsi" w:hAnsiTheme="majorHAnsi"/>
                <w:sz w:val="16"/>
                <w:lang w:val="ru-MD"/>
              </w:rPr>
            </w:pPr>
            <w:r w:rsidRPr="00EC5A7B">
              <w:rPr>
                <w:rFonts w:asciiTheme="majorHAnsi" w:hAnsiTheme="majorHAnsi"/>
                <w:sz w:val="16"/>
                <w:lang w:val="ru-MD"/>
              </w:rPr>
              <w:t xml:space="preserve">Реабилитация </w:t>
            </w:r>
          </w:p>
          <w:p w14:paraId="7126281F" w14:textId="4A671AD4" w:rsidR="00276BEA" w:rsidRPr="00EC5A7B" w:rsidRDefault="00C26C7F" w:rsidP="00276BEA">
            <w:pPr>
              <w:jc w:val="center"/>
              <w:rPr>
                <w:rFonts w:asciiTheme="majorHAnsi" w:hAnsiTheme="majorHAnsi"/>
                <w:sz w:val="16"/>
                <w:lang w:val="ru-MD"/>
              </w:rPr>
            </w:pPr>
            <w:r w:rsidRPr="00EC5A7B">
              <w:rPr>
                <w:rFonts w:asciiTheme="majorHAnsi" w:hAnsiTheme="majorHAnsi"/>
                <w:sz w:val="16"/>
                <w:lang w:val="ru-MD"/>
              </w:rPr>
              <w:t xml:space="preserve">дорог </w:t>
            </w:r>
            <w:r w:rsidR="00276BEA" w:rsidRPr="00EC5A7B">
              <w:rPr>
                <w:rFonts w:asciiTheme="majorHAnsi" w:hAnsiTheme="majorHAnsi"/>
                <w:sz w:val="16"/>
                <w:lang w:val="ru-MD"/>
              </w:rPr>
              <w:t>III</w:t>
            </w:r>
          </w:p>
        </w:tc>
        <w:tc>
          <w:tcPr>
            <w:tcW w:w="630" w:type="dxa"/>
            <w:shd w:val="clear" w:color="auto" w:fill="auto"/>
            <w:vAlign w:val="center"/>
          </w:tcPr>
          <w:p w14:paraId="5FDE3208" w14:textId="54BD4428"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6A325803"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75,0</w:t>
            </w:r>
          </w:p>
        </w:tc>
        <w:tc>
          <w:tcPr>
            <w:tcW w:w="947" w:type="dxa"/>
            <w:shd w:val="clear" w:color="auto" w:fill="auto"/>
            <w:vAlign w:val="center"/>
          </w:tcPr>
          <w:p w14:paraId="286755A4"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29.10.10</w:t>
            </w:r>
          </w:p>
        </w:tc>
        <w:tc>
          <w:tcPr>
            <w:tcW w:w="992" w:type="dxa"/>
            <w:shd w:val="clear" w:color="auto" w:fill="auto"/>
            <w:vAlign w:val="center"/>
          </w:tcPr>
          <w:p w14:paraId="1F4D334C"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30.12.22</w:t>
            </w:r>
          </w:p>
        </w:tc>
        <w:tc>
          <w:tcPr>
            <w:tcW w:w="831" w:type="dxa"/>
            <w:shd w:val="clear" w:color="auto" w:fill="auto"/>
            <w:vAlign w:val="center"/>
          </w:tcPr>
          <w:p w14:paraId="6FB59F5B"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39,61</w:t>
            </w:r>
          </w:p>
        </w:tc>
        <w:tc>
          <w:tcPr>
            <w:tcW w:w="1102" w:type="dxa"/>
            <w:shd w:val="clear" w:color="auto" w:fill="auto"/>
            <w:vAlign w:val="center"/>
          </w:tcPr>
          <w:p w14:paraId="25AF6178"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35,39</w:t>
            </w:r>
          </w:p>
        </w:tc>
        <w:tc>
          <w:tcPr>
            <w:tcW w:w="1171" w:type="dxa"/>
            <w:shd w:val="clear" w:color="auto" w:fill="auto"/>
            <w:vAlign w:val="center"/>
          </w:tcPr>
          <w:p w14:paraId="543AF25D"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52,8</w:t>
            </w:r>
          </w:p>
        </w:tc>
        <w:tc>
          <w:tcPr>
            <w:tcW w:w="1171" w:type="dxa"/>
            <w:vAlign w:val="center"/>
          </w:tcPr>
          <w:p w14:paraId="7470B558" w14:textId="77777777" w:rsidR="00276BEA" w:rsidRPr="00EC5A7B" w:rsidRDefault="008D3454" w:rsidP="00276BEA">
            <w:pPr>
              <w:jc w:val="center"/>
              <w:rPr>
                <w:rFonts w:asciiTheme="majorHAnsi" w:hAnsiTheme="majorHAnsi"/>
                <w:sz w:val="16"/>
                <w:lang w:val="ru-MD"/>
              </w:rPr>
            </w:pPr>
            <w:r w:rsidRPr="00EC5A7B">
              <w:rPr>
                <w:rFonts w:asciiTheme="majorHAnsi" w:hAnsiTheme="majorHAnsi"/>
                <w:sz w:val="16"/>
                <w:lang w:val="ru-MD"/>
              </w:rPr>
              <w:t>2 830,6</w:t>
            </w:r>
          </w:p>
        </w:tc>
        <w:tc>
          <w:tcPr>
            <w:tcW w:w="4139" w:type="dxa"/>
            <w:vMerge/>
          </w:tcPr>
          <w:p w14:paraId="22E9EFD3" w14:textId="77777777" w:rsidR="00276BEA" w:rsidRPr="00EC5A7B" w:rsidRDefault="00276BEA" w:rsidP="00276BEA">
            <w:pPr>
              <w:jc w:val="center"/>
              <w:rPr>
                <w:rFonts w:asciiTheme="majorHAnsi" w:hAnsiTheme="majorHAnsi"/>
                <w:sz w:val="16"/>
                <w:lang w:val="ru-MD"/>
              </w:rPr>
            </w:pPr>
          </w:p>
        </w:tc>
      </w:tr>
      <w:tr w:rsidR="00276BEA" w:rsidRPr="00EC5A7B" w14:paraId="2B8A3708" w14:textId="77777777" w:rsidTr="00194F19">
        <w:trPr>
          <w:trHeight w:val="451"/>
        </w:trPr>
        <w:tc>
          <w:tcPr>
            <w:tcW w:w="1435" w:type="dxa"/>
            <w:shd w:val="clear" w:color="auto" w:fill="auto"/>
            <w:vAlign w:val="center"/>
          </w:tcPr>
          <w:p w14:paraId="0173D243"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D-125/BERD/2013</w:t>
            </w:r>
          </w:p>
        </w:tc>
        <w:tc>
          <w:tcPr>
            <w:tcW w:w="1621" w:type="dxa"/>
            <w:shd w:val="clear" w:color="auto" w:fill="auto"/>
            <w:vAlign w:val="center"/>
          </w:tcPr>
          <w:p w14:paraId="53716A68" w14:textId="77777777" w:rsidR="00C26C7F" w:rsidRPr="00EC5A7B" w:rsidRDefault="00C26C7F" w:rsidP="00276BEA">
            <w:pPr>
              <w:jc w:val="center"/>
              <w:rPr>
                <w:rFonts w:asciiTheme="majorHAnsi" w:hAnsiTheme="majorHAnsi"/>
                <w:sz w:val="16"/>
                <w:lang w:val="ru-MD"/>
              </w:rPr>
            </w:pPr>
            <w:r w:rsidRPr="00EC5A7B">
              <w:rPr>
                <w:rFonts w:asciiTheme="majorHAnsi" w:hAnsiTheme="majorHAnsi"/>
                <w:sz w:val="16"/>
                <w:lang w:val="ru-MD"/>
              </w:rPr>
              <w:t xml:space="preserve">Реабилитация </w:t>
            </w:r>
          </w:p>
          <w:p w14:paraId="535617B3" w14:textId="76270ED8" w:rsidR="00276BEA" w:rsidRPr="00EC5A7B" w:rsidRDefault="00C26C7F" w:rsidP="00276BEA">
            <w:pPr>
              <w:jc w:val="center"/>
              <w:rPr>
                <w:rFonts w:asciiTheme="majorHAnsi" w:hAnsiTheme="majorHAnsi"/>
                <w:sz w:val="16"/>
                <w:lang w:val="ru-MD"/>
              </w:rPr>
            </w:pPr>
            <w:r w:rsidRPr="00EC5A7B">
              <w:rPr>
                <w:rFonts w:asciiTheme="majorHAnsi" w:hAnsiTheme="majorHAnsi"/>
                <w:sz w:val="16"/>
                <w:lang w:val="ru-MD"/>
              </w:rPr>
              <w:t xml:space="preserve">дорог </w:t>
            </w:r>
            <w:r w:rsidR="00276BEA" w:rsidRPr="00EC5A7B">
              <w:rPr>
                <w:rFonts w:asciiTheme="majorHAnsi" w:hAnsiTheme="majorHAnsi"/>
                <w:sz w:val="16"/>
                <w:lang w:val="ru-MD"/>
              </w:rPr>
              <w:t>IV</w:t>
            </w:r>
          </w:p>
        </w:tc>
        <w:tc>
          <w:tcPr>
            <w:tcW w:w="630" w:type="dxa"/>
            <w:shd w:val="clear" w:color="auto" w:fill="auto"/>
            <w:vAlign w:val="center"/>
          </w:tcPr>
          <w:p w14:paraId="28D8132F" w14:textId="465DF9BD"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0464B943"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150,0</w:t>
            </w:r>
          </w:p>
        </w:tc>
        <w:tc>
          <w:tcPr>
            <w:tcW w:w="947" w:type="dxa"/>
            <w:shd w:val="clear" w:color="auto" w:fill="auto"/>
            <w:vAlign w:val="center"/>
          </w:tcPr>
          <w:p w14:paraId="2723E1E2"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28.06.13</w:t>
            </w:r>
          </w:p>
        </w:tc>
        <w:tc>
          <w:tcPr>
            <w:tcW w:w="992" w:type="dxa"/>
            <w:shd w:val="clear" w:color="auto" w:fill="auto"/>
            <w:vAlign w:val="center"/>
          </w:tcPr>
          <w:p w14:paraId="269D6AD4"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31.05.24</w:t>
            </w:r>
          </w:p>
        </w:tc>
        <w:tc>
          <w:tcPr>
            <w:tcW w:w="831" w:type="dxa"/>
            <w:shd w:val="clear" w:color="auto" w:fill="auto"/>
            <w:vAlign w:val="center"/>
          </w:tcPr>
          <w:p w14:paraId="001804B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18,24</w:t>
            </w:r>
          </w:p>
        </w:tc>
        <w:tc>
          <w:tcPr>
            <w:tcW w:w="1102" w:type="dxa"/>
            <w:shd w:val="clear" w:color="auto" w:fill="auto"/>
            <w:vAlign w:val="center"/>
          </w:tcPr>
          <w:p w14:paraId="347873DC"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131,76</w:t>
            </w:r>
          </w:p>
        </w:tc>
        <w:tc>
          <w:tcPr>
            <w:tcW w:w="1171" w:type="dxa"/>
            <w:shd w:val="clear" w:color="auto" w:fill="auto"/>
            <w:vAlign w:val="center"/>
          </w:tcPr>
          <w:p w14:paraId="0C0180F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12,2</w:t>
            </w:r>
          </w:p>
        </w:tc>
        <w:tc>
          <w:tcPr>
            <w:tcW w:w="1171" w:type="dxa"/>
            <w:vAlign w:val="center"/>
          </w:tcPr>
          <w:p w14:paraId="30BC3947" w14:textId="77777777" w:rsidR="00276BEA" w:rsidRPr="00EC5A7B" w:rsidRDefault="008D3454" w:rsidP="00276BEA">
            <w:pPr>
              <w:jc w:val="center"/>
              <w:rPr>
                <w:rFonts w:asciiTheme="majorHAnsi" w:hAnsiTheme="majorHAnsi"/>
                <w:sz w:val="16"/>
                <w:lang w:val="ru-MD"/>
              </w:rPr>
            </w:pPr>
            <w:r w:rsidRPr="00EC5A7B">
              <w:rPr>
                <w:rFonts w:asciiTheme="majorHAnsi" w:hAnsiTheme="majorHAnsi"/>
                <w:sz w:val="16"/>
                <w:lang w:val="ru-MD"/>
              </w:rPr>
              <w:t>4 245,97</w:t>
            </w:r>
          </w:p>
        </w:tc>
        <w:tc>
          <w:tcPr>
            <w:tcW w:w="4139" w:type="dxa"/>
            <w:vMerge/>
          </w:tcPr>
          <w:p w14:paraId="3FEE1436" w14:textId="77777777" w:rsidR="00276BEA" w:rsidRPr="00EC5A7B" w:rsidRDefault="00276BEA" w:rsidP="00276BEA">
            <w:pPr>
              <w:jc w:val="center"/>
              <w:rPr>
                <w:rFonts w:asciiTheme="majorHAnsi" w:hAnsiTheme="majorHAnsi"/>
                <w:sz w:val="16"/>
                <w:lang w:val="ru-MD"/>
              </w:rPr>
            </w:pPr>
          </w:p>
        </w:tc>
      </w:tr>
      <w:tr w:rsidR="00276BEA" w:rsidRPr="00EC5A7B" w14:paraId="56709B50" w14:textId="77777777" w:rsidTr="00194F19">
        <w:trPr>
          <w:trHeight w:val="703"/>
        </w:trPr>
        <w:tc>
          <w:tcPr>
            <w:tcW w:w="1435" w:type="dxa"/>
            <w:shd w:val="clear" w:color="auto" w:fill="auto"/>
            <w:vAlign w:val="center"/>
          </w:tcPr>
          <w:p w14:paraId="706DF875"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D-116/BEI/2012</w:t>
            </w:r>
          </w:p>
        </w:tc>
        <w:tc>
          <w:tcPr>
            <w:tcW w:w="1621" w:type="dxa"/>
            <w:shd w:val="clear" w:color="auto" w:fill="auto"/>
            <w:vAlign w:val="center"/>
          </w:tcPr>
          <w:p w14:paraId="45E19671" w14:textId="4A062DC1" w:rsidR="00276BEA" w:rsidRPr="00EC5A7B" w:rsidRDefault="00C26C7F" w:rsidP="00C26C7F">
            <w:pPr>
              <w:jc w:val="center"/>
              <w:rPr>
                <w:rFonts w:asciiTheme="majorHAnsi" w:hAnsiTheme="majorHAnsi"/>
                <w:sz w:val="16"/>
                <w:lang w:val="ru-MD"/>
              </w:rPr>
            </w:pPr>
            <w:r w:rsidRPr="00EC5A7B">
              <w:rPr>
                <w:rFonts w:asciiTheme="majorHAnsi" w:hAnsiTheme="majorHAnsi"/>
                <w:sz w:val="16"/>
                <w:lang w:val="ru-MD"/>
              </w:rPr>
              <w:t xml:space="preserve">Транспортирование электроэнергии ГП </w:t>
            </w:r>
            <w:r w:rsidR="00276BEA" w:rsidRPr="00EC5A7B">
              <w:rPr>
                <w:rFonts w:asciiTheme="majorHAnsi" w:hAnsiTheme="majorHAnsi"/>
                <w:sz w:val="16"/>
                <w:lang w:val="ru-MD"/>
              </w:rPr>
              <w:t>„Moldelectrica”</w:t>
            </w:r>
          </w:p>
        </w:tc>
        <w:tc>
          <w:tcPr>
            <w:tcW w:w="630" w:type="dxa"/>
            <w:shd w:val="clear" w:color="auto" w:fill="auto"/>
            <w:vAlign w:val="center"/>
          </w:tcPr>
          <w:p w14:paraId="7A55434A" w14:textId="70F1465B"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340370B5"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17,0</w:t>
            </w:r>
          </w:p>
        </w:tc>
        <w:tc>
          <w:tcPr>
            <w:tcW w:w="947" w:type="dxa"/>
            <w:shd w:val="clear" w:color="auto" w:fill="auto"/>
            <w:vAlign w:val="center"/>
          </w:tcPr>
          <w:p w14:paraId="0307AF4B"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26.06.12</w:t>
            </w:r>
          </w:p>
        </w:tc>
        <w:tc>
          <w:tcPr>
            <w:tcW w:w="992" w:type="dxa"/>
            <w:shd w:val="clear" w:color="auto" w:fill="auto"/>
            <w:vAlign w:val="center"/>
          </w:tcPr>
          <w:p w14:paraId="58DC741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26.12.20</w:t>
            </w:r>
          </w:p>
        </w:tc>
        <w:tc>
          <w:tcPr>
            <w:tcW w:w="831" w:type="dxa"/>
            <w:shd w:val="clear" w:color="auto" w:fill="auto"/>
            <w:vAlign w:val="center"/>
          </w:tcPr>
          <w:p w14:paraId="1C5D5CEA"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11,4</w:t>
            </w:r>
          </w:p>
        </w:tc>
        <w:tc>
          <w:tcPr>
            <w:tcW w:w="1102" w:type="dxa"/>
            <w:shd w:val="clear" w:color="auto" w:fill="auto"/>
            <w:vAlign w:val="center"/>
          </w:tcPr>
          <w:p w14:paraId="44C231FB"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5,6</w:t>
            </w:r>
          </w:p>
        </w:tc>
        <w:tc>
          <w:tcPr>
            <w:tcW w:w="1171" w:type="dxa"/>
            <w:shd w:val="clear" w:color="auto" w:fill="auto"/>
            <w:vAlign w:val="center"/>
          </w:tcPr>
          <w:p w14:paraId="69045421"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67,1</w:t>
            </w:r>
          </w:p>
        </w:tc>
        <w:tc>
          <w:tcPr>
            <w:tcW w:w="1171" w:type="dxa"/>
            <w:vAlign w:val="center"/>
          </w:tcPr>
          <w:p w14:paraId="661C700B" w14:textId="77777777" w:rsidR="00276BEA" w:rsidRPr="00EC5A7B" w:rsidRDefault="008D3454" w:rsidP="00276BEA">
            <w:pPr>
              <w:jc w:val="center"/>
              <w:rPr>
                <w:rFonts w:asciiTheme="majorHAnsi" w:hAnsiTheme="majorHAnsi"/>
                <w:sz w:val="16"/>
                <w:lang w:val="ru-MD"/>
              </w:rPr>
            </w:pPr>
            <w:r w:rsidRPr="00EC5A7B">
              <w:rPr>
                <w:rFonts w:asciiTheme="majorHAnsi" w:hAnsiTheme="majorHAnsi"/>
                <w:sz w:val="16"/>
                <w:lang w:val="ru-MD"/>
              </w:rPr>
              <w:t>66,35</w:t>
            </w:r>
          </w:p>
        </w:tc>
        <w:tc>
          <w:tcPr>
            <w:tcW w:w="4139" w:type="dxa"/>
            <w:vMerge w:val="restart"/>
          </w:tcPr>
          <w:p w14:paraId="6C035213" w14:textId="57364817" w:rsidR="00276BEA" w:rsidRPr="00EC5A7B" w:rsidRDefault="0027111E" w:rsidP="00276BEA">
            <w:pPr>
              <w:jc w:val="both"/>
              <w:rPr>
                <w:rFonts w:asciiTheme="majorHAnsi" w:hAnsiTheme="majorHAnsi"/>
                <w:sz w:val="16"/>
                <w:lang w:val="ru-MD"/>
              </w:rPr>
            </w:pPr>
            <w:r w:rsidRPr="00EC5A7B">
              <w:rPr>
                <w:rFonts w:asciiTheme="majorHAnsi" w:hAnsiTheme="majorHAnsi"/>
                <w:sz w:val="16"/>
                <w:lang w:val="ru-MD"/>
              </w:rPr>
              <w:t xml:space="preserve">Запланированный бюджет из </w:t>
            </w:r>
            <w:r w:rsidR="00C30865" w:rsidRPr="00EC5A7B">
              <w:rPr>
                <w:rFonts w:asciiTheme="majorHAnsi" w:hAnsiTheme="majorHAnsi"/>
                <w:sz w:val="16"/>
                <w:lang w:val="ru-MD"/>
              </w:rPr>
              <w:t>средств</w:t>
            </w:r>
            <w:r w:rsidRPr="00EC5A7B">
              <w:rPr>
                <w:rFonts w:asciiTheme="majorHAnsi" w:hAnsiTheme="majorHAnsi"/>
                <w:sz w:val="16"/>
                <w:lang w:val="ru-MD"/>
              </w:rPr>
              <w:t xml:space="preserve"> ЕБРР не был полностью освоен из-за того, что большая часть запланированной суммы предназначена для оборудования, которое должно было быть </w:t>
            </w:r>
            <w:r w:rsidR="00C30865" w:rsidRPr="00EC5A7B">
              <w:rPr>
                <w:rFonts w:asciiTheme="majorHAnsi" w:hAnsiTheme="majorHAnsi"/>
                <w:sz w:val="16"/>
                <w:lang w:val="ru-MD"/>
              </w:rPr>
              <w:t>п</w:t>
            </w:r>
            <w:r w:rsidRPr="00EC5A7B">
              <w:rPr>
                <w:rFonts w:asciiTheme="majorHAnsi" w:hAnsiTheme="majorHAnsi"/>
                <w:sz w:val="16"/>
                <w:lang w:val="ru-MD"/>
              </w:rPr>
              <w:t xml:space="preserve">оставлено в 2019 году. Подрядчик в течение года изменил стратегию выполнения работ, производя все оборудование, </w:t>
            </w:r>
            <w:r w:rsidR="00C30865" w:rsidRPr="00EC5A7B">
              <w:rPr>
                <w:rFonts w:asciiTheme="majorHAnsi" w:hAnsiTheme="majorHAnsi"/>
                <w:sz w:val="16"/>
                <w:lang w:val="ru-MD"/>
              </w:rPr>
              <w:t>которое, однако,</w:t>
            </w:r>
            <w:r w:rsidRPr="00EC5A7B">
              <w:rPr>
                <w:rFonts w:asciiTheme="majorHAnsi" w:hAnsiTheme="majorHAnsi"/>
                <w:sz w:val="16"/>
                <w:lang w:val="ru-MD"/>
              </w:rPr>
              <w:t xml:space="preserve"> был</w:t>
            </w:r>
            <w:r w:rsidR="00C30865" w:rsidRPr="00EC5A7B">
              <w:rPr>
                <w:rFonts w:asciiTheme="majorHAnsi" w:hAnsiTheme="majorHAnsi"/>
                <w:sz w:val="16"/>
                <w:lang w:val="ru-MD"/>
              </w:rPr>
              <w:t>о</w:t>
            </w:r>
            <w:r w:rsidRPr="00EC5A7B">
              <w:rPr>
                <w:rFonts w:asciiTheme="majorHAnsi" w:hAnsiTheme="majorHAnsi"/>
                <w:sz w:val="16"/>
                <w:lang w:val="ru-MD"/>
              </w:rPr>
              <w:t xml:space="preserve"> доставлен</w:t>
            </w:r>
            <w:r w:rsidR="00C30865" w:rsidRPr="00EC5A7B">
              <w:rPr>
                <w:rFonts w:asciiTheme="majorHAnsi" w:hAnsiTheme="majorHAnsi"/>
                <w:sz w:val="16"/>
                <w:lang w:val="ru-MD"/>
              </w:rPr>
              <w:t>о</w:t>
            </w:r>
            <w:r w:rsidRPr="00EC5A7B">
              <w:rPr>
                <w:rFonts w:asciiTheme="majorHAnsi" w:hAnsiTheme="majorHAnsi"/>
                <w:sz w:val="16"/>
                <w:lang w:val="ru-MD"/>
              </w:rPr>
              <w:t xml:space="preserve"> в Румынию для </w:t>
            </w:r>
            <w:r w:rsidR="00C30865" w:rsidRPr="00EC5A7B">
              <w:rPr>
                <w:rFonts w:asciiTheme="majorHAnsi" w:hAnsiTheme="majorHAnsi"/>
                <w:sz w:val="16"/>
                <w:lang w:val="ru-MD"/>
              </w:rPr>
              <w:t>настройки</w:t>
            </w:r>
            <w:r w:rsidRPr="00EC5A7B">
              <w:rPr>
                <w:rFonts w:asciiTheme="majorHAnsi" w:hAnsiTheme="majorHAnsi"/>
                <w:sz w:val="16"/>
                <w:lang w:val="ru-MD"/>
              </w:rPr>
              <w:t xml:space="preserve"> и тестирования, </w:t>
            </w:r>
            <w:r w:rsidR="00C30865" w:rsidRPr="00EC5A7B">
              <w:rPr>
                <w:rFonts w:asciiTheme="majorHAnsi" w:hAnsiTheme="majorHAnsi"/>
                <w:sz w:val="16"/>
                <w:lang w:val="ru-MD"/>
              </w:rPr>
              <w:t xml:space="preserve">а </w:t>
            </w:r>
            <w:r w:rsidRPr="00EC5A7B">
              <w:rPr>
                <w:rFonts w:asciiTheme="majorHAnsi" w:hAnsiTheme="majorHAnsi"/>
                <w:sz w:val="16"/>
                <w:lang w:val="ru-MD"/>
              </w:rPr>
              <w:t>полная поставка и установка были отложены на 2020 год</w:t>
            </w:r>
            <w:r w:rsidR="00C30865" w:rsidRPr="00EC5A7B">
              <w:rPr>
                <w:rFonts w:asciiTheme="majorHAnsi" w:hAnsiTheme="majorHAnsi"/>
                <w:sz w:val="16"/>
                <w:lang w:val="ru-MD"/>
              </w:rPr>
              <w:t>.</w:t>
            </w:r>
          </w:p>
        </w:tc>
      </w:tr>
      <w:tr w:rsidR="00276BEA" w:rsidRPr="00EC5A7B" w14:paraId="5ECA0F8D" w14:textId="77777777" w:rsidTr="00194F19">
        <w:trPr>
          <w:trHeight w:val="694"/>
        </w:trPr>
        <w:tc>
          <w:tcPr>
            <w:tcW w:w="1435" w:type="dxa"/>
            <w:shd w:val="clear" w:color="auto" w:fill="auto"/>
            <w:vAlign w:val="center"/>
          </w:tcPr>
          <w:p w14:paraId="39032202"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D-121/BERD/2012</w:t>
            </w:r>
          </w:p>
        </w:tc>
        <w:tc>
          <w:tcPr>
            <w:tcW w:w="1621" w:type="dxa"/>
            <w:shd w:val="clear" w:color="auto" w:fill="auto"/>
            <w:vAlign w:val="center"/>
          </w:tcPr>
          <w:p w14:paraId="483C6751" w14:textId="251D683A" w:rsidR="00276BEA" w:rsidRPr="00EC5A7B" w:rsidRDefault="00C26C7F" w:rsidP="00C26C7F">
            <w:pPr>
              <w:jc w:val="center"/>
              <w:rPr>
                <w:rFonts w:asciiTheme="majorHAnsi" w:hAnsiTheme="majorHAnsi"/>
                <w:sz w:val="16"/>
                <w:lang w:val="ru-MD"/>
              </w:rPr>
            </w:pPr>
            <w:r w:rsidRPr="00EC5A7B">
              <w:rPr>
                <w:rFonts w:asciiTheme="majorHAnsi" w:hAnsiTheme="majorHAnsi"/>
                <w:sz w:val="16"/>
                <w:lang w:val="ru-MD"/>
              </w:rPr>
              <w:t xml:space="preserve">Реабилитация транспортных электрических сетей ГП  </w:t>
            </w:r>
            <w:r w:rsidR="00276BEA" w:rsidRPr="00EC5A7B">
              <w:rPr>
                <w:rFonts w:asciiTheme="majorHAnsi" w:hAnsiTheme="majorHAnsi"/>
                <w:sz w:val="16"/>
                <w:lang w:val="ru-MD"/>
              </w:rPr>
              <w:t>„Moldelectrica”</w:t>
            </w:r>
          </w:p>
        </w:tc>
        <w:tc>
          <w:tcPr>
            <w:tcW w:w="630" w:type="dxa"/>
            <w:shd w:val="clear" w:color="auto" w:fill="auto"/>
            <w:vAlign w:val="center"/>
          </w:tcPr>
          <w:p w14:paraId="505457EE" w14:textId="5939FE52"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дол. США</w:t>
            </w:r>
          </w:p>
        </w:tc>
        <w:tc>
          <w:tcPr>
            <w:tcW w:w="1171" w:type="dxa"/>
            <w:shd w:val="clear" w:color="auto" w:fill="auto"/>
            <w:vAlign w:val="center"/>
          </w:tcPr>
          <w:p w14:paraId="4EBE2691"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20,0</w:t>
            </w:r>
          </w:p>
        </w:tc>
        <w:tc>
          <w:tcPr>
            <w:tcW w:w="947" w:type="dxa"/>
            <w:shd w:val="clear" w:color="auto" w:fill="auto"/>
            <w:vAlign w:val="center"/>
          </w:tcPr>
          <w:p w14:paraId="6FDA7219"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22.05.12</w:t>
            </w:r>
          </w:p>
        </w:tc>
        <w:tc>
          <w:tcPr>
            <w:tcW w:w="992" w:type="dxa"/>
            <w:shd w:val="clear" w:color="auto" w:fill="auto"/>
            <w:vAlign w:val="center"/>
          </w:tcPr>
          <w:p w14:paraId="2A5818BA"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28.12.20</w:t>
            </w:r>
          </w:p>
        </w:tc>
        <w:tc>
          <w:tcPr>
            <w:tcW w:w="831" w:type="dxa"/>
            <w:shd w:val="clear" w:color="auto" w:fill="auto"/>
            <w:vAlign w:val="center"/>
          </w:tcPr>
          <w:p w14:paraId="10B963ED"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7,34</w:t>
            </w:r>
          </w:p>
        </w:tc>
        <w:tc>
          <w:tcPr>
            <w:tcW w:w="1102" w:type="dxa"/>
            <w:shd w:val="clear" w:color="auto" w:fill="auto"/>
            <w:vAlign w:val="center"/>
          </w:tcPr>
          <w:p w14:paraId="333B3219"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12,66</w:t>
            </w:r>
          </w:p>
        </w:tc>
        <w:tc>
          <w:tcPr>
            <w:tcW w:w="1171" w:type="dxa"/>
            <w:shd w:val="clear" w:color="auto" w:fill="auto"/>
            <w:vAlign w:val="center"/>
          </w:tcPr>
          <w:p w14:paraId="00FDA90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36,7</w:t>
            </w:r>
          </w:p>
        </w:tc>
        <w:tc>
          <w:tcPr>
            <w:tcW w:w="1171" w:type="dxa"/>
            <w:vAlign w:val="center"/>
          </w:tcPr>
          <w:p w14:paraId="1E491628" w14:textId="77777777" w:rsidR="00276BEA" w:rsidRPr="00EC5A7B" w:rsidRDefault="008D3454" w:rsidP="00276BEA">
            <w:pPr>
              <w:jc w:val="center"/>
              <w:rPr>
                <w:rFonts w:asciiTheme="majorHAnsi" w:hAnsiTheme="majorHAnsi"/>
                <w:sz w:val="16"/>
                <w:lang w:val="ru-MD"/>
              </w:rPr>
            </w:pPr>
            <w:r w:rsidRPr="00EC5A7B">
              <w:rPr>
                <w:rFonts w:asciiTheme="majorHAnsi" w:hAnsiTheme="majorHAnsi"/>
                <w:sz w:val="16"/>
                <w:lang w:val="ru-MD"/>
              </w:rPr>
              <w:t>888,38</w:t>
            </w:r>
          </w:p>
        </w:tc>
        <w:tc>
          <w:tcPr>
            <w:tcW w:w="4139" w:type="dxa"/>
            <w:vMerge/>
          </w:tcPr>
          <w:p w14:paraId="74E3B600" w14:textId="77777777" w:rsidR="00276BEA" w:rsidRPr="00EC5A7B" w:rsidRDefault="00276BEA" w:rsidP="00276BEA">
            <w:pPr>
              <w:jc w:val="center"/>
              <w:rPr>
                <w:rFonts w:asciiTheme="majorHAnsi" w:hAnsiTheme="majorHAnsi"/>
                <w:sz w:val="16"/>
                <w:lang w:val="ru-MD"/>
              </w:rPr>
            </w:pPr>
          </w:p>
        </w:tc>
      </w:tr>
      <w:tr w:rsidR="00276BEA" w:rsidRPr="00EC5A7B" w14:paraId="6F8A1BF6" w14:textId="77777777" w:rsidTr="00194F19">
        <w:tc>
          <w:tcPr>
            <w:tcW w:w="1435" w:type="dxa"/>
            <w:shd w:val="clear" w:color="auto" w:fill="auto"/>
            <w:vAlign w:val="center"/>
          </w:tcPr>
          <w:p w14:paraId="08C38BE3"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D-138/BEI/2014</w:t>
            </w:r>
          </w:p>
        </w:tc>
        <w:tc>
          <w:tcPr>
            <w:tcW w:w="1621" w:type="dxa"/>
            <w:shd w:val="clear" w:color="auto" w:fill="auto"/>
            <w:vAlign w:val="center"/>
          </w:tcPr>
          <w:p w14:paraId="50DA3A03" w14:textId="77777777" w:rsidR="00276BEA" w:rsidRPr="00EC5A7B" w:rsidRDefault="00C23BCB" w:rsidP="00276BEA">
            <w:pPr>
              <w:jc w:val="center"/>
              <w:rPr>
                <w:rFonts w:asciiTheme="majorHAnsi" w:hAnsiTheme="majorHAnsi"/>
                <w:sz w:val="16"/>
                <w:lang w:val="ru-MD"/>
              </w:rPr>
            </w:pPr>
            <w:r w:rsidRPr="00EC5A7B">
              <w:rPr>
                <w:rFonts w:asciiTheme="majorHAnsi" w:hAnsiTheme="majorHAnsi"/>
                <w:sz w:val="16"/>
                <w:lang w:val="ru-MD"/>
              </w:rPr>
              <w:t>„</w:t>
            </w:r>
            <w:r w:rsidR="00276BEA" w:rsidRPr="00EC5A7B">
              <w:rPr>
                <w:rFonts w:asciiTheme="majorHAnsi" w:hAnsiTheme="majorHAnsi"/>
                <w:sz w:val="16"/>
                <w:lang w:val="ru-MD"/>
              </w:rPr>
              <w:t>Livada Moldovei</w:t>
            </w:r>
            <w:r w:rsidRPr="00EC5A7B">
              <w:rPr>
                <w:rFonts w:asciiTheme="majorHAnsi" w:hAnsiTheme="majorHAnsi"/>
                <w:sz w:val="16"/>
                <w:lang w:val="ru-MD"/>
              </w:rPr>
              <w:t>”</w:t>
            </w:r>
          </w:p>
        </w:tc>
        <w:tc>
          <w:tcPr>
            <w:tcW w:w="630" w:type="dxa"/>
            <w:shd w:val="clear" w:color="auto" w:fill="auto"/>
            <w:vAlign w:val="center"/>
          </w:tcPr>
          <w:p w14:paraId="5EF067EB" w14:textId="454BED7B" w:rsidR="00276BEA"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47CF929D"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120,0</w:t>
            </w:r>
          </w:p>
        </w:tc>
        <w:tc>
          <w:tcPr>
            <w:tcW w:w="947" w:type="dxa"/>
            <w:shd w:val="clear" w:color="auto" w:fill="auto"/>
            <w:vAlign w:val="center"/>
          </w:tcPr>
          <w:p w14:paraId="01386EA0"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31.07.14</w:t>
            </w:r>
          </w:p>
        </w:tc>
        <w:tc>
          <w:tcPr>
            <w:tcW w:w="992" w:type="dxa"/>
            <w:shd w:val="clear" w:color="auto" w:fill="auto"/>
            <w:vAlign w:val="center"/>
          </w:tcPr>
          <w:p w14:paraId="6CF89E94"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27.05.21</w:t>
            </w:r>
          </w:p>
        </w:tc>
        <w:tc>
          <w:tcPr>
            <w:tcW w:w="831" w:type="dxa"/>
            <w:shd w:val="clear" w:color="auto" w:fill="auto"/>
            <w:vAlign w:val="center"/>
          </w:tcPr>
          <w:p w14:paraId="18E88549"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21,68</w:t>
            </w:r>
          </w:p>
        </w:tc>
        <w:tc>
          <w:tcPr>
            <w:tcW w:w="1102" w:type="dxa"/>
            <w:shd w:val="clear" w:color="auto" w:fill="auto"/>
            <w:vAlign w:val="center"/>
          </w:tcPr>
          <w:p w14:paraId="2B4E07BB"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98,32</w:t>
            </w:r>
          </w:p>
        </w:tc>
        <w:tc>
          <w:tcPr>
            <w:tcW w:w="1171" w:type="dxa"/>
            <w:shd w:val="clear" w:color="auto" w:fill="auto"/>
            <w:vAlign w:val="center"/>
          </w:tcPr>
          <w:p w14:paraId="6B8B4BFA" w14:textId="77777777" w:rsidR="00276BEA" w:rsidRPr="00EC5A7B" w:rsidRDefault="00276BEA" w:rsidP="00276BEA">
            <w:pPr>
              <w:jc w:val="center"/>
              <w:rPr>
                <w:rFonts w:asciiTheme="majorHAnsi" w:hAnsiTheme="majorHAnsi"/>
                <w:sz w:val="16"/>
                <w:lang w:val="ru-MD"/>
              </w:rPr>
            </w:pPr>
            <w:r w:rsidRPr="00EC5A7B">
              <w:rPr>
                <w:rFonts w:asciiTheme="majorHAnsi" w:hAnsiTheme="majorHAnsi"/>
                <w:sz w:val="16"/>
                <w:lang w:val="ru-MD"/>
              </w:rPr>
              <w:t>18,1</w:t>
            </w:r>
          </w:p>
        </w:tc>
        <w:tc>
          <w:tcPr>
            <w:tcW w:w="1171" w:type="dxa"/>
            <w:vAlign w:val="center"/>
          </w:tcPr>
          <w:p w14:paraId="59EE94C1" w14:textId="77777777" w:rsidR="00276BEA" w:rsidRPr="00EC5A7B" w:rsidRDefault="00BD513F" w:rsidP="00276BEA">
            <w:pPr>
              <w:jc w:val="center"/>
              <w:rPr>
                <w:rFonts w:asciiTheme="majorHAnsi" w:hAnsiTheme="majorHAnsi"/>
                <w:sz w:val="16"/>
                <w:lang w:val="ru-MD"/>
              </w:rPr>
            </w:pPr>
            <w:r w:rsidRPr="00EC5A7B">
              <w:rPr>
                <w:rFonts w:asciiTheme="majorHAnsi" w:hAnsiTheme="majorHAnsi"/>
                <w:sz w:val="16"/>
                <w:lang w:val="ru-MD"/>
              </w:rPr>
              <w:t>406,18</w:t>
            </w:r>
          </w:p>
        </w:tc>
        <w:tc>
          <w:tcPr>
            <w:tcW w:w="4139" w:type="dxa"/>
          </w:tcPr>
          <w:p w14:paraId="30CD8F59" w14:textId="0C0B46E7" w:rsidR="00276BEA" w:rsidRPr="00EC5A7B" w:rsidRDefault="0027111E" w:rsidP="0027111E">
            <w:pPr>
              <w:pStyle w:val="ListParagraph"/>
              <w:numPr>
                <w:ilvl w:val="0"/>
                <w:numId w:val="14"/>
              </w:numPr>
              <w:tabs>
                <w:tab w:val="left" w:pos="276"/>
              </w:tabs>
              <w:ind w:left="0" w:firstLine="0"/>
              <w:jc w:val="both"/>
              <w:rPr>
                <w:rFonts w:asciiTheme="majorHAnsi" w:hAnsiTheme="majorHAnsi"/>
                <w:sz w:val="16"/>
                <w:lang w:val="ru-MD"/>
              </w:rPr>
            </w:pPr>
            <w:r w:rsidRPr="00EC5A7B">
              <w:rPr>
                <w:rFonts w:asciiTheme="majorHAnsi" w:hAnsiTheme="majorHAnsi"/>
                <w:sz w:val="16"/>
                <w:lang w:val="ru-MD"/>
              </w:rPr>
              <w:t>Отмена международного конкурсного аукциона по закупке лабораторн</w:t>
            </w:r>
            <w:r w:rsidR="00C30865" w:rsidRPr="00EC5A7B">
              <w:rPr>
                <w:rFonts w:asciiTheme="majorHAnsi" w:hAnsiTheme="majorHAnsi"/>
                <w:sz w:val="16"/>
                <w:lang w:val="ru-MD"/>
              </w:rPr>
              <w:t>ого оборудования</w:t>
            </w:r>
            <w:r w:rsidRPr="00EC5A7B">
              <w:rPr>
                <w:rFonts w:asciiTheme="majorHAnsi" w:hAnsiTheme="majorHAnsi"/>
                <w:sz w:val="16"/>
                <w:lang w:val="ru-MD"/>
              </w:rPr>
              <w:t xml:space="preserve"> для </w:t>
            </w:r>
            <w:r w:rsidR="009420A7" w:rsidRPr="00EC5A7B">
              <w:rPr>
                <w:rFonts w:asciiTheme="majorHAnsi" w:hAnsiTheme="majorHAnsi"/>
                <w:sz w:val="16"/>
                <w:lang w:val="ru-MD"/>
              </w:rPr>
              <w:t>ТУМ</w:t>
            </w:r>
            <w:r w:rsidRPr="00EC5A7B">
              <w:rPr>
                <w:rFonts w:asciiTheme="majorHAnsi" w:hAnsiTheme="majorHAnsi"/>
                <w:sz w:val="16"/>
                <w:lang w:val="ru-MD"/>
              </w:rPr>
              <w:t xml:space="preserve"> и </w:t>
            </w:r>
            <w:r w:rsidR="009420A7" w:rsidRPr="00EC5A7B">
              <w:rPr>
                <w:rFonts w:asciiTheme="majorHAnsi" w:hAnsiTheme="majorHAnsi"/>
                <w:sz w:val="16"/>
                <w:lang w:val="ru-MD"/>
              </w:rPr>
              <w:t>ГАУМ</w:t>
            </w:r>
            <w:r w:rsidRPr="00EC5A7B">
              <w:rPr>
                <w:rFonts w:asciiTheme="majorHAnsi" w:hAnsiTheme="majorHAnsi"/>
                <w:sz w:val="16"/>
                <w:lang w:val="ru-MD"/>
              </w:rPr>
              <w:t>, организованного в 2018 году</w:t>
            </w:r>
            <w:r w:rsidR="009420A7" w:rsidRPr="00EC5A7B">
              <w:rPr>
                <w:rFonts w:asciiTheme="majorHAnsi" w:hAnsiTheme="majorHAnsi"/>
                <w:sz w:val="16"/>
                <w:lang w:val="ru-MD"/>
              </w:rPr>
              <w:t>,</w:t>
            </w:r>
            <w:r w:rsidRPr="00EC5A7B">
              <w:rPr>
                <w:rFonts w:asciiTheme="majorHAnsi" w:hAnsiTheme="majorHAnsi"/>
                <w:sz w:val="16"/>
                <w:lang w:val="ru-MD"/>
              </w:rPr>
              <w:t xml:space="preserve"> из-за того, что ни одн</w:t>
            </w:r>
            <w:r w:rsidR="009420A7" w:rsidRPr="00EC5A7B">
              <w:rPr>
                <w:rFonts w:asciiTheme="majorHAnsi" w:hAnsiTheme="majorHAnsi"/>
                <w:sz w:val="16"/>
                <w:lang w:val="ru-MD"/>
              </w:rPr>
              <w:t>а</w:t>
            </w:r>
            <w:r w:rsidRPr="00EC5A7B">
              <w:rPr>
                <w:rFonts w:asciiTheme="majorHAnsi" w:hAnsiTheme="majorHAnsi"/>
                <w:sz w:val="16"/>
                <w:lang w:val="ru-MD"/>
              </w:rPr>
              <w:t xml:space="preserve"> </w:t>
            </w:r>
            <w:r w:rsidR="009420A7" w:rsidRPr="00EC5A7B">
              <w:rPr>
                <w:rFonts w:asciiTheme="majorHAnsi" w:hAnsiTheme="majorHAnsi"/>
                <w:sz w:val="16"/>
                <w:lang w:val="ru-MD"/>
              </w:rPr>
              <w:t xml:space="preserve">из </w:t>
            </w:r>
            <w:r w:rsidRPr="00EC5A7B">
              <w:rPr>
                <w:rFonts w:asciiTheme="majorHAnsi" w:hAnsiTheme="majorHAnsi"/>
                <w:sz w:val="16"/>
                <w:lang w:val="ru-MD"/>
              </w:rPr>
              <w:t>представленн</w:t>
            </w:r>
            <w:r w:rsidR="009420A7" w:rsidRPr="00EC5A7B">
              <w:rPr>
                <w:rFonts w:asciiTheme="majorHAnsi" w:hAnsiTheme="majorHAnsi"/>
                <w:sz w:val="16"/>
                <w:lang w:val="ru-MD"/>
              </w:rPr>
              <w:t>ых оферт</w:t>
            </w:r>
            <w:r w:rsidRPr="00EC5A7B">
              <w:rPr>
                <w:rFonts w:asciiTheme="majorHAnsi" w:hAnsiTheme="majorHAnsi"/>
                <w:sz w:val="16"/>
                <w:lang w:val="ru-MD"/>
              </w:rPr>
              <w:t xml:space="preserve"> не соответствовал</w:t>
            </w:r>
            <w:r w:rsidR="009420A7" w:rsidRPr="00EC5A7B">
              <w:rPr>
                <w:rFonts w:asciiTheme="majorHAnsi" w:hAnsiTheme="majorHAnsi"/>
                <w:sz w:val="16"/>
                <w:lang w:val="ru-MD"/>
              </w:rPr>
              <w:t>а</w:t>
            </w:r>
            <w:r w:rsidRPr="00EC5A7B">
              <w:rPr>
                <w:rFonts w:asciiTheme="majorHAnsi" w:hAnsiTheme="majorHAnsi"/>
                <w:sz w:val="16"/>
                <w:lang w:val="ru-MD"/>
              </w:rPr>
              <w:t xml:space="preserve"> минимальным критериям технической эффективности. </w:t>
            </w:r>
            <w:r w:rsidR="009420A7" w:rsidRPr="00EC5A7B">
              <w:rPr>
                <w:rFonts w:asciiTheme="majorHAnsi" w:hAnsiTheme="majorHAnsi"/>
                <w:sz w:val="16"/>
                <w:lang w:val="ru-MD"/>
              </w:rPr>
              <w:t>Пересмотр</w:t>
            </w:r>
            <w:r w:rsidRPr="00EC5A7B">
              <w:rPr>
                <w:rFonts w:asciiTheme="majorHAnsi" w:hAnsiTheme="majorHAnsi"/>
                <w:sz w:val="16"/>
                <w:lang w:val="ru-MD"/>
              </w:rPr>
              <w:t xml:space="preserve"> технических спецификаций продолжался до </w:t>
            </w:r>
            <w:r w:rsidR="009420A7" w:rsidRPr="00EC5A7B">
              <w:rPr>
                <w:rFonts w:asciiTheme="majorHAnsi" w:hAnsiTheme="majorHAnsi"/>
                <w:sz w:val="16"/>
                <w:lang w:val="ru-MD"/>
              </w:rPr>
              <w:t>III</w:t>
            </w:r>
            <w:r w:rsidRPr="00EC5A7B">
              <w:rPr>
                <w:rFonts w:asciiTheme="majorHAnsi" w:hAnsiTheme="majorHAnsi"/>
                <w:sz w:val="16"/>
                <w:lang w:val="ru-MD"/>
              </w:rPr>
              <w:t xml:space="preserve"> квартала 2019 года, когда был</w:t>
            </w:r>
            <w:r w:rsidR="009420A7" w:rsidRPr="00EC5A7B">
              <w:rPr>
                <w:rFonts w:asciiTheme="majorHAnsi" w:hAnsiTheme="majorHAnsi"/>
                <w:sz w:val="16"/>
                <w:lang w:val="ru-MD"/>
              </w:rPr>
              <w:t xml:space="preserve"> объявлен</w:t>
            </w:r>
            <w:r w:rsidRPr="00EC5A7B">
              <w:rPr>
                <w:rFonts w:asciiTheme="majorHAnsi" w:hAnsiTheme="majorHAnsi"/>
                <w:sz w:val="16"/>
                <w:lang w:val="ru-MD"/>
              </w:rPr>
              <w:t xml:space="preserve"> новый международный аукцион</w:t>
            </w:r>
            <w:r w:rsidR="00231588" w:rsidRPr="00EC5A7B">
              <w:rPr>
                <w:rFonts w:asciiTheme="majorHAnsi" w:hAnsiTheme="majorHAnsi"/>
                <w:sz w:val="16"/>
                <w:lang w:val="ru-MD"/>
              </w:rPr>
              <w:t>;</w:t>
            </w:r>
          </w:p>
          <w:p w14:paraId="59011E00" w14:textId="3F3EF7FF" w:rsidR="00231588" w:rsidRPr="00EC5A7B" w:rsidRDefault="0027111E" w:rsidP="0027111E">
            <w:pPr>
              <w:pStyle w:val="ListParagraph"/>
              <w:numPr>
                <w:ilvl w:val="0"/>
                <w:numId w:val="14"/>
              </w:numPr>
              <w:tabs>
                <w:tab w:val="left" w:pos="254"/>
              </w:tabs>
              <w:ind w:left="0" w:firstLine="0"/>
              <w:jc w:val="both"/>
              <w:rPr>
                <w:rFonts w:asciiTheme="majorHAnsi" w:hAnsiTheme="majorHAnsi"/>
                <w:sz w:val="16"/>
                <w:lang w:val="ru-MD"/>
              </w:rPr>
            </w:pPr>
            <w:r w:rsidRPr="00EC5A7B">
              <w:rPr>
                <w:rFonts w:asciiTheme="majorHAnsi" w:hAnsiTheme="majorHAnsi"/>
                <w:sz w:val="16"/>
                <w:lang w:val="ru-MD"/>
              </w:rPr>
              <w:t xml:space="preserve">Из-за сложности работ по реконструкции (подготовка архитектурных проектов по выполнению работ в </w:t>
            </w:r>
            <w:r w:rsidR="009420A7" w:rsidRPr="00EC5A7B">
              <w:rPr>
                <w:rFonts w:asciiTheme="majorHAnsi" w:hAnsiTheme="majorHAnsi"/>
                <w:sz w:val="16"/>
                <w:lang w:val="ru-MD"/>
              </w:rPr>
              <w:t>ТУМ</w:t>
            </w:r>
            <w:r w:rsidRPr="00EC5A7B">
              <w:rPr>
                <w:rFonts w:asciiTheme="majorHAnsi" w:hAnsiTheme="majorHAnsi"/>
                <w:sz w:val="16"/>
                <w:lang w:val="ru-MD"/>
              </w:rPr>
              <w:t xml:space="preserve">, реконструкция </w:t>
            </w:r>
            <w:r w:rsidR="009420A7" w:rsidRPr="00EC5A7B">
              <w:rPr>
                <w:rFonts w:asciiTheme="majorHAnsi" w:hAnsiTheme="majorHAnsi"/>
                <w:sz w:val="16"/>
                <w:lang w:val="ru-MD"/>
              </w:rPr>
              <w:t>учебной аудитории</w:t>
            </w:r>
            <w:r w:rsidRPr="00EC5A7B">
              <w:rPr>
                <w:rFonts w:asciiTheme="majorHAnsi" w:hAnsiTheme="majorHAnsi"/>
                <w:sz w:val="16"/>
                <w:lang w:val="ru-MD"/>
              </w:rPr>
              <w:t xml:space="preserve"> и механизированной лаборатории в </w:t>
            </w:r>
            <w:r w:rsidR="009420A7" w:rsidRPr="00EC5A7B">
              <w:rPr>
                <w:rFonts w:asciiTheme="majorHAnsi" w:hAnsiTheme="majorHAnsi"/>
                <w:sz w:val="16"/>
                <w:lang w:val="ru-MD"/>
              </w:rPr>
              <w:t>Г</w:t>
            </w:r>
            <w:r w:rsidRPr="00EC5A7B">
              <w:rPr>
                <w:rFonts w:asciiTheme="majorHAnsi" w:hAnsiTheme="majorHAnsi"/>
                <w:sz w:val="16"/>
                <w:lang w:val="ru-MD"/>
              </w:rPr>
              <w:t>А</w:t>
            </w:r>
            <w:r w:rsidR="009420A7" w:rsidRPr="00EC5A7B">
              <w:rPr>
                <w:rFonts w:asciiTheme="majorHAnsi" w:hAnsiTheme="majorHAnsi"/>
                <w:sz w:val="16"/>
                <w:lang w:val="ru-MD"/>
              </w:rPr>
              <w:t>У</w:t>
            </w:r>
            <w:r w:rsidRPr="00EC5A7B">
              <w:rPr>
                <w:rFonts w:asciiTheme="majorHAnsi" w:hAnsiTheme="majorHAnsi"/>
                <w:sz w:val="16"/>
                <w:lang w:val="ru-MD"/>
              </w:rPr>
              <w:t xml:space="preserve">М) потребовалось больше времени, чем </w:t>
            </w:r>
            <w:r w:rsidR="009420A7" w:rsidRPr="00EC5A7B">
              <w:rPr>
                <w:rFonts w:asciiTheme="majorHAnsi" w:hAnsiTheme="majorHAnsi"/>
                <w:sz w:val="16"/>
                <w:lang w:val="ru-MD"/>
              </w:rPr>
              <w:t xml:space="preserve">было предусмотрено </w:t>
            </w:r>
            <w:r w:rsidRPr="00EC5A7B">
              <w:rPr>
                <w:rFonts w:asciiTheme="majorHAnsi" w:hAnsiTheme="majorHAnsi"/>
                <w:sz w:val="16"/>
                <w:lang w:val="ru-MD"/>
              </w:rPr>
              <w:t>первоначально</w:t>
            </w:r>
            <w:r w:rsidR="00231588" w:rsidRPr="00EC5A7B">
              <w:rPr>
                <w:rFonts w:asciiTheme="majorHAnsi" w:hAnsiTheme="majorHAnsi"/>
                <w:sz w:val="16"/>
                <w:lang w:val="ru-MD"/>
              </w:rPr>
              <w:t>;</w:t>
            </w:r>
          </w:p>
          <w:p w14:paraId="1AE8C995" w14:textId="526B1A3A" w:rsidR="00231588" w:rsidRPr="00EC5A7B" w:rsidRDefault="00B435C1" w:rsidP="00B435C1">
            <w:pPr>
              <w:pStyle w:val="ListParagraph"/>
              <w:numPr>
                <w:ilvl w:val="0"/>
                <w:numId w:val="14"/>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Неисполнение в п</w:t>
            </w:r>
            <w:r w:rsidR="0027111E" w:rsidRPr="00EC5A7B">
              <w:rPr>
                <w:rFonts w:asciiTheme="majorHAnsi" w:hAnsiTheme="majorHAnsi"/>
                <w:sz w:val="16"/>
                <w:lang w:val="ru-MD"/>
              </w:rPr>
              <w:t>олно</w:t>
            </w:r>
            <w:r w:rsidRPr="00EC5A7B">
              <w:rPr>
                <w:rFonts w:asciiTheme="majorHAnsi" w:hAnsiTheme="majorHAnsi"/>
                <w:sz w:val="16"/>
                <w:lang w:val="ru-MD"/>
              </w:rPr>
              <w:t>м объеме</w:t>
            </w:r>
            <w:r w:rsidR="0027111E" w:rsidRPr="00EC5A7B">
              <w:rPr>
                <w:rFonts w:asciiTheme="majorHAnsi" w:hAnsiTheme="majorHAnsi"/>
                <w:sz w:val="16"/>
                <w:lang w:val="ru-MD"/>
              </w:rPr>
              <w:t xml:space="preserve"> </w:t>
            </w:r>
            <w:r w:rsidRPr="00EC5A7B">
              <w:rPr>
                <w:rFonts w:asciiTheme="majorHAnsi" w:hAnsiTheme="majorHAnsi"/>
                <w:sz w:val="16"/>
                <w:lang w:val="ru-MD"/>
              </w:rPr>
              <w:t>рекредитова</w:t>
            </w:r>
            <w:r w:rsidR="0027111E" w:rsidRPr="00EC5A7B">
              <w:rPr>
                <w:rFonts w:asciiTheme="majorHAnsi" w:hAnsiTheme="majorHAnsi"/>
                <w:sz w:val="16"/>
                <w:lang w:val="ru-MD"/>
              </w:rPr>
              <w:t xml:space="preserve">нного кредита </w:t>
            </w:r>
            <w:r w:rsidRPr="00EC5A7B">
              <w:rPr>
                <w:rFonts w:asciiTheme="majorHAnsi" w:hAnsiTheme="majorHAnsi"/>
                <w:sz w:val="16"/>
                <w:lang w:val="ru-MD"/>
              </w:rPr>
              <w:t>было обусловлено</w:t>
            </w:r>
            <w:r w:rsidR="0027111E" w:rsidRPr="00EC5A7B">
              <w:rPr>
                <w:rFonts w:asciiTheme="majorHAnsi" w:hAnsiTheme="majorHAnsi"/>
                <w:sz w:val="16"/>
                <w:lang w:val="ru-MD"/>
              </w:rPr>
              <w:t xml:space="preserve"> длительным процессом утверждения финансовых партнеров в рамках программы, а именно: „Moldova-Agroindbank” </w:t>
            </w:r>
            <w:r w:rsidRPr="00EC5A7B">
              <w:rPr>
                <w:rFonts w:asciiTheme="majorHAnsi" w:hAnsiTheme="majorHAnsi"/>
                <w:sz w:val="16"/>
                <w:lang w:val="ru-MD"/>
              </w:rPr>
              <w:t>АО</w:t>
            </w:r>
            <w:r w:rsidR="0027111E" w:rsidRPr="00EC5A7B">
              <w:rPr>
                <w:rFonts w:asciiTheme="majorHAnsi" w:hAnsiTheme="majorHAnsi"/>
                <w:sz w:val="16"/>
                <w:lang w:val="ru-MD"/>
              </w:rPr>
              <w:t xml:space="preserve"> и </w:t>
            </w:r>
            <w:r w:rsidRPr="00EC5A7B">
              <w:rPr>
                <w:rFonts w:asciiTheme="majorHAnsi" w:hAnsiTheme="majorHAnsi"/>
                <w:sz w:val="16"/>
                <w:lang w:val="ru-MD"/>
              </w:rPr>
              <w:t xml:space="preserve">КБ „Victoriabank” АО </w:t>
            </w:r>
            <w:r w:rsidR="0027111E" w:rsidRPr="00EC5A7B">
              <w:rPr>
                <w:rFonts w:asciiTheme="majorHAnsi" w:hAnsiTheme="majorHAnsi"/>
                <w:sz w:val="16"/>
                <w:lang w:val="ru-MD"/>
              </w:rPr>
              <w:t xml:space="preserve">были утверждены 14.11.2019. Большая часть бенефициаров садоводческого сектора </w:t>
            </w:r>
            <w:r w:rsidRPr="00EC5A7B">
              <w:rPr>
                <w:rFonts w:asciiTheme="majorHAnsi" w:hAnsiTheme="majorHAnsi"/>
                <w:sz w:val="16"/>
                <w:lang w:val="ru-MD"/>
              </w:rPr>
              <w:t xml:space="preserve">исторически </w:t>
            </w:r>
            <w:r w:rsidR="0027111E" w:rsidRPr="00EC5A7B">
              <w:rPr>
                <w:rFonts w:asciiTheme="majorHAnsi" w:hAnsiTheme="majorHAnsi"/>
                <w:sz w:val="16"/>
                <w:lang w:val="ru-MD"/>
              </w:rPr>
              <w:t xml:space="preserve">обслуживается в вышеупомянутых банках, а </w:t>
            </w:r>
            <w:r w:rsidRPr="00EC5A7B">
              <w:rPr>
                <w:rFonts w:asciiTheme="majorHAnsi" w:hAnsiTheme="majorHAnsi"/>
                <w:sz w:val="16"/>
                <w:lang w:val="ru-MD"/>
              </w:rPr>
              <w:t>миграция</w:t>
            </w:r>
            <w:r w:rsidR="0027111E" w:rsidRPr="00EC5A7B">
              <w:rPr>
                <w:rFonts w:asciiTheme="majorHAnsi" w:hAnsiTheme="majorHAnsi"/>
                <w:sz w:val="16"/>
                <w:lang w:val="ru-MD"/>
              </w:rPr>
              <w:t xml:space="preserve"> </w:t>
            </w:r>
            <w:r w:rsidRPr="00EC5A7B">
              <w:rPr>
                <w:rFonts w:asciiTheme="majorHAnsi" w:hAnsiTheme="majorHAnsi"/>
                <w:sz w:val="16"/>
                <w:lang w:val="ru-MD"/>
              </w:rPr>
              <w:t xml:space="preserve">в </w:t>
            </w:r>
            <w:r w:rsidR="0027111E" w:rsidRPr="00EC5A7B">
              <w:rPr>
                <w:rFonts w:asciiTheme="majorHAnsi" w:hAnsiTheme="majorHAnsi"/>
                <w:sz w:val="16"/>
                <w:lang w:val="ru-MD"/>
              </w:rPr>
              <w:t xml:space="preserve">другой банк довольно сложный </w:t>
            </w:r>
            <w:r w:rsidRPr="00EC5A7B">
              <w:rPr>
                <w:rFonts w:asciiTheme="majorHAnsi" w:hAnsiTheme="majorHAnsi"/>
                <w:sz w:val="16"/>
                <w:lang w:val="ru-MD"/>
              </w:rPr>
              <w:t xml:space="preserve">процесс </w:t>
            </w:r>
            <w:r w:rsidR="0027111E" w:rsidRPr="00EC5A7B">
              <w:rPr>
                <w:rFonts w:asciiTheme="majorHAnsi" w:hAnsiTheme="majorHAnsi"/>
                <w:sz w:val="16"/>
                <w:lang w:val="ru-MD"/>
              </w:rPr>
              <w:t xml:space="preserve">для </w:t>
            </w:r>
            <w:r w:rsidRPr="00EC5A7B">
              <w:rPr>
                <w:rFonts w:asciiTheme="majorHAnsi" w:hAnsiTheme="majorHAnsi"/>
                <w:sz w:val="16"/>
                <w:lang w:val="ru-MD"/>
              </w:rPr>
              <w:t xml:space="preserve">данного </w:t>
            </w:r>
            <w:r w:rsidR="0027111E" w:rsidRPr="00EC5A7B">
              <w:rPr>
                <w:rFonts w:asciiTheme="majorHAnsi" w:hAnsiTheme="majorHAnsi"/>
                <w:sz w:val="16"/>
                <w:lang w:val="ru-MD"/>
              </w:rPr>
              <w:t>сектора</w:t>
            </w:r>
            <w:r w:rsidR="002945EA" w:rsidRPr="00EC5A7B">
              <w:rPr>
                <w:rFonts w:asciiTheme="majorHAnsi" w:hAnsiTheme="majorHAnsi"/>
                <w:sz w:val="16"/>
                <w:lang w:val="ru-MD"/>
              </w:rPr>
              <w:t>.</w:t>
            </w:r>
            <w:r w:rsidR="0027111E" w:rsidRPr="00EC5A7B">
              <w:rPr>
                <w:rFonts w:asciiTheme="majorHAnsi" w:hAnsiTheme="majorHAnsi"/>
                <w:sz w:val="16"/>
                <w:lang w:val="ru-MD"/>
              </w:rPr>
              <w:t xml:space="preserve"> </w:t>
            </w:r>
          </w:p>
        </w:tc>
      </w:tr>
      <w:tr w:rsidR="00DC2378" w:rsidRPr="00EC5A7B" w14:paraId="6591E157" w14:textId="77777777" w:rsidTr="00194F19">
        <w:trPr>
          <w:trHeight w:val="1153"/>
        </w:trPr>
        <w:tc>
          <w:tcPr>
            <w:tcW w:w="1435" w:type="dxa"/>
            <w:shd w:val="clear" w:color="auto" w:fill="auto"/>
            <w:vAlign w:val="center"/>
          </w:tcPr>
          <w:p w14:paraId="205FAD79"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D-153/BEI/2016</w:t>
            </w:r>
          </w:p>
        </w:tc>
        <w:tc>
          <w:tcPr>
            <w:tcW w:w="1621" w:type="dxa"/>
            <w:shd w:val="clear" w:color="auto" w:fill="auto"/>
            <w:vAlign w:val="center"/>
          </w:tcPr>
          <w:p w14:paraId="118EAD3D" w14:textId="021C97C5" w:rsidR="00DC2378" w:rsidRPr="00EC5A7B" w:rsidRDefault="00C26C7F" w:rsidP="00276BEA">
            <w:pPr>
              <w:jc w:val="center"/>
              <w:rPr>
                <w:rFonts w:asciiTheme="majorHAnsi" w:hAnsiTheme="majorHAnsi"/>
                <w:sz w:val="16"/>
                <w:lang w:val="ru-MD"/>
              </w:rPr>
            </w:pPr>
            <w:r w:rsidRPr="00EC5A7B">
              <w:rPr>
                <w:rFonts w:asciiTheme="majorHAnsi" w:hAnsiTheme="majorHAnsi"/>
                <w:sz w:val="16"/>
                <w:lang w:val="ru-MD"/>
              </w:rPr>
              <w:t>Восстановление железнодорожной инфраструктуры</w:t>
            </w:r>
          </w:p>
        </w:tc>
        <w:tc>
          <w:tcPr>
            <w:tcW w:w="630" w:type="dxa"/>
            <w:shd w:val="clear" w:color="auto" w:fill="auto"/>
            <w:vAlign w:val="center"/>
          </w:tcPr>
          <w:p w14:paraId="2998AC11" w14:textId="2AD2694B" w:rsidR="00DC2378" w:rsidRPr="00EC5A7B" w:rsidRDefault="00C673C7" w:rsidP="00276BEA">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610DD6C6"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50,0</w:t>
            </w:r>
          </w:p>
        </w:tc>
        <w:tc>
          <w:tcPr>
            <w:tcW w:w="947" w:type="dxa"/>
            <w:shd w:val="clear" w:color="auto" w:fill="auto"/>
            <w:vAlign w:val="center"/>
          </w:tcPr>
          <w:p w14:paraId="6AF55886"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26.09.16</w:t>
            </w:r>
          </w:p>
        </w:tc>
        <w:tc>
          <w:tcPr>
            <w:tcW w:w="992" w:type="dxa"/>
            <w:shd w:val="clear" w:color="auto" w:fill="auto"/>
            <w:vAlign w:val="center"/>
          </w:tcPr>
          <w:p w14:paraId="6151EA6A"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26.09.21</w:t>
            </w:r>
          </w:p>
        </w:tc>
        <w:tc>
          <w:tcPr>
            <w:tcW w:w="831" w:type="dxa"/>
            <w:shd w:val="clear" w:color="auto" w:fill="auto"/>
            <w:vAlign w:val="center"/>
          </w:tcPr>
          <w:p w14:paraId="1E9AC757"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3,96</w:t>
            </w:r>
          </w:p>
        </w:tc>
        <w:tc>
          <w:tcPr>
            <w:tcW w:w="1102" w:type="dxa"/>
            <w:shd w:val="clear" w:color="auto" w:fill="auto"/>
            <w:vAlign w:val="center"/>
          </w:tcPr>
          <w:p w14:paraId="32DE1E7C"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46,04</w:t>
            </w:r>
          </w:p>
        </w:tc>
        <w:tc>
          <w:tcPr>
            <w:tcW w:w="1171" w:type="dxa"/>
            <w:shd w:val="clear" w:color="auto" w:fill="auto"/>
            <w:vAlign w:val="center"/>
          </w:tcPr>
          <w:p w14:paraId="0E4458A3" w14:textId="77777777" w:rsidR="00DC2378" w:rsidRPr="00EC5A7B" w:rsidRDefault="00DC2378" w:rsidP="00276BEA">
            <w:pPr>
              <w:jc w:val="center"/>
              <w:rPr>
                <w:rFonts w:asciiTheme="majorHAnsi" w:hAnsiTheme="majorHAnsi"/>
                <w:sz w:val="16"/>
                <w:lang w:val="ru-MD"/>
              </w:rPr>
            </w:pPr>
            <w:r w:rsidRPr="00EC5A7B">
              <w:rPr>
                <w:rFonts w:asciiTheme="majorHAnsi" w:hAnsiTheme="majorHAnsi"/>
                <w:sz w:val="16"/>
                <w:lang w:val="ru-MD"/>
              </w:rPr>
              <w:t>7,92</w:t>
            </w:r>
          </w:p>
        </w:tc>
        <w:tc>
          <w:tcPr>
            <w:tcW w:w="1171" w:type="dxa"/>
            <w:vAlign w:val="center"/>
          </w:tcPr>
          <w:p w14:paraId="6F0913AB" w14:textId="77777777" w:rsidR="00DC2378" w:rsidRPr="00EC5A7B" w:rsidRDefault="00BD513F" w:rsidP="00276BEA">
            <w:pPr>
              <w:jc w:val="center"/>
              <w:rPr>
                <w:rFonts w:asciiTheme="majorHAnsi" w:hAnsiTheme="majorHAnsi"/>
                <w:sz w:val="16"/>
                <w:lang w:val="ru-MD"/>
              </w:rPr>
            </w:pPr>
            <w:r w:rsidRPr="00EC5A7B">
              <w:rPr>
                <w:rFonts w:asciiTheme="majorHAnsi" w:hAnsiTheme="majorHAnsi"/>
                <w:sz w:val="16"/>
                <w:lang w:val="ru-MD"/>
              </w:rPr>
              <w:t>56,73</w:t>
            </w:r>
          </w:p>
        </w:tc>
        <w:tc>
          <w:tcPr>
            <w:tcW w:w="4139" w:type="dxa"/>
            <w:vMerge w:val="restart"/>
          </w:tcPr>
          <w:p w14:paraId="4A4478A3" w14:textId="03F429DE" w:rsidR="00DC2378" w:rsidRPr="00EC5A7B" w:rsidRDefault="002945EA" w:rsidP="0027111E">
            <w:pPr>
              <w:pStyle w:val="ListParagraph"/>
              <w:numPr>
                <w:ilvl w:val="0"/>
                <w:numId w:val="13"/>
              </w:numPr>
              <w:tabs>
                <w:tab w:val="left" w:pos="289"/>
              </w:tabs>
              <w:ind w:left="0" w:hanging="16"/>
              <w:jc w:val="both"/>
              <w:rPr>
                <w:rFonts w:asciiTheme="majorHAnsi" w:hAnsiTheme="majorHAnsi"/>
                <w:sz w:val="16"/>
                <w:lang w:val="ru-MD"/>
              </w:rPr>
            </w:pPr>
            <w:r w:rsidRPr="00EC5A7B">
              <w:rPr>
                <w:rFonts w:asciiTheme="majorHAnsi" w:hAnsiTheme="majorHAnsi"/>
                <w:sz w:val="16"/>
                <w:lang w:val="ru-MD"/>
              </w:rPr>
              <w:t>На</w:t>
            </w:r>
            <w:r w:rsidR="0027111E" w:rsidRPr="00EC5A7B">
              <w:rPr>
                <w:rFonts w:asciiTheme="majorHAnsi" w:hAnsiTheme="majorHAnsi"/>
                <w:sz w:val="16"/>
                <w:lang w:val="ru-MD"/>
              </w:rPr>
              <w:t xml:space="preserve"> 2019 год была предусмотрена выплата суммы для вы</w:t>
            </w:r>
            <w:r w:rsidRPr="00EC5A7B">
              <w:rPr>
                <w:rFonts w:asciiTheme="majorHAnsi" w:hAnsiTheme="majorHAnsi"/>
                <w:sz w:val="16"/>
                <w:lang w:val="ru-MD"/>
              </w:rPr>
              <w:t>дачи</w:t>
            </w:r>
            <w:r w:rsidR="0027111E" w:rsidRPr="00EC5A7B">
              <w:rPr>
                <w:rFonts w:asciiTheme="majorHAnsi" w:hAnsiTheme="majorHAnsi"/>
                <w:sz w:val="16"/>
                <w:lang w:val="ru-MD"/>
              </w:rPr>
              <w:t xml:space="preserve"> аванса </w:t>
            </w:r>
            <w:r w:rsidRPr="00EC5A7B">
              <w:rPr>
                <w:rFonts w:asciiTheme="majorHAnsi" w:hAnsiTheme="majorHAnsi"/>
                <w:sz w:val="16"/>
                <w:lang w:val="ru-MD"/>
              </w:rPr>
              <w:t>з</w:t>
            </w:r>
            <w:r w:rsidR="0027111E" w:rsidRPr="00EC5A7B">
              <w:rPr>
                <w:rFonts w:asciiTheme="majorHAnsi" w:hAnsiTheme="majorHAnsi"/>
                <w:sz w:val="16"/>
                <w:lang w:val="ru-MD"/>
              </w:rPr>
              <w:t xml:space="preserve">а </w:t>
            </w:r>
            <w:r w:rsidRPr="00EC5A7B">
              <w:rPr>
                <w:rFonts w:asciiTheme="majorHAnsi" w:hAnsiTheme="majorHAnsi"/>
                <w:sz w:val="16"/>
                <w:lang w:val="ru-MD"/>
              </w:rPr>
              <w:t xml:space="preserve">работы по </w:t>
            </w:r>
            <w:r w:rsidR="0027111E" w:rsidRPr="00EC5A7B">
              <w:rPr>
                <w:rFonts w:asciiTheme="majorHAnsi" w:hAnsiTheme="majorHAnsi"/>
                <w:sz w:val="16"/>
                <w:lang w:val="ru-MD"/>
              </w:rPr>
              <w:t>проект</w:t>
            </w:r>
            <w:r w:rsidRPr="00EC5A7B">
              <w:rPr>
                <w:rFonts w:asciiTheme="majorHAnsi" w:hAnsiTheme="majorHAnsi"/>
                <w:sz w:val="16"/>
                <w:lang w:val="ru-MD"/>
              </w:rPr>
              <w:t>ированию</w:t>
            </w:r>
            <w:r w:rsidR="0027111E" w:rsidRPr="00EC5A7B">
              <w:rPr>
                <w:rFonts w:asciiTheme="majorHAnsi" w:hAnsiTheme="majorHAnsi"/>
                <w:sz w:val="16"/>
                <w:lang w:val="ru-MD"/>
              </w:rPr>
              <w:t xml:space="preserve"> и </w:t>
            </w:r>
            <w:r w:rsidRPr="00EC5A7B">
              <w:rPr>
                <w:rFonts w:asciiTheme="majorHAnsi" w:hAnsiTheme="majorHAnsi"/>
                <w:sz w:val="16"/>
                <w:lang w:val="ru-MD"/>
              </w:rPr>
              <w:t>восстановлению</w:t>
            </w:r>
            <w:r w:rsidR="0027111E" w:rsidRPr="00EC5A7B">
              <w:rPr>
                <w:rFonts w:asciiTheme="majorHAnsi" w:hAnsiTheme="majorHAnsi"/>
                <w:sz w:val="16"/>
                <w:lang w:val="ru-MD"/>
              </w:rPr>
              <w:t xml:space="preserve"> железнодорожной инфраструктур</w:t>
            </w:r>
            <w:r w:rsidRPr="00EC5A7B">
              <w:rPr>
                <w:rFonts w:asciiTheme="majorHAnsi" w:hAnsiTheme="majorHAnsi"/>
                <w:sz w:val="16"/>
                <w:lang w:val="ru-MD"/>
              </w:rPr>
              <w:t>ы</w:t>
            </w:r>
            <w:r w:rsidR="0027111E" w:rsidRPr="00EC5A7B">
              <w:rPr>
                <w:rFonts w:asciiTheme="majorHAnsi" w:hAnsiTheme="majorHAnsi"/>
                <w:sz w:val="16"/>
                <w:lang w:val="ru-MD"/>
              </w:rPr>
              <w:t xml:space="preserve">. Аукцион был запущен 22.02.2019. По </w:t>
            </w:r>
            <w:r w:rsidRPr="00EC5A7B">
              <w:rPr>
                <w:rFonts w:asciiTheme="majorHAnsi" w:hAnsiTheme="majorHAnsi"/>
                <w:sz w:val="16"/>
                <w:lang w:val="ru-MD"/>
              </w:rPr>
              <w:t>запросу</w:t>
            </w:r>
            <w:r w:rsidR="0027111E" w:rsidRPr="00EC5A7B">
              <w:rPr>
                <w:rFonts w:asciiTheme="majorHAnsi" w:hAnsiTheme="majorHAnsi"/>
                <w:sz w:val="16"/>
                <w:lang w:val="ru-MD"/>
              </w:rPr>
              <w:t xml:space="preserve"> участников торгов срок аукциона был продлен, а </w:t>
            </w:r>
            <w:r w:rsidRPr="00EC5A7B">
              <w:rPr>
                <w:rFonts w:asciiTheme="majorHAnsi" w:hAnsiTheme="majorHAnsi"/>
                <w:sz w:val="16"/>
                <w:lang w:val="ru-MD"/>
              </w:rPr>
              <w:t>выполн</w:t>
            </w:r>
            <w:r w:rsidR="0027111E" w:rsidRPr="00EC5A7B">
              <w:rPr>
                <w:rFonts w:asciiTheme="majorHAnsi" w:hAnsiTheme="majorHAnsi"/>
                <w:sz w:val="16"/>
                <w:lang w:val="ru-MD"/>
              </w:rPr>
              <w:t>ение разъясн</w:t>
            </w:r>
            <w:r w:rsidRPr="00EC5A7B">
              <w:rPr>
                <w:rFonts w:asciiTheme="majorHAnsi" w:hAnsiTheme="majorHAnsi"/>
                <w:sz w:val="16"/>
                <w:lang w:val="ru-MD"/>
              </w:rPr>
              <w:t>ительных процедур</w:t>
            </w:r>
            <w:r w:rsidR="0027111E" w:rsidRPr="00EC5A7B">
              <w:rPr>
                <w:rFonts w:asciiTheme="majorHAnsi" w:hAnsiTheme="majorHAnsi"/>
                <w:sz w:val="16"/>
                <w:lang w:val="ru-MD"/>
              </w:rPr>
              <w:t xml:space="preserve">, </w:t>
            </w:r>
            <w:r w:rsidRPr="00EC5A7B">
              <w:rPr>
                <w:rFonts w:asciiTheme="majorHAnsi" w:hAnsiTheme="majorHAnsi"/>
                <w:sz w:val="16"/>
                <w:lang w:val="ru-MD"/>
              </w:rPr>
              <w:t>запрашива</w:t>
            </w:r>
            <w:r w:rsidR="0027111E" w:rsidRPr="00EC5A7B">
              <w:rPr>
                <w:rFonts w:asciiTheme="majorHAnsi" w:hAnsiTheme="majorHAnsi"/>
                <w:sz w:val="16"/>
                <w:lang w:val="ru-MD"/>
              </w:rPr>
              <w:t>емых ЕБРР/ЕИБ, потребовало дополнительного времени. Эти факторы обусловили продление срока аукциона и не</w:t>
            </w:r>
            <w:r w:rsidRPr="00EC5A7B">
              <w:rPr>
                <w:rFonts w:asciiTheme="majorHAnsi" w:hAnsiTheme="majorHAnsi"/>
                <w:sz w:val="16"/>
                <w:lang w:val="ru-MD"/>
              </w:rPr>
              <w:t>заключ</w:t>
            </w:r>
            <w:r w:rsidR="0027111E" w:rsidRPr="00EC5A7B">
              <w:rPr>
                <w:rFonts w:asciiTheme="majorHAnsi" w:hAnsiTheme="majorHAnsi"/>
                <w:sz w:val="16"/>
                <w:lang w:val="ru-MD"/>
              </w:rPr>
              <w:t>ение контракта</w:t>
            </w:r>
            <w:r w:rsidR="00DC2378" w:rsidRPr="00EC5A7B">
              <w:rPr>
                <w:rFonts w:asciiTheme="majorHAnsi" w:hAnsiTheme="majorHAnsi"/>
                <w:sz w:val="16"/>
                <w:lang w:val="ru-MD"/>
              </w:rPr>
              <w:t>;</w:t>
            </w:r>
          </w:p>
          <w:p w14:paraId="3FD4E63F" w14:textId="56775951" w:rsidR="00DC2378" w:rsidRPr="00EC5A7B" w:rsidRDefault="002945EA" w:rsidP="00A469D4">
            <w:pPr>
              <w:pStyle w:val="ListParagraph"/>
              <w:numPr>
                <w:ilvl w:val="0"/>
                <w:numId w:val="13"/>
              </w:numPr>
              <w:tabs>
                <w:tab w:val="left" w:pos="251"/>
              </w:tabs>
              <w:ind w:left="-16" w:firstLine="0"/>
              <w:jc w:val="both"/>
              <w:rPr>
                <w:rFonts w:asciiTheme="majorHAnsi" w:hAnsiTheme="majorHAnsi"/>
                <w:sz w:val="16"/>
                <w:lang w:val="ru-MD"/>
              </w:rPr>
            </w:pPr>
            <w:r w:rsidRPr="00EC5A7B">
              <w:rPr>
                <w:rFonts w:asciiTheme="majorHAnsi" w:hAnsiTheme="majorHAnsi"/>
                <w:sz w:val="16"/>
                <w:lang w:val="ru-MD"/>
              </w:rPr>
              <w:t>На</w:t>
            </w:r>
            <w:r w:rsidR="0027111E" w:rsidRPr="00EC5A7B">
              <w:rPr>
                <w:rFonts w:asciiTheme="majorHAnsi" w:hAnsiTheme="majorHAnsi"/>
                <w:sz w:val="16"/>
                <w:lang w:val="ru-MD"/>
              </w:rPr>
              <w:t xml:space="preserve"> 2019 год была предусмотрена сумма для </w:t>
            </w:r>
            <w:r w:rsidRPr="00EC5A7B">
              <w:rPr>
                <w:rFonts w:asciiTheme="majorHAnsi" w:hAnsiTheme="majorHAnsi"/>
                <w:sz w:val="16"/>
                <w:lang w:val="ru-MD"/>
              </w:rPr>
              <w:t>EMIS</w:t>
            </w:r>
            <w:r w:rsidR="0027111E" w:rsidRPr="00EC5A7B">
              <w:rPr>
                <w:rFonts w:asciiTheme="majorHAnsi" w:hAnsiTheme="majorHAnsi"/>
                <w:sz w:val="16"/>
                <w:lang w:val="ru-MD"/>
              </w:rPr>
              <w:t>. Запуск аукциона и заключение контракта был</w:t>
            </w:r>
            <w:r w:rsidRPr="00EC5A7B">
              <w:rPr>
                <w:rFonts w:asciiTheme="majorHAnsi" w:hAnsiTheme="majorHAnsi"/>
                <w:sz w:val="16"/>
                <w:lang w:val="ru-MD"/>
              </w:rPr>
              <w:t>и</w:t>
            </w:r>
            <w:r w:rsidR="0027111E" w:rsidRPr="00EC5A7B">
              <w:rPr>
                <w:rFonts w:asciiTheme="majorHAnsi" w:hAnsiTheme="majorHAnsi"/>
                <w:sz w:val="16"/>
                <w:lang w:val="ru-MD"/>
              </w:rPr>
              <w:t xml:space="preserve"> предусмотрен</w:t>
            </w:r>
            <w:r w:rsidRPr="00EC5A7B">
              <w:rPr>
                <w:rFonts w:asciiTheme="majorHAnsi" w:hAnsiTheme="majorHAnsi"/>
                <w:sz w:val="16"/>
                <w:lang w:val="ru-MD"/>
              </w:rPr>
              <w:t>ы</w:t>
            </w:r>
            <w:r w:rsidR="0027111E" w:rsidRPr="00EC5A7B">
              <w:rPr>
                <w:rFonts w:asciiTheme="majorHAnsi" w:hAnsiTheme="majorHAnsi"/>
                <w:sz w:val="16"/>
                <w:lang w:val="ru-MD"/>
              </w:rPr>
              <w:t xml:space="preserve"> </w:t>
            </w:r>
            <w:r w:rsidRPr="00EC5A7B">
              <w:rPr>
                <w:rFonts w:asciiTheme="majorHAnsi" w:hAnsiTheme="majorHAnsi"/>
                <w:sz w:val="16"/>
                <w:lang w:val="ru-MD"/>
              </w:rPr>
              <w:t>на</w:t>
            </w:r>
            <w:r w:rsidR="0027111E" w:rsidRPr="00EC5A7B">
              <w:rPr>
                <w:rFonts w:asciiTheme="majorHAnsi" w:hAnsiTheme="majorHAnsi"/>
                <w:sz w:val="16"/>
                <w:lang w:val="ru-MD"/>
              </w:rPr>
              <w:t xml:space="preserve"> 2019 год</w:t>
            </w:r>
            <w:r w:rsidRPr="00EC5A7B">
              <w:rPr>
                <w:rFonts w:asciiTheme="majorHAnsi" w:hAnsiTheme="majorHAnsi"/>
                <w:sz w:val="16"/>
                <w:lang w:val="ru-MD"/>
              </w:rPr>
              <w:t>, однако</w:t>
            </w:r>
            <w:r w:rsidR="0027111E" w:rsidRPr="00EC5A7B">
              <w:rPr>
                <w:rFonts w:asciiTheme="majorHAnsi" w:hAnsiTheme="majorHAnsi"/>
                <w:sz w:val="16"/>
                <w:lang w:val="ru-MD"/>
              </w:rPr>
              <w:t xml:space="preserve"> </w:t>
            </w:r>
            <w:r w:rsidR="00A469D4" w:rsidRPr="00EC5A7B">
              <w:rPr>
                <w:rFonts w:asciiTheme="majorHAnsi" w:hAnsiTheme="majorHAnsi"/>
                <w:sz w:val="16"/>
                <w:lang w:val="ru-MD"/>
              </w:rPr>
              <w:t>доработка</w:t>
            </w:r>
            <w:r w:rsidR="0027111E" w:rsidRPr="00EC5A7B">
              <w:rPr>
                <w:rFonts w:asciiTheme="majorHAnsi" w:hAnsiTheme="majorHAnsi"/>
                <w:sz w:val="16"/>
                <w:lang w:val="ru-MD"/>
              </w:rPr>
              <w:t xml:space="preserve"> и утверждение ЕБРР </w:t>
            </w:r>
            <w:r w:rsidR="00A469D4" w:rsidRPr="00EC5A7B">
              <w:rPr>
                <w:rFonts w:asciiTheme="majorHAnsi" w:hAnsiTheme="majorHAnsi"/>
                <w:sz w:val="16"/>
                <w:lang w:val="ru-MD"/>
              </w:rPr>
              <w:t>Технического задания</w:t>
            </w:r>
            <w:r w:rsidR="0027111E" w:rsidRPr="00EC5A7B">
              <w:rPr>
                <w:rFonts w:asciiTheme="majorHAnsi" w:hAnsiTheme="majorHAnsi"/>
                <w:sz w:val="16"/>
                <w:lang w:val="ru-MD"/>
              </w:rPr>
              <w:t xml:space="preserve"> потребовали больше</w:t>
            </w:r>
            <w:r w:rsidR="00A469D4" w:rsidRPr="00EC5A7B">
              <w:rPr>
                <w:rFonts w:asciiTheme="majorHAnsi" w:hAnsiTheme="majorHAnsi"/>
                <w:sz w:val="16"/>
                <w:lang w:val="ru-MD"/>
              </w:rPr>
              <w:t>е</w:t>
            </w:r>
            <w:r w:rsidR="0027111E" w:rsidRPr="00EC5A7B">
              <w:rPr>
                <w:rFonts w:asciiTheme="majorHAnsi" w:hAnsiTheme="majorHAnsi"/>
                <w:sz w:val="16"/>
                <w:lang w:val="ru-MD"/>
              </w:rPr>
              <w:t xml:space="preserve"> </w:t>
            </w:r>
            <w:r w:rsidR="00A469D4" w:rsidRPr="00EC5A7B">
              <w:rPr>
                <w:rFonts w:asciiTheme="majorHAnsi" w:hAnsiTheme="majorHAnsi"/>
                <w:sz w:val="16"/>
                <w:lang w:val="ru-MD"/>
              </w:rPr>
              <w:t xml:space="preserve">длительного </w:t>
            </w:r>
            <w:r w:rsidR="0027111E" w:rsidRPr="00EC5A7B">
              <w:rPr>
                <w:rFonts w:asciiTheme="majorHAnsi" w:hAnsiTheme="majorHAnsi"/>
                <w:sz w:val="16"/>
                <w:lang w:val="ru-MD"/>
              </w:rPr>
              <w:t>срока</w:t>
            </w:r>
            <w:r w:rsidR="00A469D4" w:rsidRPr="00EC5A7B">
              <w:rPr>
                <w:rFonts w:asciiTheme="majorHAnsi" w:hAnsiTheme="majorHAnsi"/>
                <w:sz w:val="16"/>
                <w:lang w:val="ru-MD"/>
              </w:rPr>
              <w:t>.</w:t>
            </w:r>
            <w:r w:rsidR="0027111E" w:rsidRPr="00EC5A7B">
              <w:rPr>
                <w:rFonts w:asciiTheme="majorHAnsi" w:hAnsiTheme="majorHAnsi"/>
                <w:sz w:val="16"/>
                <w:lang w:val="ru-MD"/>
              </w:rPr>
              <w:t xml:space="preserve"> </w:t>
            </w:r>
          </w:p>
        </w:tc>
      </w:tr>
      <w:tr w:rsidR="00DC2378" w:rsidRPr="00EC5A7B" w14:paraId="5463C19A" w14:textId="77777777" w:rsidTr="00194F19">
        <w:tc>
          <w:tcPr>
            <w:tcW w:w="1435" w:type="dxa"/>
            <w:shd w:val="clear" w:color="auto" w:fill="auto"/>
            <w:vAlign w:val="center"/>
          </w:tcPr>
          <w:p w14:paraId="287EBA5F"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D-140/BERD/2014</w:t>
            </w:r>
          </w:p>
        </w:tc>
        <w:tc>
          <w:tcPr>
            <w:tcW w:w="1621" w:type="dxa"/>
            <w:shd w:val="clear" w:color="auto" w:fill="auto"/>
            <w:vAlign w:val="center"/>
          </w:tcPr>
          <w:p w14:paraId="20C09A57" w14:textId="627A1E25" w:rsidR="00DC2378" w:rsidRPr="00EC5A7B" w:rsidRDefault="00C26C7F" w:rsidP="00DC2378">
            <w:pPr>
              <w:jc w:val="center"/>
              <w:rPr>
                <w:rFonts w:asciiTheme="majorHAnsi" w:hAnsiTheme="majorHAnsi"/>
                <w:sz w:val="16"/>
                <w:lang w:val="ru-MD"/>
              </w:rPr>
            </w:pPr>
            <w:r w:rsidRPr="00EC5A7B">
              <w:rPr>
                <w:rFonts w:asciiTheme="majorHAnsi" w:hAnsiTheme="majorHAnsi"/>
                <w:sz w:val="16"/>
                <w:lang w:val="ru-MD"/>
              </w:rPr>
              <w:t>Приобретение локомотивов и реструктуризация железнодорожной инфраструктуры</w:t>
            </w:r>
          </w:p>
        </w:tc>
        <w:tc>
          <w:tcPr>
            <w:tcW w:w="630" w:type="dxa"/>
            <w:shd w:val="clear" w:color="auto" w:fill="auto"/>
            <w:vAlign w:val="center"/>
          </w:tcPr>
          <w:p w14:paraId="17EDCE8E" w14:textId="290EC29E" w:rsidR="00DC2378" w:rsidRPr="00EC5A7B" w:rsidRDefault="00C673C7" w:rsidP="00DC237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1919D3FD"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52,5</w:t>
            </w:r>
          </w:p>
        </w:tc>
        <w:tc>
          <w:tcPr>
            <w:tcW w:w="947" w:type="dxa"/>
            <w:shd w:val="clear" w:color="auto" w:fill="auto"/>
            <w:vAlign w:val="center"/>
          </w:tcPr>
          <w:p w14:paraId="0EE63F72"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14.11.14</w:t>
            </w:r>
          </w:p>
        </w:tc>
        <w:tc>
          <w:tcPr>
            <w:tcW w:w="992" w:type="dxa"/>
            <w:shd w:val="clear" w:color="auto" w:fill="auto"/>
            <w:vAlign w:val="center"/>
          </w:tcPr>
          <w:p w14:paraId="321CA42C"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14.03.21</w:t>
            </w:r>
          </w:p>
        </w:tc>
        <w:tc>
          <w:tcPr>
            <w:tcW w:w="831" w:type="dxa"/>
            <w:shd w:val="clear" w:color="auto" w:fill="auto"/>
            <w:vAlign w:val="center"/>
          </w:tcPr>
          <w:p w14:paraId="0FD308D3"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4,22</w:t>
            </w:r>
          </w:p>
        </w:tc>
        <w:tc>
          <w:tcPr>
            <w:tcW w:w="1102" w:type="dxa"/>
            <w:shd w:val="clear" w:color="auto" w:fill="auto"/>
            <w:vAlign w:val="center"/>
          </w:tcPr>
          <w:p w14:paraId="2E063C27"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48,28</w:t>
            </w:r>
          </w:p>
        </w:tc>
        <w:tc>
          <w:tcPr>
            <w:tcW w:w="1171" w:type="dxa"/>
            <w:shd w:val="clear" w:color="auto" w:fill="auto"/>
            <w:vAlign w:val="center"/>
          </w:tcPr>
          <w:p w14:paraId="403E722B" w14:textId="77777777" w:rsidR="00DC2378" w:rsidRPr="00EC5A7B" w:rsidRDefault="00DC2378" w:rsidP="00DC2378">
            <w:pPr>
              <w:jc w:val="center"/>
              <w:rPr>
                <w:rFonts w:asciiTheme="majorHAnsi" w:hAnsiTheme="majorHAnsi"/>
                <w:sz w:val="16"/>
                <w:lang w:val="ru-MD"/>
              </w:rPr>
            </w:pPr>
            <w:r w:rsidRPr="00EC5A7B">
              <w:rPr>
                <w:rFonts w:asciiTheme="majorHAnsi" w:hAnsiTheme="majorHAnsi"/>
                <w:sz w:val="16"/>
                <w:lang w:val="ru-MD"/>
              </w:rPr>
              <w:t>8,0</w:t>
            </w:r>
          </w:p>
        </w:tc>
        <w:tc>
          <w:tcPr>
            <w:tcW w:w="1171" w:type="dxa"/>
            <w:vAlign w:val="center"/>
          </w:tcPr>
          <w:p w14:paraId="36AEB8D5" w14:textId="77777777" w:rsidR="00DC2378" w:rsidRPr="00EC5A7B" w:rsidRDefault="0029703A" w:rsidP="00DC2378">
            <w:pPr>
              <w:jc w:val="center"/>
              <w:rPr>
                <w:rFonts w:asciiTheme="majorHAnsi" w:hAnsiTheme="majorHAnsi"/>
                <w:sz w:val="16"/>
                <w:lang w:val="ru-MD"/>
              </w:rPr>
            </w:pPr>
            <w:r w:rsidRPr="00EC5A7B">
              <w:rPr>
                <w:rFonts w:asciiTheme="majorHAnsi" w:hAnsiTheme="majorHAnsi"/>
                <w:sz w:val="16"/>
                <w:lang w:val="ru-MD"/>
              </w:rPr>
              <w:t>1 438,27</w:t>
            </w:r>
          </w:p>
        </w:tc>
        <w:tc>
          <w:tcPr>
            <w:tcW w:w="4139" w:type="dxa"/>
            <w:vMerge/>
          </w:tcPr>
          <w:p w14:paraId="67F59BB8" w14:textId="77777777" w:rsidR="00DC2378" w:rsidRPr="00EC5A7B" w:rsidRDefault="00DC2378" w:rsidP="00DC2378">
            <w:pPr>
              <w:jc w:val="center"/>
              <w:rPr>
                <w:rFonts w:asciiTheme="majorHAnsi" w:hAnsiTheme="majorHAnsi"/>
                <w:sz w:val="16"/>
                <w:lang w:val="ru-MD"/>
              </w:rPr>
            </w:pPr>
          </w:p>
        </w:tc>
      </w:tr>
      <w:tr w:rsidR="00B67B18" w:rsidRPr="00EC5A7B" w14:paraId="29F7799D" w14:textId="77777777" w:rsidTr="00194F19">
        <w:tc>
          <w:tcPr>
            <w:tcW w:w="1435" w:type="dxa"/>
            <w:shd w:val="clear" w:color="auto" w:fill="auto"/>
            <w:vAlign w:val="center"/>
          </w:tcPr>
          <w:p w14:paraId="12071008"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D-160/BEI2017</w:t>
            </w:r>
          </w:p>
        </w:tc>
        <w:tc>
          <w:tcPr>
            <w:tcW w:w="1621" w:type="dxa"/>
            <w:shd w:val="clear" w:color="auto" w:fill="auto"/>
            <w:vAlign w:val="center"/>
          </w:tcPr>
          <w:p w14:paraId="33FEC9A4" w14:textId="652D768D" w:rsidR="00B67B18" w:rsidRPr="00EC5A7B" w:rsidRDefault="00C26C7F" w:rsidP="00C26C7F">
            <w:pPr>
              <w:ind w:right="-111"/>
              <w:jc w:val="center"/>
              <w:rPr>
                <w:rFonts w:asciiTheme="majorHAnsi" w:hAnsiTheme="majorHAnsi"/>
                <w:sz w:val="16"/>
                <w:lang w:val="ru-MD"/>
              </w:rPr>
            </w:pPr>
            <w:r w:rsidRPr="00EC5A7B">
              <w:rPr>
                <w:rFonts w:asciiTheme="majorHAnsi" w:hAnsiTheme="majorHAnsi"/>
                <w:sz w:val="16"/>
                <w:lang w:val="ru-MD"/>
              </w:rPr>
              <w:t>Электрическое взаимоподключение RO-RM</w:t>
            </w:r>
          </w:p>
        </w:tc>
        <w:tc>
          <w:tcPr>
            <w:tcW w:w="630" w:type="dxa"/>
            <w:shd w:val="clear" w:color="auto" w:fill="auto"/>
            <w:vAlign w:val="center"/>
          </w:tcPr>
          <w:p w14:paraId="508A5E09" w14:textId="7A0DF9EA" w:rsidR="00B67B18" w:rsidRPr="00EC5A7B" w:rsidRDefault="00C673C7" w:rsidP="00DC237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674667B8"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80,0</w:t>
            </w:r>
          </w:p>
        </w:tc>
        <w:tc>
          <w:tcPr>
            <w:tcW w:w="947" w:type="dxa"/>
            <w:shd w:val="clear" w:color="auto" w:fill="auto"/>
            <w:vAlign w:val="center"/>
          </w:tcPr>
          <w:p w14:paraId="1305DFA1"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20.12.17</w:t>
            </w:r>
          </w:p>
        </w:tc>
        <w:tc>
          <w:tcPr>
            <w:tcW w:w="992" w:type="dxa"/>
            <w:shd w:val="clear" w:color="auto" w:fill="auto"/>
            <w:vAlign w:val="center"/>
          </w:tcPr>
          <w:p w14:paraId="6360D889"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20.12.24</w:t>
            </w:r>
          </w:p>
        </w:tc>
        <w:tc>
          <w:tcPr>
            <w:tcW w:w="831" w:type="dxa"/>
            <w:shd w:val="clear" w:color="auto" w:fill="auto"/>
            <w:vAlign w:val="center"/>
          </w:tcPr>
          <w:p w14:paraId="155FF0B0"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0</w:t>
            </w:r>
          </w:p>
        </w:tc>
        <w:tc>
          <w:tcPr>
            <w:tcW w:w="1102" w:type="dxa"/>
            <w:shd w:val="clear" w:color="auto" w:fill="auto"/>
            <w:vAlign w:val="center"/>
          </w:tcPr>
          <w:p w14:paraId="1CA15F84"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80,0</w:t>
            </w:r>
          </w:p>
        </w:tc>
        <w:tc>
          <w:tcPr>
            <w:tcW w:w="1171" w:type="dxa"/>
            <w:shd w:val="clear" w:color="auto" w:fill="auto"/>
            <w:vAlign w:val="center"/>
          </w:tcPr>
          <w:p w14:paraId="75D9FAAE" w14:textId="77777777" w:rsidR="00B67B18" w:rsidRPr="00EC5A7B" w:rsidRDefault="00B67B18" w:rsidP="00DC2378">
            <w:pPr>
              <w:jc w:val="center"/>
              <w:rPr>
                <w:rFonts w:asciiTheme="majorHAnsi" w:hAnsiTheme="majorHAnsi"/>
                <w:sz w:val="16"/>
                <w:lang w:val="ru-MD"/>
              </w:rPr>
            </w:pPr>
            <w:r w:rsidRPr="00EC5A7B">
              <w:rPr>
                <w:rFonts w:asciiTheme="majorHAnsi" w:hAnsiTheme="majorHAnsi"/>
                <w:sz w:val="16"/>
                <w:lang w:val="ru-MD"/>
              </w:rPr>
              <w:t>0</w:t>
            </w:r>
          </w:p>
        </w:tc>
        <w:tc>
          <w:tcPr>
            <w:tcW w:w="1171" w:type="dxa"/>
            <w:vAlign w:val="center"/>
          </w:tcPr>
          <w:p w14:paraId="4672DA19" w14:textId="77777777" w:rsidR="00B67B18" w:rsidRPr="00EC5A7B" w:rsidRDefault="00C45F93" w:rsidP="00DC237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val="restart"/>
          </w:tcPr>
          <w:p w14:paraId="3F25D8B5" w14:textId="3CD0483C" w:rsidR="00B67B18" w:rsidRPr="00EC5A7B" w:rsidRDefault="0027111E" w:rsidP="00E32951">
            <w:pPr>
              <w:jc w:val="both"/>
              <w:rPr>
                <w:rFonts w:asciiTheme="majorHAnsi" w:hAnsiTheme="majorHAnsi"/>
                <w:sz w:val="16"/>
                <w:lang w:val="ru-MD"/>
              </w:rPr>
            </w:pPr>
            <w:r w:rsidRPr="00EC5A7B">
              <w:rPr>
                <w:rFonts w:asciiTheme="majorHAnsi" w:hAnsiTheme="majorHAnsi"/>
                <w:sz w:val="16"/>
                <w:lang w:val="ru-MD"/>
              </w:rPr>
              <w:t xml:space="preserve">Соглашение с ЕБРР стало </w:t>
            </w:r>
            <w:r w:rsidR="00A469D4" w:rsidRPr="00EC5A7B">
              <w:rPr>
                <w:rFonts w:asciiTheme="majorHAnsi" w:hAnsiTheme="majorHAnsi"/>
                <w:sz w:val="16"/>
                <w:lang w:val="ru-MD"/>
              </w:rPr>
              <w:t>действующи</w:t>
            </w:r>
            <w:r w:rsidRPr="00EC5A7B">
              <w:rPr>
                <w:rFonts w:asciiTheme="majorHAnsi" w:hAnsiTheme="majorHAnsi"/>
                <w:sz w:val="16"/>
                <w:lang w:val="ru-MD"/>
              </w:rPr>
              <w:t xml:space="preserve">м </w:t>
            </w:r>
            <w:r w:rsidR="00A469D4" w:rsidRPr="00EC5A7B">
              <w:rPr>
                <w:rFonts w:asciiTheme="majorHAnsi" w:hAnsiTheme="majorHAnsi"/>
                <w:sz w:val="16"/>
                <w:lang w:val="ru-MD"/>
              </w:rPr>
              <w:t>на</w:t>
            </w:r>
            <w:r w:rsidRPr="00EC5A7B">
              <w:rPr>
                <w:rFonts w:asciiTheme="majorHAnsi" w:hAnsiTheme="majorHAnsi"/>
                <w:sz w:val="16"/>
                <w:lang w:val="ru-MD"/>
              </w:rPr>
              <w:t xml:space="preserve"> 07.08.2019. </w:t>
            </w:r>
            <w:r w:rsidR="00E32951" w:rsidRPr="00EC5A7B">
              <w:rPr>
                <w:rFonts w:asciiTheme="majorHAnsi" w:hAnsiTheme="majorHAnsi"/>
                <w:sz w:val="16"/>
                <w:lang w:val="ru-MD"/>
              </w:rPr>
              <w:t>ГП „Moldelectrica” запросило</w:t>
            </w:r>
            <w:r w:rsidRPr="00EC5A7B">
              <w:rPr>
                <w:rFonts w:asciiTheme="majorHAnsi" w:hAnsiTheme="majorHAnsi"/>
                <w:sz w:val="16"/>
                <w:lang w:val="ru-MD"/>
              </w:rPr>
              <w:t xml:space="preserve"> авторизаци</w:t>
            </w:r>
            <w:r w:rsidR="00E32951" w:rsidRPr="00EC5A7B">
              <w:rPr>
                <w:rFonts w:asciiTheme="majorHAnsi" w:hAnsiTheme="majorHAnsi"/>
                <w:sz w:val="16"/>
                <w:lang w:val="ru-MD"/>
              </w:rPr>
              <w:t>ю</w:t>
            </w:r>
            <w:r w:rsidRPr="00EC5A7B">
              <w:rPr>
                <w:rFonts w:asciiTheme="majorHAnsi" w:hAnsiTheme="majorHAnsi"/>
                <w:sz w:val="16"/>
                <w:lang w:val="ru-MD"/>
              </w:rPr>
              <w:t xml:space="preserve"> подписей для осуществления выплат по </w:t>
            </w:r>
            <w:r w:rsidR="00E32951" w:rsidRPr="00EC5A7B">
              <w:rPr>
                <w:rFonts w:asciiTheme="majorHAnsi" w:hAnsiTheme="majorHAnsi"/>
                <w:sz w:val="16"/>
                <w:lang w:val="ru-MD"/>
              </w:rPr>
              <w:t>К</w:t>
            </w:r>
            <w:r w:rsidRPr="00EC5A7B">
              <w:rPr>
                <w:rFonts w:asciiTheme="majorHAnsi" w:hAnsiTheme="majorHAnsi"/>
                <w:sz w:val="16"/>
                <w:lang w:val="ru-MD"/>
              </w:rPr>
              <w:t>редитному соглашению, котор</w:t>
            </w:r>
            <w:r w:rsidR="00E32951" w:rsidRPr="00EC5A7B">
              <w:rPr>
                <w:rFonts w:asciiTheme="majorHAnsi" w:hAnsiTheme="majorHAnsi"/>
                <w:sz w:val="16"/>
                <w:lang w:val="ru-MD"/>
              </w:rPr>
              <w:t>ая,</w:t>
            </w:r>
            <w:r w:rsidRPr="00EC5A7B">
              <w:rPr>
                <w:rFonts w:asciiTheme="majorHAnsi" w:hAnsiTheme="majorHAnsi"/>
                <w:sz w:val="16"/>
                <w:lang w:val="ru-MD"/>
              </w:rPr>
              <w:t xml:space="preserve"> по состоянию на 31.12.2019</w:t>
            </w:r>
            <w:r w:rsidR="00E32951" w:rsidRPr="00EC5A7B">
              <w:rPr>
                <w:rFonts w:asciiTheme="majorHAnsi" w:hAnsiTheme="majorHAnsi"/>
                <w:sz w:val="16"/>
                <w:lang w:val="ru-MD"/>
              </w:rPr>
              <w:t>,</w:t>
            </w:r>
            <w:r w:rsidRPr="00EC5A7B">
              <w:rPr>
                <w:rFonts w:asciiTheme="majorHAnsi" w:hAnsiTheme="majorHAnsi"/>
                <w:sz w:val="16"/>
                <w:lang w:val="ru-MD"/>
              </w:rPr>
              <w:t xml:space="preserve"> не был</w:t>
            </w:r>
            <w:r w:rsidR="00E32951" w:rsidRPr="00EC5A7B">
              <w:rPr>
                <w:rFonts w:asciiTheme="majorHAnsi" w:hAnsiTheme="majorHAnsi"/>
                <w:sz w:val="16"/>
                <w:lang w:val="ru-MD"/>
              </w:rPr>
              <w:t>а</w:t>
            </w:r>
            <w:r w:rsidRPr="00EC5A7B">
              <w:rPr>
                <w:rFonts w:asciiTheme="majorHAnsi" w:hAnsiTheme="majorHAnsi"/>
                <w:sz w:val="16"/>
                <w:lang w:val="ru-MD"/>
              </w:rPr>
              <w:t xml:space="preserve"> выдан</w:t>
            </w:r>
            <w:r w:rsidR="00E32951" w:rsidRPr="00EC5A7B">
              <w:rPr>
                <w:rFonts w:asciiTheme="majorHAnsi" w:hAnsiTheme="majorHAnsi"/>
                <w:sz w:val="16"/>
                <w:lang w:val="ru-MD"/>
              </w:rPr>
              <w:t>а.</w:t>
            </w:r>
            <w:r w:rsidRPr="00EC5A7B">
              <w:rPr>
                <w:rFonts w:asciiTheme="majorHAnsi" w:hAnsiTheme="majorHAnsi"/>
                <w:sz w:val="16"/>
                <w:lang w:val="ru-MD"/>
              </w:rPr>
              <w:t xml:space="preserve"> </w:t>
            </w:r>
          </w:p>
        </w:tc>
      </w:tr>
      <w:tr w:rsidR="00B67B18" w:rsidRPr="00EC5A7B" w14:paraId="0A76B355" w14:textId="77777777" w:rsidTr="00194F19">
        <w:tc>
          <w:tcPr>
            <w:tcW w:w="1435" w:type="dxa"/>
            <w:shd w:val="clear" w:color="auto" w:fill="auto"/>
            <w:vAlign w:val="center"/>
          </w:tcPr>
          <w:p w14:paraId="1601380E"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D-161/BERD/2017</w:t>
            </w:r>
          </w:p>
        </w:tc>
        <w:tc>
          <w:tcPr>
            <w:tcW w:w="1621" w:type="dxa"/>
            <w:shd w:val="clear" w:color="auto" w:fill="auto"/>
            <w:vAlign w:val="center"/>
          </w:tcPr>
          <w:p w14:paraId="47D03785" w14:textId="2F29D5D7" w:rsidR="00B67B18" w:rsidRPr="00EC5A7B" w:rsidRDefault="00C26C7F" w:rsidP="00C26C7F">
            <w:pPr>
              <w:tabs>
                <w:tab w:val="left" w:pos="1402"/>
              </w:tabs>
              <w:ind w:hanging="17"/>
              <w:jc w:val="center"/>
              <w:rPr>
                <w:rFonts w:asciiTheme="majorHAnsi" w:hAnsiTheme="majorHAnsi"/>
                <w:sz w:val="16"/>
                <w:lang w:val="ru-MD"/>
              </w:rPr>
            </w:pPr>
            <w:r w:rsidRPr="00EC5A7B">
              <w:rPr>
                <w:rFonts w:asciiTheme="majorHAnsi" w:hAnsiTheme="majorHAnsi"/>
                <w:sz w:val="16"/>
                <w:lang w:val="ru-MD"/>
              </w:rPr>
              <w:t>Взаимоподключение электрических сетей между РМ и Румынией</w:t>
            </w:r>
          </w:p>
        </w:tc>
        <w:tc>
          <w:tcPr>
            <w:tcW w:w="630" w:type="dxa"/>
            <w:shd w:val="clear" w:color="auto" w:fill="auto"/>
            <w:vAlign w:val="center"/>
          </w:tcPr>
          <w:p w14:paraId="19EEB944" w14:textId="1D105F30"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76463845"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80,0</w:t>
            </w:r>
          </w:p>
        </w:tc>
        <w:tc>
          <w:tcPr>
            <w:tcW w:w="947" w:type="dxa"/>
            <w:shd w:val="clear" w:color="auto" w:fill="auto"/>
            <w:vAlign w:val="center"/>
          </w:tcPr>
          <w:p w14:paraId="7EE9B5B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20.12.17</w:t>
            </w:r>
          </w:p>
        </w:tc>
        <w:tc>
          <w:tcPr>
            <w:tcW w:w="992" w:type="dxa"/>
            <w:shd w:val="clear" w:color="auto" w:fill="auto"/>
            <w:vAlign w:val="center"/>
          </w:tcPr>
          <w:p w14:paraId="66ECF0B0"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20.12.21</w:t>
            </w:r>
          </w:p>
        </w:tc>
        <w:tc>
          <w:tcPr>
            <w:tcW w:w="831" w:type="dxa"/>
            <w:shd w:val="clear" w:color="auto" w:fill="auto"/>
            <w:vAlign w:val="center"/>
          </w:tcPr>
          <w:p w14:paraId="2ADA8D9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1102" w:type="dxa"/>
            <w:shd w:val="clear" w:color="auto" w:fill="auto"/>
            <w:vAlign w:val="center"/>
          </w:tcPr>
          <w:p w14:paraId="1D76CB2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80,0</w:t>
            </w:r>
          </w:p>
        </w:tc>
        <w:tc>
          <w:tcPr>
            <w:tcW w:w="1171" w:type="dxa"/>
            <w:shd w:val="clear" w:color="auto" w:fill="auto"/>
            <w:vAlign w:val="center"/>
          </w:tcPr>
          <w:p w14:paraId="715C3CDB"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1171" w:type="dxa"/>
            <w:vAlign w:val="center"/>
          </w:tcPr>
          <w:p w14:paraId="7A978568" w14:textId="77777777" w:rsidR="00B67B18" w:rsidRPr="00EC5A7B" w:rsidRDefault="00BD513F" w:rsidP="00B67B18">
            <w:pPr>
              <w:jc w:val="center"/>
              <w:rPr>
                <w:rFonts w:asciiTheme="majorHAnsi" w:hAnsiTheme="majorHAnsi"/>
                <w:sz w:val="16"/>
                <w:lang w:val="ru-MD"/>
              </w:rPr>
            </w:pPr>
            <w:r w:rsidRPr="00EC5A7B">
              <w:rPr>
                <w:rFonts w:asciiTheme="majorHAnsi" w:hAnsiTheme="majorHAnsi"/>
                <w:sz w:val="16"/>
                <w:lang w:val="ru-MD"/>
              </w:rPr>
              <w:t>1 656,47</w:t>
            </w:r>
          </w:p>
        </w:tc>
        <w:tc>
          <w:tcPr>
            <w:tcW w:w="4139" w:type="dxa"/>
            <w:vMerge/>
          </w:tcPr>
          <w:p w14:paraId="21E5DDB2" w14:textId="77777777" w:rsidR="00B67B18" w:rsidRPr="00EC5A7B" w:rsidRDefault="00B67B18" w:rsidP="00B67B18">
            <w:pPr>
              <w:jc w:val="center"/>
              <w:rPr>
                <w:rFonts w:asciiTheme="majorHAnsi" w:hAnsiTheme="majorHAnsi"/>
                <w:sz w:val="16"/>
                <w:lang w:val="ru-MD"/>
              </w:rPr>
            </w:pPr>
          </w:p>
        </w:tc>
      </w:tr>
      <w:tr w:rsidR="00B67B18" w:rsidRPr="00EC5A7B" w14:paraId="26AA7F03" w14:textId="77777777" w:rsidTr="00194F19">
        <w:tc>
          <w:tcPr>
            <w:tcW w:w="1435" w:type="dxa"/>
            <w:shd w:val="clear" w:color="auto" w:fill="auto"/>
            <w:vAlign w:val="center"/>
          </w:tcPr>
          <w:p w14:paraId="06CA8A2A"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D-128/CEB/2013</w:t>
            </w:r>
          </w:p>
        </w:tc>
        <w:tc>
          <w:tcPr>
            <w:tcW w:w="1621" w:type="dxa"/>
            <w:shd w:val="clear" w:color="auto" w:fill="auto"/>
            <w:vAlign w:val="center"/>
          </w:tcPr>
          <w:p w14:paraId="23232F46" w14:textId="3BA5CBDE" w:rsidR="00B67B18" w:rsidRPr="00EC5A7B" w:rsidRDefault="00E93CF4" w:rsidP="00E93CF4">
            <w:pPr>
              <w:jc w:val="center"/>
              <w:rPr>
                <w:rFonts w:asciiTheme="majorHAnsi" w:hAnsiTheme="majorHAnsi"/>
                <w:sz w:val="16"/>
                <w:lang w:val="ru-MD"/>
              </w:rPr>
            </w:pPr>
            <w:r w:rsidRPr="00EC5A7B">
              <w:rPr>
                <w:rFonts w:asciiTheme="majorHAnsi" w:hAnsiTheme="majorHAnsi"/>
                <w:sz w:val="16"/>
                <w:lang w:val="ru-MD"/>
              </w:rPr>
              <w:t>Строительство пенитенциара в мун. Кишинэу</w:t>
            </w:r>
          </w:p>
        </w:tc>
        <w:tc>
          <w:tcPr>
            <w:tcW w:w="630" w:type="dxa"/>
            <w:shd w:val="clear" w:color="auto" w:fill="auto"/>
            <w:vAlign w:val="center"/>
          </w:tcPr>
          <w:p w14:paraId="17D944E2" w14:textId="038177BB"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05344B4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39,0</w:t>
            </w:r>
          </w:p>
        </w:tc>
        <w:tc>
          <w:tcPr>
            <w:tcW w:w="947" w:type="dxa"/>
            <w:shd w:val="clear" w:color="auto" w:fill="auto"/>
            <w:vAlign w:val="center"/>
          </w:tcPr>
          <w:p w14:paraId="4238869C"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10.10.13</w:t>
            </w:r>
          </w:p>
        </w:tc>
        <w:tc>
          <w:tcPr>
            <w:tcW w:w="992" w:type="dxa"/>
            <w:shd w:val="clear" w:color="auto" w:fill="auto"/>
            <w:vAlign w:val="center"/>
          </w:tcPr>
          <w:p w14:paraId="0D90E1C5"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31.12.22</w:t>
            </w:r>
          </w:p>
        </w:tc>
        <w:tc>
          <w:tcPr>
            <w:tcW w:w="831" w:type="dxa"/>
            <w:shd w:val="clear" w:color="auto" w:fill="auto"/>
            <w:vAlign w:val="center"/>
          </w:tcPr>
          <w:p w14:paraId="0A3206E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0,68</w:t>
            </w:r>
          </w:p>
        </w:tc>
        <w:tc>
          <w:tcPr>
            <w:tcW w:w="1102" w:type="dxa"/>
            <w:shd w:val="clear" w:color="auto" w:fill="auto"/>
            <w:vAlign w:val="center"/>
          </w:tcPr>
          <w:p w14:paraId="3C3F9892"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38,32</w:t>
            </w:r>
          </w:p>
        </w:tc>
        <w:tc>
          <w:tcPr>
            <w:tcW w:w="1171" w:type="dxa"/>
            <w:shd w:val="clear" w:color="auto" w:fill="auto"/>
            <w:vAlign w:val="center"/>
          </w:tcPr>
          <w:p w14:paraId="6ECCEBE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1,7</w:t>
            </w:r>
          </w:p>
        </w:tc>
        <w:tc>
          <w:tcPr>
            <w:tcW w:w="1171" w:type="dxa"/>
            <w:vAlign w:val="center"/>
          </w:tcPr>
          <w:p w14:paraId="46831F70" w14:textId="77777777" w:rsidR="00B67B18" w:rsidRPr="00EC5A7B" w:rsidRDefault="0029703A"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tcPr>
          <w:p w14:paraId="2F59E4C7" w14:textId="210A8155" w:rsidR="00B67B18" w:rsidRPr="00EC5A7B" w:rsidRDefault="0027111E" w:rsidP="00E32951">
            <w:pPr>
              <w:jc w:val="both"/>
              <w:rPr>
                <w:rFonts w:asciiTheme="majorHAnsi" w:hAnsiTheme="majorHAnsi"/>
                <w:sz w:val="16"/>
                <w:lang w:val="ru-MD"/>
              </w:rPr>
            </w:pPr>
            <w:r w:rsidRPr="00EC5A7B">
              <w:rPr>
                <w:rFonts w:asciiTheme="majorHAnsi" w:hAnsiTheme="majorHAnsi"/>
                <w:sz w:val="16"/>
                <w:lang w:val="ru-MD"/>
              </w:rPr>
              <w:t xml:space="preserve">В феврале 2019 года была запущена процедура публичного </w:t>
            </w:r>
            <w:r w:rsidR="00E32951" w:rsidRPr="00EC5A7B">
              <w:rPr>
                <w:rFonts w:asciiTheme="majorHAnsi" w:hAnsiTheme="majorHAnsi"/>
                <w:sz w:val="16"/>
                <w:lang w:val="ru-MD"/>
              </w:rPr>
              <w:t>закупки</w:t>
            </w:r>
            <w:r w:rsidRPr="00EC5A7B">
              <w:rPr>
                <w:rFonts w:asciiTheme="majorHAnsi" w:hAnsiTheme="majorHAnsi"/>
                <w:sz w:val="16"/>
                <w:lang w:val="ru-MD"/>
              </w:rPr>
              <w:t xml:space="preserve"> строительных работ и </w:t>
            </w:r>
            <w:r w:rsidR="00E32951" w:rsidRPr="00EC5A7B">
              <w:rPr>
                <w:rFonts w:asciiTheme="majorHAnsi" w:hAnsiTheme="majorHAnsi"/>
                <w:sz w:val="16"/>
                <w:lang w:val="ru-MD"/>
              </w:rPr>
              <w:t xml:space="preserve">услуг </w:t>
            </w:r>
            <w:r w:rsidRPr="00EC5A7B">
              <w:rPr>
                <w:rFonts w:asciiTheme="majorHAnsi" w:hAnsiTheme="majorHAnsi"/>
                <w:sz w:val="16"/>
                <w:lang w:val="ru-MD"/>
              </w:rPr>
              <w:t xml:space="preserve">технического надзора. По </w:t>
            </w:r>
            <w:r w:rsidR="00E32951" w:rsidRPr="00EC5A7B">
              <w:rPr>
                <w:rFonts w:asciiTheme="majorHAnsi" w:hAnsiTheme="majorHAnsi"/>
                <w:sz w:val="16"/>
                <w:lang w:val="ru-MD"/>
              </w:rPr>
              <w:t>запросу</w:t>
            </w:r>
            <w:r w:rsidRPr="00EC5A7B">
              <w:rPr>
                <w:rFonts w:asciiTheme="majorHAnsi" w:hAnsiTheme="majorHAnsi"/>
                <w:sz w:val="16"/>
                <w:lang w:val="ru-MD"/>
              </w:rPr>
              <w:t xml:space="preserve"> участников, срок представления </w:t>
            </w:r>
            <w:r w:rsidR="00E32951" w:rsidRPr="00EC5A7B">
              <w:rPr>
                <w:rFonts w:asciiTheme="majorHAnsi" w:hAnsiTheme="majorHAnsi"/>
                <w:sz w:val="16"/>
                <w:lang w:val="ru-MD"/>
              </w:rPr>
              <w:t>оферт</w:t>
            </w:r>
            <w:r w:rsidRPr="00EC5A7B">
              <w:rPr>
                <w:rFonts w:asciiTheme="majorHAnsi" w:hAnsiTheme="majorHAnsi"/>
                <w:sz w:val="16"/>
                <w:lang w:val="ru-MD"/>
              </w:rPr>
              <w:t xml:space="preserve"> был продлен. Аукцион состоялся 03.09.2019. </w:t>
            </w:r>
            <w:r w:rsidR="00E32951" w:rsidRPr="00EC5A7B">
              <w:rPr>
                <w:rFonts w:asciiTheme="majorHAnsi" w:hAnsiTheme="majorHAnsi"/>
                <w:sz w:val="16"/>
                <w:lang w:val="ru-MD"/>
              </w:rPr>
              <w:t>Оферты</w:t>
            </w:r>
            <w:r w:rsidRPr="00EC5A7B">
              <w:rPr>
                <w:rFonts w:asciiTheme="majorHAnsi" w:hAnsiTheme="majorHAnsi"/>
                <w:sz w:val="16"/>
                <w:lang w:val="ru-MD"/>
              </w:rPr>
              <w:t xml:space="preserve"> были оценены в период с октября по декабрь. На данный момент не определен победи</w:t>
            </w:r>
            <w:r w:rsidR="00E32951" w:rsidRPr="00EC5A7B">
              <w:rPr>
                <w:rFonts w:asciiTheme="majorHAnsi" w:hAnsiTheme="majorHAnsi"/>
                <w:sz w:val="16"/>
                <w:lang w:val="ru-MD"/>
              </w:rPr>
              <w:t>вший</w:t>
            </w:r>
            <w:r w:rsidRPr="00EC5A7B">
              <w:rPr>
                <w:rFonts w:asciiTheme="majorHAnsi" w:hAnsiTheme="majorHAnsi"/>
                <w:sz w:val="16"/>
                <w:lang w:val="ru-MD"/>
              </w:rPr>
              <w:t xml:space="preserve"> предпринимател</w:t>
            </w:r>
            <w:r w:rsidR="00E32951" w:rsidRPr="00EC5A7B">
              <w:rPr>
                <w:rFonts w:asciiTheme="majorHAnsi" w:hAnsiTheme="majorHAnsi"/>
                <w:sz w:val="16"/>
                <w:lang w:val="ru-MD"/>
              </w:rPr>
              <w:t>ь</w:t>
            </w:r>
            <w:r w:rsidRPr="00EC5A7B">
              <w:rPr>
                <w:rFonts w:asciiTheme="majorHAnsi" w:hAnsiTheme="majorHAnsi"/>
                <w:sz w:val="16"/>
                <w:lang w:val="ru-MD"/>
              </w:rPr>
              <w:t xml:space="preserve">. Из-за технических отклонений, совместно с экспертами CEB, дополнительно переоцениваются скорректированные </w:t>
            </w:r>
            <w:r w:rsidR="00E32951" w:rsidRPr="00EC5A7B">
              <w:rPr>
                <w:rFonts w:asciiTheme="majorHAnsi" w:hAnsiTheme="majorHAnsi"/>
                <w:sz w:val="16"/>
                <w:lang w:val="ru-MD"/>
              </w:rPr>
              <w:t xml:space="preserve">оферты. </w:t>
            </w:r>
            <w:r w:rsidRPr="00EC5A7B">
              <w:rPr>
                <w:rFonts w:asciiTheme="majorHAnsi" w:hAnsiTheme="majorHAnsi"/>
                <w:sz w:val="16"/>
                <w:lang w:val="ru-MD"/>
              </w:rPr>
              <w:t xml:space="preserve"> </w:t>
            </w:r>
          </w:p>
        </w:tc>
      </w:tr>
      <w:tr w:rsidR="00B67B18" w:rsidRPr="00EC5A7B" w14:paraId="6451C2C7" w14:textId="77777777" w:rsidTr="00194F19">
        <w:tc>
          <w:tcPr>
            <w:tcW w:w="1435" w:type="dxa"/>
            <w:shd w:val="clear" w:color="auto" w:fill="auto"/>
            <w:vAlign w:val="center"/>
          </w:tcPr>
          <w:p w14:paraId="75D74BF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D-166/CEB/2018</w:t>
            </w:r>
          </w:p>
        </w:tc>
        <w:tc>
          <w:tcPr>
            <w:tcW w:w="1621" w:type="dxa"/>
            <w:shd w:val="clear" w:color="auto" w:fill="auto"/>
            <w:vAlign w:val="center"/>
          </w:tcPr>
          <w:p w14:paraId="5F8A0D35" w14:textId="4030E12F" w:rsidR="00B67B18" w:rsidRPr="00EC5A7B" w:rsidRDefault="00E93CF4" w:rsidP="00B67B18">
            <w:pPr>
              <w:jc w:val="center"/>
              <w:rPr>
                <w:rFonts w:asciiTheme="majorHAnsi" w:hAnsiTheme="majorHAnsi"/>
                <w:sz w:val="16"/>
                <w:lang w:val="ru-MD"/>
              </w:rPr>
            </w:pPr>
            <w:r w:rsidRPr="00EC5A7B">
              <w:rPr>
                <w:rFonts w:asciiTheme="majorHAnsi" w:hAnsiTheme="majorHAnsi"/>
                <w:sz w:val="16"/>
                <w:lang w:val="ru-MD"/>
              </w:rPr>
              <w:t>Закупка машин скорой помощи</w:t>
            </w:r>
          </w:p>
        </w:tc>
        <w:tc>
          <w:tcPr>
            <w:tcW w:w="630" w:type="dxa"/>
            <w:shd w:val="clear" w:color="auto" w:fill="auto"/>
            <w:vAlign w:val="center"/>
          </w:tcPr>
          <w:p w14:paraId="4E29995F" w14:textId="0BEBFEB3"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2CEDB9AA"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12,0</w:t>
            </w:r>
          </w:p>
        </w:tc>
        <w:tc>
          <w:tcPr>
            <w:tcW w:w="947" w:type="dxa"/>
            <w:shd w:val="clear" w:color="auto" w:fill="auto"/>
            <w:vAlign w:val="center"/>
          </w:tcPr>
          <w:p w14:paraId="36F874AB"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12.07.18</w:t>
            </w:r>
          </w:p>
        </w:tc>
        <w:tc>
          <w:tcPr>
            <w:tcW w:w="992" w:type="dxa"/>
            <w:shd w:val="clear" w:color="auto" w:fill="auto"/>
            <w:vAlign w:val="center"/>
          </w:tcPr>
          <w:p w14:paraId="74A089A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31.12.19</w:t>
            </w:r>
          </w:p>
        </w:tc>
        <w:tc>
          <w:tcPr>
            <w:tcW w:w="831" w:type="dxa"/>
            <w:shd w:val="clear" w:color="auto" w:fill="auto"/>
            <w:vAlign w:val="center"/>
          </w:tcPr>
          <w:p w14:paraId="4DCDBB1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1,07</w:t>
            </w:r>
          </w:p>
        </w:tc>
        <w:tc>
          <w:tcPr>
            <w:tcW w:w="1102" w:type="dxa"/>
            <w:shd w:val="clear" w:color="auto" w:fill="auto"/>
            <w:vAlign w:val="center"/>
          </w:tcPr>
          <w:p w14:paraId="688F18BA"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10,93</w:t>
            </w:r>
          </w:p>
        </w:tc>
        <w:tc>
          <w:tcPr>
            <w:tcW w:w="1171" w:type="dxa"/>
            <w:shd w:val="clear" w:color="auto" w:fill="auto"/>
            <w:vAlign w:val="center"/>
          </w:tcPr>
          <w:p w14:paraId="54B47A53"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8,9</w:t>
            </w:r>
          </w:p>
        </w:tc>
        <w:tc>
          <w:tcPr>
            <w:tcW w:w="1171" w:type="dxa"/>
            <w:vAlign w:val="center"/>
          </w:tcPr>
          <w:p w14:paraId="2AC5AB6E"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tcPr>
          <w:p w14:paraId="7C4E564D" w14:textId="19F56A61" w:rsidR="00B67B18" w:rsidRPr="00EC5A7B" w:rsidRDefault="00DB7DC6" w:rsidP="00DB7DC6">
            <w:pPr>
              <w:jc w:val="both"/>
              <w:rPr>
                <w:rFonts w:asciiTheme="majorHAnsi" w:hAnsiTheme="majorHAnsi"/>
                <w:sz w:val="16"/>
                <w:lang w:val="ru-MD"/>
              </w:rPr>
            </w:pPr>
            <w:r w:rsidRPr="00EC5A7B">
              <w:rPr>
                <w:rFonts w:asciiTheme="majorHAnsi" w:hAnsiTheme="majorHAnsi"/>
                <w:sz w:val="16"/>
                <w:lang w:val="ru-MD"/>
              </w:rPr>
              <w:t xml:space="preserve">На </w:t>
            </w:r>
            <w:r w:rsidR="0027111E" w:rsidRPr="00EC5A7B">
              <w:rPr>
                <w:rFonts w:asciiTheme="majorHAnsi" w:hAnsiTheme="majorHAnsi"/>
                <w:sz w:val="16"/>
                <w:lang w:val="ru-MD"/>
              </w:rPr>
              <w:t>16.04.2019, согласно едино</w:t>
            </w:r>
            <w:r w:rsidRPr="00EC5A7B">
              <w:rPr>
                <w:rFonts w:asciiTheme="majorHAnsi" w:hAnsiTheme="majorHAnsi"/>
                <w:sz w:val="16"/>
                <w:lang w:val="ru-MD"/>
              </w:rPr>
              <w:t>й</w:t>
            </w:r>
            <w:r w:rsidR="0027111E" w:rsidRPr="00EC5A7B">
              <w:rPr>
                <w:rFonts w:asciiTheme="majorHAnsi" w:hAnsiTheme="majorHAnsi"/>
                <w:sz w:val="16"/>
                <w:lang w:val="ru-MD"/>
              </w:rPr>
              <w:t xml:space="preserve"> </w:t>
            </w:r>
            <w:r w:rsidRPr="00EC5A7B">
              <w:rPr>
                <w:rFonts w:asciiTheme="majorHAnsi" w:hAnsiTheme="majorHAnsi"/>
                <w:sz w:val="16"/>
                <w:lang w:val="ru-MD"/>
              </w:rPr>
              <w:t>оферте</w:t>
            </w:r>
            <w:r w:rsidR="0027111E" w:rsidRPr="00EC5A7B">
              <w:rPr>
                <w:rFonts w:asciiTheme="majorHAnsi" w:hAnsiTheme="majorHAnsi"/>
                <w:sz w:val="16"/>
                <w:lang w:val="ru-MD"/>
              </w:rPr>
              <w:t xml:space="preserve">, был подписан </w:t>
            </w:r>
            <w:r w:rsidRPr="00EC5A7B">
              <w:rPr>
                <w:rFonts w:asciiTheme="majorHAnsi" w:hAnsiTheme="majorHAnsi"/>
                <w:sz w:val="16"/>
                <w:lang w:val="ru-MD"/>
              </w:rPr>
              <w:t>договор</w:t>
            </w:r>
            <w:r w:rsidR="0027111E" w:rsidRPr="00EC5A7B">
              <w:rPr>
                <w:rFonts w:asciiTheme="majorHAnsi" w:hAnsiTheme="majorHAnsi"/>
                <w:sz w:val="16"/>
                <w:lang w:val="ru-MD"/>
              </w:rPr>
              <w:t xml:space="preserve"> на </w:t>
            </w:r>
            <w:r w:rsidRPr="00EC5A7B">
              <w:rPr>
                <w:rFonts w:asciiTheme="majorHAnsi" w:hAnsiTheme="majorHAnsi"/>
                <w:sz w:val="16"/>
                <w:lang w:val="ru-MD"/>
              </w:rPr>
              <w:t>п</w:t>
            </w:r>
            <w:r w:rsidR="0027111E" w:rsidRPr="00EC5A7B">
              <w:rPr>
                <w:rFonts w:asciiTheme="majorHAnsi" w:hAnsiTheme="majorHAnsi"/>
                <w:sz w:val="16"/>
                <w:lang w:val="ru-MD"/>
              </w:rPr>
              <w:t xml:space="preserve">оставку машин скорой помощи. Из-за подозрений в коррупции со стороны органов с соответствующими </w:t>
            </w:r>
            <w:r w:rsidRPr="00EC5A7B">
              <w:rPr>
                <w:rFonts w:asciiTheme="majorHAnsi" w:hAnsiTheme="majorHAnsi"/>
                <w:sz w:val="16"/>
                <w:lang w:val="ru-MD"/>
              </w:rPr>
              <w:t>компетенциями</w:t>
            </w:r>
            <w:r w:rsidR="0027111E" w:rsidRPr="00EC5A7B">
              <w:rPr>
                <w:rFonts w:asciiTheme="majorHAnsi" w:hAnsiTheme="majorHAnsi"/>
                <w:sz w:val="16"/>
                <w:lang w:val="ru-MD"/>
              </w:rPr>
              <w:t xml:space="preserve"> в процессе </w:t>
            </w:r>
            <w:r w:rsidRPr="00EC5A7B">
              <w:rPr>
                <w:rFonts w:asciiTheme="majorHAnsi" w:hAnsiTheme="majorHAnsi"/>
                <w:sz w:val="16"/>
                <w:lang w:val="ru-MD"/>
              </w:rPr>
              <w:t>закупки</w:t>
            </w:r>
            <w:r w:rsidR="0027111E" w:rsidRPr="00EC5A7B">
              <w:rPr>
                <w:rFonts w:asciiTheme="majorHAnsi" w:hAnsiTheme="majorHAnsi"/>
                <w:sz w:val="16"/>
                <w:lang w:val="ru-MD"/>
              </w:rPr>
              <w:t xml:space="preserve"> машин скорой помощи, е</w:t>
            </w:r>
            <w:r w:rsidRPr="00EC5A7B">
              <w:rPr>
                <w:rFonts w:asciiTheme="majorHAnsi" w:hAnsiTheme="majorHAnsi"/>
                <w:sz w:val="16"/>
                <w:lang w:val="ru-MD"/>
              </w:rPr>
              <w:t>е провед</w:t>
            </w:r>
            <w:r w:rsidR="0027111E" w:rsidRPr="00EC5A7B">
              <w:rPr>
                <w:rFonts w:asciiTheme="majorHAnsi" w:hAnsiTheme="majorHAnsi"/>
                <w:sz w:val="16"/>
                <w:lang w:val="ru-MD"/>
              </w:rPr>
              <w:t>ение в 2019 году было приостановлено</w:t>
            </w:r>
            <w:r w:rsidRPr="00EC5A7B">
              <w:rPr>
                <w:rFonts w:asciiTheme="majorHAnsi" w:hAnsiTheme="majorHAnsi"/>
                <w:sz w:val="16"/>
                <w:lang w:val="ru-MD"/>
              </w:rPr>
              <w:t>.</w:t>
            </w:r>
            <w:r w:rsidR="0027111E" w:rsidRPr="00EC5A7B">
              <w:rPr>
                <w:rFonts w:asciiTheme="majorHAnsi" w:hAnsiTheme="majorHAnsi"/>
                <w:sz w:val="16"/>
                <w:lang w:val="ru-MD"/>
              </w:rPr>
              <w:t xml:space="preserve"> </w:t>
            </w:r>
          </w:p>
        </w:tc>
      </w:tr>
      <w:tr w:rsidR="00B67B18" w:rsidRPr="00EC5A7B" w14:paraId="1A5F816F" w14:textId="77777777" w:rsidTr="00194F19">
        <w:tc>
          <w:tcPr>
            <w:tcW w:w="1435" w:type="dxa"/>
            <w:shd w:val="clear" w:color="auto" w:fill="auto"/>
            <w:vAlign w:val="center"/>
          </w:tcPr>
          <w:p w14:paraId="2FAA416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D-159/UE/2017</w:t>
            </w:r>
          </w:p>
        </w:tc>
        <w:tc>
          <w:tcPr>
            <w:tcW w:w="1621" w:type="dxa"/>
            <w:shd w:val="clear" w:color="auto" w:fill="auto"/>
            <w:vAlign w:val="center"/>
          </w:tcPr>
          <w:p w14:paraId="319C08F3" w14:textId="15DD4409" w:rsidR="00B67B18" w:rsidRPr="00EC5A7B" w:rsidRDefault="00E93CF4" w:rsidP="00B67B18">
            <w:pPr>
              <w:jc w:val="center"/>
              <w:rPr>
                <w:rFonts w:asciiTheme="majorHAnsi" w:hAnsiTheme="majorHAnsi"/>
                <w:sz w:val="16"/>
                <w:lang w:val="ru-MD"/>
              </w:rPr>
            </w:pPr>
            <w:r w:rsidRPr="00EC5A7B">
              <w:rPr>
                <w:rFonts w:asciiTheme="majorHAnsi" w:hAnsiTheme="majorHAnsi"/>
                <w:sz w:val="16"/>
                <w:lang w:val="ru-MD"/>
              </w:rPr>
              <w:t>Макрофинансовая помощь</w:t>
            </w:r>
          </w:p>
        </w:tc>
        <w:tc>
          <w:tcPr>
            <w:tcW w:w="630" w:type="dxa"/>
            <w:shd w:val="clear" w:color="auto" w:fill="auto"/>
            <w:vAlign w:val="center"/>
          </w:tcPr>
          <w:p w14:paraId="4A1027C5" w14:textId="449DC271"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68D29412"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60,0</w:t>
            </w:r>
          </w:p>
        </w:tc>
        <w:tc>
          <w:tcPr>
            <w:tcW w:w="947" w:type="dxa"/>
            <w:shd w:val="clear" w:color="auto" w:fill="auto"/>
            <w:vAlign w:val="center"/>
          </w:tcPr>
          <w:p w14:paraId="718758C4"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23.11.17</w:t>
            </w:r>
          </w:p>
        </w:tc>
        <w:tc>
          <w:tcPr>
            <w:tcW w:w="992" w:type="dxa"/>
            <w:shd w:val="clear" w:color="auto" w:fill="auto"/>
            <w:vAlign w:val="center"/>
          </w:tcPr>
          <w:p w14:paraId="70655C6C"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01.11.20</w:t>
            </w:r>
          </w:p>
        </w:tc>
        <w:tc>
          <w:tcPr>
            <w:tcW w:w="831" w:type="dxa"/>
            <w:shd w:val="clear" w:color="auto" w:fill="auto"/>
            <w:vAlign w:val="center"/>
          </w:tcPr>
          <w:p w14:paraId="7B9799EF"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20,0</w:t>
            </w:r>
          </w:p>
        </w:tc>
        <w:tc>
          <w:tcPr>
            <w:tcW w:w="1102" w:type="dxa"/>
            <w:shd w:val="clear" w:color="auto" w:fill="auto"/>
            <w:vAlign w:val="center"/>
          </w:tcPr>
          <w:p w14:paraId="01F96C0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40,0</w:t>
            </w:r>
          </w:p>
        </w:tc>
        <w:tc>
          <w:tcPr>
            <w:tcW w:w="1171" w:type="dxa"/>
            <w:shd w:val="clear" w:color="auto" w:fill="auto"/>
            <w:vAlign w:val="center"/>
          </w:tcPr>
          <w:p w14:paraId="58B1E1F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33,3</w:t>
            </w:r>
          </w:p>
        </w:tc>
        <w:tc>
          <w:tcPr>
            <w:tcW w:w="1171" w:type="dxa"/>
            <w:vAlign w:val="center"/>
          </w:tcPr>
          <w:p w14:paraId="3B35CA7F" w14:textId="77777777" w:rsidR="00B67B18" w:rsidRPr="00EC5A7B" w:rsidRDefault="00C45F93" w:rsidP="00B67B18">
            <w:pPr>
              <w:jc w:val="center"/>
              <w:rPr>
                <w:rFonts w:asciiTheme="majorHAnsi" w:hAnsiTheme="majorHAnsi"/>
                <w:sz w:val="16"/>
                <w:lang w:val="ru-MD"/>
              </w:rPr>
            </w:pPr>
            <w:r w:rsidRPr="00EC5A7B">
              <w:rPr>
                <w:rFonts w:asciiTheme="majorHAnsi" w:hAnsiTheme="majorHAnsi"/>
                <w:sz w:val="16"/>
                <w:lang w:val="ru-MD"/>
              </w:rPr>
              <w:t>169,30</w:t>
            </w:r>
          </w:p>
        </w:tc>
        <w:tc>
          <w:tcPr>
            <w:tcW w:w="4139" w:type="dxa"/>
          </w:tcPr>
          <w:p w14:paraId="19A642DB" w14:textId="441EFE1D" w:rsidR="00B67B18" w:rsidRPr="00EC5A7B" w:rsidRDefault="0027111E" w:rsidP="00590304">
            <w:pPr>
              <w:jc w:val="both"/>
              <w:rPr>
                <w:rFonts w:asciiTheme="majorHAnsi" w:hAnsiTheme="majorHAnsi"/>
                <w:sz w:val="16"/>
                <w:lang w:val="ru-MD"/>
              </w:rPr>
            </w:pPr>
            <w:r w:rsidRPr="00EC5A7B">
              <w:rPr>
                <w:rFonts w:asciiTheme="majorHAnsi" w:hAnsiTheme="majorHAnsi"/>
                <w:sz w:val="16"/>
                <w:lang w:val="ru-MD"/>
              </w:rPr>
              <w:t xml:space="preserve">Кредит </w:t>
            </w:r>
            <w:r w:rsidR="00590304" w:rsidRPr="00EC5A7B">
              <w:rPr>
                <w:rFonts w:asciiTheme="majorHAnsi" w:hAnsiTheme="majorHAnsi"/>
                <w:sz w:val="16"/>
                <w:lang w:val="ru-MD"/>
              </w:rPr>
              <w:t>„М</w:t>
            </w:r>
            <w:r w:rsidRPr="00EC5A7B">
              <w:rPr>
                <w:rFonts w:asciiTheme="majorHAnsi" w:hAnsiTheme="majorHAnsi"/>
                <w:sz w:val="16"/>
                <w:lang w:val="ru-MD"/>
              </w:rPr>
              <w:t>акрофинансовая помощь для РМ</w:t>
            </w:r>
            <w:r w:rsidR="00590304" w:rsidRPr="00EC5A7B">
              <w:rPr>
                <w:rFonts w:asciiTheme="majorHAnsi" w:hAnsiTheme="majorHAnsi"/>
                <w:sz w:val="16"/>
                <w:lang w:val="ru-MD"/>
              </w:rPr>
              <w:t>”</w:t>
            </w:r>
            <w:r w:rsidRPr="00EC5A7B">
              <w:rPr>
                <w:rFonts w:asciiTheme="majorHAnsi" w:hAnsiTheme="majorHAnsi"/>
                <w:sz w:val="16"/>
                <w:lang w:val="ru-MD"/>
              </w:rPr>
              <w:t xml:space="preserve"> должен быть </w:t>
            </w:r>
            <w:r w:rsidR="00590304" w:rsidRPr="00EC5A7B">
              <w:rPr>
                <w:rFonts w:asciiTheme="majorHAnsi" w:hAnsiTheme="majorHAnsi"/>
                <w:sz w:val="16"/>
                <w:lang w:val="ru-MD"/>
              </w:rPr>
              <w:t>выплач</w:t>
            </w:r>
            <w:r w:rsidRPr="00EC5A7B">
              <w:rPr>
                <w:rFonts w:asciiTheme="majorHAnsi" w:hAnsiTheme="majorHAnsi"/>
                <w:sz w:val="16"/>
                <w:lang w:val="ru-MD"/>
              </w:rPr>
              <w:t xml:space="preserve">ен в 3 транша по 20,0 млн. евро каждый. Выплата каждого транша обусловлена </w:t>
            </w:r>
            <w:r w:rsidR="00590304" w:rsidRPr="00EC5A7B">
              <w:rPr>
                <w:rFonts w:asciiTheme="majorHAnsi" w:hAnsiTheme="majorHAnsi"/>
                <w:sz w:val="16"/>
                <w:lang w:val="ru-MD"/>
              </w:rPr>
              <w:t>выполнением</w:t>
            </w:r>
            <w:r w:rsidRPr="00EC5A7B">
              <w:rPr>
                <w:rFonts w:asciiTheme="majorHAnsi" w:hAnsiTheme="majorHAnsi"/>
                <w:sz w:val="16"/>
                <w:lang w:val="ru-MD"/>
              </w:rPr>
              <w:t xml:space="preserve"> ряда действий (всего 28 действий), предусмотренных Меморандумом о взаимопонимании, заключенным между РМ, НБМ и ЕС. В результате оценки и утверждения Европейской комиссией отчета о </w:t>
            </w:r>
            <w:r w:rsidR="00590304" w:rsidRPr="00EC5A7B">
              <w:rPr>
                <w:rFonts w:asciiTheme="majorHAnsi" w:hAnsiTheme="majorHAnsi"/>
                <w:sz w:val="16"/>
                <w:lang w:val="ru-MD"/>
              </w:rPr>
              <w:t>выполн</w:t>
            </w:r>
            <w:r w:rsidRPr="00EC5A7B">
              <w:rPr>
                <w:rFonts w:asciiTheme="majorHAnsi" w:hAnsiTheme="majorHAnsi"/>
                <w:sz w:val="16"/>
                <w:lang w:val="ru-MD"/>
              </w:rPr>
              <w:t>ении действий, связанных с траншем №1, в октябре 2019 года был выплачен первый транш в размере 20 млн. евро</w:t>
            </w:r>
            <w:r w:rsidR="00DB7DC6" w:rsidRPr="00EC5A7B">
              <w:rPr>
                <w:rFonts w:asciiTheme="majorHAnsi" w:hAnsiTheme="majorHAnsi"/>
                <w:sz w:val="16"/>
                <w:lang w:val="ru-MD"/>
              </w:rPr>
              <w:t>.</w:t>
            </w:r>
            <w:r w:rsidRPr="00EC5A7B">
              <w:rPr>
                <w:rFonts w:asciiTheme="majorHAnsi" w:hAnsiTheme="majorHAnsi"/>
                <w:sz w:val="16"/>
                <w:lang w:val="ru-MD"/>
              </w:rPr>
              <w:t xml:space="preserve"> </w:t>
            </w:r>
          </w:p>
        </w:tc>
      </w:tr>
      <w:tr w:rsidR="00B67B18" w:rsidRPr="00EC5A7B" w14:paraId="6A07F3BC" w14:textId="77777777" w:rsidTr="00194F19">
        <w:trPr>
          <w:trHeight w:val="1153"/>
        </w:trPr>
        <w:tc>
          <w:tcPr>
            <w:tcW w:w="1435" w:type="dxa"/>
            <w:shd w:val="clear" w:color="auto" w:fill="auto"/>
            <w:vAlign w:val="center"/>
          </w:tcPr>
          <w:p w14:paraId="5CF549C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D-134-C/BIRD/14</w:t>
            </w:r>
          </w:p>
        </w:tc>
        <w:tc>
          <w:tcPr>
            <w:tcW w:w="1621" w:type="dxa"/>
            <w:shd w:val="clear" w:color="auto" w:fill="auto"/>
            <w:vAlign w:val="center"/>
          </w:tcPr>
          <w:p w14:paraId="491D2C71" w14:textId="1E891300" w:rsidR="00B67B18" w:rsidRPr="00EC5A7B" w:rsidRDefault="00617ABC" w:rsidP="00B67B18">
            <w:pPr>
              <w:jc w:val="center"/>
              <w:rPr>
                <w:rFonts w:asciiTheme="majorHAnsi" w:hAnsiTheme="majorHAnsi"/>
                <w:sz w:val="16"/>
                <w:lang w:val="ru-MD"/>
              </w:rPr>
            </w:pPr>
            <w:r w:rsidRPr="00EC5A7B">
              <w:rPr>
                <w:rFonts w:asciiTheme="majorHAnsi" w:hAnsiTheme="majorHAnsi"/>
                <w:sz w:val="16"/>
                <w:lang w:val="ru-MD"/>
              </w:rPr>
              <w:t>Улуч</w:t>
            </w:r>
            <w:r w:rsidR="00E93CF4" w:rsidRPr="00EC5A7B">
              <w:rPr>
                <w:rFonts w:asciiTheme="majorHAnsi" w:hAnsiTheme="majorHAnsi"/>
                <w:sz w:val="16"/>
                <w:lang w:val="ru-MD"/>
              </w:rPr>
              <w:t xml:space="preserve">шение конкурентоспособности </w:t>
            </w:r>
            <w:r w:rsidR="00B67B18" w:rsidRPr="00EC5A7B">
              <w:rPr>
                <w:rFonts w:asciiTheme="majorHAnsi" w:hAnsiTheme="majorHAnsi"/>
                <w:sz w:val="16"/>
                <w:lang w:val="ru-MD"/>
              </w:rPr>
              <w:t>II</w:t>
            </w:r>
          </w:p>
        </w:tc>
        <w:tc>
          <w:tcPr>
            <w:tcW w:w="630" w:type="dxa"/>
            <w:shd w:val="clear" w:color="auto" w:fill="auto"/>
            <w:vAlign w:val="center"/>
          </w:tcPr>
          <w:p w14:paraId="7F3EC543" w14:textId="42BC267D"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26228FDB"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26,5</w:t>
            </w:r>
          </w:p>
        </w:tc>
        <w:tc>
          <w:tcPr>
            <w:tcW w:w="947" w:type="dxa"/>
            <w:shd w:val="clear" w:color="auto" w:fill="auto"/>
            <w:vAlign w:val="center"/>
          </w:tcPr>
          <w:p w14:paraId="16F5896C"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15.07.14</w:t>
            </w:r>
          </w:p>
        </w:tc>
        <w:tc>
          <w:tcPr>
            <w:tcW w:w="992" w:type="dxa"/>
            <w:shd w:val="clear" w:color="auto" w:fill="auto"/>
            <w:vAlign w:val="center"/>
          </w:tcPr>
          <w:p w14:paraId="64A5A4F0"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30.07.21</w:t>
            </w:r>
          </w:p>
        </w:tc>
        <w:tc>
          <w:tcPr>
            <w:tcW w:w="831" w:type="dxa"/>
            <w:shd w:val="clear" w:color="auto" w:fill="auto"/>
            <w:vAlign w:val="center"/>
          </w:tcPr>
          <w:p w14:paraId="41B56793"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21,95</w:t>
            </w:r>
          </w:p>
        </w:tc>
        <w:tc>
          <w:tcPr>
            <w:tcW w:w="1102" w:type="dxa"/>
            <w:shd w:val="clear" w:color="auto" w:fill="auto"/>
            <w:vAlign w:val="center"/>
          </w:tcPr>
          <w:p w14:paraId="67534AD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4,55</w:t>
            </w:r>
          </w:p>
        </w:tc>
        <w:tc>
          <w:tcPr>
            <w:tcW w:w="1171" w:type="dxa"/>
            <w:shd w:val="clear" w:color="auto" w:fill="auto"/>
            <w:vAlign w:val="center"/>
          </w:tcPr>
          <w:p w14:paraId="016A1AA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82,8</w:t>
            </w:r>
          </w:p>
        </w:tc>
        <w:tc>
          <w:tcPr>
            <w:tcW w:w="1171" w:type="dxa"/>
            <w:vAlign w:val="center"/>
          </w:tcPr>
          <w:p w14:paraId="5E8D53A1" w14:textId="77777777" w:rsidR="00B67B18" w:rsidRPr="00EC5A7B" w:rsidRDefault="0029703A" w:rsidP="00B67B18">
            <w:pPr>
              <w:jc w:val="center"/>
              <w:rPr>
                <w:rFonts w:asciiTheme="majorHAnsi" w:hAnsiTheme="majorHAnsi"/>
                <w:sz w:val="16"/>
                <w:lang w:val="ru-MD"/>
              </w:rPr>
            </w:pPr>
            <w:r w:rsidRPr="00EC5A7B">
              <w:rPr>
                <w:rFonts w:asciiTheme="majorHAnsi" w:hAnsiTheme="majorHAnsi"/>
                <w:sz w:val="16"/>
                <w:lang w:val="ru-MD"/>
              </w:rPr>
              <w:t>84,85</w:t>
            </w:r>
          </w:p>
        </w:tc>
        <w:tc>
          <w:tcPr>
            <w:tcW w:w="4139" w:type="dxa"/>
            <w:vMerge w:val="restart"/>
          </w:tcPr>
          <w:p w14:paraId="6ECE34F5" w14:textId="2C102110" w:rsidR="00B67B18" w:rsidRPr="00EC5A7B" w:rsidRDefault="0027111E" w:rsidP="0027111E">
            <w:pPr>
              <w:pStyle w:val="ListParagraph"/>
              <w:numPr>
                <w:ilvl w:val="0"/>
                <w:numId w:val="12"/>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 xml:space="preserve">Некоторые запланированные </w:t>
            </w:r>
            <w:r w:rsidR="00B817DE" w:rsidRPr="00EC5A7B">
              <w:rPr>
                <w:rFonts w:asciiTheme="majorHAnsi" w:hAnsiTheme="majorHAnsi"/>
                <w:sz w:val="16"/>
                <w:lang w:val="ru-MD"/>
              </w:rPr>
              <w:t>действия</w:t>
            </w:r>
            <w:r w:rsidRPr="00EC5A7B">
              <w:rPr>
                <w:rFonts w:asciiTheme="majorHAnsi" w:hAnsiTheme="majorHAnsi"/>
                <w:sz w:val="16"/>
                <w:lang w:val="ru-MD"/>
              </w:rPr>
              <w:t xml:space="preserve"> были отложены или исключены из </w:t>
            </w:r>
            <w:r w:rsidR="00B817DE" w:rsidRPr="00EC5A7B">
              <w:rPr>
                <w:rFonts w:asciiTheme="majorHAnsi" w:hAnsiTheme="majorHAnsi"/>
                <w:sz w:val="16"/>
                <w:lang w:val="ru-MD"/>
              </w:rPr>
              <w:t>П</w:t>
            </w:r>
            <w:r w:rsidRPr="00EC5A7B">
              <w:rPr>
                <w:rFonts w:asciiTheme="majorHAnsi" w:hAnsiTheme="majorHAnsi"/>
                <w:sz w:val="16"/>
                <w:lang w:val="ru-MD"/>
              </w:rPr>
              <w:t>лана действий из-за покрытия их стоимости из других источников, пред</w:t>
            </w:r>
            <w:r w:rsidR="00B817DE" w:rsidRPr="00EC5A7B">
              <w:rPr>
                <w:rFonts w:asciiTheme="majorHAnsi" w:hAnsiTheme="majorHAnsi"/>
                <w:sz w:val="16"/>
                <w:lang w:val="ru-MD"/>
              </w:rPr>
              <w:t>оставленных в виде гранта</w:t>
            </w:r>
            <w:r w:rsidR="00B67B18" w:rsidRPr="00EC5A7B">
              <w:rPr>
                <w:rFonts w:asciiTheme="majorHAnsi" w:hAnsiTheme="majorHAnsi"/>
                <w:sz w:val="16"/>
                <w:lang w:val="ru-MD"/>
              </w:rPr>
              <w:t>;</w:t>
            </w:r>
          </w:p>
          <w:p w14:paraId="77D28EC4" w14:textId="28DA0CB2" w:rsidR="00B67B18" w:rsidRPr="00EC5A7B" w:rsidRDefault="0027111E" w:rsidP="0027111E">
            <w:pPr>
              <w:pStyle w:val="ListParagraph"/>
              <w:numPr>
                <w:ilvl w:val="0"/>
                <w:numId w:val="12"/>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 xml:space="preserve">Затягивание принятия решений по </w:t>
            </w:r>
            <w:r w:rsidR="00B817DE" w:rsidRPr="00EC5A7B">
              <w:rPr>
                <w:rFonts w:asciiTheme="majorHAnsi" w:hAnsiTheme="majorHAnsi"/>
                <w:sz w:val="16"/>
                <w:lang w:val="ru-MD"/>
              </w:rPr>
              <w:t xml:space="preserve">ряду </w:t>
            </w:r>
            <w:r w:rsidRPr="00EC5A7B">
              <w:rPr>
                <w:rFonts w:asciiTheme="majorHAnsi" w:hAnsiTheme="majorHAnsi"/>
                <w:sz w:val="16"/>
                <w:lang w:val="ru-MD"/>
              </w:rPr>
              <w:t>запланированны</w:t>
            </w:r>
            <w:r w:rsidR="00B817DE" w:rsidRPr="00EC5A7B">
              <w:rPr>
                <w:rFonts w:asciiTheme="majorHAnsi" w:hAnsiTheme="majorHAnsi"/>
                <w:sz w:val="16"/>
                <w:lang w:val="ru-MD"/>
              </w:rPr>
              <w:t>х</w:t>
            </w:r>
            <w:r w:rsidRPr="00EC5A7B">
              <w:rPr>
                <w:rFonts w:asciiTheme="majorHAnsi" w:hAnsiTheme="majorHAnsi"/>
                <w:sz w:val="16"/>
                <w:lang w:val="ru-MD"/>
              </w:rPr>
              <w:t xml:space="preserve"> мероприяти</w:t>
            </w:r>
            <w:r w:rsidR="00B817DE" w:rsidRPr="00EC5A7B">
              <w:rPr>
                <w:rFonts w:asciiTheme="majorHAnsi" w:hAnsiTheme="majorHAnsi"/>
                <w:sz w:val="16"/>
                <w:lang w:val="ru-MD"/>
              </w:rPr>
              <w:t>й</w:t>
            </w:r>
            <w:r w:rsidRPr="00EC5A7B">
              <w:rPr>
                <w:rFonts w:asciiTheme="majorHAnsi" w:hAnsiTheme="majorHAnsi"/>
                <w:sz w:val="16"/>
                <w:lang w:val="ru-MD"/>
              </w:rPr>
              <w:t xml:space="preserve"> привело к задержке начала деятельнос</w:t>
            </w:r>
            <w:r w:rsidR="00B817DE" w:rsidRPr="00EC5A7B">
              <w:rPr>
                <w:rFonts w:asciiTheme="majorHAnsi" w:hAnsiTheme="majorHAnsi"/>
                <w:sz w:val="16"/>
                <w:lang w:val="ru-MD"/>
              </w:rPr>
              <w:t>инициирования действий</w:t>
            </w:r>
            <w:r w:rsidR="00B67B18" w:rsidRPr="00EC5A7B">
              <w:rPr>
                <w:rFonts w:asciiTheme="majorHAnsi" w:hAnsiTheme="majorHAnsi"/>
                <w:sz w:val="16"/>
                <w:lang w:val="ru-MD"/>
              </w:rPr>
              <w:t>;</w:t>
            </w:r>
          </w:p>
          <w:p w14:paraId="63BBE778" w14:textId="6C82DD0D" w:rsidR="00B67B18" w:rsidRPr="00EC5A7B" w:rsidRDefault="0027111E" w:rsidP="0027111E">
            <w:pPr>
              <w:pStyle w:val="ListParagraph"/>
              <w:numPr>
                <w:ilvl w:val="0"/>
                <w:numId w:val="12"/>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Неполное исполнение аргументируется принятием к финансированию только прямых экспортеров</w:t>
            </w:r>
            <w:r w:rsidR="00B817DE" w:rsidRPr="00EC5A7B">
              <w:rPr>
                <w:rFonts w:asciiTheme="majorHAnsi" w:hAnsiTheme="majorHAnsi"/>
                <w:sz w:val="16"/>
                <w:lang w:val="ru-MD"/>
              </w:rPr>
              <w:t>,</w:t>
            </w:r>
            <w:r w:rsidRPr="00EC5A7B">
              <w:rPr>
                <w:rFonts w:asciiTheme="majorHAnsi" w:hAnsiTheme="majorHAnsi"/>
                <w:sz w:val="16"/>
                <w:lang w:val="ru-MD"/>
              </w:rPr>
              <w:t xml:space="preserve"> в результате решения ВБ, принятого в рамках надзорной миссии в июне 2019 года (30-процентная ставка, установленная для косвенных экспортеров, устарела). Кроме того, процентная ставка по ре</w:t>
            </w:r>
            <w:r w:rsidR="00B817DE" w:rsidRPr="00EC5A7B">
              <w:rPr>
                <w:rFonts w:asciiTheme="majorHAnsi" w:hAnsiTheme="majorHAnsi"/>
                <w:sz w:val="16"/>
                <w:lang w:val="ru-MD"/>
              </w:rPr>
              <w:t>кредитованны</w:t>
            </w:r>
            <w:r w:rsidRPr="00EC5A7B">
              <w:rPr>
                <w:rFonts w:asciiTheme="majorHAnsi" w:hAnsiTheme="majorHAnsi"/>
                <w:sz w:val="16"/>
                <w:lang w:val="ru-MD"/>
              </w:rPr>
              <w:t>м ресурсам остается непривлекательной для экономических агентов</w:t>
            </w:r>
            <w:r w:rsidR="00B817DE" w:rsidRPr="00EC5A7B">
              <w:rPr>
                <w:rFonts w:asciiTheme="majorHAnsi" w:hAnsiTheme="majorHAnsi"/>
                <w:sz w:val="16"/>
                <w:lang w:val="ru-MD"/>
              </w:rPr>
              <w:t>.</w:t>
            </w:r>
            <w:r w:rsidRPr="00EC5A7B">
              <w:rPr>
                <w:rFonts w:asciiTheme="majorHAnsi" w:hAnsiTheme="majorHAnsi"/>
                <w:sz w:val="16"/>
                <w:lang w:val="ru-MD"/>
              </w:rPr>
              <w:t xml:space="preserve"> </w:t>
            </w:r>
          </w:p>
          <w:p w14:paraId="3AABC095" w14:textId="77777777" w:rsidR="00B67B18" w:rsidRPr="00EC5A7B" w:rsidRDefault="00B67B18" w:rsidP="00B67B18">
            <w:pPr>
              <w:ind w:left="12"/>
              <w:jc w:val="both"/>
              <w:rPr>
                <w:rFonts w:asciiTheme="majorHAnsi" w:hAnsiTheme="majorHAnsi"/>
                <w:sz w:val="16"/>
                <w:lang w:val="ru-MD"/>
              </w:rPr>
            </w:pPr>
          </w:p>
        </w:tc>
      </w:tr>
      <w:tr w:rsidR="00B67B18" w:rsidRPr="00EC5A7B" w14:paraId="783311D8" w14:textId="77777777" w:rsidTr="00C23BCB">
        <w:trPr>
          <w:trHeight w:val="1441"/>
        </w:trPr>
        <w:tc>
          <w:tcPr>
            <w:tcW w:w="1435" w:type="dxa"/>
            <w:shd w:val="clear" w:color="auto" w:fill="auto"/>
            <w:vAlign w:val="center"/>
          </w:tcPr>
          <w:p w14:paraId="4E1E6ACF"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D-133/IDA/2014</w:t>
            </w:r>
          </w:p>
        </w:tc>
        <w:tc>
          <w:tcPr>
            <w:tcW w:w="1621" w:type="dxa"/>
            <w:shd w:val="clear" w:color="auto" w:fill="auto"/>
            <w:vAlign w:val="center"/>
          </w:tcPr>
          <w:p w14:paraId="7FF4562C" w14:textId="3AE87F72" w:rsidR="00B67B18" w:rsidRPr="00EC5A7B" w:rsidRDefault="00617ABC" w:rsidP="00B67B18">
            <w:pPr>
              <w:jc w:val="center"/>
              <w:rPr>
                <w:rFonts w:asciiTheme="majorHAnsi" w:hAnsiTheme="majorHAnsi"/>
                <w:sz w:val="16"/>
                <w:lang w:val="ru-MD"/>
              </w:rPr>
            </w:pPr>
            <w:r w:rsidRPr="00EC5A7B">
              <w:rPr>
                <w:rFonts w:asciiTheme="majorHAnsi" w:hAnsiTheme="majorHAnsi"/>
                <w:sz w:val="16"/>
                <w:lang w:val="ru-MD"/>
              </w:rPr>
              <w:t>Улуч</w:t>
            </w:r>
            <w:r w:rsidR="00E93CF4" w:rsidRPr="00EC5A7B">
              <w:rPr>
                <w:rFonts w:asciiTheme="majorHAnsi" w:hAnsiTheme="majorHAnsi"/>
                <w:sz w:val="16"/>
                <w:lang w:val="ru-MD"/>
              </w:rPr>
              <w:t xml:space="preserve">шение конкурентоспособности </w:t>
            </w:r>
            <w:r w:rsidR="00B67B18" w:rsidRPr="00EC5A7B">
              <w:rPr>
                <w:rFonts w:asciiTheme="majorHAnsi" w:hAnsiTheme="majorHAnsi"/>
                <w:sz w:val="16"/>
                <w:lang w:val="ru-MD"/>
              </w:rPr>
              <w:t>II</w:t>
            </w:r>
          </w:p>
        </w:tc>
        <w:tc>
          <w:tcPr>
            <w:tcW w:w="630" w:type="dxa"/>
            <w:shd w:val="clear" w:color="auto" w:fill="auto"/>
            <w:vAlign w:val="center"/>
          </w:tcPr>
          <w:p w14:paraId="5B9AC10E" w14:textId="2C076DE4"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5AED25A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9,7</w:t>
            </w:r>
          </w:p>
        </w:tc>
        <w:tc>
          <w:tcPr>
            <w:tcW w:w="947" w:type="dxa"/>
            <w:shd w:val="clear" w:color="auto" w:fill="auto"/>
            <w:vAlign w:val="center"/>
          </w:tcPr>
          <w:p w14:paraId="56CA6344"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15.07.14</w:t>
            </w:r>
          </w:p>
        </w:tc>
        <w:tc>
          <w:tcPr>
            <w:tcW w:w="992" w:type="dxa"/>
            <w:shd w:val="clear" w:color="auto" w:fill="auto"/>
            <w:vAlign w:val="center"/>
          </w:tcPr>
          <w:p w14:paraId="2D4EFB40"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31.01.20</w:t>
            </w:r>
          </w:p>
        </w:tc>
        <w:tc>
          <w:tcPr>
            <w:tcW w:w="831" w:type="dxa"/>
            <w:shd w:val="clear" w:color="auto" w:fill="auto"/>
            <w:vAlign w:val="center"/>
          </w:tcPr>
          <w:p w14:paraId="4A098E0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6,18</w:t>
            </w:r>
          </w:p>
        </w:tc>
        <w:tc>
          <w:tcPr>
            <w:tcW w:w="1102" w:type="dxa"/>
            <w:shd w:val="clear" w:color="auto" w:fill="auto"/>
            <w:vAlign w:val="center"/>
          </w:tcPr>
          <w:p w14:paraId="6B9AA33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3,52</w:t>
            </w:r>
          </w:p>
        </w:tc>
        <w:tc>
          <w:tcPr>
            <w:tcW w:w="1171" w:type="dxa"/>
            <w:shd w:val="clear" w:color="auto" w:fill="auto"/>
            <w:vAlign w:val="center"/>
          </w:tcPr>
          <w:p w14:paraId="26738A49"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63,7</w:t>
            </w:r>
          </w:p>
        </w:tc>
        <w:tc>
          <w:tcPr>
            <w:tcW w:w="1171" w:type="dxa"/>
            <w:vAlign w:val="center"/>
          </w:tcPr>
          <w:p w14:paraId="398CD32F" w14:textId="77777777" w:rsidR="00B67B18" w:rsidRPr="00EC5A7B" w:rsidRDefault="0029703A"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6A8E828C" w14:textId="77777777" w:rsidR="00B67B18" w:rsidRPr="00EC5A7B" w:rsidRDefault="00B67B18" w:rsidP="00B67B18">
            <w:pPr>
              <w:jc w:val="center"/>
              <w:rPr>
                <w:rFonts w:asciiTheme="majorHAnsi" w:hAnsiTheme="majorHAnsi"/>
                <w:sz w:val="16"/>
                <w:lang w:val="ru-MD"/>
              </w:rPr>
            </w:pPr>
          </w:p>
        </w:tc>
      </w:tr>
      <w:tr w:rsidR="00B67B18" w:rsidRPr="00EC5A7B" w14:paraId="62A7C5BD" w14:textId="77777777" w:rsidTr="00194F19">
        <w:trPr>
          <w:trHeight w:val="748"/>
        </w:trPr>
        <w:tc>
          <w:tcPr>
            <w:tcW w:w="1435" w:type="dxa"/>
            <w:shd w:val="clear" w:color="auto" w:fill="auto"/>
            <w:vAlign w:val="center"/>
          </w:tcPr>
          <w:p w14:paraId="5A407544"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D-148/BIRD/2016</w:t>
            </w:r>
          </w:p>
        </w:tc>
        <w:tc>
          <w:tcPr>
            <w:tcW w:w="1621" w:type="dxa"/>
            <w:shd w:val="clear" w:color="auto" w:fill="auto"/>
            <w:vAlign w:val="center"/>
          </w:tcPr>
          <w:p w14:paraId="75DF9DD2" w14:textId="60303970" w:rsidR="00B67B18" w:rsidRPr="00EC5A7B" w:rsidRDefault="00E93CF4" w:rsidP="00E93CF4">
            <w:pPr>
              <w:jc w:val="center"/>
              <w:rPr>
                <w:rFonts w:asciiTheme="majorHAnsi" w:hAnsiTheme="majorHAnsi"/>
                <w:sz w:val="16"/>
                <w:lang w:val="ru-MD"/>
              </w:rPr>
            </w:pPr>
            <w:r w:rsidRPr="00EC5A7B">
              <w:rPr>
                <w:rFonts w:asciiTheme="majorHAnsi" w:hAnsiTheme="majorHAnsi"/>
                <w:sz w:val="16"/>
                <w:lang w:val="ru-MD"/>
              </w:rPr>
              <w:t>Модернизация налогового управления</w:t>
            </w:r>
          </w:p>
        </w:tc>
        <w:tc>
          <w:tcPr>
            <w:tcW w:w="630" w:type="dxa"/>
            <w:shd w:val="clear" w:color="auto" w:fill="auto"/>
            <w:vAlign w:val="center"/>
          </w:tcPr>
          <w:p w14:paraId="1EB6859D" w14:textId="202F6C70"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5B30A97B"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11,1</w:t>
            </w:r>
          </w:p>
        </w:tc>
        <w:tc>
          <w:tcPr>
            <w:tcW w:w="947" w:type="dxa"/>
            <w:shd w:val="clear" w:color="auto" w:fill="auto"/>
            <w:vAlign w:val="center"/>
          </w:tcPr>
          <w:p w14:paraId="74E2BE8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28.06.16</w:t>
            </w:r>
          </w:p>
        </w:tc>
        <w:tc>
          <w:tcPr>
            <w:tcW w:w="992" w:type="dxa"/>
            <w:shd w:val="clear" w:color="auto" w:fill="auto"/>
            <w:vAlign w:val="center"/>
          </w:tcPr>
          <w:p w14:paraId="39B441FF"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30.11.23</w:t>
            </w:r>
          </w:p>
        </w:tc>
        <w:tc>
          <w:tcPr>
            <w:tcW w:w="831" w:type="dxa"/>
            <w:shd w:val="clear" w:color="auto" w:fill="auto"/>
            <w:vAlign w:val="center"/>
          </w:tcPr>
          <w:p w14:paraId="53549E5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1102" w:type="dxa"/>
            <w:shd w:val="clear" w:color="auto" w:fill="auto"/>
            <w:vAlign w:val="center"/>
          </w:tcPr>
          <w:p w14:paraId="704B4D1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11,1</w:t>
            </w:r>
          </w:p>
        </w:tc>
        <w:tc>
          <w:tcPr>
            <w:tcW w:w="1171" w:type="dxa"/>
            <w:shd w:val="clear" w:color="auto" w:fill="auto"/>
            <w:vAlign w:val="center"/>
          </w:tcPr>
          <w:p w14:paraId="13DA45C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1171" w:type="dxa"/>
            <w:vAlign w:val="center"/>
          </w:tcPr>
          <w:p w14:paraId="37B2A61A" w14:textId="77777777" w:rsidR="00B67B18" w:rsidRPr="00EC5A7B" w:rsidRDefault="00BD513F" w:rsidP="00B67B18">
            <w:pPr>
              <w:jc w:val="center"/>
              <w:rPr>
                <w:rFonts w:asciiTheme="majorHAnsi" w:hAnsiTheme="majorHAnsi"/>
                <w:sz w:val="16"/>
                <w:lang w:val="ru-MD"/>
              </w:rPr>
            </w:pPr>
            <w:r w:rsidRPr="00EC5A7B">
              <w:rPr>
                <w:rFonts w:asciiTheme="majorHAnsi" w:hAnsiTheme="majorHAnsi"/>
                <w:sz w:val="16"/>
                <w:lang w:val="ru-MD"/>
              </w:rPr>
              <w:t>150,7</w:t>
            </w:r>
          </w:p>
        </w:tc>
        <w:tc>
          <w:tcPr>
            <w:tcW w:w="4139" w:type="dxa"/>
            <w:vMerge w:val="restart"/>
          </w:tcPr>
          <w:p w14:paraId="5B9AF4A2" w14:textId="05E5FE53" w:rsidR="00B67B18" w:rsidRPr="00EC5A7B" w:rsidRDefault="0027111E" w:rsidP="00B817DE">
            <w:pPr>
              <w:jc w:val="both"/>
              <w:rPr>
                <w:rFonts w:asciiTheme="majorHAnsi" w:hAnsiTheme="majorHAnsi"/>
                <w:sz w:val="16"/>
                <w:lang w:val="ru-MD"/>
              </w:rPr>
            </w:pPr>
            <w:r w:rsidRPr="00EC5A7B">
              <w:rPr>
                <w:rFonts w:asciiTheme="majorHAnsi" w:hAnsiTheme="majorHAnsi"/>
                <w:sz w:val="16"/>
                <w:lang w:val="ru-MD"/>
              </w:rPr>
              <w:t xml:space="preserve">В 2019 году было принято решение о реструктуризации </w:t>
            </w:r>
            <w:r w:rsidR="00B817DE" w:rsidRPr="00EC5A7B">
              <w:rPr>
                <w:rFonts w:asciiTheme="majorHAnsi" w:hAnsiTheme="majorHAnsi"/>
                <w:sz w:val="16"/>
                <w:lang w:val="ru-MD"/>
              </w:rPr>
              <w:t>П</w:t>
            </w:r>
            <w:r w:rsidRPr="00EC5A7B">
              <w:rPr>
                <w:rFonts w:asciiTheme="majorHAnsi" w:hAnsiTheme="majorHAnsi"/>
                <w:sz w:val="16"/>
                <w:lang w:val="ru-MD"/>
              </w:rPr>
              <w:t xml:space="preserve">роекта, ратифицированы </w:t>
            </w:r>
            <w:r w:rsidR="00B817DE" w:rsidRPr="00EC5A7B">
              <w:rPr>
                <w:rFonts w:asciiTheme="majorHAnsi" w:hAnsiTheme="majorHAnsi"/>
                <w:sz w:val="16"/>
                <w:lang w:val="ru-MD"/>
              </w:rPr>
              <w:t>П</w:t>
            </w:r>
            <w:r w:rsidRPr="00EC5A7B">
              <w:rPr>
                <w:rFonts w:asciiTheme="majorHAnsi" w:hAnsiTheme="majorHAnsi"/>
                <w:sz w:val="16"/>
                <w:lang w:val="ru-MD"/>
              </w:rPr>
              <w:t xml:space="preserve">арламентом поправки к </w:t>
            </w:r>
            <w:r w:rsidR="00B817DE" w:rsidRPr="00EC5A7B">
              <w:rPr>
                <w:rFonts w:asciiTheme="majorHAnsi" w:hAnsiTheme="majorHAnsi"/>
                <w:sz w:val="16"/>
                <w:lang w:val="ru-MD"/>
              </w:rPr>
              <w:t xml:space="preserve">Финансовому </w:t>
            </w:r>
            <w:r w:rsidRPr="00EC5A7B">
              <w:rPr>
                <w:rFonts w:asciiTheme="majorHAnsi" w:hAnsiTheme="majorHAnsi"/>
                <w:sz w:val="16"/>
                <w:lang w:val="ru-MD"/>
              </w:rPr>
              <w:t xml:space="preserve">соглашению и </w:t>
            </w:r>
            <w:r w:rsidR="00B817DE" w:rsidRPr="00EC5A7B">
              <w:rPr>
                <w:rFonts w:asciiTheme="majorHAnsi" w:hAnsiTheme="majorHAnsi"/>
                <w:sz w:val="16"/>
                <w:lang w:val="ru-MD"/>
              </w:rPr>
              <w:t>К</w:t>
            </w:r>
            <w:r w:rsidRPr="00EC5A7B">
              <w:rPr>
                <w:rFonts w:asciiTheme="majorHAnsi" w:hAnsiTheme="majorHAnsi"/>
                <w:sz w:val="16"/>
                <w:lang w:val="ru-MD"/>
              </w:rPr>
              <w:t xml:space="preserve">редитному соглашению, </w:t>
            </w:r>
            <w:r w:rsidR="00B817DE" w:rsidRPr="00EC5A7B">
              <w:rPr>
                <w:rFonts w:asciiTheme="majorHAnsi" w:hAnsiTheme="majorHAnsi"/>
                <w:sz w:val="16"/>
                <w:lang w:val="ru-MD"/>
              </w:rPr>
              <w:t>которые были</w:t>
            </w:r>
            <w:r w:rsidRPr="00EC5A7B">
              <w:rPr>
                <w:rFonts w:asciiTheme="majorHAnsi" w:hAnsiTheme="majorHAnsi"/>
                <w:sz w:val="16"/>
                <w:lang w:val="ru-MD"/>
              </w:rPr>
              <w:t xml:space="preserve"> приняты ВБ и объявлены </w:t>
            </w:r>
            <w:r w:rsidR="00B817DE" w:rsidRPr="00EC5A7B">
              <w:rPr>
                <w:rFonts w:asciiTheme="majorHAnsi" w:hAnsiTheme="majorHAnsi"/>
                <w:sz w:val="16"/>
                <w:lang w:val="ru-MD"/>
              </w:rPr>
              <w:t>действующими начиная с</w:t>
            </w:r>
            <w:r w:rsidRPr="00EC5A7B">
              <w:rPr>
                <w:rFonts w:asciiTheme="majorHAnsi" w:hAnsiTheme="majorHAnsi"/>
                <w:sz w:val="16"/>
                <w:lang w:val="ru-MD"/>
              </w:rPr>
              <w:t xml:space="preserve"> 16.01.2020. В этом контексте</w:t>
            </w:r>
            <w:r w:rsidR="00B817DE" w:rsidRPr="00EC5A7B">
              <w:rPr>
                <w:rFonts w:asciiTheme="majorHAnsi" w:hAnsiTheme="majorHAnsi"/>
                <w:sz w:val="16"/>
                <w:lang w:val="ru-MD"/>
              </w:rPr>
              <w:t>,</w:t>
            </w:r>
            <w:r w:rsidRPr="00EC5A7B">
              <w:rPr>
                <w:rFonts w:asciiTheme="majorHAnsi" w:hAnsiTheme="majorHAnsi"/>
                <w:sz w:val="16"/>
                <w:lang w:val="ru-MD"/>
              </w:rPr>
              <w:t xml:space="preserve"> был продлен срок реализации </w:t>
            </w:r>
            <w:r w:rsidR="00B817DE" w:rsidRPr="00EC5A7B">
              <w:rPr>
                <w:rFonts w:asciiTheme="majorHAnsi" w:hAnsiTheme="majorHAnsi"/>
                <w:sz w:val="16"/>
                <w:lang w:val="ru-MD"/>
              </w:rPr>
              <w:t>П</w:t>
            </w:r>
            <w:r w:rsidRPr="00EC5A7B">
              <w:rPr>
                <w:rFonts w:asciiTheme="majorHAnsi" w:hAnsiTheme="majorHAnsi"/>
                <w:sz w:val="16"/>
                <w:lang w:val="ru-MD"/>
              </w:rPr>
              <w:t>роекта на 23 месяца, были скорректированы его компоненты и показатели</w:t>
            </w:r>
            <w:r w:rsidR="00B817DE" w:rsidRPr="00EC5A7B">
              <w:rPr>
                <w:rFonts w:asciiTheme="majorHAnsi" w:hAnsiTheme="majorHAnsi"/>
                <w:sz w:val="16"/>
                <w:lang w:val="ru-MD"/>
              </w:rPr>
              <w:t>,</w:t>
            </w:r>
            <w:r w:rsidRPr="00EC5A7B">
              <w:rPr>
                <w:rFonts w:asciiTheme="majorHAnsi" w:hAnsiTheme="majorHAnsi"/>
                <w:sz w:val="16"/>
                <w:lang w:val="ru-MD"/>
              </w:rPr>
              <w:t xml:space="preserve"> и были </w:t>
            </w:r>
            <w:r w:rsidRPr="00EC5A7B">
              <w:rPr>
                <w:rFonts w:asciiTheme="majorHAnsi" w:hAnsiTheme="majorHAnsi"/>
                <w:sz w:val="16"/>
                <w:lang w:val="ru-MD"/>
              </w:rPr>
              <w:lastRenderedPageBreak/>
              <w:t xml:space="preserve">перепланированы все закупки, в том числе те, которые были </w:t>
            </w:r>
            <w:r w:rsidR="00B817DE" w:rsidRPr="00EC5A7B">
              <w:rPr>
                <w:rFonts w:asciiTheme="majorHAnsi" w:hAnsiTheme="majorHAnsi"/>
                <w:sz w:val="16"/>
                <w:lang w:val="ru-MD"/>
              </w:rPr>
              <w:t>предусмотр</w:t>
            </w:r>
            <w:r w:rsidRPr="00EC5A7B">
              <w:rPr>
                <w:rFonts w:asciiTheme="majorHAnsi" w:hAnsiTheme="majorHAnsi"/>
                <w:sz w:val="16"/>
                <w:lang w:val="ru-MD"/>
              </w:rPr>
              <w:t>ены на 2019 год</w:t>
            </w:r>
            <w:r w:rsidR="00B817DE" w:rsidRPr="00EC5A7B">
              <w:rPr>
                <w:rFonts w:asciiTheme="majorHAnsi" w:hAnsiTheme="majorHAnsi"/>
                <w:sz w:val="16"/>
                <w:lang w:val="ru-MD"/>
              </w:rPr>
              <w:t>.</w:t>
            </w:r>
            <w:r w:rsidRPr="00EC5A7B">
              <w:rPr>
                <w:rFonts w:asciiTheme="majorHAnsi" w:hAnsiTheme="majorHAnsi"/>
                <w:sz w:val="16"/>
                <w:lang w:val="ru-MD"/>
              </w:rPr>
              <w:t xml:space="preserve"> </w:t>
            </w:r>
          </w:p>
        </w:tc>
      </w:tr>
      <w:tr w:rsidR="00B67B18" w:rsidRPr="00EC5A7B" w14:paraId="5998F2CC" w14:textId="77777777" w:rsidTr="00194F19">
        <w:tc>
          <w:tcPr>
            <w:tcW w:w="1435" w:type="dxa"/>
            <w:shd w:val="clear" w:color="auto" w:fill="auto"/>
            <w:vAlign w:val="center"/>
          </w:tcPr>
          <w:p w14:paraId="5959CA29"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D-147/IDA/2016</w:t>
            </w:r>
          </w:p>
        </w:tc>
        <w:tc>
          <w:tcPr>
            <w:tcW w:w="1621" w:type="dxa"/>
            <w:shd w:val="clear" w:color="auto" w:fill="auto"/>
            <w:vAlign w:val="center"/>
          </w:tcPr>
          <w:p w14:paraId="64AD7350" w14:textId="17D9745D" w:rsidR="00B67B18" w:rsidRPr="00EC5A7B" w:rsidRDefault="00E93CF4" w:rsidP="00B67B18">
            <w:pPr>
              <w:jc w:val="center"/>
              <w:rPr>
                <w:rFonts w:asciiTheme="majorHAnsi" w:hAnsiTheme="majorHAnsi"/>
                <w:sz w:val="16"/>
                <w:lang w:val="ru-MD"/>
              </w:rPr>
            </w:pPr>
            <w:r w:rsidRPr="00EC5A7B">
              <w:rPr>
                <w:rFonts w:asciiTheme="majorHAnsi" w:hAnsiTheme="majorHAnsi"/>
                <w:sz w:val="16"/>
                <w:lang w:val="ru-MD"/>
              </w:rPr>
              <w:t>Модернизация налогового администрирования</w:t>
            </w:r>
          </w:p>
        </w:tc>
        <w:tc>
          <w:tcPr>
            <w:tcW w:w="630" w:type="dxa"/>
            <w:shd w:val="clear" w:color="auto" w:fill="auto"/>
            <w:vAlign w:val="center"/>
          </w:tcPr>
          <w:p w14:paraId="6D2DBDE5" w14:textId="7E0046D5"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0EDAE15F"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5,3</w:t>
            </w:r>
          </w:p>
        </w:tc>
        <w:tc>
          <w:tcPr>
            <w:tcW w:w="947" w:type="dxa"/>
            <w:shd w:val="clear" w:color="auto" w:fill="auto"/>
            <w:vAlign w:val="center"/>
          </w:tcPr>
          <w:p w14:paraId="7E04B1A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28.06.16</w:t>
            </w:r>
          </w:p>
        </w:tc>
        <w:tc>
          <w:tcPr>
            <w:tcW w:w="992" w:type="dxa"/>
            <w:shd w:val="clear" w:color="auto" w:fill="auto"/>
            <w:vAlign w:val="center"/>
          </w:tcPr>
          <w:p w14:paraId="151F6F91"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31.12.21</w:t>
            </w:r>
          </w:p>
        </w:tc>
        <w:tc>
          <w:tcPr>
            <w:tcW w:w="831" w:type="dxa"/>
            <w:shd w:val="clear" w:color="auto" w:fill="auto"/>
            <w:vAlign w:val="center"/>
          </w:tcPr>
          <w:p w14:paraId="7207CDB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0,69</w:t>
            </w:r>
          </w:p>
        </w:tc>
        <w:tc>
          <w:tcPr>
            <w:tcW w:w="1102" w:type="dxa"/>
            <w:shd w:val="clear" w:color="auto" w:fill="auto"/>
            <w:vAlign w:val="center"/>
          </w:tcPr>
          <w:p w14:paraId="306CB11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4,61</w:t>
            </w:r>
          </w:p>
        </w:tc>
        <w:tc>
          <w:tcPr>
            <w:tcW w:w="1171" w:type="dxa"/>
            <w:shd w:val="clear" w:color="auto" w:fill="auto"/>
            <w:vAlign w:val="center"/>
          </w:tcPr>
          <w:p w14:paraId="54D37D4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13,0</w:t>
            </w:r>
          </w:p>
        </w:tc>
        <w:tc>
          <w:tcPr>
            <w:tcW w:w="1171" w:type="dxa"/>
            <w:vAlign w:val="center"/>
          </w:tcPr>
          <w:p w14:paraId="5079DB2B" w14:textId="77777777" w:rsidR="00B67B18" w:rsidRPr="00EC5A7B" w:rsidRDefault="0029703A"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6DD9DA4F" w14:textId="77777777" w:rsidR="00B67B18" w:rsidRPr="00EC5A7B" w:rsidRDefault="00B67B18" w:rsidP="00B67B18">
            <w:pPr>
              <w:jc w:val="center"/>
              <w:rPr>
                <w:rFonts w:asciiTheme="majorHAnsi" w:hAnsiTheme="majorHAnsi"/>
                <w:sz w:val="16"/>
                <w:lang w:val="ru-MD"/>
              </w:rPr>
            </w:pPr>
          </w:p>
        </w:tc>
      </w:tr>
      <w:tr w:rsidR="00B67B18" w:rsidRPr="00EC5A7B" w14:paraId="5EE0EC3B" w14:textId="77777777" w:rsidTr="00194F19">
        <w:trPr>
          <w:trHeight w:val="973"/>
        </w:trPr>
        <w:tc>
          <w:tcPr>
            <w:tcW w:w="1435" w:type="dxa"/>
            <w:shd w:val="clear" w:color="auto" w:fill="auto"/>
            <w:vAlign w:val="center"/>
          </w:tcPr>
          <w:p w14:paraId="5BA75DB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D-163-C/BIRD/17</w:t>
            </w:r>
          </w:p>
        </w:tc>
        <w:tc>
          <w:tcPr>
            <w:tcW w:w="1621" w:type="dxa"/>
            <w:shd w:val="clear" w:color="auto" w:fill="auto"/>
            <w:vAlign w:val="center"/>
          </w:tcPr>
          <w:p w14:paraId="3EC40F80" w14:textId="490F3BF5" w:rsidR="00B67B18" w:rsidRPr="00EC5A7B" w:rsidRDefault="00E93CF4" w:rsidP="00E93CF4">
            <w:pPr>
              <w:jc w:val="center"/>
              <w:rPr>
                <w:rFonts w:asciiTheme="majorHAnsi" w:hAnsiTheme="majorHAnsi"/>
                <w:sz w:val="16"/>
                <w:lang w:val="ru-MD"/>
              </w:rPr>
            </w:pPr>
            <w:r w:rsidRPr="00EC5A7B">
              <w:rPr>
                <w:rFonts w:asciiTheme="majorHAnsi" w:hAnsiTheme="majorHAnsi"/>
                <w:sz w:val="16"/>
                <w:lang w:val="ru-MD"/>
              </w:rPr>
              <w:t>Модернизация правительственных услуг</w:t>
            </w:r>
          </w:p>
        </w:tc>
        <w:tc>
          <w:tcPr>
            <w:tcW w:w="630" w:type="dxa"/>
            <w:shd w:val="clear" w:color="auto" w:fill="auto"/>
            <w:vAlign w:val="center"/>
          </w:tcPr>
          <w:p w14:paraId="0293744D" w14:textId="6581D81F"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6DE1566E"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4,4</w:t>
            </w:r>
          </w:p>
        </w:tc>
        <w:tc>
          <w:tcPr>
            <w:tcW w:w="947" w:type="dxa"/>
            <w:shd w:val="clear" w:color="auto" w:fill="auto"/>
            <w:vAlign w:val="center"/>
          </w:tcPr>
          <w:p w14:paraId="78BDBD7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28.11.17</w:t>
            </w:r>
          </w:p>
        </w:tc>
        <w:tc>
          <w:tcPr>
            <w:tcW w:w="992" w:type="dxa"/>
            <w:shd w:val="clear" w:color="auto" w:fill="auto"/>
            <w:vAlign w:val="center"/>
          </w:tcPr>
          <w:p w14:paraId="221A403F"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30.06.23</w:t>
            </w:r>
          </w:p>
        </w:tc>
        <w:tc>
          <w:tcPr>
            <w:tcW w:w="831" w:type="dxa"/>
            <w:shd w:val="clear" w:color="auto" w:fill="auto"/>
            <w:vAlign w:val="center"/>
          </w:tcPr>
          <w:p w14:paraId="641F6569"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0,3</w:t>
            </w:r>
          </w:p>
        </w:tc>
        <w:tc>
          <w:tcPr>
            <w:tcW w:w="1102" w:type="dxa"/>
            <w:shd w:val="clear" w:color="auto" w:fill="auto"/>
            <w:vAlign w:val="center"/>
          </w:tcPr>
          <w:p w14:paraId="238253A6"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4,1</w:t>
            </w:r>
          </w:p>
        </w:tc>
        <w:tc>
          <w:tcPr>
            <w:tcW w:w="1171" w:type="dxa"/>
            <w:shd w:val="clear" w:color="auto" w:fill="auto"/>
            <w:vAlign w:val="center"/>
          </w:tcPr>
          <w:p w14:paraId="59CFCD5D"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6,8</w:t>
            </w:r>
          </w:p>
        </w:tc>
        <w:tc>
          <w:tcPr>
            <w:tcW w:w="1171" w:type="dxa"/>
            <w:vAlign w:val="center"/>
          </w:tcPr>
          <w:p w14:paraId="14063C42" w14:textId="77777777" w:rsidR="00B67B18" w:rsidRPr="00EC5A7B" w:rsidRDefault="0029703A" w:rsidP="00B67B18">
            <w:pPr>
              <w:jc w:val="center"/>
              <w:rPr>
                <w:rFonts w:asciiTheme="majorHAnsi" w:hAnsiTheme="majorHAnsi"/>
                <w:sz w:val="16"/>
                <w:lang w:val="ru-MD"/>
              </w:rPr>
            </w:pPr>
            <w:r w:rsidRPr="00EC5A7B">
              <w:rPr>
                <w:rFonts w:asciiTheme="majorHAnsi" w:hAnsiTheme="majorHAnsi"/>
                <w:sz w:val="16"/>
                <w:lang w:val="ru-MD"/>
              </w:rPr>
              <w:t>36,92</w:t>
            </w:r>
          </w:p>
        </w:tc>
        <w:tc>
          <w:tcPr>
            <w:tcW w:w="4139" w:type="dxa"/>
            <w:vMerge w:val="restart"/>
          </w:tcPr>
          <w:p w14:paraId="4E4270CA" w14:textId="15FCF180" w:rsidR="00B67B18" w:rsidRPr="00EC5A7B" w:rsidRDefault="0027111E" w:rsidP="000C45E1">
            <w:pPr>
              <w:pStyle w:val="ListParagraph"/>
              <w:numPr>
                <w:ilvl w:val="0"/>
                <w:numId w:val="10"/>
              </w:numPr>
              <w:tabs>
                <w:tab w:val="left" w:pos="239"/>
              </w:tabs>
              <w:ind w:left="-16" w:firstLine="16"/>
              <w:jc w:val="both"/>
              <w:rPr>
                <w:rFonts w:asciiTheme="majorHAnsi" w:hAnsiTheme="majorHAnsi"/>
                <w:sz w:val="16"/>
                <w:lang w:val="ru-MD"/>
              </w:rPr>
            </w:pPr>
            <w:r w:rsidRPr="00EC5A7B">
              <w:rPr>
                <w:rFonts w:asciiTheme="majorHAnsi" w:hAnsiTheme="majorHAnsi"/>
                <w:sz w:val="16"/>
                <w:lang w:val="ru-MD"/>
              </w:rPr>
              <w:t>Реэшалонирование в</w:t>
            </w:r>
            <w:r w:rsidR="00AC2EF9" w:rsidRPr="00EC5A7B">
              <w:rPr>
                <w:rFonts w:asciiTheme="majorHAnsi" w:hAnsiTheme="majorHAnsi"/>
                <w:sz w:val="16"/>
                <w:lang w:val="ru-MD"/>
              </w:rPr>
              <w:t>ыплат</w:t>
            </w:r>
            <w:r w:rsidRPr="00EC5A7B">
              <w:rPr>
                <w:rFonts w:asciiTheme="majorHAnsi" w:hAnsiTheme="majorHAnsi"/>
                <w:sz w:val="16"/>
                <w:lang w:val="ru-MD"/>
              </w:rPr>
              <w:t xml:space="preserve"> </w:t>
            </w:r>
            <w:r w:rsidR="00AC2EF9" w:rsidRPr="00EC5A7B">
              <w:rPr>
                <w:rFonts w:asciiTheme="majorHAnsi" w:hAnsiTheme="majorHAnsi"/>
                <w:sz w:val="16"/>
                <w:lang w:val="ru-MD"/>
              </w:rPr>
              <w:t xml:space="preserve">со стороны </w:t>
            </w:r>
            <w:r w:rsidRPr="00EC5A7B">
              <w:rPr>
                <w:rFonts w:asciiTheme="majorHAnsi" w:hAnsiTheme="majorHAnsi"/>
                <w:sz w:val="16"/>
                <w:lang w:val="ru-MD"/>
              </w:rPr>
              <w:t xml:space="preserve">ВБ по причине того, что проект вступил в силу </w:t>
            </w:r>
            <w:r w:rsidR="00B817DE" w:rsidRPr="00EC5A7B">
              <w:rPr>
                <w:rFonts w:asciiTheme="majorHAnsi" w:hAnsiTheme="majorHAnsi"/>
                <w:sz w:val="16"/>
                <w:lang w:val="ru-MD"/>
              </w:rPr>
              <w:t xml:space="preserve">на </w:t>
            </w:r>
            <w:r w:rsidRPr="00EC5A7B">
              <w:rPr>
                <w:rFonts w:asciiTheme="majorHAnsi" w:hAnsiTheme="majorHAnsi"/>
                <w:sz w:val="16"/>
                <w:lang w:val="ru-MD"/>
              </w:rPr>
              <w:t xml:space="preserve">6 месяцев </w:t>
            </w:r>
            <w:r w:rsidR="00B817DE" w:rsidRPr="00EC5A7B">
              <w:rPr>
                <w:rFonts w:asciiTheme="majorHAnsi" w:hAnsiTheme="majorHAnsi"/>
                <w:sz w:val="16"/>
                <w:lang w:val="ru-MD"/>
              </w:rPr>
              <w:t>позже</w:t>
            </w:r>
            <w:r w:rsidRPr="00EC5A7B">
              <w:rPr>
                <w:rFonts w:asciiTheme="majorHAnsi" w:hAnsiTheme="majorHAnsi"/>
                <w:sz w:val="16"/>
                <w:lang w:val="ru-MD"/>
              </w:rPr>
              <w:t>, по сравнению с первоначально запланированным периодом (вступил в силу с июня 2018 года)</w:t>
            </w:r>
            <w:r w:rsidR="00B67B18" w:rsidRPr="00EC5A7B">
              <w:rPr>
                <w:rFonts w:asciiTheme="majorHAnsi" w:hAnsiTheme="majorHAnsi"/>
                <w:sz w:val="16"/>
                <w:lang w:val="ru-MD"/>
              </w:rPr>
              <w:t>;</w:t>
            </w:r>
          </w:p>
          <w:p w14:paraId="65EDD3CA" w14:textId="3DCB04F3" w:rsidR="00B67B18" w:rsidRPr="00EC5A7B" w:rsidRDefault="000C45E1" w:rsidP="000C45E1">
            <w:pPr>
              <w:pStyle w:val="ListParagraph"/>
              <w:numPr>
                <w:ilvl w:val="0"/>
                <w:numId w:val="10"/>
              </w:numPr>
              <w:tabs>
                <w:tab w:val="left" w:pos="239"/>
              </w:tabs>
              <w:ind w:left="-16" w:firstLine="16"/>
              <w:jc w:val="both"/>
              <w:rPr>
                <w:rFonts w:asciiTheme="majorHAnsi" w:hAnsiTheme="majorHAnsi"/>
                <w:sz w:val="16"/>
                <w:lang w:val="ru-MD"/>
              </w:rPr>
            </w:pPr>
            <w:r w:rsidRPr="00EC5A7B">
              <w:rPr>
                <w:rFonts w:asciiTheme="majorHAnsi" w:hAnsiTheme="majorHAnsi"/>
                <w:sz w:val="16"/>
                <w:lang w:val="ru-MD"/>
              </w:rPr>
              <w:t xml:space="preserve">Длительный процесс </w:t>
            </w:r>
            <w:r w:rsidR="00AC2EF9" w:rsidRPr="00EC5A7B">
              <w:rPr>
                <w:rFonts w:asciiTheme="majorHAnsi" w:hAnsiTheme="majorHAnsi"/>
                <w:sz w:val="16"/>
                <w:lang w:val="ru-MD"/>
              </w:rPr>
              <w:t>за</w:t>
            </w:r>
            <w:r w:rsidRPr="00EC5A7B">
              <w:rPr>
                <w:rFonts w:asciiTheme="majorHAnsi" w:hAnsiTheme="majorHAnsi"/>
                <w:sz w:val="16"/>
                <w:lang w:val="ru-MD"/>
              </w:rPr>
              <w:t xml:space="preserve">купки из-за отсутствия </w:t>
            </w:r>
            <w:r w:rsidR="00AC2EF9" w:rsidRPr="00EC5A7B">
              <w:rPr>
                <w:rFonts w:asciiTheme="majorHAnsi" w:hAnsiTheme="majorHAnsi"/>
                <w:sz w:val="16"/>
                <w:lang w:val="ru-MD"/>
              </w:rPr>
              <w:t>оферт</w:t>
            </w:r>
            <w:r w:rsidR="00B67B18" w:rsidRPr="00EC5A7B">
              <w:rPr>
                <w:rFonts w:asciiTheme="majorHAnsi" w:hAnsiTheme="majorHAnsi"/>
                <w:sz w:val="16"/>
                <w:lang w:val="ru-MD"/>
              </w:rPr>
              <w:t>;</w:t>
            </w:r>
          </w:p>
          <w:p w14:paraId="6FE2E77D" w14:textId="5DBEB480" w:rsidR="00B67B18" w:rsidRPr="00EC5A7B" w:rsidRDefault="000C45E1" w:rsidP="000C45E1">
            <w:pPr>
              <w:pStyle w:val="ListParagraph"/>
              <w:numPr>
                <w:ilvl w:val="0"/>
                <w:numId w:val="10"/>
              </w:numPr>
              <w:tabs>
                <w:tab w:val="left" w:pos="239"/>
              </w:tabs>
              <w:ind w:left="-16" w:firstLine="16"/>
              <w:jc w:val="both"/>
              <w:rPr>
                <w:rFonts w:asciiTheme="majorHAnsi" w:hAnsiTheme="majorHAnsi"/>
                <w:sz w:val="16"/>
                <w:lang w:val="ru-MD"/>
              </w:rPr>
            </w:pPr>
            <w:r w:rsidRPr="00EC5A7B">
              <w:rPr>
                <w:rFonts w:asciiTheme="majorHAnsi" w:hAnsiTheme="majorHAnsi"/>
                <w:sz w:val="16"/>
                <w:lang w:val="ru-MD"/>
              </w:rPr>
              <w:t xml:space="preserve">Отсутствие </w:t>
            </w:r>
            <w:r w:rsidR="00AC2EF9" w:rsidRPr="00EC5A7B">
              <w:rPr>
                <w:rFonts w:asciiTheme="majorHAnsi" w:hAnsiTheme="majorHAnsi"/>
                <w:sz w:val="16"/>
                <w:lang w:val="ru-MD"/>
              </w:rPr>
              <w:t>релевантно</w:t>
            </w:r>
            <w:r w:rsidRPr="00EC5A7B">
              <w:rPr>
                <w:rFonts w:asciiTheme="majorHAnsi" w:hAnsiTheme="majorHAnsi"/>
                <w:sz w:val="16"/>
                <w:lang w:val="ru-MD"/>
              </w:rPr>
              <w:t xml:space="preserve">й нормативной базы </w:t>
            </w:r>
            <w:r w:rsidR="00AC2EF9" w:rsidRPr="00EC5A7B">
              <w:rPr>
                <w:rFonts w:asciiTheme="majorHAnsi" w:hAnsiTheme="majorHAnsi"/>
                <w:sz w:val="16"/>
                <w:lang w:val="ru-MD"/>
              </w:rPr>
              <w:t xml:space="preserve">в сфере </w:t>
            </w:r>
            <w:r w:rsidRPr="00EC5A7B">
              <w:rPr>
                <w:rFonts w:asciiTheme="majorHAnsi" w:hAnsiTheme="majorHAnsi"/>
                <w:sz w:val="16"/>
                <w:lang w:val="ru-MD"/>
              </w:rPr>
              <w:t>публичных услуг и электронных услуг (закон</w:t>
            </w:r>
            <w:r w:rsidR="00AC2EF9" w:rsidRPr="00EC5A7B">
              <w:rPr>
                <w:rFonts w:asciiTheme="majorHAnsi" w:hAnsiTheme="majorHAnsi"/>
                <w:sz w:val="16"/>
                <w:lang w:val="ru-MD"/>
              </w:rPr>
              <w:t>а</w:t>
            </w:r>
            <w:r w:rsidRPr="00EC5A7B">
              <w:rPr>
                <w:rFonts w:asciiTheme="majorHAnsi" w:hAnsiTheme="majorHAnsi"/>
                <w:sz w:val="16"/>
                <w:lang w:val="ru-MD"/>
              </w:rPr>
              <w:t xml:space="preserve"> </w:t>
            </w:r>
            <w:r w:rsidR="00AC2EF9" w:rsidRPr="00EC5A7B">
              <w:rPr>
                <w:rFonts w:asciiTheme="majorHAnsi" w:hAnsiTheme="majorHAnsi"/>
                <w:sz w:val="16"/>
                <w:lang w:val="ru-MD"/>
              </w:rPr>
              <w:t>о</w:t>
            </w:r>
            <w:r w:rsidRPr="00EC5A7B">
              <w:rPr>
                <w:rFonts w:asciiTheme="majorHAnsi" w:hAnsiTheme="majorHAnsi"/>
                <w:sz w:val="16"/>
                <w:lang w:val="ru-MD"/>
              </w:rPr>
              <w:t xml:space="preserve"> публичных услугах), </w:t>
            </w:r>
            <w:r w:rsidR="00AC2EF9" w:rsidRPr="00EC5A7B">
              <w:rPr>
                <w:rFonts w:asciiTheme="majorHAnsi" w:hAnsiTheme="majorHAnsi"/>
                <w:sz w:val="16"/>
                <w:lang w:val="ru-MD"/>
              </w:rPr>
              <w:t xml:space="preserve">устаревшая </w:t>
            </w:r>
            <w:r w:rsidRPr="00EC5A7B">
              <w:rPr>
                <w:rFonts w:asciiTheme="majorHAnsi" w:hAnsiTheme="majorHAnsi"/>
                <w:sz w:val="16"/>
                <w:lang w:val="ru-MD"/>
              </w:rPr>
              <w:t>нормативн</w:t>
            </w:r>
            <w:r w:rsidR="00AC2EF9" w:rsidRPr="00EC5A7B">
              <w:rPr>
                <w:rFonts w:asciiTheme="majorHAnsi" w:hAnsiTheme="majorHAnsi"/>
                <w:sz w:val="16"/>
                <w:lang w:val="ru-MD"/>
              </w:rPr>
              <w:t>ая</w:t>
            </w:r>
            <w:r w:rsidRPr="00EC5A7B">
              <w:rPr>
                <w:rFonts w:asciiTheme="majorHAnsi" w:hAnsiTheme="majorHAnsi"/>
                <w:sz w:val="16"/>
                <w:lang w:val="ru-MD"/>
              </w:rPr>
              <w:t xml:space="preserve"> баз</w:t>
            </w:r>
            <w:r w:rsidR="00AC2EF9" w:rsidRPr="00EC5A7B">
              <w:rPr>
                <w:rFonts w:asciiTheme="majorHAnsi" w:hAnsiTheme="majorHAnsi"/>
                <w:sz w:val="16"/>
                <w:lang w:val="ru-MD"/>
              </w:rPr>
              <w:t>а</w:t>
            </w:r>
            <w:r w:rsidRPr="00EC5A7B">
              <w:rPr>
                <w:rFonts w:asciiTheme="majorHAnsi" w:hAnsiTheme="majorHAnsi"/>
                <w:sz w:val="16"/>
                <w:lang w:val="ru-MD"/>
              </w:rPr>
              <w:t>, связанн</w:t>
            </w:r>
            <w:r w:rsidR="00AC2EF9" w:rsidRPr="00EC5A7B">
              <w:rPr>
                <w:rFonts w:asciiTheme="majorHAnsi" w:hAnsiTheme="majorHAnsi"/>
                <w:sz w:val="16"/>
                <w:lang w:val="ru-MD"/>
              </w:rPr>
              <w:t>ая</w:t>
            </w:r>
            <w:r w:rsidRPr="00EC5A7B">
              <w:rPr>
                <w:rFonts w:asciiTheme="majorHAnsi" w:hAnsiTheme="majorHAnsi"/>
                <w:sz w:val="16"/>
                <w:lang w:val="ru-MD"/>
              </w:rPr>
              <w:t xml:space="preserve"> с оцифровкой</w:t>
            </w:r>
            <w:r w:rsidR="00B67B18" w:rsidRPr="00EC5A7B">
              <w:rPr>
                <w:rFonts w:asciiTheme="majorHAnsi" w:hAnsiTheme="majorHAnsi"/>
                <w:sz w:val="16"/>
                <w:lang w:val="ru-MD"/>
              </w:rPr>
              <w:t>;</w:t>
            </w:r>
          </w:p>
          <w:p w14:paraId="6ED790F5" w14:textId="309732CA" w:rsidR="00B67B18" w:rsidRPr="00EC5A7B" w:rsidRDefault="000C45E1" w:rsidP="000C45E1">
            <w:pPr>
              <w:pStyle w:val="ListParagraph"/>
              <w:numPr>
                <w:ilvl w:val="0"/>
                <w:numId w:val="10"/>
              </w:numPr>
              <w:tabs>
                <w:tab w:val="left" w:pos="239"/>
              </w:tabs>
              <w:ind w:left="-16" w:firstLine="16"/>
              <w:jc w:val="both"/>
              <w:rPr>
                <w:rFonts w:asciiTheme="majorHAnsi" w:hAnsiTheme="majorHAnsi"/>
                <w:sz w:val="16"/>
                <w:lang w:val="ru-MD"/>
              </w:rPr>
            </w:pPr>
            <w:r w:rsidRPr="00EC5A7B">
              <w:rPr>
                <w:rFonts w:asciiTheme="majorHAnsi" w:hAnsiTheme="majorHAnsi"/>
                <w:sz w:val="16"/>
                <w:lang w:val="ru-MD"/>
              </w:rPr>
              <w:t xml:space="preserve">Отсутствие интереса некоторых поставщиков услуг к модернизации услуг </w:t>
            </w:r>
            <w:r w:rsidR="00B67B18" w:rsidRPr="00EC5A7B">
              <w:rPr>
                <w:rFonts w:asciiTheme="majorHAnsi" w:hAnsiTheme="majorHAnsi"/>
                <w:sz w:val="16"/>
                <w:lang w:val="ru-MD"/>
              </w:rPr>
              <w:t>Lipsa interesului unor prestatori de servi</w:t>
            </w:r>
            <w:r w:rsidR="00C23BCB" w:rsidRPr="00EC5A7B">
              <w:rPr>
                <w:rFonts w:asciiTheme="majorHAnsi" w:hAnsiTheme="majorHAnsi"/>
                <w:sz w:val="16"/>
                <w:lang w:val="ru-MD"/>
              </w:rPr>
              <w:t>cii în modernizarea serviciilor</w:t>
            </w:r>
          </w:p>
        </w:tc>
      </w:tr>
      <w:tr w:rsidR="00B67B18" w:rsidRPr="00EC5A7B" w14:paraId="0B72814C" w14:textId="77777777" w:rsidTr="00194F19">
        <w:tc>
          <w:tcPr>
            <w:tcW w:w="1435" w:type="dxa"/>
            <w:shd w:val="clear" w:color="auto" w:fill="auto"/>
            <w:vAlign w:val="center"/>
          </w:tcPr>
          <w:p w14:paraId="75D37C8E"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D-162/IDA/2017</w:t>
            </w:r>
          </w:p>
        </w:tc>
        <w:tc>
          <w:tcPr>
            <w:tcW w:w="1621" w:type="dxa"/>
            <w:shd w:val="clear" w:color="auto" w:fill="auto"/>
            <w:vAlign w:val="center"/>
          </w:tcPr>
          <w:p w14:paraId="4D5E4DB8" w14:textId="25F55852" w:rsidR="00B67B18" w:rsidRPr="00EC5A7B" w:rsidRDefault="00E93CF4" w:rsidP="00B67B18">
            <w:pPr>
              <w:jc w:val="center"/>
              <w:rPr>
                <w:rFonts w:asciiTheme="majorHAnsi" w:hAnsiTheme="majorHAnsi"/>
                <w:sz w:val="16"/>
                <w:lang w:val="ru-MD"/>
              </w:rPr>
            </w:pPr>
            <w:r w:rsidRPr="00EC5A7B">
              <w:rPr>
                <w:rFonts w:asciiTheme="majorHAnsi" w:hAnsiTheme="majorHAnsi"/>
                <w:sz w:val="16"/>
                <w:lang w:val="ru-MD"/>
              </w:rPr>
              <w:t>Модернизация правительственных услуг</w:t>
            </w:r>
          </w:p>
        </w:tc>
        <w:tc>
          <w:tcPr>
            <w:tcW w:w="630" w:type="dxa"/>
            <w:shd w:val="clear" w:color="auto" w:fill="auto"/>
            <w:vAlign w:val="center"/>
          </w:tcPr>
          <w:p w14:paraId="35D868AE" w14:textId="7F93023C" w:rsidR="00B67B18" w:rsidRPr="00EC5A7B" w:rsidRDefault="00C673C7" w:rsidP="00B67B1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4A34B713"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10,9</w:t>
            </w:r>
          </w:p>
        </w:tc>
        <w:tc>
          <w:tcPr>
            <w:tcW w:w="947" w:type="dxa"/>
            <w:shd w:val="clear" w:color="auto" w:fill="auto"/>
            <w:vAlign w:val="center"/>
          </w:tcPr>
          <w:p w14:paraId="636021E7"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28.11.17</w:t>
            </w:r>
          </w:p>
        </w:tc>
        <w:tc>
          <w:tcPr>
            <w:tcW w:w="992" w:type="dxa"/>
            <w:shd w:val="clear" w:color="auto" w:fill="auto"/>
            <w:vAlign w:val="center"/>
          </w:tcPr>
          <w:p w14:paraId="7A017820"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30.06.23</w:t>
            </w:r>
          </w:p>
        </w:tc>
        <w:tc>
          <w:tcPr>
            <w:tcW w:w="831" w:type="dxa"/>
            <w:shd w:val="clear" w:color="auto" w:fill="auto"/>
            <w:vAlign w:val="center"/>
          </w:tcPr>
          <w:p w14:paraId="256A6255"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1,3</w:t>
            </w:r>
          </w:p>
        </w:tc>
        <w:tc>
          <w:tcPr>
            <w:tcW w:w="1102" w:type="dxa"/>
            <w:shd w:val="clear" w:color="auto" w:fill="auto"/>
            <w:vAlign w:val="center"/>
          </w:tcPr>
          <w:p w14:paraId="7D4B1058"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9,6</w:t>
            </w:r>
          </w:p>
        </w:tc>
        <w:tc>
          <w:tcPr>
            <w:tcW w:w="1171" w:type="dxa"/>
            <w:shd w:val="clear" w:color="auto" w:fill="auto"/>
            <w:vAlign w:val="center"/>
          </w:tcPr>
          <w:p w14:paraId="43BF0C62"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11,9</w:t>
            </w:r>
          </w:p>
        </w:tc>
        <w:tc>
          <w:tcPr>
            <w:tcW w:w="1171" w:type="dxa"/>
            <w:vAlign w:val="center"/>
          </w:tcPr>
          <w:p w14:paraId="134AF4BB" w14:textId="77777777" w:rsidR="00B67B18" w:rsidRPr="00EC5A7B" w:rsidRDefault="00B67B18"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3D9B5757" w14:textId="77777777" w:rsidR="00B67B18" w:rsidRPr="00EC5A7B" w:rsidRDefault="00B67B18" w:rsidP="00B67B18">
            <w:pPr>
              <w:jc w:val="center"/>
              <w:rPr>
                <w:rFonts w:asciiTheme="majorHAnsi" w:hAnsiTheme="majorHAnsi"/>
                <w:sz w:val="16"/>
                <w:lang w:val="ru-MD"/>
              </w:rPr>
            </w:pPr>
          </w:p>
        </w:tc>
      </w:tr>
      <w:tr w:rsidR="00D72ECB" w:rsidRPr="00EC5A7B" w14:paraId="63119CEF" w14:textId="77777777" w:rsidTr="00194F19">
        <w:trPr>
          <w:trHeight w:val="1090"/>
        </w:trPr>
        <w:tc>
          <w:tcPr>
            <w:tcW w:w="1435" w:type="dxa"/>
            <w:shd w:val="clear" w:color="auto" w:fill="auto"/>
            <w:vAlign w:val="center"/>
          </w:tcPr>
          <w:p w14:paraId="42D6E82C"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D-122/IDA/2013</w:t>
            </w:r>
          </w:p>
        </w:tc>
        <w:tc>
          <w:tcPr>
            <w:tcW w:w="1621" w:type="dxa"/>
            <w:shd w:val="clear" w:color="auto" w:fill="auto"/>
            <w:vAlign w:val="center"/>
          </w:tcPr>
          <w:p w14:paraId="4995B63A" w14:textId="1437E309" w:rsidR="00D72ECB" w:rsidRPr="00EC5A7B" w:rsidRDefault="00E93CF4" w:rsidP="00B67B18">
            <w:pPr>
              <w:jc w:val="center"/>
              <w:rPr>
                <w:rFonts w:asciiTheme="majorHAnsi" w:hAnsiTheme="majorHAnsi"/>
                <w:sz w:val="16"/>
                <w:lang w:val="ru-MD"/>
              </w:rPr>
            </w:pPr>
            <w:r w:rsidRPr="00EC5A7B">
              <w:rPr>
                <w:rFonts w:asciiTheme="majorHAnsi" w:hAnsiTheme="majorHAnsi"/>
                <w:sz w:val="16"/>
                <w:lang w:val="ru-MD"/>
              </w:rPr>
              <w:t>Реформа образования в Молдове</w:t>
            </w:r>
          </w:p>
        </w:tc>
        <w:tc>
          <w:tcPr>
            <w:tcW w:w="630" w:type="dxa"/>
            <w:shd w:val="clear" w:color="auto" w:fill="auto"/>
            <w:vAlign w:val="center"/>
          </w:tcPr>
          <w:p w14:paraId="0F7CAB89" w14:textId="7655CFEC" w:rsidR="00D72ECB" w:rsidRPr="00EC5A7B" w:rsidRDefault="00C673C7" w:rsidP="00B67B1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3CCD5FCA"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26,1</w:t>
            </w:r>
          </w:p>
        </w:tc>
        <w:tc>
          <w:tcPr>
            <w:tcW w:w="947" w:type="dxa"/>
            <w:shd w:val="clear" w:color="auto" w:fill="auto"/>
            <w:vAlign w:val="center"/>
          </w:tcPr>
          <w:p w14:paraId="2DE0AAFD"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07.02.13</w:t>
            </w:r>
          </w:p>
        </w:tc>
        <w:tc>
          <w:tcPr>
            <w:tcW w:w="992" w:type="dxa"/>
            <w:shd w:val="clear" w:color="auto" w:fill="auto"/>
            <w:vAlign w:val="center"/>
          </w:tcPr>
          <w:p w14:paraId="1F0C8740" w14:textId="6DC1533A" w:rsidR="00D72ECB" w:rsidRPr="00EC5A7B" w:rsidRDefault="00B736AB" w:rsidP="00B67B18">
            <w:pPr>
              <w:jc w:val="center"/>
              <w:rPr>
                <w:rFonts w:asciiTheme="majorHAnsi" w:hAnsiTheme="majorHAnsi"/>
                <w:sz w:val="16"/>
                <w:lang w:val="ru-MD"/>
              </w:rPr>
            </w:pPr>
            <w:r w:rsidRPr="00EC5A7B">
              <w:rPr>
                <w:rFonts w:asciiTheme="majorHAnsi" w:hAnsiTheme="majorHAnsi"/>
                <w:sz w:val="16"/>
                <w:lang w:val="ru-MD"/>
              </w:rPr>
              <w:t>30.06.20</w:t>
            </w:r>
          </w:p>
        </w:tc>
        <w:tc>
          <w:tcPr>
            <w:tcW w:w="831" w:type="dxa"/>
            <w:shd w:val="clear" w:color="auto" w:fill="auto"/>
            <w:vAlign w:val="center"/>
          </w:tcPr>
          <w:p w14:paraId="3EAD65D6"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19,99</w:t>
            </w:r>
          </w:p>
        </w:tc>
        <w:tc>
          <w:tcPr>
            <w:tcW w:w="1102" w:type="dxa"/>
            <w:shd w:val="clear" w:color="auto" w:fill="auto"/>
            <w:vAlign w:val="center"/>
          </w:tcPr>
          <w:p w14:paraId="1D289671"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6,11</w:t>
            </w:r>
          </w:p>
        </w:tc>
        <w:tc>
          <w:tcPr>
            <w:tcW w:w="1171" w:type="dxa"/>
            <w:shd w:val="clear" w:color="auto" w:fill="auto"/>
            <w:vAlign w:val="center"/>
          </w:tcPr>
          <w:p w14:paraId="39201C68" w14:textId="77777777" w:rsidR="00D72ECB" w:rsidRPr="00EC5A7B" w:rsidRDefault="00D72ECB" w:rsidP="00B67B18">
            <w:pPr>
              <w:jc w:val="center"/>
              <w:rPr>
                <w:rFonts w:asciiTheme="majorHAnsi" w:hAnsiTheme="majorHAnsi"/>
                <w:sz w:val="16"/>
                <w:lang w:val="ru-MD"/>
              </w:rPr>
            </w:pPr>
            <w:r w:rsidRPr="00EC5A7B">
              <w:rPr>
                <w:rFonts w:asciiTheme="majorHAnsi" w:hAnsiTheme="majorHAnsi"/>
                <w:sz w:val="16"/>
                <w:lang w:val="ru-MD"/>
              </w:rPr>
              <w:t>76,6</w:t>
            </w:r>
          </w:p>
        </w:tc>
        <w:tc>
          <w:tcPr>
            <w:tcW w:w="1171" w:type="dxa"/>
            <w:vAlign w:val="center"/>
          </w:tcPr>
          <w:p w14:paraId="1FEE93D4" w14:textId="77777777" w:rsidR="00D72ECB" w:rsidRPr="00EC5A7B" w:rsidRDefault="0029703A" w:rsidP="00B67B1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val="restart"/>
          </w:tcPr>
          <w:p w14:paraId="1EAA01E3" w14:textId="68E6C08A" w:rsidR="00D72ECB" w:rsidRPr="00EC5A7B" w:rsidRDefault="000C45E1" w:rsidP="000C45E1">
            <w:pPr>
              <w:pStyle w:val="ListParagraph"/>
              <w:numPr>
                <w:ilvl w:val="0"/>
                <w:numId w:val="17"/>
              </w:numPr>
              <w:tabs>
                <w:tab w:val="left" w:pos="239"/>
              </w:tabs>
              <w:ind w:left="0" w:hanging="16"/>
              <w:jc w:val="both"/>
              <w:rPr>
                <w:rFonts w:asciiTheme="majorHAnsi" w:hAnsiTheme="majorHAnsi"/>
                <w:sz w:val="16"/>
                <w:lang w:val="ru-MD"/>
              </w:rPr>
            </w:pPr>
            <w:r w:rsidRPr="00EC5A7B">
              <w:rPr>
                <w:rFonts w:asciiTheme="majorHAnsi" w:hAnsiTheme="majorHAnsi"/>
                <w:sz w:val="16"/>
                <w:lang w:val="ru-MD"/>
              </w:rPr>
              <w:t xml:space="preserve">При разработке плана внедрения </w:t>
            </w:r>
            <w:r w:rsidR="00AC2EF9" w:rsidRPr="00EC5A7B">
              <w:rPr>
                <w:rFonts w:asciiTheme="majorHAnsi" w:hAnsiTheme="majorHAnsi"/>
                <w:sz w:val="16"/>
                <w:lang w:val="ru-MD"/>
              </w:rPr>
              <w:t>действ</w:t>
            </w:r>
            <w:r w:rsidRPr="00EC5A7B">
              <w:rPr>
                <w:rFonts w:asciiTheme="majorHAnsi" w:hAnsiTheme="majorHAnsi"/>
                <w:sz w:val="16"/>
                <w:lang w:val="ru-MD"/>
              </w:rPr>
              <w:t xml:space="preserve">ий, предусмотренных </w:t>
            </w:r>
            <w:r w:rsidR="00AC2EF9" w:rsidRPr="00EC5A7B">
              <w:rPr>
                <w:rFonts w:asciiTheme="majorHAnsi" w:hAnsiTheme="majorHAnsi"/>
                <w:sz w:val="16"/>
                <w:lang w:val="ru-MD"/>
              </w:rPr>
              <w:t>при Д</w:t>
            </w:r>
            <w:r w:rsidRPr="00EC5A7B">
              <w:rPr>
                <w:rFonts w:asciiTheme="majorHAnsi" w:hAnsiTheme="majorHAnsi"/>
                <w:sz w:val="16"/>
                <w:lang w:val="ru-MD"/>
              </w:rPr>
              <w:t>ополнительн</w:t>
            </w:r>
            <w:r w:rsidR="00AC2EF9" w:rsidRPr="00EC5A7B">
              <w:rPr>
                <w:rFonts w:asciiTheme="majorHAnsi" w:hAnsiTheme="majorHAnsi"/>
                <w:sz w:val="16"/>
                <w:lang w:val="ru-MD"/>
              </w:rPr>
              <w:t>о</w:t>
            </w:r>
            <w:r w:rsidRPr="00EC5A7B">
              <w:rPr>
                <w:rFonts w:asciiTheme="majorHAnsi" w:hAnsiTheme="majorHAnsi"/>
                <w:sz w:val="16"/>
                <w:lang w:val="ru-MD"/>
              </w:rPr>
              <w:t>м финансировани</w:t>
            </w:r>
            <w:r w:rsidR="00AC2EF9" w:rsidRPr="00EC5A7B">
              <w:rPr>
                <w:rFonts w:asciiTheme="majorHAnsi" w:hAnsiTheme="majorHAnsi"/>
                <w:sz w:val="16"/>
                <w:lang w:val="ru-MD"/>
              </w:rPr>
              <w:t>и</w:t>
            </w:r>
            <w:r w:rsidRPr="00EC5A7B">
              <w:rPr>
                <w:rFonts w:asciiTheme="majorHAnsi" w:hAnsiTheme="majorHAnsi"/>
                <w:sz w:val="16"/>
                <w:lang w:val="ru-MD"/>
              </w:rPr>
              <w:t xml:space="preserve"> </w:t>
            </w:r>
            <w:r w:rsidR="00AC2EF9" w:rsidRPr="00EC5A7B">
              <w:rPr>
                <w:rFonts w:asciiTheme="majorHAnsi" w:hAnsiTheme="majorHAnsi"/>
                <w:sz w:val="16"/>
                <w:lang w:val="ru-MD"/>
              </w:rPr>
              <w:t>П</w:t>
            </w:r>
            <w:r w:rsidRPr="00EC5A7B">
              <w:rPr>
                <w:rFonts w:asciiTheme="majorHAnsi" w:hAnsiTheme="majorHAnsi"/>
                <w:sz w:val="16"/>
                <w:lang w:val="ru-MD"/>
              </w:rPr>
              <w:t>роекта, не учитывался период реализации, предусматривающий</w:t>
            </w:r>
            <w:r w:rsidR="00AC2EF9" w:rsidRPr="00EC5A7B">
              <w:rPr>
                <w:rFonts w:asciiTheme="majorHAnsi" w:hAnsiTheme="majorHAnsi"/>
                <w:sz w:val="16"/>
                <w:lang w:val="ru-MD"/>
              </w:rPr>
              <w:t xml:space="preserve"> завершение проекта 30.06.2020</w:t>
            </w:r>
            <w:r w:rsidR="00D72ECB" w:rsidRPr="00EC5A7B">
              <w:rPr>
                <w:rFonts w:asciiTheme="majorHAnsi" w:hAnsiTheme="majorHAnsi"/>
                <w:sz w:val="16"/>
                <w:lang w:val="ru-MD"/>
              </w:rPr>
              <w:t>;</w:t>
            </w:r>
          </w:p>
          <w:p w14:paraId="7B171B15" w14:textId="37350C2D" w:rsidR="00D72ECB" w:rsidRPr="00EC5A7B" w:rsidRDefault="000C45E1" w:rsidP="000C45E1">
            <w:pPr>
              <w:pStyle w:val="ListParagraph"/>
              <w:numPr>
                <w:ilvl w:val="0"/>
                <w:numId w:val="17"/>
              </w:numPr>
              <w:tabs>
                <w:tab w:val="left" w:pos="264"/>
              </w:tabs>
              <w:ind w:left="0" w:hanging="16"/>
              <w:jc w:val="both"/>
              <w:rPr>
                <w:rFonts w:asciiTheme="majorHAnsi" w:hAnsiTheme="majorHAnsi"/>
                <w:sz w:val="16"/>
                <w:lang w:val="ru-MD"/>
              </w:rPr>
            </w:pPr>
            <w:r w:rsidRPr="00EC5A7B">
              <w:rPr>
                <w:rFonts w:asciiTheme="majorHAnsi" w:hAnsiTheme="majorHAnsi"/>
                <w:sz w:val="16"/>
                <w:lang w:val="ru-MD"/>
              </w:rPr>
              <w:t xml:space="preserve">Были объявлены конкурсы, на которых не было достаточного количества конкурентов, и </w:t>
            </w:r>
            <w:r w:rsidR="00084585" w:rsidRPr="00EC5A7B">
              <w:rPr>
                <w:rFonts w:asciiTheme="majorHAnsi" w:hAnsiTheme="majorHAnsi"/>
                <w:sz w:val="16"/>
                <w:lang w:val="ru-MD"/>
              </w:rPr>
              <w:t xml:space="preserve">конкурсы </w:t>
            </w:r>
            <w:r w:rsidRPr="00EC5A7B">
              <w:rPr>
                <w:rFonts w:asciiTheme="majorHAnsi" w:hAnsiTheme="majorHAnsi"/>
                <w:sz w:val="16"/>
                <w:lang w:val="ru-MD"/>
              </w:rPr>
              <w:t xml:space="preserve">повторялись </w:t>
            </w:r>
            <w:r w:rsidR="00084585" w:rsidRPr="00EC5A7B">
              <w:rPr>
                <w:rFonts w:asciiTheme="majorHAnsi" w:hAnsiTheme="majorHAnsi"/>
                <w:sz w:val="16"/>
                <w:lang w:val="ru-MD"/>
              </w:rPr>
              <w:t>несколько раз</w:t>
            </w:r>
            <w:r w:rsidR="00D72ECB" w:rsidRPr="00EC5A7B">
              <w:rPr>
                <w:rFonts w:asciiTheme="majorHAnsi" w:hAnsiTheme="majorHAnsi"/>
                <w:sz w:val="16"/>
                <w:lang w:val="ru-MD"/>
              </w:rPr>
              <w:t>;</w:t>
            </w:r>
          </w:p>
          <w:p w14:paraId="4076E89E" w14:textId="28C8741F" w:rsidR="00D72ECB" w:rsidRPr="00EC5A7B" w:rsidRDefault="000C45E1" w:rsidP="000C45E1">
            <w:pPr>
              <w:pStyle w:val="ListParagraph"/>
              <w:numPr>
                <w:ilvl w:val="0"/>
                <w:numId w:val="17"/>
              </w:numPr>
              <w:tabs>
                <w:tab w:val="left" w:pos="264"/>
              </w:tabs>
              <w:ind w:left="0" w:hanging="16"/>
              <w:jc w:val="both"/>
              <w:rPr>
                <w:rFonts w:asciiTheme="majorHAnsi" w:hAnsiTheme="majorHAnsi"/>
                <w:sz w:val="16"/>
                <w:lang w:val="ru-MD"/>
              </w:rPr>
            </w:pPr>
            <w:r w:rsidRPr="00EC5A7B">
              <w:rPr>
                <w:rFonts w:asciiTheme="majorHAnsi" w:hAnsiTheme="majorHAnsi"/>
                <w:sz w:val="16"/>
                <w:lang w:val="ru-MD"/>
              </w:rPr>
              <w:t xml:space="preserve">Для некоторых контрактов были продлены периоды и </w:t>
            </w:r>
            <w:r w:rsidR="007A2EE9" w:rsidRPr="00EC5A7B">
              <w:rPr>
                <w:rFonts w:asciiTheme="majorHAnsi" w:hAnsiTheme="majorHAnsi"/>
                <w:sz w:val="16"/>
                <w:lang w:val="ru-MD"/>
              </w:rPr>
              <w:t xml:space="preserve">было </w:t>
            </w:r>
            <w:r w:rsidRPr="00EC5A7B">
              <w:rPr>
                <w:rFonts w:asciiTheme="majorHAnsi" w:hAnsiTheme="majorHAnsi"/>
                <w:sz w:val="16"/>
                <w:lang w:val="ru-MD"/>
              </w:rPr>
              <w:t>не</w:t>
            </w:r>
            <w:r w:rsidR="007A2EE9" w:rsidRPr="00EC5A7B">
              <w:rPr>
                <w:rFonts w:asciiTheme="majorHAnsi" w:hAnsiTheme="majorHAnsi"/>
                <w:sz w:val="16"/>
                <w:lang w:val="ru-MD"/>
              </w:rPr>
              <w:t>возможно</w:t>
            </w:r>
            <w:r w:rsidRPr="00EC5A7B">
              <w:rPr>
                <w:rFonts w:asciiTheme="majorHAnsi" w:hAnsiTheme="majorHAnsi"/>
                <w:sz w:val="16"/>
                <w:lang w:val="ru-MD"/>
              </w:rPr>
              <w:t xml:space="preserve"> использова</w:t>
            </w:r>
            <w:r w:rsidR="007A2EE9" w:rsidRPr="00EC5A7B">
              <w:rPr>
                <w:rFonts w:asciiTheme="majorHAnsi" w:hAnsiTheme="majorHAnsi"/>
                <w:sz w:val="16"/>
                <w:lang w:val="ru-MD"/>
              </w:rPr>
              <w:t>ть</w:t>
            </w:r>
            <w:r w:rsidRPr="00EC5A7B">
              <w:rPr>
                <w:rFonts w:asciiTheme="majorHAnsi" w:hAnsiTheme="majorHAnsi"/>
                <w:sz w:val="16"/>
                <w:lang w:val="ru-MD"/>
              </w:rPr>
              <w:t xml:space="preserve"> </w:t>
            </w:r>
            <w:r w:rsidR="007A2EE9" w:rsidRPr="00EC5A7B">
              <w:rPr>
                <w:rFonts w:asciiTheme="majorHAnsi" w:hAnsiTheme="majorHAnsi"/>
                <w:sz w:val="16"/>
                <w:lang w:val="ru-MD"/>
              </w:rPr>
              <w:t>запланированн</w:t>
            </w:r>
            <w:r w:rsidRPr="00EC5A7B">
              <w:rPr>
                <w:rFonts w:asciiTheme="majorHAnsi" w:hAnsiTheme="majorHAnsi"/>
                <w:sz w:val="16"/>
                <w:lang w:val="ru-MD"/>
              </w:rPr>
              <w:t>ые средства</w:t>
            </w:r>
            <w:r w:rsidR="00781478" w:rsidRPr="00EC5A7B">
              <w:rPr>
                <w:rFonts w:asciiTheme="majorHAnsi" w:hAnsiTheme="majorHAnsi"/>
                <w:sz w:val="16"/>
                <w:lang w:val="ru-MD"/>
              </w:rPr>
              <w:t>;</w:t>
            </w:r>
          </w:p>
          <w:p w14:paraId="2CC6D622" w14:textId="488D8B98" w:rsidR="00781478" w:rsidRPr="00EC5A7B" w:rsidRDefault="000C45E1" w:rsidP="007A2EE9">
            <w:pPr>
              <w:pStyle w:val="ListParagraph"/>
              <w:numPr>
                <w:ilvl w:val="0"/>
                <w:numId w:val="17"/>
              </w:numPr>
              <w:tabs>
                <w:tab w:val="left" w:pos="264"/>
              </w:tabs>
              <w:ind w:left="0" w:hanging="16"/>
              <w:jc w:val="both"/>
              <w:rPr>
                <w:rFonts w:asciiTheme="majorHAnsi" w:hAnsiTheme="majorHAnsi"/>
                <w:sz w:val="16"/>
                <w:lang w:val="ru-MD"/>
              </w:rPr>
            </w:pPr>
            <w:r w:rsidRPr="00EC5A7B">
              <w:rPr>
                <w:rFonts w:asciiTheme="majorHAnsi" w:hAnsiTheme="majorHAnsi"/>
                <w:sz w:val="16"/>
                <w:lang w:val="ru-MD"/>
              </w:rPr>
              <w:t>Недостаточны</w:t>
            </w:r>
            <w:r w:rsidR="007A2EE9" w:rsidRPr="00EC5A7B">
              <w:rPr>
                <w:rFonts w:asciiTheme="majorHAnsi" w:hAnsiTheme="majorHAnsi"/>
                <w:sz w:val="16"/>
                <w:lang w:val="ru-MD"/>
              </w:rPr>
              <w:t>й</w:t>
            </w:r>
            <w:r w:rsidRPr="00EC5A7B">
              <w:rPr>
                <w:rFonts w:asciiTheme="majorHAnsi" w:hAnsiTheme="majorHAnsi"/>
                <w:sz w:val="16"/>
                <w:lang w:val="ru-MD"/>
              </w:rPr>
              <w:t xml:space="preserve"> </w:t>
            </w:r>
            <w:r w:rsidR="007A2EE9" w:rsidRPr="00EC5A7B">
              <w:rPr>
                <w:rFonts w:asciiTheme="majorHAnsi" w:hAnsiTheme="majorHAnsi"/>
                <w:sz w:val="16"/>
                <w:lang w:val="ru-MD"/>
              </w:rPr>
              <w:t>потенциал</w:t>
            </w:r>
            <w:r w:rsidRPr="00EC5A7B">
              <w:rPr>
                <w:rFonts w:asciiTheme="majorHAnsi" w:hAnsiTheme="majorHAnsi"/>
                <w:sz w:val="16"/>
                <w:lang w:val="ru-MD"/>
              </w:rPr>
              <w:t xml:space="preserve"> при описании потребностей и разработке </w:t>
            </w:r>
            <w:r w:rsidR="007A2EE9" w:rsidRPr="00EC5A7B">
              <w:rPr>
                <w:rFonts w:asciiTheme="majorHAnsi" w:hAnsiTheme="majorHAnsi"/>
                <w:sz w:val="16"/>
                <w:lang w:val="ru-MD"/>
              </w:rPr>
              <w:t>Технических</w:t>
            </w:r>
            <w:r w:rsidRPr="00EC5A7B">
              <w:rPr>
                <w:rFonts w:asciiTheme="majorHAnsi" w:hAnsiTheme="majorHAnsi"/>
                <w:sz w:val="16"/>
                <w:lang w:val="ru-MD"/>
              </w:rPr>
              <w:t xml:space="preserve"> условий </w:t>
            </w:r>
          </w:p>
        </w:tc>
      </w:tr>
      <w:tr w:rsidR="00D72ECB" w:rsidRPr="00EC5A7B" w14:paraId="13F1FF0E" w14:textId="77777777" w:rsidTr="00194F19">
        <w:tc>
          <w:tcPr>
            <w:tcW w:w="1435" w:type="dxa"/>
            <w:shd w:val="clear" w:color="auto" w:fill="auto"/>
            <w:vAlign w:val="center"/>
          </w:tcPr>
          <w:p w14:paraId="35BE5AB6"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D-165/IDA/2018</w:t>
            </w:r>
          </w:p>
        </w:tc>
        <w:tc>
          <w:tcPr>
            <w:tcW w:w="1621" w:type="dxa"/>
            <w:shd w:val="clear" w:color="auto" w:fill="auto"/>
            <w:vAlign w:val="center"/>
          </w:tcPr>
          <w:p w14:paraId="62AAC272" w14:textId="7589B672" w:rsidR="00D72ECB" w:rsidRPr="00EC5A7B" w:rsidRDefault="00E93CF4" w:rsidP="00D72ECB">
            <w:pPr>
              <w:jc w:val="center"/>
              <w:rPr>
                <w:rFonts w:asciiTheme="majorHAnsi" w:hAnsiTheme="majorHAnsi"/>
                <w:sz w:val="16"/>
                <w:lang w:val="ru-MD"/>
              </w:rPr>
            </w:pPr>
            <w:r w:rsidRPr="00EC5A7B">
              <w:rPr>
                <w:rFonts w:asciiTheme="majorHAnsi" w:hAnsiTheme="majorHAnsi"/>
                <w:sz w:val="16"/>
                <w:lang w:val="ru-MD"/>
              </w:rPr>
              <w:t>Реформа образования в Молдове</w:t>
            </w:r>
          </w:p>
        </w:tc>
        <w:tc>
          <w:tcPr>
            <w:tcW w:w="630" w:type="dxa"/>
            <w:shd w:val="clear" w:color="auto" w:fill="auto"/>
            <w:vAlign w:val="center"/>
          </w:tcPr>
          <w:p w14:paraId="4BF27072" w14:textId="0AC79EF9" w:rsidR="00D72ECB" w:rsidRPr="00EC5A7B" w:rsidRDefault="00C673C7" w:rsidP="00D72ECB">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2ED0A7DF"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7,1</w:t>
            </w:r>
          </w:p>
        </w:tc>
        <w:tc>
          <w:tcPr>
            <w:tcW w:w="947" w:type="dxa"/>
            <w:shd w:val="clear" w:color="auto" w:fill="auto"/>
            <w:vAlign w:val="center"/>
          </w:tcPr>
          <w:p w14:paraId="15C4E36A"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12.03.18</w:t>
            </w:r>
          </w:p>
        </w:tc>
        <w:tc>
          <w:tcPr>
            <w:tcW w:w="992" w:type="dxa"/>
            <w:shd w:val="clear" w:color="auto" w:fill="auto"/>
            <w:vAlign w:val="center"/>
          </w:tcPr>
          <w:p w14:paraId="3D552556"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30.06.20</w:t>
            </w:r>
          </w:p>
        </w:tc>
        <w:tc>
          <w:tcPr>
            <w:tcW w:w="831" w:type="dxa"/>
            <w:shd w:val="clear" w:color="auto" w:fill="auto"/>
            <w:vAlign w:val="center"/>
          </w:tcPr>
          <w:p w14:paraId="06862731"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0,43</w:t>
            </w:r>
          </w:p>
        </w:tc>
        <w:tc>
          <w:tcPr>
            <w:tcW w:w="1102" w:type="dxa"/>
            <w:shd w:val="clear" w:color="auto" w:fill="auto"/>
            <w:vAlign w:val="center"/>
          </w:tcPr>
          <w:p w14:paraId="639A3932"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6,67</w:t>
            </w:r>
          </w:p>
        </w:tc>
        <w:tc>
          <w:tcPr>
            <w:tcW w:w="1171" w:type="dxa"/>
            <w:shd w:val="clear" w:color="auto" w:fill="auto"/>
            <w:vAlign w:val="center"/>
          </w:tcPr>
          <w:p w14:paraId="2E912E6C"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6,1</w:t>
            </w:r>
          </w:p>
        </w:tc>
        <w:tc>
          <w:tcPr>
            <w:tcW w:w="1171" w:type="dxa"/>
            <w:vAlign w:val="center"/>
          </w:tcPr>
          <w:p w14:paraId="12AEB75C"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53BCFAE5" w14:textId="77777777" w:rsidR="00D72ECB" w:rsidRPr="00EC5A7B" w:rsidRDefault="00D72ECB" w:rsidP="00D72ECB">
            <w:pPr>
              <w:jc w:val="center"/>
              <w:rPr>
                <w:rFonts w:asciiTheme="majorHAnsi" w:hAnsiTheme="majorHAnsi"/>
                <w:sz w:val="16"/>
                <w:lang w:val="ru-MD"/>
              </w:rPr>
            </w:pPr>
          </w:p>
        </w:tc>
      </w:tr>
      <w:tr w:rsidR="00D72ECB" w:rsidRPr="00EC5A7B" w14:paraId="6AB69579" w14:textId="77777777" w:rsidTr="00194F19">
        <w:tc>
          <w:tcPr>
            <w:tcW w:w="1435" w:type="dxa"/>
            <w:shd w:val="clear" w:color="auto" w:fill="auto"/>
            <w:vAlign w:val="center"/>
          </w:tcPr>
          <w:p w14:paraId="45D28A16"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D-135/IDAI2014</w:t>
            </w:r>
          </w:p>
        </w:tc>
        <w:tc>
          <w:tcPr>
            <w:tcW w:w="1621" w:type="dxa"/>
            <w:shd w:val="clear" w:color="auto" w:fill="auto"/>
            <w:vAlign w:val="center"/>
          </w:tcPr>
          <w:p w14:paraId="39084B34" w14:textId="11077BED" w:rsidR="00D72ECB" w:rsidRPr="00EC5A7B" w:rsidRDefault="00E93CF4" w:rsidP="00D72ECB">
            <w:pPr>
              <w:jc w:val="center"/>
              <w:rPr>
                <w:rFonts w:asciiTheme="majorHAnsi" w:hAnsiTheme="majorHAnsi"/>
                <w:sz w:val="16"/>
                <w:lang w:val="ru-MD"/>
              </w:rPr>
            </w:pPr>
            <w:r w:rsidRPr="00EC5A7B">
              <w:rPr>
                <w:rFonts w:asciiTheme="majorHAnsi" w:hAnsiTheme="majorHAnsi"/>
                <w:sz w:val="16"/>
                <w:lang w:val="ru-MD"/>
              </w:rPr>
              <w:t>Модернизация сектора здравоохранения</w:t>
            </w:r>
          </w:p>
        </w:tc>
        <w:tc>
          <w:tcPr>
            <w:tcW w:w="630" w:type="dxa"/>
            <w:shd w:val="clear" w:color="auto" w:fill="auto"/>
            <w:vAlign w:val="center"/>
          </w:tcPr>
          <w:p w14:paraId="0E39E23C" w14:textId="28845A54" w:rsidR="00D72ECB" w:rsidRPr="00EC5A7B" w:rsidRDefault="00C673C7" w:rsidP="00D72ECB">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5DA8D131"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18,6</w:t>
            </w:r>
          </w:p>
        </w:tc>
        <w:tc>
          <w:tcPr>
            <w:tcW w:w="947" w:type="dxa"/>
            <w:shd w:val="clear" w:color="auto" w:fill="auto"/>
            <w:vAlign w:val="center"/>
          </w:tcPr>
          <w:p w14:paraId="306E23E3"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11.07.14</w:t>
            </w:r>
          </w:p>
        </w:tc>
        <w:tc>
          <w:tcPr>
            <w:tcW w:w="992" w:type="dxa"/>
            <w:shd w:val="clear" w:color="auto" w:fill="auto"/>
            <w:vAlign w:val="center"/>
          </w:tcPr>
          <w:p w14:paraId="0C638233"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30.03.19</w:t>
            </w:r>
          </w:p>
        </w:tc>
        <w:tc>
          <w:tcPr>
            <w:tcW w:w="831" w:type="dxa"/>
            <w:shd w:val="clear" w:color="auto" w:fill="auto"/>
            <w:vAlign w:val="center"/>
          </w:tcPr>
          <w:p w14:paraId="6086A3FC"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10,27</w:t>
            </w:r>
          </w:p>
        </w:tc>
        <w:tc>
          <w:tcPr>
            <w:tcW w:w="1102" w:type="dxa"/>
            <w:shd w:val="clear" w:color="auto" w:fill="auto"/>
            <w:vAlign w:val="center"/>
          </w:tcPr>
          <w:p w14:paraId="284DE300"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8,33</w:t>
            </w:r>
          </w:p>
        </w:tc>
        <w:tc>
          <w:tcPr>
            <w:tcW w:w="1171" w:type="dxa"/>
            <w:shd w:val="clear" w:color="auto" w:fill="auto"/>
            <w:vAlign w:val="center"/>
          </w:tcPr>
          <w:p w14:paraId="4F0A326B"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55,2</w:t>
            </w:r>
          </w:p>
        </w:tc>
        <w:tc>
          <w:tcPr>
            <w:tcW w:w="1171" w:type="dxa"/>
            <w:vAlign w:val="center"/>
          </w:tcPr>
          <w:p w14:paraId="553D0E48" w14:textId="77777777" w:rsidR="00D72ECB" w:rsidRPr="00EC5A7B" w:rsidRDefault="0029703A"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tcPr>
          <w:p w14:paraId="2259D113" w14:textId="0E21D5CC" w:rsidR="00D72ECB" w:rsidRPr="00EC5A7B" w:rsidRDefault="000C45E1" w:rsidP="007A2EE9">
            <w:pPr>
              <w:jc w:val="both"/>
              <w:rPr>
                <w:rFonts w:asciiTheme="majorHAnsi" w:hAnsiTheme="majorHAnsi"/>
                <w:sz w:val="16"/>
                <w:lang w:val="ru-MD"/>
              </w:rPr>
            </w:pPr>
            <w:r w:rsidRPr="00EC5A7B">
              <w:rPr>
                <w:rFonts w:asciiTheme="majorHAnsi" w:hAnsiTheme="majorHAnsi"/>
                <w:sz w:val="16"/>
                <w:lang w:val="ru-MD"/>
              </w:rPr>
              <w:t xml:space="preserve">Не был доработан и утвержден окончательный отчет об учреждении университетской больницы </w:t>
            </w:r>
          </w:p>
        </w:tc>
      </w:tr>
      <w:tr w:rsidR="00D72ECB" w:rsidRPr="00EC5A7B" w14:paraId="38C44AB1" w14:textId="77777777" w:rsidTr="00194F19">
        <w:trPr>
          <w:trHeight w:val="1153"/>
        </w:trPr>
        <w:tc>
          <w:tcPr>
            <w:tcW w:w="1435" w:type="dxa"/>
            <w:shd w:val="clear" w:color="auto" w:fill="auto"/>
            <w:vAlign w:val="center"/>
          </w:tcPr>
          <w:p w14:paraId="79913F69"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D-142/IDA/2015</w:t>
            </w:r>
          </w:p>
        </w:tc>
        <w:tc>
          <w:tcPr>
            <w:tcW w:w="1621" w:type="dxa"/>
            <w:shd w:val="clear" w:color="auto" w:fill="auto"/>
            <w:vAlign w:val="center"/>
          </w:tcPr>
          <w:p w14:paraId="543A9408"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Moldova Agriculture Competitiveness Project GEF Additional Financing</w:t>
            </w:r>
          </w:p>
        </w:tc>
        <w:tc>
          <w:tcPr>
            <w:tcW w:w="630" w:type="dxa"/>
            <w:shd w:val="clear" w:color="auto" w:fill="auto"/>
            <w:vAlign w:val="center"/>
          </w:tcPr>
          <w:p w14:paraId="664DDE88" w14:textId="2D4BFD90" w:rsidR="00D72ECB" w:rsidRPr="00EC5A7B" w:rsidRDefault="00C673C7" w:rsidP="00D72ECB">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545EE943"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8,7</w:t>
            </w:r>
          </w:p>
        </w:tc>
        <w:tc>
          <w:tcPr>
            <w:tcW w:w="947" w:type="dxa"/>
            <w:shd w:val="clear" w:color="auto" w:fill="auto"/>
            <w:vAlign w:val="center"/>
          </w:tcPr>
          <w:p w14:paraId="582791B8"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21.05.15</w:t>
            </w:r>
          </w:p>
        </w:tc>
        <w:tc>
          <w:tcPr>
            <w:tcW w:w="992" w:type="dxa"/>
            <w:shd w:val="clear" w:color="auto" w:fill="auto"/>
            <w:vAlign w:val="center"/>
          </w:tcPr>
          <w:p w14:paraId="010E2CA5"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31.05.20</w:t>
            </w:r>
          </w:p>
        </w:tc>
        <w:tc>
          <w:tcPr>
            <w:tcW w:w="831" w:type="dxa"/>
            <w:shd w:val="clear" w:color="auto" w:fill="auto"/>
            <w:vAlign w:val="center"/>
          </w:tcPr>
          <w:p w14:paraId="17D35F88"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7,61</w:t>
            </w:r>
          </w:p>
        </w:tc>
        <w:tc>
          <w:tcPr>
            <w:tcW w:w="1102" w:type="dxa"/>
            <w:shd w:val="clear" w:color="auto" w:fill="auto"/>
            <w:vAlign w:val="center"/>
          </w:tcPr>
          <w:p w14:paraId="2304909E"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1,09</w:t>
            </w:r>
          </w:p>
        </w:tc>
        <w:tc>
          <w:tcPr>
            <w:tcW w:w="1171" w:type="dxa"/>
            <w:shd w:val="clear" w:color="auto" w:fill="auto"/>
            <w:vAlign w:val="center"/>
          </w:tcPr>
          <w:p w14:paraId="012CC2D3"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87,5</w:t>
            </w:r>
          </w:p>
        </w:tc>
        <w:tc>
          <w:tcPr>
            <w:tcW w:w="1171" w:type="dxa"/>
            <w:vAlign w:val="center"/>
          </w:tcPr>
          <w:p w14:paraId="2D3AC413" w14:textId="77777777" w:rsidR="00D72ECB" w:rsidRPr="00EC5A7B" w:rsidRDefault="0029703A"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vMerge w:val="restart"/>
          </w:tcPr>
          <w:p w14:paraId="4280DD90" w14:textId="52B2241A" w:rsidR="00D72ECB" w:rsidRPr="00EC5A7B" w:rsidRDefault="000C45E1" w:rsidP="000C45E1">
            <w:pPr>
              <w:pStyle w:val="ListParagraph"/>
              <w:numPr>
                <w:ilvl w:val="0"/>
                <w:numId w:val="15"/>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Затягивание лицами, принимающими решения, законны</w:t>
            </w:r>
            <w:r w:rsidR="00A47DE6" w:rsidRPr="00EC5A7B">
              <w:rPr>
                <w:rFonts w:asciiTheme="majorHAnsi" w:hAnsiTheme="majorHAnsi"/>
                <w:sz w:val="16"/>
                <w:lang w:val="ru-MD"/>
              </w:rPr>
              <w:t>х</w:t>
            </w:r>
            <w:r w:rsidRPr="00EC5A7B">
              <w:rPr>
                <w:rFonts w:asciiTheme="majorHAnsi" w:hAnsiTheme="majorHAnsi"/>
                <w:sz w:val="16"/>
                <w:lang w:val="ru-MD"/>
              </w:rPr>
              <w:t xml:space="preserve"> процедур перераспределения финансовых средств из компонента B2-инвестиционные гранты </w:t>
            </w:r>
            <w:r w:rsidR="00A47DE6" w:rsidRPr="00EC5A7B">
              <w:rPr>
                <w:rFonts w:asciiTheme="majorHAnsi" w:hAnsiTheme="majorHAnsi"/>
                <w:sz w:val="16"/>
                <w:lang w:val="ru-MD"/>
              </w:rPr>
              <w:t>на компонент</w:t>
            </w:r>
            <w:r w:rsidRPr="00EC5A7B">
              <w:rPr>
                <w:rFonts w:asciiTheme="majorHAnsi" w:hAnsiTheme="majorHAnsi"/>
                <w:sz w:val="16"/>
                <w:lang w:val="ru-MD"/>
              </w:rPr>
              <w:t xml:space="preserve"> A2-безопасность пищевых продуктов примерно на 8 месяцев для строительства 2 контрольных пункт</w:t>
            </w:r>
            <w:r w:rsidR="00A47DE6" w:rsidRPr="00EC5A7B">
              <w:rPr>
                <w:rFonts w:asciiTheme="majorHAnsi" w:hAnsiTheme="majorHAnsi"/>
                <w:sz w:val="16"/>
                <w:lang w:val="ru-MD"/>
              </w:rPr>
              <w:t>ов</w:t>
            </w:r>
            <w:r w:rsidRPr="00EC5A7B">
              <w:rPr>
                <w:rFonts w:asciiTheme="majorHAnsi" w:hAnsiTheme="majorHAnsi"/>
                <w:sz w:val="16"/>
                <w:lang w:val="ru-MD"/>
              </w:rPr>
              <w:t xml:space="preserve"> </w:t>
            </w:r>
            <w:r w:rsidR="00A47DE6" w:rsidRPr="00EC5A7B">
              <w:rPr>
                <w:rFonts w:asciiTheme="majorHAnsi" w:hAnsiTheme="majorHAnsi"/>
                <w:sz w:val="16"/>
                <w:lang w:val="ru-MD"/>
              </w:rPr>
              <w:t>НАБПП</w:t>
            </w:r>
            <w:r w:rsidRPr="00EC5A7B">
              <w:rPr>
                <w:rFonts w:asciiTheme="majorHAnsi" w:hAnsiTheme="majorHAnsi"/>
                <w:sz w:val="16"/>
                <w:lang w:val="ru-MD"/>
              </w:rPr>
              <w:t xml:space="preserve"> на границе </w:t>
            </w:r>
            <w:r w:rsidR="00A47DE6" w:rsidRPr="00EC5A7B">
              <w:rPr>
                <w:rFonts w:asciiTheme="majorHAnsi" w:hAnsiTheme="majorHAnsi"/>
                <w:sz w:val="16"/>
                <w:lang w:val="ru-MD"/>
              </w:rPr>
              <w:t>на</w:t>
            </w:r>
            <w:r w:rsidRPr="00EC5A7B">
              <w:rPr>
                <w:rFonts w:asciiTheme="majorHAnsi" w:hAnsiTheme="majorHAnsi"/>
                <w:sz w:val="16"/>
                <w:lang w:val="ru-MD"/>
              </w:rPr>
              <w:t xml:space="preserve"> таможенн</w:t>
            </w:r>
            <w:r w:rsidR="00A47DE6" w:rsidRPr="00EC5A7B">
              <w:rPr>
                <w:rFonts w:asciiTheme="majorHAnsi" w:hAnsiTheme="majorHAnsi"/>
                <w:sz w:val="16"/>
                <w:lang w:val="ru-MD"/>
              </w:rPr>
              <w:t>ых</w:t>
            </w:r>
            <w:r w:rsidRPr="00EC5A7B">
              <w:rPr>
                <w:rFonts w:asciiTheme="majorHAnsi" w:hAnsiTheme="majorHAnsi"/>
                <w:sz w:val="16"/>
                <w:lang w:val="ru-MD"/>
              </w:rPr>
              <w:t xml:space="preserve"> </w:t>
            </w:r>
            <w:r w:rsidR="00A47DE6" w:rsidRPr="00EC5A7B">
              <w:rPr>
                <w:rFonts w:asciiTheme="majorHAnsi" w:hAnsiTheme="majorHAnsi"/>
                <w:sz w:val="16"/>
                <w:lang w:val="ru-MD"/>
              </w:rPr>
              <w:t xml:space="preserve">пунктах </w:t>
            </w:r>
            <w:r w:rsidRPr="00EC5A7B">
              <w:rPr>
                <w:rFonts w:asciiTheme="majorHAnsi" w:hAnsiTheme="majorHAnsi"/>
                <w:sz w:val="16"/>
                <w:lang w:val="ru-MD"/>
              </w:rPr>
              <w:t xml:space="preserve">пересечения </w:t>
            </w:r>
            <w:r w:rsidR="00A47DE6" w:rsidRPr="00EC5A7B">
              <w:rPr>
                <w:rFonts w:asciiTheme="majorHAnsi" w:hAnsiTheme="majorHAnsi"/>
                <w:sz w:val="16"/>
                <w:lang w:val="ru-MD"/>
              </w:rPr>
              <w:t xml:space="preserve">границы </w:t>
            </w:r>
            <w:r w:rsidRPr="00EC5A7B">
              <w:rPr>
                <w:rFonts w:asciiTheme="majorHAnsi" w:hAnsiTheme="majorHAnsi"/>
                <w:sz w:val="16"/>
                <w:lang w:val="ru-MD"/>
              </w:rPr>
              <w:t>Скулень и Отач и, с</w:t>
            </w:r>
            <w:r w:rsidR="007A2EE9" w:rsidRPr="00EC5A7B">
              <w:rPr>
                <w:rFonts w:asciiTheme="majorHAnsi" w:hAnsiTheme="majorHAnsi"/>
                <w:sz w:val="16"/>
                <w:lang w:val="ru-MD"/>
              </w:rPr>
              <w:t>оответствен</w:t>
            </w:r>
            <w:r w:rsidRPr="00EC5A7B">
              <w:rPr>
                <w:rFonts w:asciiTheme="majorHAnsi" w:hAnsiTheme="majorHAnsi"/>
                <w:sz w:val="16"/>
                <w:lang w:val="ru-MD"/>
              </w:rPr>
              <w:t>но, невозможность осуществления процедур закупки</w:t>
            </w:r>
            <w:r w:rsidR="00D72ECB" w:rsidRPr="00EC5A7B">
              <w:rPr>
                <w:rFonts w:asciiTheme="majorHAnsi" w:hAnsiTheme="majorHAnsi"/>
                <w:sz w:val="16"/>
                <w:lang w:val="ru-MD"/>
              </w:rPr>
              <w:t>;</w:t>
            </w:r>
          </w:p>
          <w:p w14:paraId="64C0C40A" w14:textId="5DAE25BF" w:rsidR="00D72ECB" w:rsidRPr="00EC5A7B" w:rsidRDefault="000C45E1" w:rsidP="000C45E1">
            <w:pPr>
              <w:pStyle w:val="ListParagraph"/>
              <w:numPr>
                <w:ilvl w:val="0"/>
                <w:numId w:val="15"/>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 xml:space="preserve">Расторжение договора на </w:t>
            </w:r>
            <w:r w:rsidR="007A2EE9" w:rsidRPr="00EC5A7B">
              <w:rPr>
                <w:rFonts w:asciiTheme="majorHAnsi" w:hAnsiTheme="majorHAnsi"/>
                <w:sz w:val="16"/>
                <w:lang w:val="ru-MD"/>
              </w:rPr>
              <w:t xml:space="preserve">работы по </w:t>
            </w:r>
            <w:r w:rsidRPr="00EC5A7B">
              <w:rPr>
                <w:rFonts w:asciiTheme="majorHAnsi" w:hAnsiTheme="majorHAnsi"/>
                <w:sz w:val="16"/>
                <w:lang w:val="ru-MD"/>
              </w:rPr>
              <w:t>строительств</w:t>
            </w:r>
            <w:r w:rsidR="007A2EE9" w:rsidRPr="00EC5A7B">
              <w:rPr>
                <w:rFonts w:asciiTheme="majorHAnsi" w:hAnsiTheme="majorHAnsi"/>
                <w:sz w:val="16"/>
                <w:lang w:val="ru-MD"/>
              </w:rPr>
              <w:t>у</w:t>
            </w:r>
            <w:r w:rsidRPr="00EC5A7B">
              <w:rPr>
                <w:rFonts w:asciiTheme="majorHAnsi" w:hAnsiTheme="majorHAnsi"/>
                <w:sz w:val="16"/>
                <w:lang w:val="ru-MD"/>
              </w:rPr>
              <w:t xml:space="preserve"> лаборатории </w:t>
            </w:r>
            <w:r w:rsidR="007A2EE9" w:rsidRPr="00EC5A7B">
              <w:rPr>
                <w:rFonts w:asciiTheme="majorHAnsi" w:hAnsiTheme="majorHAnsi"/>
                <w:sz w:val="16"/>
                <w:lang w:val="ru-MD"/>
              </w:rPr>
              <w:t>НАБПП в Кагуле</w:t>
            </w:r>
            <w:r w:rsidR="00D72ECB" w:rsidRPr="00EC5A7B">
              <w:rPr>
                <w:rFonts w:asciiTheme="majorHAnsi" w:hAnsiTheme="majorHAnsi"/>
                <w:sz w:val="16"/>
                <w:lang w:val="ru-MD"/>
              </w:rPr>
              <w:t>;</w:t>
            </w:r>
          </w:p>
          <w:p w14:paraId="522D8E98" w14:textId="7DA1B68D" w:rsidR="00D72ECB" w:rsidRPr="00EC5A7B" w:rsidRDefault="00A47DE6" w:rsidP="00A47DE6">
            <w:pPr>
              <w:pStyle w:val="ListParagraph"/>
              <w:numPr>
                <w:ilvl w:val="0"/>
                <w:numId w:val="15"/>
              </w:numPr>
              <w:tabs>
                <w:tab w:val="left" w:pos="239"/>
              </w:tabs>
              <w:ind w:left="0" w:firstLine="0"/>
              <w:jc w:val="both"/>
              <w:rPr>
                <w:rFonts w:asciiTheme="majorHAnsi" w:hAnsiTheme="majorHAnsi"/>
                <w:sz w:val="16"/>
                <w:lang w:val="ru-MD"/>
              </w:rPr>
            </w:pPr>
            <w:r w:rsidRPr="00EC5A7B">
              <w:rPr>
                <w:rFonts w:asciiTheme="majorHAnsi" w:hAnsiTheme="majorHAnsi"/>
                <w:sz w:val="16"/>
                <w:lang w:val="ru-MD"/>
              </w:rPr>
              <w:t>Н</w:t>
            </w:r>
            <w:r w:rsidR="000C45E1" w:rsidRPr="00EC5A7B">
              <w:rPr>
                <w:rFonts w:asciiTheme="majorHAnsi" w:hAnsiTheme="majorHAnsi"/>
                <w:sz w:val="16"/>
                <w:lang w:val="ru-MD"/>
              </w:rPr>
              <w:t xml:space="preserve">езавершение </w:t>
            </w:r>
            <w:r w:rsidRPr="00EC5A7B">
              <w:rPr>
                <w:rFonts w:asciiTheme="majorHAnsi" w:hAnsiTheme="majorHAnsi"/>
                <w:sz w:val="16"/>
                <w:lang w:val="ru-MD"/>
              </w:rPr>
              <w:t xml:space="preserve">в срок </w:t>
            </w:r>
            <w:r w:rsidR="000C45E1" w:rsidRPr="00EC5A7B">
              <w:rPr>
                <w:rFonts w:asciiTheme="majorHAnsi" w:hAnsiTheme="majorHAnsi"/>
                <w:sz w:val="16"/>
                <w:lang w:val="ru-MD"/>
              </w:rPr>
              <w:t xml:space="preserve">лаборатории </w:t>
            </w:r>
            <w:r w:rsidRPr="00EC5A7B">
              <w:rPr>
                <w:rFonts w:asciiTheme="majorHAnsi" w:hAnsiTheme="majorHAnsi"/>
                <w:sz w:val="16"/>
                <w:lang w:val="ru-MD"/>
              </w:rPr>
              <w:t>НАБПП</w:t>
            </w:r>
            <w:r w:rsidR="000C45E1" w:rsidRPr="00EC5A7B">
              <w:rPr>
                <w:rFonts w:asciiTheme="majorHAnsi" w:hAnsiTheme="majorHAnsi"/>
                <w:sz w:val="16"/>
                <w:lang w:val="ru-MD"/>
              </w:rPr>
              <w:t xml:space="preserve"> в Кагуле привело к затягиванию </w:t>
            </w:r>
            <w:r w:rsidRPr="00EC5A7B">
              <w:rPr>
                <w:rFonts w:asciiTheme="majorHAnsi" w:hAnsiTheme="majorHAnsi"/>
                <w:sz w:val="16"/>
                <w:lang w:val="ru-MD"/>
              </w:rPr>
              <w:t>за</w:t>
            </w:r>
            <w:r w:rsidR="000C45E1" w:rsidRPr="00EC5A7B">
              <w:rPr>
                <w:rFonts w:asciiTheme="majorHAnsi" w:hAnsiTheme="majorHAnsi"/>
                <w:sz w:val="16"/>
                <w:lang w:val="ru-MD"/>
              </w:rPr>
              <w:t xml:space="preserve">купки офисной и лабораторной мебели  </w:t>
            </w:r>
          </w:p>
        </w:tc>
      </w:tr>
      <w:tr w:rsidR="00D72ECB" w:rsidRPr="00EC5A7B" w14:paraId="256E85F1" w14:textId="77777777" w:rsidTr="00194F19">
        <w:tc>
          <w:tcPr>
            <w:tcW w:w="1435" w:type="dxa"/>
            <w:shd w:val="clear" w:color="auto" w:fill="auto"/>
            <w:vAlign w:val="center"/>
          </w:tcPr>
          <w:p w14:paraId="5D722A3C"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D-156/IDA/2016</w:t>
            </w:r>
          </w:p>
        </w:tc>
        <w:tc>
          <w:tcPr>
            <w:tcW w:w="1621" w:type="dxa"/>
            <w:shd w:val="clear" w:color="auto" w:fill="auto"/>
            <w:vAlign w:val="center"/>
          </w:tcPr>
          <w:p w14:paraId="6A9CBC61" w14:textId="77777777" w:rsidR="00E93CF4" w:rsidRPr="00EC5A7B" w:rsidRDefault="00E93CF4" w:rsidP="00D72ECB">
            <w:pPr>
              <w:jc w:val="center"/>
              <w:rPr>
                <w:rFonts w:asciiTheme="majorHAnsi" w:hAnsiTheme="majorHAnsi"/>
                <w:sz w:val="16"/>
                <w:lang w:val="ru-MD"/>
              </w:rPr>
            </w:pPr>
            <w:r w:rsidRPr="00EC5A7B">
              <w:rPr>
                <w:rFonts w:asciiTheme="majorHAnsi" w:hAnsiTheme="majorHAnsi"/>
                <w:sz w:val="16"/>
                <w:lang w:val="ru-MD"/>
              </w:rPr>
              <w:t>Конкурентоспособ</w:t>
            </w:r>
          </w:p>
          <w:p w14:paraId="7FCB3A00" w14:textId="3F66ECF1" w:rsidR="00D72ECB" w:rsidRPr="00EC5A7B" w:rsidRDefault="00E93CF4" w:rsidP="00D72ECB">
            <w:pPr>
              <w:jc w:val="center"/>
              <w:rPr>
                <w:rFonts w:asciiTheme="majorHAnsi" w:hAnsiTheme="majorHAnsi"/>
                <w:sz w:val="16"/>
                <w:lang w:val="ru-MD"/>
              </w:rPr>
            </w:pPr>
            <w:r w:rsidRPr="00EC5A7B">
              <w:rPr>
                <w:rFonts w:asciiTheme="majorHAnsi" w:hAnsiTheme="majorHAnsi"/>
                <w:sz w:val="16"/>
                <w:lang w:val="ru-MD"/>
              </w:rPr>
              <w:t>ное сельское хозяйство</w:t>
            </w:r>
          </w:p>
        </w:tc>
        <w:tc>
          <w:tcPr>
            <w:tcW w:w="630" w:type="dxa"/>
            <w:shd w:val="clear" w:color="auto" w:fill="auto"/>
            <w:vAlign w:val="center"/>
          </w:tcPr>
          <w:p w14:paraId="327D1C05" w14:textId="35DC42A0" w:rsidR="00D72ECB" w:rsidRPr="00EC5A7B" w:rsidRDefault="00C673C7" w:rsidP="00D72ECB">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04A8B5C6"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7,1</w:t>
            </w:r>
          </w:p>
        </w:tc>
        <w:tc>
          <w:tcPr>
            <w:tcW w:w="947" w:type="dxa"/>
            <w:shd w:val="clear" w:color="auto" w:fill="auto"/>
            <w:vAlign w:val="center"/>
          </w:tcPr>
          <w:p w14:paraId="57522B1E"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08.07.16</w:t>
            </w:r>
          </w:p>
        </w:tc>
        <w:tc>
          <w:tcPr>
            <w:tcW w:w="992" w:type="dxa"/>
            <w:shd w:val="clear" w:color="auto" w:fill="auto"/>
            <w:vAlign w:val="center"/>
          </w:tcPr>
          <w:p w14:paraId="064D14F7"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30.06.19</w:t>
            </w:r>
          </w:p>
        </w:tc>
        <w:tc>
          <w:tcPr>
            <w:tcW w:w="831" w:type="dxa"/>
            <w:shd w:val="clear" w:color="auto" w:fill="auto"/>
            <w:vAlign w:val="center"/>
          </w:tcPr>
          <w:p w14:paraId="5629ECE5"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3,13</w:t>
            </w:r>
          </w:p>
        </w:tc>
        <w:tc>
          <w:tcPr>
            <w:tcW w:w="1102" w:type="dxa"/>
            <w:shd w:val="clear" w:color="auto" w:fill="auto"/>
            <w:vAlign w:val="center"/>
          </w:tcPr>
          <w:p w14:paraId="2171EAA1"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3,97</w:t>
            </w:r>
          </w:p>
        </w:tc>
        <w:tc>
          <w:tcPr>
            <w:tcW w:w="1171" w:type="dxa"/>
            <w:shd w:val="clear" w:color="auto" w:fill="auto"/>
            <w:vAlign w:val="center"/>
          </w:tcPr>
          <w:p w14:paraId="2A42E95F"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44,1</w:t>
            </w:r>
          </w:p>
        </w:tc>
        <w:tc>
          <w:tcPr>
            <w:tcW w:w="1171" w:type="dxa"/>
            <w:vAlign w:val="center"/>
          </w:tcPr>
          <w:p w14:paraId="63FFB4E8" w14:textId="77777777" w:rsidR="00D72ECB" w:rsidRPr="00EC5A7B" w:rsidRDefault="0029703A"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63CC087D" w14:textId="77777777" w:rsidR="00D72ECB" w:rsidRPr="00EC5A7B" w:rsidRDefault="00D72ECB" w:rsidP="00D72ECB">
            <w:pPr>
              <w:jc w:val="center"/>
              <w:rPr>
                <w:rFonts w:asciiTheme="majorHAnsi" w:hAnsiTheme="majorHAnsi"/>
                <w:sz w:val="16"/>
                <w:lang w:val="ru-MD"/>
              </w:rPr>
            </w:pPr>
          </w:p>
        </w:tc>
      </w:tr>
      <w:tr w:rsidR="00D72ECB" w:rsidRPr="00EC5A7B" w14:paraId="042C34B2" w14:textId="77777777" w:rsidTr="00194F19">
        <w:tc>
          <w:tcPr>
            <w:tcW w:w="1435" w:type="dxa"/>
            <w:shd w:val="clear" w:color="auto" w:fill="auto"/>
            <w:vAlign w:val="center"/>
          </w:tcPr>
          <w:p w14:paraId="1C1542EC"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D-146/IDA/2016</w:t>
            </w:r>
          </w:p>
        </w:tc>
        <w:tc>
          <w:tcPr>
            <w:tcW w:w="1621" w:type="dxa"/>
            <w:shd w:val="clear" w:color="auto" w:fill="auto"/>
            <w:vAlign w:val="center"/>
          </w:tcPr>
          <w:p w14:paraId="76B51F70" w14:textId="70C86E10" w:rsidR="00D72ECB" w:rsidRPr="00EC5A7B" w:rsidRDefault="00617729" w:rsidP="00D72ECB">
            <w:pPr>
              <w:jc w:val="center"/>
              <w:rPr>
                <w:rFonts w:asciiTheme="majorHAnsi" w:hAnsiTheme="majorHAnsi"/>
                <w:sz w:val="16"/>
                <w:lang w:val="ru-MD"/>
              </w:rPr>
            </w:pPr>
            <w:r w:rsidRPr="00EC5A7B">
              <w:rPr>
                <w:rFonts w:asciiTheme="majorHAnsi" w:hAnsiTheme="majorHAnsi"/>
                <w:sz w:val="16"/>
                <w:lang w:val="ru-MD"/>
              </w:rPr>
              <w:t>Реабилитация местных дорог</w:t>
            </w:r>
          </w:p>
        </w:tc>
        <w:tc>
          <w:tcPr>
            <w:tcW w:w="630" w:type="dxa"/>
            <w:shd w:val="clear" w:color="auto" w:fill="auto"/>
            <w:vAlign w:val="center"/>
          </w:tcPr>
          <w:p w14:paraId="1D840560" w14:textId="3C69EF2D" w:rsidR="00D72ECB" w:rsidRPr="00EC5A7B" w:rsidRDefault="00C673C7" w:rsidP="00D72ECB">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6CCEE6C0"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57,0</w:t>
            </w:r>
          </w:p>
        </w:tc>
        <w:tc>
          <w:tcPr>
            <w:tcW w:w="947" w:type="dxa"/>
            <w:shd w:val="clear" w:color="auto" w:fill="auto"/>
            <w:vAlign w:val="center"/>
          </w:tcPr>
          <w:p w14:paraId="58773A67"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28.04.16</w:t>
            </w:r>
          </w:p>
        </w:tc>
        <w:tc>
          <w:tcPr>
            <w:tcW w:w="992" w:type="dxa"/>
            <w:shd w:val="clear" w:color="auto" w:fill="auto"/>
            <w:vAlign w:val="center"/>
          </w:tcPr>
          <w:p w14:paraId="7108558F"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31.03.21</w:t>
            </w:r>
          </w:p>
        </w:tc>
        <w:tc>
          <w:tcPr>
            <w:tcW w:w="831" w:type="dxa"/>
            <w:shd w:val="clear" w:color="auto" w:fill="auto"/>
            <w:vAlign w:val="center"/>
          </w:tcPr>
          <w:p w14:paraId="67C74E7A"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6,05</w:t>
            </w:r>
          </w:p>
        </w:tc>
        <w:tc>
          <w:tcPr>
            <w:tcW w:w="1102" w:type="dxa"/>
            <w:shd w:val="clear" w:color="auto" w:fill="auto"/>
            <w:vAlign w:val="center"/>
          </w:tcPr>
          <w:p w14:paraId="641A7E27"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50,95</w:t>
            </w:r>
          </w:p>
        </w:tc>
        <w:tc>
          <w:tcPr>
            <w:tcW w:w="1171" w:type="dxa"/>
            <w:shd w:val="clear" w:color="auto" w:fill="auto"/>
            <w:vAlign w:val="center"/>
          </w:tcPr>
          <w:p w14:paraId="67668438" w14:textId="77777777" w:rsidR="00D72ECB" w:rsidRPr="00EC5A7B" w:rsidRDefault="00D72ECB" w:rsidP="00D72ECB">
            <w:pPr>
              <w:jc w:val="center"/>
              <w:rPr>
                <w:rFonts w:asciiTheme="majorHAnsi" w:hAnsiTheme="majorHAnsi"/>
                <w:sz w:val="16"/>
                <w:lang w:val="ru-MD"/>
              </w:rPr>
            </w:pPr>
            <w:r w:rsidRPr="00EC5A7B">
              <w:rPr>
                <w:rFonts w:asciiTheme="majorHAnsi" w:hAnsiTheme="majorHAnsi"/>
                <w:sz w:val="16"/>
                <w:lang w:val="ru-MD"/>
              </w:rPr>
              <w:t>10,6</w:t>
            </w:r>
          </w:p>
        </w:tc>
        <w:tc>
          <w:tcPr>
            <w:tcW w:w="1171" w:type="dxa"/>
            <w:vAlign w:val="center"/>
          </w:tcPr>
          <w:p w14:paraId="62EB4151" w14:textId="77777777" w:rsidR="00D72ECB" w:rsidRPr="00EC5A7B" w:rsidRDefault="0029703A"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tcPr>
          <w:p w14:paraId="7635AC9F" w14:textId="5CFB5324" w:rsidR="00D72ECB" w:rsidRPr="00EC5A7B" w:rsidRDefault="000C45E1" w:rsidP="00A47DE6">
            <w:pPr>
              <w:jc w:val="both"/>
              <w:rPr>
                <w:rFonts w:asciiTheme="majorHAnsi" w:hAnsiTheme="majorHAnsi"/>
                <w:sz w:val="16"/>
                <w:lang w:val="ru-MD"/>
              </w:rPr>
            </w:pPr>
            <w:r w:rsidRPr="00EC5A7B">
              <w:rPr>
                <w:rFonts w:asciiTheme="majorHAnsi" w:hAnsiTheme="majorHAnsi"/>
                <w:sz w:val="16"/>
                <w:lang w:val="ru-MD"/>
              </w:rPr>
              <w:t xml:space="preserve">Низкий уровень исполнения обусловлен колебаниями валютных курсов, сложностью проекта и продолжительностью процедуры закупок, а также невозможностью местных предпринимателей получить гарантию на </w:t>
            </w:r>
            <w:r w:rsidR="00A47DE6" w:rsidRPr="00EC5A7B">
              <w:rPr>
                <w:rFonts w:asciiTheme="majorHAnsi" w:hAnsiTheme="majorHAnsi"/>
                <w:sz w:val="16"/>
                <w:lang w:val="ru-MD"/>
              </w:rPr>
              <w:t>выплату аванса</w:t>
            </w:r>
            <w:r w:rsidRPr="00EC5A7B">
              <w:rPr>
                <w:rFonts w:asciiTheme="majorHAnsi" w:hAnsiTheme="majorHAnsi"/>
                <w:sz w:val="16"/>
                <w:lang w:val="ru-MD"/>
              </w:rPr>
              <w:t>. Кроме того, подтверждающие документы выполнения работ и оказания услуг, осуществленных в 2019 году, которые были представлены в конце декабря 2019 года, были оплачены в 2020 году</w:t>
            </w:r>
            <w:r w:rsidR="00D72ECB" w:rsidRPr="00EC5A7B">
              <w:rPr>
                <w:rFonts w:asciiTheme="majorHAnsi" w:hAnsiTheme="majorHAnsi"/>
                <w:sz w:val="16"/>
                <w:lang w:val="ru-MD"/>
              </w:rPr>
              <w:t xml:space="preserve">. </w:t>
            </w:r>
          </w:p>
        </w:tc>
      </w:tr>
      <w:tr w:rsidR="00781478" w:rsidRPr="00EC5A7B" w14:paraId="68E0FB12" w14:textId="77777777" w:rsidTr="00194F19">
        <w:trPr>
          <w:trHeight w:val="829"/>
        </w:trPr>
        <w:tc>
          <w:tcPr>
            <w:tcW w:w="1435" w:type="dxa"/>
            <w:shd w:val="clear" w:color="auto" w:fill="auto"/>
            <w:vAlign w:val="center"/>
          </w:tcPr>
          <w:p w14:paraId="2EEE378E"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D-167/IDA/2018</w:t>
            </w:r>
          </w:p>
        </w:tc>
        <w:tc>
          <w:tcPr>
            <w:tcW w:w="1621" w:type="dxa"/>
            <w:shd w:val="clear" w:color="auto" w:fill="auto"/>
            <w:vAlign w:val="center"/>
          </w:tcPr>
          <w:p w14:paraId="03D6007B"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 xml:space="preserve">Land Registration and Property Valuation </w:t>
            </w:r>
          </w:p>
        </w:tc>
        <w:tc>
          <w:tcPr>
            <w:tcW w:w="630" w:type="dxa"/>
            <w:shd w:val="clear" w:color="auto" w:fill="auto"/>
            <w:vAlign w:val="center"/>
          </w:tcPr>
          <w:p w14:paraId="43DD2382" w14:textId="79812302" w:rsidR="00781478" w:rsidRPr="00EC5A7B" w:rsidRDefault="00C673C7" w:rsidP="00D72ECB">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15A80E3E"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30,1</w:t>
            </w:r>
          </w:p>
        </w:tc>
        <w:tc>
          <w:tcPr>
            <w:tcW w:w="947" w:type="dxa"/>
            <w:shd w:val="clear" w:color="auto" w:fill="auto"/>
            <w:vAlign w:val="center"/>
          </w:tcPr>
          <w:p w14:paraId="6B371618"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17.09.18</w:t>
            </w:r>
          </w:p>
        </w:tc>
        <w:tc>
          <w:tcPr>
            <w:tcW w:w="992" w:type="dxa"/>
            <w:shd w:val="clear" w:color="auto" w:fill="auto"/>
            <w:vAlign w:val="center"/>
          </w:tcPr>
          <w:p w14:paraId="3B57920D"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30.06.24</w:t>
            </w:r>
          </w:p>
        </w:tc>
        <w:tc>
          <w:tcPr>
            <w:tcW w:w="831" w:type="dxa"/>
            <w:shd w:val="clear" w:color="auto" w:fill="auto"/>
            <w:vAlign w:val="center"/>
          </w:tcPr>
          <w:p w14:paraId="298AD5F7"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0,07</w:t>
            </w:r>
          </w:p>
        </w:tc>
        <w:tc>
          <w:tcPr>
            <w:tcW w:w="1102" w:type="dxa"/>
            <w:shd w:val="clear" w:color="auto" w:fill="auto"/>
            <w:vAlign w:val="center"/>
          </w:tcPr>
          <w:p w14:paraId="4E3F2505"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30,03</w:t>
            </w:r>
          </w:p>
        </w:tc>
        <w:tc>
          <w:tcPr>
            <w:tcW w:w="1171" w:type="dxa"/>
            <w:shd w:val="clear" w:color="auto" w:fill="auto"/>
            <w:vAlign w:val="center"/>
          </w:tcPr>
          <w:p w14:paraId="677C04CF" w14:textId="77777777" w:rsidR="00781478" w:rsidRPr="00EC5A7B" w:rsidRDefault="00781478" w:rsidP="00D72ECB">
            <w:pPr>
              <w:jc w:val="center"/>
              <w:rPr>
                <w:rFonts w:asciiTheme="majorHAnsi" w:hAnsiTheme="majorHAnsi"/>
                <w:sz w:val="16"/>
                <w:lang w:val="ru-MD"/>
              </w:rPr>
            </w:pPr>
            <w:r w:rsidRPr="00EC5A7B">
              <w:rPr>
                <w:rFonts w:asciiTheme="majorHAnsi" w:hAnsiTheme="majorHAnsi"/>
                <w:sz w:val="16"/>
                <w:lang w:val="ru-MD"/>
              </w:rPr>
              <w:t>0,2</w:t>
            </w:r>
          </w:p>
        </w:tc>
        <w:tc>
          <w:tcPr>
            <w:tcW w:w="1171" w:type="dxa"/>
            <w:vAlign w:val="center"/>
          </w:tcPr>
          <w:p w14:paraId="1BD16ACB" w14:textId="77777777" w:rsidR="00781478" w:rsidRPr="00EC5A7B" w:rsidRDefault="00C45F93" w:rsidP="00D72ECB">
            <w:pPr>
              <w:jc w:val="center"/>
              <w:rPr>
                <w:rFonts w:asciiTheme="majorHAnsi" w:hAnsiTheme="majorHAnsi"/>
                <w:sz w:val="16"/>
                <w:lang w:val="ru-MD"/>
              </w:rPr>
            </w:pPr>
            <w:r w:rsidRPr="00EC5A7B">
              <w:rPr>
                <w:rFonts w:asciiTheme="majorHAnsi" w:hAnsiTheme="majorHAnsi"/>
                <w:sz w:val="16"/>
                <w:lang w:val="ru-MD"/>
              </w:rPr>
              <w:t>0,0</w:t>
            </w:r>
          </w:p>
        </w:tc>
        <w:tc>
          <w:tcPr>
            <w:tcW w:w="4139" w:type="dxa"/>
            <w:vMerge w:val="restart"/>
          </w:tcPr>
          <w:p w14:paraId="4BFAAF4F" w14:textId="79324029" w:rsidR="00781478" w:rsidRPr="00EC5A7B" w:rsidRDefault="000C45E1" w:rsidP="000C45E1">
            <w:pPr>
              <w:pStyle w:val="ListParagraph"/>
              <w:numPr>
                <w:ilvl w:val="0"/>
                <w:numId w:val="11"/>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 xml:space="preserve">Задержание открытия валютного счета </w:t>
            </w:r>
            <w:r w:rsidR="00A47DE6" w:rsidRPr="00EC5A7B">
              <w:rPr>
                <w:rFonts w:asciiTheme="majorHAnsi" w:hAnsiTheme="majorHAnsi"/>
                <w:sz w:val="16"/>
                <w:lang w:val="ru-MD"/>
              </w:rPr>
              <w:t>для</w:t>
            </w:r>
            <w:r w:rsidRPr="00EC5A7B">
              <w:rPr>
                <w:rFonts w:asciiTheme="majorHAnsi" w:hAnsiTheme="majorHAnsi"/>
                <w:sz w:val="16"/>
                <w:lang w:val="ru-MD"/>
              </w:rPr>
              <w:t xml:space="preserve"> выплат в рамках проекта, пере</w:t>
            </w:r>
            <w:r w:rsidR="00A47DE6" w:rsidRPr="00EC5A7B">
              <w:rPr>
                <w:rFonts w:asciiTheme="majorHAnsi" w:hAnsiTheme="majorHAnsi"/>
                <w:sz w:val="16"/>
                <w:lang w:val="ru-MD"/>
              </w:rPr>
              <w:t>дачи</w:t>
            </w:r>
            <w:r w:rsidRPr="00EC5A7B">
              <w:rPr>
                <w:rFonts w:asciiTheme="majorHAnsi" w:hAnsiTheme="majorHAnsi"/>
                <w:sz w:val="16"/>
                <w:lang w:val="ru-MD"/>
              </w:rPr>
              <w:t xml:space="preserve"> МФ списка образцов подписей, уполномоченных на подписание заявок на снятие средств</w:t>
            </w:r>
            <w:r w:rsidR="006A02EE" w:rsidRPr="00EC5A7B">
              <w:rPr>
                <w:rFonts w:asciiTheme="majorHAnsi" w:hAnsiTheme="majorHAnsi"/>
                <w:sz w:val="16"/>
                <w:lang w:val="ru-MD"/>
              </w:rPr>
              <w:t>;</w:t>
            </w:r>
          </w:p>
          <w:p w14:paraId="6B244110" w14:textId="487B4357" w:rsidR="00781478" w:rsidRPr="00EC5A7B" w:rsidRDefault="000C45E1" w:rsidP="00A47DE6">
            <w:pPr>
              <w:pStyle w:val="ListParagraph"/>
              <w:numPr>
                <w:ilvl w:val="0"/>
                <w:numId w:val="11"/>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Изменение в сентябре 2019 года функции и программы проекта, в результате которого были внесены изменения в казначейские счета проекта, что затягивало процесс контракт</w:t>
            </w:r>
            <w:r w:rsidR="00A47DE6" w:rsidRPr="00EC5A7B">
              <w:rPr>
                <w:rFonts w:asciiTheme="majorHAnsi" w:hAnsiTheme="majorHAnsi"/>
                <w:sz w:val="16"/>
                <w:lang w:val="ru-MD"/>
              </w:rPr>
              <w:t>ации</w:t>
            </w:r>
            <w:r w:rsidRPr="00EC5A7B">
              <w:rPr>
                <w:rFonts w:asciiTheme="majorHAnsi" w:hAnsiTheme="majorHAnsi"/>
                <w:sz w:val="16"/>
                <w:lang w:val="ru-MD"/>
              </w:rPr>
              <w:t xml:space="preserve"> поставщик</w:t>
            </w:r>
            <w:r w:rsidR="00A47DE6" w:rsidRPr="00EC5A7B">
              <w:rPr>
                <w:rFonts w:asciiTheme="majorHAnsi" w:hAnsiTheme="majorHAnsi"/>
                <w:sz w:val="16"/>
                <w:lang w:val="ru-MD"/>
              </w:rPr>
              <w:t>ов</w:t>
            </w:r>
            <w:r w:rsidRPr="00EC5A7B">
              <w:rPr>
                <w:rFonts w:asciiTheme="majorHAnsi" w:hAnsiTheme="majorHAnsi"/>
                <w:sz w:val="16"/>
                <w:lang w:val="ru-MD"/>
              </w:rPr>
              <w:t xml:space="preserve"> товаров и услуг и начала работ</w:t>
            </w:r>
            <w:r w:rsidR="00A47DE6" w:rsidRPr="00EC5A7B">
              <w:rPr>
                <w:rFonts w:asciiTheme="majorHAnsi" w:hAnsiTheme="majorHAnsi"/>
                <w:sz w:val="16"/>
                <w:lang w:val="ru-MD"/>
              </w:rPr>
              <w:t>.</w:t>
            </w:r>
            <w:r w:rsidRPr="00EC5A7B">
              <w:rPr>
                <w:rFonts w:asciiTheme="majorHAnsi" w:hAnsiTheme="majorHAnsi"/>
                <w:sz w:val="16"/>
                <w:lang w:val="ru-MD"/>
              </w:rPr>
              <w:t xml:space="preserve"> </w:t>
            </w:r>
          </w:p>
        </w:tc>
      </w:tr>
      <w:tr w:rsidR="00781478" w:rsidRPr="00EC5A7B" w14:paraId="5D374299" w14:textId="77777777" w:rsidTr="00194F19">
        <w:trPr>
          <w:trHeight w:val="677"/>
        </w:trPr>
        <w:tc>
          <w:tcPr>
            <w:tcW w:w="1435" w:type="dxa"/>
            <w:shd w:val="clear" w:color="auto" w:fill="auto"/>
            <w:vAlign w:val="center"/>
          </w:tcPr>
          <w:p w14:paraId="1A0CCFE9"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D-143-C/BIRD/15</w:t>
            </w:r>
          </w:p>
        </w:tc>
        <w:tc>
          <w:tcPr>
            <w:tcW w:w="1621" w:type="dxa"/>
            <w:shd w:val="clear" w:color="auto" w:fill="auto"/>
            <w:vAlign w:val="center"/>
          </w:tcPr>
          <w:p w14:paraId="7890E679"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District Heating Efficiency Improvement</w:t>
            </w:r>
          </w:p>
        </w:tc>
        <w:tc>
          <w:tcPr>
            <w:tcW w:w="630" w:type="dxa"/>
            <w:shd w:val="clear" w:color="auto" w:fill="auto"/>
            <w:vAlign w:val="center"/>
          </w:tcPr>
          <w:p w14:paraId="69E69F13" w14:textId="2FDFA40B" w:rsidR="00781478" w:rsidRPr="00EC5A7B" w:rsidRDefault="00C673C7" w:rsidP="00781478">
            <w:pPr>
              <w:jc w:val="center"/>
              <w:rPr>
                <w:rFonts w:asciiTheme="majorHAnsi" w:hAnsiTheme="majorHAnsi"/>
                <w:sz w:val="16"/>
                <w:lang w:val="ru-MD"/>
              </w:rPr>
            </w:pPr>
            <w:r w:rsidRPr="00EC5A7B">
              <w:rPr>
                <w:rFonts w:asciiTheme="majorHAnsi" w:hAnsiTheme="majorHAnsi"/>
                <w:sz w:val="16"/>
                <w:lang w:val="ru-MD"/>
              </w:rPr>
              <w:t>евро</w:t>
            </w:r>
          </w:p>
        </w:tc>
        <w:tc>
          <w:tcPr>
            <w:tcW w:w="1171" w:type="dxa"/>
            <w:shd w:val="clear" w:color="auto" w:fill="auto"/>
            <w:vAlign w:val="center"/>
          </w:tcPr>
          <w:p w14:paraId="4F718421"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35,7</w:t>
            </w:r>
          </w:p>
        </w:tc>
        <w:tc>
          <w:tcPr>
            <w:tcW w:w="947" w:type="dxa"/>
            <w:shd w:val="clear" w:color="auto" w:fill="auto"/>
            <w:vAlign w:val="center"/>
          </w:tcPr>
          <w:p w14:paraId="50E6B2DD"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15.04.15</w:t>
            </w:r>
          </w:p>
        </w:tc>
        <w:tc>
          <w:tcPr>
            <w:tcW w:w="992" w:type="dxa"/>
            <w:shd w:val="clear" w:color="auto" w:fill="auto"/>
            <w:vAlign w:val="center"/>
          </w:tcPr>
          <w:p w14:paraId="3D68B010"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30.06.20</w:t>
            </w:r>
          </w:p>
        </w:tc>
        <w:tc>
          <w:tcPr>
            <w:tcW w:w="831" w:type="dxa"/>
            <w:shd w:val="clear" w:color="auto" w:fill="auto"/>
            <w:vAlign w:val="center"/>
          </w:tcPr>
          <w:p w14:paraId="74371F3D"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34,35</w:t>
            </w:r>
          </w:p>
        </w:tc>
        <w:tc>
          <w:tcPr>
            <w:tcW w:w="1102" w:type="dxa"/>
            <w:shd w:val="clear" w:color="auto" w:fill="auto"/>
            <w:vAlign w:val="center"/>
          </w:tcPr>
          <w:p w14:paraId="01B667AB"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1,35</w:t>
            </w:r>
          </w:p>
        </w:tc>
        <w:tc>
          <w:tcPr>
            <w:tcW w:w="1171" w:type="dxa"/>
            <w:shd w:val="clear" w:color="auto" w:fill="auto"/>
            <w:vAlign w:val="center"/>
          </w:tcPr>
          <w:p w14:paraId="4DB3AC04"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96,2</w:t>
            </w:r>
          </w:p>
        </w:tc>
        <w:tc>
          <w:tcPr>
            <w:tcW w:w="1171" w:type="dxa"/>
            <w:vAlign w:val="center"/>
          </w:tcPr>
          <w:p w14:paraId="00DAE555" w14:textId="77777777" w:rsidR="00781478" w:rsidRPr="00EC5A7B" w:rsidRDefault="0029703A" w:rsidP="00781478">
            <w:pPr>
              <w:jc w:val="center"/>
              <w:rPr>
                <w:rFonts w:asciiTheme="majorHAnsi" w:hAnsiTheme="majorHAnsi"/>
                <w:sz w:val="16"/>
                <w:lang w:val="ru-MD"/>
              </w:rPr>
            </w:pPr>
            <w:r w:rsidRPr="00EC5A7B">
              <w:rPr>
                <w:rFonts w:asciiTheme="majorHAnsi" w:hAnsiTheme="majorHAnsi"/>
                <w:sz w:val="16"/>
                <w:lang w:val="ru-MD"/>
              </w:rPr>
              <w:t>118,83</w:t>
            </w:r>
          </w:p>
        </w:tc>
        <w:tc>
          <w:tcPr>
            <w:tcW w:w="4139" w:type="dxa"/>
            <w:vMerge/>
          </w:tcPr>
          <w:p w14:paraId="689CAA1E" w14:textId="77777777" w:rsidR="00781478" w:rsidRPr="00EC5A7B" w:rsidRDefault="00781478" w:rsidP="00781478">
            <w:pPr>
              <w:jc w:val="both"/>
              <w:rPr>
                <w:rFonts w:asciiTheme="majorHAnsi" w:hAnsiTheme="majorHAnsi"/>
                <w:sz w:val="16"/>
                <w:lang w:val="ru-MD"/>
              </w:rPr>
            </w:pPr>
          </w:p>
        </w:tc>
      </w:tr>
      <w:tr w:rsidR="00781478" w:rsidRPr="00EC5A7B" w14:paraId="0CE15C1A" w14:textId="77777777" w:rsidTr="00194F19">
        <w:trPr>
          <w:trHeight w:val="1486"/>
        </w:trPr>
        <w:tc>
          <w:tcPr>
            <w:tcW w:w="1435" w:type="dxa"/>
            <w:shd w:val="clear" w:color="auto" w:fill="auto"/>
            <w:vAlign w:val="center"/>
          </w:tcPr>
          <w:p w14:paraId="2C02DCFF"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D-131/IFAD/2014</w:t>
            </w:r>
          </w:p>
        </w:tc>
        <w:tc>
          <w:tcPr>
            <w:tcW w:w="1621" w:type="dxa"/>
            <w:shd w:val="clear" w:color="auto" w:fill="auto"/>
            <w:vAlign w:val="center"/>
          </w:tcPr>
          <w:p w14:paraId="04E4EE51" w14:textId="51C81FB0" w:rsidR="00781478" w:rsidRPr="00EC5A7B" w:rsidRDefault="00617729" w:rsidP="00617729">
            <w:pPr>
              <w:jc w:val="center"/>
              <w:rPr>
                <w:rFonts w:asciiTheme="majorHAnsi" w:hAnsiTheme="majorHAnsi"/>
                <w:sz w:val="16"/>
                <w:lang w:val="ru-MD"/>
              </w:rPr>
            </w:pPr>
            <w:r w:rsidRPr="00EC5A7B">
              <w:rPr>
                <w:rFonts w:asciiTheme="majorHAnsi" w:hAnsiTheme="majorHAnsi"/>
                <w:sz w:val="16"/>
                <w:lang w:val="ru-MD"/>
              </w:rPr>
              <w:t xml:space="preserve">МФРСХ </w:t>
            </w:r>
            <w:r w:rsidR="00781478" w:rsidRPr="00EC5A7B">
              <w:rPr>
                <w:rFonts w:asciiTheme="majorHAnsi" w:hAnsiTheme="majorHAnsi"/>
                <w:sz w:val="16"/>
                <w:lang w:val="ru-MD"/>
              </w:rPr>
              <w:t>VI</w:t>
            </w:r>
          </w:p>
        </w:tc>
        <w:tc>
          <w:tcPr>
            <w:tcW w:w="630" w:type="dxa"/>
            <w:shd w:val="clear" w:color="auto" w:fill="auto"/>
            <w:vAlign w:val="center"/>
          </w:tcPr>
          <w:p w14:paraId="5D975E6F" w14:textId="7E37E917" w:rsidR="00781478" w:rsidRPr="00EC5A7B" w:rsidRDefault="00C673C7" w:rsidP="0078147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130EAD55"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10,5</w:t>
            </w:r>
          </w:p>
        </w:tc>
        <w:tc>
          <w:tcPr>
            <w:tcW w:w="947" w:type="dxa"/>
            <w:shd w:val="clear" w:color="auto" w:fill="auto"/>
            <w:vAlign w:val="center"/>
          </w:tcPr>
          <w:p w14:paraId="351C43A9"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20.02.14</w:t>
            </w:r>
          </w:p>
        </w:tc>
        <w:tc>
          <w:tcPr>
            <w:tcW w:w="992" w:type="dxa"/>
            <w:shd w:val="clear" w:color="auto" w:fill="auto"/>
            <w:vAlign w:val="center"/>
          </w:tcPr>
          <w:p w14:paraId="185C8390"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31.03.21</w:t>
            </w:r>
          </w:p>
        </w:tc>
        <w:tc>
          <w:tcPr>
            <w:tcW w:w="831" w:type="dxa"/>
            <w:shd w:val="clear" w:color="auto" w:fill="auto"/>
            <w:vAlign w:val="center"/>
          </w:tcPr>
          <w:p w14:paraId="302FE4A2"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7,57</w:t>
            </w:r>
          </w:p>
        </w:tc>
        <w:tc>
          <w:tcPr>
            <w:tcW w:w="1102" w:type="dxa"/>
            <w:shd w:val="clear" w:color="auto" w:fill="auto"/>
            <w:vAlign w:val="center"/>
          </w:tcPr>
          <w:p w14:paraId="3862F2F8"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2,93</w:t>
            </w:r>
          </w:p>
        </w:tc>
        <w:tc>
          <w:tcPr>
            <w:tcW w:w="1171" w:type="dxa"/>
            <w:shd w:val="clear" w:color="auto" w:fill="auto"/>
            <w:vAlign w:val="center"/>
          </w:tcPr>
          <w:p w14:paraId="470FDEF2"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72,1</w:t>
            </w:r>
          </w:p>
        </w:tc>
        <w:tc>
          <w:tcPr>
            <w:tcW w:w="1171" w:type="dxa"/>
            <w:vAlign w:val="center"/>
          </w:tcPr>
          <w:p w14:paraId="46E8D55C" w14:textId="77777777" w:rsidR="00781478" w:rsidRPr="00EC5A7B" w:rsidRDefault="0029703A" w:rsidP="0078147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val="restart"/>
          </w:tcPr>
          <w:p w14:paraId="6D4E1664" w14:textId="405CDD1D" w:rsidR="00781478" w:rsidRPr="00EC5A7B" w:rsidRDefault="000C45E1" w:rsidP="00A677C8">
            <w:pPr>
              <w:pStyle w:val="ListParagraph"/>
              <w:numPr>
                <w:ilvl w:val="0"/>
                <w:numId w:val="16"/>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 xml:space="preserve">Отсутствие вклада бенефициаров (в основном примэрий, которые </w:t>
            </w:r>
            <w:r w:rsidR="00ED0683" w:rsidRPr="00EC5A7B">
              <w:rPr>
                <w:rFonts w:asciiTheme="majorHAnsi" w:hAnsiTheme="majorHAnsi"/>
                <w:sz w:val="16"/>
                <w:lang w:val="ru-MD"/>
              </w:rPr>
              <w:t>находились</w:t>
            </w:r>
            <w:r w:rsidRPr="00EC5A7B">
              <w:rPr>
                <w:rFonts w:asciiTheme="majorHAnsi" w:hAnsiTheme="majorHAnsi"/>
                <w:sz w:val="16"/>
                <w:lang w:val="ru-MD"/>
              </w:rPr>
              <w:t xml:space="preserve"> в п</w:t>
            </w:r>
            <w:r w:rsidR="00ED0683" w:rsidRPr="00EC5A7B">
              <w:rPr>
                <w:rFonts w:asciiTheme="majorHAnsi" w:hAnsiTheme="majorHAnsi"/>
                <w:sz w:val="16"/>
                <w:lang w:val="ru-MD"/>
              </w:rPr>
              <w:t>роцессе</w:t>
            </w:r>
            <w:r w:rsidRPr="00EC5A7B">
              <w:rPr>
                <w:rFonts w:asciiTheme="majorHAnsi" w:hAnsiTheme="majorHAnsi"/>
                <w:sz w:val="16"/>
                <w:lang w:val="ru-MD"/>
              </w:rPr>
              <w:t xml:space="preserve"> избирательной кампании) и неблагоприятные условия привели к незавершению работ (завершение работ будет выполнено в 2020 году)</w:t>
            </w:r>
            <w:r w:rsidR="00781478" w:rsidRPr="00EC5A7B">
              <w:rPr>
                <w:rFonts w:asciiTheme="majorHAnsi" w:hAnsiTheme="majorHAnsi"/>
                <w:sz w:val="16"/>
                <w:lang w:val="ru-MD"/>
              </w:rPr>
              <w:t>;</w:t>
            </w:r>
          </w:p>
          <w:p w14:paraId="67BDF0B6" w14:textId="28F8277F" w:rsidR="00781478" w:rsidRPr="00EC5A7B" w:rsidRDefault="000C45E1" w:rsidP="00A677C8">
            <w:pPr>
              <w:pStyle w:val="ListParagraph"/>
              <w:numPr>
                <w:ilvl w:val="0"/>
                <w:numId w:val="16"/>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 xml:space="preserve">Задержка </w:t>
            </w:r>
            <w:r w:rsidR="002060CD" w:rsidRPr="00EC5A7B">
              <w:rPr>
                <w:rFonts w:asciiTheme="majorHAnsi" w:hAnsiTheme="majorHAnsi"/>
                <w:sz w:val="16"/>
                <w:lang w:val="ru-MD"/>
              </w:rPr>
              <w:t>в</w:t>
            </w:r>
            <w:r w:rsidRPr="00EC5A7B">
              <w:rPr>
                <w:rFonts w:asciiTheme="majorHAnsi" w:hAnsiTheme="majorHAnsi"/>
                <w:sz w:val="16"/>
                <w:lang w:val="ru-MD"/>
              </w:rPr>
              <w:t xml:space="preserve"> разработке технико-экономических обоснований для некоторых работ</w:t>
            </w:r>
            <w:r w:rsidR="00781478" w:rsidRPr="00EC5A7B">
              <w:rPr>
                <w:rFonts w:asciiTheme="majorHAnsi" w:hAnsiTheme="majorHAnsi"/>
                <w:sz w:val="16"/>
                <w:lang w:val="ru-MD"/>
              </w:rPr>
              <w:t>;</w:t>
            </w:r>
          </w:p>
          <w:p w14:paraId="7CC87604" w14:textId="5FD28BCA" w:rsidR="00781478" w:rsidRPr="00EC5A7B" w:rsidRDefault="000C45E1" w:rsidP="00A677C8">
            <w:pPr>
              <w:pStyle w:val="ListParagraph"/>
              <w:numPr>
                <w:ilvl w:val="0"/>
                <w:numId w:val="16"/>
              </w:numPr>
              <w:tabs>
                <w:tab w:val="left" w:pos="251"/>
              </w:tabs>
              <w:ind w:left="0" w:firstLine="0"/>
              <w:jc w:val="both"/>
              <w:rPr>
                <w:rFonts w:asciiTheme="majorHAnsi" w:hAnsiTheme="majorHAnsi"/>
                <w:sz w:val="16"/>
                <w:lang w:val="ru-MD"/>
              </w:rPr>
            </w:pPr>
            <w:r w:rsidRPr="00EC5A7B">
              <w:rPr>
                <w:rFonts w:asciiTheme="majorHAnsi" w:hAnsiTheme="majorHAnsi"/>
                <w:sz w:val="16"/>
                <w:lang w:val="ru-MD"/>
              </w:rPr>
              <w:t>Временное/частичное прекращение приема заявок из-за необходимости пересмотра списка п</w:t>
            </w:r>
            <w:r w:rsidR="002060CD" w:rsidRPr="00EC5A7B">
              <w:rPr>
                <w:rFonts w:asciiTheme="majorHAnsi" w:hAnsiTheme="majorHAnsi"/>
                <w:sz w:val="16"/>
                <w:lang w:val="ru-MD"/>
              </w:rPr>
              <w:t>риемлемо</w:t>
            </w:r>
            <w:r w:rsidRPr="00EC5A7B">
              <w:rPr>
                <w:rFonts w:asciiTheme="majorHAnsi" w:hAnsiTheme="majorHAnsi"/>
                <w:sz w:val="16"/>
                <w:lang w:val="ru-MD"/>
              </w:rPr>
              <w:t>го оборудования для соответствующего гранта. В настоящее время проводится исследование рынка, которое будет завершено в марте 2020 года, и будут пересмотрены условия предоставления, и деятельность будет возобновлена в течение 2020 года</w:t>
            </w:r>
            <w:r w:rsidR="00781478" w:rsidRPr="00EC5A7B">
              <w:rPr>
                <w:rFonts w:asciiTheme="majorHAnsi" w:hAnsiTheme="majorHAnsi"/>
                <w:sz w:val="16"/>
                <w:lang w:val="ru-MD"/>
              </w:rPr>
              <w:t>;</w:t>
            </w:r>
          </w:p>
          <w:p w14:paraId="316479FB" w14:textId="3E4AF3E5" w:rsidR="00781478" w:rsidRPr="00EC5A7B" w:rsidRDefault="000C45E1" w:rsidP="00A677C8">
            <w:pPr>
              <w:pStyle w:val="ListParagraph"/>
              <w:numPr>
                <w:ilvl w:val="0"/>
                <w:numId w:val="16"/>
              </w:numPr>
              <w:tabs>
                <w:tab w:val="left" w:pos="251"/>
              </w:tabs>
              <w:ind w:left="0" w:hanging="16"/>
              <w:jc w:val="both"/>
              <w:rPr>
                <w:rFonts w:asciiTheme="majorHAnsi" w:hAnsiTheme="majorHAnsi"/>
                <w:sz w:val="16"/>
                <w:lang w:val="ru-MD"/>
              </w:rPr>
            </w:pPr>
            <w:r w:rsidRPr="00EC5A7B">
              <w:rPr>
                <w:rFonts w:asciiTheme="majorHAnsi" w:hAnsiTheme="majorHAnsi"/>
                <w:sz w:val="16"/>
                <w:lang w:val="ru-MD"/>
              </w:rPr>
              <w:t>Задержки в сборе собственного вклада бенефициаров, что привело к затягиванию процедур закупки</w:t>
            </w:r>
            <w:r w:rsidR="00781478" w:rsidRPr="00EC5A7B">
              <w:rPr>
                <w:rFonts w:asciiTheme="majorHAnsi" w:hAnsiTheme="majorHAnsi"/>
                <w:sz w:val="16"/>
                <w:lang w:val="ru-MD"/>
              </w:rPr>
              <w:t>;</w:t>
            </w:r>
          </w:p>
          <w:p w14:paraId="76A855D7" w14:textId="33E5250D" w:rsidR="00781478" w:rsidRPr="00EC5A7B" w:rsidRDefault="00A677C8" w:rsidP="00A677C8">
            <w:pPr>
              <w:pStyle w:val="ListParagraph"/>
              <w:numPr>
                <w:ilvl w:val="0"/>
                <w:numId w:val="16"/>
              </w:numPr>
              <w:tabs>
                <w:tab w:val="left" w:pos="251"/>
              </w:tabs>
              <w:ind w:left="0" w:hanging="16"/>
              <w:jc w:val="both"/>
              <w:rPr>
                <w:rFonts w:asciiTheme="majorHAnsi" w:hAnsiTheme="majorHAnsi"/>
                <w:sz w:val="16"/>
                <w:lang w:val="ru-MD"/>
              </w:rPr>
            </w:pPr>
            <w:r w:rsidRPr="00EC5A7B">
              <w:rPr>
                <w:rFonts w:asciiTheme="majorHAnsi" w:hAnsiTheme="majorHAnsi"/>
                <w:sz w:val="16"/>
                <w:lang w:val="ru-MD"/>
              </w:rPr>
              <w:t xml:space="preserve">Задержки </w:t>
            </w:r>
            <w:r w:rsidR="002060CD" w:rsidRPr="00EC5A7B">
              <w:rPr>
                <w:rFonts w:asciiTheme="majorHAnsi" w:hAnsiTheme="majorHAnsi"/>
                <w:sz w:val="16"/>
                <w:lang w:val="ru-MD"/>
              </w:rPr>
              <w:t>в</w:t>
            </w:r>
            <w:r w:rsidRPr="00EC5A7B">
              <w:rPr>
                <w:rFonts w:asciiTheme="majorHAnsi" w:hAnsiTheme="majorHAnsi"/>
                <w:sz w:val="16"/>
                <w:lang w:val="ru-MD"/>
              </w:rPr>
              <w:t xml:space="preserve"> представлении МПО проектов исполнения, что привело к объявлению аукционов в полный сезон строительства, соответственно, к сокращению/отсутствию участников тендера на гражданские работы и / или продлению аукционов по 2-3 раза</w:t>
            </w:r>
            <w:r w:rsidR="006A02EE" w:rsidRPr="00EC5A7B">
              <w:rPr>
                <w:rFonts w:asciiTheme="majorHAnsi" w:hAnsiTheme="majorHAnsi"/>
                <w:sz w:val="16"/>
                <w:lang w:val="ru-MD"/>
              </w:rPr>
              <w:t>;</w:t>
            </w:r>
          </w:p>
          <w:p w14:paraId="32F21A22" w14:textId="0C9B3AE0" w:rsidR="00781478" w:rsidRPr="00EC5A7B" w:rsidRDefault="002060CD" w:rsidP="002060CD">
            <w:pPr>
              <w:pStyle w:val="ListParagraph"/>
              <w:numPr>
                <w:ilvl w:val="0"/>
                <w:numId w:val="16"/>
              </w:numPr>
              <w:tabs>
                <w:tab w:val="left" w:pos="251"/>
              </w:tabs>
              <w:ind w:left="0" w:hanging="16"/>
              <w:jc w:val="both"/>
              <w:rPr>
                <w:rFonts w:asciiTheme="majorHAnsi" w:hAnsiTheme="majorHAnsi"/>
                <w:sz w:val="16"/>
                <w:lang w:val="ru-MD"/>
              </w:rPr>
            </w:pPr>
            <w:r w:rsidRPr="00EC5A7B">
              <w:rPr>
                <w:rFonts w:asciiTheme="majorHAnsi" w:hAnsiTheme="majorHAnsi"/>
                <w:sz w:val="16"/>
                <w:lang w:val="ru-MD"/>
              </w:rPr>
              <w:t>По компоненту рекредитования</w:t>
            </w:r>
            <w:r w:rsidR="00A677C8" w:rsidRPr="00EC5A7B">
              <w:rPr>
                <w:rFonts w:asciiTheme="majorHAnsi" w:hAnsiTheme="majorHAnsi"/>
                <w:sz w:val="16"/>
                <w:lang w:val="ru-MD"/>
              </w:rPr>
              <w:t>-отсутствие решения О Фонде гарантирования кредитов и приостановление МФ в</w:t>
            </w:r>
            <w:r w:rsidRPr="00EC5A7B">
              <w:rPr>
                <w:rFonts w:asciiTheme="majorHAnsi" w:hAnsiTheme="majorHAnsi"/>
                <w:sz w:val="16"/>
                <w:lang w:val="ru-MD"/>
              </w:rPr>
              <w:t>ыплаты</w:t>
            </w:r>
            <w:r w:rsidR="00A677C8" w:rsidRPr="00EC5A7B">
              <w:rPr>
                <w:rFonts w:asciiTheme="majorHAnsi" w:hAnsiTheme="majorHAnsi"/>
                <w:sz w:val="16"/>
                <w:lang w:val="ru-MD"/>
              </w:rPr>
              <w:t xml:space="preserve"> средств </w:t>
            </w:r>
            <w:r w:rsidRPr="00EC5A7B">
              <w:rPr>
                <w:rFonts w:asciiTheme="majorHAnsi" w:hAnsiTheme="majorHAnsi"/>
                <w:sz w:val="16"/>
                <w:lang w:val="ru-MD"/>
              </w:rPr>
              <w:t xml:space="preserve">в пользу </w:t>
            </w:r>
            <w:r w:rsidR="00A677C8" w:rsidRPr="00EC5A7B">
              <w:rPr>
                <w:rFonts w:asciiTheme="majorHAnsi" w:hAnsiTheme="majorHAnsi"/>
                <w:sz w:val="16"/>
                <w:lang w:val="ru-MD"/>
              </w:rPr>
              <w:t>CFR, что привело к прекращению финансирования микро-предпринимателей</w:t>
            </w:r>
            <w:r w:rsidR="00ED0683" w:rsidRPr="00EC5A7B">
              <w:rPr>
                <w:rFonts w:asciiTheme="majorHAnsi" w:hAnsiTheme="majorHAnsi"/>
                <w:sz w:val="16"/>
                <w:lang w:val="ru-MD"/>
              </w:rPr>
              <w:t>.</w:t>
            </w:r>
            <w:r w:rsidRPr="00EC5A7B">
              <w:rPr>
                <w:rFonts w:asciiTheme="majorHAnsi" w:hAnsiTheme="majorHAnsi"/>
                <w:sz w:val="16"/>
                <w:lang w:val="ru-MD"/>
              </w:rPr>
              <w:t xml:space="preserve"> </w:t>
            </w:r>
          </w:p>
        </w:tc>
      </w:tr>
      <w:tr w:rsidR="00781478" w:rsidRPr="00EC5A7B" w14:paraId="09C1B011" w14:textId="77777777" w:rsidTr="00194F19">
        <w:tc>
          <w:tcPr>
            <w:tcW w:w="1435" w:type="dxa"/>
            <w:shd w:val="clear" w:color="auto" w:fill="auto"/>
            <w:vAlign w:val="center"/>
          </w:tcPr>
          <w:p w14:paraId="3C970B71"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D-157/IFAD/2017</w:t>
            </w:r>
          </w:p>
        </w:tc>
        <w:tc>
          <w:tcPr>
            <w:tcW w:w="1621" w:type="dxa"/>
            <w:shd w:val="clear" w:color="auto" w:fill="auto"/>
            <w:vAlign w:val="center"/>
          </w:tcPr>
          <w:p w14:paraId="099EB829" w14:textId="6FC9E537" w:rsidR="00781478" w:rsidRPr="00EC5A7B" w:rsidRDefault="00617729" w:rsidP="00617729">
            <w:pPr>
              <w:jc w:val="center"/>
              <w:rPr>
                <w:rFonts w:asciiTheme="majorHAnsi" w:hAnsiTheme="majorHAnsi"/>
                <w:sz w:val="16"/>
                <w:lang w:val="ru-MD"/>
              </w:rPr>
            </w:pPr>
            <w:r w:rsidRPr="00EC5A7B">
              <w:rPr>
                <w:rFonts w:asciiTheme="majorHAnsi" w:hAnsiTheme="majorHAnsi"/>
                <w:sz w:val="16"/>
                <w:lang w:val="ru-MD"/>
              </w:rPr>
              <w:t>МФРСХ</w:t>
            </w:r>
            <w:r w:rsidR="00781478" w:rsidRPr="00EC5A7B">
              <w:rPr>
                <w:rFonts w:asciiTheme="majorHAnsi" w:hAnsiTheme="majorHAnsi"/>
                <w:sz w:val="16"/>
                <w:lang w:val="ru-MD"/>
              </w:rPr>
              <w:t xml:space="preserve"> VII</w:t>
            </w:r>
          </w:p>
        </w:tc>
        <w:tc>
          <w:tcPr>
            <w:tcW w:w="630" w:type="dxa"/>
            <w:shd w:val="clear" w:color="auto" w:fill="auto"/>
            <w:vAlign w:val="center"/>
          </w:tcPr>
          <w:p w14:paraId="290BA2A9" w14:textId="2DCD4E36" w:rsidR="00781478" w:rsidRPr="00EC5A7B" w:rsidRDefault="00C673C7" w:rsidP="00781478">
            <w:pPr>
              <w:jc w:val="center"/>
              <w:rPr>
                <w:rFonts w:asciiTheme="majorHAnsi" w:hAnsiTheme="majorHAnsi"/>
                <w:sz w:val="16"/>
                <w:lang w:val="ru-MD"/>
              </w:rPr>
            </w:pPr>
            <w:r w:rsidRPr="00EC5A7B">
              <w:rPr>
                <w:rFonts w:asciiTheme="majorHAnsi" w:hAnsiTheme="majorHAnsi"/>
                <w:sz w:val="16"/>
                <w:lang w:val="ru-MD"/>
              </w:rPr>
              <w:t>дол. США</w:t>
            </w:r>
          </w:p>
        </w:tc>
        <w:tc>
          <w:tcPr>
            <w:tcW w:w="1171" w:type="dxa"/>
            <w:shd w:val="clear" w:color="auto" w:fill="auto"/>
            <w:vAlign w:val="center"/>
          </w:tcPr>
          <w:p w14:paraId="3E6BF5DA"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18,2</w:t>
            </w:r>
          </w:p>
        </w:tc>
        <w:tc>
          <w:tcPr>
            <w:tcW w:w="947" w:type="dxa"/>
            <w:shd w:val="clear" w:color="auto" w:fill="auto"/>
            <w:vAlign w:val="center"/>
          </w:tcPr>
          <w:p w14:paraId="4EC37879"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11.04.17</w:t>
            </w:r>
          </w:p>
        </w:tc>
        <w:tc>
          <w:tcPr>
            <w:tcW w:w="992" w:type="dxa"/>
            <w:shd w:val="clear" w:color="auto" w:fill="auto"/>
            <w:vAlign w:val="center"/>
          </w:tcPr>
          <w:p w14:paraId="3BF1905A"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31.03.24</w:t>
            </w:r>
          </w:p>
        </w:tc>
        <w:tc>
          <w:tcPr>
            <w:tcW w:w="831" w:type="dxa"/>
            <w:shd w:val="clear" w:color="auto" w:fill="auto"/>
            <w:vAlign w:val="center"/>
          </w:tcPr>
          <w:p w14:paraId="3D3B90BB"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3,2</w:t>
            </w:r>
          </w:p>
        </w:tc>
        <w:tc>
          <w:tcPr>
            <w:tcW w:w="1102" w:type="dxa"/>
            <w:shd w:val="clear" w:color="auto" w:fill="auto"/>
            <w:vAlign w:val="center"/>
          </w:tcPr>
          <w:p w14:paraId="312C2D14"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15,0</w:t>
            </w:r>
          </w:p>
        </w:tc>
        <w:tc>
          <w:tcPr>
            <w:tcW w:w="1171" w:type="dxa"/>
            <w:shd w:val="clear" w:color="auto" w:fill="auto"/>
            <w:vAlign w:val="center"/>
          </w:tcPr>
          <w:p w14:paraId="06CA1543"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17,6</w:t>
            </w:r>
          </w:p>
        </w:tc>
        <w:tc>
          <w:tcPr>
            <w:tcW w:w="1171" w:type="dxa"/>
            <w:vAlign w:val="center"/>
          </w:tcPr>
          <w:p w14:paraId="119E5946" w14:textId="77777777" w:rsidR="00781478" w:rsidRPr="00EC5A7B" w:rsidRDefault="0029703A" w:rsidP="00781478">
            <w:pPr>
              <w:jc w:val="center"/>
              <w:rPr>
                <w:rFonts w:asciiTheme="majorHAnsi" w:hAnsiTheme="majorHAnsi"/>
                <w:sz w:val="16"/>
                <w:lang w:val="ru-MD"/>
              </w:rPr>
            </w:pPr>
            <w:r w:rsidRPr="00EC5A7B">
              <w:rPr>
                <w:rFonts w:asciiTheme="majorHAnsi" w:hAnsiTheme="majorHAnsi"/>
                <w:sz w:val="16"/>
                <w:lang w:val="ru-MD"/>
              </w:rPr>
              <w:t>0,0</w:t>
            </w:r>
          </w:p>
        </w:tc>
        <w:tc>
          <w:tcPr>
            <w:tcW w:w="4139" w:type="dxa"/>
            <w:vMerge/>
          </w:tcPr>
          <w:p w14:paraId="02D3932C" w14:textId="77777777" w:rsidR="00781478" w:rsidRPr="00EC5A7B" w:rsidRDefault="00781478" w:rsidP="00781478">
            <w:pPr>
              <w:jc w:val="center"/>
              <w:rPr>
                <w:rFonts w:asciiTheme="majorHAnsi" w:hAnsiTheme="majorHAnsi"/>
                <w:sz w:val="16"/>
                <w:lang w:val="ru-MD"/>
              </w:rPr>
            </w:pPr>
          </w:p>
        </w:tc>
      </w:tr>
      <w:tr w:rsidR="00781478" w:rsidRPr="00EC5A7B" w14:paraId="6679EF99" w14:textId="77777777" w:rsidTr="00194F19">
        <w:tc>
          <w:tcPr>
            <w:tcW w:w="1435" w:type="dxa"/>
            <w:shd w:val="clear" w:color="auto" w:fill="auto"/>
            <w:vAlign w:val="center"/>
          </w:tcPr>
          <w:p w14:paraId="668C2EAE"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D-149/FMI/2016</w:t>
            </w:r>
          </w:p>
        </w:tc>
        <w:tc>
          <w:tcPr>
            <w:tcW w:w="1621" w:type="dxa"/>
            <w:shd w:val="clear" w:color="auto" w:fill="auto"/>
            <w:vAlign w:val="center"/>
          </w:tcPr>
          <w:p w14:paraId="2AE7A404" w14:textId="294E6639" w:rsidR="00781478" w:rsidRPr="00EC5A7B" w:rsidRDefault="00617729" w:rsidP="00781478">
            <w:pPr>
              <w:jc w:val="center"/>
              <w:rPr>
                <w:rFonts w:asciiTheme="majorHAnsi" w:hAnsiTheme="majorHAnsi"/>
                <w:sz w:val="16"/>
                <w:lang w:val="ru-MD"/>
              </w:rPr>
            </w:pPr>
            <w:r w:rsidRPr="00EC5A7B">
              <w:rPr>
                <w:rFonts w:asciiTheme="majorHAnsi" w:hAnsiTheme="majorHAnsi"/>
                <w:sz w:val="16"/>
                <w:lang w:val="ru-MD"/>
              </w:rPr>
              <w:t>Финансирование дефицита государственного бюджета</w:t>
            </w:r>
          </w:p>
        </w:tc>
        <w:tc>
          <w:tcPr>
            <w:tcW w:w="630" w:type="dxa"/>
            <w:shd w:val="clear" w:color="auto" w:fill="auto"/>
            <w:vAlign w:val="center"/>
          </w:tcPr>
          <w:p w14:paraId="138BFDB4" w14:textId="2FA9E3B6" w:rsidR="00781478" w:rsidRPr="00EC5A7B" w:rsidRDefault="00C673C7" w:rsidP="0078147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7C90AA78"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36,7</w:t>
            </w:r>
          </w:p>
        </w:tc>
        <w:tc>
          <w:tcPr>
            <w:tcW w:w="947" w:type="dxa"/>
            <w:shd w:val="clear" w:color="auto" w:fill="auto"/>
            <w:vAlign w:val="center"/>
          </w:tcPr>
          <w:p w14:paraId="54E8B3C1"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07.11.16</w:t>
            </w:r>
          </w:p>
        </w:tc>
        <w:tc>
          <w:tcPr>
            <w:tcW w:w="992" w:type="dxa"/>
            <w:shd w:val="clear" w:color="auto" w:fill="auto"/>
            <w:vAlign w:val="center"/>
          </w:tcPr>
          <w:p w14:paraId="7E44DE2F"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31.03.20</w:t>
            </w:r>
          </w:p>
        </w:tc>
        <w:tc>
          <w:tcPr>
            <w:tcW w:w="831" w:type="dxa"/>
            <w:shd w:val="clear" w:color="auto" w:fill="auto"/>
            <w:vAlign w:val="center"/>
          </w:tcPr>
          <w:p w14:paraId="330CA092"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33,8</w:t>
            </w:r>
          </w:p>
        </w:tc>
        <w:tc>
          <w:tcPr>
            <w:tcW w:w="1102" w:type="dxa"/>
            <w:shd w:val="clear" w:color="auto" w:fill="auto"/>
            <w:vAlign w:val="center"/>
          </w:tcPr>
          <w:p w14:paraId="0678BF4F"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2,9</w:t>
            </w:r>
          </w:p>
        </w:tc>
        <w:tc>
          <w:tcPr>
            <w:tcW w:w="1171" w:type="dxa"/>
            <w:shd w:val="clear" w:color="auto" w:fill="auto"/>
            <w:vAlign w:val="center"/>
          </w:tcPr>
          <w:p w14:paraId="614FEB00"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92,1</w:t>
            </w:r>
          </w:p>
        </w:tc>
        <w:tc>
          <w:tcPr>
            <w:tcW w:w="1171" w:type="dxa"/>
            <w:vAlign w:val="center"/>
          </w:tcPr>
          <w:p w14:paraId="51F74CC5"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0,0</w:t>
            </w:r>
          </w:p>
        </w:tc>
        <w:tc>
          <w:tcPr>
            <w:tcW w:w="4139" w:type="dxa"/>
          </w:tcPr>
          <w:p w14:paraId="1748FF61" w14:textId="77777777" w:rsidR="00781478" w:rsidRPr="00EC5A7B" w:rsidRDefault="00781478" w:rsidP="00781478">
            <w:pPr>
              <w:jc w:val="center"/>
              <w:rPr>
                <w:rFonts w:asciiTheme="majorHAnsi" w:hAnsiTheme="majorHAnsi"/>
                <w:sz w:val="16"/>
                <w:lang w:val="ru-MD"/>
              </w:rPr>
            </w:pPr>
          </w:p>
        </w:tc>
      </w:tr>
      <w:tr w:rsidR="00781478" w:rsidRPr="00EC5A7B" w14:paraId="15B1EC6C" w14:textId="77777777" w:rsidTr="00194F19">
        <w:tc>
          <w:tcPr>
            <w:tcW w:w="1435" w:type="dxa"/>
            <w:shd w:val="clear" w:color="auto" w:fill="auto"/>
            <w:vAlign w:val="center"/>
          </w:tcPr>
          <w:p w14:paraId="6EE9A5BC"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D-150/FMI/2016</w:t>
            </w:r>
          </w:p>
        </w:tc>
        <w:tc>
          <w:tcPr>
            <w:tcW w:w="1621" w:type="dxa"/>
            <w:shd w:val="clear" w:color="auto" w:fill="auto"/>
            <w:vAlign w:val="center"/>
          </w:tcPr>
          <w:p w14:paraId="1487FF62" w14:textId="5B221772" w:rsidR="00781478" w:rsidRPr="00EC5A7B" w:rsidRDefault="00617729" w:rsidP="00781478">
            <w:pPr>
              <w:jc w:val="center"/>
              <w:rPr>
                <w:rFonts w:asciiTheme="majorHAnsi" w:hAnsiTheme="majorHAnsi"/>
                <w:sz w:val="16"/>
                <w:lang w:val="ru-MD"/>
              </w:rPr>
            </w:pPr>
            <w:r w:rsidRPr="00EC5A7B">
              <w:rPr>
                <w:rFonts w:asciiTheme="majorHAnsi" w:hAnsiTheme="majorHAnsi"/>
                <w:sz w:val="16"/>
                <w:lang w:val="ru-MD"/>
              </w:rPr>
              <w:t>Финансирование дефицита государственного бюджета</w:t>
            </w:r>
          </w:p>
        </w:tc>
        <w:tc>
          <w:tcPr>
            <w:tcW w:w="630" w:type="dxa"/>
            <w:shd w:val="clear" w:color="auto" w:fill="auto"/>
            <w:vAlign w:val="center"/>
          </w:tcPr>
          <w:p w14:paraId="405CFD3C" w14:textId="73EBAD7F" w:rsidR="00781478" w:rsidRPr="00EC5A7B" w:rsidRDefault="00C673C7" w:rsidP="00781478">
            <w:pPr>
              <w:jc w:val="center"/>
              <w:rPr>
                <w:rFonts w:asciiTheme="majorHAnsi" w:hAnsiTheme="majorHAnsi"/>
                <w:sz w:val="16"/>
                <w:lang w:val="ru-MD"/>
              </w:rPr>
            </w:pPr>
            <w:r w:rsidRPr="00EC5A7B">
              <w:rPr>
                <w:rFonts w:asciiTheme="majorHAnsi" w:hAnsiTheme="majorHAnsi"/>
                <w:sz w:val="16"/>
                <w:lang w:val="ru-MD"/>
              </w:rPr>
              <w:t>СПЗ</w:t>
            </w:r>
          </w:p>
        </w:tc>
        <w:tc>
          <w:tcPr>
            <w:tcW w:w="1171" w:type="dxa"/>
            <w:shd w:val="clear" w:color="auto" w:fill="auto"/>
            <w:vAlign w:val="center"/>
          </w:tcPr>
          <w:p w14:paraId="4A6BCE33"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38,0</w:t>
            </w:r>
          </w:p>
        </w:tc>
        <w:tc>
          <w:tcPr>
            <w:tcW w:w="947" w:type="dxa"/>
            <w:shd w:val="clear" w:color="auto" w:fill="auto"/>
            <w:vAlign w:val="center"/>
          </w:tcPr>
          <w:p w14:paraId="24D2477B"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07.11.16</w:t>
            </w:r>
          </w:p>
        </w:tc>
        <w:tc>
          <w:tcPr>
            <w:tcW w:w="992" w:type="dxa"/>
            <w:shd w:val="clear" w:color="auto" w:fill="auto"/>
            <w:vAlign w:val="center"/>
          </w:tcPr>
          <w:p w14:paraId="320D0211"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31.03.20</w:t>
            </w:r>
          </w:p>
        </w:tc>
        <w:tc>
          <w:tcPr>
            <w:tcW w:w="831" w:type="dxa"/>
            <w:shd w:val="clear" w:color="auto" w:fill="auto"/>
            <w:vAlign w:val="center"/>
          </w:tcPr>
          <w:p w14:paraId="38150B7C"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32,3</w:t>
            </w:r>
          </w:p>
        </w:tc>
        <w:tc>
          <w:tcPr>
            <w:tcW w:w="1102" w:type="dxa"/>
            <w:shd w:val="clear" w:color="auto" w:fill="auto"/>
            <w:vAlign w:val="center"/>
          </w:tcPr>
          <w:p w14:paraId="1A666E90"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5,7</w:t>
            </w:r>
          </w:p>
        </w:tc>
        <w:tc>
          <w:tcPr>
            <w:tcW w:w="1171" w:type="dxa"/>
            <w:shd w:val="clear" w:color="auto" w:fill="auto"/>
            <w:vAlign w:val="center"/>
          </w:tcPr>
          <w:p w14:paraId="66AC4DF9" w14:textId="77777777" w:rsidR="00781478" w:rsidRPr="00EC5A7B" w:rsidRDefault="00781478" w:rsidP="00781478">
            <w:pPr>
              <w:jc w:val="center"/>
              <w:rPr>
                <w:rFonts w:asciiTheme="majorHAnsi" w:hAnsiTheme="majorHAnsi"/>
                <w:sz w:val="16"/>
                <w:lang w:val="ru-MD"/>
              </w:rPr>
            </w:pPr>
            <w:r w:rsidRPr="00EC5A7B">
              <w:rPr>
                <w:rFonts w:asciiTheme="majorHAnsi" w:hAnsiTheme="majorHAnsi"/>
                <w:sz w:val="16"/>
                <w:lang w:val="ru-MD"/>
              </w:rPr>
              <w:t>85,0</w:t>
            </w:r>
          </w:p>
        </w:tc>
        <w:tc>
          <w:tcPr>
            <w:tcW w:w="1171" w:type="dxa"/>
            <w:vAlign w:val="center"/>
          </w:tcPr>
          <w:p w14:paraId="7B38241E" w14:textId="77777777" w:rsidR="00781478" w:rsidRPr="00EC5A7B" w:rsidRDefault="0029703A" w:rsidP="00781478">
            <w:pPr>
              <w:jc w:val="center"/>
              <w:rPr>
                <w:rFonts w:asciiTheme="majorHAnsi" w:hAnsiTheme="majorHAnsi"/>
                <w:sz w:val="16"/>
                <w:lang w:val="ru-MD"/>
              </w:rPr>
            </w:pPr>
            <w:r w:rsidRPr="00EC5A7B">
              <w:rPr>
                <w:rFonts w:asciiTheme="majorHAnsi" w:hAnsiTheme="majorHAnsi"/>
                <w:sz w:val="16"/>
                <w:lang w:val="ru-MD"/>
              </w:rPr>
              <w:t>208,18</w:t>
            </w:r>
          </w:p>
        </w:tc>
        <w:tc>
          <w:tcPr>
            <w:tcW w:w="4139" w:type="dxa"/>
          </w:tcPr>
          <w:p w14:paraId="33CE8ADC" w14:textId="77777777" w:rsidR="00781478" w:rsidRPr="00EC5A7B" w:rsidRDefault="00781478" w:rsidP="00781478">
            <w:pPr>
              <w:jc w:val="center"/>
              <w:rPr>
                <w:rFonts w:asciiTheme="majorHAnsi" w:hAnsiTheme="majorHAnsi"/>
                <w:sz w:val="16"/>
                <w:lang w:val="ru-MD"/>
              </w:rPr>
            </w:pPr>
          </w:p>
        </w:tc>
      </w:tr>
      <w:tr w:rsidR="00781478" w:rsidRPr="00EC5A7B" w14:paraId="63FA3CA3" w14:textId="77777777" w:rsidTr="00194F19">
        <w:tc>
          <w:tcPr>
            <w:tcW w:w="1435" w:type="dxa"/>
            <w:shd w:val="clear" w:color="auto" w:fill="auto"/>
            <w:vAlign w:val="center"/>
          </w:tcPr>
          <w:p w14:paraId="65C79E2F" w14:textId="725C76EE" w:rsidR="00781478" w:rsidRPr="00EC5A7B" w:rsidRDefault="00B50D2F" w:rsidP="00781478">
            <w:pPr>
              <w:jc w:val="center"/>
              <w:rPr>
                <w:rFonts w:asciiTheme="majorHAnsi" w:hAnsiTheme="majorHAnsi"/>
                <w:sz w:val="16"/>
                <w:lang w:val="ru-MD"/>
              </w:rPr>
            </w:pPr>
            <w:r w:rsidRPr="00EC5A7B">
              <w:rPr>
                <w:rFonts w:asciiTheme="majorHAnsi" w:hAnsiTheme="majorHAnsi"/>
                <w:sz w:val="16"/>
                <w:lang w:val="ru-MD"/>
              </w:rPr>
              <w:t>Всего</w:t>
            </w:r>
          </w:p>
        </w:tc>
        <w:tc>
          <w:tcPr>
            <w:tcW w:w="1621" w:type="dxa"/>
            <w:shd w:val="clear" w:color="auto" w:fill="auto"/>
            <w:vAlign w:val="center"/>
          </w:tcPr>
          <w:p w14:paraId="360C5EB2" w14:textId="77777777" w:rsidR="00781478" w:rsidRPr="00EC5A7B" w:rsidRDefault="00781478" w:rsidP="00781478">
            <w:pPr>
              <w:jc w:val="center"/>
              <w:rPr>
                <w:rFonts w:asciiTheme="majorHAnsi" w:hAnsiTheme="majorHAnsi"/>
                <w:sz w:val="16"/>
                <w:lang w:val="ru-MD"/>
              </w:rPr>
            </w:pPr>
          </w:p>
        </w:tc>
        <w:tc>
          <w:tcPr>
            <w:tcW w:w="630" w:type="dxa"/>
            <w:shd w:val="clear" w:color="auto" w:fill="auto"/>
            <w:vAlign w:val="center"/>
          </w:tcPr>
          <w:p w14:paraId="1399A28A" w14:textId="77777777" w:rsidR="00781478" w:rsidRPr="00EC5A7B" w:rsidRDefault="00781478" w:rsidP="00781478">
            <w:pPr>
              <w:jc w:val="center"/>
              <w:rPr>
                <w:rFonts w:asciiTheme="majorHAnsi" w:hAnsiTheme="majorHAnsi"/>
                <w:sz w:val="16"/>
                <w:lang w:val="ru-MD"/>
              </w:rPr>
            </w:pPr>
          </w:p>
        </w:tc>
        <w:tc>
          <w:tcPr>
            <w:tcW w:w="1171" w:type="dxa"/>
            <w:shd w:val="clear" w:color="auto" w:fill="auto"/>
            <w:vAlign w:val="center"/>
          </w:tcPr>
          <w:p w14:paraId="07FD53BD" w14:textId="77777777" w:rsidR="00781478" w:rsidRPr="00EC5A7B" w:rsidRDefault="00781478" w:rsidP="00781478">
            <w:pPr>
              <w:jc w:val="center"/>
              <w:rPr>
                <w:rFonts w:asciiTheme="majorHAnsi" w:hAnsiTheme="majorHAnsi"/>
                <w:sz w:val="16"/>
                <w:lang w:val="ru-MD"/>
              </w:rPr>
            </w:pPr>
          </w:p>
        </w:tc>
        <w:tc>
          <w:tcPr>
            <w:tcW w:w="947" w:type="dxa"/>
            <w:shd w:val="clear" w:color="auto" w:fill="auto"/>
            <w:vAlign w:val="center"/>
          </w:tcPr>
          <w:p w14:paraId="1C8237B4" w14:textId="77777777" w:rsidR="00781478" w:rsidRPr="00EC5A7B" w:rsidRDefault="00781478" w:rsidP="00781478">
            <w:pPr>
              <w:jc w:val="center"/>
              <w:rPr>
                <w:rFonts w:asciiTheme="majorHAnsi" w:hAnsiTheme="majorHAnsi"/>
                <w:sz w:val="16"/>
                <w:lang w:val="ru-MD"/>
              </w:rPr>
            </w:pPr>
          </w:p>
        </w:tc>
        <w:tc>
          <w:tcPr>
            <w:tcW w:w="992" w:type="dxa"/>
            <w:shd w:val="clear" w:color="auto" w:fill="auto"/>
            <w:vAlign w:val="center"/>
          </w:tcPr>
          <w:p w14:paraId="4A9FB727" w14:textId="77777777" w:rsidR="00781478" w:rsidRPr="00EC5A7B" w:rsidRDefault="00781478" w:rsidP="00781478">
            <w:pPr>
              <w:jc w:val="center"/>
              <w:rPr>
                <w:rFonts w:asciiTheme="majorHAnsi" w:hAnsiTheme="majorHAnsi"/>
                <w:sz w:val="16"/>
                <w:lang w:val="ru-MD"/>
              </w:rPr>
            </w:pPr>
          </w:p>
        </w:tc>
        <w:tc>
          <w:tcPr>
            <w:tcW w:w="831" w:type="dxa"/>
            <w:shd w:val="clear" w:color="auto" w:fill="auto"/>
            <w:vAlign w:val="center"/>
          </w:tcPr>
          <w:p w14:paraId="6C4226EF" w14:textId="77777777" w:rsidR="00781478" w:rsidRPr="00EC5A7B" w:rsidRDefault="00781478" w:rsidP="00781478">
            <w:pPr>
              <w:jc w:val="center"/>
              <w:rPr>
                <w:rFonts w:asciiTheme="majorHAnsi" w:hAnsiTheme="majorHAnsi"/>
                <w:sz w:val="16"/>
                <w:lang w:val="ru-MD"/>
              </w:rPr>
            </w:pPr>
          </w:p>
        </w:tc>
        <w:tc>
          <w:tcPr>
            <w:tcW w:w="1102" w:type="dxa"/>
            <w:shd w:val="clear" w:color="auto" w:fill="auto"/>
            <w:vAlign w:val="center"/>
          </w:tcPr>
          <w:p w14:paraId="40DCA1E0" w14:textId="77777777" w:rsidR="00781478" w:rsidRPr="00EC5A7B" w:rsidRDefault="00781478" w:rsidP="00781478">
            <w:pPr>
              <w:jc w:val="center"/>
              <w:rPr>
                <w:rFonts w:asciiTheme="majorHAnsi" w:hAnsiTheme="majorHAnsi"/>
                <w:sz w:val="16"/>
                <w:lang w:val="ru-MD"/>
              </w:rPr>
            </w:pPr>
          </w:p>
        </w:tc>
        <w:tc>
          <w:tcPr>
            <w:tcW w:w="1171" w:type="dxa"/>
            <w:shd w:val="clear" w:color="auto" w:fill="auto"/>
            <w:vAlign w:val="center"/>
          </w:tcPr>
          <w:p w14:paraId="6B3ADC5F" w14:textId="77777777" w:rsidR="00781478" w:rsidRPr="00EC5A7B" w:rsidRDefault="00781478" w:rsidP="00781478">
            <w:pPr>
              <w:jc w:val="center"/>
              <w:rPr>
                <w:rFonts w:asciiTheme="majorHAnsi" w:hAnsiTheme="majorHAnsi"/>
                <w:sz w:val="16"/>
                <w:lang w:val="ru-MD"/>
              </w:rPr>
            </w:pPr>
          </w:p>
        </w:tc>
        <w:tc>
          <w:tcPr>
            <w:tcW w:w="1171" w:type="dxa"/>
            <w:vAlign w:val="center"/>
          </w:tcPr>
          <w:p w14:paraId="4C252C16" w14:textId="77777777" w:rsidR="00781478" w:rsidRPr="00EC5A7B" w:rsidRDefault="0029703A" w:rsidP="00781478">
            <w:pPr>
              <w:jc w:val="center"/>
              <w:rPr>
                <w:rFonts w:asciiTheme="majorHAnsi" w:hAnsiTheme="majorHAnsi"/>
                <w:sz w:val="16"/>
                <w:lang w:val="ru-MD"/>
              </w:rPr>
            </w:pPr>
            <w:r w:rsidRPr="00EC5A7B">
              <w:rPr>
                <w:rFonts w:asciiTheme="majorHAnsi" w:hAnsiTheme="majorHAnsi"/>
                <w:sz w:val="16"/>
                <w:lang w:val="ru-MD"/>
              </w:rPr>
              <w:t>13 153,62</w:t>
            </w:r>
          </w:p>
        </w:tc>
        <w:tc>
          <w:tcPr>
            <w:tcW w:w="4139" w:type="dxa"/>
          </w:tcPr>
          <w:p w14:paraId="49192055" w14:textId="77777777" w:rsidR="00781478" w:rsidRPr="00EC5A7B" w:rsidRDefault="00781478" w:rsidP="00781478">
            <w:pPr>
              <w:jc w:val="center"/>
              <w:rPr>
                <w:rFonts w:asciiTheme="majorHAnsi" w:hAnsiTheme="majorHAnsi"/>
                <w:sz w:val="16"/>
                <w:lang w:val="ru-MD"/>
              </w:rPr>
            </w:pPr>
          </w:p>
        </w:tc>
      </w:tr>
    </w:tbl>
    <w:p w14:paraId="11F5184D" w14:textId="2CF2297E" w:rsidR="006F2BF8" w:rsidRPr="00EC5A7B" w:rsidRDefault="007B3D00" w:rsidP="002A0EB3">
      <w:pPr>
        <w:spacing w:after="0" w:line="240" w:lineRule="auto"/>
        <w:jc w:val="both"/>
        <w:rPr>
          <w:rFonts w:asciiTheme="majorHAnsi" w:eastAsia="Times New Roman" w:hAnsiTheme="majorHAnsi" w:cstheme="majorHAnsi"/>
          <w:i/>
          <w:sz w:val="20"/>
          <w:szCs w:val="20"/>
          <w:lang w:val="ru-MD"/>
        </w:rPr>
        <w:sectPr w:rsidR="006F2BF8" w:rsidRPr="00EC5A7B" w:rsidSect="0086680B">
          <w:pgSz w:w="16838" w:h="11906" w:orient="landscape" w:code="9"/>
          <w:pgMar w:top="1699" w:right="1138" w:bottom="850" w:left="1138" w:header="720" w:footer="720" w:gutter="0"/>
          <w:cols w:space="720"/>
          <w:docGrid w:linePitch="360"/>
        </w:sectPr>
      </w:pPr>
      <w:r w:rsidRPr="00EC5A7B">
        <w:rPr>
          <w:rFonts w:asciiTheme="majorHAnsi" w:eastAsia="Times New Roman" w:hAnsiTheme="majorHAnsi" w:cstheme="majorHAnsi"/>
          <w:b/>
          <w:i/>
          <w:sz w:val="20"/>
          <w:szCs w:val="20"/>
          <w:lang w:val="ru-MD"/>
        </w:rPr>
        <w:t>Источник</w:t>
      </w:r>
      <w:r w:rsidR="00F55AC0" w:rsidRPr="00EC5A7B">
        <w:rPr>
          <w:rFonts w:asciiTheme="majorHAnsi" w:eastAsia="Times New Roman" w:hAnsiTheme="majorHAnsi" w:cstheme="majorHAnsi"/>
          <w:b/>
          <w:i/>
          <w:sz w:val="20"/>
          <w:szCs w:val="20"/>
          <w:lang w:val="ru-MD"/>
        </w:rPr>
        <w:t>:</w:t>
      </w:r>
      <w:r w:rsidR="00930A31" w:rsidRPr="00EC5A7B">
        <w:rPr>
          <w:rFonts w:asciiTheme="majorHAnsi" w:eastAsia="Times New Roman" w:hAnsiTheme="majorHAnsi" w:cstheme="majorHAnsi"/>
          <w:i/>
          <w:sz w:val="20"/>
          <w:szCs w:val="20"/>
          <w:lang w:val="ru-MD"/>
        </w:rPr>
        <w:t xml:space="preserve"> </w:t>
      </w:r>
      <w:r w:rsidR="003410A7" w:rsidRPr="00EC5A7B">
        <w:rPr>
          <w:rFonts w:asciiTheme="majorHAnsi" w:eastAsia="Times New Roman" w:hAnsiTheme="majorHAnsi" w:cstheme="majorHAnsi"/>
          <w:i/>
          <w:sz w:val="20"/>
          <w:szCs w:val="20"/>
          <w:lang w:val="ru-MD"/>
        </w:rPr>
        <w:t>Информация МФ о невыплаченных суммах за счет внешних государственных займов по состоянию на 31.12.2019; Информация МФ об обслуживании внешнего государственного долга за 2019 год и Информация МФ о причинах невыплаты кредитов по Проектам, финансируемым из внешних источников по состоянию на 31.12.2019</w:t>
      </w:r>
      <w:r w:rsidR="006272A4" w:rsidRPr="00EC5A7B">
        <w:rPr>
          <w:rFonts w:asciiTheme="majorHAnsi" w:eastAsia="Times New Roman" w:hAnsiTheme="majorHAnsi" w:cstheme="majorHAnsi"/>
          <w:i/>
          <w:sz w:val="20"/>
          <w:szCs w:val="20"/>
          <w:lang w:val="ru-MD"/>
        </w:rPr>
        <w:t>.</w:t>
      </w:r>
    </w:p>
    <w:p w14:paraId="02B208B6" w14:textId="1A686829" w:rsidR="00013032" w:rsidRPr="00EC5A7B" w:rsidRDefault="001868AD" w:rsidP="00013032">
      <w:pPr>
        <w:spacing w:after="0" w:line="276" w:lineRule="auto"/>
        <w:jc w:val="right"/>
        <w:rPr>
          <w:rFonts w:asciiTheme="majorHAnsi" w:hAnsiTheme="majorHAnsi" w:cstheme="majorHAnsi"/>
          <w:b/>
          <w:i/>
          <w:color w:val="5B9BD5" w:themeColor="accent1"/>
          <w:sz w:val="24"/>
          <w:szCs w:val="24"/>
          <w:lang w:val="ru-MD"/>
          <w14:glow w14:rad="0">
            <w14:schemeClr w14:val="tx1"/>
          </w14:glow>
        </w:rPr>
      </w:pPr>
      <w:r w:rsidRPr="00EC5A7B">
        <w:rPr>
          <w:rFonts w:asciiTheme="majorHAnsi" w:hAnsiTheme="majorHAnsi" w:cstheme="majorHAnsi"/>
          <w:b/>
          <w:i/>
          <w:color w:val="5B9BD5" w:themeColor="accent1"/>
          <w:sz w:val="24"/>
          <w:szCs w:val="24"/>
          <w:lang w:val="ru-MD"/>
          <w14:glow w14:rad="0">
            <w14:schemeClr w14:val="tx1"/>
          </w14:glow>
        </w:rPr>
        <w:lastRenderedPageBreak/>
        <w:t>Приложение №</w:t>
      </w:r>
      <w:r w:rsidR="006E05B8" w:rsidRPr="00EC5A7B">
        <w:rPr>
          <w:rFonts w:asciiTheme="majorHAnsi" w:hAnsiTheme="majorHAnsi" w:cstheme="majorHAnsi"/>
          <w:b/>
          <w:i/>
          <w:color w:val="5B9BD5" w:themeColor="accent1"/>
          <w:sz w:val="24"/>
          <w:szCs w:val="24"/>
          <w:lang w:val="ru-MD"/>
          <w14:glow w14:rad="0">
            <w14:schemeClr w14:val="tx1"/>
          </w14:glow>
        </w:rPr>
        <w:t>9</w:t>
      </w:r>
    </w:p>
    <w:p w14:paraId="0304CD37" w14:textId="1EA7403D" w:rsidR="00013032" w:rsidRPr="00EC5A7B" w:rsidRDefault="003E7F72" w:rsidP="00013032">
      <w:pPr>
        <w:pStyle w:val="NoSpacing"/>
        <w:spacing w:line="276" w:lineRule="auto"/>
        <w:jc w:val="center"/>
        <w:rPr>
          <w:rFonts w:asciiTheme="majorHAnsi" w:hAnsiTheme="majorHAnsi" w:cstheme="majorHAnsi"/>
          <w:b/>
          <w:i/>
          <w:color w:val="5B9BD5" w:themeColor="accent1"/>
          <w:sz w:val="24"/>
          <w:szCs w:val="24"/>
          <w:lang w:val="ru-MD" w:eastAsia="ru-RU"/>
        </w:rPr>
      </w:pPr>
      <w:r w:rsidRPr="00EC5A7B">
        <w:rPr>
          <w:rFonts w:asciiTheme="majorHAnsi" w:hAnsiTheme="majorHAnsi" w:cstheme="majorHAnsi"/>
          <w:b/>
          <w:i/>
          <w:sz w:val="24"/>
          <w:szCs w:val="24"/>
          <w:lang w:val="ru-MD" w:eastAsia="ru-RU"/>
        </w:rPr>
        <w:t>Информация о ГЦБ, проданных и выкупленных в 2019 году</w:t>
      </w:r>
    </w:p>
    <w:tbl>
      <w:tblPr>
        <w:tblStyle w:val="TableGrid"/>
        <w:tblW w:w="9355" w:type="dxa"/>
        <w:tblLook w:val="04A0" w:firstRow="1" w:lastRow="0" w:firstColumn="1" w:lastColumn="0" w:noHBand="0" w:noVBand="1"/>
      </w:tblPr>
      <w:tblGrid>
        <w:gridCol w:w="8095"/>
        <w:gridCol w:w="1260"/>
      </w:tblGrid>
      <w:tr w:rsidR="00013032" w:rsidRPr="00EC5A7B" w14:paraId="482976B5" w14:textId="77777777" w:rsidTr="00E342E2">
        <w:tc>
          <w:tcPr>
            <w:tcW w:w="8095" w:type="dxa"/>
            <w:shd w:val="clear" w:color="auto" w:fill="DEEAF6" w:themeFill="accent1" w:themeFillTint="33"/>
            <w:vAlign w:val="center"/>
          </w:tcPr>
          <w:p w14:paraId="6A417911" w14:textId="0ADE1902" w:rsidR="00013032" w:rsidRPr="00EC5A7B" w:rsidRDefault="00CA35AA"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Показатель</w:t>
            </w:r>
          </w:p>
        </w:tc>
        <w:tc>
          <w:tcPr>
            <w:tcW w:w="1260" w:type="dxa"/>
            <w:shd w:val="clear" w:color="auto" w:fill="DEEAF6" w:themeFill="accent1" w:themeFillTint="33"/>
            <w:vAlign w:val="center"/>
          </w:tcPr>
          <w:p w14:paraId="6CCE79F4" w14:textId="700A624B" w:rsidR="00013032" w:rsidRPr="00EC5A7B" w:rsidRDefault="00CA35AA"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Сумма</w:t>
            </w:r>
            <w:r w:rsidR="00013032" w:rsidRPr="00EC5A7B">
              <w:rPr>
                <w:rFonts w:asciiTheme="majorHAnsi" w:hAnsiTheme="majorHAnsi" w:cstheme="majorHAnsi"/>
                <w:b/>
                <w:sz w:val="20"/>
                <w:szCs w:val="20"/>
                <w:lang w:val="ru-MD" w:eastAsia="ru-RU"/>
              </w:rPr>
              <w:t xml:space="preserve">, </w:t>
            </w:r>
            <w:r w:rsidR="00220355" w:rsidRPr="00EC5A7B">
              <w:rPr>
                <w:rFonts w:asciiTheme="majorHAnsi" w:hAnsiTheme="majorHAnsi" w:cstheme="majorHAnsi"/>
                <w:b/>
                <w:sz w:val="20"/>
                <w:szCs w:val="20"/>
                <w:lang w:val="ru-MD" w:eastAsia="ru-RU"/>
              </w:rPr>
              <w:t>млн. леев</w:t>
            </w:r>
          </w:p>
        </w:tc>
      </w:tr>
      <w:tr w:rsidR="00013032" w:rsidRPr="00EC5A7B" w14:paraId="36EBD177" w14:textId="77777777" w:rsidTr="00E342E2">
        <w:tc>
          <w:tcPr>
            <w:tcW w:w="8095" w:type="dxa"/>
          </w:tcPr>
          <w:p w14:paraId="73BAFE17" w14:textId="72E266D9" w:rsidR="00CA35AA" w:rsidRPr="00EC5A7B" w:rsidRDefault="00CA35AA" w:rsidP="00E342E2">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ГЦБ, выпущенные на первичном рынке </w:t>
            </w:r>
          </w:p>
          <w:p w14:paraId="36DA6D6D" w14:textId="6780FC07"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Проданные</w:t>
            </w:r>
          </w:p>
          <w:p w14:paraId="74A4B9BF" w14:textId="451E8E75"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Выкупленные</w:t>
            </w:r>
          </w:p>
        </w:tc>
        <w:tc>
          <w:tcPr>
            <w:tcW w:w="1260" w:type="dxa"/>
          </w:tcPr>
          <w:p w14:paraId="6E76DBB4"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+339,6</w:t>
            </w:r>
          </w:p>
          <w:p w14:paraId="60D78A64"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+9 327,1</w:t>
            </w:r>
          </w:p>
          <w:p w14:paraId="47E4FDDD"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-8 987,5</w:t>
            </w:r>
          </w:p>
        </w:tc>
      </w:tr>
      <w:tr w:rsidR="00013032" w:rsidRPr="00EC5A7B" w14:paraId="0DF6581B" w14:textId="77777777" w:rsidTr="00E342E2">
        <w:tc>
          <w:tcPr>
            <w:tcW w:w="8095" w:type="dxa"/>
          </w:tcPr>
          <w:p w14:paraId="0FCF9554" w14:textId="742C107C" w:rsidR="00013032" w:rsidRPr="00EC5A7B" w:rsidRDefault="00CA35AA" w:rsidP="00E342E2">
            <w:pPr>
              <w:pStyle w:val="NoSpacing"/>
              <w:jc w:val="both"/>
              <w:rPr>
                <w:rFonts w:asciiTheme="majorHAnsi" w:hAnsiTheme="majorHAnsi" w:cstheme="majorHAnsi"/>
                <w:b/>
                <w:i/>
                <w:sz w:val="20"/>
                <w:szCs w:val="20"/>
                <w:lang w:val="ru-MD" w:eastAsia="ru-RU"/>
              </w:rPr>
            </w:pPr>
            <w:r w:rsidRPr="00EC5A7B">
              <w:rPr>
                <w:rFonts w:asciiTheme="majorHAnsi" w:hAnsiTheme="majorHAnsi" w:cstheme="majorHAnsi"/>
                <w:b/>
                <w:i/>
                <w:sz w:val="20"/>
                <w:szCs w:val="20"/>
                <w:lang w:val="ru-MD" w:eastAsia="ru-RU"/>
              </w:rPr>
              <w:t xml:space="preserve">В том числе ГЦБ, выпущенные для создания резерва ликвидности  </w:t>
            </w:r>
          </w:p>
          <w:p w14:paraId="29A07BDA" w14:textId="0CABF4F7"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Проданные</w:t>
            </w:r>
          </w:p>
          <w:p w14:paraId="0CBC26DA" w14:textId="25806939"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Выкупленные</w:t>
            </w:r>
          </w:p>
        </w:tc>
        <w:tc>
          <w:tcPr>
            <w:tcW w:w="1260" w:type="dxa"/>
          </w:tcPr>
          <w:p w14:paraId="292B25B4"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-345,5</w:t>
            </w:r>
          </w:p>
          <w:p w14:paraId="7752402E"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p w14:paraId="29752417"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-345,5</w:t>
            </w:r>
          </w:p>
        </w:tc>
      </w:tr>
      <w:tr w:rsidR="00013032" w:rsidRPr="00EC5A7B" w14:paraId="77388BCF" w14:textId="77777777" w:rsidTr="00E342E2">
        <w:tc>
          <w:tcPr>
            <w:tcW w:w="8095" w:type="dxa"/>
          </w:tcPr>
          <w:p w14:paraId="3E9EBDCE" w14:textId="5FDD1255" w:rsidR="00013032" w:rsidRPr="00EC5A7B" w:rsidRDefault="00CA35AA" w:rsidP="00E342E2">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Конвертированные ГЦБ</w:t>
            </w:r>
          </w:p>
          <w:p w14:paraId="496C9193" w14:textId="77777777" w:rsidR="00CA35AA" w:rsidRPr="00EC5A7B" w:rsidRDefault="00CA35AA" w:rsidP="00CA35AA">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Проданные</w:t>
            </w:r>
          </w:p>
          <w:p w14:paraId="542856AD" w14:textId="36EF484C"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Выкупленные</w:t>
            </w:r>
          </w:p>
        </w:tc>
        <w:tc>
          <w:tcPr>
            <w:tcW w:w="1260" w:type="dxa"/>
          </w:tcPr>
          <w:p w14:paraId="2A9219AB"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w:t>
            </w:r>
          </w:p>
          <w:p w14:paraId="41EF8166"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+2 063,4</w:t>
            </w:r>
          </w:p>
          <w:p w14:paraId="1C43FC73"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-2 063,4</w:t>
            </w:r>
          </w:p>
        </w:tc>
      </w:tr>
      <w:tr w:rsidR="00013032" w:rsidRPr="00EC5A7B" w14:paraId="2E09E3A7" w14:textId="77777777" w:rsidTr="00E342E2">
        <w:tc>
          <w:tcPr>
            <w:tcW w:w="8095" w:type="dxa"/>
          </w:tcPr>
          <w:p w14:paraId="4F5881B4" w14:textId="52AE421A" w:rsidR="00013032" w:rsidRPr="00EC5A7B" w:rsidRDefault="00CA35AA" w:rsidP="00E342E2">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 xml:space="preserve">ГЦБ, выпущенные для исполнения платежных обязательств, вытекающих из государственных гарантий </w:t>
            </w:r>
          </w:p>
          <w:p w14:paraId="5AB0C052" w14:textId="77777777" w:rsidR="00CA35AA" w:rsidRPr="00EC5A7B" w:rsidRDefault="00CA35AA" w:rsidP="00CA35AA">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Проданные</w:t>
            </w:r>
          </w:p>
          <w:p w14:paraId="4609888D" w14:textId="5412E99C" w:rsidR="00013032" w:rsidRPr="00EC5A7B" w:rsidRDefault="00CA35AA"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Выкупленные</w:t>
            </w:r>
          </w:p>
        </w:tc>
        <w:tc>
          <w:tcPr>
            <w:tcW w:w="1260" w:type="dxa"/>
          </w:tcPr>
          <w:p w14:paraId="76C86C33"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-230,0</w:t>
            </w:r>
          </w:p>
          <w:p w14:paraId="01EBDEB6"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w:t>
            </w:r>
          </w:p>
          <w:p w14:paraId="50CB9B19" w14:textId="77777777" w:rsidR="00013032" w:rsidRPr="00EC5A7B" w:rsidRDefault="00013032"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-230,0</w:t>
            </w:r>
          </w:p>
        </w:tc>
      </w:tr>
      <w:tr w:rsidR="00013032" w:rsidRPr="00EC5A7B" w14:paraId="33864416" w14:textId="77777777" w:rsidTr="00E342E2">
        <w:tc>
          <w:tcPr>
            <w:tcW w:w="8095" w:type="dxa"/>
          </w:tcPr>
          <w:p w14:paraId="4C6F58C8" w14:textId="103AD8CC" w:rsidR="00013032" w:rsidRPr="00EC5A7B" w:rsidRDefault="00CA35AA" w:rsidP="00CA35A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продано</w:t>
            </w:r>
          </w:p>
        </w:tc>
        <w:tc>
          <w:tcPr>
            <w:tcW w:w="1260" w:type="dxa"/>
          </w:tcPr>
          <w:p w14:paraId="66ADC5B3"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+11 390,5</w:t>
            </w:r>
          </w:p>
        </w:tc>
      </w:tr>
      <w:tr w:rsidR="00013032" w:rsidRPr="00EC5A7B" w14:paraId="2FD9E1C4" w14:textId="77777777" w:rsidTr="00E342E2">
        <w:tc>
          <w:tcPr>
            <w:tcW w:w="8095" w:type="dxa"/>
          </w:tcPr>
          <w:p w14:paraId="40EED496" w14:textId="39A69520" w:rsidR="00013032" w:rsidRPr="00EC5A7B" w:rsidRDefault="00CA35AA" w:rsidP="00CA35A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выкуплено</w:t>
            </w:r>
          </w:p>
        </w:tc>
        <w:tc>
          <w:tcPr>
            <w:tcW w:w="1260" w:type="dxa"/>
          </w:tcPr>
          <w:p w14:paraId="255E5B1B"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-11 280,9</w:t>
            </w:r>
          </w:p>
        </w:tc>
      </w:tr>
      <w:tr w:rsidR="00013032" w:rsidRPr="00EC5A7B" w14:paraId="3A43BFBF" w14:textId="77777777" w:rsidTr="00E342E2">
        <w:tc>
          <w:tcPr>
            <w:tcW w:w="8095" w:type="dxa"/>
          </w:tcPr>
          <w:p w14:paraId="54B6F691" w14:textId="011CF57C" w:rsidR="00013032" w:rsidRPr="00EC5A7B" w:rsidRDefault="00CA35AA" w:rsidP="00CA35AA">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чистая эмиссия ГЦБ</w:t>
            </w:r>
          </w:p>
        </w:tc>
        <w:tc>
          <w:tcPr>
            <w:tcW w:w="1260" w:type="dxa"/>
          </w:tcPr>
          <w:p w14:paraId="0A1DF4C4" w14:textId="77777777" w:rsidR="00013032" w:rsidRPr="00EC5A7B" w:rsidRDefault="0001303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+109,6</w:t>
            </w:r>
          </w:p>
        </w:tc>
      </w:tr>
    </w:tbl>
    <w:p w14:paraId="541FD33C" w14:textId="0D6A444E" w:rsidR="00013032" w:rsidRPr="00EC5A7B" w:rsidRDefault="007B3D00" w:rsidP="00013032">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013032" w:rsidRPr="00EC5A7B">
        <w:rPr>
          <w:rFonts w:asciiTheme="majorHAnsi" w:hAnsiTheme="majorHAnsi" w:cstheme="majorHAnsi"/>
          <w:b/>
          <w:i/>
          <w:sz w:val="20"/>
          <w:szCs w:val="20"/>
          <w:lang w:val="ru-MD" w:eastAsia="ru-RU"/>
        </w:rPr>
        <w:t>:</w:t>
      </w:r>
      <w:r w:rsidR="00013032" w:rsidRPr="00EC5A7B">
        <w:rPr>
          <w:rFonts w:asciiTheme="majorHAnsi" w:hAnsiTheme="majorHAnsi" w:cstheme="majorHAnsi"/>
          <w:i/>
          <w:sz w:val="20"/>
          <w:szCs w:val="20"/>
          <w:lang w:val="ru-MD" w:eastAsia="ru-RU"/>
        </w:rPr>
        <w:t xml:space="preserve"> </w:t>
      </w:r>
      <w:r w:rsidR="007B7FBE" w:rsidRPr="00EC5A7B">
        <w:rPr>
          <w:rFonts w:asciiTheme="majorHAnsi" w:hAnsiTheme="majorHAnsi" w:cstheme="majorHAnsi"/>
          <w:i/>
          <w:sz w:val="20"/>
          <w:szCs w:val="20"/>
          <w:lang w:val="ru-MD" w:eastAsia="ru-RU"/>
        </w:rPr>
        <w:t xml:space="preserve">Информация МФ по обслуживанию внутреннего государственного долга по состоянию на </w:t>
      </w:r>
      <w:r w:rsidR="00013032" w:rsidRPr="00EC5A7B">
        <w:rPr>
          <w:rFonts w:asciiTheme="majorHAnsi" w:hAnsiTheme="majorHAnsi" w:cstheme="majorHAnsi"/>
          <w:i/>
          <w:sz w:val="20"/>
          <w:szCs w:val="20"/>
          <w:lang w:val="ru-MD" w:eastAsia="ru-RU"/>
        </w:rPr>
        <w:t>31.12.2019.</w:t>
      </w:r>
    </w:p>
    <w:p w14:paraId="63F77E42" w14:textId="30CD625E" w:rsidR="00800997" w:rsidRPr="00EC5A7B" w:rsidRDefault="001868AD" w:rsidP="00800997">
      <w:pPr>
        <w:pStyle w:val="NoSpacing"/>
        <w:spacing w:line="276" w:lineRule="auto"/>
        <w:jc w:val="right"/>
        <w:rPr>
          <w:rFonts w:asciiTheme="majorHAnsi" w:hAnsiTheme="majorHAnsi" w:cstheme="majorHAnsi"/>
          <w:i/>
          <w:sz w:val="24"/>
          <w:szCs w:val="24"/>
          <w:lang w:val="ru-MD" w:eastAsia="ru-RU"/>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10</w:t>
      </w:r>
    </w:p>
    <w:p w14:paraId="5B403BE2" w14:textId="77777777" w:rsidR="007B7FBE" w:rsidRPr="00EC5A7B" w:rsidRDefault="007B7FBE" w:rsidP="00800997">
      <w:pPr>
        <w:pStyle w:val="NoSpacing"/>
        <w:spacing w:line="276" w:lineRule="auto"/>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Эволюция расходов на обслуживание внутреннего государственного долга</w:t>
      </w:r>
    </w:p>
    <w:p w14:paraId="28B3A589" w14:textId="474FCB8A" w:rsidR="00800997" w:rsidRPr="00EC5A7B" w:rsidRDefault="007B7FBE" w:rsidP="00800997">
      <w:pPr>
        <w:pStyle w:val="NoSpacing"/>
        <w:spacing w:line="276" w:lineRule="auto"/>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 за 2017-2019 годы</w:t>
      </w:r>
      <w:r w:rsidR="00800997" w:rsidRPr="00EC5A7B">
        <w:rPr>
          <w:rFonts w:asciiTheme="majorHAnsi" w:hAnsiTheme="majorHAnsi" w:cstheme="majorHAnsi"/>
          <w:b/>
          <w:i/>
          <w:sz w:val="24"/>
          <w:szCs w:val="24"/>
          <w:lang w:val="ru-MD" w:eastAsia="ru-RU"/>
        </w:rPr>
        <w:t xml:space="preserve">, </w:t>
      </w:r>
      <w:r w:rsidR="00220355" w:rsidRPr="00EC5A7B">
        <w:rPr>
          <w:rFonts w:asciiTheme="majorHAnsi" w:hAnsiTheme="majorHAnsi" w:cstheme="majorHAnsi"/>
          <w:b/>
          <w:i/>
          <w:sz w:val="24"/>
          <w:szCs w:val="24"/>
          <w:lang w:val="ru-MD" w:eastAsia="ru-RU"/>
        </w:rPr>
        <w:t>млн. леев</w:t>
      </w:r>
    </w:p>
    <w:tbl>
      <w:tblPr>
        <w:tblStyle w:val="TableGrid"/>
        <w:tblW w:w="9364" w:type="dxa"/>
        <w:tblLook w:val="04A0" w:firstRow="1" w:lastRow="0" w:firstColumn="1" w:lastColumn="0" w:noHBand="0" w:noVBand="1"/>
      </w:tblPr>
      <w:tblGrid>
        <w:gridCol w:w="5665"/>
        <w:gridCol w:w="1169"/>
        <w:gridCol w:w="1263"/>
        <w:gridCol w:w="1267"/>
      </w:tblGrid>
      <w:tr w:rsidR="00800997" w:rsidRPr="00EC5A7B" w14:paraId="4D2A1564" w14:textId="77777777" w:rsidTr="00E342E2">
        <w:tc>
          <w:tcPr>
            <w:tcW w:w="5665" w:type="dxa"/>
            <w:shd w:val="clear" w:color="auto" w:fill="DEEAF6" w:themeFill="accent1" w:themeFillTint="33"/>
          </w:tcPr>
          <w:p w14:paraId="0EE24068" w14:textId="2980DFA1" w:rsidR="00800997" w:rsidRPr="00EC5A7B" w:rsidRDefault="007B7FBE"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Показатели</w:t>
            </w:r>
          </w:p>
        </w:tc>
        <w:tc>
          <w:tcPr>
            <w:tcW w:w="1169" w:type="dxa"/>
            <w:shd w:val="clear" w:color="auto" w:fill="DEEAF6" w:themeFill="accent1" w:themeFillTint="33"/>
          </w:tcPr>
          <w:p w14:paraId="18CD7BC6"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2017</w:t>
            </w:r>
          </w:p>
        </w:tc>
        <w:tc>
          <w:tcPr>
            <w:tcW w:w="1263" w:type="dxa"/>
            <w:shd w:val="clear" w:color="auto" w:fill="DEEAF6" w:themeFill="accent1" w:themeFillTint="33"/>
          </w:tcPr>
          <w:p w14:paraId="1E1211EE"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2018</w:t>
            </w:r>
          </w:p>
        </w:tc>
        <w:tc>
          <w:tcPr>
            <w:tcW w:w="1267" w:type="dxa"/>
            <w:shd w:val="clear" w:color="auto" w:fill="DEEAF6" w:themeFill="accent1" w:themeFillTint="33"/>
          </w:tcPr>
          <w:p w14:paraId="36469760"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2019</w:t>
            </w:r>
          </w:p>
        </w:tc>
      </w:tr>
      <w:tr w:rsidR="00800997" w:rsidRPr="00EC5A7B" w14:paraId="0F3FCE4C" w14:textId="77777777" w:rsidTr="00E342E2">
        <w:tc>
          <w:tcPr>
            <w:tcW w:w="5665" w:type="dxa"/>
          </w:tcPr>
          <w:p w14:paraId="62837D29" w14:textId="2B290FF2" w:rsidR="00800997" w:rsidRPr="00EC5A7B" w:rsidRDefault="009E7CA1" w:rsidP="00E342E2">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ГЦБ, выпущенные на первичном рынке, в том числе</w:t>
            </w:r>
            <w:r w:rsidR="00800997" w:rsidRPr="00EC5A7B">
              <w:rPr>
                <w:rFonts w:asciiTheme="majorHAnsi" w:hAnsiTheme="majorHAnsi" w:cstheme="majorHAnsi"/>
                <w:sz w:val="20"/>
                <w:szCs w:val="20"/>
                <w:lang w:val="ru-MD" w:eastAsia="ru-RU"/>
              </w:rPr>
              <w:t>:</w:t>
            </w:r>
          </w:p>
          <w:p w14:paraId="696573F2" w14:textId="114D63CE" w:rsidR="00800997" w:rsidRPr="00EC5A7B" w:rsidRDefault="00800997" w:rsidP="009E7CA1">
            <w:pPr>
              <w:pStyle w:val="NoSpacing"/>
              <w:jc w:val="both"/>
              <w:rPr>
                <w:rFonts w:asciiTheme="majorHAnsi" w:hAnsiTheme="majorHAnsi" w:cstheme="majorHAnsi"/>
                <w:i/>
                <w:sz w:val="20"/>
                <w:szCs w:val="20"/>
                <w:lang w:val="ru-MD" w:eastAsia="ru-RU"/>
              </w:rPr>
            </w:pPr>
            <w:r w:rsidRPr="00EC5A7B">
              <w:rPr>
                <w:rFonts w:asciiTheme="majorHAnsi" w:hAnsiTheme="majorHAnsi" w:cstheme="majorHAnsi"/>
                <w:i/>
                <w:sz w:val="20"/>
                <w:szCs w:val="20"/>
                <w:lang w:val="ru-MD" w:eastAsia="ru-RU"/>
              </w:rPr>
              <w:t xml:space="preserve">- </w:t>
            </w:r>
            <w:r w:rsidR="009E7CA1" w:rsidRPr="00EC5A7B">
              <w:rPr>
                <w:rFonts w:asciiTheme="majorHAnsi" w:hAnsiTheme="majorHAnsi" w:cstheme="majorHAnsi"/>
                <w:i/>
                <w:sz w:val="20"/>
                <w:szCs w:val="20"/>
                <w:lang w:val="ru-MD" w:eastAsia="ru-RU"/>
              </w:rPr>
              <w:t>ГЦБ, выпущенные для создания резерва ликвидности</w:t>
            </w:r>
          </w:p>
        </w:tc>
        <w:tc>
          <w:tcPr>
            <w:tcW w:w="1169" w:type="dxa"/>
          </w:tcPr>
          <w:p w14:paraId="741DF3E3"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808,2</w:t>
            </w:r>
          </w:p>
          <w:p w14:paraId="3C2237A9" w14:textId="77777777" w:rsidR="00800997" w:rsidRPr="00EC5A7B" w:rsidRDefault="00800997" w:rsidP="00E342E2">
            <w:pPr>
              <w:pStyle w:val="NoSpacing"/>
              <w:jc w:val="center"/>
              <w:rPr>
                <w:rFonts w:asciiTheme="majorHAnsi" w:hAnsiTheme="majorHAnsi" w:cstheme="majorHAnsi"/>
                <w:i/>
                <w:sz w:val="20"/>
                <w:szCs w:val="20"/>
                <w:lang w:val="ru-MD" w:eastAsia="ru-RU"/>
              </w:rPr>
            </w:pPr>
            <w:r w:rsidRPr="00EC5A7B">
              <w:rPr>
                <w:rFonts w:asciiTheme="majorHAnsi" w:hAnsiTheme="majorHAnsi" w:cstheme="majorHAnsi"/>
                <w:i/>
                <w:sz w:val="20"/>
                <w:szCs w:val="20"/>
                <w:lang w:val="ru-MD" w:eastAsia="ru-RU"/>
              </w:rPr>
              <w:t>19,4</w:t>
            </w:r>
          </w:p>
        </w:tc>
        <w:tc>
          <w:tcPr>
            <w:tcW w:w="1263" w:type="dxa"/>
          </w:tcPr>
          <w:p w14:paraId="07BE3354"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465,2</w:t>
            </w:r>
          </w:p>
          <w:p w14:paraId="26C3C455" w14:textId="77777777" w:rsidR="00800997" w:rsidRPr="00EC5A7B" w:rsidRDefault="00800997" w:rsidP="00E342E2">
            <w:pPr>
              <w:pStyle w:val="NoSpacing"/>
              <w:jc w:val="center"/>
              <w:rPr>
                <w:rFonts w:asciiTheme="majorHAnsi" w:hAnsiTheme="majorHAnsi" w:cstheme="majorHAnsi"/>
                <w:i/>
                <w:sz w:val="20"/>
                <w:szCs w:val="20"/>
                <w:lang w:val="ru-MD" w:eastAsia="ru-RU"/>
              </w:rPr>
            </w:pPr>
            <w:r w:rsidRPr="00EC5A7B">
              <w:rPr>
                <w:rFonts w:asciiTheme="majorHAnsi" w:hAnsiTheme="majorHAnsi" w:cstheme="majorHAnsi"/>
                <w:i/>
                <w:sz w:val="20"/>
                <w:szCs w:val="20"/>
                <w:lang w:val="ru-MD" w:eastAsia="ru-RU"/>
              </w:rPr>
              <w:t>37,2</w:t>
            </w:r>
          </w:p>
        </w:tc>
        <w:tc>
          <w:tcPr>
            <w:tcW w:w="1267" w:type="dxa"/>
          </w:tcPr>
          <w:p w14:paraId="3F4FA7CD"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439,6</w:t>
            </w:r>
          </w:p>
          <w:p w14:paraId="6DE542C7" w14:textId="77777777" w:rsidR="00800997" w:rsidRPr="00EC5A7B" w:rsidRDefault="00800997" w:rsidP="00E342E2">
            <w:pPr>
              <w:pStyle w:val="NoSpacing"/>
              <w:jc w:val="center"/>
              <w:rPr>
                <w:rFonts w:asciiTheme="majorHAnsi" w:hAnsiTheme="majorHAnsi" w:cstheme="majorHAnsi"/>
                <w:i/>
                <w:sz w:val="20"/>
                <w:szCs w:val="20"/>
                <w:lang w:val="ru-MD" w:eastAsia="ru-RU"/>
              </w:rPr>
            </w:pPr>
            <w:r w:rsidRPr="00EC5A7B">
              <w:rPr>
                <w:rFonts w:asciiTheme="majorHAnsi" w:hAnsiTheme="majorHAnsi" w:cstheme="majorHAnsi"/>
                <w:i/>
                <w:sz w:val="20"/>
                <w:szCs w:val="20"/>
                <w:lang w:val="ru-MD" w:eastAsia="ru-RU"/>
              </w:rPr>
              <w:t>29,1</w:t>
            </w:r>
          </w:p>
        </w:tc>
      </w:tr>
      <w:tr w:rsidR="00800997" w:rsidRPr="00EC5A7B" w14:paraId="6322A7B3" w14:textId="77777777" w:rsidTr="00E342E2">
        <w:tc>
          <w:tcPr>
            <w:tcW w:w="5665" w:type="dxa"/>
          </w:tcPr>
          <w:p w14:paraId="1DD9F2C8" w14:textId="3C253D75" w:rsidR="00800997" w:rsidRPr="00EC5A7B" w:rsidRDefault="009E7CA1" w:rsidP="009E7CA1">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Конвертированные ГЦБ</w:t>
            </w:r>
          </w:p>
        </w:tc>
        <w:tc>
          <w:tcPr>
            <w:tcW w:w="1169" w:type="dxa"/>
          </w:tcPr>
          <w:p w14:paraId="4D43ACD6"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144,8</w:t>
            </w:r>
          </w:p>
        </w:tc>
        <w:tc>
          <w:tcPr>
            <w:tcW w:w="1263" w:type="dxa"/>
          </w:tcPr>
          <w:p w14:paraId="384A60D7"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42,6</w:t>
            </w:r>
          </w:p>
        </w:tc>
        <w:tc>
          <w:tcPr>
            <w:tcW w:w="1267" w:type="dxa"/>
          </w:tcPr>
          <w:p w14:paraId="1871DC71"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153,3</w:t>
            </w:r>
          </w:p>
        </w:tc>
      </w:tr>
      <w:tr w:rsidR="00800997" w:rsidRPr="00EC5A7B" w14:paraId="31FEDC8D" w14:textId="77777777" w:rsidTr="00E342E2">
        <w:tc>
          <w:tcPr>
            <w:tcW w:w="5665" w:type="dxa"/>
          </w:tcPr>
          <w:p w14:paraId="43887743" w14:textId="4D8B7649" w:rsidR="00800997" w:rsidRPr="00EC5A7B" w:rsidRDefault="009E7CA1" w:rsidP="009E7CA1">
            <w:pPr>
              <w:pStyle w:val="NoSpacing"/>
              <w:jc w:val="both"/>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ГЦБ, выпущенные для исполнения платежных обязательств, вытекабщих из государственных гарантий</w:t>
            </w:r>
          </w:p>
        </w:tc>
        <w:tc>
          <w:tcPr>
            <w:tcW w:w="1169" w:type="dxa"/>
          </w:tcPr>
          <w:p w14:paraId="65541B21"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618,2</w:t>
            </w:r>
          </w:p>
        </w:tc>
        <w:tc>
          <w:tcPr>
            <w:tcW w:w="1263" w:type="dxa"/>
          </w:tcPr>
          <w:p w14:paraId="66A1C05D"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617,5</w:t>
            </w:r>
          </w:p>
        </w:tc>
        <w:tc>
          <w:tcPr>
            <w:tcW w:w="1267" w:type="dxa"/>
          </w:tcPr>
          <w:p w14:paraId="665DA7E5" w14:textId="77777777" w:rsidR="00800997" w:rsidRPr="00EC5A7B" w:rsidRDefault="00800997"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614,5</w:t>
            </w:r>
          </w:p>
        </w:tc>
      </w:tr>
      <w:tr w:rsidR="00800997" w:rsidRPr="00EC5A7B" w14:paraId="67A6B745" w14:textId="77777777" w:rsidTr="00E342E2">
        <w:tc>
          <w:tcPr>
            <w:tcW w:w="5665" w:type="dxa"/>
          </w:tcPr>
          <w:p w14:paraId="195FD754" w14:textId="6C8E5BB6" w:rsidR="00800997" w:rsidRPr="00EC5A7B" w:rsidRDefault="007B7FBE" w:rsidP="00E342E2">
            <w:pPr>
              <w:pStyle w:val="NoSpacing"/>
              <w:jc w:val="both"/>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w:t>
            </w:r>
          </w:p>
        </w:tc>
        <w:tc>
          <w:tcPr>
            <w:tcW w:w="1169" w:type="dxa"/>
          </w:tcPr>
          <w:p w14:paraId="0CD47DA5"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1 571,1</w:t>
            </w:r>
          </w:p>
        </w:tc>
        <w:tc>
          <w:tcPr>
            <w:tcW w:w="1263" w:type="dxa"/>
          </w:tcPr>
          <w:p w14:paraId="4EE4EB65"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1 125,3</w:t>
            </w:r>
          </w:p>
        </w:tc>
        <w:tc>
          <w:tcPr>
            <w:tcW w:w="1267" w:type="dxa"/>
          </w:tcPr>
          <w:p w14:paraId="3F277455" w14:textId="77777777" w:rsidR="00800997" w:rsidRPr="00EC5A7B" w:rsidRDefault="00800997"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1 207,4</w:t>
            </w:r>
          </w:p>
        </w:tc>
      </w:tr>
    </w:tbl>
    <w:p w14:paraId="01D1BC78" w14:textId="11F58F8C" w:rsidR="00800997" w:rsidRPr="00EC5A7B" w:rsidRDefault="007B3D00" w:rsidP="00800997">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800997" w:rsidRPr="00EC5A7B">
        <w:rPr>
          <w:rFonts w:asciiTheme="majorHAnsi" w:hAnsiTheme="majorHAnsi" w:cstheme="majorHAnsi"/>
          <w:b/>
          <w:i/>
          <w:sz w:val="20"/>
          <w:szCs w:val="20"/>
          <w:lang w:val="ru-MD" w:eastAsia="ru-RU"/>
        </w:rPr>
        <w:t>:</w:t>
      </w:r>
      <w:r w:rsidR="00800997" w:rsidRPr="00EC5A7B">
        <w:rPr>
          <w:rFonts w:asciiTheme="majorHAnsi" w:hAnsiTheme="majorHAnsi" w:cstheme="majorHAnsi"/>
          <w:i/>
          <w:sz w:val="20"/>
          <w:szCs w:val="20"/>
          <w:lang w:val="ru-MD" w:eastAsia="ru-RU"/>
        </w:rPr>
        <w:t xml:space="preserve"> </w:t>
      </w:r>
      <w:r w:rsidR="007B7FBE" w:rsidRPr="00EC5A7B">
        <w:rPr>
          <w:rFonts w:asciiTheme="majorHAnsi" w:hAnsiTheme="majorHAnsi" w:cstheme="majorHAnsi"/>
          <w:i/>
          <w:sz w:val="20"/>
          <w:szCs w:val="20"/>
          <w:lang w:val="ru-MD" w:eastAsia="ru-RU"/>
        </w:rPr>
        <w:t xml:space="preserve">Информация МФ по обслуживанию внутреннего государственного долга по состоянию на </w:t>
      </w:r>
      <w:r w:rsidR="00800997" w:rsidRPr="00EC5A7B">
        <w:rPr>
          <w:rFonts w:asciiTheme="majorHAnsi" w:hAnsiTheme="majorHAnsi" w:cstheme="majorHAnsi"/>
          <w:i/>
          <w:sz w:val="20"/>
          <w:szCs w:val="20"/>
          <w:lang w:val="ru-MD" w:eastAsia="ru-RU"/>
        </w:rPr>
        <w:t xml:space="preserve">31.12.2017, 31.12.2018 </w:t>
      </w:r>
      <w:r w:rsidR="007B7FBE" w:rsidRPr="00EC5A7B">
        <w:rPr>
          <w:rFonts w:asciiTheme="majorHAnsi" w:hAnsiTheme="majorHAnsi" w:cstheme="majorHAnsi"/>
          <w:i/>
          <w:sz w:val="20"/>
          <w:szCs w:val="20"/>
          <w:lang w:val="ru-MD" w:eastAsia="ru-RU"/>
        </w:rPr>
        <w:t>и</w:t>
      </w:r>
      <w:r w:rsidR="00800997" w:rsidRPr="00EC5A7B">
        <w:rPr>
          <w:rFonts w:asciiTheme="majorHAnsi" w:hAnsiTheme="majorHAnsi" w:cstheme="majorHAnsi"/>
          <w:i/>
          <w:sz w:val="20"/>
          <w:szCs w:val="20"/>
          <w:lang w:val="ru-MD" w:eastAsia="ru-RU"/>
        </w:rPr>
        <w:t xml:space="preserve"> 31.12.2019.</w:t>
      </w:r>
    </w:p>
    <w:p w14:paraId="6637F85F" w14:textId="77777777" w:rsidR="007F43B9" w:rsidRPr="00EC5A7B" w:rsidRDefault="007F43B9" w:rsidP="007F43B9">
      <w:pPr>
        <w:pStyle w:val="NoSpacing"/>
        <w:spacing w:line="276" w:lineRule="auto"/>
        <w:jc w:val="right"/>
        <w:rPr>
          <w:rFonts w:asciiTheme="majorHAnsi" w:hAnsiTheme="majorHAnsi" w:cstheme="majorHAnsi"/>
          <w:b/>
          <w:i/>
          <w:color w:val="5B9BD5" w:themeColor="accent1"/>
          <w:sz w:val="24"/>
          <w:szCs w:val="24"/>
          <w:lang w:val="ru-MD"/>
          <w14:glow w14:rad="0">
            <w14:schemeClr w14:val="tx1"/>
          </w14:glow>
        </w:rPr>
      </w:pPr>
    </w:p>
    <w:p w14:paraId="0C4037DF" w14:textId="16D93B22" w:rsidR="007F43B9" w:rsidRPr="00EC5A7B" w:rsidRDefault="001868AD" w:rsidP="007F43B9">
      <w:pPr>
        <w:pStyle w:val="NoSpacing"/>
        <w:spacing w:line="276" w:lineRule="auto"/>
        <w:jc w:val="right"/>
        <w:rPr>
          <w:rFonts w:asciiTheme="majorHAnsi" w:hAnsiTheme="majorHAnsi" w:cstheme="majorHAnsi"/>
          <w:i/>
          <w:sz w:val="24"/>
          <w:szCs w:val="24"/>
          <w:lang w:val="ru-MD" w:eastAsia="ru-RU"/>
        </w:rPr>
      </w:pPr>
      <w:r w:rsidRPr="00EC5A7B">
        <w:rPr>
          <w:rFonts w:asciiTheme="majorHAnsi" w:hAnsiTheme="majorHAnsi" w:cstheme="majorHAnsi"/>
          <w:b/>
          <w:i/>
          <w:color w:val="5B9BD5" w:themeColor="accent1"/>
          <w:sz w:val="24"/>
          <w:szCs w:val="24"/>
          <w:lang w:val="ru-MD"/>
          <w14:glow w14:rad="0">
            <w14:schemeClr w14:val="tx1"/>
          </w14:glow>
        </w:rPr>
        <w:t>Приложение №</w:t>
      </w:r>
      <w:r w:rsidR="006E05B8" w:rsidRPr="00EC5A7B">
        <w:rPr>
          <w:rFonts w:asciiTheme="majorHAnsi" w:hAnsiTheme="majorHAnsi" w:cstheme="majorHAnsi"/>
          <w:b/>
          <w:i/>
          <w:color w:val="5B9BD5" w:themeColor="accent1"/>
          <w:sz w:val="24"/>
          <w:szCs w:val="24"/>
          <w:lang w:val="ru-MD"/>
          <w14:glow w14:rad="0">
            <w14:schemeClr w14:val="tx1"/>
          </w14:glow>
        </w:rPr>
        <w:t>11</w:t>
      </w:r>
    </w:p>
    <w:p w14:paraId="16AC2AF3" w14:textId="654E6DD0" w:rsidR="007F43B9" w:rsidRPr="00EC5A7B" w:rsidRDefault="00337702" w:rsidP="007F43B9">
      <w:pPr>
        <w:pStyle w:val="NoSpacing"/>
        <w:spacing w:line="276" w:lineRule="auto"/>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Синтез расходов на обслуживание внешнего государственного долга за 2017-2019 годы</w:t>
      </w:r>
    </w:p>
    <w:tbl>
      <w:tblPr>
        <w:tblStyle w:val="TableGrid"/>
        <w:tblW w:w="9265" w:type="dxa"/>
        <w:tblLook w:val="04A0" w:firstRow="1" w:lastRow="0" w:firstColumn="1" w:lastColumn="0" w:noHBand="0" w:noVBand="1"/>
      </w:tblPr>
      <w:tblGrid>
        <w:gridCol w:w="1335"/>
        <w:gridCol w:w="1270"/>
        <w:gridCol w:w="1200"/>
        <w:gridCol w:w="1335"/>
        <w:gridCol w:w="1225"/>
        <w:gridCol w:w="1335"/>
        <w:gridCol w:w="1565"/>
      </w:tblGrid>
      <w:tr w:rsidR="007F43B9" w:rsidRPr="00EC5A7B" w14:paraId="32703EEE" w14:textId="77777777" w:rsidTr="00E342E2">
        <w:tc>
          <w:tcPr>
            <w:tcW w:w="1335" w:type="dxa"/>
            <w:vMerge w:val="restart"/>
            <w:shd w:val="clear" w:color="auto" w:fill="DEEAF6" w:themeFill="accent1" w:themeFillTint="33"/>
            <w:vAlign w:val="center"/>
          </w:tcPr>
          <w:p w14:paraId="65F863F2" w14:textId="1A5A39B0"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Год</w:t>
            </w:r>
          </w:p>
        </w:tc>
        <w:tc>
          <w:tcPr>
            <w:tcW w:w="2470" w:type="dxa"/>
            <w:gridSpan w:val="2"/>
            <w:shd w:val="clear" w:color="auto" w:fill="DEEAF6" w:themeFill="accent1" w:themeFillTint="33"/>
            <w:vAlign w:val="center"/>
          </w:tcPr>
          <w:p w14:paraId="051F398C" w14:textId="3218BF8E" w:rsidR="007F43B9" w:rsidRPr="00EC5A7B" w:rsidRDefault="00337702" w:rsidP="0033770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Всего оплачено</w:t>
            </w:r>
          </w:p>
        </w:tc>
        <w:tc>
          <w:tcPr>
            <w:tcW w:w="2560" w:type="dxa"/>
            <w:gridSpan w:val="2"/>
            <w:shd w:val="clear" w:color="auto" w:fill="DEEAF6" w:themeFill="accent1" w:themeFillTint="33"/>
            <w:vAlign w:val="center"/>
          </w:tcPr>
          <w:p w14:paraId="19EF624A" w14:textId="410DC35B"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Возврат основной суммы</w:t>
            </w:r>
          </w:p>
        </w:tc>
        <w:tc>
          <w:tcPr>
            <w:tcW w:w="2900" w:type="dxa"/>
            <w:gridSpan w:val="2"/>
            <w:shd w:val="clear" w:color="auto" w:fill="DEEAF6" w:themeFill="accent1" w:themeFillTint="33"/>
            <w:vAlign w:val="center"/>
          </w:tcPr>
          <w:p w14:paraId="0F9A6DBA" w14:textId="20B41E69"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Уплата процентов и комиссий</w:t>
            </w:r>
          </w:p>
        </w:tc>
      </w:tr>
      <w:tr w:rsidR="007F43B9" w:rsidRPr="00EC5A7B" w14:paraId="0B5ECD07" w14:textId="77777777" w:rsidTr="00E342E2">
        <w:tc>
          <w:tcPr>
            <w:tcW w:w="1335" w:type="dxa"/>
            <w:vMerge/>
          </w:tcPr>
          <w:p w14:paraId="172AF972" w14:textId="77777777" w:rsidR="007F43B9" w:rsidRPr="00EC5A7B" w:rsidRDefault="007F43B9" w:rsidP="00E342E2">
            <w:pPr>
              <w:pStyle w:val="NoSpacing"/>
              <w:jc w:val="both"/>
              <w:rPr>
                <w:rFonts w:asciiTheme="majorHAnsi" w:hAnsiTheme="majorHAnsi" w:cstheme="majorHAnsi"/>
                <w:sz w:val="20"/>
                <w:szCs w:val="20"/>
                <w:lang w:val="ru-MD" w:eastAsia="ru-RU"/>
              </w:rPr>
            </w:pPr>
          </w:p>
        </w:tc>
        <w:tc>
          <w:tcPr>
            <w:tcW w:w="1270" w:type="dxa"/>
            <w:shd w:val="clear" w:color="auto" w:fill="DEEAF6" w:themeFill="accent1" w:themeFillTint="33"/>
          </w:tcPr>
          <w:p w14:paraId="66B03ABE" w14:textId="60442A2B"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 США</w:t>
            </w:r>
          </w:p>
        </w:tc>
        <w:tc>
          <w:tcPr>
            <w:tcW w:w="1200" w:type="dxa"/>
            <w:shd w:val="clear" w:color="auto" w:fill="DEEAF6" w:themeFill="accent1" w:themeFillTint="33"/>
          </w:tcPr>
          <w:p w14:paraId="11CA6AEF" w14:textId="249D35F4" w:rsidR="007F43B9" w:rsidRPr="00EC5A7B" w:rsidRDefault="0022035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леев</w:t>
            </w:r>
          </w:p>
        </w:tc>
        <w:tc>
          <w:tcPr>
            <w:tcW w:w="1335" w:type="dxa"/>
            <w:shd w:val="clear" w:color="auto" w:fill="DEEAF6" w:themeFill="accent1" w:themeFillTint="33"/>
          </w:tcPr>
          <w:p w14:paraId="1D75197C" w14:textId="403A5530"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 США</w:t>
            </w:r>
          </w:p>
        </w:tc>
        <w:tc>
          <w:tcPr>
            <w:tcW w:w="1225" w:type="dxa"/>
            <w:shd w:val="clear" w:color="auto" w:fill="DEEAF6" w:themeFill="accent1" w:themeFillTint="33"/>
          </w:tcPr>
          <w:p w14:paraId="305F688A" w14:textId="3B6994AF" w:rsidR="007F43B9" w:rsidRPr="00EC5A7B" w:rsidRDefault="0022035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леев</w:t>
            </w:r>
          </w:p>
        </w:tc>
        <w:tc>
          <w:tcPr>
            <w:tcW w:w="1335" w:type="dxa"/>
            <w:shd w:val="clear" w:color="auto" w:fill="DEEAF6" w:themeFill="accent1" w:themeFillTint="33"/>
          </w:tcPr>
          <w:p w14:paraId="573A3C57" w14:textId="3386DB2F" w:rsidR="007F43B9" w:rsidRPr="00EC5A7B" w:rsidRDefault="00337702"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дол. США</w:t>
            </w:r>
          </w:p>
        </w:tc>
        <w:tc>
          <w:tcPr>
            <w:tcW w:w="1565" w:type="dxa"/>
            <w:shd w:val="clear" w:color="auto" w:fill="DEEAF6" w:themeFill="accent1" w:themeFillTint="33"/>
          </w:tcPr>
          <w:p w14:paraId="7029B702" w14:textId="7A298AAC" w:rsidR="007F43B9" w:rsidRPr="00EC5A7B" w:rsidRDefault="00220355" w:rsidP="00E342E2">
            <w:pPr>
              <w:pStyle w:val="NoSpacing"/>
              <w:jc w:val="center"/>
              <w:rPr>
                <w:rFonts w:asciiTheme="majorHAnsi" w:hAnsiTheme="majorHAnsi" w:cstheme="majorHAnsi"/>
                <w:b/>
                <w:sz w:val="20"/>
                <w:szCs w:val="20"/>
                <w:lang w:val="ru-MD" w:eastAsia="ru-RU"/>
              </w:rPr>
            </w:pPr>
            <w:r w:rsidRPr="00EC5A7B">
              <w:rPr>
                <w:rFonts w:asciiTheme="majorHAnsi" w:hAnsiTheme="majorHAnsi" w:cstheme="majorHAnsi"/>
                <w:b/>
                <w:sz w:val="20"/>
                <w:szCs w:val="20"/>
                <w:lang w:val="ru-MD" w:eastAsia="ru-RU"/>
              </w:rPr>
              <w:t>млн. леев</w:t>
            </w:r>
          </w:p>
        </w:tc>
      </w:tr>
      <w:tr w:rsidR="007F43B9" w:rsidRPr="00EC5A7B" w14:paraId="24D20848" w14:textId="77777777" w:rsidTr="00E342E2">
        <w:tc>
          <w:tcPr>
            <w:tcW w:w="1335" w:type="dxa"/>
          </w:tcPr>
          <w:p w14:paraId="4EEC3E6A"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2017</w:t>
            </w:r>
          </w:p>
        </w:tc>
        <w:tc>
          <w:tcPr>
            <w:tcW w:w="1270" w:type="dxa"/>
          </w:tcPr>
          <w:p w14:paraId="58233D2D"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91,1</w:t>
            </w:r>
          </w:p>
        </w:tc>
        <w:tc>
          <w:tcPr>
            <w:tcW w:w="1200" w:type="dxa"/>
          </w:tcPr>
          <w:p w14:paraId="5AEECAED"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1 687,6</w:t>
            </w:r>
          </w:p>
        </w:tc>
        <w:tc>
          <w:tcPr>
            <w:tcW w:w="1335" w:type="dxa"/>
          </w:tcPr>
          <w:p w14:paraId="15EBCF4D"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71,7</w:t>
            </w:r>
          </w:p>
        </w:tc>
        <w:tc>
          <w:tcPr>
            <w:tcW w:w="1225" w:type="dxa"/>
          </w:tcPr>
          <w:p w14:paraId="127C715A"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1 329,7</w:t>
            </w:r>
          </w:p>
        </w:tc>
        <w:tc>
          <w:tcPr>
            <w:tcW w:w="1335" w:type="dxa"/>
          </w:tcPr>
          <w:p w14:paraId="4B153BE6"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19,4</w:t>
            </w:r>
          </w:p>
        </w:tc>
        <w:tc>
          <w:tcPr>
            <w:tcW w:w="1565" w:type="dxa"/>
          </w:tcPr>
          <w:p w14:paraId="08A7B4DC"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357,9</w:t>
            </w:r>
          </w:p>
        </w:tc>
      </w:tr>
      <w:tr w:rsidR="007F43B9" w:rsidRPr="00EC5A7B" w14:paraId="6B67A6AB" w14:textId="77777777" w:rsidTr="00E342E2">
        <w:tc>
          <w:tcPr>
            <w:tcW w:w="1335" w:type="dxa"/>
          </w:tcPr>
          <w:p w14:paraId="28947A04"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2018</w:t>
            </w:r>
          </w:p>
        </w:tc>
        <w:tc>
          <w:tcPr>
            <w:tcW w:w="1270" w:type="dxa"/>
          </w:tcPr>
          <w:p w14:paraId="6319A658"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134,5</w:t>
            </w:r>
          </w:p>
        </w:tc>
        <w:tc>
          <w:tcPr>
            <w:tcW w:w="1200" w:type="dxa"/>
          </w:tcPr>
          <w:p w14:paraId="6A0F7554"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2 252,9</w:t>
            </w:r>
          </w:p>
        </w:tc>
        <w:tc>
          <w:tcPr>
            <w:tcW w:w="1335" w:type="dxa"/>
          </w:tcPr>
          <w:p w14:paraId="6E14FEEA"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111,9</w:t>
            </w:r>
          </w:p>
        </w:tc>
        <w:tc>
          <w:tcPr>
            <w:tcW w:w="1225" w:type="dxa"/>
          </w:tcPr>
          <w:p w14:paraId="36844A53"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1 873,4</w:t>
            </w:r>
          </w:p>
        </w:tc>
        <w:tc>
          <w:tcPr>
            <w:tcW w:w="1335" w:type="dxa"/>
          </w:tcPr>
          <w:p w14:paraId="0C241A9D"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22,6</w:t>
            </w:r>
          </w:p>
        </w:tc>
        <w:tc>
          <w:tcPr>
            <w:tcW w:w="1565" w:type="dxa"/>
          </w:tcPr>
          <w:p w14:paraId="601D9EF2"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379,5</w:t>
            </w:r>
          </w:p>
        </w:tc>
      </w:tr>
      <w:tr w:rsidR="007F43B9" w:rsidRPr="00EC5A7B" w14:paraId="38AB76C4" w14:textId="77777777" w:rsidTr="00E342E2">
        <w:tc>
          <w:tcPr>
            <w:tcW w:w="1335" w:type="dxa"/>
          </w:tcPr>
          <w:p w14:paraId="0271D886"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2019</w:t>
            </w:r>
          </w:p>
        </w:tc>
        <w:tc>
          <w:tcPr>
            <w:tcW w:w="1270" w:type="dxa"/>
          </w:tcPr>
          <w:p w14:paraId="648C3D75"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145,8</w:t>
            </w:r>
          </w:p>
        </w:tc>
        <w:tc>
          <w:tcPr>
            <w:tcW w:w="1200" w:type="dxa"/>
          </w:tcPr>
          <w:p w14:paraId="731E94DC"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2 556,9</w:t>
            </w:r>
          </w:p>
        </w:tc>
        <w:tc>
          <w:tcPr>
            <w:tcW w:w="1335" w:type="dxa"/>
          </w:tcPr>
          <w:p w14:paraId="7741A737"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122,3</w:t>
            </w:r>
          </w:p>
        </w:tc>
        <w:tc>
          <w:tcPr>
            <w:tcW w:w="1225" w:type="dxa"/>
          </w:tcPr>
          <w:p w14:paraId="2CB8ED61"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2 144,8</w:t>
            </w:r>
          </w:p>
        </w:tc>
        <w:tc>
          <w:tcPr>
            <w:tcW w:w="1335" w:type="dxa"/>
          </w:tcPr>
          <w:p w14:paraId="4D777A94"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23,5</w:t>
            </w:r>
          </w:p>
        </w:tc>
        <w:tc>
          <w:tcPr>
            <w:tcW w:w="1565" w:type="dxa"/>
          </w:tcPr>
          <w:p w14:paraId="7BA65F85" w14:textId="77777777" w:rsidR="007F43B9" w:rsidRPr="00EC5A7B" w:rsidRDefault="007F43B9" w:rsidP="00E342E2">
            <w:pPr>
              <w:pStyle w:val="NoSpacing"/>
              <w:jc w:val="center"/>
              <w:rPr>
                <w:rFonts w:asciiTheme="majorHAnsi" w:hAnsiTheme="majorHAnsi" w:cstheme="majorHAnsi"/>
                <w:sz w:val="20"/>
                <w:szCs w:val="20"/>
                <w:lang w:val="ru-MD" w:eastAsia="ru-RU"/>
              </w:rPr>
            </w:pPr>
            <w:r w:rsidRPr="00EC5A7B">
              <w:rPr>
                <w:rFonts w:asciiTheme="majorHAnsi" w:hAnsiTheme="majorHAnsi" w:cstheme="majorHAnsi"/>
                <w:sz w:val="20"/>
                <w:szCs w:val="20"/>
                <w:lang w:val="ru-MD" w:eastAsia="ru-RU"/>
              </w:rPr>
              <w:t>412,2</w:t>
            </w:r>
          </w:p>
        </w:tc>
      </w:tr>
    </w:tbl>
    <w:p w14:paraId="24F80403" w14:textId="0C5FD2FD" w:rsidR="007F43B9" w:rsidRPr="00EC5A7B" w:rsidRDefault="007B3D00" w:rsidP="007F43B9">
      <w:pPr>
        <w:pStyle w:val="NoSpacing"/>
        <w:spacing w:after="240" w:line="276" w:lineRule="auto"/>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7F43B9" w:rsidRPr="00EC5A7B">
        <w:rPr>
          <w:rFonts w:asciiTheme="majorHAnsi" w:hAnsiTheme="majorHAnsi" w:cstheme="majorHAnsi"/>
          <w:b/>
          <w:i/>
          <w:sz w:val="20"/>
          <w:szCs w:val="20"/>
          <w:lang w:val="ru-MD" w:eastAsia="ru-RU"/>
        </w:rPr>
        <w:t>:</w:t>
      </w:r>
      <w:r w:rsidR="007F43B9" w:rsidRPr="00EC5A7B">
        <w:rPr>
          <w:rFonts w:asciiTheme="majorHAnsi" w:hAnsiTheme="majorHAnsi" w:cstheme="majorHAnsi"/>
          <w:i/>
          <w:sz w:val="20"/>
          <w:szCs w:val="20"/>
          <w:lang w:val="ru-MD" w:eastAsia="ru-RU"/>
        </w:rPr>
        <w:t xml:space="preserve"> </w:t>
      </w:r>
      <w:r w:rsidR="005D0184" w:rsidRPr="00EC5A7B">
        <w:rPr>
          <w:rFonts w:asciiTheme="majorHAnsi" w:hAnsiTheme="majorHAnsi" w:cstheme="majorHAnsi"/>
          <w:i/>
          <w:sz w:val="20"/>
          <w:szCs w:val="20"/>
          <w:lang w:val="ru-MD" w:eastAsia="ru-RU"/>
        </w:rPr>
        <w:t>Информация МФ по обслуживанию внутреннего и внешнего государственного долга по состоянию на</w:t>
      </w:r>
      <w:r w:rsidR="007F43B9" w:rsidRPr="00EC5A7B">
        <w:rPr>
          <w:rFonts w:asciiTheme="majorHAnsi" w:hAnsiTheme="majorHAnsi" w:cstheme="majorHAnsi"/>
          <w:i/>
          <w:sz w:val="20"/>
          <w:szCs w:val="20"/>
          <w:lang w:val="ru-MD" w:eastAsia="ru-RU"/>
        </w:rPr>
        <w:t xml:space="preserve"> 31.12.2017, 31.12.2018 </w:t>
      </w:r>
      <w:r w:rsidR="005D0184" w:rsidRPr="00EC5A7B">
        <w:rPr>
          <w:rFonts w:asciiTheme="majorHAnsi" w:hAnsiTheme="majorHAnsi" w:cstheme="majorHAnsi"/>
          <w:i/>
          <w:sz w:val="20"/>
          <w:szCs w:val="20"/>
          <w:lang w:val="ru-MD" w:eastAsia="ru-RU"/>
        </w:rPr>
        <w:t>и</w:t>
      </w:r>
      <w:r w:rsidR="007F43B9" w:rsidRPr="00EC5A7B">
        <w:rPr>
          <w:rFonts w:asciiTheme="majorHAnsi" w:hAnsiTheme="majorHAnsi" w:cstheme="majorHAnsi"/>
          <w:i/>
          <w:sz w:val="20"/>
          <w:szCs w:val="20"/>
          <w:lang w:val="ru-MD" w:eastAsia="ru-RU"/>
        </w:rPr>
        <w:t xml:space="preserve"> 31.12.2019.</w:t>
      </w:r>
    </w:p>
    <w:p w14:paraId="59BEB384" w14:textId="77777777" w:rsidR="00674121" w:rsidRPr="00EC5A7B"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u-MD"/>
        </w:rPr>
      </w:pPr>
    </w:p>
    <w:p w14:paraId="03F9B349" w14:textId="77777777" w:rsidR="00674121" w:rsidRPr="00EC5A7B"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u-MD"/>
        </w:rPr>
      </w:pPr>
    </w:p>
    <w:p w14:paraId="1D5FB351" w14:textId="77777777" w:rsidR="00674121" w:rsidRPr="00EC5A7B"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u-MD"/>
        </w:rPr>
      </w:pPr>
    </w:p>
    <w:p w14:paraId="7B6EDBF3" w14:textId="77777777" w:rsidR="00674121" w:rsidRPr="00EC5A7B"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u-MD"/>
        </w:rPr>
      </w:pPr>
    </w:p>
    <w:p w14:paraId="66F8FBF3" w14:textId="77777777" w:rsidR="00674121" w:rsidRPr="00EC5A7B" w:rsidRDefault="00674121" w:rsidP="004D4169">
      <w:pPr>
        <w:pStyle w:val="NoSpacing"/>
        <w:spacing w:line="276" w:lineRule="auto"/>
        <w:jc w:val="right"/>
        <w:rPr>
          <w:rFonts w:asciiTheme="majorHAnsi" w:eastAsia="SimSun" w:hAnsiTheme="majorHAnsi" w:cstheme="majorHAnsi"/>
          <w:b/>
          <w:i/>
          <w:color w:val="5B9BD5" w:themeColor="accent1"/>
          <w:sz w:val="24"/>
          <w:szCs w:val="24"/>
          <w:lang w:val="ru-MD"/>
        </w:rPr>
      </w:pPr>
    </w:p>
    <w:p w14:paraId="2D99FC09" w14:textId="501F2081" w:rsidR="004D4169" w:rsidRPr="00EC5A7B" w:rsidRDefault="001868AD" w:rsidP="004D4169">
      <w:pPr>
        <w:pStyle w:val="NoSpacing"/>
        <w:spacing w:line="276" w:lineRule="auto"/>
        <w:jc w:val="right"/>
        <w:rPr>
          <w:rFonts w:asciiTheme="majorHAnsi" w:hAnsiTheme="majorHAnsi" w:cstheme="majorHAnsi"/>
          <w:sz w:val="24"/>
          <w:szCs w:val="24"/>
          <w:lang w:val="ru-MD" w:eastAsia="ru-RU"/>
        </w:rPr>
      </w:pPr>
      <w:r w:rsidRPr="00EC5A7B">
        <w:rPr>
          <w:rFonts w:asciiTheme="majorHAnsi" w:eastAsia="SimSun" w:hAnsiTheme="majorHAnsi" w:cstheme="majorHAnsi"/>
          <w:b/>
          <w:i/>
          <w:color w:val="5B9BD5" w:themeColor="accent1"/>
          <w:sz w:val="24"/>
          <w:szCs w:val="24"/>
          <w:lang w:val="ru-MD"/>
        </w:rPr>
        <w:t>Приложение №</w:t>
      </w:r>
      <w:r w:rsidR="006E05B8" w:rsidRPr="00EC5A7B">
        <w:rPr>
          <w:rFonts w:asciiTheme="majorHAnsi" w:eastAsia="SimSun" w:hAnsiTheme="majorHAnsi" w:cstheme="majorHAnsi"/>
          <w:b/>
          <w:i/>
          <w:color w:val="5B9BD5" w:themeColor="accent1"/>
          <w:sz w:val="24"/>
          <w:szCs w:val="24"/>
          <w:lang w:val="ru-MD"/>
        </w:rPr>
        <w:t>12</w:t>
      </w:r>
    </w:p>
    <w:p w14:paraId="4D181E3A" w14:textId="77777777" w:rsidR="00051E8D" w:rsidRPr="00EC5A7B" w:rsidRDefault="00051E8D" w:rsidP="00051E8D">
      <w:pPr>
        <w:pStyle w:val="NoSpacing"/>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Анализ финансовых условий, проведенный МФ по кредиту, законтрактованному в МАР для финансирования Проекта развития электроэнергетической системы, </w:t>
      </w:r>
    </w:p>
    <w:p w14:paraId="314C8178" w14:textId="6F91706D" w:rsidR="00051E8D" w:rsidRPr="00EC5A7B" w:rsidRDefault="00051E8D" w:rsidP="00051E8D">
      <w:pPr>
        <w:pStyle w:val="NoSpacing"/>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на сумму 47,9 млн. евро </w:t>
      </w:r>
    </w:p>
    <w:p w14:paraId="0766B393" w14:textId="1B8674E9" w:rsidR="004D4169" w:rsidRPr="00EC5A7B" w:rsidRDefault="004D4169" w:rsidP="00674121">
      <w:pPr>
        <w:pStyle w:val="NoSpacing"/>
        <w:jc w:val="center"/>
        <w:rPr>
          <w:rFonts w:asciiTheme="majorHAnsi" w:hAnsiTheme="majorHAnsi" w:cstheme="majorHAnsi"/>
          <w:b/>
          <w:i/>
          <w:sz w:val="24"/>
          <w:szCs w:val="24"/>
          <w:lang w:val="ru-MD" w:eastAsia="ru-RU"/>
        </w:rPr>
      </w:pPr>
    </w:p>
    <w:tbl>
      <w:tblPr>
        <w:tblStyle w:val="TableGrid4"/>
        <w:tblW w:w="9345" w:type="dxa"/>
        <w:tblLook w:val="04A0" w:firstRow="1" w:lastRow="0" w:firstColumn="1" w:lastColumn="0" w:noHBand="0" w:noVBand="1"/>
      </w:tblPr>
      <w:tblGrid>
        <w:gridCol w:w="928"/>
        <w:gridCol w:w="216"/>
        <w:gridCol w:w="1241"/>
        <w:gridCol w:w="1240"/>
        <w:gridCol w:w="1309"/>
        <w:gridCol w:w="1157"/>
        <w:gridCol w:w="1214"/>
        <w:gridCol w:w="1214"/>
        <w:gridCol w:w="826"/>
      </w:tblGrid>
      <w:tr w:rsidR="002159FF" w:rsidRPr="00EC5A7B" w14:paraId="423C0CDF" w14:textId="77777777" w:rsidTr="007B7FBE">
        <w:trPr>
          <w:trHeight w:val="974"/>
        </w:trPr>
        <w:tc>
          <w:tcPr>
            <w:tcW w:w="1198" w:type="dxa"/>
            <w:gridSpan w:val="2"/>
            <w:shd w:val="clear" w:color="auto" w:fill="DEEAF6" w:themeFill="accent1" w:themeFillTint="33"/>
            <w:vAlign w:val="center"/>
          </w:tcPr>
          <w:p w14:paraId="0A03BAC3" w14:textId="2414E062" w:rsidR="00051E8D" w:rsidRPr="00EC5A7B" w:rsidRDefault="00051E8D" w:rsidP="007B7FBE">
            <w:pPr>
              <w:tabs>
                <w:tab w:val="left" w:pos="814"/>
              </w:tabs>
              <w:ind w:left="-113" w:firstLine="113"/>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Валюта Соглашения</w:t>
            </w:r>
          </w:p>
        </w:tc>
        <w:tc>
          <w:tcPr>
            <w:tcW w:w="1233" w:type="dxa"/>
            <w:shd w:val="clear" w:color="auto" w:fill="DEEAF6" w:themeFill="accent1" w:themeFillTint="33"/>
            <w:vAlign w:val="center"/>
          </w:tcPr>
          <w:p w14:paraId="4C2092B2" w14:textId="65782568"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Тип процентной ставки</w:t>
            </w:r>
          </w:p>
        </w:tc>
        <w:tc>
          <w:tcPr>
            <w:tcW w:w="1232" w:type="dxa"/>
            <w:shd w:val="clear" w:color="auto" w:fill="DEEAF6" w:themeFill="accent1" w:themeFillTint="33"/>
            <w:vAlign w:val="center"/>
          </w:tcPr>
          <w:p w14:paraId="18A897EC" w14:textId="285C5122"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Возврат</w:t>
            </w:r>
          </w:p>
        </w:tc>
        <w:tc>
          <w:tcPr>
            <w:tcW w:w="1300" w:type="dxa"/>
            <w:shd w:val="clear" w:color="auto" w:fill="DEEAF6" w:themeFill="accent1" w:themeFillTint="33"/>
            <w:vAlign w:val="center"/>
          </w:tcPr>
          <w:p w14:paraId="16D909BC" w14:textId="5CC3068A"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Срок погашения</w:t>
            </w:r>
          </w:p>
        </w:tc>
        <w:tc>
          <w:tcPr>
            <w:tcW w:w="1149" w:type="dxa"/>
            <w:shd w:val="clear" w:color="auto" w:fill="DEEAF6" w:themeFill="accent1" w:themeFillTint="33"/>
            <w:vAlign w:val="center"/>
          </w:tcPr>
          <w:p w14:paraId="0CE9788C" w14:textId="3603C18B"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Процентная ставка (%)</w:t>
            </w:r>
          </w:p>
          <w:p w14:paraId="73C25851" w14:textId="42A978DB" w:rsidR="00051E8D" w:rsidRPr="00EC5A7B" w:rsidRDefault="00051E8D" w:rsidP="00051E8D">
            <w:pPr>
              <w:spacing w:line="276" w:lineRule="auto"/>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на 01.02.2019</w:t>
            </w:r>
          </w:p>
        </w:tc>
        <w:tc>
          <w:tcPr>
            <w:tcW w:w="1206" w:type="dxa"/>
            <w:shd w:val="clear" w:color="auto" w:fill="DEEAF6" w:themeFill="accent1" w:themeFillTint="33"/>
            <w:vAlign w:val="center"/>
          </w:tcPr>
          <w:p w14:paraId="01C303E1" w14:textId="416CA9C6"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Сумма процентной ставки, подлежащая уплате в валюте Соглашения </w:t>
            </w:r>
            <w:r w:rsidRPr="00EC5A7B">
              <w:rPr>
                <w:rFonts w:asciiTheme="majorHAnsi" w:hAnsiTheme="majorHAnsi" w:cstheme="majorHAnsi"/>
                <w:sz w:val="20"/>
                <w:szCs w:val="20"/>
                <w:lang w:val="ru-MD"/>
              </w:rPr>
              <w:t>(млн.)</w:t>
            </w:r>
          </w:p>
        </w:tc>
        <w:tc>
          <w:tcPr>
            <w:tcW w:w="1137" w:type="dxa"/>
            <w:shd w:val="clear" w:color="auto" w:fill="DEEAF6" w:themeFill="accent1" w:themeFillTint="33"/>
            <w:vAlign w:val="center"/>
          </w:tcPr>
          <w:p w14:paraId="31788A4F" w14:textId="49D34C08" w:rsidR="00051E8D" w:rsidRPr="00EC5A7B" w:rsidRDefault="00051E8D" w:rsidP="00051E8D">
            <w:pPr>
              <w:jc w:val="center"/>
              <w:rPr>
                <w:rFonts w:asciiTheme="majorHAnsi" w:hAnsiTheme="majorHAnsi" w:cstheme="majorHAnsi"/>
                <w:b/>
                <w:sz w:val="20"/>
                <w:szCs w:val="20"/>
                <w:vertAlign w:val="superscript"/>
                <w:lang w:val="ru-MD"/>
              </w:rPr>
            </w:pPr>
            <w:r w:rsidRPr="00EC5A7B">
              <w:rPr>
                <w:rFonts w:asciiTheme="majorHAnsi" w:hAnsiTheme="majorHAnsi" w:cstheme="majorHAnsi"/>
                <w:b/>
                <w:sz w:val="20"/>
                <w:szCs w:val="20"/>
                <w:lang w:val="ru-MD"/>
              </w:rPr>
              <w:t>Сумма процентной ставки, подлежащая уплате в млн. леев</w:t>
            </w:r>
          </w:p>
        </w:tc>
        <w:tc>
          <w:tcPr>
            <w:tcW w:w="890" w:type="dxa"/>
            <w:shd w:val="clear" w:color="auto" w:fill="DEEAF6" w:themeFill="accent1" w:themeFillTint="33"/>
            <w:vAlign w:val="center"/>
          </w:tcPr>
          <w:p w14:paraId="00151B9C" w14:textId="77777777" w:rsidR="00051E8D" w:rsidRPr="00EC5A7B" w:rsidRDefault="00051E8D" w:rsidP="007B7FBE">
            <w:pPr>
              <w:ind w:left="-77" w:right="-118" w:firstLine="10"/>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Элемент гранта</w:t>
            </w:r>
          </w:p>
          <w:p w14:paraId="65532840" w14:textId="77777777" w:rsidR="00051E8D" w:rsidRPr="00EC5A7B" w:rsidRDefault="00051E8D" w:rsidP="00051E8D">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 (%)</w:t>
            </w:r>
          </w:p>
        </w:tc>
      </w:tr>
      <w:tr w:rsidR="004D4169" w:rsidRPr="00EC5A7B" w14:paraId="21974E12" w14:textId="77777777" w:rsidTr="007B7FBE">
        <w:tblPrEx>
          <w:tblLook w:val="0000" w:firstRow="0" w:lastRow="0" w:firstColumn="0" w:lastColumn="0" w:noHBand="0" w:noVBand="0"/>
        </w:tblPrEx>
        <w:trPr>
          <w:trHeight w:val="283"/>
        </w:trPr>
        <w:tc>
          <w:tcPr>
            <w:tcW w:w="9345" w:type="dxa"/>
            <w:gridSpan w:val="9"/>
          </w:tcPr>
          <w:p w14:paraId="14C696E3" w14:textId="5847DCC0" w:rsidR="004D4169" w:rsidRPr="00EC5A7B" w:rsidRDefault="002159FF" w:rsidP="00E342E2">
            <w:pPr>
              <w:spacing w:line="276" w:lineRule="auto"/>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МАР</w:t>
            </w:r>
            <w:r w:rsidR="004D4169" w:rsidRPr="00EC5A7B">
              <w:rPr>
                <w:rFonts w:asciiTheme="majorHAnsi" w:hAnsiTheme="majorHAnsi" w:cstheme="majorHAnsi"/>
                <w:b/>
                <w:sz w:val="20"/>
                <w:szCs w:val="20"/>
                <w:lang w:val="ru-MD"/>
              </w:rPr>
              <w:t xml:space="preserve"> </w:t>
            </w:r>
            <w:r w:rsidR="004D4169" w:rsidRPr="00EC5A7B">
              <w:rPr>
                <w:rFonts w:asciiTheme="majorHAnsi" w:hAnsiTheme="majorHAnsi" w:cstheme="majorHAnsi"/>
                <w:sz w:val="20"/>
                <w:szCs w:val="20"/>
                <w:lang w:val="ru-MD"/>
              </w:rPr>
              <w:t xml:space="preserve">(55,0 </w:t>
            </w:r>
            <w:r w:rsidRPr="00EC5A7B">
              <w:rPr>
                <w:rFonts w:asciiTheme="majorHAnsi" w:hAnsiTheme="majorHAnsi" w:cstheme="majorHAnsi"/>
                <w:sz w:val="20"/>
                <w:szCs w:val="20"/>
                <w:lang w:val="ru-MD"/>
              </w:rPr>
              <w:t>млн. дол. США или эквивалент</w:t>
            </w:r>
            <w:r w:rsidR="004D4169" w:rsidRPr="00EC5A7B">
              <w:rPr>
                <w:rFonts w:asciiTheme="majorHAnsi" w:hAnsiTheme="majorHAnsi" w:cstheme="majorHAnsi"/>
                <w:sz w:val="20"/>
                <w:szCs w:val="20"/>
                <w:lang w:val="ru-MD"/>
              </w:rPr>
              <w:t>)</w:t>
            </w:r>
            <w:r w:rsidR="004D4169" w:rsidRPr="00EC5A7B">
              <w:rPr>
                <w:rFonts w:asciiTheme="majorHAnsi" w:hAnsiTheme="majorHAnsi" w:cstheme="majorHAnsi"/>
                <w:b/>
                <w:sz w:val="20"/>
                <w:szCs w:val="20"/>
                <w:lang w:val="ru-MD"/>
              </w:rPr>
              <w:t xml:space="preserve"> </w:t>
            </w:r>
          </w:p>
        </w:tc>
      </w:tr>
      <w:tr w:rsidR="007B7FBE" w:rsidRPr="00EC5A7B" w14:paraId="39B92D7E" w14:textId="77777777" w:rsidTr="007B7FBE">
        <w:tblPrEx>
          <w:tblLook w:val="0000" w:firstRow="0" w:lastRow="0" w:firstColumn="0" w:lastColumn="0" w:noHBand="0" w:noVBand="0"/>
        </w:tblPrEx>
        <w:trPr>
          <w:trHeight w:val="1094"/>
        </w:trPr>
        <w:tc>
          <w:tcPr>
            <w:tcW w:w="982" w:type="dxa"/>
          </w:tcPr>
          <w:p w14:paraId="449AC694" w14:textId="77777777" w:rsidR="004D4169" w:rsidRPr="00EC5A7B" w:rsidRDefault="004D4169" w:rsidP="00E342E2">
            <w:pPr>
              <w:jc w:val="center"/>
              <w:rPr>
                <w:rFonts w:asciiTheme="majorHAnsi" w:hAnsiTheme="majorHAnsi" w:cstheme="majorHAnsi"/>
                <w:b/>
                <w:sz w:val="20"/>
                <w:szCs w:val="20"/>
                <w:lang w:val="ru-MD"/>
              </w:rPr>
            </w:pPr>
          </w:p>
          <w:p w14:paraId="00C104E5" w14:textId="77777777" w:rsidR="004D4169" w:rsidRPr="00EC5A7B" w:rsidRDefault="004D4169" w:rsidP="00E342E2">
            <w:pPr>
              <w:jc w:val="center"/>
              <w:rPr>
                <w:rFonts w:asciiTheme="majorHAnsi" w:hAnsiTheme="majorHAnsi" w:cstheme="majorHAnsi"/>
                <w:b/>
                <w:sz w:val="20"/>
                <w:szCs w:val="20"/>
                <w:lang w:val="ru-MD"/>
              </w:rPr>
            </w:pPr>
          </w:p>
          <w:p w14:paraId="07E5729A" w14:textId="5315BBFB" w:rsidR="004D4169" w:rsidRPr="00EC5A7B" w:rsidRDefault="002159F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дол. США</w:t>
            </w:r>
          </w:p>
        </w:tc>
        <w:tc>
          <w:tcPr>
            <w:tcW w:w="1449" w:type="dxa"/>
            <w:gridSpan w:val="2"/>
          </w:tcPr>
          <w:p w14:paraId="086A3446" w14:textId="77777777" w:rsidR="004D4169" w:rsidRPr="00EC5A7B" w:rsidRDefault="004D4169" w:rsidP="00E342E2">
            <w:pPr>
              <w:jc w:val="center"/>
              <w:rPr>
                <w:rFonts w:asciiTheme="majorHAnsi" w:hAnsiTheme="majorHAnsi" w:cstheme="majorHAnsi"/>
                <w:b/>
                <w:sz w:val="20"/>
                <w:szCs w:val="20"/>
                <w:lang w:val="ru-MD"/>
              </w:rPr>
            </w:pPr>
          </w:p>
          <w:p w14:paraId="6D64147E" w14:textId="77777777" w:rsidR="004D4169" w:rsidRPr="00EC5A7B" w:rsidRDefault="004D4169" w:rsidP="00E342E2">
            <w:pPr>
              <w:jc w:val="center"/>
              <w:rPr>
                <w:rFonts w:asciiTheme="majorHAnsi" w:hAnsiTheme="majorHAnsi" w:cstheme="majorHAnsi"/>
                <w:b/>
                <w:sz w:val="20"/>
                <w:szCs w:val="20"/>
                <w:lang w:val="ru-MD"/>
              </w:rPr>
            </w:pPr>
          </w:p>
          <w:p w14:paraId="33730AAA" w14:textId="33A7D04D" w:rsidR="004D4169" w:rsidRPr="00EC5A7B" w:rsidRDefault="002159F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Фиксированная ставка</w:t>
            </w:r>
          </w:p>
        </w:tc>
        <w:tc>
          <w:tcPr>
            <w:tcW w:w="1232" w:type="dxa"/>
            <w:shd w:val="clear" w:color="auto" w:fill="auto"/>
          </w:tcPr>
          <w:p w14:paraId="5F6CF8BE" w14:textId="7B55B474" w:rsidR="004D4169" w:rsidRPr="00EC5A7B" w:rsidRDefault="002159FF" w:rsidP="002159FF">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Равные полугодовые платежи</w:t>
            </w:r>
            <w:r w:rsidR="001D0BE7" w:rsidRPr="00EC5A7B">
              <w:rPr>
                <w:rFonts w:asciiTheme="majorHAnsi" w:hAnsiTheme="majorHAnsi" w:cstheme="majorHAnsi"/>
                <w:sz w:val="20"/>
                <w:szCs w:val="20"/>
                <w:lang w:val="ru-MD"/>
              </w:rPr>
              <w:t xml:space="preserve">, 3,3% </w:t>
            </w:r>
            <w:r w:rsidRPr="00EC5A7B">
              <w:rPr>
                <w:rFonts w:asciiTheme="majorHAnsi" w:hAnsiTheme="majorHAnsi" w:cstheme="majorHAnsi"/>
                <w:sz w:val="20"/>
                <w:szCs w:val="20"/>
                <w:lang w:val="ru-MD"/>
              </w:rPr>
              <w:t>-</w:t>
            </w:r>
            <w:r w:rsidR="001D0BE7" w:rsidRPr="00EC5A7B">
              <w:rPr>
                <w:rFonts w:asciiTheme="majorHAnsi" w:hAnsiTheme="majorHAnsi" w:cstheme="majorHAnsi"/>
                <w:sz w:val="20"/>
                <w:szCs w:val="20"/>
                <w:lang w:val="ru-MD"/>
              </w:rPr>
              <w:t xml:space="preserve"> 6-25</w:t>
            </w:r>
            <w:r w:rsidRPr="00EC5A7B">
              <w:rPr>
                <w:rFonts w:asciiTheme="majorHAnsi" w:hAnsiTheme="majorHAnsi" w:cstheme="majorHAnsi"/>
                <w:sz w:val="20"/>
                <w:szCs w:val="20"/>
                <w:lang w:val="ru-MD"/>
              </w:rPr>
              <w:t xml:space="preserve"> годы</w:t>
            </w:r>
            <w:r w:rsidR="001D0BE7" w:rsidRPr="00EC5A7B">
              <w:rPr>
                <w:rFonts w:asciiTheme="majorHAnsi" w:hAnsiTheme="majorHAnsi" w:cstheme="majorHAnsi"/>
                <w:sz w:val="20"/>
                <w:szCs w:val="20"/>
                <w:lang w:val="ru-MD"/>
              </w:rPr>
              <w:t>, 6,</w:t>
            </w:r>
            <w:r w:rsidR="004D4169" w:rsidRPr="00EC5A7B">
              <w:rPr>
                <w:rFonts w:asciiTheme="majorHAnsi" w:hAnsiTheme="majorHAnsi" w:cstheme="majorHAnsi"/>
                <w:sz w:val="20"/>
                <w:szCs w:val="20"/>
                <w:lang w:val="ru-MD"/>
              </w:rPr>
              <w:t xml:space="preserve">8% </w:t>
            </w:r>
            <w:r w:rsidRPr="00EC5A7B">
              <w:rPr>
                <w:rFonts w:asciiTheme="majorHAnsi" w:hAnsiTheme="majorHAnsi" w:cstheme="majorHAnsi"/>
                <w:sz w:val="20"/>
                <w:szCs w:val="20"/>
                <w:lang w:val="ru-MD"/>
              </w:rPr>
              <w:t>-</w:t>
            </w:r>
            <w:r w:rsidR="004D4169" w:rsidRPr="00EC5A7B">
              <w:rPr>
                <w:rFonts w:asciiTheme="majorHAnsi" w:hAnsiTheme="majorHAnsi" w:cstheme="majorHAnsi"/>
                <w:sz w:val="20"/>
                <w:szCs w:val="20"/>
                <w:lang w:val="ru-MD"/>
              </w:rPr>
              <w:t xml:space="preserve"> 26-30</w:t>
            </w:r>
            <w:r w:rsidRPr="00EC5A7B">
              <w:rPr>
                <w:rFonts w:asciiTheme="majorHAnsi" w:hAnsiTheme="majorHAnsi" w:cstheme="majorHAnsi"/>
                <w:sz w:val="20"/>
                <w:szCs w:val="20"/>
                <w:lang w:val="ru-MD"/>
              </w:rPr>
              <w:t xml:space="preserve"> годы</w:t>
            </w:r>
          </w:p>
        </w:tc>
        <w:tc>
          <w:tcPr>
            <w:tcW w:w="1300" w:type="dxa"/>
            <w:shd w:val="clear" w:color="auto" w:fill="auto"/>
          </w:tcPr>
          <w:p w14:paraId="728F7AD2" w14:textId="200881F0" w:rsidR="004D4169" w:rsidRPr="00EC5A7B" w:rsidRDefault="002159FF" w:rsidP="002159FF">
            <w:pPr>
              <w:ind w:left="-73" w:right="-100" w:firstLine="73"/>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30 лет включительно, 5 лет льготный период</w:t>
            </w:r>
          </w:p>
        </w:tc>
        <w:tc>
          <w:tcPr>
            <w:tcW w:w="1149" w:type="dxa"/>
            <w:shd w:val="clear" w:color="auto" w:fill="auto"/>
          </w:tcPr>
          <w:p w14:paraId="0567B66A" w14:textId="77777777" w:rsidR="004D4169" w:rsidRPr="00EC5A7B" w:rsidRDefault="004D4169" w:rsidP="00E342E2">
            <w:pPr>
              <w:jc w:val="center"/>
              <w:rPr>
                <w:rFonts w:asciiTheme="majorHAnsi" w:hAnsiTheme="majorHAnsi" w:cstheme="majorHAnsi"/>
                <w:b/>
                <w:sz w:val="20"/>
                <w:szCs w:val="20"/>
                <w:lang w:val="ru-MD"/>
              </w:rPr>
            </w:pPr>
          </w:p>
          <w:p w14:paraId="76CDB82D" w14:textId="77777777" w:rsidR="004D4169" w:rsidRPr="00EC5A7B" w:rsidRDefault="004D4169" w:rsidP="00E342E2">
            <w:pPr>
              <w:jc w:val="center"/>
              <w:rPr>
                <w:rFonts w:asciiTheme="majorHAnsi" w:hAnsiTheme="majorHAnsi" w:cstheme="majorHAnsi"/>
                <w:b/>
                <w:sz w:val="20"/>
                <w:szCs w:val="20"/>
                <w:lang w:val="ru-MD"/>
              </w:rPr>
            </w:pPr>
          </w:p>
          <w:p w14:paraId="4D1F94FA"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2,88%</w:t>
            </w:r>
          </w:p>
        </w:tc>
        <w:tc>
          <w:tcPr>
            <w:tcW w:w="1206" w:type="dxa"/>
            <w:shd w:val="clear" w:color="auto" w:fill="auto"/>
          </w:tcPr>
          <w:p w14:paraId="4FA313C2" w14:textId="77777777" w:rsidR="004D4169" w:rsidRPr="00EC5A7B" w:rsidRDefault="004D4169" w:rsidP="00E342E2">
            <w:pPr>
              <w:jc w:val="center"/>
              <w:rPr>
                <w:rFonts w:asciiTheme="majorHAnsi" w:hAnsiTheme="majorHAnsi" w:cstheme="majorHAnsi"/>
                <w:b/>
                <w:sz w:val="20"/>
                <w:szCs w:val="20"/>
                <w:lang w:val="ru-MD"/>
              </w:rPr>
            </w:pPr>
          </w:p>
          <w:p w14:paraId="3E39EA9E" w14:textId="77777777" w:rsidR="004D4169" w:rsidRPr="00EC5A7B" w:rsidRDefault="004D4169" w:rsidP="00E342E2">
            <w:pPr>
              <w:jc w:val="center"/>
              <w:rPr>
                <w:rFonts w:asciiTheme="majorHAnsi" w:hAnsiTheme="majorHAnsi" w:cstheme="majorHAnsi"/>
                <w:b/>
                <w:sz w:val="20"/>
                <w:szCs w:val="20"/>
                <w:lang w:val="ru-MD"/>
              </w:rPr>
            </w:pPr>
          </w:p>
          <w:p w14:paraId="4EEA93E0" w14:textId="3C9D0F78"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26,9 </w:t>
            </w:r>
            <w:r w:rsidR="002159FF" w:rsidRPr="00EC5A7B">
              <w:rPr>
                <w:rFonts w:asciiTheme="majorHAnsi" w:hAnsiTheme="majorHAnsi" w:cstheme="majorHAnsi"/>
                <w:b/>
                <w:sz w:val="20"/>
                <w:szCs w:val="20"/>
                <w:lang w:val="ru-MD"/>
              </w:rPr>
              <w:t>млн. дол. США</w:t>
            </w:r>
          </w:p>
        </w:tc>
        <w:tc>
          <w:tcPr>
            <w:tcW w:w="1137" w:type="dxa"/>
          </w:tcPr>
          <w:p w14:paraId="1837E878" w14:textId="77777777" w:rsidR="004D4169" w:rsidRPr="00EC5A7B" w:rsidRDefault="004D4169" w:rsidP="00E342E2">
            <w:pPr>
              <w:jc w:val="center"/>
              <w:rPr>
                <w:rFonts w:asciiTheme="majorHAnsi" w:hAnsiTheme="majorHAnsi" w:cstheme="majorHAnsi"/>
                <w:b/>
                <w:sz w:val="20"/>
                <w:szCs w:val="20"/>
                <w:lang w:val="ru-MD"/>
              </w:rPr>
            </w:pPr>
          </w:p>
          <w:p w14:paraId="33DE133E" w14:textId="77777777" w:rsidR="004D4169" w:rsidRPr="00EC5A7B" w:rsidRDefault="004D4169" w:rsidP="00E342E2">
            <w:pPr>
              <w:jc w:val="center"/>
              <w:rPr>
                <w:rFonts w:asciiTheme="majorHAnsi" w:hAnsiTheme="majorHAnsi" w:cstheme="majorHAnsi"/>
                <w:sz w:val="20"/>
                <w:szCs w:val="20"/>
                <w:lang w:val="ru-MD"/>
              </w:rPr>
            </w:pPr>
          </w:p>
          <w:p w14:paraId="69950E95" w14:textId="30A23596" w:rsidR="004D4169" w:rsidRPr="00EC5A7B" w:rsidRDefault="004D4169"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460,1 </w:t>
            </w:r>
            <w:r w:rsidR="00220355" w:rsidRPr="00EC5A7B">
              <w:rPr>
                <w:rFonts w:asciiTheme="majorHAnsi" w:hAnsiTheme="majorHAnsi" w:cstheme="majorHAnsi"/>
                <w:sz w:val="20"/>
                <w:szCs w:val="20"/>
                <w:lang w:val="ru-MD"/>
              </w:rPr>
              <w:t>млн. леев</w:t>
            </w:r>
          </w:p>
        </w:tc>
        <w:tc>
          <w:tcPr>
            <w:tcW w:w="890" w:type="dxa"/>
            <w:shd w:val="clear" w:color="auto" w:fill="auto"/>
          </w:tcPr>
          <w:p w14:paraId="165D5AE6" w14:textId="77777777" w:rsidR="004D4169" w:rsidRPr="00EC5A7B" w:rsidRDefault="004D4169" w:rsidP="00E342E2">
            <w:pPr>
              <w:jc w:val="center"/>
              <w:rPr>
                <w:rFonts w:asciiTheme="majorHAnsi" w:hAnsiTheme="majorHAnsi" w:cstheme="majorHAnsi"/>
                <w:b/>
                <w:sz w:val="20"/>
                <w:szCs w:val="20"/>
                <w:lang w:val="ru-MD"/>
              </w:rPr>
            </w:pPr>
          </w:p>
          <w:p w14:paraId="1674EB32" w14:textId="77777777" w:rsidR="004D4169" w:rsidRPr="00EC5A7B" w:rsidRDefault="004D4169" w:rsidP="00E342E2">
            <w:pPr>
              <w:jc w:val="center"/>
              <w:rPr>
                <w:rFonts w:asciiTheme="majorHAnsi" w:hAnsiTheme="majorHAnsi" w:cstheme="majorHAnsi"/>
                <w:b/>
                <w:sz w:val="20"/>
                <w:szCs w:val="20"/>
                <w:lang w:val="ru-MD"/>
              </w:rPr>
            </w:pPr>
          </w:p>
          <w:p w14:paraId="1E6F9523"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31,0%</w:t>
            </w:r>
          </w:p>
        </w:tc>
      </w:tr>
      <w:tr w:rsidR="007B7FBE" w:rsidRPr="00EC5A7B" w14:paraId="2BAACE61" w14:textId="77777777" w:rsidTr="007B7FBE">
        <w:tblPrEx>
          <w:tblLook w:val="0000" w:firstRow="0" w:lastRow="0" w:firstColumn="0" w:lastColumn="0" w:noHBand="0" w:noVBand="0"/>
        </w:tblPrEx>
        <w:trPr>
          <w:trHeight w:val="1184"/>
        </w:trPr>
        <w:tc>
          <w:tcPr>
            <w:tcW w:w="982" w:type="dxa"/>
          </w:tcPr>
          <w:p w14:paraId="10130315" w14:textId="77777777" w:rsidR="004D4169" w:rsidRPr="00EC5A7B" w:rsidRDefault="004D4169" w:rsidP="00E342E2">
            <w:pPr>
              <w:jc w:val="center"/>
              <w:rPr>
                <w:rFonts w:asciiTheme="majorHAnsi" w:hAnsiTheme="majorHAnsi" w:cstheme="majorHAnsi"/>
                <w:b/>
                <w:sz w:val="20"/>
                <w:szCs w:val="20"/>
                <w:lang w:val="ru-MD"/>
              </w:rPr>
            </w:pPr>
          </w:p>
          <w:p w14:paraId="4469FAF8" w14:textId="77777777" w:rsidR="004D4169" w:rsidRPr="00EC5A7B" w:rsidRDefault="004D4169" w:rsidP="00E342E2">
            <w:pPr>
              <w:jc w:val="center"/>
              <w:rPr>
                <w:rFonts w:asciiTheme="majorHAnsi" w:hAnsiTheme="majorHAnsi" w:cstheme="majorHAnsi"/>
                <w:b/>
                <w:sz w:val="20"/>
                <w:szCs w:val="20"/>
                <w:lang w:val="ru-MD"/>
              </w:rPr>
            </w:pPr>
          </w:p>
          <w:p w14:paraId="30CDDABB" w14:textId="482674E0" w:rsidR="004D4169" w:rsidRPr="00EC5A7B" w:rsidRDefault="002159F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евро</w:t>
            </w:r>
          </w:p>
        </w:tc>
        <w:tc>
          <w:tcPr>
            <w:tcW w:w="1449" w:type="dxa"/>
            <w:gridSpan w:val="2"/>
          </w:tcPr>
          <w:p w14:paraId="644CFB38" w14:textId="77777777" w:rsidR="004D4169" w:rsidRPr="00EC5A7B" w:rsidRDefault="004D4169" w:rsidP="00E342E2">
            <w:pPr>
              <w:jc w:val="center"/>
              <w:rPr>
                <w:rFonts w:asciiTheme="majorHAnsi" w:hAnsiTheme="majorHAnsi" w:cstheme="majorHAnsi"/>
                <w:b/>
                <w:sz w:val="20"/>
                <w:szCs w:val="20"/>
                <w:lang w:val="ru-MD"/>
              </w:rPr>
            </w:pPr>
          </w:p>
          <w:p w14:paraId="784E7187" w14:textId="77777777" w:rsidR="004D4169" w:rsidRPr="00EC5A7B" w:rsidRDefault="004D4169" w:rsidP="00E342E2">
            <w:pPr>
              <w:jc w:val="center"/>
              <w:rPr>
                <w:rFonts w:asciiTheme="majorHAnsi" w:hAnsiTheme="majorHAnsi" w:cstheme="majorHAnsi"/>
                <w:b/>
                <w:sz w:val="20"/>
                <w:szCs w:val="20"/>
                <w:lang w:val="ru-MD"/>
              </w:rPr>
            </w:pPr>
          </w:p>
          <w:p w14:paraId="74662E3E" w14:textId="5BEDF229" w:rsidR="004D4169" w:rsidRPr="00EC5A7B" w:rsidRDefault="002159F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Фиксированная ставка</w:t>
            </w:r>
          </w:p>
        </w:tc>
        <w:tc>
          <w:tcPr>
            <w:tcW w:w="1232" w:type="dxa"/>
            <w:shd w:val="clear" w:color="auto" w:fill="auto"/>
          </w:tcPr>
          <w:p w14:paraId="0F08F770" w14:textId="20B99B1C" w:rsidR="004D4169" w:rsidRPr="00EC5A7B" w:rsidRDefault="002159FF"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Равные полугодовые платежи</w:t>
            </w:r>
            <w:r w:rsidR="001D0BE7" w:rsidRPr="00EC5A7B">
              <w:rPr>
                <w:rFonts w:asciiTheme="majorHAnsi" w:hAnsiTheme="majorHAnsi" w:cstheme="majorHAnsi"/>
                <w:sz w:val="20"/>
                <w:szCs w:val="20"/>
                <w:lang w:val="ru-MD"/>
              </w:rPr>
              <w:t xml:space="preserve">, </w:t>
            </w:r>
            <w:r w:rsidRPr="00EC5A7B">
              <w:rPr>
                <w:rFonts w:asciiTheme="majorHAnsi" w:hAnsiTheme="majorHAnsi" w:cstheme="majorHAnsi"/>
                <w:sz w:val="20"/>
                <w:szCs w:val="20"/>
                <w:lang w:val="ru-MD"/>
              </w:rPr>
              <w:t>3,3% - 6-25 годы, 6,8% - 26-30 годы</w:t>
            </w:r>
          </w:p>
        </w:tc>
        <w:tc>
          <w:tcPr>
            <w:tcW w:w="1300" w:type="dxa"/>
            <w:shd w:val="clear" w:color="auto" w:fill="auto"/>
          </w:tcPr>
          <w:p w14:paraId="6609415A" w14:textId="0478A657" w:rsidR="004D4169" w:rsidRPr="00EC5A7B" w:rsidRDefault="002159FF" w:rsidP="002159FF">
            <w:pPr>
              <w:ind w:left="-73" w:right="-100" w:firstLine="73"/>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30 лет включительно, 5 лет льготный период</w:t>
            </w:r>
          </w:p>
        </w:tc>
        <w:tc>
          <w:tcPr>
            <w:tcW w:w="1149" w:type="dxa"/>
            <w:shd w:val="clear" w:color="auto" w:fill="auto"/>
          </w:tcPr>
          <w:p w14:paraId="0C1D0658" w14:textId="77777777" w:rsidR="004D4169" w:rsidRPr="00EC5A7B" w:rsidRDefault="004D4169" w:rsidP="00E342E2">
            <w:pPr>
              <w:jc w:val="center"/>
              <w:rPr>
                <w:rFonts w:asciiTheme="majorHAnsi" w:hAnsiTheme="majorHAnsi" w:cstheme="majorHAnsi"/>
                <w:b/>
                <w:sz w:val="20"/>
                <w:szCs w:val="20"/>
                <w:lang w:val="ru-MD"/>
              </w:rPr>
            </w:pPr>
          </w:p>
          <w:p w14:paraId="50891FFB" w14:textId="77777777" w:rsidR="004D4169" w:rsidRPr="00EC5A7B" w:rsidRDefault="004D4169" w:rsidP="00E342E2">
            <w:pPr>
              <w:jc w:val="center"/>
              <w:rPr>
                <w:rFonts w:asciiTheme="majorHAnsi" w:hAnsiTheme="majorHAnsi" w:cstheme="majorHAnsi"/>
                <w:b/>
                <w:sz w:val="20"/>
                <w:szCs w:val="20"/>
                <w:lang w:val="ru-MD"/>
              </w:rPr>
            </w:pPr>
          </w:p>
          <w:p w14:paraId="379CBAFF"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1,32%</w:t>
            </w:r>
          </w:p>
        </w:tc>
        <w:tc>
          <w:tcPr>
            <w:tcW w:w="1206" w:type="dxa"/>
            <w:shd w:val="clear" w:color="auto" w:fill="auto"/>
          </w:tcPr>
          <w:p w14:paraId="12BEA82C" w14:textId="77777777" w:rsidR="004D4169" w:rsidRPr="00EC5A7B" w:rsidRDefault="004D4169" w:rsidP="00E342E2">
            <w:pPr>
              <w:jc w:val="center"/>
              <w:rPr>
                <w:rFonts w:asciiTheme="majorHAnsi" w:hAnsiTheme="majorHAnsi" w:cstheme="majorHAnsi"/>
                <w:b/>
                <w:sz w:val="20"/>
                <w:szCs w:val="20"/>
                <w:lang w:val="ru-MD"/>
              </w:rPr>
            </w:pPr>
          </w:p>
          <w:p w14:paraId="37466A2A" w14:textId="77777777" w:rsidR="004D4169" w:rsidRPr="00EC5A7B" w:rsidRDefault="004D4169" w:rsidP="00E342E2">
            <w:pPr>
              <w:jc w:val="center"/>
              <w:rPr>
                <w:rFonts w:asciiTheme="majorHAnsi" w:hAnsiTheme="majorHAnsi" w:cstheme="majorHAnsi"/>
                <w:b/>
                <w:sz w:val="20"/>
                <w:szCs w:val="20"/>
                <w:lang w:val="ru-MD"/>
              </w:rPr>
            </w:pPr>
          </w:p>
          <w:p w14:paraId="2363A05B" w14:textId="4A7AFE29" w:rsidR="004D4169" w:rsidRPr="00EC5A7B" w:rsidRDefault="004D4169" w:rsidP="002159FF">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10,8 </w:t>
            </w:r>
            <w:r w:rsidR="002159FF" w:rsidRPr="00EC5A7B">
              <w:rPr>
                <w:rFonts w:asciiTheme="majorHAnsi" w:hAnsiTheme="majorHAnsi" w:cstheme="majorHAnsi"/>
                <w:b/>
                <w:sz w:val="20"/>
                <w:szCs w:val="20"/>
                <w:lang w:val="ru-MD"/>
              </w:rPr>
              <w:t>млн. евро</w:t>
            </w:r>
          </w:p>
        </w:tc>
        <w:tc>
          <w:tcPr>
            <w:tcW w:w="1137" w:type="dxa"/>
          </w:tcPr>
          <w:p w14:paraId="400B8765" w14:textId="77777777" w:rsidR="004D4169" w:rsidRPr="00EC5A7B" w:rsidRDefault="004D4169" w:rsidP="00E342E2">
            <w:pPr>
              <w:jc w:val="center"/>
              <w:rPr>
                <w:rFonts w:asciiTheme="majorHAnsi" w:hAnsiTheme="majorHAnsi" w:cstheme="majorHAnsi"/>
                <w:b/>
                <w:sz w:val="20"/>
                <w:szCs w:val="20"/>
                <w:lang w:val="ru-MD"/>
              </w:rPr>
            </w:pPr>
          </w:p>
          <w:p w14:paraId="1555FA59" w14:textId="77777777" w:rsidR="004D4169" w:rsidRPr="00EC5A7B" w:rsidRDefault="004D4169" w:rsidP="00E342E2">
            <w:pPr>
              <w:jc w:val="center"/>
              <w:rPr>
                <w:rFonts w:asciiTheme="majorHAnsi" w:hAnsiTheme="majorHAnsi" w:cstheme="majorHAnsi"/>
                <w:sz w:val="20"/>
                <w:szCs w:val="20"/>
                <w:lang w:val="ru-MD"/>
              </w:rPr>
            </w:pPr>
          </w:p>
          <w:p w14:paraId="1E71D4D8" w14:textId="7933594E" w:rsidR="004D4169" w:rsidRPr="00EC5A7B" w:rsidRDefault="004D4169"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211,2 </w:t>
            </w:r>
            <w:r w:rsidR="00220355" w:rsidRPr="00EC5A7B">
              <w:rPr>
                <w:rFonts w:asciiTheme="majorHAnsi" w:hAnsiTheme="majorHAnsi" w:cstheme="majorHAnsi"/>
                <w:sz w:val="20"/>
                <w:szCs w:val="20"/>
                <w:lang w:val="ru-MD"/>
              </w:rPr>
              <w:t>млн. леев</w:t>
            </w:r>
          </w:p>
        </w:tc>
        <w:tc>
          <w:tcPr>
            <w:tcW w:w="890" w:type="dxa"/>
            <w:shd w:val="clear" w:color="auto" w:fill="auto"/>
          </w:tcPr>
          <w:p w14:paraId="0FFF11E7" w14:textId="77777777" w:rsidR="004D4169" w:rsidRPr="00EC5A7B" w:rsidRDefault="004D4169" w:rsidP="00E342E2">
            <w:pPr>
              <w:jc w:val="center"/>
              <w:rPr>
                <w:rFonts w:asciiTheme="majorHAnsi" w:hAnsiTheme="majorHAnsi" w:cstheme="majorHAnsi"/>
                <w:b/>
                <w:sz w:val="20"/>
                <w:szCs w:val="20"/>
                <w:lang w:val="ru-MD"/>
              </w:rPr>
            </w:pPr>
          </w:p>
          <w:p w14:paraId="475E7D92" w14:textId="77777777" w:rsidR="004D4169" w:rsidRPr="00EC5A7B" w:rsidRDefault="004D4169" w:rsidP="00E342E2">
            <w:pPr>
              <w:jc w:val="center"/>
              <w:rPr>
                <w:rFonts w:asciiTheme="majorHAnsi" w:hAnsiTheme="majorHAnsi" w:cstheme="majorHAnsi"/>
                <w:b/>
                <w:sz w:val="20"/>
                <w:szCs w:val="20"/>
                <w:lang w:val="ru-MD"/>
              </w:rPr>
            </w:pPr>
          </w:p>
          <w:p w14:paraId="0F041BCA"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45,9%</w:t>
            </w:r>
          </w:p>
        </w:tc>
      </w:tr>
      <w:tr w:rsidR="007B7FBE" w:rsidRPr="00EC5A7B" w14:paraId="5343E178" w14:textId="77777777" w:rsidTr="007B7FBE">
        <w:tblPrEx>
          <w:tblLook w:val="0000" w:firstRow="0" w:lastRow="0" w:firstColumn="0" w:lastColumn="0" w:noHBand="0" w:noVBand="0"/>
        </w:tblPrEx>
        <w:trPr>
          <w:trHeight w:val="1218"/>
        </w:trPr>
        <w:tc>
          <w:tcPr>
            <w:tcW w:w="982" w:type="dxa"/>
          </w:tcPr>
          <w:p w14:paraId="52BC2957" w14:textId="77777777" w:rsidR="004D4169" w:rsidRPr="00EC5A7B" w:rsidRDefault="004D4169" w:rsidP="00E342E2">
            <w:pPr>
              <w:jc w:val="center"/>
              <w:rPr>
                <w:rFonts w:asciiTheme="majorHAnsi" w:hAnsiTheme="majorHAnsi" w:cstheme="majorHAnsi"/>
                <w:b/>
                <w:sz w:val="20"/>
                <w:szCs w:val="20"/>
                <w:lang w:val="ru-MD"/>
              </w:rPr>
            </w:pPr>
          </w:p>
          <w:p w14:paraId="178AE119" w14:textId="77777777" w:rsidR="004D4169" w:rsidRPr="00EC5A7B" w:rsidRDefault="004D4169" w:rsidP="00E342E2">
            <w:pPr>
              <w:jc w:val="center"/>
              <w:rPr>
                <w:rFonts w:asciiTheme="majorHAnsi" w:hAnsiTheme="majorHAnsi" w:cstheme="majorHAnsi"/>
                <w:b/>
                <w:sz w:val="20"/>
                <w:szCs w:val="20"/>
                <w:lang w:val="ru-MD"/>
              </w:rPr>
            </w:pPr>
          </w:p>
          <w:p w14:paraId="45EA448A" w14:textId="6338B589" w:rsidR="004D4169" w:rsidRPr="00EC5A7B" w:rsidRDefault="00C673C7"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СПЗ</w:t>
            </w:r>
          </w:p>
        </w:tc>
        <w:tc>
          <w:tcPr>
            <w:tcW w:w="1449" w:type="dxa"/>
            <w:gridSpan w:val="2"/>
          </w:tcPr>
          <w:p w14:paraId="47542E69" w14:textId="77777777" w:rsidR="004D4169" w:rsidRPr="00EC5A7B" w:rsidRDefault="004D4169" w:rsidP="00E342E2">
            <w:pPr>
              <w:jc w:val="center"/>
              <w:rPr>
                <w:rFonts w:asciiTheme="majorHAnsi" w:hAnsiTheme="majorHAnsi" w:cstheme="majorHAnsi"/>
                <w:b/>
                <w:sz w:val="20"/>
                <w:szCs w:val="20"/>
                <w:lang w:val="ru-MD"/>
              </w:rPr>
            </w:pPr>
          </w:p>
          <w:p w14:paraId="0385488A" w14:textId="77777777" w:rsidR="004D4169" w:rsidRPr="00EC5A7B" w:rsidRDefault="004D4169" w:rsidP="00E342E2">
            <w:pPr>
              <w:jc w:val="center"/>
              <w:rPr>
                <w:rFonts w:asciiTheme="majorHAnsi" w:hAnsiTheme="majorHAnsi" w:cstheme="majorHAnsi"/>
                <w:b/>
                <w:sz w:val="20"/>
                <w:szCs w:val="20"/>
                <w:lang w:val="ru-MD"/>
              </w:rPr>
            </w:pPr>
          </w:p>
          <w:p w14:paraId="2B3C9A2B" w14:textId="2298EEFD" w:rsidR="004D4169" w:rsidRPr="00EC5A7B" w:rsidRDefault="002159F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Фиксированная ставка</w:t>
            </w:r>
          </w:p>
        </w:tc>
        <w:tc>
          <w:tcPr>
            <w:tcW w:w="1232" w:type="dxa"/>
            <w:shd w:val="clear" w:color="auto" w:fill="auto"/>
          </w:tcPr>
          <w:p w14:paraId="4EF33AC3" w14:textId="6DAA4690" w:rsidR="004D4169" w:rsidRPr="00EC5A7B" w:rsidRDefault="002159FF"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Равные полугодовые платежи</w:t>
            </w:r>
            <w:r w:rsidR="001D0BE7" w:rsidRPr="00EC5A7B">
              <w:rPr>
                <w:rFonts w:asciiTheme="majorHAnsi" w:hAnsiTheme="majorHAnsi" w:cstheme="majorHAnsi"/>
                <w:sz w:val="20"/>
                <w:szCs w:val="20"/>
                <w:lang w:val="ru-MD"/>
              </w:rPr>
              <w:t xml:space="preserve">, </w:t>
            </w:r>
            <w:r w:rsidRPr="00EC5A7B">
              <w:rPr>
                <w:rFonts w:asciiTheme="majorHAnsi" w:hAnsiTheme="majorHAnsi" w:cstheme="majorHAnsi"/>
                <w:sz w:val="20"/>
                <w:szCs w:val="20"/>
                <w:lang w:val="ru-MD"/>
              </w:rPr>
              <w:t>3,3% - 6-25 годы, 6,8% - 26-30 годы</w:t>
            </w:r>
          </w:p>
        </w:tc>
        <w:tc>
          <w:tcPr>
            <w:tcW w:w="1300" w:type="dxa"/>
            <w:shd w:val="clear" w:color="auto" w:fill="auto"/>
          </w:tcPr>
          <w:p w14:paraId="64222E31" w14:textId="6A745ADC" w:rsidR="004D4169" w:rsidRPr="00EC5A7B" w:rsidRDefault="002159FF" w:rsidP="002159FF">
            <w:pPr>
              <w:ind w:left="-73" w:right="-100" w:firstLine="73"/>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30 лет включительно, 5 лет льготный период</w:t>
            </w:r>
          </w:p>
        </w:tc>
        <w:tc>
          <w:tcPr>
            <w:tcW w:w="1149" w:type="dxa"/>
            <w:shd w:val="clear" w:color="auto" w:fill="auto"/>
          </w:tcPr>
          <w:p w14:paraId="0E530876" w14:textId="77777777" w:rsidR="004D4169" w:rsidRPr="00EC5A7B" w:rsidRDefault="004D4169" w:rsidP="00E342E2">
            <w:pPr>
              <w:jc w:val="center"/>
              <w:rPr>
                <w:rFonts w:asciiTheme="majorHAnsi" w:hAnsiTheme="majorHAnsi" w:cstheme="majorHAnsi"/>
                <w:b/>
                <w:sz w:val="20"/>
                <w:szCs w:val="20"/>
                <w:lang w:val="ru-MD"/>
              </w:rPr>
            </w:pPr>
          </w:p>
          <w:p w14:paraId="2278579B" w14:textId="77777777" w:rsidR="004D4169" w:rsidRPr="00EC5A7B" w:rsidRDefault="004D4169" w:rsidP="00E342E2">
            <w:pPr>
              <w:jc w:val="center"/>
              <w:rPr>
                <w:rFonts w:asciiTheme="majorHAnsi" w:hAnsiTheme="majorHAnsi" w:cstheme="majorHAnsi"/>
                <w:b/>
                <w:sz w:val="20"/>
                <w:szCs w:val="20"/>
                <w:lang w:val="ru-MD"/>
              </w:rPr>
            </w:pPr>
          </w:p>
          <w:p w14:paraId="7DC5ACBF"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2,00%</w:t>
            </w:r>
          </w:p>
        </w:tc>
        <w:tc>
          <w:tcPr>
            <w:tcW w:w="1206" w:type="dxa"/>
            <w:shd w:val="clear" w:color="auto" w:fill="auto"/>
          </w:tcPr>
          <w:p w14:paraId="23811A9E" w14:textId="77777777" w:rsidR="004D4169" w:rsidRPr="00EC5A7B" w:rsidRDefault="004D4169" w:rsidP="00E342E2">
            <w:pPr>
              <w:jc w:val="center"/>
              <w:rPr>
                <w:rFonts w:asciiTheme="majorHAnsi" w:hAnsiTheme="majorHAnsi" w:cstheme="majorHAnsi"/>
                <w:b/>
                <w:sz w:val="20"/>
                <w:szCs w:val="20"/>
                <w:lang w:val="ru-MD"/>
              </w:rPr>
            </w:pPr>
          </w:p>
          <w:p w14:paraId="2AE6E35C" w14:textId="77777777" w:rsidR="004D4169" w:rsidRPr="00EC5A7B" w:rsidRDefault="004D4169" w:rsidP="00E342E2">
            <w:pPr>
              <w:jc w:val="center"/>
              <w:rPr>
                <w:rFonts w:asciiTheme="majorHAnsi" w:hAnsiTheme="majorHAnsi" w:cstheme="majorHAnsi"/>
                <w:b/>
                <w:sz w:val="20"/>
                <w:szCs w:val="20"/>
                <w:lang w:val="ru-MD"/>
              </w:rPr>
            </w:pPr>
          </w:p>
          <w:p w14:paraId="76AD1098" w14:textId="42E47645" w:rsidR="004D4169" w:rsidRPr="00EC5A7B" w:rsidRDefault="004D4169" w:rsidP="002159FF">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13,4 </w:t>
            </w:r>
            <w:r w:rsidR="002159FF" w:rsidRPr="00EC5A7B">
              <w:rPr>
                <w:rFonts w:asciiTheme="majorHAnsi" w:hAnsiTheme="majorHAnsi" w:cstheme="majorHAnsi"/>
                <w:b/>
                <w:sz w:val="20"/>
                <w:szCs w:val="20"/>
                <w:lang w:val="ru-MD"/>
              </w:rPr>
              <w:t>млн. СПЗ</w:t>
            </w:r>
          </w:p>
        </w:tc>
        <w:tc>
          <w:tcPr>
            <w:tcW w:w="1137" w:type="dxa"/>
          </w:tcPr>
          <w:p w14:paraId="68627EB1" w14:textId="77777777" w:rsidR="004D4169" w:rsidRPr="00EC5A7B" w:rsidRDefault="004D4169" w:rsidP="00E342E2">
            <w:pPr>
              <w:jc w:val="center"/>
              <w:rPr>
                <w:rFonts w:asciiTheme="majorHAnsi" w:hAnsiTheme="majorHAnsi" w:cstheme="majorHAnsi"/>
                <w:b/>
                <w:sz w:val="20"/>
                <w:szCs w:val="20"/>
                <w:lang w:val="ru-MD"/>
              </w:rPr>
            </w:pPr>
          </w:p>
          <w:p w14:paraId="25A346A9" w14:textId="77777777" w:rsidR="004D4169" w:rsidRPr="00EC5A7B" w:rsidRDefault="004D4169" w:rsidP="00E342E2">
            <w:pPr>
              <w:jc w:val="center"/>
              <w:rPr>
                <w:rFonts w:asciiTheme="majorHAnsi" w:hAnsiTheme="majorHAnsi" w:cstheme="majorHAnsi"/>
                <w:sz w:val="20"/>
                <w:szCs w:val="20"/>
                <w:lang w:val="ru-MD"/>
              </w:rPr>
            </w:pPr>
          </w:p>
          <w:p w14:paraId="03DA8CA0" w14:textId="7C6D99EE" w:rsidR="004D4169" w:rsidRPr="00EC5A7B" w:rsidRDefault="004D4169"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320,0 </w:t>
            </w:r>
            <w:r w:rsidR="00220355" w:rsidRPr="00EC5A7B">
              <w:rPr>
                <w:rFonts w:asciiTheme="majorHAnsi" w:hAnsiTheme="majorHAnsi" w:cstheme="majorHAnsi"/>
                <w:sz w:val="20"/>
                <w:szCs w:val="20"/>
                <w:lang w:val="ru-MD"/>
              </w:rPr>
              <w:t>млн. леев</w:t>
            </w:r>
          </w:p>
        </w:tc>
        <w:tc>
          <w:tcPr>
            <w:tcW w:w="890" w:type="dxa"/>
            <w:shd w:val="clear" w:color="auto" w:fill="auto"/>
          </w:tcPr>
          <w:p w14:paraId="725197AF" w14:textId="77777777" w:rsidR="004D4169" w:rsidRPr="00EC5A7B" w:rsidRDefault="004D4169" w:rsidP="00E342E2">
            <w:pPr>
              <w:jc w:val="center"/>
              <w:rPr>
                <w:rFonts w:asciiTheme="majorHAnsi" w:hAnsiTheme="majorHAnsi" w:cstheme="majorHAnsi"/>
                <w:b/>
                <w:sz w:val="20"/>
                <w:szCs w:val="20"/>
                <w:lang w:val="ru-MD"/>
              </w:rPr>
            </w:pPr>
          </w:p>
          <w:p w14:paraId="3F35124E" w14:textId="77777777" w:rsidR="004D4169" w:rsidRPr="00EC5A7B" w:rsidRDefault="004D4169" w:rsidP="00E342E2">
            <w:pPr>
              <w:jc w:val="center"/>
              <w:rPr>
                <w:rFonts w:asciiTheme="majorHAnsi" w:hAnsiTheme="majorHAnsi" w:cstheme="majorHAnsi"/>
                <w:b/>
                <w:sz w:val="20"/>
                <w:szCs w:val="20"/>
                <w:lang w:val="ru-MD"/>
              </w:rPr>
            </w:pPr>
          </w:p>
          <w:p w14:paraId="720C0C61" w14:textId="77777777" w:rsidR="004D4169" w:rsidRPr="00EC5A7B" w:rsidRDefault="004D4169"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39,4%</w:t>
            </w:r>
          </w:p>
        </w:tc>
      </w:tr>
    </w:tbl>
    <w:p w14:paraId="6E2D98B9" w14:textId="3348103C" w:rsidR="004D4169" w:rsidRPr="00EC5A7B" w:rsidRDefault="007B3D00" w:rsidP="00674121">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4D4169" w:rsidRPr="00EC5A7B">
        <w:rPr>
          <w:rFonts w:asciiTheme="majorHAnsi" w:hAnsiTheme="majorHAnsi" w:cstheme="majorHAnsi"/>
          <w:b/>
          <w:i/>
          <w:sz w:val="20"/>
          <w:szCs w:val="20"/>
          <w:lang w:val="ru-MD" w:eastAsia="ru-RU"/>
        </w:rPr>
        <w:t>:</w:t>
      </w:r>
      <w:r w:rsidR="004D4169" w:rsidRPr="00EC5A7B">
        <w:rPr>
          <w:rFonts w:asciiTheme="majorHAnsi" w:hAnsiTheme="majorHAnsi" w:cstheme="majorHAnsi"/>
          <w:i/>
          <w:sz w:val="20"/>
          <w:szCs w:val="20"/>
          <w:lang w:val="ru-MD" w:eastAsia="ru-RU"/>
        </w:rPr>
        <w:t xml:space="preserve"> </w:t>
      </w:r>
      <w:r w:rsidR="00A80631" w:rsidRPr="00EC5A7B">
        <w:rPr>
          <w:rFonts w:asciiTheme="majorHAnsi" w:hAnsiTheme="majorHAnsi" w:cstheme="majorHAnsi"/>
          <w:i/>
          <w:sz w:val="20"/>
          <w:szCs w:val="20"/>
          <w:lang w:val="ru-MD" w:eastAsia="ru-RU"/>
        </w:rPr>
        <w:t xml:space="preserve">Служебная записка о финансовых условиях, связанных с Финансовыми соглашениями между Республикой Молдова и Международной ассоциацией развития по реализации „Проекта развития энергетической системы” </w:t>
      </w:r>
      <w:r w:rsidR="004D4169" w:rsidRPr="00EC5A7B">
        <w:rPr>
          <w:rFonts w:asciiTheme="majorHAnsi" w:hAnsiTheme="majorHAnsi" w:cstheme="majorHAnsi"/>
          <w:i/>
          <w:sz w:val="20"/>
          <w:szCs w:val="20"/>
          <w:lang w:val="ru-MD" w:eastAsia="ru-RU"/>
        </w:rPr>
        <w:t>(Power System Development Project).</w:t>
      </w:r>
    </w:p>
    <w:p w14:paraId="6648F321" w14:textId="186C9F1E" w:rsidR="0088675D" w:rsidRPr="00EC5A7B" w:rsidRDefault="001868AD" w:rsidP="0088675D">
      <w:pPr>
        <w:pStyle w:val="NoSpacing"/>
        <w:spacing w:line="276" w:lineRule="auto"/>
        <w:jc w:val="right"/>
        <w:rPr>
          <w:rFonts w:asciiTheme="majorHAnsi" w:hAnsiTheme="majorHAnsi" w:cstheme="majorHAnsi"/>
          <w:sz w:val="24"/>
          <w:szCs w:val="24"/>
          <w:lang w:val="ru-MD" w:eastAsia="ru-RU"/>
        </w:rPr>
      </w:pPr>
      <w:r w:rsidRPr="00EC5A7B">
        <w:rPr>
          <w:rFonts w:asciiTheme="majorHAnsi" w:eastAsia="SimSun" w:hAnsiTheme="majorHAnsi" w:cstheme="majorHAnsi"/>
          <w:b/>
          <w:i/>
          <w:color w:val="5B9BD5" w:themeColor="accent1"/>
          <w:sz w:val="24"/>
          <w:szCs w:val="24"/>
          <w:lang w:val="ru-MD"/>
        </w:rPr>
        <w:t>Приложение №</w:t>
      </w:r>
      <w:r w:rsidR="006E05B8" w:rsidRPr="00EC5A7B">
        <w:rPr>
          <w:rFonts w:asciiTheme="majorHAnsi" w:eastAsia="SimSun" w:hAnsiTheme="majorHAnsi" w:cstheme="majorHAnsi"/>
          <w:b/>
          <w:i/>
          <w:color w:val="5B9BD5" w:themeColor="accent1"/>
          <w:sz w:val="24"/>
          <w:szCs w:val="24"/>
          <w:lang w:val="ru-MD"/>
        </w:rPr>
        <w:t>13</w:t>
      </w:r>
    </w:p>
    <w:p w14:paraId="653FF7F5" w14:textId="77777777" w:rsidR="00CB4B46" w:rsidRPr="00EC5A7B" w:rsidRDefault="00CB4B46" w:rsidP="00674121">
      <w:pPr>
        <w:pStyle w:val="NoSpacing"/>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Анализ финансовых условий, проведенный МФ по кредиту, законтрактованному в МАР для финансирования Проекта развития электроэнергетической системы, </w:t>
      </w:r>
    </w:p>
    <w:p w14:paraId="17A437FF" w14:textId="4EDF3D50" w:rsidR="0088675D" w:rsidRPr="00EC5A7B" w:rsidRDefault="00CB4B46" w:rsidP="00674121">
      <w:pPr>
        <w:pStyle w:val="NoSpacing"/>
        <w:jc w:val="center"/>
        <w:rPr>
          <w:rFonts w:asciiTheme="majorHAnsi" w:hAnsiTheme="majorHAnsi" w:cstheme="majorHAnsi"/>
          <w:b/>
          <w:i/>
          <w:sz w:val="24"/>
          <w:szCs w:val="24"/>
          <w:lang w:val="ru-MD" w:eastAsia="ru-RU"/>
        </w:rPr>
      </w:pPr>
      <w:r w:rsidRPr="00EC5A7B">
        <w:rPr>
          <w:rFonts w:asciiTheme="majorHAnsi" w:hAnsiTheme="majorHAnsi" w:cstheme="majorHAnsi"/>
          <w:b/>
          <w:i/>
          <w:sz w:val="24"/>
          <w:szCs w:val="24"/>
          <w:lang w:val="ru-MD" w:eastAsia="ru-RU"/>
        </w:rPr>
        <w:t xml:space="preserve">на сумму 13,1 млн. евро </w:t>
      </w:r>
    </w:p>
    <w:tbl>
      <w:tblPr>
        <w:tblStyle w:val="TableGrid5"/>
        <w:tblW w:w="9373" w:type="dxa"/>
        <w:tblLook w:val="04A0" w:firstRow="1" w:lastRow="0" w:firstColumn="1" w:lastColumn="0" w:noHBand="0" w:noVBand="1"/>
      </w:tblPr>
      <w:tblGrid>
        <w:gridCol w:w="1237"/>
        <w:gridCol w:w="1272"/>
        <w:gridCol w:w="1319"/>
        <w:gridCol w:w="1466"/>
        <w:gridCol w:w="1229"/>
        <w:gridCol w:w="1291"/>
        <w:gridCol w:w="1291"/>
        <w:gridCol w:w="940"/>
      </w:tblGrid>
      <w:tr w:rsidR="00CB4B46" w:rsidRPr="00EC5A7B" w14:paraId="532FA1D9" w14:textId="77777777" w:rsidTr="00E342E2">
        <w:trPr>
          <w:trHeight w:val="974"/>
        </w:trPr>
        <w:tc>
          <w:tcPr>
            <w:tcW w:w="1065" w:type="dxa"/>
            <w:shd w:val="clear" w:color="auto" w:fill="DEEAF6" w:themeFill="accent1" w:themeFillTint="33"/>
            <w:vAlign w:val="center"/>
          </w:tcPr>
          <w:p w14:paraId="1204E08C" w14:textId="621BD9B0"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lastRenderedPageBreak/>
              <w:t>Валюта Соглашения</w:t>
            </w:r>
          </w:p>
        </w:tc>
        <w:tc>
          <w:tcPr>
            <w:tcW w:w="1426" w:type="dxa"/>
            <w:shd w:val="clear" w:color="auto" w:fill="DEEAF6" w:themeFill="accent1" w:themeFillTint="33"/>
            <w:vAlign w:val="center"/>
          </w:tcPr>
          <w:p w14:paraId="60270318" w14:textId="35E2A1A1" w:rsidR="0088675D" w:rsidRPr="00EC5A7B" w:rsidRDefault="00CB4B46" w:rsidP="00CB4B46">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Тип процентной ставки</w:t>
            </w:r>
          </w:p>
        </w:tc>
        <w:tc>
          <w:tcPr>
            <w:tcW w:w="1287" w:type="dxa"/>
            <w:shd w:val="clear" w:color="auto" w:fill="DEEAF6" w:themeFill="accent1" w:themeFillTint="33"/>
            <w:vAlign w:val="center"/>
          </w:tcPr>
          <w:p w14:paraId="53AE9E50" w14:textId="48E7AD43" w:rsidR="0088675D" w:rsidRPr="00EC5A7B" w:rsidRDefault="00CB4B46" w:rsidP="00CB4B46">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Возврат</w:t>
            </w:r>
          </w:p>
        </w:tc>
        <w:tc>
          <w:tcPr>
            <w:tcW w:w="1333" w:type="dxa"/>
            <w:shd w:val="clear" w:color="auto" w:fill="DEEAF6" w:themeFill="accent1" w:themeFillTint="33"/>
            <w:vAlign w:val="center"/>
          </w:tcPr>
          <w:p w14:paraId="6CFC40CC" w14:textId="221FCECD" w:rsidR="0088675D" w:rsidRPr="00EC5A7B" w:rsidRDefault="00CB4B46" w:rsidP="00CB4B46">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Срок погашения</w:t>
            </w:r>
          </w:p>
        </w:tc>
        <w:tc>
          <w:tcPr>
            <w:tcW w:w="1126" w:type="dxa"/>
            <w:shd w:val="clear" w:color="auto" w:fill="DEEAF6" w:themeFill="accent1" w:themeFillTint="33"/>
            <w:vAlign w:val="center"/>
          </w:tcPr>
          <w:p w14:paraId="7A7D6BB5" w14:textId="11BC6B90"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Процентная ставка</w:t>
            </w:r>
            <w:r w:rsidR="0088675D" w:rsidRPr="00EC5A7B">
              <w:rPr>
                <w:rFonts w:asciiTheme="majorHAnsi" w:hAnsiTheme="majorHAnsi" w:cstheme="majorHAnsi"/>
                <w:b/>
                <w:sz w:val="20"/>
                <w:szCs w:val="20"/>
                <w:lang w:val="ru-MD"/>
              </w:rPr>
              <w:t xml:space="preserve"> </w:t>
            </w:r>
          </w:p>
          <w:p w14:paraId="3899EE66" w14:textId="7CA8CE89"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w:t>
            </w:r>
            <w:r w:rsidR="00CB4B46" w:rsidRPr="00EC5A7B">
              <w:rPr>
                <w:rFonts w:asciiTheme="majorHAnsi" w:hAnsiTheme="majorHAnsi" w:cstheme="majorHAnsi"/>
                <w:b/>
                <w:sz w:val="20"/>
                <w:szCs w:val="20"/>
                <w:lang w:val="ru-MD"/>
              </w:rPr>
              <w:t xml:space="preserve"> на</w:t>
            </w:r>
          </w:p>
          <w:p w14:paraId="045B8B69" w14:textId="355CE9E2" w:rsidR="0088675D" w:rsidRPr="00EC5A7B" w:rsidRDefault="0088675D" w:rsidP="00E342E2">
            <w:pPr>
              <w:spacing w:line="276" w:lineRule="auto"/>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01.02.2019</w:t>
            </w:r>
          </w:p>
        </w:tc>
        <w:tc>
          <w:tcPr>
            <w:tcW w:w="1149" w:type="dxa"/>
            <w:shd w:val="clear" w:color="auto" w:fill="DEEAF6" w:themeFill="accent1" w:themeFillTint="33"/>
            <w:vAlign w:val="center"/>
          </w:tcPr>
          <w:p w14:paraId="46FFF224" w14:textId="3FBA521B" w:rsidR="0088675D" w:rsidRPr="00EC5A7B" w:rsidRDefault="00CB4B46" w:rsidP="00CB4B46">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Сумма процентной ставки, подлежащая уплате в валюте Соглашения </w:t>
            </w:r>
            <w:r w:rsidR="0088675D" w:rsidRPr="00EC5A7B">
              <w:rPr>
                <w:rFonts w:asciiTheme="majorHAnsi" w:hAnsiTheme="majorHAnsi" w:cstheme="majorHAnsi"/>
                <w:sz w:val="20"/>
                <w:szCs w:val="20"/>
                <w:lang w:val="ru-MD"/>
              </w:rPr>
              <w:t>(</w:t>
            </w:r>
            <w:r w:rsidRPr="00EC5A7B">
              <w:rPr>
                <w:rFonts w:asciiTheme="majorHAnsi" w:hAnsiTheme="majorHAnsi" w:cstheme="majorHAnsi"/>
                <w:sz w:val="20"/>
                <w:szCs w:val="20"/>
                <w:lang w:val="ru-MD"/>
              </w:rPr>
              <w:t>млн</w:t>
            </w:r>
            <w:r w:rsidR="0088675D" w:rsidRPr="00EC5A7B">
              <w:rPr>
                <w:rFonts w:asciiTheme="majorHAnsi" w:hAnsiTheme="majorHAnsi" w:cstheme="majorHAnsi"/>
                <w:sz w:val="20"/>
                <w:szCs w:val="20"/>
                <w:lang w:val="ru-MD"/>
              </w:rPr>
              <w:t>.)</w:t>
            </w:r>
          </w:p>
        </w:tc>
        <w:tc>
          <w:tcPr>
            <w:tcW w:w="1021" w:type="dxa"/>
            <w:shd w:val="clear" w:color="auto" w:fill="DEEAF6" w:themeFill="accent1" w:themeFillTint="33"/>
            <w:vAlign w:val="center"/>
          </w:tcPr>
          <w:p w14:paraId="63F9355A" w14:textId="5C855D97" w:rsidR="0088675D" w:rsidRPr="00EC5A7B" w:rsidRDefault="00CB4B46" w:rsidP="00E342E2">
            <w:pPr>
              <w:jc w:val="center"/>
              <w:rPr>
                <w:rFonts w:asciiTheme="majorHAnsi" w:hAnsiTheme="majorHAnsi" w:cstheme="majorHAnsi"/>
                <w:b/>
                <w:sz w:val="20"/>
                <w:szCs w:val="20"/>
                <w:vertAlign w:val="superscript"/>
                <w:lang w:val="ru-MD"/>
              </w:rPr>
            </w:pPr>
            <w:r w:rsidRPr="00EC5A7B">
              <w:rPr>
                <w:rFonts w:asciiTheme="majorHAnsi" w:hAnsiTheme="majorHAnsi" w:cstheme="majorHAnsi"/>
                <w:b/>
                <w:sz w:val="20"/>
                <w:szCs w:val="20"/>
                <w:lang w:val="ru-MD"/>
              </w:rPr>
              <w:t>Сумма процентной ставки, подлежащая уплате в</w:t>
            </w:r>
            <w:r w:rsidR="0088675D" w:rsidRPr="00EC5A7B">
              <w:rPr>
                <w:rFonts w:asciiTheme="majorHAnsi" w:hAnsiTheme="majorHAnsi" w:cstheme="majorHAnsi"/>
                <w:b/>
                <w:sz w:val="20"/>
                <w:szCs w:val="20"/>
                <w:lang w:val="ru-MD"/>
              </w:rPr>
              <w:t xml:space="preserve"> </w:t>
            </w:r>
            <w:r w:rsidR="00220355" w:rsidRPr="00EC5A7B">
              <w:rPr>
                <w:rFonts w:asciiTheme="majorHAnsi" w:hAnsiTheme="majorHAnsi" w:cstheme="majorHAnsi"/>
                <w:b/>
                <w:sz w:val="20"/>
                <w:szCs w:val="20"/>
                <w:lang w:val="ru-MD"/>
              </w:rPr>
              <w:t>млн. леев</w:t>
            </w:r>
            <w:r w:rsidR="0088675D" w:rsidRPr="00EC5A7B">
              <w:rPr>
                <w:rFonts w:asciiTheme="majorHAnsi" w:hAnsiTheme="majorHAnsi" w:cstheme="majorHAnsi"/>
                <w:b/>
                <w:sz w:val="20"/>
                <w:szCs w:val="20"/>
                <w:lang w:val="ru-MD"/>
              </w:rPr>
              <w:t xml:space="preserve"> </w:t>
            </w:r>
          </w:p>
        </w:tc>
        <w:tc>
          <w:tcPr>
            <w:tcW w:w="946" w:type="dxa"/>
            <w:shd w:val="clear" w:color="auto" w:fill="DEEAF6" w:themeFill="accent1" w:themeFillTint="33"/>
            <w:vAlign w:val="center"/>
          </w:tcPr>
          <w:p w14:paraId="6A80BB93" w14:textId="06448500"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Элемент гранта</w:t>
            </w:r>
          </w:p>
          <w:p w14:paraId="67A8D63C"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 (%)</w:t>
            </w:r>
          </w:p>
        </w:tc>
      </w:tr>
      <w:tr w:rsidR="0088675D" w:rsidRPr="00EC5A7B" w14:paraId="521CCD08" w14:textId="77777777" w:rsidTr="00E342E2">
        <w:trPr>
          <w:trHeight w:val="210"/>
        </w:trPr>
        <w:tc>
          <w:tcPr>
            <w:tcW w:w="9373" w:type="dxa"/>
            <w:gridSpan w:val="8"/>
          </w:tcPr>
          <w:p w14:paraId="6560EACE" w14:textId="4280A08E" w:rsidR="0088675D" w:rsidRPr="00EC5A7B" w:rsidRDefault="00D344AF" w:rsidP="00D344AF">
            <w:pPr>
              <w:jc w:val="center"/>
              <w:rPr>
                <w:rFonts w:asciiTheme="majorHAnsi" w:hAnsiTheme="majorHAnsi" w:cstheme="majorHAnsi"/>
                <w:b/>
                <w:sz w:val="20"/>
                <w:szCs w:val="20"/>
                <w:vertAlign w:val="superscript"/>
                <w:lang w:val="ru-MD"/>
              </w:rPr>
            </w:pPr>
            <w:r w:rsidRPr="00EC5A7B">
              <w:rPr>
                <w:rFonts w:asciiTheme="majorHAnsi" w:hAnsiTheme="majorHAnsi" w:cstheme="majorHAnsi"/>
                <w:b/>
                <w:sz w:val="20"/>
                <w:szCs w:val="20"/>
                <w:lang w:val="ru-MD"/>
              </w:rPr>
              <w:t>МАР</w:t>
            </w:r>
            <w:r w:rsidR="0088675D" w:rsidRPr="00EC5A7B">
              <w:rPr>
                <w:rFonts w:asciiTheme="majorHAnsi" w:hAnsiTheme="majorHAnsi" w:cstheme="majorHAnsi"/>
                <w:b/>
                <w:sz w:val="20"/>
                <w:szCs w:val="20"/>
                <w:lang w:val="ru-MD"/>
              </w:rPr>
              <w:t xml:space="preserve"> </w:t>
            </w:r>
            <w:r w:rsidR="0088675D" w:rsidRPr="00EC5A7B">
              <w:rPr>
                <w:rFonts w:asciiTheme="majorHAnsi" w:hAnsiTheme="majorHAnsi" w:cstheme="majorHAnsi"/>
                <w:sz w:val="20"/>
                <w:szCs w:val="20"/>
                <w:lang w:val="ru-MD"/>
              </w:rPr>
              <w:t xml:space="preserve">(15,0 </w:t>
            </w:r>
            <w:r w:rsidRPr="00EC5A7B">
              <w:rPr>
                <w:rFonts w:asciiTheme="majorHAnsi" w:hAnsiTheme="majorHAnsi" w:cstheme="majorHAnsi"/>
                <w:sz w:val="20"/>
                <w:szCs w:val="20"/>
                <w:lang w:val="ru-MD"/>
              </w:rPr>
              <w:t>млн. дол. США или эквивалент</w:t>
            </w:r>
            <w:r w:rsidR="0088675D" w:rsidRPr="00EC5A7B">
              <w:rPr>
                <w:rFonts w:asciiTheme="majorHAnsi" w:hAnsiTheme="majorHAnsi" w:cstheme="majorHAnsi"/>
                <w:sz w:val="20"/>
                <w:szCs w:val="20"/>
                <w:lang w:val="ru-MD"/>
              </w:rPr>
              <w:t>)</w:t>
            </w:r>
            <w:r w:rsidR="0088675D" w:rsidRPr="00EC5A7B">
              <w:rPr>
                <w:rFonts w:asciiTheme="majorHAnsi" w:hAnsiTheme="majorHAnsi" w:cstheme="majorHAnsi"/>
                <w:b/>
                <w:sz w:val="20"/>
                <w:szCs w:val="20"/>
                <w:lang w:val="ru-MD"/>
              </w:rPr>
              <w:t xml:space="preserve"> </w:t>
            </w:r>
          </w:p>
        </w:tc>
      </w:tr>
      <w:tr w:rsidR="00CB4B46" w:rsidRPr="00EC5A7B" w14:paraId="251EF355" w14:textId="77777777" w:rsidTr="00E342E2">
        <w:trPr>
          <w:trHeight w:val="617"/>
        </w:trPr>
        <w:tc>
          <w:tcPr>
            <w:tcW w:w="1065" w:type="dxa"/>
          </w:tcPr>
          <w:p w14:paraId="35F290D6" w14:textId="77777777" w:rsidR="0088675D" w:rsidRPr="00EC5A7B" w:rsidRDefault="0088675D" w:rsidP="00E342E2">
            <w:pPr>
              <w:jc w:val="center"/>
              <w:rPr>
                <w:rFonts w:asciiTheme="majorHAnsi" w:hAnsiTheme="majorHAnsi" w:cstheme="majorHAnsi"/>
                <w:b/>
                <w:sz w:val="20"/>
                <w:szCs w:val="20"/>
                <w:lang w:val="ru-MD"/>
              </w:rPr>
            </w:pPr>
          </w:p>
          <w:p w14:paraId="35AB2EEB" w14:textId="7AEA06AE"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евро</w:t>
            </w:r>
          </w:p>
        </w:tc>
        <w:tc>
          <w:tcPr>
            <w:tcW w:w="1426" w:type="dxa"/>
          </w:tcPr>
          <w:p w14:paraId="0333CAA9" w14:textId="5E7102E9" w:rsidR="0088675D" w:rsidRPr="00EC5A7B" w:rsidRDefault="00D344A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Плавающая ставка</w:t>
            </w:r>
          </w:p>
          <w:p w14:paraId="74F26E56" w14:textId="04356482"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(EURIBOR6M + </w:t>
            </w:r>
            <w:r w:rsidR="00D344AF" w:rsidRPr="00EC5A7B">
              <w:rPr>
                <w:rFonts w:asciiTheme="majorHAnsi" w:hAnsiTheme="majorHAnsi" w:cstheme="majorHAnsi"/>
                <w:b/>
                <w:sz w:val="20"/>
                <w:szCs w:val="20"/>
                <w:lang w:val="ru-MD"/>
              </w:rPr>
              <w:t>переменная маржа</w:t>
            </w:r>
            <w:r w:rsidRPr="00EC5A7B">
              <w:rPr>
                <w:rFonts w:asciiTheme="majorHAnsi" w:hAnsiTheme="majorHAnsi" w:cstheme="majorHAnsi"/>
                <w:b/>
                <w:sz w:val="20"/>
                <w:szCs w:val="20"/>
                <w:lang w:val="ru-MD"/>
              </w:rPr>
              <w:t>)</w:t>
            </w:r>
          </w:p>
        </w:tc>
        <w:tc>
          <w:tcPr>
            <w:tcW w:w="1287" w:type="dxa"/>
          </w:tcPr>
          <w:p w14:paraId="137FDB40" w14:textId="77777777" w:rsidR="0088675D" w:rsidRPr="00EC5A7B" w:rsidRDefault="0088675D" w:rsidP="00E342E2">
            <w:pPr>
              <w:jc w:val="center"/>
              <w:rPr>
                <w:rFonts w:asciiTheme="majorHAnsi" w:hAnsiTheme="majorHAnsi" w:cstheme="majorHAnsi"/>
                <w:sz w:val="20"/>
                <w:szCs w:val="20"/>
                <w:lang w:val="ru-MD"/>
              </w:rPr>
            </w:pPr>
          </w:p>
          <w:p w14:paraId="2B0ACFFD" w14:textId="2289A9A7" w:rsidR="0088675D" w:rsidRPr="00EC5A7B" w:rsidRDefault="00D344AF"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Равные полугодовые платежи</w:t>
            </w:r>
          </w:p>
        </w:tc>
        <w:tc>
          <w:tcPr>
            <w:tcW w:w="1333" w:type="dxa"/>
          </w:tcPr>
          <w:p w14:paraId="58D9D70E" w14:textId="4F72ECDA" w:rsidR="0088675D" w:rsidRPr="00EC5A7B" w:rsidRDefault="0088675D"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30 </w:t>
            </w:r>
            <w:r w:rsidR="00D344AF" w:rsidRPr="00EC5A7B">
              <w:rPr>
                <w:rFonts w:asciiTheme="majorHAnsi" w:hAnsiTheme="majorHAnsi" w:cstheme="majorHAnsi"/>
                <w:sz w:val="20"/>
                <w:szCs w:val="20"/>
                <w:lang w:val="ru-MD"/>
              </w:rPr>
              <w:t>лет включительно</w:t>
            </w:r>
            <w:r w:rsidRPr="00EC5A7B">
              <w:rPr>
                <w:rFonts w:asciiTheme="majorHAnsi" w:hAnsiTheme="majorHAnsi" w:cstheme="majorHAnsi"/>
                <w:sz w:val="20"/>
                <w:szCs w:val="20"/>
                <w:lang w:val="ru-MD"/>
              </w:rPr>
              <w:t xml:space="preserve">, 5 </w:t>
            </w:r>
            <w:r w:rsidR="00D344AF" w:rsidRPr="00EC5A7B">
              <w:rPr>
                <w:rFonts w:asciiTheme="majorHAnsi" w:hAnsiTheme="majorHAnsi" w:cstheme="majorHAnsi"/>
                <w:sz w:val="20"/>
                <w:szCs w:val="20"/>
                <w:lang w:val="ru-MD"/>
              </w:rPr>
              <w:t>лет льготный период</w:t>
            </w:r>
          </w:p>
        </w:tc>
        <w:tc>
          <w:tcPr>
            <w:tcW w:w="1126" w:type="dxa"/>
            <w:shd w:val="clear" w:color="auto" w:fill="auto"/>
          </w:tcPr>
          <w:p w14:paraId="381C0C21" w14:textId="77777777" w:rsidR="0088675D" w:rsidRPr="00EC5A7B" w:rsidRDefault="0088675D" w:rsidP="00E342E2">
            <w:pPr>
              <w:jc w:val="center"/>
              <w:rPr>
                <w:rFonts w:asciiTheme="majorHAnsi" w:hAnsiTheme="majorHAnsi" w:cstheme="majorHAnsi"/>
                <w:b/>
                <w:sz w:val="20"/>
                <w:szCs w:val="20"/>
                <w:lang w:val="ru-MD"/>
              </w:rPr>
            </w:pPr>
          </w:p>
          <w:p w14:paraId="270A11E0"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0,76%</w:t>
            </w:r>
          </w:p>
        </w:tc>
        <w:tc>
          <w:tcPr>
            <w:tcW w:w="1149" w:type="dxa"/>
            <w:shd w:val="clear" w:color="auto" w:fill="auto"/>
          </w:tcPr>
          <w:p w14:paraId="485C8794" w14:textId="77777777" w:rsidR="0088675D" w:rsidRPr="00EC5A7B" w:rsidRDefault="0088675D" w:rsidP="00E342E2">
            <w:pPr>
              <w:jc w:val="center"/>
              <w:rPr>
                <w:rFonts w:asciiTheme="majorHAnsi" w:hAnsiTheme="majorHAnsi" w:cstheme="majorHAnsi"/>
                <w:b/>
                <w:sz w:val="20"/>
                <w:szCs w:val="20"/>
                <w:lang w:val="ru-MD"/>
              </w:rPr>
            </w:pPr>
          </w:p>
          <w:p w14:paraId="20CA245D" w14:textId="560F8924"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1,6 </w:t>
            </w:r>
            <w:r w:rsidR="00D344AF" w:rsidRPr="00EC5A7B">
              <w:rPr>
                <w:rFonts w:asciiTheme="majorHAnsi" w:hAnsiTheme="majorHAnsi" w:cstheme="majorHAnsi"/>
                <w:b/>
                <w:sz w:val="20"/>
                <w:szCs w:val="20"/>
                <w:lang w:val="ru-MD"/>
              </w:rPr>
              <w:t>млн. евро</w:t>
            </w:r>
          </w:p>
        </w:tc>
        <w:tc>
          <w:tcPr>
            <w:tcW w:w="1021" w:type="dxa"/>
          </w:tcPr>
          <w:p w14:paraId="05E1D756" w14:textId="77777777" w:rsidR="0088675D" w:rsidRPr="00EC5A7B" w:rsidRDefault="0088675D" w:rsidP="00E342E2">
            <w:pPr>
              <w:jc w:val="center"/>
              <w:rPr>
                <w:rFonts w:asciiTheme="majorHAnsi" w:hAnsiTheme="majorHAnsi" w:cstheme="majorHAnsi"/>
                <w:b/>
                <w:sz w:val="20"/>
                <w:szCs w:val="20"/>
                <w:lang w:val="ru-MD"/>
              </w:rPr>
            </w:pPr>
          </w:p>
          <w:p w14:paraId="440E9FA9" w14:textId="4304FD55" w:rsidR="0088675D" w:rsidRPr="00EC5A7B" w:rsidRDefault="001D0BE7"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32,2 </w:t>
            </w:r>
            <w:r w:rsidR="00220355" w:rsidRPr="00EC5A7B">
              <w:rPr>
                <w:rFonts w:asciiTheme="majorHAnsi" w:hAnsiTheme="majorHAnsi" w:cstheme="majorHAnsi"/>
                <w:sz w:val="20"/>
                <w:szCs w:val="20"/>
                <w:lang w:val="ru-MD"/>
              </w:rPr>
              <w:t>млн. леев</w:t>
            </w:r>
          </w:p>
        </w:tc>
        <w:tc>
          <w:tcPr>
            <w:tcW w:w="946" w:type="dxa"/>
            <w:shd w:val="clear" w:color="auto" w:fill="auto"/>
          </w:tcPr>
          <w:p w14:paraId="000FF0B0" w14:textId="77777777" w:rsidR="0088675D" w:rsidRPr="00EC5A7B" w:rsidRDefault="0088675D" w:rsidP="00E342E2">
            <w:pPr>
              <w:jc w:val="center"/>
              <w:rPr>
                <w:rFonts w:asciiTheme="majorHAnsi" w:hAnsiTheme="majorHAnsi" w:cstheme="majorHAnsi"/>
                <w:b/>
                <w:sz w:val="20"/>
                <w:szCs w:val="20"/>
                <w:lang w:val="ru-MD"/>
              </w:rPr>
            </w:pPr>
          </w:p>
          <w:p w14:paraId="7E913EB0"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47,7%</w:t>
            </w:r>
          </w:p>
        </w:tc>
      </w:tr>
      <w:tr w:rsidR="00CB4B46" w:rsidRPr="00EC5A7B" w14:paraId="32868ADB" w14:textId="77777777" w:rsidTr="00E342E2">
        <w:trPr>
          <w:trHeight w:val="617"/>
        </w:trPr>
        <w:tc>
          <w:tcPr>
            <w:tcW w:w="1065" w:type="dxa"/>
          </w:tcPr>
          <w:p w14:paraId="2F69BBB4" w14:textId="77777777" w:rsidR="0088675D" w:rsidRPr="00EC5A7B" w:rsidRDefault="0088675D" w:rsidP="00E342E2">
            <w:pPr>
              <w:jc w:val="center"/>
              <w:rPr>
                <w:rFonts w:asciiTheme="majorHAnsi" w:hAnsiTheme="majorHAnsi" w:cstheme="majorHAnsi"/>
                <w:b/>
                <w:sz w:val="20"/>
                <w:szCs w:val="20"/>
                <w:lang w:val="ru-MD"/>
              </w:rPr>
            </w:pPr>
          </w:p>
          <w:p w14:paraId="0652A83C" w14:textId="6C134DF1"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евро</w:t>
            </w:r>
          </w:p>
        </w:tc>
        <w:tc>
          <w:tcPr>
            <w:tcW w:w="1426" w:type="dxa"/>
          </w:tcPr>
          <w:p w14:paraId="2C0CAFFC" w14:textId="5204143D" w:rsidR="0088675D" w:rsidRPr="00EC5A7B" w:rsidRDefault="00D344A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Плавающая ставка</w:t>
            </w:r>
          </w:p>
          <w:p w14:paraId="7DC81422" w14:textId="44691894"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(EURIBOR6M + </w:t>
            </w:r>
            <w:r w:rsidR="00D344AF" w:rsidRPr="00EC5A7B">
              <w:rPr>
                <w:rFonts w:asciiTheme="majorHAnsi" w:hAnsiTheme="majorHAnsi" w:cstheme="majorHAnsi"/>
                <w:b/>
                <w:sz w:val="20"/>
                <w:szCs w:val="20"/>
                <w:lang w:val="ru-MD"/>
              </w:rPr>
              <w:t>переменная маржа</w:t>
            </w:r>
            <w:r w:rsidRPr="00EC5A7B">
              <w:rPr>
                <w:rFonts w:asciiTheme="majorHAnsi" w:hAnsiTheme="majorHAnsi" w:cstheme="majorHAnsi"/>
                <w:b/>
                <w:sz w:val="20"/>
                <w:szCs w:val="20"/>
                <w:lang w:val="ru-MD"/>
              </w:rPr>
              <w:t>)</w:t>
            </w:r>
          </w:p>
        </w:tc>
        <w:tc>
          <w:tcPr>
            <w:tcW w:w="1287" w:type="dxa"/>
          </w:tcPr>
          <w:p w14:paraId="7FB96864" w14:textId="77777777" w:rsidR="0088675D" w:rsidRPr="00EC5A7B" w:rsidRDefault="0088675D" w:rsidP="00E342E2">
            <w:pPr>
              <w:jc w:val="center"/>
              <w:rPr>
                <w:rFonts w:asciiTheme="majorHAnsi" w:hAnsiTheme="majorHAnsi" w:cstheme="majorHAnsi"/>
                <w:sz w:val="20"/>
                <w:szCs w:val="20"/>
                <w:lang w:val="ru-MD"/>
              </w:rPr>
            </w:pPr>
          </w:p>
          <w:p w14:paraId="06E6B0E7" w14:textId="77777777" w:rsidR="0088675D" w:rsidRPr="00EC5A7B" w:rsidRDefault="0088675D"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1 Bullet-payment</w:t>
            </w:r>
          </w:p>
        </w:tc>
        <w:tc>
          <w:tcPr>
            <w:tcW w:w="1333" w:type="dxa"/>
          </w:tcPr>
          <w:p w14:paraId="5B1D4909" w14:textId="4261D4D5" w:rsidR="0088675D" w:rsidRPr="00EC5A7B" w:rsidRDefault="0088675D" w:rsidP="00D344AF">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20 </w:t>
            </w:r>
            <w:r w:rsidR="00D344AF" w:rsidRPr="00EC5A7B">
              <w:rPr>
                <w:rFonts w:asciiTheme="majorHAnsi" w:hAnsiTheme="majorHAnsi" w:cstheme="majorHAnsi"/>
                <w:sz w:val="20"/>
                <w:szCs w:val="20"/>
                <w:lang w:val="ru-MD"/>
              </w:rPr>
              <w:t>лет</w:t>
            </w:r>
            <w:r w:rsidRPr="00EC5A7B">
              <w:rPr>
                <w:rFonts w:asciiTheme="majorHAnsi" w:hAnsiTheme="majorHAnsi" w:cstheme="majorHAnsi"/>
                <w:sz w:val="20"/>
                <w:szCs w:val="20"/>
                <w:lang w:val="ru-MD"/>
              </w:rPr>
              <w:t xml:space="preserve"> </w:t>
            </w:r>
            <w:r w:rsidR="00D344AF" w:rsidRPr="00EC5A7B">
              <w:rPr>
                <w:rFonts w:asciiTheme="majorHAnsi" w:hAnsiTheme="majorHAnsi" w:cstheme="majorHAnsi"/>
                <w:sz w:val="20"/>
                <w:szCs w:val="20"/>
                <w:lang w:val="ru-MD"/>
              </w:rPr>
              <w:t>включительно</w:t>
            </w:r>
            <w:r w:rsidRPr="00EC5A7B">
              <w:rPr>
                <w:rFonts w:asciiTheme="majorHAnsi" w:hAnsiTheme="majorHAnsi" w:cstheme="majorHAnsi"/>
                <w:sz w:val="20"/>
                <w:szCs w:val="20"/>
                <w:lang w:val="ru-MD"/>
              </w:rPr>
              <w:t xml:space="preserve">, 19,5 </w:t>
            </w:r>
            <w:r w:rsidR="00D344AF" w:rsidRPr="00EC5A7B">
              <w:rPr>
                <w:rFonts w:asciiTheme="majorHAnsi" w:hAnsiTheme="majorHAnsi" w:cstheme="majorHAnsi"/>
                <w:sz w:val="20"/>
                <w:szCs w:val="20"/>
                <w:lang w:val="ru-MD"/>
              </w:rPr>
              <w:t>лет льготный период</w:t>
            </w:r>
          </w:p>
        </w:tc>
        <w:tc>
          <w:tcPr>
            <w:tcW w:w="1126" w:type="dxa"/>
            <w:shd w:val="clear" w:color="auto" w:fill="auto"/>
          </w:tcPr>
          <w:p w14:paraId="0D87C42D" w14:textId="77777777" w:rsidR="0088675D" w:rsidRPr="00EC5A7B" w:rsidRDefault="0088675D" w:rsidP="00E342E2">
            <w:pPr>
              <w:jc w:val="center"/>
              <w:rPr>
                <w:rFonts w:asciiTheme="majorHAnsi" w:hAnsiTheme="majorHAnsi" w:cstheme="majorHAnsi"/>
                <w:b/>
                <w:sz w:val="20"/>
                <w:szCs w:val="20"/>
                <w:lang w:val="ru-MD"/>
              </w:rPr>
            </w:pPr>
          </w:p>
          <w:p w14:paraId="2C7DA706"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0,76%</w:t>
            </w:r>
          </w:p>
        </w:tc>
        <w:tc>
          <w:tcPr>
            <w:tcW w:w="1149" w:type="dxa"/>
            <w:shd w:val="clear" w:color="auto" w:fill="auto"/>
          </w:tcPr>
          <w:p w14:paraId="6B7D5F41" w14:textId="77777777" w:rsidR="0088675D" w:rsidRPr="00EC5A7B" w:rsidRDefault="0088675D" w:rsidP="00E342E2">
            <w:pPr>
              <w:jc w:val="center"/>
              <w:rPr>
                <w:rFonts w:asciiTheme="majorHAnsi" w:hAnsiTheme="majorHAnsi" w:cstheme="majorHAnsi"/>
                <w:b/>
                <w:sz w:val="20"/>
                <w:szCs w:val="20"/>
                <w:lang w:val="ru-MD"/>
              </w:rPr>
            </w:pPr>
          </w:p>
          <w:p w14:paraId="43BC24CB" w14:textId="0247F4E8"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1,9 </w:t>
            </w:r>
            <w:r w:rsidR="00D344AF" w:rsidRPr="00EC5A7B">
              <w:rPr>
                <w:rFonts w:asciiTheme="majorHAnsi" w:hAnsiTheme="majorHAnsi" w:cstheme="majorHAnsi"/>
                <w:b/>
                <w:sz w:val="20"/>
                <w:szCs w:val="20"/>
                <w:lang w:val="ru-MD"/>
              </w:rPr>
              <w:t>млн. евро</w:t>
            </w:r>
          </w:p>
        </w:tc>
        <w:tc>
          <w:tcPr>
            <w:tcW w:w="1021" w:type="dxa"/>
          </w:tcPr>
          <w:p w14:paraId="23DC540B" w14:textId="77777777" w:rsidR="0088675D" w:rsidRPr="00EC5A7B" w:rsidRDefault="0088675D" w:rsidP="00E342E2">
            <w:pPr>
              <w:jc w:val="center"/>
              <w:rPr>
                <w:rFonts w:asciiTheme="majorHAnsi" w:hAnsiTheme="majorHAnsi" w:cstheme="majorHAnsi"/>
                <w:b/>
                <w:sz w:val="20"/>
                <w:szCs w:val="20"/>
                <w:lang w:val="ru-MD"/>
              </w:rPr>
            </w:pPr>
          </w:p>
          <w:p w14:paraId="5690EABC" w14:textId="3872567E" w:rsidR="0088675D" w:rsidRPr="00EC5A7B" w:rsidRDefault="001D0BE7"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36,5 </w:t>
            </w:r>
            <w:r w:rsidR="00220355" w:rsidRPr="00EC5A7B">
              <w:rPr>
                <w:rFonts w:asciiTheme="majorHAnsi" w:hAnsiTheme="majorHAnsi" w:cstheme="majorHAnsi"/>
                <w:sz w:val="20"/>
                <w:szCs w:val="20"/>
                <w:lang w:val="ru-MD"/>
              </w:rPr>
              <w:t>млн. леев</w:t>
            </w:r>
          </w:p>
        </w:tc>
        <w:tc>
          <w:tcPr>
            <w:tcW w:w="946" w:type="dxa"/>
            <w:shd w:val="clear" w:color="auto" w:fill="auto"/>
          </w:tcPr>
          <w:p w14:paraId="108A05BE" w14:textId="77777777" w:rsidR="0088675D" w:rsidRPr="00EC5A7B" w:rsidRDefault="0088675D" w:rsidP="00E342E2">
            <w:pPr>
              <w:jc w:val="center"/>
              <w:rPr>
                <w:rFonts w:asciiTheme="majorHAnsi" w:hAnsiTheme="majorHAnsi" w:cstheme="majorHAnsi"/>
                <w:b/>
                <w:sz w:val="20"/>
                <w:szCs w:val="20"/>
                <w:lang w:val="ru-MD"/>
              </w:rPr>
            </w:pPr>
          </w:p>
          <w:p w14:paraId="1A0AFC87"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54,4%</w:t>
            </w:r>
          </w:p>
        </w:tc>
      </w:tr>
      <w:tr w:rsidR="00CB4B46" w:rsidRPr="00EC5A7B" w14:paraId="5DD0AB44" w14:textId="77777777" w:rsidTr="00E342E2">
        <w:trPr>
          <w:trHeight w:val="617"/>
        </w:trPr>
        <w:tc>
          <w:tcPr>
            <w:tcW w:w="1065" w:type="dxa"/>
          </w:tcPr>
          <w:p w14:paraId="6E89B5CB" w14:textId="77777777" w:rsidR="0088675D" w:rsidRPr="00EC5A7B" w:rsidRDefault="0088675D" w:rsidP="00E342E2">
            <w:pPr>
              <w:jc w:val="center"/>
              <w:rPr>
                <w:rFonts w:asciiTheme="majorHAnsi" w:hAnsiTheme="majorHAnsi" w:cstheme="majorHAnsi"/>
                <w:b/>
                <w:sz w:val="20"/>
                <w:szCs w:val="20"/>
                <w:lang w:val="ru-MD"/>
              </w:rPr>
            </w:pPr>
          </w:p>
          <w:p w14:paraId="34101C77" w14:textId="5DBBD93A" w:rsidR="0088675D" w:rsidRPr="00EC5A7B" w:rsidRDefault="00CB4B46"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евро</w:t>
            </w:r>
          </w:p>
        </w:tc>
        <w:tc>
          <w:tcPr>
            <w:tcW w:w="1426" w:type="dxa"/>
          </w:tcPr>
          <w:p w14:paraId="6920D479" w14:textId="0554FAD6" w:rsidR="0088675D" w:rsidRPr="00EC5A7B" w:rsidRDefault="00D344AF"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Плавающая ставка</w:t>
            </w:r>
          </w:p>
          <w:p w14:paraId="2B841E98" w14:textId="31DAC94E"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(EURIBOR6M + </w:t>
            </w:r>
            <w:r w:rsidR="00D344AF" w:rsidRPr="00EC5A7B">
              <w:rPr>
                <w:rFonts w:asciiTheme="majorHAnsi" w:hAnsiTheme="majorHAnsi" w:cstheme="majorHAnsi"/>
                <w:b/>
                <w:sz w:val="20"/>
                <w:szCs w:val="20"/>
                <w:lang w:val="ru-MD"/>
              </w:rPr>
              <w:t>переменная маржа</w:t>
            </w:r>
            <w:r w:rsidRPr="00EC5A7B">
              <w:rPr>
                <w:rFonts w:asciiTheme="majorHAnsi" w:hAnsiTheme="majorHAnsi" w:cstheme="majorHAnsi"/>
                <w:b/>
                <w:sz w:val="20"/>
                <w:szCs w:val="20"/>
                <w:lang w:val="ru-MD"/>
              </w:rPr>
              <w:t>)</w:t>
            </w:r>
          </w:p>
        </w:tc>
        <w:tc>
          <w:tcPr>
            <w:tcW w:w="1287" w:type="dxa"/>
          </w:tcPr>
          <w:p w14:paraId="069671A2" w14:textId="3D30EE99" w:rsidR="0088675D" w:rsidRPr="00EC5A7B" w:rsidRDefault="0088675D" w:rsidP="00D344AF">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9 </w:t>
            </w:r>
            <w:r w:rsidR="00D344AF" w:rsidRPr="00EC5A7B">
              <w:rPr>
                <w:rFonts w:asciiTheme="majorHAnsi" w:hAnsiTheme="majorHAnsi" w:cstheme="majorHAnsi"/>
                <w:sz w:val="20"/>
                <w:szCs w:val="20"/>
                <w:lang w:val="ru-MD"/>
              </w:rPr>
              <w:t>равных полугодовых платежей</w:t>
            </w:r>
            <w:r w:rsidRPr="00EC5A7B">
              <w:rPr>
                <w:rFonts w:asciiTheme="majorHAnsi" w:hAnsiTheme="majorHAnsi" w:cstheme="majorHAnsi"/>
                <w:sz w:val="20"/>
                <w:szCs w:val="20"/>
                <w:lang w:val="ru-MD"/>
              </w:rPr>
              <w:t xml:space="preserve"> (9 bullet payments)</w:t>
            </w:r>
          </w:p>
        </w:tc>
        <w:tc>
          <w:tcPr>
            <w:tcW w:w="1333" w:type="dxa"/>
          </w:tcPr>
          <w:p w14:paraId="5492011B" w14:textId="3E9B2D67" w:rsidR="0088675D" w:rsidRPr="00EC5A7B" w:rsidRDefault="00D344AF"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22 года включительно, 17,5 лет льготный период</w:t>
            </w:r>
          </w:p>
        </w:tc>
        <w:tc>
          <w:tcPr>
            <w:tcW w:w="1126" w:type="dxa"/>
            <w:shd w:val="clear" w:color="auto" w:fill="auto"/>
          </w:tcPr>
          <w:p w14:paraId="00415DED" w14:textId="77777777" w:rsidR="0088675D" w:rsidRPr="00EC5A7B" w:rsidRDefault="0088675D" w:rsidP="00E342E2">
            <w:pPr>
              <w:jc w:val="center"/>
              <w:rPr>
                <w:rFonts w:asciiTheme="majorHAnsi" w:hAnsiTheme="majorHAnsi" w:cstheme="majorHAnsi"/>
                <w:b/>
                <w:sz w:val="20"/>
                <w:szCs w:val="20"/>
                <w:lang w:val="ru-MD"/>
              </w:rPr>
            </w:pPr>
          </w:p>
          <w:p w14:paraId="66BCFCE6"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0,76%</w:t>
            </w:r>
          </w:p>
        </w:tc>
        <w:tc>
          <w:tcPr>
            <w:tcW w:w="1149" w:type="dxa"/>
            <w:shd w:val="clear" w:color="auto" w:fill="auto"/>
          </w:tcPr>
          <w:p w14:paraId="7B3EFF69" w14:textId="77777777" w:rsidR="0088675D" w:rsidRPr="00EC5A7B" w:rsidRDefault="0088675D" w:rsidP="00E342E2">
            <w:pPr>
              <w:jc w:val="center"/>
              <w:rPr>
                <w:rFonts w:asciiTheme="majorHAnsi" w:hAnsiTheme="majorHAnsi" w:cstheme="majorHAnsi"/>
                <w:b/>
                <w:sz w:val="20"/>
                <w:szCs w:val="20"/>
                <w:lang w:val="ru-MD"/>
              </w:rPr>
            </w:pPr>
          </w:p>
          <w:p w14:paraId="3AD95109" w14:textId="152AA25B"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 xml:space="preserve">1,9 </w:t>
            </w:r>
            <w:r w:rsidR="00D344AF" w:rsidRPr="00EC5A7B">
              <w:rPr>
                <w:rFonts w:asciiTheme="majorHAnsi" w:hAnsiTheme="majorHAnsi" w:cstheme="majorHAnsi"/>
                <w:b/>
                <w:sz w:val="20"/>
                <w:szCs w:val="20"/>
                <w:lang w:val="ru-MD"/>
              </w:rPr>
              <w:t>млн. евро</w:t>
            </w:r>
          </w:p>
        </w:tc>
        <w:tc>
          <w:tcPr>
            <w:tcW w:w="1021" w:type="dxa"/>
          </w:tcPr>
          <w:p w14:paraId="3E06A3B5" w14:textId="77777777" w:rsidR="0088675D" w:rsidRPr="00EC5A7B" w:rsidRDefault="0088675D" w:rsidP="00E342E2">
            <w:pPr>
              <w:jc w:val="center"/>
              <w:rPr>
                <w:rFonts w:asciiTheme="majorHAnsi" w:hAnsiTheme="majorHAnsi" w:cstheme="majorHAnsi"/>
                <w:b/>
                <w:sz w:val="20"/>
                <w:szCs w:val="20"/>
                <w:lang w:val="ru-MD"/>
              </w:rPr>
            </w:pPr>
          </w:p>
          <w:p w14:paraId="1FC31DA3" w14:textId="5049FE5F" w:rsidR="0088675D" w:rsidRPr="00EC5A7B" w:rsidRDefault="001D0BE7" w:rsidP="00E342E2">
            <w:pPr>
              <w:jc w:val="center"/>
              <w:rPr>
                <w:rFonts w:asciiTheme="majorHAnsi" w:hAnsiTheme="majorHAnsi" w:cstheme="majorHAnsi"/>
                <w:sz w:val="20"/>
                <w:szCs w:val="20"/>
                <w:lang w:val="ru-MD"/>
              </w:rPr>
            </w:pPr>
            <w:r w:rsidRPr="00EC5A7B">
              <w:rPr>
                <w:rFonts w:asciiTheme="majorHAnsi" w:hAnsiTheme="majorHAnsi" w:cstheme="majorHAnsi"/>
                <w:sz w:val="20"/>
                <w:szCs w:val="20"/>
                <w:lang w:val="ru-MD"/>
              </w:rPr>
              <w:t xml:space="preserve">36,5 </w:t>
            </w:r>
            <w:r w:rsidR="00220355" w:rsidRPr="00EC5A7B">
              <w:rPr>
                <w:rFonts w:asciiTheme="majorHAnsi" w:hAnsiTheme="majorHAnsi" w:cstheme="majorHAnsi"/>
                <w:sz w:val="20"/>
                <w:szCs w:val="20"/>
                <w:lang w:val="ru-MD"/>
              </w:rPr>
              <w:t>млн. леев</w:t>
            </w:r>
          </w:p>
        </w:tc>
        <w:tc>
          <w:tcPr>
            <w:tcW w:w="946" w:type="dxa"/>
            <w:shd w:val="clear" w:color="auto" w:fill="auto"/>
          </w:tcPr>
          <w:p w14:paraId="1B54C99D" w14:textId="77777777" w:rsidR="0088675D" w:rsidRPr="00EC5A7B" w:rsidRDefault="0088675D" w:rsidP="00E342E2">
            <w:pPr>
              <w:jc w:val="center"/>
              <w:rPr>
                <w:rFonts w:asciiTheme="majorHAnsi" w:hAnsiTheme="majorHAnsi" w:cstheme="majorHAnsi"/>
                <w:b/>
                <w:sz w:val="20"/>
                <w:szCs w:val="20"/>
                <w:lang w:val="ru-MD"/>
              </w:rPr>
            </w:pPr>
          </w:p>
          <w:p w14:paraId="1EC745E2" w14:textId="77777777" w:rsidR="0088675D" w:rsidRPr="00EC5A7B" w:rsidRDefault="0088675D" w:rsidP="00E342E2">
            <w:pPr>
              <w:jc w:val="center"/>
              <w:rPr>
                <w:rFonts w:asciiTheme="majorHAnsi" w:hAnsiTheme="majorHAnsi" w:cstheme="majorHAnsi"/>
                <w:b/>
                <w:sz w:val="20"/>
                <w:szCs w:val="20"/>
                <w:lang w:val="ru-MD"/>
              </w:rPr>
            </w:pPr>
            <w:r w:rsidRPr="00EC5A7B">
              <w:rPr>
                <w:rFonts w:asciiTheme="majorHAnsi" w:hAnsiTheme="majorHAnsi" w:cstheme="majorHAnsi"/>
                <w:b/>
                <w:sz w:val="20"/>
                <w:szCs w:val="20"/>
                <w:lang w:val="ru-MD"/>
              </w:rPr>
              <w:t>54,4%</w:t>
            </w:r>
          </w:p>
        </w:tc>
      </w:tr>
    </w:tbl>
    <w:p w14:paraId="29474A70" w14:textId="71EB1843" w:rsidR="0088675D" w:rsidRPr="00EC5A7B" w:rsidRDefault="007B3D00" w:rsidP="00674121">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88675D" w:rsidRPr="00EC5A7B">
        <w:rPr>
          <w:rFonts w:asciiTheme="majorHAnsi" w:hAnsiTheme="majorHAnsi" w:cstheme="majorHAnsi"/>
          <w:b/>
          <w:i/>
          <w:sz w:val="20"/>
          <w:szCs w:val="20"/>
          <w:lang w:val="ru-MD" w:eastAsia="ru-RU"/>
        </w:rPr>
        <w:t>:</w:t>
      </w:r>
      <w:r w:rsidR="0088675D" w:rsidRPr="00EC5A7B">
        <w:rPr>
          <w:rFonts w:asciiTheme="majorHAnsi" w:hAnsiTheme="majorHAnsi" w:cstheme="majorHAnsi"/>
          <w:i/>
          <w:sz w:val="20"/>
          <w:szCs w:val="20"/>
          <w:lang w:val="ru-MD" w:eastAsia="ru-RU"/>
        </w:rPr>
        <w:t xml:space="preserve"> Nota de serviciu cu referire la condițiile financiare aferente Acordurilor de finanțare dintre Republica Moldova și Asociația Internațională pentru Dezvoltare privind realizarea „Proiectului de dezvoltare al sistemului energetic” (Power System Development Project).</w:t>
      </w:r>
    </w:p>
    <w:p w14:paraId="2EFF7265" w14:textId="649371AD" w:rsidR="002D6148" w:rsidRPr="00EC5A7B" w:rsidRDefault="001868AD" w:rsidP="002D6148">
      <w:pPr>
        <w:contextualSpacing/>
        <w:jc w:val="right"/>
        <w:rPr>
          <w:rFonts w:asciiTheme="majorHAnsi" w:eastAsia="Times New Roman" w:hAnsiTheme="majorHAnsi" w:cstheme="majorHAnsi"/>
          <w:b/>
          <w:bCs/>
          <w:i/>
          <w:color w:val="5B9BD5" w:themeColor="accent1"/>
          <w:sz w:val="24"/>
          <w:szCs w:val="24"/>
          <w:lang w:val="ru-MD" w:eastAsia="ru-RU"/>
        </w:rPr>
      </w:pPr>
      <w:r w:rsidRPr="00EC5A7B">
        <w:rPr>
          <w:rFonts w:asciiTheme="majorHAnsi" w:eastAsia="Times New Roman" w:hAnsiTheme="majorHAnsi" w:cstheme="majorHAnsi"/>
          <w:b/>
          <w:bCs/>
          <w:i/>
          <w:color w:val="5B9BD5" w:themeColor="accent1"/>
          <w:sz w:val="24"/>
          <w:szCs w:val="24"/>
          <w:lang w:val="ru-MD" w:eastAsia="ru-RU"/>
        </w:rPr>
        <w:t>Приложение №</w:t>
      </w:r>
      <w:r w:rsidR="006E05B8" w:rsidRPr="00EC5A7B">
        <w:rPr>
          <w:rFonts w:asciiTheme="majorHAnsi" w:eastAsia="Times New Roman" w:hAnsiTheme="majorHAnsi" w:cstheme="majorHAnsi"/>
          <w:b/>
          <w:bCs/>
          <w:i/>
          <w:color w:val="5B9BD5" w:themeColor="accent1"/>
          <w:sz w:val="24"/>
          <w:szCs w:val="24"/>
          <w:lang w:val="ru-MD" w:eastAsia="ru-RU"/>
        </w:rPr>
        <w:t>14</w:t>
      </w:r>
    </w:p>
    <w:p w14:paraId="18D46004" w14:textId="0FE077F5" w:rsidR="002D6148" w:rsidRPr="00EC5A7B" w:rsidRDefault="006C49D4" w:rsidP="002D6148">
      <w:pPr>
        <w:tabs>
          <w:tab w:val="left" w:pos="284"/>
          <w:tab w:val="left" w:pos="567"/>
        </w:tabs>
        <w:spacing w:after="0" w:line="276" w:lineRule="auto"/>
        <w:jc w:val="center"/>
        <w:rPr>
          <w:rFonts w:asciiTheme="majorHAnsi" w:hAnsiTheme="majorHAnsi" w:cstheme="majorHAnsi"/>
          <w:b/>
          <w:sz w:val="24"/>
          <w:szCs w:val="24"/>
          <w:lang w:val="ru-MD"/>
        </w:rPr>
      </w:pPr>
      <w:r w:rsidRPr="00EC5A7B">
        <w:rPr>
          <w:rFonts w:asciiTheme="majorHAnsi" w:hAnsiTheme="majorHAnsi" w:cstheme="majorHAnsi"/>
          <w:b/>
          <w:i/>
          <w:sz w:val="24"/>
          <w:szCs w:val="24"/>
          <w:lang w:val="ru-MD"/>
        </w:rPr>
        <w:t xml:space="preserve">Информация о долгах гарантированных заемщиков перед МФ по внутренним и внешним кредитам, предоставленным под государственной гарантией </w:t>
      </w:r>
    </w:p>
    <w:p w14:paraId="26742C55" w14:textId="77777777" w:rsidR="002D6148" w:rsidRPr="00EC5A7B" w:rsidRDefault="002D6148" w:rsidP="002D6148">
      <w:pPr>
        <w:contextualSpacing/>
        <w:jc w:val="right"/>
        <w:rPr>
          <w:rFonts w:asciiTheme="majorHAnsi" w:eastAsia="Times New Roman" w:hAnsiTheme="majorHAnsi" w:cstheme="majorHAnsi"/>
          <w:b/>
          <w:bCs/>
          <w:i/>
          <w:color w:val="5B9BD5" w:themeColor="accent1"/>
          <w:sz w:val="24"/>
          <w:szCs w:val="24"/>
          <w:lang w:val="ru-MD" w:eastAsia="ru-RU"/>
        </w:rPr>
      </w:pPr>
    </w:p>
    <w:tbl>
      <w:tblPr>
        <w:tblStyle w:val="TableGrid2"/>
        <w:tblW w:w="9303" w:type="dxa"/>
        <w:tblLook w:val="04A0" w:firstRow="1" w:lastRow="0" w:firstColumn="1" w:lastColumn="0" w:noHBand="0" w:noVBand="1"/>
      </w:tblPr>
      <w:tblGrid>
        <w:gridCol w:w="498"/>
        <w:gridCol w:w="2017"/>
        <w:gridCol w:w="937"/>
        <w:gridCol w:w="1441"/>
        <w:gridCol w:w="1260"/>
        <w:gridCol w:w="1530"/>
        <w:gridCol w:w="1620"/>
      </w:tblGrid>
      <w:tr w:rsidR="006C49D4" w:rsidRPr="00EC5A7B" w14:paraId="427041C3" w14:textId="77777777" w:rsidTr="00E342E2">
        <w:trPr>
          <w:cantSplit/>
          <w:trHeight w:val="1300"/>
        </w:trPr>
        <w:tc>
          <w:tcPr>
            <w:tcW w:w="498" w:type="dxa"/>
            <w:shd w:val="clear" w:color="auto" w:fill="DEEAF6" w:themeFill="accent1" w:themeFillTint="33"/>
            <w:vAlign w:val="center"/>
          </w:tcPr>
          <w:p w14:paraId="51D5792B" w14:textId="17663CEE" w:rsidR="002D6148" w:rsidRPr="00EC5A7B" w:rsidRDefault="006C49D4" w:rsidP="00E342E2">
            <w:pPr>
              <w:jc w:val="center"/>
              <w:rPr>
                <w:b/>
                <w:lang w:val="ru-MD"/>
              </w:rPr>
            </w:pPr>
            <w:r w:rsidRPr="00EC5A7B">
              <w:rPr>
                <w:b/>
                <w:lang w:val="ru-MD"/>
              </w:rPr>
              <w:t>№</w:t>
            </w:r>
          </w:p>
        </w:tc>
        <w:tc>
          <w:tcPr>
            <w:tcW w:w="2017" w:type="dxa"/>
            <w:shd w:val="clear" w:color="auto" w:fill="DEEAF6" w:themeFill="accent1" w:themeFillTint="33"/>
            <w:vAlign w:val="center"/>
          </w:tcPr>
          <w:p w14:paraId="05963A9F" w14:textId="395097F0" w:rsidR="002D6148" w:rsidRPr="00EC5A7B" w:rsidRDefault="006C49D4" w:rsidP="00E342E2">
            <w:pPr>
              <w:jc w:val="center"/>
              <w:rPr>
                <w:b/>
                <w:lang w:val="ru-MD"/>
              </w:rPr>
            </w:pPr>
            <w:r w:rsidRPr="00EC5A7B">
              <w:rPr>
                <w:b/>
                <w:lang w:val="ru-MD"/>
              </w:rPr>
              <w:t>Название гарантированного дебитора</w:t>
            </w:r>
          </w:p>
        </w:tc>
        <w:tc>
          <w:tcPr>
            <w:tcW w:w="937" w:type="dxa"/>
            <w:shd w:val="clear" w:color="auto" w:fill="DEEAF6" w:themeFill="accent1" w:themeFillTint="33"/>
            <w:vAlign w:val="center"/>
          </w:tcPr>
          <w:p w14:paraId="6F538AA0" w14:textId="541B91E8" w:rsidR="002D6148" w:rsidRPr="00EC5A7B" w:rsidRDefault="006C49D4" w:rsidP="006C49D4">
            <w:pPr>
              <w:jc w:val="center"/>
              <w:rPr>
                <w:b/>
                <w:lang w:val="ru-MD"/>
              </w:rPr>
            </w:pPr>
            <w:r w:rsidRPr="00EC5A7B">
              <w:rPr>
                <w:b/>
                <w:lang w:val="ru-MD"/>
              </w:rPr>
              <w:t>Тыс. е.и.</w:t>
            </w:r>
          </w:p>
        </w:tc>
        <w:tc>
          <w:tcPr>
            <w:tcW w:w="1441" w:type="dxa"/>
            <w:shd w:val="clear" w:color="auto" w:fill="DEEAF6" w:themeFill="accent1" w:themeFillTint="33"/>
            <w:vAlign w:val="center"/>
          </w:tcPr>
          <w:p w14:paraId="72FA040C" w14:textId="02A1458C" w:rsidR="002D6148" w:rsidRPr="00EC5A7B" w:rsidRDefault="006C49D4" w:rsidP="00E342E2">
            <w:pPr>
              <w:jc w:val="center"/>
              <w:rPr>
                <w:b/>
                <w:lang w:val="ru-MD"/>
              </w:rPr>
            </w:pPr>
            <w:r w:rsidRPr="00EC5A7B">
              <w:rPr>
                <w:b/>
                <w:lang w:val="ru-MD"/>
              </w:rPr>
              <w:t>Остаток долга на</w:t>
            </w:r>
            <w:r w:rsidR="002D6148" w:rsidRPr="00EC5A7B">
              <w:rPr>
                <w:b/>
                <w:lang w:val="ru-MD"/>
              </w:rPr>
              <w:t xml:space="preserve"> 01.01.2019</w:t>
            </w:r>
          </w:p>
        </w:tc>
        <w:tc>
          <w:tcPr>
            <w:tcW w:w="1260" w:type="dxa"/>
            <w:shd w:val="clear" w:color="auto" w:fill="DEEAF6" w:themeFill="accent1" w:themeFillTint="33"/>
            <w:vAlign w:val="center"/>
          </w:tcPr>
          <w:p w14:paraId="7C7A3E29" w14:textId="04E9E0A5" w:rsidR="002D6148" w:rsidRPr="00EC5A7B" w:rsidRDefault="006C49D4" w:rsidP="006C49D4">
            <w:pPr>
              <w:jc w:val="center"/>
              <w:rPr>
                <w:b/>
                <w:lang w:val="ru-MD"/>
              </w:rPr>
            </w:pPr>
            <w:r w:rsidRPr="00EC5A7B">
              <w:rPr>
                <w:b/>
                <w:lang w:val="ru-MD"/>
              </w:rPr>
              <w:t>Именения за год</w:t>
            </w:r>
          </w:p>
        </w:tc>
        <w:tc>
          <w:tcPr>
            <w:tcW w:w="1530" w:type="dxa"/>
            <w:shd w:val="clear" w:color="auto" w:fill="DEEAF6" w:themeFill="accent1" w:themeFillTint="33"/>
            <w:vAlign w:val="center"/>
          </w:tcPr>
          <w:p w14:paraId="78AFAA32" w14:textId="50F96C43" w:rsidR="002D6148" w:rsidRPr="00EC5A7B" w:rsidRDefault="006C49D4" w:rsidP="00E342E2">
            <w:pPr>
              <w:jc w:val="center"/>
              <w:rPr>
                <w:b/>
                <w:lang w:val="ru-MD"/>
              </w:rPr>
            </w:pPr>
            <w:r w:rsidRPr="00EC5A7B">
              <w:rPr>
                <w:b/>
                <w:lang w:val="ru-MD"/>
              </w:rPr>
              <w:t xml:space="preserve">Остаток долга на </w:t>
            </w:r>
            <w:r w:rsidR="002D6148" w:rsidRPr="00EC5A7B">
              <w:rPr>
                <w:b/>
                <w:lang w:val="ru-MD"/>
              </w:rPr>
              <w:t>31.12.2019</w:t>
            </w:r>
          </w:p>
        </w:tc>
        <w:tc>
          <w:tcPr>
            <w:tcW w:w="1620" w:type="dxa"/>
            <w:shd w:val="clear" w:color="auto" w:fill="DEEAF6" w:themeFill="accent1" w:themeFillTint="33"/>
            <w:vAlign w:val="center"/>
          </w:tcPr>
          <w:p w14:paraId="06213162" w14:textId="39CA93F3" w:rsidR="002D6148" w:rsidRPr="00EC5A7B" w:rsidRDefault="006C49D4" w:rsidP="006C49D4">
            <w:pPr>
              <w:jc w:val="center"/>
              <w:rPr>
                <w:b/>
                <w:lang w:val="ru-MD"/>
              </w:rPr>
            </w:pPr>
            <w:r w:rsidRPr="00EC5A7B">
              <w:rPr>
                <w:b/>
                <w:lang w:val="ru-MD"/>
              </w:rPr>
              <w:t xml:space="preserve">Разница из-за обменного курса валют </w:t>
            </w:r>
            <w:r w:rsidR="001D0BE7" w:rsidRPr="00EC5A7B">
              <w:rPr>
                <w:b/>
                <w:lang w:val="ru-MD"/>
              </w:rPr>
              <w:t>(</w:t>
            </w:r>
            <w:r w:rsidRPr="00EC5A7B">
              <w:rPr>
                <w:b/>
                <w:lang w:val="ru-MD"/>
              </w:rPr>
              <w:t>тыс. леев</w:t>
            </w:r>
            <w:r w:rsidR="002D6148" w:rsidRPr="00EC5A7B">
              <w:rPr>
                <w:b/>
                <w:lang w:val="ru-MD"/>
              </w:rPr>
              <w:t>)</w:t>
            </w:r>
          </w:p>
        </w:tc>
      </w:tr>
      <w:tr w:rsidR="006C49D4" w:rsidRPr="00EC5A7B" w14:paraId="77C1B949" w14:textId="77777777" w:rsidTr="00E342E2">
        <w:tc>
          <w:tcPr>
            <w:tcW w:w="498" w:type="dxa"/>
          </w:tcPr>
          <w:p w14:paraId="6797A26A" w14:textId="77777777" w:rsidR="002D6148" w:rsidRPr="00EC5A7B" w:rsidRDefault="002D6148" w:rsidP="00E342E2">
            <w:pPr>
              <w:rPr>
                <w:sz w:val="20"/>
                <w:szCs w:val="20"/>
                <w:lang w:val="ru-MD"/>
              </w:rPr>
            </w:pPr>
            <w:r w:rsidRPr="00EC5A7B">
              <w:rPr>
                <w:sz w:val="20"/>
                <w:szCs w:val="20"/>
                <w:lang w:val="ru-MD"/>
              </w:rPr>
              <w:t>1.</w:t>
            </w:r>
          </w:p>
        </w:tc>
        <w:tc>
          <w:tcPr>
            <w:tcW w:w="2017" w:type="dxa"/>
          </w:tcPr>
          <w:p w14:paraId="3F3EAEC6" w14:textId="404F4DCE" w:rsidR="002D6148" w:rsidRPr="00EC5A7B" w:rsidRDefault="006C49D4" w:rsidP="00E342E2">
            <w:pPr>
              <w:rPr>
                <w:sz w:val="20"/>
                <w:szCs w:val="20"/>
                <w:lang w:val="ru-MD"/>
              </w:rPr>
            </w:pPr>
            <w:r w:rsidRPr="00EC5A7B">
              <w:rPr>
                <w:sz w:val="20"/>
                <w:szCs w:val="20"/>
                <w:lang w:val="ru-MD"/>
              </w:rPr>
              <w:t>АО</w:t>
            </w:r>
            <w:r w:rsidR="002D6148" w:rsidRPr="00EC5A7B">
              <w:rPr>
                <w:sz w:val="20"/>
                <w:szCs w:val="20"/>
                <w:lang w:val="ru-MD"/>
              </w:rPr>
              <w:t xml:space="preserve"> „Flamingo-96”</w:t>
            </w:r>
          </w:p>
        </w:tc>
        <w:tc>
          <w:tcPr>
            <w:tcW w:w="937" w:type="dxa"/>
          </w:tcPr>
          <w:p w14:paraId="62C3BBD8" w14:textId="50BD8896" w:rsidR="002D6148" w:rsidRPr="00EC5A7B" w:rsidRDefault="00BE1B3A" w:rsidP="00E342E2">
            <w:pPr>
              <w:jc w:val="center"/>
              <w:rPr>
                <w:sz w:val="20"/>
                <w:szCs w:val="20"/>
                <w:lang w:val="ru-MD"/>
              </w:rPr>
            </w:pPr>
            <w:r w:rsidRPr="00EC5A7B">
              <w:rPr>
                <w:sz w:val="20"/>
                <w:szCs w:val="20"/>
                <w:lang w:val="ru-MD"/>
              </w:rPr>
              <w:t>леев</w:t>
            </w:r>
          </w:p>
        </w:tc>
        <w:tc>
          <w:tcPr>
            <w:tcW w:w="1441" w:type="dxa"/>
          </w:tcPr>
          <w:p w14:paraId="0A0A261D" w14:textId="77777777" w:rsidR="002D6148" w:rsidRPr="00EC5A7B" w:rsidRDefault="002D6148" w:rsidP="00E342E2">
            <w:pPr>
              <w:jc w:val="center"/>
              <w:rPr>
                <w:sz w:val="20"/>
                <w:szCs w:val="20"/>
                <w:lang w:val="ru-MD"/>
              </w:rPr>
            </w:pPr>
            <w:r w:rsidRPr="00EC5A7B">
              <w:rPr>
                <w:sz w:val="20"/>
                <w:szCs w:val="20"/>
                <w:lang w:val="ru-MD"/>
              </w:rPr>
              <w:t>2 418,5</w:t>
            </w:r>
          </w:p>
        </w:tc>
        <w:tc>
          <w:tcPr>
            <w:tcW w:w="1260" w:type="dxa"/>
          </w:tcPr>
          <w:p w14:paraId="4264D571"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315D1EA7" w14:textId="77777777" w:rsidR="002D6148" w:rsidRPr="00EC5A7B" w:rsidRDefault="002D6148" w:rsidP="00E342E2">
            <w:pPr>
              <w:jc w:val="center"/>
              <w:rPr>
                <w:sz w:val="20"/>
                <w:szCs w:val="20"/>
                <w:lang w:val="ru-MD"/>
              </w:rPr>
            </w:pPr>
            <w:r w:rsidRPr="00EC5A7B">
              <w:rPr>
                <w:sz w:val="20"/>
                <w:szCs w:val="20"/>
                <w:lang w:val="ru-MD"/>
              </w:rPr>
              <w:t>2 418,5</w:t>
            </w:r>
          </w:p>
        </w:tc>
        <w:tc>
          <w:tcPr>
            <w:tcW w:w="1620" w:type="dxa"/>
          </w:tcPr>
          <w:p w14:paraId="5C6DB4E6" w14:textId="77777777" w:rsidR="002D6148" w:rsidRPr="00EC5A7B" w:rsidRDefault="002D6148" w:rsidP="00E342E2">
            <w:pPr>
              <w:jc w:val="center"/>
              <w:rPr>
                <w:sz w:val="20"/>
                <w:szCs w:val="20"/>
                <w:lang w:val="ru-MD"/>
              </w:rPr>
            </w:pPr>
            <w:r w:rsidRPr="00EC5A7B">
              <w:rPr>
                <w:sz w:val="20"/>
                <w:szCs w:val="20"/>
                <w:lang w:val="ru-MD"/>
              </w:rPr>
              <w:t>-</w:t>
            </w:r>
          </w:p>
        </w:tc>
      </w:tr>
      <w:tr w:rsidR="006C49D4" w:rsidRPr="00EC5A7B" w14:paraId="675C8EF1" w14:textId="77777777" w:rsidTr="00E342E2">
        <w:tc>
          <w:tcPr>
            <w:tcW w:w="498" w:type="dxa"/>
          </w:tcPr>
          <w:p w14:paraId="5DEE2EA3" w14:textId="77777777" w:rsidR="002D6148" w:rsidRPr="00EC5A7B" w:rsidRDefault="002D6148" w:rsidP="00E342E2">
            <w:pPr>
              <w:rPr>
                <w:sz w:val="20"/>
                <w:szCs w:val="20"/>
                <w:lang w:val="ru-MD"/>
              </w:rPr>
            </w:pPr>
          </w:p>
        </w:tc>
        <w:tc>
          <w:tcPr>
            <w:tcW w:w="2017" w:type="dxa"/>
          </w:tcPr>
          <w:p w14:paraId="15800CA4" w14:textId="2D5F8A4E" w:rsidR="002D6148" w:rsidRPr="00EC5A7B" w:rsidRDefault="00D344AF" w:rsidP="00D344AF">
            <w:pPr>
              <w:rPr>
                <w:b/>
                <w:i/>
                <w:sz w:val="20"/>
                <w:szCs w:val="20"/>
                <w:lang w:val="ru-MD"/>
              </w:rPr>
            </w:pPr>
            <w:r w:rsidRPr="00EC5A7B">
              <w:rPr>
                <w:b/>
                <w:i/>
                <w:sz w:val="20"/>
                <w:szCs w:val="20"/>
                <w:lang w:val="ru-MD"/>
              </w:rPr>
              <w:t>Всего внутренних займок</w:t>
            </w:r>
          </w:p>
        </w:tc>
        <w:tc>
          <w:tcPr>
            <w:tcW w:w="937" w:type="dxa"/>
          </w:tcPr>
          <w:p w14:paraId="6C71B8DB" w14:textId="62B6A2A0" w:rsidR="002D6148" w:rsidRPr="00EC5A7B" w:rsidRDefault="00BE1B3A" w:rsidP="00E342E2">
            <w:pPr>
              <w:jc w:val="center"/>
              <w:rPr>
                <w:b/>
                <w:i/>
                <w:sz w:val="20"/>
                <w:szCs w:val="20"/>
                <w:lang w:val="ru-MD"/>
              </w:rPr>
            </w:pPr>
            <w:r w:rsidRPr="00EC5A7B">
              <w:rPr>
                <w:b/>
                <w:i/>
                <w:sz w:val="20"/>
                <w:szCs w:val="20"/>
                <w:lang w:val="ru-MD"/>
              </w:rPr>
              <w:t>леев</w:t>
            </w:r>
          </w:p>
        </w:tc>
        <w:tc>
          <w:tcPr>
            <w:tcW w:w="1441" w:type="dxa"/>
          </w:tcPr>
          <w:p w14:paraId="61CD9C1F" w14:textId="77777777" w:rsidR="002D6148" w:rsidRPr="00EC5A7B" w:rsidRDefault="002D6148" w:rsidP="00E342E2">
            <w:pPr>
              <w:jc w:val="center"/>
              <w:rPr>
                <w:b/>
                <w:i/>
                <w:sz w:val="20"/>
                <w:szCs w:val="20"/>
                <w:lang w:val="ru-MD"/>
              </w:rPr>
            </w:pPr>
            <w:r w:rsidRPr="00EC5A7B">
              <w:rPr>
                <w:b/>
                <w:i/>
                <w:sz w:val="20"/>
                <w:szCs w:val="20"/>
                <w:lang w:val="ru-MD"/>
              </w:rPr>
              <w:t>2 418,5</w:t>
            </w:r>
          </w:p>
        </w:tc>
        <w:tc>
          <w:tcPr>
            <w:tcW w:w="1260" w:type="dxa"/>
          </w:tcPr>
          <w:p w14:paraId="27EB4720" w14:textId="77777777" w:rsidR="002D6148" w:rsidRPr="00EC5A7B" w:rsidRDefault="002D6148" w:rsidP="00E342E2">
            <w:pPr>
              <w:jc w:val="center"/>
              <w:rPr>
                <w:b/>
                <w:i/>
                <w:sz w:val="20"/>
                <w:szCs w:val="20"/>
                <w:lang w:val="ru-MD"/>
              </w:rPr>
            </w:pPr>
            <w:r w:rsidRPr="00EC5A7B">
              <w:rPr>
                <w:b/>
                <w:i/>
                <w:sz w:val="20"/>
                <w:szCs w:val="20"/>
                <w:lang w:val="ru-MD"/>
              </w:rPr>
              <w:t>-</w:t>
            </w:r>
          </w:p>
        </w:tc>
        <w:tc>
          <w:tcPr>
            <w:tcW w:w="1530" w:type="dxa"/>
          </w:tcPr>
          <w:p w14:paraId="081465C1" w14:textId="77777777" w:rsidR="002D6148" w:rsidRPr="00EC5A7B" w:rsidRDefault="002D6148" w:rsidP="00E342E2">
            <w:pPr>
              <w:jc w:val="center"/>
              <w:rPr>
                <w:b/>
                <w:i/>
                <w:sz w:val="20"/>
                <w:szCs w:val="20"/>
                <w:lang w:val="ru-MD"/>
              </w:rPr>
            </w:pPr>
            <w:r w:rsidRPr="00EC5A7B">
              <w:rPr>
                <w:b/>
                <w:i/>
                <w:sz w:val="20"/>
                <w:szCs w:val="20"/>
                <w:lang w:val="ru-MD"/>
              </w:rPr>
              <w:t>2 418,5</w:t>
            </w:r>
          </w:p>
        </w:tc>
        <w:tc>
          <w:tcPr>
            <w:tcW w:w="1620" w:type="dxa"/>
          </w:tcPr>
          <w:p w14:paraId="11904966" w14:textId="77777777" w:rsidR="002D6148" w:rsidRPr="00EC5A7B" w:rsidRDefault="002D6148" w:rsidP="00E342E2">
            <w:pPr>
              <w:jc w:val="center"/>
              <w:rPr>
                <w:b/>
                <w:i/>
                <w:sz w:val="20"/>
                <w:szCs w:val="20"/>
                <w:lang w:val="ru-MD"/>
              </w:rPr>
            </w:pPr>
            <w:r w:rsidRPr="00EC5A7B">
              <w:rPr>
                <w:b/>
                <w:i/>
                <w:sz w:val="20"/>
                <w:szCs w:val="20"/>
                <w:lang w:val="ru-MD"/>
              </w:rPr>
              <w:t>-</w:t>
            </w:r>
          </w:p>
        </w:tc>
      </w:tr>
      <w:tr w:rsidR="006C49D4" w:rsidRPr="00EC5A7B" w14:paraId="46FCD9AA" w14:textId="77777777" w:rsidTr="00E342E2">
        <w:tc>
          <w:tcPr>
            <w:tcW w:w="498" w:type="dxa"/>
          </w:tcPr>
          <w:p w14:paraId="64E498ED" w14:textId="77777777" w:rsidR="002D6148" w:rsidRPr="00EC5A7B" w:rsidRDefault="002D6148" w:rsidP="00E342E2">
            <w:pPr>
              <w:rPr>
                <w:sz w:val="20"/>
                <w:szCs w:val="20"/>
                <w:lang w:val="ru-MD"/>
              </w:rPr>
            </w:pPr>
            <w:r w:rsidRPr="00EC5A7B">
              <w:rPr>
                <w:sz w:val="20"/>
                <w:szCs w:val="20"/>
                <w:lang w:val="ru-MD"/>
              </w:rPr>
              <w:t>1.</w:t>
            </w:r>
          </w:p>
        </w:tc>
        <w:tc>
          <w:tcPr>
            <w:tcW w:w="2017" w:type="dxa"/>
          </w:tcPr>
          <w:p w14:paraId="30CBB316" w14:textId="77777777" w:rsidR="002D6148" w:rsidRPr="00EC5A7B" w:rsidRDefault="001D0BE7" w:rsidP="00E342E2">
            <w:pPr>
              <w:rPr>
                <w:sz w:val="20"/>
                <w:szCs w:val="20"/>
                <w:lang w:val="ru-MD"/>
              </w:rPr>
            </w:pPr>
            <w:r w:rsidRPr="00EC5A7B">
              <w:rPr>
                <w:sz w:val="20"/>
                <w:szCs w:val="20"/>
                <w:lang w:val="ru-MD"/>
              </w:rPr>
              <w:t>„</w:t>
            </w:r>
            <w:r w:rsidR="002D6148" w:rsidRPr="00EC5A7B">
              <w:rPr>
                <w:sz w:val="20"/>
                <w:szCs w:val="20"/>
                <w:lang w:val="ru-MD"/>
              </w:rPr>
              <w:t>Moldinteragro</w:t>
            </w:r>
            <w:r w:rsidRPr="00EC5A7B">
              <w:rPr>
                <w:sz w:val="20"/>
                <w:szCs w:val="20"/>
                <w:lang w:val="ru-MD"/>
              </w:rPr>
              <w:t>”</w:t>
            </w:r>
          </w:p>
        </w:tc>
        <w:tc>
          <w:tcPr>
            <w:tcW w:w="937" w:type="dxa"/>
          </w:tcPr>
          <w:p w14:paraId="11A2178E" w14:textId="28DBFE1C" w:rsidR="002D6148" w:rsidRPr="00EC5A7B" w:rsidRDefault="00BE1B3A" w:rsidP="00E342E2">
            <w:pPr>
              <w:jc w:val="center"/>
              <w:rPr>
                <w:sz w:val="20"/>
                <w:szCs w:val="20"/>
                <w:lang w:val="ru-MD"/>
              </w:rPr>
            </w:pPr>
            <w:r w:rsidRPr="00EC5A7B">
              <w:rPr>
                <w:sz w:val="20"/>
                <w:szCs w:val="20"/>
                <w:lang w:val="ru-MD"/>
              </w:rPr>
              <w:t>дол. США</w:t>
            </w:r>
            <w:r w:rsidR="002D6148" w:rsidRPr="00EC5A7B">
              <w:rPr>
                <w:sz w:val="20"/>
                <w:szCs w:val="20"/>
                <w:lang w:val="ru-MD"/>
              </w:rPr>
              <w:t xml:space="preserve">/ </w:t>
            </w:r>
            <w:r w:rsidRPr="00EC5A7B">
              <w:rPr>
                <w:sz w:val="20"/>
                <w:szCs w:val="20"/>
                <w:lang w:val="ru-MD"/>
              </w:rPr>
              <w:t>леев</w:t>
            </w:r>
          </w:p>
        </w:tc>
        <w:tc>
          <w:tcPr>
            <w:tcW w:w="1441" w:type="dxa"/>
          </w:tcPr>
          <w:p w14:paraId="126E5DC8" w14:textId="77777777" w:rsidR="002D6148" w:rsidRPr="00EC5A7B" w:rsidRDefault="002D6148" w:rsidP="00E342E2">
            <w:pPr>
              <w:jc w:val="center"/>
              <w:rPr>
                <w:sz w:val="20"/>
                <w:szCs w:val="20"/>
                <w:lang w:val="ru-MD"/>
              </w:rPr>
            </w:pPr>
            <w:r w:rsidRPr="00EC5A7B">
              <w:rPr>
                <w:sz w:val="20"/>
                <w:szCs w:val="20"/>
                <w:lang w:val="ru-MD"/>
              </w:rPr>
              <w:t>1 200,0/</w:t>
            </w:r>
          </w:p>
          <w:p w14:paraId="2F10882A" w14:textId="77777777" w:rsidR="002D6148" w:rsidRPr="00EC5A7B" w:rsidRDefault="002D6148" w:rsidP="00E342E2">
            <w:pPr>
              <w:jc w:val="center"/>
              <w:rPr>
                <w:sz w:val="20"/>
                <w:szCs w:val="20"/>
                <w:lang w:val="ru-MD"/>
              </w:rPr>
            </w:pPr>
            <w:r w:rsidRPr="00EC5A7B">
              <w:rPr>
                <w:sz w:val="20"/>
                <w:szCs w:val="20"/>
                <w:lang w:val="ru-MD"/>
              </w:rPr>
              <w:t>20 571,24</w:t>
            </w:r>
          </w:p>
        </w:tc>
        <w:tc>
          <w:tcPr>
            <w:tcW w:w="1260" w:type="dxa"/>
          </w:tcPr>
          <w:p w14:paraId="28448A2D" w14:textId="77777777" w:rsidR="002D6148" w:rsidRPr="00EC5A7B" w:rsidRDefault="002D6148" w:rsidP="00E342E2">
            <w:pPr>
              <w:jc w:val="center"/>
              <w:rPr>
                <w:sz w:val="20"/>
                <w:szCs w:val="20"/>
                <w:lang w:val="ru-MD"/>
              </w:rPr>
            </w:pPr>
            <w:r w:rsidRPr="00EC5A7B">
              <w:rPr>
                <w:sz w:val="20"/>
                <w:szCs w:val="20"/>
                <w:lang w:val="ru-MD"/>
              </w:rPr>
              <w:t>-</w:t>
            </w:r>
          </w:p>
          <w:p w14:paraId="6875AECC"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05BFA8C5" w14:textId="77777777" w:rsidR="002D6148" w:rsidRPr="00EC5A7B" w:rsidRDefault="002D6148" w:rsidP="00E342E2">
            <w:pPr>
              <w:jc w:val="center"/>
              <w:rPr>
                <w:sz w:val="20"/>
                <w:szCs w:val="20"/>
                <w:lang w:val="ru-MD"/>
              </w:rPr>
            </w:pPr>
            <w:r w:rsidRPr="00EC5A7B">
              <w:rPr>
                <w:sz w:val="20"/>
                <w:szCs w:val="20"/>
                <w:lang w:val="ru-MD"/>
              </w:rPr>
              <w:t>1 200,0</w:t>
            </w:r>
          </w:p>
          <w:p w14:paraId="24BA4D2F" w14:textId="77777777" w:rsidR="002D6148" w:rsidRPr="00EC5A7B" w:rsidRDefault="002D6148" w:rsidP="00E342E2">
            <w:pPr>
              <w:jc w:val="center"/>
              <w:rPr>
                <w:sz w:val="20"/>
                <w:szCs w:val="20"/>
                <w:lang w:val="ru-MD"/>
              </w:rPr>
            </w:pPr>
            <w:r w:rsidRPr="00EC5A7B">
              <w:rPr>
                <w:sz w:val="20"/>
                <w:szCs w:val="20"/>
                <w:lang w:val="ru-MD"/>
              </w:rPr>
              <w:t>20 651,16</w:t>
            </w:r>
          </w:p>
        </w:tc>
        <w:tc>
          <w:tcPr>
            <w:tcW w:w="1620" w:type="dxa"/>
          </w:tcPr>
          <w:p w14:paraId="1A2FBFB8" w14:textId="77777777" w:rsidR="002D6148" w:rsidRPr="00EC5A7B" w:rsidRDefault="002D6148" w:rsidP="00E342E2">
            <w:pPr>
              <w:jc w:val="center"/>
              <w:rPr>
                <w:sz w:val="20"/>
                <w:szCs w:val="20"/>
                <w:lang w:val="ru-MD"/>
              </w:rPr>
            </w:pPr>
          </w:p>
          <w:p w14:paraId="34DABFCD" w14:textId="77777777" w:rsidR="002D6148" w:rsidRPr="00EC5A7B" w:rsidRDefault="002D6148" w:rsidP="00E342E2">
            <w:pPr>
              <w:jc w:val="center"/>
              <w:rPr>
                <w:sz w:val="20"/>
                <w:szCs w:val="20"/>
                <w:lang w:val="ru-MD"/>
              </w:rPr>
            </w:pPr>
            <w:r w:rsidRPr="00EC5A7B">
              <w:rPr>
                <w:sz w:val="20"/>
                <w:szCs w:val="20"/>
                <w:lang w:val="ru-MD"/>
              </w:rPr>
              <w:t xml:space="preserve">+79,92 </w:t>
            </w:r>
          </w:p>
        </w:tc>
      </w:tr>
      <w:tr w:rsidR="006C49D4" w:rsidRPr="00EC5A7B" w14:paraId="7518016C" w14:textId="77777777" w:rsidTr="00E342E2">
        <w:tc>
          <w:tcPr>
            <w:tcW w:w="498" w:type="dxa"/>
            <w:vMerge w:val="restart"/>
          </w:tcPr>
          <w:p w14:paraId="6D371F74" w14:textId="77777777" w:rsidR="002D6148" w:rsidRPr="00EC5A7B" w:rsidRDefault="002D6148" w:rsidP="00E342E2">
            <w:pPr>
              <w:rPr>
                <w:sz w:val="20"/>
                <w:szCs w:val="20"/>
                <w:lang w:val="ru-MD"/>
              </w:rPr>
            </w:pPr>
            <w:r w:rsidRPr="00EC5A7B">
              <w:rPr>
                <w:sz w:val="20"/>
                <w:szCs w:val="20"/>
                <w:lang w:val="ru-MD"/>
              </w:rPr>
              <w:t>2.</w:t>
            </w:r>
          </w:p>
        </w:tc>
        <w:tc>
          <w:tcPr>
            <w:tcW w:w="2017" w:type="dxa"/>
            <w:vMerge w:val="restart"/>
          </w:tcPr>
          <w:p w14:paraId="76BE9707" w14:textId="77777777" w:rsidR="002D6148" w:rsidRPr="00EC5A7B" w:rsidRDefault="002D6148" w:rsidP="00E342E2">
            <w:pPr>
              <w:rPr>
                <w:sz w:val="20"/>
                <w:szCs w:val="20"/>
                <w:lang w:val="ru-MD"/>
              </w:rPr>
            </w:pPr>
            <w:r w:rsidRPr="00EC5A7B">
              <w:rPr>
                <w:sz w:val="20"/>
                <w:szCs w:val="20"/>
                <w:lang w:val="ru-MD"/>
              </w:rPr>
              <w:t>„Vininvest” SRL</w:t>
            </w:r>
          </w:p>
        </w:tc>
        <w:tc>
          <w:tcPr>
            <w:tcW w:w="937" w:type="dxa"/>
          </w:tcPr>
          <w:p w14:paraId="08B4EB58" w14:textId="01388F98" w:rsidR="002D6148" w:rsidRPr="00EC5A7B" w:rsidRDefault="00BE1B3A" w:rsidP="00E342E2">
            <w:pPr>
              <w:jc w:val="center"/>
              <w:rPr>
                <w:sz w:val="20"/>
                <w:szCs w:val="20"/>
                <w:lang w:val="ru-MD"/>
              </w:rPr>
            </w:pPr>
            <w:r w:rsidRPr="00EC5A7B">
              <w:rPr>
                <w:sz w:val="20"/>
                <w:szCs w:val="20"/>
                <w:lang w:val="ru-MD"/>
              </w:rPr>
              <w:t>дол. США</w:t>
            </w:r>
            <w:r w:rsidR="002D6148" w:rsidRPr="00EC5A7B">
              <w:rPr>
                <w:sz w:val="20"/>
                <w:szCs w:val="20"/>
                <w:lang w:val="ru-MD"/>
              </w:rPr>
              <w:t xml:space="preserve">/ </w:t>
            </w:r>
            <w:r w:rsidRPr="00EC5A7B">
              <w:rPr>
                <w:sz w:val="20"/>
                <w:szCs w:val="20"/>
                <w:lang w:val="ru-MD"/>
              </w:rPr>
              <w:t>леев</w:t>
            </w:r>
          </w:p>
        </w:tc>
        <w:tc>
          <w:tcPr>
            <w:tcW w:w="1441" w:type="dxa"/>
          </w:tcPr>
          <w:p w14:paraId="1FB555EE" w14:textId="77777777" w:rsidR="002D6148" w:rsidRPr="00EC5A7B" w:rsidRDefault="002D6148" w:rsidP="00E342E2">
            <w:pPr>
              <w:jc w:val="center"/>
              <w:rPr>
                <w:sz w:val="20"/>
                <w:szCs w:val="20"/>
                <w:lang w:val="ru-MD"/>
              </w:rPr>
            </w:pPr>
            <w:r w:rsidRPr="00EC5A7B">
              <w:rPr>
                <w:sz w:val="20"/>
                <w:szCs w:val="20"/>
                <w:lang w:val="ru-MD"/>
              </w:rPr>
              <w:t xml:space="preserve">1 381,68/ </w:t>
            </w:r>
          </w:p>
          <w:p w14:paraId="0AAE3F77" w14:textId="77777777" w:rsidR="002D6148" w:rsidRPr="00EC5A7B" w:rsidRDefault="002D6148" w:rsidP="00E342E2">
            <w:pPr>
              <w:jc w:val="center"/>
              <w:rPr>
                <w:sz w:val="20"/>
                <w:szCs w:val="20"/>
                <w:lang w:val="ru-MD"/>
              </w:rPr>
            </w:pPr>
            <w:r w:rsidRPr="00EC5A7B">
              <w:rPr>
                <w:sz w:val="20"/>
                <w:szCs w:val="20"/>
                <w:lang w:val="ru-MD"/>
              </w:rPr>
              <w:t xml:space="preserve">23 685,79 </w:t>
            </w:r>
          </w:p>
        </w:tc>
        <w:tc>
          <w:tcPr>
            <w:tcW w:w="1260" w:type="dxa"/>
          </w:tcPr>
          <w:p w14:paraId="59C56DF4" w14:textId="77777777" w:rsidR="002D6148" w:rsidRPr="00EC5A7B" w:rsidRDefault="002D6148" w:rsidP="00E342E2">
            <w:pPr>
              <w:jc w:val="center"/>
              <w:rPr>
                <w:sz w:val="20"/>
                <w:szCs w:val="20"/>
                <w:lang w:val="ru-MD"/>
              </w:rPr>
            </w:pPr>
            <w:r w:rsidRPr="00EC5A7B">
              <w:rPr>
                <w:sz w:val="20"/>
                <w:szCs w:val="20"/>
                <w:lang w:val="ru-MD"/>
              </w:rPr>
              <w:t>-</w:t>
            </w:r>
          </w:p>
          <w:p w14:paraId="06180C8D"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63A627B5" w14:textId="77777777" w:rsidR="002D6148" w:rsidRPr="00EC5A7B" w:rsidRDefault="002D6148" w:rsidP="00E342E2">
            <w:pPr>
              <w:jc w:val="center"/>
              <w:rPr>
                <w:sz w:val="20"/>
                <w:szCs w:val="20"/>
                <w:lang w:val="ru-MD"/>
              </w:rPr>
            </w:pPr>
            <w:r w:rsidRPr="00EC5A7B">
              <w:rPr>
                <w:sz w:val="20"/>
                <w:szCs w:val="20"/>
                <w:lang w:val="ru-MD"/>
              </w:rPr>
              <w:t>1 381,68/</w:t>
            </w:r>
          </w:p>
          <w:p w14:paraId="784E2437" w14:textId="77777777" w:rsidR="002D6148" w:rsidRPr="00EC5A7B" w:rsidRDefault="002D6148" w:rsidP="00E342E2">
            <w:pPr>
              <w:jc w:val="center"/>
              <w:rPr>
                <w:sz w:val="20"/>
                <w:szCs w:val="20"/>
                <w:lang w:val="ru-MD"/>
              </w:rPr>
            </w:pPr>
            <w:r w:rsidRPr="00EC5A7B">
              <w:rPr>
                <w:sz w:val="20"/>
                <w:szCs w:val="20"/>
                <w:lang w:val="ru-MD"/>
              </w:rPr>
              <w:t>23 777,81</w:t>
            </w:r>
          </w:p>
        </w:tc>
        <w:tc>
          <w:tcPr>
            <w:tcW w:w="1620" w:type="dxa"/>
          </w:tcPr>
          <w:p w14:paraId="68D04D89" w14:textId="77777777" w:rsidR="002D6148" w:rsidRPr="00EC5A7B" w:rsidRDefault="002D6148" w:rsidP="00E342E2">
            <w:pPr>
              <w:jc w:val="center"/>
              <w:rPr>
                <w:sz w:val="20"/>
                <w:szCs w:val="20"/>
                <w:lang w:val="ru-MD"/>
              </w:rPr>
            </w:pPr>
          </w:p>
          <w:p w14:paraId="1A3B6ED8" w14:textId="77777777" w:rsidR="002D6148" w:rsidRPr="00EC5A7B" w:rsidRDefault="002D6148" w:rsidP="00E342E2">
            <w:pPr>
              <w:jc w:val="center"/>
              <w:rPr>
                <w:sz w:val="20"/>
                <w:szCs w:val="20"/>
                <w:lang w:val="ru-MD"/>
              </w:rPr>
            </w:pPr>
            <w:r w:rsidRPr="00EC5A7B">
              <w:rPr>
                <w:sz w:val="20"/>
                <w:szCs w:val="20"/>
                <w:lang w:val="ru-MD"/>
              </w:rPr>
              <w:t>+92,02</w:t>
            </w:r>
          </w:p>
        </w:tc>
      </w:tr>
      <w:tr w:rsidR="006C49D4" w:rsidRPr="00EC5A7B" w14:paraId="0B319C76" w14:textId="77777777" w:rsidTr="00E342E2">
        <w:tc>
          <w:tcPr>
            <w:tcW w:w="498" w:type="dxa"/>
            <w:vMerge/>
          </w:tcPr>
          <w:p w14:paraId="34FB8BD7" w14:textId="77777777" w:rsidR="002D6148" w:rsidRPr="00EC5A7B" w:rsidRDefault="002D6148" w:rsidP="00E342E2">
            <w:pPr>
              <w:rPr>
                <w:sz w:val="20"/>
                <w:szCs w:val="20"/>
                <w:lang w:val="ru-MD"/>
              </w:rPr>
            </w:pPr>
          </w:p>
        </w:tc>
        <w:tc>
          <w:tcPr>
            <w:tcW w:w="2017" w:type="dxa"/>
            <w:vMerge/>
          </w:tcPr>
          <w:p w14:paraId="31307778" w14:textId="77777777" w:rsidR="002D6148" w:rsidRPr="00EC5A7B" w:rsidRDefault="002D6148" w:rsidP="00E342E2">
            <w:pPr>
              <w:rPr>
                <w:sz w:val="20"/>
                <w:szCs w:val="20"/>
                <w:lang w:val="ru-MD"/>
              </w:rPr>
            </w:pPr>
          </w:p>
        </w:tc>
        <w:tc>
          <w:tcPr>
            <w:tcW w:w="937" w:type="dxa"/>
          </w:tcPr>
          <w:p w14:paraId="2B64118F" w14:textId="1B3E2CA8" w:rsidR="002D6148" w:rsidRPr="00EC5A7B" w:rsidRDefault="00BE1B3A" w:rsidP="00E342E2">
            <w:pPr>
              <w:jc w:val="center"/>
              <w:rPr>
                <w:sz w:val="20"/>
                <w:szCs w:val="20"/>
                <w:lang w:val="ru-MD"/>
              </w:rPr>
            </w:pPr>
            <w:r w:rsidRPr="00EC5A7B">
              <w:rPr>
                <w:sz w:val="20"/>
                <w:szCs w:val="20"/>
                <w:lang w:val="ru-MD"/>
              </w:rPr>
              <w:t>евро</w:t>
            </w:r>
            <w:r w:rsidR="002D6148" w:rsidRPr="00EC5A7B">
              <w:rPr>
                <w:sz w:val="20"/>
                <w:szCs w:val="20"/>
                <w:lang w:val="ru-MD"/>
              </w:rPr>
              <w:t xml:space="preserve">/ </w:t>
            </w:r>
          </w:p>
          <w:p w14:paraId="3902620F" w14:textId="10C373D8" w:rsidR="002D6148" w:rsidRPr="00EC5A7B" w:rsidRDefault="00BE1B3A" w:rsidP="00E342E2">
            <w:pPr>
              <w:jc w:val="center"/>
              <w:rPr>
                <w:sz w:val="20"/>
                <w:szCs w:val="20"/>
                <w:lang w:val="ru-MD"/>
              </w:rPr>
            </w:pPr>
            <w:r w:rsidRPr="00EC5A7B">
              <w:rPr>
                <w:sz w:val="20"/>
                <w:szCs w:val="20"/>
                <w:lang w:val="ru-MD"/>
              </w:rPr>
              <w:t>леев</w:t>
            </w:r>
          </w:p>
        </w:tc>
        <w:tc>
          <w:tcPr>
            <w:tcW w:w="1441" w:type="dxa"/>
          </w:tcPr>
          <w:p w14:paraId="2B789B63" w14:textId="77777777" w:rsidR="002D6148" w:rsidRPr="00EC5A7B" w:rsidRDefault="002D6148" w:rsidP="00E342E2">
            <w:pPr>
              <w:jc w:val="center"/>
              <w:rPr>
                <w:sz w:val="20"/>
                <w:szCs w:val="20"/>
                <w:lang w:val="ru-MD"/>
              </w:rPr>
            </w:pPr>
            <w:r w:rsidRPr="00EC5A7B">
              <w:rPr>
                <w:sz w:val="20"/>
                <w:szCs w:val="20"/>
                <w:lang w:val="ru-MD"/>
              </w:rPr>
              <w:t>1 232,73/</w:t>
            </w:r>
          </w:p>
          <w:p w14:paraId="4CEDF8CF" w14:textId="77777777" w:rsidR="002D6148" w:rsidRPr="00EC5A7B" w:rsidRDefault="002D6148" w:rsidP="00E342E2">
            <w:pPr>
              <w:jc w:val="center"/>
              <w:rPr>
                <w:sz w:val="20"/>
                <w:szCs w:val="20"/>
                <w:lang w:val="ru-MD"/>
              </w:rPr>
            </w:pPr>
            <w:r w:rsidRPr="00EC5A7B">
              <w:rPr>
                <w:sz w:val="20"/>
                <w:szCs w:val="20"/>
                <w:lang w:val="ru-MD"/>
              </w:rPr>
              <w:t>24 064,33</w:t>
            </w:r>
          </w:p>
        </w:tc>
        <w:tc>
          <w:tcPr>
            <w:tcW w:w="1260" w:type="dxa"/>
          </w:tcPr>
          <w:p w14:paraId="606F00DA" w14:textId="77777777" w:rsidR="002D6148" w:rsidRPr="00EC5A7B" w:rsidRDefault="002D6148" w:rsidP="00E342E2">
            <w:pPr>
              <w:jc w:val="center"/>
              <w:rPr>
                <w:sz w:val="20"/>
                <w:szCs w:val="20"/>
                <w:lang w:val="ru-MD"/>
              </w:rPr>
            </w:pPr>
            <w:r w:rsidRPr="00EC5A7B">
              <w:rPr>
                <w:sz w:val="20"/>
                <w:szCs w:val="20"/>
                <w:lang w:val="ru-MD"/>
              </w:rPr>
              <w:t>-</w:t>
            </w:r>
          </w:p>
          <w:p w14:paraId="1D809B5E"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69D51566" w14:textId="77777777" w:rsidR="002D6148" w:rsidRPr="00EC5A7B" w:rsidRDefault="002D6148" w:rsidP="00E342E2">
            <w:pPr>
              <w:jc w:val="center"/>
              <w:rPr>
                <w:sz w:val="20"/>
                <w:szCs w:val="20"/>
                <w:lang w:val="ru-MD"/>
              </w:rPr>
            </w:pPr>
            <w:r w:rsidRPr="00EC5A7B">
              <w:rPr>
                <w:sz w:val="20"/>
                <w:szCs w:val="20"/>
                <w:lang w:val="ru-MD"/>
              </w:rPr>
              <w:t>1 232,73/</w:t>
            </w:r>
          </w:p>
          <w:p w14:paraId="2EA2E95C" w14:textId="77777777" w:rsidR="002D6148" w:rsidRPr="00EC5A7B" w:rsidRDefault="002D6148" w:rsidP="00E342E2">
            <w:pPr>
              <w:jc w:val="center"/>
              <w:rPr>
                <w:sz w:val="20"/>
                <w:szCs w:val="20"/>
                <w:lang w:val="ru-MD"/>
              </w:rPr>
            </w:pPr>
            <w:r w:rsidRPr="00EC5A7B">
              <w:rPr>
                <w:sz w:val="20"/>
                <w:szCs w:val="20"/>
                <w:lang w:val="ru-MD"/>
              </w:rPr>
              <w:t>23 742,96</w:t>
            </w:r>
          </w:p>
        </w:tc>
        <w:tc>
          <w:tcPr>
            <w:tcW w:w="1620" w:type="dxa"/>
          </w:tcPr>
          <w:p w14:paraId="3ADF3933" w14:textId="77777777" w:rsidR="002D6148" w:rsidRPr="00EC5A7B" w:rsidRDefault="002D6148" w:rsidP="00E342E2">
            <w:pPr>
              <w:jc w:val="center"/>
              <w:rPr>
                <w:sz w:val="20"/>
                <w:szCs w:val="20"/>
                <w:lang w:val="ru-MD"/>
              </w:rPr>
            </w:pPr>
          </w:p>
          <w:p w14:paraId="20A23E02" w14:textId="77777777" w:rsidR="002D6148" w:rsidRPr="00EC5A7B" w:rsidRDefault="002D6148" w:rsidP="00E342E2">
            <w:pPr>
              <w:jc w:val="center"/>
              <w:rPr>
                <w:sz w:val="20"/>
                <w:szCs w:val="20"/>
                <w:lang w:val="ru-MD"/>
              </w:rPr>
            </w:pPr>
            <w:r w:rsidRPr="00EC5A7B">
              <w:rPr>
                <w:sz w:val="20"/>
                <w:szCs w:val="20"/>
                <w:lang w:val="ru-MD"/>
              </w:rPr>
              <w:t>-321,37</w:t>
            </w:r>
          </w:p>
        </w:tc>
      </w:tr>
      <w:tr w:rsidR="006C49D4" w:rsidRPr="00EC5A7B" w14:paraId="3E8DD4FC" w14:textId="77777777" w:rsidTr="00E342E2">
        <w:tc>
          <w:tcPr>
            <w:tcW w:w="498" w:type="dxa"/>
            <w:vMerge w:val="restart"/>
          </w:tcPr>
          <w:p w14:paraId="094C0428" w14:textId="77777777" w:rsidR="002D6148" w:rsidRPr="00EC5A7B" w:rsidRDefault="002D6148" w:rsidP="00E342E2">
            <w:pPr>
              <w:rPr>
                <w:sz w:val="20"/>
                <w:szCs w:val="20"/>
                <w:lang w:val="ru-MD"/>
              </w:rPr>
            </w:pPr>
            <w:r w:rsidRPr="00EC5A7B">
              <w:rPr>
                <w:sz w:val="20"/>
                <w:szCs w:val="20"/>
                <w:lang w:val="ru-MD"/>
              </w:rPr>
              <w:t>3.</w:t>
            </w:r>
          </w:p>
        </w:tc>
        <w:tc>
          <w:tcPr>
            <w:tcW w:w="2017" w:type="dxa"/>
            <w:vMerge w:val="restart"/>
          </w:tcPr>
          <w:p w14:paraId="4448293B" w14:textId="23B05AAA" w:rsidR="002D6148" w:rsidRPr="00EC5A7B" w:rsidRDefault="006C49D4" w:rsidP="00E342E2">
            <w:pPr>
              <w:rPr>
                <w:sz w:val="20"/>
                <w:szCs w:val="20"/>
                <w:lang w:val="ru-MD"/>
              </w:rPr>
            </w:pPr>
            <w:r w:rsidRPr="00EC5A7B">
              <w:rPr>
                <w:sz w:val="20"/>
                <w:szCs w:val="20"/>
                <w:lang w:val="ru-MD"/>
              </w:rPr>
              <w:t>АО</w:t>
            </w:r>
            <w:r w:rsidR="002D6148" w:rsidRPr="00EC5A7B">
              <w:rPr>
                <w:sz w:val="20"/>
                <w:szCs w:val="20"/>
                <w:lang w:val="ru-MD"/>
              </w:rPr>
              <w:t xml:space="preserve"> „Termocom”</w:t>
            </w:r>
          </w:p>
        </w:tc>
        <w:tc>
          <w:tcPr>
            <w:tcW w:w="937" w:type="dxa"/>
          </w:tcPr>
          <w:p w14:paraId="1F6286D7" w14:textId="29997F06" w:rsidR="002D6148" w:rsidRPr="00EC5A7B" w:rsidRDefault="00BE1B3A" w:rsidP="00E342E2">
            <w:pPr>
              <w:jc w:val="center"/>
              <w:rPr>
                <w:sz w:val="20"/>
                <w:szCs w:val="20"/>
                <w:lang w:val="ru-MD"/>
              </w:rPr>
            </w:pPr>
            <w:r w:rsidRPr="00EC5A7B">
              <w:rPr>
                <w:sz w:val="20"/>
                <w:szCs w:val="20"/>
                <w:lang w:val="ru-MD"/>
              </w:rPr>
              <w:t>дол. США</w:t>
            </w:r>
            <w:r w:rsidR="002D6148" w:rsidRPr="00EC5A7B">
              <w:rPr>
                <w:sz w:val="20"/>
                <w:szCs w:val="20"/>
                <w:lang w:val="ru-MD"/>
              </w:rPr>
              <w:t xml:space="preserve">/ </w:t>
            </w:r>
            <w:r w:rsidRPr="00EC5A7B">
              <w:rPr>
                <w:sz w:val="20"/>
                <w:szCs w:val="20"/>
                <w:lang w:val="ru-MD"/>
              </w:rPr>
              <w:t>леев</w:t>
            </w:r>
          </w:p>
        </w:tc>
        <w:tc>
          <w:tcPr>
            <w:tcW w:w="1441" w:type="dxa"/>
          </w:tcPr>
          <w:p w14:paraId="21DBA7BF" w14:textId="77777777" w:rsidR="002D6148" w:rsidRPr="00EC5A7B" w:rsidRDefault="002D6148" w:rsidP="00E342E2">
            <w:pPr>
              <w:jc w:val="center"/>
              <w:rPr>
                <w:sz w:val="20"/>
                <w:szCs w:val="20"/>
                <w:lang w:val="ru-MD"/>
              </w:rPr>
            </w:pPr>
            <w:r w:rsidRPr="00EC5A7B">
              <w:rPr>
                <w:sz w:val="20"/>
                <w:szCs w:val="20"/>
                <w:lang w:val="ru-MD"/>
              </w:rPr>
              <w:t>64,01/</w:t>
            </w:r>
          </w:p>
          <w:p w14:paraId="02BF025D" w14:textId="77777777" w:rsidR="002D6148" w:rsidRPr="00EC5A7B" w:rsidRDefault="002D6148" w:rsidP="00E342E2">
            <w:pPr>
              <w:jc w:val="center"/>
              <w:rPr>
                <w:sz w:val="20"/>
                <w:szCs w:val="20"/>
                <w:lang w:val="ru-MD"/>
              </w:rPr>
            </w:pPr>
            <w:r w:rsidRPr="00EC5A7B">
              <w:rPr>
                <w:sz w:val="20"/>
                <w:szCs w:val="20"/>
                <w:lang w:val="ru-MD"/>
              </w:rPr>
              <w:t>1 097,36</w:t>
            </w:r>
          </w:p>
        </w:tc>
        <w:tc>
          <w:tcPr>
            <w:tcW w:w="1260" w:type="dxa"/>
          </w:tcPr>
          <w:p w14:paraId="74CA5132" w14:textId="77777777" w:rsidR="002D6148" w:rsidRPr="00EC5A7B" w:rsidRDefault="002D6148" w:rsidP="00E342E2">
            <w:pPr>
              <w:jc w:val="center"/>
              <w:rPr>
                <w:sz w:val="20"/>
                <w:szCs w:val="20"/>
                <w:lang w:val="ru-MD"/>
              </w:rPr>
            </w:pPr>
            <w:r w:rsidRPr="00EC5A7B">
              <w:rPr>
                <w:sz w:val="20"/>
                <w:szCs w:val="20"/>
                <w:lang w:val="ru-MD"/>
              </w:rPr>
              <w:t>-</w:t>
            </w:r>
          </w:p>
          <w:p w14:paraId="1099D9D7"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7946BC15" w14:textId="77777777" w:rsidR="002D6148" w:rsidRPr="00EC5A7B" w:rsidRDefault="002D6148" w:rsidP="00E342E2">
            <w:pPr>
              <w:jc w:val="center"/>
              <w:rPr>
                <w:sz w:val="20"/>
                <w:szCs w:val="20"/>
                <w:lang w:val="ru-MD"/>
              </w:rPr>
            </w:pPr>
            <w:r w:rsidRPr="00EC5A7B">
              <w:rPr>
                <w:sz w:val="20"/>
                <w:szCs w:val="20"/>
                <w:lang w:val="ru-MD"/>
              </w:rPr>
              <w:t>64,01/</w:t>
            </w:r>
          </w:p>
          <w:p w14:paraId="29AA6D90" w14:textId="77777777" w:rsidR="002D6148" w:rsidRPr="00EC5A7B" w:rsidRDefault="002D6148" w:rsidP="00E342E2">
            <w:pPr>
              <w:jc w:val="center"/>
              <w:rPr>
                <w:sz w:val="20"/>
                <w:szCs w:val="20"/>
                <w:lang w:val="ru-MD"/>
              </w:rPr>
            </w:pPr>
            <w:r w:rsidRPr="00EC5A7B">
              <w:rPr>
                <w:sz w:val="20"/>
                <w:szCs w:val="20"/>
                <w:lang w:val="ru-MD"/>
              </w:rPr>
              <w:t>1 101,62</w:t>
            </w:r>
          </w:p>
        </w:tc>
        <w:tc>
          <w:tcPr>
            <w:tcW w:w="1620" w:type="dxa"/>
          </w:tcPr>
          <w:p w14:paraId="0A39F193" w14:textId="77777777" w:rsidR="002D6148" w:rsidRPr="00EC5A7B" w:rsidRDefault="002D6148" w:rsidP="00E342E2">
            <w:pPr>
              <w:jc w:val="center"/>
              <w:rPr>
                <w:sz w:val="20"/>
                <w:szCs w:val="20"/>
                <w:lang w:val="ru-MD"/>
              </w:rPr>
            </w:pPr>
          </w:p>
          <w:p w14:paraId="6BF55A15" w14:textId="77777777" w:rsidR="002D6148" w:rsidRPr="00EC5A7B" w:rsidRDefault="002D6148" w:rsidP="00E342E2">
            <w:pPr>
              <w:jc w:val="center"/>
              <w:rPr>
                <w:sz w:val="20"/>
                <w:szCs w:val="20"/>
                <w:lang w:val="ru-MD"/>
              </w:rPr>
            </w:pPr>
            <w:r w:rsidRPr="00EC5A7B">
              <w:rPr>
                <w:sz w:val="20"/>
                <w:szCs w:val="20"/>
                <w:lang w:val="ru-MD"/>
              </w:rPr>
              <w:t>+4,26</w:t>
            </w:r>
          </w:p>
        </w:tc>
      </w:tr>
      <w:tr w:rsidR="006C49D4" w:rsidRPr="00EC5A7B" w14:paraId="37584EAF" w14:textId="77777777" w:rsidTr="00E342E2">
        <w:tc>
          <w:tcPr>
            <w:tcW w:w="498" w:type="dxa"/>
            <w:vMerge/>
          </w:tcPr>
          <w:p w14:paraId="62309D0A" w14:textId="77777777" w:rsidR="002D6148" w:rsidRPr="00EC5A7B" w:rsidRDefault="002D6148" w:rsidP="00E342E2">
            <w:pPr>
              <w:rPr>
                <w:sz w:val="20"/>
                <w:szCs w:val="20"/>
                <w:lang w:val="ru-MD"/>
              </w:rPr>
            </w:pPr>
          </w:p>
        </w:tc>
        <w:tc>
          <w:tcPr>
            <w:tcW w:w="2017" w:type="dxa"/>
            <w:vMerge/>
          </w:tcPr>
          <w:p w14:paraId="7E056C22" w14:textId="77777777" w:rsidR="002D6148" w:rsidRPr="00EC5A7B" w:rsidRDefault="002D6148" w:rsidP="00E342E2">
            <w:pPr>
              <w:rPr>
                <w:sz w:val="20"/>
                <w:szCs w:val="20"/>
                <w:lang w:val="ru-MD"/>
              </w:rPr>
            </w:pPr>
          </w:p>
        </w:tc>
        <w:tc>
          <w:tcPr>
            <w:tcW w:w="937" w:type="dxa"/>
          </w:tcPr>
          <w:p w14:paraId="31125CF2" w14:textId="0DC06375" w:rsidR="002D6148" w:rsidRPr="00EC5A7B" w:rsidRDefault="00BE1B3A" w:rsidP="00E342E2">
            <w:pPr>
              <w:jc w:val="center"/>
              <w:rPr>
                <w:sz w:val="20"/>
                <w:szCs w:val="20"/>
                <w:lang w:val="ru-MD"/>
              </w:rPr>
            </w:pPr>
            <w:r w:rsidRPr="00EC5A7B">
              <w:rPr>
                <w:sz w:val="20"/>
                <w:szCs w:val="20"/>
                <w:lang w:val="ru-MD"/>
              </w:rPr>
              <w:t>евро</w:t>
            </w:r>
            <w:r w:rsidR="002D6148" w:rsidRPr="00EC5A7B">
              <w:rPr>
                <w:sz w:val="20"/>
                <w:szCs w:val="20"/>
                <w:lang w:val="ru-MD"/>
              </w:rPr>
              <w:t xml:space="preserve">/ </w:t>
            </w:r>
          </w:p>
          <w:p w14:paraId="28848EDA" w14:textId="772D1764" w:rsidR="002D6148" w:rsidRPr="00EC5A7B" w:rsidRDefault="00BE1B3A" w:rsidP="00E342E2">
            <w:pPr>
              <w:jc w:val="center"/>
              <w:rPr>
                <w:sz w:val="20"/>
                <w:szCs w:val="20"/>
                <w:lang w:val="ru-MD"/>
              </w:rPr>
            </w:pPr>
            <w:r w:rsidRPr="00EC5A7B">
              <w:rPr>
                <w:sz w:val="20"/>
                <w:szCs w:val="20"/>
                <w:lang w:val="ru-MD"/>
              </w:rPr>
              <w:t>леев</w:t>
            </w:r>
          </w:p>
        </w:tc>
        <w:tc>
          <w:tcPr>
            <w:tcW w:w="1441" w:type="dxa"/>
          </w:tcPr>
          <w:p w14:paraId="0068F9FF" w14:textId="77777777" w:rsidR="002D6148" w:rsidRPr="00EC5A7B" w:rsidRDefault="002D6148" w:rsidP="00E342E2">
            <w:pPr>
              <w:jc w:val="center"/>
              <w:rPr>
                <w:sz w:val="20"/>
                <w:szCs w:val="20"/>
                <w:lang w:val="ru-MD"/>
              </w:rPr>
            </w:pPr>
            <w:r w:rsidRPr="00EC5A7B">
              <w:rPr>
                <w:sz w:val="20"/>
                <w:szCs w:val="20"/>
                <w:lang w:val="ru-MD"/>
              </w:rPr>
              <w:t>325,98/</w:t>
            </w:r>
          </w:p>
          <w:p w14:paraId="564B52F9" w14:textId="77777777" w:rsidR="002D6148" w:rsidRPr="00EC5A7B" w:rsidRDefault="002D6148" w:rsidP="00E342E2">
            <w:pPr>
              <w:jc w:val="center"/>
              <w:rPr>
                <w:sz w:val="20"/>
                <w:szCs w:val="20"/>
                <w:lang w:val="ru-MD"/>
              </w:rPr>
            </w:pPr>
            <w:r w:rsidRPr="00EC5A7B">
              <w:rPr>
                <w:sz w:val="20"/>
                <w:szCs w:val="20"/>
                <w:lang w:val="ru-MD"/>
              </w:rPr>
              <w:t>6 363,47</w:t>
            </w:r>
          </w:p>
        </w:tc>
        <w:tc>
          <w:tcPr>
            <w:tcW w:w="1260" w:type="dxa"/>
          </w:tcPr>
          <w:p w14:paraId="22BB0229" w14:textId="77777777" w:rsidR="002D6148" w:rsidRPr="00EC5A7B" w:rsidRDefault="002D6148" w:rsidP="00E342E2">
            <w:pPr>
              <w:jc w:val="center"/>
              <w:rPr>
                <w:sz w:val="20"/>
                <w:szCs w:val="20"/>
                <w:lang w:val="ru-MD"/>
              </w:rPr>
            </w:pPr>
            <w:r w:rsidRPr="00EC5A7B">
              <w:rPr>
                <w:sz w:val="20"/>
                <w:szCs w:val="20"/>
                <w:lang w:val="ru-MD"/>
              </w:rPr>
              <w:t>-</w:t>
            </w:r>
          </w:p>
          <w:p w14:paraId="7B4EAFBD"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14B8E57E" w14:textId="77777777" w:rsidR="002D6148" w:rsidRPr="00EC5A7B" w:rsidRDefault="002D6148" w:rsidP="00E342E2">
            <w:pPr>
              <w:jc w:val="center"/>
              <w:rPr>
                <w:sz w:val="20"/>
                <w:szCs w:val="20"/>
                <w:lang w:val="ru-MD"/>
              </w:rPr>
            </w:pPr>
            <w:r w:rsidRPr="00EC5A7B">
              <w:rPr>
                <w:sz w:val="20"/>
                <w:szCs w:val="20"/>
                <w:lang w:val="ru-MD"/>
              </w:rPr>
              <w:t>325,98/</w:t>
            </w:r>
          </w:p>
          <w:p w14:paraId="1448C1C2" w14:textId="77777777" w:rsidR="002D6148" w:rsidRPr="00EC5A7B" w:rsidRDefault="002D6148" w:rsidP="00E342E2">
            <w:pPr>
              <w:jc w:val="center"/>
              <w:rPr>
                <w:sz w:val="20"/>
                <w:szCs w:val="20"/>
                <w:lang w:val="ru-MD"/>
              </w:rPr>
            </w:pPr>
            <w:r w:rsidRPr="00EC5A7B">
              <w:rPr>
                <w:sz w:val="20"/>
                <w:szCs w:val="20"/>
                <w:lang w:val="ru-MD"/>
              </w:rPr>
              <w:t>6 278,49</w:t>
            </w:r>
          </w:p>
        </w:tc>
        <w:tc>
          <w:tcPr>
            <w:tcW w:w="1620" w:type="dxa"/>
          </w:tcPr>
          <w:p w14:paraId="463DDEAE" w14:textId="77777777" w:rsidR="002D6148" w:rsidRPr="00EC5A7B" w:rsidRDefault="002D6148" w:rsidP="00E342E2">
            <w:pPr>
              <w:jc w:val="center"/>
              <w:rPr>
                <w:sz w:val="20"/>
                <w:szCs w:val="20"/>
                <w:lang w:val="ru-MD"/>
              </w:rPr>
            </w:pPr>
          </w:p>
          <w:p w14:paraId="4E94A3AF" w14:textId="77777777" w:rsidR="002D6148" w:rsidRPr="00EC5A7B" w:rsidRDefault="002D6148" w:rsidP="00E342E2">
            <w:pPr>
              <w:jc w:val="center"/>
              <w:rPr>
                <w:sz w:val="20"/>
                <w:szCs w:val="20"/>
                <w:lang w:val="ru-MD"/>
              </w:rPr>
            </w:pPr>
            <w:r w:rsidRPr="00EC5A7B">
              <w:rPr>
                <w:sz w:val="20"/>
                <w:szCs w:val="20"/>
                <w:lang w:val="ru-MD"/>
              </w:rPr>
              <w:t>-84,98</w:t>
            </w:r>
          </w:p>
        </w:tc>
      </w:tr>
      <w:tr w:rsidR="006C49D4" w:rsidRPr="00EC5A7B" w14:paraId="66B62C83" w14:textId="77777777" w:rsidTr="00E342E2">
        <w:tc>
          <w:tcPr>
            <w:tcW w:w="498" w:type="dxa"/>
          </w:tcPr>
          <w:p w14:paraId="51CF6ECF" w14:textId="77777777" w:rsidR="002D6148" w:rsidRPr="00EC5A7B" w:rsidRDefault="002D6148" w:rsidP="00E342E2">
            <w:pPr>
              <w:rPr>
                <w:sz w:val="20"/>
                <w:szCs w:val="20"/>
                <w:lang w:val="ru-MD"/>
              </w:rPr>
            </w:pPr>
            <w:r w:rsidRPr="00EC5A7B">
              <w:rPr>
                <w:sz w:val="20"/>
                <w:szCs w:val="20"/>
                <w:lang w:val="ru-MD"/>
              </w:rPr>
              <w:t>4.</w:t>
            </w:r>
          </w:p>
        </w:tc>
        <w:tc>
          <w:tcPr>
            <w:tcW w:w="2017" w:type="dxa"/>
          </w:tcPr>
          <w:p w14:paraId="1DDACFDF" w14:textId="4A6D7CCE" w:rsidR="002D6148" w:rsidRPr="00EC5A7B" w:rsidRDefault="00BE1B3A" w:rsidP="00BE1B3A">
            <w:pPr>
              <w:ind w:hanging="73"/>
              <w:rPr>
                <w:sz w:val="20"/>
                <w:szCs w:val="20"/>
                <w:lang w:val="ru-MD"/>
              </w:rPr>
            </w:pPr>
            <w:r w:rsidRPr="00EC5A7B">
              <w:rPr>
                <w:sz w:val="20"/>
                <w:szCs w:val="20"/>
                <w:lang w:val="ru-MD"/>
              </w:rPr>
              <w:t>ГП</w:t>
            </w:r>
            <w:r w:rsidR="002D6148" w:rsidRPr="00EC5A7B">
              <w:rPr>
                <w:sz w:val="20"/>
                <w:szCs w:val="20"/>
                <w:lang w:val="ru-MD"/>
              </w:rPr>
              <w:t xml:space="preserve"> „Moldtranselectro”</w:t>
            </w:r>
          </w:p>
        </w:tc>
        <w:tc>
          <w:tcPr>
            <w:tcW w:w="937" w:type="dxa"/>
          </w:tcPr>
          <w:p w14:paraId="6E655B3A" w14:textId="4A4FF0E5" w:rsidR="002D6148" w:rsidRPr="00EC5A7B" w:rsidRDefault="00BE1B3A" w:rsidP="00E342E2">
            <w:pPr>
              <w:jc w:val="center"/>
              <w:rPr>
                <w:sz w:val="20"/>
                <w:szCs w:val="20"/>
                <w:lang w:val="ru-MD"/>
              </w:rPr>
            </w:pPr>
            <w:r w:rsidRPr="00EC5A7B">
              <w:rPr>
                <w:sz w:val="20"/>
                <w:szCs w:val="20"/>
                <w:lang w:val="ru-MD"/>
              </w:rPr>
              <w:t>дол. США</w:t>
            </w:r>
            <w:r w:rsidR="002D6148" w:rsidRPr="00EC5A7B">
              <w:rPr>
                <w:sz w:val="20"/>
                <w:szCs w:val="20"/>
                <w:lang w:val="ru-MD"/>
              </w:rPr>
              <w:t xml:space="preserve">/ </w:t>
            </w:r>
            <w:r w:rsidRPr="00EC5A7B">
              <w:rPr>
                <w:sz w:val="20"/>
                <w:szCs w:val="20"/>
                <w:lang w:val="ru-MD"/>
              </w:rPr>
              <w:t>леев</w:t>
            </w:r>
          </w:p>
        </w:tc>
        <w:tc>
          <w:tcPr>
            <w:tcW w:w="1441" w:type="dxa"/>
          </w:tcPr>
          <w:p w14:paraId="4169A945" w14:textId="77777777" w:rsidR="002D6148" w:rsidRPr="00EC5A7B" w:rsidRDefault="002D6148" w:rsidP="00E342E2">
            <w:pPr>
              <w:jc w:val="center"/>
              <w:rPr>
                <w:sz w:val="20"/>
                <w:szCs w:val="20"/>
                <w:lang w:val="ru-MD"/>
              </w:rPr>
            </w:pPr>
            <w:r w:rsidRPr="00EC5A7B">
              <w:rPr>
                <w:sz w:val="20"/>
                <w:szCs w:val="20"/>
                <w:lang w:val="ru-MD"/>
              </w:rPr>
              <w:t>863,17/</w:t>
            </w:r>
          </w:p>
          <w:p w14:paraId="0D8F96CF" w14:textId="77777777" w:rsidR="002D6148" w:rsidRPr="00EC5A7B" w:rsidRDefault="002D6148" w:rsidP="00E342E2">
            <w:pPr>
              <w:jc w:val="center"/>
              <w:rPr>
                <w:sz w:val="20"/>
                <w:szCs w:val="20"/>
                <w:lang w:val="ru-MD"/>
              </w:rPr>
            </w:pPr>
            <w:r w:rsidRPr="00EC5A7B">
              <w:rPr>
                <w:sz w:val="20"/>
                <w:szCs w:val="20"/>
                <w:lang w:val="ru-MD"/>
              </w:rPr>
              <w:t>14 797,13</w:t>
            </w:r>
          </w:p>
        </w:tc>
        <w:tc>
          <w:tcPr>
            <w:tcW w:w="1260" w:type="dxa"/>
          </w:tcPr>
          <w:p w14:paraId="58993566" w14:textId="77777777" w:rsidR="002D6148" w:rsidRPr="00EC5A7B" w:rsidRDefault="002D6148" w:rsidP="00E342E2">
            <w:pPr>
              <w:jc w:val="center"/>
              <w:rPr>
                <w:sz w:val="20"/>
                <w:szCs w:val="20"/>
                <w:lang w:val="ru-MD"/>
              </w:rPr>
            </w:pPr>
            <w:r w:rsidRPr="00EC5A7B">
              <w:rPr>
                <w:sz w:val="20"/>
                <w:szCs w:val="20"/>
                <w:lang w:val="ru-MD"/>
              </w:rPr>
              <w:t>-</w:t>
            </w:r>
          </w:p>
          <w:p w14:paraId="08A27EB9" w14:textId="77777777" w:rsidR="002D6148" w:rsidRPr="00EC5A7B" w:rsidRDefault="002D6148" w:rsidP="00E342E2">
            <w:pPr>
              <w:jc w:val="center"/>
              <w:rPr>
                <w:sz w:val="20"/>
                <w:szCs w:val="20"/>
                <w:lang w:val="ru-MD"/>
              </w:rPr>
            </w:pPr>
            <w:r w:rsidRPr="00EC5A7B">
              <w:rPr>
                <w:sz w:val="20"/>
                <w:szCs w:val="20"/>
                <w:lang w:val="ru-MD"/>
              </w:rPr>
              <w:t>-</w:t>
            </w:r>
          </w:p>
        </w:tc>
        <w:tc>
          <w:tcPr>
            <w:tcW w:w="1530" w:type="dxa"/>
          </w:tcPr>
          <w:p w14:paraId="5CE42B90" w14:textId="77777777" w:rsidR="002D6148" w:rsidRPr="00EC5A7B" w:rsidRDefault="002D6148" w:rsidP="00E342E2">
            <w:pPr>
              <w:jc w:val="center"/>
              <w:rPr>
                <w:sz w:val="20"/>
                <w:szCs w:val="20"/>
                <w:lang w:val="ru-MD"/>
              </w:rPr>
            </w:pPr>
            <w:r w:rsidRPr="00EC5A7B">
              <w:rPr>
                <w:sz w:val="20"/>
                <w:szCs w:val="20"/>
                <w:lang w:val="ru-MD"/>
              </w:rPr>
              <w:t>863,17/</w:t>
            </w:r>
          </w:p>
          <w:p w14:paraId="38682188" w14:textId="77777777" w:rsidR="002D6148" w:rsidRPr="00EC5A7B" w:rsidRDefault="002D6148" w:rsidP="00E342E2">
            <w:pPr>
              <w:jc w:val="center"/>
              <w:rPr>
                <w:sz w:val="20"/>
                <w:szCs w:val="20"/>
                <w:lang w:val="ru-MD"/>
              </w:rPr>
            </w:pPr>
            <w:r w:rsidRPr="00EC5A7B">
              <w:rPr>
                <w:sz w:val="20"/>
                <w:szCs w:val="20"/>
                <w:lang w:val="ru-MD"/>
              </w:rPr>
              <w:t>14 854,62</w:t>
            </w:r>
          </w:p>
        </w:tc>
        <w:tc>
          <w:tcPr>
            <w:tcW w:w="1620" w:type="dxa"/>
          </w:tcPr>
          <w:p w14:paraId="0DDB3FAB" w14:textId="77777777" w:rsidR="002D6148" w:rsidRPr="00EC5A7B" w:rsidRDefault="002D6148" w:rsidP="00E342E2">
            <w:pPr>
              <w:jc w:val="center"/>
              <w:rPr>
                <w:sz w:val="20"/>
                <w:szCs w:val="20"/>
                <w:lang w:val="ru-MD"/>
              </w:rPr>
            </w:pPr>
          </w:p>
          <w:p w14:paraId="2F262DC2" w14:textId="77777777" w:rsidR="002D6148" w:rsidRPr="00EC5A7B" w:rsidRDefault="002D6148" w:rsidP="00E342E2">
            <w:pPr>
              <w:jc w:val="center"/>
              <w:rPr>
                <w:sz w:val="20"/>
                <w:szCs w:val="20"/>
                <w:lang w:val="ru-MD"/>
              </w:rPr>
            </w:pPr>
            <w:r w:rsidRPr="00EC5A7B">
              <w:rPr>
                <w:sz w:val="20"/>
                <w:szCs w:val="20"/>
                <w:lang w:val="ru-MD"/>
              </w:rPr>
              <w:t>+57,49</w:t>
            </w:r>
          </w:p>
        </w:tc>
      </w:tr>
      <w:tr w:rsidR="006C49D4" w:rsidRPr="00EC5A7B" w14:paraId="7B5AE9CA" w14:textId="77777777" w:rsidTr="00E342E2">
        <w:tc>
          <w:tcPr>
            <w:tcW w:w="498" w:type="dxa"/>
          </w:tcPr>
          <w:p w14:paraId="75D690E7" w14:textId="77777777" w:rsidR="002D6148" w:rsidRPr="00EC5A7B" w:rsidRDefault="002D6148" w:rsidP="00E342E2">
            <w:pPr>
              <w:rPr>
                <w:sz w:val="20"/>
                <w:szCs w:val="20"/>
                <w:lang w:val="ru-MD"/>
              </w:rPr>
            </w:pPr>
            <w:r w:rsidRPr="00EC5A7B">
              <w:rPr>
                <w:sz w:val="20"/>
                <w:szCs w:val="20"/>
                <w:lang w:val="ru-MD"/>
              </w:rPr>
              <w:t xml:space="preserve">5. </w:t>
            </w:r>
          </w:p>
        </w:tc>
        <w:tc>
          <w:tcPr>
            <w:tcW w:w="2017" w:type="dxa"/>
          </w:tcPr>
          <w:p w14:paraId="4381DCA9" w14:textId="4CD01248" w:rsidR="002D6148" w:rsidRPr="00EC5A7B" w:rsidRDefault="006C49D4" w:rsidP="00E342E2">
            <w:pPr>
              <w:rPr>
                <w:sz w:val="20"/>
                <w:szCs w:val="20"/>
                <w:lang w:val="ru-MD"/>
              </w:rPr>
            </w:pPr>
            <w:r w:rsidRPr="00EC5A7B">
              <w:rPr>
                <w:sz w:val="20"/>
                <w:szCs w:val="20"/>
                <w:lang w:val="ru-MD"/>
              </w:rPr>
              <w:t>АО</w:t>
            </w:r>
            <w:r w:rsidR="002D6148" w:rsidRPr="00EC5A7B">
              <w:rPr>
                <w:sz w:val="20"/>
                <w:szCs w:val="20"/>
                <w:lang w:val="ru-MD"/>
              </w:rPr>
              <w:t xml:space="preserve"> „Santek”</w:t>
            </w:r>
          </w:p>
        </w:tc>
        <w:tc>
          <w:tcPr>
            <w:tcW w:w="937" w:type="dxa"/>
          </w:tcPr>
          <w:p w14:paraId="67FB2B37" w14:textId="33769895" w:rsidR="002D6148" w:rsidRPr="00EC5A7B" w:rsidRDefault="00BE1B3A" w:rsidP="00E342E2">
            <w:pPr>
              <w:jc w:val="center"/>
              <w:rPr>
                <w:sz w:val="20"/>
                <w:szCs w:val="20"/>
                <w:lang w:val="ru-MD"/>
              </w:rPr>
            </w:pPr>
            <w:r w:rsidRPr="00EC5A7B">
              <w:rPr>
                <w:sz w:val="20"/>
                <w:szCs w:val="20"/>
                <w:lang w:val="ru-MD"/>
              </w:rPr>
              <w:t>евро</w:t>
            </w:r>
            <w:r w:rsidR="002D6148" w:rsidRPr="00EC5A7B">
              <w:rPr>
                <w:sz w:val="20"/>
                <w:szCs w:val="20"/>
                <w:lang w:val="ru-MD"/>
              </w:rPr>
              <w:t xml:space="preserve">/ </w:t>
            </w:r>
          </w:p>
          <w:p w14:paraId="29B5C56F" w14:textId="3BE3CF65" w:rsidR="002D6148" w:rsidRPr="00EC5A7B" w:rsidRDefault="00BE1B3A" w:rsidP="00E342E2">
            <w:pPr>
              <w:jc w:val="center"/>
              <w:rPr>
                <w:sz w:val="20"/>
                <w:szCs w:val="20"/>
                <w:lang w:val="ru-MD"/>
              </w:rPr>
            </w:pPr>
            <w:r w:rsidRPr="00EC5A7B">
              <w:rPr>
                <w:sz w:val="20"/>
                <w:szCs w:val="20"/>
                <w:lang w:val="ru-MD"/>
              </w:rPr>
              <w:t>леев</w:t>
            </w:r>
          </w:p>
        </w:tc>
        <w:tc>
          <w:tcPr>
            <w:tcW w:w="1441" w:type="dxa"/>
          </w:tcPr>
          <w:p w14:paraId="3D63EEBE" w14:textId="77777777" w:rsidR="002D6148" w:rsidRPr="00EC5A7B" w:rsidRDefault="002D6148" w:rsidP="00E342E2">
            <w:pPr>
              <w:jc w:val="center"/>
              <w:rPr>
                <w:sz w:val="20"/>
                <w:szCs w:val="20"/>
                <w:lang w:val="ru-MD"/>
              </w:rPr>
            </w:pPr>
            <w:r w:rsidRPr="00EC5A7B">
              <w:rPr>
                <w:sz w:val="20"/>
                <w:szCs w:val="20"/>
                <w:lang w:val="ru-MD"/>
              </w:rPr>
              <w:t>17 070,24/</w:t>
            </w:r>
          </w:p>
          <w:p w14:paraId="3DCACA70" w14:textId="77777777" w:rsidR="002D6148" w:rsidRPr="00EC5A7B" w:rsidRDefault="002D6148" w:rsidP="00E342E2">
            <w:pPr>
              <w:jc w:val="center"/>
              <w:rPr>
                <w:sz w:val="20"/>
                <w:szCs w:val="20"/>
                <w:lang w:val="ru-MD"/>
              </w:rPr>
            </w:pPr>
            <w:r w:rsidRPr="00EC5A7B">
              <w:rPr>
                <w:sz w:val="20"/>
                <w:szCs w:val="20"/>
                <w:lang w:val="ru-MD"/>
              </w:rPr>
              <w:t>333 231,58</w:t>
            </w:r>
          </w:p>
        </w:tc>
        <w:tc>
          <w:tcPr>
            <w:tcW w:w="1260" w:type="dxa"/>
          </w:tcPr>
          <w:p w14:paraId="27C4F53E" w14:textId="77777777" w:rsidR="002D6148" w:rsidRPr="00EC5A7B" w:rsidRDefault="002D6148" w:rsidP="00E342E2">
            <w:pPr>
              <w:jc w:val="center"/>
              <w:rPr>
                <w:sz w:val="20"/>
                <w:szCs w:val="20"/>
                <w:lang w:val="ru-MD"/>
              </w:rPr>
            </w:pPr>
            <w:r w:rsidRPr="00EC5A7B">
              <w:rPr>
                <w:sz w:val="20"/>
                <w:szCs w:val="20"/>
                <w:lang w:val="ru-MD"/>
              </w:rPr>
              <w:t>493,35/</w:t>
            </w:r>
          </w:p>
          <w:p w14:paraId="4A011B19" w14:textId="77777777" w:rsidR="002D6148" w:rsidRPr="00EC5A7B" w:rsidRDefault="002D6148" w:rsidP="00E342E2">
            <w:pPr>
              <w:jc w:val="center"/>
              <w:rPr>
                <w:sz w:val="20"/>
                <w:szCs w:val="20"/>
                <w:lang w:val="ru-MD"/>
              </w:rPr>
            </w:pPr>
            <w:r w:rsidRPr="00EC5A7B">
              <w:rPr>
                <w:sz w:val="20"/>
                <w:szCs w:val="20"/>
                <w:lang w:val="ru-MD"/>
              </w:rPr>
              <w:t>9 707,33</w:t>
            </w:r>
          </w:p>
        </w:tc>
        <w:tc>
          <w:tcPr>
            <w:tcW w:w="1530" w:type="dxa"/>
          </w:tcPr>
          <w:p w14:paraId="2779642D" w14:textId="77777777" w:rsidR="002D6148" w:rsidRPr="00EC5A7B" w:rsidRDefault="002D6148" w:rsidP="00E342E2">
            <w:pPr>
              <w:jc w:val="center"/>
              <w:rPr>
                <w:sz w:val="20"/>
                <w:szCs w:val="20"/>
                <w:lang w:val="ru-MD"/>
              </w:rPr>
            </w:pPr>
            <w:r w:rsidRPr="00EC5A7B">
              <w:rPr>
                <w:sz w:val="20"/>
                <w:szCs w:val="20"/>
                <w:lang w:val="ru-MD"/>
              </w:rPr>
              <w:t>17 563,59/</w:t>
            </w:r>
          </w:p>
          <w:p w14:paraId="7704E0DF" w14:textId="77777777" w:rsidR="002D6148" w:rsidRPr="00EC5A7B" w:rsidRDefault="002D6148" w:rsidP="00E342E2">
            <w:pPr>
              <w:jc w:val="center"/>
              <w:rPr>
                <w:sz w:val="20"/>
                <w:szCs w:val="20"/>
                <w:lang w:val="ru-MD"/>
              </w:rPr>
            </w:pPr>
            <w:r w:rsidRPr="00EC5A7B">
              <w:rPr>
                <w:sz w:val="20"/>
                <w:szCs w:val="20"/>
                <w:lang w:val="ru-MD"/>
              </w:rPr>
              <w:t>338 283,49</w:t>
            </w:r>
          </w:p>
        </w:tc>
        <w:tc>
          <w:tcPr>
            <w:tcW w:w="1620" w:type="dxa"/>
          </w:tcPr>
          <w:p w14:paraId="1133B2A4" w14:textId="77777777" w:rsidR="002D6148" w:rsidRPr="00EC5A7B" w:rsidRDefault="002D6148" w:rsidP="00E342E2">
            <w:pPr>
              <w:jc w:val="center"/>
              <w:rPr>
                <w:sz w:val="20"/>
                <w:szCs w:val="20"/>
                <w:lang w:val="ru-MD"/>
              </w:rPr>
            </w:pPr>
          </w:p>
          <w:p w14:paraId="0758F926" w14:textId="77777777" w:rsidR="002D6148" w:rsidRPr="00EC5A7B" w:rsidRDefault="002D6148" w:rsidP="00E342E2">
            <w:pPr>
              <w:jc w:val="center"/>
              <w:rPr>
                <w:sz w:val="20"/>
                <w:szCs w:val="20"/>
                <w:lang w:val="ru-MD"/>
              </w:rPr>
            </w:pPr>
            <w:r w:rsidRPr="00EC5A7B">
              <w:rPr>
                <w:sz w:val="20"/>
                <w:szCs w:val="20"/>
                <w:lang w:val="ru-MD"/>
              </w:rPr>
              <w:t>-4 655,42</w:t>
            </w:r>
          </w:p>
        </w:tc>
      </w:tr>
      <w:tr w:rsidR="006C49D4" w:rsidRPr="00EC5A7B" w14:paraId="73983BE1" w14:textId="77777777" w:rsidTr="00E342E2">
        <w:tc>
          <w:tcPr>
            <w:tcW w:w="498" w:type="dxa"/>
          </w:tcPr>
          <w:p w14:paraId="69C7D30E" w14:textId="77777777" w:rsidR="002D6148" w:rsidRPr="00EC5A7B" w:rsidRDefault="002D6148" w:rsidP="00E342E2">
            <w:pPr>
              <w:rPr>
                <w:sz w:val="20"/>
                <w:szCs w:val="20"/>
                <w:lang w:val="ru-MD"/>
              </w:rPr>
            </w:pPr>
          </w:p>
        </w:tc>
        <w:tc>
          <w:tcPr>
            <w:tcW w:w="2017" w:type="dxa"/>
          </w:tcPr>
          <w:p w14:paraId="31F8B6D9" w14:textId="3E5DFCA8" w:rsidR="002D6148" w:rsidRPr="00EC5A7B" w:rsidRDefault="006C49D4" w:rsidP="004731A4">
            <w:pPr>
              <w:rPr>
                <w:b/>
                <w:i/>
                <w:sz w:val="20"/>
                <w:szCs w:val="20"/>
                <w:lang w:val="ru-MD"/>
              </w:rPr>
            </w:pPr>
            <w:r w:rsidRPr="00EC5A7B">
              <w:rPr>
                <w:b/>
                <w:i/>
                <w:sz w:val="20"/>
                <w:szCs w:val="20"/>
                <w:lang w:val="ru-MD"/>
              </w:rPr>
              <w:t xml:space="preserve">Всего внешних </w:t>
            </w:r>
            <w:r w:rsidR="004731A4" w:rsidRPr="00EC5A7B">
              <w:rPr>
                <w:b/>
                <w:i/>
                <w:sz w:val="20"/>
                <w:szCs w:val="20"/>
                <w:lang w:val="ru-MD"/>
              </w:rPr>
              <w:t>займ</w:t>
            </w:r>
            <w:r w:rsidRPr="00EC5A7B">
              <w:rPr>
                <w:b/>
                <w:i/>
                <w:sz w:val="20"/>
                <w:szCs w:val="20"/>
                <w:lang w:val="ru-MD"/>
              </w:rPr>
              <w:t>ов</w:t>
            </w:r>
          </w:p>
        </w:tc>
        <w:tc>
          <w:tcPr>
            <w:tcW w:w="937" w:type="dxa"/>
          </w:tcPr>
          <w:p w14:paraId="2D8B78DA" w14:textId="27D1DF33" w:rsidR="002D6148" w:rsidRPr="00EC5A7B" w:rsidRDefault="00BE1B3A" w:rsidP="00E342E2">
            <w:pPr>
              <w:jc w:val="center"/>
              <w:rPr>
                <w:b/>
                <w:i/>
                <w:sz w:val="20"/>
                <w:szCs w:val="20"/>
                <w:lang w:val="ru-MD"/>
              </w:rPr>
            </w:pPr>
            <w:r w:rsidRPr="00EC5A7B">
              <w:rPr>
                <w:b/>
                <w:i/>
                <w:sz w:val="20"/>
                <w:szCs w:val="20"/>
                <w:lang w:val="ru-MD"/>
              </w:rPr>
              <w:t>леев</w:t>
            </w:r>
          </w:p>
        </w:tc>
        <w:tc>
          <w:tcPr>
            <w:tcW w:w="1441" w:type="dxa"/>
          </w:tcPr>
          <w:p w14:paraId="5AA80AC0" w14:textId="77777777" w:rsidR="002D6148" w:rsidRPr="00EC5A7B" w:rsidRDefault="002D6148" w:rsidP="00E342E2">
            <w:pPr>
              <w:jc w:val="center"/>
              <w:rPr>
                <w:b/>
                <w:i/>
                <w:sz w:val="20"/>
                <w:szCs w:val="20"/>
                <w:lang w:val="ru-MD"/>
              </w:rPr>
            </w:pPr>
            <w:r w:rsidRPr="00EC5A7B">
              <w:rPr>
                <w:b/>
                <w:i/>
                <w:sz w:val="20"/>
                <w:szCs w:val="20"/>
                <w:lang w:val="ru-MD"/>
              </w:rPr>
              <w:t>423 810,91</w:t>
            </w:r>
          </w:p>
        </w:tc>
        <w:tc>
          <w:tcPr>
            <w:tcW w:w="1260" w:type="dxa"/>
          </w:tcPr>
          <w:p w14:paraId="7BB1537E" w14:textId="77777777" w:rsidR="002D6148" w:rsidRPr="00EC5A7B" w:rsidRDefault="002D6148" w:rsidP="00E342E2">
            <w:pPr>
              <w:jc w:val="center"/>
              <w:rPr>
                <w:b/>
                <w:i/>
                <w:sz w:val="20"/>
                <w:szCs w:val="20"/>
                <w:lang w:val="ru-MD"/>
              </w:rPr>
            </w:pPr>
            <w:r w:rsidRPr="00EC5A7B">
              <w:rPr>
                <w:b/>
                <w:i/>
                <w:sz w:val="20"/>
                <w:szCs w:val="20"/>
                <w:lang w:val="ru-MD"/>
              </w:rPr>
              <w:t>9 707,33</w:t>
            </w:r>
          </w:p>
        </w:tc>
        <w:tc>
          <w:tcPr>
            <w:tcW w:w="1530" w:type="dxa"/>
          </w:tcPr>
          <w:p w14:paraId="5CDD109E" w14:textId="77777777" w:rsidR="002D6148" w:rsidRPr="00EC5A7B" w:rsidRDefault="002D6148" w:rsidP="00E342E2">
            <w:pPr>
              <w:jc w:val="center"/>
              <w:rPr>
                <w:b/>
                <w:i/>
                <w:sz w:val="20"/>
                <w:szCs w:val="20"/>
                <w:lang w:val="ru-MD"/>
              </w:rPr>
            </w:pPr>
            <w:r w:rsidRPr="00EC5A7B">
              <w:rPr>
                <w:b/>
                <w:i/>
                <w:sz w:val="20"/>
                <w:szCs w:val="20"/>
                <w:lang w:val="ru-MD"/>
              </w:rPr>
              <w:t>428 690,16</w:t>
            </w:r>
          </w:p>
        </w:tc>
        <w:tc>
          <w:tcPr>
            <w:tcW w:w="1620" w:type="dxa"/>
          </w:tcPr>
          <w:p w14:paraId="27D36361" w14:textId="77777777" w:rsidR="002D6148" w:rsidRPr="00EC5A7B" w:rsidRDefault="002D6148" w:rsidP="00E342E2">
            <w:pPr>
              <w:jc w:val="center"/>
              <w:rPr>
                <w:b/>
                <w:i/>
                <w:sz w:val="20"/>
                <w:szCs w:val="20"/>
                <w:lang w:val="ru-MD"/>
              </w:rPr>
            </w:pPr>
            <w:r w:rsidRPr="00EC5A7B">
              <w:rPr>
                <w:b/>
                <w:i/>
                <w:sz w:val="20"/>
                <w:szCs w:val="20"/>
                <w:lang w:val="ru-MD"/>
              </w:rPr>
              <w:t xml:space="preserve">-4 828,08 </w:t>
            </w:r>
          </w:p>
        </w:tc>
      </w:tr>
      <w:tr w:rsidR="006C49D4" w:rsidRPr="00EC5A7B" w14:paraId="0AA74AA3" w14:textId="77777777" w:rsidTr="00E342E2">
        <w:tc>
          <w:tcPr>
            <w:tcW w:w="498" w:type="dxa"/>
          </w:tcPr>
          <w:p w14:paraId="323E170F" w14:textId="77777777" w:rsidR="002D6148" w:rsidRPr="00EC5A7B" w:rsidRDefault="002D6148" w:rsidP="00E342E2">
            <w:pPr>
              <w:rPr>
                <w:sz w:val="20"/>
                <w:szCs w:val="20"/>
                <w:lang w:val="ru-MD"/>
              </w:rPr>
            </w:pPr>
          </w:p>
        </w:tc>
        <w:tc>
          <w:tcPr>
            <w:tcW w:w="2017" w:type="dxa"/>
          </w:tcPr>
          <w:p w14:paraId="130758B8" w14:textId="484098EC" w:rsidR="002D6148" w:rsidRPr="00EC5A7B" w:rsidRDefault="004731A4" w:rsidP="004731A4">
            <w:pPr>
              <w:rPr>
                <w:b/>
                <w:sz w:val="20"/>
                <w:szCs w:val="20"/>
                <w:lang w:val="ru-MD"/>
              </w:rPr>
            </w:pPr>
            <w:r w:rsidRPr="00EC5A7B">
              <w:rPr>
                <w:b/>
                <w:sz w:val="20"/>
                <w:szCs w:val="20"/>
                <w:lang w:val="ru-MD"/>
              </w:rPr>
              <w:t>ВСЕГО</w:t>
            </w:r>
          </w:p>
        </w:tc>
        <w:tc>
          <w:tcPr>
            <w:tcW w:w="937" w:type="dxa"/>
          </w:tcPr>
          <w:p w14:paraId="1BE33C26" w14:textId="7FAF5FB0" w:rsidR="002D6148" w:rsidRPr="00EC5A7B" w:rsidRDefault="00BE1B3A" w:rsidP="00E342E2">
            <w:pPr>
              <w:jc w:val="center"/>
              <w:rPr>
                <w:b/>
                <w:sz w:val="20"/>
                <w:szCs w:val="20"/>
                <w:lang w:val="ru-MD"/>
              </w:rPr>
            </w:pPr>
            <w:r w:rsidRPr="00EC5A7B">
              <w:rPr>
                <w:b/>
                <w:sz w:val="20"/>
                <w:szCs w:val="20"/>
                <w:lang w:val="ru-MD"/>
              </w:rPr>
              <w:t>леев</w:t>
            </w:r>
          </w:p>
        </w:tc>
        <w:tc>
          <w:tcPr>
            <w:tcW w:w="1441" w:type="dxa"/>
          </w:tcPr>
          <w:p w14:paraId="77874535" w14:textId="77777777" w:rsidR="002D6148" w:rsidRPr="00EC5A7B" w:rsidRDefault="002D6148" w:rsidP="00E342E2">
            <w:pPr>
              <w:jc w:val="center"/>
              <w:rPr>
                <w:b/>
                <w:sz w:val="20"/>
                <w:szCs w:val="20"/>
                <w:lang w:val="ru-MD"/>
              </w:rPr>
            </w:pPr>
            <w:r w:rsidRPr="00EC5A7B">
              <w:rPr>
                <w:b/>
                <w:sz w:val="20"/>
                <w:szCs w:val="20"/>
                <w:lang w:val="ru-MD"/>
              </w:rPr>
              <w:t>426 229,45</w:t>
            </w:r>
          </w:p>
        </w:tc>
        <w:tc>
          <w:tcPr>
            <w:tcW w:w="1260" w:type="dxa"/>
          </w:tcPr>
          <w:p w14:paraId="1B77066E" w14:textId="77777777" w:rsidR="002D6148" w:rsidRPr="00EC5A7B" w:rsidRDefault="002D6148" w:rsidP="00E342E2">
            <w:pPr>
              <w:jc w:val="center"/>
              <w:rPr>
                <w:b/>
                <w:sz w:val="20"/>
                <w:szCs w:val="20"/>
                <w:lang w:val="ru-MD"/>
              </w:rPr>
            </w:pPr>
            <w:r w:rsidRPr="00EC5A7B">
              <w:rPr>
                <w:b/>
                <w:sz w:val="20"/>
                <w:szCs w:val="20"/>
                <w:lang w:val="ru-MD"/>
              </w:rPr>
              <w:t>9 707,33</w:t>
            </w:r>
          </w:p>
        </w:tc>
        <w:tc>
          <w:tcPr>
            <w:tcW w:w="1530" w:type="dxa"/>
          </w:tcPr>
          <w:p w14:paraId="403E6D52" w14:textId="77777777" w:rsidR="002D6148" w:rsidRPr="00EC5A7B" w:rsidRDefault="002D6148" w:rsidP="00E342E2">
            <w:pPr>
              <w:jc w:val="center"/>
              <w:rPr>
                <w:b/>
                <w:sz w:val="20"/>
                <w:szCs w:val="20"/>
                <w:lang w:val="ru-MD"/>
              </w:rPr>
            </w:pPr>
            <w:r w:rsidRPr="00EC5A7B">
              <w:rPr>
                <w:b/>
                <w:sz w:val="20"/>
                <w:szCs w:val="20"/>
                <w:lang w:val="ru-MD"/>
              </w:rPr>
              <w:t>431 108,7</w:t>
            </w:r>
          </w:p>
        </w:tc>
        <w:tc>
          <w:tcPr>
            <w:tcW w:w="1620" w:type="dxa"/>
          </w:tcPr>
          <w:p w14:paraId="35F4C7F1" w14:textId="77777777" w:rsidR="002D6148" w:rsidRPr="00EC5A7B" w:rsidRDefault="002D6148" w:rsidP="00E342E2">
            <w:pPr>
              <w:jc w:val="center"/>
              <w:rPr>
                <w:b/>
                <w:sz w:val="20"/>
                <w:szCs w:val="20"/>
                <w:lang w:val="ru-MD"/>
              </w:rPr>
            </w:pPr>
            <w:r w:rsidRPr="00EC5A7B">
              <w:rPr>
                <w:b/>
                <w:sz w:val="20"/>
                <w:szCs w:val="20"/>
                <w:lang w:val="ru-MD"/>
              </w:rPr>
              <w:t xml:space="preserve">-4 828,08 </w:t>
            </w:r>
          </w:p>
        </w:tc>
      </w:tr>
    </w:tbl>
    <w:p w14:paraId="4EE6F9C6" w14:textId="65D159A2" w:rsidR="002D6148" w:rsidRPr="00EC5A7B" w:rsidRDefault="007B3D00" w:rsidP="002D6148">
      <w:pPr>
        <w:pStyle w:val="NoSpacing"/>
        <w:spacing w:after="240"/>
        <w:jc w:val="both"/>
        <w:rPr>
          <w:rFonts w:asciiTheme="majorHAnsi" w:hAnsiTheme="majorHAnsi" w:cstheme="majorHAnsi"/>
          <w:i/>
          <w:sz w:val="20"/>
          <w:szCs w:val="20"/>
          <w:lang w:val="ru-MD" w:eastAsia="ru-RU"/>
        </w:rPr>
      </w:pPr>
      <w:r w:rsidRPr="00EC5A7B">
        <w:rPr>
          <w:rFonts w:asciiTheme="majorHAnsi" w:hAnsiTheme="majorHAnsi" w:cstheme="majorHAnsi"/>
          <w:b/>
          <w:i/>
          <w:sz w:val="20"/>
          <w:szCs w:val="20"/>
          <w:lang w:val="ru-MD" w:eastAsia="ru-RU"/>
        </w:rPr>
        <w:t>Источник</w:t>
      </w:r>
      <w:r w:rsidR="002D6148" w:rsidRPr="00EC5A7B">
        <w:rPr>
          <w:rFonts w:asciiTheme="majorHAnsi" w:hAnsiTheme="majorHAnsi" w:cstheme="majorHAnsi"/>
          <w:b/>
          <w:i/>
          <w:sz w:val="20"/>
          <w:szCs w:val="20"/>
          <w:lang w:val="ru-MD" w:eastAsia="ru-RU"/>
        </w:rPr>
        <w:t>:</w:t>
      </w:r>
      <w:r w:rsidR="002D6148" w:rsidRPr="00EC5A7B">
        <w:rPr>
          <w:rFonts w:asciiTheme="majorHAnsi" w:hAnsiTheme="majorHAnsi" w:cstheme="majorHAnsi"/>
          <w:i/>
          <w:sz w:val="20"/>
          <w:szCs w:val="20"/>
          <w:lang w:val="ru-MD" w:eastAsia="ru-RU"/>
        </w:rPr>
        <w:t xml:space="preserve"> </w:t>
      </w:r>
      <w:r w:rsidR="004731A4" w:rsidRPr="00EC5A7B">
        <w:rPr>
          <w:rFonts w:asciiTheme="majorHAnsi" w:hAnsiTheme="majorHAnsi" w:cstheme="majorHAnsi"/>
          <w:i/>
          <w:sz w:val="20"/>
          <w:szCs w:val="20"/>
          <w:lang w:val="ru-MD" w:eastAsia="ru-RU"/>
        </w:rPr>
        <w:t xml:space="preserve">Отчет о задолженности гарантированных дебиторов перед МФ за 2019 год. </w:t>
      </w:r>
    </w:p>
    <w:p w14:paraId="0E09015E" w14:textId="77777777" w:rsidR="006023D2" w:rsidRPr="00EC5A7B" w:rsidRDefault="006023D2" w:rsidP="00423ECB">
      <w:pPr>
        <w:rPr>
          <w:rFonts w:asciiTheme="majorHAnsi" w:hAnsiTheme="majorHAnsi" w:cstheme="majorHAnsi"/>
          <w:lang w:val="ru-MD"/>
        </w:rPr>
      </w:pPr>
    </w:p>
    <w:sectPr w:rsidR="006023D2" w:rsidRPr="00EC5A7B" w:rsidSect="00C8693D">
      <w:pgSz w:w="11906" w:h="16838" w:code="9"/>
      <w:pgMar w:top="1138" w:right="850" w:bottom="113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118C" w14:textId="77777777" w:rsidR="00307328" w:rsidRDefault="00307328" w:rsidP="00C8468E">
      <w:pPr>
        <w:spacing w:after="0" w:line="240" w:lineRule="auto"/>
      </w:pPr>
      <w:r>
        <w:separator/>
      </w:r>
    </w:p>
  </w:endnote>
  <w:endnote w:type="continuationSeparator" w:id="0">
    <w:p w14:paraId="320FEBF9" w14:textId="77777777" w:rsidR="00307328" w:rsidRDefault="00307328"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2070"/>
      <w:docPartObj>
        <w:docPartGallery w:val="Page Numbers (Bottom of Page)"/>
        <w:docPartUnique/>
      </w:docPartObj>
    </w:sdtPr>
    <w:sdtEndPr>
      <w:rPr>
        <w:noProof/>
      </w:rPr>
    </w:sdtEndPr>
    <w:sdtContent>
      <w:p w14:paraId="1657FBA2" w14:textId="787F8D2B" w:rsidR="00AA1AB4" w:rsidRDefault="00AA1AB4">
        <w:pPr>
          <w:pStyle w:val="Footer"/>
          <w:jc w:val="right"/>
        </w:pPr>
        <w:r>
          <w:fldChar w:fldCharType="begin"/>
        </w:r>
        <w:r>
          <w:instrText xml:space="preserve"> PAGE   \* MERGEFORMAT </w:instrText>
        </w:r>
        <w:r>
          <w:fldChar w:fldCharType="separate"/>
        </w:r>
        <w:r w:rsidR="00813343">
          <w:rPr>
            <w:noProof/>
          </w:rPr>
          <w:t>2</w:t>
        </w:r>
        <w:r>
          <w:rPr>
            <w:noProof/>
          </w:rPr>
          <w:fldChar w:fldCharType="end"/>
        </w:r>
      </w:p>
    </w:sdtContent>
  </w:sdt>
  <w:p w14:paraId="485D235E" w14:textId="77777777" w:rsidR="00AA1AB4" w:rsidRDefault="00AA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BE04" w14:textId="77777777" w:rsidR="00307328" w:rsidRDefault="00307328" w:rsidP="00C8468E">
      <w:pPr>
        <w:spacing w:after="0" w:line="240" w:lineRule="auto"/>
      </w:pPr>
      <w:r>
        <w:separator/>
      </w:r>
    </w:p>
  </w:footnote>
  <w:footnote w:type="continuationSeparator" w:id="0">
    <w:p w14:paraId="114CC17B" w14:textId="77777777" w:rsidR="00307328" w:rsidRDefault="00307328" w:rsidP="00C8468E">
      <w:pPr>
        <w:spacing w:after="0" w:line="240" w:lineRule="auto"/>
      </w:pPr>
      <w:r>
        <w:continuationSeparator/>
      </w:r>
    </w:p>
  </w:footnote>
  <w:footnote w:id="1">
    <w:p w14:paraId="44127235" w14:textId="059FA3C3" w:rsidR="00AA1AB4" w:rsidRPr="00012E95" w:rsidRDefault="00AA1AB4" w:rsidP="00C40BCC">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ВВП </w:t>
      </w:r>
      <w:r>
        <w:rPr>
          <w:rFonts w:asciiTheme="majorHAnsi" w:hAnsiTheme="majorHAnsi" w:cstheme="majorHAnsi"/>
          <w:lang w:val="ru-RU"/>
        </w:rPr>
        <w:t>з</w:t>
      </w:r>
      <w:r w:rsidRPr="00012E95">
        <w:rPr>
          <w:rFonts w:asciiTheme="majorHAnsi" w:hAnsiTheme="majorHAnsi" w:cstheme="majorHAnsi"/>
        </w:rPr>
        <w:t>а 2019 год составляет 210 098,8 млн. ле</w:t>
      </w:r>
      <w:r>
        <w:rPr>
          <w:rFonts w:asciiTheme="majorHAnsi" w:hAnsiTheme="majorHAnsi" w:cstheme="majorHAnsi"/>
          <w:lang w:val="ru-RU"/>
        </w:rPr>
        <w:t>ев, согласно</w:t>
      </w:r>
      <w:r w:rsidRPr="004850BB">
        <w:rPr>
          <w:rFonts w:asciiTheme="majorHAnsi" w:hAnsiTheme="majorHAnsi" w:cstheme="majorHAnsi"/>
        </w:rPr>
        <w:t xml:space="preserve"> </w:t>
      </w:r>
      <w:r>
        <w:rPr>
          <w:rFonts w:asciiTheme="majorHAnsi" w:hAnsiTheme="majorHAnsi" w:cstheme="majorHAnsi"/>
          <w:lang w:val="ru-RU"/>
        </w:rPr>
        <w:t>о</w:t>
      </w:r>
      <w:r w:rsidRPr="00012E95">
        <w:rPr>
          <w:rFonts w:asciiTheme="majorHAnsi" w:hAnsiTheme="majorHAnsi" w:cstheme="majorHAnsi"/>
        </w:rPr>
        <w:t>перативн</w:t>
      </w:r>
      <w:r>
        <w:rPr>
          <w:rFonts w:asciiTheme="majorHAnsi" w:hAnsiTheme="majorHAnsi" w:cstheme="majorHAnsi"/>
          <w:lang w:val="ru-RU"/>
        </w:rPr>
        <w:t>м данным</w:t>
      </w:r>
      <w:r w:rsidRPr="00012E95">
        <w:rPr>
          <w:rFonts w:asciiTheme="majorHAnsi" w:hAnsiTheme="majorHAnsi" w:cstheme="majorHAnsi"/>
        </w:rPr>
        <w:t>.</w:t>
      </w:r>
    </w:p>
  </w:footnote>
  <w:footnote w:id="2">
    <w:p w14:paraId="42F3288E" w14:textId="4CC215F2" w:rsidR="00AA1AB4" w:rsidRPr="00012E95" w:rsidRDefault="00AA1AB4" w:rsidP="00C40BCC">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Актуализированный ВВП </w:t>
      </w:r>
      <w:r>
        <w:rPr>
          <w:rFonts w:asciiTheme="majorHAnsi" w:hAnsiTheme="majorHAnsi" w:cstheme="majorHAnsi"/>
          <w:lang w:val="ru-RU"/>
        </w:rPr>
        <w:t>з</w:t>
      </w:r>
      <w:r w:rsidRPr="00012E95">
        <w:rPr>
          <w:rFonts w:asciiTheme="majorHAnsi" w:hAnsiTheme="majorHAnsi" w:cstheme="majorHAnsi"/>
        </w:rPr>
        <w:t>а 2018 год составляет 192 508,6 млн. ле</w:t>
      </w:r>
      <w:r>
        <w:rPr>
          <w:rFonts w:asciiTheme="majorHAnsi" w:hAnsiTheme="majorHAnsi" w:cstheme="majorHAnsi"/>
          <w:lang w:val="ru-RU"/>
        </w:rPr>
        <w:t>ев</w:t>
      </w:r>
      <w:r w:rsidRPr="00012E95">
        <w:rPr>
          <w:rFonts w:asciiTheme="majorHAnsi" w:hAnsiTheme="majorHAnsi" w:cstheme="majorHAnsi"/>
        </w:rPr>
        <w:t>.</w:t>
      </w:r>
    </w:p>
  </w:footnote>
  <w:footnote w:id="3">
    <w:p w14:paraId="55A4A876" w14:textId="4077D949" w:rsidR="00AA1AB4" w:rsidRPr="00012E95" w:rsidRDefault="00AA1AB4" w:rsidP="00A05716">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4A6DA5">
        <w:rPr>
          <w:rFonts w:asciiTheme="majorHAnsi" w:hAnsiTheme="majorHAnsi" w:cstheme="majorHAnsi"/>
          <w:bCs/>
        </w:rPr>
        <w:t>Регламент о размещении, торговле и выкупе государственных ценных бумаг в форме записи на счете,</w:t>
      </w:r>
      <w:r>
        <w:rPr>
          <w:rFonts w:asciiTheme="majorHAnsi" w:hAnsiTheme="majorHAnsi" w:cstheme="majorHAnsi"/>
          <w:bCs/>
          <w:lang w:val="ru-RU"/>
        </w:rPr>
        <w:t xml:space="preserve"> </w:t>
      </w:r>
      <w:r w:rsidRPr="004A6DA5">
        <w:rPr>
          <w:rFonts w:asciiTheme="majorHAnsi" w:hAnsiTheme="majorHAnsi" w:cstheme="majorHAnsi"/>
          <w:bCs/>
        </w:rPr>
        <w:t>утвержденный Постановлением Национального банка Молдовы №</w:t>
      </w:r>
      <w:r w:rsidRPr="00012E95">
        <w:rPr>
          <w:rFonts w:asciiTheme="majorHAnsi" w:hAnsiTheme="majorHAnsi" w:cstheme="majorHAnsi"/>
          <w:lang w:val="ro-MD" w:eastAsia="ru-RU"/>
        </w:rPr>
        <w:t xml:space="preserve">170 </w:t>
      </w:r>
      <w:r>
        <w:rPr>
          <w:rFonts w:asciiTheme="majorHAnsi" w:hAnsiTheme="majorHAnsi" w:cstheme="majorHAnsi"/>
          <w:lang w:val="ru-RU" w:eastAsia="ru-RU"/>
        </w:rPr>
        <w:t>от</w:t>
      </w:r>
      <w:r w:rsidRPr="00012E95">
        <w:rPr>
          <w:rFonts w:asciiTheme="majorHAnsi" w:hAnsiTheme="majorHAnsi" w:cstheme="majorHAnsi"/>
          <w:lang w:val="ro-MD" w:eastAsia="ru-RU"/>
        </w:rPr>
        <w:t xml:space="preserve"> 19.07.2018.</w:t>
      </w:r>
    </w:p>
  </w:footnote>
  <w:footnote w:id="4">
    <w:p w14:paraId="00C2B254" w14:textId="07AAB832" w:rsidR="00AA1AB4" w:rsidRPr="00012E95" w:rsidRDefault="00AA1AB4" w:rsidP="00D30681">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1442CE">
        <w:rPr>
          <w:rFonts w:asciiTheme="majorHAnsi" w:hAnsiTheme="majorHAnsi" w:cstheme="majorHAnsi"/>
        </w:rPr>
        <w:t xml:space="preserve">Закон </w:t>
      </w:r>
      <w:r w:rsidRPr="001442CE">
        <w:rPr>
          <w:rFonts w:asciiTheme="majorHAnsi" w:hAnsiTheme="majorHAnsi" w:cstheme="majorHAnsi"/>
          <w:bCs/>
        </w:rPr>
        <w:t>о дополнительных мерах по обеспечению финансовой стабильности</w:t>
      </w:r>
      <w:r w:rsidRPr="001442CE">
        <w:rPr>
          <w:rFonts w:asciiTheme="majorHAnsi" w:hAnsiTheme="majorHAnsi" w:cstheme="majorHAnsi"/>
          <w:b/>
          <w:bCs/>
        </w:rPr>
        <w:t xml:space="preserve"> </w:t>
      </w:r>
      <w:r w:rsidRPr="001442CE">
        <w:rPr>
          <w:rFonts w:asciiTheme="majorHAnsi" w:hAnsiTheme="majorHAnsi" w:cstheme="majorHAnsi"/>
        </w:rPr>
        <w:t>№</w:t>
      </w:r>
      <w:r w:rsidRPr="00012E95">
        <w:rPr>
          <w:rFonts w:asciiTheme="majorHAnsi" w:hAnsiTheme="majorHAnsi" w:cstheme="majorHAnsi"/>
        </w:rPr>
        <w:t xml:space="preserve">190 </w:t>
      </w:r>
      <w:r w:rsidRPr="001442CE">
        <w:rPr>
          <w:rFonts w:asciiTheme="majorHAnsi" w:hAnsiTheme="majorHAnsi" w:cstheme="majorHAnsi"/>
        </w:rPr>
        <w:t>от</w:t>
      </w:r>
      <w:r w:rsidRPr="00012E95">
        <w:rPr>
          <w:rFonts w:asciiTheme="majorHAnsi" w:hAnsiTheme="majorHAnsi" w:cstheme="majorHAnsi"/>
        </w:rPr>
        <w:t xml:space="preserve"> 30.09.2011 (</w:t>
      </w:r>
      <w:r>
        <w:rPr>
          <w:rFonts w:asciiTheme="majorHAnsi" w:hAnsiTheme="majorHAnsi" w:cstheme="majorHAnsi"/>
          <w:lang w:val="ru-RU"/>
        </w:rPr>
        <w:t>далее</w:t>
      </w:r>
      <w:r w:rsidRPr="00012E95">
        <w:rPr>
          <w:rFonts w:asciiTheme="majorHAnsi" w:hAnsiTheme="majorHAnsi" w:cstheme="majorHAnsi"/>
        </w:rPr>
        <w:t xml:space="preserve"> – </w:t>
      </w:r>
      <w:r w:rsidRPr="001442CE">
        <w:rPr>
          <w:rFonts w:asciiTheme="majorHAnsi" w:hAnsiTheme="majorHAnsi" w:cstheme="majorHAnsi"/>
        </w:rPr>
        <w:t xml:space="preserve">Закон </w:t>
      </w:r>
      <w:r>
        <w:rPr>
          <w:rFonts w:asciiTheme="majorHAnsi" w:hAnsiTheme="majorHAnsi" w:cstheme="majorHAnsi"/>
          <w:lang w:val="ru-RU"/>
        </w:rPr>
        <w:t xml:space="preserve">           №</w:t>
      </w:r>
      <w:r w:rsidRPr="00012E95">
        <w:rPr>
          <w:rFonts w:asciiTheme="majorHAnsi" w:hAnsiTheme="majorHAnsi" w:cstheme="majorHAnsi"/>
        </w:rPr>
        <w:t xml:space="preserve">190 </w:t>
      </w:r>
      <w:r>
        <w:rPr>
          <w:rFonts w:asciiTheme="majorHAnsi" w:hAnsiTheme="majorHAnsi" w:cstheme="majorHAnsi"/>
          <w:lang w:val="ru-RU"/>
        </w:rPr>
        <w:t>от</w:t>
      </w:r>
      <w:r w:rsidRPr="00012E95">
        <w:rPr>
          <w:rFonts w:asciiTheme="majorHAnsi" w:hAnsiTheme="majorHAnsi" w:cstheme="majorHAnsi"/>
        </w:rPr>
        <w:t xml:space="preserve"> 30.09.2011).</w:t>
      </w:r>
    </w:p>
  </w:footnote>
  <w:footnote w:id="5">
    <w:p w14:paraId="483FFD35" w14:textId="7F6E77D8" w:rsidR="00AA1AB4" w:rsidRPr="00012E95" w:rsidRDefault="00AA1AB4" w:rsidP="008B27A1">
      <w:pPr>
        <w:pStyle w:val="FootnoteText"/>
        <w:jc w:val="both"/>
        <w:rPr>
          <w:rFonts w:asciiTheme="majorHAnsi" w:hAnsiTheme="majorHAnsi" w:cstheme="majorHAnsi"/>
          <w:lang w:val="ro-MD"/>
        </w:rPr>
      </w:pPr>
      <w:r w:rsidRPr="00012E95">
        <w:rPr>
          <w:rStyle w:val="FootnoteReference"/>
          <w:rFonts w:asciiTheme="majorHAnsi" w:hAnsiTheme="majorHAnsi" w:cstheme="majorHAnsi"/>
          <w:lang w:val="ro-MD"/>
        </w:rPr>
        <w:footnoteRef/>
      </w:r>
      <w:r w:rsidRPr="00012E95">
        <w:rPr>
          <w:rFonts w:asciiTheme="majorHAnsi" w:hAnsiTheme="majorHAnsi" w:cstheme="majorHAnsi"/>
          <w:lang w:val="ro-MD"/>
        </w:rPr>
        <w:t xml:space="preserve"> </w:t>
      </w:r>
      <w:r w:rsidRPr="001442CE">
        <w:rPr>
          <w:rFonts w:asciiTheme="majorHAnsi" w:hAnsiTheme="majorHAnsi" w:cstheme="majorHAnsi"/>
          <w:lang w:val="ro-MD"/>
        </w:rPr>
        <w:t>Постановление Правительства №</w:t>
      </w:r>
      <w:r w:rsidRPr="00012E95">
        <w:rPr>
          <w:rFonts w:asciiTheme="majorHAnsi" w:hAnsiTheme="majorHAnsi" w:cstheme="majorHAnsi"/>
          <w:lang w:val="ro-MD"/>
        </w:rPr>
        <w:t xml:space="preserve">938 </w:t>
      </w:r>
      <w:r>
        <w:rPr>
          <w:rFonts w:asciiTheme="majorHAnsi" w:hAnsiTheme="majorHAnsi" w:cstheme="majorHAnsi"/>
          <w:lang w:val="ru-RU"/>
        </w:rPr>
        <w:t>от</w:t>
      </w:r>
      <w:r w:rsidRPr="00012E95">
        <w:rPr>
          <w:rFonts w:asciiTheme="majorHAnsi" w:hAnsiTheme="majorHAnsi" w:cstheme="majorHAnsi"/>
          <w:lang w:val="ro-MD"/>
        </w:rPr>
        <w:t xml:space="preserve"> 13.11.2014 „</w:t>
      </w:r>
      <w:r w:rsidRPr="001442CE">
        <w:rPr>
          <w:rFonts w:asciiTheme="majorHAnsi" w:hAnsiTheme="majorHAnsi" w:cstheme="majorHAnsi"/>
          <w:bCs/>
        </w:rPr>
        <w:t>Об обеспечении макроэкономической стабильности в контексте региональной конъюнктуры</w:t>
      </w:r>
      <w:r w:rsidRPr="00012E95">
        <w:rPr>
          <w:rFonts w:asciiTheme="majorHAnsi" w:hAnsiTheme="majorHAnsi" w:cstheme="majorHAnsi"/>
          <w:lang w:val="ro-MD"/>
        </w:rPr>
        <w:t>” (</w:t>
      </w:r>
      <w:r>
        <w:rPr>
          <w:rFonts w:asciiTheme="majorHAnsi" w:hAnsiTheme="majorHAnsi" w:cstheme="majorHAnsi"/>
          <w:lang w:val="ro-MD"/>
        </w:rPr>
        <w:t>далее</w:t>
      </w:r>
      <w:r w:rsidRPr="00012E95">
        <w:rPr>
          <w:rFonts w:asciiTheme="majorHAnsi" w:hAnsiTheme="majorHAnsi" w:cstheme="majorHAnsi"/>
          <w:lang w:val="ro-MD"/>
        </w:rPr>
        <w:t xml:space="preserve"> – </w:t>
      </w:r>
      <w:r w:rsidRPr="001442CE">
        <w:rPr>
          <w:rFonts w:asciiTheme="majorHAnsi" w:hAnsiTheme="majorHAnsi" w:cstheme="majorHAnsi"/>
          <w:lang w:val="ro-MD"/>
        </w:rPr>
        <w:t>Постановление Правительства №</w:t>
      </w:r>
      <w:r w:rsidRPr="00012E95">
        <w:rPr>
          <w:rFonts w:asciiTheme="majorHAnsi" w:hAnsiTheme="majorHAnsi" w:cstheme="majorHAnsi"/>
          <w:lang w:val="ro-MD"/>
        </w:rPr>
        <w:t xml:space="preserve">938 </w:t>
      </w:r>
      <w:r>
        <w:rPr>
          <w:rFonts w:asciiTheme="majorHAnsi" w:hAnsiTheme="majorHAnsi" w:cstheme="majorHAnsi"/>
          <w:lang w:val="ru-RU"/>
        </w:rPr>
        <w:t>от</w:t>
      </w:r>
      <w:r w:rsidRPr="00012E95">
        <w:rPr>
          <w:rFonts w:asciiTheme="majorHAnsi" w:hAnsiTheme="majorHAnsi" w:cstheme="majorHAnsi"/>
          <w:lang w:val="ro-MD"/>
        </w:rPr>
        <w:t xml:space="preserve"> 13.11.2014).</w:t>
      </w:r>
    </w:p>
  </w:footnote>
  <w:footnote w:id="6">
    <w:p w14:paraId="59E1B90A" w14:textId="113EE3AA" w:rsidR="00AA1AB4" w:rsidRPr="00734576" w:rsidRDefault="00AA1AB4" w:rsidP="008B27A1">
      <w:pPr>
        <w:pStyle w:val="NoSpacing"/>
        <w:jc w:val="both"/>
        <w:rPr>
          <w:rFonts w:asciiTheme="majorHAnsi" w:hAnsiTheme="majorHAnsi" w:cstheme="majorHAnsi"/>
          <w:sz w:val="20"/>
          <w:szCs w:val="20"/>
          <w:lang w:val="ro-MD"/>
        </w:rPr>
      </w:pPr>
      <w:r w:rsidRPr="00012E95">
        <w:rPr>
          <w:rStyle w:val="HTMLSample"/>
          <w:rFonts w:asciiTheme="majorHAnsi" w:hAnsiTheme="majorHAnsi" w:cstheme="majorHAnsi"/>
          <w:sz w:val="20"/>
          <w:szCs w:val="20"/>
          <w:vertAlign w:val="superscript"/>
        </w:rPr>
        <w:footnoteRef/>
      </w:r>
      <w:r w:rsidRPr="00734576">
        <w:rPr>
          <w:rFonts w:asciiTheme="majorHAnsi" w:hAnsiTheme="majorHAnsi" w:cstheme="majorHAnsi"/>
          <w:sz w:val="20"/>
          <w:szCs w:val="20"/>
          <w:vertAlign w:val="superscript"/>
          <w:lang w:val="ro-MD"/>
        </w:rPr>
        <w:t xml:space="preserve"> </w:t>
      </w:r>
      <w:r w:rsidRPr="00734576">
        <w:rPr>
          <w:rFonts w:asciiTheme="majorHAnsi" w:hAnsiTheme="majorHAnsi" w:cstheme="majorHAnsi"/>
          <w:sz w:val="20"/>
          <w:szCs w:val="20"/>
          <w:lang w:val="ro-MD"/>
        </w:rPr>
        <w:t>Постановление Правительства №</w:t>
      </w:r>
      <w:r w:rsidRPr="00012E95">
        <w:rPr>
          <w:rFonts w:asciiTheme="majorHAnsi" w:hAnsiTheme="majorHAnsi" w:cstheme="majorHAnsi"/>
          <w:sz w:val="20"/>
          <w:szCs w:val="20"/>
          <w:lang w:val="ro-MD"/>
        </w:rPr>
        <w:t xml:space="preserve">124 </w:t>
      </w:r>
      <w:r w:rsidRPr="00734576">
        <w:rPr>
          <w:rFonts w:asciiTheme="majorHAnsi" w:hAnsiTheme="majorHAnsi" w:cstheme="majorHAnsi"/>
          <w:sz w:val="20"/>
          <w:szCs w:val="20"/>
          <w:lang w:val="ro-MD"/>
        </w:rPr>
        <w:t>от</w:t>
      </w:r>
      <w:r w:rsidRPr="00012E95">
        <w:rPr>
          <w:rFonts w:asciiTheme="majorHAnsi" w:hAnsiTheme="majorHAnsi" w:cstheme="majorHAnsi"/>
          <w:sz w:val="20"/>
          <w:szCs w:val="20"/>
          <w:lang w:val="ro-MD"/>
        </w:rPr>
        <w:t xml:space="preserve"> 30.03.2015 „</w:t>
      </w:r>
      <w:r w:rsidRPr="00734576">
        <w:rPr>
          <w:rFonts w:asciiTheme="majorHAnsi" w:hAnsiTheme="majorHAnsi" w:cstheme="majorHAnsi"/>
          <w:bCs/>
          <w:sz w:val="20"/>
          <w:szCs w:val="20"/>
          <w:lang w:val="ro-RO"/>
        </w:rPr>
        <w:t xml:space="preserve">Об обеспечении </w:t>
      </w:r>
      <w:r w:rsidRPr="00734576">
        <w:rPr>
          <w:rFonts w:asciiTheme="majorHAnsi" w:hAnsiTheme="majorHAnsi" w:cstheme="majorHAnsi"/>
          <w:sz w:val="20"/>
          <w:szCs w:val="20"/>
          <w:lang w:val="ro-MD"/>
        </w:rPr>
        <w:t xml:space="preserve">стабильности </w:t>
      </w:r>
      <w:r>
        <w:rPr>
          <w:rFonts w:asciiTheme="majorHAnsi" w:hAnsiTheme="majorHAnsi" w:cstheme="majorHAnsi"/>
          <w:sz w:val="20"/>
          <w:szCs w:val="20"/>
          <w:lang w:val="ru-RU"/>
        </w:rPr>
        <w:t>банковск</w:t>
      </w:r>
      <w:r w:rsidRPr="00734576">
        <w:rPr>
          <w:rFonts w:asciiTheme="majorHAnsi" w:hAnsiTheme="majorHAnsi" w:cstheme="majorHAnsi"/>
          <w:sz w:val="20"/>
          <w:szCs w:val="20"/>
          <w:lang w:val="ro-MD"/>
        </w:rPr>
        <w:t xml:space="preserve">ой системы </w:t>
      </w:r>
      <w:r>
        <w:rPr>
          <w:rFonts w:asciiTheme="majorHAnsi" w:hAnsiTheme="majorHAnsi" w:cstheme="majorHAnsi"/>
          <w:sz w:val="20"/>
          <w:szCs w:val="20"/>
          <w:lang w:val="ru-RU"/>
        </w:rPr>
        <w:t>Республики Молдова</w:t>
      </w:r>
      <w:r w:rsidRPr="00012E95">
        <w:rPr>
          <w:rFonts w:asciiTheme="majorHAnsi" w:hAnsiTheme="majorHAnsi" w:cstheme="majorHAnsi"/>
          <w:sz w:val="20"/>
          <w:szCs w:val="20"/>
          <w:lang w:val="ro-MD"/>
        </w:rPr>
        <w:t>” (</w:t>
      </w:r>
      <w:r>
        <w:rPr>
          <w:rFonts w:asciiTheme="majorHAnsi" w:hAnsiTheme="majorHAnsi" w:cstheme="majorHAnsi"/>
          <w:sz w:val="20"/>
          <w:szCs w:val="20"/>
          <w:lang w:val="ro-MD"/>
        </w:rPr>
        <w:t>далее</w:t>
      </w:r>
      <w:r w:rsidRPr="00012E95">
        <w:rPr>
          <w:rFonts w:asciiTheme="majorHAnsi" w:hAnsiTheme="majorHAnsi" w:cstheme="majorHAnsi"/>
          <w:sz w:val="20"/>
          <w:szCs w:val="20"/>
          <w:lang w:val="ro-MD"/>
        </w:rPr>
        <w:t xml:space="preserve"> – </w:t>
      </w:r>
      <w:r w:rsidRPr="00734576">
        <w:rPr>
          <w:rFonts w:asciiTheme="majorHAnsi" w:hAnsiTheme="majorHAnsi" w:cstheme="majorHAnsi"/>
          <w:sz w:val="20"/>
          <w:szCs w:val="20"/>
          <w:lang w:val="ro-MD"/>
        </w:rPr>
        <w:t>Постановление Правительства №</w:t>
      </w:r>
      <w:r w:rsidRPr="00012E95">
        <w:rPr>
          <w:rFonts w:asciiTheme="majorHAnsi" w:hAnsiTheme="majorHAnsi" w:cstheme="majorHAnsi"/>
          <w:sz w:val="20"/>
          <w:szCs w:val="20"/>
          <w:lang w:val="ro-MD"/>
        </w:rPr>
        <w:t xml:space="preserve">124 </w:t>
      </w:r>
      <w:r>
        <w:rPr>
          <w:rFonts w:asciiTheme="majorHAnsi" w:hAnsiTheme="majorHAnsi" w:cstheme="majorHAnsi"/>
          <w:sz w:val="20"/>
          <w:szCs w:val="20"/>
          <w:lang w:val="ru-RU"/>
        </w:rPr>
        <w:t>от</w:t>
      </w:r>
      <w:r w:rsidRPr="00012E95">
        <w:rPr>
          <w:rFonts w:asciiTheme="majorHAnsi" w:hAnsiTheme="majorHAnsi" w:cstheme="majorHAnsi"/>
          <w:sz w:val="20"/>
          <w:szCs w:val="20"/>
          <w:lang w:val="ro-MD"/>
        </w:rPr>
        <w:t xml:space="preserve"> 30.03.2015)</w:t>
      </w:r>
      <w:r w:rsidRPr="00734576">
        <w:rPr>
          <w:rFonts w:asciiTheme="majorHAnsi" w:hAnsiTheme="majorHAnsi" w:cstheme="majorHAnsi"/>
          <w:sz w:val="20"/>
          <w:szCs w:val="20"/>
          <w:lang w:val="ro-MD"/>
        </w:rPr>
        <w:t xml:space="preserve">. </w:t>
      </w:r>
    </w:p>
  </w:footnote>
  <w:footnote w:id="7">
    <w:p w14:paraId="5442F56F" w14:textId="1D545B7B" w:rsidR="00AA1AB4" w:rsidRPr="00012E95" w:rsidRDefault="00AA1AB4" w:rsidP="00183BED">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Pr>
          <w:rFonts w:asciiTheme="majorHAnsi" w:hAnsiTheme="majorHAnsi" w:cstheme="majorHAnsi"/>
          <w:lang w:val="ru-RU"/>
        </w:rPr>
        <w:t>Закон №</w:t>
      </w:r>
      <w:r w:rsidRPr="00012E95">
        <w:rPr>
          <w:rFonts w:asciiTheme="majorHAnsi" w:hAnsiTheme="majorHAnsi" w:cstheme="majorHAnsi"/>
        </w:rPr>
        <w:t xml:space="preserve">235 </w:t>
      </w:r>
      <w:r>
        <w:rPr>
          <w:rFonts w:asciiTheme="majorHAnsi" w:hAnsiTheme="majorHAnsi" w:cstheme="majorHAnsi"/>
          <w:lang w:val="ru-RU"/>
        </w:rPr>
        <w:t>от</w:t>
      </w:r>
      <w:r w:rsidRPr="00012E95">
        <w:rPr>
          <w:rFonts w:asciiTheme="majorHAnsi" w:hAnsiTheme="majorHAnsi" w:cstheme="majorHAnsi"/>
        </w:rPr>
        <w:t xml:space="preserve"> 03.10.2016 </w:t>
      </w:r>
      <w:r w:rsidRPr="00912D82">
        <w:rPr>
          <w:rFonts w:asciiTheme="majorHAnsi" w:hAnsiTheme="majorHAnsi" w:cstheme="majorHAnsi"/>
          <w:bCs/>
          <w:lang w:val="ru-RU"/>
        </w:rPr>
        <w:t>о выпуске государственных облигаций во исполнение</w:t>
      </w:r>
      <w:r>
        <w:rPr>
          <w:rFonts w:asciiTheme="majorHAnsi" w:hAnsiTheme="majorHAnsi" w:cstheme="majorHAnsi"/>
          <w:bCs/>
          <w:lang w:val="ru-RU"/>
        </w:rPr>
        <w:t xml:space="preserve"> </w:t>
      </w:r>
      <w:r w:rsidRPr="00912D82">
        <w:rPr>
          <w:rFonts w:asciiTheme="majorHAnsi" w:hAnsiTheme="majorHAnsi" w:cstheme="majorHAnsi"/>
          <w:bCs/>
          <w:lang w:val="ru-RU"/>
        </w:rPr>
        <w:t>Министерством финансов платежных обязательств,</w:t>
      </w:r>
      <w:r>
        <w:rPr>
          <w:rFonts w:asciiTheme="majorHAnsi" w:hAnsiTheme="majorHAnsi" w:cstheme="majorHAnsi"/>
          <w:bCs/>
          <w:lang w:val="ru-RU"/>
        </w:rPr>
        <w:t xml:space="preserve"> </w:t>
      </w:r>
      <w:r w:rsidRPr="00912D82">
        <w:rPr>
          <w:rFonts w:asciiTheme="majorHAnsi" w:hAnsiTheme="majorHAnsi" w:cstheme="majorHAnsi"/>
          <w:bCs/>
          <w:lang w:val="ru-RU"/>
        </w:rPr>
        <w:t>вытекающих из государственных гарантий №807 от</w:t>
      </w:r>
      <w:r>
        <w:rPr>
          <w:rFonts w:asciiTheme="majorHAnsi" w:hAnsiTheme="majorHAnsi" w:cstheme="majorHAnsi"/>
          <w:bCs/>
          <w:lang w:val="ru-RU"/>
        </w:rPr>
        <w:t xml:space="preserve"> </w:t>
      </w:r>
      <w:r w:rsidRPr="00912D82">
        <w:rPr>
          <w:rFonts w:asciiTheme="majorHAnsi" w:hAnsiTheme="majorHAnsi" w:cstheme="majorHAnsi"/>
          <w:bCs/>
          <w:lang w:val="ru-RU"/>
        </w:rPr>
        <w:t>17 ноября 2014 г. и №101 от 1 апреля 2015 г.</w:t>
      </w:r>
      <w:r>
        <w:rPr>
          <w:rFonts w:asciiTheme="majorHAnsi" w:hAnsiTheme="majorHAnsi" w:cstheme="majorHAnsi"/>
          <w:bCs/>
          <w:lang w:val="ru-RU"/>
        </w:rPr>
        <w:t xml:space="preserve"> </w:t>
      </w:r>
      <w:r w:rsidRPr="00012E95">
        <w:rPr>
          <w:rFonts w:asciiTheme="majorHAnsi" w:hAnsiTheme="majorHAnsi" w:cstheme="majorHAnsi"/>
        </w:rPr>
        <w:t xml:space="preserve"> (</w:t>
      </w:r>
      <w:r>
        <w:rPr>
          <w:rFonts w:asciiTheme="majorHAnsi" w:hAnsiTheme="majorHAnsi" w:cstheme="majorHAnsi"/>
        </w:rPr>
        <w:t>далее</w:t>
      </w:r>
      <w:r w:rsidRPr="00012E95">
        <w:rPr>
          <w:rFonts w:asciiTheme="majorHAnsi" w:hAnsiTheme="majorHAnsi" w:cstheme="majorHAnsi"/>
        </w:rPr>
        <w:t xml:space="preserve"> – </w:t>
      </w:r>
      <w:r>
        <w:rPr>
          <w:rFonts w:asciiTheme="majorHAnsi" w:hAnsiTheme="majorHAnsi" w:cstheme="majorHAnsi"/>
          <w:lang w:val="ru-RU"/>
        </w:rPr>
        <w:t>Закон №</w:t>
      </w:r>
      <w:r w:rsidRPr="00012E95">
        <w:rPr>
          <w:rFonts w:asciiTheme="majorHAnsi" w:hAnsiTheme="majorHAnsi" w:cstheme="majorHAnsi"/>
        </w:rPr>
        <w:t xml:space="preserve">235 </w:t>
      </w:r>
      <w:r>
        <w:rPr>
          <w:rFonts w:asciiTheme="majorHAnsi" w:hAnsiTheme="majorHAnsi" w:cstheme="majorHAnsi"/>
          <w:lang w:val="ru-RU"/>
        </w:rPr>
        <w:t xml:space="preserve">от </w:t>
      </w:r>
      <w:r w:rsidRPr="00012E95">
        <w:rPr>
          <w:rFonts w:asciiTheme="majorHAnsi" w:hAnsiTheme="majorHAnsi" w:cstheme="majorHAnsi"/>
        </w:rPr>
        <w:t>03.10.2016).</w:t>
      </w:r>
    </w:p>
  </w:footnote>
  <w:footnote w:id="8">
    <w:p w14:paraId="7C7C8B07" w14:textId="77777777" w:rsidR="00AA1AB4" w:rsidRPr="00012E95" w:rsidRDefault="00AA1AB4" w:rsidP="00E5494F">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702F8B">
        <w:rPr>
          <w:rFonts w:asciiTheme="majorHAnsi" w:hAnsiTheme="majorHAnsi" w:cstheme="majorHAnsi"/>
        </w:rPr>
        <w:t xml:space="preserve">Согласно договорным условиям, данный кредит рекредитован ГП </w:t>
      </w:r>
      <w:r w:rsidRPr="00012E95">
        <w:rPr>
          <w:rFonts w:asciiTheme="majorHAnsi" w:hAnsiTheme="majorHAnsi" w:cstheme="majorHAnsi"/>
        </w:rPr>
        <w:t>„Moldelectrica”</w:t>
      </w:r>
      <w:r w:rsidRPr="00702F8B">
        <w:rPr>
          <w:rFonts w:asciiTheme="majorHAnsi" w:hAnsiTheme="majorHAnsi" w:cstheme="majorHAnsi"/>
        </w:rPr>
        <w:t xml:space="preserve">, таким образом, и все комиссии были </w:t>
      </w:r>
      <w:r w:rsidRPr="007B3AF0">
        <w:rPr>
          <w:rFonts w:asciiTheme="majorHAnsi" w:hAnsiTheme="majorHAnsi" w:cstheme="majorHAnsi"/>
        </w:rPr>
        <w:t>о</w:t>
      </w:r>
      <w:r w:rsidRPr="00702F8B">
        <w:rPr>
          <w:rFonts w:asciiTheme="majorHAnsi" w:hAnsiTheme="majorHAnsi" w:cstheme="majorHAnsi"/>
        </w:rPr>
        <w:t xml:space="preserve">плачены ГП </w:t>
      </w:r>
      <w:r w:rsidRPr="00012E95">
        <w:rPr>
          <w:rFonts w:asciiTheme="majorHAnsi" w:hAnsiTheme="majorHAnsi" w:cstheme="majorHAnsi"/>
        </w:rPr>
        <w:t>„Moldelectrica”.</w:t>
      </w:r>
    </w:p>
  </w:footnote>
  <w:footnote w:id="9">
    <w:p w14:paraId="3DD276B9" w14:textId="79BE87E0" w:rsidR="00AA1AB4" w:rsidRPr="00012E95" w:rsidRDefault="00AA1AB4" w:rsidP="007034A7">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Pr>
          <w:rFonts w:asciiTheme="majorHAnsi" w:hAnsiTheme="majorHAnsi" w:cstheme="majorHAnsi"/>
        </w:rPr>
        <w:t>Постановление Правительства №</w:t>
      </w:r>
      <w:r w:rsidRPr="00012E95">
        <w:rPr>
          <w:rFonts w:asciiTheme="majorHAnsi" w:hAnsiTheme="majorHAnsi" w:cstheme="majorHAnsi"/>
        </w:rPr>
        <w:t xml:space="preserve">338 </w:t>
      </w:r>
      <w:r>
        <w:rPr>
          <w:rFonts w:asciiTheme="majorHAnsi" w:hAnsiTheme="majorHAnsi" w:cstheme="majorHAnsi"/>
          <w:lang w:val="ru-RU"/>
        </w:rPr>
        <w:t>от</w:t>
      </w:r>
      <w:r w:rsidRPr="00012E95">
        <w:rPr>
          <w:rFonts w:asciiTheme="majorHAnsi" w:hAnsiTheme="majorHAnsi" w:cstheme="majorHAnsi"/>
        </w:rPr>
        <w:t xml:space="preserve"> 03.06.2020 „</w:t>
      </w:r>
      <w:r>
        <w:rPr>
          <w:rFonts w:asciiTheme="majorHAnsi" w:hAnsiTheme="majorHAnsi" w:cstheme="majorHAnsi"/>
          <w:bCs/>
          <w:lang w:val="ru-RU"/>
        </w:rPr>
        <w:t>О</w:t>
      </w:r>
      <w:r w:rsidRPr="00702F8B">
        <w:rPr>
          <w:rFonts w:asciiTheme="majorHAnsi" w:hAnsiTheme="majorHAnsi" w:cstheme="majorHAnsi"/>
          <w:bCs/>
          <w:lang w:val="ru-RU"/>
        </w:rPr>
        <w:t>б Офисе управления программами внешней помощи</w:t>
      </w:r>
      <w:r w:rsidRPr="00012E95">
        <w:rPr>
          <w:rFonts w:asciiTheme="majorHAnsi" w:hAnsiTheme="majorHAnsi" w:cstheme="majorHAnsi"/>
        </w:rPr>
        <w:t>”.</w:t>
      </w:r>
    </w:p>
  </w:footnote>
  <w:footnote w:id="10">
    <w:p w14:paraId="29BF0656" w14:textId="6D8C133A" w:rsidR="00AA1AB4" w:rsidRPr="00012E95" w:rsidRDefault="00AA1AB4" w:rsidP="00CE6869">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BA5375">
        <w:rPr>
          <w:rFonts w:asciiTheme="majorHAnsi" w:hAnsiTheme="majorHAnsi" w:cstheme="majorHAnsi"/>
        </w:rPr>
        <w:t>В</w:t>
      </w:r>
      <w:r w:rsidRPr="00BA5375">
        <w:rPr>
          <w:rFonts w:asciiTheme="majorHAnsi" w:hAnsiTheme="majorHAnsi" w:cstheme="majorHAnsi"/>
          <w:lang w:val="ro-MD"/>
        </w:rPr>
        <w:t>нешни</w:t>
      </w:r>
      <w:r w:rsidRPr="00BA5375">
        <w:rPr>
          <w:rFonts w:asciiTheme="majorHAnsi" w:hAnsiTheme="majorHAnsi" w:cstheme="majorHAnsi"/>
        </w:rPr>
        <w:t>е</w:t>
      </w:r>
      <w:r w:rsidRPr="00BA5375">
        <w:rPr>
          <w:rFonts w:asciiTheme="majorHAnsi" w:hAnsiTheme="majorHAnsi" w:cstheme="majorHAnsi"/>
          <w:lang w:val="ro-MD"/>
        </w:rPr>
        <w:t xml:space="preserve"> государственны</w:t>
      </w:r>
      <w:r w:rsidRPr="00BA5375">
        <w:rPr>
          <w:rFonts w:asciiTheme="majorHAnsi" w:hAnsiTheme="majorHAnsi" w:cstheme="majorHAnsi"/>
        </w:rPr>
        <w:t>е</w:t>
      </w:r>
      <w:r w:rsidRPr="00BA5375">
        <w:rPr>
          <w:rFonts w:asciiTheme="majorHAnsi" w:hAnsiTheme="majorHAnsi" w:cstheme="majorHAnsi"/>
          <w:lang w:val="ro-MD"/>
        </w:rPr>
        <w:t xml:space="preserve"> займ</w:t>
      </w:r>
      <w:r w:rsidRPr="00BA5375">
        <w:rPr>
          <w:rFonts w:asciiTheme="majorHAnsi" w:hAnsiTheme="majorHAnsi" w:cstheme="majorHAnsi"/>
        </w:rPr>
        <w:t xml:space="preserve">ы </w:t>
      </w:r>
      <w:r>
        <w:rPr>
          <w:rFonts w:asciiTheme="majorHAnsi" w:hAnsiTheme="majorHAnsi" w:cstheme="majorHAnsi"/>
        </w:rPr>
        <w:t>№</w:t>
      </w:r>
      <w:r w:rsidRPr="00012E95">
        <w:rPr>
          <w:rFonts w:asciiTheme="majorHAnsi" w:hAnsiTheme="majorHAnsi" w:cstheme="majorHAnsi"/>
        </w:rPr>
        <w:t xml:space="preserve">83660, </w:t>
      </w:r>
      <w:r>
        <w:rPr>
          <w:rFonts w:asciiTheme="majorHAnsi" w:hAnsiTheme="majorHAnsi" w:cstheme="majorHAnsi"/>
        </w:rPr>
        <w:t>№</w:t>
      </w:r>
      <w:r w:rsidRPr="00012E95">
        <w:rPr>
          <w:rFonts w:asciiTheme="majorHAnsi" w:hAnsiTheme="majorHAnsi" w:cstheme="majorHAnsi"/>
        </w:rPr>
        <w:t xml:space="preserve">84000, </w:t>
      </w:r>
      <w:r>
        <w:rPr>
          <w:rFonts w:asciiTheme="majorHAnsi" w:hAnsiTheme="majorHAnsi" w:cstheme="majorHAnsi"/>
        </w:rPr>
        <w:t>№</w:t>
      </w:r>
      <w:r w:rsidRPr="00012E95">
        <w:rPr>
          <w:rFonts w:asciiTheme="majorHAnsi" w:hAnsiTheme="majorHAnsi" w:cstheme="majorHAnsi"/>
        </w:rPr>
        <w:t xml:space="preserve">84510, </w:t>
      </w:r>
      <w:r>
        <w:rPr>
          <w:rFonts w:asciiTheme="majorHAnsi" w:hAnsiTheme="majorHAnsi" w:cstheme="majorHAnsi"/>
        </w:rPr>
        <w:t>№</w:t>
      </w:r>
      <w:r w:rsidRPr="00012E95">
        <w:rPr>
          <w:rFonts w:asciiTheme="majorHAnsi" w:hAnsiTheme="majorHAnsi" w:cstheme="majorHAnsi"/>
        </w:rPr>
        <w:t xml:space="preserve">86740, </w:t>
      </w:r>
      <w:r>
        <w:rPr>
          <w:rFonts w:asciiTheme="majorHAnsi" w:hAnsiTheme="majorHAnsi" w:cstheme="majorHAnsi"/>
        </w:rPr>
        <w:t>№</w:t>
      </w:r>
      <w:r w:rsidRPr="00012E95">
        <w:rPr>
          <w:rFonts w:asciiTheme="majorHAnsi" w:hAnsiTheme="majorHAnsi" w:cstheme="majorHAnsi"/>
        </w:rPr>
        <w:t xml:space="preserve">87740 </w:t>
      </w:r>
      <w:r w:rsidRPr="00BA184B">
        <w:rPr>
          <w:rFonts w:asciiTheme="majorHAnsi" w:hAnsiTheme="majorHAnsi" w:cstheme="majorHAnsi"/>
        </w:rPr>
        <w:t>и</w:t>
      </w:r>
      <w:r w:rsidRPr="00012E95">
        <w:rPr>
          <w:rFonts w:asciiTheme="majorHAnsi" w:hAnsiTheme="majorHAnsi" w:cstheme="majorHAnsi"/>
        </w:rPr>
        <w:t xml:space="preserve"> </w:t>
      </w:r>
      <w:r>
        <w:rPr>
          <w:rFonts w:asciiTheme="majorHAnsi" w:hAnsiTheme="majorHAnsi" w:cstheme="majorHAnsi"/>
        </w:rPr>
        <w:t>№</w:t>
      </w:r>
      <w:r w:rsidRPr="00012E95">
        <w:rPr>
          <w:rFonts w:asciiTheme="majorHAnsi" w:hAnsiTheme="majorHAnsi" w:cstheme="majorHAnsi"/>
        </w:rPr>
        <w:t xml:space="preserve">86250 </w:t>
      </w:r>
      <w:r w:rsidRPr="00BA184B">
        <w:rPr>
          <w:rFonts w:asciiTheme="majorHAnsi" w:hAnsiTheme="majorHAnsi" w:cstheme="majorHAnsi"/>
        </w:rPr>
        <w:t>предоставленные МБРР для финансирования следующих проектов</w:t>
      </w:r>
      <w:r w:rsidRPr="00012E95">
        <w:rPr>
          <w:rFonts w:asciiTheme="majorHAnsi" w:hAnsiTheme="majorHAnsi" w:cstheme="majorHAnsi"/>
        </w:rPr>
        <w:t xml:space="preserve">: </w:t>
      </w:r>
      <w:r>
        <w:rPr>
          <w:rFonts w:asciiTheme="majorHAnsi" w:hAnsiTheme="majorHAnsi" w:cstheme="majorHAnsi"/>
        </w:rPr>
        <w:t>Программа</w:t>
      </w:r>
      <w:r w:rsidRPr="00012E95">
        <w:rPr>
          <w:rFonts w:asciiTheme="majorHAnsi" w:hAnsiTheme="majorHAnsi" w:cstheme="majorHAnsi"/>
        </w:rPr>
        <w:t xml:space="preserve"> „First Develorp.Policy Loan”, </w:t>
      </w:r>
      <w:r w:rsidRPr="00BA184B">
        <w:rPr>
          <w:rFonts w:asciiTheme="majorHAnsi" w:hAnsiTheme="majorHAnsi" w:cstheme="majorHAnsi"/>
        </w:rPr>
        <w:t>Проект</w:t>
      </w:r>
      <w:r w:rsidRPr="00012E95">
        <w:rPr>
          <w:rFonts w:asciiTheme="majorHAnsi" w:hAnsiTheme="majorHAnsi" w:cstheme="majorHAnsi"/>
        </w:rPr>
        <w:t xml:space="preserve"> „II Competitiveness Enhancement”, </w:t>
      </w:r>
      <w:r w:rsidRPr="00BA184B">
        <w:rPr>
          <w:rFonts w:asciiTheme="majorHAnsi" w:hAnsiTheme="majorHAnsi" w:cstheme="majorHAnsi"/>
        </w:rPr>
        <w:t>Проект</w:t>
      </w:r>
      <w:r w:rsidRPr="00012E95">
        <w:rPr>
          <w:rFonts w:asciiTheme="majorHAnsi" w:hAnsiTheme="majorHAnsi" w:cstheme="majorHAnsi"/>
        </w:rPr>
        <w:t xml:space="preserve"> „District Heating Efficiency”, </w:t>
      </w:r>
      <w:r>
        <w:rPr>
          <w:rFonts w:asciiTheme="majorHAnsi" w:hAnsiTheme="majorHAnsi" w:cstheme="majorHAnsi"/>
        </w:rPr>
        <w:t>Программа</w:t>
      </w:r>
      <w:r w:rsidRPr="00012E95">
        <w:rPr>
          <w:rFonts w:asciiTheme="majorHAnsi" w:hAnsiTheme="majorHAnsi" w:cstheme="majorHAnsi"/>
        </w:rPr>
        <w:t xml:space="preserve"> „Suport Bugetar DPO2”, </w:t>
      </w:r>
      <w:r w:rsidRPr="00BA184B">
        <w:rPr>
          <w:rFonts w:asciiTheme="majorHAnsi" w:hAnsiTheme="majorHAnsi" w:cstheme="majorHAnsi"/>
        </w:rPr>
        <w:t>Проект</w:t>
      </w:r>
      <w:r w:rsidRPr="00012E95">
        <w:rPr>
          <w:rFonts w:asciiTheme="majorHAnsi" w:hAnsiTheme="majorHAnsi" w:cstheme="majorHAnsi"/>
        </w:rPr>
        <w:t xml:space="preserve"> „</w:t>
      </w:r>
      <w:r w:rsidRPr="00A36BB0">
        <w:rPr>
          <w:rFonts w:asciiTheme="majorHAnsi" w:hAnsiTheme="majorHAnsi" w:cstheme="majorHAnsi"/>
        </w:rPr>
        <w:t>Модернизация правительственных услуг</w:t>
      </w:r>
      <w:r w:rsidRPr="00012E95">
        <w:rPr>
          <w:rFonts w:asciiTheme="majorHAnsi" w:hAnsiTheme="majorHAnsi" w:cstheme="majorHAnsi"/>
        </w:rPr>
        <w:t xml:space="preserve">” </w:t>
      </w:r>
      <w:r w:rsidRPr="00A36BB0">
        <w:rPr>
          <w:rFonts w:asciiTheme="majorHAnsi" w:hAnsiTheme="majorHAnsi" w:cstheme="majorHAnsi"/>
        </w:rPr>
        <w:t>и</w:t>
      </w:r>
      <w:r w:rsidRPr="00012E95">
        <w:rPr>
          <w:rFonts w:asciiTheme="majorHAnsi" w:hAnsiTheme="majorHAnsi" w:cstheme="majorHAnsi"/>
        </w:rPr>
        <w:t xml:space="preserve"> </w:t>
      </w:r>
      <w:r w:rsidRPr="00BA184B">
        <w:rPr>
          <w:rFonts w:asciiTheme="majorHAnsi" w:hAnsiTheme="majorHAnsi" w:cstheme="majorHAnsi"/>
        </w:rPr>
        <w:t>Проект</w:t>
      </w:r>
      <w:r w:rsidRPr="00012E95">
        <w:rPr>
          <w:rFonts w:asciiTheme="majorHAnsi" w:hAnsiTheme="majorHAnsi" w:cstheme="majorHAnsi"/>
        </w:rPr>
        <w:t xml:space="preserve"> „</w:t>
      </w:r>
      <w:r w:rsidRPr="00A36BB0">
        <w:rPr>
          <w:rFonts w:asciiTheme="majorHAnsi" w:hAnsiTheme="majorHAnsi" w:cstheme="majorHAnsi"/>
        </w:rPr>
        <w:t>Модернизация налогового администрирования</w:t>
      </w:r>
      <w:r w:rsidRPr="00012E95">
        <w:rPr>
          <w:rFonts w:asciiTheme="majorHAnsi" w:hAnsiTheme="majorHAnsi" w:cstheme="majorHAnsi"/>
        </w:rPr>
        <w:t>”.</w:t>
      </w:r>
    </w:p>
  </w:footnote>
  <w:footnote w:id="11">
    <w:p w14:paraId="745F4680" w14:textId="2C85CF22" w:rsidR="00AA1AB4" w:rsidRPr="00012E95" w:rsidRDefault="00AA1AB4" w:rsidP="004D4E5A">
      <w:pPr>
        <w:pStyle w:val="FootnoteText"/>
        <w:jc w:val="both"/>
        <w:rPr>
          <w:rFonts w:asciiTheme="majorHAnsi" w:hAnsiTheme="majorHAnsi" w:cstheme="majorHAnsi"/>
          <w:lang w:val="ro-MD"/>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9E281D">
        <w:rPr>
          <w:rFonts w:asciiTheme="majorHAnsi" w:hAnsiTheme="majorHAnsi" w:cstheme="majorHAnsi"/>
          <w:lang w:val="ro-MD"/>
        </w:rPr>
        <w:t>Постановление Правительства №</w:t>
      </w:r>
      <w:r w:rsidRPr="00012E95">
        <w:rPr>
          <w:rFonts w:asciiTheme="majorHAnsi" w:hAnsiTheme="majorHAnsi" w:cstheme="majorHAnsi"/>
          <w:lang w:val="ro-MD"/>
        </w:rPr>
        <w:t xml:space="preserve">1250 </w:t>
      </w:r>
      <w:r>
        <w:rPr>
          <w:rFonts w:asciiTheme="majorHAnsi" w:hAnsiTheme="majorHAnsi" w:cstheme="majorHAnsi"/>
          <w:lang w:val="ru-RU"/>
        </w:rPr>
        <w:t>от</w:t>
      </w:r>
      <w:r w:rsidRPr="00012E95">
        <w:rPr>
          <w:rFonts w:asciiTheme="majorHAnsi" w:hAnsiTheme="majorHAnsi" w:cstheme="majorHAnsi"/>
          <w:lang w:val="ro-MD"/>
        </w:rPr>
        <w:t xml:space="preserve"> 19.12.2018 „</w:t>
      </w:r>
      <w:r w:rsidRPr="009E281D">
        <w:rPr>
          <w:rFonts w:asciiTheme="majorHAnsi" w:hAnsiTheme="majorHAnsi" w:cstheme="majorHAnsi"/>
          <w:bCs/>
        </w:rPr>
        <w:t xml:space="preserve">Об утверждении Программы </w:t>
      </w:r>
      <w:r w:rsidRPr="00012E95">
        <w:rPr>
          <w:rFonts w:asciiTheme="majorHAnsi" w:hAnsiTheme="majorHAnsi" w:cstheme="majorHAnsi"/>
          <w:lang w:val="ro-MD"/>
        </w:rPr>
        <w:t>„</w:t>
      </w:r>
      <w:r w:rsidRPr="009E281D">
        <w:rPr>
          <w:rFonts w:asciiTheme="majorHAnsi" w:hAnsiTheme="majorHAnsi" w:cstheme="majorHAnsi"/>
          <w:bCs/>
        </w:rPr>
        <w:t>Управление государственным долгом в среднесрочной перспективе (2019-2021)</w:t>
      </w:r>
      <w:r w:rsidRPr="00012E95">
        <w:rPr>
          <w:rFonts w:asciiTheme="majorHAnsi" w:hAnsiTheme="majorHAnsi" w:cstheme="majorHAnsi"/>
          <w:lang w:val="ro-MD"/>
        </w:rPr>
        <w:t>””.</w:t>
      </w:r>
    </w:p>
  </w:footnote>
  <w:footnote w:id="12">
    <w:p w14:paraId="716A81D9" w14:textId="38A00DE1" w:rsidR="00AA1AB4" w:rsidRPr="00907247" w:rsidRDefault="00AA1AB4" w:rsidP="00907247">
      <w:pPr>
        <w:pStyle w:val="FootnoteText"/>
        <w:jc w:val="both"/>
        <w:rPr>
          <w:rFonts w:cstheme="majorHAnsi"/>
          <w:b/>
          <w:bCs/>
          <w:lang w:val="ro-MD"/>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907247">
        <w:rPr>
          <w:rFonts w:asciiTheme="majorHAnsi" w:hAnsiTheme="majorHAnsi" w:cstheme="majorHAnsi"/>
          <w:bCs/>
          <w:lang w:val="ro-MD"/>
        </w:rPr>
        <w:t>Регламент о размещении, торговле и выкупе государственных ценных бумаг в форме записи на счете, утвержденный</w:t>
      </w:r>
      <w:r w:rsidRPr="00907247">
        <w:rPr>
          <w:rFonts w:cstheme="majorHAnsi"/>
          <w:b/>
          <w:bCs/>
          <w:lang w:val="ro-MD"/>
        </w:rPr>
        <w:t xml:space="preserve"> </w:t>
      </w:r>
      <w:r w:rsidRPr="00907247">
        <w:rPr>
          <w:rFonts w:asciiTheme="majorHAnsi" w:hAnsiTheme="majorHAnsi" w:cstheme="majorHAnsi"/>
          <w:bCs/>
          <w:lang w:val="ru-RU"/>
        </w:rPr>
        <w:t>Приказом МФ №</w:t>
      </w:r>
      <w:r w:rsidRPr="00012E95">
        <w:rPr>
          <w:rFonts w:asciiTheme="majorHAnsi" w:hAnsiTheme="majorHAnsi" w:cstheme="majorHAnsi"/>
          <w:lang w:val="ro-MD"/>
        </w:rPr>
        <w:t xml:space="preserve">129 </w:t>
      </w:r>
      <w:r>
        <w:rPr>
          <w:rFonts w:asciiTheme="majorHAnsi" w:hAnsiTheme="majorHAnsi" w:cstheme="majorHAnsi"/>
          <w:lang w:val="ru-RU"/>
        </w:rPr>
        <w:t>от</w:t>
      </w:r>
      <w:r w:rsidRPr="00012E95">
        <w:rPr>
          <w:rFonts w:asciiTheme="majorHAnsi" w:hAnsiTheme="majorHAnsi" w:cstheme="majorHAnsi"/>
          <w:lang w:val="ro-MD"/>
        </w:rPr>
        <w:t xml:space="preserve"> 19.07.2018.</w:t>
      </w:r>
    </w:p>
  </w:footnote>
  <w:footnote w:id="13">
    <w:p w14:paraId="5EDC3804" w14:textId="07E950C9" w:rsidR="00AA1AB4" w:rsidRPr="00012E95" w:rsidRDefault="00AA1AB4" w:rsidP="00B97416">
      <w:pPr>
        <w:pStyle w:val="FootnoteText"/>
        <w:jc w:val="both"/>
        <w:rPr>
          <w:rFonts w:asciiTheme="majorHAnsi" w:hAnsiTheme="majorHAnsi" w:cstheme="majorHAnsi"/>
          <w:lang w:val="ro-MD"/>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A268D2">
        <w:rPr>
          <w:rFonts w:asciiTheme="majorHAnsi" w:hAnsiTheme="majorHAnsi" w:cstheme="majorHAnsi"/>
          <w:lang w:val="ro-MD"/>
        </w:rPr>
        <w:t xml:space="preserve">Закон </w:t>
      </w:r>
      <w:r w:rsidRPr="00A268D2">
        <w:rPr>
          <w:rFonts w:asciiTheme="majorHAnsi" w:hAnsiTheme="majorHAnsi" w:cstheme="majorHAnsi"/>
          <w:bCs/>
          <w:lang w:val="ro-MD"/>
        </w:rPr>
        <w:t>о долге публичного сектора, государственных гарантиях и государственном рекредитовании</w:t>
      </w:r>
      <w:r w:rsidRPr="00A268D2">
        <w:rPr>
          <w:rFonts w:asciiTheme="majorHAnsi" w:hAnsiTheme="majorHAnsi" w:cstheme="majorHAnsi"/>
          <w:lang w:val="ro-MD"/>
        </w:rPr>
        <w:t xml:space="preserve"> №</w:t>
      </w:r>
      <w:r w:rsidRPr="00012E95">
        <w:rPr>
          <w:rFonts w:asciiTheme="majorHAnsi" w:hAnsiTheme="majorHAnsi" w:cstheme="majorHAnsi"/>
          <w:lang w:val="ro-MD"/>
        </w:rPr>
        <w:t xml:space="preserve">419 </w:t>
      </w:r>
      <w:r w:rsidRPr="00A268D2">
        <w:rPr>
          <w:rFonts w:asciiTheme="majorHAnsi" w:hAnsiTheme="majorHAnsi" w:cstheme="majorHAnsi"/>
          <w:bCs/>
          <w:lang w:val="ro-MD"/>
        </w:rPr>
        <w:t>от</w:t>
      </w:r>
      <w:r w:rsidRPr="00012E95">
        <w:rPr>
          <w:rFonts w:asciiTheme="majorHAnsi" w:hAnsiTheme="majorHAnsi" w:cstheme="majorHAnsi"/>
          <w:bCs/>
          <w:lang w:val="ro-MD"/>
        </w:rPr>
        <w:t xml:space="preserve"> 22.12.2006 (</w:t>
      </w:r>
      <w:r>
        <w:rPr>
          <w:rFonts w:asciiTheme="majorHAnsi" w:hAnsiTheme="majorHAnsi" w:cstheme="majorHAnsi"/>
          <w:bCs/>
          <w:lang w:val="ro-MD"/>
        </w:rPr>
        <w:t>далее</w:t>
      </w:r>
      <w:r w:rsidRPr="00012E95">
        <w:rPr>
          <w:rFonts w:asciiTheme="majorHAnsi" w:hAnsiTheme="majorHAnsi" w:cstheme="majorHAnsi"/>
          <w:bCs/>
          <w:lang w:val="ro-MD"/>
        </w:rPr>
        <w:t xml:space="preserve"> – </w:t>
      </w:r>
      <w:r>
        <w:rPr>
          <w:rFonts w:asciiTheme="majorHAnsi" w:hAnsiTheme="majorHAnsi" w:cstheme="majorHAnsi"/>
          <w:bCs/>
          <w:lang w:val="ro-MD"/>
        </w:rPr>
        <w:t>Закон №</w:t>
      </w:r>
      <w:r w:rsidRPr="00012E95">
        <w:rPr>
          <w:rFonts w:asciiTheme="majorHAnsi" w:hAnsiTheme="majorHAnsi" w:cstheme="majorHAnsi"/>
          <w:bCs/>
          <w:lang w:val="ro-MD"/>
        </w:rPr>
        <w:t>419 din 22.12.2006).</w:t>
      </w:r>
    </w:p>
  </w:footnote>
  <w:footnote w:id="14">
    <w:p w14:paraId="2D78C7EF" w14:textId="33DEC5DB" w:rsidR="00AA1AB4" w:rsidRPr="00012E95" w:rsidRDefault="00AA1AB4" w:rsidP="00B33210">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Pr>
          <w:rFonts w:asciiTheme="majorHAnsi" w:hAnsiTheme="majorHAnsi" w:cstheme="majorHAnsi"/>
          <w:lang w:val="ru-RU"/>
        </w:rPr>
        <w:t>Ст</w:t>
      </w:r>
      <w:r>
        <w:rPr>
          <w:rFonts w:asciiTheme="majorHAnsi" w:hAnsiTheme="majorHAnsi" w:cstheme="majorHAnsi"/>
        </w:rPr>
        <w:t>.IV</w:t>
      </w:r>
      <w:r>
        <w:rPr>
          <w:rFonts w:asciiTheme="majorHAnsi" w:hAnsiTheme="majorHAnsi" w:cstheme="majorHAnsi"/>
          <w:lang w:val="ru-RU"/>
        </w:rPr>
        <w:t xml:space="preserve"> </w:t>
      </w:r>
      <w:r w:rsidRPr="00012E95">
        <w:rPr>
          <w:rFonts w:asciiTheme="majorHAnsi" w:hAnsiTheme="majorHAnsi" w:cstheme="majorHAnsi"/>
        </w:rPr>
        <w:t xml:space="preserve">(2) </w:t>
      </w:r>
      <w:r w:rsidRPr="00A268D2">
        <w:rPr>
          <w:rFonts w:asciiTheme="majorHAnsi" w:hAnsiTheme="majorHAnsi" w:cstheme="majorHAnsi"/>
          <w:lang w:val="ro-MD"/>
        </w:rPr>
        <w:t xml:space="preserve">Закона </w:t>
      </w:r>
      <w:r w:rsidRPr="00A268D2">
        <w:rPr>
          <w:rFonts w:asciiTheme="majorHAnsi" w:hAnsiTheme="majorHAnsi" w:cstheme="majorHAnsi"/>
          <w:bCs/>
          <w:lang w:val="ro-MD"/>
        </w:rPr>
        <w:t>о внесении изменений и дополнений в некоторые законодательные акты</w:t>
      </w:r>
      <w:r w:rsidRPr="00A268D2">
        <w:rPr>
          <w:rFonts w:asciiTheme="majorHAnsi" w:hAnsiTheme="majorHAnsi" w:cstheme="majorHAnsi"/>
          <w:lang w:val="ro-MD"/>
        </w:rPr>
        <w:t xml:space="preserve"> №</w:t>
      </w:r>
      <w:r w:rsidRPr="00012E95">
        <w:rPr>
          <w:rFonts w:asciiTheme="majorHAnsi" w:hAnsiTheme="majorHAnsi" w:cstheme="majorHAnsi"/>
          <w:lang w:val="ro-MD"/>
        </w:rPr>
        <w:t xml:space="preserve">294 </w:t>
      </w:r>
      <w:r>
        <w:rPr>
          <w:rFonts w:asciiTheme="majorHAnsi" w:hAnsiTheme="majorHAnsi" w:cstheme="majorHAnsi"/>
          <w:lang w:val="ru-RU"/>
        </w:rPr>
        <w:t>от</w:t>
      </w:r>
      <w:r w:rsidRPr="00012E95">
        <w:rPr>
          <w:rFonts w:asciiTheme="majorHAnsi" w:hAnsiTheme="majorHAnsi" w:cstheme="majorHAnsi"/>
          <w:lang w:val="ro-MD"/>
        </w:rPr>
        <w:t xml:space="preserve"> 21.12.2017.</w:t>
      </w:r>
    </w:p>
  </w:footnote>
  <w:footnote w:id="15">
    <w:p w14:paraId="757D68D6" w14:textId="4942B0F0" w:rsidR="00AA1AB4" w:rsidRPr="00A268D2" w:rsidRDefault="00AA1AB4" w:rsidP="00B97416">
      <w:pPr>
        <w:pStyle w:val="FootnoteText"/>
        <w:jc w:val="both"/>
        <w:rPr>
          <w:rFonts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A268D2">
        <w:rPr>
          <w:rFonts w:asciiTheme="majorHAnsi" w:hAnsiTheme="majorHAnsi" w:cstheme="majorHAnsi"/>
        </w:rPr>
        <w:t xml:space="preserve">Закон </w:t>
      </w:r>
      <w:r w:rsidRPr="00A268D2">
        <w:rPr>
          <w:rFonts w:cstheme="majorHAnsi"/>
          <w:bCs/>
        </w:rPr>
        <w:t xml:space="preserve">о </w:t>
      </w:r>
      <w:r w:rsidRPr="00A268D2">
        <w:rPr>
          <w:rFonts w:asciiTheme="majorHAnsi" w:hAnsiTheme="majorHAnsi" w:cstheme="majorHAnsi"/>
          <w:bCs/>
        </w:rPr>
        <w:t xml:space="preserve">некоторых мерах по реализации государственной программы </w:t>
      </w:r>
      <w:r w:rsidRPr="00012E95">
        <w:rPr>
          <w:rFonts w:asciiTheme="majorHAnsi" w:hAnsiTheme="majorHAnsi" w:cstheme="majorHAnsi"/>
        </w:rPr>
        <w:t xml:space="preserve">„Prima casă” </w:t>
      </w:r>
      <w:r w:rsidRPr="00A268D2">
        <w:rPr>
          <w:rFonts w:asciiTheme="majorHAnsi" w:hAnsiTheme="majorHAnsi" w:cstheme="majorHAnsi"/>
        </w:rPr>
        <w:t>№</w:t>
      </w:r>
      <w:r w:rsidRPr="00012E95">
        <w:rPr>
          <w:rFonts w:asciiTheme="majorHAnsi" w:hAnsiTheme="majorHAnsi" w:cstheme="majorHAnsi"/>
        </w:rPr>
        <w:t xml:space="preserve">293 </w:t>
      </w:r>
      <w:r w:rsidRPr="00A268D2">
        <w:rPr>
          <w:rFonts w:asciiTheme="majorHAnsi" w:hAnsiTheme="majorHAnsi" w:cstheme="majorHAnsi"/>
        </w:rPr>
        <w:t>от</w:t>
      </w:r>
      <w:r w:rsidRPr="00012E95">
        <w:rPr>
          <w:rFonts w:asciiTheme="majorHAnsi" w:hAnsiTheme="majorHAnsi" w:cstheme="majorHAnsi"/>
        </w:rPr>
        <w:t xml:space="preserve"> 21.12.2017 (</w:t>
      </w:r>
      <w:r>
        <w:rPr>
          <w:rFonts w:asciiTheme="majorHAnsi" w:hAnsiTheme="majorHAnsi" w:cstheme="majorHAnsi"/>
        </w:rPr>
        <w:t>далее</w:t>
      </w:r>
      <w:r w:rsidRPr="00012E95">
        <w:rPr>
          <w:rFonts w:asciiTheme="majorHAnsi" w:hAnsiTheme="majorHAnsi" w:cstheme="majorHAnsi"/>
        </w:rPr>
        <w:t xml:space="preserve"> – </w:t>
      </w:r>
      <w:r>
        <w:rPr>
          <w:rFonts w:asciiTheme="majorHAnsi" w:hAnsiTheme="majorHAnsi" w:cstheme="majorHAnsi"/>
        </w:rPr>
        <w:t>Закон №</w:t>
      </w:r>
      <w:r w:rsidRPr="00012E95">
        <w:rPr>
          <w:rFonts w:asciiTheme="majorHAnsi" w:hAnsiTheme="majorHAnsi" w:cstheme="majorHAnsi"/>
        </w:rPr>
        <w:t xml:space="preserve">293 </w:t>
      </w:r>
      <w:r>
        <w:rPr>
          <w:rFonts w:asciiTheme="majorHAnsi" w:hAnsiTheme="majorHAnsi" w:cstheme="majorHAnsi"/>
          <w:lang w:val="ru-RU"/>
        </w:rPr>
        <w:t>от</w:t>
      </w:r>
      <w:r w:rsidRPr="00012E95">
        <w:rPr>
          <w:rFonts w:asciiTheme="majorHAnsi" w:hAnsiTheme="majorHAnsi" w:cstheme="majorHAnsi"/>
        </w:rPr>
        <w:t xml:space="preserve"> 21.12.2017).</w:t>
      </w:r>
    </w:p>
  </w:footnote>
  <w:footnote w:id="16">
    <w:p w14:paraId="12CBADBF" w14:textId="34922CB6" w:rsidR="00AA1AB4" w:rsidRPr="00012E95" w:rsidRDefault="00AA1AB4" w:rsidP="001602ED">
      <w:pPr>
        <w:pStyle w:val="FootnoteText"/>
        <w:jc w:val="both"/>
        <w:rPr>
          <w:rFonts w:asciiTheme="majorHAnsi" w:hAnsiTheme="majorHAnsi" w:cstheme="majorHAnsi"/>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Pr>
          <w:rFonts w:asciiTheme="majorHAnsi" w:hAnsiTheme="majorHAnsi" w:cstheme="majorHAnsi"/>
        </w:rPr>
        <w:t>Постановление Правительства №</w:t>
      </w:r>
      <w:r w:rsidRPr="00012E95">
        <w:rPr>
          <w:rFonts w:asciiTheme="majorHAnsi" w:hAnsiTheme="majorHAnsi" w:cstheme="majorHAnsi"/>
        </w:rPr>
        <w:t xml:space="preserve">202 </w:t>
      </w:r>
      <w:r>
        <w:rPr>
          <w:rFonts w:asciiTheme="majorHAnsi" w:hAnsiTheme="majorHAnsi" w:cstheme="majorHAnsi"/>
          <w:lang w:val="ru-RU"/>
        </w:rPr>
        <w:t>от</w:t>
      </w:r>
      <w:r w:rsidRPr="00012E95">
        <w:rPr>
          <w:rFonts w:asciiTheme="majorHAnsi" w:hAnsiTheme="majorHAnsi" w:cstheme="majorHAnsi"/>
        </w:rPr>
        <w:t xml:space="preserve"> 28.02.2018 „</w:t>
      </w:r>
      <w:r w:rsidRPr="000C7A12">
        <w:rPr>
          <w:rFonts w:ascii="Calibri Light" w:hAnsi="Calibri Light" w:cs="Calibri Light"/>
          <w:bCs/>
        </w:rPr>
        <w:t>Об утверждении Положения по реализации</w:t>
      </w:r>
      <w:r>
        <w:rPr>
          <w:rFonts w:ascii="Calibri Light" w:hAnsi="Calibri Light" w:cs="Calibri Light"/>
          <w:bCs/>
          <w:lang w:val="ru-RU"/>
        </w:rPr>
        <w:t xml:space="preserve"> </w:t>
      </w:r>
      <w:r w:rsidRPr="000C7A12">
        <w:rPr>
          <w:rFonts w:ascii="Calibri Light" w:hAnsi="Calibri Light" w:cs="Calibri Light"/>
          <w:bCs/>
        </w:rPr>
        <w:t>государственной программы</w:t>
      </w:r>
      <w:r w:rsidRPr="000C7A12">
        <w:rPr>
          <w:rFonts w:cstheme="majorHAnsi"/>
          <w:b/>
          <w:bCs/>
        </w:rPr>
        <w:t xml:space="preserve"> </w:t>
      </w:r>
      <w:r w:rsidRPr="00012E95">
        <w:rPr>
          <w:rFonts w:asciiTheme="majorHAnsi" w:hAnsiTheme="majorHAnsi" w:cstheme="majorHAnsi"/>
        </w:rPr>
        <w:t xml:space="preserve"> „Prima casă”” (</w:t>
      </w:r>
      <w:r>
        <w:rPr>
          <w:rFonts w:asciiTheme="majorHAnsi" w:hAnsiTheme="majorHAnsi" w:cstheme="majorHAnsi"/>
        </w:rPr>
        <w:t>далее</w:t>
      </w:r>
      <w:r w:rsidRPr="00012E95">
        <w:rPr>
          <w:rFonts w:asciiTheme="majorHAnsi" w:hAnsiTheme="majorHAnsi" w:cstheme="majorHAnsi"/>
        </w:rPr>
        <w:t xml:space="preserve"> – </w:t>
      </w:r>
      <w:r>
        <w:rPr>
          <w:rFonts w:asciiTheme="majorHAnsi" w:hAnsiTheme="majorHAnsi" w:cstheme="majorHAnsi"/>
        </w:rPr>
        <w:t>Постановление Правительства №</w:t>
      </w:r>
      <w:r w:rsidRPr="00012E95">
        <w:rPr>
          <w:rFonts w:asciiTheme="majorHAnsi" w:hAnsiTheme="majorHAnsi" w:cstheme="majorHAnsi"/>
        </w:rPr>
        <w:t xml:space="preserve">202 </w:t>
      </w:r>
      <w:r>
        <w:rPr>
          <w:rFonts w:asciiTheme="majorHAnsi" w:hAnsiTheme="majorHAnsi" w:cstheme="majorHAnsi"/>
          <w:lang w:val="ru-RU"/>
        </w:rPr>
        <w:t>от</w:t>
      </w:r>
      <w:r w:rsidRPr="00012E95">
        <w:rPr>
          <w:rFonts w:asciiTheme="majorHAnsi" w:hAnsiTheme="majorHAnsi" w:cstheme="majorHAnsi"/>
        </w:rPr>
        <w:t xml:space="preserve"> 28.02.2018).</w:t>
      </w:r>
    </w:p>
  </w:footnote>
  <w:footnote w:id="17">
    <w:p w14:paraId="180317D4" w14:textId="7A0F273D" w:rsidR="00AA1AB4" w:rsidRPr="00012E95" w:rsidRDefault="00AA1AB4" w:rsidP="000F6997">
      <w:pPr>
        <w:pStyle w:val="FootnoteText"/>
        <w:jc w:val="both"/>
        <w:rPr>
          <w:rFonts w:asciiTheme="majorHAnsi" w:hAnsiTheme="majorHAnsi" w:cstheme="majorHAnsi"/>
          <w:lang w:val="ro-MD"/>
        </w:rPr>
      </w:pPr>
      <w:r w:rsidRPr="00012E95">
        <w:rPr>
          <w:rStyle w:val="FootnoteReference"/>
          <w:rFonts w:asciiTheme="majorHAnsi" w:hAnsiTheme="majorHAnsi" w:cstheme="majorHAnsi"/>
        </w:rPr>
        <w:footnoteRef/>
      </w:r>
      <w:r w:rsidRPr="00012E95">
        <w:rPr>
          <w:rFonts w:asciiTheme="majorHAnsi" w:hAnsiTheme="majorHAnsi" w:cstheme="majorHAnsi"/>
        </w:rPr>
        <w:t xml:space="preserve"> </w:t>
      </w:r>
      <w:r w:rsidRPr="00AA1AB4">
        <w:rPr>
          <w:rFonts w:asciiTheme="majorHAnsi" w:hAnsiTheme="majorHAnsi" w:cstheme="majorHAnsi"/>
        </w:rPr>
        <w:t xml:space="preserve">Результаты проведенного аудита представлены в </w:t>
      </w:r>
      <w:r>
        <w:rPr>
          <w:rFonts w:asciiTheme="majorHAnsi" w:hAnsiTheme="majorHAnsi" w:cstheme="majorHAnsi"/>
        </w:rPr>
        <w:t>J</w:t>
      </w:r>
      <w:r w:rsidRPr="00AA1AB4">
        <w:rPr>
          <w:rFonts w:asciiTheme="majorHAnsi" w:hAnsiTheme="majorHAnsi" w:cstheme="majorHAnsi"/>
        </w:rPr>
        <w:t>тчете аудита эффективности деятельности Директората кредитной линии, в котором Министерство финансов является учредителем</w:t>
      </w:r>
      <w:r w:rsidRPr="00012E95">
        <w:rPr>
          <w:rFonts w:asciiTheme="majorHAnsi" w:hAnsiTheme="majorHAnsi" w:cstheme="majorHAnsi"/>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C14"/>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83F42"/>
    <w:multiLevelType w:val="hybridMultilevel"/>
    <w:tmpl w:val="4A9CD60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4085"/>
    <w:multiLevelType w:val="hybridMultilevel"/>
    <w:tmpl w:val="A274DD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C1E"/>
    <w:multiLevelType w:val="hybridMultilevel"/>
    <w:tmpl w:val="D2B0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7BDC"/>
    <w:multiLevelType w:val="hybridMultilevel"/>
    <w:tmpl w:val="7B249608"/>
    <w:lvl w:ilvl="0" w:tplc="F670E0C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15D0"/>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53C5"/>
    <w:multiLevelType w:val="hybridMultilevel"/>
    <w:tmpl w:val="7B40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21E3"/>
    <w:multiLevelType w:val="hybridMultilevel"/>
    <w:tmpl w:val="8F2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174B3"/>
    <w:multiLevelType w:val="hybridMultilevel"/>
    <w:tmpl w:val="BEFE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02144"/>
    <w:multiLevelType w:val="hybridMultilevel"/>
    <w:tmpl w:val="53CC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66117"/>
    <w:multiLevelType w:val="hybridMultilevel"/>
    <w:tmpl w:val="25D4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366F9"/>
    <w:multiLevelType w:val="hybridMultilevel"/>
    <w:tmpl w:val="FD1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97132"/>
    <w:multiLevelType w:val="hybridMultilevel"/>
    <w:tmpl w:val="B3C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5658D"/>
    <w:multiLevelType w:val="hybridMultilevel"/>
    <w:tmpl w:val="2F1E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1479B"/>
    <w:multiLevelType w:val="hybridMultilevel"/>
    <w:tmpl w:val="0D36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B456F"/>
    <w:multiLevelType w:val="hybridMultilevel"/>
    <w:tmpl w:val="765891E6"/>
    <w:lvl w:ilvl="0" w:tplc="67581614">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60564"/>
    <w:multiLevelType w:val="hybridMultilevel"/>
    <w:tmpl w:val="6FAA4A5E"/>
    <w:lvl w:ilvl="0" w:tplc="627CB54E">
      <w:start w:val="1"/>
      <w:numFmt w:val="upperRoman"/>
      <w:lvlText w:val="%1."/>
      <w:lvlJc w:val="left"/>
      <w:pPr>
        <w:ind w:left="117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47A0B"/>
    <w:multiLevelType w:val="hybridMultilevel"/>
    <w:tmpl w:val="9A0E8342"/>
    <w:lvl w:ilvl="0" w:tplc="671AB5F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7E3F"/>
    <w:multiLevelType w:val="multilevel"/>
    <w:tmpl w:val="46E2BB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b/>
        <w:i/>
        <w:color w:val="5B9BD5" w:themeColor="accent1"/>
      </w:rPr>
    </w:lvl>
    <w:lvl w:ilvl="3">
      <w:start w:val="1"/>
      <w:numFmt w:val="decimal"/>
      <w:lvlText w:val="%1.%2.%3.%4."/>
      <w:lvlJc w:val="left"/>
      <w:pPr>
        <w:ind w:left="2070" w:hanging="108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6657F"/>
    <w:multiLevelType w:val="hybridMultilevel"/>
    <w:tmpl w:val="ACA6DF76"/>
    <w:lvl w:ilvl="0" w:tplc="57782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5"/>
  </w:num>
  <w:num w:numId="5">
    <w:abstractNumId w:val="19"/>
  </w:num>
  <w:num w:numId="6">
    <w:abstractNumId w:val="25"/>
  </w:num>
  <w:num w:numId="7">
    <w:abstractNumId w:val="24"/>
  </w:num>
  <w:num w:numId="8">
    <w:abstractNumId w:val="12"/>
  </w:num>
  <w:num w:numId="9">
    <w:abstractNumId w:val="1"/>
  </w:num>
  <w:num w:numId="10">
    <w:abstractNumId w:val="13"/>
  </w:num>
  <w:num w:numId="11">
    <w:abstractNumId w:val="10"/>
  </w:num>
  <w:num w:numId="12">
    <w:abstractNumId w:val="17"/>
  </w:num>
  <w:num w:numId="13">
    <w:abstractNumId w:val="8"/>
  </w:num>
  <w:num w:numId="14">
    <w:abstractNumId w:val="3"/>
  </w:num>
  <w:num w:numId="15">
    <w:abstractNumId w:val="15"/>
  </w:num>
  <w:num w:numId="16">
    <w:abstractNumId w:val="16"/>
  </w:num>
  <w:num w:numId="17">
    <w:abstractNumId w:val="11"/>
  </w:num>
  <w:num w:numId="18">
    <w:abstractNumId w:val="18"/>
  </w:num>
  <w:num w:numId="19">
    <w:abstractNumId w:val="4"/>
  </w:num>
  <w:num w:numId="20">
    <w:abstractNumId w:val="14"/>
  </w:num>
  <w:num w:numId="21">
    <w:abstractNumId w:val="7"/>
  </w:num>
  <w:num w:numId="22">
    <w:abstractNumId w:val="0"/>
  </w:num>
  <w:num w:numId="23">
    <w:abstractNumId w:val="9"/>
  </w:num>
  <w:num w:numId="24">
    <w:abstractNumId w:val="6"/>
  </w:num>
  <w:num w:numId="25">
    <w:abstractNumId w:val="2"/>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15B0"/>
    <w:rsid w:val="00003EAD"/>
    <w:rsid w:val="000044AF"/>
    <w:rsid w:val="00010065"/>
    <w:rsid w:val="0001032C"/>
    <w:rsid w:val="00010F60"/>
    <w:rsid w:val="0001142F"/>
    <w:rsid w:val="000121D2"/>
    <w:rsid w:val="00012E95"/>
    <w:rsid w:val="00012F1E"/>
    <w:rsid w:val="00013032"/>
    <w:rsid w:val="000174B6"/>
    <w:rsid w:val="00017C4A"/>
    <w:rsid w:val="00017D61"/>
    <w:rsid w:val="00017DD7"/>
    <w:rsid w:val="0002037F"/>
    <w:rsid w:val="00024CA8"/>
    <w:rsid w:val="00025BFE"/>
    <w:rsid w:val="00026081"/>
    <w:rsid w:val="00026E56"/>
    <w:rsid w:val="00030127"/>
    <w:rsid w:val="0003070F"/>
    <w:rsid w:val="00033A80"/>
    <w:rsid w:val="00033CD7"/>
    <w:rsid w:val="000374B8"/>
    <w:rsid w:val="0004441B"/>
    <w:rsid w:val="000476C5"/>
    <w:rsid w:val="0005017D"/>
    <w:rsid w:val="000504F5"/>
    <w:rsid w:val="00051E8D"/>
    <w:rsid w:val="00053C04"/>
    <w:rsid w:val="00055335"/>
    <w:rsid w:val="0005555B"/>
    <w:rsid w:val="00055934"/>
    <w:rsid w:val="000561FB"/>
    <w:rsid w:val="0006038E"/>
    <w:rsid w:val="000612FF"/>
    <w:rsid w:val="00062319"/>
    <w:rsid w:val="000663F2"/>
    <w:rsid w:val="0006647E"/>
    <w:rsid w:val="00066564"/>
    <w:rsid w:val="0007282C"/>
    <w:rsid w:val="000736C5"/>
    <w:rsid w:val="00075906"/>
    <w:rsid w:val="000762CA"/>
    <w:rsid w:val="00077A89"/>
    <w:rsid w:val="00077D5D"/>
    <w:rsid w:val="00077E4F"/>
    <w:rsid w:val="000815A7"/>
    <w:rsid w:val="00083E57"/>
    <w:rsid w:val="00084585"/>
    <w:rsid w:val="00087303"/>
    <w:rsid w:val="00090267"/>
    <w:rsid w:val="0009184E"/>
    <w:rsid w:val="000919D6"/>
    <w:rsid w:val="00091FDC"/>
    <w:rsid w:val="000941AF"/>
    <w:rsid w:val="00095134"/>
    <w:rsid w:val="00095DC8"/>
    <w:rsid w:val="00096380"/>
    <w:rsid w:val="00096779"/>
    <w:rsid w:val="00096E66"/>
    <w:rsid w:val="000976F2"/>
    <w:rsid w:val="000A275F"/>
    <w:rsid w:val="000A4C2D"/>
    <w:rsid w:val="000A5447"/>
    <w:rsid w:val="000B1ADB"/>
    <w:rsid w:val="000B3AAE"/>
    <w:rsid w:val="000B488E"/>
    <w:rsid w:val="000B5BEA"/>
    <w:rsid w:val="000B631D"/>
    <w:rsid w:val="000B782B"/>
    <w:rsid w:val="000C054F"/>
    <w:rsid w:val="000C45E1"/>
    <w:rsid w:val="000C47AB"/>
    <w:rsid w:val="000C6853"/>
    <w:rsid w:val="000C7A12"/>
    <w:rsid w:val="000D3C2C"/>
    <w:rsid w:val="000D3D3E"/>
    <w:rsid w:val="000D42C6"/>
    <w:rsid w:val="000D70D9"/>
    <w:rsid w:val="000E1785"/>
    <w:rsid w:val="000E3BCE"/>
    <w:rsid w:val="000E3FEA"/>
    <w:rsid w:val="000E501B"/>
    <w:rsid w:val="000E6A18"/>
    <w:rsid w:val="000E7D38"/>
    <w:rsid w:val="000F3288"/>
    <w:rsid w:val="000F5AE2"/>
    <w:rsid w:val="000F5FBD"/>
    <w:rsid w:val="000F6997"/>
    <w:rsid w:val="00102195"/>
    <w:rsid w:val="00102C50"/>
    <w:rsid w:val="00102EBE"/>
    <w:rsid w:val="001041B2"/>
    <w:rsid w:val="0010428B"/>
    <w:rsid w:val="0010469B"/>
    <w:rsid w:val="00107014"/>
    <w:rsid w:val="00110D67"/>
    <w:rsid w:val="001132F4"/>
    <w:rsid w:val="00114A62"/>
    <w:rsid w:val="00116417"/>
    <w:rsid w:val="00117ED0"/>
    <w:rsid w:val="00120647"/>
    <w:rsid w:val="001215A7"/>
    <w:rsid w:val="00122EC5"/>
    <w:rsid w:val="00123BCC"/>
    <w:rsid w:val="00131233"/>
    <w:rsid w:val="00133A99"/>
    <w:rsid w:val="00133D96"/>
    <w:rsid w:val="001365B9"/>
    <w:rsid w:val="00137782"/>
    <w:rsid w:val="00137D33"/>
    <w:rsid w:val="0014067E"/>
    <w:rsid w:val="0014169C"/>
    <w:rsid w:val="00141EA1"/>
    <w:rsid w:val="00143B1C"/>
    <w:rsid w:val="001442CE"/>
    <w:rsid w:val="0014794C"/>
    <w:rsid w:val="00147A4A"/>
    <w:rsid w:val="00147CB5"/>
    <w:rsid w:val="00147D69"/>
    <w:rsid w:val="001505F8"/>
    <w:rsid w:val="00151374"/>
    <w:rsid w:val="00155BF0"/>
    <w:rsid w:val="001602ED"/>
    <w:rsid w:val="0016162C"/>
    <w:rsid w:val="001634BB"/>
    <w:rsid w:val="00163A00"/>
    <w:rsid w:val="00163D6D"/>
    <w:rsid w:val="00163FE8"/>
    <w:rsid w:val="00164F90"/>
    <w:rsid w:val="001657CC"/>
    <w:rsid w:val="00166148"/>
    <w:rsid w:val="00172210"/>
    <w:rsid w:val="00173227"/>
    <w:rsid w:val="00173877"/>
    <w:rsid w:val="00175651"/>
    <w:rsid w:val="001778BF"/>
    <w:rsid w:val="001809A0"/>
    <w:rsid w:val="00180F93"/>
    <w:rsid w:val="00181418"/>
    <w:rsid w:val="00181D24"/>
    <w:rsid w:val="0018260B"/>
    <w:rsid w:val="00182F0D"/>
    <w:rsid w:val="00183BED"/>
    <w:rsid w:val="00186537"/>
    <w:rsid w:val="001868AD"/>
    <w:rsid w:val="00194723"/>
    <w:rsid w:val="00194F19"/>
    <w:rsid w:val="00197011"/>
    <w:rsid w:val="001A01E4"/>
    <w:rsid w:val="001A181D"/>
    <w:rsid w:val="001A562D"/>
    <w:rsid w:val="001A6314"/>
    <w:rsid w:val="001A69E4"/>
    <w:rsid w:val="001A752E"/>
    <w:rsid w:val="001B1A1A"/>
    <w:rsid w:val="001B1B09"/>
    <w:rsid w:val="001C0F87"/>
    <w:rsid w:val="001C1AA7"/>
    <w:rsid w:val="001C2692"/>
    <w:rsid w:val="001C3684"/>
    <w:rsid w:val="001C4633"/>
    <w:rsid w:val="001D0BE7"/>
    <w:rsid w:val="001D3F98"/>
    <w:rsid w:val="001D5D48"/>
    <w:rsid w:val="001D5F59"/>
    <w:rsid w:val="001D62E0"/>
    <w:rsid w:val="001D76FD"/>
    <w:rsid w:val="001E22EE"/>
    <w:rsid w:val="001E2498"/>
    <w:rsid w:val="001E4050"/>
    <w:rsid w:val="001E7849"/>
    <w:rsid w:val="001F183A"/>
    <w:rsid w:val="001F4227"/>
    <w:rsid w:val="001F52E1"/>
    <w:rsid w:val="001F601F"/>
    <w:rsid w:val="00202966"/>
    <w:rsid w:val="00203D62"/>
    <w:rsid w:val="00204D8A"/>
    <w:rsid w:val="002060CD"/>
    <w:rsid w:val="00207DAD"/>
    <w:rsid w:val="0021097A"/>
    <w:rsid w:val="00213941"/>
    <w:rsid w:val="00214C14"/>
    <w:rsid w:val="002159FF"/>
    <w:rsid w:val="0021732B"/>
    <w:rsid w:val="0021765E"/>
    <w:rsid w:val="0022013C"/>
    <w:rsid w:val="00220355"/>
    <w:rsid w:val="002209CB"/>
    <w:rsid w:val="00220AE4"/>
    <w:rsid w:val="0022348C"/>
    <w:rsid w:val="00224C85"/>
    <w:rsid w:val="00226E06"/>
    <w:rsid w:val="00230607"/>
    <w:rsid w:val="00230611"/>
    <w:rsid w:val="00231588"/>
    <w:rsid w:val="00233A89"/>
    <w:rsid w:val="0023466E"/>
    <w:rsid w:val="00235B44"/>
    <w:rsid w:val="00235FC7"/>
    <w:rsid w:val="00237AC2"/>
    <w:rsid w:val="00237AE7"/>
    <w:rsid w:val="002401DD"/>
    <w:rsid w:val="00240331"/>
    <w:rsid w:val="00246BFA"/>
    <w:rsid w:val="00250D88"/>
    <w:rsid w:val="00254CA7"/>
    <w:rsid w:val="002550F7"/>
    <w:rsid w:val="002608F5"/>
    <w:rsid w:val="002608FF"/>
    <w:rsid w:val="0026326C"/>
    <w:rsid w:val="00263684"/>
    <w:rsid w:val="00265EF8"/>
    <w:rsid w:val="0027111E"/>
    <w:rsid w:val="00274B41"/>
    <w:rsid w:val="00276A88"/>
    <w:rsid w:val="00276B10"/>
    <w:rsid w:val="00276BEA"/>
    <w:rsid w:val="00277ECA"/>
    <w:rsid w:val="00284395"/>
    <w:rsid w:val="00284ED1"/>
    <w:rsid w:val="0028572A"/>
    <w:rsid w:val="00287122"/>
    <w:rsid w:val="002907B8"/>
    <w:rsid w:val="00290D4E"/>
    <w:rsid w:val="002914B6"/>
    <w:rsid w:val="00291B94"/>
    <w:rsid w:val="002945EA"/>
    <w:rsid w:val="00294BFE"/>
    <w:rsid w:val="00295579"/>
    <w:rsid w:val="002957E8"/>
    <w:rsid w:val="002958DF"/>
    <w:rsid w:val="00296BFB"/>
    <w:rsid w:val="0029703A"/>
    <w:rsid w:val="002971D1"/>
    <w:rsid w:val="002A08B8"/>
    <w:rsid w:val="002A0EB3"/>
    <w:rsid w:val="002A2873"/>
    <w:rsid w:val="002A5104"/>
    <w:rsid w:val="002A5137"/>
    <w:rsid w:val="002A6A73"/>
    <w:rsid w:val="002A6DC3"/>
    <w:rsid w:val="002A719B"/>
    <w:rsid w:val="002B0F13"/>
    <w:rsid w:val="002B3C36"/>
    <w:rsid w:val="002B501C"/>
    <w:rsid w:val="002B5F6B"/>
    <w:rsid w:val="002B6726"/>
    <w:rsid w:val="002C107F"/>
    <w:rsid w:val="002C131E"/>
    <w:rsid w:val="002C3461"/>
    <w:rsid w:val="002C34F0"/>
    <w:rsid w:val="002C4213"/>
    <w:rsid w:val="002C446C"/>
    <w:rsid w:val="002C709C"/>
    <w:rsid w:val="002D4527"/>
    <w:rsid w:val="002D488A"/>
    <w:rsid w:val="002D4DA3"/>
    <w:rsid w:val="002D5AFB"/>
    <w:rsid w:val="002D6148"/>
    <w:rsid w:val="002E0F91"/>
    <w:rsid w:val="002E1B29"/>
    <w:rsid w:val="002E2EF3"/>
    <w:rsid w:val="002E7404"/>
    <w:rsid w:val="002E7620"/>
    <w:rsid w:val="002F0106"/>
    <w:rsid w:val="002F14BC"/>
    <w:rsid w:val="002F2EC9"/>
    <w:rsid w:val="002F3298"/>
    <w:rsid w:val="002F6B88"/>
    <w:rsid w:val="002F78A2"/>
    <w:rsid w:val="00300BFF"/>
    <w:rsid w:val="00301556"/>
    <w:rsid w:val="00301B57"/>
    <w:rsid w:val="00305C99"/>
    <w:rsid w:val="00307328"/>
    <w:rsid w:val="0031322D"/>
    <w:rsid w:val="00314497"/>
    <w:rsid w:val="00315247"/>
    <w:rsid w:val="003160B2"/>
    <w:rsid w:val="003166E9"/>
    <w:rsid w:val="00316E59"/>
    <w:rsid w:val="003174A1"/>
    <w:rsid w:val="00317EE4"/>
    <w:rsid w:val="00321ACA"/>
    <w:rsid w:val="003273CB"/>
    <w:rsid w:val="0033300E"/>
    <w:rsid w:val="003351D7"/>
    <w:rsid w:val="0033638C"/>
    <w:rsid w:val="00337702"/>
    <w:rsid w:val="003378A9"/>
    <w:rsid w:val="003410A7"/>
    <w:rsid w:val="00342436"/>
    <w:rsid w:val="00342C88"/>
    <w:rsid w:val="00343139"/>
    <w:rsid w:val="0034434E"/>
    <w:rsid w:val="003469ED"/>
    <w:rsid w:val="00346B19"/>
    <w:rsid w:val="00346E6F"/>
    <w:rsid w:val="0035256A"/>
    <w:rsid w:val="0035269F"/>
    <w:rsid w:val="00352E87"/>
    <w:rsid w:val="00354DCC"/>
    <w:rsid w:val="00357C6B"/>
    <w:rsid w:val="00360211"/>
    <w:rsid w:val="00361A6E"/>
    <w:rsid w:val="003627FD"/>
    <w:rsid w:val="003643CD"/>
    <w:rsid w:val="00364E42"/>
    <w:rsid w:val="00371D38"/>
    <w:rsid w:val="00371E3D"/>
    <w:rsid w:val="00374CBD"/>
    <w:rsid w:val="003750E4"/>
    <w:rsid w:val="00375A6E"/>
    <w:rsid w:val="00375D4B"/>
    <w:rsid w:val="00376087"/>
    <w:rsid w:val="003769E5"/>
    <w:rsid w:val="0038022A"/>
    <w:rsid w:val="00380B10"/>
    <w:rsid w:val="00382628"/>
    <w:rsid w:val="003826A6"/>
    <w:rsid w:val="0038447C"/>
    <w:rsid w:val="00384C83"/>
    <w:rsid w:val="00384E98"/>
    <w:rsid w:val="00385D7F"/>
    <w:rsid w:val="00385E6F"/>
    <w:rsid w:val="00386BF4"/>
    <w:rsid w:val="00386E24"/>
    <w:rsid w:val="00387DBC"/>
    <w:rsid w:val="00390265"/>
    <w:rsid w:val="003904A0"/>
    <w:rsid w:val="00390B40"/>
    <w:rsid w:val="00390B72"/>
    <w:rsid w:val="00394867"/>
    <w:rsid w:val="00395E02"/>
    <w:rsid w:val="00396BBC"/>
    <w:rsid w:val="003A0D75"/>
    <w:rsid w:val="003A150A"/>
    <w:rsid w:val="003A2013"/>
    <w:rsid w:val="003A2D94"/>
    <w:rsid w:val="003A309F"/>
    <w:rsid w:val="003A3F9C"/>
    <w:rsid w:val="003A5365"/>
    <w:rsid w:val="003A5E7E"/>
    <w:rsid w:val="003A7AB8"/>
    <w:rsid w:val="003A7BC2"/>
    <w:rsid w:val="003B08EA"/>
    <w:rsid w:val="003B2218"/>
    <w:rsid w:val="003B3F94"/>
    <w:rsid w:val="003B4F37"/>
    <w:rsid w:val="003B5176"/>
    <w:rsid w:val="003C01FF"/>
    <w:rsid w:val="003C3000"/>
    <w:rsid w:val="003C6CFF"/>
    <w:rsid w:val="003D2197"/>
    <w:rsid w:val="003D2E96"/>
    <w:rsid w:val="003D38C5"/>
    <w:rsid w:val="003D487D"/>
    <w:rsid w:val="003D4D32"/>
    <w:rsid w:val="003D5BDE"/>
    <w:rsid w:val="003D7C2D"/>
    <w:rsid w:val="003E1018"/>
    <w:rsid w:val="003E2BFB"/>
    <w:rsid w:val="003E609C"/>
    <w:rsid w:val="003E62D0"/>
    <w:rsid w:val="003E7903"/>
    <w:rsid w:val="003E7F72"/>
    <w:rsid w:val="003F0D14"/>
    <w:rsid w:val="003F1007"/>
    <w:rsid w:val="003F1154"/>
    <w:rsid w:val="003F49AF"/>
    <w:rsid w:val="00400633"/>
    <w:rsid w:val="004006F4"/>
    <w:rsid w:val="0040108D"/>
    <w:rsid w:val="0040118B"/>
    <w:rsid w:val="0040249D"/>
    <w:rsid w:val="00407A9A"/>
    <w:rsid w:val="00407D35"/>
    <w:rsid w:val="00410C7B"/>
    <w:rsid w:val="00412CCD"/>
    <w:rsid w:val="00413931"/>
    <w:rsid w:val="00414E24"/>
    <w:rsid w:val="0041727A"/>
    <w:rsid w:val="00417802"/>
    <w:rsid w:val="00417D01"/>
    <w:rsid w:val="004200F6"/>
    <w:rsid w:val="00420F0E"/>
    <w:rsid w:val="004211A6"/>
    <w:rsid w:val="004217CE"/>
    <w:rsid w:val="00421936"/>
    <w:rsid w:val="00421B4C"/>
    <w:rsid w:val="00422014"/>
    <w:rsid w:val="00423ECB"/>
    <w:rsid w:val="00425652"/>
    <w:rsid w:val="00425AF8"/>
    <w:rsid w:val="00430B87"/>
    <w:rsid w:val="00430C42"/>
    <w:rsid w:val="00432632"/>
    <w:rsid w:val="00432666"/>
    <w:rsid w:val="004333F0"/>
    <w:rsid w:val="00433D9E"/>
    <w:rsid w:val="00437928"/>
    <w:rsid w:val="00443BC8"/>
    <w:rsid w:val="004448E7"/>
    <w:rsid w:val="0044540A"/>
    <w:rsid w:val="00447C6A"/>
    <w:rsid w:val="004541F3"/>
    <w:rsid w:val="00454FEA"/>
    <w:rsid w:val="00456191"/>
    <w:rsid w:val="0045759C"/>
    <w:rsid w:val="0045782B"/>
    <w:rsid w:val="00463C91"/>
    <w:rsid w:val="00464001"/>
    <w:rsid w:val="00464317"/>
    <w:rsid w:val="00470274"/>
    <w:rsid w:val="0047116B"/>
    <w:rsid w:val="0047286D"/>
    <w:rsid w:val="004731A4"/>
    <w:rsid w:val="00473988"/>
    <w:rsid w:val="0047675A"/>
    <w:rsid w:val="0048000B"/>
    <w:rsid w:val="00480913"/>
    <w:rsid w:val="00482E23"/>
    <w:rsid w:val="004850BB"/>
    <w:rsid w:val="004855D4"/>
    <w:rsid w:val="004865FA"/>
    <w:rsid w:val="00486618"/>
    <w:rsid w:val="00486711"/>
    <w:rsid w:val="0048672D"/>
    <w:rsid w:val="00487F33"/>
    <w:rsid w:val="00490499"/>
    <w:rsid w:val="004915EA"/>
    <w:rsid w:val="00491A8C"/>
    <w:rsid w:val="00491F9F"/>
    <w:rsid w:val="00492C7A"/>
    <w:rsid w:val="00492EA8"/>
    <w:rsid w:val="00493D2F"/>
    <w:rsid w:val="004949D1"/>
    <w:rsid w:val="0049541A"/>
    <w:rsid w:val="00496DDD"/>
    <w:rsid w:val="00497481"/>
    <w:rsid w:val="00497FE6"/>
    <w:rsid w:val="004A0401"/>
    <w:rsid w:val="004A0E23"/>
    <w:rsid w:val="004A299E"/>
    <w:rsid w:val="004A398A"/>
    <w:rsid w:val="004A50DE"/>
    <w:rsid w:val="004A6DA5"/>
    <w:rsid w:val="004A72E3"/>
    <w:rsid w:val="004B0515"/>
    <w:rsid w:val="004B094D"/>
    <w:rsid w:val="004B228A"/>
    <w:rsid w:val="004B26AC"/>
    <w:rsid w:val="004B2D4B"/>
    <w:rsid w:val="004B4E34"/>
    <w:rsid w:val="004B4F5F"/>
    <w:rsid w:val="004B64EF"/>
    <w:rsid w:val="004B68A0"/>
    <w:rsid w:val="004B7660"/>
    <w:rsid w:val="004C03B2"/>
    <w:rsid w:val="004C2C6E"/>
    <w:rsid w:val="004C3414"/>
    <w:rsid w:val="004C35C3"/>
    <w:rsid w:val="004C64E1"/>
    <w:rsid w:val="004D1CFA"/>
    <w:rsid w:val="004D4169"/>
    <w:rsid w:val="004D4E5A"/>
    <w:rsid w:val="004D531D"/>
    <w:rsid w:val="004D6F48"/>
    <w:rsid w:val="004E35A0"/>
    <w:rsid w:val="004E3FFA"/>
    <w:rsid w:val="004F04CF"/>
    <w:rsid w:val="004F1768"/>
    <w:rsid w:val="004F2066"/>
    <w:rsid w:val="004F311A"/>
    <w:rsid w:val="004F3FB8"/>
    <w:rsid w:val="004F454A"/>
    <w:rsid w:val="004F6DFA"/>
    <w:rsid w:val="004F7E84"/>
    <w:rsid w:val="00502681"/>
    <w:rsid w:val="00504741"/>
    <w:rsid w:val="0051065B"/>
    <w:rsid w:val="00510A8F"/>
    <w:rsid w:val="00510E6F"/>
    <w:rsid w:val="0051153B"/>
    <w:rsid w:val="0051194C"/>
    <w:rsid w:val="0051498B"/>
    <w:rsid w:val="005154C0"/>
    <w:rsid w:val="005166FA"/>
    <w:rsid w:val="00517096"/>
    <w:rsid w:val="00520609"/>
    <w:rsid w:val="00520C6A"/>
    <w:rsid w:val="0052193F"/>
    <w:rsid w:val="00521ADF"/>
    <w:rsid w:val="005255CE"/>
    <w:rsid w:val="00527AC4"/>
    <w:rsid w:val="005302FA"/>
    <w:rsid w:val="00531389"/>
    <w:rsid w:val="005318B0"/>
    <w:rsid w:val="005324B6"/>
    <w:rsid w:val="00532A37"/>
    <w:rsid w:val="00532D8D"/>
    <w:rsid w:val="0053572D"/>
    <w:rsid w:val="00535E4D"/>
    <w:rsid w:val="0054021F"/>
    <w:rsid w:val="005403F1"/>
    <w:rsid w:val="00540415"/>
    <w:rsid w:val="00540442"/>
    <w:rsid w:val="0054175B"/>
    <w:rsid w:val="00542A7D"/>
    <w:rsid w:val="005452E2"/>
    <w:rsid w:val="00546C9A"/>
    <w:rsid w:val="00547C7A"/>
    <w:rsid w:val="00547CAB"/>
    <w:rsid w:val="00550F3E"/>
    <w:rsid w:val="00551587"/>
    <w:rsid w:val="0055165A"/>
    <w:rsid w:val="005518AE"/>
    <w:rsid w:val="00551F8C"/>
    <w:rsid w:val="00555FED"/>
    <w:rsid w:val="00556CBE"/>
    <w:rsid w:val="005572E7"/>
    <w:rsid w:val="00557300"/>
    <w:rsid w:val="0056082A"/>
    <w:rsid w:val="0056182E"/>
    <w:rsid w:val="005619C6"/>
    <w:rsid w:val="0056333D"/>
    <w:rsid w:val="005639C9"/>
    <w:rsid w:val="0056404A"/>
    <w:rsid w:val="00565D7D"/>
    <w:rsid w:val="00566BAB"/>
    <w:rsid w:val="00566F33"/>
    <w:rsid w:val="0057025E"/>
    <w:rsid w:val="00571109"/>
    <w:rsid w:val="00572804"/>
    <w:rsid w:val="00572DEC"/>
    <w:rsid w:val="005738B3"/>
    <w:rsid w:val="00573956"/>
    <w:rsid w:val="00576715"/>
    <w:rsid w:val="0058175E"/>
    <w:rsid w:val="005824BB"/>
    <w:rsid w:val="005850BD"/>
    <w:rsid w:val="005857CF"/>
    <w:rsid w:val="005864E3"/>
    <w:rsid w:val="005901D3"/>
    <w:rsid w:val="00590304"/>
    <w:rsid w:val="00590BE1"/>
    <w:rsid w:val="005919C7"/>
    <w:rsid w:val="00591EAD"/>
    <w:rsid w:val="005948A5"/>
    <w:rsid w:val="005972C8"/>
    <w:rsid w:val="005A0327"/>
    <w:rsid w:val="005A0E20"/>
    <w:rsid w:val="005A1B66"/>
    <w:rsid w:val="005A1B6A"/>
    <w:rsid w:val="005A2FAD"/>
    <w:rsid w:val="005A4733"/>
    <w:rsid w:val="005A4D9D"/>
    <w:rsid w:val="005A5336"/>
    <w:rsid w:val="005A646D"/>
    <w:rsid w:val="005A6652"/>
    <w:rsid w:val="005A68EB"/>
    <w:rsid w:val="005B111C"/>
    <w:rsid w:val="005B2DB1"/>
    <w:rsid w:val="005B4DA0"/>
    <w:rsid w:val="005B5BD4"/>
    <w:rsid w:val="005B5C10"/>
    <w:rsid w:val="005B6E82"/>
    <w:rsid w:val="005B77E9"/>
    <w:rsid w:val="005B7CF5"/>
    <w:rsid w:val="005C2987"/>
    <w:rsid w:val="005C31BE"/>
    <w:rsid w:val="005C5379"/>
    <w:rsid w:val="005C79E8"/>
    <w:rsid w:val="005D0184"/>
    <w:rsid w:val="005D3E18"/>
    <w:rsid w:val="005D4F65"/>
    <w:rsid w:val="005E1B37"/>
    <w:rsid w:val="005E1DFB"/>
    <w:rsid w:val="005E482D"/>
    <w:rsid w:val="005E50E6"/>
    <w:rsid w:val="005E555C"/>
    <w:rsid w:val="005E75E7"/>
    <w:rsid w:val="005E75E9"/>
    <w:rsid w:val="005F06D4"/>
    <w:rsid w:val="005F0D9A"/>
    <w:rsid w:val="005F325C"/>
    <w:rsid w:val="005F7283"/>
    <w:rsid w:val="005F7F4A"/>
    <w:rsid w:val="00601293"/>
    <w:rsid w:val="006023D2"/>
    <w:rsid w:val="006053DC"/>
    <w:rsid w:val="00606269"/>
    <w:rsid w:val="0061296B"/>
    <w:rsid w:val="00613242"/>
    <w:rsid w:val="00616293"/>
    <w:rsid w:val="006173BB"/>
    <w:rsid w:val="00617729"/>
    <w:rsid w:val="00617ABC"/>
    <w:rsid w:val="006206D0"/>
    <w:rsid w:val="00621511"/>
    <w:rsid w:val="00621794"/>
    <w:rsid w:val="00621C9D"/>
    <w:rsid w:val="006222DD"/>
    <w:rsid w:val="0062332B"/>
    <w:rsid w:val="006259C3"/>
    <w:rsid w:val="006272A4"/>
    <w:rsid w:val="00631862"/>
    <w:rsid w:val="00632FCC"/>
    <w:rsid w:val="00633332"/>
    <w:rsid w:val="00633E48"/>
    <w:rsid w:val="006355E5"/>
    <w:rsid w:val="00636097"/>
    <w:rsid w:val="00640ECA"/>
    <w:rsid w:val="0064180F"/>
    <w:rsid w:val="0064330B"/>
    <w:rsid w:val="0064375F"/>
    <w:rsid w:val="0064578A"/>
    <w:rsid w:val="0065062F"/>
    <w:rsid w:val="00651290"/>
    <w:rsid w:val="006531D9"/>
    <w:rsid w:val="0065333A"/>
    <w:rsid w:val="00653E1E"/>
    <w:rsid w:val="00654DEC"/>
    <w:rsid w:val="00655F41"/>
    <w:rsid w:val="006567D3"/>
    <w:rsid w:val="00656C54"/>
    <w:rsid w:val="00657281"/>
    <w:rsid w:val="00657D98"/>
    <w:rsid w:val="00660342"/>
    <w:rsid w:val="006635F3"/>
    <w:rsid w:val="00665681"/>
    <w:rsid w:val="00666D4E"/>
    <w:rsid w:val="00667870"/>
    <w:rsid w:val="0067089A"/>
    <w:rsid w:val="00670A29"/>
    <w:rsid w:val="00670C20"/>
    <w:rsid w:val="00670F69"/>
    <w:rsid w:val="00671D2F"/>
    <w:rsid w:val="006725A3"/>
    <w:rsid w:val="00674121"/>
    <w:rsid w:val="00674F1C"/>
    <w:rsid w:val="006752A9"/>
    <w:rsid w:val="00681190"/>
    <w:rsid w:val="0068244E"/>
    <w:rsid w:val="0068478C"/>
    <w:rsid w:val="0068606D"/>
    <w:rsid w:val="00687956"/>
    <w:rsid w:val="00693ABF"/>
    <w:rsid w:val="00694821"/>
    <w:rsid w:val="006958E6"/>
    <w:rsid w:val="00695979"/>
    <w:rsid w:val="00696A09"/>
    <w:rsid w:val="00696B62"/>
    <w:rsid w:val="006A02EE"/>
    <w:rsid w:val="006A10B0"/>
    <w:rsid w:val="006A354C"/>
    <w:rsid w:val="006B184F"/>
    <w:rsid w:val="006B31FE"/>
    <w:rsid w:val="006B3BEF"/>
    <w:rsid w:val="006B48CC"/>
    <w:rsid w:val="006B6B93"/>
    <w:rsid w:val="006B6F26"/>
    <w:rsid w:val="006C1AC3"/>
    <w:rsid w:val="006C49D4"/>
    <w:rsid w:val="006C4A73"/>
    <w:rsid w:val="006C4EBC"/>
    <w:rsid w:val="006C71A2"/>
    <w:rsid w:val="006D2D8C"/>
    <w:rsid w:val="006D3C8E"/>
    <w:rsid w:val="006D5367"/>
    <w:rsid w:val="006D7716"/>
    <w:rsid w:val="006E026A"/>
    <w:rsid w:val="006E058C"/>
    <w:rsid w:val="006E05B8"/>
    <w:rsid w:val="006E543E"/>
    <w:rsid w:val="006E5B0B"/>
    <w:rsid w:val="006E66F5"/>
    <w:rsid w:val="006E6963"/>
    <w:rsid w:val="006E6EE9"/>
    <w:rsid w:val="006F1E97"/>
    <w:rsid w:val="006F221C"/>
    <w:rsid w:val="006F2BF8"/>
    <w:rsid w:val="006F2CE0"/>
    <w:rsid w:val="006F3B72"/>
    <w:rsid w:val="006F405E"/>
    <w:rsid w:val="006F4967"/>
    <w:rsid w:val="006F4CBE"/>
    <w:rsid w:val="006F5516"/>
    <w:rsid w:val="006F58D4"/>
    <w:rsid w:val="006F5E45"/>
    <w:rsid w:val="006F69ED"/>
    <w:rsid w:val="006F7837"/>
    <w:rsid w:val="00700D64"/>
    <w:rsid w:val="00701188"/>
    <w:rsid w:val="0070143E"/>
    <w:rsid w:val="00701B17"/>
    <w:rsid w:val="00702F8B"/>
    <w:rsid w:val="007034A7"/>
    <w:rsid w:val="007037DA"/>
    <w:rsid w:val="0070737C"/>
    <w:rsid w:val="00710E9F"/>
    <w:rsid w:val="00711151"/>
    <w:rsid w:val="00712335"/>
    <w:rsid w:val="00712FA2"/>
    <w:rsid w:val="00713A14"/>
    <w:rsid w:val="00716159"/>
    <w:rsid w:val="007170FF"/>
    <w:rsid w:val="00717D77"/>
    <w:rsid w:val="00717E0E"/>
    <w:rsid w:val="007213DF"/>
    <w:rsid w:val="00721BE2"/>
    <w:rsid w:val="00722E42"/>
    <w:rsid w:val="0072705E"/>
    <w:rsid w:val="00734223"/>
    <w:rsid w:val="00734576"/>
    <w:rsid w:val="00735891"/>
    <w:rsid w:val="00740EF6"/>
    <w:rsid w:val="00741103"/>
    <w:rsid w:val="00743763"/>
    <w:rsid w:val="0074429A"/>
    <w:rsid w:val="00744A5F"/>
    <w:rsid w:val="007452A2"/>
    <w:rsid w:val="007453BF"/>
    <w:rsid w:val="007455C8"/>
    <w:rsid w:val="0075029F"/>
    <w:rsid w:val="0075061C"/>
    <w:rsid w:val="0075065F"/>
    <w:rsid w:val="0075103D"/>
    <w:rsid w:val="007516B0"/>
    <w:rsid w:val="0075397C"/>
    <w:rsid w:val="00754D49"/>
    <w:rsid w:val="0075621B"/>
    <w:rsid w:val="00756AD2"/>
    <w:rsid w:val="00757ED2"/>
    <w:rsid w:val="00762B3A"/>
    <w:rsid w:val="00764443"/>
    <w:rsid w:val="00766618"/>
    <w:rsid w:val="00767BF7"/>
    <w:rsid w:val="007717A6"/>
    <w:rsid w:val="00771C52"/>
    <w:rsid w:val="007739D1"/>
    <w:rsid w:val="00775E76"/>
    <w:rsid w:val="00781478"/>
    <w:rsid w:val="00783284"/>
    <w:rsid w:val="007859A8"/>
    <w:rsid w:val="007876E3"/>
    <w:rsid w:val="00790959"/>
    <w:rsid w:val="00791EE1"/>
    <w:rsid w:val="0079208E"/>
    <w:rsid w:val="00793B5A"/>
    <w:rsid w:val="00794686"/>
    <w:rsid w:val="007953FC"/>
    <w:rsid w:val="007958D3"/>
    <w:rsid w:val="00795AF3"/>
    <w:rsid w:val="00795DF9"/>
    <w:rsid w:val="007966B6"/>
    <w:rsid w:val="007A0621"/>
    <w:rsid w:val="007A0AE0"/>
    <w:rsid w:val="007A2EE9"/>
    <w:rsid w:val="007A4E16"/>
    <w:rsid w:val="007A5A6A"/>
    <w:rsid w:val="007A5C90"/>
    <w:rsid w:val="007A7465"/>
    <w:rsid w:val="007A7557"/>
    <w:rsid w:val="007B1D48"/>
    <w:rsid w:val="007B3AF0"/>
    <w:rsid w:val="007B3D00"/>
    <w:rsid w:val="007B4167"/>
    <w:rsid w:val="007B5500"/>
    <w:rsid w:val="007B5D21"/>
    <w:rsid w:val="007B77D6"/>
    <w:rsid w:val="007B7FBE"/>
    <w:rsid w:val="007C13AE"/>
    <w:rsid w:val="007C16A0"/>
    <w:rsid w:val="007C5A3D"/>
    <w:rsid w:val="007C5BB3"/>
    <w:rsid w:val="007D5852"/>
    <w:rsid w:val="007E0E39"/>
    <w:rsid w:val="007E39D8"/>
    <w:rsid w:val="007E3F38"/>
    <w:rsid w:val="007E6EC0"/>
    <w:rsid w:val="007F02EA"/>
    <w:rsid w:val="007F1B51"/>
    <w:rsid w:val="007F2E5A"/>
    <w:rsid w:val="007F43B9"/>
    <w:rsid w:val="007F5444"/>
    <w:rsid w:val="007F5538"/>
    <w:rsid w:val="007F7A09"/>
    <w:rsid w:val="008002CF"/>
    <w:rsid w:val="00800997"/>
    <w:rsid w:val="0080194C"/>
    <w:rsid w:val="0080263E"/>
    <w:rsid w:val="00804CF3"/>
    <w:rsid w:val="00805570"/>
    <w:rsid w:val="00805751"/>
    <w:rsid w:val="0080590F"/>
    <w:rsid w:val="00811DFF"/>
    <w:rsid w:val="00813343"/>
    <w:rsid w:val="00814193"/>
    <w:rsid w:val="00814C6F"/>
    <w:rsid w:val="00816352"/>
    <w:rsid w:val="008168A8"/>
    <w:rsid w:val="00820FC3"/>
    <w:rsid w:val="00822EF8"/>
    <w:rsid w:val="00823507"/>
    <w:rsid w:val="008236A5"/>
    <w:rsid w:val="008249E6"/>
    <w:rsid w:val="008267BE"/>
    <w:rsid w:val="00826F2A"/>
    <w:rsid w:val="00830DFD"/>
    <w:rsid w:val="008335CD"/>
    <w:rsid w:val="008362B5"/>
    <w:rsid w:val="00840B9F"/>
    <w:rsid w:val="008426FF"/>
    <w:rsid w:val="00843B6B"/>
    <w:rsid w:val="0084412A"/>
    <w:rsid w:val="00844FA5"/>
    <w:rsid w:val="00844FAA"/>
    <w:rsid w:val="008457AC"/>
    <w:rsid w:val="00847333"/>
    <w:rsid w:val="00851B37"/>
    <w:rsid w:val="00852F38"/>
    <w:rsid w:val="00854021"/>
    <w:rsid w:val="00854A64"/>
    <w:rsid w:val="008608F6"/>
    <w:rsid w:val="00861D71"/>
    <w:rsid w:val="008628E2"/>
    <w:rsid w:val="00863CE0"/>
    <w:rsid w:val="00865BDE"/>
    <w:rsid w:val="008666A2"/>
    <w:rsid w:val="00866765"/>
    <w:rsid w:val="0086680B"/>
    <w:rsid w:val="00866FDA"/>
    <w:rsid w:val="00871200"/>
    <w:rsid w:val="00871ECB"/>
    <w:rsid w:val="00873395"/>
    <w:rsid w:val="00873C3F"/>
    <w:rsid w:val="00874166"/>
    <w:rsid w:val="008747DC"/>
    <w:rsid w:val="0087523D"/>
    <w:rsid w:val="00875261"/>
    <w:rsid w:val="00875AEC"/>
    <w:rsid w:val="00880D9B"/>
    <w:rsid w:val="00883029"/>
    <w:rsid w:val="00883250"/>
    <w:rsid w:val="00883556"/>
    <w:rsid w:val="00884CC3"/>
    <w:rsid w:val="0088533D"/>
    <w:rsid w:val="008854DD"/>
    <w:rsid w:val="008859F4"/>
    <w:rsid w:val="0088675D"/>
    <w:rsid w:val="008873A4"/>
    <w:rsid w:val="00890E7D"/>
    <w:rsid w:val="00893492"/>
    <w:rsid w:val="00893E1B"/>
    <w:rsid w:val="00897E3F"/>
    <w:rsid w:val="008A0285"/>
    <w:rsid w:val="008A3322"/>
    <w:rsid w:val="008A472A"/>
    <w:rsid w:val="008A5D82"/>
    <w:rsid w:val="008A78BC"/>
    <w:rsid w:val="008B116A"/>
    <w:rsid w:val="008B27A1"/>
    <w:rsid w:val="008B2DC4"/>
    <w:rsid w:val="008C3474"/>
    <w:rsid w:val="008C371F"/>
    <w:rsid w:val="008C4D9E"/>
    <w:rsid w:val="008C689B"/>
    <w:rsid w:val="008D0589"/>
    <w:rsid w:val="008D1A01"/>
    <w:rsid w:val="008D3454"/>
    <w:rsid w:val="008D6431"/>
    <w:rsid w:val="008D72B4"/>
    <w:rsid w:val="008D7CA7"/>
    <w:rsid w:val="008D7E9A"/>
    <w:rsid w:val="008E2EC9"/>
    <w:rsid w:val="008E3D24"/>
    <w:rsid w:val="008E5816"/>
    <w:rsid w:val="008E7363"/>
    <w:rsid w:val="008E79E8"/>
    <w:rsid w:val="008F1319"/>
    <w:rsid w:val="008F6C27"/>
    <w:rsid w:val="00904D80"/>
    <w:rsid w:val="00905BCF"/>
    <w:rsid w:val="00906356"/>
    <w:rsid w:val="00906519"/>
    <w:rsid w:val="00907247"/>
    <w:rsid w:val="009077EA"/>
    <w:rsid w:val="00907D56"/>
    <w:rsid w:val="00912D82"/>
    <w:rsid w:val="00913DC2"/>
    <w:rsid w:val="0091670E"/>
    <w:rsid w:val="00916BB1"/>
    <w:rsid w:val="009211C0"/>
    <w:rsid w:val="00922C79"/>
    <w:rsid w:val="009233C2"/>
    <w:rsid w:val="009252BA"/>
    <w:rsid w:val="0092769D"/>
    <w:rsid w:val="00930222"/>
    <w:rsid w:val="00930A31"/>
    <w:rsid w:val="00930E1D"/>
    <w:rsid w:val="00931A40"/>
    <w:rsid w:val="00931B44"/>
    <w:rsid w:val="00934769"/>
    <w:rsid w:val="00936445"/>
    <w:rsid w:val="00936677"/>
    <w:rsid w:val="009379E3"/>
    <w:rsid w:val="00940849"/>
    <w:rsid w:val="00941C16"/>
    <w:rsid w:val="009420A7"/>
    <w:rsid w:val="00942C8F"/>
    <w:rsid w:val="00943C88"/>
    <w:rsid w:val="009465B6"/>
    <w:rsid w:val="00947225"/>
    <w:rsid w:val="009473E3"/>
    <w:rsid w:val="00950624"/>
    <w:rsid w:val="00952F4B"/>
    <w:rsid w:val="009532A7"/>
    <w:rsid w:val="00953AD4"/>
    <w:rsid w:val="00955C91"/>
    <w:rsid w:val="009570E4"/>
    <w:rsid w:val="00957A36"/>
    <w:rsid w:val="00961459"/>
    <w:rsid w:val="00961811"/>
    <w:rsid w:val="00963CE1"/>
    <w:rsid w:val="00963FD7"/>
    <w:rsid w:val="00964797"/>
    <w:rsid w:val="00965320"/>
    <w:rsid w:val="0097007C"/>
    <w:rsid w:val="00971529"/>
    <w:rsid w:val="009771E0"/>
    <w:rsid w:val="0098061D"/>
    <w:rsid w:val="00983815"/>
    <w:rsid w:val="00986443"/>
    <w:rsid w:val="00986F3D"/>
    <w:rsid w:val="009874F9"/>
    <w:rsid w:val="009912E6"/>
    <w:rsid w:val="0099158D"/>
    <w:rsid w:val="009918F8"/>
    <w:rsid w:val="00993094"/>
    <w:rsid w:val="009A3D7D"/>
    <w:rsid w:val="009A4497"/>
    <w:rsid w:val="009A5625"/>
    <w:rsid w:val="009B2500"/>
    <w:rsid w:val="009B2AD2"/>
    <w:rsid w:val="009B38BC"/>
    <w:rsid w:val="009B4049"/>
    <w:rsid w:val="009B5172"/>
    <w:rsid w:val="009B614E"/>
    <w:rsid w:val="009B7D34"/>
    <w:rsid w:val="009C0254"/>
    <w:rsid w:val="009C086D"/>
    <w:rsid w:val="009C405A"/>
    <w:rsid w:val="009C42C4"/>
    <w:rsid w:val="009C5C5C"/>
    <w:rsid w:val="009C7EEF"/>
    <w:rsid w:val="009D0FCA"/>
    <w:rsid w:val="009D2ECA"/>
    <w:rsid w:val="009D6B24"/>
    <w:rsid w:val="009E06AB"/>
    <w:rsid w:val="009E1BE7"/>
    <w:rsid w:val="009E281D"/>
    <w:rsid w:val="009E41AB"/>
    <w:rsid w:val="009E446D"/>
    <w:rsid w:val="009E4B49"/>
    <w:rsid w:val="009E7CA1"/>
    <w:rsid w:val="009E7E06"/>
    <w:rsid w:val="009F1F93"/>
    <w:rsid w:val="009F664C"/>
    <w:rsid w:val="009F7B1E"/>
    <w:rsid w:val="00A01A32"/>
    <w:rsid w:val="00A029D6"/>
    <w:rsid w:val="00A05716"/>
    <w:rsid w:val="00A07D82"/>
    <w:rsid w:val="00A10619"/>
    <w:rsid w:val="00A108D4"/>
    <w:rsid w:val="00A11C21"/>
    <w:rsid w:val="00A13632"/>
    <w:rsid w:val="00A136A9"/>
    <w:rsid w:val="00A15905"/>
    <w:rsid w:val="00A20873"/>
    <w:rsid w:val="00A214E6"/>
    <w:rsid w:val="00A21A04"/>
    <w:rsid w:val="00A23732"/>
    <w:rsid w:val="00A268D2"/>
    <w:rsid w:val="00A275F2"/>
    <w:rsid w:val="00A30169"/>
    <w:rsid w:val="00A304F3"/>
    <w:rsid w:val="00A319B7"/>
    <w:rsid w:val="00A32393"/>
    <w:rsid w:val="00A340B0"/>
    <w:rsid w:val="00A34326"/>
    <w:rsid w:val="00A352A9"/>
    <w:rsid w:val="00A36BB0"/>
    <w:rsid w:val="00A40C21"/>
    <w:rsid w:val="00A45E59"/>
    <w:rsid w:val="00A469D4"/>
    <w:rsid w:val="00A46A0E"/>
    <w:rsid w:val="00A47DE6"/>
    <w:rsid w:val="00A52625"/>
    <w:rsid w:val="00A53DC6"/>
    <w:rsid w:val="00A57041"/>
    <w:rsid w:val="00A57057"/>
    <w:rsid w:val="00A570B1"/>
    <w:rsid w:val="00A57FB8"/>
    <w:rsid w:val="00A65587"/>
    <w:rsid w:val="00A657B0"/>
    <w:rsid w:val="00A677C8"/>
    <w:rsid w:val="00A67BA9"/>
    <w:rsid w:val="00A711EB"/>
    <w:rsid w:val="00A71DFF"/>
    <w:rsid w:val="00A7364C"/>
    <w:rsid w:val="00A7634C"/>
    <w:rsid w:val="00A77A7C"/>
    <w:rsid w:val="00A80631"/>
    <w:rsid w:val="00A81220"/>
    <w:rsid w:val="00A838D4"/>
    <w:rsid w:val="00A85D9A"/>
    <w:rsid w:val="00A864E0"/>
    <w:rsid w:val="00A865BC"/>
    <w:rsid w:val="00A87074"/>
    <w:rsid w:val="00A931B5"/>
    <w:rsid w:val="00A9449F"/>
    <w:rsid w:val="00A9537A"/>
    <w:rsid w:val="00A95B24"/>
    <w:rsid w:val="00A96072"/>
    <w:rsid w:val="00A970BA"/>
    <w:rsid w:val="00A9785A"/>
    <w:rsid w:val="00A97F35"/>
    <w:rsid w:val="00AA02B4"/>
    <w:rsid w:val="00AA07FA"/>
    <w:rsid w:val="00AA1830"/>
    <w:rsid w:val="00AA1AB4"/>
    <w:rsid w:val="00AA387D"/>
    <w:rsid w:val="00AA39E1"/>
    <w:rsid w:val="00AA71D6"/>
    <w:rsid w:val="00AB1E33"/>
    <w:rsid w:val="00AB325E"/>
    <w:rsid w:val="00AB4970"/>
    <w:rsid w:val="00AB6E80"/>
    <w:rsid w:val="00AB760F"/>
    <w:rsid w:val="00AC0217"/>
    <w:rsid w:val="00AC08FA"/>
    <w:rsid w:val="00AC19F6"/>
    <w:rsid w:val="00AC2861"/>
    <w:rsid w:val="00AC2EF9"/>
    <w:rsid w:val="00AC3462"/>
    <w:rsid w:val="00AC5861"/>
    <w:rsid w:val="00AC63B9"/>
    <w:rsid w:val="00AC648E"/>
    <w:rsid w:val="00AC6750"/>
    <w:rsid w:val="00AC7D65"/>
    <w:rsid w:val="00AD0A10"/>
    <w:rsid w:val="00AD2760"/>
    <w:rsid w:val="00AD3BAE"/>
    <w:rsid w:val="00AD3FAF"/>
    <w:rsid w:val="00AD5621"/>
    <w:rsid w:val="00AD7E48"/>
    <w:rsid w:val="00AE04F6"/>
    <w:rsid w:val="00AE195A"/>
    <w:rsid w:val="00AE40A3"/>
    <w:rsid w:val="00AE4C75"/>
    <w:rsid w:val="00AE4F7B"/>
    <w:rsid w:val="00AE5301"/>
    <w:rsid w:val="00AE7915"/>
    <w:rsid w:val="00AE7F44"/>
    <w:rsid w:val="00AF21BF"/>
    <w:rsid w:val="00AF21FF"/>
    <w:rsid w:val="00AF3DBC"/>
    <w:rsid w:val="00AF46A8"/>
    <w:rsid w:val="00AF4CB6"/>
    <w:rsid w:val="00AF7647"/>
    <w:rsid w:val="00AF7A14"/>
    <w:rsid w:val="00B01DDA"/>
    <w:rsid w:val="00B01FEA"/>
    <w:rsid w:val="00B04FA1"/>
    <w:rsid w:val="00B07362"/>
    <w:rsid w:val="00B075B6"/>
    <w:rsid w:val="00B16113"/>
    <w:rsid w:val="00B16A82"/>
    <w:rsid w:val="00B17E90"/>
    <w:rsid w:val="00B20B4D"/>
    <w:rsid w:val="00B22AC0"/>
    <w:rsid w:val="00B24F3E"/>
    <w:rsid w:val="00B25A7E"/>
    <w:rsid w:val="00B26751"/>
    <w:rsid w:val="00B26F13"/>
    <w:rsid w:val="00B274FE"/>
    <w:rsid w:val="00B27DCA"/>
    <w:rsid w:val="00B31FFB"/>
    <w:rsid w:val="00B32646"/>
    <w:rsid w:val="00B33210"/>
    <w:rsid w:val="00B34FC9"/>
    <w:rsid w:val="00B367F7"/>
    <w:rsid w:val="00B36939"/>
    <w:rsid w:val="00B3704E"/>
    <w:rsid w:val="00B40F3B"/>
    <w:rsid w:val="00B435C1"/>
    <w:rsid w:val="00B43EF2"/>
    <w:rsid w:val="00B441FF"/>
    <w:rsid w:val="00B461DD"/>
    <w:rsid w:val="00B46FF9"/>
    <w:rsid w:val="00B474B0"/>
    <w:rsid w:val="00B50D2F"/>
    <w:rsid w:val="00B524EA"/>
    <w:rsid w:val="00B5272F"/>
    <w:rsid w:val="00B53310"/>
    <w:rsid w:val="00B53A52"/>
    <w:rsid w:val="00B53EBD"/>
    <w:rsid w:val="00B5460D"/>
    <w:rsid w:val="00B5563A"/>
    <w:rsid w:val="00B561E8"/>
    <w:rsid w:val="00B603E6"/>
    <w:rsid w:val="00B66D95"/>
    <w:rsid w:val="00B67B18"/>
    <w:rsid w:val="00B7047E"/>
    <w:rsid w:val="00B7094D"/>
    <w:rsid w:val="00B71350"/>
    <w:rsid w:val="00B736AB"/>
    <w:rsid w:val="00B73DC5"/>
    <w:rsid w:val="00B74C49"/>
    <w:rsid w:val="00B77059"/>
    <w:rsid w:val="00B817DE"/>
    <w:rsid w:val="00B83C96"/>
    <w:rsid w:val="00B840BB"/>
    <w:rsid w:val="00B8490C"/>
    <w:rsid w:val="00B84F41"/>
    <w:rsid w:val="00B8575C"/>
    <w:rsid w:val="00B85E1C"/>
    <w:rsid w:val="00B8684D"/>
    <w:rsid w:val="00B876E1"/>
    <w:rsid w:val="00B93421"/>
    <w:rsid w:val="00B94CE5"/>
    <w:rsid w:val="00B9556A"/>
    <w:rsid w:val="00B956A8"/>
    <w:rsid w:val="00B9729D"/>
    <w:rsid w:val="00B972C3"/>
    <w:rsid w:val="00B97416"/>
    <w:rsid w:val="00B97679"/>
    <w:rsid w:val="00BA184B"/>
    <w:rsid w:val="00BA18A7"/>
    <w:rsid w:val="00BA1C87"/>
    <w:rsid w:val="00BA2ACF"/>
    <w:rsid w:val="00BA3344"/>
    <w:rsid w:val="00BA3AE6"/>
    <w:rsid w:val="00BA4004"/>
    <w:rsid w:val="00BA41AA"/>
    <w:rsid w:val="00BA5375"/>
    <w:rsid w:val="00BB0F52"/>
    <w:rsid w:val="00BB345A"/>
    <w:rsid w:val="00BC36AE"/>
    <w:rsid w:val="00BC3A6A"/>
    <w:rsid w:val="00BC3C0E"/>
    <w:rsid w:val="00BC4A7A"/>
    <w:rsid w:val="00BC4FDD"/>
    <w:rsid w:val="00BC56DE"/>
    <w:rsid w:val="00BC621E"/>
    <w:rsid w:val="00BC6891"/>
    <w:rsid w:val="00BD0744"/>
    <w:rsid w:val="00BD1E6D"/>
    <w:rsid w:val="00BD2955"/>
    <w:rsid w:val="00BD2B3E"/>
    <w:rsid w:val="00BD322F"/>
    <w:rsid w:val="00BD32D2"/>
    <w:rsid w:val="00BD3CD1"/>
    <w:rsid w:val="00BD4E28"/>
    <w:rsid w:val="00BD513F"/>
    <w:rsid w:val="00BD5D9D"/>
    <w:rsid w:val="00BD6BF3"/>
    <w:rsid w:val="00BD71D5"/>
    <w:rsid w:val="00BD7353"/>
    <w:rsid w:val="00BE1718"/>
    <w:rsid w:val="00BE1B3A"/>
    <w:rsid w:val="00BE1E17"/>
    <w:rsid w:val="00BE4895"/>
    <w:rsid w:val="00BE4A86"/>
    <w:rsid w:val="00BE6385"/>
    <w:rsid w:val="00BE66ED"/>
    <w:rsid w:val="00BE6722"/>
    <w:rsid w:val="00BE67AC"/>
    <w:rsid w:val="00BE6F45"/>
    <w:rsid w:val="00BE7C48"/>
    <w:rsid w:val="00BF21E6"/>
    <w:rsid w:val="00BF2F32"/>
    <w:rsid w:val="00BF4325"/>
    <w:rsid w:val="00BF69D4"/>
    <w:rsid w:val="00BF6B7A"/>
    <w:rsid w:val="00BF7BB4"/>
    <w:rsid w:val="00C00E9A"/>
    <w:rsid w:val="00C03214"/>
    <w:rsid w:val="00C04C50"/>
    <w:rsid w:val="00C055CC"/>
    <w:rsid w:val="00C10AE5"/>
    <w:rsid w:val="00C11C99"/>
    <w:rsid w:val="00C12174"/>
    <w:rsid w:val="00C1296C"/>
    <w:rsid w:val="00C132B1"/>
    <w:rsid w:val="00C15C23"/>
    <w:rsid w:val="00C15C7A"/>
    <w:rsid w:val="00C16F09"/>
    <w:rsid w:val="00C218AF"/>
    <w:rsid w:val="00C23BCB"/>
    <w:rsid w:val="00C24BDE"/>
    <w:rsid w:val="00C24FBA"/>
    <w:rsid w:val="00C26C7F"/>
    <w:rsid w:val="00C2742F"/>
    <w:rsid w:val="00C30668"/>
    <w:rsid w:val="00C30769"/>
    <w:rsid w:val="00C30865"/>
    <w:rsid w:val="00C30FE0"/>
    <w:rsid w:val="00C32242"/>
    <w:rsid w:val="00C32F2F"/>
    <w:rsid w:val="00C361CE"/>
    <w:rsid w:val="00C373C7"/>
    <w:rsid w:val="00C40BCC"/>
    <w:rsid w:val="00C4116A"/>
    <w:rsid w:val="00C41695"/>
    <w:rsid w:val="00C45F93"/>
    <w:rsid w:val="00C47F71"/>
    <w:rsid w:val="00C5301D"/>
    <w:rsid w:val="00C54373"/>
    <w:rsid w:val="00C57812"/>
    <w:rsid w:val="00C57AC7"/>
    <w:rsid w:val="00C60E12"/>
    <w:rsid w:val="00C629D6"/>
    <w:rsid w:val="00C632C3"/>
    <w:rsid w:val="00C646EE"/>
    <w:rsid w:val="00C6623B"/>
    <w:rsid w:val="00C66655"/>
    <w:rsid w:val="00C673C7"/>
    <w:rsid w:val="00C6784D"/>
    <w:rsid w:val="00C67A00"/>
    <w:rsid w:val="00C70487"/>
    <w:rsid w:val="00C7063A"/>
    <w:rsid w:val="00C72B32"/>
    <w:rsid w:val="00C75BB9"/>
    <w:rsid w:val="00C80201"/>
    <w:rsid w:val="00C82525"/>
    <w:rsid w:val="00C8468E"/>
    <w:rsid w:val="00C85848"/>
    <w:rsid w:val="00C86131"/>
    <w:rsid w:val="00C864EC"/>
    <w:rsid w:val="00C8693D"/>
    <w:rsid w:val="00C87B4D"/>
    <w:rsid w:val="00C9511B"/>
    <w:rsid w:val="00C952B8"/>
    <w:rsid w:val="00C95B34"/>
    <w:rsid w:val="00C97B5C"/>
    <w:rsid w:val="00CA11EF"/>
    <w:rsid w:val="00CA3316"/>
    <w:rsid w:val="00CA35AA"/>
    <w:rsid w:val="00CA5033"/>
    <w:rsid w:val="00CA5D2A"/>
    <w:rsid w:val="00CA63D5"/>
    <w:rsid w:val="00CA65B9"/>
    <w:rsid w:val="00CB0823"/>
    <w:rsid w:val="00CB0985"/>
    <w:rsid w:val="00CB09A4"/>
    <w:rsid w:val="00CB1B4D"/>
    <w:rsid w:val="00CB1CBD"/>
    <w:rsid w:val="00CB24B4"/>
    <w:rsid w:val="00CB4B46"/>
    <w:rsid w:val="00CB5311"/>
    <w:rsid w:val="00CB65E5"/>
    <w:rsid w:val="00CB799A"/>
    <w:rsid w:val="00CC03BF"/>
    <w:rsid w:val="00CC1C22"/>
    <w:rsid w:val="00CC270F"/>
    <w:rsid w:val="00CC30B6"/>
    <w:rsid w:val="00CC5C1A"/>
    <w:rsid w:val="00CC7C10"/>
    <w:rsid w:val="00CC7E40"/>
    <w:rsid w:val="00CD158B"/>
    <w:rsid w:val="00CD26A8"/>
    <w:rsid w:val="00CD3EE4"/>
    <w:rsid w:val="00CD6B12"/>
    <w:rsid w:val="00CE16B0"/>
    <w:rsid w:val="00CE2778"/>
    <w:rsid w:val="00CE3AED"/>
    <w:rsid w:val="00CE5B35"/>
    <w:rsid w:val="00CE6869"/>
    <w:rsid w:val="00CE6D25"/>
    <w:rsid w:val="00CE7F74"/>
    <w:rsid w:val="00CF1A17"/>
    <w:rsid w:val="00CF37A1"/>
    <w:rsid w:val="00CF49E1"/>
    <w:rsid w:val="00CF70EB"/>
    <w:rsid w:val="00CF74DE"/>
    <w:rsid w:val="00D014CC"/>
    <w:rsid w:val="00D02FD5"/>
    <w:rsid w:val="00D04099"/>
    <w:rsid w:val="00D04C35"/>
    <w:rsid w:val="00D07AE9"/>
    <w:rsid w:val="00D10627"/>
    <w:rsid w:val="00D11510"/>
    <w:rsid w:val="00D120D1"/>
    <w:rsid w:val="00D128D2"/>
    <w:rsid w:val="00D167C2"/>
    <w:rsid w:val="00D17A0D"/>
    <w:rsid w:val="00D20722"/>
    <w:rsid w:val="00D21425"/>
    <w:rsid w:val="00D21FBB"/>
    <w:rsid w:val="00D22151"/>
    <w:rsid w:val="00D222E0"/>
    <w:rsid w:val="00D22729"/>
    <w:rsid w:val="00D25492"/>
    <w:rsid w:val="00D263D5"/>
    <w:rsid w:val="00D270FA"/>
    <w:rsid w:val="00D30681"/>
    <w:rsid w:val="00D30DEB"/>
    <w:rsid w:val="00D30F2E"/>
    <w:rsid w:val="00D3408F"/>
    <w:rsid w:val="00D340AD"/>
    <w:rsid w:val="00D344AF"/>
    <w:rsid w:val="00D3532C"/>
    <w:rsid w:val="00D357AA"/>
    <w:rsid w:val="00D3673D"/>
    <w:rsid w:val="00D3675A"/>
    <w:rsid w:val="00D37E2A"/>
    <w:rsid w:val="00D43161"/>
    <w:rsid w:val="00D43501"/>
    <w:rsid w:val="00D45A87"/>
    <w:rsid w:val="00D45B15"/>
    <w:rsid w:val="00D4670A"/>
    <w:rsid w:val="00D472FF"/>
    <w:rsid w:val="00D51A74"/>
    <w:rsid w:val="00D51EEB"/>
    <w:rsid w:val="00D53227"/>
    <w:rsid w:val="00D53877"/>
    <w:rsid w:val="00D56CD8"/>
    <w:rsid w:val="00D577CD"/>
    <w:rsid w:val="00D57F91"/>
    <w:rsid w:val="00D6091F"/>
    <w:rsid w:val="00D62C2E"/>
    <w:rsid w:val="00D62F27"/>
    <w:rsid w:val="00D6362A"/>
    <w:rsid w:val="00D64576"/>
    <w:rsid w:val="00D65C10"/>
    <w:rsid w:val="00D673F4"/>
    <w:rsid w:val="00D67B5B"/>
    <w:rsid w:val="00D71D29"/>
    <w:rsid w:val="00D72ECB"/>
    <w:rsid w:val="00D7638B"/>
    <w:rsid w:val="00D80F5C"/>
    <w:rsid w:val="00D81C52"/>
    <w:rsid w:val="00D83066"/>
    <w:rsid w:val="00D835C4"/>
    <w:rsid w:val="00D8364B"/>
    <w:rsid w:val="00D842AD"/>
    <w:rsid w:val="00D86E46"/>
    <w:rsid w:val="00D910C1"/>
    <w:rsid w:val="00D924CA"/>
    <w:rsid w:val="00D934C7"/>
    <w:rsid w:val="00D941E6"/>
    <w:rsid w:val="00DA36DE"/>
    <w:rsid w:val="00DA5B45"/>
    <w:rsid w:val="00DA6473"/>
    <w:rsid w:val="00DA7324"/>
    <w:rsid w:val="00DB1473"/>
    <w:rsid w:val="00DB23BE"/>
    <w:rsid w:val="00DB5B8B"/>
    <w:rsid w:val="00DB5F78"/>
    <w:rsid w:val="00DB72B7"/>
    <w:rsid w:val="00DB7DC6"/>
    <w:rsid w:val="00DC2378"/>
    <w:rsid w:val="00DC683F"/>
    <w:rsid w:val="00DD04A3"/>
    <w:rsid w:val="00DD122A"/>
    <w:rsid w:val="00DD20C2"/>
    <w:rsid w:val="00DD70F6"/>
    <w:rsid w:val="00DE2A06"/>
    <w:rsid w:val="00DE3D94"/>
    <w:rsid w:val="00DE4D03"/>
    <w:rsid w:val="00DE506C"/>
    <w:rsid w:val="00DE5ADA"/>
    <w:rsid w:val="00DE60AE"/>
    <w:rsid w:val="00DE792B"/>
    <w:rsid w:val="00DE7D01"/>
    <w:rsid w:val="00DE7D06"/>
    <w:rsid w:val="00DF4935"/>
    <w:rsid w:val="00DF4BED"/>
    <w:rsid w:val="00DF55C9"/>
    <w:rsid w:val="00DF6625"/>
    <w:rsid w:val="00DF7375"/>
    <w:rsid w:val="00E00B43"/>
    <w:rsid w:val="00E01520"/>
    <w:rsid w:val="00E0260C"/>
    <w:rsid w:val="00E028F4"/>
    <w:rsid w:val="00E0316E"/>
    <w:rsid w:val="00E0559A"/>
    <w:rsid w:val="00E06F32"/>
    <w:rsid w:val="00E10E2F"/>
    <w:rsid w:val="00E12558"/>
    <w:rsid w:val="00E12C71"/>
    <w:rsid w:val="00E13366"/>
    <w:rsid w:val="00E137D4"/>
    <w:rsid w:val="00E13C9F"/>
    <w:rsid w:val="00E1483A"/>
    <w:rsid w:val="00E17290"/>
    <w:rsid w:val="00E1769B"/>
    <w:rsid w:val="00E177B6"/>
    <w:rsid w:val="00E17E60"/>
    <w:rsid w:val="00E20D3D"/>
    <w:rsid w:val="00E234E3"/>
    <w:rsid w:val="00E25514"/>
    <w:rsid w:val="00E26BCA"/>
    <w:rsid w:val="00E26E73"/>
    <w:rsid w:val="00E3103D"/>
    <w:rsid w:val="00E31049"/>
    <w:rsid w:val="00E314CD"/>
    <w:rsid w:val="00E32951"/>
    <w:rsid w:val="00E32967"/>
    <w:rsid w:val="00E33EFD"/>
    <w:rsid w:val="00E342E2"/>
    <w:rsid w:val="00E367A8"/>
    <w:rsid w:val="00E378B5"/>
    <w:rsid w:val="00E37DC6"/>
    <w:rsid w:val="00E40A07"/>
    <w:rsid w:val="00E4614C"/>
    <w:rsid w:val="00E46C02"/>
    <w:rsid w:val="00E477FD"/>
    <w:rsid w:val="00E52128"/>
    <w:rsid w:val="00E529D3"/>
    <w:rsid w:val="00E52FCE"/>
    <w:rsid w:val="00E53E55"/>
    <w:rsid w:val="00E5494F"/>
    <w:rsid w:val="00E61396"/>
    <w:rsid w:val="00E616C3"/>
    <w:rsid w:val="00E64754"/>
    <w:rsid w:val="00E64A5D"/>
    <w:rsid w:val="00E66876"/>
    <w:rsid w:val="00E67110"/>
    <w:rsid w:val="00E72C12"/>
    <w:rsid w:val="00E74002"/>
    <w:rsid w:val="00E75114"/>
    <w:rsid w:val="00E7560B"/>
    <w:rsid w:val="00E75634"/>
    <w:rsid w:val="00E7766A"/>
    <w:rsid w:val="00E81732"/>
    <w:rsid w:val="00E85242"/>
    <w:rsid w:val="00E85DB7"/>
    <w:rsid w:val="00E86DD2"/>
    <w:rsid w:val="00E86FFE"/>
    <w:rsid w:val="00E90466"/>
    <w:rsid w:val="00E91AA6"/>
    <w:rsid w:val="00E9376A"/>
    <w:rsid w:val="00E93CF4"/>
    <w:rsid w:val="00E94098"/>
    <w:rsid w:val="00E94EAD"/>
    <w:rsid w:val="00E94F4A"/>
    <w:rsid w:val="00E95895"/>
    <w:rsid w:val="00E95C95"/>
    <w:rsid w:val="00E96242"/>
    <w:rsid w:val="00EA01F0"/>
    <w:rsid w:val="00EA1093"/>
    <w:rsid w:val="00EA5D6B"/>
    <w:rsid w:val="00EB2741"/>
    <w:rsid w:val="00EB5E3F"/>
    <w:rsid w:val="00EB60D5"/>
    <w:rsid w:val="00EC443B"/>
    <w:rsid w:val="00EC5A7B"/>
    <w:rsid w:val="00EC6D60"/>
    <w:rsid w:val="00ED032E"/>
    <w:rsid w:val="00ED0683"/>
    <w:rsid w:val="00ED09B2"/>
    <w:rsid w:val="00ED2FEE"/>
    <w:rsid w:val="00ED446E"/>
    <w:rsid w:val="00ED5E92"/>
    <w:rsid w:val="00ED6339"/>
    <w:rsid w:val="00ED7D0E"/>
    <w:rsid w:val="00EE15EC"/>
    <w:rsid w:val="00EE1898"/>
    <w:rsid w:val="00EE3C8F"/>
    <w:rsid w:val="00EE4645"/>
    <w:rsid w:val="00EE46E9"/>
    <w:rsid w:val="00EE55EF"/>
    <w:rsid w:val="00EE5977"/>
    <w:rsid w:val="00EE60C5"/>
    <w:rsid w:val="00EF1B58"/>
    <w:rsid w:val="00EF3C13"/>
    <w:rsid w:val="00EF7E74"/>
    <w:rsid w:val="00F00F26"/>
    <w:rsid w:val="00F0269A"/>
    <w:rsid w:val="00F0360E"/>
    <w:rsid w:val="00F04539"/>
    <w:rsid w:val="00F04976"/>
    <w:rsid w:val="00F05C60"/>
    <w:rsid w:val="00F11ACF"/>
    <w:rsid w:val="00F12590"/>
    <w:rsid w:val="00F13766"/>
    <w:rsid w:val="00F14633"/>
    <w:rsid w:val="00F15593"/>
    <w:rsid w:val="00F15BAE"/>
    <w:rsid w:val="00F16DFF"/>
    <w:rsid w:val="00F23BAE"/>
    <w:rsid w:val="00F2412F"/>
    <w:rsid w:val="00F2427E"/>
    <w:rsid w:val="00F2473C"/>
    <w:rsid w:val="00F24F0A"/>
    <w:rsid w:val="00F2520E"/>
    <w:rsid w:val="00F26567"/>
    <w:rsid w:val="00F318B6"/>
    <w:rsid w:val="00F3702A"/>
    <w:rsid w:val="00F4428C"/>
    <w:rsid w:val="00F4551C"/>
    <w:rsid w:val="00F47F9C"/>
    <w:rsid w:val="00F54082"/>
    <w:rsid w:val="00F55AC0"/>
    <w:rsid w:val="00F57147"/>
    <w:rsid w:val="00F57333"/>
    <w:rsid w:val="00F5786E"/>
    <w:rsid w:val="00F6057F"/>
    <w:rsid w:val="00F60DDB"/>
    <w:rsid w:val="00F60E31"/>
    <w:rsid w:val="00F61040"/>
    <w:rsid w:val="00F62C10"/>
    <w:rsid w:val="00F632C9"/>
    <w:rsid w:val="00F643FB"/>
    <w:rsid w:val="00F648F9"/>
    <w:rsid w:val="00F65B15"/>
    <w:rsid w:val="00F664B1"/>
    <w:rsid w:val="00F703D9"/>
    <w:rsid w:val="00F73405"/>
    <w:rsid w:val="00F75880"/>
    <w:rsid w:val="00F7737E"/>
    <w:rsid w:val="00F77F45"/>
    <w:rsid w:val="00F80AF0"/>
    <w:rsid w:val="00F8414C"/>
    <w:rsid w:val="00F847D0"/>
    <w:rsid w:val="00F849D1"/>
    <w:rsid w:val="00F85715"/>
    <w:rsid w:val="00F87F79"/>
    <w:rsid w:val="00F90C4B"/>
    <w:rsid w:val="00F91A5F"/>
    <w:rsid w:val="00F92650"/>
    <w:rsid w:val="00F93F5A"/>
    <w:rsid w:val="00F9684E"/>
    <w:rsid w:val="00F9701A"/>
    <w:rsid w:val="00FA0306"/>
    <w:rsid w:val="00FA38E3"/>
    <w:rsid w:val="00FA3E7B"/>
    <w:rsid w:val="00FA601C"/>
    <w:rsid w:val="00FB0309"/>
    <w:rsid w:val="00FB1154"/>
    <w:rsid w:val="00FB2AFB"/>
    <w:rsid w:val="00FB2CD4"/>
    <w:rsid w:val="00FB2FF3"/>
    <w:rsid w:val="00FB38BF"/>
    <w:rsid w:val="00FB4824"/>
    <w:rsid w:val="00FB6F1A"/>
    <w:rsid w:val="00FC00C3"/>
    <w:rsid w:val="00FC07B4"/>
    <w:rsid w:val="00FC0B79"/>
    <w:rsid w:val="00FC166D"/>
    <w:rsid w:val="00FC634E"/>
    <w:rsid w:val="00FC68C2"/>
    <w:rsid w:val="00FC7E09"/>
    <w:rsid w:val="00FD32A9"/>
    <w:rsid w:val="00FD67EC"/>
    <w:rsid w:val="00FD7A6D"/>
    <w:rsid w:val="00FE03FF"/>
    <w:rsid w:val="00FE4447"/>
    <w:rsid w:val="00FE5C5E"/>
    <w:rsid w:val="00FF151B"/>
    <w:rsid w:val="00FF2265"/>
    <w:rsid w:val="00FF2F05"/>
    <w:rsid w:val="00FF3307"/>
    <w:rsid w:val="00FF34CC"/>
    <w:rsid w:val="00FF4028"/>
    <w:rsid w:val="00FF5760"/>
    <w:rsid w:val="00FF71D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034"/>
  <w15:chartTrackingRefBased/>
  <w15:docId w15:val="{EC619BD5-E5CF-423D-8767-1BA516E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A0"/>
  </w:style>
  <w:style w:type="paragraph" w:styleId="Heading1">
    <w:name w:val="heading 1"/>
    <w:basedOn w:val="Normal"/>
    <w:next w:val="Normal"/>
    <w:link w:val="Heading1Char"/>
    <w:uiPriority w:val="9"/>
    <w:qFormat/>
    <w:rsid w:val="00FB4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64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12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A136A9"/>
    <w:pPr>
      <w:spacing w:line="240" w:lineRule="exact"/>
      <w:jc w:val="both"/>
    </w:pPr>
    <w:rPr>
      <w:rFonts w:ascii="Arial" w:eastAsia="Batang" w:hAnsi="Arial" w:cs="Arial"/>
      <w:sz w:val="20"/>
      <w:szCs w:val="20"/>
    </w:rPr>
  </w:style>
  <w:style w:type="paragraph" w:customStyle="1" w:styleId="CharChar12">
    <w:name w:val="Char Char12"/>
    <w:basedOn w:val="Normal"/>
    <w:rsid w:val="00ED2FEE"/>
    <w:pPr>
      <w:spacing w:line="240" w:lineRule="exact"/>
      <w:jc w:val="both"/>
    </w:pPr>
    <w:rPr>
      <w:rFonts w:ascii="Arial" w:eastAsia="Batang" w:hAnsi="Arial" w:cs="Arial"/>
      <w:sz w:val="20"/>
      <w:szCs w:val="20"/>
    </w:rPr>
  </w:style>
  <w:style w:type="table" w:styleId="TableGrid">
    <w:name w:val="Table Grid"/>
    <w:basedOn w:val="TableNormal"/>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C8468E"/>
    <w:pPr>
      <w:spacing w:after="0" w:line="240" w:lineRule="auto"/>
    </w:pPr>
    <w:rPr>
      <w:rFonts w:ascii="Times New Roman" w:hAnsi="Times New Roman"/>
      <w:sz w:val="20"/>
      <w:szCs w:val="20"/>
      <w:lang w:val="ro-RO"/>
    </w:rPr>
  </w:style>
  <w:style w:type="character" w:customStyle="1" w:styleId="FootnoteTextChar">
    <w:name w:val="Footnote Text Char"/>
    <w:aliases w:val="Знак Char,Char Char,Знак1 Char, Знак Char, Char Char, Знак1 Char,single space Char,footnote text Char,FOOTNOTES Char,fn Char,Footnote Text Char1 Char,Footnote Text Char2 Char Char,Footnote Text Char1 Char Char Char, Cha Char,Cha Char"/>
    <w:basedOn w:val="DefaultParagraphFont"/>
    <w:link w:val="FootnoteText"/>
    <w:uiPriority w:val="99"/>
    <w:rsid w:val="00C8468E"/>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
    <w:basedOn w:val="DefaultParagraphFont"/>
    <w:link w:val="FNRefeCharChar"/>
    <w:uiPriority w:val="99"/>
    <w:unhideWhenUsed/>
    <w:rsid w:val="00C8468E"/>
    <w:rPr>
      <w:vertAlign w:val="superscript"/>
    </w:rPr>
  </w:style>
  <w:style w:type="table" w:customStyle="1" w:styleId="TableGrid1">
    <w:name w:val="Table Grid1"/>
    <w:basedOn w:val="TableNormal"/>
    <w:next w:val="TableGrid"/>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C8468E"/>
    <w:pPr>
      <w:spacing w:line="240" w:lineRule="exact"/>
    </w:pPr>
    <w:rPr>
      <w:vertAlign w:val="superscript"/>
    </w:rPr>
  </w:style>
  <w:style w:type="paragraph" w:styleId="ListParagraph">
    <w:name w:val="List Paragraph"/>
    <w:aliases w:val="strikethrough"/>
    <w:basedOn w:val="Normal"/>
    <w:link w:val="ListParagraphChar"/>
    <w:uiPriority w:val="34"/>
    <w:qFormat/>
    <w:rsid w:val="00AD5621"/>
    <w:pPr>
      <w:ind w:left="720"/>
      <w:contextualSpacing/>
    </w:pPr>
  </w:style>
  <w:style w:type="paragraph" w:styleId="NormalWeb">
    <w:name w:val="Normal (Web)"/>
    <w:basedOn w:val="Normal"/>
    <w:uiPriority w:val="99"/>
    <w:unhideWhenUsed/>
    <w:rsid w:val="00433D9E"/>
    <w:rPr>
      <w:rFonts w:ascii="Times New Roman" w:hAnsi="Times New Roman" w:cs="Times New Roman"/>
      <w:sz w:val="24"/>
      <w:szCs w:val="24"/>
    </w:rPr>
  </w:style>
  <w:style w:type="paragraph" w:styleId="Header">
    <w:name w:val="header"/>
    <w:basedOn w:val="Normal"/>
    <w:link w:val="HeaderChar"/>
    <w:uiPriority w:val="99"/>
    <w:unhideWhenUsed/>
    <w:rsid w:val="00291B94"/>
    <w:pPr>
      <w:tabs>
        <w:tab w:val="center" w:pos="4844"/>
        <w:tab w:val="right" w:pos="9689"/>
      </w:tabs>
      <w:spacing w:after="0" w:line="240" w:lineRule="auto"/>
    </w:pPr>
  </w:style>
  <w:style w:type="character" w:customStyle="1" w:styleId="HeaderChar">
    <w:name w:val="Header Char"/>
    <w:basedOn w:val="DefaultParagraphFont"/>
    <w:link w:val="Header"/>
    <w:uiPriority w:val="99"/>
    <w:rsid w:val="00291B94"/>
  </w:style>
  <w:style w:type="paragraph" w:styleId="Footer">
    <w:name w:val="footer"/>
    <w:basedOn w:val="Normal"/>
    <w:link w:val="FooterChar"/>
    <w:uiPriority w:val="99"/>
    <w:unhideWhenUsed/>
    <w:rsid w:val="00291B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1B94"/>
  </w:style>
  <w:style w:type="paragraph" w:customStyle="1" w:styleId="CharChar11">
    <w:name w:val="Char Char11"/>
    <w:basedOn w:val="Normal"/>
    <w:rsid w:val="00BC621E"/>
    <w:pPr>
      <w:spacing w:line="240" w:lineRule="exact"/>
      <w:jc w:val="both"/>
    </w:pPr>
    <w:rPr>
      <w:rFonts w:ascii="Arial" w:eastAsia="Batang" w:hAnsi="Arial" w:cs="Arial"/>
      <w:sz w:val="20"/>
      <w:szCs w:val="20"/>
    </w:rPr>
  </w:style>
  <w:style w:type="character" w:customStyle="1" w:styleId="Heading1Char">
    <w:name w:val="Heading 1 Char"/>
    <w:basedOn w:val="DefaultParagraphFont"/>
    <w:link w:val="Heading1"/>
    <w:uiPriority w:val="9"/>
    <w:rsid w:val="00FB4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4824"/>
    <w:pPr>
      <w:outlineLvl w:val="9"/>
    </w:pPr>
  </w:style>
  <w:style w:type="paragraph" w:styleId="TOC1">
    <w:name w:val="toc 1"/>
    <w:basedOn w:val="Normal"/>
    <w:next w:val="Normal"/>
    <w:autoRedefine/>
    <w:uiPriority w:val="39"/>
    <w:unhideWhenUsed/>
    <w:rsid w:val="00B603E6"/>
    <w:pPr>
      <w:tabs>
        <w:tab w:val="left" w:pos="360"/>
        <w:tab w:val="left" w:pos="660"/>
        <w:tab w:val="right" w:leader="dot" w:pos="9539"/>
      </w:tabs>
      <w:spacing w:after="100"/>
    </w:pPr>
  </w:style>
  <w:style w:type="character" w:styleId="Hyperlink">
    <w:name w:val="Hyperlink"/>
    <w:basedOn w:val="DefaultParagraphFont"/>
    <w:uiPriority w:val="99"/>
    <w:unhideWhenUsed/>
    <w:rsid w:val="00FB4824"/>
    <w:rPr>
      <w:color w:val="0563C1" w:themeColor="hyperlink"/>
      <w:u w:val="single"/>
    </w:rPr>
  </w:style>
  <w:style w:type="paragraph" w:styleId="TOC2">
    <w:name w:val="toc 2"/>
    <w:basedOn w:val="Normal"/>
    <w:next w:val="Normal"/>
    <w:autoRedefine/>
    <w:uiPriority w:val="39"/>
    <w:unhideWhenUsed/>
    <w:rsid w:val="00B603E6"/>
    <w:pPr>
      <w:tabs>
        <w:tab w:val="left" w:pos="360"/>
        <w:tab w:val="left" w:pos="540"/>
        <w:tab w:val="left" w:pos="630"/>
        <w:tab w:val="left" w:pos="720"/>
        <w:tab w:val="left" w:pos="900"/>
        <w:tab w:val="right" w:leader="dot" w:pos="9345"/>
      </w:tabs>
      <w:spacing w:after="100"/>
      <w:jc w:val="both"/>
    </w:pPr>
    <w:rPr>
      <w:rFonts w:eastAsiaTheme="minorEastAsia" w:cs="Times New Roman"/>
    </w:rPr>
  </w:style>
  <w:style w:type="paragraph" w:styleId="TOC3">
    <w:name w:val="toc 3"/>
    <w:basedOn w:val="Normal"/>
    <w:next w:val="Normal"/>
    <w:autoRedefine/>
    <w:uiPriority w:val="39"/>
    <w:unhideWhenUsed/>
    <w:rsid w:val="00FB4824"/>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FB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24"/>
    <w:rPr>
      <w:rFonts w:ascii="Segoe UI" w:hAnsi="Segoe UI" w:cs="Segoe UI"/>
      <w:sz w:val="18"/>
      <w:szCs w:val="18"/>
    </w:rPr>
  </w:style>
  <w:style w:type="character" w:customStyle="1" w:styleId="ListParagraphChar">
    <w:name w:val="List Paragraph Char"/>
    <w:aliases w:val="strikethrough Char"/>
    <w:link w:val="ListParagraph"/>
    <w:uiPriority w:val="34"/>
    <w:rsid w:val="00497FE6"/>
  </w:style>
  <w:style w:type="character" w:customStyle="1" w:styleId="a">
    <w:name w:val="_"/>
    <w:basedOn w:val="DefaultParagraphFont"/>
    <w:rsid w:val="00207DAD"/>
  </w:style>
  <w:style w:type="character" w:customStyle="1" w:styleId="pg-1ff1">
    <w:name w:val="pg-1ff1"/>
    <w:basedOn w:val="DefaultParagraphFont"/>
    <w:rsid w:val="00207DAD"/>
  </w:style>
  <w:style w:type="table" w:customStyle="1" w:styleId="TableGrid2">
    <w:name w:val="Table Grid2"/>
    <w:basedOn w:val="TableNormal"/>
    <w:next w:val="TableGrid"/>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24B6"/>
    <w:pPr>
      <w:spacing w:after="0" w:line="240" w:lineRule="auto"/>
    </w:pPr>
  </w:style>
  <w:style w:type="table" w:customStyle="1" w:styleId="TableGrid3">
    <w:name w:val="Table Grid3"/>
    <w:basedOn w:val="TableNormal"/>
    <w:next w:val="TableGrid"/>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rsid w:val="008B27A1"/>
    <w:rPr>
      <w:rFonts w:ascii="Courier New" w:hAnsi="Courier New" w:cs="Courier New"/>
    </w:rPr>
  </w:style>
  <w:style w:type="character" w:customStyle="1" w:styleId="NoSpacingChar">
    <w:name w:val="No Spacing Char"/>
    <w:basedOn w:val="DefaultParagraphFont"/>
    <w:link w:val="NoSpacing"/>
    <w:uiPriority w:val="1"/>
    <w:locked/>
    <w:rsid w:val="008B27A1"/>
  </w:style>
  <w:style w:type="paragraph" w:customStyle="1" w:styleId="cn">
    <w:name w:val="cn"/>
    <w:basedOn w:val="Normal"/>
    <w:rsid w:val="002A5137"/>
    <w:pPr>
      <w:spacing w:after="0" w:line="240" w:lineRule="auto"/>
      <w:jc w:val="center"/>
    </w:pPr>
    <w:rPr>
      <w:rFonts w:ascii="Times New Roman" w:eastAsia="Times New Roman" w:hAnsi="Times New Roman" w:cs="Times New Roman"/>
      <w:sz w:val="24"/>
      <w:szCs w:val="24"/>
    </w:rPr>
  </w:style>
  <w:style w:type="paragraph" w:customStyle="1" w:styleId="rg">
    <w:name w:val="rg"/>
    <w:basedOn w:val="Normal"/>
    <w:rsid w:val="002A5137"/>
    <w:pPr>
      <w:spacing w:after="0" w:line="240" w:lineRule="auto"/>
      <w:jc w:val="right"/>
    </w:pPr>
    <w:rPr>
      <w:rFonts w:ascii="Times New Roman" w:eastAsia="Times New Roman" w:hAnsi="Times New Roman" w:cs="Times New Roman"/>
      <w:sz w:val="24"/>
      <w:szCs w:val="24"/>
    </w:rPr>
  </w:style>
  <w:style w:type="paragraph" w:customStyle="1" w:styleId="tt">
    <w:name w:val="tt"/>
    <w:basedOn w:val="Normal"/>
    <w:rsid w:val="002A5137"/>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57D98"/>
    <w:rPr>
      <w:sz w:val="16"/>
      <w:szCs w:val="16"/>
    </w:rPr>
  </w:style>
  <w:style w:type="paragraph" w:styleId="CommentText">
    <w:name w:val="annotation text"/>
    <w:basedOn w:val="Normal"/>
    <w:link w:val="CommentTextChar"/>
    <w:uiPriority w:val="99"/>
    <w:unhideWhenUsed/>
    <w:rsid w:val="00657D98"/>
    <w:pPr>
      <w:spacing w:line="240" w:lineRule="auto"/>
    </w:pPr>
    <w:rPr>
      <w:sz w:val="20"/>
      <w:szCs w:val="20"/>
    </w:rPr>
  </w:style>
  <w:style w:type="character" w:customStyle="1" w:styleId="CommentTextChar">
    <w:name w:val="Comment Text Char"/>
    <w:basedOn w:val="DefaultParagraphFont"/>
    <w:link w:val="CommentText"/>
    <w:uiPriority w:val="99"/>
    <w:rsid w:val="00657D98"/>
    <w:rPr>
      <w:sz w:val="20"/>
      <w:szCs w:val="20"/>
    </w:rPr>
  </w:style>
  <w:style w:type="character" w:customStyle="1" w:styleId="Heading4Char">
    <w:name w:val="Heading 4 Char"/>
    <w:basedOn w:val="DefaultParagraphFont"/>
    <w:link w:val="Heading4"/>
    <w:uiPriority w:val="9"/>
    <w:semiHidden/>
    <w:rsid w:val="00912D82"/>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4C64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2166924">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18231320">
      <w:bodyDiv w:val="1"/>
      <w:marLeft w:val="0"/>
      <w:marRight w:val="0"/>
      <w:marTop w:val="0"/>
      <w:marBottom w:val="0"/>
      <w:divBdr>
        <w:top w:val="none" w:sz="0" w:space="0" w:color="auto"/>
        <w:left w:val="none" w:sz="0" w:space="0" w:color="auto"/>
        <w:bottom w:val="none" w:sz="0" w:space="0" w:color="auto"/>
        <w:right w:val="none" w:sz="0" w:space="0" w:color="auto"/>
      </w:divBdr>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55920458">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396897466">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39569111">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567444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7636993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19422250">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69420914">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4780672">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11320444">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65841800">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045148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4799679">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36272418">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6457189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791624333">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1966235753">
      <w:bodyDiv w:val="1"/>
      <w:marLeft w:val="0"/>
      <w:marRight w:val="0"/>
      <w:marTop w:val="0"/>
      <w:marBottom w:val="0"/>
      <w:divBdr>
        <w:top w:val="none" w:sz="0" w:space="0" w:color="auto"/>
        <w:left w:val="none" w:sz="0" w:space="0" w:color="auto"/>
        <w:bottom w:val="none" w:sz="0" w:space="0" w:color="auto"/>
        <w:right w:val="none" w:sz="0" w:space="0" w:color="auto"/>
      </w:divBdr>
    </w:div>
    <w:div w:id="1989088709">
      <w:bodyDiv w:val="1"/>
      <w:marLeft w:val="0"/>
      <w:marRight w:val="0"/>
      <w:marTop w:val="0"/>
      <w:marBottom w:val="0"/>
      <w:divBdr>
        <w:top w:val="none" w:sz="0" w:space="0" w:color="auto"/>
        <w:left w:val="none" w:sz="0" w:space="0" w:color="auto"/>
        <w:bottom w:val="none" w:sz="0" w:space="0" w:color="auto"/>
        <w:right w:val="none" w:sz="0" w:space="0" w:color="auto"/>
      </w:divBdr>
    </w:div>
    <w:div w:id="1997369039">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7318871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www.statistica.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5%D0%B2%D1%80%D0%B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ru.wikipedia.org/wiki/%D0%9F%D1%80%D0%BE%D1%86%D0%B5%D0%BD%D1%82%D0%BD%D0%B0%D1%8F_%D1%81%D1%82%D0%B0%D0%B2%D0%BA%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Эволюция удельного веса государственного долга в ВВП за </a:t>
            </a:r>
            <a:r>
              <a:rPr lang="ro-MD" baseline="0"/>
              <a:t>2017-2019</a:t>
            </a:r>
            <a:r>
              <a:rPr lang="ru-RU" baseline="0"/>
              <a:t> годы</a:t>
            </a:r>
            <a:r>
              <a:rPr lang="ro-MD" baseline="0"/>
              <a:t>, </a:t>
            </a:r>
            <a:r>
              <a:rPr lang="ru-RU" baseline="0"/>
              <a:t>млн. леев</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22345179825495"/>
          <c:y val="0.215"/>
          <c:w val="0.83371234001155259"/>
          <c:h val="0.59835303515449323"/>
        </c:manualLayout>
      </c:layout>
      <c:barChart>
        <c:barDir val="col"/>
        <c:grouping val="stacked"/>
        <c:varyColors val="0"/>
        <c:ser>
          <c:idx val="0"/>
          <c:order val="0"/>
          <c:tx>
            <c:strRef>
              <c:f>Sheet1!$B$1</c:f>
              <c:strCache>
                <c:ptCount val="1"/>
                <c:pt idx="0">
                  <c:v>Внешний государственный долг</c:v>
                </c:pt>
              </c:strCache>
            </c:strRef>
          </c:tx>
          <c:spPr>
            <a:solidFill>
              <a:schemeClr val="accent1">
                <a:lumMod val="60000"/>
                <a:lumOff val="40000"/>
              </a:schemeClr>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29081.8</c:v>
                </c:pt>
                <c:pt idx="1">
                  <c:v>28954</c:v>
                </c:pt>
                <c:pt idx="2">
                  <c:v>29326.1</c:v>
                </c:pt>
              </c:numCache>
            </c:numRef>
          </c:val>
          <c:extLst>
            <c:ext xmlns:c16="http://schemas.microsoft.com/office/drawing/2014/chart" uri="{C3380CC4-5D6E-409C-BE32-E72D297353CC}">
              <c16:uniqueId val="{00000000-90E2-4E89-BE8B-5FC59E22500E}"/>
            </c:ext>
          </c:extLst>
        </c:ser>
        <c:ser>
          <c:idx val="1"/>
          <c:order val="1"/>
          <c:tx>
            <c:strRef>
              <c:f>Sheet1!$C$1</c:f>
              <c:strCache>
                <c:ptCount val="1"/>
                <c:pt idx="0">
                  <c:v>Внутренний государственный долг</c:v>
                </c:pt>
              </c:strCache>
            </c:strRef>
          </c:tx>
          <c:spPr>
            <a:solidFill>
              <a:schemeClr val="accent3"/>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22578.5</c:v>
                </c:pt>
                <c:pt idx="1">
                  <c:v>23058.6</c:v>
                </c:pt>
                <c:pt idx="2">
                  <c:v>23168.2</c:v>
                </c:pt>
              </c:numCache>
            </c:numRef>
          </c:val>
          <c:extLst>
            <c:ext xmlns:c16="http://schemas.microsoft.com/office/drawing/2014/chart" uri="{C3380CC4-5D6E-409C-BE32-E72D297353CC}">
              <c16:uniqueId val="{00000001-90E2-4E89-BE8B-5FC59E22500E}"/>
            </c:ext>
          </c:extLst>
        </c:ser>
        <c:dLbls>
          <c:showLegendKey val="0"/>
          <c:showVal val="0"/>
          <c:showCatName val="0"/>
          <c:showSerName val="0"/>
          <c:showPercent val="0"/>
          <c:showBubbleSize val="0"/>
        </c:dLbls>
        <c:gapWidth val="150"/>
        <c:overlap val="100"/>
        <c:axId val="220209423"/>
        <c:axId val="220200687"/>
      </c:barChart>
      <c:lineChart>
        <c:grouping val="standard"/>
        <c:varyColors val="0"/>
        <c:ser>
          <c:idx val="2"/>
          <c:order val="2"/>
          <c:tx>
            <c:strRef>
              <c:f>Sheet1!$D$1</c:f>
              <c:strCache>
                <c:ptCount val="1"/>
                <c:pt idx="0">
                  <c:v>Удельный вес государственного долга в ВВП,%</c:v>
                </c:pt>
              </c:strCache>
            </c:strRef>
          </c:tx>
          <c:spPr>
            <a:ln w="28575" cap="rnd">
              <a:solidFill>
                <a:srgbClr val="FF0000"/>
              </a:solidFill>
              <a:round/>
            </a:ln>
            <a:effectLst/>
          </c:spPr>
          <c:marker>
            <c:symbol val="none"/>
          </c:marker>
          <c:dLbls>
            <c:dLbl>
              <c:idx val="0"/>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E2-4E89-BE8B-5FC59E22500E}"/>
                </c:ext>
              </c:extLst>
            </c:dLbl>
            <c:dLbl>
              <c:idx val="1"/>
              <c:layout>
                <c:manualLayout>
                  <c:x val="-3.4722222222222307E-2"/>
                  <c:y val="4.76190476190475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E2-4E89-BE8B-5FC59E22500E}"/>
                </c:ext>
              </c:extLst>
            </c:dLbl>
            <c:dLbl>
              <c:idx val="2"/>
              <c:layout>
                <c:manualLayout>
                  <c:x val="-4.1666666666666664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0E2-4E89-BE8B-5FC59E22500E}"/>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Sheet1!$D$2:$D$4</c:f>
              <c:numCache>
                <c:formatCode>#,##0.0</c:formatCode>
                <c:ptCount val="3"/>
                <c:pt idx="0">
                  <c:v>28.9</c:v>
                </c:pt>
                <c:pt idx="1">
                  <c:v>27</c:v>
                </c:pt>
                <c:pt idx="2">
                  <c:v>25</c:v>
                </c:pt>
              </c:numCache>
            </c:numRef>
          </c:val>
          <c:smooth val="0"/>
          <c:extLst>
            <c:ext xmlns:c16="http://schemas.microsoft.com/office/drawing/2014/chart" uri="{C3380CC4-5D6E-409C-BE32-E72D297353CC}">
              <c16:uniqueId val="{00000002-90E2-4E89-BE8B-5FC59E22500E}"/>
            </c:ext>
          </c:extLst>
        </c:ser>
        <c:dLbls>
          <c:showLegendKey val="0"/>
          <c:showVal val="0"/>
          <c:showCatName val="0"/>
          <c:showSerName val="0"/>
          <c:showPercent val="0"/>
          <c:showBubbleSize val="0"/>
        </c:dLbls>
        <c:marker val="1"/>
        <c:smooth val="0"/>
        <c:axId val="481039327"/>
        <c:axId val="481053887"/>
      </c:lineChart>
      <c:catAx>
        <c:axId val="2202094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00687"/>
        <c:crosses val="autoZero"/>
        <c:auto val="1"/>
        <c:lblAlgn val="ctr"/>
        <c:lblOffset val="100"/>
        <c:noMultiLvlLbl val="0"/>
      </c:catAx>
      <c:valAx>
        <c:axId val="220200687"/>
        <c:scaling>
          <c:orientation val="minMax"/>
          <c:max val="550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09423"/>
        <c:crosses val="autoZero"/>
        <c:crossBetween val="between"/>
      </c:valAx>
      <c:valAx>
        <c:axId val="481053887"/>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039327"/>
        <c:crosses val="max"/>
        <c:crossBetween val="between"/>
      </c:valAx>
      <c:catAx>
        <c:axId val="481039327"/>
        <c:scaling>
          <c:orientation val="minMax"/>
        </c:scaling>
        <c:delete val="1"/>
        <c:axPos val="b"/>
        <c:numFmt formatCode="General" sourceLinked="1"/>
        <c:majorTickMark val="out"/>
        <c:minorTickMark val="none"/>
        <c:tickLblPos val="nextTo"/>
        <c:crossAx val="481053887"/>
        <c:crosses val="autoZero"/>
        <c:auto val="1"/>
        <c:lblAlgn val="ctr"/>
        <c:lblOffset val="100"/>
        <c:noMultiLvlLbl val="0"/>
      </c:catAx>
      <c:spPr>
        <a:noFill/>
        <a:ln>
          <a:noFill/>
        </a:ln>
        <a:effectLst>
          <a:outerShdw blurRad="50800" dist="38100" algn="l" rotWithShape="0">
            <a:prstClr val="black">
              <a:alpha val="40000"/>
            </a:prstClr>
          </a:outerShdw>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b="0" i="0" baseline="0">
                <a:effectLst/>
              </a:rPr>
              <a:t>Динамика годовой процентной ставки на ГЦБ в </a:t>
            </a:r>
            <a:r>
              <a:rPr lang="ro-MD" sz="1400" b="0" i="0" baseline="0">
                <a:effectLst/>
              </a:rPr>
              <a:t>201</a:t>
            </a:r>
            <a:r>
              <a:rPr lang="ru-RU" sz="1400" b="0" i="0" baseline="0">
                <a:effectLst/>
              </a:rPr>
              <a:t>7</a:t>
            </a:r>
            <a:r>
              <a:rPr lang="ro-MD" sz="1400" b="0" i="0" baseline="0">
                <a:effectLst/>
              </a:rPr>
              <a:t>-201</a:t>
            </a:r>
            <a:r>
              <a:rPr lang="ru-RU" sz="1400" b="0" i="0" baseline="0">
                <a:effectLst/>
              </a:rPr>
              <a:t>9 годах</a:t>
            </a:r>
            <a:endParaRPr lang="en-US" sz="1400" b="0">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Средневзвешенная процентная ставка за 2017 год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00600600600600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05AF-40D6-8FA4-0E7E7027A94E}"/>
                </c:ext>
              </c:extLst>
            </c:dLbl>
            <c:dLbl>
              <c:idx val="1"/>
              <c:layout>
                <c:manualLayout>
                  <c:x val="-3.217503217503217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05AF-40D6-8FA4-0E7E7027A94E}"/>
                </c:ext>
              </c:extLst>
            </c:dLbl>
            <c:dLbl>
              <c:idx val="2"/>
              <c:layout>
                <c:manualLayout>
                  <c:x val="-5.1480051480051477E-2"/>
                  <c:y val="-3.57142857142856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05AF-40D6-8FA4-0E7E7027A94E}"/>
                </c:ext>
              </c:extLst>
            </c:dLbl>
            <c:dLbl>
              <c:idx val="3"/>
              <c:layout>
                <c:manualLayout>
                  <c:x val="-4.5045045045045043E-2"/>
                  <c:y val="-3.17460317460317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05AF-40D6-8FA4-0E7E7027A94E}"/>
                </c:ext>
              </c:extLst>
            </c:dLbl>
            <c:dLbl>
              <c:idx val="4"/>
              <c:layout>
                <c:manualLayout>
                  <c:x val="-4.5045045045045043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05AF-40D6-8FA4-0E7E7027A94E}"/>
                </c:ext>
              </c:extLst>
            </c:dLbl>
            <c:dLbl>
              <c:idx val="5"/>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05AF-40D6-8FA4-0E7E7027A94E}"/>
                </c:ext>
              </c:extLst>
            </c:dLbl>
            <c:dLbl>
              <c:idx val="6"/>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05AF-40D6-8FA4-0E7E7027A94E}"/>
                </c:ext>
              </c:extLst>
            </c:dLbl>
            <c:dLbl>
              <c:idx val="7"/>
              <c:layout>
                <c:manualLayout>
                  <c:x val="-4.7190047190047192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05AF-40D6-8FA4-0E7E7027A94E}"/>
                </c:ext>
              </c:extLst>
            </c:dLbl>
            <c:dLbl>
              <c:idx val="8"/>
              <c:layout>
                <c:manualLayout>
                  <c:x val="-3.8610038610038609E-2"/>
                  <c:y val="-3.57142857142856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05AF-40D6-8FA4-0E7E7027A94E}"/>
                </c:ext>
              </c:extLst>
            </c:dLbl>
            <c:dLbl>
              <c:idx val="9"/>
              <c:layout>
                <c:manualLayout>
                  <c:x val="-3.8610038610038609E-2"/>
                  <c:y val="-3.5714285714285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05AF-40D6-8FA4-0E7E7027A94E}"/>
                </c:ext>
              </c:extLst>
            </c:dLbl>
            <c:dLbl>
              <c:idx val="10"/>
              <c:layout>
                <c:manualLayout>
                  <c:x val="-3.4320034320034318E-2"/>
                  <c:y val="3.57142857142856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05AF-40D6-8FA4-0E7E7027A94E}"/>
                </c:ext>
              </c:extLst>
            </c:dLbl>
            <c:dLbl>
              <c:idx val="11"/>
              <c:layout>
                <c:manualLayout>
                  <c:x val="-8.5800085800085794E-3"/>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05AF-40D6-8FA4-0E7E7027A94E}"/>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0.00</c:formatCode>
                <c:ptCount val="12"/>
                <c:pt idx="0">
                  <c:v>5.7</c:v>
                </c:pt>
                <c:pt idx="1">
                  <c:v>5.91</c:v>
                </c:pt>
                <c:pt idx="2">
                  <c:v>7.04</c:v>
                </c:pt>
                <c:pt idx="3">
                  <c:v>7.54</c:v>
                </c:pt>
                <c:pt idx="4">
                  <c:v>7.84</c:v>
                </c:pt>
                <c:pt idx="5">
                  <c:v>7.95</c:v>
                </c:pt>
                <c:pt idx="6">
                  <c:v>7.57</c:v>
                </c:pt>
                <c:pt idx="7">
                  <c:v>6.74</c:v>
                </c:pt>
                <c:pt idx="8">
                  <c:v>6.42</c:v>
                </c:pt>
                <c:pt idx="9">
                  <c:v>6.39</c:v>
                </c:pt>
                <c:pt idx="10">
                  <c:v>6.3</c:v>
                </c:pt>
                <c:pt idx="11">
                  <c:v>6.02</c:v>
                </c:pt>
              </c:numCache>
            </c:numRef>
          </c:val>
          <c:smooth val="0"/>
          <c:extLst>
            <c:ext xmlns:c16="http://schemas.microsoft.com/office/drawing/2014/chart" uri="{C3380CC4-5D6E-409C-BE32-E72D297353CC}">
              <c16:uniqueId val="{00000000-05AF-40D6-8FA4-0E7E7027A94E}"/>
            </c:ext>
          </c:extLst>
        </c:ser>
        <c:ser>
          <c:idx val="1"/>
          <c:order val="1"/>
          <c:tx>
            <c:strRef>
              <c:f>Sheet1!$C$1</c:f>
              <c:strCache>
                <c:ptCount val="1"/>
                <c:pt idx="0">
                  <c:v>Средневзвешенная процентная ставка за 2018 год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5740025740025738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AF-40D6-8FA4-0E7E7027A94E}"/>
                </c:ext>
              </c:extLst>
            </c:dLbl>
            <c:dLbl>
              <c:idx val="1"/>
              <c:layout>
                <c:manualLayout>
                  <c:x val="-4.2900042900042901E-2"/>
                  <c:y val="4.36507936507935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AF-40D6-8FA4-0E7E7027A94E}"/>
                </c:ext>
              </c:extLst>
            </c:dLbl>
            <c:dLbl>
              <c:idx val="2"/>
              <c:layout>
                <c:manualLayout>
                  <c:x val="-3.8610038610038651E-2"/>
                  <c:y val="3.17460317460316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AF-40D6-8FA4-0E7E7027A94E}"/>
                </c:ext>
              </c:extLst>
            </c:dLbl>
            <c:dLbl>
              <c:idx val="3"/>
              <c:layout>
                <c:manualLayout>
                  <c:x val="-3.2175032175032175E-2"/>
                  <c:y val="3.57142857142855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AF-40D6-8FA4-0E7E7027A94E}"/>
                </c:ext>
              </c:extLst>
            </c:dLbl>
            <c:dLbl>
              <c:idx val="4"/>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AF-40D6-8FA4-0E7E7027A94E}"/>
                </c:ext>
              </c:extLst>
            </c:dLbl>
            <c:dLbl>
              <c:idx val="5"/>
              <c:layout>
                <c:manualLayout>
                  <c:x val="-3.2175032175032252E-2"/>
                  <c:y val="3.9682539682539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AF-40D6-8FA4-0E7E7027A94E}"/>
                </c:ext>
              </c:extLst>
            </c:dLbl>
            <c:dLbl>
              <c:idx val="6"/>
              <c:layout>
                <c:manualLayout>
                  <c:x val="-3.2175032175032252E-2"/>
                  <c:y val="3.9682539682539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AF-40D6-8FA4-0E7E7027A94E}"/>
                </c:ext>
              </c:extLst>
            </c:dLbl>
            <c:dLbl>
              <c:idx val="7"/>
              <c:layout>
                <c:manualLayout>
                  <c:x val="-2.7885027885027884E-2"/>
                  <c:y val="3.57142857142856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AF-40D6-8FA4-0E7E7027A94E}"/>
                </c:ext>
              </c:extLst>
            </c:dLbl>
            <c:dLbl>
              <c:idx val="8"/>
              <c:layout>
                <c:manualLayout>
                  <c:x val="-2.7885027885027884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5AF-40D6-8FA4-0E7E7027A94E}"/>
                </c:ext>
              </c:extLst>
            </c:dLbl>
            <c:dLbl>
              <c:idx val="9"/>
              <c:layout>
                <c:manualLayout>
                  <c:x val="-3.2175032175032175E-2"/>
                  <c:y val="3.57142857142856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5AF-40D6-8FA4-0E7E7027A94E}"/>
                </c:ext>
              </c:extLst>
            </c:dLbl>
            <c:dLbl>
              <c:idx val="10"/>
              <c:layout>
                <c:manualLayout>
                  <c:x val="-3.2175032175032335E-2"/>
                  <c:y val="4.36507936507935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5AF-40D6-8FA4-0E7E7027A94E}"/>
                </c:ext>
              </c:extLst>
            </c:dLbl>
            <c:dLbl>
              <c:idx val="11"/>
              <c:layout>
                <c:manualLayout>
                  <c:x val="-1.2870012870012869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5AF-40D6-8FA4-0E7E7027A94E}"/>
                </c:ext>
              </c:extLst>
            </c:dLbl>
            <c:spPr>
              <a:noFill/>
              <a:ln>
                <a:solidFill>
                  <a:schemeClr val="accent2"/>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c:ext xmlns:c16="http://schemas.microsoft.com/office/drawing/2014/chart" uri="{C3380CC4-5D6E-409C-BE32-E72D297353CC}">
              <c16:uniqueId val="{00000001-05AF-40D6-8FA4-0E7E7027A94E}"/>
            </c:ext>
          </c:extLst>
        </c:ser>
        <c:ser>
          <c:idx val="2"/>
          <c:order val="2"/>
          <c:tx>
            <c:strRef>
              <c:f>Sheet1!$D$1</c:f>
              <c:strCache>
                <c:ptCount val="1"/>
                <c:pt idx="0">
                  <c:v>Средневзвешенная процентная ставка за 2019 год</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7915057915057917E-2"/>
                  <c:y val="-3.9682539682539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5AF-40D6-8FA4-0E7E7027A94E}"/>
                </c:ext>
              </c:extLst>
            </c:dLbl>
            <c:dLbl>
              <c:idx val="1"/>
              <c:layout>
                <c:manualLayout>
                  <c:x val="-3.6465036465036467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5AF-40D6-8FA4-0E7E7027A94E}"/>
                </c:ext>
              </c:extLst>
            </c:dLbl>
            <c:dLbl>
              <c:idx val="2"/>
              <c:layout>
                <c:manualLayout>
                  <c:x val="-3.861003861003865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05AF-40D6-8FA4-0E7E7027A94E}"/>
                </c:ext>
              </c:extLst>
            </c:dLbl>
            <c:dLbl>
              <c:idx val="3"/>
              <c:layout>
                <c:manualLayout>
                  <c:x val="-3.432003432003431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5AF-40D6-8FA4-0E7E7027A94E}"/>
                </c:ext>
              </c:extLst>
            </c:dLbl>
            <c:dLbl>
              <c:idx val="4"/>
              <c:layout>
                <c:manualLayout>
                  <c:x val="-3.6465036465036467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05AF-40D6-8FA4-0E7E7027A94E}"/>
                </c:ext>
              </c:extLst>
            </c:dLbl>
            <c:dLbl>
              <c:idx val="5"/>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5AF-40D6-8FA4-0E7E7027A94E}"/>
                </c:ext>
              </c:extLst>
            </c:dLbl>
            <c:dLbl>
              <c:idx val="6"/>
              <c:layout>
                <c:manualLayout>
                  <c:x val="-3.00300300300301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5AF-40D6-8FA4-0E7E7027A94E}"/>
                </c:ext>
              </c:extLst>
            </c:dLbl>
            <c:dLbl>
              <c:idx val="7"/>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5AF-40D6-8FA4-0E7E7027A94E}"/>
                </c:ext>
              </c:extLst>
            </c:dLbl>
            <c:dLbl>
              <c:idx val="8"/>
              <c:layout>
                <c:manualLayout>
                  <c:x val="-3.2175032175032175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5AF-40D6-8FA4-0E7E7027A94E}"/>
                </c:ext>
              </c:extLst>
            </c:dLbl>
            <c:dLbl>
              <c:idx val="9"/>
              <c:layout>
                <c:manualLayout>
                  <c:x val="-3.2175032175032175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5AF-40D6-8FA4-0E7E7027A94E}"/>
                </c:ext>
              </c:extLst>
            </c:dLbl>
            <c:dLbl>
              <c:idx val="10"/>
              <c:layout>
                <c:manualLayout>
                  <c:x val="-4.075504075504091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5AF-40D6-8FA4-0E7E7027A94E}"/>
                </c:ext>
              </c:extLst>
            </c:dLbl>
            <c:dLbl>
              <c:idx val="11"/>
              <c:layout>
                <c:manualLayout>
                  <c:x val="-3.4320034320034318E-2"/>
                  <c:y val="-4.36507936507936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05AF-40D6-8FA4-0E7E7027A94E}"/>
                </c:ext>
              </c:extLst>
            </c:dLbl>
            <c:spPr>
              <a:noFill/>
              <a:ln>
                <a:solidFill>
                  <a:schemeClr val="accent3"/>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2-05AF-40D6-8FA4-0E7E7027A94E}"/>
            </c:ext>
          </c:extLst>
        </c:ser>
        <c:ser>
          <c:idx val="3"/>
          <c:order val="3"/>
          <c:tx>
            <c:strRef>
              <c:f>Sheet1!$E$1</c:f>
              <c:strCache>
                <c:ptCount val="1"/>
                <c:pt idx="0">
                  <c:v>Базовая процентная ставка НБМ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05AF-40D6-8FA4-0E7E7027A94E}"/>
                </c:ext>
              </c:extLst>
            </c:dLbl>
            <c:dLbl>
              <c:idx val="1"/>
              <c:layout>
                <c:manualLayout>
                  <c:x val="-3.6465036465036467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05AF-40D6-8FA4-0E7E7027A94E}"/>
                </c:ext>
              </c:extLst>
            </c:dLbl>
            <c:dLbl>
              <c:idx val="2"/>
              <c:layout>
                <c:manualLayout>
                  <c:x val="-2.3595023595023634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05AF-40D6-8FA4-0E7E7027A94E}"/>
                </c:ext>
              </c:extLst>
            </c:dLbl>
            <c:dLbl>
              <c:idx val="3"/>
              <c:layout>
                <c:manualLayout>
                  <c:x val="-3.003003003003003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05AF-40D6-8FA4-0E7E7027A94E}"/>
                </c:ext>
              </c:extLst>
            </c:dLbl>
            <c:dLbl>
              <c:idx val="4"/>
              <c:layout>
                <c:manualLayout>
                  <c:x val="-4.075504075504075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05AF-40D6-8FA4-0E7E7027A94E}"/>
                </c:ext>
              </c:extLst>
            </c:dLbl>
            <c:dLbl>
              <c:idx val="5"/>
              <c:layout>
                <c:manualLayout>
                  <c:x val="-4.5045045045045043E-2"/>
                  <c:y val="-3.17460317460317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05AF-40D6-8FA4-0E7E7027A94E}"/>
                </c:ext>
              </c:extLst>
            </c:dLbl>
            <c:dLbl>
              <c:idx val="6"/>
              <c:layout>
                <c:manualLayout>
                  <c:x val="-3.6465036465036543E-2"/>
                  <c:y val="4.36507936507936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05AF-40D6-8FA4-0E7E7027A94E}"/>
                </c:ext>
              </c:extLst>
            </c:dLbl>
            <c:dLbl>
              <c:idx val="7"/>
              <c:layout>
                <c:manualLayout>
                  <c:x val="-3.8610038610038686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05AF-40D6-8FA4-0E7E7027A94E}"/>
                </c:ext>
              </c:extLst>
            </c:dLbl>
            <c:dLbl>
              <c:idx val="8"/>
              <c:layout>
                <c:manualLayout>
                  <c:x val="-3.432003432003440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05AF-40D6-8FA4-0E7E7027A94E}"/>
                </c:ext>
              </c:extLst>
            </c:dLbl>
            <c:dLbl>
              <c:idx val="9"/>
              <c:layout>
                <c:manualLayout>
                  <c:x val="-3.6465036465036467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05AF-40D6-8FA4-0E7E7027A94E}"/>
                </c:ext>
              </c:extLst>
            </c:dLbl>
            <c:dLbl>
              <c:idx val="10"/>
              <c:layout>
                <c:manualLayout>
                  <c:x val="-2.7885027885028044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2-05AF-40D6-8FA4-0E7E7027A94E}"/>
                </c:ext>
              </c:extLst>
            </c:dLbl>
            <c:dLbl>
              <c:idx val="11"/>
              <c:layout>
                <c:manualLayout>
                  <c:x val="-3.2175032175032175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05AF-40D6-8FA4-0E7E7027A94E}"/>
                </c:ext>
              </c:extLst>
            </c:dLbl>
            <c:spPr>
              <a:noFill/>
              <a:ln>
                <a:solidFill>
                  <a:schemeClr val="accent4"/>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Sheet1!$E$2:$E$13</c:f>
              <c:numCache>
                <c:formatCode>0.00</c:formatCode>
                <c:ptCount val="12"/>
                <c:pt idx="0">
                  <c:v>6.5</c:v>
                </c:pt>
                <c:pt idx="1">
                  <c:v>6.5</c:v>
                </c:pt>
                <c:pt idx="2">
                  <c:v>6.5</c:v>
                </c:pt>
                <c:pt idx="3">
                  <c:v>6.5</c:v>
                </c:pt>
                <c:pt idx="4">
                  <c:v>6.5</c:v>
                </c:pt>
                <c:pt idx="5">
                  <c:v>7</c:v>
                </c:pt>
                <c:pt idx="6">
                  <c:v>7.5</c:v>
                </c:pt>
                <c:pt idx="7">
                  <c:v>7.5</c:v>
                </c:pt>
                <c:pt idx="8">
                  <c:v>7.5</c:v>
                </c:pt>
                <c:pt idx="9">
                  <c:v>7.5</c:v>
                </c:pt>
                <c:pt idx="10">
                  <c:v>7.5</c:v>
                </c:pt>
                <c:pt idx="11">
                  <c:v>5.5</c:v>
                </c:pt>
              </c:numCache>
            </c:numRef>
          </c:val>
          <c:smooth val="0"/>
          <c:extLst>
            <c:ext xmlns:c16="http://schemas.microsoft.com/office/drawing/2014/chart" uri="{C3380CC4-5D6E-409C-BE32-E72D297353CC}">
              <c16:uniqueId val="{00000003-05AF-40D6-8FA4-0E7E7027A94E}"/>
            </c:ext>
          </c:extLst>
        </c:ser>
        <c:dLbls>
          <c:showLegendKey val="0"/>
          <c:showVal val="0"/>
          <c:showCatName val="0"/>
          <c:showSerName val="0"/>
          <c:showPercent val="0"/>
          <c:showBubbleSize val="0"/>
        </c:dLbls>
        <c:marker val="1"/>
        <c:smooth val="0"/>
        <c:axId val="245718608"/>
        <c:axId val="245728176"/>
      </c:lineChart>
      <c:catAx>
        <c:axId val="24571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28176"/>
        <c:crosses val="autoZero"/>
        <c:auto val="1"/>
        <c:lblAlgn val="ctr"/>
        <c:lblOffset val="100"/>
        <c:noMultiLvlLbl val="0"/>
      </c:catAx>
      <c:valAx>
        <c:axId val="245728176"/>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1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MD" sz="1400" b="0" i="0" u="none" strike="noStrike" baseline="0">
                <a:effectLst/>
              </a:rPr>
              <a:t>Продажа ГЦБ на первичном рынке в 2019 году, млн. леев</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Объем оферты </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#,##0.0</c:formatCode>
                <c:ptCount val="12"/>
                <c:pt idx="0">
                  <c:v>925</c:v>
                </c:pt>
                <c:pt idx="1">
                  <c:v>925</c:v>
                </c:pt>
                <c:pt idx="2">
                  <c:v>925</c:v>
                </c:pt>
                <c:pt idx="3">
                  <c:v>1270.5</c:v>
                </c:pt>
                <c:pt idx="4">
                  <c:v>885</c:v>
                </c:pt>
                <c:pt idx="5">
                  <c:v>885</c:v>
                </c:pt>
                <c:pt idx="6">
                  <c:v>905</c:v>
                </c:pt>
                <c:pt idx="7">
                  <c:v>925</c:v>
                </c:pt>
                <c:pt idx="8">
                  <c:v>905</c:v>
                </c:pt>
                <c:pt idx="9">
                  <c:v>850</c:v>
                </c:pt>
                <c:pt idx="10">
                  <c:v>920</c:v>
                </c:pt>
                <c:pt idx="11">
                  <c:v>905</c:v>
                </c:pt>
              </c:numCache>
            </c:numRef>
          </c:val>
          <c:extLst>
            <c:ext xmlns:c16="http://schemas.microsoft.com/office/drawing/2014/chart" uri="{C3380CC4-5D6E-409C-BE32-E72D297353CC}">
              <c16:uniqueId val="{00000000-C3D6-443F-B0CC-C6C52458B01E}"/>
            </c:ext>
          </c:extLst>
        </c:ser>
        <c:ser>
          <c:idx val="1"/>
          <c:order val="1"/>
          <c:tx>
            <c:strRef>
              <c:f>Sheet1!$C$1</c:f>
              <c:strCache>
                <c:ptCount val="1"/>
                <c:pt idx="0">
                  <c:v>Объем спроса </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#,##0.0</c:formatCode>
                <c:ptCount val="12"/>
                <c:pt idx="0">
                  <c:v>1578.9</c:v>
                </c:pt>
                <c:pt idx="1">
                  <c:v>1144.8</c:v>
                </c:pt>
                <c:pt idx="2">
                  <c:v>852.8</c:v>
                </c:pt>
                <c:pt idx="3">
                  <c:v>1004.3</c:v>
                </c:pt>
                <c:pt idx="4">
                  <c:v>1067.2</c:v>
                </c:pt>
                <c:pt idx="5">
                  <c:v>991.1</c:v>
                </c:pt>
                <c:pt idx="6">
                  <c:v>938.1</c:v>
                </c:pt>
                <c:pt idx="7">
                  <c:v>716.9</c:v>
                </c:pt>
                <c:pt idx="8">
                  <c:v>765.5</c:v>
                </c:pt>
                <c:pt idx="9">
                  <c:v>764.8</c:v>
                </c:pt>
                <c:pt idx="10">
                  <c:v>897.4</c:v>
                </c:pt>
                <c:pt idx="11">
                  <c:v>1734.7</c:v>
                </c:pt>
              </c:numCache>
            </c:numRef>
          </c:val>
          <c:extLst>
            <c:ext xmlns:c16="http://schemas.microsoft.com/office/drawing/2014/chart" uri="{C3380CC4-5D6E-409C-BE32-E72D297353CC}">
              <c16:uniqueId val="{00000001-C3D6-443F-B0CC-C6C52458B01E}"/>
            </c:ext>
          </c:extLst>
        </c:ser>
        <c:ser>
          <c:idx val="2"/>
          <c:order val="2"/>
          <c:tx>
            <c:strRef>
              <c:f>Sheet1!$D$1</c:f>
              <c:strCache>
                <c:ptCount val="1"/>
                <c:pt idx="0">
                  <c:v>Объем продажи</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Sheet1!$D$2:$D$13</c:f>
              <c:numCache>
                <c:formatCode>#,##0.0</c:formatCode>
                <c:ptCount val="12"/>
                <c:pt idx="0">
                  <c:v>937.1</c:v>
                </c:pt>
                <c:pt idx="1">
                  <c:v>967</c:v>
                </c:pt>
                <c:pt idx="2">
                  <c:v>765.2</c:v>
                </c:pt>
                <c:pt idx="3">
                  <c:v>860.8</c:v>
                </c:pt>
                <c:pt idx="4">
                  <c:v>757.9</c:v>
                </c:pt>
                <c:pt idx="5">
                  <c:v>852.9</c:v>
                </c:pt>
                <c:pt idx="6">
                  <c:v>540.79999999999995</c:v>
                </c:pt>
                <c:pt idx="7">
                  <c:v>588.1</c:v>
                </c:pt>
                <c:pt idx="8">
                  <c:v>676.4</c:v>
                </c:pt>
                <c:pt idx="9">
                  <c:v>704.5</c:v>
                </c:pt>
                <c:pt idx="10">
                  <c:v>697.3</c:v>
                </c:pt>
                <c:pt idx="11">
                  <c:v>979.1</c:v>
                </c:pt>
              </c:numCache>
            </c:numRef>
          </c:val>
          <c:extLst>
            <c:ext xmlns:c16="http://schemas.microsoft.com/office/drawing/2014/chart" uri="{C3380CC4-5D6E-409C-BE32-E72D297353CC}">
              <c16:uniqueId val="{00000002-C3D6-443F-B0CC-C6C52458B01E}"/>
            </c:ext>
          </c:extLst>
        </c:ser>
        <c:dLbls>
          <c:showLegendKey val="0"/>
          <c:showVal val="0"/>
          <c:showCatName val="0"/>
          <c:showSerName val="0"/>
          <c:showPercent val="0"/>
          <c:showBubbleSize val="0"/>
        </c:dLbls>
        <c:gapWidth val="219"/>
        <c:axId val="835701072"/>
        <c:axId val="835705648"/>
      </c:barChart>
      <c:lineChart>
        <c:grouping val="standard"/>
        <c:varyColors val="0"/>
        <c:ser>
          <c:idx val="3"/>
          <c:order val="3"/>
          <c:tx>
            <c:strRef>
              <c:f>Sheet1!$E$1</c:f>
              <c:strCache>
                <c:ptCount val="1"/>
                <c:pt idx="0">
                  <c:v>Средневзвешенная процентная ставка ,%</c:v>
                </c:pt>
              </c:strCache>
            </c:strRef>
          </c:tx>
          <c:spPr>
            <a:ln w="28575" cap="rnd">
              <a:solidFill>
                <a:schemeClr val="accent4"/>
              </a:solidFill>
              <a:round/>
            </a:ln>
            <a:effectLst/>
          </c:spPr>
          <c:marker>
            <c:symbol val="none"/>
          </c:marker>
          <c:dLbls>
            <c:dLbl>
              <c:idx val="0"/>
              <c:layout>
                <c:manualLayout>
                  <c:x val="-3.4320034320034318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3D6-443F-B0CC-C6C52458B01E}"/>
                </c:ext>
              </c:extLst>
            </c:dLbl>
            <c:dLbl>
              <c:idx val="1"/>
              <c:layout>
                <c:manualLayout>
                  <c:x val="-3.003003003003003E-2"/>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3D6-443F-B0CC-C6C52458B01E}"/>
                </c:ext>
              </c:extLst>
            </c:dLbl>
            <c:dLbl>
              <c:idx val="2"/>
              <c:layout>
                <c:manualLayout>
                  <c:x val="-3.8610038610038651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3D6-443F-B0CC-C6C52458B01E}"/>
                </c:ext>
              </c:extLst>
            </c:dLbl>
            <c:dLbl>
              <c:idx val="3"/>
              <c:layout>
                <c:manualLayout>
                  <c:x val="-3.4320034320034359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3D6-443F-B0CC-C6C52458B01E}"/>
                </c:ext>
              </c:extLst>
            </c:dLbl>
            <c:dLbl>
              <c:idx val="4"/>
              <c:layout>
                <c:manualLayout>
                  <c:x val="-3.4320034320034318E-2"/>
                  <c:y val="-3.5714285714285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3D6-443F-B0CC-C6C52458B01E}"/>
                </c:ext>
              </c:extLst>
            </c:dLbl>
            <c:dLbl>
              <c:idx val="5"/>
              <c:layout>
                <c:manualLayout>
                  <c:x val="-3.8610038610038686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3D6-443F-B0CC-C6C52458B01E}"/>
                </c:ext>
              </c:extLst>
            </c:dLbl>
            <c:dLbl>
              <c:idx val="6"/>
              <c:layout>
                <c:manualLayout>
                  <c:x val="-2.7885027885027964E-2"/>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3D6-443F-B0CC-C6C52458B01E}"/>
                </c:ext>
              </c:extLst>
            </c:dLbl>
            <c:dLbl>
              <c:idx val="7"/>
              <c:layout>
                <c:manualLayout>
                  <c:x val="-3.4320034320034318E-2"/>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3D6-443F-B0CC-C6C52458B01E}"/>
                </c:ext>
              </c:extLst>
            </c:dLbl>
            <c:dLbl>
              <c:idx val="8"/>
              <c:layout>
                <c:manualLayout>
                  <c:x val="-4.2900042900042901E-2"/>
                  <c:y val="-1.1904761904761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3D6-443F-B0CC-C6C52458B01E}"/>
                </c:ext>
              </c:extLst>
            </c:dLbl>
            <c:dLbl>
              <c:idx val="9"/>
              <c:layout>
                <c:manualLayout>
                  <c:x val="-3.4320034320034318E-2"/>
                  <c:y val="2.77777777777777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3D6-443F-B0CC-C6C52458B01E}"/>
                </c:ext>
              </c:extLst>
            </c:dLbl>
            <c:dLbl>
              <c:idx val="10"/>
              <c:layout>
                <c:manualLayout>
                  <c:x val="-3.2175032175032335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3D6-443F-B0CC-C6C52458B01E}"/>
                </c:ext>
              </c:extLst>
            </c:dLbl>
            <c:dLbl>
              <c:idx val="11"/>
              <c:layout>
                <c:manualLayout>
                  <c:x val="-4.290004290004290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3D6-443F-B0CC-C6C52458B01E}"/>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Sheet1!$E$2:$E$13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3-C3D6-443F-B0CC-C6C52458B01E}"/>
            </c:ext>
          </c:extLst>
        </c:ser>
        <c:dLbls>
          <c:showLegendKey val="0"/>
          <c:showVal val="0"/>
          <c:showCatName val="0"/>
          <c:showSerName val="0"/>
          <c:showPercent val="0"/>
          <c:showBubbleSize val="0"/>
        </c:dLbls>
        <c:marker val="1"/>
        <c:smooth val="0"/>
        <c:axId val="942156464"/>
        <c:axId val="942153968"/>
      </c:lineChart>
      <c:catAx>
        <c:axId val="8357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05648"/>
        <c:crosses val="autoZero"/>
        <c:auto val="1"/>
        <c:lblAlgn val="ctr"/>
        <c:lblOffset val="100"/>
        <c:noMultiLvlLbl val="0"/>
      </c:catAx>
      <c:valAx>
        <c:axId val="835705648"/>
        <c:scaling>
          <c:orientation val="minMax"/>
          <c:max val="18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01072"/>
        <c:crosses val="autoZero"/>
        <c:crossBetween val="between"/>
      </c:valAx>
      <c:valAx>
        <c:axId val="942153968"/>
        <c:scaling>
          <c:orientation val="minMax"/>
          <c:max val="6.6"/>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156464"/>
        <c:crosses val="max"/>
        <c:crossBetween val="between"/>
      </c:valAx>
      <c:catAx>
        <c:axId val="942156464"/>
        <c:scaling>
          <c:orientation val="minMax"/>
        </c:scaling>
        <c:delete val="1"/>
        <c:axPos val="b"/>
        <c:numFmt formatCode="General" sourceLinked="1"/>
        <c:majorTickMark val="out"/>
        <c:minorTickMark val="none"/>
        <c:tickLblPos val="nextTo"/>
        <c:crossAx val="9421539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200" b="1" i="0" baseline="0">
                <a:effectLst/>
                <a:latin typeface="+mj-lt"/>
              </a:rPr>
              <a:t>Эволюция процентных ставок по финансовым инструментам в </a:t>
            </a:r>
            <a:r>
              <a:rPr lang="ro-MD" sz="1200" b="1" i="0" baseline="0">
                <a:effectLst/>
                <a:latin typeface="+mj-lt"/>
              </a:rPr>
              <a:t>201</a:t>
            </a:r>
            <a:r>
              <a:rPr lang="ru-RU" sz="1200" b="1" i="0" baseline="0">
                <a:effectLst/>
                <a:latin typeface="+mj-lt"/>
              </a:rPr>
              <a:t>8 году</a:t>
            </a:r>
            <a:endParaRPr lang="en-US" sz="1200">
              <a:effectLst/>
              <a:latin typeface="+mj-lt"/>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Средневзвешеннная ставка на ГЦБ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A1-4CBA-A026-632DA3F8B5D1}"/>
                </c:ext>
              </c:extLst>
            </c:dLbl>
            <c:dLbl>
              <c:idx val="1"/>
              <c:layout>
                <c:manualLayout>
                  <c:x val="-4.3194268857985711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A1-4CBA-A026-632DA3F8B5D1}"/>
                </c:ext>
              </c:extLst>
            </c:dLbl>
            <c:dLbl>
              <c:idx val="2"/>
              <c:layout>
                <c:manualLayout>
                  <c:x val="-3.47661188369153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A1-4CBA-A026-632DA3F8B5D1}"/>
                </c:ext>
              </c:extLst>
            </c:dLbl>
            <c:dLbl>
              <c:idx val="3"/>
              <c:layout>
                <c:manualLayout>
                  <c:x val="-3.4766118836915334E-2"/>
                  <c:y val="4.963285839270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A1-4CBA-A026-632DA3F8B5D1}"/>
                </c:ext>
              </c:extLst>
            </c:dLbl>
            <c:dLbl>
              <c:idx val="4"/>
              <c:layout>
                <c:manualLayout>
                  <c:x val="-3.687315634218289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A1-4CBA-A026-632DA3F8B5D1}"/>
                </c:ext>
              </c:extLst>
            </c:dLbl>
            <c:dLbl>
              <c:idx val="5"/>
              <c:layout>
                <c:manualLayout>
                  <c:x val="-4.7408343868520858E-2"/>
                  <c:y val="2.5823334583177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A1-4CBA-A026-632DA3F8B5D1}"/>
                </c:ext>
              </c:extLst>
            </c:dLbl>
            <c:dLbl>
              <c:idx val="6"/>
              <c:layout>
                <c:manualLayout>
                  <c:x val="-3.476611883691537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A1-4CBA-A026-632DA3F8B5D1}"/>
                </c:ext>
              </c:extLst>
            </c:dLbl>
            <c:dLbl>
              <c:idx val="7"/>
              <c:layout>
                <c:manualLayout>
                  <c:x val="-3.8980193847450564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A1-4CBA-A026-632DA3F8B5D1}"/>
                </c:ext>
              </c:extLst>
            </c:dLbl>
            <c:dLbl>
              <c:idx val="8"/>
              <c:layout>
                <c:manualLayout>
                  <c:x val="-2.8445006321112517E-2"/>
                  <c:y val="5.3601112360954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A1-4CBA-A026-632DA3F8B5D1}"/>
                </c:ext>
              </c:extLst>
            </c:dLbl>
            <c:dLbl>
              <c:idx val="9"/>
              <c:layout>
                <c:manualLayout>
                  <c:x val="-4.530130636325342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A1-4CBA-A026-632DA3F8B5D1}"/>
                </c:ext>
              </c:extLst>
            </c:dLbl>
            <c:dLbl>
              <c:idx val="10"/>
              <c:layout>
                <c:manualLayout>
                  <c:x val="-3.2659081331647855E-2"/>
                  <c:y val="6.5505874265716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A1-4CBA-A026-632DA3F8B5D1}"/>
                </c:ext>
              </c:extLst>
            </c:dLbl>
            <c:dLbl>
              <c:idx val="11"/>
              <c:layout>
                <c:manualLayout>
                  <c:x val="-2.212389380530989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5.72</c:v>
                </c:pt>
                <c:pt idx="1">
                  <c:v>5.26</c:v>
                </c:pt>
                <c:pt idx="2">
                  <c:v>4.78</c:v>
                </c:pt>
                <c:pt idx="3">
                  <c:v>4.47</c:v>
                </c:pt>
                <c:pt idx="4">
                  <c:v>4.47</c:v>
                </c:pt>
                <c:pt idx="5">
                  <c:v>4.62</c:v>
                </c:pt>
                <c:pt idx="6">
                  <c:v>4.6100000000000003</c:v>
                </c:pt>
                <c:pt idx="7">
                  <c:v>4.54</c:v>
                </c:pt>
                <c:pt idx="8">
                  <c:v>4.9400000000000004</c:v>
                </c:pt>
                <c:pt idx="9">
                  <c:v>4.93</c:v>
                </c:pt>
                <c:pt idx="10">
                  <c:v>5.22</c:v>
                </c:pt>
                <c:pt idx="11">
                  <c:v>5.98</c:v>
                </c:pt>
              </c:numCache>
            </c:numRef>
          </c:val>
          <c:smooth val="0"/>
          <c:extLst>
            <c:ext xmlns:c16="http://schemas.microsoft.com/office/drawing/2014/chart" uri="{C3380CC4-5D6E-409C-BE32-E72D297353CC}">
              <c16:uniqueId val="{0000000C-D4A1-4CBA-A026-632DA3F8B5D1}"/>
            </c:ext>
          </c:extLst>
        </c:ser>
        <c:ser>
          <c:idx val="1"/>
          <c:order val="1"/>
          <c:tx>
            <c:strRef>
              <c:f>Sheet1!$C$1</c:f>
              <c:strCache>
                <c:ptCount val="1"/>
                <c:pt idx="0">
                  <c:v>Базовая ставка НБМ</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A1-4CBA-A026-632DA3F8B5D1}"/>
                </c:ext>
              </c:extLst>
            </c:dLbl>
            <c:dLbl>
              <c:idx val="1"/>
              <c:layout>
                <c:manualLayout>
                  <c:x val="-4.7408343868520879E-2"/>
                  <c:y val="-2.5763967004124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A1-4CBA-A026-632DA3F8B5D1}"/>
                </c:ext>
              </c:extLst>
            </c:dLbl>
            <c:dLbl>
              <c:idx val="2"/>
              <c:layout>
                <c:manualLayout>
                  <c:x val="-5.1622418879056046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A1-4CBA-A026-632DA3F8B5D1}"/>
                </c:ext>
              </c:extLst>
            </c:dLbl>
            <c:dLbl>
              <c:idx val="3"/>
              <c:layout>
                <c:manualLayout>
                  <c:x val="-3.2659081331647744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A1-4CBA-A026-632DA3F8B5D1}"/>
                </c:ext>
              </c:extLst>
            </c:dLbl>
            <c:dLbl>
              <c:idx val="6"/>
              <c:layout>
                <c:manualLayout>
                  <c:x val="-3.8980193847450564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A1-4CBA-A026-632DA3F8B5D1}"/>
                </c:ext>
              </c:extLst>
            </c:dLbl>
            <c:dLbl>
              <c:idx val="7"/>
              <c:layout>
                <c:manualLayout>
                  <c:x val="-4.53013063632532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A1-4CBA-A026-632DA3F8B5D1}"/>
                </c:ext>
              </c:extLst>
            </c:dLbl>
            <c:dLbl>
              <c:idx val="8"/>
              <c:layout>
                <c:manualLayout>
                  <c:x val="-4.108723135271800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A1-4CBA-A026-632DA3F8B5D1}"/>
                </c:ext>
              </c:extLst>
            </c:dLbl>
            <c:dLbl>
              <c:idx val="9"/>
              <c:layout>
                <c:manualLayout>
                  <c:x val="-4.53013063632534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A1-4CBA-A026-632DA3F8B5D1}"/>
                </c:ext>
              </c:extLst>
            </c:dLbl>
            <c:dLbl>
              <c:idx val="10"/>
              <c:layout>
                <c:manualLayout>
                  <c:x val="-4.1087231352718079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c:ext xmlns:c16="http://schemas.microsoft.com/office/drawing/2014/chart" uri="{C3380CC4-5D6E-409C-BE32-E72D297353CC}">
              <c16:uniqueId val="{00000016-D4A1-4CBA-A026-632DA3F8B5D1}"/>
            </c:ext>
          </c:extLst>
        </c:ser>
        <c:ser>
          <c:idx val="2"/>
          <c:order val="2"/>
          <c:tx>
            <c:strRef>
              <c:f>Sheet1!$D$1</c:f>
              <c:strCache>
                <c:ptCount val="1"/>
                <c:pt idx="0">
                  <c:v>Средняя ставка по кредитам </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9.5500000000000007</c:v>
                </c:pt>
                <c:pt idx="1">
                  <c:v>9.5</c:v>
                </c:pt>
                <c:pt idx="2">
                  <c:v>9.36</c:v>
                </c:pt>
                <c:pt idx="3">
                  <c:v>9.3000000000000007</c:v>
                </c:pt>
                <c:pt idx="4">
                  <c:v>9.2100000000000009</c:v>
                </c:pt>
                <c:pt idx="5">
                  <c:v>9.23</c:v>
                </c:pt>
                <c:pt idx="6">
                  <c:v>9.11</c:v>
                </c:pt>
                <c:pt idx="7">
                  <c:v>9.08</c:v>
                </c:pt>
                <c:pt idx="8">
                  <c:v>8.92</c:v>
                </c:pt>
                <c:pt idx="9">
                  <c:v>8.7799999999999994</c:v>
                </c:pt>
                <c:pt idx="10">
                  <c:v>8.69</c:v>
                </c:pt>
                <c:pt idx="11">
                  <c:v>8.51</c:v>
                </c:pt>
              </c:numCache>
            </c:numRef>
          </c:val>
          <c:smooth val="0"/>
          <c:extLst>
            <c:ext xmlns:c16="http://schemas.microsoft.com/office/drawing/2014/chart" uri="{C3380CC4-5D6E-409C-BE32-E72D297353CC}">
              <c16:uniqueId val="{00000017-D4A1-4CBA-A026-632DA3F8B5D1}"/>
            </c:ext>
          </c:extLst>
        </c:ser>
        <c:ser>
          <c:idx val="3"/>
          <c:order val="3"/>
          <c:tx>
            <c:strRef>
              <c:f>Sheet1!$E$1</c:f>
              <c:strCache>
                <c:ptCount val="1"/>
                <c:pt idx="0">
                  <c:v>Средняя ставка по депозитам</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4A1-4CBA-A026-632DA3F8B5D1}"/>
                </c:ext>
              </c:extLst>
            </c:dLbl>
            <c:dLbl>
              <c:idx val="1"/>
              <c:layout>
                <c:manualLayout>
                  <c:x val="-2.6337968815844961E-2"/>
                  <c:y val="-2.5763967004124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4A1-4CBA-A026-632DA3F8B5D1}"/>
                </c:ext>
              </c:extLst>
            </c:dLbl>
            <c:dLbl>
              <c:idx val="2"/>
              <c:layout>
                <c:manualLayout>
                  <c:x val="-2.8445006321112517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4A1-4CBA-A026-632DA3F8B5D1}"/>
                </c:ext>
              </c:extLst>
            </c:dLbl>
            <c:dLbl>
              <c:idx val="3"/>
              <c:layout>
                <c:manualLayout>
                  <c:x val="-4.108723135271812E-2"/>
                  <c:y val="-3.766857267841527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8997050147492625E-2"/>
                      <c:h val="7.1369203849518795E-2"/>
                    </c:manualLayout>
                  </c15:layout>
                </c:ext>
                <c:ext xmlns:c16="http://schemas.microsoft.com/office/drawing/2014/chart" uri="{C3380CC4-5D6E-409C-BE32-E72D297353CC}">
                  <c16:uniqueId val="{0000001B-D4A1-4CBA-A026-632DA3F8B5D1}"/>
                </c:ext>
              </c:extLst>
            </c:dLbl>
            <c:dLbl>
              <c:idx val="4"/>
              <c:layout>
                <c:manualLayout>
                  <c:x val="-3.4766118836915376E-2"/>
                  <c:y val="-4.1636982877140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4A1-4CBA-A026-632DA3F8B5D1}"/>
                </c:ext>
              </c:extLst>
            </c:dLbl>
            <c:dLbl>
              <c:idx val="5"/>
              <c:layout>
                <c:manualLayout>
                  <c:x val="-3.8980193847450488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4A1-4CBA-A026-632DA3F8B5D1}"/>
                </c:ext>
              </c:extLst>
            </c:dLbl>
            <c:dLbl>
              <c:idx val="6"/>
              <c:layout>
                <c:manualLayout>
                  <c:x val="-3.687315634218289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4A1-4CBA-A026-632DA3F8B5D1}"/>
                </c:ext>
              </c:extLst>
            </c:dLbl>
            <c:dLbl>
              <c:idx val="7"/>
              <c:layout>
                <c:manualLayout>
                  <c:x val="-3.4766118836915376E-2"/>
                  <c:y val="-3.37004749406323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4A1-4CBA-A026-632DA3F8B5D1}"/>
                </c:ext>
              </c:extLst>
            </c:dLbl>
            <c:dLbl>
              <c:idx val="8"/>
              <c:layout>
                <c:manualLayout>
                  <c:x val="-3.0552043826380111E-2"/>
                  <c:y val="-4.95734908136483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4A1-4CBA-A026-632DA3F8B5D1}"/>
                </c:ext>
              </c:extLst>
            </c:dLbl>
            <c:dLbl>
              <c:idx val="9"/>
              <c:layout>
                <c:manualLayout>
                  <c:x val="-3.6873156342183043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4A1-4CBA-A026-632DA3F8B5D1}"/>
                </c:ext>
              </c:extLst>
            </c:dLbl>
            <c:dLbl>
              <c:idx val="10"/>
              <c:layout>
                <c:manualLayout>
                  <c:x val="-3.8980193847450488E-2"/>
                  <c:y val="-4.5605236845394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4A1-4CBA-A026-632DA3F8B5D1}"/>
                </c:ext>
              </c:extLst>
            </c:dLbl>
            <c:dLbl>
              <c:idx val="11"/>
              <c:layout>
                <c:manualLayout>
                  <c:x val="-3.47661188369153E-2"/>
                  <c:y val="2.9791588551431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4A1-4CBA-A026-632DA3F8B5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5.53</c:v>
                </c:pt>
                <c:pt idx="1">
                  <c:v>5.32</c:v>
                </c:pt>
                <c:pt idx="2">
                  <c:v>5.12</c:v>
                </c:pt>
                <c:pt idx="3">
                  <c:v>4.87</c:v>
                </c:pt>
                <c:pt idx="4">
                  <c:v>4.8</c:v>
                </c:pt>
                <c:pt idx="5">
                  <c:v>4.7699999999999996</c:v>
                </c:pt>
                <c:pt idx="6">
                  <c:v>4.7</c:v>
                </c:pt>
                <c:pt idx="7">
                  <c:v>4.62</c:v>
                </c:pt>
                <c:pt idx="8">
                  <c:v>4.5599999999999996</c:v>
                </c:pt>
                <c:pt idx="9">
                  <c:v>4.63</c:v>
                </c:pt>
                <c:pt idx="10">
                  <c:v>4.71</c:v>
                </c:pt>
                <c:pt idx="11">
                  <c:v>4.6900000000000004</c:v>
                </c:pt>
              </c:numCache>
            </c:numRef>
          </c:val>
          <c:smooth val="0"/>
          <c:extLst>
            <c:ext xmlns:c16="http://schemas.microsoft.com/office/drawing/2014/chart" uri="{C3380CC4-5D6E-409C-BE32-E72D297353CC}">
              <c16:uniqueId val="{00000024-D4A1-4CBA-A026-632DA3F8B5D1}"/>
            </c:ext>
          </c:extLst>
        </c:ser>
        <c:dLbls>
          <c:dLblPos val="t"/>
          <c:showLegendKey val="0"/>
          <c:showVal val="1"/>
          <c:showCatName val="0"/>
          <c:showSerName val="0"/>
          <c:showPercent val="0"/>
          <c:showBubbleSize val="0"/>
        </c:dLbls>
        <c:marker val="1"/>
        <c:smooth val="0"/>
        <c:axId val="190273448"/>
        <c:axId val="190273840"/>
      </c:lineChart>
      <c:catAx>
        <c:axId val="190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273840"/>
        <c:crosses val="autoZero"/>
        <c:auto val="1"/>
        <c:lblAlgn val="ctr"/>
        <c:lblOffset val="100"/>
        <c:noMultiLvlLbl val="0"/>
      </c:catAx>
      <c:valAx>
        <c:axId val="190273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27344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200" b="1" i="1">
                <a:effectLst/>
                <a:latin typeface="+mj-lt"/>
              </a:rPr>
              <a:t>Эволюция процентных ставок по финансовым инструментам </a:t>
            </a:r>
          </a:p>
          <a:p>
            <a:pPr>
              <a:defRPr sz="1300">
                <a:solidFill>
                  <a:sysClr val="windowText" lastClr="000000"/>
                </a:solidFill>
              </a:defRPr>
            </a:pPr>
            <a:r>
              <a:rPr lang="ru-RU" sz="1200" b="1" i="1">
                <a:effectLst/>
                <a:latin typeface="+mj-lt"/>
              </a:rPr>
              <a:t>в </a:t>
            </a:r>
            <a:r>
              <a:rPr lang="ro-MD" sz="1200" b="1" i="1">
                <a:effectLst/>
                <a:latin typeface="+mj-lt"/>
              </a:rPr>
              <a:t>201</a:t>
            </a:r>
            <a:r>
              <a:rPr lang="ru-RU" sz="1200" b="1" i="1">
                <a:effectLst/>
                <a:latin typeface="+mj-lt"/>
              </a:rPr>
              <a:t>9 году</a:t>
            </a:r>
            <a:endParaRPr lang="en-US" sz="1200">
              <a:solidFill>
                <a:sysClr val="windowText" lastClr="000000"/>
              </a:solidFill>
              <a:effectLst/>
              <a:latin typeface="+mj-lt"/>
              <a:cs typeface="Times New Roman" panose="02020603050405020304" pitchFamily="18" charset="0"/>
            </a:endParaRPr>
          </a:p>
        </c:rich>
      </c:tx>
      <c:layout>
        <c:manualLayout>
          <c:xMode val="edge"/>
          <c:yMode val="edge"/>
          <c:x val="0.18829001463312661"/>
          <c:y val="0"/>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8129315693945341E-2"/>
          <c:y val="0.12222222222222222"/>
          <c:w val="0.9023721592323084"/>
          <c:h val="0.63554618172728405"/>
        </c:manualLayout>
      </c:layout>
      <c:lineChart>
        <c:grouping val="standard"/>
        <c:varyColors val="0"/>
        <c:ser>
          <c:idx val="0"/>
          <c:order val="0"/>
          <c:tx>
            <c:strRef>
              <c:f>Sheet1!$B$1</c:f>
              <c:strCache>
                <c:ptCount val="1"/>
                <c:pt idx="0">
                  <c:v>Средневзвешенная ставка на ГЦБ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51538137378846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8A-49AB-AA91-B8AEC1EA749B}"/>
                </c:ext>
              </c:extLst>
            </c:dLbl>
            <c:dLbl>
              <c:idx val="1"/>
              <c:layout>
                <c:manualLayout>
                  <c:x val="-4.3194268857985711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8A-49AB-AA91-B8AEC1EA749B}"/>
                </c:ext>
              </c:extLst>
            </c:dLbl>
            <c:dLbl>
              <c:idx val="2"/>
              <c:layout>
                <c:manualLayout>
                  <c:x val="-3.47661188369153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8A-49AB-AA91-B8AEC1EA749B}"/>
                </c:ext>
              </c:extLst>
            </c:dLbl>
            <c:dLbl>
              <c:idx val="3"/>
              <c:layout>
                <c:manualLayout>
                  <c:x val="-3.4766118836915334E-2"/>
                  <c:y val="4.9632858392700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8A-49AB-AA91-B8AEC1EA749B}"/>
                </c:ext>
              </c:extLst>
            </c:dLbl>
            <c:dLbl>
              <c:idx val="4"/>
              <c:layout>
                <c:manualLayout>
                  <c:x val="-3.687315634218289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8A-49AB-AA91-B8AEC1EA749B}"/>
                </c:ext>
              </c:extLst>
            </c:dLbl>
            <c:dLbl>
              <c:idx val="5"/>
              <c:layout>
                <c:manualLayout>
                  <c:x val="-4.7408343868520858E-2"/>
                  <c:y val="2.5823334583177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8A-49AB-AA91-B8AEC1EA749B}"/>
                </c:ext>
              </c:extLst>
            </c:dLbl>
            <c:dLbl>
              <c:idx val="6"/>
              <c:layout>
                <c:manualLayout>
                  <c:x val="-3.476611883691537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8A-49AB-AA91-B8AEC1EA749B}"/>
                </c:ext>
              </c:extLst>
            </c:dLbl>
            <c:dLbl>
              <c:idx val="7"/>
              <c:layout>
                <c:manualLayout>
                  <c:x val="-3.8980193847450564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8A-49AB-AA91-B8AEC1EA749B}"/>
                </c:ext>
              </c:extLst>
            </c:dLbl>
            <c:dLbl>
              <c:idx val="8"/>
              <c:layout>
                <c:manualLayout>
                  <c:x val="-2.8445006321112517E-2"/>
                  <c:y val="5.3601112360954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8A-49AB-AA91-B8AEC1EA749B}"/>
                </c:ext>
              </c:extLst>
            </c:dLbl>
            <c:dLbl>
              <c:idx val="9"/>
              <c:layout>
                <c:manualLayout>
                  <c:x val="-4.530130636325342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8A-49AB-AA91-B8AEC1EA749B}"/>
                </c:ext>
              </c:extLst>
            </c:dLbl>
            <c:dLbl>
              <c:idx val="10"/>
              <c:layout>
                <c:manualLayout>
                  <c:x val="-3.2659081331647855E-2"/>
                  <c:y val="6.5505874265716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8A-49AB-AA91-B8AEC1EA749B}"/>
                </c:ext>
              </c:extLst>
            </c:dLbl>
            <c:dLbl>
              <c:idx val="11"/>
              <c:layout>
                <c:manualLayout>
                  <c:x val="-3.2659081331647855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Sheet1!$B$2:$B$13</c:f>
              <c:numCache>
                <c:formatCode>0.00</c:formatCode>
                <c:ptCount val="12"/>
                <c:pt idx="0">
                  <c:v>6.13</c:v>
                </c:pt>
                <c:pt idx="1">
                  <c:v>6.11</c:v>
                </c:pt>
                <c:pt idx="2">
                  <c:v>6.01</c:v>
                </c:pt>
                <c:pt idx="3">
                  <c:v>6.22</c:v>
                </c:pt>
                <c:pt idx="4">
                  <c:v>6.14</c:v>
                </c:pt>
                <c:pt idx="5">
                  <c:v>6.14</c:v>
                </c:pt>
                <c:pt idx="6">
                  <c:v>6.21</c:v>
                </c:pt>
                <c:pt idx="7">
                  <c:v>6.15</c:v>
                </c:pt>
                <c:pt idx="8">
                  <c:v>6.25</c:v>
                </c:pt>
                <c:pt idx="9">
                  <c:v>6.35</c:v>
                </c:pt>
                <c:pt idx="10">
                  <c:v>6.56</c:v>
                </c:pt>
                <c:pt idx="11">
                  <c:v>6.39</c:v>
                </c:pt>
              </c:numCache>
            </c:numRef>
          </c:val>
          <c:smooth val="0"/>
          <c:extLst>
            <c:ext xmlns:c16="http://schemas.microsoft.com/office/drawing/2014/chart" uri="{C3380CC4-5D6E-409C-BE32-E72D297353CC}">
              <c16:uniqueId val="{0000000C-6D8A-49AB-AA91-B8AEC1EA749B}"/>
            </c:ext>
          </c:extLst>
        </c:ser>
        <c:ser>
          <c:idx val="1"/>
          <c:order val="1"/>
          <c:tx>
            <c:strRef>
              <c:f>Sheet1!$C$1</c:f>
              <c:strCache>
                <c:ptCount val="1"/>
                <c:pt idx="0">
                  <c:v>Базовая  ставка НБМ</c:v>
                </c:pt>
              </c:strCache>
            </c:strRef>
          </c:tx>
          <c:spPr>
            <a:ln w="28575" cap="rnd">
              <a:solidFill>
                <a:srgbClr val="C00000"/>
              </a:solidFill>
              <a:round/>
            </a:ln>
            <a:effectLst/>
          </c:spPr>
          <c:marker>
            <c:symbol val="circle"/>
            <c:size val="5"/>
            <c:spPr>
              <a:solidFill>
                <a:schemeClr val="accent2">
                  <a:lumMod val="50000"/>
                </a:schemeClr>
              </a:solidFill>
              <a:ln w="9525">
                <a:solidFill>
                  <a:srgbClr val="C00000"/>
                </a:solidFill>
              </a:ln>
              <a:effectLst/>
            </c:spPr>
          </c:marker>
          <c:dLbls>
            <c:dLbl>
              <c:idx val="0"/>
              <c:layout>
                <c:manualLayout>
                  <c:x val="-2.8445006321112517E-2"/>
                  <c:y val="-2.9732220972378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8A-49AB-AA91-B8AEC1EA749B}"/>
                </c:ext>
              </c:extLst>
            </c:dLbl>
            <c:dLbl>
              <c:idx val="1"/>
              <c:layout>
                <c:manualLayout>
                  <c:x val="-4.7408343868520879E-2"/>
                  <c:y val="-2.5763967004124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8A-49AB-AA91-B8AEC1EA749B}"/>
                </c:ext>
              </c:extLst>
            </c:dLbl>
            <c:dLbl>
              <c:idx val="2"/>
              <c:layout>
                <c:manualLayout>
                  <c:x val="-5.1622418879056046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8A-49AB-AA91-B8AEC1EA749B}"/>
                </c:ext>
              </c:extLst>
            </c:dLbl>
            <c:dLbl>
              <c:idx val="3"/>
              <c:layout>
                <c:manualLayout>
                  <c:x val="-3.2659081331647744E-2"/>
                  <c:y val="-3.7668728908886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8A-49AB-AA91-B8AEC1EA749B}"/>
                </c:ext>
              </c:extLst>
            </c:dLbl>
            <c:dLbl>
              <c:idx val="6"/>
              <c:layout>
                <c:manualLayout>
                  <c:x val="-3.8980193847450564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8A-49AB-AA91-B8AEC1EA749B}"/>
                </c:ext>
              </c:extLst>
            </c:dLbl>
            <c:dLbl>
              <c:idx val="7"/>
              <c:layout>
                <c:manualLayout>
                  <c:x val="-4.5301306363253267E-2"/>
                  <c:y val="-3.7668728908886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D8A-49AB-AA91-B8AEC1EA749B}"/>
                </c:ext>
              </c:extLst>
            </c:dLbl>
            <c:dLbl>
              <c:idx val="8"/>
              <c:layout>
                <c:manualLayout>
                  <c:x val="-4.108723135271800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D8A-49AB-AA91-B8AEC1EA749B}"/>
                </c:ext>
              </c:extLst>
            </c:dLbl>
            <c:dLbl>
              <c:idx val="9"/>
              <c:layout>
                <c:manualLayout>
                  <c:x val="-4.530130636325342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D8A-49AB-AA91-B8AEC1EA749B}"/>
                </c:ext>
              </c:extLst>
            </c:dLbl>
            <c:dLbl>
              <c:idx val="10"/>
              <c:layout>
                <c:manualLayout>
                  <c:x val="-4.1087231352718079E-2"/>
                  <c:y val="-4.1636982877140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D8A-49AB-AA91-B8AEC1EA749B}"/>
                </c:ext>
              </c:extLst>
            </c:dLbl>
            <c:dLbl>
              <c:idx val="11"/>
              <c:layout>
                <c:manualLayout>
                  <c:x val="-2.010644687113226E-2"/>
                  <c:y val="-2.17957130358705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Sheet1!$C$2:$C$13</c:f>
              <c:numCache>
                <c:formatCode>0.00</c:formatCode>
                <c:ptCount val="12"/>
                <c:pt idx="0">
                  <c:v>6.5</c:v>
                </c:pt>
                <c:pt idx="1">
                  <c:v>6.5</c:v>
                </c:pt>
                <c:pt idx="2">
                  <c:v>6.5</c:v>
                </c:pt>
                <c:pt idx="3">
                  <c:v>6.5</c:v>
                </c:pt>
                <c:pt idx="4">
                  <c:v>6.5</c:v>
                </c:pt>
                <c:pt idx="5">
                  <c:v>7</c:v>
                </c:pt>
                <c:pt idx="6">
                  <c:v>7.5</c:v>
                </c:pt>
                <c:pt idx="7">
                  <c:v>7.5</c:v>
                </c:pt>
                <c:pt idx="8">
                  <c:v>7.5</c:v>
                </c:pt>
                <c:pt idx="9">
                  <c:v>7.5</c:v>
                </c:pt>
                <c:pt idx="10">
                  <c:v>7.5</c:v>
                </c:pt>
                <c:pt idx="11">
                  <c:v>5.5</c:v>
                </c:pt>
              </c:numCache>
            </c:numRef>
          </c:val>
          <c:smooth val="0"/>
          <c:extLst>
            <c:ext xmlns:c16="http://schemas.microsoft.com/office/drawing/2014/chart" uri="{C3380CC4-5D6E-409C-BE32-E72D297353CC}">
              <c16:uniqueId val="{00000017-6D8A-49AB-AA91-B8AEC1EA749B}"/>
            </c:ext>
          </c:extLst>
        </c:ser>
        <c:ser>
          <c:idx val="2"/>
          <c:order val="2"/>
          <c:tx>
            <c:strRef>
              <c:f>Sheet1!$D$1</c:f>
              <c:strCache>
                <c:ptCount val="1"/>
                <c:pt idx="0">
                  <c:v>Средняя ставка по кредитам</c:v>
                </c:pt>
              </c:strCache>
            </c:strRef>
          </c:tx>
          <c:spPr>
            <a:ln w="28575" cap="rnd">
              <a:solidFill>
                <a:srgbClr val="92D050"/>
              </a:solidFill>
              <a:round/>
            </a:ln>
            <a:effectLst/>
          </c:spPr>
          <c:marker>
            <c:symbol val="circle"/>
            <c:size val="5"/>
            <c:spPr>
              <a:solidFill>
                <a:srgbClr val="92D050"/>
              </a:solidFill>
              <a:ln w="9525">
                <a:solidFill>
                  <a:srgbClr val="92D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Sheet1!$D$2:$D$13</c:f>
              <c:numCache>
                <c:formatCode>0.00</c:formatCode>
                <c:ptCount val="12"/>
                <c:pt idx="0">
                  <c:v>8.61</c:v>
                </c:pt>
                <c:pt idx="1">
                  <c:v>8.5500000000000007</c:v>
                </c:pt>
                <c:pt idx="2">
                  <c:v>8.4499999999999993</c:v>
                </c:pt>
                <c:pt idx="3">
                  <c:v>8.35</c:v>
                </c:pt>
                <c:pt idx="4">
                  <c:v>8.09</c:v>
                </c:pt>
                <c:pt idx="5">
                  <c:v>8.08</c:v>
                </c:pt>
                <c:pt idx="6">
                  <c:v>8.15</c:v>
                </c:pt>
                <c:pt idx="7">
                  <c:v>8.1</c:v>
                </c:pt>
                <c:pt idx="8">
                  <c:v>8.07</c:v>
                </c:pt>
                <c:pt idx="9">
                  <c:v>8.1</c:v>
                </c:pt>
                <c:pt idx="10">
                  <c:v>8.0500000000000007</c:v>
                </c:pt>
                <c:pt idx="11">
                  <c:v>8.08</c:v>
                </c:pt>
              </c:numCache>
            </c:numRef>
          </c:val>
          <c:smooth val="0"/>
          <c:extLst>
            <c:ext xmlns:c16="http://schemas.microsoft.com/office/drawing/2014/chart" uri="{C3380CC4-5D6E-409C-BE32-E72D297353CC}">
              <c16:uniqueId val="{00000018-6D8A-49AB-AA91-B8AEC1EA749B}"/>
            </c:ext>
          </c:extLst>
        </c:ser>
        <c:ser>
          <c:idx val="3"/>
          <c:order val="3"/>
          <c:tx>
            <c:strRef>
              <c:f>Sheet1!$E$1</c:f>
              <c:strCache>
                <c:ptCount val="1"/>
                <c:pt idx="0">
                  <c:v>Средняя ставка по депозитам</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194268857985683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D8A-49AB-AA91-B8AEC1EA749B}"/>
                </c:ext>
              </c:extLst>
            </c:dLbl>
            <c:dLbl>
              <c:idx val="1"/>
              <c:layout>
                <c:manualLayout>
                  <c:x val="-3.4766118836915334E-2"/>
                  <c:y val="4.1696350456192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D8A-49AB-AA91-B8AEC1EA749B}"/>
                </c:ext>
              </c:extLst>
            </c:dLbl>
            <c:dLbl>
              <c:idx val="2"/>
              <c:layout>
                <c:manualLayout>
                  <c:x val="-3.4766118836915334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D8A-49AB-AA91-B8AEC1EA749B}"/>
                </c:ext>
              </c:extLst>
            </c:dLbl>
            <c:dLbl>
              <c:idx val="3"/>
              <c:layout>
                <c:manualLayout>
                  <c:x val="-4.108723135271812E-2"/>
                  <c:y val="3.375999875015622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8997050147492625E-2"/>
                      <c:h val="7.1369203849518795E-2"/>
                    </c:manualLayout>
                  </c15:layout>
                </c:ext>
                <c:ext xmlns:c16="http://schemas.microsoft.com/office/drawing/2014/chart" uri="{C3380CC4-5D6E-409C-BE32-E72D297353CC}">
                  <c16:uniqueId val="{0000001C-6D8A-49AB-AA91-B8AEC1EA749B}"/>
                </c:ext>
              </c:extLst>
            </c:dLbl>
            <c:dLbl>
              <c:idx val="4"/>
              <c:layout>
                <c:manualLayout>
                  <c:x val="-3.47661188369153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D8A-49AB-AA91-B8AEC1EA749B}"/>
                </c:ext>
              </c:extLst>
            </c:dLbl>
            <c:dLbl>
              <c:idx val="5"/>
              <c:layout>
                <c:manualLayout>
                  <c:x val="-3.687315634218289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D8A-49AB-AA91-B8AEC1EA749B}"/>
                </c:ext>
              </c:extLst>
            </c:dLbl>
            <c:dLbl>
              <c:idx val="6"/>
              <c:layout>
                <c:manualLayout>
                  <c:x val="-3.47661188369153E-2"/>
                  <c:y val="3.37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D8A-49AB-AA91-B8AEC1EA749B}"/>
                </c:ext>
              </c:extLst>
            </c:dLbl>
            <c:dLbl>
              <c:idx val="7"/>
              <c:layout>
                <c:manualLayout>
                  <c:x val="-3.4766118836915376E-2"/>
                  <c:y val="3.772809648793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D8A-49AB-AA91-B8AEC1EA749B}"/>
                </c:ext>
              </c:extLst>
            </c:dLbl>
            <c:dLbl>
              <c:idx val="8"/>
              <c:layout>
                <c:manualLayout>
                  <c:x val="-3.2659081331647626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D8A-49AB-AA91-B8AEC1EA749B}"/>
                </c:ext>
              </c:extLst>
            </c:dLbl>
            <c:dLbl>
              <c:idx val="9"/>
              <c:layout>
                <c:manualLayout>
                  <c:x val="-3.6873156342183043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D8A-49AB-AA91-B8AEC1EA749B}"/>
                </c:ext>
              </c:extLst>
            </c:dLbl>
            <c:dLbl>
              <c:idx val="10"/>
              <c:layout>
                <c:manualLayout>
                  <c:x val="-3.687315634218289E-2"/>
                  <c:y val="4.16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D8A-49AB-AA91-B8AEC1EA749B}"/>
                </c:ext>
              </c:extLst>
            </c:dLbl>
            <c:dLbl>
              <c:idx val="11"/>
              <c:layout>
                <c:manualLayout>
                  <c:x val="-3.47661188369153E-2"/>
                  <c:y val="2.9791588551431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D8A-49AB-AA91-B8AEC1EA74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I </c:v>
                </c:pt>
                <c:pt idx="1">
                  <c:v>II</c:v>
                </c:pt>
                <c:pt idx="2">
                  <c:v>III </c:v>
                </c:pt>
                <c:pt idx="3">
                  <c:v>IV </c:v>
                </c:pt>
                <c:pt idx="4">
                  <c:v>V </c:v>
                </c:pt>
                <c:pt idx="5">
                  <c:v>VI </c:v>
                </c:pt>
                <c:pt idx="6">
                  <c:v>VII</c:v>
                </c:pt>
                <c:pt idx="7">
                  <c:v>VIII </c:v>
                </c:pt>
                <c:pt idx="8">
                  <c:v>IX </c:v>
                </c:pt>
                <c:pt idx="9">
                  <c:v>X </c:v>
                </c:pt>
                <c:pt idx="10">
                  <c:v>XI </c:v>
                </c:pt>
                <c:pt idx="11">
                  <c:v>XII </c:v>
                </c:pt>
              </c:strCache>
            </c:strRef>
          </c:cat>
          <c:val>
            <c:numRef>
              <c:f>Sheet1!$E$2:$E$13</c:f>
              <c:numCache>
                <c:formatCode>0.00</c:formatCode>
                <c:ptCount val="12"/>
                <c:pt idx="0">
                  <c:v>4.6900000000000004</c:v>
                </c:pt>
                <c:pt idx="1">
                  <c:v>4.6500000000000004</c:v>
                </c:pt>
                <c:pt idx="2">
                  <c:v>4.71</c:v>
                </c:pt>
                <c:pt idx="3">
                  <c:v>4.6900000000000004</c:v>
                </c:pt>
                <c:pt idx="4">
                  <c:v>4.74</c:v>
                </c:pt>
                <c:pt idx="5">
                  <c:v>4.7</c:v>
                </c:pt>
                <c:pt idx="6">
                  <c:v>4.6900000000000004</c:v>
                </c:pt>
                <c:pt idx="7">
                  <c:v>4.72</c:v>
                </c:pt>
                <c:pt idx="8">
                  <c:v>4.79</c:v>
                </c:pt>
                <c:pt idx="9">
                  <c:v>4.83</c:v>
                </c:pt>
                <c:pt idx="10">
                  <c:v>4.87</c:v>
                </c:pt>
                <c:pt idx="11">
                  <c:v>4.88</c:v>
                </c:pt>
              </c:numCache>
            </c:numRef>
          </c:val>
          <c:smooth val="0"/>
          <c:extLst>
            <c:ext xmlns:c16="http://schemas.microsoft.com/office/drawing/2014/chart" uri="{C3380CC4-5D6E-409C-BE32-E72D297353CC}">
              <c16:uniqueId val="{00000025-6D8A-49AB-AA91-B8AEC1EA749B}"/>
            </c:ext>
          </c:extLst>
        </c:ser>
        <c:dLbls>
          <c:dLblPos val="t"/>
          <c:showLegendKey val="0"/>
          <c:showVal val="1"/>
          <c:showCatName val="0"/>
          <c:showSerName val="0"/>
          <c:showPercent val="0"/>
          <c:showBubbleSize val="0"/>
        </c:dLbls>
        <c:marker val="1"/>
        <c:smooth val="0"/>
        <c:axId val="190273448"/>
        <c:axId val="190273840"/>
      </c:lineChart>
      <c:catAx>
        <c:axId val="19027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273840"/>
        <c:crosses val="autoZero"/>
        <c:auto val="1"/>
        <c:lblAlgn val="ctr"/>
        <c:lblOffset val="100"/>
        <c:noMultiLvlLbl val="0"/>
      </c:catAx>
      <c:valAx>
        <c:axId val="190273840"/>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273448"/>
        <c:crosses val="autoZero"/>
        <c:crossBetween val="between"/>
      </c:valAx>
      <c:spPr>
        <a:noFill/>
        <a:ln>
          <a:gradFill>
            <a:gsLst>
              <a:gs pos="0">
                <a:schemeClr val="accent6">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67D9-3129-43F3-B587-1773880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18730</Words>
  <Characters>106765</Characters>
  <Application>Microsoft Office Word</Application>
  <DocSecurity>4</DocSecurity>
  <Lines>889</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Caraman Tatiana</cp:lastModifiedBy>
  <cp:revision>2</cp:revision>
  <cp:lastPrinted>2020-07-30T11:38:00Z</cp:lastPrinted>
  <dcterms:created xsi:type="dcterms:W3CDTF">2021-02-02T09:34:00Z</dcterms:created>
  <dcterms:modified xsi:type="dcterms:W3CDTF">2021-02-02T09:34:00Z</dcterms:modified>
</cp:coreProperties>
</file>