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0DF" w:rsidRPr="00D70175" w:rsidRDefault="009950DF" w:rsidP="009950DF">
      <w:pPr>
        <w:tabs>
          <w:tab w:val="left" w:pos="720"/>
        </w:tabs>
        <w:spacing w:after="0" w:line="240" w:lineRule="auto"/>
        <w:jc w:val="right"/>
        <w:rPr>
          <w:rFonts w:ascii="Calibri Light" w:eastAsia="Times New Roman" w:hAnsi="Calibri Light" w:cs="Times New Roman"/>
          <w:sz w:val="24"/>
          <w:szCs w:val="24"/>
          <w:lang w:val="ru-RU"/>
        </w:rPr>
      </w:pPr>
      <w:bookmarkStart w:id="0" w:name="_GoBack"/>
      <w:bookmarkEnd w:id="0"/>
      <w:r w:rsidRPr="00D70175">
        <w:rPr>
          <w:rFonts w:ascii="Calibri Light" w:eastAsia="Times New Roman" w:hAnsi="Calibri Light" w:cs="Times New Roman"/>
          <w:sz w:val="24"/>
          <w:szCs w:val="24"/>
          <w:lang w:val="ru-RU"/>
        </w:rPr>
        <w:t>Перевод</w:t>
      </w:r>
    </w:p>
    <w:p w:rsidR="009950DF" w:rsidRPr="00D70175" w:rsidRDefault="009950DF" w:rsidP="009950DF">
      <w:pPr>
        <w:spacing w:after="0" w:line="240" w:lineRule="auto"/>
        <w:jc w:val="right"/>
        <w:rPr>
          <w:rFonts w:ascii="Calibri Light" w:hAnsi="Calibri Light" w:cstheme="majorHAnsi"/>
          <w:sz w:val="24"/>
          <w:szCs w:val="24"/>
          <w:lang w:val="ru-RU"/>
        </w:rPr>
      </w:pPr>
      <w:r w:rsidRPr="00D70175">
        <w:rPr>
          <w:rFonts w:ascii="Calibri Light" w:hAnsi="Calibri Light" w:cstheme="majorHAnsi"/>
          <w:sz w:val="24"/>
          <w:szCs w:val="24"/>
          <w:lang w:val="ru-RU"/>
        </w:rPr>
        <w:t xml:space="preserve">Приложение </w:t>
      </w:r>
    </w:p>
    <w:p w:rsidR="009950DF" w:rsidRPr="00D70175" w:rsidRDefault="009950DF" w:rsidP="009950DF">
      <w:pPr>
        <w:spacing w:after="0" w:line="240" w:lineRule="auto"/>
        <w:jc w:val="right"/>
        <w:rPr>
          <w:rFonts w:ascii="Calibri Light" w:hAnsi="Calibri Light" w:cstheme="majorHAnsi"/>
          <w:sz w:val="24"/>
          <w:szCs w:val="24"/>
          <w:lang w:val="ru-RU"/>
        </w:rPr>
      </w:pPr>
      <w:r w:rsidRPr="00D70175">
        <w:rPr>
          <w:rFonts w:ascii="Calibri Light" w:hAnsi="Calibri Light" w:cstheme="majorHAnsi"/>
          <w:sz w:val="24"/>
          <w:szCs w:val="24"/>
          <w:lang w:val="ru-RU"/>
        </w:rPr>
        <w:t xml:space="preserve">к Постановлению Счетной палаты </w:t>
      </w:r>
    </w:p>
    <w:p w:rsidR="009950DF" w:rsidRPr="00D70175" w:rsidRDefault="009950DF" w:rsidP="009950DF">
      <w:pPr>
        <w:spacing w:after="0" w:line="240" w:lineRule="auto"/>
        <w:jc w:val="right"/>
        <w:rPr>
          <w:rFonts w:ascii="Calibri Light" w:eastAsia="Times New Roman" w:hAnsi="Calibri Light" w:cstheme="majorHAnsi"/>
          <w:bCs/>
          <w:sz w:val="24"/>
          <w:szCs w:val="24"/>
          <w:lang w:val="ru-RU"/>
        </w:rPr>
      </w:pPr>
      <w:r w:rsidRPr="00D70175">
        <w:rPr>
          <w:rFonts w:ascii="Calibri Light" w:hAnsi="Calibri Light" w:cstheme="majorHAnsi"/>
          <w:sz w:val="24"/>
          <w:szCs w:val="24"/>
          <w:lang w:val="ru-RU"/>
        </w:rPr>
        <w:t xml:space="preserve">№36 от </w:t>
      </w:r>
      <w:r w:rsidRPr="00D70175">
        <w:rPr>
          <w:rFonts w:ascii="Calibri Light" w:eastAsia="Times New Roman" w:hAnsi="Calibri Light" w:cstheme="majorHAnsi"/>
          <w:bCs/>
          <w:sz w:val="24"/>
          <w:szCs w:val="24"/>
          <w:lang w:val="ru-RU"/>
        </w:rPr>
        <w:t xml:space="preserve">24 июля 2020 года </w:t>
      </w:r>
    </w:p>
    <w:p w:rsidR="00F368DE" w:rsidRPr="00D70175" w:rsidRDefault="00F368DE" w:rsidP="00F368DE">
      <w:pPr>
        <w:spacing w:after="0" w:line="240" w:lineRule="auto"/>
        <w:jc w:val="center"/>
        <w:rPr>
          <w:rFonts w:asciiTheme="majorHAnsi" w:hAnsiTheme="majorHAnsi" w:cstheme="majorHAnsi"/>
          <w:b/>
          <w:szCs w:val="28"/>
          <w:lang w:val="ru-RU"/>
        </w:rPr>
      </w:pPr>
    </w:p>
    <w:p w:rsidR="00F368DE" w:rsidRPr="00D70175" w:rsidRDefault="00F368DE" w:rsidP="00F368DE">
      <w:pPr>
        <w:spacing w:after="0" w:line="240" w:lineRule="auto"/>
        <w:jc w:val="center"/>
        <w:rPr>
          <w:rFonts w:asciiTheme="majorHAnsi" w:hAnsiTheme="majorHAnsi" w:cstheme="majorHAnsi"/>
          <w:b/>
          <w:szCs w:val="28"/>
          <w:lang w:val="ru-RU"/>
        </w:rPr>
      </w:pPr>
    </w:p>
    <w:p w:rsidR="00D67181" w:rsidRPr="00D70175" w:rsidRDefault="00D67181" w:rsidP="00F368DE">
      <w:pPr>
        <w:spacing w:after="0" w:line="240" w:lineRule="auto"/>
        <w:jc w:val="center"/>
        <w:rPr>
          <w:rFonts w:asciiTheme="majorHAnsi" w:hAnsiTheme="majorHAnsi" w:cstheme="majorHAnsi"/>
          <w:b/>
          <w:szCs w:val="28"/>
          <w:lang w:val="ru-RU"/>
        </w:rPr>
      </w:pPr>
    </w:p>
    <w:p w:rsidR="00F368DE" w:rsidRPr="00D70175" w:rsidRDefault="00F368DE" w:rsidP="00F368DE">
      <w:pPr>
        <w:spacing w:after="0" w:line="240" w:lineRule="auto"/>
        <w:jc w:val="center"/>
        <w:rPr>
          <w:rFonts w:asciiTheme="majorHAnsi" w:hAnsiTheme="majorHAnsi" w:cstheme="majorHAnsi"/>
          <w:b/>
          <w:szCs w:val="28"/>
          <w:lang w:val="ru-RU"/>
        </w:rPr>
      </w:pPr>
      <w:r w:rsidRPr="00D70175">
        <w:rPr>
          <w:rFonts w:asciiTheme="majorHAnsi" w:hAnsiTheme="majorHAnsi" w:cstheme="majorHAnsi"/>
          <w:b/>
          <w:noProof/>
          <w:szCs w:val="28"/>
        </w:rPr>
        <w:drawing>
          <wp:inline distT="0" distB="0" distL="0" distR="0" wp14:anchorId="20814A6E" wp14:editId="1B1123DF">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F368DE" w:rsidRPr="00D70175" w:rsidRDefault="00F368DE" w:rsidP="00F368DE">
      <w:pPr>
        <w:spacing w:after="0" w:line="240" w:lineRule="auto"/>
        <w:jc w:val="center"/>
        <w:rPr>
          <w:rFonts w:asciiTheme="majorHAnsi" w:hAnsiTheme="majorHAnsi" w:cstheme="majorHAnsi"/>
          <w:b/>
          <w:szCs w:val="28"/>
          <w:lang w:val="ru-RU"/>
        </w:rPr>
      </w:pPr>
    </w:p>
    <w:p w:rsidR="00F368DE" w:rsidRPr="00D70175" w:rsidRDefault="00F368DE" w:rsidP="00F368DE">
      <w:pPr>
        <w:spacing w:after="0" w:line="240" w:lineRule="auto"/>
        <w:jc w:val="center"/>
        <w:rPr>
          <w:rFonts w:asciiTheme="majorHAnsi" w:hAnsiTheme="majorHAnsi" w:cstheme="majorHAnsi"/>
          <w:b/>
          <w:szCs w:val="28"/>
          <w:lang w:val="ru-RU"/>
        </w:rPr>
      </w:pPr>
    </w:p>
    <w:p w:rsidR="009950DF" w:rsidRPr="00D70175" w:rsidRDefault="009950DF" w:rsidP="009950DF">
      <w:pPr>
        <w:spacing w:after="0" w:line="240" w:lineRule="auto"/>
        <w:jc w:val="center"/>
        <w:rPr>
          <w:rFonts w:ascii="Calibri Light" w:hAnsi="Calibri Light" w:cstheme="majorHAnsi"/>
          <w:b/>
          <w:szCs w:val="28"/>
          <w:lang w:val="ru-RU"/>
        </w:rPr>
      </w:pPr>
      <w:r w:rsidRPr="00D70175">
        <w:rPr>
          <w:rFonts w:ascii="Calibri Light" w:hAnsi="Calibri Light" w:cstheme="majorHAnsi"/>
          <w:b/>
          <w:szCs w:val="28"/>
          <w:lang w:val="ru-RU"/>
        </w:rPr>
        <w:t xml:space="preserve">СЧЕТНАЯ ПАЛАТА РЕСПУБЛИКИ МОЛДОВА </w:t>
      </w:r>
    </w:p>
    <w:p w:rsidR="00F368DE" w:rsidRPr="00D70175" w:rsidRDefault="00F368DE" w:rsidP="00F368DE">
      <w:pPr>
        <w:tabs>
          <w:tab w:val="left" w:pos="720"/>
        </w:tabs>
        <w:spacing w:after="0" w:line="240" w:lineRule="auto"/>
        <w:jc w:val="right"/>
        <w:rPr>
          <w:rFonts w:asciiTheme="majorHAnsi" w:eastAsia="Times New Roman" w:hAnsiTheme="majorHAnsi" w:cstheme="majorHAnsi"/>
          <w:b/>
          <w:bCs/>
          <w:sz w:val="24"/>
          <w:szCs w:val="24"/>
          <w:lang w:val="ru-RU"/>
        </w:rPr>
      </w:pPr>
    </w:p>
    <w:p w:rsidR="00F368DE" w:rsidRPr="00D70175" w:rsidRDefault="00F368DE" w:rsidP="00F368DE">
      <w:pPr>
        <w:tabs>
          <w:tab w:val="left" w:pos="720"/>
        </w:tabs>
        <w:spacing w:after="0" w:line="240" w:lineRule="auto"/>
        <w:jc w:val="right"/>
        <w:rPr>
          <w:rFonts w:asciiTheme="majorHAnsi" w:eastAsia="Times New Roman" w:hAnsiTheme="majorHAnsi" w:cstheme="majorHAnsi"/>
          <w:b/>
          <w:bCs/>
          <w:sz w:val="24"/>
          <w:szCs w:val="24"/>
          <w:lang w:val="ru-RU"/>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368DE" w:rsidRPr="00D70175" w:rsidTr="0010561E">
        <w:trPr>
          <w:trHeight w:val="435"/>
        </w:trPr>
        <w:tc>
          <w:tcPr>
            <w:tcW w:w="9350" w:type="dxa"/>
          </w:tcPr>
          <w:p w:rsidR="00F368DE" w:rsidRPr="00D70175" w:rsidRDefault="00F368DE" w:rsidP="0010561E">
            <w:pPr>
              <w:tabs>
                <w:tab w:val="left" w:pos="720"/>
              </w:tabs>
              <w:jc w:val="center"/>
              <w:rPr>
                <w:rFonts w:asciiTheme="majorHAnsi" w:eastAsia="Times New Roman" w:hAnsiTheme="majorHAnsi" w:cstheme="majorHAnsi"/>
                <w:b/>
                <w:bCs/>
                <w:sz w:val="24"/>
                <w:szCs w:val="24"/>
                <w:lang w:val="ru-RU"/>
              </w:rPr>
            </w:pPr>
            <w:r w:rsidRPr="00D70175">
              <w:rPr>
                <w:rFonts w:asciiTheme="majorHAnsi" w:hAnsiTheme="majorHAnsi" w:cstheme="majorHAnsi"/>
                <w:sz w:val="18"/>
                <w:szCs w:val="18"/>
                <w:lang w:val="ru-RU"/>
              </w:rPr>
              <w:t xml:space="preserve">MD-2001, mun. Chișinău, bd. Ștefan cel Mare și Sfânt nr.69, tel.: (+373) 22 23 25 79, fax: (+373) 22 23 30 20,                 </w:t>
            </w:r>
            <w:hyperlink r:id="rId7" w:history="1">
              <w:r w:rsidRPr="00D70175">
                <w:rPr>
                  <w:rStyle w:val="Hyperlink"/>
                  <w:rFonts w:asciiTheme="majorHAnsi" w:hAnsiTheme="majorHAnsi" w:cstheme="majorHAnsi"/>
                  <w:b/>
                  <w:color w:val="auto"/>
                  <w:sz w:val="18"/>
                  <w:szCs w:val="18"/>
                  <w:lang w:val="ru-RU"/>
                </w:rPr>
                <w:t>www.ccrm.md</w:t>
              </w:r>
            </w:hyperlink>
            <w:r w:rsidRPr="00D70175">
              <w:rPr>
                <w:rStyle w:val="Hyperlink"/>
                <w:rFonts w:asciiTheme="majorHAnsi" w:hAnsiTheme="majorHAnsi" w:cstheme="majorHAnsi"/>
                <w:b/>
                <w:color w:val="auto"/>
                <w:sz w:val="18"/>
                <w:szCs w:val="18"/>
                <w:lang w:val="ru-RU"/>
              </w:rPr>
              <w:t xml:space="preserve">; </w:t>
            </w:r>
            <w:r w:rsidRPr="00D70175">
              <w:rPr>
                <w:rFonts w:asciiTheme="majorHAnsi" w:hAnsiTheme="majorHAnsi" w:cstheme="majorHAnsi"/>
                <w:sz w:val="18"/>
                <w:szCs w:val="18"/>
                <w:lang w:val="ru-RU"/>
              </w:rPr>
              <w:t xml:space="preserve">e-mail: </w:t>
            </w:r>
            <w:hyperlink r:id="rId8" w:history="1">
              <w:r w:rsidRPr="00D70175">
                <w:rPr>
                  <w:rStyle w:val="Hyperlink"/>
                  <w:rFonts w:asciiTheme="majorHAnsi" w:hAnsiTheme="majorHAnsi" w:cstheme="majorHAnsi"/>
                  <w:b/>
                  <w:color w:val="auto"/>
                  <w:sz w:val="18"/>
                  <w:szCs w:val="18"/>
                  <w:lang w:val="ru-RU"/>
                </w:rPr>
                <w:t>ccrm@ccrm.md</w:t>
              </w:r>
            </w:hyperlink>
          </w:p>
        </w:tc>
      </w:tr>
    </w:tbl>
    <w:p w:rsidR="00F368DE" w:rsidRPr="00D70175" w:rsidRDefault="00F368DE" w:rsidP="00F368DE">
      <w:pPr>
        <w:tabs>
          <w:tab w:val="left" w:pos="720"/>
        </w:tabs>
        <w:spacing w:after="0" w:line="240" w:lineRule="auto"/>
        <w:jc w:val="right"/>
        <w:rPr>
          <w:rFonts w:asciiTheme="majorHAnsi" w:eastAsia="Times New Roman" w:hAnsiTheme="majorHAnsi" w:cstheme="majorHAnsi"/>
          <w:b/>
          <w:bCs/>
          <w:sz w:val="24"/>
          <w:szCs w:val="24"/>
          <w:lang w:val="ru-RU"/>
        </w:rPr>
      </w:pPr>
    </w:p>
    <w:p w:rsidR="00F368DE" w:rsidRPr="00D70175" w:rsidRDefault="00F368DE" w:rsidP="00F368DE">
      <w:pPr>
        <w:tabs>
          <w:tab w:val="left" w:pos="720"/>
        </w:tabs>
        <w:spacing w:after="0" w:line="240" w:lineRule="auto"/>
        <w:jc w:val="right"/>
        <w:rPr>
          <w:rFonts w:asciiTheme="majorHAnsi" w:eastAsia="Times New Roman" w:hAnsiTheme="majorHAnsi" w:cstheme="majorHAnsi"/>
          <w:b/>
          <w:bCs/>
          <w:sz w:val="24"/>
          <w:szCs w:val="24"/>
          <w:lang w:val="ru-RU"/>
        </w:rPr>
      </w:pPr>
    </w:p>
    <w:p w:rsidR="00F368DE" w:rsidRPr="00D70175" w:rsidRDefault="00F368DE" w:rsidP="00F368DE">
      <w:pPr>
        <w:tabs>
          <w:tab w:val="left" w:pos="720"/>
        </w:tabs>
        <w:spacing w:after="0" w:line="240" w:lineRule="auto"/>
        <w:jc w:val="right"/>
        <w:rPr>
          <w:rFonts w:asciiTheme="majorHAnsi" w:eastAsia="Times New Roman" w:hAnsiTheme="majorHAnsi" w:cstheme="majorHAnsi"/>
          <w:b/>
          <w:bCs/>
          <w:sz w:val="24"/>
          <w:szCs w:val="24"/>
          <w:lang w:val="ru-RU"/>
        </w:rPr>
      </w:pPr>
    </w:p>
    <w:p w:rsidR="00F368DE" w:rsidRPr="00D70175" w:rsidRDefault="00F368DE" w:rsidP="00F368DE">
      <w:pPr>
        <w:tabs>
          <w:tab w:val="left" w:pos="720"/>
        </w:tabs>
        <w:spacing w:after="0" w:line="240" w:lineRule="auto"/>
        <w:jc w:val="right"/>
        <w:rPr>
          <w:rFonts w:asciiTheme="majorHAnsi" w:eastAsia="Times New Roman" w:hAnsiTheme="majorHAnsi" w:cstheme="majorHAnsi"/>
          <w:b/>
          <w:bCs/>
          <w:sz w:val="24"/>
          <w:szCs w:val="24"/>
          <w:lang w:val="ru-RU"/>
        </w:rPr>
      </w:pPr>
    </w:p>
    <w:p w:rsidR="00F368DE" w:rsidRPr="00D70175" w:rsidRDefault="00F368DE" w:rsidP="00F368DE">
      <w:pPr>
        <w:tabs>
          <w:tab w:val="left" w:pos="720"/>
        </w:tabs>
        <w:spacing w:after="0" w:line="240" w:lineRule="auto"/>
        <w:jc w:val="center"/>
        <w:rPr>
          <w:rFonts w:asciiTheme="majorHAnsi" w:eastAsia="Times New Roman" w:hAnsiTheme="majorHAnsi" w:cstheme="majorHAnsi"/>
          <w:b/>
          <w:bCs/>
          <w:sz w:val="24"/>
          <w:szCs w:val="24"/>
          <w:lang w:val="ru-RU"/>
        </w:rPr>
      </w:pPr>
    </w:p>
    <w:p w:rsidR="00F368DE" w:rsidRPr="00D70175" w:rsidRDefault="00F368DE" w:rsidP="00F368DE">
      <w:pPr>
        <w:tabs>
          <w:tab w:val="left" w:pos="720"/>
        </w:tabs>
        <w:spacing w:after="0" w:line="240" w:lineRule="auto"/>
        <w:jc w:val="center"/>
        <w:rPr>
          <w:rFonts w:asciiTheme="majorHAnsi" w:eastAsia="Times New Roman" w:hAnsiTheme="majorHAnsi" w:cstheme="majorHAnsi"/>
          <w:b/>
          <w:bCs/>
          <w:sz w:val="24"/>
          <w:szCs w:val="24"/>
          <w:lang w:val="ru-RU"/>
        </w:rPr>
      </w:pPr>
    </w:p>
    <w:p w:rsidR="009950DF" w:rsidRPr="00D70175" w:rsidRDefault="009950DF" w:rsidP="009950DF">
      <w:pPr>
        <w:spacing w:after="0" w:line="276" w:lineRule="auto"/>
        <w:ind w:left="-567"/>
        <w:jc w:val="center"/>
        <w:rPr>
          <w:rFonts w:ascii="Calibri Light" w:eastAsia="Times New Roman" w:hAnsi="Calibri Light" w:cstheme="majorHAnsi"/>
          <w:b/>
          <w:bCs/>
          <w:szCs w:val="28"/>
          <w:lang w:val="ru-RU" w:eastAsia="ru-RU"/>
        </w:rPr>
      </w:pPr>
      <w:r w:rsidRPr="00D70175">
        <w:rPr>
          <w:rFonts w:ascii="Calibri Light" w:eastAsia="Times New Roman" w:hAnsi="Calibri Light" w:cstheme="majorHAnsi"/>
          <w:b/>
          <w:bCs/>
          <w:szCs w:val="28"/>
          <w:lang w:val="ru-RU" w:eastAsia="ru-RU"/>
        </w:rPr>
        <w:t>ОТЧЕТ</w:t>
      </w:r>
    </w:p>
    <w:p w:rsidR="009950DF" w:rsidRPr="00D70175" w:rsidRDefault="009950DF" w:rsidP="009950DF">
      <w:pPr>
        <w:spacing w:after="0" w:line="276" w:lineRule="auto"/>
        <w:ind w:left="-567"/>
        <w:jc w:val="center"/>
        <w:rPr>
          <w:rFonts w:ascii="Calibri Light" w:eastAsia="Times New Roman" w:hAnsi="Calibri Light" w:cstheme="majorHAnsi"/>
          <w:b/>
          <w:bCs/>
          <w:szCs w:val="28"/>
          <w:lang w:val="ru-RU" w:eastAsia="ru-RU"/>
        </w:rPr>
      </w:pPr>
      <w:r w:rsidRPr="00D70175">
        <w:rPr>
          <w:rFonts w:ascii="Calibri Light" w:eastAsia="Times New Roman" w:hAnsi="Calibri Light" w:cstheme="majorHAnsi"/>
          <w:b/>
          <w:bCs/>
          <w:szCs w:val="28"/>
          <w:lang w:val="ru-RU" w:eastAsia="ru-RU"/>
        </w:rPr>
        <w:t>аудита консолидированных финансовых отчетов Министерства финансов, составленных по состоянию на 31 декабря 2019 года</w:t>
      </w:r>
    </w:p>
    <w:p w:rsidR="00F368DE" w:rsidRPr="00D70175" w:rsidRDefault="00F368DE" w:rsidP="00F368DE">
      <w:pPr>
        <w:tabs>
          <w:tab w:val="left" w:pos="720"/>
        </w:tabs>
        <w:spacing w:after="0" w:line="240" w:lineRule="auto"/>
        <w:jc w:val="center"/>
        <w:rPr>
          <w:rFonts w:asciiTheme="majorHAnsi" w:eastAsia="Times New Roman" w:hAnsiTheme="majorHAnsi" w:cstheme="majorHAnsi"/>
          <w:b/>
          <w:bCs/>
          <w:sz w:val="32"/>
          <w:szCs w:val="32"/>
          <w:lang w:val="ru-RU"/>
        </w:rPr>
      </w:pPr>
    </w:p>
    <w:p w:rsidR="00F368DE" w:rsidRPr="00D70175" w:rsidRDefault="00F368DE" w:rsidP="00F368DE">
      <w:pPr>
        <w:jc w:val="center"/>
        <w:rPr>
          <w:rFonts w:asciiTheme="majorHAnsi" w:eastAsia="Times New Roman" w:hAnsiTheme="majorHAnsi" w:cstheme="majorHAnsi"/>
          <w:b/>
          <w:color w:val="000000"/>
          <w:szCs w:val="28"/>
          <w:lang w:val="ru-RU" w:eastAsia="ru-RU"/>
        </w:rPr>
      </w:pPr>
      <w:r w:rsidRPr="00D70175">
        <w:rPr>
          <w:rFonts w:asciiTheme="majorHAnsi" w:eastAsia="Times New Roman" w:hAnsiTheme="majorHAnsi" w:cstheme="majorHAnsi"/>
          <w:b/>
          <w:bCs/>
          <w:color w:val="FF0000"/>
          <w:szCs w:val="28"/>
          <w:lang w:val="ru-RU"/>
        </w:rPr>
        <w:br w:type="page"/>
      </w:r>
      <w:bookmarkStart w:id="1" w:name="_Toc519878939"/>
      <w:bookmarkStart w:id="2" w:name="_Toc482967819"/>
    </w:p>
    <w:p w:rsidR="00F368DE" w:rsidRPr="00D70175" w:rsidRDefault="00F368DE" w:rsidP="00D67181">
      <w:pPr>
        <w:spacing w:after="120"/>
        <w:rPr>
          <w:rFonts w:asciiTheme="majorHAnsi" w:eastAsia="Times New Roman" w:hAnsiTheme="majorHAnsi" w:cstheme="majorHAnsi"/>
          <w:b/>
          <w:bCs/>
          <w:color w:val="FF0000"/>
          <w:szCs w:val="28"/>
          <w:lang w:val="ru-RU"/>
        </w:rPr>
      </w:pPr>
      <w:r w:rsidRPr="00D70175">
        <w:rPr>
          <w:rFonts w:asciiTheme="majorHAnsi" w:eastAsia="Times New Roman" w:hAnsiTheme="majorHAnsi" w:cstheme="majorHAnsi"/>
          <w:b/>
          <w:color w:val="000000"/>
          <w:szCs w:val="28"/>
          <w:lang w:val="ru-RU" w:eastAsia="ru-RU"/>
        </w:rPr>
        <w:lastRenderedPageBreak/>
        <w:t xml:space="preserve">I. </w:t>
      </w:r>
      <w:r w:rsidR="00495FA3" w:rsidRPr="00D70175">
        <w:rPr>
          <w:rFonts w:asciiTheme="majorHAnsi" w:eastAsia="Times New Roman" w:hAnsiTheme="majorHAnsi" w:cstheme="majorHAnsi"/>
          <w:b/>
          <w:color w:val="000000"/>
          <w:szCs w:val="28"/>
          <w:lang w:val="ru-RU" w:eastAsia="ru-RU"/>
        </w:rPr>
        <w:t>ЗАКЛЮЧЕ</w:t>
      </w:r>
      <w:r w:rsidR="009950DF" w:rsidRPr="00D70175">
        <w:rPr>
          <w:rFonts w:asciiTheme="majorHAnsi" w:eastAsia="Times New Roman" w:hAnsiTheme="majorHAnsi" w:cstheme="majorHAnsi"/>
          <w:b/>
          <w:color w:val="000000"/>
          <w:szCs w:val="28"/>
          <w:lang w:val="ru-RU" w:eastAsia="ru-RU"/>
        </w:rPr>
        <w:t xml:space="preserve">НИЕ </w:t>
      </w:r>
      <w:bookmarkEnd w:id="1"/>
    </w:p>
    <w:p w:rsidR="009950DF" w:rsidRPr="00D70175" w:rsidRDefault="009950DF" w:rsidP="00EA1E93">
      <w:pPr>
        <w:pStyle w:val="FootnoteText"/>
        <w:spacing w:line="276" w:lineRule="auto"/>
        <w:rPr>
          <w:rFonts w:ascii="Calibri Light" w:hAnsi="Calibri Light" w:cs="Times New Roman"/>
          <w:sz w:val="24"/>
          <w:szCs w:val="24"/>
          <w:lang w:val="ru-RU"/>
        </w:rPr>
      </w:pPr>
      <w:r w:rsidRPr="00D70175">
        <w:rPr>
          <w:rFonts w:ascii="Calibri Light" w:hAnsi="Calibri Light" w:cs="Times New Roman"/>
          <w:sz w:val="24"/>
          <w:szCs w:val="24"/>
          <w:lang w:val="ru-RU"/>
        </w:rPr>
        <w:t xml:space="preserve">Провели аудит консолидированных </w:t>
      </w:r>
      <w:r w:rsidRPr="00D70175">
        <w:rPr>
          <w:rFonts w:ascii="Calibri Light" w:eastAsia="Times New Roman" w:hAnsi="Calibri Light" w:cs="Times New Roman"/>
          <w:bCs/>
          <w:sz w:val="24"/>
          <w:szCs w:val="24"/>
          <w:lang w:val="ru-RU" w:eastAsia="ru-RU"/>
        </w:rPr>
        <w:t xml:space="preserve">финансовых отчетов Министерства финансов за бюджетный год, завершенный 31 декабря </w:t>
      </w:r>
      <w:r w:rsidRPr="00D70175">
        <w:rPr>
          <w:rFonts w:ascii="Calibri Light" w:hAnsi="Calibri Light" w:cstheme="majorHAnsi"/>
          <w:sz w:val="24"/>
          <w:szCs w:val="24"/>
          <w:lang w:val="ru-RU"/>
        </w:rPr>
        <w:t xml:space="preserve">2019 года, которые охватывают </w:t>
      </w:r>
      <w:r w:rsidRPr="00D70175">
        <w:rPr>
          <w:rFonts w:ascii="Calibri Light" w:eastAsia="Times New Roman" w:hAnsi="Calibri Light" w:cs="Times New Roman"/>
          <w:bCs/>
          <w:sz w:val="24"/>
          <w:szCs w:val="24"/>
          <w:lang w:val="ru-RU" w:eastAsia="ru-RU"/>
        </w:rPr>
        <w:t>Бухгалтерский баланс, Отчет по доходам и расходам, Отчет о потоке денежных средств, Отчет об исполнении бюджета, Пояснительную записку об исполнении бюджета, в том числе обобщение существенных учетных политик. По нашему мнению, финансовые отчеты по всем существенным аспектам</w:t>
      </w:r>
      <w:r w:rsidRPr="00D70175">
        <w:rPr>
          <w:rFonts w:ascii="Calibri Light" w:hAnsi="Calibri Light" w:cs="Times New Roman"/>
          <w:sz w:val="24"/>
          <w:szCs w:val="24"/>
          <w:lang w:val="ru-RU"/>
        </w:rPr>
        <w:t xml:space="preserve"> </w:t>
      </w:r>
      <w:r w:rsidRPr="00D70175">
        <w:rPr>
          <w:rFonts w:ascii="Calibri Light" w:hAnsi="Calibri Light" w:cstheme="majorHAnsi"/>
          <w:sz w:val="24"/>
          <w:szCs w:val="24"/>
          <w:lang w:val="ru-RU"/>
        </w:rPr>
        <w:t>предоставляют правильное и достоверное отражение положения в соответствии с применяемой базой по составлению финансовой отчетности</w:t>
      </w:r>
      <w:r w:rsidRPr="00D70175">
        <w:rPr>
          <w:rStyle w:val="FootnoteReference"/>
          <w:rFonts w:ascii="Calibri Light" w:hAnsi="Calibri Light" w:cs="Times New Roman"/>
          <w:sz w:val="24"/>
          <w:szCs w:val="24"/>
          <w:lang w:val="ru-RU"/>
        </w:rPr>
        <w:footnoteReference w:id="1"/>
      </w:r>
      <w:r w:rsidRPr="00D70175">
        <w:rPr>
          <w:rFonts w:ascii="Calibri Light" w:hAnsi="Calibri Light" w:cs="Times New Roman"/>
          <w:sz w:val="24"/>
          <w:szCs w:val="24"/>
          <w:lang w:val="ru-RU"/>
        </w:rPr>
        <w:t>.</w:t>
      </w:r>
    </w:p>
    <w:p w:rsidR="00F368DE" w:rsidRPr="00D70175" w:rsidRDefault="00F368DE" w:rsidP="00D67181">
      <w:pPr>
        <w:keepNext/>
        <w:keepLines/>
        <w:tabs>
          <w:tab w:val="left" w:pos="-284"/>
          <w:tab w:val="left" w:pos="270"/>
        </w:tabs>
        <w:spacing w:before="240" w:after="120" w:line="276" w:lineRule="auto"/>
        <w:ind w:right="-68"/>
        <w:outlineLvl w:val="0"/>
        <w:rPr>
          <w:rFonts w:asciiTheme="majorHAnsi" w:hAnsiTheme="majorHAnsi" w:cstheme="majorHAnsi"/>
          <w:b/>
          <w:color w:val="000000"/>
          <w:szCs w:val="28"/>
          <w:lang w:val="ru-RU" w:eastAsia="ru-RU"/>
        </w:rPr>
      </w:pPr>
      <w:bookmarkStart w:id="3" w:name="_Toc518977954"/>
      <w:bookmarkStart w:id="4" w:name="_Toc519878940"/>
      <w:bookmarkEnd w:id="2"/>
      <w:r w:rsidRPr="00D70175">
        <w:rPr>
          <w:rFonts w:asciiTheme="majorHAnsi" w:eastAsia="Times New Roman" w:hAnsiTheme="majorHAnsi" w:cstheme="majorHAnsi"/>
          <w:b/>
          <w:color w:val="000000"/>
          <w:szCs w:val="28"/>
          <w:lang w:val="ru-RU" w:eastAsia="ru-RU"/>
        </w:rPr>
        <w:t xml:space="preserve">II. </w:t>
      </w:r>
      <w:r w:rsidR="00EA1E93" w:rsidRPr="00D70175">
        <w:rPr>
          <w:rFonts w:asciiTheme="majorHAnsi" w:eastAsia="Times New Roman" w:hAnsiTheme="majorHAnsi" w:cstheme="majorHAnsi"/>
          <w:b/>
          <w:color w:val="000000"/>
          <w:szCs w:val="28"/>
          <w:lang w:val="ru-RU" w:eastAsia="ru-RU"/>
        </w:rPr>
        <w:t xml:space="preserve">ОСНОВАНИЕ ДЛЯ СОСТАВЛЕНИЯ ЗАКЛЮЧЕНИЯ  </w:t>
      </w:r>
      <w:bookmarkStart w:id="5" w:name="_Toc506212732"/>
      <w:bookmarkEnd w:id="3"/>
      <w:bookmarkEnd w:id="4"/>
    </w:p>
    <w:p w:rsidR="00EA1E93" w:rsidRPr="00D70175" w:rsidRDefault="00EA1E93" w:rsidP="00EA1E93">
      <w:pPr>
        <w:spacing w:after="120" w:line="276" w:lineRule="auto"/>
        <w:rPr>
          <w:rFonts w:ascii="Calibri Light" w:hAnsi="Calibri Light" w:cs="Times New Roman"/>
          <w:sz w:val="24"/>
          <w:szCs w:val="24"/>
          <w:lang w:val="ru-RU"/>
        </w:rPr>
      </w:pPr>
      <w:r w:rsidRPr="00D70175">
        <w:rPr>
          <w:rFonts w:ascii="Calibri Light" w:hAnsi="Calibri Light" w:cstheme="majorHAnsi"/>
          <w:sz w:val="24"/>
          <w:szCs w:val="24"/>
          <w:shd w:val="clear" w:color="auto" w:fill="FFFFFF" w:themeFill="background1"/>
          <w:lang w:val="ru-RU"/>
        </w:rPr>
        <w:t>Провели аудиторскую миссию в соответствии с Международными с</w:t>
      </w:r>
      <w:r w:rsidRPr="00D70175">
        <w:rPr>
          <w:rFonts w:ascii="Calibri Light" w:eastAsia="Times New Roman" w:hAnsi="Calibri Light" w:cs="Calibri Light"/>
          <w:sz w:val="24"/>
          <w:szCs w:val="24"/>
          <w:lang w:val="ru-RU" w:eastAsia="ru-RU"/>
        </w:rPr>
        <w:t>тандартами Высших органов аудита</w:t>
      </w:r>
      <w:r w:rsidRPr="00D70175">
        <w:rPr>
          <w:rStyle w:val="FootnoteReference"/>
          <w:rFonts w:ascii="Calibri Light" w:eastAsia="Times New Roman" w:hAnsi="Calibri Light" w:cs="Times New Roman"/>
          <w:sz w:val="24"/>
          <w:szCs w:val="24"/>
          <w:lang w:val="ru-RU"/>
        </w:rPr>
        <w:footnoteReference w:id="2"/>
      </w:r>
      <w:r w:rsidRPr="00D70175">
        <w:rPr>
          <w:rFonts w:ascii="Calibri Light" w:eastAsia="Times New Roman" w:hAnsi="Calibri Light" w:cs="Times New Roman"/>
          <w:sz w:val="24"/>
          <w:szCs w:val="24"/>
          <w:lang w:val="ru-RU"/>
        </w:rPr>
        <w:t>.</w:t>
      </w:r>
      <w:r w:rsidRPr="00D70175">
        <w:rPr>
          <w:rFonts w:ascii="Calibri Light" w:eastAsia="Times New Roman" w:hAnsi="Calibri Light" w:cs="Calibri Light"/>
          <w:sz w:val="24"/>
          <w:szCs w:val="24"/>
          <w:lang w:val="ru-RU" w:eastAsia="ru-RU"/>
        </w:rPr>
        <w:t xml:space="preserve"> Наша ответственность, согласно соответствующим стандартам, изложена в разделе </w:t>
      </w:r>
      <w:r w:rsidRPr="00D70175">
        <w:rPr>
          <w:rFonts w:asciiTheme="majorHAnsi" w:hAnsiTheme="majorHAnsi" w:cs="Times New Roman"/>
          <w:sz w:val="24"/>
          <w:szCs w:val="24"/>
          <w:lang w:val="ru-RU"/>
        </w:rPr>
        <w:t xml:space="preserve">VI. </w:t>
      </w:r>
      <w:r w:rsidRPr="00D70175">
        <w:rPr>
          <w:rFonts w:ascii="Calibri Light" w:eastAsia="Times New Roman" w:hAnsi="Calibri Light" w:cs="Calibri Light"/>
          <w:sz w:val="24"/>
          <w:szCs w:val="24"/>
          <w:lang w:val="ru-RU" w:eastAsia="ru-RU"/>
        </w:rPr>
        <w:t>,,Ответственность аудитора в аудите финансовых отчетов</w:t>
      </w:r>
      <w:r w:rsidRPr="00D70175">
        <w:rPr>
          <w:rFonts w:ascii="Calibri Light" w:hAnsi="Calibri Light" w:cs="Times New Roman"/>
          <w:sz w:val="24"/>
          <w:szCs w:val="24"/>
          <w:lang w:val="ru-RU"/>
        </w:rPr>
        <w:t xml:space="preserve">”. </w:t>
      </w:r>
    </w:p>
    <w:p w:rsidR="00EA1E93" w:rsidRPr="00D70175" w:rsidRDefault="00EA1E93" w:rsidP="00EA1E93">
      <w:pPr>
        <w:spacing w:after="120" w:line="276" w:lineRule="auto"/>
        <w:rPr>
          <w:rFonts w:ascii="Calibri Light" w:eastAsia="Times New Roman" w:hAnsi="Calibri Light" w:cs="Calibri Light"/>
          <w:sz w:val="24"/>
          <w:szCs w:val="24"/>
          <w:lang w:val="ru-RU" w:eastAsia="ru-RU"/>
        </w:rPr>
      </w:pPr>
      <w:r w:rsidRPr="00D70175">
        <w:rPr>
          <w:rFonts w:ascii="Calibri Light" w:eastAsia="Times New Roman" w:hAnsi="Calibri Light" w:cs="Calibri Light"/>
          <w:sz w:val="24"/>
          <w:szCs w:val="24"/>
          <w:lang w:val="ru-RU" w:eastAsia="ru-RU"/>
        </w:rPr>
        <w:t>Аудиторы независимы перед субъектом и осуществляли этические обязательства в соответствии с требованиями Кодекса этики Счетной палаты. Считаем, что полученные аудиторские доказательства являются достаточными и адекватными для предоставления основания для составления нашего заключения.</w:t>
      </w:r>
    </w:p>
    <w:p w:rsidR="00F368DE" w:rsidRPr="00D70175" w:rsidRDefault="00F368DE" w:rsidP="00D67181">
      <w:pPr>
        <w:tabs>
          <w:tab w:val="left" w:pos="-238"/>
          <w:tab w:val="left" w:pos="90"/>
          <w:tab w:val="left" w:pos="360"/>
        </w:tabs>
        <w:spacing w:after="120" w:line="276" w:lineRule="auto"/>
        <w:jc w:val="left"/>
        <w:rPr>
          <w:rFonts w:asciiTheme="majorHAnsi" w:hAnsiTheme="majorHAnsi" w:cstheme="minorHAnsi"/>
          <w:b/>
          <w:bCs/>
          <w:szCs w:val="28"/>
          <w:lang w:val="ru-RU"/>
        </w:rPr>
      </w:pPr>
      <w:r w:rsidRPr="00D70175">
        <w:rPr>
          <w:rFonts w:asciiTheme="majorHAnsi" w:hAnsiTheme="majorHAnsi" w:cstheme="minorHAnsi"/>
          <w:b/>
          <w:bCs/>
          <w:szCs w:val="28"/>
          <w:lang w:val="ru-RU"/>
        </w:rPr>
        <w:t>III.</w:t>
      </w:r>
      <w:r w:rsidR="00B74F2A" w:rsidRPr="00D70175">
        <w:rPr>
          <w:rFonts w:asciiTheme="majorHAnsi" w:hAnsiTheme="majorHAnsi" w:cstheme="minorHAnsi"/>
          <w:b/>
          <w:bCs/>
          <w:szCs w:val="28"/>
          <w:lang w:val="ru-RU"/>
        </w:rPr>
        <w:t xml:space="preserve"> КЛЮЧЕВЫЕ АСПЕКТЫ АУДИТА </w:t>
      </w:r>
    </w:p>
    <w:p w:rsidR="00B74F2A" w:rsidRPr="00D70175" w:rsidRDefault="00B74F2A" w:rsidP="00B74F2A">
      <w:pPr>
        <w:spacing w:line="276" w:lineRule="auto"/>
        <w:ind w:right="-1"/>
        <w:rPr>
          <w:rFonts w:ascii="Calibri Light" w:hAnsi="Calibri Light" w:cstheme="majorHAnsi"/>
          <w:sz w:val="24"/>
          <w:szCs w:val="24"/>
          <w:lang w:val="ru-RU"/>
        </w:rPr>
      </w:pPr>
      <w:r w:rsidRPr="00D70175">
        <w:rPr>
          <w:rFonts w:ascii="Calibri Light" w:hAnsi="Calibri Light" w:cstheme="majorHAnsi"/>
          <w:sz w:val="24"/>
          <w:szCs w:val="24"/>
          <w:lang w:val="ru-RU"/>
        </w:rPr>
        <w:t>Ключевыми аспектами аудита являются аспекты, которые на основания наших профессиональных рассуждений имели наиболее важное значение для аудита консолидированных финансовых отчетов Министерства финансов за бюджетный год, завершенный 31 декабря 2019 года. Эти аспекты были подняты в контексте аудита финансовой отчетности в целом и формирования нашего заключения по ним, не составляя отдельного мнения</w:t>
      </w:r>
      <w:r w:rsidR="009271AB" w:rsidRPr="00D70175">
        <w:rPr>
          <w:rFonts w:ascii="Calibri Light" w:hAnsi="Calibri Light" w:cstheme="majorHAnsi"/>
          <w:sz w:val="24"/>
          <w:szCs w:val="24"/>
          <w:lang w:val="ru-RU"/>
        </w:rPr>
        <w:t xml:space="preserve"> </w:t>
      </w:r>
      <w:r w:rsidRPr="00D70175">
        <w:rPr>
          <w:rFonts w:ascii="Calibri Light" w:hAnsi="Calibri Light" w:cstheme="majorHAnsi"/>
          <w:sz w:val="24"/>
          <w:szCs w:val="24"/>
          <w:lang w:val="ru-RU"/>
        </w:rPr>
        <w:t xml:space="preserve">по этим аспектам. </w:t>
      </w:r>
    </w:p>
    <w:bookmarkEnd w:id="5"/>
    <w:p w:rsidR="00F368DE" w:rsidRPr="00D70175" w:rsidRDefault="00F368DE" w:rsidP="00D67181">
      <w:pPr>
        <w:tabs>
          <w:tab w:val="left" w:pos="-182"/>
          <w:tab w:val="left" w:pos="360"/>
          <w:tab w:val="left" w:pos="450"/>
        </w:tabs>
        <w:spacing w:after="120" w:line="276" w:lineRule="auto"/>
        <w:rPr>
          <w:rFonts w:asciiTheme="majorHAnsi" w:hAnsiTheme="majorHAnsi" w:cstheme="majorHAnsi"/>
          <w:b/>
          <w:bCs/>
          <w:szCs w:val="28"/>
          <w:lang w:val="ru-RU"/>
        </w:rPr>
      </w:pPr>
      <w:r w:rsidRPr="00D70175">
        <w:rPr>
          <w:rFonts w:asciiTheme="majorHAnsi" w:eastAsia="Calibri" w:hAnsiTheme="majorHAnsi" w:cstheme="majorHAnsi"/>
          <w:b/>
          <w:szCs w:val="28"/>
          <w:lang w:val="ru-RU"/>
        </w:rPr>
        <w:t>IV.</w:t>
      </w:r>
      <w:r w:rsidRPr="00D70175">
        <w:rPr>
          <w:rFonts w:asciiTheme="majorHAnsi" w:eastAsia="Calibri" w:hAnsiTheme="majorHAnsi" w:cstheme="majorHAnsi"/>
          <w:b/>
          <w:szCs w:val="28"/>
          <w:lang w:val="ru-RU"/>
        </w:rPr>
        <w:tab/>
      </w:r>
      <w:r w:rsidR="00566B68" w:rsidRPr="00D70175">
        <w:rPr>
          <w:rFonts w:asciiTheme="majorHAnsi" w:eastAsia="Calibri" w:hAnsiTheme="majorHAnsi" w:cstheme="majorHAnsi"/>
          <w:b/>
          <w:szCs w:val="28"/>
          <w:lang w:val="ru-RU"/>
        </w:rPr>
        <w:t xml:space="preserve">НАБЛЮДЕНИЯ АУДИТА, КОТОРЫЕ НЕ ПОВЛИЯЛИ НА ЗАКЛЮЧЕНИЕ   </w:t>
      </w:r>
    </w:p>
    <w:p w:rsidR="00566B68" w:rsidRPr="00D70175" w:rsidRDefault="00F368DE" w:rsidP="00F368DE">
      <w:pPr>
        <w:tabs>
          <w:tab w:val="left" w:pos="0"/>
          <w:tab w:val="left" w:pos="90"/>
        </w:tabs>
        <w:spacing w:after="120" w:line="276" w:lineRule="auto"/>
        <w:rPr>
          <w:rFonts w:ascii="Calibri Light" w:eastAsia="Times New Roman" w:hAnsi="Calibri Light" w:cs="Times New Roman"/>
          <w:bCs/>
          <w:sz w:val="24"/>
          <w:szCs w:val="24"/>
          <w:lang w:val="ru-RU" w:eastAsia="ru-RU"/>
        </w:rPr>
      </w:pPr>
      <w:r w:rsidRPr="00D70175">
        <w:rPr>
          <w:rFonts w:asciiTheme="majorHAnsi" w:hAnsiTheme="majorHAnsi" w:cstheme="majorHAnsi"/>
          <w:b/>
          <w:iCs/>
          <w:color w:val="000000" w:themeColor="text1"/>
          <w:sz w:val="24"/>
          <w:szCs w:val="24"/>
          <w:shd w:val="clear" w:color="auto" w:fill="FFFFFF" w:themeFill="background1"/>
          <w:lang w:val="ru-RU"/>
        </w:rPr>
        <w:lastRenderedPageBreak/>
        <w:t>4.1</w:t>
      </w:r>
      <w:r w:rsidRPr="00D70175">
        <w:rPr>
          <w:rFonts w:asciiTheme="majorHAnsi" w:hAnsiTheme="majorHAnsi" w:cstheme="majorHAnsi"/>
          <w:iCs/>
          <w:color w:val="000000" w:themeColor="text1"/>
          <w:sz w:val="24"/>
          <w:szCs w:val="24"/>
          <w:shd w:val="clear" w:color="auto" w:fill="FFFFFF" w:themeFill="background1"/>
          <w:lang w:val="ru-RU"/>
        </w:rPr>
        <w:t xml:space="preserve">. </w:t>
      </w:r>
      <w:r w:rsidR="00566B68" w:rsidRPr="00D70175">
        <w:rPr>
          <w:rFonts w:ascii="Calibri Light" w:eastAsia="Times New Roman" w:hAnsi="Calibri Light" w:cs="Times New Roman"/>
          <w:bCs/>
          <w:sz w:val="24"/>
          <w:szCs w:val="24"/>
          <w:lang w:val="ru-RU" w:eastAsia="ru-RU"/>
        </w:rPr>
        <w:t>Министерство финансов и некоторые подведомственные учреждения не применяли общие правила по признанию и классификации нефинансовых активов</w:t>
      </w:r>
      <w:r w:rsidR="00566B68" w:rsidRPr="00D70175">
        <w:rPr>
          <w:rStyle w:val="FootnoteReference"/>
          <w:rFonts w:asciiTheme="majorHAnsi" w:hAnsiTheme="majorHAnsi" w:cstheme="majorHAnsi"/>
          <w:iCs/>
          <w:color w:val="000000" w:themeColor="text1"/>
          <w:sz w:val="24"/>
          <w:szCs w:val="24"/>
          <w:shd w:val="clear" w:color="auto" w:fill="FFFFFF" w:themeFill="background1"/>
          <w:lang w:val="ru-RU"/>
        </w:rPr>
        <w:footnoteReference w:id="3"/>
      </w:r>
      <w:r w:rsidR="00566B68" w:rsidRPr="00D70175">
        <w:rPr>
          <w:rFonts w:asciiTheme="majorHAnsi" w:hAnsiTheme="majorHAnsi" w:cs="Times New Roman"/>
          <w:sz w:val="24"/>
          <w:szCs w:val="24"/>
          <w:lang w:val="ru-RU"/>
        </w:rPr>
        <w:t xml:space="preserve">, что повлияло на </w:t>
      </w:r>
      <w:r w:rsidR="00E206BB" w:rsidRPr="00D70175">
        <w:rPr>
          <w:rFonts w:ascii="Calibri Light" w:hAnsi="Calibri Light" w:cs="Times New Roman"/>
          <w:sz w:val="24"/>
          <w:szCs w:val="24"/>
          <w:lang w:val="ru-RU"/>
        </w:rPr>
        <w:t xml:space="preserve">консолидированный </w:t>
      </w:r>
      <w:r w:rsidR="00E206BB" w:rsidRPr="00D70175">
        <w:rPr>
          <w:rFonts w:ascii="Calibri Light" w:eastAsia="Times New Roman" w:hAnsi="Calibri Light" w:cs="Times New Roman"/>
          <w:bCs/>
          <w:sz w:val="24"/>
          <w:szCs w:val="24"/>
          <w:lang w:val="ru-RU" w:eastAsia="ru-RU"/>
        </w:rPr>
        <w:t xml:space="preserve">финансовый отчет на уровне подкласса </w:t>
      </w:r>
      <w:r w:rsidR="00E206BB" w:rsidRPr="00D70175">
        <w:rPr>
          <w:rFonts w:asciiTheme="majorHAnsi" w:eastAsia="Times New Roman" w:hAnsiTheme="majorHAnsi" w:cstheme="majorHAnsi"/>
          <w:bCs/>
          <w:sz w:val="24"/>
          <w:szCs w:val="24"/>
          <w:lang w:val="ru-RU"/>
        </w:rPr>
        <w:t xml:space="preserve">31 „Основные средства”- в сумме </w:t>
      </w:r>
      <w:r w:rsidR="00E206BB" w:rsidRPr="00D70175">
        <w:rPr>
          <w:rFonts w:asciiTheme="majorHAnsi" w:hAnsiTheme="majorHAnsi" w:cstheme="majorHAnsi"/>
          <w:iCs/>
          <w:color w:val="000000" w:themeColor="text1"/>
          <w:sz w:val="24"/>
          <w:szCs w:val="24"/>
          <w:shd w:val="clear" w:color="auto" w:fill="FFFFFF" w:themeFill="background1"/>
          <w:lang w:val="ru-RU"/>
        </w:rPr>
        <w:t>1 735,5</w:t>
      </w:r>
      <w:r w:rsidR="00EC3BA6" w:rsidRPr="00D70175">
        <w:rPr>
          <w:rFonts w:asciiTheme="majorHAnsi" w:hAnsiTheme="majorHAnsi" w:cstheme="majorHAnsi"/>
          <w:iCs/>
          <w:color w:val="000000" w:themeColor="text1"/>
          <w:sz w:val="24"/>
          <w:szCs w:val="24"/>
          <w:shd w:val="clear" w:color="auto" w:fill="FFFFFF" w:themeFill="background1"/>
          <w:lang w:val="ru-RU"/>
        </w:rPr>
        <w:t xml:space="preserve"> </w:t>
      </w:r>
      <w:r w:rsidR="00E206BB" w:rsidRPr="00D70175">
        <w:rPr>
          <w:rFonts w:asciiTheme="majorHAnsi" w:hAnsiTheme="majorHAnsi" w:cstheme="majorHAnsi"/>
          <w:iCs/>
          <w:color w:val="000000" w:themeColor="text1"/>
          <w:sz w:val="24"/>
          <w:szCs w:val="24"/>
          <w:shd w:val="clear" w:color="auto" w:fill="FFFFFF" w:themeFill="background1"/>
          <w:lang w:val="ru-RU"/>
        </w:rPr>
        <w:t>тыс. леев</w:t>
      </w:r>
      <w:r w:rsidR="00E206BB" w:rsidRPr="00D70175">
        <w:rPr>
          <w:rStyle w:val="FootnoteReference"/>
          <w:rFonts w:asciiTheme="majorHAnsi" w:hAnsiTheme="majorHAnsi" w:cstheme="majorHAnsi"/>
          <w:iCs/>
          <w:color w:val="000000" w:themeColor="text1"/>
          <w:sz w:val="24"/>
          <w:szCs w:val="24"/>
          <w:shd w:val="clear" w:color="auto" w:fill="FFFFFF" w:themeFill="background1"/>
          <w:lang w:val="ru-RU"/>
        </w:rPr>
        <w:footnoteReference w:id="4"/>
      </w:r>
      <w:r w:rsidR="00EC3BA6" w:rsidRPr="00D70175">
        <w:rPr>
          <w:rFonts w:asciiTheme="majorHAnsi" w:hAnsiTheme="majorHAnsi" w:cstheme="majorHAnsi"/>
          <w:iCs/>
          <w:color w:val="000000" w:themeColor="text1"/>
          <w:sz w:val="24"/>
          <w:szCs w:val="24"/>
          <w:shd w:val="clear" w:color="auto" w:fill="FFFFFF" w:themeFill="background1"/>
          <w:lang w:val="ru-RU"/>
        </w:rPr>
        <w:t xml:space="preserve"> и на уровне подкласса </w:t>
      </w:r>
      <w:r w:rsidR="00EC3BA6" w:rsidRPr="00D70175">
        <w:rPr>
          <w:rFonts w:asciiTheme="majorHAnsi" w:eastAsia="Times New Roman" w:hAnsiTheme="majorHAnsi" w:cstheme="majorHAnsi"/>
          <w:sz w:val="24"/>
          <w:szCs w:val="24"/>
          <w:lang w:val="ru-RU"/>
        </w:rPr>
        <w:t xml:space="preserve">33 </w:t>
      </w:r>
      <w:r w:rsidR="00EC3BA6" w:rsidRPr="00D70175">
        <w:rPr>
          <w:rFonts w:asciiTheme="majorHAnsi" w:eastAsia="Times New Roman" w:hAnsiTheme="majorHAnsi" w:cstheme="majorHAnsi"/>
          <w:iCs/>
          <w:sz w:val="24"/>
          <w:szCs w:val="24"/>
          <w:lang w:val="ru-RU"/>
        </w:rPr>
        <w:t>„Запасы оборотных материалов”</w:t>
      </w:r>
      <w:r w:rsidR="00EC3BA6" w:rsidRPr="00D70175">
        <w:rPr>
          <w:rFonts w:asciiTheme="majorHAnsi" w:eastAsia="Times New Roman" w:hAnsiTheme="majorHAnsi" w:cstheme="majorHAnsi"/>
          <w:sz w:val="24"/>
          <w:szCs w:val="24"/>
          <w:lang w:val="ru-RU"/>
        </w:rPr>
        <w:t xml:space="preserve"> – в сумме 1 372,0</w:t>
      </w:r>
      <w:r w:rsidR="00EC3BA6" w:rsidRPr="00D70175">
        <w:rPr>
          <w:rFonts w:asciiTheme="majorHAnsi" w:hAnsiTheme="majorHAnsi" w:cstheme="majorHAnsi"/>
          <w:iCs/>
          <w:color w:val="000000" w:themeColor="text1"/>
          <w:sz w:val="24"/>
          <w:szCs w:val="24"/>
          <w:shd w:val="clear" w:color="auto" w:fill="FFFFFF" w:themeFill="background1"/>
          <w:lang w:val="ru-RU"/>
        </w:rPr>
        <w:t xml:space="preserve"> тыс. леев</w:t>
      </w:r>
      <w:r w:rsidR="00EC3BA6" w:rsidRPr="00D70175">
        <w:rPr>
          <w:rStyle w:val="FootnoteReference"/>
          <w:rFonts w:asciiTheme="majorHAnsi" w:eastAsia="Times New Roman" w:hAnsiTheme="majorHAnsi" w:cstheme="majorHAnsi"/>
          <w:sz w:val="24"/>
          <w:szCs w:val="24"/>
          <w:lang w:val="ru-RU"/>
        </w:rPr>
        <w:t xml:space="preserve"> </w:t>
      </w:r>
      <w:r w:rsidR="00EC3BA6" w:rsidRPr="00D70175">
        <w:rPr>
          <w:rStyle w:val="FootnoteReference"/>
          <w:rFonts w:asciiTheme="majorHAnsi" w:eastAsia="Times New Roman" w:hAnsiTheme="majorHAnsi" w:cstheme="majorHAnsi"/>
          <w:sz w:val="24"/>
          <w:szCs w:val="24"/>
          <w:lang w:val="ru-RU"/>
        </w:rPr>
        <w:footnoteReference w:id="5"/>
      </w:r>
      <w:r w:rsidR="00EC3BA6" w:rsidRPr="00D70175">
        <w:rPr>
          <w:rFonts w:asciiTheme="majorHAnsi" w:hAnsiTheme="majorHAnsi" w:cstheme="majorHAnsi"/>
          <w:iCs/>
          <w:color w:val="000000" w:themeColor="text1"/>
          <w:sz w:val="24"/>
          <w:szCs w:val="24"/>
          <w:shd w:val="clear" w:color="auto" w:fill="FFFFFF" w:themeFill="background1"/>
          <w:lang w:val="ru-RU"/>
        </w:rPr>
        <w:t xml:space="preserve">.   </w:t>
      </w:r>
    </w:p>
    <w:p w:rsidR="00EC3BA6" w:rsidRPr="00D70175" w:rsidRDefault="00EC3BA6" w:rsidP="00F368DE">
      <w:pPr>
        <w:tabs>
          <w:tab w:val="left" w:pos="0"/>
          <w:tab w:val="left" w:pos="90"/>
        </w:tabs>
        <w:spacing w:after="120" w:line="276" w:lineRule="auto"/>
        <w:rPr>
          <w:rFonts w:asciiTheme="majorHAnsi" w:hAnsiTheme="majorHAnsi" w:cstheme="majorHAnsi"/>
          <w:color w:val="333333"/>
          <w:sz w:val="24"/>
          <w:szCs w:val="24"/>
          <w:shd w:val="clear" w:color="auto" w:fill="FFFFFF"/>
          <w:lang w:val="ru-RU"/>
        </w:rPr>
      </w:pPr>
      <w:r w:rsidRPr="00D70175">
        <w:rPr>
          <w:rFonts w:asciiTheme="majorHAnsi" w:hAnsiTheme="majorHAnsi" w:cstheme="majorHAnsi"/>
          <w:color w:val="333333"/>
          <w:sz w:val="24"/>
          <w:szCs w:val="24"/>
          <w:shd w:val="clear" w:color="auto" w:fill="FFFFFF"/>
          <w:lang w:val="ru-RU"/>
        </w:rPr>
        <w:t>Нерегламентированное отражение</w:t>
      </w:r>
      <w:r w:rsidRPr="00D70175">
        <w:rPr>
          <w:rStyle w:val="FootnoteReference"/>
          <w:rFonts w:asciiTheme="majorHAnsi" w:hAnsiTheme="majorHAnsi" w:cstheme="majorHAnsi"/>
          <w:color w:val="333333"/>
          <w:sz w:val="24"/>
          <w:szCs w:val="24"/>
          <w:shd w:val="clear" w:color="auto" w:fill="FFFFFF"/>
          <w:lang w:val="ru-RU"/>
        </w:rPr>
        <w:footnoteReference w:id="6"/>
      </w:r>
      <w:r w:rsidRPr="00D70175">
        <w:rPr>
          <w:rFonts w:asciiTheme="majorHAnsi" w:hAnsiTheme="majorHAnsi" w:cstheme="majorHAnsi"/>
          <w:color w:val="333333"/>
          <w:sz w:val="24"/>
          <w:szCs w:val="24"/>
          <w:shd w:val="clear" w:color="auto" w:fill="FFFFFF"/>
          <w:lang w:val="ru-RU"/>
        </w:rPr>
        <w:t xml:space="preserve"> некоторых идентичных активов на различные группы счетов повлияло на </w:t>
      </w:r>
      <w:r w:rsidRPr="00D70175">
        <w:rPr>
          <w:rFonts w:ascii="Calibri Light" w:hAnsi="Calibri Light" w:cs="Times New Roman"/>
          <w:sz w:val="24"/>
          <w:szCs w:val="24"/>
          <w:lang w:val="ru-RU"/>
        </w:rPr>
        <w:t xml:space="preserve">консолидированный </w:t>
      </w:r>
      <w:r w:rsidRPr="00D70175">
        <w:rPr>
          <w:rFonts w:ascii="Calibri Light" w:eastAsia="Times New Roman" w:hAnsi="Calibri Light" w:cs="Times New Roman"/>
          <w:bCs/>
          <w:sz w:val="24"/>
          <w:szCs w:val="24"/>
          <w:lang w:val="ru-RU" w:eastAsia="ru-RU"/>
        </w:rPr>
        <w:t>финансовый отчет</w:t>
      </w:r>
      <w:r w:rsidRPr="00D70175">
        <w:rPr>
          <w:rFonts w:asciiTheme="majorHAnsi" w:hAnsiTheme="majorHAnsi" w:cstheme="majorHAnsi"/>
          <w:color w:val="333333"/>
          <w:sz w:val="24"/>
          <w:szCs w:val="24"/>
          <w:shd w:val="clear" w:color="auto" w:fill="FFFFFF"/>
          <w:lang w:val="ru-RU"/>
        </w:rPr>
        <w:t xml:space="preserve"> на 2 134,6 </w:t>
      </w:r>
      <w:r w:rsidRPr="00D70175">
        <w:rPr>
          <w:rFonts w:asciiTheme="majorHAnsi" w:hAnsiTheme="majorHAnsi" w:cstheme="majorHAnsi"/>
          <w:iCs/>
          <w:color w:val="000000" w:themeColor="text1"/>
          <w:sz w:val="24"/>
          <w:szCs w:val="24"/>
          <w:shd w:val="clear" w:color="auto" w:fill="FFFFFF" w:themeFill="background1"/>
          <w:lang w:val="ru-RU"/>
        </w:rPr>
        <w:t>тыс. леев по причине неоднозначной интерпретации положений Методологических норм</w:t>
      </w:r>
      <w:r w:rsidRPr="00D70175">
        <w:rPr>
          <w:rStyle w:val="FootnoteReference"/>
          <w:rFonts w:asciiTheme="majorHAnsi" w:eastAsia="Times New Roman" w:hAnsiTheme="majorHAnsi" w:cstheme="majorHAnsi"/>
          <w:sz w:val="24"/>
          <w:szCs w:val="24"/>
          <w:lang w:val="ru-RU"/>
        </w:rPr>
        <w:footnoteReference w:id="7"/>
      </w:r>
      <w:r w:rsidRPr="00D70175">
        <w:rPr>
          <w:rFonts w:asciiTheme="majorHAnsi" w:hAnsiTheme="majorHAnsi" w:cstheme="majorHAnsi"/>
          <w:iCs/>
          <w:color w:val="000000" w:themeColor="text1"/>
          <w:sz w:val="24"/>
          <w:szCs w:val="24"/>
          <w:shd w:val="clear" w:color="auto" w:fill="FFFFFF" w:themeFill="background1"/>
          <w:lang w:val="ru-RU"/>
        </w:rPr>
        <w:t xml:space="preserve"> некоторыми учреждениями, </w:t>
      </w:r>
      <w:r w:rsidRPr="00D70175">
        <w:rPr>
          <w:rFonts w:ascii="Calibri Light" w:eastAsia="Times New Roman" w:hAnsi="Calibri Light" w:cs="Times New Roman"/>
          <w:bCs/>
          <w:sz w:val="24"/>
          <w:szCs w:val="24"/>
          <w:lang w:val="ru-RU" w:eastAsia="ru-RU"/>
        </w:rPr>
        <w:t>подведомственными Министерству финансов.</w:t>
      </w:r>
    </w:p>
    <w:p w:rsidR="00F368DE" w:rsidRPr="00D70175" w:rsidRDefault="00012B7B" w:rsidP="00F368DE">
      <w:pPr>
        <w:tabs>
          <w:tab w:val="left" w:pos="0"/>
          <w:tab w:val="left" w:pos="90"/>
        </w:tabs>
        <w:spacing w:after="120" w:line="276" w:lineRule="auto"/>
        <w:rPr>
          <w:rFonts w:asciiTheme="majorHAnsi" w:hAnsiTheme="majorHAnsi" w:cstheme="majorHAnsi"/>
          <w:sz w:val="24"/>
          <w:szCs w:val="24"/>
          <w:lang w:val="ru-RU"/>
        </w:rPr>
      </w:pPr>
      <w:r w:rsidRPr="00D70175">
        <w:rPr>
          <w:rFonts w:ascii="Calibri Light" w:eastAsia="Times New Roman" w:hAnsi="Calibri Light" w:cs="Times New Roman"/>
          <w:bCs/>
          <w:sz w:val="24"/>
          <w:szCs w:val="24"/>
          <w:lang w:val="ru-RU" w:eastAsia="ru-RU"/>
        </w:rPr>
        <w:t>Министерство финансов</w:t>
      </w:r>
      <w:r w:rsidRPr="00D70175">
        <w:rPr>
          <w:rFonts w:asciiTheme="majorHAnsi" w:eastAsia="Times New Roman" w:hAnsiTheme="majorHAnsi" w:cstheme="majorHAnsi"/>
          <w:sz w:val="24"/>
          <w:szCs w:val="24"/>
          <w:lang w:val="ru-RU"/>
        </w:rPr>
        <w:t xml:space="preserve"> не применило общие правила по признанию и оценке</w:t>
      </w:r>
      <w:r w:rsidRPr="00D70175">
        <w:rPr>
          <w:rStyle w:val="FootnoteReference"/>
          <w:rFonts w:asciiTheme="majorHAnsi" w:hAnsiTheme="majorHAnsi" w:cstheme="majorHAnsi"/>
          <w:sz w:val="24"/>
          <w:szCs w:val="24"/>
          <w:lang w:val="ru-RU"/>
        </w:rPr>
        <w:footnoteReference w:id="8"/>
      </w:r>
      <w:r w:rsidRPr="00D70175">
        <w:rPr>
          <w:rFonts w:asciiTheme="majorHAnsi" w:eastAsia="Times New Roman" w:hAnsiTheme="majorHAnsi" w:cstheme="majorHAnsi"/>
          <w:sz w:val="24"/>
          <w:szCs w:val="24"/>
          <w:lang w:val="ru-RU"/>
        </w:rPr>
        <w:t xml:space="preserve"> недвижимого имущества. В результате, не были оценены и отражены в бухгалтерском учете Государственной налоговой службой </w:t>
      </w:r>
      <w:r w:rsidRPr="00D70175">
        <w:rPr>
          <w:rFonts w:asciiTheme="majorHAnsi" w:hAnsiTheme="majorHAnsi" w:cstheme="majorHAnsi"/>
          <w:sz w:val="24"/>
          <w:szCs w:val="24"/>
          <w:lang w:val="ru-RU"/>
        </w:rPr>
        <w:t>19 объектов недвижимости общей площадью 844,69 м</w:t>
      </w:r>
      <w:r w:rsidRPr="00D70175">
        <w:rPr>
          <w:rFonts w:asciiTheme="majorHAnsi" w:hAnsiTheme="majorHAnsi" w:cstheme="majorHAnsi"/>
          <w:sz w:val="24"/>
          <w:szCs w:val="24"/>
          <w:vertAlign w:val="superscript"/>
          <w:lang w:val="ru-RU"/>
        </w:rPr>
        <w:t>2</w:t>
      </w:r>
      <w:r w:rsidRPr="00D70175">
        <w:rPr>
          <w:rFonts w:asciiTheme="majorHAnsi" w:hAnsiTheme="majorHAnsi" w:cstheme="majorHAnsi"/>
          <w:sz w:val="24"/>
          <w:szCs w:val="24"/>
          <w:lang w:val="ru-RU"/>
        </w:rPr>
        <w:t>, а также не были зарегистрированы отдельно в бухгалтерском учете</w:t>
      </w:r>
      <w:r w:rsidRPr="00D70175">
        <w:rPr>
          <w:rFonts w:asciiTheme="majorHAnsi" w:hAnsiTheme="majorHAnsi" w:cstheme="majorHAnsi"/>
          <w:sz w:val="24"/>
          <w:szCs w:val="24"/>
          <w:vertAlign w:val="superscript"/>
          <w:lang w:val="ru-RU"/>
        </w:rPr>
        <w:t xml:space="preserve"> </w:t>
      </w:r>
      <w:r w:rsidRPr="00D70175">
        <w:rPr>
          <w:rFonts w:asciiTheme="majorHAnsi" w:hAnsiTheme="majorHAnsi" w:cstheme="majorHAnsi"/>
          <w:sz w:val="24"/>
          <w:szCs w:val="24"/>
          <w:lang w:val="ru-RU"/>
        </w:rPr>
        <w:t>Таможенной службой 9 объектов недвижимости общей площадью 288,1 м</w:t>
      </w:r>
      <w:r w:rsidRPr="00D70175">
        <w:rPr>
          <w:rFonts w:asciiTheme="majorHAnsi" w:hAnsiTheme="majorHAnsi" w:cstheme="majorHAnsi"/>
          <w:sz w:val="24"/>
          <w:szCs w:val="24"/>
          <w:vertAlign w:val="superscript"/>
          <w:lang w:val="ru-RU"/>
        </w:rPr>
        <w:t>2</w:t>
      </w:r>
      <w:r w:rsidRPr="00D70175">
        <w:rPr>
          <w:rFonts w:asciiTheme="majorHAnsi" w:hAnsiTheme="majorHAnsi" w:cstheme="majorHAnsi"/>
          <w:sz w:val="24"/>
          <w:szCs w:val="24"/>
          <w:lang w:val="ru-RU"/>
        </w:rPr>
        <w:t xml:space="preserve"> с незначительной стоимостью, поскольку эти строения предназначены обеспечить деятельность по дополнению основной деятельности.</w:t>
      </w:r>
    </w:p>
    <w:p w:rsidR="00012B7B" w:rsidRPr="00D70175" w:rsidRDefault="00012B7B" w:rsidP="00F368DE">
      <w:pPr>
        <w:tabs>
          <w:tab w:val="left" w:pos="90"/>
        </w:tabs>
        <w:spacing w:after="120" w:line="276" w:lineRule="auto"/>
        <w:rPr>
          <w:rFonts w:ascii="Calibri Light" w:hAnsi="Calibri Light" w:cs="Times New Roman"/>
          <w:sz w:val="24"/>
          <w:szCs w:val="24"/>
          <w:lang w:val="ru-RU"/>
        </w:rPr>
      </w:pPr>
      <w:r w:rsidRPr="00D70175">
        <w:rPr>
          <w:rFonts w:asciiTheme="majorHAnsi" w:hAnsiTheme="majorHAnsi" w:cstheme="majorHAnsi"/>
          <w:sz w:val="24"/>
          <w:szCs w:val="24"/>
          <w:shd w:val="clear" w:color="auto" w:fill="FFFFFF"/>
          <w:lang w:val="ru-RU"/>
        </w:rPr>
        <w:t>Нерегламентированное отражение</w:t>
      </w:r>
      <w:r w:rsidRPr="00D70175">
        <w:rPr>
          <w:rStyle w:val="FootnoteReference"/>
          <w:rFonts w:asciiTheme="majorHAnsi" w:hAnsiTheme="majorHAnsi" w:cstheme="majorHAnsi"/>
          <w:sz w:val="24"/>
          <w:szCs w:val="24"/>
          <w:lang w:val="ru-RU"/>
        </w:rPr>
        <w:footnoteReference w:id="9"/>
      </w:r>
      <w:r w:rsidRPr="00D70175">
        <w:rPr>
          <w:rFonts w:asciiTheme="majorHAnsi" w:hAnsiTheme="majorHAnsi" w:cstheme="majorHAnsi"/>
          <w:sz w:val="24"/>
          <w:szCs w:val="24"/>
          <w:shd w:val="clear" w:color="auto" w:fill="FFFFFF"/>
          <w:lang w:val="ru-RU"/>
        </w:rPr>
        <w:t xml:space="preserve"> не</w:t>
      </w:r>
      <w:r w:rsidR="006317B1" w:rsidRPr="00D70175">
        <w:rPr>
          <w:rFonts w:asciiTheme="majorHAnsi" w:hAnsiTheme="majorHAnsi" w:cstheme="majorHAnsi"/>
          <w:sz w:val="24"/>
          <w:szCs w:val="24"/>
          <w:shd w:val="clear" w:color="auto" w:fill="FFFFFF"/>
          <w:lang w:val="ru-RU"/>
        </w:rPr>
        <w:t xml:space="preserve">продуктивных активов </w:t>
      </w:r>
      <w:r w:rsidR="00E341D0" w:rsidRPr="00D70175">
        <w:rPr>
          <w:rFonts w:asciiTheme="majorHAnsi" w:hAnsiTheme="majorHAnsi" w:cstheme="majorHAnsi"/>
          <w:sz w:val="24"/>
          <w:szCs w:val="24"/>
          <w:shd w:val="clear" w:color="auto" w:fill="FFFFFF"/>
          <w:lang w:val="ru-RU"/>
        </w:rPr>
        <w:t>связано с</w:t>
      </w:r>
      <w:r w:rsidR="00E341D0" w:rsidRPr="00D70175">
        <w:rPr>
          <w:rFonts w:asciiTheme="majorHAnsi" w:hAnsiTheme="majorHAnsi" w:cstheme="majorHAnsi"/>
          <w:color w:val="333333"/>
          <w:sz w:val="24"/>
          <w:szCs w:val="24"/>
          <w:shd w:val="clear" w:color="auto" w:fill="FFFFFF"/>
          <w:lang w:val="ru-RU"/>
        </w:rPr>
        <w:t>:</w:t>
      </w:r>
      <w:r w:rsidR="00EA458E" w:rsidRPr="00D70175">
        <w:rPr>
          <w:rFonts w:asciiTheme="majorHAnsi" w:hAnsiTheme="majorHAnsi" w:cstheme="majorHAnsi"/>
          <w:sz w:val="24"/>
          <w:szCs w:val="24"/>
          <w:lang w:val="ru-RU"/>
        </w:rPr>
        <w:t xml:space="preserve"> (i) неоценкой и нерегистрацией в стоимостном выражении в бухгалтерском учете</w:t>
      </w:r>
      <w:r w:rsidR="00EA458E" w:rsidRPr="00D70175">
        <w:rPr>
          <w:rFonts w:asciiTheme="majorHAnsi" w:eastAsia="Times New Roman" w:hAnsiTheme="majorHAnsi" w:cstheme="majorHAnsi"/>
          <w:sz w:val="24"/>
          <w:szCs w:val="24"/>
          <w:lang w:val="ru-RU"/>
        </w:rPr>
        <w:t xml:space="preserve"> Государственной налоговой службой 11 земельных участков общей площадью </w:t>
      </w:r>
      <w:r w:rsidR="00EA458E" w:rsidRPr="00D70175">
        <w:rPr>
          <w:rFonts w:asciiTheme="majorHAnsi" w:hAnsiTheme="majorHAnsi" w:cstheme="majorHAnsi"/>
          <w:sz w:val="24"/>
          <w:szCs w:val="24"/>
          <w:lang w:val="ru-RU"/>
        </w:rPr>
        <w:t>1,127 га; (ii)</w:t>
      </w:r>
      <w:r w:rsidR="00060EAD" w:rsidRPr="00D70175">
        <w:rPr>
          <w:rFonts w:asciiTheme="majorHAnsi" w:hAnsiTheme="majorHAnsi" w:cstheme="majorHAnsi"/>
          <w:sz w:val="24"/>
          <w:szCs w:val="24"/>
          <w:lang w:val="ru-RU"/>
        </w:rPr>
        <w:t xml:space="preserve"> неоценкой и нерегистрацией в стоимостном выражении земельного участка площадью 0,1668 га, который принадлежит Финансовой инспекции; (iii) неотражением в количественно-стоимостном выражении земельного участка площадью 0,</w:t>
      </w:r>
      <w:r w:rsidR="00060EAD" w:rsidRPr="00D70175">
        <w:rPr>
          <w:rFonts w:asciiTheme="majorHAnsi" w:hAnsiTheme="majorHAnsi" w:cs="Times New Roman"/>
          <w:sz w:val="24"/>
          <w:szCs w:val="24"/>
          <w:lang w:val="ru-RU"/>
        </w:rPr>
        <w:t xml:space="preserve">1489 га в сумме 192,3 тыс. леев в </w:t>
      </w:r>
      <w:r w:rsidR="00060EAD" w:rsidRPr="00D70175">
        <w:rPr>
          <w:rFonts w:asciiTheme="majorHAnsi" w:hAnsiTheme="majorHAnsi" w:cstheme="majorHAnsi"/>
          <w:sz w:val="24"/>
          <w:szCs w:val="24"/>
          <w:lang w:val="ru-RU"/>
        </w:rPr>
        <w:t>бухгалтерском балансе Таможенной службы.</w:t>
      </w:r>
    </w:p>
    <w:p w:rsidR="00F368DE" w:rsidRPr="00D70175" w:rsidRDefault="00F368DE" w:rsidP="00F368DE">
      <w:pPr>
        <w:tabs>
          <w:tab w:val="left" w:pos="90"/>
        </w:tabs>
        <w:spacing w:after="120" w:line="276" w:lineRule="auto"/>
        <w:rPr>
          <w:rFonts w:asciiTheme="majorHAnsi" w:eastAsia="Times New Roman" w:hAnsiTheme="majorHAnsi" w:cstheme="majorHAnsi"/>
          <w:bCs/>
          <w:sz w:val="24"/>
          <w:szCs w:val="24"/>
          <w:lang w:val="ru-RU"/>
        </w:rPr>
      </w:pPr>
      <w:r w:rsidRPr="00D70175">
        <w:rPr>
          <w:rFonts w:asciiTheme="majorHAnsi" w:eastAsia="Times New Roman" w:hAnsiTheme="majorHAnsi" w:cstheme="majorHAnsi"/>
          <w:b/>
          <w:bCs/>
          <w:sz w:val="24"/>
          <w:szCs w:val="24"/>
          <w:lang w:val="ru-RU"/>
        </w:rPr>
        <w:lastRenderedPageBreak/>
        <w:t>4.2</w:t>
      </w:r>
      <w:r w:rsidRPr="00D70175">
        <w:rPr>
          <w:rFonts w:asciiTheme="majorHAnsi" w:eastAsia="Times New Roman" w:hAnsiTheme="majorHAnsi" w:cstheme="majorHAnsi"/>
          <w:bCs/>
          <w:sz w:val="24"/>
          <w:szCs w:val="24"/>
          <w:lang w:val="ru-RU"/>
        </w:rPr>
        <w:t xml:space="preserve">. </w:t>
      </w:r>
      <w:r w:rsidR="0010561E" w:rsidRPr="00D70175">
        <w:rPr>
          <w:rFonts w:asciiTheme="majorHAnsi" w:eastAsia="Times New Roman" w:hAnsiTheme="majorHAnsi" w:cstheme="majorHAnsi"/>
          <w:bCs/>
          <w:sz w:val="24"/>
          <w:szCs w:val="24"/>
          <w:lang w:val="ru-RU"/>
        </w:rPr>
        <w:t xml:space="preserve">Некоторые ошибки, допущенные при </w:t>
      </w:r>
      <w:r w:rsidR="0010561E" w:rsidRPr="00D70175">
        <w:rPr>
          <w:rFonts w:ascii="Calibri Light" w:eastAsia="Times New Roman" w:hAnsi="Calibri Light" w:cs="Times New Roman"/>
          <w:bCs/>
          <w:sz w:val="24"/>
          <w:szCs w:val="24"/>
          <w:lang w:val="ru-RU" w:eastAsia="ru-RU"/>
        </w:rPr>
        <w:t>признании и классификации расходов</w:t>
      </w:r>
      <w:r w:rsidR="0010561E" w:rsidRPr="00D70175">
        <w:rPr>
          <w:rStyle w:val="FootnoteReference"/>
          <w:rFonts w:asciiTheme="majorHAnsi" w:hAnsiTheme="majorHAnsi" w:cstheme="majorHAnsi"/>
          <w:sz w:val="24"/>
          <w:szCs w:val="24"/>
          <w:lang w:val="ru-RU"/>
        </w:rPr>
        <w:footnoteReference w:id="10"/>
      </w:r>
      <w:r w:rsidR="0010561E" w:rsidRPr="00D70175">
        <w:rPr>
          <w:rFonts w:ascii="Calibri Light" w:eastAsia="Times New Roman" w:hAnsi="Calibri Light" w:cs="Times New Roman"/>
          <w:bCs/>
          <w:sz w:val="24"/>
          <w:szCs w:val="24"/>
          <w:lang w:val="ru-RU" w:eastAsia="ru-RU"/>
        </w:rPr>
        <w:t xml:space="preserve">, привели к завышению их на </w:t>
      </w:r>
      <w:r w:rsidR="0010561E" w:rsidRPr="00D70175">
        <w:rPr>
          <w:rFonts w:asciiTheme="majorHAnsi" w:eastAsia="Times New Roman" w:hAnsiTheme="majorHAnsi" w:cstheme="majorHAnsi"/>
          <w:bCs/>
          <w:sz w:val="24"/>
          <w:szCs w:val="24"/>
          <w:lang w:val="ru-RU"/>
        </w:rPr>
        <w:t xml:space="preserve">4 849,7 </w:t>
      </w:r>
      <w:r w:rsidR="0010561E" w:rsidRPr="00D70175">
        <w:rPr>
          <w:rFonts w:asciiTheme="majorHAnsi" w:hAnsiTheme="majorHAnsi" w:cstheme="majorHAnsi"/>
          <w:iCs/>
          <w:color w:val="000000" w:themeColor="text1"/>
          <w:sz w:val="24"/>
          <w:szCs w:val="24"/>
          <w:shd w:val="clear" w:color="auto" w:fill="FFFFFF" w:themeFill="background1"/>
          <w:lang w:val="ru-RU"/>
        </w:rPr>
        <w:t>тыс. леев</w:t>
      </w:r>
      <w:r w:rsidR="0010561E" w:rsidRPr="00D70175">
        <w:rPr>
          <w:rFonts w:asciiTheme="majorHAnsi" w:hAnsiTheme="majorHAnsi" w:cstheme="majorHAnsi"/>
          <w:sz w:val="24"/>
          <w:szCs w:val="24"/>
          <w:lang w:val="ru-RU"/>
        </w:rPr>
        <w:t xml:space="preserve">. Так, были завышены (i) расходы по услугам, не отнесенным на другие статьи – на </w:t>
      </w:r>
      <w:r w:rsidR="0010561E" w:rsidRPr="00D70175">
        <w:rPr>
          <w:rFonts w:asciiTheme="majorHAnsi" w:eastAsia="Times New Roman" w:hAnsiTheme="majorHAnsi" w:cstheme="majorHAnsi"/>
          <w:iCs/>
          <w:sz w:val="24"/>
          <w:szCs w:val="24"/>
          <w:lang w:val="ru-RU"/>
        </w:rPr>
        <w:t xml:space="preserve">2 438,1 </w:t>
      </w:r>
      <w:r w:rsidR="0010561E" w:rsidRPr="00D70175">
        <w:rPr>
          <w:rFonts w:asciiTheme="majorHAnsi" w:hAnsiTheme="majorHAnsi" w:cstheme="majorHAnsi"/>
          <w:iCs/>
          <w:color w:val="000000" w:themeColor="text1"/>
          <w:sz w:val="24"/>
          <w:szCs w:val="24"/>
          <w:shd w:val="clear" w:color="auto" w:fill="FFFFFF" w:themeFill="background1"/>
          <w:lang w:val="ru-RU"/>
        </w:rPr>
        <w:t xml:space="preserve">тыс. леев, и по услугам на текущий ремонт – на </w:t>
      </w:r>
      <w:r w:rsidR="0010561E" w:rsidRPr="00D70175">
        <w:rPr>
          <w:rFonts w:asciiTheme="majorHAnsi" w:eastAsia="Times New Roman" w:hAnsiTheme="majorHAnsi" w:cstheme="majorHAnsi"/>
          <w:iCs/>
          <w:sz w:val="24"/>
          <w:szCs w:val="24"/>
          <w:lang w:val="ru-RU"/>
        </w:rPr>
        <w:t>907,4</w:t>
      </w:r>
      <w:r w:rsidR="0010561E" w:rsidRPr="00D70175">
        <w:rPr>
          <w:rFonts w:asciiTheme="majorHAnsi" w:hAnsiTheme="majorHAnsi" w:cstheme="majorHAnsi"/>
          <w:iCs/>
          <w:color w:val="000000" w:themeColor="text1"/>
          <w:sz w:val="24"/>
          <w:szCs w:val="24"/>
          <w:shd w:val="clear" w:color="auto" w:fill="FFFFFF" w:themeFill="background1"/>
          <w:lang w:val="ru-RU"/>
        </w:rPr>
        <w:t xml:space="preserve"> тыс. леев, по причине некапитализации</w:t>
      </w:r>
      <w:r w:rsidR="0010561E" w:rsidRPr="00D70175">
        <w:rPr>
          <w:rStyle w:val="FootnoteReference"/>
          <w:rFonts w:asciiTheme="majorHAnsi" w:eastAsia="Times New Roman" w:hAnsiTheme="majorHAnsi" w:cstheme="majorHAnsi"/>
          <w:bCs/>
          <w:sz w:val="24"/>
          <w:szCs w:val="24"/>
          <w:lang w:val="ru-RU"/>
        </w:rPr>
        <w:footnoteReference w:id="11"/>
      </w:r>
      <w:r w:rsidR="0010561E" w:rsidRPr="00D70175">
        <w:rPr>
          <w:rFonts w:asciiTheme="majorHAnsi" w:hAnsiTheme="majorHAnsi" w:cstheme="majorHAnsi"/>
          <w:iCs/>
          <w:color w:val="000000" w:themeColor="text1"/>
          <w:sz w:val="24"/>
          <w:szCs w:val="24"/>
          <w:shd w:val="clear" w:color="auto" w:fill="FFFFFF" w:themeFill="background1"/>
          <w:lang w:val="ru-RU"/>
        </w:rPr>
        <w:t xml:space="preserve"> их в стоимость актива в результате капитального ремонта и модернизации информационных систем; </w:t>
      </w:r>
      <w:r w:rsidR="0010561E" w:rsidRPr="00D70175">
        <w:rPr>
          <w:rFonts w:asciiTheme="majorHAnsi" w:hAnsiTheme="majorHAnsi" w:cstheme="majorHAnsi"/>
          <w:sz w:val="24"/>
          <w:szCs w:val="24"/>
          <w:lang w:val="ru-RU"/>
        </w:rPr>
        <w:t xml:space="preserve">(ii) расходы по износу основных средств – на </w:t>
      </w:r>
      <w:r w:rsidR="0010561E" w:rsidRPr="00D70175">
        <w:rPr>
          <w:rFonts w:asciiTheme="majorHAnsi" w:eastAsia="Times New Roman" w:hAnsiTheme="majorHAnsi" w:cstheme="majorHAnsi"/>
          <w:sz w:val="24"/>
          <w:szCs w:val="24"/>
          <w:lang w:val="ru-RU"/>
        </w:rPr>
        <w:t>1 289,7</w:t>
      </w:r>
      <w:r w:rsidR="0010561E" w:rsidRPr="00D70175">
        <w:rPr>
          <w:rFonts w:asciiTheme="majorHAnsi" w:hAnsiTheme="majorHAnsi" w:cstheme="majorHAnsi"/>
          <w:sz w:val="24"/>
          <w:szCs w:val="24"/>
          <w:lang w:val="ru-RU"/>
        </w:rPr>
        <w:t xml:space="preserve"> </w:t>
      </w:r>
      <w:r w:rsidR="0010561E" w:rsidRPr="00D70175">
        <w:rPr>
          <w:rFonts w:asciiTheme="majorHAnsi" w:hAnsiTheme="majorHAnsi" w:cstheme="majorHAnsi"/>
          <w:iCs/>
          <w:color w:val="000000" w:themeColor="text1"/>
          <w:sz w:val="24"/>
          <w:szCs w:val="24"/>
          <w:shd w:val="clear" w:color="auto" w:fill="FFFFFF" w:themeFill="background1"/>
          <w:lang w:val="ru-RU"/>
        </w:rPr>
        <w:t xml:space="preserve">тыс. леев в результате неправильного </w:t>
      </w:r>
      <w:r w:rsidR="00440E1A" w:rsidRPr="00D70175">
        <w:rPr>
          <w:rFonts w:asciiTheme="majorHAnsi" w:hAnsiTheme="majorHAnsi" w:cstheme="majorHAnsi"/>
          <w:iCs/>
          <w:color w:val="000000" w:themeColor="text1"/>
          <w:sz w:val="24"/>
          <w:szCs w:val="24"/>
          <w:shd w:val="clear" w:color="auto" w:fill="FFFFFF" w:themeFill="background1"/>
          <w:lang w:val="ru-RU"/>
        </w:rPr>
        <w:t>на</w:t>
      </w:r>
      <w:r w:rsidR="0010561E" w:rsidRPr="00D70175">
        <w:rPr>
          <w:rFonts w:asciiTheme="majorHAnsi" w:hAnsiTheme="majorHAnsi" w:cstheme="majorHAnsi"/>
          <w:iCs/>
          <w:color w:val="000000" w:themeColor="text1"/>
          <w:sz w:val="24"/>
          <w:szCs w:val="24"/>
          <w:shd w:val="clear" w:color="auto" w:fill="FFFFFF" w:themeFill="background1"/>
          <w:lang w:val="ru-RU"/>
        </w:rPr>
        <w:t xml:space="preserve">числения износа </w:t>
      </w:r>
      <w:r w:rsidR="00440E1A" w:rsidRPr="00D70175">
        <w:rPr>
          <w:rFonts w:asciiTheme="majorHAnsi" w:hAnsiTheme="majorHAnsi" w:cstheme="majorHAnsi"/>
          <w:iCs/>
          <w:color w:val="000000" w:themeColor="text1"/>
          <w:sz w:val="24"/>
          <w:szCs w:val="24"/>
          <w:shd w:val="clear" w:color="auto" w:fill="FFFFFF" w:themeFill="background1"/>
          <w:lang w:val="ru-RU"/>
        </w:rPr>
        <w:t>в</w:t>
      </w:r>
      <w:r w:rsidR="0010561E" w:rsidRPr="00D70175">
        <w:rPr>
          <w:rFonts w:asciiTheme="majorHAnsi" w:hAnsiTheme="majorHAnsi" w:cstheme="majorHAnsi"/>
          <w:iCs/>
          <w:color w:val="000000" w:themeColor="text1"/>
          <w:sz w:val="24"/>
          <w:szCs w:val="24"/>
          <w:shd w:val="clear" w:color="auto" w:fill="FFFFFF" w:themeFill="background1"/>
          <w:lang w:val="ru-RU"/>
        </w:rPr>
        <w:t xml:space="preserve">следствие </w:t>
      </w:r>
      <w:r w:rsidR="0010561E" w:rsidRPr="00D70175">
        <w:rPr>
          <w:rFonts w:asciiTheme="majorHAnsi" w:hAnsiTheme="majorHAnsi" w:cstheme="majorHAnsi"/>
          <w:sz w:val="24"/>
          <w:szCs w:val="24"/>
          <w:shd w:val="clear" w:color="auto" w:fill="FFFFFF"/>
          <w:lang w:val="ru-RU"/>
        </w:rPr>
        <w:t>нерегламентированного</w:t>
      </w:r>
      <w:r w:rsidR="0010561E" w:rsidRPr="00D70175">
        <w:rPr>
          <w:rFonts w:asciiTheme="majorHAnsi" w:hAnsiTheme="majorHAnsi" w:cstheme="majorHAnsi"/>
          <w:iCs/>
          <w:color w:val="000000" w:themeColor="text1"/>
          <w:sz w:val="24"/>
          <w:szCs w:val="24"/>
          <w:shd w:val="clear" w:color="auto" w:fill="FFFFFF" w:themeFill="background1"/>
          <w:lang w:val="ru-RU"/>
        </w:rPr>
        <w:t xml:space="preserve"> установления</w:t>
      </w:r>
      <w:r w:rsidR="00440E1A" w:rsidRPr="00D70175">
        <w:rPr>
          <w:rFonts w:asciiTheme="majorHAnsi" w:hAnsiTheme="majorHAnsi" w:cstheme="majorHAnsi"/>
          <w:iCs/>
          <w:color w:val="000000" w:themeColor="text1"/>
          <w:sz w:val="24"/>
          <w:szCs w:val="24"/>
          <w:shd w:val="clear" w:color="auto" w:fill="FFFFFF" w:themeFill="background1"/>
          <w:lang w:val="ru-RU"/>
        </w:rPr>
        <w:t xml:space="preserve"> продолжительности полезного функционирования</w:t>
      </w:r>
      <w:r w:rsidR="0010561E" w:rsidRPr="00D70175">
        <w:rPr>
          <w:rStyle w:val="FootnoteReference"/>
          <w:rFonts w:asciiTheme="majorHAnsi" w:eastAsia="Times New Roman" w:hAnsiTheme="majorHAnsi" w:cstheme="majorHAnsi"/>
          <w:bCs/>
          <w:sz w:val="24"/>
          <w:szCs w:val="24"/>
          <w:lang w:val="ru-RU"/>
        </w:rPr>
        <w:footnoteReference w:id="12"/>
      </w:r>
      <w:r w:rsidR="0010561E" w:rsidRPr="00D70175">
        <w:rPr>
          <w:rFonts w:asciiTheme="majorHAnsi" w:eastAsia="Times New Roman" w:hAnsiTheme="majorHAnsi" w:cstheme="majorHAnsi"/>
          <w:color w:val="000000"/>
          <w:sz w:val="24"/>
          <w:szCs w:val="24"/>
          <w:lang w:val="ru-RU"/>
        </w:rPr>
        <w:t xml:space="preserve">; </w:t>
      </w:r>
      <w:r w:rsidR="00440E1A" w:rsidRPr="00D70175">
        <w:rPr>
          <w:rFonts w:asciiTheme="majorHAnsi" w:eastAsia="Times New Roman" w:hAnsiTheme="majorHAnsi" w:cstheme="majorHAnsi"/>
          <w:color w:val="000000"/>
          <w:sz w:val="24"/>
          <w:szCs w:val="24"/>
          <w:lang w:val="ru-RU"/>
        </w:rPr>
        <w:t>(iii) расходы по амортизации нематериальных активов</w:t>
      </w:r>
      <w:r w:rsidR="0010561E" w:rsidRPr="00D70175">
        <w:rPr>
          <w:rFonts w:asciiTheme="majorHAnsi" w:eastAsia="Times New Roman" w:hAnsiTheme="majorHAnsi" w:cstheme="majorHAnsi"/>
          <w:color w:val="000000"/>
          <w:sz w:val="24"/>
          <w:szCs w:val="24"/>
          <w:lang w:val="ru-RU"/>
        </w:rPr>
        <w:t xml:space="preserve"> </w:t>
      </w:r>
      <w:r w:rsidR="00440E1A" w:rsidRPr="00D70175">
        <w:rPr>
          <w:rFonts w:asciiTheme="majorHAnsi" w:eastAsia="Times New Roman" w:hAnsiTheme="majorHAnsi" w:cstheme="majorHAnsi"/>
          <w:sz w:val="24"/>
          <w:szCs w:val="24"/>
          <w:lang w:val="ru-RU"/>
        </w:rPr>
        <w:t>- на 214,5</w:t>
      </w:r>
      <w:r w:rsidR="00440E1A" w:rsidRPr="00D70175">
        <w:rPr>
          <w:rFonts w:asciiTheme="majorHAnsi" w:hAnsiTheme="majorHAnsi" w:cstheme="majorHAnsi"/>
          <w:iCs/>
          <w:color w:val="000000" w:themeColor="text1"/>
          <w:sz w:val="24"/>
          <w:szCs w:val="24"/>
          <w:shd w:val="clear" w:color="auto" w:fill="FFFFFF" w:themeFill="background1"/>
          <w:lang w:val="ru-RU"/>
        </w:rPr>
        <w:t xml:space="preserve"> тыс. леев, по причине начисления с нарушением нормативной базы</w:t>
      </w:r>
      <w:r w:rsidR="00440E1A" w:rsidRPr="00D70175">
        <w:rPr>
          <w:rStyle w:val="FootnoteReference"/>
          <w:rFonts w:asciiTheme="majorHAnsi" w:eastAsia="Times New Roman" w:hAnsiTheme="majorHAnsi" w:cstheme="majorHAnsi"/>
          <w:sz w:val="24"/>
          <w:szCs w:val="24"/>
          <w:lang w:val="ru-RU"/>
        </w:rPr>
        <w:footnoteReference w:id="13"/>
      </w:r>
      <w:r w:rsidR="00440E1A" w:rsidRPr="00D70175">
        <w:rPr>
          <w:rFonts w:asciiTheme="majorHAnsi" w:eastAsia="Times New Roman" w:hAnsiTheme="majorHAnsi" w:cstheme="majorHAnsi"/>
          <w:sz w:val="24"/>
          <w:szCs w:val="24"/>
          <w:lang w:val="ru-RU"/>
        </w:rPr>
        <w:t>, амортизации 45 лицензий с неограниченным сроком функционирования.</w:t>
      </w:r>
    </w:p>
    <w:p w:rsidR="00F368DE" w:rsidRPr="00D70175" w:rsidRDefault="00F368DE" w:rsidP="00D67181">
      <w:pPr>
        <w:tabs>
          <w:tab w:val="left" w:pos="90"/>
          <w:tab w:val="left" w:pos="270"/>
        </w:tabs>
        <w:spacing w:after="120" w:line="276" w:lineRule="auto"/>
        <w:rPr>
          <w:rFonts w:asciiTheme="majorHAnsi" w:hAnsiTheme="majorHAnsi" w:cstheme="majorHAnsi"/>
          <w:b/>
          <w:szCs w:val="28"/>
          <w:lang w:val="ru-RU"/>
        </w:rPr>
      </w:pPr>
      <w:r w:rsidRPr="00D70175">
        <w:rPr>
          <w:rFonts w:asciiTheme="majorHAnsi" w:hAnsiTheme="majorHAnsi" w:cstheme="majorHAnsi"/>
          <w:b/>
          <w:szCs w:val="28"/>
          <w:lang w:val="ru-RU"/>
        </w:rPr>
        <w:t>V.</w:t>
      </w:r>
      <w:r w:rsidRPr="00D70175">
        <w:rPr>
          <w:rFonts w:asciiTheme="majorHAnsi" w:hAnsiTheme="majorHAnsi" w:cstheme="majorHAnsi"/>
          <w:b/>
          <w:szCs w:val="28"/>
          <w:lang w:val="ru-RU"/>
        </w:rPr>
        <w:tab/>
      </w:r>
      <w:r w:rsidR="00122163" w:rsidRPr="00D70175">
        <w:rPr>
          <w:rFonts w:asciiTheme="majorHAnsi" w:hAnsiTheme="majorHAnsi" w:cstheme="majorHAnsi"/>
          <w:b/>
          <w:szCs w:val="28"/>
          <w:lang w:val="ru-RU"/>
        </w:rPr>
        <w:t xml:space="preserve">НАДЛЕЖАЩЕЕ УПРАВЛЕНИЕ </w:t>
      </w:r>
    </w:p>
    <w:p w:rsidR="00F368DE" w:rsidRPr="00D70175" w:rsidRDefault="00F368DE" w:rsidP="00D67181">
      <w:pPr>
        <w:tabs>
          <w:tab w:val="left" w:pos="90"/>
        </w:tabs>
        <w:spacing w:after="120" w:line="276" w:lineRule="auto"/>
        <w:rPr>
          <w:rFonts w:asciiTheme="majorHAnsi" w:hAnsiTheme="majorHAnsi" w:cstheme="majorHAnsi"/>
          <w:sz w:val="24"/>
          <w:szCs w:val="24"/>
          <w:lang w:val="ru-RU"/>
        </w:rPr>
      </w:pPr>
      <w:r w:rsidRPr="00D70175">
        <w:rPr>
          <w:rFonts w:asciiTheme="majorHAnsi" w:hAnsiTheme="majorHAnsi" w:cstheme="majorHAnsi"/>
          <w:b/>
          <w:sz w:val="24"/>
          <w:szCs w:val="24"/>
          <w:lang w:val="ru-RU"/>
        </w:rPr>
        <w:t>5.1.</w:t>
      </w:r>
      <w:r w:rsidRPr="00D70175">
        <w:rPr>
          <w:rFonts w:asciiTheme="majorHAnsi" w:hAnsiTheme="majorHAnsi" w:cstheme="majorHAnsi"/>
          <w:sz w:val="24"/>
          <w:szCs w:val="24"/>
          <w:lang w:val="ru-RU"/>
        </w:rPr>
        <w:t xml:space="preserve"> </w:t>
      </w:r>
      <w:r w:rsidR="00122163" w:rsidRPr="00D70175">
        <w:rPr>
          <w:rFonts w:asciiTheme="majorHAnsi" w:hAnsiTheme="majorHAnsi" w:cstheme="majorHAnsi"/>
          <w:sz w:val="24"/>
          <w:szCs w:val="24"/>
          <w:lang w:val="ru-RU"/>
        </w:rPr>
        <w:t xml:space="preserve">В результате самооценки системы </w:t>
      </w:r>
      <w:r w:rsidR="00122163" w:rsidRPr="00D70175">
        <w:rPr>
          <w:rFonts w:ascii="Calibri Light" w:hAnsi="Calibri Light" w:cstheme="majorHAnsi"/>
          <w:sz w:val="24"/>
          <w:szCs w:val="24"/>
          <w:lang w:val="ru-RU"/>
        </w:rPr>
        <w:t xml:space="preserve">управленческого внутреннего контроля, министр </w:t>
      </w:r>
      <w:r w:rsidR="00A31F1C" w:rsidRPr="00D70175">
        <w:rPr>
          <w:rFonts w:ascii="Calibri Light" w:hAnsi="Calibri Light" w:cstheme="majorHAnsi"/>
          <w:sz w:val="24"/>
          <w:szCs w:val="24"/>
          <w:lang w:val="ru-RU"/>
        </w:rPr>
        <w:t xml:space="preserve">обеспечил как в рамках центрального аппарата </w:t>
      </w:r>
      <w:r w:rsidR="00A31F1C" w:rsidRPr="00D70175">
        <w:rPr>
          <w:rFonts w:ascii="Calibri Light" w:eastAsia="Times New Roman" w:hAnsi="Calibri Light" w:cs="Times New Roman"/>
          <w:bCs/>
          <w:sz w:val="24"/>
          <w:szCs w:val="24"/>
          <w:lang w:val="ru-RU" w:eastAsia="ru-RU"/>
        </w:rPr>
        <w:t>Министерства финансов, так и на уровне подведомственных учреждений составление финансовых отчетов и представление с включением полной информации в соответствии с требованиями Приказа министра финансов №</w:t>
      </w:r>
      <w:r w:rsidR="00A31F1C" w:rsidRPr="00D70175">
        <w:rPr>
          <w:rFonts w:asciiTheme="majorHAnsi" w:hAnsiTheme="majorHAnsi" w:cstheme="majorHAnsi"/>
          <w:sz w:val="24"/>
          <w:szCs w:val="24"/>
          <w:lang w:val="ru-RU"/>
        </w:rPr>
        <w:t xml:space="preserve">216 от 28.12.2015 „Об утверждении Плана счетов бюджетного учета и Методологических норм организации бухгалтерского учета и финансовой отчетности бюджетных учреждений”. Результаты самооценки системы </w:t>
      </w:r>
      <w:r w:rsidR="00A31F1C" w:rsidRPr="00D70175">
        <w:rPr>
          <w:rFonts w:ascii="Calibri Light" w:hAnsi="Calibri Light" w:cstheme="majorHAnsi"/>
          <w:sz w:val="24"/>
          <w:szCs w:val="24"/>
          <w:lang w:val="ru-RU"/>
        </w:rPr>
        <w:t xml:space="preserve">управленческого внутреннего контроля </w:t>
      </w:r>
      <w:r w:rsidR="003919FD" w:rsidRPr="00D70175">
        <w:rPr>
          <w:rFonts w:ascii="Calibri Light" w:hAnsi="Calibri Light" w:cstheme="majorHAnsi"/>
          <w:sz w:val="24"/>
          <w:szCs w:val="24"/>
          <w:lang w:val="ru-RU"/>
        </w:rPr>
        <w:t>незначительно отличаются от результатов вн</w:t>
      </w:r>
      <w:r w:rsidR="005C414C" w:rsidRPr="00D70175">
        <w:rPr>
          <w:rFonts w:ascii="Calibri Light" w:hAnsi="Calibri Light" w:cstheme="majorHAnsi"/>
          <w:sz w:val="24"/>
          <w:szCs w:val="24"/>
          <w:lang w:val="ru-RU"/>
        </w:rPr>
        <w:t>еш</w:t>
      </w:r>
      <w:r w:rsidR="003919FD" w:rsidRPr="00D70175">
        <w:rPr>
          <w:rFonts w:ascii="Calibri Light" w:hAnsi="Calibri Light" w:cstheme="majorHAnsi"/>
          <w:sz w:val="24"/>
          <w:szCs w:val="24"/>
          <w:lang w:val="ru-RU"/>
        </w:rPr>
        <w:t xml:space="preserve">него публичного аудита в аспекте </w:t>
      </w:r>
      <w:r w:rsidR="003919FD" w:rsidRPr="00D70175">
        <w:rPr>
          <w:rFonts w:asciiTheme="majorHAnsi" w:hAnsiTheme="majorHAnsi" w:cstheme="majorHAnsi"/>
          <w:sz w:val="24"/>
          <w:szCs w:val="24"/>
          <w:lang w:val="ru-RU"/>
        </w:rPr>
        <w:t xml:space="preserve">бухгалтерского учета и финансовой отчетности. Наличие некоторых недостатков </w:t>
      </w:r>
      <w:r w:rsidR="005C414C" w:rsidRPr="00D70175">
        <w:rPr>
          <w:rFonts w:asciiTheme="majorHAnsi" w:hAnsiTheme="majorHAnsi" w:cstheme="majorHAnsi"/>
          <w:sz w:val="24"/>
          <w:szCs w:val="24"/>
          <w:lang w:val="ru-RU"/>
        </w:rPr>
        <w:t>касательно</w:t>
      </w:r>
      <w:r w:rsidR="003919FD" w:rsidRPr="00D70175">
        <w:rPr>
          <w:rFonts w:asciiTheme="majorHAnsi" w:hAnsiTheme="majorHAnsi" w:cstheme="majorHAnsi"/>
          <w:sz w:val="24"/>
          <w:szCs w:val="24"/>
          <w:lang w:val="ru-RU"/>
        </w:rPr>
        <w:t xml:space="preserve"> </w:t>
      </w:r>
      <w:r w:rsidR="005C414C" w:rsidRPr="00D70175">
        <w:rPr>
          <w:rFonts w:asciiTheme="majorHAnsi" w:hAnsiTheme="majorHAnsi" w:cstheme="majorHAnsi"/>
          <w:sz w:val="24"/>
          <w:szCs w:val="24"/>
          <w:lang w:val="ru-RU"/>
        </w:rPr>
        <w:t xml:space="preserve">порядка организации и функционирования </w:t>
      </w:r>
      <w:r w:rsidR="005C414C" w:rsidRPr="00D70175">
        <w:rPr>
          <w:rFonts w:ascii="Calibri Light" w:hAnsi="Calibri Light" w:cstheme="majorHAnsi"/>
          <w:sz w:val="24"/>
          <w:szCs w:val="24"/>
          <w:lang w:val="ru-RU"/>
        </w:rPr>
        <w:t>управленческого внутреннего контроля обусловило появление ряда несоответствий, что свидетельствует о необходимости принятия соответствующих мер с целью их внедрения и укрепления. Также, необходимо обеспечить проведение и в дальнейшем процедур контроля, предназначенных минимизировать соответствующие риски.</w:t>
      </w:r>
    </w:p>
    <w:p w:rsidR="00F368DE" w:rsidRPr="00D70175" w:rsidRDefault="00F368DE" w:rsidP="00F368DE">
      <w:pPr>
        <w:tabs>
          <w:tab w:val="left" w:pos="90"/>
        </w:tabs>
        <w:spacing w:after="120" w:line="276" w:lineRule="auto"/>
        <w:rPr>
          <w:rFonts w:asciiTheme="majorHAnsi" w:hAnsiTheme="majorHAnsi" w:cstheme="majorHAnsi"/>
          <w:bCs/>
          <w:sz w:val="24"/>
          <w:szCs w:val="24"/>
          <w:lang w:val="ru-RU"/>
        </w:rPr>
      </w:pPr>
      <w:r w:rsidRPr="00D70175">
        <w:rPr>
          <w:rFonts w:asciiTheme="majorHAnsi" w:hAnsiTheme="majorHAnsi" w:cstheme="majorHAnsi"/>
          <w:b/>
          <w:bCs/>
          <w:sz w:val="24"/>
          <w:szCs w:val="24"/>
          <w:lang w:val="ru-RU"/>
        </w:rPr>
        <w:t>5.2.</w:t>
      </w:r>
      <w:r w:rsidRPr="00D70175">
        <w:rPr>
          <w:rFonts w:asciiTheme="majorHAnsi" w:hAnsiTheme="majorHAnsi" w:cstheme="majorHAnsi"/>
          <w:bCs/>
          <w:sz w:val="24"/>
          <w:szCs w:val="24"/>
          <w:lang w:val="ru-RU"/>
        </w:rPr>
        <w:t xml:space="preserve"> </w:t>
      </w:r>
      <w:r w:rsidR="005C414C" w:rsidRPr="00D70175">
        <w:rPr>
          <w:rFonts w:asciiTheme="majorHAnsi" w:hAnsiTheme="majorHAnsi" w:cstheme="majorHAnsi"/>
          <w:bCs/>
          <w:sz w:val="24"/>
          <w:szCs w:val="24"/>
          <w:lang w:val="ru-RU"/>
        </w:rPr>
        <w:t xml:space="preserve">Организационные структуры центрального аппарата </w:t>
      </w:r>
      <w:r w:rsidR="005C414C" w:rsidRPr="00D70175">
        <w:rPr>
          <w:rFonts w:ascii="Calibri Light" w:eastAsia="Times New Roman" w:hAnsi="Calibri Light" w:cs="Times New Roman"/>
          <w:bCs/>
          <w:sz w:val="24"/>
          <w:szCs w:val="24"/>
          <w:lang w:val="ru-RU" w:eastAsia="ru-RU"/>
        </w:rPr>
        <w:t xml:space="preserve">Министерства финансов, </w:t>
      </w:r>
      <w:r w:rsidR="005C414C" w:rsidRPr="00D70175">
        <w:rPr>
          <w:rFonts w:asciiTheme="majorHAnsi" w:eastAsia="Times New Roman" w:hAnsiTheme="majorHAnsi" w:cstheme="majorHAnsi"/>
          <w:sz w:val="24"/>
          <w:szCs w:val="24"/>
          <w:lang w:val="ru-RU"/>
        </w:rPr>
        <w:t xml:space="preserve">Государственной налоговой службы и Таможенной службы включают, согласно законодательным требованиям, Службы внутреннего аудита, которые в течение 2019 года были функциональными, осуществляя деятельность согласно положениям нормативной базы и соответствующим </w:t>
      </w:r>
      <w:r w:rsidR="0086505D" w:rsidRPr="00D70175">
        <w:rPr>
          <w:rFonts w:asciiTheme="majorHAnsi" w:eastAsia="Times New Roman" w:hAnsiTheme="majorHAnsi" w:cstheme="majorHAnsi"/>
          <w:sz w:val="24"/>
          <w:szCs w:val="24"/>
          <w:lang w:val="ru-RU"/>
        </w:rPr>
        <w:t xml:space="preserve">положениям внутреннего аудита. В результате своих действий аудиторская группа установила, что в рамках Финансовой </w:t>
      </w:r>
      <w:r w:rsidR="0086505D" w:rsidRPr="00D70175">
        <w:rPr>
          <w:rFonts w:asciiTheme="majorHAnsi" w:eastAsia="Times New Roman" w:hAnsiTheme="majorHAnsi" w:cstheme="majorHAnsi"/>
          <w:sz w:val="24"/>
          <w:szCs w:val="24"/>
          <w:lang w:val="ru-RU"/>
        </w:rPr>
        <w:lastRenderedPageBreak/>
        <w:t xml:space="preserve">инспекции и Агентства государственных закупок отсутствуют подразделения внутреннего аудита, полномочия которых были взяты Управлением внутреннего аудита центрального аппарата </w:t>
      </w:r>
      <w:r w:rsidR="0086505D" w:rsidRPr="00D70175">
        <w:rPr>
          <w:rFonts w:ascii="Calibri Light" w:eastAsia="Times New Roman" w:hAnsi="Calibri Light" w:cs="Times New Roman"/>
          <w:bCs/>
          <w:sz w:val="24"/>
          <w:szCs w:val="24"/>
          <w:lang w:val="ru-RU" w:eastAsia="ru-RU"/>
        </w:rPr>
        <w:t xml:space="preserve">Министерства финансов. Вместе с тем, оцененные </w:t>
      </w:r>
      <w:r w:rsidR="0086505D" w:rsidRPr="00D70175">
        <w:rPr>
          <w:rFonts w:asciiTheme="majorHAnsi" w:eastAsia="Times New Roman" w:hAnsiTheme="majorHAnsi" w:cstheme="majorHAnsi"/>
          <w:sz w:val="24"/>
          <w:szCs w:val="24"/>
          <w:lang w:val="ru-RU"/>
        </w:rPr>
        <w:t xml:space="preserve">подразделения внутреннего аудита провели </w:t>
      </w:r>
      <w:r w:rsidR="00B8037E" w:rsidRPr="00D70175">
        <w:rPr>
          <w:rFonts w:asciiTheme="majorHAnsi" w:eastAsia="Times New Roman" w:hAnsiTheme="majorHAnsi" w:cstheme="majorHAnsi"/>
          <w:sz w:val="24"/>
          <w:szCs w:val="24"/>
          <w:lang w:val="ru-RU"/>
        </w:rPr>
        <w:t xml:space="preserve">незначительное </w:t>
      </w:r>
      <w:r w:rsidR="007D3228" w:rsidRPr="00D70175">
        <w:rPr>
          <w:rFonts w:asciiTheme="majorHAnsi" w:eastAsia="Times New Roman" w:hAnsiTheme="majorHAnsi" w:cstheme="majorHAnsi"/>
          <w:sz w:val="24"/>
          <w:szCs w:val="24"/>
          <w:lang w:val="ru-RU"/>
        </w:rPr>
        <w:t>к</w:t>
      </w:r>
      <w:r w:rsidR="00B8037E" w:rsidRPr="00D70175">
        <w:rPr>
          <w:rFonts w:asciiTheme="majorHAnsi" w:eastAsia="Times New Roman" w:hAnsiTheme="majorHAnsi" w:cstheme="majorHAnsi"/>
          <w:sz w:val="24"/>
          <w:szCs w:val="24"/>
          <w:lang w:val="ru-RU"/>
        </w:rPr>
        <w:t>о</w:t>
      </w:r>
      <w:r w:rsidR="007D3228" w:rsidRPr="00D70175">
        <w:rPr>
          <w:rFonts w:asciiTheme="majorHAnsi" w:eastAsia="Times New Roman" w:hAnsiTheme="majorHAnsi" w:cstheme="majorHAnsi"/>
          <w:sz w:val="24"/>
          <w:szCs w:val="24"/>
          <w:lang w:val="ru-RU"/>
        </w:rPr>
        <w:t xml:space="preserve">личество финансовых аудитов, чем не обеспечили точность финансовых ситуаций и соответствие операций. </w:t>
      </w:r>
    </w:p>
    <w:p w:rsidR="007D3228" w:rsidRPr="00D70175" w:rsidRDefault="00F368DE" w:rsidP="007D3228">
      <w:pPr>
        <w:tabs>
          <w:tab w:val="left" w:pos="90"/>
        </w:tabs>
        <w:spacing w:after="120" w:line="276" w:lineRule="auto"/>
        <w:rPr>
          <w:rFonts w:asciiTheme="majorHAnsi" w:hAnsiTheme="majorHAnsi"/>
          <w:sz w:val="24"/>
          <w:szCs w:val="24"/>
          <w:lang w:val="ru-RU"/>
        </w:rPr>
      </w:pPr>
      <w:r w:rsidRPr="00D70175">
        <w:rPr>
          <w:rFonts w:asciiTheme="majorHAnsi" w:hAnsiTheme="majorHAnsi"/>
          <w:b/>
          <w:sz w:val="24"/>
          <w:szCs w:val="24"/>
          <w:lang w:val="ru-RU"/>
        </w:rPr>
        <w:t>5.3.</w:t>
      </w:r>
      <w:r w:rsidRPr="00D70175">
        <w:rPr>
          <w:rFonts w:asciiTheme="majorHAnsi" w:hAnsiTheme="majorHAnsi"/>
          <w:sz w:val="24"/>
          <w:szCs w:val="24"/>
          <w:lang w:val="ru-RU"/>
        </w:rPr>
        <w:t xml:space="preserve"> </w:t>
      </w:r>
      <w:r w:rsidR="007D3228" w:rsidRPr="00D70175">
        <w:rPr>
          <w:rFonts w:asciiTheme="majorHAnsi" w:hAnsiTheme="majorHAnsi"/>
          <w:sz w:val="24"/>
          <w:szCs w:val="24"/>
          <w:lang w:val="ru-RU"/>
        </w:rPr>
        <w:t xml:space="preserve">В ходе аудиторской миссии наше внимание было обращено на некоторые несоответствия, которые, хотя и не повлияли на аудиторское мнение, </w:t>
      </w:r>
      <w:r w:rsidR="00300765" w:rsidRPr="00D70175">
        <w:rPr>
          <w:rFonts w:asciiTheme="majorHAnsi" w:hAnsiTheme="majorHAnsi"/>
          <w:sz w:val="24"/>
          <w:szCs w:val="24"/>
          <w:lang w:val="ru-RU"/>
        </w:rPr>
        <w:t>обусло</w:t>
      </w:r>
      <w:r w:rsidR="007D3228" w:rsidRPr="00D70175">
        <w:rPr>
          <w:rFonts w:asciiTheme="majorHAnsi" w:hAnsiTheme="majorHAnsi"/>
          <w:sz w:val="24"/>
          <w:szCs w:val="24"/>
          <w:lang w:val="ru-RU"/>
        </w:rPr>
        <w:t>влены несоответствие</w:t>
      </w:r>
      <w:r w:rsidR="00300765" w:rsidRPr="00D70175">
        <w:rPr>
          <w:rFonts w:asciiTheme="majorHAnsi" w:hAnsiTheme="majorHAnsi"/>
          <w:sz w:val="24"/>
          <w:szCs w:val="24"/>
          <w:lang w:val="ru-RU"/>
        </w:rPr>
        <w:t>м</w:t>
      </w:r>
      <w:r w:rsidR="007D3228" w:rsidRPr="00D70175">
        <w:rPr>
          <w:rFonts w:asciiTheme="majorHAnsi" w:hAnsiTheme="majorHAnsi"/>
          <w:sz w:val="24"/>
          <w:szCs w:val="24"/>
          <w:lang w:val="ru-RU"/>
        </w:rPr>
        <w:t xml:space="preserve"> деятельности по регистрации и администрированию имущества согласно законам и положениям, связанным с данной областью. Так, отметим нерегистрацию </w:t>
      </w:r>
      <w:r w:rsidR="007D3228" w:rsidRPr="00D70175">
        <w:rPr>
          <w:rFonts w:asciiTheme="majorHAnsi" w:eastAsia="Times New Roman" w:hAnsiTheme="majorHAnsi" w:cstheme="majorHAnsi"/>
          <w:sz w:val="24"/>
          <w:szCs w:val="24"/>
          <w:lang w:val="ru-RU"/>
        </w:rPr>
        <w:t xml:space="preserve">Таможенной службой кадастровых прав на 10 объектов недвижимости/строений </w:t>
      </w:r>
      <w:r w:rsidR="00300765" w:rsidRPr="00D70175">
        <w:rPr>
          <w:rFonts w:asciiTheme="majorHAnsi" w:eastAsia="Times New Roman" w:hAnsiTheme="majorHAnsi" w:cstheme="majorHAnsi"/>
          <w:sz w:val="24"/>
          <w:szCs w:val="24"/>
          <w:lang w:val="ru-RU"/>
        </w:rPr>
        <w:t xml:space="preserve">общей площадью </w:t>
      </w:r>
      <w:r w:rsidR="00300765" w:rsidRPr="00D70175">
        <w:rPr>
          <w:rFonts w:asciiTheme="majorHAnsi" w:hAnsiTheme="majorHAnsi" w:cstheme="majorHAnsi"/>
          <w:sz w:val="24"/>
          <w:szCs w:val="24"/>
          <w:lang w:val="ru-RU"/>
        </w:rPr>
        <w:t>315,3 м</w:t>
      </w:r>
      <w:r w:rsidR="00300765" w:rsidRPr="00D70175">
        <w:rPr>
          <w:rFonts w:asciiTheme="majorHAnsi" w:hAnsiTheme="majorHAnsi" w:cstheme="majorHAnsi"/>
          <w:sz w:val="24"/>
          <w:szCs w:val="24"/>
          <w:vertAlign w:val="superscript"/>
          <w:lang w:val="ru-RU"/>
        </w:rPr>
        <w:t>2</w:t>
      </w:r>
      <w:r w:rsidR="00300765" w:rsidRPr="00D70175">
        <w:rPr>
          <w:rFonts w:asciiTheme="majorHAnsi" w:hAnsiTheme="majorHAnsi" w:cstheme="majorHAnsi"/>
          <w:sz w:val="24"/>
          <w:szCs w:val="24"/>
          <w:lang w:val="ru-RU"/>
        </w:rPr>
        <w:t xml:space="preserve">, стоимостью 2 702,5 </w:t>
      </w:r>
      <w:r w:rsidR="00300765" w:rsidRPr="00D70175">
        <w:rPr>
          <w:rFonts w:asciiTheme="majorHAnsi" w:hAnsiTheme="majorHAnsi" w:cstheme="majorHAnsi"/>
          <w:iCs/>
          <w:color w:val="000000" w:themeColor="text1"/>
          <w:sz w:val="24"/>
          <w:szCs w:val="24"/>
          <w:shd w:val="clear" w:color="auto" w:fill="FFFFFF" w:themeFill="background1"/>
          <w:lang w:val="ru-RU"/>
        </w:rPr>
        <w:t xml:space="preserve">тыс. леев и на земельный участок площадью </w:t>
      </w:r>
      <w:r w:rsidR="00300765" w:rsidRPr="00D70175">
        <w:rPr>
          <w:rFonts w:asciiTheme="majorHAnsi" w:hAnsiTheme="majorHAnsi" w:cstheme="majorHAnsi"/>
          <w:bCs/>
          <w:color w:val="000000"/>
          <w:sz w:val="24"/>
          <w:szCs w:val="24"/>
          <w:shd w:val="clear" w:color="auto" w:fill="FFFFFF"/>
          <w:lang w:val="ru-RU"/>
        </w:rPr>
        <w:t>0,0025 га</w:t>
      </w:r>
      <w:r w:rsidR="00300765" w:rsidRPr="00D70175">
        <w:rPr>
          <w:rFonts w:asciiTheme="majorHAnsi" w:hAnsiTheme="majorHAnsi" w:cstheme="majorHAnsi"/>
          <w:sz w:val="24"/>
          <w:szCs w:val="24"/>
          <w:lang w:val="ru-RU"/>
        </w:rPr>
        <w:t xml:space="preserve">, отраженный в бухгалтерском учете в сумме 3,23 </w:t>
      </w:r>
      <w:r w:rsidR="00300765" w:rsidRPr="00D70175">
        <w:rPr>
          <w:rFonts w:asciiTheme="majorHAnsi" w:hAnsiTheme="majorHAnsi" w:cstheme="majorHAnsi"/>
          <w:iCs/>
          <w:color w:val="000000" w:themeColor="text1"/>
          <w:sz w:val="24"/>
          <w:szCs w:val="24"/>
          <w:shd w:val="clear" w:color="auto" w:fill="FFFFFF" w:themeFill="background1"/>
          <w:lang w:val="ru-RU"/>
        </w:rPr>
        <w:t>тыс. леев</w:t>
      </w:r>
      <w:r w:rsidR="00300765" w:rsidRPr="00D70175">
        <w:rPr>
          <w:rFonts w:asciiTheme="majorHAnsi" w:hAnsiTheme="majorHAnsi" w:cstheme="majorHAnsi"/>
          <w:sz w:val="24"/>
          <w:szCs w:val="24"/>
          <w:lang w:val="ru-RU"/>
        </w:rPr>
        <w:t>.</w:t>
      </w:r>
    </w:p>
    <w:p w:rsidR="00F368DE" w:rsidRPr="00D70175" w:rsidRDefault="00300765" w:rsidP="00F368DE">
      <w:pPr>
        <w:tabs>
          <w:tab w:val="left" w:pos="90"/>
        </w:tabs>
        <w:spacing w:line="276" w:lineRule="auto"/>
        <w:rPr>
          <w:rFonts w:asciiTheme="majorHAnsi" w:hAnsiTheme="majorHAnsi" w:cstheme="majorHAnsi"/>
          <w:sz w:val="24"/>
          <w:szCs w:val="24"/>
          <w:lang w:val="ru-RU"/>
        </w:rPr>
      </w:pPr>
      <w:r w:rsidRPr="00D70175">
        <w:rPr>
          <w:rFonts w:asciiTheme="majorHAnsi" w:hAnsiTheme="majorHAnsi" w:cstheme="majorHAnsi"/>
          <w:sz w:val="24"/>
          <w:szCs w:val="24"/>
          <w:lang w:val="ru-RU"/>
        </w:rPr>
        <w:t>Отражение в бухгалтерском учете множества зданий, пристроек и помещений с одним и тем же инвентарным номером, хотя, согласно нормативной базе</w:t>
      </w:r>
      <w:r w:rsidRPr="00D70175">
        <w:rPr>
          <w:rStyle w:val="FootnoteReference"/>
          <w:rFonts w:asciiTheme="majorHAnsi" w:hAnsiTheme="majorHAnsi" w:cstheme="majorHAnsi"/>
          <w:sz w:val="24"/>
          <w:szCs w:val="24"/>
          <w:lang w:val="ru-RU"/>
        </w:rPr>
        <w:footnoteReference w:id="14"/>
      </w:r>
      <w:r w:rsidRPr="00D70175">
        <w:rPr>
          <w:rFonts w:asciiTheme="majorHAnsi" w:hAnsiTheme="majorHAnsi" w:cstheme="majorHAnsi"/>
          <w:sz w:val="24"/>
          <w:szCs w:val="24"/>
          <w:lang w:val="ru-RU"/>
        </w:rPr>
        <w:t xml:space="preserve"> и данным Регистра недвижимого имущества, учет должен вестись отдельно. Так, в бухгалтерском учете Финансовой инспекции за одним инвентарным номером зарегистрированы административное здание, пристройка с 4 гаражами, склад и 2 вспомогательных помещения общей площадью 230,1 м</w:t>
      </w:r>
      <w:r w:rsidRPr="00D70175">
        <w:rPr>
          <w:rFonts w:asciiTheme="majorHAnsi" w:hAnsiTheme="majorHAnsi" w:cstheme="majorHAnsi"/>
          <w:sz w:val="24"/>
          <w:szCs w:val="24"/>
          <w:vertAlign w:val="superscript"/>
          <w:lang w:val="ru-RU"/>
        </w:rPr>
        <w:t>2</w:t>
      </w:r>
      <w:r w:rsidRPr="00D70175">
        <w:rPr>
          <w:rFonts w:asciiTheme="majorHAnsi" w:eastAsia="Times New Roman" w:hAnsiTheme="majorHAnsi" w:cstheme="majorHAnsi"/>
          <w:sz w:val="24"/>
          <w:szCs w:val="24"/>
          <w:lang w:val="ru-RU"/>
        </w:rPr>
        <w:t xml:space="preserve">, а в рамках Государственной налоговой службы – неоцененные помещения из здания, расположенного в г. Хынчешть, общей площадью </w:t>
      </w:r>
      <w:r w:rsidRPr="00D70175">
        <w:rPr>
          <w:rFonts w:asciiTheme="majorHAnsi" w:hAnsiTheme="majorHAnsi" w:cstheme="majorHAnsi"/>
          <w:sz w:val="24"/>
          <w:szCs w:val="24"/>
          <w:lang w:val="ru-RU"/>
        </w:rPr>
        <w:t>510,6 м</w:t>
      </w:r>
      <w:r w:rsidRPr="00D70175">
        <w:rPr>
          <w:rFonts w:asciiTheme="majorHAnsi" w:hAnsiTheme="majorHAnsi" w:cstheme="majorHAnsi"/>
          <w:sz w:val="24"/>
          <w:szCs w:val="24"/>
          <w:vertAlign w:val="superscript"/>
          <w:lang w:val="ru-RU"/>
        </w:rPr>
        <w:t>2</w:t>
      </w:r>
      <w:r w:rsidRPr="00D70175">
        <w:rPr>
          <w:rFonts w:asciiTheme="majorHAnsi" w:hAnsiTheme="majorHAnsi" w:cstheme="majorHAnsi"/>
          <w:sz w:val="24"/>
          <w:szCs w:val="24"/>
          <w:lang w:val="ru-RU"/>
        </w:rPr>
        <w:t>.</w:t>
      </w:r>
    </w:p>
    <w:p w:rsidR="009E31BB" w:rsidRPr="00D70175" w:rsidRDefault="009E31BB" w:rsidP="00300765">
      <w:pPr>
        <w:tabs>
          <w:tab w:val="left" w:pos="90"/>
        </w:tabs>
        <w:spacing w:after="120" w:line="276" w:lineRule="auto"/>
        <w:rPr>
          <w:rFonts w:asciiTheme="majorHAnsi" w:hAnsiTheme="majorHAnsi" w:cstheme="majorHAnsi"/>
          <w:sz w:val="24"/>
          <w:szCs w:val="24"/>
          <w:lang w:val="ru-RU"/>
        </w:rPr>
      </w:pPr>
      <w:r w:rsidRPr="00D70175">
        <w:rPr>
          <w:rFonts w:asciiTheme="majorHAnsi" w:hAnsiTheme="majorHAnsi" w:cstheme="majorHAnsi"/>
          <w:sz w:val="24"/>
          <w:szCs w:val="24"/>
          <w:shd w:val="clear" w:color="auto" w:fill="FFFFFF"/>
          <w:lang w:val="ru-RU"/>
        </w:rPr>
        <w:t xml:space="preserve">Нерегламентированное ведение </w:t>
      </w:r>
      <w:r w:rsidRPr="00D70175">
        <w:rPr>
          <w:rFonts w:asciiTheme="majorHAnsi" w:hAnsiTheme="majorHAnsi" w:cstheme="majorHAnsi"/>
          <w:sz w:val="24"/>
          <w:szCs w:val="24"/>
          <w:lang w:val="ru-RU"/>
        </w:rPr>
        <w:t xml:space="preserve">бухгалтерского учета генерировало отдельное отражение в бухгалтерском учете по группе ,,Основные средства” некоторых работ, произведенных в периоды, предыдущие 2019 году, которые </w:t>
      </w:r>
      <w:r w:rsidRPr="00D70175">
        <w:rPr>
          <w:rFonts w:asciiTheme="majorHAnsi" w:hAnsiTheme="majorHAnsi" w:cstheme="majorHAnsi"/>
          <w:sz w:val="24"/>
          <w:szCs w:val="24"/>
          <w:shd w:val="clear" w:color="auto" w:fill="FFFFFF"/>
          <w:lang w:val="ru-RU"/>
        </w:rPr>
        <w:t>регламентировано</w:t>
      </w:r>
      <w:r w:rsidRPr="00D70175">
        <w:rPr>
          <w:rStyle w:val="FootnoteReference"/>
          <w:rFonts w:asciiTheme="majorHAnsi" w:hAnsiTheme="majorHAnsi" w:cstheme="majorHAnsi"/>
          <w:sz w:val="24"/>
          <w:szCs w:val="24"/>
          <w:lang w:val="ru-RU"/>
        </w:rPr>
        <w:footnoteReference w:id="15"/>
      </w:r>
      <w:r w:rsidRPr="00D70175">
        <w:rPr>
          <w:rFonts w:asciiTheme="majorHAnsi" w:hAnsiTheme="majorHAnsi" w:cstheme="majorHAnsi"/>
          <w:sz w:val="24"/>
          <w:szCs w:val="24"/>
          <w:lang w:val="ru-RU"/>
        </w:rPr>
        <w:t xml:space="preserve"> должны быть включены в стоимость актива. Так, в </w:t>
      </w:r>
      <w:r w:rsidRPr="00D70175">
        <w:rPr>
          <w:rFonts w:asciiTheme="majorHAnsi" w:eastAsia="Times New Roman" w:hAnsiTheme="majorHAnsi" w:cstheme="majorHAnsi"/>
          <w:sz w:val="24"/>
          <w:szCs w:val="24"/>
          <w:lang w:val="ru-RU"/>
        </w:rPr>
        <w:t>Государственной налоговой службе как основное средство был отражен ,,ремонт административного здания</w:t>
      </w:r>
      <w:r w:rsidRPr="00D70175">
        <w:rPr>
          <w:rFonts w:asciiTheme="majorHAnsi" w:hAnsiTheme="majorHAnsi" w:cstheme="majorHAnsi"/>
          <w:sz w:val="24"/>
          <w:szCs w:val="24"/>
          <w:lang w:val="ru-RU"/>
        </w:rPr>
        <w:t xml:space="preserve">” в сумме 217,5 </w:t>
      </w:r>
      <w:r w:rsidRPr="00D70175">
        <w:rPr>
          <w:rFonts w:asciiTheme="majorHAnsi" w:hAnsiTheme="majorHAnsi" w:cstheme="majorHAnsi"/>
          <w:iCs/>
          <w:color w:val="000000" w:themeColor="text1"/>
          <w:sz w:val="24"/>
          <w:szCs w:val="24"/>
          <w:shd w:val="clear" w:color="auto" w:fill="FFFFFF" w:themeFill="background1"/>
          <w:lang w:val="ru-RU"/>
        </w:rPr>
        <w:t>тыс. леев</w:t>
      </w:r>
      <w:r w:rsidRPr="00D70175">
        <w:rPr>
          <w:rFonts w:asciiTheme="majorHAnsi" w:hAnsiTheme="majorHAnsi" w:cstheme="majorHAnsi"/>
          <w:sz w:val="24"/>
          <w:szCs w:val="24"/>
          <w:lang w:val="ru-RU"/>
        </w:rPr>
        <w:t>, и в Таможенной службе - ,,Изменение ИС ЭКОНОМИСТ</w:t>
      </w:r>
      <w:r w:rsidRPr="00D70175">
        <w:rPr>
          <w:rFonts w:asciiTheme="majorHAnsi" w:eastAsia="Times New Roman" w:hAnsiTheme="majorHAnsi" w:cstheme="majorHAnsi"/>
          <w:sz w:val="24"/>
          <w:szCs w:val="24"/>
          <w:lang w:val="ru-RU"/>
        </w:rPr>
        <w:t>” в сумме 98,0</w:t>
      </w:r>
      <w:r w:rsidRPr="00D70175">
        <w:rPr>
          <w:rFonts w:asciiTheme="majorHAnsi" w:hAnsiTheme="majorHAnsi" w:cstheme="majorHAnsi"/>
          <w:iCs/>
          <w:color w:val="000000" w:themeColor="text1"/>
          <w:sz w:val="24"/>
          <w:szCs w:val="24"/>
          <w:shd w:val="clear" w:color="auto" w:fill="FFFFFF" w:themeFill="background1"/>
          <w:lang w:val="ru-RU"/>
        </w:rPr>
        <w:t xml:space="preserve"> тыс. леев</w:t>
      </w:r>
      <w:r w:rsidRPr="00D70175">
        <w:rPr>
          <w:rFonts w:asciiTheme="majorHAnsi" w:eastAsia="Times New Roman" w:hAnsiTheme="majorHAnsi" w:cstheme="majorHAnsi"/>
          <w:sz w:val="24"/>
          <w:szCs w:val="24"/>
          <w:lang w:val="ru-RU"/>
        </w:rPr>
        <w:t>.</w:t>
      </w:r>
    </w:p>
    <w:p w:rsidR="00F368DE" w:rsidRPr="00D70175" w:rsidRDefault="004E2B1B" w:rsidP="00F368DE">
      <w:pPr>
        <w:tabs>
          <w:tab w:val="left" w:pos="90"/>
        </w:tabs>
        <w:spacing w:after="120" w:line="276" w:lineRule="auto"/>
        <w:rPr>
          <w:rFonts w:asciiTheme="majorHAnsi" w:hAnsiTheme="majorHAnsi" w:cstheme="majorHAnsi"/>
          <w:sz w:val="24"/>
          <w:szCs w:val="24"/>
          <w:lang w:val="ru-RU"/>
        </w:rPr>
      </w:pPr>
      <w:r w:rsidRPr="00D70175">
        <w:rPr>
          <w:rFonts w:asciiTheme="majorHAnsi" w:hAnsiTheme="majorHAnsi" w:cstheme="majorHAnsi"/>
          <w:sz w:val="24"/>
          <w:szCs w:val="24"/>
          <w:lang w:val="ru-RU"/>
        </w:rPr>
        <w:t>Несмотря на то, что в рамках Таможенной службы была правильно и регламентировано отражена стоимость незавершенных инвестиций, отметим неотражение отдельно</w:t>
      </w:r>
      <w:r w:rsidRPr="00D70175">
        <w:rPr>
          <w:rStyle w:val="FootnoteReference"/>
          <w:rFonts w:asciiTheme="majorHAnsi" w:eastAsia="Times New Roman" w:hAnsiTheme="majorHAnsi" w:cstheme="majorHAnsi"/>
          <w:bCs/>
          <w:sz w:val="24"/>
          <w:szCs w:val="24"/>
          <w:lang w:val="ru-RU"/>
        </w:rPr>
        <w:footnoteReference w:id="16"/>
      </w:r>
      <w:r w:rsidRPr="00D70175">
        <w:rPr>
          <w:rFonts w:asciiTheme="majorHAnsi" w:hAnsiTheme="majorHAnsi" w:cstheme="majorHAnsi"/>
          <w:sz w:val="24"/>
          <w:szCs w:val="24"/>
          <w:lang w:val="ru-RU"/>
        </w:rPr>
        <w:t xml:space="preserve"> в бухгалтерском учете </w:t>
      </w:r>
      <w:r w:rsidRPr="00D70175">
        <w:rPr>
          <w:rFonts w:asciiTheme="majorHAnsi" w:hAnsiTheme="majorHAnsi" w:cstheme="majorHAnsi"/>
          <w:sz w:val="24"/>
          <w:szCs w:val="24"/>
          <w:lang w:val="ru-RU"/>
        </w:rPr>
        <w:lastRenderedPageBreak/>
        <w:t xml:space="preserve">проектов ряда незавершенных объектов в сумме 1 990,7 </w:t>
      </w:r>
      <w:r w:rsidRPr="00D70175">
        <w:rPr>
          <w:rFonts w:asciiTheme="majorHAnsi" w:hAnsiTheme="majorHAnsi" w:cstheme="majorHAnsi"/>
          <w:iCs/>
          <w:color w:val="000000" w:themeColor="text1"/>
          <w:sz w:val="24"/>
          <w:szCs w:val="24"/>
          <w:shd w:val="clear" w:color="auto" w:fill="FFFFFF" w:themeFill="background1"/>
          <w:lang w:val="ru-RU"/>
        </w:rPr>
        <w:t xml:space="preserve">тыс. леев и отражение 7 объектов, представляющих собой лишь расходы по разработке технических проектов с </w:t>
      </w:r>
      <w:r w:rsidRPr="00D70175">
        <w:rPr>
          <w:rFonts w:asciiTheme="majorHAnsi" w:eastAsia="Times New Roman" w:hAnsiTheme="majorHAnsi" w:cstheme="majorHAnsi"/>
          <w:sz w:val="24"/>
          <w:szCs w:val="24"/>
          <w:lang w:val="ru-RU"/>
        </w:rPr>
        <w:t>1997-2015 годов на общую сумму 2 061,1</w:t>
      </w:r>
      <w:r w:rsidRPr="00D70175">
        <w:rPr>
          <w:rFonts w:asciiTheme="majorHAnsi" w:hAnsiTheme="majorHAnsi" w:cstheme="majorHAnsi"/>
          <w:iCs/>
          <w:color w:val="000000" w:themeColor="text1"/>
          <w:sz w:val="24"/>
          <w:szCs w:val="24"/>
          <w:shd w:val="clear" w:color="auto" w:fill="FFFFFF" w:themeFill="background1"/>
          <w:lang w:val="ru-RU"/>
        </w:rPr>
        <w:t xml:space="preserve"> тыс. леев</w:t>
      </w:r>
      <w:r w:rsidRPr="00D70175">
        <w:rPr>
          <w:rFonts w:asciiTheme="majorHAnsi" w:eastAsia="Times New Roman" w:hAnsiTheme="majorHAnsi" w:cstheme="majorHAnsi"/>
          <w:sz w:val="24"/>
          <w:szCs w:val="24"/>
          <w:lang w:val="ru-RU"/>
        </w:rPr>
        <w:t>,</w:t>
      </w:r>
      <w:r w:rsidRPr="00D70175">
        <w:rPr>
          <w:rFonts w:asciiTheme="majorHAnsi" w:hAnsiTheme="majorHAnsi" w:cstheme="majorHAnsi"/>
          <w:iCs/>
          <w:color w:val="000000" w:themeColor="text1"/>
          <w:sz w:val="24"/>
          <w:szCs w:val="24"/>
          <w:shd w:val="clear" w:color="auto" w:fill="FFFFFF" w:themeFill="background1"/>
          <w:lang w:val="ru-RU"/>
        </w:rPr>
        <w:t xml:space="preserve"> которые фактически не были реализованы, что необоснованно увеличивает остаток </w:t>
      </w:r>
      <w:r w:rsidRPr="00D70175">
        <w:rPr>
          <w:rFonts w:asciiTheme="majorHAnsi" w:hAnsiTheme="majorHAnsi" w:cstheme="majorHAnsi"/>
          <w:sz w:val="24"/>
          <w:szCs w:val="24"/>
          <w:lang w:val="ru-RU"/>
        </w:rPr>
        <w:t>незавершенных инвестиций.</w:t>
      </w:r>
    </w:p>
    <w:p w:rsidR="004C1E3C" w:rsidRPr="00D70175" w:rsidRDefault="004C1E3C" w:rsidP="009E31BB">
      <w:pPr>
        <w:tabs>
          <w:tab w:val="left" w:pos="90"/>
        </w:tabs>
        <w:spacing w:after="120" w:line="276" w:lineRule="auto"/>
        <w:rPr>
          <w:rFonts w:asciiTheme="majorHAnsi" w:hAnsiTheme="majorHAnsi" w:cstheme="majorHAnsi"/>
          <w:sz w:val="24"/>
          <w:szCs w:val="24"/>
          <w:lang w:val="ru-RU"/>
        </w:rPr>
      </w:pPr>
      <w:r w:rsidRPr="00D70175">
        <w:rPr>
          <w:rFonts w:asciiTheme="majorHAnsi" w:hAnsiTheme="majorHAnsi" w:cstheme="majorHAnsi"/>
          <w:sz w:val="24"/>
          <w:szCs w:val="24"/>
          <w:lang w:val="ru-RU"/>
        </w:rPr>
        <w:t>Таможенная служба по разделу ,,Капитальные инвестиции</w:t>
      </w:r>
      <w:r w:rsidRPr="00D70175">
        <w:rPr>
          <w:rFonts w:asciiTheme="majorHAnsi" w:hAnsiTheme="majorHAnsi" w:cstheme="majorHAnsi"/>
          <w:color w:val="000000"/>
          <w:sz w:val="24"/>
          <w:szCs w:val="24"/>
          <w:lang w:val="ru-RU"/>
        </w:rPr>
        <w:t>” не освоила 3 903,5</w:t>
      </w:r>
      <w:r w:rsidRPr="00D70175">
        <w:rPr>
          <w:rFonts w:asciiTheme="majorHAnsi" w:hAnsiTheme="majorHAnsi" w:cstheme="majorHAnsi"/>
          <w:iCs/>
          <w:color w:val="000000" w:themeColor="text1"/>
          <w:sz w:val="24"/>
          <w:szCs w:val="24"/>
          <w:shd w:val="clear" w:color="auto" w:fill="FFFFFF" w:themeFill="background1"/>
          <w:lang w:val="ru-RU"/>
        </w:rPr>
        <w:t xml:space="preserve"> тыс. леев в результате невыполнения ряда договоров </w:t>
      </w:r>
      <w:r w:rsidRPr="00D70175">
        <w:rPr>
          <w:rFonts w:asciiTheme="majorHAnsi" w:hAnsiTheme="majorHAnsi" w:cstheme="majorHAnsi"/>
          <w:color w:val="000000"/>
          <w:sz w:val="24"/>
          <w:szCs w:val="24"/>
          <w:lang w:val="ru-RU"/>
        </w:rPr>
        <w:t>(418,2</w:t>
      </w:r>
      <w:r w:rsidRPr="00D70175">
        <w:rPr>
          <w:rFonts w:asciiTheme="majorHAnsi" w:hAnsiTheme="majorHAnsi" w:cstheme="majorHAnsi"/>
          <w:iCs/>
          <w:color w:val="000000" w:themeColor="text1"/>
          <w:sz w:val="24"/>
          <w:szCs w:val="24"/>
          <w:shd w:val="clear" w:color="auto" w:fill="FFFFFF" w:themeFill="background1"/>
          <w:lang w:val="ru-RU"/>
        </w:rPr>
        <w:t xml:space="preserve"> тыс. леев</w:t>
      </w:r>
      <w:r w:rsidRPr="00D70175">
        <w:rPr>
          <w:rFonts w:asciiTheme="majorHAnsi" w:hAnsiTheme="majorHAnsi" w:cstheme="majorHAnsi"/>
          <w:color w:val="000000"/>
          <w:sz w:val="24"/>
          <w:szCs w:val="24"/>
          <w:lang w:val="ru-RU"/>
        </w:rPr>
        <w:t>), неконтрактации некоторых запланированных работ (1 659,4</w:t>
      </w:r>
      <w:r w:rsidRPr="00D70175">
        <w:rPr>
          <w:rFonts w:asciiTheme="majorHAnsi" w:hAnsiTheme="majorHAnsi" w:cstheme="majorHAnsi"/>
          <w:iCs/>
          <w:color w:val="000000" w:themeColor="text1"/>
          <w:sz w:val="24"/>
          <w:szCs w:val="24"/>
          <w:shd w:val="clear" w:color="auto" w:fill="FFFFFF" w:themeFill="background1"/>
          <w:lang w:val="ru-RU"/>
        </w:rPr>
        <w:t xml:space="preserve"> тыс. леев</w:t>
      </w:r>
      <w:r w:rsidRPr="00D70175">
        <w:rPr>
          <w:rFonts w:asciiTheme="majorHAnsi" w:hAnsiTheme="majorHAnsi" w:cstheme="majorHAnsi"/>
          <w:color w:val="000000"/>
          <w:sz w:val="24"/>
          <w:szCs w:val="24"/>
          <w:lang w:val="ru-RU"/>
        </w:rPr>
        <w:t xml:space="preserve">) и аннулирования ряда закупок (1 825,9 </w:t>
      </w:r>
      <w:r w:rsidRPr="00D70175">
        <w:rPr>
          <w:rFonts w:asciiTheme="majorHAnsi" w:hAnsiTheme="majorHAnsi" w:cstheme="majorHAnsi"/>
          <w:iCs/>
          <w:color w:val="000000" w:themeColor="text1"/>
          <w:sz w:val="24"/>
          <w:szCs w:val="24"/>
          <w:shd w:val="clear" w:color="auto" w:fill="FFFFFF" w:themeFill="background1"/>
          <w:lang w:val="ru-RU"/>
        </w:rPr>
        <w:t>тыс. леев</w:t>
      </w:r>
      <w:r w:rsidRPr="00D70175">
        <w:rPr>
          <w:rFonts w:asciiTheme="majorHAnsi" w:hAnsiTheme="majorHAnsi" w:cstheme="majorHAnsi"/>
          <w:color w:val="000000"/>
          <w:sz w:val="24"/>
          <w:szCs w:val="24"/>
          <w:lang w:val="ru-RU"/>
        </w:rPr>
        <w:t xml:space="preserve">). Вместе с тем, незакупка микроскопа, необходимого для деятельности Таможенной лаборатории, обусловила неосвоение в </w:t>
      </w:r>
      <w:r w:rsidRPr="00D70175">
        <w:rPr>
          <w:rFonts w:asciiTheme="majorHAnsi" w:hAnsiTheme="majorHAnsi" w:cstheme="majorHAnsi"/>
          <w:sz w:val="24"/>
          <w:szCs w:val="24"/>
          <w:lang w:val="ru-RU"/>
        </w:rPr>
        <w:t>2019 году финансовых средств, выделенных в рамках Проекта IMPEFO в сумме 825,7</w:t>
      </w:r>
      <w:r w:rsidRPr="00D70175">
        <w:rPr>
          <w:rFonts w:asciiTheme="majorHAnsi" w:hAnsiTheme="majorHAnsi" w:cstheme="majorHAnsi"/>
          <w:iCs/>
          <w:color w:val="000000" w:themeColor="text1"/>
          <w:sz w:val="24"/>
          <w:szCs w:val="24"/>
          <w:shd w:val="clear" w:color="auto" w:fill="FFFFFF" w:themeFill="background1"/>
          <w:lang w:val="ru-RU"/>
        </w:rPr>
        <w:t xml:space="preserve"> тыс. леев</w:t>
      </w:r>
      <w:r w:rsidRPr="00D70175">
        <w:rPr>
          <w:rFonts w:asciiTheme="majorHAnsi" w:hAnsiTheme="majorHAnsi" w:cstheme="majorHAnsi"/>
          <w:sz w:val="24"/>
          <w:szCs w:val="24"/>
          <w:lang w:val="ru-RU"/>
        </w:rPr>
        <w:t>.</w:t>
      </w:r>
    </w:p>
    <w:p w:rsidR="00F368DE" w:rsidRPr="00D70175" w:rsidRDefault="004C1E3C" w:rsidP="00F368DE">
      <w:pPr>
        <w:tabs>
          <w:tab w:val="left" w:pos="90"/>
        </w:tabs>
        <w:spacing w:line="276" w:lineRule="auto"/>
        <w:rPr>
          <w:rFonts w:asciiTheme="majorHAnsi" w:hAnsiTheme="majorHAnsi" w:cstheme="majorHAnsi"/>
          <w:sz w:val="24"/>
          <w:szCs w:val="24"/>
          <w:lang w:val="ru-RU"/>
        </w:rPr>
      </w:pPr>
      <w:r w:rsidRPr="00D70175">
        <w:rPr>
          <w:rFonts w:asciiTheme="majorHAnsi" w:hAnsiTheme="majorHAnsi" w:cstheme="majorHAnsi"/>
          <w:sz w:val="24"/>
          <w:szCs w:val="24"/>
          <w:lang w:val="ru-RU"/>
        </w:rPr>
        <w:t xml:space="preserve">Некоторые расходы, отраженные в </w:t>
      </w:r>
      <w:r w:rsidRPr="00D70175">
        <w:rPr>
          <w:rFonts w:ascii="Calibri Light" w:hAnsi="Calibri Light" w:cs="Times New Roman"/>
          <w:sz w:val="24"/>
          <w:szCs w:val="24"/>
          <w:lang w:val="ru-RU"/>
        </w:rPr>
        <w:t xml:space="preserve">консолидированном </w:t>
      </w:r>
      <w:r w:rsidRPr="00D70175">
        <w:rPr>
          <w:rFonts w:ascii="Calibri Light" w:eastAsia="Times New Roman" w:hAnsi="Calibri Light" w:cs="Times New Roman"/>
          <w:bCs/>
          <w:sz w:val="24"/>
          <w:szCs w:val="24"/>
          <w:lang w:val="ru-RU" w:eastAsia="ru-RU"/>
        </w:rPr>
        <w:t xml:space="preserve">отчете Министерства финансов, не связаны с административными расходами учреждений, они должны быть профинансированы и исполнены за счет общих расходов государственного бюджета. Так, в </w:t>
      </w:r>
      <w:r w:rsidRPr="00D70175">
        <w:rPr>
          <w:rFonts w:ascii="Calibri Light" w:hAnsi="Calibri Light" w:cs="Times New Roman"/>
          <w:sz w:val="24"/>
          <w:szCs w:val="24"/>
          <w:lang w:val="ru-RU"/>
        </w:rPr>
        <w:t xml:space="preserve">консолидированном </w:t>
      </w:r>
      <w:r w:rsidRPr="00D70175">
        <w:rPr>
          <w:rFonts w:ascii="Calibri Light" w:eastAsia="Times New Roman" w:hAnsi="Calibri Light" w:cs="Times New Roman"/>
          <w:bCs/>
          <w:sz w:val="24"/>
          <w:szCs w:val="24"/>
          <w:lang w:val="ru-RU" w:eastAsia="ru-RU"/>
        </w:rPr>
        <w:t xml:space="preserve">отчете были отражены расходы по рейтинговым услугам по стране в сумме </w:t>
      </w:r>
      <w:r w:rsidRPr="00D70175">
        <w:rPr>
          <w:rFonts w:asciiTheme="majorHAnsi" w:eastAsia="Times New Roman" w:hAnsiTheme="majorHAnsi" w:cstheme="majorHAnsi"/>
          <w:color w:val="000000"/>
          <w:sz w:val="24"/>
          <w:szCs w:val="24"/>
          <w:lang w:val="ru-RU"/>
        </w:rPr>
        <w:t>642,5</w:t>
      </w:r>
      <w:r w:rsidRPr="00D70175">
        <w:rPr>
          <w:rFonts w:asciiTheme="majorHAnsi" w:hAnsiTheme="majorHAnsi" w:cstheme="majorHAnsi"/>
          <w:iCs/>
          <w:color w:val="000000" w:themeColor="text1"/>
          <w:sz w:val="24"/>
          <w:szCs w:val="24"/>
          <w:shd w:val="clear" w:color="auto" w:fill="FFFFFF" w:themeFill="background1"/>
          <w:lang w:val="ru-RU"/>
        </w:rPr>
        <w:t xml:space="preserve"> тыс. леев</w:t>
      </w:r>
      <w:r w:rsidRPr="00D70175">
        <w:rPr>
          <w:rFonts w:asciiTheme="majorHAnsi" w:eastAsia="Times New Roman" w:hAnsiTheme="majorHAnsi" w:cstheme="majorHAnsi"/>
          <w:color w:val="000000"/>
          <w:sz w:val="24"/>
          <w:szCs w:val="24"/>
          <w:lang w:val="ru-RU"/>
        </w:rPr>
        <w:t>.</w:t>
      </w:r>
    </w:p>
    <w:p w:rsidR="004C1E3C" w:rsidRPr="00D70175" w:rsidRDefault="007F0AE5" w:rsidP="004C1E3C">
      <w:pPr>
        <w:tabs>
          <w:tab w:val="left" w:pos="90"/>
        </w:tabs>
        <w:spacing w:after="120" w:line="276" w:lineRule="auto"/>
        <w:rPr>
          <w:rFonts w:asciiTheme="majorHAnsi" w:hAnsiTheme="majorHAnsi" w:cstheme="majorHAnsi"/>
          <w:sz w:val="24"/>
          <w:szCs w:val="24"/>
          <w:lang w:val="ru-RU"/>
        </w:rPr>
      </w:pPr>
      <w:r w:rsidRPr="00D70175">
        <w:rPr>
          <w:rFonts w:asciiTheme="majorHAnsi" w:hAnsiTheme="majorHAnsi" w:cstheme="majorHAnsi"/>
          <w:sz w:val="24"/>
          <w:szCs w:val="24"/>
          <w:lang w:val="ru-RU"/>
        </w:rPr>
        <w:t xml:space="preserve">Необходимо отметить, что обязательства судебных исполнителей перед государством, отраженные </w:t>
      </w:r>
      <w:r w:rsidRPr="00D70175">
        <w:rPr>
          <w:rFonts w:asciiTheme="majorHAnsi" w:eastAsia="Times New Roman" w:hAnsiTheme="majorHAnsi" w:cstheme="majorHAnsi"/>
          <w:sz w:val="24"/>
          <w:szCs w:val="24"/>
          <w:lang w:val="ru-RU"/>
        </w:rPr>
        <w:t xml:space="preserve">Государственной налоговой службой по состоянию на </w:t>
      </w:r>
      <w:r w:rsidRPr="00D70175">
        <w:rPr>
          <w:rFonts w:asciiTheme="majorHAnsi" w:hAnsiTheme="majorHAnsi" w:cstheme="majorHAnsi"/>
          <w:color w:val="000000"/>
          <w:sz w:val="24"/>
          <w:szCs w:val="24"/>
          <w:lang w:val="ru-RU"/>
        </w:rPr>
        <w:t xml:space="preserve">31.12.2019, составили </w:t>
      </w:r>
      <w:r w:rsidRPr="00D70175">
        <w:rPr>
          <w:rFonts w:asciiTheme="majorHAnsi" w:hAnsiTheme="majorHAnsi" w:cstheme="majorHAnsi"/>
          <w:bCs/>
          <w:color w:val="000000"/>
          <w:sz w:val="24"/>
          <w:szCs w:val="24"/>
          <w:lang w:val="ru-RU"/>
        </w:rPr>
        <w:t>2463,9</w:t>
      </w:r>
      <w:r w:rsidRPr="00D70175">
        <w:rPr>
          <w:rFonts w:asciiTheme="majorHAnsi" w:hAnsiTheme="majorHAnsi" w:cstheme="majorHAnsi"/>
          <w:iCs/>
          <w:color w:val="000000" w:themeColor="text1"/>
          <w:sz w:val="24"/>
          <w:szCs w:val="24"/>
          <w:shd w:val="clear" w:color="auto" w:fill="FFFFFF" w:themeFill="background1"/>
          <w:lang w:val="ru-RU"/>
        </w:rPr>
        <w:t xml:space="preserve"> тыс. леев</w:t>
      </w:r>
      <w:r w:rsidRPr="00D70175">
        <w:rPr>
          <w:rFonts w:asciiTheme="majorHAnsi" w:hAnsiTheme="majorHAnsi" w:cstheme="majorHAnsi"/>
          <w:bCs/>
          <w:color w:val="000000"/>
          <w:sz w:val="24"/>
          <w:szCs w:val="24"/>
          <w:lang w:val="ru-RU"/>
        </w:rPr>
        <w:t>, в том числе обязательства предыдущих лет - 1 265,6</w:t>
      </w:r>
      <w:r w:rsidRPr="00D70175">
        <w:rPr>
          <w:rFonts w:asciiTheme="majorHAnsi" w:hAnsiTheme="majorHAnsi" w:cstheme="majorHAnsi"/>
          <w:iCs/>
          <w:color w:val="000000" w:themeColor="text1"/>
          <w:sz w:val="24"/>
          <w:szCs w:val="24"/>
          <w:shd w:val="clear" w:color="auto" w:fill="FFFFFF" w:themeFill="background1"/>
          <w:lang w:val="ru-RU"/>
        </w:rPr>
        <w:t xml:space="preserve"> тыс. леев</w:t>
      </w:r>
      <w:r w:rsidRPr="00D70175">
        <w:rPr>
          <w:rFonts w:asciiTheme="majorHAnsi" w:hAnsiTheme="majorHAnsi" w:cstheme="majorHAnsi"/>
          <w:bCs/>
          <w:color w:val="000000"/>
          <w:sz w:val="24"/>
          <w:szCs w:val="24"/>
          <w:lang w:val="ru-RU"/>
        </w:rPr>
        <w:t>, с высоким риском невозмещения.</w:t>
      </w:r>
    </w:p>
    <w:p w:rsidR="007F0AE5" w:rsidRPr="00D70175" w:rsidRDefault="007F0AE5" w:rsidP="007F0AE5">
      <w:pPr>
        <w:tabs>
          <w:tab w:val="left" w:pos="90"/>
        </w:tabs>
        <w:spacing w:after="120" w:line="276" w:lineRule="auto"/>
        <w:rPr>
          <w:rFonts w:asciiTheme="majorHAnsi" w:eastAsia="Times New Roman" w:hAnsiTheme="majorHAnsi" w:cs="Times New Roman"/>
          <w:sz w:val="24"/>
          <w:szCs w:val="24"/>
          <w:lang w:val="ru-RU"/>
        </w:rPr>
      </w:pPr>
      <w:r w:rsidRPr="00D70175">
        <w:rPr>
          <w:rFonts w:asciiTheme="majorHAnsi" w:eastAsia="Times New Roman" w:hAnsiTheme="majorHAnsi" w:cs="Times New Roman"/>
          <w:sz w:val="24"/>
          <w:szCs w:val="24"/>
          <w:lang w:val="ru-RU"/>
        </w:rPr>
        <w:t xml:space="preserve">Предыдущие рекомендации Счетной палаты были реализованы на высоком уровне (свыше 80%), таким образом, были отражены в </w:t>
      </w:r>
      <w:r w:rsidRPr="00D70175">
        <w:rPr>
          <w:rFonts w:asciiTheme="majorHAnsi" w:hAnsiTheme="majorHAnsi" w:cstheme="majorHAnsi"/>
          <w:sz w:val="24"/>
          <w:szCs w:val="24"/>
          <w:lang w:val="ru-RU"/>
        </w:rPr>
        <w:t xml:space="preserve">бухгалтерском учете в рамках центрального аппарата </w:t>
      </w:r>
      <w:r w:rsidRPr="00D70175">
        <w:rPr>
          <w:rFonts w:ascii="Calibri Light" w:eastAsia="Times New Roman" w:hAnsi="Calibri Light" w:cs="Times New Roman"/>
          <w:bCs/>
          <w:sz w:val="24"/>
          <w:szCs w:val="24"/>
          <w:lang w:val="ru-RU" w:eastAsia="ru-RU"/>
        </w:rPr>
        <w:t xml:space="preserve">Министерства финансов и в подведомственных учреждениях находящиеся в управлении объекты недвижимости и земельные участки, за исключением некоторых объектов недвижимости и земельных участков, которые были отражены в </w:t>
      </w:r>
      <w:r w:rsidRPr="00D70175">
        <w:rPr>
          <w:rFonts w:asciiTheme="majorHAnsi" w:hAnsiTheme="majorHAnsi" w:cstheme="majorHAnsi"/>
          <w:sz w:val="24"/>
          <w:szCs w:val="24"/>
          <w:lang w:val="ru-RU"/>
        </w:rPr>
        <w:t>бухгалтерском учете в период проведения аудита.</w:t>
      </w:r>
    </w:p>
    <w:p w:rsidR="00F368DE" w:rsidRPr="00D70175" w:rsidRDefault="00F368DE" w:rsidP="00D67181">
      <w:pPr>
        <w:tabs>
          <w:tab w:val="left" w:pos="90"/>
          <w:tab w:val="left" w:pos="270"/>
        </w:tabs>
        <w:spacing w:after="120" w:line="276" w:lineRule="auto"/>
        <w:rPr>
          <w:rFonts w:asciiTheme="majorHAnsi" w:hAnsiTheme="majorHAnsi" w:cstheme="majorHAnsi"/>
          <w:b/>
          <w:szCs w:val="28"/>
          <w:lang w:val="ru-RU"/>
        </w:rPr>
      </w:pPr>
      <w:r w:rsidRPr="00D70175">
        <w:rPr>
          <w:rFonts w:asciiTheme="majorHAnsi" w:hAnsiTheme="majorHAnsi" w:cstheme="majorHAnsi"/>
          <w:b/>
          <w:szCs w:val="28"/>
          <w:lang w:val="ru-RU"/>
        </w:rPr>
        <w:t xml:space="preserve">VI. </w:t>
      </w:r>
      <w:r w:rsidR="00B36DD4" w:rsidRPr="00D70175">
        <w:rPr>
          <w:rFonts w:ascii="Calibri Light" w:eastAsia="Times New Roman" w:hAnsi="Calibri Light" w:cstheme="majorHAnsi"/>
          <w:b/>
          <w:szCs w:val="28"/>
          <w:lang w:val="ru-RU"/>
        </w:rPr>
        <w:t>ОТВЕТСТВЕННОСТЬ РУКОВОДСТВА ЗА ФИНАНСОВЫЕ ОТЧЕТЫ</w:t>
      </w:r>
      <w:r w:rsidR="00B36DD4" w:rsidRPr="00D70175">
        <w:rPr>
          <w:rFonts w:ascii="Calibri Light" w:eastAsia="Times New Roman" w:hAnsi="Calibri Light" w:cstheme="majorHAnsi"/>
          <w:sz w:val="24"/>
          <w:szCs w:val="24"/>
          <w:lang w:val="ru-RU"/>
        </w:rPr>
        <w:t xml:space="preserve">  </w:t>
      </w:r>
    </w:p>
    <w:p w:rsidR="00B36DD4" w:rsidRPr="00D70175" w:rsidRDefault="00B36DD4" w:rsidP="00B36DD4">
      <w:pPr>
        <w:spacing w:line="276" w:lineRule="auto"/>
        <w:rPr>
          <w:rFonts w:ascii="Calibri Light" w:eastAsia="Times New Roman" w:hAnsi="Calibri Light" w:cstheme="majorHAnsi"/>
          <w:bCs/>
          <w:sz w:val="24"/>
          <w:szCs w:val="24"/>
          <w:lang w:val="ru-RU"/>
        </w:rPr>
      </w:pPr>
      <w:r w:rsidRPr="00D70175">
        <w:rPr>
          <w:rFonts w:asciiTheme="majorHAnsi" w:hAnsiTheme="majorHAnsi" w:cstheme="majorHAnsi"/>
          <w:bCs/>
          <w:color w:val="000000"/>
          <w:sz w:val="24"/>
          <w:szCs w:val="24"/>
          <w:lang w:val="ru-RU"/>
        </w:rPr>
        <w:t>Министерство финансов,</w:t>
      </w:r>
      <w:r w:rsidRPr="00D70175">
        <w:rPr>
          <w:rFonts w:ascii="Calibri Light" w:eastAsia="Times New Roman" w:hAnsi="Calibri Light" w:cs="Times New Roman"/>
          <w:bCs/>
          <w:sz w:val="24"/>
          <w:szCs w:val="24"/>
          <w:lang w:val="ru-RU" w:eastAsia="ru-RU"/>
        </w:rPr>
        <w:t xml:space="preserve"> в качестве руководителя специализированного центрального органа публичного управления, несет ответственность за </w:t>
      </w:r>
      <w:r w:rsidRPr="00D70175">
        <w:rPr>
          <w:rFonts w:ascii="Calibri Light" w:hAnsi="Calibri Light" w:cstheme="majorHAnsi"/>
          <w:color w:val="000000"/>
          <w:sz w:val="24"/>
          <w:szCs w:val="24"/>
          <w:lang w:val="ru-RU"/>
        </w:rPr>
        <w:t xml:space="preserve">составление и подписание </w:t>
      </w:r>
      <w:r w:rsidRPr="00D70175">
        <w:rPr>
          <w:rFonts w:ascii="Calibri Light" w:hAnsi="Calibri Light" w:cs="Times New Roman"/>
          <w:sz w:val="24"/>
          <w:szCs w:val="24"/>
          <w:lang w:val="ru-RU"/>
        </w:rPr>
        <w:t xml:space="preserve">консолидированных </w:t>
      </w:r>
      <w:r w:rsidRPr="00D70175">
        <w:rPr>
          <w:rFonts w:ascii="Calibri Light" w:eastAsia="Times New Roman" w:hAnsi="Calibri Light" w:cs="Times New Roman"/>
          <w:bCs/>
          <w:sz w:val="24"/>
          <w:szCs w:val="24"/>
          <w:lang w:val="ru-RU" w:eastAsia="ru-RU"/>
        </w:rPr>
        <w:t>финансовых отчетов</w:t>
      </w:r>
      <w:r w:rsidRPr="00D70175">
        <w:rPr>
          <w:rFonts w:asciiTheme="majorHAnsi" w:hAnsiTheme="majorHAnsi" w:cstheme="majorHAnsi"/>
          <w:color w:val="000000"/>
          <w:sz w:val="24"/>
          <w:szCs w:val="24"/>
          <w:vertAlign w:val="superscript"/>
          <w:lang w:val="ru-RU"/>
        </w:rPr>
        <w:footnoteReference w:id="17"/>
      </w:r>
      <w:r w:rsidRPr="00D70175">
        <w:rPr>
          <w:rFonts w:asciiTheme="majorHAnsi" w:hAnsiTheme="majorHAnsi" w:cstheme="majorHAnsi"/>
          <w:color w:val="000000"/>
          <w:sz w:val="24"/>
          <w:szCs w:val="24"/>
          <w:lang w:val="ru-RU"/>
        </w:rPr>
        <w:t xml:space="preserve"> в </w:t>
      </w:r>
      <w:r w:rsidRPr="00D70175">
        <w:rPr>
          <w:rFonts w:ascii="Calibri Light" w:eastAsia="Times New Roman" w:hAnsi="Calibri Light" w:cs="Times New Roman"/>
          <w:bCs/>
          <w:sz w:val="24"/>
          <w:szCs w:val="24"/>
          <w:lang w:val="ru-RU" w:eastAsia="ru-RU"/>
        </w:rPr>
        <w:t>соответствии с применяемой</w:t>
      </w:r>
      <w:r w:rsidRPr="00D70175">
        <w:rPr>
          <w:rFonts w:ascii="Calibri Light" w:hAnsi="Calibri Light" w:cs="Times New Roman"/>
          <w:sz w:val="24"/>
          <w:szCs w:val="24"/>
          <w:lang w:val="ru-RU"/>
        </w:rPr>
        <w:t xml:space="preserve"> </w:t>
      </w:r>
      <w:r w:rsidRPr="00D70175">
        <w:rPr>
          <w:rFonts w:ascii="Calibri Light" w:eastAsia="Times New Roman" w:hAnsi="Calibri Light" w:cs="Times New Roman"/>
          <w:bCs/>
          <w:sz w:val="24"/>
          <w:szCs w:val="24"/>
          <w:lang w:val="ru-RU" w:eastAsia="ru-RU"/>
        </w:rPr>
        <w:t xml:space="preserve">базой по составлению финансовой отчетности, а также за организацию системы </w:t>
      </w:r>
      <w:r w:rsidRPr="00D70175">
        <w:rPr>
          <w:rFonts w:ascii="Calibri Light" w:hAnsi="Calibri Light" w:cstheme="majorHAnsi"/>
          <w:sz w:val="24"/>
          <w:szCs w:val="24"/>
          <w:lang w:val="ru-RU"/>
        </w:rPr>
        <w:t>внутреннего контроля</w:t>
      </w:r>
      <w:r w:rsidRPr="00D70175">
        <w:rPr>
          <w:rFonts w:ascii="Calibri Light" w:hAnsi="Calibri Light" w:cstheme="majorHAnsi"/>
          <w:sz w:val="24"/>
          <w:szCs w:val="24"/>
          <w:vertAlign w:val="superscript"/>
          <w:lang w:val="ru-RU"/>
        </w:rPr>
        <w:footnoteReference w:id="18"/>
      </w:r>
      <w:r w:rsidRPr="00D70175">
        <w:rPr>
          <w:rFonts w:ascii="Calibri Light" w:hAnsi="Calibri Light" w:cstheme="majorHAnsi"/>
          <w:sz w:val="24"/>
          <w:szCs w:val="24"/>
          <w:lang w:val="ru-RU"/>
        </w:rPr>
        <w:t>, для обеспечения организованного и эффективного осуществления экономической деятельности субъекта, в том числе строгое соблюде</w:t>
      </w:r>
      <w:r w:rsidRPr="00D70175">
        <w:rPr>
          <w:rFonts w:ascii="Calibri Light" w:hAnsi="Calibri Light" w:cstheme="majorHAnsi"/>
          <w:sz w:val="24"/>
          <w:szCs w:val="24"/>
          <w:lang w:val="ru-RU"/>
        </w:rPr>
        <w:lastRenderedPageBreak/>
        <w:t>ние целостности активов, предотвращение и обнаружение причин мошенничества и ошибок, точность и полноту бухгалтерских регистраций, а также своевременную подготовку достоверной финансовой информации.</w:t>
      </w:r>
    </w:p>
    <w:p w:rsidR="00F368DE" w:rsidRPr="00D70175" w:rsidRDefault="00F368DE" w:rsidP="00D67181">
      <w:pPr>
        <w:tabs>
          <w:tab w:val="left" w:pos="90"/>
        </w:tabs>
        <w:autoSpaceDE w:val="0"/>
        <w:autoSpaceDN w:val="0"/>
        <w:adjustRightInd w:val="0"/>
        <w:spacing w:after="120" w:line="276" w:lineRule="auto"/>
        <w:rPr>
          <w:rFonts w:asciiTheme="majorHAnsi" w:hAnsiTheme="majorHAnsi" w:cstheme="majorHAnsi"/>
          <w:b/>
          <w:color w:val="000000" w:themeColor="text1"/>
          <w:szCs w:val="28"/>
          <w:lang w:val="ru-RU"/>
        </w:rPr>
      </w:pPr>
      <w:r w:rsidRPr="00D70175">
        <w:rPr>
          <w:rFonts w:asciiTheme="majorHAnsi" w:hAnsiTheme="majorHAnsi" w:cstheme="majorHAnsi"/>
          <w:b/>
          <w:color w:val="000000" w:themeColor="text1"/>
          <w:szCs w:val="28"/>
          <w:lang w:val="ru-RU"/>
        </w:rPr>
        <w:t>VII.</w:t>
      </w:r>
      <w:r w:rsidR="00FC0D40" w:rsidRPr="00D70175">
        <w:rPr>
          <w:lang w:val="ru-RU"/>
        </w:rPr>
        <w:t xml:space="preserve"> </w:t>
      </w:r>
      <w:r w:rsidR="00FC0D40" w:rsidRPr="00D70175">
        <w:rPr>
          <w:rFonts w:asciiTheme="majorHAnsi" w:hAnsiTheme="majorHAnsi" w:cstheme="majorHAnsi"/>
          <w:b/>
          <w:color w:val="000000" w:themeColor="text1"/>
          <w:szCs w:val="28"/>
          <w:lang w:val="ru-RU"/>
        </w:rPr>
        <w:t xml:space="preserve">ОТВЕТСТВЕННОСТЬ АУДИТОРА В АУДИТЕ ФИНАНСОВЫХ ОТЧЕТОВ  </w:t>
      </w:r>
    </w:p>
    <w:p w:rsidR="00FC0D40" w:rsidRPr="00D70175" w:rsidRDefault="00FC0D40" w:rsidP="00FC0D40">
      <w:pPr>
        <w:autoSpaceDE w:val="0"/>
        <w:autoSpaceDN w:val="0"/>
        <w:adjustRightInd w:val="0"/>
        <w:spacing w:after="0" w:line="276" w:lineRule="auto"/>
        <w:ind w:right="-24"/>
        <w:rPr>
          <w:rFonts w:ascii="Calibri Light" w:hAnsi="Calibri Light" w:cstheme="majorHAnsi"/>
          <w:sz w:val="24"/>
          <w:szCs w:val="24"/>
          <w:lang w:val="ru-RU"/>
        </w:rPr>
      </w:pPr>
      <w:r w:rsidRPr="00D70175">
        <w:rPr>
          <w:rFonts w:ascii="Calibri Light" w:hAnsi="Calibri Light" w:cstheme="majorHAnsi"/>
          <w:sz w:val="24"/>
          <w:szCs w:val="24"/>
          <w:lang w:val="ru-RU"/>
        </w:rPr>
        <w:t xml:space="preserve">Наша ответственность заключается в планировании и проведении аудиторской миссии, с получением достаточных и адекватных доказательств для подтверждения основания для аудиторского заключения. Нашими целями являются: получение разумного подтверждения, что на консолидированные </w:t>
      </w:r>
      <w:r w:rsidRPr="00D70175">
        <w:rPr>
          <w:rFonts w:ascii="Calibri Light" w:hAnsi="Calibri Light" w:cstheme="majorHAnsi"/>
          <w:color w:val="000000"/>
          <w:sz w:val="24"/>
          <w:szCs w:val="24"/>
          <w:lang w:val="ru-RU"/>
        </w:rPr>
        <w:t>финансовые отчеты</w:t>
      </w:r>
      <w:r w:rsidRPr="00D70175">
        <w:rPr>
          <w:rFonts w:ascii="Calibri Light" w:hAnsi="Calibri Light" w:cstheme="majorHAnsi"/>
          <w:sz w:val="24"/>
          <w:szCs w:val="24"/>
          <w:lang w:val="ru-RU"/>
        </w:rPr>
        <w:t xml:space="preserve"> не повлияли существенные искажения, связанные с </w:t>
      </w:r>
      <w:r w:rsidRPr="00D70175">
        <w:rPr>
          <w:rFonts w:ascii="Calibri Light" w:hAnsi="Calibri Light" w:cstheme="majorHAnsi"/>
          <w:color w:val="000000"/>
          <w:sz w:val="24"/>
          <w:szCs w:val="24"/>
          <w:lang w:val="ru-RU"/>
        </w:rPr>
        <w:t xml:space="preserve">мошенничеством или ошибками, а также составление заключения. </w:t>
      </w:r>
    </w:p>
    <w:p w:rsidR="00FC0D40" w:rsidRPr="00D70175" w:rsidRDefault="00FC0D40" w:rsidP="00FC0D40">
      <w:pPr>
        <w:autoSpaceDE w:val="0"/>
        <w:autoSpaceDN w:val="0"/>
        <w:adjustRightInd w:val="0"/>
        <w:spacing w:after="0" w:line="276" w:lineRule="auto"/>
        <w:ind w:right="-23"/>
        <w:rPr>
          <w:rFonts w:ascii="Calibri Light" w:hAnsi="Calibri Light" w:cstheme="majorHAnsi"/>
          <w:sz w:val="24"/>
          <w:szCs w:val="24"/>
          <w:lang w:val="ru-RU"/>
        </w:rPr>
      </w:pPr>
      <w:r w:rsidRPr="00D70175">
        <w:rPr>
          <w:rFonts w:ascii="Calibri Light" w:hAnsi="Calibri Light" w:cstheme="majorHAnsi"/>
          <w:sz w:val="24"/>
          <w:szCs w:val="24"/>
          <w:lang w:val="ru-RU"/>
        </w:rPr>
        <w:t xml:space="preserve">Разумным подтверждением является высокий уровень подтверждения, но он не является гарантией того, что аудит, проведенный в соответствии с </w:t>
      </w:r>
      <w:r w:rsidRPr="00D70175">
        <w:rPr>
          <w:rFonts w:ascii="Calibri Light" w:hAnsi="Calibri Light" w:cstheme="minorHAnsi"/>
          <w:sz w:val="24"/>
          <w:szCs w:val="24"/>
          <w:lang w:val="ru-RU"/>
        </w:rPr>
        <w:t xml:space="preserve">Международными стандартами, </w:t>
      </w:r>
      <w:r w:rsidRPr="00D70175">
        <w:rPr>
          <w:rFonts w:ascii="Calibri Light" w:hAnsi="Calibri Light" w:cstheme="majorHAnsi"/>
          <w:sz w:val="24"/>
          <w:szCs w:val="24"/>
          <w:lang w:val="ru-RU"/>
        </w:rPr>
        <w:t xml:space="preserve">везде обнаружит существенное искажение тогда, когда оно существует. Искажения могут быть следствием </w:t>
      </w:r>
      <w:r w:rsidRPr="00D70175">
        <w:rPr>
          <w:rFonts w:ascii="Calibri Light" w:hAnsi="Calibri Light" w:cstheme="majorHAnsi"/>
          <w:color w:val="000000"/>
          <w:sz w:val="24"/>
          <w:szCs w:val="24"/>
          <w:lang w:val="ru-RU"/>
        </w:rPr>
        <w:t xml:space="preserve">мошенничества или ошибок. Вместе с тем, </w:t>
      </w:r>
      <w:r w:rsidRPr="00D70175">
        <w:rPr>
          <w:rFonts w:ascii="Calibri Light" w:hAnsi="Calibri Light" w:cstheme="majorHAnsi"/>
          <w:sz w:val="24"/>
          <w:szCs w:val="24"/>
          <w:lang w:val="ru-RU"/>
        </w:rPr>
        <w:t xml:space="preserve">искажения могут считаться существенными, если индивидуально или в целом могут повлиять на экономические решения пользователей этой </w:t>
      </w:r>
      <w:r w:rsidRPr="00D70175">
        <w:rPr>
          <w:rFonts w:ascii="Calibri Light" w:hAnsi="Calibri Light" w:cstheme="majorHAnsi"/>
          <w:color w:val="000000"/>
          <w:sz w:val="24"/>
          <w:szCs w:val="24"/>
          <w:lang w:val="ru-RU"/>
        </w:rPr>
        <w:t>финансовой отчетности.</w:t>
      </w:r>
      <w:r w:rsidRPr="00D70175">
        <w:rPr>
          <w:rFonts w:ascii="Calibri Light" w:hAnsi="Calibri Light" w:cstheme="majorHAnsi"/>
          <w:sz w:val="24"/>
          <w:szCs w:val="24"/>
          <w:lang w:val="ru-RU"/>
        </w:rPr>
        <w:t xml:space="preserve"> </w:t>
      </w:r>
    </w:p>
    <w:p w:rsidR="00FC0D40" w:rsidRPr="00D70175" w:rsidRDefault="00FC0D40" w:rsidP="00FC0D40">
      <w:pPr>
        <w:pStyle w:val="Default"/>
        <w:spacing w:line="276" w:lineRule="auto"/>
        <w:ind w:right="-24"/>
        <w:jc w:val="both"/>
        <w:rPr>
          <w:rFonts w:ascii="Calibri Light" w:hAnsi="Calibri Light" w:cstheme="majorHAnsi"/>
          <w:color w:val="auto"/>
          <w:lang w:val="ru-RU"/>
        </w:rPr>
      </w:pPr>
      <w:r w:rsidRPr="00D70175">
        <w:rPr>
          <w:rFonts w:ascii="Calibri Light" w:hAnsi="Calibri Light" w:cstheme="majorHAnsi"/>
          <w:color w:val="auto"/>
          <w:lang w:val="ru-RU"/>
        </w:rPr>
        <w:t xml:space="preserve">Дополнительное описание </w:t>
      </w:r>
      <w:r w:rsidRPr="00D70175">
        <w:rPr>
          <w:rFonts w:ascii="Calibri Light" w:hAnsi="Calibri Light" w:cstheme="majorHAnsi"/>
          <w:lang w:val="ru-RU"/>
        </w:rPr>
        <w:t>ответственности аудитора в аудите финансовых отчетов размещено на сайте Счетной палаты по адресу:</w:t>
      </w:r>
      <w:r w:rsidRPr="00D70175">
        <w:rPr>
          <w:rFonts w:ascii="Calibri Light" w:hAnsi="Calibri Light"/>
          <w:lang w:val="ru-RU"/>
        </w:rPr>
        <w:t xml:space="preserve"> </w:t>
      </w:r>
      <w:hyperlink r:id="rId9" w:history="1">
        <w:r w:rsidRPr="00D70175">
          <w:rPr>
            <w:rStyle w:val="Hyperlink"/>
            <w:rFonts w:ascii="Calibri Light" w:hAnsi="Calibri Light" w:cstheme="majorHAnsi"/>
            <w:i/>
            <w:lang w:val="ru-RU"/>
          </w:rPr>
          <w:t>http://www.ccrm.md/activitatea-curtii-de-conturi-1-25</w:t>
        </w:r>
      </w:hyperlink>
      <w:r w:rsidRPr="00D70175">
        <w:rPr>
          <w:rFonts w:ascii="Calibri Light" w:hAnsi="Calibri Light" w:cstheme="majorHAnsi"/>
          <w:i/>
          <w:color w:val="auto"/>
          <w:lang w:val="ru-RU"/>
        </w:rPr>
        <w:t>.</w:t>
      </w:r>
      <w:r w:rsidRPr="00D70175">
        <w:rPr>
          <w:rFonts w:ascii="Calibri Light" w:hAnsi="Calibri Light" w:cstheme="majorHAnsi"/>
          <w:color w:val="auto"/>
          <w:lang w:val="ru-RU"/>
        </w:rPr>
        <w:t xml:space="preserve"> Это описание является частью нашего Отчета аудита.</w:t>
      </w:r>
    </w:p>
    <w:p w:rsidR="00F368DE" w:rsidRPr="00D70175" w:rsidRDefault="00F368DE" w:rsidP="00F368DE">
      <w:pPr>
        <w:tabs>
          <w:tab w:val="left" w:pos="90"/>
        </w:tabs>
        <w:autoSpaceDE w:val="0"/>
        <w:autoSpaceDN w:val="0"/>
        <w:adjustRightInd w:val="0"/>
        <w:spacing w:after="0" w:line="276" w:lineRule="auto"/>
        <w:rPr>
          <w:rFonts w:asciiTheme="majorHAnsi" w:hAnsiTheme="majorHAnsi" w:cstheme="minorHAnsi"/>
          <w:sz w:val="24"/>
          <w:szCs w:val="24"/>
          <w:lang w:val="ru-RU"/>
        </w:rPr>
      </w:pPr>
    </w:p>
    <w:p w:rsidR="00FC0D40" w:rsidRPr="00D70175" w:rsidRDefault="00FC0D40" w:rsidP="00FC0D40">
      <w:pPr>
        <w:spacing w:after="0" w:line="276" w:lineRule="auto"/>
        <w:rPr>
          <w:rFonts w:ascii="Calibri Light" w:eastAsia="Times New Roman" w:hAnsi="Calibri Light" w:cs="Times New Roman"/>
          <w:b/>
          <w:i/>
          <w:sz w:val="24"/>
          <w:szCs w:val="24"/>
          <w:lang w:val="ru-RU"/>
        </w:rPr>
      </w:pPr>
      <w:r w:rsidRPr="00D70175">
        <w:rPr>
          <w:rFonts w:ascii="Calibri Light" w:eastAsia="Times New Roman" w:hAnsi="Calibri Light" w:cs="Times New Roman"/>
          <w:b/>
          <w:i/>
          <w:sz w:val="24"/>
          <w:szCs w:val="24"/>
          <w:lang w:val="ru-RU"/>
        </w:rPr>
        <w:t>Ответственный за составление Отчета аудита:</w:t>
      </w:r>
    </w:p>
    <w:p w:rsidR="00FC0D40" w:rsidRPr="00D70175" w:rsidRDefault="00FC0D40" w:rsidP="00FC0D40">
      <w:pPr>
        <w:spacing w:after="0" w:line="276" w:lineRule="auto"/>
        <w:rPr>
          <w:rFonts w:ascii="Calibri Light" w:eastAsia="Times New Roman" w:hAnsi="Calibri Light" w:cs="Times New Roman"/>
          <w:sz w:val="24"/>
          <w:szCs w:val="24"/>
          <w:lang w:val="ru-RU"/>
        </w:rPr>
      </w:pPr>
      <w:r w:rsidRPr="00D70175">
        <w:rPr>
          <w:rFonts w:ascii="Calibri Light" w:eastAsia="Times New Roman" w:hAnsi="Calibri Light" w:cs="Times New Roman"/>
          <w:sz w:val="24"/>
          <w:szCs w:val="24"/>
          <w:lang w:val="ru-RU"/>
        </w:rPr>
        <w:t>руководитель аудиторской группы,</w:t>
      </w:r>
    </w:p>
    <w:p w:rsidR="00D67181" w:rsidRPr="00D70175" w:rsidRDefault="00FC0D40" w:rsidP="00F368DE">
      <w:pPr>
        <w:tabs>
          <w:tab w:val="left" w:pos="90"/>
        </w:tabs>
        <w:autoSpaceDE w:val="0"/>
        <w:autoSpaceDN w:val="0"/>
        <w:adjustRightInd w:val="0"/>
        <w:spacing w:after="0" w:line="276" w:lineRule="auto"/>
        <w:rPr>
          <w:rFonts w:asciiTheme="majorHAnsi" w:hAnsiTheme="majorHAnsi" w:cstheme="minorHAnsi"/>
          <w:sz w:val="24"/>
          <w:szCs w:val="24"/>
          <w:lang w:val="ru-RU"/>
        </w:rPr>
      </w:pPr>
      <w:r w:rsidRPr="00D70175">
        <w:rPr>
          <w:rFonts w:asciiTheme="majorHAnsi" w:hAnsiTheme="majorHAnsi" w:cstheme="minorHAnsi"/>
          <w:sz w:val="24"/>
          <w:szCs w:val="24"/>
          <w:lang w:val="ru-RU"/>
        </w:rPr>
        <w:t xml:space="preserve">главный публичный аудитор                                            </w:t>
      </w:r>
      <w:r w:rsidR="00B36DD4" w:rsidRPr="00D70175">
        <w:rPr>
          <w:rFonts w:asciiTheme="majorHAnsi" w:hAnsiTheme="majorHAnsi" w:cstheme="minorHAnsi"/>
          <w:sz w:val="24"/>
          <w:szCs w:val="24"/>
          <w:lang w:val="ru-RU"/>
        </w:rPr>
        <w:t xml:space="preserve">                          </w:t>
      </w:r>
      <w:r w:rsidRPr="00D70175">
        <w:rPr>
          <w:rFonts w:asciiTheme="majorHAnsi" w:hAnsiTheme="majorHAnsi" w:cstheme="minorHAnsi"/>
          <w:sz w:val="24"/>
          <w:szCs w:val="24"/>
          <w:lang w:val="ru-RU"/>
        </w:rPr>
        <w:t xml:space="preserve">        </w:t>
      </w:r>
      <w:r w:rsidRPr="00D70175">
        <w:rPr>
          <w:rFonts w:asciiTheme="majorHAnsi" w:hAnsiTheme="majorHAnsi" w:cstheme="minorHAnsi"/>
          <w:b/>
          <w:sz w:val="24"/>
          <w:szCs w:val="24"/>
          <w:lang w:val="ru-RU"/>
        </w:rPr>
        <w:t>Тудор Сухан</w:t>
      </w:r>
    </w:p>
    <w:p w:rsidR="00F368DE" w:rsidRPr="00D70175" w:rsidRDefault="00F368DE" w:rsidP="00F368DE">
      <w:pPr>
        <w:tabs>
          <w:tab w:val="left" w:pos="90"/>
        </w:tabs>
        <w:autoSpaceDE w:val="0"/>
        <w:autoSpaceDN w:val="0"/>
        <w:adjustRightInd w:val="0"/>
        <w:spacing w:after="0" w:line="276" w:lineRule="auto"/>
        <w:rPr>
          <w:rFonts w:asciiTheme="majorHAnsi" w:hAnsiTheme="majorHAnsi" w:cstheme="minorHAnsi"/>
          <w:b/>
          <w:sz w:val="16"/>
          <w:szCs w:val="16"/>
          <w:lang w:val="ru-RU"/>
        </w:rPr>
      </w:pPr>
    </w:p>
    <w:p w:rsidR="00F368DE" w:rsidRPr="00D70175" w:rsidRDefault="00FC0D40" w:rsidP="00F368DE">
      <w:pPr>
        <w:tabs>
          <w:tab w:val="left" w:pos="90"/>
        </w:tabs>
        <w:autoSpaceDE w:val="0"/>
        <w:autoSpaceDN w:val="0"/>
        <w:adjustRightInd w:val="0"/>
        <w:spacing w:after="0" w:line="276" w:lineRule="auto"/>
        <w:rPr>
          <w:rFonts w:asciiTheme="majorHAnsi" w:hAnsiTheme="majorHAnsi" w:cstheme="minorHAnsi"/>
          <w:b/>
          <w:i/>
          <w:sz w:val="24"/>
          <w:szCs w:val="24"/>
          <w:lang w:val="ru-RU"/>
        </w:rPr>
      </w:pPr>
      <w:r w:rsidRPr="00D70175">
        <w:rPr>
          <w:rFonts w:asciiTheme="majorHAnsi" w:hAnsiTheme="majorHAnsi" w:cstheme="minorHAnsi"/>
          <w:b/>
          <w:i/>
          <w:sz w:val="24"/>
          <w:szCs w:val="24"/>
          <w:lang w:val="ru-RU"/>
        </w:rPr>
        <w:t>Члены аудиторской группы</w:t>
      </w:r>
      <w:r w:rsidR="00F368DE" w:rsidRPr="00D70175">
        <w:rPr>
          <w:rFonts w:asciiTheme="majorHAnsi" w:hAnsiTheme="majorHAnsi" w:cstheme="minorHAnsi"/>
          <w:b/>
          <w:i/>
          <w:sz w:val="24"/>
          <w:szCs w:val="24"/>
          <w:lang w:val="ru-RU"/>
        </w:rPr>
        <w:t>:</w:t>
      </w:r>
    </w:p>
    <w:p w:rsidR="00FC0D40" w:rsidRPr="00D70175" w:rsidRDefault="00FC0D40" w:rsidP="00F368DE">
      <w:pPr>
        <w:tabs>
          <w:tab w:val="left" w:pos="90"/>
        </w:tabs>
        <w:autoSpaceDE w:val="0"/>
        <w:autoSpaceDN w:val="0"/>
        <w:adjustRightInd w:val="0"/>
        <w:spacing w:after="0" w:line="276" w:lineRule="auto"/>
        <w:rPr>
          <w:rFonts w:asciiTheme="majorHAnsi" w:hAnsiTheme="majorHAnsi" w:cstheme="minorHAnsi"/>
          <w:sz w:val="24"/>
          <w:szCs w:val="24"/>
          <w:lang w:val="ru-RU"/>
        </w:rPr>
      </w:pPr>
      <w:r w:rsidRPr="00D70175">
        <w:rPr>
          <w:rFonts w:asciiTheme="majorHAnsi" w:hAnsiTheme="majorHAnsi" w:cstheme="minorHAnsi"/>
          <w:sz w:val="24"/>
          <w:szCs w:val="24"/>
          <w:lang w:val="ru-RU"/>
        </w:rPr>
        <w:t xml:space="preserve">старший публичный аудитор                                                     </w:t>
      </w:r>
      <w:r w:rsidR="00B36DD4" w:rsidRPr="00D70175">
        <w:rPr>
          <w:rFonts w:asciiTheme="majorHAnsi" w:hAnsiTheme="majorHAnsi" w:cstheme="minorHAnsi"/>
          <w:sz w:val="24"/>
          <w:szCs w:val="24"/>
          <w:lang w:val="ru-RU"/>
        </w:rPr>
        <w:t xml:space="preserve">                         </w:t>
      </w:r>
      <w:r w:rsidRPr="00D70175">
        <w:rPr>
          <w:rFonts w:asciiTheme="majorHAnsi" w:hAnsiTheme="majorHAnsi" w:cstheme="minorHAnsi"/>
          <w:b/>
          <w:sz w:val="24"/>
          <w:szCs w:val="24"/>
          <w:lang w:val="ru-RU"/>
        </w:rPr>
        <w:t>Наталья Кабак</w:t>
      </w:r>
    </w:p>
    <w:p w:rsidR="00F368DE" w:rsidRPr="00D70175" w:rsidRDefault="00F368DE" w:rsidP="00F368DE">
      <w:pPr>
        <w:tabs>
          <w:tab w:val="left" w:pos="90"/>
        </w:tabs>
        <w:autoSpaceDE w:val="0"/>
        <w:autoSpaceDN w:val="0"/>
        <w:adjustRightInd w:val="0"/>
        <w:spacing w:after="0" w:line="276" w:lineRule="auto"/>
        <w:rPr>
          <w:rFonts w:asciiTheme="majorHAnsi" w:hAnsiTheme="majorHAnsi" w:cstheme="minorHAnsi"/>
          <w:b/>
          <w:sz w:val="16"/>
          <w:szCs w:val="16"/>
          <w:lang w:val="ru-RU"/>
        </w:rPr>
      </w:pPr>
    </w:p>
    <w:p w:rsidR="00B36DD4" w:rsidRPr="00D70175" w:rsidRDefault="00B36DD4" w:rsidP="00F368DE">
      <w:pPr>
        <w:tabs>
          <w:tab w:val="left" w:pos="90"/>
        </w:tabs>
        <w:autoSpaceDE w:val="0"/>
        <w:autoSpaceDN w:val="0"/>
        <w:adjustRightInd w:val="0"/>
        <w:spacing w:after="0" w:line="276" w:lineRule="auto"/>
        <w:rPr>
          <w:rFonts w:ascii="Calibri Light" w:eastAsia="Times New Roman" w:hAnsi="Calibri Light" w:cs="Times New Roman"/>
          <w:b/>
          <w:i/>
          <w:sz w:val="24"/>
          <w:szCs w:val="24"/>
          <w:lang w:val="ru-RU"/>
        </w:rPr>
      </w:pPr>
      <w:r w:rsidRPr="00D70175">
        <w:rPr>
          <w:rFonts w:ascii="Calibri Light" w:eastAsia="Times New Roman" w:hAnsi="Calibri Light" w:cs="Times New Roman"/>
          <w:b/>
          <w:i/>
          <w:sz w:val="24"/>
          <w:szCs w:val="24"/>
          <w:lang w:val="ru-RU"/>
        </w:rPr>
        <w:t>Ответственный за аудит:</w:t>
      </w:r>
    </w:p>
    <w:p w:rsidR="00B36DD4" w:rsidRPr="00D70175" w:rsidRDefault="00B36DD4" w:rsidP="00F368DE">
      <w:pPr>
        <w:tabs>
          <w:tab w:val="left" w:pos="90"/>
        </w:tabs>
        <w:autoSpaceDE w:val="0"/>
        <w:autoSpaceDN w:val="0"/>
        <w:adjustRightInd w:val="0"/>
        <w:spacing w:after="0" w:line="276" w:lineRule="auto"/>
        <w:rPr>
          <w:rFonts w:asciiTheme="majorHAnsi" w:hAnsiTheme="majorHAnsi" w:cstheme="minorHAnsi"/>
          <w:sz w:val="24"/>
          <w:szCs w:val="24"/>
          <w:lang w:val="ru-RU"/>
        </w:rPr>
      </w:pPr>
      <w:r w:rsidRPr="00D70175">
        <w:rPr>
          <w:rFonts w:ascii="Calibri Light" w:eastAsia="Times New Roman" w:hAnsi="Calibri Light" w:cs="Times New Roman"/>
          <w:sz w:val="24"/>
          <w:szCs w:val="24"/>
          <w:lang w:val="ru-RU"/>
        </w:rPr>
        <w:t>начальник Главного управления аудита</w:t>
      </w:r>
      <w:r w:rsidRPr="00D70175">
        <w:rPr>
          <w:rFonts w:asciiTheme="majorHAnsi" w:hAnsiTheme="majorHAnsi" w:cstheme="minorHAnsi"/>
          <w:sz w:val="24"/>
          <w:szCs w:val="24"/>
          <w:lang w:val="ru-RU"/>
        </w:rPr>
        <w:t xml:space="preserve"> I,</w:t>
      </w:r>
    </w:p>
    <w:p w:rsidR="00B36DD4" w:rsidRPr="00D70175" w:rsidRDefault="00B36DD4" w:rsidP="00F368DE">
      <w:pPr>
        <w:tabs>
          <w:tab w:val="left" w:pos="90"/>
        </w:tabs>
        <w:autoSpaceDE w:val="0"/>
        <w:autoSpaceDN w:val="0"/>
        <w:adjustRightInd w:val="0"/>
        <w:spacing w:after="0" w:line="276" w:lineRule="auto"/>
        <w:rPr>
          <w:rFonts w:asciiTheme="majorHAnsi" w:hAnsiTheme="majorHAnsi" w:cstheme="minorHAnsi"/>
          <w:b/>
          <w:sz w:val="24"/>
          <w:szCs w:val="24"/>
          <w:lang w:val="ru-RU"/>
        </w:rPr>
      </w:pPr>
      <w:r w:rsidRPr="00D70175">
        <w:rPr>
          <w:rFonts w:asciiTheme="majorHAnsi" w:hAnsiTheme="majorHAnsi" w:cstheme="minorHAnsi"/>
          <w:sz w:val="24"/>
          <w:szCs w:val="24"/>
          <w:lang w:val="ru-RU"/>
        </w:rPr>
        <w:t xml:space="preserve">публичный аудитор                                                                                                   </w:t>
      </w:r>
      <w:r w:rsidRPr="00D70175">
        <w:rPr>
          <w:rFonts w:asciiTheme="majorHAnsi" w:hAnsiTheme="majorHAnsi" w:cstheme="minorHAnsi"/>
          <w:b/>
          <w:sz w:val="24"/>
          <w:szCs w:val="24"/>
          <w:lang w:val="ru-RU"/>
        </w:rPr>
        <w:t>Наталья Трофим</w:t>
      </w:r>
    </w:p>
    <w:sectPr w:rsidR="00B36DD4" w:rsidRPr="00D70175" w:rsidSect="00705B41">
      <w:headerReference w:type="default" r:id="rId10"/>
      <w:footerReference w:type="default" r:id="rId11"/>
      <w:pgSz w:w="11906" w:h="16838" w:code="9"/>
      <w:pgMar w:top="630" w:right="850" w:bottom="1134" w:left="1701" w:header="708" w:footer="708" w:gutter="0"/>
      <w:pgNumType w:start="1" w:chapStyle="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A1" w:rsidRDefault="005B77A1" w:rsidP="00F368DE">
      <w:pPr>
        <w:spacing w:after="0" w:line="240" w:lineRule="auto"/>
      </w:pPr>
      <w:r>
        <w:separator/>
      </w:r>
    </w:p>
  </w:endnote>
  <w:endnote w:type="continuationSeparator" w:id="0">
    <w:p w:rsidR="005B77A1" w:rsidRDefault="005B77A1" w:rsidP="00F3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218349"/>
      <w:docPartObj>
        <w:docPartGallery w:val="Page Numbers (Bottom of Page)"/>
        <w:docPartUnique/>
      </w:docPartObj>
    </w:sdtPr>
    <w:sdtEndPr>
      <w:rPr>
        <w:noProof/>
      </w:rPr>
    </w:sdtEndPr>
    <w:sdtContent>
      <w:p w:rsidR="0010561E" w:rsidRDefault="0010561E">
        <w:pPr>
          <w:pStyle w:val="Footer"/>
          <w:jc w:val="right"/>
        </w:pPr>
        <w:r>
          <w:fldChar w:fldCharType="begin"/>
        </w:r>
        <w:r>
          <w:instrText xml:space="preserve"> PAGE   \* MERGEFORMAT </w:instrText>
        </w:r>
        <w:r>
          <w:fldChar w:fldCharType="separate"/>
        </w:r>
        <w:r w:rsidR="0010063D">
          <w:rPr>
            <w:noProof/>
          </w:rPr>
          <w:t>4</w:t>
        </w:r>
        <w:r>
          <w:rPr>
            <w:noProof/>
          </w:rPr>
          <w:fldChar w:fldCharType="end"/>
        </w:r>
      </w:p>
    </w:sdtContent>
  </w:sdt>
  <w:p w:rsidR="0010561E" w:rsidRDefault="00105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A1" w:rsidRDefault="005B77A1" w:rsidP="00F368DE">
      <w:pPr>
        <w:spacing w:after="0" w:line="240" w:lineRule="auto"/>
      </w:pPr>
      <w:r>
        <w:separator/>
      </w:r>
    </w:p>
  </w:footnote>
  <w:footnote w:type="continuationSeparator" w:id="0">
    <w:p w:rsidR="005B77A1" w:rsidRDefault="005B77A1" w:rsidP="00F368DE">
      <w:pPr>
        <w:spacing w:after="0" w:line="240" w:lineRule="auto"/>
      </w:pPr>
      <w:r>
        <w:continuationSeparator/>
      </w:r>
    </w:p>
  </w:footnote>
  <w:footnote w:id="1">
    <w:p w:rsidR="0010561E" w:rsidRPr="009950DF" w:rsidRDefault="0010561E" w:rsidP="009950DF">
      <w:pPr>
        <w:tabs>
          <w:tab w:val="left" w:pos="180"/>
        </w:tabs>
        <w:spacing w:after="0" w:line="240" w:lineRule="auto"/>
        <w:ind w:right="50"/>
        <w:rPr>
          <w:rFonts w:ascii="Calibri Light" w:hAnsi="Calibri Light" w:cstheme="majorHAnsi"/>
          <w:sz w:val="18"/>
          <w:szCs w:val="18"/>
          <w:lang w:val="ru-RU"/>
        </w:rPr>
      </w:pPr>
      <w:r w:rsidRPr="009950DF">
        <w:rPr>
          <w:rStyle w:val="FootnoteReference"/>
          <w:rFonts w:ascii="Calibri Light" w:hAnsi="Calibri Light" w:cstheme="majorHAnsi"/>
          <w:sz w:val="18"/>
          <w:szCs w:val="18"/>
          <w:lang w:val="ro-RO"/>
        </w:rPr>
        <w:footnoteRef/>
      </w:r>
      <w:r w:rsidRPr="009950DF">
        <w:rPr>
          <w:rFonts w:ascii="Calibri Light" w:hAnsi="Calibri Light" w:cstheme="majorHAnsi"/>
          <w:sz w:val="18"/>
          <w:szCs w:val="18"/>
          <w:lang w:val="ro-RO"/>
        </w:rPr>
        <w:t xml:space="preserve"> </w:t>
      </w:r>
      <w:r w:rsidRPr="009950DF">
        <w:rPr>
          <w:rFonts w:ascii="Calibri Light" w:hAnsi="Calibri Light" w:cstheme="majorHAnsi"/>
          <w:sz w:val="18"/>
          <w:szCs w:val="18"/>
          <w:lang w:val="ru-RU"/>
        </w:rPr>
        <w:t>Закон о бухгалтерском учете №113</w:t>
      </w:r>
      <w:r w:rsidRPr="009950DF">
        <w:rPr>
          <w:rFonts w:ascii="Calibri Light" w:eastAsia="Times New Roman" w:hAnsi="Calibri Light" w:cstheme="majorHAnsi"/>
          <w:sz w:val="18"/>
          <w:szCs w:val="18"/>
          <w:lang w:val="ro-RO"/>
        </w:rPr>
        <w:t xml:space="preserve">-XVI </w:t>
      </w:r>
      <w:r w:rsidRPr="009950DF">
        <w:rPr>
          <w:rFonts w:ascii="Calibri Light" w:hAnsi="Calibri Light" w:cstheme="majorHAnsi"/>
          <w:sz w:val="18"/>
          <w:szCs w:val="18"/>
          <w:lang w:val="ru-RU"/>
        </w:rPr>
        <w:t xml:space="preserve">от </w:t>
      </w:r>
      <w:r w:rsidRPr="009950DF">
        <w:rPr>
          <w:rFonts w:ascii="Calibri Light" w:eastAsia="Times New Roman" w:hAnsi="Calibri Light" w:cstheme="majorHAnsi"/>
          <w:sz w:val="18"/>
          <w:szCs w:val="18"/>
          <w:lang w:val="ro-RO"/>
        </w:rPr>
        <w:t>27.04.2007;</w:t>
      </w:r>
      <w:r w:rsidRPr="009950DF">
        <w:rPr>
          <w:rFonts w:ascii="Calibri Light" w:hAnsi="Calibri Light" w:cstheme="majorHAnsi"/>
          <w:sz w:val="18"/>
          <w:szCs w:val="18"/>
          <w:lang w:val="ro-RO"/>
        </w:rPr>
        <w:t xml:space="preserve"> </w:t>
      </w:r>
      <w:r w:rsidRPr="009950DF">
        <w:rPr>
          <w:rFonts w:ascii="Calibri Light" w:hAnsi="Calibri Light" w:cstheme="majorHAnsi"/>
          <w:sz w:val="18"/>
          <w:szCs w:val="18"/>
          <w:lang w:val="ru-RU"/>
        </w:rPr>
        <w:t xml:space="preserve">Приказ министра финансов №216 от </w:t>
      </w:r>
      <w:r w:rsidRPr="009950DF">
        <w:rPr>
          <w:rFonts w:ascii="Calibri Light" w:eastAsia="Times New Roman" w:hAnsi="Calibri Light" w:cstheme="majorHAnsi"/>
          <w:sz w:val="18"/>
          <w:szCs w:val="18"/>
          <w:lang w:val="ro-RO"/>
        </w:rPr>
        <w:t>28.12.2015</w:t>
      </w:r>
      <w:r>
        <w:rPr>
          <w:rFonts w:ascii="Calibri Light" w:eastAsia="Times New Roman" w:hAnsi="Calibri Light" w:cstheme="majorHAnsi"/>
          <w:sz w:val="18"/>
          <w:szCs w:val="18"/>
          <w:lang w:val="ru-RU"/>
        </w:rPr>
        <w:t xml:space="preserve"> ,,Об утверждении </w:t>
      </w:r>
      <w:r w:rsidRPr="009950DF">
        <w:rPr>
          <w:rFonts w:ascii="Calibri Light" w:hAnsi="Calibri Light" w:cstheme="majorHAnsi"/>
          <w:sz w:val="18"/>
          <w:szCs w:val="18"/>
          <w:lang w:val="ru-RU"/>
        </w:rPr>
        <w:t>План</w:t>
      </w:r>
      <w:r>
        <w:rPr>
          <w:rFonts w:ascii="Calibri Light" w:hAnsi="Calibri Light" w:cstheme="majorHAnsi"/>
          <w:sz w:val="18"/>
          <w:szCs w:val="18"/>
          <w:lang w:val="ru-RU"/>
        </w:rPr>
        <w:t>а</w:t>
      </w:r>
      <w:r w:rsidRPr="009950DF">
        <w:rPr>
          <w:rFonts w:ascii="Calibri Light" w:hAnsi="Calibri Light" w:cstheme="majorHAnsi"/>
          <w:sz w:val="18"/>
          <w:szCs w:val="18"/>
          <w:lang w:val="ru-RU"/>
        </w:rPr>
        <w:t xml:space="preserve"> счетов бюджетного учета и Методологически</w:t>
      </w:r>
      <w:r>
        <w:rPr>
          <w:rFonts w:ascii="Calibri Light" w:hAnsi="Calibri Light" w:cstheme="majorHAnsi"/>
          <w:sz w:val="18"/>
          <w:szCs w:val="18"/>
          <w:lang w:val="ru-RU"/>
        </w:rPr>
        <w:t>х</w:t>
      </w:r>
      <w:r w:rsidRPr="009950DF">
        <w:rPr>
          <w:rFonts w:ascii="Calibri Light" w:hAnsi="Calibri Light" w:cstheme="majorHAnsi"/>
          <w:sz w:val="18"/>
          <w:szCs w:val="18"/>
          <w:lang w:val="ru-RU"/>
        </w:rPr>
        <w:t xml:space="preserve"> норм организации бухгалтерского учета и финансовой отчетности бюджетных учреждений</w:t>
      </w:r>
      <w:r w:rsidRPr="009950DF">
        <w:rPr>
          <w:rFonts w:ascii="Calibri Light" w:eastAsia="Times New Roman" w:hAnsi="Calibri Light" w:cstheme="majorHAnsi"/>
          <w:sz w:val="18"/>
          <w:szCs w:val="18"/>
          <w:lang w:val="ro-RO"/>
        </w:rPr>
        <w:t>”</w:t>
      </w:r>
      <w:r>
        <w:rPr>
          <w:rFonts w:ascii="Calibri Light" w:eastAsia="Times New Roman" w:hAnsi="Calibri Light" w:cstheme="majorHAnsi"/>
          <w:sz w:val="18"/>
          <w:szCs w:val="18"/>
          <w:lang w:val="ru-RU"/>
        </w:rPr>
        <w:t xml:space="preserve"> (далее - </w:t>
      </w:r>
      <w:r w:rsidRPr="009950DF">
        <w:rPr>
          <w:rFonts w:ascii="Calibri Light" w:hAnsi="Calibri Light" w:cstheme="majorHAnsi"/>
          <w:sz w:val="18"/>
          <w:szCs w:val="18"/>
          <w:lang w:val="ru-RU"/>
        </w:rPr>
        <w:t xml:space="preserve"> Методологически</w:t>
      </w:r>
      <w:r>
        <w:rPr>
          <w:rFonts w:ascii="Calibri Light" w:hAnsi="Calibri Light" w:cstheme="majorHAnsi"/>
          <w:sz w:val="18"/>
          <w:szCs w:val="18"/>
          <w:lang w:val="ru-RU"/>
        </w:rPr>
        <w:t>е</w:t>
      </w:r>
      <w:r w:rsidRPr="009950DF">
        <w:rPr>
          <w:rFonts w:ascii="Calibri Light" w:hAnsi="Calibri Light" w:cstheme="majorHAnsi"/>
          <w:sz w:val="18"/>
          <w:szCs w:val="18"/>
          <w:lang w:val="ru-RU"/>
        </w:rPr>
        <w:t xml:space="preserve"> норм</w:t>
      </w:r>
      <w:r>
        <w:rPr>
          <w:rFonts w:ascii="Calibri Light" w:hAnsi="Calibri Light" w:cstheme="majorHAnsi"/>
          <w:sz w:val="18"/>
          <w:szCs w:val="18"/>
          <w:lang w:val="ru-RU"/>
        </w:rPr>
        <w:t>ы</w:t>
      </w:r>
      <w:r w:rsidRPr="009950DF">
        <w:rPr>
          <w:rFonts w:ascii="Calibri Light" w:hAnsi="Calibri Light" w:cstheme="majorHAnsi"/>
          <w:sz w:val="18"/>
          <w:szCs w:val="18"/>
          <w:lang w:val="ru-RU"/>
        </w:rPr>
        <w:t xml:space="preserve"> организации бухгалтерского учета и финансовой отчетности бюджетных учреждений</w:t>
      </w:r>
      <w:r>
        <w:rPr>
          <w:rFonts w:ascii="Calibri Light" w:hAnsi="Calibri Light" w:cstheme="majorHAnsi"/>
          <w:sz w:val="18"/>
          <w:szCs w:val="18"/>
          <w:lang w:val="ru-RU"/>
        </w:rPr>
        <w:t xml:space="preserve">, утвержденные </w:t>
      </w:r>
      <w:r w:rsidRPr="009950DF">
        <w:rPr>
          <w:rFonts w:ascii="Calibri Light" w:hAnsi="Calibri Light" w:cstheme="majorHAnsi"/>
          <w:sz w:val="18"/>
          <w:szCs w:val="18"/>
          <w:lang w:val="ru-RU"/>
        </w:rPr>
        <w:t>Приказ</w:t>
      </w:r>
      <w:r>
        <w:rPr>
          <w:rFonts w:ascii="Calibri Light" w:hAnsi="Calibri Light" w:cstheme="majorHAnsi"/>
          <w:sz w:val="18"/>
          <w:szCs w:val="18"/>
          <w:lang w:val="ru-RU"/>
        </w:rPr>
        <w:t>ом</w:t>
      </w:r>
      <w:r w:rsidRPr="009950DF">
        <w:rPr>
          <w:rFonts w:ascii="Calibri Light" w:hAnsi="Calibri Light" w:cstheme="majorHAnsi"/>
          <w:sz w:val="18"/>
          <w:szCs w:val="18"/>
          <w:lang w:val="ru-RU"/>
        </w:rPr>
        <w:t xml:space="preserve"> министра финансов №216 от </w:t>
      </w:r>
      <w:r w:rsidRPr="009950DF">
        <w:rPr>
          <w:rFonts w:ascii="Calibri Light" w:eastAsia="Times New Roman" w:hAnsi="Calibri Light" w:cstheme="majorHAnsi"/>
          <w:sz w:val="18"/>
          <w:szCs w:val="18"/>
          <w:lang w:val="ro-RO"/>
        </w:rPr>
        <w:t>28.12.2015</w:t>
      </w:r>
      <w:r>
        <w:rPr>
          <w:rFonts w:ascii="Calibri Light" w:eastAsia="Times New Roman" w:hAnsi="Calibri Light" w:cstheme="majorHAnsi"/>
          <w:sz w:val="18"/>
          <w:szCs w:val="18"/>
          <w:lang w:val="ru-RU"/>
        </w:rPr>
        <w:t>)</w:t>
      </w:r>
      <w:r w:rsidRPr="009950DF">
        <w:rPr>
          <w:rFonts w:ascii="Calibri Light" w:eastAsia="Times New Roman" w:hAnsi="Calibri Light" w:cstheme="majorHAnsi"/>
          <w:sz w:val="18"/>
          <w:szCs w:val="18"/>
          <w:lang w:val="ro-RO"/>
        </w:rPr>
        <w:t>;</w:t>
      </w:r>
      <w:r w:rsidRPr="009950DF">
        <w:rPr>
          <w:rFonts w:ascii="Calibri Light" w:hAnsi="Calibri Light" w:cstheme="majorHAnsi"/>
          <w:sz w:val="18"/>
          <w:szCs w:val="18"/>
          <w:lang w:val="ru-RU"/>
        </w:rPr>
        <w:t xml:space="preserve"> Приказ министра финансов №</w:t>
      </w:r>
      <w:r w:rsidRPr="009950DF">
        <w:rPr>
          <w:rFonts w:ascii="Calibri Light" w:eastAsia="Times New Roman" w:hAnsi="Calibri Light" w:cstheme="majorHAnsi"/>
          <w:sz w:val="18"/>
          <w:szCs w:val="18"/>
          <w:lang w:val="ro-RO"/>
        </w:rPr>
        <w:t xml:space="preserve">164 </w:t>
      </w:r>
      <w:r w:rsidRPr="009950DF">
        <w:rPr>
          <w:rFonts w:ascii="Calibri Light" w:eastAsia="Times New Roman" w:hAnsi="Calibri Light" w:cstheme="majorHAnsi"/>
          <w:sz w:val="18"/>
          <w:szCs w:val="18"/>
          <w:lang w:val="ru-RU"/>
        </w:rPr>
        <w:t>от</w:t>
      </w:r>
      <w:r w:rsidRPr="009950DF">
        <w:rPr>
          <w:rFonts w:ascii="Calibri Light" w:eastAsia="Times New Roman" w:hAnsi="Calibri Light" w:cstheme="majorHAnsi"/>
          <w:sz w:val="18"/>
          <w:szCs w:val="18"/>
          <w:lang w:val="ro-RO"/>
        </w:rPr>
        <w:t xml:space="preserve"> 30.12.2016</w:t>
      </w:r>
      <w:r w:rsidRPr="009950DF">
        <w:rPr>
          <w:rFonts w:ascii="Calibri Light" w:eastAsia="Times New Roman" w:hAnsi="Calibri Light" w:cstheme="majorHAnsi"/>
          <w:sz w:val="18"/>
          <w:szCs w:val="18"/>
          <w:lang w:val="ru-RU"/>
        </w:rPr>
        <w:t xml:space="preserve"> ,,Об утверждении Требований по составлению Пояснительной записки об исполнении бюджетов публичными органами/учреждениями</w:t>
      </w:r>
      <w:r w:rsidRPr="009950DF">
        <w:rPr>
          <w:rFonts w:ascii="Calibri Light" w:eastAsia="Times New Roman" w:hAnsi="Calibri Light" w:cstheme="majorHAnsi"/>
          <w:sz w:val="18"/>
          <w:szCs w:val="18"/>
          <w:lang w:val="ro-RO"/>
        </w:rPr>
        <w:t>”</w:t>
      </w:r>
      <w:r w:rsidRPr="009950DF">
        <w:rPr>
          <w:rFonts w:ascii="Calibri Light" w:eastAsia="Times New Roman" w:hAnsi="Calibri Light" w:cstheme="majorHAnsi"/>
          <w:i/>
          <w:sz w:val="18"/>
          <w:szCs w:val="18"/>
          <w:lang w:val="ro-RO"/>
        </w:rPr>
        <w:t>.</w:t>
      </w:r>
    </w:p>
  </w:footnote>
  <w:footnote w:id="2">
    <w:p w:rsidR="0010561E" w:rsidRPr="00206901" w:rsidRDefault="0010561E" w:rsidP="00EA1E93">
      <w:pPr>
        <w:spacing w:after="0" w:line="240" w:lineRule="auto"/>
        <w:ind w:right="50"/>
        <w:rPr>
          <w:rFonts w:ascii="Calibri Light" w:hAnsi="Calibri Light" w:cs="Calibri Light"/>
          <w:sz w:val="18"/>
          <w:szCs w:val="18"/>
          <w:lang w:val="ru-RU"/>
        </w:rPr>
      </w:pPr>
      <w:r w:rsidRPr="00206901">
        <w:rPr>
          <w:rStyle w:val="FootnoteReference"/>
          <w:rFonts w:ascii="Calibri Light" w:hAnsi="Calibri Light" w:cs="Times New Roman"/>
          <w:sz w:val="18"/>
          <w:szCs w:val="18"/>
          <w:lang w:val="ro-RO"/>
        </w:rPr>
        <w:footnoteRef/>
      </w:r>
      <w:r w:rsidRPr="00206901">
        <w:rPr>
          <w:rFonts w:ascii="Calibri Light" w:hAnsi="Calibri Light" w:cs="Times New Roman"/>
          <w:sz w:val="18"/>
          <w:szCs w:val="18"/>
          <w:lang w:val="ro-RO"/>
        </w:rPr>
        <w:t xml:space="preserve"> </w:t>
      </w:r>
      <w:r w:rsidRPr="00206901">
        <w:rPr>
          <w:rFonts w:ascii="Calibri Light" w:hAnsi="Calibri Light" w:cs="Calibri Light"/>
          <w:sz w:val="18"/>
          <w:szCs w:val="18"/>
          <w:lang w:val="ru-RU"/>
        </w:rPr>
        <w:t>Постановление</w:t>
      </w:r>
      <w:r w:rsidRPr="00206901">
        <w:rPr>
          <w:rFonts w:ascii="Calibri Light" w:hAnsi="Calibri Light" w:cs="Calibri Light"/>
          <w:sz w:val="18"/>
          <w:szCs w:val="18"/>
          <w:lang w:val="ru-RU" w:eastAsia="ru-RU"/>
        </w:rPr>
        <w:t xml:space="preserve"> </w:t>
      </w:r>
      <w:r w:rsidRPr="00206901">
        <w:rPr>
          <w:rFonts w:ascii="Calibri Light" w:eastAsia="Times New Roman" w:hAnsi="Calibri Light" w:cs="Calibri Light"/>
          <w:sz w:val="18"/>
          <w:szCs w:val="18"/>
          <w:lang w:val="ru-RU"/>
        </w:rPr>
        <w:t>Счетной палаты №</w:t>
      </w:r>
      <w:r w:rsidRPr="00206901">
        <w:rPr>
          <w:rFonts w:ascii="Calibri Light" w:hAnsi="Calibri Light" w:cs="Calibri Light"/>
          <w:sz w:val="18"/>
          <w:szCs w:val="18"/>
          <w:lang w:val="ru-RU"/>
        </w:rPr>
        <w:t xml:space="preserve">2 от 24.01.2020 „О Рамках профессиональных деклараций </w:t>
      </w:r>
      <w:r w:rsidRPr="00206901">
        <w:rPr>
          <w:rFonts w:ascii="Calibri Light" w:hAnsi="Calibri Light" w:cs="Calibri Light"/>
          <w:sz w:val="18"/>
          <w:szCs w:val="18"/>
        </w:rPr>
        <w:t>INTOSAI</w:t>
      </w:r>
      <w:r w:rsidRPr="00206901">
        <w:rPr>
          <w:rFonts w:ascii="Calibri Light" w:hAnsi="Calibri Light" w:cs="Calibri Light"/>
          <w:sz w:val="18"/>
          <w:szCs w:val="18"/>
          <w:lang w:val="ru-RU"/>
        </w:rPr>
        <w:t>”</w:t>
      </w:r>
      <w:r w:rsidRPr="00206901">
        <w:rPr>
          <w:rFonts w:ascii="Calibri Light" w:eastAsia="Times New Roman" w:hAnsi="Calibri Light" w:cstheme="majorHAnsi"/>
          <w:sz w:val="18"/>
          <w:szCs w:val="18"/>
          <w:lang w:val="ro-RO"/>
        </w:rPr>
        <w:t>.</w:t>
      </w:r>
    </w:p>
  </w:footnote>
  <w:footnote w:id="3">
    <w:p w:rsidR="0010561E" w:rsidRPr="009271AB" w:rsidRDefault="0010561E" w:rsidP="00566B68">
      <w:pPr>
        <w:pStyle w:val="FootnoteText"/>
        <w:rPr>
          <w:rFonts w:asciiTheme="majorHAnsi" w:hAnsiTheme="majorHAnsi" w:cstheme="majorHAnsi"/>
          <w:sz w:val="18"/>
          <w:szCs w:val="18"/>
          <w:lang w:val="ru-RU"/>
        </w:rPr>
      </w:pPr>
      <w:r w:rsidRPr="009950DF">
        <w:rPr>
          <w:rStyle w:val="FootnoteReference"/>
          <w:rFonts w:asciiTheme="majorHAnsi" w:hAnsiTheme="majorHAnsi" w:cstheme="majorHAnsi"/>
          <w:sz w:val="18"/>
          <w:szCs w:val="18"/>
        </w:rPr>
        <w:footnoteRef/>
      </w:r>
      <w:r w:rsidRPr="009271AB">
        <w:rPr>
          <w:rFonts w:asciiTheme="majorHAnsi" w:eastAsia="Times New Roman" w:hAnsiTheme="majorHAnsi" w:cstheme="majorHAnsi"/>
          <w:sz w:val="18"/>
          <w:szCs w:val="18"/>
          <w:lang w:val="ru-RU"/>
        </w:rPr>
        <w:t xml:space="preserve"> </w:t>
      </w:r>
      <w:r>
        <w:rPr>
          <w:rFonts w:asciiTheme="majorHAnsi" w:eastAsia="Times New Roman" w:hAnsiTheme="majorHAnsi" w:cstheme="majorHAnsi"/>
          <w:sz w:val="18"/>
          <w:szCs w:val="18"/>
          <w:lang w:val="ru-RU"/>
        </w:rPr>
        <w:t>П</w:t>
      </w:r>
      <w:r w:rsidRPr="009271AB">
        <w:rPr>
          <w:rFonts w:asciiTheme="majorHAnsi" w:hAnsiTheme="majorHAnsi" w:cstheme="majorHAnsi"/>
          <w:sz w:val="18"/>
          <w:szCs w:val="18"/>
          <w:lang w:val="ru-RU"/>
        </w:rPr>
        <w:t xml:space="preserve">.3.3 </w:t>
      </w:r>
      <w:r>
        <w:rPr>
          <w:rFonts w:asciiTheme="majorHAnsi" w:hAnsiTheme="majorHAnsi" w:cstheme="majorHAnsi"/>
          <w:sz w:val="18"/>
          <w:szCs w:val="18"/>
          <w:lang w:val="ru-RU"/>
        </w:rPr>
        <w:t>и</w:t>
      </w:r>
      <w:r w:rsidRPr="009950DF">
        <w:rPr>
          <w:rFonts w:asciiTheme="majorHAnsi" w:hAnsiTheme="majorHAnsi" w:cstheme="majorHAnsi"/>
          <w:sz w:val="18"/>
          <w:szCs w:val="18"/>
          <w:lang w:val="ro-RO"/>
        </w:rPr>
        <w:t xml:space="preserve"> </w:t>
      </w:r>
      <w:r>
        <w:rPr>
          <w:rFonts w:asciiTheme="majorHAnsi" w:hAnsiTheme="majorHAnsi" w:cstheme="majorHAnsi"/>
          <w:sz w:val="18"/>
          <w:szCs w:val="18"/>
          <w:lang w:val="ru-RU"/>
        </w:rPr>
        <w:t>п</w:t>
      </w:r>
      <w:r>
        <w:rPr>
          <w:rFonts w:asciiTheme="majorHAnsi" w:hAnsiTheme="majorHAnsi" w:cstheme="majorHAnsi"/>
          <w:sz w:val="18"/>
          <w:szCs w:val="18"/>
          <w:lang w:val="ro-RO"/>
        </w:rPr>
        <w:t>.</w:t>
      </w:r>
      <w:r w:rsidRPr="009950DF">
        <w:rPr>
          <w:rFonts w:asciiTheme="majorHAnsi" w:hAnsiTheme="majorHAnsi" w:cstheme="majorHAnsi"/>
          <w:sz w:val="18"/>
          <w:szCs w:val="18"/>
          <w:lang w:val="ro-RO"/>
        </w:rPr>
        <w:t xml:space="preserve">5.3.3 </w:t>
      </w:r>
      <w:r>
        <w:rPr>
          <w:rFonts w:asciiTheme="majorHAnsi" w:hAnsiTheme="majorHAnsi" w:cstheme="majorHAnsi"/>
          <w:sz w:val="18"/>
          <w:szCs w:val="18"/>
          <w:lang w:val="ru-RU"/>
        </w:rPr>
        <w:t xml:space="preserve">из </w:t>
      </w:r>
      <w:r w:rsidRPr="009950DF">
        <w:rPr>
          <w:rFonts w:ascii="Calibri Light" w:hAnsi="Calibri Light" w:cstheme="majorHAnsi"/>
          <w:sz w:val="18"/>
          <w:szCs w:val="18"/>
          <w:lang w:val="ru-RU"/>
        </w:rPr>
        <w:t>Методологически</w:t>
      </w:r>
      <w:r>
        <w:rPr>
          <w:rFonts w:ascii="Calibri Light" w:hAnsi="Calibri Light" w:cstheme="majorHAnsi"/>
          <w:sz w:val="18"/>
          <w:szCs w:val="18"/>
          <w:lang w:val="ru-RU"/>
        </w:rPr>
        <w:t>х</w:t>
      </w:r>
      <w:r w:rsidRPr="009950DF">
        <w:rPr>
          <w:rFonts w:ascii="Calibri Light" w:hAnsi="Calibri Light" w:cstheme="majorHAnsi"/>
          <w:sz w:val="18"/>
          <w:szCs w:val="18"/>
          <w:lang w:val="ru-RU"/>
        </w:rPr>
        <w:t xml:space="preserve"> норм организации бухгалтерского учета и финансовой отчетности бюджетных учреждений</w:t>
      </w:r>
      <w:r>
        <w:rPr>
          <w:rFonts w:ascii="Calibri Light" w:hAnsi="Calibri Light" w:cstheme="majorHAnsi"/>
          <w:sz w:val="18"/>
          <w:szCs w:val="18"/>
          <w:lang w:val="ru-RU"/>
        </w:rPr>
        <w:t xml:space="preserve">, утвержденных </w:t>
      </w:r>
      <w:r w:rsidRPr="009950DF">
        <w:rPr>
          <w:rFonts w:ascii="Calibri Light" w:hAnsi="Calibri Light" w:cstheme="majorHAnsi"/>
          <w:sz w:val="18"/>
          <w:szCs w:val="18"/>
          <w:lang w:val="ru-RU"/>
        </w:rPr>
        <w:t>Приказ</w:t>
      </w:r>
      <w:r>
        <w:rPr>
          <w:rFonts w:ascii="Calibri Light" w:hAnsi="Calibri Light" w:cstheme="majorHAnsi"/>
          <w:sz w:val="18"/>
          <w:szCs w:val="18"/>
          <w:lang w:val="ru-RU"/>
        </w:rPr>
        <w:t>ом</w:t>
      </w:r>
      <w:r w:rsidRPr="009950DF">
        <w:rPr>
          <w:rFonts w:ascii="Calibri Light" w:hAnsi="Calibri Light" w:cstheme="majorHAnsi"/>
          <w:sz w:val="18"/>
          <w:szCs w:val="18"/>
          <w:lang w:val="ru-RU"/>
        </w:rPr>
        <w:t xml:space="preserve"> министра финансов №216 от </w:t>
      </w:r>
      <w:r w:rsidRPr="009950DF">
        <w:rPr>
          <w:rFonts w:ascii="Calibri Light" w:eastAsia="Times New Roman" w:hAnsi="Calibri Light" w:cstheme="majorHAnsi"/>
          <w:sz w:val="18"/>
          <w:szCs w:val="18"/>
          <w:lang w:val="ro-RO"/>
        </w:rPr>
        <w:t>28.12.2015</w:t>
      </w:r>
      <w:r>
        <w:rPr>
          <w:rFonts w:ascii="Calibri Light" w:eastAsia="Times New Roman" w:hAnsi="Calibri Light" w:cstheme="majorHAnsi"/>
          <w:sz w:val="18"/>
          <w:szCs w:val="18"/>
          <w:lang w:val="ru-RU"/>
        </w:rPr>
        <w:t>.</w:t>
      </w:r>
      <w:r w:rsidRPr="009271AB">
        <w:rPr>
          <w:rFonts w:asciiTheme="majorHAnsi" w:hAnsiTheme="majorHAnsi" w:cstheme="majorHAnsi"/>
          <w:sz w:val="18"/>
          <w:szCs w:val="18"/>
          <w:lang w:val="ru-RU"/>
        </w:rPr>
        <w:t xml:space="preserve"> </w:t>
      </w:r>
    </w:p>
  </w:footnote>
  <w:footnote w:id="4">
    <w:p w:rsidR="0010561E" w:rsidRPr="006317B1" w:rsidRDefault="0010561E" w:rsidP="00E206BB">
      <w:pPr>
        <w:pStyle w:val="FootnoteText"/>
        <w:rPr>
          <w:rFonts w:asciiTheme="majorHAnsi" w:hAnsiTheme="majorHAnsi" w:cstheme="majorHAnsi"/>
          <w:sz w:val="18"/>
          <w:szCs w:val="18"/>
          <w:lang w:val="ru-RU"/>
        </w:rPr>
      </w:pPr>
      <w:r w:rsidRPr="009950DF">
        <w:rPr>
          <w:rStyle w:val="FootnoteReference"/>
          <w:rFonts w:asciiTheme="majorHAnsi" w:hAnsiTheme="majorHAnsi" w:cstheme="majorHAnsi"/>
          <w:sz w:val="18"/>
          <w:szCs w:val="18"/>
        </w:rPr>
        <w:footnoteRef/>
      </w:r>
      <w:r w:rsidRPr="00B1536C">
        <w:rPr>
          <w:rFonts w:asciiTheme="majorHAnsi" w:hAnsiTheme="majorHAnsi" w:cstheme="majorHAnsi"/>
          <w:sz w:val="18"/>
          <w:szCs w:val="18"/>
          <w:lang w:val="ru-RU"/>
        </w:rPr>
        <w:t xml:space="preserve"> </w:t>
      </w:r>
      <w:r>
        <w:rPr>
          <w:rFonts w:asciiTheme="majorHAnsi" w:hAnsiTheme="majorHAnsi" w:cstheme="majorHAnsi"/>
          <w:sz w:val="18"/>
          <w:szCs w:val="18"/>
          <w:lang w:val="ru-RU"/>
        </w:rPr>
        <w:t>Внутри подкласса 31 ,,Основные средства</w:t>
      </w:r>
      <w:r w:rsidRPr="009950DF">
        <w:rPr>
          <w:rFonts w:asciiTheme="majorHAnsi" w:hAnsiTheme="majorHAnsi" w:cstheme="majorHAnsi"/>
          <w:iCs/>
          <w:color w:val="000000" w:themeColor="text1"/>
          <w:sz w:val="18"/>
          <w:szCs w:val="18"/>
          <w:shd w:val="clear" w:color="auto" w:fill="FFFFFF" w:themeFill="background1"/>
          <w:lang w:val="ro-RO"/>
        </w:rPr>
        <w:t>” (</w:t>
      </w:r>
      <w:r>
        <w:rPr>
          <w:rFonts w:asciiTheme="majorHAnsi" w:hAnsiTheme="majorHAnsi" w:cstheme="majorHAnsi"/>
          <w:iCs/>
          <w:color w:val="000000" w:themeColor="text1"/>
          <w:sz w:val="18"/>
          <w:szCs w:val="18"/>
          <w:shd w:val="clear" w:color="auto" w:fill="FFFFFF" w:themeFill="background1"/>
          <w:lang w:val="ru-RU"/>
        </w:rPr>
        <w:t xml:space="preserve">Центральный аппарат (ЦА) – в сумме </w:t>
      </w:r>
      <w:r w:rsidRPr="009950DF">
        <w:rPr>
          <w:rFonts w:asciiTheme="majorHAnsi" w:hAnsiTheme="majorHAnsi" w:cstheme="majorHAnsi"/>
          <w:sz w:val="18"/>
          <w:szCs w:val="18"/>
          <w:lang w:val="ro-RO"/>
        </w:rPr>
        <w:t>245,1</w:t>
      </w:r>
      <w:r>
        <w:rPr>
          <w:rFonts w:asciiTheme="majorHAnsi" w:hAnsiTheme="majorHAnsi" w:cstheme="majorHAnsi"/>
          <w:sz w:val="18"/>
          <w:szCs w:val="18"/>
          <w:lang w:val="ru-RU"/>
        </w:rPr>
        <w:t xml:space="preserve"> тыс. леев, </w:t>
      </w:r>
      <w:r w:rsidRPr="006317B1">
        <w:rPr>
          <w:rFonts w:asciiTheme="majorHAnsi" w:hAnsiTheme="majorHAnsi" w:cstheme="majorHAnsi"/>
          <w:sz w:val="18"/>
          <w:szCs w:val="18"/>
          <w:lang w:val="ru-RU"/>
        </w:rPr>
        <w:t>Государственн</w:t>
      </w:r>
      <w:r>
        <w:rPr>
          <w:rFonts w:asciiTheme="majorHAnsi" w:hAnsiTheme="majorHAnsi" w:cstheme="majorHAnsi"/>
          <w:sz w:val="18"/>
          <w:szCs w:val="18"/>
          <w:lang w:val="ru-RU"/>
        </w:rPr>
        <w:t>ая</w:t>
      </w:r>
      <w:r w:rsidRPr="006317B1">
        <w:rPr>
          <w:rFonts w:asciiTheme="majorHAnsi" w:hAnsiTheme="majorHAnsi" w:cstheme="majorHAnsi"/>
          <w:sz w:val="18"/>
          <w:szCs w:val="18"/>
          <w:lang w:val="ru-RU"/>
        </w:rPr>
        <w:t xml:space="preserve"> налогов</w:t>
      </w:r>
      <w:r>
        <w:rPr>
          <w:rFonts w:asciiTheme="majorHAnsi" w:hAnsiTheme="majorHAnsi" w:cstheme="majorHAnsi"/>
          <w:sz w:val="18"/>
          <w:szCs w:val="18"/>
          <w:lang w:val="ru-RU"/>
        </w:rPr>
        <w:t>ая</w:t>
      </w:r>
      <w:r w:rsidRPr="006317B1">
        <w:rPr>
          <w:rFonts w:asciiTheme="majorHAnsi" w:hAnsiTheme="majorHAnsi" w:cstheme="majorHAnsi"/>
          <w:sz w:val="18"/>
          <w:szCs w:val="18"/>
          <w:lang w:val="ru-RU"/>
        </w:rPr>
        <w:t xml:space="preserve"> служб</w:t>
      </w:r>
      <w:r>
        <w:rPr>
          <w:rFonts w:asciiTheme="majorHAnsi" w:hAnsiTheme="majorHAnsi" w:cstheme="majorHAnsi"/>
          <w:sz w:val="18"/>
          <w:szCs w:val="18"/>
          <w:lang w:val="ru-RU"/>
        </w:rPr>
        <w:t xml:space="preserve">а </w:t>
      </w:r>
      <w:r w:rsidRPr="009950DF">
        <w:rPr>
          <w:rFonts w:asciiTheme="majorHAnsi" w:hAnsiTheme="majorHAnsi" w:cstheme="majorHAnsi"/>
          <w:sz w:val="18"/>
          <w:szCs w:val="18"/>
          <w:lang w:val="ro-RO"/>
        </w:rPr>
        <w:t>(</w:t>
      </w:r>
      <w:r>
        <w:rPr>
          <w:rFonts w:asciiTheme="majorHAnsi" w:hAnsiTheme="majorHAnsi" w:cstheme="majorHAnsi"/>
          <w:sz w:val="18"/>
          <w:szCs w:val="18"/>
          <w:lang w:val="ru-RU"/>
        </w:rPr>
        <w:t>ГНС</w:t>
      </w:r>
      <w:r w:rsidRPr="009950DF">
        <w:rPr>
          <w:rFonts w:asciiTheme="majorHAnsi" w:hAnsiTheme="majorHAnsi" w:cstheme="majorHAnsi"/>
          <w:sz w:val="18"/>
          <w:szCs w:val="18"/>
          <w:lang w:val="ro-RO"/>
        </w:rPr>
        <w:t xml:space="preserve">) - 217,1 </w:t>
      </w:r>
      <w:r>
        <w:rPr>
          <w:rFonts w:asciiTheme="majorHAnsi" w:hAnsiTheme="majorHAnsi" w:cstheme="majorHAnsi"/>
          <w:sz w:val="18"/>
          <w:szCs w:val="18"/>
          <w:lang w:val="ru-RU"/>
        </w:rPr>
        <w:t>тыс</w:t>
      </w:r>
      <w:r w:rsidRPr="006317B1">
        <w:rPr>
          <w:rFonts w:asciiTheme="majorHAnsi" w:hAnsiTheme="majorHAnsi" w:cstheme="majorHAnsi"/>
          <w:sz w:val="18"/>
          <w:szCs w:val="18"/>
          <w:lang w:val="ru-RU"/>
        </w:rPr>
        <w:t xml:space="preserve">. </w:t>
      </w:r>
      <w:r>
        <w:rPr>
          <w:rFonts w:asciiTheme="majorHAnsi" w:hAnsiTheme="majorHAnsi" w:cstheme="majorHAnsi"/>
          <w:sz w:val="18"/>
          <w:szCs w:val="18"/>
          <w:lang w:val="ru-RU"/>
        </w:rPr>
        <w:t>леев</w:t>
      </w:r>
      <w:r w:rsidRPr="009950DF">
        <w:rPr>
          <w:rFonts w:asciiTheme="majorHAnsi" w:hAnsiTheme="majorHAnsi" w:cstheme="majorHAnsi"/>
          <w:sz w:val="18"/>
          <w:szCs w:val="18"/>
          <w:lang w:val="ro-RO"/>
        </w:rPr>
        <w:t>,</w:t>
      </w:r>
      <w:r>
        <w:rPr>
          <w:rFonts w:asciiTheme="majorHAnsi" w:hAnsiTheme="majorHAnsi" w:cstheme="majorHAnsi"/>
          <w:sz w:val="18"/>
          <w:szCs w:val="18"/>
          <w:lang w:val="ru-RU"/>
        </w:rPr>
        <w:t xml:space="preserve"> Таможенная служба</w:t>
      </w:r>
      <w:r w:rsidRPr="009950DF">
        <w:rPr>
          <w:rFonts w:asciiTheme="majorHAnsi" w:hAnsiTheme="majorHAnsi" w:cstheme="majorHAnsi"/>
          <w:sz w:val="18"/>
          <w:szCs w:val="18"/>
          <w:lang w:val="ro-RO"/>
        </w:rPr>
        <w:t xml:space="preserve"> (</w:t>
      </w:r>
      <w:r>
        <w:rPr>
          <w:rFonts w:asciiTheme="majorHAnsi" w:hAnsiTheme="majorHAnsi" w:cstheme="majorHAnsi"/>
          <w:sz w:val="18"/>
          <w:szCs w:val="18"/>
          <w:lang w:val="ru-RU"/>
        </w:rPr>
        <w:t>ТС</w:t>
      </w:r>
      <w:r w:rsidRPr="009950DF">
        <w:rPr>
          <w:rFonts w:asciiTheme="majorHAnsi" w:hAnsiTheme="majorHAnsi" w:cstheme="majorHAnsi"/>
          <w:sz w:val="18"/>
          <w:szCs w:val="18"/>
          <w:lang w:val="ro-RO"/>
        </w:rPr>
        <w:t xml:space="preserve">) </w:t>
      </w:r>
      <w:r>
        <w:rPr>
          <w:rFonts w:asciiTheme="majorHAnsi" w:hAnsiTheme="majorHAnsi" w:cstheme="majorHAnsi"/>
          <w:sz w:val="18"/>
          <w:szCs w:val="18"/>
          <w:lang w:val="ru-RU"/>
        </w:rPr>
        <w:t xml:space="preserve">и таможенные посты </w:t>
      </w:r>
      <w:r w:rsidRPr="009950DF">
        <w:rPr>
          <w:rFonts w:asciiTheme="majorHAnsi" w:hAnsiTheme="majorHAnsi" w:cstheme="majorHAnsi"/>
          <w:sz w:val="18"/>
          <w:szCs w:val="18"/>
          <w:lang w:val="ro-RO"/>
        </w:rPr>
        <w:t>- 460,6</w:t>
      </w:r>
      <w:r w:rsidRPr="006317B1">
        <w:rPr>
          <w:rFonts w:asciiTheme="majorHAnsi" w:hAnsiTheme="majorHAnsi" w:cstheme="majorHAnsi"/>
          <w:sz w:val="18"/>
          <w:szCs w:val="18"/>
          <w:lang w:val="ru-RU"/>
        </w:rPr>
        <w:t xml:space="preserve"> </w:t>
      </w:r>
      <w:r>
        <w:rPr>
          <w:rFonts w:asciiTheme="majorHAnsi" w:hAnsiTheme="majorHAnsi" w:cstheme="majorHAnsi"/>
          <w:sz w:val="18"/>
          <w:szCs w:val="18"/>
          <w:lang w:val="ru-RU"/>
        </w:rPr>
        <w:t>тыс. леев</w:t>
      </w:r>
      <w:r w:rsidRPr="009950DF">
        <w:rPr>
          <w:rFonts w:asciiTheme="majorHAnsi" w:hAnsiTheme="majorHAnsi" w:cstheme="majorHAnsi"/>
          <w:sz w:val="18"/>
          <w:szCs w:val="18"/>
          <w:lang w:val="ro-RO"/>
        </w:rPr>
        <w:t xml:space="preserve">, </w:t>
      </w:r>
      <w:r>
        <w:rPr>
          <w:rFonts w:asciiTheme="majorHAnsi" w:hAnsiTheme="majorHAnsi" w:cstheme="majorHAnsi"/>
          <w:sz w:val="18"/>
          <w:szCs w:val="18"/>
          <w:lang w:val="ru-RU"/>
        </w:rPr>
        <w:t xml:space="preserve">Финансовая инспекция </w:t>
      </w:r>
      <w:r w:rsidRPr="009950DF">
        <w:rPr>
          <w:rFonts w:asciiTheme="majorHAnsi" w:hAnsiTheme="majorHAnsi" w:cstheme="majorHAnsi"/>
          <w:sz w:val="18"/>
          <w:szCs w:val="18"/>
          <w:lang w:val="ro-RO"/>
        </w:rPr>
        <w:t>(</w:t>
      </w:r>
      <w:r>
        <w:rPr>
          <w:rFonts w:asciiTheme="majorHAnsi" w:hAnsiTheme="majorHAnsi" w:cstheme="majorHAnsi"/>
          <w:sz w:val="18"/>
          <w:szCs w:val="18"/>
          <w:lang w:val="ru-RU"/>
        </w:rPr>
        <w:t>ФИ</w:t>
      </w:r>
      <w:r w:rsidRPr="009950DF">
        <w:rPr>
          <w:rFonts w:asciiTheme="majorHAnsi" w:hAnsiTheme="majorHAnsi" w:cstheme="majorHAnsi"/>
          <w:sz w:val="18"/>
          <w:szCs w:val="18"/>
          <w:lang w:val="ro-RO"/>
        </w:rPr>
        <w:t>) - 7,8</w:t>
      </w:r>
      <w:r w:rsidRPr="006317B1">
        <w:rPr>
          <w:rFonts w:asciiTheme="majorHAnsi" w:hAnsiTheme="majorHAnsi" w:cstheme="majorHAnsi"/>
          <w:sz w:val="18"/>
          <w:szCs w:val="18"/>
          <w:lang w:val="ru-RU"/>
        </w:rPr>
        <w:t xml:space="preserve"> </w:t>
      </w:r>
      <w:r>
        <w:rPr>
          <w:rFonts w:asciiTheme="majorHAnsi" w:hAnsiTheme="majorHAnsi" w:cstheme="majorHAnsi"/>
          <w:sz w:val="18"/>
          <w:szCs w:val="18"/>
          <w:lang w:val="ru-RU"/>
        </w:rPr>
        <w:t>тыс. леев</w:t>
      </w:r>
      <w:r w:rsidRPr="009950DF">
        <w:rPr>
          <w:rFonts w:asciiTheme="majorHAnsi" w:hAnsiTheme="majorHAnsi" w:cstheme="majorHAnsi"/>
          <w:sz w:val="18"/>
          <w:szCs w:val="18"/>
          <w:lang w:val="ro-RO"/>
        </w:rPr>
        <w:t>)</w:t>
      </w:r>
      <w:r>
        <w:rPr>
          <w:rFonts w:asciiTheme="majorHAnsi" w:hAnsiTheme="majorHAnsi" w:cstheme="majorHAnsi"/>
          <w:sz w:val="18"/>
          <w:szCs w:val="18"/>
          <w:lang w:val="ru-RU"/>
        </w:rPr>
        <w:t xml:space="preserve"> и с класса счетов на другие </w:t>
      </w:r>
      <w:r w:rsidRPr="006317B1">
        <w:rPr>
          <w:rFonts w:asciiTheme="majorHAnsi" w:eastAsia="Times New Roman" w:hAnsiTheme="majorHAnsi" w:cstheme="majorHAnsi"/>
          <w:bCs/>
          <w:sz w:val="18"/>
          <w:szCs w:val="18"/>
          <w:lang w:val="ru-RU" w:eastAsia="ru-RU"/>
        </w:rPr>
        <w:t>(</w:t>
      </w:r>
      <w:r>
        <w:rPr>
          <w:rFonts w:asciiTheme="majorHAnsi" w:eastAsia="Times New Roman" w:hAnsiTheme="majorHAnsi" w:cstheme="majorHAnsi"/>
          <w:bCs/>
          <w:sz w:val="18"/>
          <w:szCs w:val="18"/>
          <w:lang w:val="ru-RU" w:eastAsia="ru-RU"/>
        </w:rPr>
        <w:t>ГНС</w:t>
      </w:r>
      <w:r w:rsidRPr="006317B1">
        <w:rPr>
          <w:rFonts w:asciiTheme="majorHAnsi" w:eastAsia="Times New Roman" w:hAnsiTheme="majorHAnsi" w:cstheme="majorHAnsi"/>
          <w:sz w:val="18"/>
          <w:szCs w:val="18"/>
          <w:lang w:val="ru-RU"/>
        </w:rPr>
        <w:t xml:space="preserve"> - 9,8</w:t>
      </w:r>
      <w:r w:rsidRPr="006317B1">
        <w:rPr>
          <w:rFonts w:asciiTheme="majorHAnsi" w:hAnsiTheme="majorHAnsi" w:cstheme="majorHAnsi"/>
          <w:sz w:val="18"/>
          <w:szCs w:val="18"/>
          <w:lang w:val="ru-RU"/>
        </w:rPr>
        <w:t xml:space="preserve"> </w:t>
      </w:r>
      <w:r>
        <w:rPr>
          <w:rFonts w:asciiTheme="majorHAnsi" w:hAnsiTheme="majorHAnsi" w:cstheme="majorHAnsi"/>
          <w:sz w:val="18"/>
          <w:szCs w:val="18"/>
          <w:lang w:val="ru-RU"/>
        </w:rPr>
        <w:t>тыс. леев</w:t>
      </w:r>
      <w:r w:rsidRPr="006317B1">
        <w:rPr>
          <w:rFonts w:asciiTheme="majorHAnsi" w:eastAsia="Times New Roman" w:hAnsiTheme="majorHAnsi" w:cstheme="majorHAnsi"/>
          <w:sz w:val="18"/>
          <w:szCs w:val="18"/>
          <w:lang w:val="ru-RU"/>
        </w:rPr>
        <w:t xml:space="preserve">, </w:t>
      </w:r>
      <w:r>
        <w:rPr>
          <w:rFonts w:asciiTheme="majorHAnsi" w:eastAsia="Times New Roman" w:hAnsiTheme="majorHAnsi" w:cstheme="majorHAnsi"/>
          <w:sz w:val="18"/>
          <w:szCs w:val="18"/>
          <w:lang w:val="ru-RU"/>
        </w:rPr>
        <w:t xml:space="preserve">ТС - 795,1 </w:t>
      </w:r>
      <w:r>
        <w:rPr>
          <w:rFonts w:asciiTheme="majorHAnsi" w:hAnsiTheme="majorHAnsi" w:cstheme="majorHAnsi"/>
          <w:sz w:val="18"/>
          <w:szCs w:val="18"/>
          <w:lang w:val="ru-RU"/>
        </w:rPr>
        <w:t>тыс. леев</w:t>
      </w:r>
      <w:r w:rsidRPr="006317B1">
        <w:rPr>
          <w:rFonts w:asciiTheme="majorHAnsi" w:eastAsia="Times New Roman" w:hAnsiTheme="majorHAnsi" w:cstheme="majorHAnsi"/>
          <w:sz w:val="18"/>
          <w:szCs w:val="18"/>
          <w:lang w:val="ru-RU"/>
        </w:rPr>
        <w:t xml:space="preserve">, </w:t>
      </w:r>
      <w:r>
        <w:rPr>
          <w:rFonts w:asciiTheme="majorHAnsi" w:eastAsia="Times New Roman" w:hAnsiTheme="majorHAnsi" w:cstheme="majorHAnsi"/>
          <w:sz w:val="18"/>
          <w:szCs w:val="18"/>
          <w:lang w:val="ru-RU"/>
        </w:rPr>
        <w:t>ФИ</w:t>
      </w:r>
      <w:r w:rsidRPr="006317B1">
        <w:rPr>
          <w:rFonts w:asciiTheme="majorHAnsi" w:eastAsia="Times New Roman" w:hAnsiTheme="majorHAnsi" w:cstheme="majorHAnsi"/>
          <w:sz w:val="18"/>
          <w:szCs w:val="18"/>
          <w:lang w:val="ru-RU"/>
        </w:rPr>
        <w:t xml:space="preserve"> - 7,8</w:t>
      </w:r>
      <w:r w:rsidRPr="006317B1">
        <w:rPr>
          <w:rFonts w:asciiTheme="majorHAnsi" w:hAnsiTheme="majorHAnsi" w:cstheme="majorHAnsi"/>
          <w:sz w:val="18"/>
          <w:szCs w:val="18"/>
          <w:lang w:val="ru-RU"/>
        </w:rPr>
        <w:t xml:space="preserve"> </w:t>
      </w:r>
      <w:r>
        <w:rPr>
          <w:rFonts w:asciiTheme="majorHAnsi" w:hAnsiTheme="majorHAnsi" w:cstheme="majorHAnsi"/>
          <w:sz w:val="18"/>
          <w:szCs w:val="18"/>
          <w:lang w:val="ru-RU"/>
        </w:rPr>
        <w:t>тыс. леев</w:t>
      </w:r>
      <w:r w:rsidRPr="009950DF">
        <w:rPr>
          <w:rFonts w:asciiTheme="majorHAnsi" w:eastAsia="Times New Roman" w:hAnsiTheme="majorHAnsi" w:cstheme="majorHAnsi"/>
          <w:sz w:val="18"/>
          <w:szCs w:val="18"/>
          <w:lang w:val="ro-RO"/>
        </w:rPr>
        <w:t>).</w:t>
      </w:r>
      <w:r w:rsidRPr="009950DF">
        <w:rPr>
          <w:rFonts w:asciiTheme="majorHAnsi" w:hAnsiTheme="majorHAnsi" w:cstheme="majorHAnsi"/>
          <w:sz w:val="18"/>
          <w:szCs w:val="18"/>
          <w:lang w:val="ro-RO"/>
        </w:rPr>
        <w:t xml:space="preserve">  </w:t>
      </w:r>
    </w:p>
  </w:footnote>
  <w:footnote w:id="5">
    <w:p w:rsidR="0010561E" w:rsidRPr="006317B1" w:rsidRDefault="0010561E" w:rsidP="00EC3BA6">
      <w:pPr>
        <w:pStyle w:val="FootnoteText"/>
        <w:rPr>
          <w:rFonts w:asciiTheme="majorHAnsi" w:hAnsiTheme="majorHAnsi" w:cstheme="majorHAnsi"/>
          <w:sz w:val="18"/>
          <w:szCs w:val="18"/>
          <w:lang w:val="ru-RU"/>
        </w:rPr>
      </w:pPr>
      <w:r w:rsidRPr="009950DF">
        <w:rPr>
          <w:rStyle w:val="FootnoteReference"/>
          <w:rFonts w:asciiTheme="majorHAnsi" w:hAnsiTheme="majorHAnsi" w:cstheme="majorHAnsi"/>
          <w:sz w:val="18"/>
          <w:szCs w:val="18"/>
        </w:rPr>
        <w:footnoteRef/>
      </w:r>
      <w:r w:rsidRPr="006317B1">
        <w:rPr>
          <w:rFonts w:asciiTheme="majorHAnsi" w:hAnsiTheme="majorHAnsi" w:cstheme="majorHAnsi"/>
          <w:sz w:val="18"/>
          <w:szCs w:val="18"/>
          <w:lang w:val="ru-RU"/>
        </w:rPr>
        <w:t xml:space="preserve"> </w:t>
      </w:r>
      <w:r>
        <w:rPr>
          <w:rFonts w:asciiTheme="majorHAnsi" w:hAnsiTheme="majorHAnsi" w:cstheme="majorHAnsi"/>
          <w:sz w:val="18"/>
          <w:szCs w:val="18"/>
          <w:lang w:val="ru-RU"/>
        </w:rPr>
        <w:t xml:space="preserve">Внутри подкласса </w:t>
      </w:r>
      <w:r w:rsidRPr="006317B1">
        <w:rPr>
          <w:rFonts w:asciiTheme="majorHAnsi" w:eastAsia="Times New Roman" w:hAnsiTheme="majorHAnsi" w:cstheme="majorHAnsi"/>
          <w:sz w:val="18"/>
          <w:szCs w:val="18"/>
          <w:lang w:val="ru-RU"/>
        </w:rPr>
        <w:t xml:space="preserve">33 </w:t>
      </w:r>
      <w:r w:rsidRPr="006317B1">
        <w:rPr>
          <w:rFonts w:asciiTheme="majorHAnsi" w:eastAsia="Times New Roman" w:hAnsiTheme="majorHAnsi" w:cstheme="majorHAnsi"/>
          <w:iCs/>
          <w:sz w:val="18"/>
          <w:szCs w:val="18"/>
          <w:lang w:val="ru-RU"/>
        </w:rPr>
        <w:t>„</w:t>
      </w:r>
      <w:r w:rsidRPr="00060EAD">
        <w:rPr>
          <w:rFonts w:asciiTheme="majorHAnsi" w:eastAsia="Times New Roman" w:hAnsiTheme="majorHAnsi" w:cstheme="majorHAnsi"/>
          <w:iCs/>
          <w:sz w:val="18"/>
          <w:szCs w:val="18"/>
          <w:lang w:val="ru-RU"/>
        </w:rPr>
        <w:t>Запасы оборотных материалов</w:t>
      </w:r>
      <w:r w:rsidRPr="006317B1">
        <w:rPr>
          <w:rFonts w:asciiTheme="majorHAnsi" w:eastAsia="Times New Roman" w:hAnsiTheme="majorHAnsi" w:cstheme="majorHAnsi"/>
          <w:iCs/>
          <w:sz w:val="18"/>
          <w:szCs w:val="18"/>
          <w:lang w:val="ru-RU"/>
        </w:rPr>
        <w:t>”</w:t>
      </w:r>
      <w:r w:rsidRPr="009950DF">
        <w:rPr>
          <w:rFonts w:asciiTheme="majorHAnsi" w:eastAsia="Times New Roman" w:hAnsiTheme="majorHAnsi" w:cstheme="majorHAnsi"/>
          <w:sz w:val="18"/>
          <w:szCs w:val="18"/>
          <w:lang w:val="ro-RO"/>
        </w:rPr>
        <w:t xml:space="preserve"> (</w:t>
      </w:r>
      <w:r>
        <w:rPr>
          <w:rFonts w:asciiTheme="majorHAnsi" w:eastAsia="Times New Roman" w:hAnsiTheme="majorHAnsi" w:cstheme="majorHAnsi"/>
          <w:sz w:val="18"/>
          <w:szCs w:val="18"/>
          <w:lang w:val="ru-RU"/>
        </w:rPr>
        <w:t>ЦА</w:t>
      </w:r>
      <w:r w:rsidRPr="009950DF">
        <w:rPr>
          <w:rFonts w:asciiTheme="majorHAnsi" w:eastAsia="Times New Roman" w:hAnsiTheme="majorHAnsi" w:cstheme="majorHAnsi"/>
          <w:sz w:val="18"/>
          <w:szCs w:val="18"/>
          <w:lang w:val="ro-RO"/>
        </w:rPr>
        <w:t xml:space="preserve"> - 56,9</w:t>
      </w:r>
      <w:r w:rsidRPr="006317B1">
        <w:rPr>
          <w:rFonts w:asciiTheme="majorHAnsi" w:hAnsiTheme="majorHAnsi" w:cstheme="majorHAnsi"/>
          <w:sz w:val="18"/>
          <w:szCs w:val="18"/>
          <w:lang w:val="ru-RU"/>
        </w:rPr>
        <w:t xml:space="preserve"> </w:t>
      </w:r>
      <w:r>
        <w:rPr>
          <w:rFonts w:asciiTheme="majorHAnsi" w:hAnsiTheme="majorHAnsi" w:cstheme="majorHAnsi"/>
          <w:sz w:val="18"/>
          <w:szCs w:val="18"/>
          <w:lang w:val="ru-RU"/>
        </w:rPr>
        <w:t>тыс</w:t>
      </w:r>
      <w:r w:rsidRPr="006317B1">
        <w:rPr>
          <w:rFonts w:asciiTheme="majorHAnsi" w:hAnsiTheme="majorHAnsi" w:cstheme="majorHAnsi"/>
          <w:sz w:val="18"/>
          <w:szCs w:val="18"/>
          <w:lang w:val="ru-RU"/>
        </w:rPr>
        <w:t xml:space="preserve">. </w:t>
      </w:r>
      <w:r>
        <w:rPr>
          <w:rFonts w:asciiTheme="majorHAnsi" w:hAnsiTheme="majorHAnsi" w:cstheme="majorHAnsi"/>
          <w:sz w:val="18"/>
          <w:szCs w:val="18"/>
          <w:lang w:val="ru-RU"/>
        </w:rPr>
        <w:t>леев</w:t>
      </w:r>
      <w:r w:rsidRPr="009950DF">
        <w:rPr>
          <w:rFonts w:asciiTheme="majorHAnsi" w:eastAsia="Times New Roman" w:hAnsiTheme="majorHAnsi" w:cstheme="majorHAnsi"/>
          <w:sz w:val="18"/>
          <w:szCs w:val="18"/>
          <w:lang w:val="ro-RO"/>
        </w:rPr>
        <w:t xml:space="preserve">, </w:t>
      </w:r>
      <w:r>
        <w:rPr>
          <w:rFonts w:asciiTheme="majorHAnsi" w:eastAsia="Times New Roman" w:hAnsiTheme="majorHAnsi" w:cstheme="majorHAnsi"/>
          <w:sz w:val="18"/>
          <w:szCs w:val="18"/>
          <w:lang w:val="ru-RU"/>
        </w:rPr>
        <w:t>ГНС -</w:t>
      </w:r>
      <w:r w:rsidRPr="009950DF">
        <w:rPr>
          <w:rFonts w:asciiTheme="majorHAnsi" w:eastAsia="Times New Roman" w:hAnsiTheme="majorHAnsi" w:cstheme="majorHAnsi"/>
          <w:sz w:val="18"/>
          <w:szCs w:val="18"/>
          <w:lang w:val="ro-RO"/>
        </w:rPr>
        <w:t xml:space="preserve"> 112,4</w:t>
      </w:r>
      <w:r w:rsidRPr="006317B1">
        <w:rPr>
          <w:rFonts w:asciiTheme="majorHAnsi" w:hAnsiTheme="majorHAnsi" w:cstheme="majorHAnsi"/>
          <w:sz w:val="18"/>
          <w:szCs w:val="18"/>
          <w:lang w:val="ru-RU"/>
        </w:rPr>
        <w:t xml:space="preserve"> </w:t>
      </w:r>
      <w:r>
        <w:rPr>
          <w:rFonts w:asciiTheme="majorHAnsi" w:hAnsiTheme="majorHAnsi" w:cstheme="majorHAnsi"/>
          <w:sz w:val="18"/>
          <w:szCs w:val="18"/>
          <w:lang w:val="ru-RU"/>
        </w:rPr>
        <w:t>тыс</w:t>
      </w:r>
      <w:r w:rsidRPr="006317B1">
        <w:rPr>
          <w:rFonts w:asciiTheme="majorHAnsi" w:hAnsiTheme="majorHAnsi" w:cstheme="majorHAnsi"/>
          <w:sz w:val="18"/>
          <w:szCs w:val="18"/>
          <w:lang w:val="ru-RU"/>
        </w:rPr>
        <w:t xml:space="preserve">. </w:t>
      </w:r>
      <w:r>
        <w:rPr>
          <w:rFonts w:asciiTheme="majorHAnsi" w:hAnsiTheme="majorHAnsi" w:cstheme="majorHAnsi"/>
          <w:sz w:val="18"/>
          <w:szCs w:val="18"/>
          <w:lang w:val="ru-RU"/>
        </w:rPr>
        <w:t>леев</w:t>
      </w:r>
      <w:r w:rsidRPr="009950DF">
        <w:rPr>
          <w:rFonts w:asciiTheme="majorHAnsi" w:eastAsia="Times New Roman" w:hAnsiTheme="majorHAnsi" w:cstheme="majorHAnsi"/>
          <w:sz w:val="18"/>
          <w:szCs w:val="18"/>
          <w:lang w:val="ro-RO"/>
        </w:rPr>
        <w:t xml:space="preserve">, </w:t>
      </w:r>
      <w:r>
        <w:rPr>
          <w:rFonts w:asciiTheme="majorHAnsi" w:eastAsia="Times New Roman" w:hAnsiTheme="majorHAnsi" w:cstheme="majorHAnsi"/>
          <w:sz w:val="18"/>
          <w:szCs w:val="18"/>
          <w:lang w:val="ru-RU"/>
        </w:rPr>
        <w:t>ТС</w:t>
      </w:r>
      <w:r w:rsidRPr="009950DF">
        <w:rPr>
          <w:rFonts w:asciiTheme="majorHAnsi" w:hAnsiTheme="majorHAnsi" w:cstheme="majorHAnsi"/>
          <w:sz w:val="18"/>
          <w:szCs w:val="18"/>
          <w:lang w:val="ro-RO"/>
        </w:rPr>
        <w:t xml:space="preserve"> - 374,0</w:t>
      </w:r>
      <w:r w:rsidRPr="006317B1">
        <w:rPr>
          <w:rFonts w:asciiTheme="majorHAnsi" w:hAnsiTheme="majorHAnsi" w:cstheme="majorHAnsi"/>
          <w:sz w:val="18"/>
          <w:szCs w:val="18"/>
          <w:lang w:val="ru-RU"/>
        </w:rPr>
        <w:t xml:space="preserve"> </w:t>
      </w:r>
      <w:r>
        <w:rPr>
          <w:rFonts w:asciiTheme="majorHAnsi" w:hAnsiTheme="majorHAnsi" w:cstheme="majorHAnsi"/>
          <w:sz w:val="18"/>
          <w:szCs w:val="18"/>
          <w:lang w:val="ru-RU"/>
        </w:rPr>
        <w:t>тыс</w:t>
      </w:r>
      <w:r w:rsidRPr="006317B1">
        <w:rPr>
          <w:rFonts w:asciiTheme="majorHAnsi" w:hAnsiTheme="majorHAnsi" w:cstheme="majorHAnsi"/>
          <w:sz w:val="18"/>
          <w:szCs w:val="18"/>
          <w:lang w:val="ru-RU"/>
        </w:rPr>
        <w:t xml:space="preserve">. </w:t>
      </w:r>
      <w:r>
        <w:rPr>
          <w:rFonts w:asciiTheme="majorHAnsi" w:hAnsiTheme="majorHAnsi" w:cstheme="majorHAnsi"/>
          <w:sz w:val="18"/>
          <w:szCs w:val="18"/>
          <w:lang w:val="ru-RU"/>
        </w:rPr>
        <w:t>леев</w:t>
      </w:r>
      <w:r w:rsidRPr="009950DF">
        <w:rPr>
          <w:rFonts w:asciiTheme="majorHAnsi" w:hAnsiTheme="majorHAnsi" w:cstheme="majorHAnsi"/>
          <w:sz w:val="18"/>
          <w:szCs w:val="18"/>
          <w:lang w:val="ro-RO"/>
        </w:rPr>
        <w:t xml:space="preserve">, </w:t>
      </w:r>
      <w:r>
        <w:rPr>
          <w:rFonts w:asciiTheme="majorHAnsi" w:hAnsiTheme="majorHAnsi" w:cstheme="majorHAnsi"/>
          <w:sz w:val="18"/>
          <w:szCs w:val="18"/>
          <w:lang w:val="ru-RU"/>
        </w:rPr>
        <w:t xml:space="preserve">ФИ </w:t>
      </w:r>
      <w:r w:rsidRPr="009950DF">
        <w:rPr>
          <w:rFonts w:asciiTheme="majorHAnsi" w:hAnsiTheme="majorHAnsi" w:cstheme="majorHAnsi"/>
          <w:sz w:val="18"/>
          <w:szCs w:val="18"/>
          <w:lang w:val="ro-RO"/>
        </w:rPr>
        <w:t>- 16,0</w:t>
      </w:r>
      <w:r w:rsidRPr="006317B1">
        <w:rPr>
          <w:rFonts w:asciiTheme="majorHAnsi" w:hAnsiTheme="majorHAnsi" w:cstheme="majorHAnsi"/>
          <w:sz w:val="18"/>
          <w:szCs w:val="18"/>
          <w:lang w:val="ru-RU"/>
        </w:rPr>
        <w:t xml:space="preserve"> </w:t>
      </w:r>
      <w:r>
        <w:rPr>
          <w:rFonts w:asciiTheme="majorHAnsi" w:hAnsiTheme="majorHAnsi" w:cstheme="majorHAnsi"/>
          <w:sz w:val="18"/>
          <w:szCs w:val="18"/>
          <w:lang w:val="ru-RU"/>
        </w:rPr>
        <w:t>тыс. леев</w:t>
      </w:r>
      <w:r w:rsidRPr="009950DF">
        <w:rPr>
          <w:rFonts w:asciiTheme="majorHAnsi" w:hAnsiTheme="majorHAnsi" w:cstheme="majorHAnsi"/>
          <w:sz w:val="18"/>
          <w:szCs w:val="18"/>
          <w:lang w:val="ro-RO"/>
        </w:rPr>
        <w:t xml:space="preserve">) </w:t>
      </w:r>
      <w:r>
        <w:rPr>
          <w:rFonts w:asciiTheme="majorHAnsi" w:hAnsiTheme="majorHAnsi" w:cstheme="majorHAnsi"/>
          <w:sz w:val="18"/>
          <w:szCs w:val="18"/>
          <w:lang w:val="ru-RU"/>
        </w:rPr>
        <w:t xml:space="preserve">и с класса счетов на другие </w:t>
      </w:r>
      <w:r w:rsidRPr="006317B1">
        <w:rPr>
          <w:rFonts w:asciiTheme="majorHAnsi" w:eastAsia="Times New Roman" w:hAnsiTheme="majorHAnsi" w:cstheme="majorHAnsi"/>
          <w:bCs/>
          <w:sz w:val="18"/>
          <w:szCs w:val="18"/>
          <w:lang w:val="ru-RU" w:eastAsia="ru-RU"/>
        </w:rPr>
        <w:t>(</w:t>
      </w:r>
      <w:r>
        <w:rPr>
          <w:rFonts w:asciiTheme="majorHAnsi" w:eastAsia="Times New Roman" w:hAnsiTheme="majorHAnsi" w:cstheme="majorHAnsi"/>
          <w:bCs/>
          <w:sz w:val="18"/>
          <w:szCs w:val="18"/>
          <w:lang w:val="ru-RU" w:eastAsia="ru-RU"/>
        </w:rPr>
        <w:t>ГНС</w:t>
      </w:r>
      <w:r w:rsidRPr="006317B1">
        <w:rPr>
          <w:rFonts w:asciiTheme="majorHAnsi" w:eastAsia="Times New Roman" w:hAnsiTheme="majorHAnsi" w:cstheme="majorHAnsi"/>
          <w:sz w:val="18"/>
          <w:szCs w:val="18"/>
          <w:lang w:val="ru-RU"/>
        </w:rPr>
        <w:t xml:space="preserve"> - 9,8</w:t>
      </w:r>
      <w:r w:rsidRPr="006317B1">
        <w:rPr>
          <w:rFonts w:asciiTheme="majorHAnsi" w:hAnsiTheme="majorHAnsi" w:cstheme="majorHAnsi"/>
          <w:sz w:val="18"/>
          <w:szCs w:val="18"/>
          <w:lang w:val="ru-RU"/>
        </w:rPr>
        <w:t xml:space="preserve"> </w:t>
      </w:r>
      <w:r>
        <w:rPr>
          <w:rFonts w:asciiTheme="majorHAnsi" w:hAnsiTheme="majorHAnsi" w:cstheme="majorHAnsi"/>
          <w:sz w:val="18"/>
          <w:szCs w:val="18"/>
          <w:lang w:val="ru-RU"/>
        </w:rPr>
        <w:t>тыс. леев</w:t>
      </w:r>
      <w:r w:rsidRPr="006317B1">
        <w:rPr>
          <w:rFonts w:asciiTheme="majorHAnsi" w:eastAsia="Times New Roman" w:hAnsiTheme="majorHAnsi" w:cstheme="majorHAnsi"/>
          <w:sz w:val="18"/>
          <w:szCs w:val="18"/>
          <w:lang w:val="ru-RU"/>
        </w:rPr>
        <w:t xml:space="preserve">, </w:t>
      </w:r>
      <w:r>
        <w:rPr>
          <w:rFonts w:asciiTheme="majorHAnsi" w:eastAsia="Times New Roman" w:hAnsiTheme="majorHAnsi" w:cstheme="majorHAnsi"/>
          <w:sz w:val="18"/>
          <w:szCs w:val="18"/>
          <w:lang w:val="ru-RU"/>
        </w:rPr>
        <w:t>ТС</w:t>
      </w:r>
      <w:r w:rsidRPr="006317B1">
        <w:rPr>
          <w:rFonts w:asciiTheme="majorHAnsi" w:eastAsia="Times New Roman" w:hAnsiTheme="majorHAnsi" w:cstheme="majorHAnsi"/>
          <w:sz w:val="18"/>
          <w:szCs w:val="18"/>
          <w:lang w:val="ru-RU"/>
        </w:rPr>
        <w:t xml:space="preserve"> - 795,1</w:t>
      </w:r>
      <w:r w:rsidRPr="006317B1">
        <w:rPr>
          <w:rFonts w:asciiTheme="majorHAnsi" w:hAnsiTheme="majorHAnsi" w:cstheme="majorHAnsi"/>
          <w:sz w:val="18"/>
          <w:szCs w:val="18"/>
          <w:lang w:val="ru-RU"/>
        </w:rPr>
        <w:t xml:space="preserve"> </w:t>
      </w:r>
      <w:r>
        <w:rPr>
          <w:rFonts w:asciiTheme="majorHAnsi" w:hAnsiTheme="majorHAnsi" w:cstheme="majorHAnsi"/>
          <w:sz w:val="18"/>
          <w:szCs w:val="18"/>
          <w:lang w:val="ru-RU"/>
        </w:rPr>
        <w:t>тыс. леев</w:t>
      </w:r>
      <w:r w:rsidRPr="006317B1">
        <w:rPr>
          <w:rFonts w:asciiTheme="majorHAnsi" w:eastAsia="Times New Roman" w:hAnsiTheme="majorHAnsi" w:cstheme="majorHAnsi"/>
          <w:sz w:val="18"/>
          <w:szCs w:val="18"/>
          <w:lang w:val="ru-RU"/>
        </w:rPr>
        <w:t xml:space="preserve">, </w:t>
      </w:r>
      <w:r>
        <w:rPr>
          <w:rFonts w:asciiTheme="majorHAnsi" w:eastAsia="Times New Roman" w:hAnsiTheme="majorHAnsi" w:cstheme="majorHAnsi"/>
          <w:sz w:val="18"/>
          <w:szCs w:val="18"/>
          <w:lang w:val="ru-RU"/>
        </w:rPr>
        <w:t>ФИ</w:t>
      </w:r>
      <w:r w:rsidRPr="006317B1">
        <w:rPr>
          <w:rFonts w:asciiTheme="majorHAnsi" w:eastAsia="Times New Roman" w:hAnsiTheme="majorHAnsi" w:cstheme="majorHAnsi"/>
          <w:sz w:val="18"/>
          <w:szCs w:val="18"/>
          <w:lang w:val="ru-RU"/>
        </w:rPr>
        <w:t xml:space="preserve"> - 7,8</w:t>
      </w:r>
      <w:r w:rsidRPr="006317B1">
        <w:rPr>
          <w:rFonts w:asciiTheme="majorHAnsi" w:hAnsiTheme="majorHAnsi" w:cstheme="majorHAnsi"/>
          <w:sz w:val="18"/>
          <w:szCs w:val="18"/>
          <w:lang w:val="ru-RU"/>
        </w:rPr>
        <w:t xml:space="preserve"> </w:t>
      </w:r>
      <w:r>
        <w:rPr>
          <w:rFonts w:asciiTheme="majorHAnsi" w:hAnsiTheme="majorHAnsi" w:cstheme="majorHAnsi"/>
          <w:sz w:val="18"/>
          <w:szCs w:val="18"/>
          <w:lang w:val="ru-RU"/>
        </w:rPr>
        <w:t>тыс. леев</w:t>
      </w:r>
      <w:r w:rsidRPr="009950DF">
        <w:rPr>
          <w:rFonts w:asciiTheme="majorHAnsi" w:eastAsia="Times New Roman" w:hAnsiTheme="majorHAnsi" w:cstheme="majorHAnsi"/>
          <w:sz w:val="18"/>
          <w:szCs w:val="18"/>
          <w:lang w:val="ro-RO"/>
        </w:rPr>
        <w:t>).</w:t>
      </w:r>
      <w:r w:rsidRPr="009950DF">
        <w:rPr>
          <w:rFonts w:asciiTheme="majorHAnsi" w:hAnsiTheme="majorHAnsi" w:cstheme="majorHAnsi"/>
          <w:sz w:val="18"/>
          <w:szCs w:val="18"/>
          <w:lang w:val="ro-RO"/>
        </w:rPr>
        <w:t xml:space="preserve">  </w:t>
      </w:r>
    </w:p>
  </w:footnote>
  <w:footnote w:id="6">
    <w:p w:rsidR="0010561E" w:rsidRPr="009950DF" w:rsidRDefault="0010561E" w:rsidP="00EC3BA6">
      <w:pPr>
        <w:pStyle w:val="FootnoteText"/>
        <w:rPr>
          <w:rFonts w:asciiTheme="majorHAnsi" w:hAnsiTheme="majorHAnsi" w:cstheme="majorHAnsi"/>
          <w:sz w:val="18"/>
          <w:szCs w:val="18"/>
          <w:lang w:val="ro-RO"/>
        </w:rPr>
      </w:pPr>
      <w:r w:rsidRPr="009950DF">
        <w:rPr>
          <w:rStyle w:val="FootnoteReference"/>
          <w:rFonts w:asciiTheme="majorHAnsi" w:hAnsiTheme="majorHAnsi" w:cstheme="majorHAnsi"/>
          <w:sz w:val="18"/>
          <w:szCs w:val="18"/>
        </w:rPr>
        <w:footnoteRef/>
      </w:r>
      <w:r w:rsidRPr="009271AB">
        <w:rPr>
          <w:rFonts w:asciiTheme="majorHAnsi" w:hAnsiTheme="majorHAnsi" w:cstheme="majorHAnsi"/>
          <w:sz w:val="18"/>
          <w:szCs w:val="18"/>
          <w:lang w:val="ru-RU"/>
        </w:rPr>
        <w:t xml:space="preserve"> </w:t>
      </w:r>
      <w:r>
        <w:rPr>
          <w:rFonts w:asciiTheme="majorHAnsi" w:eastAsia="Times New Roman" w:hAnsiTheme="majorHAnsi" w:cstheme="majorHAnsi"/>
          <w:sz w:val="18"/>
          <w:szCs w:val="18"/>
          <w:lang w:val="ru-RU"/>
        </w:rPr>
        <w:t>П</w:t>
      </w:r>
      <w:r w:rsidRPr="009271AB">
        <w:rPr>
          <w:rFonts w:asciiTheme="majorHAnsi" w:hAnsiTheme="majorHAnsi" w:cstheme="majorHAnsi"/>
          <w:sz w:val="18"/>
          <w:szCs w:val="18"/>
          <w:lang w:val="ru-RU"/>
        </w:rPr>
        <w:t xml:space="preserve">. 3.3 </w:t>
      </w:r>
      <w:r>
        <w:rPr>
          <w:rFonts w:asciiTheme="majorHAnsi" w:hAnsiTheme="majorHAnsi" w:cstheme="majorHAnsi"/>
          <w:sz w:val="18"/>
          <w:szCs w:val="18"/>
          <w:lang w:val="ru-RU"/>
        </w:rPr>
        <w:t>и</w:t>
      </w:r>
      <w:r w:rsidRPr="009271AB">
        <w:rPr>
          <w:rFonts w:asciiTheme="majorHAnsi" w:hAnsiTheme="majorHAnsi" w:cstheme="majorHAnsi"/>
          <w:sz w:val="18"/>
          <w:szCs w:val="18"/>
          <w:lang w:val="ru-RU"/>
        </w:rPr>
        <w:t xml:space="preserve"> </w:t>
      </w:r>
      <w:r>
        <w:rPr>
          <w:rFonts w:asciiTheme="majorHAnsi" w:hAnsiTheme="majorHAnsi" w:cstheme="majorHAnsi"/>
          <w:sz w:val="18"/>
          <w:szCs w:val="18"/>
          <w:lang w:val="ru-RU"/>
        </w:rPr>
        <w:t>п</w:t>
      </w:r>
      <w:r w:rsidRPr="009271AB">
        <w:rPr>
          <w:rFonts w:asciiTheme="majorHAnsi" w:hAnsiTheme="majorHAnsi" w:cstheme="majorHAnsi"/>
          <w:sz w:val="18"/>
          <w:szCs w:val="18"/>
          <w:lang w:val="ru-RU"/>
        </w:rPr>
        <w:t xml:space="preserve">. 5.3.3 </w:t>
      </w:r>
      <w:r>
        <w:rPr>
          <w:rFonts w:asciiTheme="majorHAnsi" w:hAnsiTheme="majorHAnsi" w:cstheme="majorHAnsi"/>
          <w:sz w:val="18"/>
          <w:szCs w:val="18"/>
          <w:lang w:val="ru-RU"/>
        </w:rPr>
        <w:t>из</w:t>
      </w:r>
      <w:r w:rsidRPr="009271AB">
        <w:rPr>
          <w:rFonts w:asciiTheme="majorHAnsi" w:hAnsiTheme="majorHAnsi" w:cstheme="majorHAnsi"/>
          <w:sz w:val="18"/>
          <w:szCs w:val="18"/>
          <w:lang w:val="ru-RU"/>
        </w:rPr>
        <w:t xml:space="preserve"> </w:t>
      </w:r>
      <w:r w:rsidRPr="009950DF">
        <w:rPr>
          <w:rFonts w:ascii="Calibri Light" w:hAnsi="Calibri Light" w:cstheme="majorHAnsi"/>
          <w:sz w:val="18"/>
          <w:szCs w:val="18"/>
          <w:lang w:val="ru-RU"/>
        </w:rPr>
        <w:t>Методологически</w:t>
      </w:r>
      <w:r>
        <w:rPr>
          <w:rFonts w:ascii="Calibri Light" w:hAnsi="Calibri Light" w:cstheme="majorHAnsi"/>
          <w:sz w:val="18"/>
          <w:szCs w:val="18"/>
          <w:lang w:val="ru-RU"/>
        </w:rPr>
        <w:t>х</w:t>
      </w:r>
      <w:r w:rsidRPr="009271AB">
        <w:rPr>
          <w:rFonts w:ascii="Calibri Light" w:hAnsi="Calibri Light" w:cstheme="majorHAnsi"/>
          <w:sz w:val="18"/>
          <w:szCs w:val="18"/>
          <w:lang w:val="ru-RU"/>
        </w:rPr>
        <w:t xml:space="preserve"> </w:t>
      </w:r>
      <w:r w:rsidRPr="009950DF">
        <w:rPr>
          <w:rFonts w:ascii="Calibri Light" w:hAnsi="Calibri Light" w:cstheme="majorHAnsi"/>
          <w:sz w:val="18"/>
          <w:szCs w:val="18"/>
          <w:lang w:val="ru-RU"/>
        </w:rPr>
        <w:t>норм</w:t>
      </w:r>
      <w:r w:rsidRPr="009271AB">
        <w:rPr>
          <w:rFonts w:ascii="Calibri Light" w:hAnsi="Calibri Light" w:cstheme="majorHAnsi"/>
          <w:sz w:val="18"/>
          <w:szCs w:val="18"/>
          <w:lang w:val="ru-RU"/>
        </w:rPr>
        <w:t xml:space="preserve"> </w:t>
      </w:r>
      <w:r w:rsidRPr="009950DF">
        <w:rPr>
          <w:rFonts w:ascii="Calibri Light" w:hAnsi="Calibri Light" w:cstheme="majorHAnsi"/>
          <w:sz w:val="18"/>
          <w:szCs w:val="18"/>
          <w:lang w:val="ru-RU"/>
        </w:rPr>
        <w:t>организации</w:t>
      </w:r>
      <w:r w:rsidRPr="009271AB">
        <w:rPr>
          <w:rFonts w:ascii="Calibri Light" w:hAnsi="Calibri Light" w:cstheme="majorHAnsi"/>
          <w:sz w:val="18"/>
          <w:szCs w:val="18"/>
          <w:lang w:val="ru-RU"/>
        </w:rPr>
        <w:t xml:space="preserve"> </w:t>
      </w:r>
      <w:r w:rsidRPr="009950DF">
        <w:rPr>
          <w:rFonts w:ascii="Calibri Light" w:hAnsi="Calibri Light" w:cstheme="majorHAnsi"/>
          <w:sz w:val="18"/>
          <w:szCs w:val="18"/>
          <w:lang w:val="ru-RU"/>
        </w:rPr>
        <w:t>бухгалтерского</w:t>
      </w:r>
      <w:r w:rsidRPr="009271AB">
        <w:rPr>
          <w:rFonts w:ascii="Calibri Light" w:hAnsi="Calibri Light" w:cstheme="majorHAnsi"/>
          <w:sz w:val="18"/>
          <w:szCs w:val="18"/>
          <w:lang w:val="ru-RU"/>
        </w:rPr>
        <w:t xml:space="preserve"> </w:t>
      </w:r>
      <w:r w:rsidRPr="009950DF">
        <w:rPr>
          <w:rFonts w:ascii="Calibri Light" w:hAnsi="Calibri Light" w:cstheme="majorHAnsi"/>
          <w:sz w:val="18"/>
          <w:szCs w:val="18"/>
          <w:lang w:val="ru-RU"/>
        </w:rPr>
        <w:t>учета</w:t>
      </w:r>
      <w:r w:rsidRPr="009271AB">
        <w:rPr>
          <w:rFonts w:ascii="Calibri Light" w:hAnsi="Calibri Light" w:cstheme="majorHAnsi"/>
          <w:sz w:val="18"/>
          <w:szCs w:val="18"/>
          <w:lang w:val="ru-RU"/>
        </w:rPr>
        <w:t xml:space="preserve"> </w:t>
      </w:r>
      <w:r w:rsidRPr="009950DF">
        <w:rPr>
          <w:rFonts w:ascii="Calibri Light" w:hAnsi="Calibri Light" w:cstheme="majorHAnsi"/>
          <w:sz w:val="18"/>
          <w:szCs w:val="18"/>
          <w:lang w:val="ru-RU"/>
        </w:rPr>
        <w:t>и</w:t>
      </w:r>
      <w:r w:rsidRPr="009271AB">
        <w:rPr>
          <w:rFonts w:ascii="Calibri Light" w:hAnsi="Calibri Light" w:cstheme="majorHAnsi"/>
          <w:sz w:val="18"/>
          <w:szCs w:val="18"/>
          <w:lang w:val="ru-RU"/>
        </w:rPr>
        <w:t xml:space="preserve"> </w:t>
      </w:r>
      <w:r w:rsidRPr="009950DF">
        <w:rPr>
          <w:rFonts w:ascii="Calibri Light" w:hAnsi="Calibri Light" w:cstheme="majorHAnsi"/>
          <w:sz w:val="18"/>
          <w:szCs w:val="18"/>
          <w:lang w:val="ru-RU"/>
        </w:rPr>
        <w:t>финансовой</w:t>
      </w:r>
      <w:r w:rsidRPr="009271AB">
        <w:rPr>
          <w:rFonts w:ascii="Calibri Light" w:hAnsi="Calibri Light" w:cstheme="majorHAnsi"/>
          <w:sz w:val="18"/>
          <w:szCs w:val="18"/>
          <w:lang w:val="ru-RU"/>
        </w:rPr>
        <w:t xml:space="preserve"> </w:t>
      </w:r>
      <w:r w:rsidRPr="009950DF">
        <w:rPr>
          <w:rFonts w:ascii="Calibri Light" w:hAnsi="Calibri Light" w:cstheme="majorHAnsi"/>
          <w:sz w:val="18"/>
          <w:szCs w:val="18"/>
          <w:lang w:val="ru-RU"/>
        </w:rPr>
        <w:t>отчетности</w:t>
      </w:r>
      <w:r w:rsidRPr="009271AB">
        <w:rPr>
          <w:rFonts w:ascii="Calibri Light" w:hAnsi="Calibri Light" w:cstheme="majorHAnsi"/>
          <w:sz w:val="18"/>
          <w:szCs w:val="18"/>
          <w:lang w:val="ru-RU"/>
        </w:rPr>
        <w:t xml:space="preserve"> </w:t>
      </w:r>
      <w:r w:rsidRPr="009950DF">
        <w:rPr>
          <w:rFonts w:ascii="Calibri Light" w:hAnsi="Calibri Light" w:cstheme="majorHAnsi"/>
          <w:sz w:val="18"/>
          <w:szCs w:val="18"/>
          <w:lang w:val="ru-RU"/>
        </w:rPr>
        <w:t>бюджетных</w:t>
      </w:r>
      <w:r w:rsidRPr="009271AB">
        <w:rPr>
          <w:rFonts w:ascii="Calibri Light" w:hAnsi="Calibri Light" w:cstheme="majorHAnsi"/>
          <w:sz w:val="18"/>
          <w:szCs w:val="18"/>
          <w:lang w:val="ru-RU"/>
        </w:rPr>
        <w:t xml:space="preserve"> </w:t>
      </w:r>
      <w:r w:rsidRPr="009950DF">
        <w:rPr>
          <w:rFonts w:ascii="Calibri Light" w:hAnsi="Calibri Light" w:cstheme="majorHAnsi"/>
          <w:sz w:val="18"/>
          <w:szCs w:val="18"/>
          <w:lang w:val="ru-RU"/>
        </w:rPr>
        <w:t>учреждений</w:t>
      </w:r>
      <w:r w:rsidRPr="009271AB">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утвержденных</w:t>
      </w:r>
      <w:r w:rsidRPr="009271AB">
        <w:rPr>
          <w:rFonts w:ascii="Calibri Light" w:hAnsi="Calibri Light" w:cstheme="majorHAnsi"/>
          <w:sz w:val="18"/>
          <w:szCs w:val="18"/>
          <w:lang w:val="ru-RU"/>
        </w:rPr>
        <w:t xml:space="preserve"> </w:t>
      </w:r>
      <w:r w:rsidRPr="009950DF">
        <w:rPr>
          <w:rFonts w:ascii="Calibri Light" w:hAnsi="Calibri Light" w:cstheme="majorHAnsi"/>
          <w:sz w:val="18"/>
          <w:szCs w:val="18"/>
          <w:lang w:val="ru-RU"/>
        </w:rPr>
        <w:t>Приказ</w:t>
      </w:r>
      <w:r>
        <w:rPr>
          <w:rFonts w:ascii="Calibri Light" w:hAnsi="Calibri Light" w:cstheme="majorHAnsi"/>
          <w:sz w:val="18"/>
          <w:szCs w:val="18"/>
          <w:lang w:val="ru-RU"/>
        </w:rPr>
        <w:t>ом</w:t>
      </w:r>
      <w:r w:rsidRPr="009271AB">
        <w:rPr>
          <w:rFonts w:ascii="Calibri Light" w:hAnsi="Calibri Light" w:cstheme="majorHAnsi"/>
          <w:sz w:val="18"/>
          <w:szCs w:val="18"/>
          <w:lang w:val="ru-RU"/>
        </w:rPr>
        <w:t xml:space="preserve"> </w:t>
      </w:r>
      <w:r w:rsidRPr="009950DF">
        <w:rPr>
          <w:rFonts w:ascii="Calibri Light" w:hAnsi="Calibri Light" w:cstheme="majorHAnsi"/>
          <w:sz w:val="18"/>
          <w:szCs w:val="18"/>
          <w:lang w:val="ru-RU"/>
        </w:rPr>
        <w:t>министра</w:t>
      </w:r>
      <w:r w:rsidRPr="009271AB">
        <w:rPr>
          <w:rFonts w:ascii="Calibri Light" w:hAnsi="Calibri Light" w:cstheme="majorHAnsi"/>
          <w:sz w:val="18"/>
          <w:szCs w:val="18"/>
          <w:lang w:val="ru-RU"/>
        </w:rPr>
        <w:t xml:space="preserve"> </w:t>
      </w:r>
      <w:r w:rsidRPr="009950DF">
        <w:rPr>
          <w:rFonts w:ascii="Calibri Light" w:hAnsi="Calibri Light" w:cstheme="majorHAnsi"/>
          <w:sz w:val="18"/>
          <w:szCs w:val="18"/>
          <w:lang w:val="ru-RU"/>
        </w:rPr>
        <w:t>финансов</w:t>
      </w:r>
      <w:r w:rsidRPr="009271AB">
        <w:rPr>
          <w:rFonts w:ascii="Calibri Light" w:hAnsi="Calibri Light" w:cstheme="majorHAnsi"/>
          <w:sz w:val="18"/>
          <w:szCs w:val="18"/>
          <w:lang w:val="ru-RU"/>
        </w:rPr>
        <w:t xml:space="preserve"> №216 </w:t>
      </w:r>
      <w:r w:rsidRPr="009950DF">
        <w:rPr>
          <w:rFonts w:ascii="Calibri Light" w:hAnsi="Calibri Light" w:cstheme="majorHAnsi"/>
          <w:sz w:val="18"/>
          <w:szCs w:val="18"/>
          <w:lang w:val="ru-RU"/>
        </w:rPr>
        <w:t>от</w:t>
      </w:r>
      <w:r w:rsidRPr="009271AB">
        <w:rPr>
          <w:rFonts w:ascii="Calibri Light" w:hAnsi="Calibri Light" w:cstheme="majorHAnsi"/>
          <w:sz w:val="18"/>
          <w:szCs w:val="18"/>
          <w:lang w:val="ru-RU"/>
        </w:rPr>
        <w:t xml:space="preserve"> </w:t>
      </w:r>
      <w:r w:rsidRPr="009950DF">
        <w:rPr>
          <w:rFonts w:ascii="Calibri Light" w:eastAsia="Times New Roman" w:hAnsi="Calibri Light" w:cstheme="majorHAnsi"/>
          <w:sz w:val="18"/>
          <w:szCs w:val="18"/>
          <w:lang w:val="ro-RO"/>
        </w:rPr>
        <w:t>28.12.2015</w:t>
      </w:r>
      <w:r w:rsidRPr="009950DF">
        <w:rPr>
          <w:rFonts w:asciiTheme="majorHAnsi" w:eastAsia="Times New Roman" w:hAnsiTheme="majorHAnsi" w:cstheme="majorHAnsi"/>
          <w:sz w:val="18"/>
          <w:szCs w:val="18"/>
          <w:lang w:val="ro-RO"/>
        </w:rPr>
        <w:t>.</w:t>
      </w:r>
    </w:p>
  </w:footnote>
  <w:footnote w:id="7">
    <w:p w:rsidR="0010561E" w:rsidRPr="009271AB" w:rsidRDefault="0010561E" w:rsidP="00EC3BA6">
      <w:pPr>
        <w:pStyle w:val="FootnoteText"/>
        <w:rPr>
          <w:rFonts w:asciiTheme="majorHAnsi" w:hAnsiTheme="majorHAnsi" w:cstheme="majorHAnsi"/>
          <w:sz w:val="18"/>
          <w:szCs w:val="18"/>
          <w:lang w:val="ro-RO"/>
        </w:rPr>
      </w:pPr>
      <w:r w:rsidRPr="009950DF">
        <w:rPr>
          <w:rStyle w:val="FootnoteReference"/>
          <w:rFonts w:asciiTheme="majorHAnsi" w:hAnsiTheme="majorHAnsi" w:cstheme="majorHAnsi"/>
          <w:sz w:val="18"/>
          <w:szCs w:val="18"/>
        </w:rPr>
        <w:footnoteRef/>
      </w:r>
      <w:r w:rsidRPr="009271AB">
        <w:rPr>
          <w:rFonts w:asciiTheme="majorHAnsi" w:hAnsiTheme="majorHAnsi" w:cstheme="majorHAnsi"/>
          <w:sz w:val="18"/>
          <w:szCs w:val="18"/>
          <w:lang w:val="ro-RO"/>
        </w:rPr>
        <w:t xml:space="preserve"> </w:t>
      </w:r>
      <w:r w:rsidRPr="009271AB">
        <w:rPr>
          <w:rFonts w:asciiTheme="majorHAnsi" w:eastAsia="Times New Roman" w:hAnsiTheme="majorHAnsi" w:cstheme="majorHAnsi"/>
          <w:sz w:val="18"/>
          <w:szCs w:val="18"/>
          <w:lang w:val="ro-RO"/>
        </w:rPr>
        <w:t>П</w:t>
      </w:r>
      <w:r w:rsidRPr="009271AB">
        <w:rPr>
          <w:rFonts w:asciiTheme="majorHAnsi" w:hAnsiTheme="majorHAnsi" w:cstheme="majorHAnsi"/>
          <w:sz w:val="18"/>
          <w:szCs w:val="18"/>
          <w:lang w:val="ro-RO"/>
        </w:rPr>
        <w:t xml:space="preserve">. 3.3 из </w:t>
      </w:r>
      <w:r w:rsidRPr="009271AB">
        <w:rPr>
          <w:rFonts w:ascii="Calibri Light" w:hAnsi="Calibri Light" w:cstheme="majorHAnsi"/>
          <w:sz w:val="18"/>
          <w:szCs w:val="18"/>
          <w:lang w:val="ro-RO"/>
        </w:rPr>
        <w:t xml:space="preserve">Методологических норм организации бухгалтерского учета и финансовой отчетности бюджетных учреждений, утвержденных Приказом министра финансов №216 от </w:t>
      </w:r>
      <w:r w:rsidRPr="009950DF">
        <w:rPr>
          <w:rFonts w:ascii="Calibri Light" w:eastAsia="Times New Roman" w:hAnsi="Calibri Light" w:cstheme="majorHAnsi"/>
          <w:sz w:val="18"/>
          <w:szCs w:val="18"/>
          <w:lang w:val="ro-RO"/>
        </w:rPr>
        <w:t>28.12.2015</w:t>
      </w:r>
      <w:r w:rsidRPr="009950DF">
        <w:rPr>
          <w:rFonts w:asciiTheme="majorHAnsi" w:eastAsia="Times New Roman" w:hAnsiTheme="majorHAnsi" w:cstheme="majorHAnsi"/>
          <w:sz w:val="18"/>
          <w:szCs w:val="18"/>
          <w:lang w:val="ro-RO"/>
        </w:rPr>
        <w:t>.</w:t>
      </w:r>
    </w:p>
  </w:footnote>
  <w:footnote w:id="8">
    <w:p w:rsidR="0010561E" w:rsidRPr="009271AB" w:rsidRDefault="0010561E" w:rsidP="00012B7B">
      <w:pPr>
        <w:pStyle w:val="FootnoteText"/>
        <w:rPr>
          <w:rFonts w:asciiTheme="majorHAnsi" w:hAnsiTheme="majorHAnsi" w:cstheme="majorHAnsi"/>
          <w:sz w:val="18"/>
          <w:szCs w:val="18"/>
          <w:lang w:val="ro-RO"/>
        </w:rPr>
      </w:pPr>
      <w:r w:rsidRPr="009950DF">
        <w:rPr>
          <w:rStyle w:val="FootnoteReference"/>
          <w:rFonts w:asciiTheme="majorHAnsi" w:hAnsiTheme="majorHAnsi" w:cstheme="majorHAnsi"/>
          <w:sz w:val="18"/>
          <w:szCs w:val="18"/>
        </w:rPr>
        <w:footnoteRef/>
      </w:r>
      <w:r w:rsidRPr="009271AB">
        <w:rPr>
          <w:rFonts w:asciiTheme="majorHAnsi" w:hAnsiTheme="majorHAnsi" w:cstheme="majorHAnsi"/>
          <w:sz w:val="18"/>
          <w:szCs w:val="18"/>
          <w:lang w:val="ro-RO"/>
        </w:rPr>
        <w:t xml:space="preserve"> </w:t>
      </w:r>
      <w:r w:rsidRPr="009271AB">
        <w:rPr>
          <w:rFonts w:asciiTheme="majorHAnsi" w:eastAsia="Times New Roman" w:hAnsiTheme="majorHAnsi" w:cstheme="majorHAnsi"/>
          <w:sz w:val="18"/>
          <w:szCs w:val="18"/>
          <w:lang w:val="ro-RO"/>
        </w:rPr>
        <w:t>П</w:t>
      </w:r>
      <w:r w:rsidRPr="009271AB">
        <w:rPr>
          <w:rFonts w:asciiTheme="majorHAnsi" w:hAnsiTheme="majorHAnsi" w:cstheme="majorHAnsi"/>
          <w:sz w:val="18"/>
          <w:szCs w:val="18"/>
          <w:lang w:val="ro-RO"/>
        </w:rPr>
        <w:t xml:space="preserve">. 1.4.5 из </w:t>
      </w:r>
      <w:r w:rsidRPr="009271AB">
        <w:rPr>
          <w:rFonts w:ascii="Calibri Light" w:hAnsi="Calibri Light" w:cstheme="majorHAnsi"/>
          <w:sz w:val="18"/>
          <w:szCs w:val="18"/>
          <w:lang w:val="ro-RO"/>
        </w:rPr>
        <w:t xml:space="preserve">Методологических норм организации бухгалтерского учета и финансовой отчетности бюджетных учреждений, утвержденных Приказом министра финансов №216 от </w:t>
      </w:r>
      <w:r w:rsidRPr="009950DF">
        <w:rPr>
          <w:rFonts w:ascii="Calibri Light" w:eastAsia="Times New Roman" w:hAnsi="Calibri Light" w:cstheme="majorHAnsi"/>
          <w:sz w:val="18"/>
          <w:szCs w:val="18"/>
          <w:lang w:val="ro-RO"/>
        </w:rPr>
        <w:t>28.12.2015</w:t>
      </w:r>
      <w:r w:rsidRPr="009950DF">
        <w:rPr>
          <w:rFonts w:asciiTheme="majorHAnsi" w:eastAsia="Times New Roman" w:hAnsiTheme="majorHAnsi" w:cstheme="majorHAnsi"/>
          <w:sz w:val="18"/>
          <w:szCs w:val="18"/>
          <w:lang w:val="ro-RO"/>
        </w:rPr>
        <w:t>.</w:t>
      </w:r>
    </w:p>
  </w:footnote>
  <w:footnote w:id="9">
    <w:p w:rsidR="0010561E" w:rsidRPr="009950DF" w:rsidRDefault="0010561E" w:rsidP="00012B7B">
      <w:pPr>
        <w:pStyle w:val="FootnoteText"/>
        <w:rPr>
          <w:rFonts w:asciiTheme="majorHAnsi" w:hAnsiTheme="majorHAnsi" w:cstheme="majorHAnsi"/>
          <w:sz w:val="18"/>
          <w:szCs w:val="18"/>
          <w:lang w:val="ro-RO"/>
        </w:rPr>
      </w:pPr>
      <w:r w:rsidRPr="009950DF">
        <w:rPr>
          <w:rStyle w:val="FootnoteReference"/>
          <w:rFonts w:asciiTheme="majorHAnsi" w:hAnsiTheme="majorHAnsi" w:cstheme="majorHAnsi"/>
          <w:sz w:val="18"/>
          <w:szCs w:val="18"/>
        </w:rPr>
        <w:footnoteRef/>
      </w:r>
      <w:r w:rsidRPr="009271AB">
        <w:rPr>
          <w:rFonts w:asciiTheme="majorHAnsi" w:hAnsiTheme="majorHAnsi" w:cstheme="majorHAnsi"/>
          <w:sz w:val="18"/>
          <w:szCs w:val="18"/>
          <w:lang w:val="ro-RO"/>
        </w:rPr>
        <w:t xml:space="preserve"> П</w:t>
      </w:r>
      <w:r w:rsidRPr="009950DF">
        <w:rPr>
          <w:rFonts w:asciiTheme="majorHAnsi" w:hAnsiTheme="majorHAnsi" w:cstheme="majorHAnsi"/>
          <w:sz w:val="18"/>
          <w:szCs w:val="18"/>
          <w:lang w:val="ro-RO"/>
        </w:rPr>
        <w:t>. 1.4.5</w:t>
      </w:r>
      <w:r w:rsidRPr="009271AB">
        <w:rPr>
          <w:rFonts w:asciiTheme="majorHAnsi" w:hAnsiTheme="majorHAnsi" w:cstheme="majorHAnsi"/>
          <w:sz w:val="18"/>
          <w:szCs w:val="18"/>
          <w:lang w:val="ro-RO"/>
        </w:rPr>
        <w:t xml:space="preserve"> из </w:t>
      </w:r>
      <w:r w:rsidRPr="009271AB">
        <w:rPr>
          <w:rFonts w:ascii="Calibri Light" w:hAnsi="Calibri Light" w:cstheme="majorHAnsi"/>
          <w:sz w:val="18"/>
          <w:szCs w:val="18"/>
          <w:lang w:val="ro-RO"/>
        </w:rPr>
        <w:t xml:space="preserve">Методологических норм организации бухгалтерского учета и финансовой отчетности бюджетных учреждений, утвержденных Приказом министра финансов №216 от </w:t>
      </w:r>
      <w:r w:rsidRPr="009950DF">
        <w:rPr>
          <w:rFonts w:ascii="Calibri Light" w:eastAsia="Times New Roman" w:hAnsi="Calibri Light" w:cstheme="majorHAnsi"/>
          <w:sz w:val="18"/>
          <w:szCs w:val="18"/>
          <w:lang w:val="ro-RO"/>
        </w:rPr>
        <w:t>28.12.2015</w:t>
      </w:r>
      <w:r w:rsidRPr="009950DF">
        <w:rPr>
          <w:rFonts w:asciiTheme="majorHAnsi" w:eastAsia="Times New Roman" w:hAnsiTheme="majorHAnsi" w:cstheme="majorHAnsi"/>
          <w:sz w:val="18"/>
          <w:szCs w:val="18"/>
          <w:lang w:val="ro-RO"/>
        </w:rPr>
        <w:t>.</w:t>
      </w:r>
      <w:r w:rsidRPr="009950DF">
        <w:rPr>
          <w:rFonts w:asciiTheme="majorHAnsi" w:hAnsiTheme="majorHAnsi" w:cstheme="majorHAnsi"/>
          <w:sz w:val="18"/>
          <w:szCs w:val="18"/>
          <w:lang w:val="ro-RO"/>
        </w:rPr>
        <w:t xml:space="preserve"> </w:t>
      </w:r>
    </w:p>
  </w:footnote>
  <w:footnote w:id="10">
    <w:p w:rsidR="0010561E" w:rsidRPr="009950DF" w:rsidRDefault="0010561E" w:rsidP="0010561E">
      <w:pPr>
        <w:spacing w:after="0" w:line="240" w:lineRule="auto"/>
        <w:rPr>
          <w:rFonts w:asciiTheme="majorHAnsi" w:eastAsia="Calibri" w:hAnsiTheme="majorHAnsi" w:cstheme="majorHAnsi"/>
          <w:sz w:val="18"/>
          <w:szCs w:val="18"/>
          <w:lang w:val="ro-RO"/>
        </w:rPr>
      </w:pPr>
      <w:r w:rsidRPr="009950DF">
        <w:rPr>
          <w:rStyle w:val="FootnoteReference"/>
          <w:rFonts w:asciiTheme="majorHAnsi" w:hAnsiTheme="majorHAnsi" w:cstheme="majorHAnsi"/>
          <w:sz w:val="18"/>
          <w:szCs w:val="18"/>
        </w:rPr>
        <w:footnoteRef/>
      </w:r>
      <w:r w:rsidRPr="009271AB">
        <w:rPr>
          <w:rFonts w:asciiTheme="majorHAnsi" w:hAnsiTheme="majorHAnsi" w:cstheme="majorHAnsi"/>
          <w:sz w:val="18"/>
          <w:szCs w:val="18"/>
          <w:lang w:val="ro-RO"/>
        </w:rPr>
        <w:t xml:space="preserve"> П. 3.2 из </w:t>
      </w:r>
      <w:r w:rsidRPr="009271AB">
        <w:rPr>
          <w:rFonts w:ascii="Calibri Light" w:hAnsi="Calibri Light" w:cstheme="majorHAnsi"/>
          <w:sz w:val="18"/>
          <w:szCs w:val="18"/>
          <w:lang w:val="ro-RO"/>
        </w:rPr>
        <w:t xml:space="preserve">Методологических норм организации бухгалтерского учета и финансовой отчетности бюджетных учреждений, утвержденных Приказом министра финансов №216 от </w:t>
      </w:r>
      <w:r w:rsidRPr="009950DF">
        <w:rPr>
          <w:rFonts w:ascii="Calibri Light" w:eastAsia="Times New Roman" w:hAnsi="Calibri Light" w:cstheme="majorHAnsi"/>
          <w:sz w:val="18"/>
          <w:szCs w:val="18"/>
          <w:lang w:val="ro-RO"/>
        </w:rPr>
        <w:t>28.12.2015</w:t>
      </w:r>
      <w:r w:rsidRPr="009950DF">
        <w:rPr>
          <w:rFonts w:asciiTheme="majorHAnsi" w:eastAsia="Times New Roman" w:hAnsiTheme="majorHAnsi" w:cstheme="majorHAnsi"/>
          <w:sz w:val="18"/>
          <w:szCs w:val="18"/>
          <w:lang w:val="ro-RO"/>
        </w:rPr>
        <w:t>.</w:t>
      </w:r>
    </w:p>
  </w:footnote>
  <w:footnote w:id="11">
    <w:p w:rsidR="0010561E" w:rsidRPr="009950DF" w:rsidRDefault="0010561E" w:rsidP="0010561E">
      <w:pPr>
        <w:spacing w:after="0" w:line="240" w:lineRule="auto"/>
        <w:rPr>
          <w:rFonts w:asciiTheme="majorHAnsi" w:eastAsia="Calibri" w:hAnsiTheme="majorHAnsi" w:cstheme="majorHAnsi"/>
          <w:sz w:val="18"/>
          <w:szCs w:val="18"/>
          <w:lang w:val="ro-RO"/>
        </w:rPr>
      </w:pPr>
      <w:r w:rsidRPr="009950DF">
        <w:rPr>
          <w:rStyle w:val="FootnoteReference"/>
          <w:rFonts w:asciiTheme="majorHAnsi" w:hAnsiTheme="majorHAnsi" w:cstheme="majorHAnsi"/>
          <w:sz w:val="18"/>
          <w:szCs w:val="18"/>
        </w:rPr>
        <w:footnoteRef/>
      </w:r>
      <w:r w:rsidRPr="0010561E">
        <w:rPr>
          <w:rFonts w:asciiTheme="majorHAnsi" w:hAnsiTheme="majorHAnsi" w:cstheme="majorHAnsi"/>
          <w:sz w:val="18"/>
          <w:szCs w:val="18"/>
          <w:lang w:val="ro-RO"/>
        </w:rPr>
        <w:t xml:space="preserve"> П</w:t>
      </w:r>
      <w:r w:rsidRPr="009950DF">
        <w:rPr>
          <w:rFonts w:asciiTheme="majorHAnsi" w:hAnsiTheme="majorHAnsi" w:cstheme="majorHAnsi"/>
          <w:sz w:val="18"/>
          <w:szCs w:val="18"/>
          <w:lang w:val="ro-RO"/>
        </w:rPr>
        <w:t xml:space="preserve">. </w:t>
      </w:r>
      <w:r w:rsidRPr="009950DF">
        <w:rPr>
          <w:rFonts w:asciiTheme="majorHAnsi" w:eastAsia="Times New Roman" w:hAnsiTheme="majorHAnsi" w:cstheme="majorHAnsi"/>
          <w:bCs/>
          <w:sz w:val="18"/>
          <w:szCs w:val="18"/>
          <w:lang w:val="ro-RO"/>
        </w:rPr>
        <w:t xml:space="preserve">3.3.44 </w:t>
      </w:r>
      <w:r w:rsidRPr="0010561E">
        <w:rPr>
          <w:rFonts w:asciiTheme="majorHAnsi" w:eastAsia="Times New Roman" w:hAnsiTheme="majorHAnsi" w:cstheme="majorHAnsi"/>
          <w:bCs/>
          <w:sz w:val="18"/>
          <w:szCs w:val="18"/>
          <w:lang w:val="ro-RO"/>
        </w:rPr>
        <w:t xml:space="preserve">из </w:t>
      </w:r>
      <w:r w:rsidRPr="0010561E">
        <w:rPr>
          <w:rFonts w:ascii="Calibri Light" w:hAnsi="Calibri Light" w:cstheme="majorHAnsi"/>
          <w:sz w:val="18"/>
          <w:szCs w:val="18"/>
          <w:lang w:val="ro-RO"/>
        </w:rPr>
        <w:t>Плана счетов бюджетного учета и Методологических норм организации бухгалтерского учета и финансовой отчетности бюджетных учреждений</w:t>
      </w:r>
      <w:r w:rsidRPr="009950DF">
        <w:rPr>
          <w:rFonts w:asciiTheme="majorHAnsi" w:eastAsia="Times New Roman" w:hAnsiTheme="majorHAnsi" w:cstheme="majorHAnsi"/>
          <w:sz w:val="18"/>
          <w:szCs w:val="18"/>
          <w:lang w:val="ro-RO"/>
        </w:rPr>
        <w:t xml:space="preserve">, </w:t>
      </w:r>
      <w:r w:rsidRPr="009271AB">
        <w:rPr>
          <w:rFonts w:ascii="Calibri Light" w:hAnsi="Calibri Light" w:cstheme="majorHAnsi"/>
          <w:sz w:val="18"/>
          <w:szCs w:val="18"/>
          <w:lang w:val="ro-RO"/>
        </w:rPr>
        <w:t xml:space="preserve">утвержденных Приказом министра финансов №216 от </w:t>
      </w:r>
      <w:r w:rsidRPr="009950DF">
        <w:rPr>
          <w:rFonts w:asciiTheme="majorHAnsi" w:eastAsia="Times New Roman" w:hAnsiTheme="majorHAnsi" w:cstheme="majorHAnsi"/>
          <w:sz w:val="18"/>
          <w:szCs w:val="18"/>
          <w:lang w:val="ro-RO"/>
        </w:rPr>
        <w:t xml:space="preserve">28.12.2015. </w:t>
      </w:r>
    </w:p>
  </w:footnote>
  <w:footnote w:id="12">
    <w:p w:rsidR="0010561E" w:rsidRPr="009950DF" w:rsidRDefault="0010561E" w:rsidP="0010561E">
      <w:pPr>
        <w:spacing w:after="0" w:line="240" w:lineRule="auto"/>
        <w:rPr>
          <w:rFonts w:asciiTheme="majorHAnsi" w:eastAsia="Calibri" w:hAnsiTheme="majorHAnsi" w:cstheme="majorHAnsi"/>
          <w:sz w:val="18"/>
          <w:szCs w:val="18"/>
          <w:lang w:val="ro-RO"/>
        </w:rPr>
      </w:pPr>
      <w:r w:rsidRPr="009950DF">
        <w:rPr>
          <w:rStyle w:val="FootnoteReference"/>
          <w:rFonts w:asciiTheme="majorHAnsi" w:hAnsiTheme="majorHAnsi" w:cstheme="majorHAnsi"/>
          <w:sz w:val="18"/>
          <w:szCs w:val="18"/>
        </w:rPr>
        <w:footnoteRef/>
      </w:r>
      <w:r w:rsidRPr="00A31F1C">
        <w:rPr>
          <w:rFonts w:asciiTheme="majorHAnsi" w:hAnsiTheme="majorHAnsi" w:cstheme="majorHAnsi"/>
          <w:sz w:val="18"/>
          <w:szCs w:val="18"/>
          <w:lang w:val="ro-RO"/>
        </w:rPr>
        <w:t xml:space="preserve"> </w:t>
      </w:r>
      <w:r w:rsidR="00A31F1C" w:rsidRPr="00A31F1C">
        <w:rPr>
          <w:rFonts w:asciiTheme="majorHAnsi" w:hAnsiTheme="majorHAnsi" w:cstheme="majorHAnsi"/>
          <w:sz w:val="18"/>
          <w:szCs w:val="18"/>
          <w:lang w:val="ro-RO"/>
        </w:rPr>
        <w:t>Постановление Правительства №</w:t>
      </w:r>
      <w:r w:rsidRPr="009950DF">
        <w:rPr>
          <w:rFonts w:asciiTheme="majorHAnsi" w:hAnsiTheme="majorHAnsi" w:cstheme="majorHAnsi"/>
          <w:sz w:val="18"/>
          <w:szCs w:val="18"/>
          <w:lang w:val="ro-RO"/>
        </w:rPr>
        <w:t xml:space="preserve">338 </w:t>
      </w:r>
      <w:r w:rsidR="00A31F1C" w:rsidRPr="00A31F1C">
        <w:rPr>
          <w:rFonts w:asciiTheme="majorHAnsi" w:hAnsiTheme="majorHAnsi" w:cstheme="majorHAnsi"/>
          <w:sz w:val="18"/>
          <w:szCs w:val="18"/>
          <w:lang w:val="ro-RO"/>
        </w:rPr>
        <w:t xml:space="preserve">от </w:t>
      </w:r>
      <w:r w:rsidRPr="009950DF">
        <w:rPr>
          <w:rFonts w:asciiTheme="majorHAnsi" w:hAnsiTheme="majorHAnsi" w:cstheme="majorHAnsi"/>
          <w:sz w:val="18"/>
          <w:szCs w:val="18"/>
          <w:lang w:val="ro-RO"/>
        </w:rPr>
        <w:t>21.03.2003 „</w:t>
      </w:r>
      <w:r w:rsidR="00A31F1C" w:rsidRPr="00A31F1C">
        <w:rPr>
          <w:rFonts w:asciiTheme="majorHAnsi" w:hAnsiTheme="majorHAnsi" w:cstheme="majorHAnsi"/>
          <w:sz w:val="18"/>
          <w:szCs w:val="18"/>
          <w:lang w:val="ro-RO"/>
        </w:rPr>
        <w:t>Об утверждении Каталога основных средств и нематериальных активов</w:t>
      </w:r>
      <w:r w:rsidRPr="009950DF">
        <w:rPr>
          <w:rFonts w:asciiTheme="majorHAnsi" w:hAnsiTheme="majorHAnsi" w:cstheme="majorHAnsi"/>
          <w:sz w:val="18"/>
          <w:szCs w:val="18"/>
          <w:lang w:val="ro-RO"/>
        </w:rPr>
        <w:t>”.</w:t>
      </w:r>
    </w:p>
  </w:footnote>
  <w:footnote w:id="13">
    <w:p w:rsidR="00440E1A" w:rsidRPr="009950DF" w:rsidRDefault="00440E1A" w:rsidP="00440E1A">
      <w:pPr>
        <w:pStyle w:val="FootnoteText"/>
        <w:rPr>
          <w:rFonts w:asciiTheme="majorHAnsi" w:hAnsiTheme="majorHAnsi" w:cstheme="majorHAnsi"/>
          <w:sz w:val="18"/>
          <w:szCs w:val="18"/>
          <w:lang w:val="ro-RO"/>
        </w:rPr>
      </w:pPr>
      <w:r w:rsidRPr="009950DF">
        <w:rPr>
          <w:rStyle w:val="FootnoteReference"/>
          <w:rFonts w:asciiTheme="majorHAnsi" w:hAnsiTheme="majorHAnsi" w:cstheme="majorHAnsi"/>
          <w:sz w:val="18"/>
          <w:szCs w:val="18"/>
        </w:rPr>
        <w:footnoteRef/>
      </w:r>
      <w:r w:rsidRPr="007D3228">
        <w:rPr>
          <w:rFonts w:asciiTheme="majorHAnsi" w:hAnsiTheme="majorHAnsi" w:cstheme="majorHAnsi"/>
          <w:sz w:val="18"/>
          <w:szCs w:val="18"/>
          <w:lang w:val="ro-RO"/>
        </w:rPr>
        <w:t xml:space="preserve"> </w:t>
      </w:r>
      <w:r w:rsidR="007D3228" w:rsidRPr="007D3228">
        <w:rPr>
          <w:rFonts w:asciiTheme="majorHAnsi" w:hAnsiTheme="majorHAnsi" w:cstheme="majorHAnsi"/>
          <w:sz w:val="18"/>
          <w:szCs w:val="18"/>
          <w:lang w:val="ro-RO"/>
        </w:rPr>
        <w:t xml:space="preserve">НСБУ </w:t>
      </w:r>
      <w:r w:rsidRPr="007D3228">
        <w:rPr>
          <w:rFonts w:asciiTheme="majorHAnsi" w:hAnsiTheme="majorHAnsi" w:cstheme="majorHAnsi"/>
          <w:bCs/>
          <w:sz w:val="18"/>
          <w:szCs w:val="18"/>
          <w:shd w:val="clear" w:color="auto" w:fill="FFFFFF"/>
          <w:lang w:val="ro-RO"/>
        </w:rPr>
        <w:t>13 „</w:t>
      </w:r>
      <w:r w:rsidR="007D3228" w:rsidRPr="007D3228">
        <w:rPr>
          <w:rFonts w:asciiTheme="majorHAnsi" w:hAnsiTheme="majorHAnsi" w:cstheme="majorHAnsi"/>
          <w:bCs/>
          <w:sz w:val="18"/>
          <w:szCs w:val="18"/>
          <w:shd w:val="clear" w:color="auto" w:fill="FFFFFF"/>
          <w:lang w:val="ro-RO"/>
        </w:rPr>
        <w:t>Учет нематериальных активов</w:t>
      </w:r>
      <w:r w:rsidRPr="007D3228">
        <w:rPr>
          <w:rFonts w:asciiTheme="majorHAnsi" w:hAnsiTheme="majorHAnsi" w:cstheme="majorHAnsi"/>
          <w:bCs/>
          <w:sz w:val="18"/>
          <w:szCs w:val="18"/>
          <w:shd w:val="clear" w:color="auto" w:fill="FFFFFF"/>
          <w:lang w:val="ro-RO"/>
        </w:rPr>
        <w:t>",</w:t>
      </w:r>
      <w:r w:rsidR="007D3228" w:rsidRPr="007D3228">
        <w:rPr>
          <w:rFonts w:asciiTheme="majorHAnsi" w:hAnsiTheme="majorHAnsi" w:cstheme="majorHAnsi"/>
          <w:sz w:val="18"/>
          <w:szCs w:val="18"/>
          <w:shd w:val="clear" w:color="auto" w:fill="FFFFFF"/>
          <w:lang w:val="ro-RO"/>
        </w:rPr>
        <w:t xml:space="preserve"> </w:t>
      </w:r>
      <w:r w:rsidR="007D3228" w:rsidRPr="009271AB">
        <w:rPr>
          <w:rFonts w:ascii="Calibri Light" w:hAnsi="Calibri Light" w:cstheme="majorHAnsi"/>
          <w:sz w:val="18"/>
          <w:szCs w:val="18"/>
          <w:lang w:val="ro-RO"/>
        </w:rPr>
        <w:t>утвержденны</w:t>
      </w:r>
      <w:r w:rsidR="007D3228" w:rsidRPr="007D3228">
        <w:rPr>
          <w:rFonts w:ascii="Calibri Light" w:hAnsi="Calibri Light" w:cstheme="majorHAnsi"/>
          <w:sz w:val="18"/>
          <w:szCs w:val="18"/>
          <w:lang w:val="ro-RO"/>
        </w:rPr>
        <w:t>й</w:t>
      </w:r>
      <w:r w:rsidR="007D3228" w:rsidRPr="009271AB">
        <w:rPr>
          <w:rFonts w:ascii="Calibri Light" w:hAnsi="Calibri Light" w:cstheme="majorHAnsi"/>
          <w:sz w:val="18"/>
          <w:szCs w:val="18"/>
          <w:lang w:val="ro-RO"/>
        </w:rPr>
        <w:t xml:space="preserve"> Приказом министра финансов №16 от </w:t>
      </w:r>
      <w:r w:rsidRPr="009950DF">
        <w:rPr>
          <w:rFonts w:asciiTheme="majorHAnsi" w:hAnsiTheme="majorHAnsi" w:cstheme="majorHAnsi"/>
          <w:sz w:val="18"/>
          <w:szCs w:val="18"/>
          <w:shd w:val="clear" w:color="auto" w:fill="FFFFFF"/>
          <w:lang w:val="ro-RO"/>
        </w:rPr>
        <w:t xml:space="preserve">29 </w:t>
      </w:r>
      <w:r w:rsidR="007D3228">
        <w:rPr>
          <w:rFonts w:asciiTheme="majorHAnsi" w:hAnsiTheme="majorHAnsi" w:cstheme="majorHAnsi"/>
          <w:sz w:val="18"/>
          <w:szCs w:val="18"/>
          <w:shd w:val="clear" w:color="auto" w:fill="FFFFFF"/>
          <w:lang w:val="ru-RU"/>
        </w:rPr>
        <w:t xml:space="preserve">января </w:t>
      </w:r>
      <w:r w:rsidRPr="009950DF">
        <w:rPr>
          <w:rFonts w:asciiTheme="majorHAnsi" w:hAnsiTheme="majorHAnsi" w:cstheme="majorHAnsi"/>
          <w:sz w:val="18"/>
          <w:szCs w:val="18"/>
          <w:shd w:val="clear" w:color="auto" w:fill="FFFFFF"/>
          <w:lang w:val="ro-RO"/>
        </w:rPr>
        <w:t>1999</w:t>
      </w:r>
      <w:r w:rsidR="007D3228">
        <w:rPr>
          <w:rFonts w:asciiTheme="majorHAnsi" w:hAnsiTheme="majorHAnsi" w:cstheme="majorHAnsi"/>
          <w:sz w:val="18"/>
          <w:szCs w:val="18"/>
          <w:shd w:val="clear" w:color="auto" w:fill="FFFFFF"/>
          <w:lang w:val="ru-RU"/>
        </w:rPr>
        <w:t xml:space="preserve"> года</w:t>
      </w:r>
      <w:r w:rsidRPr="009950DF">
        <w:rPr>
          <w:rFonts w:asciiTheme="majorHAnsi" w:hAnsiTheme="majorHAnsi" w:cstheme="majorHAnsi"/>
          <w:sz w:val="18"/>
          <w:szCs w:val="18"/>
          <w:shd w:val="clear" w:color="auto" w:fill="FFFFFF"/>
          <w:lang w:val="ro-RO"/>
        </w:rPr>
        <w:t xml:space="preserve">. </w:t>
      </w:r>
    </w:p>
  </w:footnote>
  <w:footnote w:id="14">
    <w:p w:rsidR="00300765" w:rsidRPr="009E31BB" w:rsidRDefault="00300765" w:rsidP="00300765">
      <w:pPr>
        <w:spacing w:after="0" w:line="240" w:lineRule="auto"/>
        <w:rPr>
          <w:rFonts w:asciiTheme="majorHAnsi" w:eastAsia="Calibri" w:hAnsiTheme="majorHAnsi" w:cstheme="majorHAnsi"/>
          <w:sz w:val="18"/>
          <w:szCs w:val="18"/>
          <w:lang w:val="ru-RU"/>
        </w:rPr>
      </w:pPr>
      <w:r w:rsidRPr="009950DF">
        <w:rPr>
          <w:rStyle w:val="FootnoteReference"/>
          <w:rFonts w:asciiTheme="majorHAnsi" w:hAnsiTheme="majorHAnsi" w:cstheme="majorHAnsi"/>
          <w:sz w:val="18"/>
          <w:szCs w:val="18"/>
          <w:lang w:val="ro-RO"/>
        </w:rPr>
        <w:footnoteRef/>
      </w:r>
      <w:r w:rsidR="009E31BB">
        <w:rPr>
          <w:rFonts w:asciiTheme="majorHAnsi" w:hAnsiTheme="majorHAnsi" w:cstheme="majorHAnsi"/>
          <w:sz w:val="18"/>
          <w:szCs w:val="18"/>
          <w:lang w:val="ro-RO"/>
        </w:rPr>
        <w:t xml:space="preserve"> </w:t>
      </w:r>
      <w:r w:rsidR="009E31BB">
        <w:rPr>
          <w:rFonts w:asciiTheme="majorHAnsi" w:hAnsiTheme="majorHAnsi" w:cstheme="majorHAnsi"/>
          <w:sz w:val="18"/>
          <w:szCs w:val="18"/>
          <w:lang w:val="ru-RU"/>
        </w:rPr>
        <w:t>П</w:t>
      </w:r>
      <w:r w:rsidRPr="009950DF">
        <w:rPr>
          <w:rFonts w:asciiTheme="majorHAnsi" w:hAnsiTheme="majorHAnsi" w:cstheme="majorHAnsi"/>
          <w:sz w:val="18"/>
          <w:szCs w:val="18"/>
          <w:lang w:val="ro-RO"/>
        </w:rPr>
        <w:t>.</w:t>
      </w:r>
      <w:r w:rsidR="009E31BB">
        <w:rPr>
          <w:rFonts w:asciiTheme="majorHAnsi" w:hAnsiTheme="majorHAnsi" w:cstheme="majorHAnsi"/>
          <w:sz w:val="18"/>
          <w:szCs w:val="18"/>
          <w:lang w:val="ro-RO"/>
        </w:rPr>
        <w:t xml:space="preserve">20 </w:t>
      </w:r>
      <w:r w:rsidR="009E31BB">
        <w:rPr>
          <w:rFonts w:asciiTheme="majorHAnsi" w:hAnsiTheme="majorHAnsi" w:cstheme="majorHAnsi"/>
          <w:sz w:val="18"/>
          <w:szCs w:val="18"/>
          <w:lang w:val="ru-RU"/>
        </w:rPr>
        <w:t>и</w:t>
      </w:r>
      <w:r w:rsidRPr="009950DF">
        <w:rPr>
          <w:rFonts w:asciiTheme="majorHAnsi" w:hAnsiTheme="majorHAnsi" w:cstheme="majorHAnsi"/>
          <w:sz w:val="18"/>
          <w:szCs w:val="18"/>
          <w:lang w:val="ro-RO"/>
        </w:rPr>
        <w:t xml:space="preserve"> </w:t>
      </w:r>
      <w:r w:rsidR="009E31BB">
        <w:rPr>
          <w:rFonts w:asciiTheme="majorHAnsi" w:hAnsiTheme="majorHAnsi" w:cstheme="majorHAnsi"/>
          <w:sz w:val="18"/>
          <w:szCs w:val="18"/>
          <w:lang w:val="ru-RU"/>
        </w:rPr>
        <w:t>п</w:t>
      </w:r>
      <w:r w:rsidRPr="009950DF">
        <w:rPr>
          <w:rFonts w:asciiTheme="majorHAnsi" w:hAnsiTheme="majorHAnsi" w:cstheme="majorHAnsi"/>
          <w:sz w:val="18"/>
          <w:szCs w:val="18"/>
          <w:lang w:val="ro-RO"/>
        </w:rPr>
        <w:t xml:space="preserve">.22 </w:t>
      </w:r>
      <w:r w:rsidR="009E31BB">
        <w:rPr>
          <w:rFonts w:asciiTheme="majorHAnsi" w:hAnsiTheme="majorHAnsi" w:cstheme="majorHAnsi"/>
          <w:sz w:val="18"/>
          <w:szCs w:val="18"/>
          <w:lang w:val="ru-RU"/>
        </w:rPr>
        <w:t>из</w:t>
      </w:r>
      <w:r w:rsidR="009E31BB" w:rsidRPr="009E31BB">
        <w:rPr>
          <w:rFonts w:asciiTheme="majorHAnsi" w:hAnsiTheme="majorHAnsi" w:cstheme="majorHAnsi"/>
          <w:sz w:val="18"/>
          <w:szCs w:val="18"/>
          <w:lang w:val="ru-RU"/>
        </w:rPr>
        <w:t xml:space="preserve"> </w:t>
      </w:r>
      <w:r w:rsidR="009E31BB" w:rsidRPr="00A31F1C">
        <w:rPr>
          <w:rFonts w:asciiTheme="majorHAnsi" w:hAnsiTheme="majorHAnsi" w:cstheme="majorHAnsi"/>
          <w:sz w:val="18"/>
          <w:szCs w:val="18"/>
          <w:lang w:val="ro-RO"/>
        </w:rPr>
        <w:t>Каталога основных средств и нематериальных активов</w:t>
      </w:r>
      <w:r w:rsidR="009E31BB">
        <w:rPr>
          <w:rFonts w:asciiTheme="majorHAnsi" w:hAnsiTheme="majorHAnsi" w:cstheme="majorHAnsi"/>
          <w:sz w:val="18"/>
          <w:szCs w:val="18"/>
          <w:lang w:val="ru-RU"/>
        </w:rPr>
        <w:t>,</w:t>
      </w:r>
      <w:r w:rsidR="009E31BB" w:rsidRPr="009E31BB">
        <w:rPr>
          <w:rFonts w:asciiTheme="majorHAnsi" w:hAnsiTheme="majorHAnsi" w:cstheme="majorHAnsi"/>
          <w:sz w:val="18"/>
          <w:szCs w:val="18"/>
          <w:lang w:val="ro-RO"/>
        </w:rPr>
        <w:t xml:space="preserve"> </w:t>
      </w:r>
      <w:r w:rsidR="009E31BB" w:rsidRPr="00A31F1C">
        <w:rPr>
          <w:rFonts w:asciiTheme="majorHAnsi" w:hAnsiTheme="majorHAnsi" w:cstheme="majorHAnsi"/>
          <w:sz w:val="18"/>
          <w:szCs w:val="18"/>
          <w:lang w:val="ro-RO"/>
        </w:rPr>
        <w:t>утвержден</w:t>
      </w:r>
      <w:r w:rsidR="009E31BB">
        <w:rPr>
          <w:rFonts w:asciiTheme="majorHAnsi" w:hAnsiTheme="majorHAnsi" w:cstheme="majorHAnsi"/>
          <w:sz w:val="18"/>
          <w:szCs w:val="18"/>
          <w:lang w:val="ru-RU"/>
        </w:rPr>
        <w:t xml:space="preserve">ого Постановлением Правительства №338 от </w:t>
      </w:r>
      <w:r w:rsidRPr="009950DF">
        <w:rPr>
          <w:rFonts w:asciiTheme="majorHAnsi" w:eastAsia="Times New Roman" w:hAnsiTheme="majorHAnsi" w:cstheme="majorHAnsi"/>
          <w:sz w:val="18"/>
          <w:szCs w:val="18"/>
          <w:lang w:val="ro-RO"/>
        </w:rPr>
        <w:t xml:space="preserve">21.03.2003. </w:t>
      </w:r>
    </w:p>
  </w:footnote>
  <w:footnote w:id="15">
    <w:p w:rsidR="009E31BB" w:rsidRPr="009950DF" w:rsidRDefault="009E31BB" w:rsidP="009E31BB">
      <w:pPr>
        <w:pStyle w:val="FootnoteText"/>
        <w:rPr>
          <w:rFonts w:asciiTheme="majorHAnsi" w:hAnsiTheme="majorHAnsi" w:cstheme="majorHAnsi"/>
          <w:sz w:val="18"/>
          <w:szCs w:val="18"/>
          <w:lang w:val="ro-RO"/>
        </w:rPr>
      </w:pPr>
      <w:r w:rsidRPr="009950DF">
        <w:rPr>
          <w:rStyle w:val="FootnoteReference"/>
          <w:rFonts w:asciiTheme="majorHAnsi" w:hAnsiTheme="majorHAnsi" w:cstheme="majorHAnsi"/>
          <w:sz w:val="18"/>
          <w:szCs w:val="18"/>
        </w:rPr>
        <w:footnoteRef/>
      </w:r>
      <w:r w:rsidRPr="009271AB">
        <w:rPr>
          <w:rFonts w:asciiTheme="majorHAnsi" w:hAnsiTheme="majorHAnsi" w:cstheme="majorHAnsi"/>
          <w:sz w:val="18"/>
          <w:szCs w:val="18"/>
          <w:lang w:val="ro-RO"/>
        </w:rPr>
        <w:t xml:space="preserve"> П. 3.3.9 из </w:t>
      </w:r>
      <w:r w:rsidRPr="009271AB">
        <w:rPr>
          <w:rFonts w:ascii="Calibri Light" w:hAnsi="Calibri Light" w:cstheme="majorHAnsi"/>
          <w:sz w:val="18"/>
          <w:szCs w:val="18"/>
          <w:lang w:val="ro-RO"/>
        </w:rPr>
        <w:t xml:space="preserve">Методологических норм организации бухгалтерского учета и финансовой отчетности бюджетных учреждений, утвержденных Приказом министра финансов №216 от </w:t>
      </w:r>
      <w:r w:rsidRPr="009950DF">
        <w:rPr>
          <w:rFonts w:ascii="Calibri Light" w:eastAsia="Times New Roman" w:hAnsi="Calibri Light" w:cstheme="majorHAnsi"/>
          <w:sz w:val="18"/>
          <w:szCs w:val="18"/>
          <w:lang w:val="ro-RO"/>
        </w:rPr>
        <w:t>28.12.2015</w:t>
      </w:r>
      <w:r w:rsidRPr="009950DF">
        <w:rPr>
          <w:rFonts w:asciiTheme="majorHAnsi" w:eastAsia="Times New Roman" w:hAnsiTheme="majorHAnsi" w:cstheme="majorHAnsi"/>
          <w:sz w:val="18"/>
          <w:szCs w:val="18"/>
          <w:lang w:val="ro-RO"/>
        </w:rPr>
        <w:t>.</w:t>
      </w:r>
    </w:p>
  </w:footnote>
  <w:footnote w:id="16">
    <w:p w:rsidR="004E2B1B" w:rsidRPr="009271AB" w:rsidRDefault="004E2B1B" w:rsidP="004E2B1B">
      <w:pPr>
        <w:pStyle w:val="FootnoteText"/>
        <w:rPr>
          <w:rFonts w:asciiTheme="majorHAnsi" w:hAnsiTheme="majorHAnsi" w:cstheme="majorHAnsi"/>
          <w:sz w:val="18"/>
          <w:szCs w:val="18"/>
          <w:lang w:val="ro-RO"/>
        </w:rPr>
      </w:pPr>
      <w:r w:rsidRPr="009950DF">
        <w:rPr>
          <w:rStyle w:val="FootnoteReference"/>
          <w:rFonts w:asciiTheme="majorHAnsi" w:hAnsiTheme="majorHAnsi" w:cstheme="majorHAnsi"/>
          <w:sz w:val="18"/>
          <w:szCs w:val="18"/>
        </w:rPr>
        <w:footnoteRef/>
      </w:r>
      <w:r w:rsidRPr="009271AB">
        <w:rPr>
          <w:rFonts w:asciiTheme="majorHAnsi" w:hAnsiTheme="majorHAnsi" w:cstheme="majorHAnsi"/>
          <w:sz w:val="18"/>
          <w:szCs w:val="18"/>
          <w:lang w:val="ro-RO"/>
        </w:rPr>
        <w:t xml:space="preserve"> П.</w:t>
      </w:r>
      <w:r w:rsidRPr="009271AB">
        <w:rPr>
          <w:rFonts w:asciiTheme="majorHAnsi" w:eastAsia="Times New Roman" w:hAnsiTheme="majorHAnsi" w:cstheme="majorHAnsi"/>
          <w:bCs/>
          <w:sz w:val="18"/>
          <w:szCs w:val="18"/>
          <w:lang w:val="ro-RO"/>
        </w:rPr>
        <w:t>3.3.41</w:t>
      </w:r>
      <w:r w:rsidRPr="009271AB">
        <w:rPr>
          <w:rFonts w:asciiTheme="majorHAnsi" w:eastAsia="Times New Roman" w:hAnsiTheme="majorHAnsi" w:cstheme="majorHAnsi"/>
          <w:sz w:val="18"/>
          <w:szCs w:val="18"/>
          <w:lang w:val="ro-RO"/>
        </w:rPr>
        <w:t xml:space="preserve"> </w:t>
      </w:r>
      <w:r w:rsidRPr="009271AB">
        <w:rPr>
          <w:rFonts w:asciiTheme="majorHAnsi" w:hAnsiTheme="majorHAnsi" w:cstheme="majorHAnsi"/>
          <w:sz w:val="18"/>
          <w:szCs w:val="18"/>
          <w:lang w:val="ro-RO"/>
        </w:rPr>
        <w:t xml:space="preserve">из </w:t>
      </w:r>
      <w:r w:rsidRPr="009271AB">
        <w:rPr>
          <w:rFonts w:ascii="Calibri Light" w:hAnsi="Calibri Light" w:cstheme="majorHAnsi"/>
          <w:sz w:val="18"/>
          <w:szCs w:val="18"/>
          <w:lang w:val="ro-RO"/>
        </w:rPr>
        <w:t xml:space="preserve">Методологических норм организации бухгалтерского учета и финансовой отчетности бюджетных учреждений, утвержденных Приказом министра финансов №216 от </w:t>
      </w:r>
      <w:r w:rsidRPr="009950DF">
        <w:rPr>
          <w:rFonts w:ascii="Calibri Light" w:eastAsia="Times New Roman" w:hAnsi="Calibri Light" w:cstheme="majorHAnsi"/>
          <w:sz w:val="18"/>
          <w:szCs w:val="18"/>
          <w:lang w:val="ro-RO"/>
        </w:rPr>
        <w:t>28.12.2015</w:t>
      </w:r>
      <w:r w:rsidRPr="009950DF">
        <w:rPr>
          <w:rFonts w:asciiTheme="majorHAnsi" w:eastAsia="Times New Roman" w:hAnsiTheme="majorHAnsi" w:cstheme="majorHAnsi"/>
          <w:sz w:val="18"/>
          <w:szCs w:val="18"/>
          <w:lang w:val="ro-RO"/>
        </w:rPr>
        <w:t>.</w:t>
      </w:r>
    </w:p>
  </w:footnote>
  <w:footnote w:id="17">
    <w:p w:rsidR="0010561E" w:rsidRPr="00D70175" w:rsidRDefault="0010561E" w:rsidP="00B36DD4">
      <w:pPr>
        <w:pStyle w:val="FootnoteText"/>
        <w:rPr>
          <w:rFonts w:ascii="Calibri Light" w:eastAsia="Times New Roman" w:hAnsi="Calibri Light" w:cstheme="majorHAnsi"/>
          <w:sz w:val="18"/>
          <w:szCs w:val="18"/>
          <w:lang w:val="az-Cyrl-AZ"/>
        </w:rPr>
      </w:pPr>
      <w:r w:rsidRPr="009950DF">
        <w:rPr>
          <w:rStyle w:val="FootnoteReference"/>
          <w:rFonts w:asciiTheme="majorHAnsi" w:hAnsiTheme="majorHAnsi" w:cstheme="majorHAnsi"/>
          <w:sz w:val="18"/>
          <w:szCs w:val="18"/>
          <w:lang w:val="ro-RO"/>
        </w:rPr>
        <w:footnoteRef/>
      </w:r>
      <w:r w:rsidRPr="009950DF">
        <w:rPr>
          <w:rFonts w:asciiTheme="majorHAnsi" w:hAnsiTheme="majorHAnsi" w:cstheme="majorHAnsi"/>
          <w:sz w:val="18"/>
          <w:szCs w:val="18"/>
          <w:lang w:val="ro-RO"/>
        </w:rPr>
        <w:t xml:space="preserve"> </w:t>
      </w:r>
      <w:r w:rsidRPr="00A67160">
        <w:rPr>
          <w:rFonts w:ascii="Calibri Light" w:hAnsi="Calibri Light" w:cstheme="majorHAnsi"/>
          <w:sz w:val="18"/>
          <w:szCs w:val="18"/>
          <w:lang w:val="ro-RO"/>
        </w:rPr>
        <w:t xml:space="preserve">Ст.37 (5) Закона о бухгалтерском учете №113-XVI от 27.04.2007; п.1.4.1.3. из приложения №1 к Приказу министра </w:t>
      </w:r>
      <w:r w:rsidRPr="00D70175">
        <w:rPr>
          <w:rFonts w:ascii="Calibri Light" w:hAnsi="Calibri Light" w:cstheme="majorHAnsi"/>
          <w:sz w:val="18"/>
          <w:szCs w:val="18"/>
          <w:lang w:val="az-Cyrl-AZ"/>
        </w:rPr>
        <w:t>финансов №</w:t>
      </w:r>
      <w:r w:rsidRPr="00D70175">
        <w:rPr>
          <w:rFonts w:ascii="Calibri Light" w:eastAsia="Times New Roman" w:hAnsi="Calibri Light" w:cstheme="majorHAnsi"/>
          <w:sz w:val="18"/>
          <w:szCs w:val="18"/>
          <w:lang w:val="az-Cyrl-AZ"/>
        </w:rPr>
        <w:t>216 от 28.12.2015</w:t>
      </w:r>
      <w:r w:rsidRPr="00D70175">
        <w:rPr>
          <w:rFonts w:asciiTheme="majorHAnsi" w:hAnsiTheme="majorHAnsi" w:cstheme="majorHAnsi"/>
          <w:sz w:val="18"/>
          <w:szCs w:val="18"/>
          <w:lang w:val="az-Cyrl-AZ"/>
        </w:rPr>
        <w:t>.</w:t>
      </w:r>
    </w:p>
  </w:footnote>
  <w:footnote w:id="18">
    <w:p w:rsidR="0010561E" w:rsidRPr="00255979" w:rsidRDefault="0010561E" w:rsidP="00B36DD4">
      <w:pPr>
        <w:pStyle w:val="FootnoteText"/>
        <w:rPr>
          <w:rFonts w:ascii="Calibri Light" w:hAnsi="Calibri Light" w:cstheme="majorHAnsi"/>
          <w:sz w:val="18"/>
          <w:szCs w:val="18"/>
          <w:lang w:val="ro-RO"/>
        </w:rPr>
      </w:pPr>
      <w:r w:rsidRPr="00D70175">
        <w:rPr>
          <w:rStyle w:val="FootnoteReference"/>
          <w:rFonts w:ascii="Calibri Light" w:hAnsi="Calibri Light" w:cstheme="majorHAnsi"/>
          <w:sz w:val="18"/>
          <w:szCs w:val="18"/>
          <w:lang w:val="az-Cyrl-AZ"/>
        </w:rPr>
        <w:footnoteRef/>
      </w:r>
      <w:r w:rsidR="00D70175" w:rsidRPr="00D70175">
        <w:rPr>
          <w:rFonts w:ascii="Calibri Light" w:hAnsi="Calibri Light" w:cstheme="majorHAnsi"/>
          <w:sz w:val="18"/>
          <w:szCs w:val="18"/>
          <w:lang w:val="az-Cyrl-AZ"/>
        </w:rPr>
        <w:t xml:space="preserve"> </w:t>
      </w:r>
      <w:r w:rsidRPr="00D70175">
        <w:rPr>
          <w:rFonts w:ascii="Calibri Light" w:hAnsi="Calibri Light" w:cstheme="majorHAnsi"/>
          <w:sz w:val="18"/>
          <w:szCs w:val="18"/>
          <w:lang w:val="az-Cyrl-AZ"/>
        </w:rPr>
        <w:t>Ст.13 (2) Закона</w:t>
      </w:r>
      <w:r w:rsidRPr="00206901">
        <w:rPr>
          <w:rFonts w:ascii="Calibri Light" w:hAnsi="Calibri Light" w:cstheme="majorHAnsi"/>
          <w:sz w:val="18"/>
          <w:szCs w:val="18"/>
          <w:lang w:val="ru-RU"/>
        </w:rPr>
        <w:t xml:space="preserve"> о бухгалтерском учете </w:t>
      </w:r>
      <w:r>
        <w:rPr>
          <w:rFonts w:ascii="Calibri Light" w:hAnsi="Calibri Light" w:cstheme="majorHAnsi"/>
          <w:sz w:val="18"/>
          <w:szCs w:val="18"/>
          <w:lang w:val="ru-RU"/>
        </w:rPr>
        <w:t>№</w:t>
      </w:r>
      <w:r w:rsidRPr="00255979">
        <w:rPr>
          <w:rFonts w:ascii="Calibri Light" w:hAnsi="Calibri Light" w:cstheme="majorHAnsi"/>
          <w:sz w:val="18"/>
          <w:szCs w:val="18"/>
          <w:lang w:val="ro-RO"/>
        </w:rPr>
        <w:t xml:space="preserve">113-XVI </w:t>
      </w:r>
      <w:r>
        <w:rPr>
          <w:rFonts w:ascii="Calibri Light" w:hAnsi="Calibri Light" w:cstheme="majorHAnsi"/>
          <w:sz w:val="18"/>
          <w:szCs w:val="18"/>
          <w:lang w:val="ru-RU"/>
        </w:rPr>
        <w:t xml:space="preserve">от </w:t>
      </w:r>
      <w:r w:rsidRPr="00255979">
        <w:rPr>
          <w:rFonts w:ascii="Calibri Light" w:hAnsi="Calibri Light" w:cstheme="majorHAnsi"/>
          <w:sz w:val="18"/>
          <w:szCs w:val="18"/>
          <w:lang w:val="ro-RO"/>
        </w:rPr>
        <w:t>27.04.2007.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61E" w:rsidRPr="00FD4166" w:rsidRDefault="0010561E" w:rsidP="0010561E">
    <w:pPr>
      <w:pStyle w:val="Header"/>
      <w:jc w:val="right"/>
      <w:rPr>
        <w:rFonts w:asciiTheme="majorHAnsi" w:hAnsiTheme="majorHAnsi" w:cstheme="majorHAnsi"/>
        <w:b/>
        <w:sz w:val="24"/>
        <w:szCs w:val="24"/>
      </w:rPr>
    </w:pPr>
    <w:r>
      <w:rPr>
        <w:rFonts w:asciiTheme="majorHAnsi" w:hAnsiTheme="majorHAnsi" w:cstheme="majorHAnsi"/>
        <w:b/>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23"/>
    <w:rsid w:val="00012B7B"/>
    <w:rsid w:val="00060EAD"/>
    <w:rsid w:val="0010063D"/>
    <w:rsid w:val="0010561E"/>
    <w:rsid w:val="00122163"/>
    <w:rsid w:val="00124314"/>
    <w:rsid w:val="001271C2"/>
    <w:rsid w:val="00184302"/>
    <w:rsid w:val="001A01D5"/>
    <w:rsid w:val="001E0DA9"/>
    <w:rsid w:val="00297617"/>
    <w:rsid w:val="00300765"/>
    <w:rsid w:val="00321D23"/>
    <w:rsid w:val="0037320C"/>
    <w:rsid w:val="003919FD"/>
    <w:rsid w:val="00440E1A"/>
    <w:rsid w:val="00495FA3"/>
    <w:rsid w:val="004C1E3C"/>
    <w:rsid w:val="004E2B1B"/>
    <w:rsid w:val="00566B68"/>
    <w:rsid w:val="005A19FA"/>
    <w:rsid w:val="005B697F"/>
    <w:rsid w:val="005B77A1"/>
    <w:rsid w:val="005C414C"/>
    <w:rsid w:val="006317B1"/>
    <w:rsid w:val="006541B3"/>
    <w:rsid w:val="006D5E15"/>
    <w:rsid w:val="00705B41"/>
    <w:rsid w:val="00757320"/>
    <w:rsid w:val="007C44BA"/>
    <w:rsid w:val="007D3228"/>
    <w:rsid w:val="007F0AE5"/>
    <w:rsid w:val="008131C6"/>
    <w:rsid w:val="00836E12"/>
    <w:rsid w:val="0086505D"/>
    <w:rsid w:val="008B1C80"/>
    <w:rsid w:val="008F1D8C"/>
    <w:rsid w:val="009271AB"/>
    <w:rsid w:val="009950DF"/>
    <w:rsid w:val="009D4478"/>
    <w:rsid w:val="009E31BB"/>
    <w:rsid w:val="00A31F1C"/>
    <w:rsid w:val="00B1536C"/>
    <w:rsid w:val="00B36DD4"/>
    <w:rsid w:val="00B74F2A"/>
    <w:rsid w:val="00B8037E"/>
    <w:rsid w:val="00D67181"/>
    <w:rsid w:val="00D70175"/>
    <w:rsid w:val="00DF0AF3"/>
    <w:rsid w:val="00DF73E6"/>
    <w:rsid w:val="00E206BB"/>
    <w:rsid w:val="00E341D0"/>
    <w:rsid w:val="00EA1E93"/>
    <w:rsid w:val="00EA458E"/>
    <w:rsid w:val="00EC3BA6"/>
    <w:rsid w:val="00F368DE"/>
    <w:rsid w:val="00FC0D40"/>
    <w:rsid w:val="00FC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90D42-762C-4F2F-B475-80510453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8DE"/>
    <w:pPr>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8DE"/>
    <w:rPr>
      <w:color w:val="0563C1" w:themeColor="hyperlink"/>
      <w:u w:val="single"/>
    </w:rPr>
  </w:style>
  <w:style w:type="paragraph" w:styleId="FootnoteText">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Normal"/>
    <w:link w:val="FootnoteTextChar"/>
    <w:uiPriority w:val="99"/>
    <w:unhideWhenUsed/>
    <w:qFormat/>
    <w:rsid w:val="00F368DE"/>
    <w:pPr>
      <w:spacing w:after="0" w:line="240" w:lineRule="auto"/>
    </w:pPr>
    <w:rPr>
      <w:sz w:val="20"/>
      <w:szCs w:val="20"/>
    </w:rPr>
  </w:style>
  <w:style w:type="character" w:customStyle="1" w:styleId="FootnoteTextChar">
    <w:name w:val="Footnote Text Char"/>
    <w:aliases w:val="Char Char,Знак1 Char,single space Char,FOOTNOTES Char,fn Char,Footnote Text Char1 Char,Footnote Text Char2 Char Char,Footnote Text Char1 Char Char Char,Footnote Text Char2 Char Char Char Char,Cha Char,A Char,Знак Char, Char Char"/>
    <w:basedOn w:val="DefaultParagraphFont"/>
    <w:link w:val="FootnoteText"/>
    <w:uiPriority w:val="99"/>
    <w:rsid w:val="00F368DE"/>
    <w:rPr>
      <w:rFonts w:ascii="Times New Roman" w:hAnsi="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
    <w:basedOn w:val="DefaultParagraphFont"/>
    <w:link w:val="FNRefeCharChar"/>
    <w:uiPriority w:val="99"/>
    <w:unhideWhenUsed/>
    <w:rsid w:val="00F368DE"/>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F368DE"/>
    <w:pPr>
      <w:spacing w:line="240" w:lineRule="exact"/>
    </w:pPr>
    <w:rPr>
      <w:rFonts w:asciiTheme="minorHAnsi" w:hAnsiTheme="minorHAnsi"/>
      <w:sz w:val="22"/>
      <w:vertAlign w:val="superscript"/>
    </w:rPr>
  </w:style>
  <w:style w:type="paragraph" w:styleId="Footer">
    <w:name w:val="footer"/>
    <w:basedOn w:val="Normal"/>
    <w:link w:val="FooterChar"/>
    <w:uiPriority w:val="99"/>
    <w:unhideWhenUsed/>
    <w:rsid w:val="00F368DE"/>
    <w:pPr>
      <w:tabs>
        <w:tab w:val="center" w:pos="4844"/>
        <w:tab w:val="right" w:pos="9689"/>
      </w:tabs>
      <w:spacing w:after="0" w:line="240" w:lineRule="auto"/>
    </w:pPr>
  </w:style>
  <w:style w:type="character" w:customStyle="1" w:styleId="FooterChar">
    <w:name w:val="Footer Char"/>
    <w:basedOn w:val="DefaultParagraphFont"/>
    <w:link w:val="Footer"/>
    <w:uiPriority w:val="99"/>
    <w:rsid w:val="00F368DE"/>
    <w:rPr>
      <w:rFonts w:ascii="Times New Roman" w:hAnsi="Times New Roman"/>
      <w:sz w:val="28"/>
    </w:rPr>
  </w:style>
  <w:style w:type="paragraph" w:styleId="Header">
    <w:name w:val="header"/>
    <w:basedOn w:val="Normal"/>
    <w:link w:val="HeaderChar"/>
    <w:uiPriority w:val="99"/>
    <w:unhideWhenUsed/>
    <w:rsid w:val="00F368DE"/>
    <w:pPr>
      <w:tabs>
        <w:tab w:val="center" w:pos="4844"/>
        <w:tab w:val="right" w:pos="9689"/>
      </w:tabs>
      <w:spacing w:after="0" w:line="240" w:lineRule="auto"/>
    </w:pPr>
  </w:style>
  <w:style w:type="character" w:customStyle="1" w:styleId="HeaderChar">
    <w:name w:val="Header Char"/>
    <w:basedOn w:val="DefaultParagraphFont"/>
    <w:link w:val="Header"/>
    <w:uiPriority w:val="99"/>
    <w:rsid w:val="00F368DE"/>
    <w:rPr>
      <w:rFonts w:ascii="Times New Roman" w:hAnsi="Times New Roman"/>
      <w:sz w:val="28"/>
    </w:rPr>
  </w:style>
  <w:style w:type="paragraph" w:styleId="BalloonText">
    <w:name w:val="Balloon Text"/>
    <w:basedOn w:val="Normal"/>
    <w:link w:val="BalloonTextChar"/>
    <w:uiPriority w:val="99"/>
    <w:semiHidden/>
    <w:unhideWhenUsed/>
    <w:rsid w:val="00705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B41"/>
    <w:rPr>
      <w:rFonts w:ascii="Segoe UI" w:hAnsi="Segoe UI" w:cs="Segoe UI"/>
      <w:sz w:val="18"/>
      <w:szCs w:val="18"/>
    </w:rPr>
  </w:style>
  <w:style w:type="paragraph" w:customStyle="1" w:styleId="Default">
    <w:name w:val="Default"/>
    <w:rsid w:val="00FC0D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m@ccrm.m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crm.m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crm.md/activitatea-curtii-de-conturi-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1872</Words>
  <Characters>10676</Characters>
  <Application>Microsoft Office Word</Application>
  <DocSecurity>4</DocSecurity>
  <Lines>88</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Caraman Tatiana</cp:lastModifiedBy>
  <cp:revision>2</cp:revision>
  <cp:lastPrinted>2020-08-03T07:19:00Z</cp:lastPrinted>
  <dcterms:created xsi:type="dcterms:W3CDTF">2020-08-17T13:21:00Z</dcterms:created>
  <dcterms:modified xsi:type="dcterms:W3CDTF">2020-08-17T13:21:00Z</dcterms:modified>
</cp:coreProperties>
</file>