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DE" w:rsidRPr="00FF5993" w:rsidRDefault="00F368DE" w:rsidP="00F368DE">
      <w:pPr>
        <w:spacing w:after="0" w:line="240" w:lineRule="auto"/>
        <w:jc w:val="right"/>
        <w:rPr>
          <w:rFonts w:asciiTheme="majorHAnsi" w:hAnsiTheme="majorHAnsi" w:cstheme="majorHAnsi"/>
          <w:sz w:val="24"/>
          <w:szCs w:val="24"/>
        </w:rPr>
      </w:pPr>
      <w:r w:rsidRPr="00FF5993">
        <w:rPr>
          <w:rFonts w:asciiTheme="majorHAnsi" w:hAnsiTheme="majorHAnsi" w:cstheme="majorHAnsi"/>
          <w:sz w:val="24"/>
          <w:szCs w:val="24"/>
        </w:rPr>
        <w:t>Anexă</w:t>
      </w:r>
    </w:p>
    <w:p w:rsidR="00F368DE" w:rsidRPr="00FF5993" w:rsidRDefault="00F368DE" w:rsidP="00F368DE">
      <w:pPr>
        <w:spacing w:after="0" w:line="240" w:lineRule="auto"/>
        <w:jc w:val="right"/>
        <w:rPr>
          <w:rFonts w:asciiTheme="majorHAnsi" w:hAnsiTheme="majorHAnsi" w:cstheme="majorHAnsi"/>
          <w:sz w:val="24"/>
          <w:szCs w:val="24"/>
        </w:rPr>
      </w:pPr>
      <w:r w:rsidRPr="00FF5993">
        <w:rPr>
          <w:rFonts w:asciiTheme="majorHAnsi" w:hAnsiTheme="majorHAnsi" w:cstheme="majorHAnsi"/>
          <w:sz w:val="24"/>
          <w:szCs w:val="24"/>
        </w:rPr>
        <w:t>la Hotărârea Curții de Conturi</w:t>
      </w:r>
    </w:p>
    <w:p w:rsidR="00F368DE" w:rsidRPr="00FF5993" w:rsidRDefault="00F368DE" w:rsidP="00F368DE">
      <w:pPr>
        <w:spacing w:after="0" w:line="240" w:lineRule="auto"/>
        <w:jc w:val="right"/>
        <w:rPr>
          <w:rFonts w:asciiTheme="majorHAnsi" w:hAnsiTheme="majorHAnsi" w:cstheme="majorHAnsi"/>
          <w:sz w:val="24"/>
          <w:szCs w:val="24"/>
        </w:rPr>
      </w:pPr>
      <w:r w:rsidRPr="00FF5993">
        <w:rPr>
          <w:rFonts w:asciiTheme="majorHAnsi" w:hAnsiTheme="majorHAnsi" w:cstheme="majorHAnsi"/>
          <w:sz w:val="24"/>
          <w:szCs w:val="24"/>
        </w:rPr>
        <w:t xml:space="preserve">                                                                                             nr.36 din 24 iulie 2020 </w:t>
      </w:r>
    </w:p>
    <w:p w:rsidR="00F368DE" w:rsidRPr="00FF5993" w:rsidRDefault="00F368DE" w:rsidP="00F368DE">
      <w:pPr>
        <w:spacing w:after="0" w:line="240" w:lineRule="auto"/>
        <w:jc w:val="center"/>
        <w:rPr>
          <w:rFonts w:asciiTheme="majorHAnsi" w:hAnsiTheme="majorHAnsi" w:cstheme="majorHAnsi"/>
          <w:b/>
          <w:szCs w:val="28"/>
        </w:rPr>
      </w:pPr>
    </w:p>
    <w:p w:rsidR="00F368DE" w:rsidRDefault="00F368DE" w:rsidP="00F368DE">
      <w:pPr>
        <w:spacing w:after="0" w:line="240" w:lineRule="auto"/>
        <w:jc w:val="center"/>
        <w:rPr>
          <w:rFonts w:asciiTheme="majorHAnsi" w:hAnsiTheme="majorHAnsi" w:cstheme="majorHAnsi"/>
          <w:b/>
          <w:szCs w:val="28"/>
        </w:rPr>
      </w:pPr>
    </w:p>
    <w:p w:rsidR="00D67181" w:rsidRPr="00FF5993" w:rsidRDefault="00D67181" w:rsidP="00F368DE">
      <w:pPr>
        <w:spacing w:after="0" w:line="240" w:lineRule="auto"/>
        <w:jc w:val="center"/>
        <w:rPr>
          <w:rFonts w:asciiTheme="majorHAnsi" w:hAnsiTheme="majorHAnsi" w:cstheme="majorHAnsi"/>
          <w:b/>
          <w:szCs w:val="28"/>
        </w:rPr>
      </w:pPr>
    </w:p>
    <w:p w:rsidR="00F368DE" w:rsidRPr="00FF5993" w:rsidRDefault="00F368DE" w:rsidP="00F368DE">
      <w:pPr>
        <w:spacing w:after="0" w:line="240" w:lineRule="auto"/>
        <w:jc w:val="center"/>
        <w:rPr>
          <w:rFonts w:asciiTheme="majorHAnsi" w:hAnsiTheme="majorHAnsi" w:cstheme="majorHAnsi"/>
          <w:b/>
          <w:szCs w:val="28"/>
        </w:rPr>
      </w:pPr>
      <w:r w:rsidRPr="00FF5993">
        <w:rPr>
          <w:rFonts w:asciiTheme="majorHAnsi" w:hAnsiTheme="majorHAnsi" w:cstheme="majorHAnsi"/>
          <w:b/>
          <w:noProof/>
          <w:szCs w:val="28"/>
          <w:lang w:val="en-US"/>
        </w:rPr>
        <w:drawing>
          <wp:inline distT="0" distB="0" distL="0" distR="0" wp14:anchorId="53B6DCC3" wp14:editId="294002E0">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F368DE" w:rsidRPr="00FF5993" w:rsidRDefault="00F368DE" w:rsidP="00F368DE">
      <w:pPr>
        <w:spacing w:after="0" w:line="240" w:lineRule="auto"/>
        <w:jc w:val="center"/>
        <w:rPr>
          <w:rFonts w:asciiTheme="majorHAnsi" w:hAnsiTheme="majorHAnsi" w:cstheme="majorHAnsi"/>
          <w:b/>
          <w:szCs w:val="28"/>
        </w:rPr>
      </w:pPr>
    </w:p>
    <w:p w:rsidR="00F368DE" w:rsidRPr="00FF5993" w:rsidRDefault="00F368DE" w:rsidP="00F368DE">
      <w:pPr>
        <w:spacing w:after="0" w:line="240" w:lineRule="auto"/>
        <w:jc w:val="center"/>
        <w:rPr>
          <w:rFonts w:asciiTheme="majorHAnsi" w:hAnsiTheme="majorHAnsi" w:cstheme="majorHAnsi"/>
          <w:b/>
          <w:szCs w:val="28"/>
        </w:rPr>
      </w:pPr>
    </w:p>
    <w:p w:rsidR="00F368DE" w:rsidRPr="00FF5993" w:rsidRDefault="00F368DE" w:rsidP="00F368DE">
      <w:pPr>
        <w:spacing w:after="0" w:line="240" w:lineRule="auto"/>
        <w:jc w:val="center"/>
        <w:rPr>
          <w:rFonts w:asciiTheme="majorHAnsi" w:hAnsiTheme="majorHAnsi" w:cstheme="majorHAnsi"/>
          <w:b/>
          <w:szCs w:val="28"/>
        </w:rPr>
      </w:pPr>
      <w:r w:rsidRPr="00FF5993">
        <w:rPr>
          <w:rFonts w:asciiTheme="majorHAnsi" w:hAnsiTheme="majorHAnsi" w:cstheme="majorHAnsi"/>
          <w:b/>
          <w:szCs w:val="28"/>
        </w:rPr>
        <w:t>CURTEA DE CONTURI A REPUBLICII MOLDOVA</w:t>
      </w:r>
    </w:p>
    <w:p w:rsidR="00F368DE" w:rsidRPr="00FF5993" w:rsidRDefault="00F368DE" w:rsidP="00F368DE">
      <w:pPr>
        <w:spacing w:after="0" w:line="240" w:lineRule="auto"/>
        <w:rPr>
          <w:rFonts w:asciiTheme="majorHAnsi" w:hAnsiTheme="majorHAnsi" w:cstheme="majorHAnsi"/>
        </w:rPr>
      </w:pPr>
    </w:p>
    <w:p w:rsidR="00F368DE" w:rsidRPr="00FF5993" w:rsidRDefault="00F368DE" w:rsidP="00F368DE">
      <w:pPr>
        <w:tabs>
          <w:tab w:val="left" w:pos="720"/>
        </w:tabs>
        <w:spacing w:after="0" w:line="240" w:lineRule="auto"/>
        <w:jc w:val="right"/>
        <w:rPr>
          <w:rFonts w:asciiTheme="majorHAnsi" w:eastAsia="Times New Roman" w:hAnsiTheme="majorHAnsi" w:cstheme="majorHAnsi"/>
          <w:b/>
          <w:bCs/>
          <w:sz w:val="24"/>
          <w:szCs w:val="24"/>
        </w:rPr>
      </w:pPr>
    </w:p>
    <w:p w:rsidR="00F368DE" w:rsidRPr="00FF5993" w:rsidRDefault="00F368DE" w:rsidP="00F368DE">
      <w:pPr>
        <w:tabs>
          <w:tab w:val="left" w:pos="720"/>
        </w:tabs>
        <w:spacing w:after="0" w:line="240" w:lineRule="auto"/>
        <w:jc w:val="right"/>
        <w:rPr>
          <w:rFonts w:asciiTheme="majorHAnsi" w:eastAsia="Times New Roman" w:hAnsiTheme="majorHAnsi" w:cstheme="majorHAnsi"/>
          <w:b/>
          <w:bCs/>
          <w:sz w:val="24"/>
          <w:szCs w:val="24"/>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368DE" w:rsidRPr="00FF5993" w:rsidTr="00E97BF5">
        <w:trPr>
          <w:trHeight w:val="435"/>
        </w:trPr>
        <w:tc>
          <w:tcPr>
            <w:tcW w:w="9350" w:type="dxa"/>
          </w:tcPr>
          <w:p w:rsidR="00F368DE" w:rsidRPr="00FF5993" w:rsidRDefault="00F368DE" w:rsidP="00E97BF5">
            <w:pPr>
              <w:tabs>
                <w:tab w:val="left" w:pos="720"/>
              </w:tabs>
              <w:jc w:val="center"/>
              <w:rPr>
                <w:rFonts w:asciiTheme="majorHAnsi" w:eastAsia="Times New Roman" w:hAnsiTheme="majorHAnsi" w:cstheme="majorHAnsi"/>
                <w:b/>
                <w:bCs/>
                <w:sz w:val="24"/>
                <w:szCs w:val="24"/>
              </w:rPr>
            </w:pPr>
            <w:r w:rsidRPr="00FF5993">
              <w:rPr>
                <w:rFonts w:asciiTheme="majorHAnsi" w:hAnsiTheme="majorHAnsi" w:cstheme="majorHAnsi"/>
                <w:sz w:val="18"/>
                <w:szCs w:val="18"/>
              </w:rPr>
              <w:t xml:space="preserve">MD-2001, mun. Chișinău, bd. Ștefan cel Mare și Sfânt nr.69, tel.: (+373) 22 23 25 79, fax: (+373) 22 23 30 20,                 </w:t>
            </w:r>
            <w:hyperlink r:id="rId7" w:history="1">
              <w:r w:rsidRPr="00FF5993">
                <w:rPr>
                  <w:rStyle w:val="a4"/>
                  <w:rFonts w:asciiTheme="majorHAnsi" w:hAnsiTheme="majorHAnsi" w:cstheme="majorHAnsi"/>
                  <w:b/>
                  <w:color w:val="auto"/>
                  <w:sz w:val="18"/>
                  <w:szCs w:val="18"/>
                </w:rPr>
                <w:t>www.ccrm.md</w:t>
              </w:r>
            </w:hyperlink>
            <w:r w:rsidRPr="00FF5993">
              <w:rPr>
                <w:rStyle w:val="a4"/>
                <w:rFonts w:asciiTheme="majorHAnsi" w:hAnsiTheme="majorHAnsi" w:cstheme="majorHAnsi"/>
                <w:b/>
                <w:color w:val="auto"/>
                <w:sz w:val="18"/>
                <w:szCs w:val="18"/>
              </w:rPr>
              <w:t xml:space="preserve">; </w:t>
            </w:r>
            <w:r w:rsidRPr="00FF5993">
              <w:rPr>
                <w:rFonts w:asciiTheme="majorHAnsi" w:hAnsiTheme="majorHAnsi" w:cstheme="majorHAnsi"/>
                <w:sz w:val="18"/>
                <w:szCs w:val="18"/>
              </w:rPr>
              <w:t xml:space="preserve">e-mail: </w:t>
            </w:r>
            <w:hyperlink r:id="rId8" w:history="1">
              <w:r w:rsidRPr="00FF5993">
                <w:rPr>
                  <w:rStyle w:val="a4"/>
                  <w:rFonts w:asciiTheme="majorHAnsi" w:hAnsiTheme="majorHAnsi" w:cstheme="majorHAnsi"/>
                  <w:b/>
                  <w:color w:val="auto"/>
                  <w:sz w:val="18"/>
                  <w:szCs w:val="18"/>
                </w:rPr>
                <w:t>ccrm@ccrm.md</w:t>
              </w:r>
            </w:hyperlink>
          </w:p>
        </w:tc>
      </w:tr>
    </w:tbl>
    <w:p w:rsidR="00F368DE" w:rsidRPr="00FF5993" w:rsidRDefault="00F368DE" w:rsidP="00F368DE">
      <w:pPr>
        <w:tabs>
          <w:tab w:val="left" w:pos="720"/>
        </w:tabs>
        <w:spacing w:after="0" w:line="240" w:lineRule="auto"/>
        <w:jc w:val="right"/>
        <w:rPr>
          <w:rFonts w:asciiTheme="majorHAnsi" w:eastAsia="Times New Roman" w:hAnsiTheme="majorHAnsi" w:cstheme="majorHAnsi"/>
          <w:b/>
          <w:bCs/>
          <w:sz w:val="24"/>
          <w:szCs w:val="24"/>
        </w:rPr>
      </w:pPr>
    </w:p>
    <w:p w:rsidR="00F368DE" w:rsidRPr="00FF5993" w:rsidRDefault="00F368DE" w:rsidP="00F368DE">
      <w:pPr>
        <w:tabs>
          <w:tab w:val="left" w:pos="720"/>
        </w:tabs>
        <w:spacing w:after="0" w:line="240" w:lineRule="auto"/>
        <w:jc w:val="right"/>
        <w:rPr>
          <w:rFonts w:asciiTheme="majorHAnsi" w:eastAsia="Times New Roman" w:hAnsiTheme="majorHAnsi" w:cstheme="majorHAnsi"/>
          <w:b/>
          <w:bCs/>
          <w:sz w:val="24"/>
          <w:szCs w:val="24"/>
        </w:rPr>
      </w:pPr>
    </w:p>
    <w:p w:rsidR="00F368DE" w:rsidRPr="00FF5993" w:rsidRDefault="00F368DE" w:rsidP="00F368DE">
      <w:pPr>
        <w:tabs>
          <w:tab w:val="left" w:pos="720"/>
        </w:tabs>
        <w:spacing w:after="0" w:line="240" w:lineRule="auto"/>
        <w:jc w:val="right"/>
        <w:rPr>
          <w:rFonts w:asciiTheme="majorHAnsi" w:eastAsia="Times New Roman" w:hAnsiTheme="majorHAnsi" w:cstheme="majorHAnsi"/>
          <w:b/>
          <w:bCs/>
          <w:sz w:val="24"/>
          <w:szCs w:val="24"/>
        </w:rPr>
      </w:pPr>
    </w:p>
    <w:p w:rsidR="00F368DE" w:rsidRPr="00FF5993" w:rsidRDefault="00F368DE" w:rsidP="00F368DE">
      <w:pPr>
        <w:tabs>
          <w:tab w:val="left" w:pos="720"/>
        </w:tabs>
        <w:spacing w:after="0" w:line="240" w:lineRule="auto"/>
        <w:jc w:val="right"/>
        <w:rPr>
          <w:rFonts w:asciiTheme="majorHAnsi" w:eastAsia="Times New Roman" w:hAnsiTheme="majorHAnsi" w:cstheme="majorHAnsi"/>
          <w:b/>
          <w:bCs/>
          <w:sz w:val="24"/>
          <w:szCs w:val="24"/>
        </w:rPr>
      </w:pPr>
    </w:p>
    <w:p w:rsidR="00F368DE" w:rsidRPr="00FF5993" w:rsidRDefault="00F368DE" w:rsidP="00F368DE">
      <w:pPr>
        <w:tabs>
          <w:tab w:val="left" w:pos="720"/>
        </w:tabs>
        <w:spacing w:after="0" w:line="240" w:lineRule="auto"/>
        <w:jc w:val="center"/>
        <w:rPr>
          <w:rFonts w:asciiTheme="majorHAnsi" w:eastAsia="Times New Roman" w:hAnsiTheme="majorHAnsi" w:cstheme="majorHAnsi"/>
          <w:b/>
          <w:bCs/>
          <w:sz w:val="24"/>
          <w:szCs w:val="24"/>
        </w:rPr>
      </w:pPr>
    </w:p>
    <w:p w:rsidR="00F368DE" w:rsidRPr="00FF5993" w:rsidRDefault="00F368DE" w:rsidP="00F368DE">
      <w:pPr>
        <w:tabs>
          <w:tab w:val="left" w:pos="720"/>
        </w:tabs>
        <w:spacing w:after="0" w:line="240" w:lineRule="auto"/>
        <w:jc w:val="center"/>
        <w:rPr>
          <w:rFonts w:asciiTheme="majorHAnsi" w:eastAsia="Times New Roman" w:hAnsiTheme="majorHAnsi" w:cstheme="majorHAnsi"/>
          <w:b/>
          <w:bCs/>
          <w:sz w:val="24"/>
          <w:szCs w:val="24"/>
        </w:rPr>
      </w:pPr>
    </w:p>
    <w:p w:rsidR="00F368DE" w:rsidRPr="00FF5993" w:rsidRDefault="00F368DE" w:rsidP="00F368DE">
      <w:pPr>
        <w:tabs>
          <w:tab w:val="left" w:pos="720"/>
        </w:tabs>
        <w:spacing w:after="0" w:line="240" w:lineRule="auto"/>
        <w:jc w:val="center"/>
        <w:rPr>
          <w:rFonts w:asciiTheme="majorHAnsi" w:eastAsia="Times New Roman" w:hAnsiTheme="majorHAnsi" w:cstheme="majorHAnsi"/>
          <w:b/>
          <w:bCs/>
          <w:sz w:val="32"/>
          <w:szCs w:val="32"/>
        </w:rPr>
      </w:pPr>
    </w:p>
    <w:p w:rsidR="00F368DE" w:rsidRPr="00FF5993" w:rsidRDefault="00F368DE" w:rsidP="00F368DE">
      <w:pPr>
        <w:tabs>
          <w:tab w:val="left" w:pos="720"/>
          <w:tab w:val="left" w:pos="3330"/>
        </w:tabs>
        <w:spacing w:after="0" w:line="276" w:lineRule="auto"/>
        <w:jc w:val="center"/>
        <w:rPr>
          <w:rFonts w:asciiTheme="majorHAnsi" w:eastAsia="Times New Roman" w:hAnsiTheme="majorHAnsi" w:cstheme="majorHAnsi"/>
          <w:b/>
          <w:bCs/>
          <w:szCs w:val="28"/>
        </w:rPr>
      </w:pPr>
      <w:r w:rsidRPr="00FF5993">
        <w:rPr>
          <w:rFonts w:asciiTheme="majorHAnsi" w:eastAsia="Times New Roman" w:hAnsiTheme="majorHAnsi" w:cstheme="majorHAnsi"/>
          <w:b/>
          <w:bCs/>
          <w:szCs w:val="28"/>
        </w:rPr>
        <w:t>RAPORTUL</w:t>
      </w:r>
    </w:p>
    <w:p w:rsidR="00F368DE" w:rsidRPr="00FF5993" w:rsidRDefault="00F368DE" w:rsidP="00F368DE">
      <w:pPr>
        <w:spacing w:after="0" w:line="276" w:lineRule="auto"/>
        <w:jc w:val="center"/>
        <w:rPr>
          <w:rFonts w:asciiTheme="majorHAnsi" w:eastAsia="Times New Roman" w:hAnsiTheme="majorHAnsi" w:cstheme="majorHAnsi"/>
          <w:b/>
          <w:bCs/>
          <w:szCs w:val="28"/>
        </w:rPr>
      </w:pPr>
      <w:r w:rsidRPr="00FF5993">
        <w:rPr>
          <w:rFonts w:asciiTheme="majorHAnsi" w:eastAsia="Times New Roman" w:hAnsiTheme="majorHAnsi" w:cstheme="majorHAnsi"/>
          <w:b/>
          <w:bCs/>
          <w:szCs w:val="28"/>
        </w:rPr>
        <w:t xml:space="preserve">auditului asupra rapoartelor financiare consolidate ale </w:t>
      </w:r>
    </w:p>
    <w:p w:rsidR="00F368DE" w:rsidRPr="00FF5993" w:rsidRDefault="00F368DE" w:rsidP="00F368DE">
      <w:pPr>
        <w:spacing w:after="0" w:line="276" w:lineRule="auto"/>
        <w:jc w:val="center"/>
        <w:rPr>
          <w:rFonts w:asciiTheme="majorHAnsi" w:eastAsia="Times New Roman" w:hAnsiTheme="majorHAnsi" w:cstheme="majorHAnsi"/>
          <w:b/>
          <w:bCs/>
          <w:szCs w:val="28"/>
        </w:rPr>
      </w:pPr>
      <w:r w:rsidRPr="00FF5993">
        <w:rPr>
          <w:rFonts w:asciiTheme="majorHAnsi" w:eastAsia="Times New Roman" w:hAnsiTheme="majorHAnsi" w:cstheme="majorHAnsi"/>
          <w:b/>
          <w:bCs/>
          <w:szCs w:val="28"/>
        </w:rPr>
        <w:t>Ministerului Finanțelor încheiate la 31 decembrie 2019</w:t>
      </w:r>
    </w:p>
    <w:p w:rsidR="00F368DE" w:rsidRPr="00FF5993" w:rsidRDefault="00F368DE" w:rsidP="00F368DE">
      <w:pPr>
        <w:jc w:val="center"/>
        <w:rPr>
          <w:rFonts w:asciiTheme="majorHAnsi" w:eastAsia="Times New Roman" w:hAnsiTheme="majorHAnsi" w:cstheme="majorHAnsi"/>
          <w:b/>
          <w:color w:val="000000"/>
          <w:szCs w:val="28"/>
          <w:lang w:eastAsia="ru-RU"/>
        </w:rPr>
      </w:pPr>
      <w:r w:rsidRPr="00FF5993">
        <w:rPr>
          <w:rFonts w:asciiTheme="majorHAnsi" w:eastAsia="Times New Roman" w:hAnsiTheme="majorHAnsi" w:cstheme="majorHAnsi"/>
          <w:b/>
          <w:bCs/>
          <w:color w:val="FF0000"/>
          <w:szCs w:val="28"/>
        </w:rPr>
        <w:br w:type="page"/>
      </w:r>
      <w:bookmarkStart w:id="0" w:name="_Toc519878939"/>
      <w:bookmarkStart w:id="1" w:name="_Toc482967819"/>
    </w:p>
    <w:p w:rsidR="00F368DE" w:rsidRPr="00FF5993" w:rsidRDefault="00F368DE" w:rsidP="00D67181">
      <w:pPr>
        <w:spacing w:after="120"/>
        <w:rPr>
          <w:rFonts w:asciiTheme="majorHAnsi" w:eastAsia="Times New Roman" w:hAnsiTheme="majorHAnsi" w:cstheme="majorHAnsi"/>
          <w:b/>
          <w:bCs/>
          <w:color w:val="FF0000"/>
          <w:szCs w:val="28"/>
        </w:rPr>
      </w:pPr>
      <w:r w:rsidRPr="00FF5993">
        <w:rPr>
          <w:rFonts w:asciiTheme="majorHAnsi" w:eastAsia="Times New Roman" w:hAnsiTheme="majorHAnsi" w:cstheme="majorHAnsi"/>
          <w:b/>
          <w:color w:val="000000"/>
          <w:szCs w:val="28"/>
          <w:lang w:eastAsia="ru-RU"/>
        </w:rPr>
        <w:lastRenderedPageBreak/>
        <w:t xml:space="preserve">I. OPINIE </w:t>
      </w:r>
      <w:bookmarkEnd w:id="0"/>
    </w:p>
    <w:p w:rsidR="00F368DE" w:rsidRPr="00FF5993" w:rsidRDefault="00F368DE" w:rsidP="00F368DE">
      <w:pPr>
        <w:spacing w:after="0" w:line="276" w:lineRule="auto"/>
        <w:rPr>
          <w:rFonts w:asciiTheme="majorHAnsi" w:hAnsiTheme="majorHAnsi" w:cstheme="majorHAnsi"/>
          <w:sz w:val="24"/>
          <w:szCs w:val="24"/>
          <w:shd w:val="clear" w:color="auto" w:fill="FFFFFF"/>
          <w:lang w:val="ro-RO" w:eastAsia="ja-JP"/>
        </w:rPr>
      </w:pPr>
      <w:r w:rsidRPr="00FF5993">
        <w:rPr>
          <w:rFonts w:asciiTheme="majorHAnsi" w:hAnsiTheme="majorHAnsi" w:cstheme="minorHAnsi"/>
          <w:sz w:val="24"/>
          <w:szCs w:val="24"/>
          <w:lang w:val="ro"/>
        </w:rPr>
        <w:t>Am auditat rapoartele financiare consolidate</w:t>
      </w:r>
      <w:r w:rsidRPr="00FF5993">
        <w:rPr>
          <w:rStyle w:val="a7"/>
          <w:rFonts w:asciiTheme="majorHAnsi" w:hAnsiTheme="majorHAnsi" w:cstheme="minorHAnsi"/>
          <w:sz w:val="24"/>
          <w:szCs w:val="24"/>
          <w:lang w:val="ro"/>
        </w:rPr>
        <w:t xml:space="preserve"> </w:t>
      </w:r>
      <w:r w:rsidRPr="00FF5993">
        <w:rPr>
          <w:rFonts w:asciiTheme="majorHAnsi" w:hAnsiTheme="majorHAnsi" w:cstheme="majorHAnsi"/>
          <w:sz w:val="24"/>
          <w:szCs w:val="24"/>
        </w:rPr>
        <w:t xml:space="preserve">ale </w:t>
      </w:r>
      <w:r w:rsidRPr="00FF5993">
        <w:rPr>
          <w:rFonts w:asciiTheme="majorHAnsi" w:hAnsiTheme="majorHAnsi" w:cstheme="majorHAnsi"/>
          <w:sz w:val="24"/>
          <w:szCs w:val="24"/>
          <w:shd w:val="clear" w:color="auto" w:fill="FFFFFF"/>
          <w:lang w:val="ro-RO" w:eastAsia="ja-JP"/>
        </w:rPr>
        <w:t xml:space="preserve">Ministerului Finanțelor pentru exercițiul încheiat la 31 decembrie 2019, care cuprind Bilanțul contabil, Raportul privind veniturile și cheltuielile, Raportul privind fluxul mijloacelor bănești, Raportul privind executarea bugetului, Raportul narativ privind executarea bugetului pe anul 2019, </w:t>
      </w:r>
      <w:bookmarkEnd w:id="1"/>
      <w:r w:rsidRPr="00FF5993">
        <w:rPr>
          <w:rFonts w:asciiTheme="majorHAnsi" w:hAnsiTheme="majorHAnsi" w:cstheme="majorHAnsi"/>
          <w:sz w:val="24"/>
          <w:szCs w:val="24"/>
          <w:shd w:val="clear" w:color="auto" w:fill="FFFFFF"/>
          <w:lang w:val="ro-RO" w:eastAsia="ja-JP"/>
        </w:rPr>
        <w:t>inclusiv un sumar al politicilor contabile semnificative. În opinia noastră,</w:t>
      </w:r>
      <w:r w:rsidRPr="00FF5993">
        <w:rPr>
          <w:rFonts w:asciiTheme="majorHAnsi" w:hAnsiTheme="majorHAnsi" w:cs="Times New Roman"/>
          <w:sz w:val="24"/>
          <w:szCs w:val="24"/>
        </w:rPr>
        <w:t xml:space="preserve"> </w:t>
      </w:r>
      <w:r w:rsidRPr="00FF5993">
        <w:rPr>
          <w:rFonts w:asciiTheme="majorHAnsi" w:hAnsiTheme="majorHAnsi" w:cstheme="majorHAnsi"/>
          <w:sz w:val="24"/>
          <w:szCs w:val="24"/>
          <w:shd w:val="clear" w:color="auto" w:fill="FFFFFF"/>
          <w:lang w:val="ro-RO" w:eastAsia="ja-JP"/>
        </w:rPr>
        <w:t>rapoartele financiare, sub toate aspectele semnificative, oferă o imagine corectă și fidelă în conformitate cu cadrul de raportare financiară aplicabil</w:t>
      </w:r>
      <w:r w:rsidRPr="00FF5993">
        <w:rPr>
          <w:rFonts w:asciiTheme="majorHAnsi" w:hAnsiTheme="majorHAnsi"/>
          <w:sz w:val="24"/>
          <w:szCs w:val="24"/>
          <w:shd w:val="clear" w:color="auto" w:fill="FFFFFF"/>
          <w:vertAlign w:val="superscript"/>
          <w:lang w:val="ro-RO" w:eastAsia="ja-JP"/>
        </w:rPr>
        <w:footnoteReference w:id="1"/>
      </w:r>
      <w:r>
        <w:rPr>
          <w:rFonts w:asciiTheme="majorHAnsi" w:hAnsiTheme="majorHAnsi" w:cstheme="majorHAnsi"/>
          <w:sz w:val="24"/>
          <w:szCs w:val="24"/>
          <w:shd w:val="clear" w:color="auto" w:fill="FFFFFF"/>
          <w:lang w:val="ro-RO" w:eastAsia="ja-JP"/>
        </w:rPr>
        <w:t>.</w:t>
      </w:r>
    </w:p>
    <w:p w:rsidR="00F368DE" w:rsidRPr="00FF5993" w:rsidRDefault="00F368DE" w:rsidP="00D67181">
      <w:pPr>
        <w:keepNext/>
        <w:keepLines/>
        <w:tabs>
          <w:tab w:val="left" w:pos="-284"/>
          <w:tab w:val="left" w:pos="270"/>
        </w:tabs>
        <w:spacing w:before="240" w:after="120" w:line="276" w:lineRule="auto"/>
        <w:ind w:right="-68"/>
        <w:outlineLvl w:val="0"/>
        <w:rPr>
          <w:rFonts w:asciiTheme="majorHAnsi" w:hAnsiTheme="majorHAnsi" w:cstheme="majorHAnsi"/>
          <w:b/>
          <w:color w:val="000000"/>
          <w:szCs w:val="28"/>
          <w:lang w:val="en-US" w:eastAsia="ru-RU"/>
        </w:rPr>
      </w:pPr>
      <w:bookmarkStart w:id="2" w:name="_Toc518977954"/>
      <w:bookmarkStart w:id="3" w:name="_Toc519878940"/>
      <w:r>
        <w:rPr>
          <w:rFonts w:asciiTheme="majorHAnsi" w:eastAsia="Times New Roman" w:hAnsiTheme="majorHAnsi" w:cstheme="majorHAnsi"/>
          <w:b/>
          <w:color w:val="000000"/>
          <w:szCs w:val="28"/>
          <w:lang w:eastAsia="ru-RU"/>
        </w:rPr>
        <w:t xml:space="preserve">II. </w:t>
      </w:r>
      <w:r w:rsidRPr="00FF5993">
        <w:rPr>
          <w:rFonts w:asciiTheme="majorHAnsi" w:eastAsia="Times New Roman" w:hAnsiTheme="majorHAnsi" w:cstheme="majorHAnsi"/>
          <w:b/>
          <w:color w:val="000000"/>
          <w:szCs w:val="28"/>
          <w:lang w:eastAsia="ru-RU"/>
        </w:rPr>
        <w:t>BAZA PENTRU OPINI</w:t>
      </w:r>
      <w:bookmarkEnd w:id="2"/>
      <w:bookmarkEnd w:id="3"/>
      <w:r w:rsidRPr="00FF5993">
        <w:rPr>
          <w:rFonts w:asciiTheme="majorHAnsi" w:eastAsia="Times New Roman" w:hAnsiTheme="majorHAnsi" w:cstheme="majorHAnsi"/>
          <w:b/>
          <w:color w:val="000000"/>
          <w:szCs w:val="28"/>
          <w:lang w:eastAsia="ru-RU"/>
        </w:rPr>
        <w:t>E</w:t>
      </w:r>
      <w:bookmarkStart w:id="4" w:name="_Toc506212732"/>
    </w:p>
    <w:p w:rsidR="00F368DE" w:rsidRPr="00184302" w:rsidRDefault="00F368DE" w:rsidP="00D67181">
      <w:pPr>
        <w:pStyle w:val="a5"/>
        <w:tabs>
          <w:tab w:val="left" w:pos="90"/>
          <w:tab w:val="left" w:pos="270"/>
        </w:tabs>
        <w:spacing w:after="120" w:line="276" w:lineRule="auto"/>
        <w:rPr>
          <w:rFonts w:asciiTheme="majorHAnsi" w:hAnsiTheme="majorHAnsi"/>
          <w:sz w:val="24"/>
          <w:szCs w:val="24"/>
          <w:lang w:val="ro-MD"/>
        </w:rPr>
      </w:pPr>
      <w:r w:rsidRPr="00FF5993">
        <w:rPr>
          <w:rFonts w:asciiTheme="majorHAnsi" w:hAnsiTheme="majorHAnsi"/>
          <w:sz w:val="24"/>
          <w:szCs w:val="24"/>
          <w:lang w:val="ro-MD"/>
        </w:rPr>
        <w:t xml:space="preserve">Am realizat misiunea de audit </w:t>
      </w:r>
      <w:r w:rsidRPr="00FF5993">
        <w:rPr>
          <w:rFonts w:asciiTheme="majorHAnsi" w:hAnsiTheme="majorHAnsi" w:cs="Times New Roman"/>
          <w:sz w:val="24"/>
          <w:szCs w:val="24"/>
          <w:lang w:val="ro-MD"/>
        </w:rPr>
        <w:t xml:space="preserve">în conformitate cu </w:t>
      </w:r>
      <w:r w:rsidRPr="00FF5993">
        <w:rPr>
          <w:rFonts w:asciiTheme="majorHAnsi" w:eastAsia="Times New Roman" w:hAnsiTheme="majorHAnsi" w:cs="Times New Roman"/>
          <w:sz w:val="24"/>
          <w:szCs w:val="24"/>
          <w:lang w:val="ro-MD"/>
        </w:rPr>
        <w:t>Standardele Internaționale ale Instituțiilor Supreme de Audit</w:t>
      </w:r>
      <w:r w:rsidRPr="00FF5993">
        <w:rPr>
          <w:rStyle w:val="a7"/>
          <w:rFonts w:asciiTheme="majorHAnsi" w:eastAsia="Times New Roman" w:hAnsiTheme="majorHAnsi" w:cs="Times New Roman"/>
          <w:sz w:val="24"/>
          <w:szCs w:val="24"/>
          <w:lang w:val="ro-MD"/>
        </w:rPr>
        <w:footnoteReference w:id="2"/>
      </w:r>
      <w:r w:rsidRPr="00FF5993">
        <w:rPr>
          <w:rFonts w:asciiTheme="majorHAnsi" w:eastAsia="Times New Roman" w:hAnsiTheme="majorHAnsi" w:cs="Times New Roman"/>
          <w:sz w:val="24"/>
          <w:szCs w:val="24"/>
          <w:lang w:val="ro-MD"/>
        </w:rPr>
        <w:t xml:space="preserve">. </w:t>
      </w:r>
      <w:r w:rsidRPr="00FF5993">
        <w:rPr>
          <w:rFonts w:asciiTheme="majorHAnsi" w:hAnsiTheme="majorHAnsi" w:cs="Times New Roman"/>
          <w:sz w:val="24"/>
          <w:szCs w:val="24"/>
          <w:lang w:val="ro-MD"/>
        </w:rPr>
        <w:t xml:space="preserve">Responsabilitățile noastre, potrivit standardelor respective, sunt descrise în secțiunea </w:t>
      </w:r>
      <w:r w:rsidRPr="00184302">
        <w:rPr>
          <w:rFonts w:asciiTheme="majorHAnsi" w:hAnsiTheme="majorHAnsi" w:cs="Times New Roman"/>
          <w:sz w:val="24"/>
          <w:szCs w:val="24"/>
          <w:lang w:val="ro-MD"/>
        </w:rPr>
        <w:t>VI.</w:t>
      </w:r>
      <w:r w:rsidR="00184302">
        <w:rPr>
          <w:rFonts w:asciiTheme="majorHAnsi" w:hAnsiTheme="majorHAnsi" w:cs="Times New Roman"/>
          <w:sz w:val="24"/>
          <w:szCs w:val="24"/>
          <w:lang w:val="ro-MD"/>
        </w:rPr>
        <w:t xml:space="preserve"> </w:t>
      </w:r>
      <w:r w:rsidRPr="00184302">
        <w:rPr>
          <w:rFonts w:asciiTheme="majorHAnsi" w:hAnsiTheme="majorHAnsi" w:cs="Times New Roman"/>
          <w:sz w:val="24"/>
          <w:szCs w:val="24"/>
          <w:lang w:val="ro-MD"/>
        </w:rPr>
        <w:t>Responsabilitățile auditorului într-un audit al rapoartelor financiare.</w:t>
      </w:r>
    </w:p>
    <w:p w:rsidR="00F368DE" w:rsidRPr="00FF5993" w:rsidRDefault="00F368DE" w:rsidP="00F368DE">
      <w:pPr>
        <w:pStyle w:val="a5"/>
        <w:tabs>
          <w:tab w:val="left" w:pos="90"/>
          <w:tab w:val="left" w:pos="270"/>
        </w:tabs>
        <w:spacing w:after="120" w:line="276" w:lineRule="auto"/>
        <w:rPr>
          <w:rFonts w:asciiTheme="majorHAnsi" w:eastAsia="Times New Roman" w:hAnsiTheme="majorHAnsi" w:cs="Times New Roman"/>
          <w:sz w:val="24"/>
          <w:szCs w:val="24"/>
          <w:lang w:val="ro-MD"/>
        </w:rPr>
      </w:pPr>
      <w:r w:rsidRPr="00FF5993">
        <w:rPr>
          <w:rFonts w:asciiTheme="majorHAnsi" w:hAnsiTheme="majorHAnsi" w:cs="Times New Roman"/>
          <w:sz w:val="24"/>
          <w:szCs w:val="24"/>
          <w:lang w:val="ro-MD"/>
        </w:rPr>
        <w:t xml:space="preserve">Suntem independenți față de entitate și am îndeplinit responsabilitățile de etică în conformitate cu </w:t>
      </w:r>
      <w:r w:rsidRPr="00FF5993">
        <w:rPr>
          <w:rFonts w:asciiTheme="majorHAnsi" w:eastAsia="Times New Roman" w:hAnsiTheme="majorHAnsi" w:cs="Times New Roman"/>
          <w:sz w:val="24"/>
          <w:szCs w:val="24"/>
          <w:lang w:val="ro-MD"/>
        </w:rPr>
        <w:t xml:space="preserve">cerințele Codului etic al Curții de Conturi. </w:t>
      </w:r>
      <w:r w:rsidRPr="00FF5993">
        <w:rPr>
          <w:rFonts w:asciiTheme="majorHAnsi" w:hAnsiTheme="majorHAnsi" w:cs="Times New Roman"/>
          <w:sz w:val="24"/>
          <w:szCs w:val="24"/>
          <w:lang w:val="ro-MD"/>
        </w:rPr>
        <w:t xml:space="preserve">Considerăm că probele de audit pe care le-am obținut sunt suficiente și adecvate pentru a furniza o bază pentru </w:t>
      </w:r>
      <w:r w:rsidRPr="001B3483">
        <w:rPr>
          <w:rFonts w:asciiTheme="majorHAnsi" w:hAnsiTheme="majorHAnsi" w:cs="Times New Roman"/>
          <w:sz w:val="24"/>
          <w:szCs w:val="24"/>
          <w:lang w:val="ro-MD"/>
        </w:rPr>
        <w:t>opinia noastră.</w:t>
      </w:r>
      <w:r w:rsidRPr="00FF5993">
        <w:rPr>
          <w:rFonts w:asciiTheme="majorHAnsi" w:eastAsia="Times New Roman" w:hAnsiTheme="majorHAnsi" w:cs="Times New Roman"/>
          <w:sz w:val="24"/>
          <w:szCs w:val="24"/>
          <w:lang w:val="ro-MD"/>
        </w:rPr>
        <w:t xml:space="preserve"> </w:t>
      </w:r>
    </w:p>
    <w:p w:rsidR="00F368DE" w:rsidRPr="00F63A62" w:rsidRDefault="00F368DE" w:rsidP="00D67181">
      <w:pPr>
        <w:tabs>
          <w:tab w:val="left" w:pos="-238"/>
          <w:tab w:val="left" w:pos="90"/>
          <w:tab w:val="left" w:pos="360"/>
        </w:tabs>
        <w:spacing w:after="120" w:line="276" w:lineRule="auto"/>
        <w:jc w:val="left"/>
        <w:rPr>
          <w:rFonts w:asciiTheme="majorHAnsi" w:hAnsiTheme="majorHAnsi" w:cstheme="minorHAnsi"/>
          <w:b/>
          <w:bCs/>
          <w:szCs w:val="28"/>
        </w:rPr>
      </w:pPr>
      <w:r>
        <w:rPr>
          <w:rFonts w:asciiTheme="majorHAnsi" w:hAnsiTheme="majorHAnsi" w:cstheme="minorHAnsi"/>
          <w:b/>
          <w:bCs/>
          <w:szCs w:val="28"/>
        </w:rPr>
        <w:t xml:space="preserve">III. </w:t>
      </w:r>
      <w:r w:rsidRPr="00F63A62">
        <w:rPr>
          <w:rFonts w:asciiTheme="majorHAnsi" w:hAnsiTheme="majorHAnsi" w:cstheme="minorHAnsi"/>
          <w:b/>
          <w:bCs/>
          <w:szCs w:val="28"/>
        </w:rPr>
        <w:t>ASPECTE</w:t>
      </w:r>
      <w:r>
        <w:rPr>
          <w:rFonts w:asciiTheme="majorHAnsi" w:hAnsiTheme="majorHAnsi" w:cstheme="minorHAnsi"/>
          <w:b/>
          <w:bCs/>
          <w:szCs w:val="28"/>
        </w:rPr>
        <w:t>LE</w:t>
      </w:r>
      <w:r w:rsidRPr="00F63A62">
        <w:rPr>
          <w:rFonts w:asciiTheme="majorHAnsi" w:hAnsiTheme="majorHAnsi" w:cstheme="minorHAnsi"/>
          <w:b/>
          <w:bCs/>
          <w:szCs w:val="28"/>
        </w:rPr>
        <w:t>-CHEIE DE AUDIT</w:t>
      </w:r>
    </w:p>
    <w:p w:rsidR="00F368DE" w:rsidRPr="00FF5993" w:rsidRDefault="00F368DE" w:rsidP="00D67181">
      <w:pPr>
        <w:tabs>
          <w:tab w:val="left" w:pos="90"/>
        </w:tabs>
        <w:spacing w:after="120" w:line="276" w:lineRule="auto"/>
        <w:rPr>
          <w:rFonts w:asciiTheme="majorHAnsi" w:eastAsia="Calibri" w:hAnsiTheme="majorHAnsi" w:cstheme="majorHAnsi"/>
          <w:sz w:val="24"/>
          <w:szCs w:val="24"/>
          <w:lang w:val="ro-RO"/>
        </w:rPr>
      </w:pPr>
      <w:r w:rsidRPr="00FF5993">
        <w:rPr>
          <w:rFonts w:asciiTheme="majorHAnsi" w:hAnsiTheme="majorHAnsi" w:cstheme="majorHAnsi"/>
          <w:color w:val="000000"/>
          <w:sz w:val="24"/>
          <w:szCs w:val="24"/>
        </w:rPr>
        <w:t xml:space="preserve">Aspectele-cheie de audit sunt acele aspecte care, în baza raționamentului nostru profesional, au avut o importanță majoră pentru auditul rapoartelor financiare consolidate ale </w:t>
      </w:r>
      <w:r w:rsidRPr="00FF5993">
        <w:rPr>
          <w:rFonts w:asciiTheme="majorHAnsi" w:hAnsiTheme="majorHAnsi" w:cstheme="majorHAnsi"/>
          <w:sz w:val="24"/>
          <w:szCs w:val="24"/>
          <w:shd w:val="clear" w:color="auto" w:fill="FFFFFF"/>
          <w:lang w:val="ro-RO" w:eastAsia="ja-JP"/>
        </w:rPr>
        <w:t>Ministerului Finanțelor</w:t>
      </w:r>
      <w:r w:rsidRPr="00FF5993" w:rsidDel="00560587">
        <w:rPr>
          <w:rFonts w:asciiTheme="majorHAnsi" w:hAnsiTheme="majorHAnsi" w:cstheme="majorHAnsi"/>
          <w:color w:val="000000"/>
          <w:sz w:val="24"/>
          <w:szCs w:val="24"/>
        </w:rPr>
        <w:t xml:space="preserve"> </w:t>
      </w:r>
      <w:r w:rsidRPr="00FF5993">
        <w:rPr>
          <w:rFonts w:asciiTheme="majorHAnsi" w:hAnsiTheme="majorHAnsi" w:cstheme="majorHAnsi"/>
          <w:color w:val="000000"/>
          <w:sz w:val="24"/>
          <w:szCs w:val="24"/>
        </w:rPr>
        <w:t xml:space="preserve">încheiate la 31 decembrie 2019. Aceste aspecte au fost abordate în contextul auditului rapoartelor financiare în ansamblu </w:t>
      </w:r>
      <w:r w:rsidRPr="001B3483">
        <w:rPr>
          <w:rFonts w:asciiTheme="majorHAnsi" w:hAnsiTheme="majorHAnsi" w:cstheme="majorHAnsi"/>
          <w:color w:val="000000"/>
          <w:sz w:val="24"/>
          <w:szCs w:val="24"/>
        </w:rPr>
        <w:t xml:space="preserve">și </w:t>
      </w:r>
      <w:r w:rsidRPr="00E97BF5">
        <w:rPr>
          <w:rFonts w:asciiTheme="majorHAnsi" w:hAnsiTheme="majorHAnsi" w:cstheme="majorHAnsi"/>
          <w:color w:val="000000"/>
          <w:sz w:val="24"/>
          <w:szCs w:val="24"/>
        </w:rPr>
        <w:t>al</w:t>
      </w:r>
      <w:r w:rsidRPr="001B3483">
        <w:rPr>
          <w:rFonts w:asciiTheme="majorHAnsi" w:hAnsiTheme="majorHAnsi" w:cstheme="majorHAnsi"/>
          <w:color w:val="000000"/>
          <w:sz w:val="24"/>
          <w:szCs w:val="24"/>
        </w:rPr>
        <w:t xml:space="preserve"> form</w:t>
      </w:r>
      <w:r>
        <w:rPr>
          <w:rFonts w:asciiTheme="majorHAnsi" w:hAnsiTheme="majorHAnsi" w:cstheme="majorHAnsi"/>
          <w:color w:val="000000"/>
          <w:sz w:val="24"/>
          <w:szCs w:val="24"/>
        </w:rPr>
        <w:t>ării</w:t>
      </w:r>
      <w:r w:rsidRPr="00FF5993">
        <w:rPr>
          <w:rFonts w:asciiTheme="majorHAnsi" w:hAnsiTheme="majorHAnsi" w:cstheme="majorHAnsi"/>
          <w:color w:val="000000"/>
          <w:sz w:val="24"/>
          <w:szCs w:val="24"/>
        </w:rPr>
        <w:t xml:space="preserve"> opiniei noastre asupra acestora, și nu oferim o opinie separată cu privire la </w:t>
      </w:r>
      <w:r>
        <w:rPr>
          <w:rFonts w:asciiTheme="majorHAnsi" w:hAnsiTheme="majorHAnsi" w:cstheme="majorHAnsi"/>
          <w:color w:val="000000"/>
          <w:sz w:val="24"/>
          <w:szCs w:val="24"/>
        </w:rPr>
        <w:t>ele</w:t>
      </w:r>
      <w:r w:rsidRPr="00FF5993">
        <w:rPr>
          <w:rFonts w:asciiTheme="majorHAnsi" w:hAnsiTheme="majorHAnsi" w:cstheme="majorHAnsi"/>
          <w:color w:val="000000"/>
          <w:sz w:val="24"/>
          <w:szCs w:val="24"/>
        </w:rPr>
        <w:t>.</w:t>
      </w:r>
      <w:r w:rsidRPr="00FF5993">
        <w:rPr>
          <w:rFonts w:asciiTheme="majorHAnsi" w:eastAsia="Calibri" w:hAnsiTheme="majorHAnsi" w:cstheme="majorHAnsi"/>
          <w:sz w:val="24"/>
          <w:szCs w:val="24"/>
          <w:lang w:val="ro-RO"/>
        </w:rPr>
        <w:t xml:space="preserve"> </w:t>
      </w:r>
      <w:bookmarkEnd w:id="4"/>
    </w:p>
    <w:p w:rsidR="00F368DE" w:rsidRPr="008B1C80" w:rsidRDefault="00F368DE" w:rsidP="00D67181">
      <w:pPr>
        <w:tabs>
          <w:tab w:val="left" w:pos="-182"/>
          <w:tab w:val="left" w:pos="360"/>
          <w:tab w:val="left" w:pos="450"/>
        </w:tabs>
        <w:spacing w:after="120" w:line="276" w:lineRule="auto"/>
        <w:rPr>
          <w:rFonts w:asciiTheme="majorHAnsi" w:hAnsiTheme="majorHAnsi" w:cstheme="majorHAnsi"/>
          <w:b/>
          <w:bCs/>
          <w:szCs w:val="28"/>
        </w:rPr>
      </w:pPr>
      <w:r>
        <w:rPr>
          <w:rFonts w:asciiTheme="majorHAnsi" w:eastAsia="Calibri" w:hAnsiTheme="majorHAnsi" w:cstheme="majorHAnsi"/>
          <w:b/>
          <w:szCs w:val="28"/>
          <w:lang w:val="ro-RO"/>
        </w:rPr>
        <w:t>IV.</w:t>
      </w:r>
      <w:r>
        <w:rPr>
          <w:rFonts w:asciiTheme="majorHAnsi" w:eastAsia="Calibri" w:hAnsiTheme="majorHAnsi" w:cstheme="majorHAnsi"/>
          <w:b/>
          <w:szCs w:val="28"/>
          <w:lang w:val="ro-RO"/>
        </w:rPr>
        <w:tab/>
      </w:r>
      <w:r w:rsidR="008B1C80">
        <w:rPr>
          <w:rFonts w:asciiTheme="majorHAnsi" w:eastAsia="Calibri" w:hAnsiTheme="majorHAnsi" w:cstheme="majorHAnsi"/>
          <w:b/>
          <w:szCs w:val="28"/>
          <w:lang w:val="ro-RO"/>
        </w:rPr>
        <w:t xml:space="preserve"> OBSERVA</w:t>
      </w:r>
      <w:r w:rsidR="008B1C80">
        <w:rPr>
          <w:rFonts w:asciiTheme="majorHAnsi" w:eastAsia="Calibri" w:hAnsiTheme="majorHAnsi" w:cstheme="majorHAnsi"/>
          <w:b/>
          <w:szCs w:val="28"/>
        </w:rPr>
        <w:t>ȚIILE DE AUDIT CARE NU AU INFLUENȚAT OPINIA.</w:t>
      </w:r>
    </w:p>
    <w:p w:rsidR="001A01D5" w:rsidRDefault="00F368DE" w:rsidP="00F368DE">
      <w:pPr>
        <w:tabs>
          <w:tab w:val="left" w:pos="0"/>
          <w:tab w:val="left" w:pos="90"/>
        </w:tabs>
        <w:spacing w:after="120" w:line="276" w:lineRule="auto"/>
        <w:rPr>
          <w:rFonts w:asciiTheme="majorHAnsi" w:hAnsiTheme="majorHAnsi" w:cstheme="majorHAnsi"/>
          <w:sz w:val="24"/>
          <w:szCs w:val="24"/>
          <w:lang w:val="ro-RO"/>
        </w:rPr>
      </w:pPr>
      <w:r w:rsidRPr="00FF5993">
        <w:rPr>
          <w:rFonts w:asciiTheme="majorHAnsi" w:hAnsiTheme="majorHAnsi" w:cstheme="majorHAnsi"/>
          <w:b/>
          <w:iCs/>
          <w:color w:val="000000" w:themeColor="text1"/>
          <w:sz w:val="24"/>
          <w:szCs w:val="24"/>
          <w:shd w:val="clear" w:color="auto" w:fill="FFFFFF" w:themeFill="background1"/>
        </w:rPr>
        <w:t>4.1</w:t>
      </w:r>
      <w:r w:rsidRPr="00FF5993">
        <w:rPr>
          <w:rFonts w:asciiTheme="majorHAnsi" w:hAnsiTheme="majorHAnsi" w:cstheme="majorHAnsi"/>
          <w:iCs/>
          <w:color w:val="000000" w:themeColor="text1"/>
          <w:sz w:val="24"/>
          <w:szCs w:val="24"/>
          <w:shd w:val="clear" w:color="auto" w:fill="FFFFFF" w:themeFill="background1"/>
        </w:rPr>
        <w:t>.</w:t>
      </w:r>
      <w:r>
        <w:rPr>
          <w:rFonts w:asciiTheme="majorHAnsi" w:hAnsiTheme="majorHAnsi" w:cstheme="majorHAnsi"/>
          <w:iCs/>
          <w:color w:val="000000" w:themeColor="text1"/>
          <w:sz w:val="24"/>
          <w:szCs w:val="24"/>
          <w:shd w:val="clear" w:color="auto" w:fill="FFFFFF" w:themeFill="background1"/>
        </w:rPr>
        <w:t xml:space="preserve"> </w:t>
      </w:r>
      <w:r w:rsidRPr="00FF5993">
        <w:rPr>
          <w:rFonts w:asciiTheme="majorHAnsi" w:hAnsiTheme="majorHAnsi" w:cstheme="majorHAnsi"/>
          <w:iCs/>
          <w:color w:val="000000" w:themeColor="text1"/>
          <w:sz w:val="24"/>
          <w:szCs w:val="24"/>
          <w:shd w:val="clear" w:color="auto" w:fill="FFFFFF" w:themeFill="background1"/>
        </w:rPr>
        <w:t xml:space="preserve">Ministerul Finanțelor </w:t>
      </w:r>
      <w:r w:rsidRPr="00FF5993">
        <w:rPr>
          <w:rFonts w:asciiTheme="majorHAnsi" w:hAnsiTheme="majorHAnsi" w:cs="Times New Roman"/>
          <w:sz w:val="24"/>
          <w:szCs w:val="24"/>
        </w:rPr>
        <w:t>și unele instituții din subordine</w:t>
      </w:r>
      <w:r w:rsidRPr="00FF5993">
        <w:rPr>
          <w:rFonts w:asciiTheme="majorHAnsi" w:hAnsiTheme="majorHAnsi" w:cstheme="majorHAnsi"/>
          <w:iCs/>
          <w:color w:val="000000" w:themeColor="text1"/>
          <w:sz w:val="24"/>
          <w:szCs w:val="24"/>
          <w:shd w:val="clear" w:color="auto" w:fill="FFFFFF" w:themeFill="background1"/>
        </w:rPr>
        <w:t xml:space="preserve"> n-au aplicat regulile generale de recunoaștere și clasificare </w:t>
      </w:r>
      <w:r w:rsidRPr="00FF5993">
        <w:rPr>
          <w:rFonts w:asciiTheme="majorHAnsi" w:hAnsiTheme="majorHAnsi" w:cs="Times New Roman"/>
          <w:sz w:val="24"/>
          <w:szCs w:val="24"/>
        </w:rPr>
        <w:t>a activelor nefinanciare</w:t>
      </w:r>
      <w:r w:rsidRPr="00FF5993">
        <w:rPr>
          <w:rStyle w:val="a7"/>
          <w:rFonts w:asciiTheme="majorHAnsi" w:hAnsiTheme="majorHAnsi" w:cstheme="majorHAnsi"/>
          <w:iCs/>
          <w:color w:val="000000" w:themeColor="text1"/>
          <w:sz w:val="24"/>
          <w:szCs w:val="24"/>
          <w:shd w:val="clear" w:color="auto" w:fill="FFFFFF" w:themeFill="background1"/>
        </w:rPr>
        <w:footnoteReference w:id="3"/>
      </w:r>
      <w:r w:rsidRPr="00FF5993">
        <w:rPr>
          <w:rFonts w:asciiTheme="majorHAnsi" w:hAnsiTheme="majorHAnsi" w:cs="Times New Roman"/>
          <w:sz w:val="24"/>
          <w:szCs w:val="24"/>
        </w:rPr>
        <w:t>,</w:t>
      </w:r>
      <w:r w:rsidRPr="00FF5993">
        <w:rPr>
          <w:rFonts w:asciiTheme="majorHAnsi" w:hAnsiTheme="majorHAnsi" w:cstheme="majorHAnsi"/>
          <w:iCs/>
          <w:color w:val="000000" w:themeColor="text1"/>
          <w:sz w:val="24"/>
          <w:szCs w:val="24"/>
          <w:shd w:val="clear" w:color="auto" w:fill="FFFFFF" w:themeFill="background1"/>
        </w:rPr>
        <w:t xml:space="preserve"> prin ce a fost afectat raportul financiar </w:t>
      </w:r>
      <w:r w:rsidRPr="00F63A62">
        <w:rPr>
          <w:rFonts w:asciiTheme="majorHAnsi" w:hAnsiTheme="majorHAnsi" w:cstheme="majorHAnsi"/>
          <w:iCs/>
          <w:color w:val="000000" w:themeColor="text1"/>
          <w:sz w:val="24"/>
          <w:szCs w:val="24"/>
          <w:shd w:val="clear" w:color="auto" w:fill="FFFFFF" w:themeFill="background1"/>
        </w:rPr>
        <w:t xml:space="preserve">consolidat la nivelul </w:t>
      </w:r>
      <w:r>
        <w:rPr>
          <w:rFonts w:asciiTheme="majorHAnsi" w:eastAsia="Times New Roman" w:hAnsiTheme="majorHAnsi" w:cstheme="majorHAnsi"/>
          <w:bCs/>
          <w:sz w:val="24"/>
          <w:szCs w:val="24"/>
        </w:rPr>
        <w:t>s</w:t>
      </w:r>
      <w:r w:rsidRPr="00F63A62">
        <w:rPr>
          <w:rFonts w:asciiTheme="majorHAnsi" w:eastAsia="Times New Roman" w:hAnsiTheme="majorHAnsi" w:cstheme="majorHAnsi"/>
          <w:bCs/>
          <w:sz w:val="24"/>
          <w:szCs w:val="24"/>
        </w:rPr>
        <w:t>ubclasei</w:t>
      </w:r>
      <w:r w:rsidRPr="00F63A62">
        <w:rPr>
          <w:rFonts w:asciiTheme="majorHAnsi" w:eastAsia="Times New Roman" w:hAnsiTheme="majorHAnsi" w:cstheme="majorHAnsi"/>
          <w:sz w:val="24"/>
          <w:szCs w:val="24"/>
        </w:rPr>
        <w:t xml:space="preserve"> </w:t>
      </w:r>
      <w:r w:rsidRPr="00F63A62">
        <w:rPr>
          <w:rFonts w:asciiTheme="majorHAnsi" w:eastAsia="Times New Roman" w:hAnsiTheme="majorHAnsi" w:cstheme="majorHAnsi"/>
          <w:bCs/>
          <w:sz w:val="24"/>
          <w:szCs w:val="24"/>
        </w:rPr>
        <w:t>31 „Mijloace fixe”</w:t>
      </w:r>
      <w:r>
        <w:rPr>
          <w:rFonts w:asciiTheme="majorHAnsi" w:eastAsia="Times New Roman" w:hAnsiTheme="majorHAnsi" w:cstheme="majorHAnsi"/>
          <w:bCs/>
          <w:sz w:val="24"/>
          <w:szCs w:val="24"/>
        </w:rPr>
        <w:t xml:space="preserve">- </w:t>
      </w:r>
      <w:r w:rsidRPr="00F63A62">
        <w:rPr>
          <w:rFonts w:asciiTheme="majorHAnsi" w:hAnsiTheme="majorHAnsi" w:cstheme="majorHAnsi"/>
          <w:iCs/>
          <w:color w:val="000000" w:themeColor="text1"/>
          <w:sz w:val="24"/>
          <w:szCs w:val="24"/>
          <w:shd w:val="clear" w:color="auto" w:fill="FFFFFF" w:themeFill="background1"/>
        </w:rPr>
        <w:t xml:space="preserve"> în sumă de </w:t>
      </w:r>
      <w:r w:rsidRPr="00F63A62">
        <w:rPr>
          <w:rFonts w:asciiTheme="majorHAnsi" w:hAnsiTheme="majorHAnsi" w:cstheme="majorHAnsi"/>
          <w:iCs/>
          <w:color w:val="000000" w:themeColor="text1"/>
          <w:sz w:val="24"/>
          <w:szCs w:val="24"/>
          <w:shd w:val="clear" w:color="auto" w:fill="FFFFFF" w:themeFill="background1"/>
          <w:lang w:val="ro-RO"/>
        </w:rPr>
        <w:t>1 735,5 mii lei</w:t>
      </w:r>
      <w:r w:rsidRPr="00F63A62">
        <w:rPr>
          <w:rStyle w:val="a7"/>
          <w:rFonts w:asciiTheme="majorHAnsi" w:hAnsiTheme="majorHAnsi" w:cstheme="majorHAnsi"/>
          <w:iCs/>
          <w:color w:val="000000" w:themeColor="text1"/>
          <w:sz w:val="24"/>
          <w:szCs w:val="24"/>
          <w:shd w:val="clear" w:color="auto" w:fill="FFFFFF" w:themeFill="background1"/>
          <w:lang w:val="ro-RO"/>
        </w:rPr>
        <w:footnoteReference w:id="4"/>
      </w:r>
      <w:r>
        <w:rPr>
          <w:rFonts w:asciiTheme="majorHAnsi" w:hAnsiTheme="majorHAnsi" w:cstheme="majorHAnsi"/>
          <w:iCs/>
          <w:color w:val="000000" w:themeColor="text1"/>
          <w:sz w:val="24"/>
          <w:szCs w:val="24"/>
          <w:shd w:val="clear" w:color="auto" w:fill="FFFFFF" w:themeFill="background1"/>
          <w:lang w:val="ro-RO"/>
        </w:rPr>
        <w:t>,</w:t>
      </w:r>
      <w:r w:rsidRPr="00F63A62">
        <w:rPr>
          <w:rFonts w:asciiTheme="majorHAnsi" w:hAnsiTheme="majorHAnsi" w:cstheme="majorHAnsi"/>
          <w:sz w:val="24"/>
          <w:szCs w:val="24"/>
          <w:lang w:val="ro-RO"/>
        </w:rPr>
        <w:t xml:space="preserve"> </w:t>
      </w:r>
      <w:r w:rsidRPr="00F63A62">
        <w:rPr>
          <w:rFonts w:asciiTheme="majorHAnsi" w:hAnsiTheme="majorHAnsi" w:cstheme="majorHAnsi"/>
          <w:iCs/>
          <w:color w:val="000000" w:themeColor="text1"/>
          <w:sz w:val="24"/>
          <w:szCs w:val="24"/>
          <w:shd w:val="clear" w:color="auto" w:fill="FFFFFF" w:themeFill="background1"/>
        </w:rPr>
        <w:t xml:space="preserve">și la nivelul </w:t>
      </w:r>
      <w:r w:rsidRPr="00F63A62">
        <w:rPr>
          <w:rFonts w:asciiTheme="majorHAnsi" w:eastAsia="Times New Roman" w:hAnsiTheme="majorHAnsi" w:cstheme="majorHAnsi"/>
          <w:sz w:val="24"/>
          <w:szCs w:val="24"/>
        </w:rPr>
        <w:t xml:space="preserve">subclasei 33 </w:t>
      </w:r>
      <w:r w:rsidRPr="00F63A62">
        <w:rPr>
          <w:rFonts w:asciiTheme="majorHAnsi" w:eastAsia="Times New Roman" w:hAnsiTheme="majorHAnsi" w:cstheme="majorHAnsi"/>
          <w:iCs/>
          <w:sz w:val="24"/>
          <w:szCs w:val="24"/>
        </w:rPr>
        <w:t>„Stocuri de materiale circulante”</w:t>
      </w:r>
      <w:r w:rsidRPr="00F63A62">
        <w:rPr>
          <w:rFonts w:asciiTheme="majorHAnsi" w:eastAsia="Times New Roman" w:hAnsiTheme="majorHAnsi" w:cstheme="majorHAnsi"/>
          <w:sz w:val="24"/>
          <w:szCs w:val="24"/>
          <w:lang w:val="ro-RO"/>
        </w:rPr>
        <w:t xml:space="preserve"> </w:t>
      </w:r>
      <w:r>
        <w:rPr>
          <w:rFonts w:asciiTheme="majorHAnsi" w:eastAsia="Times New Roman" w:hAnsiTheme="majorHAnsi" w:cstheme="majorHAnsi"/>
          <w:sz w:val="24"/>
          <w:szCs w:val="24"/>
          <w:lang w:val="ro-RO"/>
        </w:rPr>
        <w:t xml:space="preserve">- </w:t>
      </w:r>
      <w:r w:rsidRPr="00F63A62">
        <w:rPr>
          <w:rFonts w:asciiTheme="majorHAnsi" w:hAnsiTheme="majorHAnsi" w:cstheme="majorHAnsi"/>
          <w:iCs/>
          <w:color w:val="000000" w:themeColor="text1"/>
          <w:sz w:val="24"/>
          <w:szCs w:val="24"/>
          <w:shd w:val="clear" w:color="auto" w:fill="FFFFFF" w:themeFill="background1"/>
        </w:rPr>
        <w:t>în sumă de</w:t>
      </w:r>
      <w:r w:rsidRPr="00F63A62">
        <w:rPr>
          <w:rFonts w:asciiTheme="majorHAnsi" w:eastAsia="Times New Roman" w:hAnsiTheme="majorHAnsi" w:cstheme="majorHAnsi"/>
          <w:sz w:val="24"/>
          <w:szCs w:val="24"/>
          <w:lang w:val="ro-RO"/>
        </w:rPr>
        <w:t xml:space="preserve"> 1 372,0 mii lei</w:t>
      </w:r>
      <w:r w:rsidRPr="00F63A62">
        <w:rPr>
          <w:rStyle w:val="a7"/>
          <w:rFonts w:asciiTheme="majorHAnsi" w:eastAsia="Times New Roman" w:hAnsiTheme="majorHAnsi" w:cstheme="majorHAnsi"/>
          <w:sz w:val="24"/>
          <w:szCs w:val="24"/>
          <w:lang w:val="ro-RO"/>
        </w:rPr>
        <w:footnoteReference w:id="5"/>
      </w:r>
      <w:r w:rsidRPr="00F63A62">
        <w:rPr>
          <w:rFonts w:asciiTheme="majorHAnsi" w:hAnsiTheme="majorHAnsi" w:cstheme="majorHAnsi"/>
          <w:iCs/>
          <w:color w:val="000000" w:themeColor="text1"/>
          <w:sz w:val="24"/>
          <w:szCs w:val="24"/>
          <w:shd w:val="clear" w:color="auto" w:fill="FFFFFF" w:themeFill="background1"/>
          <w:lang w:val="ro-RO"/>
        </w:rPr>
        <w:t xml:space="preserve">.   </w:t>
      </w:r>
    </w:p>
    <w:p w:rsidR="00F368DE" w:rsidRPr="00FF5993" w:rsidRDefault="00F368DE" w:rsidP="00F368DE">
      <w:pPr>
        <w:tabs>
          <w:tab w:val="left" w:pos="0"/>
          <w:tab w:val="left" w:pos="90"/>
        </w:tabs>
        <w:spacing w:after="120" w:line="276" w:lineRule="auto"/>
        <w:rPr>
          <w:rFonts w:asciiTheme="majorHAnsi" w:hAnsiTheme="majorHAnsi" w:cstheme="majorHAnsi"/>
          <w:sz w:val="24"/>
          <w:szCs w:val="24"/>
          <w:lang w:val="ro-RO"/>
        </w:rPr>
      </w:pPr>
      <w:bookmarkStart w:id="5" w:name="_GoBack"/>
      <w:bookmarkEnd w:id="5"/>
      <w:r w:rsidRPr="00FF5993">
        <w:rPr>
          <w:rFonts w:asciiTheme="majorHAnsi" w:hAnsiTheme="majorHAnsi" w:cstheme="majorHAnsi"/>
          <w:color w:val="333333"/>
          <w:sz w:val="24"/>
          <w:szCs w:val="24"/>
          <w:shd w:val="clear" w:color="auto" w:fill="FFFFFF"/>
          <w:lang w:val="ro-RO"/>
        </w:rPr>
        <w:lastRenderedPageBreak/>
        <w:t>Raportarea neregulamentară</w:t>
      </w:r>
      <w:r w:rsidRPr="00FF5993">
        <w:rPr>
          <w:rStyle w:val="a7"/>
          <w:rFonts w:asciiTheme="majorHAnsi" w:hAnsiTheme="majorHAnsi" w:cstheme="majorHAnsi"/>
          <w:color w:val="333333"/>
          <w:sz w:val="24"/>
          <w:szCs w:val="24"/>
          <w:shd w:val="clear" w:color="auto" w:fill="FFFFFF"/>
          <w:lang w:val="ro-RO"/>
        </w:rPr>
        <w:footnoteReference w:id="6"/>
      </w:r>
      <w:r w:rsidRPr="00FF5993">
        <w:rPr>
          <w:rFonts w:asciiTheme="majorHAnsi" w:hAnsiTheme="majorHAnsi" w:cstheme="majorHAnsi"/>
          <w:color w:val="333333"/>
          <w:sz w:val="24"/>
          <w:szCs w:val="24"/>
          <w:shd w:val="clear" w:color="auto" w:fill="FFFFFF"/>
          <w:lang w:val="ro-RO"/>
        </w:rPr>
        <w:t xml:space="preserve"> a unor active identice la diferite grupuri de conturi a afectat </w:t>
      </w:r>
      <w:r w:rsidRPr="00FF5993">
        <w:rPr>
          <w:rFonts w:asciiTheme="majorHAnsi" w:eastAsia="Times New Roman" w:hAnsiTheme="majorHAnsi" w:cstheme="majorHAnsi"/>
          <w:sz w:val="24"/>
          <w:szCs w:val="24"/>
          <w:lang w:val="ro-RO"/>
        </w:rPr>
        <w:t>raportul financiar consolidat cu</w:t>
      </w:r>
      <w:r w:rsidRPr="00FF5993">
        <w:rPr>
          <w:rFonts w:asciiTheme="majorHAnsi" w:eastAsia="Times New Roman" w:hAnsiTheme="majorHAnsi" w:cstheme="majorHAnsi"/>
          <w:b/>
          <w:sz w:val="24"/>
          <w:szCs w:val="24"/>
          <w:lang w:val="ro-RO"/>
        </w:rPr>
        <w:t xml:space="preserve"> </w:t>
      </w:r>
      <w:r w:rsidRPr="00FF5993">
        <w:rPr>
          <w:rFonts w:asciiTheme="majorHAnsi" w:hAnsiTheme="majorHAnsi" w:cstheme="majorHAnsi"/>
          <w:color w:val="333333"/>
          <w:sz w:val="24"/>
          <w:szCs w:val="24"/>
          <w:shd w:val="clear" w:color="auto" w:fill="FFFFFF"/>
          <w:lang w:val="ro-RO"/>
        </w:rPr>
        <w:t xml:space="preserve">2 </w:t>
      </w:r>
      <w:r w:rsidR="00124314">
        <w:rPr>
          <w:rFonts w:asciiTheme="majorHAnsi" w:hAnsiTheme="majorHAnsi" w:cstheme="majorHAnsi"/>
          <w:color w:val="333333"/>
          <w:sz w:val="24"/>
          <w:szCs w:val="24"/>
          <w:shd w:val="clear" w:color="auto" w:fill="FFFFFF"/>
          <w:lang w:val="ro-RO"/>
        </w:rPr>
        <w:t>134,6</w:t>
      </w:r>
      <w:r w:rsidRPr="00FF5993">
        <w:rPr>
          <w:rFonts w:asciiTheme="majorHAnsi" w:hAnsiTheme="majorHAnsi" w:cstheme="majorHAnsi"/>
          <w:color w:val="333333"/>
          <w:sz w:val="24"/>
          <w:szCs w:val="24"/>
          <w:shd w:val="clear" w:color="auto" w:fill="FFFFFF"/>
          <w:lang w:val="ro-RO"/>
        </w:rPr>
        <w:t xml:space="preserve"> mii lei, </w:t>
      </w:r>
      <w:r>
        <w:rPr>
          <w:rFonts w:asciiTheme="majorHAnsi" w:hAnsiTheme="majorHAnsi" w:cstheme="majorHAnsi"/>
          <w:color w:val="333333"/>
          <w:sz w:val="24"/>
          <w:szCs w:val="24"/>
          <w:shd w:val="clear" w:color="auto" w:fill="FFFFFF"/>
          <w:lang w:val="ro-RO"/>
        </w:rPr>
        <w:t xml:space="preserve">din </w:t>
      </w:r>
      <w:r w:rsidRPr="00FF5993">
        <w:rPr>
          <w:rFonts w:asciiTheme="majorHAnsi" w:hAnsiTheme="majorHAnsi" w:cstheme="majorHAnsi"/>
          <w:color w:val="333333"/>
          <w:sz w:val="24"/>
          <w:szCs w:val="24"/>
          <w:shd w:val="clear" w:color="auto" w:fill="FFFFFF"/>
          <w:lang w:val="ro-RO"/>
        </w:rPr>
        <w:t xml:space="preserve">cauza </w:t>
      </w:r>
      <w:r w:rsidRPr="00FF5993">
        <w:rPr>
          <w:rFonts w:asciiTheme="majorHAnsi" w:eastAsia="Times New Roman" w:hAnsiTheme="majorHAnsi" w:cstheme="majorHAnsi"/>
          <w:sz w:val="24"/>
          <w:szCs w:val="24"/>
          <w:lang w:val="ro-RO"/>
        </w:rPr>
        <w:t>interpret</w:t>
      </w:r>
      <w:r>
        <w:rPr>
          <w:rFonts w:asciiTheme="majorHAnsi" w:eastAsia="Times New Roman" w:hAnsiTheme="majorHAnsi" w:cstheme="majorHAnsi"/>
          <w:sz w:val="24"/>
          <w:szCs w:val="24"/>
          <w:lang w:val="ro-RO"/>
        </w:rPr>
        <w:t>ării</w:t>
      </w:r>
      <w:r w:rsidRPr="00FF5993">
        <w:rPr>
          <w:rFonts w:asciiTheme="majorHAnsi" w:eastAsia="Times New Roman" w:hAnsiTheme="majorHAnsi" w:cstheme="majorHAnsi"/>
          <w:sz w:val="24"/>
          <w:szCs w:val="24"/>
          <w:lang w:val="ro-RO"/>
        </w:rPr>
        <w:t xml:space="preserve"> neunivoc</w:t>
      </w:r>
      <w:r>
        <w:rPr>
          <w:rFonts w:asciiTheme="majorHAnsi" w:eastAsia="Times New Roman" w:hAnsiTheme="majorHAnsi" w:cstheme="majorHAnsi"/>
          <w:sz w:val="24"/>
          <w:szCs w:val="24"/>
          <w:lang w:val="ro-RO"/>
        </w:rPr>
        <w:t>e</w:t>
      </w:r>
      <w:r w:rsidRPr="00FF5993">
        <w:rPr>
          <w:rFonts w:asciiTheme="majorHAnsi" w:eastAsia="Times New Roman" w:hAnsiTheme="majorHAnsi" w:cstheme="majorHAnsi"/>
          <w:sz w:val="24"/>
          <w:szCs w:val="24"/>
          <w:lang w:val="ro-RO"/>
        </w:rPr>
        <w:t xml:space="preserve"> a prevederilor </w:t>
      </w:r>
      <w:r>
        <w:rPr>
          <w:rFonts w:asciiTheme="majorHAnsi" w:eastAsia="Times New Roman" w:hAnsiTheme="majorHAnsi" w:cstheme="majorHAnsi"/>
          <w:sz w:val="24"/>
          <w:szCs w:val="24"/>
          <w:lang w:val="ro-RO"/>
        </w:rPr>
        <w:t>N</w:t>
      </w:r>
      <w:r w:rsidRPr="00FF5993">
        <w:rPr>
          <w:rFonts w:asciiTheme="majorHAnsi" w:eastAsia="Times New Roman" w:hAnsiTheme="majorHAnsi" w:cstheme="majorHAnsi"/>
          <w:sz w:val="24"/>
          <w:szCs w:val="24"/>
          <w:lang w:val="ro-RO"/>
        </w:rPr>
        <w:t>ormelor metodologice</w:t>
      </w:r>
      <w:r w:rsidRPr="00FF5993">
        <w:rPr>
          <w:rStyle w:val="a7"/>
          <w:rFonts w:asciiTheme="majorHAnsi" w:eastAsia="Times New Roman" w:hAnsiTheme="majorHAnsi" w:cstheme="majorHAnsi"/>
          <w:sz w:val="24"/>
          <w:szCs w:val="24"/>
          <w:lang w:val="ro-RO"/>
        </w:rPr>
        <w:footnoteReference w:id="7"/>
      </w:r>
      <w:r w:rsidRPr="00FF5993">
        <w:rPr>
          <w:rFonts w:asciiTheme="majorHAnsi" w:eastAsia="Times New Roman" w:hAnsiTheme="majorHAnsi" w:cstheme="majorHAnsi"/>
          <w:sz w:val="24"/>
          <w:szCs w:val="24"/>
          <w:lang w:val="ro-RO"/>
        </w:rPr>
        <w:t xml:space="preserve"> de către unele instituții din subordinea Ministerului Finanțelor.</w:t>
      </w:r>
    </w:p>
    <w:p w:rsidR="00F368DE" w:rsidRDefault="00F368DE" w:rsidP="00F368DE">
      <w:pPr>
        <w:tabs>
          <w:tab w:val="left" w:pos="90"/>
        </w:tabs>
        <w:spacing w:after="120" w:line="276" w:lineRule="auto"/>
        <w:rPr>
          <w:rFonts w:asciiTheme="majorHAnsi" w:hAnsiTheme="majorHAnsi" w:cstheme="majorHAnsi"/>
          <w:sz w:val="24"/>
          <w:szCs w:val="24"/>
          <w:lang w:val="ro-RO"/>
        </w:rPr>
      </w:pPr>
      <w:r w:rsidRPr="00FF5993">
        <w:rPr>
          <w:rFonts w:asciiTheme="majorHAnsi" w:hAnsiTheme="majorHAnsi" w:cstheme="majorHAnsi"/>
          <w:sz w:val="24"/>
          <w:szCs w:val="24"/>
        </w:rPr>
        <w:t xml:space="preserve">Ministerul Finanțelor nu a aplicat </w:t>
      </w:r>
      <w:r w:rsidRPr="00FF5993">
        <w:rPr>
          <w:rFonts w:asciiTheme="majorHAnsi" w:hAnsiTheme="majorHAnsi" w:cstheme="majorHAnsi"/>
          <w:sz w:val="24"/>
          <w:szCs w:val="24"/>
          <w:lang w:val="ro-RO"/>
        </w:rPr>
        <w:t>regulile generale de recunoaștere și evaluare</w:t>
      </w:r>
      <w:r w:rsidRPr="00FF5993">
        <w:rPr>
          <w:rStyle w:val="a7"/>
          <w:rFonts w:asciiTheme="majorHAnsi" w:hAnsiTheme="majorHAnsi" w:cstheme="majorHAnsi"/>
          <w:sz w:val="24"/>
          <w:szCs w:val="24"/>
          <w:lang w:val="ro-RO"/>
        </w:rPr>
        <w:footnoteReference w:id="8"/>
      </w:r>
      <w:r w:rsidRPr="00FF5993">
        <w:rPr>
          <w:rFonts w:asciiTheme="majorHAnsi" w:hAnsiTheme="majorHAnsi" w:cstheme="majorHAnsi"/>
          <w:sz w:val="24"/>
          <w:szCs w:val="24"/>
          <w:lang w:val="ro-RO"/>
        </w:rPr>
        <w:t xml:space="preserve"> a bunurilor imobile. Prin urmare,</w:t>
      </w:r>
      <w:r w:rsidRPr="00FF5993">
        <w:rPr>
          <w:rFonts w:asciiTheme="majorHAnsi" w:hAnsiTheme="majorHAnsi" w:cstheme="majorHAnsi"/>
          <w:sz w:val="24"/>
          <w:szCs w:val="24"/>
        </w:rPr>
        <w:t xml:space="preserve"> </w:t>
      </w:r>
      <w:r w:rsidRPr="00FF5993">
        <w:rPr>
          <w:rFonts w:asciiTheme="majorHAnsi" w:hAnsiTheme="majorHAnsi" w:cstheme="majorHAnsi"/>
          <w:sz w:val="24"/>
          <w:szCs w:val="24"/>
          <w:lang w:val="ro-RO"/>
        </w:rPr>
        <w:t>nu au fost evaluate și contabilizate 19 imobile cu suprafața totală de 844,69 m</w:t>
      </w:r>
      <w:r w:rsidRPr="00FF5993">
        <w:rPr>
          <w:rFonts w:asciiTheme="majorHAnsi" w:hAnsiTheme="majorHAnsi" w:cstheme="majorHAnsi"/>
          <w:sz w:val="24"/>
          <w:szCs w:val="24"/>
          <w:vertAlign w:val="superscript"/>
          <w:lang w:val="ro-RO"/>
        </w:rPr>
        <w:t>2</w:t>
      </w:r>
      <w:r w:rsidRPr="00FF5993">
        <w:rPr>
          <w:rFonts w:asciiTheme="majorHAnsi" w:hAnsiTheme="majorHAnsi" w:cstheme="majorHAnsi"/>
          <w:sz w:val="24"/>
          <w:szCs w:val="24"/>
          <w:lang w:val="ro-RO"/>
        </w:rPr>
        <w:t xml:space="preserve"> de către </w:t>
      </w:r>
      <w:r w:rsidRPr="00FF5993">
        <w:rPr>
          <w:rFonts w:asciiTheme="majorHAnsi" w:hAnsiTheme="majorHAnsi" w:cstheme="majorHAnsi"/>
          <w:bCs/>
          <w:sz w:val="24"/>
          <w:szCs w:val="24"/>
          <w:lang w:val="ro-RO"/>
        </w:rPr>
        <w:t>Serviciul Fiscal de Stat</w:t>
      </w:r>
      <w:r w:rsidRPr="00FF5993">
        <w:rPr>
          <w:rFonts w:asciiTheme="majorHAnsi" w:hAnsiTheme="majorHAnsi" w:cstheme="majorHAnsi"/>
          <w:sz w:val="24"/>
          <w:szCs w:val="24"/>
          <w:lang w:val="ro-RO"/>
        </w:rPr>
        <w:t>, precum și n</w:t>
      </w:r>
      <w:r>
        <w:rPr>
          <w:rFonts w:asciiTheme="majorHAnsi" w:hAnsiTheme="majorHAnsi" w:cstheme="majorHAnsi"/>
          <w:sz w:val="24"/>
          <w:szCs w:val="24"/>
          <w:lang w:val="ro-RO"/>
        </w:rPr>
        <w:t xml:space="preserve">u s-au </w:t>
      </w:r>
      <w:r w:rsidRPr="00FF5993">
        <w:rPr>
          <w:rFonts w:asciiTheme="majorHAnsi" w:hAnsiTheme="majorHAnsi" w:cstheme="majorHAnsi"/>
          <w:sz w:val="24"/>
          <w:szCs w:val="24"/>
          <w:lang w:val="ro-RO"/>
        </w:rPr>
        <w:t>înregistrat separat în evidența conta</w:t>
      </w:r>
      <w:r>
        <w:rPr>
          <w:rFonts w:asciiTheme="majorHAnsi" w:hAnsiTheme="majorHAnsi" w:cstheme="majorHAnsi"/>
          <w:sz w:val="24"/>
          <w:szCs w:val="24"/>
          <w:lang w:val="ro-RO"/>
        </w:rPr>
        <w:t xml:space="preserve">bilă de către Serviciul Vamal </w:t>
      </w:r>
      <w:r w:rsidRPr="00FF5993">
        <w:rPr>
          <w:rFonts w:asciiTheme="majorHAnsi" w:hAnsiTheme="majorHAnsi" w:cstheme="majorHAnsi"/>
          <w:sz w:val="24"/>
          <w:szCs w:val="24"/>
          <w:lang w:val="ro-RO"/>
        </w:rPr>
        <w:t>9 imobile cu suprafața totală de 288,1 m</w:t>
      </w:r>
      <w:r w:rsidRPr="00FF5993">
        <w:rPr>
          <w:rFonts w:asciiTheme="majorHAnsi" w:hAnsiTheme="majorHAnsi" w:cstheme="majorHAnsi"/>
          <w:sz w:val="24"/>
          <w:szCs w:val="24"/>
          <w:vertAlign w:val="superscript"/>
          <w:lang w:val="ro-RO"/>
        </w:rPr>
        <w:t>2</w:t>
      </w:r>
      <w:r>
        <w:rPr>
          <w:rFonts w:asciiTheme="majorHAnsi" w:hAnsiTheme="majorHAnsi" w:cstheme="majorHAnsi"/>
          <w:sz w:val="24"/>
          <w:szCs w:val="24"/>
          <w:lang w:val="ro-RO"/>
        </w:rPr>
        <w:t xml:space="preserve">, </w:t>
      </w:r>
      <w:r w:rsidRPr="00FF5993">
        <w:rPr>
          <w:rFonts w:asciiTheme="majorHAnsi" w:hAnsiTheme="majorHAnsi" w:cstheme="majorHAnsi"/>
          <w:sz w:val="24"/>
          <w:szCs w:val="24"/>
          <w:lang w:val="ro-RO"/>
        </w:rPr>
        <w:t xml:space="preserve">cu o valoare nesemnificativă, întrucât menirea acestor construcții este să asigure activități de complementare a activității de bază.   </w:t>
      </w:r>
    </w:p>
    <w:p w:rsidR="00F368DE" w:rsidRPr="00F63A62" w:rsidRDefault="00F368DE" w:rsidP="00F368DE">
      <w:pPr>
        <w:tabs>
          <w:tab w:val="left" w:pos="90"/>
        </w:tabs>
        <w:spacing w:after="120" w:line="276" w:lineRule="auto"/>
        <w:rPr>
          <w:rFonts w:asciiTheme="majorHAnsi" w:hAnsiTheme="majorHAnsi" w:cstheme="majorHAnsi"/>
          <w:sz w:val="24"/>
          <w:szCs w:val="24"/>
          <w:lang w:val="ro-RO"/>
        </w:rPr>
      </w:pPr>
      <w:r>
        <w:rPr>
          <w:rFonts w:asciiTheme="majorHAnsi" w:hAnsiTheme="majorHAnsi" w:cstheme="majorHAnsi"/>
          <w:sz w:val="24"/>
          <w:szCs w:val="24"/>
          <w:lang w:val="ro-RO"/>
        </w:rPr>
        <w:t>Raportarea neregulamentară</w:t>
      </w:r>
      <w:r w:rsidRPr="00FF5993">
        <w:rPr>
          <w:rStyle w:val="a7"/>
          <w:rFonts w:asciiTheme="majorHAnsi" w:hAnsiTheme="majorHAnsi" w:cstheme="majorHAnsi"/>
          <w:sz w:val="24"/>
          <w:szCs w:val="24"/>
          <w:lang w:val="ro-RO"/>
        </w:rPr>
        <w:footnoteReference w:id="9"/>
      </w:r>
      <w:r>
        <w:rPr>
          <w:rFonts w:asciiTheme="majorHAnsi" w:hAnsiTheme="majorHAnsi" w:cstheme="majorHAnsi"/>
          <w:sz w:val="24"/>
          <w:szCs w:val="24"/>
          <w:lang w:val="ro-RO"/>
        </w:rPr>
        <w:t xml:space="preserve"> a activelor neproductive este cauzată de: (i) neevaluarea și neînregistrarea </w:t>
      </w:r>
      <w:r w:rsidRPr="00FF5993">
        <w:rPr>
          <w:rFonts w:asciiTheme="majorHAnsi" w:eastAsia="Times New Roman" w:hAnsiTheme="majorHAnsi" w:cstheme="majorHAnsi"/>
          <w:bCs/>
          <w:sz w:val="24"/>
          <w:szCs w:val="24"/>
          <w:lang w:val="ro-RO" w:eastAsia="ru-RU"/>
        </w:rPr>
        <w:t xml:space="preserve">valorică în evidența contabilă de către Serviciul Fiscal de Stat </w:t>
      </w:r>
      <w:r w:rsidRPr="00FF5993">
        <w:rPr>
          <w:rFonts w:asciiTheme="majorHAnsi" w:hAnsiTheme="majorHAnsi" w:cstheme="majorHAnsi"/>
          <w:sz w:val="24"/>
          <w:szCs w:val="24"/>
          <w:lang w:val="ro-RO"/>
        </w:rPr>
        <w:t xml:space="preserve">a 11 terenuri cu suprafața totală de </w:t>
      </w:r>
      <w:r w:rsidRPr="00FF5993">
        <w:rPr>
          <w:rFonts w:asciiTheme="majorHAnsi" w:hAnsiTheme="majorHAnsi" w:cstheme="majorHAnsi"/>
          <w:sz w:val="24"/>
          <w:szCs w:val="24"/>
        </w:rPr>
        <w:t>1,127</w:t>
      </w:r>
      <w:r>
        <w:rPr>
          <w:rFonts w:asciiTheme="majorHAnsi" w:hAnsiTheme="majorHAnsi" w:cstheme="majorHAnsi"/>
          <w:sz w:val="24"/>
          <w:szCs w:val="24"/>
          <w:lang w:val="ro-RO"/>
        </w:rPr>
        <w:t xml:space="preserve"> ha;</w:t>
      </w:r>
      <w:r w:rsidRPr="00FF5993">
        <w:rPr>
          <w:rFonts w:asciiTheme="majorHAnsi" w:hAnsiTheme="majorHAnsi" w:cstheme="majorHAnsi"/>
          <w:sz w:val="24"/>
          <w:szCs w:val="24"/>
          <w:lang w:val="ro-RO"/>
        </w:rPr>
        <w:t xml:space="preserve"> (ii) </w:t>
      </w:r>
      <w:r w:rsidRPr="00FF5993">
        <w:rPr>
          <w:rFonts w:asciiTheme="majorHAnsi" w:eastAsia="Times New Roman" w:hAnsiTheme="majorHAnsi" w:cstheme="majorHAnsi"/>
          <w:bCs/>
          <w:sz w:val="24"/>
          <w:szCs w:val="24"/>
          <w:lang w:val="ro-RO" w:eastAsia="ru-RU"/>
        </w:rPr>
        <w:t xml:space="preserve">neevaluarea și neînregistrarea valorică a </w:t>
      </w:r>
      <w:r w:rsidRPr="00FF5993">
        <w:rPr>
          <w:rFonts w:asciiTheme="majorHAnsi" w:hAnsiTheme="majorHAnsi" w:cstheme="majorHAnsi"/>
          <w:sz w:val="24"/>
          <w:szCs w:val="24"/>
          <w:lang w:val="ro-RO"/>
        </w:rPr>
        <w:t>terenului cu suprafața de 0,1668 ha, care</w:t>
      </w:r>
      <w:r>
        <w:rPr>
          <w:rFonts w:asciiTheme="majorHAnsi" w:hAnsiTheme="majorHAnsi" w:cstheme="majorHAnsi"/>
          <w:sz w:val="24"/>
          <w:szCs w:val="24"/>
          <w:lang w:val="ro-RO"/>
        </w:rPr>
        <w:t xml:space="preserve"> aparține Inspecției Financiare;</w:t>
      </w:r>
      <w:r w:rsidRPr="00FF5993">
        <w:rPr>
          <w:rFonts w:asciiTheme="majorHAnsi" w:hAnsiTheme="majorHAnsi" w:cstheme="majorHAnsi"/>
          <w:sz w:val="24"/>
          <w:szCs w:val="24"/>
          <w:lang w:val="ro-RO"/>
        </w:rPr>
        <w:t xml:space="preserve"> (iii)</w:t>
      </w:r>
      <w:r w:rsidRPr="00FF5993">
        <w:rPr>
          <w:rFonts w:asciiTheme="majorHAnsi" w:eastAsia="Times New Roman" w:hAnsiTheme="majorHAnsi" w:cstheme="majorHAnsi"/>
          <w:sz w:val="24"/>
          <w:szCs w:val="24"/>
          <w:lang w:val="ro-RO"/>
        </w:rPr>
        <w:t xml:space="preserve"> </w:t>
      </w:r>
      <w:proofErr w:type="spellStart"/>
      <w:r w:rsidRPr="00FF5993">
        <w:rPr>
          <w:rFonts w:asciiTheme="majorHAnsi" w:eastAsia="Times New Roman" w:hAnsiTheme="majorHAnsi" w:cstheme="majorHAnsi"/>
          <w:sz w:val="24"/>
          <w:szCs w:val="24"/>
          <w:lang w:val="ro-RO"/>
        </w:rPr>
        <w:t>nereflectarea</w:t>
      </w:r>
      <w:proofErr w:type="spellEnd"/>
      <w:r w:rsidRPr="00FF5993">
        <w:rPr>
          <w:rFonts w:asciiTheme="majorHAnsi" w:eastAsia="Times New Roman" w:hAnsiTheme="majorHAnsi" w:cstheme="majorHAnsi"/>
          <w:sz w:val="24"/>
          <w:szCs w:val="24"/>
          <w:lang w:val="ro-RO"/>
        </w:rPr>
        <w:t xml:space="preserve"> </w:t>
      </w:r>
      <w:r w:rsidRPr="00FF5993">
        <w:rPr>
          <w:rFonts w:asciiTheme="majorHAnsi" w:hAnsiTheme="majorHAnsi" w:cstheme="majorHAnsi"/>
          <w:sz w:val="24"/>
          <w:szCs w:val="24"/>
          <w:lang w:val="ro-RO"/>
        </w:rPr>
        <w:t>cantitativ-valoric</w:t>
      </w:r>
      <w:r>
        <w:rPr>
          <w:rFonts w:asciiTheme="majorHAnsi" w:hAnsiTheme="majorHAnsi" w:cstheme="majorHAnsi"/>
          <w:sz w:val="24"/>
          <w:szCs w:val="24"/>
          <w:lang w:val="ro-RO"/>
        </w:rPr>
        <w:t>ă</w:t>
      </w:r>
      <w:r w:rsidRPr="00FF5993">
        <w:rPr>
          <w:rFonts w:asciiTheme="majorHAnsi" w:hAnsiTheme="majorHAnsi" w:cstheme="majorHAnsi"/>
          <w:sz w:val="24"/>
          <w:szCs w:val="24"/>
          <w:lang w:val="ro-RO"/>
        </w:rPr>
        <w:t xml:space="preserve"> a terenului cu suprafața de 0,</w:t>
      </w:r>
      <w:r w:rsidRPr="00FF5993">
        <w:rPr>
          <w:rFonts w:asciiTheme="majorHAnsi" w:hAnsiTheme="majorHAnsi" w:cs="Times New Roman"/>
          <w:sz w:val="24"/>
          <w:szCs w:val="24"/>
          <w:lang w:val="ro-RO"/>
        </w:rPr>
        <w:t>1489 ha, în sumă de 192,3 mii lei,</w:t>
      </w:r>
      <w:r w:rsidRPr="00FF5993">
        <w:rPr>
          <w:rFonts w:asciiTheme="majorHAnsi" w:hAnsiTheme="majorHAnsi" w:cstheme="majorHAnsi"/>
          <w:sz w:val="24"/>
          <w:szCs w:val="24"/>
          <w:lang w:val="ro-RO"/>
        </w:rPr>
        <w:t xml:space="preserve"> </w:t>
      </w:r>
      <w:r w:rsidRPr="00FF5993">
        <w:rPr>
          <w:rFonts w:asciiTheme="majorHAnsi" w:eastAsia="Times New Roman" w:hAnsiTheme="majorHAnsi" w:cstheme="majorHAnsi"/>
          <w:sz w:val="24"/>
          <w:szCs w:val="24"/>
          <w:lang w:val="ro-RO"/>
        </w:rPr>
        <w:t>în bilanțul contabil al</w:t>
      </w:r>
      <w:r w:rsidRPr="00FF5993">
        <w:rPr>
          <w:rFonts w:asciiTheme="majorHAnsi" w:hAnsiTheme="majorHAnsi" w:cstheme="majorHAnsi"/>
          <w:sz w:val="24"/>
          <w:szCs w:val="24"/>
          <w:lang w:val="ro-RO"/>
        </w:rPr>
        <w:t xml:space="preserve"> Serviciului Vamal</w:t>
      </w:r>
      <w:r w:rsidRPr="00FF5993">
        <w:rPr>
          <w:rFonts w:asciiTheme="majorHAnsi" w:hAnsiTheme="majorHAnsi" w:cs="Times New Roman"/>
          <w:sz w:val="24"/>
          <w:szCs w:val="24"/>
          <w:lang w:val="ro-RO"/>
        </w:rPr>
        <w:t>.</w:t>
      </w:r>
    </w:p>
    <w:p w:rsidR="00F368DE" w:rsidRPr="00FF5993" w:rsidRDefault="00F368DE" w:rsidP="00F368DE">
      <w:pPr>
        <w:tabs>
          <w:tab w:val="left" w:pos="90"/>
        </w:tabs>
        <w:spacing w:after="120" w:line="276" w:lineRule="auto"/>
        <w:rPr>
          <w:rFonts w:asciiTheme="majorHAnsi" w:hAnsiTheme="majorHAnsi" w:cstheme="majorHAnsi"/>
          <w:sz w:val="24"/>
          <w:szCs w:val="24"/>
          <w:lang w:val="ro-RO"/>
        </w:rPr>
      </w:pPr>
      <w:r w:rsidRPr="00FF5993">
        <w:rPr>
          <w:rFonts w:asciiTheme="majorHAnsi" w:eastAsia="Times New Roman" w:hAnsiTheme="majorHAnsi" w:cstheme="majorHAnsi"/>
          <w:b/>
          <w:bCs/>
          <w:sz w:val="24"/>
          <w:szCs w:val="24"/>
          <w:lang w:val="ro-RO"/>
        </w:rPr>
        <w:t>4.2</w:t>
      </w:r>
      <w:r w:rsidRPr="00FF5993">
        <w:rPr>
          <w:rFonts w:asciiTheme="majorHAnsi" w:eastAsia="Times New Roman" w:hAnsiTheme="majorHAnsi" w:cstheme="majorHAnsi"/>
          <w:bCs/>
          <w:sz w:val="24"/>
          <w:szCs w:val="24"/>
          <w:lang w:val="ro-RO"/>
        </w:rPr>
        <w:t xml:space="preserve">. </w:t>
      </w:r>
      <w:r>
        <w:rPr>
          <w:rFonts w:asciiTheme="majorHAnsi" w:hAnsiTheme="majorHAnsi" w:cstheme="majorHAnsi"/>
          <w:sz w:val="24"/>
          <w:szCs w:val="24"/>
          <w:lang w:val="ro-RO"/>
        </w:rPr>
        <w:t>U</w:t>
      </w:r>
      <w:r w:rsidRPr="00FF5993">
        <w:rPr>
          <w:rFonts w:asciiTheme="majorHAnsi" w:hAnsiTheme="majorHAnsi" w:cstheme="majorHAnsi"/>
          <w:sz w:val="24"/>
          <w:szCs w:val="24"/>
          <w:lang w:val="ro-RO"/>
        </w:rPr>
        <w:t xml:space="preserve">nele erori admise la recunoașterea și clasificarea </w:t>
      </w:r>
      <w:r w:rsidRPr="00FF5993">
        <w:rPr>
          <w:rFonts w:asciiTheme="majorHAnsi" w:eastAsia="Times New Roman" w:hAnsiTheme="majorHAnsi" w:cstheme="majorHAnsi"/>
          <w:bCs/>
          <w:sz w:val="24"/>
          <w:szCs w:val="24"/>
          <w:lang w:val="ro-RO"/>
        </w:rPr>
        <w:t>cheltuielilor</w:t>
      </w:r>
      <w:r w:rsidRPr="00FF5993">
        <w:rPr>
          <w:rStyle w:val="a7"/>
          <w:rFonts w:asciiTheme="majorHAnsi" w:hAnsiTheme="majorHAnsi" w:cstheme="majorHAnsi"/>
          <w:sz w:val="24"/>
          <w:szCs w:val="24"/>
          <w:lang w:val="ro-RO"/>
        </w:rPr>
        <w:footnoteReference w:id="10"/>
      </w:r>
      <w:r w:rsidRPr="00FF5993">
        <w:rPr>
          <w:rFonts w:asciiTheme="majorHAnsi" w:eastAsia="Times New Roman" w:hAnsiTheme="majorHAnsi" w:cstheme="majorHAnsi"/>
          <w:bCs/>
          <w:sz w:val="24"/>
          <w:szCs w:val="24"/>
          <w:lang w:val="ro-RO"/>
        </w:rPr>
        <w:t xml:space="preserve"> </w:t>
      </w:r>
      <w:r>
        <w:rPr>
          <w:rFonts w:asciiTheme="majorHAnsi" w:hAnsiTheme="majorHAnsi" w:cstheme="majorHAnsi"/>
          <w:sz w:val="24"/>
          <w:szCs w:val="24"/>
          <w:lang w:val="ro-RO"/>
        </w:rPr>
        <w:t>au cauzat</w:t>
      </w:r>
      <w:r w:rsidRPr="00FF5993">
        <w:rPr>
          <w:rFonts w:asciiTheme="majorHAnsi" w:eastAsia="Times New Roman" w:hAnsiTheme="majorHAnsi" w:cstheme="majorHAnsi"/>
          <w:bCs/>
          <w:sz w:val="24"/>
          <w:szCs w:val="24"/>
          <w:lang w:val="ro-RO"/>
        </w:rPr>
        <w:t xml:space="preserve"> </w:t>
      </w:r>
      <w:r>
        <w:rPr>
          <w:rFonts w:asciiTheme="majorHAnsi" w:eastAsia="Times New Roman" w:hAnsiTheme="majorHAnsi" w:cstheme="majorHAnsi"/>
          <w:bCs/>
          <w:sz w:val="24"/>
          <w:szCs w:val="24"/>
          <w:lang w:val="ro-RO"/>
        </w:rPr>
        <w:t>s</w:t>
      </w:r>
      <w:r w:rsidRPr="00FF5993">
        <w:rPr>
          <w:rFonts w:asciiTheme="majorHAnsi" w:eastAsia="Times New Roman" w:hAnsiTheme="majorHAnsi" w:cstheme="majorHAnsi"/>
          <w:bCs/>
          <w:sz w:val="24"/>
          <w:szCs w:val="24"/>
          <w:lang w:val="ro-RO"/>
        </w:rPr>
        <w:t xml:space="preserve">upraevaluarea </w:t>
      </w:r>
      <w:r>
        <w:rPr>
          <w:rFonts w:asciiTheme="majorHAnsi" w:eastAsia="Times New Roman" w:hAnsiTheme="majorHAnsi" w:cstheme="majorHAnsi"/>
          <w:bCs/>
          <w:sz w:val="24"/>
          <w:szCs w:val="24"/>
          <w:lang w:val="ro-RO"/>
        </w:rPr>
        <w:t xml:space="preserve">lor </w:t>
      </w:r>
      <w:r w:rsidRPr="005B697F">
        <w:rPr>
          <w:rFonts w:asciiTheme="majorHAnsi" w:eastAsia="Times New Roman" w:hAnsiTheme="majorHAnsi" w:cstheme="majorHAnsi"/>
          <w:bCs/>
          <w:sz w:val="24"/>
          <w:szCs w:val="24"/>
          <w:lang w:val="ro-RO"/>
        </w:rPr>
        <w:t>cu 4 849,7 mii lei</w:t>
      </w:r>
      <w:r w:rsidRPr="005B697F">
        <w:rPr>
          <w:rFonts w:asciiTheme="majorHAnsi" w:hAnsiTheme="majorHAnsi" w:cstheme="majorHAnsi"/>
          <w:sz w:val="24"/>
          <w:szCs w:val="24"/>
          <w:lang w:val="ro-RO"/>
        </w:rPr>
        <w:t>.</w:t>
      </w:r>
      <w:r w:rsidRPr="00FF5993">
        <w:rPr>
          <w:rFonts w:asciiTheme="majorHAnsi" w:hAnsiTheme="majorHAnsi" w:cstheme="majorHAnsi"/>
          <w:sz w:val="24"/>
          <w:szCs w:val="24"/>
          <w:lang w:val="ro-RO"/>
        </w:rPr>
        <w:t xml:space="preserve"> Astfel, </w:t>
      </w:r>
      <w:r>
        <w:rPr>
          <w:rFonts w:asciiTheme="majorHAnsi" w:hAnsiTheme="majorHAnsi" w:cstheme="majorHAnsi"/>
          <w:sz w:val="24"/>
          <w:szCs w:val="24"/>
          <w:lang w:val="ro-RO"/>
        </w:rPr>
        <w:t>au fost supraevaluate</w:t>
      </w:r>
      <w:r w:rsidRPr="00FF5993">
        <w:rPr>
          <w:rFonts w:asciiTheme="majorHAnsi" w:hAnsiTheme="majorHAnsi" w:cstheme="majorHAnsi"/>
          <w:sz w:val="24"/>
          <w:szCs w:val="24"/>
          <w:lang w:val="ro-RO"/>
        </w:rPr>
        <w:t xml:space="preserve"> (i)</w:t>
      </w:r>
      <w:r w:rsidRPr="00FF5993">
        <w:rPr>
          <w:rFonts w:asciiTheme="majorHAnsi" w:hAnsiTheme="majorHAnsi" w:cs="Times New Roman"/>
          <w:sz w:val="24"/>
          <w:szCs w:val="24"/>
        </w:rPr>
        <w:t xml:space="preserve"> cheltuielile privind serviciile </w:t>
      </w:r>
      <w:r w:rsidRPr="00FF5993">
        <w:rPr>
          <w:rFonts w:asciiTheme="majorHAnsi" w:eastAsia="Times New Roman" w:hAnsiTheme="majorHAnsi" w:cstheme="majorHAnsi"/>
          <w:iCs/>
          <w:sz w:val="24"/>
          <w:szCs w:val="24"/>
          <w:lang w:val="ro-RO"/>
        </w:rPr>
        <w:t xml:space="preserve">neatribuite altor alineate </w:t>
      </w:r>
      <w:r>
        <w:rPr>
          <w:rFonts w:asciiTheme="majorHAnsi" w:eastAsia="Times New Roman" w:hAnsiTheme="majorHAnsi" w:cstheme="majorHAnsi"/>
          <w:iCs/>
          <w:sz w:val="24"/>
          <w:szCs w:val="24"/>
          <w:lang w:val="ro-RO"/>
        </w:rPr>
        <w:t xml:space="preserve">- </w:t>
      </w:r>
      <w:r w:rsidRPr="00FF5993">
        <w:rPr>
          <w:rFonts w:asciiTheme="majorHAnsi" w:eastAsia="Times New Roman" w:hAnsiTheme="majorHAnsi" w:cstheme="majorHAnsi"/>
          <w:iCs/>
          <w:sz w:val="24"/>
          <w:szCs w:val="24"/>
          <w:lang w:val="ro-RO"/>
        </w:rPr>
        <w:t>cu 2 438,1 mii lei</w:t>
      </w:r>
      <w:r>
        <w:rPr>
          <w:rFonts w:asciiTheme="majorHAnsi" w:eastAsia="Times New Roman" w:hAnsiTheme="majorHAnsi" w:cstheme="majorHAnsi"/>
          <w:iCs/>
          <w:sz w:val="24"/>
          <w:szCs w:val="24"/>
          <w:lang w:val="ro-RO"/>
        </w:rPr>
        <w:t>,</w:t>
      </w:r>
      <w:r w:rsidRPr="00FF5993">
        <w:rPr>
          <w:rFonts w:asciiTheme="majorHAnsi" w:eastAsia="Times New Roman" w:hAnsiTheme="majorHAnsi" w:cstheme="majorHAnsi"/>
          <w:iCs/>
          <w:sz w:val="24"/>
          <w:szCs w:val="24"/>
          <w:lang w:val="ro-RO"/>
        </w:rPr>
        <w:t xml:space="preserve"> și </w:t>
      </w:r>
      <w:r>
        <w:rPr>
          <w:rFonts w:asciiTheme="majorHAnsi" w:eastAsia="Times New Roman" w:hAnsiTheme="majorHAnsi" w:cstheme="majorHAnsi"/>
          <w:iCs/>
          <w:sz w:val="24"/>
          <w:szCs w:val="24"/>
          <w:lang w:val="ro-RO"/>
        </w:rPr>
        <w:t xml:space="preserve">privind </w:t>
      </w:r>
      <w:r w:rsidRPr="00FF5993">
        <w:rPr>
          <w:rFonts w:asciiTheme="majorHAnsi" w:eastAsia="Times New Roman" w:hAnsiTheme="majorHAnsi" w:cstheme="majorHAnsi"/>
          <w:iCs/>
          <w:sz w:val="24"/>
          <w:szCs w:val="24"/>
          <w:lang w:val="ro-RO"/>
        </w:rPr>
        <w:t>serviciil</w:t>
      </w:r>
      <w:r>
        <w:rPr>
          <w:rFonts w:asciiTheme="majorHAnsi" w:eastAsia="Times New Roman" w:hAnsiTheme="majorHAnsi" w:cstheme="majorHAnsi"/>
          <w:iCs/>
          <w:sz w:val="24"/>
          <w:szCs w:val="24"/>
          <w:lang w:val="ro-RO"/>
        </w:rPr>
        <w:t>e</w:t>
      </w:r>
      <w:r w:rsidRPr="00FF5993">
        <w:rPr>
          <w:rFonts w:asciiTheme="majorHAnsi" w:eastAsia="Times New Roman" w:hAnsiTheme="majorHAnsi" w:cstheme="majorHAnsi"/>
          <w:iCs/>
          <w:sz w:val="24"/>
          <w:szCs w:val="24"/>
          <w:lang w:val="ro-RO"/>
        </w:rPr>
        <w:t xml:space="preserve"> de reparații curente </w:t>
      </w:r>
      <w:r>
        <w:rPr>
          <w:rFonts w:asciiTheme="majorHAnsi" w:eastAsia="Times New Roman" w:hAnsiTheme="majorHAnsi" w:cstheme="majorHAnsi"/>
          <w:iCs/>
          <w:sz w:val="24"/>
          <w:szCs w:val="24"/>
          <w:lang w:val="ro-RO"/>
        </w:rPr>
        <w:t xml:space="preserve">- </w:t>
      </w:r>
      <w:r w:rsidRPr="00FF5993">
        <w:rPr>
          <w:rFonts w:asciiTheme="majorHAnsi" w:eastAsia="Times New Roman" w:hAnsiTheme="majorHAnsi" w:cstheme="majorHAnsi"/>
          <w:iCs/>
          <w:sz w:val="24"/>
          <w:szCs w:val="24"/>
          <w:lang w:val="ro-RO"/>
        </w:rPr>
        <w:t>cu 907,4 mii lei,</w:t>
      </w:r>
      <w:r w:rsidRPr="00FF5993">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din </w:t>
      </w:r>
      <w:r w:rsidRPr="00FF5993">
        <w:rPr>
          <w:rFonts w:asciiTheme="majorHAnsi" w:hAnsiTheme="majorHAnsi" w:cstheme="majorHAnsi"/>
          <w:sz w:val="24"/>
          <w:szCs w:val="24"/>
          <w:lang w:val="ro-RO"/>
        </w:rPr>
        <w:t>cauza</w:t>
      </w:r>
      <w:r>
        <w:rPr>
          <w:rFonts w:asciiTheme="majorHAnsi" w:hAnsiTheme="majorHAnsi" w:cstheme="majorHAnsi"/>
          <w:sz w:val="24"/>
          <w:szCs w:val="24"/>
          <w:lang w:val="ro-RO"/>
        </w:rPr>
        <w:t xml:space="preserve"> </w:t>
      </w:r>
      <w:r w:rsidRPr="00FF5993">
        <w:rPr>
          <w:rFonts w:asciiTheme="majorHAnsi" w:hAnsiTheme="majorHAnsi" w:cstheme="majorHAnsi"/>
          <w:sz w:val="24"/>
          <w:szCs w:val="24"/>
          <w:lang w:val="ro-RO"/>
        </w:rPr>
        <w:t>necapitaliz</w:t>
      </w:r>
      <w:r>
        <w:rPr>
          <w:rFonts w:asciiTheme="majorHAnsi" w:hAnsiTheme="majorHAnsi" w:cstheme="majorHAnsi"/>
          <w:sz w:val="24"/>
          <w:szCs w:val="24"/>
          <w:lang w:val="ro-RO"/>
        </w:rPr>
        <w:t>ării</w:t>
      </w:r>
      <w:r w:rsidRPr="00FF5993">
        <w:rPr>
          <w:rStyle w:val="a7"/>
          <w:rFonts w:asciiTheme="majorHAnsi" w:eastAsia="Times New Roman" w:hAnsiTheme="majorHAnsi" w:cstheme="majorHAnsi"/>
          <w:bCs/>
          <w:sz w:val="24"/>
          <w:szCs w:val="24"/>
          <w:lang w:val="ro-RO"/>
        </w:rPr>
        <w:footnoteReference w:id="11"/>
      </w:r>
      <w:r w:rsidRPr="00FF5993">
        <w:rPr>
          <w:rFonts w:asciiTheme="majorHAnsi" w:hAnsiTheme="majorHAnsi" w:cstheme="majorHAnsi"/>
          <w:sz w:val="24"/>
          <w:szCs w:val="24"/>
          <w:lang w:val="ro-RO"/>
        </w:rPr>
        <w:t xml:space="preserve"> acestora în valoarea activului</w:t>
      </w:r>
      <w:r>
        <w:rPr>
          <w:rFonts w:asciiTheme="majorHAnsi" w:hAnsiTheme="majorHAnsi" w:cstheme="majorHAnsi"/>
          <w:sz w:val="24"/>
          <w:szCs w:val="24"/>
          <w:lang w:val="ro-RO"/>
        </w:rPr>
        <w:t>,</w:t>
      </w:r>
      <w:r w:rsidRPr="00FF5993">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ca </w:t>
      </w:r>
      <w:r w:rsidRPr="00FF5993">
        <w:rPr>
          <w:rFonts w:asciiTheme="majorHAnsi" w:hAnsiTheme="majorHAnsi" w:cstheme="majorHAnsi"/>
          <w:sz w:val="24"/>
          <w:szCs w:val="24"/>
          <w:lang w:val="ro-RO"/>
        </w:rPr>
        <w:t xml:space="preserve">urmare </w:t>
      </w:r>
      <w:r>
        <w:rPr>
          <w:rFonts w:asciiTheme="majorHAnsi" w:hAnsiTheme="majorHAnsi" w:cstheme="majorHAnsi"/>
          <w:sz w:val="24"/>
          <w:szCs w:val="24"/>
          <w:lang w:val="ro-RO"/>
        </w:rPr>
        <w:t xml:space="preserve">a </w:t>
      </w:r>
      <w:r w:rsidRPr="00FF5993">
        <w:rPr>
          <w:rFonts w:asciiTheme="majorHAnsi" w:hAnsiTheme="majorHAnsi" w:cstheme="majorHAnsi"/>
          <w:sz w:val="24"/>
          <w:szCs w:val="24"/>
          <w:lang w:val="ro-RO"/>
        </w:rPr>
        <w:t xml:space="preserve">reparațiilor capitale și modernizării sistemelor informaționale; (ii) </w:t>
      </w:r>
      <w:r w:rsidRPr="00FF5993">
        <w:rPr>
          <w:rFonts w:asciiTheme="majorHAnsi" w:eastAsia="Times New Roman" w:hAnsiTheme="majorHAnsi" w:cstheme="majorHAnsi"/>
          <w:sz w:val="24"/>
          <w:szCs w:val="24"/>
          <w:lang w:val="ro-RO"/>
        </w:rPr>
        <w:t>cheltuielile</w:t>
      </w:r>
      <w:r w:rsidRPr="00FF5993" w:rsidDel="00B3382F">
        <w:rPr>
          <w:rFonts w:asciiTheme="majorHAnsi" w:eastAsia="Times New Roman" w:hAnsiTheme="majorHAnsi" w:cstheme="majorHAnsi"/>
          <w:sz w:val="24"/>
          <w:szCs w:val="24"/>
          <w:lang w:val="ro-RO"/>
        </w:rPr>
        <w:t xml:space="preserve"> </w:t>
      </w:r>
      <w:r w:rsidRPr="00FF5993">
        <w:rPr>
          <w:rFonts w:asciiTheme="majorHAnsi" w:eastAsia="Times New Roman" w:hAnsiTheme="majorHAnsi" w:cstheme="majorHAnsi"/>
          <w:sz w:val="24"/>
          <w:szCs w:val="24"/>
          <w:lang w:val="ro-RO"/>
        </w:rPr>
        <w:t xml:space="preserve"> privind uzura mijloacelor fixe </w:t>
      </w:r>
      <w:r>
        <w:rPr>
          <w:rFonts w:asciiTheme="majorHAnsi" w:eastAsia="Times New Roman" w:hAnsiTheme="majorHAnsi" w:cstheme="majorHAnsi"/>
          <w:sz w:val="24"/>
          <w:szCs w:val="24"/>
          <w:lang w:val="ro-RO"/>
        </w:rPr>
        <w:t xml:space="preserve">- </w:t>
      </w:r>
      <w:r w:rsidRPr="00FF5993">
        <w:rPr>
          <w:rFonts w:asciiTheme="majorHAnsi" w:eastAsia="Times New Roman" w:hAnsiTheme="majorHAnsi" w:cstheme="majorHAnsi"/>
          <w:sz w:val="24"/>
          <w:szCs w:val="24"/>
          <w:lang w:val="ro-RO"/>
        </w:rPr>
        <w:t>cu 1 289,7</w:t>
      </w:r>
      <w:r w:rsidRPr="00FF5993">
        <w:rPr>
          <w:rFonts w:asciiTheme="majorHAnsi" w:hAnsiTheme="majorHAnsi" w:cstheme="majorHAnsi"/>
          <w:sz w:val="24"/>
          <w:szCs w:val="24"/>
          <w:lang w:val="ro-RO"/>
        </w:rPr>
        <w:t xml:space="preserve"> mii lei, </w:t>
      </w:r>
      <w:r>
        <w:rPr>
          <w:rFonts w:asciiTheme="majorHAnsi" w:hAnsiTheme="majorHAnsi" w:cstheme="majorHAnsi"/>
          <w:sz w:val="24"/>
          <w:szCs w:val="24"/>
          <w:lang w:val="ro-RO"/>
        </w:rPr>
        <w:t xml:space="preserve">în </w:t>
      </w:r>
      <w:r w:rsidRPr="00FF5993">
        <w:rPr>
          <w:rFonts w:asciiTheme="majorHAnsi" w:hAnsiTheme="majorHAnsi" w:cstheme="majorHAnsi"/>
          <w:sz w:val="24"/>
          <w:szCs w:val="24"/>
          <w:lang w:val="ro-RO"/>
        </w:rPr>
        <w:t>ur</w:t>
      </w:r>
      <w:r w:rsidRPr="00FF5993">
        <w:rPr>
          <w:rFonts w:asciiTheme="majorHAnsi" w:eastAsia="Times New Roman" w:hAnsiTheme="majorHAnsi" w:cstheme="majorHAnsi"/>
          <w:sz w:val="24"/>
          <w:szCs w:val="24"/>
          <w:lang w:val="ro-RO"/>
        </w:rPr>
        <w:t>ma</w:t>
      </w:r>
      <w:r>
        <w:rPr>
          <w:rFonts w:asciiTheme="majorHAnsi" w:eastAsia="Times New Roman" w:hAnsiTheme="majorHAnsi" w:cstheme="majorHAnsi"/>
          <w:sz w:val="24"/>
          <w:szCs w:val="24"/>
          <w:lang w:val="ro-RO"/>
        </w:rPr>
        <w:t xml:space="preserve"> </w:t>
      </w:r>
      <w:r w:rsidRPr="00FF5993">
        <w:rPr>
          <w:rFonts w:asciiTheme="majorHAnsi" w:eastAsia="Times New Roman" w:hAnsiTheme="majorHAnsi" w:cstheme="majorHAnsi"/>
          <w:sz w:val="24"/>
          <w:szCs w:val="24"/>
          <w:lang w:val="ro-RO"/>
        </w:rPr>
        <w:t>calculării incorecte a uzurii</w:t>
      </w:r>
      <w:r>
        <w:rPr>
          <w:rFonts w:asciiTheme="majorHAnsi" w:eastAsia="Times New Roman" w:hAnsiTheme="majorHAnsi" w:cstheme="majorHAnsi"/>
          <w:sz w:val="24"/>
          <w:szCs w:val="24"/>
          <w:lang w:val="ro-RO"/>
        </w:rPr>
        <w:t>,</w:t>
      </w:r>
      <w:r w:rsidRPr="00FF5993">
        <w:rPr>
          <w:rFonts w:asciiTheme="majorHAnsi" w:eastAsia="Times New Roman" w:hAnsiTheme="majorHAnsi" w:cstheme="majorHAnsi"/>
          <w:sz w:val="24"/>
          <w:szCs w:val="24"/>
          <w:lang w:val="ro-RO"/>
        </w:rPr>
        <w:t xml:space="preserve"> datorită stabilirii neregulamentare a duratei de funcționare utilă</w:t>
      </w:r>
      <w:r w:rsidRPr="00FF5993">
        <w:rPr>
          <w:rStyle w:val="a7"/>
          <w:rFonts w:asciiTheme="majorHAnsi" w:eastAsia="Times New Roman" w:hAnsiTheme="majorHAnsi" w:cstheme="majorHAnsi"/>
          <w:bCs/>
          <w:sz w:val="24"/>
          <w:szCs w:val="24"/>
          <w:lang w:val="ro-RO"/>
        </w:rPr>
        <w:footnoteReference w:id="12"/>
      </w:r>
      <w:r w:rsidRPr="00FF5993">
        <w:rPr>
          <w:rFonts w:asciiTheme="majorHAnsi" w:eastAsia="Times New Roman" w:hAnsiTheme="majorHAnsi" w:cstheme="majorHAnsi"/>
          <w:color w:val="000000"/>
          <w:sz w:val="24"/>
          <w:szCs w:val="24"/>
          <w:lang w:val="ro-RO"/>
        </w:rPr>
        <w:t xml:space="preserve">; </w:t>
      </w:r>
      <w:r w:rsidR="005B697F">
        <w:rPr>
          <w:rFonts w:asciiTheme="majorHAnsi" w:eastAsia="Times New Roman" w:hAnsiTheme="majorHAnsi" w:cstheme="majorHAnsi"/>
          <w:color w:val="000000"/>
          <w:sz w:val="24"/>
          <w:szCs w:val="24"/>
          <w:lang w:val="ro-RO"/>
        </w:rPr>
        <w:t xml:space="preserve">               </w:t>
      </w:r>
      <w:r w:rsidRPr="00FF5993">
        <w:rPr>
          <w:rFonts w:asciiTheme="majorHAnsi" w:eastAsia="Times New Roman" w:hAnsiTheme="majorHAnsi" w:cstheme="majorHAnsi"/>
          <w:color w:val="000000"/>
          <w:sz w:val="24"/>
          <w:szCs w:val="24"/>
          <w:lang w:val="ro-RO"/>
        </w:rPr>
        <w:t xml:space="preserve">(iii) </w:t>
      </w:r>
      <w:r w:rsidRPr="00FF5993">
        <w:rPr>
          <w:rFonts w:asciiTheme="majorHAnsi" w:eastAsia="Times New Roman" w:hAnsiTheme="majorHAnsi" w:cstheme="majorHAnsi"/>
          <w:sz w:val="24"/>
          <w:szCs w:val="24"/>
          <w:lang w:val="ro-RO"/>
        </w:rPr>
        <w:t xml:space="preserve">cheltuielile privind amortizarea activelor nemateriale </w:t>
      </w:r>
      <w:r>
        <w:rPr>
          <w:rFonts w:asciiTheme="majorHAnsi" w:eastAsia="Times New Roman" w:hAnsiTheme="majorHAnsi" w:cstheme="majorHAnsi"/>
          <w:sz w:val="24"/>
          <w:szCs w:val="24"/>
          <w:lang w:val="ro-RO"/>
        </w:rPr>
        <w:t xml:space="preserve">- </w:t>
      </w:r>
      <w:r w:rsidRPr="00FF5993">
        <w:rPr>
          <w:rFonts w:asciiTheme="majorHAnsi" w:eastAsia="Times New Roman" w:hAnsiTheme="majorHAnsi" w:cstheme="majorHAnsi"/>
          <w:sz w:val="24"/>
          <w:szCs w:val="24"/>
          <w:lang w:val="ro-RO"/>
        </w:rPr>
        <w:t xml:space="preserve">cu 214,5 mii lei, </w:t>
      </w:r>
      <w:r>
        <w:rPr>
          <w:rFonts w:asciiTheme="majorHAnsi" w:eastAsia="Times New Roman" w:hAnsiTheme="majorHAnsi" w:cstheme="majorHAnsi"/>
          <w:sz w:val="24"/>
          <w:szCs w:val="24"/>
          <w:lang w:val="ro-RO"/>
        </w:rPr>
        <w:t xml:space="preserve">din </w:t>
      </w:r>
      <w:r w:rsidRPr="00FF5993">
        <w:rPr>
          <w:rFonts w:asciiTheme="majorHAnsi" w:eastAsia="Times New Roman" w:hAnsiTheme="majorHAnsi" w:cstheme="majorHAnsi"/>
          <w:sz w:val="24"/>
          <w:szCs w:val="24"/>
          <w:lang w:val="ro-RO"/>
        </w:rPr>
        <w:t>cauza calcul</w:t>
      </w:r>
      <w:r>
        <w:rPr>
          <w:rFonts w:asciiTheme="majorHAnsi" w:eastAsia="Times New Roman" w:hAnsiTheme="majorHAnsi" w:cstheme="majorHAnsi"/>
          <w:sz w:val="24"/>
          <w:szCs w:val="24"/>
          <w:lang w:val="ro-RO"/>
        </w:rPr>
        <w:t>ării</w:t>
      </w:r>
      <w:r w:rsidRPr="00FF5993">
        <w:rPr>
          <w:rFonts w:asciiTheme="majorHAnsi" w:eastAsia="Times New Roman" w:hAnsiTheme="majorHAnsi" w:cstheme="majorHAnsi"/>
          <w:sz w:val="24"/>
          <w:szCs w:val="24"/>
          <w:lang w:val="ro-RO"/>
        </w:rPr>
        <w:t>, contrar cadrului normativ</w:t>
      </w:r>
      <w:r w:rsidRPr="00FF5993">
        <w:rPr>
          <w:rStyle w:val="a7"/>
          <w:rFonts w:asciiTheme="majorHAnsi" w:eastAsia="Times New Roman" w:hAnsiTheme="majorHAnsi" w:cstheme="majorHAnsi"/>
          <w:sz w:val="24"/>
          <w:szCs w:val="24"/>
          <w:lang w:val="ro-RO"/>
        </w:rPr>
        <w:footnoteReference w:id="13"/>
      </w:r>
      <w:r>
        <w:rPr>
          <w:rFonts w:asciiTheme="majorHAnsi" w:eastAsia="Times New Roman" w:hAnsiTheme="majorHAnsi" w:cstheme="majorHAnsi"/>
          <w:sz w:val="24"/>
          <w:szCs w:val="24"/>
          <w:lang w:val="ro-RO"/>
        </w:rPr>
        <w:t>,</w:t>
      </w:r>
      <w:r w:rsidRPr="00FF5993">
        <w:rPr>
          <w:rFonts w:asciiTheme="majorHAnsi" w:eastAsia="Times New Roman" w:hAnsiTheme="majorHAnsi" w:cstheme="majorHAnsi"/>
          <w:sz w:val="24"/>
          <w:szCs w:val="24"/>
          <w:lang w:val="ro-RO"/>
        </w:rPr>
        <w:t xml:space="preserve"> a amortizării a 45 </w:t>
      </w:r>
      <w:r>
        <w:rPr>
          <w:rFonts w:asciiTheme="majorHAnsi" w:eastAsia="Times New Roman" w:hAnsiTheme="majorHAnsi" w:cstheme="majorHAnsi"/>
          <w:sz w:val="24"/>
          <w:szCs w:val="24"/>
          <w:lang w:val="ro-RO"/>
        </w:rPr>
        <w:t xml:space="preserve">de </w:t>
      </w:r>
      <w:r w:rsidRPr="00FF5993">
        <w:rPr>
          <w:rFonts w:asciiTheme="majorHAnsi" w:eastAsia="Times New Roman" w:hAnsiTheme="majorHAnsi" w:cstheme="majorHAnsi"/>
          <w:sz w:val="24"/>
          <w:szCs w:val="24"/>
          <w:lang w:val="ro-RO"/>
        </w:rPr>
        <w:t>licențe cu durata de funcționare nelimitată.</w:t>
      </w:r>
    </w:p>
    <w:p w:rsidR="00F368DE" w:rsidRPr="00FF5993" w:rsidRDefault="00F368DE" w:rsidP="00D67181">
      <w:pPr>
        <w:tabs>
          <w:tab w:val="left" w:pos="90"/>
          <w:tab w:val="left" w:pos="270"/>
        </w:tabs>
        <w:spacing w:after="120" w:line="276" w:lineRule="auto"/>
        <w:rPr>
          <w:rFonts w:asciiTheme="majorHAnsi" w:hAnsiTheme="majorHAnsi" w:cstheme="majorHAnsi"/>
          <w:b/>
          <w:szCs w:val="28"/>
        </w:rPr>
      </w:pPr>
      <w:r w:rsidRPr="00FF5993">
        <w:rPr>
          <w:rFonts w:asciiTheme="majorHAnsi" w:hAnsiTheme="majorHAnsi" w:cstheme="majorHAnsi"/>
          <w:b/>
          <w:szCs w:val="28"/>
        </w:rPr>
        <w:t>V.</w:t>
      </w:r>
      <w:r w:rsidRPr="00FF5993">
        <w:rPr>
          <w:rFonts w:asciiTheme="majorHAnsi" w:hAnsiTheme="majorHAnsi" w:cstheme="majorHAnsi"/>
          <w:b/>
          <w:szCs w:val="28"/>
        </w:rPr>
        <w:tab/>
        <w:t>BUNA GUVERNANȚĂ</w:t>
      </w:r>
    </w:p>
    <w:p w:rsidR="00F368DE" w:rsidRPr="00FF5993" w:rsidRDefault="00F368DE" w:rsidP="00D67181">
      <w:pPr>
        <w:tabs>
          <w:tab w:val="left" w:pos="90"/>
        </w:tabs>
        <w:spacing w:after="120" w:line="276" w:lineRule="auto"/>
        <w:rPr>
          <w:rFonts w:asciiTheme="majorHAnsi" w:hAnsiTheme="majorHAnsi" w:cstheme="majorHAnsi"/>
          <w:sz w:val="24"/>
          <w:szCs w:val="24"/>
          <w:lang w:val="ro-RO"/>
        </w:rPr>
      </w:pPr>
      <w:r w:rsidRPr="00E97BF5">
        <w:rPr>
          <w:rFonts w:asciiTheme="majorHAnsi" w:hAnsiTheme="majorHAnsi" w:cstheme="majorHAnsi"/>
          <w:b/>
          <w:sz w:val="24"/>
          <w:szCs w:val="24"/>
          <w:lang w:val="ro-RO"/>
        </w:rPr>
        <w:t>5.1.</w:t>
      </w:r>
      <w:r>
        <w:rPr>
          <w:rFonts w:asciiTheme="majorHAnsi" w:hAnsiTheme="majorHAnsi" w:cstheme="majorHAnsi"/>
          <w:sz w:val="24"/>
          <w:szCs w:val="24"/>
          <w:lang w:val="ro-RO"/>
        </w:rPr>
        <w:t xml:space="preserve"> </w:t>
      </w:r>
      <w:r w:rsidRPr="00FF5993">
        <w:rPr>
          <w:rFonts w:asciiTheme="majorHAnsi" w:hAnsiTheme="majorHAnsi" w:cstheme="majorHAnsi"/>
          <w:sz w:val="24"/>
          <w:szCs w:val="24"/>
          <w:lang w:val="ro-RO"/>
        </w:rPr>
        <w:t>Urmare autoevaluării sistemul</w:t>
      </w:r>
      <w:r>
        <w:rPr>
          <w:rFonts w:asciiTheme="majorHAnsi" w:hAnsiTheme="majorHAnsi" w:cstheme="majorHAnsi"/>
          <w:sz w:val="24"/>
          <w:szCs w:val="24"/>
          <w:lang w:val="ro-RO"/>
        </w:rPr>
        <w:t>ui de control intern managerial</w:t>
      </w:r>
      <w:r w:rsidRPr="00FF5993">
        <w:rPr>
          <w:rFonts w:asciiTheme="majorHAnsi" w:hAnsiTheme="majorHAnsi" w:cstheme="majorHAnsi"/>
          <w:sz w:val="24"/>
          <w:szCs w:val="24"/>
          <w:lang w:val="ro-RO"/>
        </w:rPr>
        <w:t xml:space="preserve">, </w:t>
      </w:r>
      <w:r w:rsidRPr="001B3483">
        <w:rPr>
          <w:rFonts w:asciiTheme="majorHAnsi" w:hAnsiTheme="majorHAnsi" w:cstheme="majorHAnsi"/>
          <w:sz w:val="24"/>
          <w:szCs w:val="24"/>
          <w:lang w:val="ro-RO"/>
        </w:rPr>
        <w:t>ministrul a asigura</w:t>
      </w:r>
      <w:r w:rsidRPr="00E97BF5">
        <w:rPr>
          <w:rFonts w:asciiTheme="majorHAnsi" w:hAnsiTheme="majorHAnsi" w:cstheme="majorHAnsi"/>
          <w:sz w:val="24"/>
          <w:szCs w:val="24"/>
          <w:lang w:val="ro-RO"/>
        </w:rPr>
        <w:t>t</w:t>
      </w:r>
      <w:r w:rsidRPr="001B3483">
        <w:rPr>
          <w:rFonts w:asciiTheme="majorHAnsi" w:hAnsiTheme="majorHAnsi" w:cstheme="majorHAnsi"/>
          <w:sz w:val="24"/>
          <w:szCs w:val="24"/>
          <w:lang w:val="ro-RO"/>
        </w:rPr>
        <w:t xml:space="preserve"> că atâ</w:t>
      </w:r>
      <w:r w:rsidRPr="00FF5993">
        <w:rPr>
          <w:rFonts w:asciiTheme="majorHAnsi" w:hAnsiTheme="majorHAnsi" w:cstheme="majorHAnsi"/>
          <w:sz w:val="24"/>
          <w:szCs w:val="24"/>
          <w:lang w:val="ro-RO"/>
        </w:rPr>
        <w:t xml:space="preserve">t în cadrul Aparatului central al Ministerului Finanțelor, cât și la nivelul instituțiilor </w:t>
      </w:r>
      <w:r>
        <w:rPr>
          <w:rFonts w:asciiTheme="majorHAnsi" w:hAnsiTheme="majorHAnsi" w:cstheme="majorHAnsi"/>
          <w:sz w:val="24"/>
          <w:szCs w:val="24"/>
          <w:lang w:val="ro-RO"/>
        </w:rPr>
        <w:t>din subordine</w:t>
      </w:r>
      <w:r w:rsidRPr="00FF5993">
        <w:rPr>
          <w:rFonts w:asciiTheme="majorHAnsi" w:hAnsiTheme="majorHAnsi" w:cstheme="majorHAnsi"/>
          <w:sz w:val="24"/>
          <w:szCs w:val="24"/>
          <w:lang w:val="ro-RO"/>
        </w:rPr>
        <w:t xml:space="preserve">, rapoartele financiare întocmite și prezentate conțin informații complete în conformitate cu prevederile Ordinului ministrului finanțelor nr. 216 din 28.12.2015 „Cu privire la aprobarea Planului de conturi contabile în sistemul bugetar și a Normelor metodologice privind evidența contabilă și raportarea financiară în sistemul bugetar”. Rezultatele autoevaluării sistemului </w:t>
      </w:r>
      <w:r>
        <w:rPr>
          <w:rFonts w:asciiTheme="majorHAnsi" w:hAnsiTheme="majorHAnsi" w:cstheme="majorHAnsi"/>
          <w:sz w:val="24"/>
          <w:szCs w:val="24"/>
          <w:lang w:val="ro-RO"/>
        </w:rPr>
        <w:t xml:space="preserve">de </w:t>
      </w:r>
      <w:r w:rsidRPr="00FF5993">
        <w:rPr>
          <w:rFonts w:asciiTheme="majorHAnsi" w:hAnsiTheme="majorHAnsi" w:cstheme="majorHAnsi"/>
          <w:sz w:val="24"/>
          <w:szCs w:val="24"/>
          <w:lang w:val="ro-RO"/>
        </w:rPr>
        <w:t>control intern managerial diferă nesemnificativ de cele ale auditului public extern la aspectul evidenț</w:t>
      </w:r>
      <w:r>
        <w:rPr>
          <w:rFonts w:asciiTheme="majorHAnsi" w:hAnsiTheme="majorHAnsi" w:cstheme="majorHAnsi"/>
          <w:sz w:val="24"/>
          <w:szCs w:val="24"/>
          <w:lang w:val="ro-RO"/>
        </w:rPr>
        <w:t>a</w:t>
      </w:r>
      <w:r w:rsidRPr="00FF5993">
        <w:rPr>
          <w:rFonts w:asciiTheme="majorHAnsi" w:hAnsiTheme="majorHAnsi" w:cstheme="majorHAnsi"/>
          <w:sz w:val="24"/>
          <w:szCs w:val="24"/>
          <w:lang w:val="ro-RO"/>
        </w:rPr>
        <w:t xml:space="preserve"> contabil</w:t>
      </w:r>
      <w:r>
        <w:rPr>
          <w:rFonts w:asciiTheme="majorHAnsi" w:hAnsiTheme="majorHAnsi" w:cstheme="majorHAnsi"/>
          <w:sz w:val="24"/>
          <w:szCs w:val="24"/>
          <w:lang w:val="ro-RO"/>
        </w:rPr>
        <w:t>ă</w:t>
      </w:r>
      <w:r w:rsidRPr="00FF5993">
        <w:rPr>
          <w:rFonts w:asciiTheme="majorHAnsi" w:hAnsiTheme="majorHAnsi" w:cstheme="majorHAnsi"/>
          <w:sz w:val="24"/>
          <w:szCs w:val="24"/>
          <w:lang w:val="ro-RO"/>
        </w:rPr>
        <w:t xml:space="preserve"> și raport</w:t>
      </w:r>
      <w:r>
        <w:rPr>
          <w:rFonts w:asciiTheme="majorHAnsi" w:hAnsiTheme="majorHAnsi" w:cstheme="majorHAnsi"/>
          <w:sz w:val="24"/>
          <w:szCs w:val="24"/>
          <w:lang w:val="ro-RO"/>
        </w:rPr>
        <w:t>area</w:t>
      </w:r>
      <w:r w:rsidRPr="00FF5993">
        <w:rPr>
          <w:rFonts w:asciiTheme="majorHAnsi" w:hAnsiTheme="majorHAnsi" w:cstheme="majorHAnsi"/>
          <w:sz w:val="24"/>
          <w:szCs w:val="24"/>
          <w:lang w:val="ro-RO"/>
        </w:rPr>
        <w:t xml:space="preserve"> financiar</w:t>
      </w:r>
      <w:r>
        <w:rPr>
          <w:rFonts w:asciiTheme="majorHAnsi" w:hAnsiTheme="majorHAnsi" w:cstheme="majorHAnsi"/>
          <w:sz w:val="24"/>
          <w:szCs w:val="24"/>
          <w:lang w:val="ro-RO"/>
        </w:rPr>
        <w:t>ă</w:t>
      </w:r>
      <w:r w:rsidRPr="00FF5993">
        <w:rPr>
          <w:rFonts w:asciiTheme="majorHAnsi" w:hAnsiTheme="majorHAnsi" w:cstheme="majorHAnsi"/>
          <w:sz w:val="24"/>
          <w:szCs w:val="24"/>
          <w:lang w:val="ro-RO"/>
        </w:rPr>
        <w:t xml:space="preserve">. Existența unor deficiențe privind modul de organizare </w:t>
      </w:r>
      <w:r w:rsidRPr="00FF5993">
        <w:rPr>
          <w:rFonts w:asciiTheme="majorHAnsi" w:hAnsiTheme="majorHAnsi" w:cstheme="majorHAnsi"/>
          <w:sz w:val="24"/>
          <w:szCs w:val="24"/>
          <w:lang w:val="ro-RO"/>
        </w:rPr>
        <w:lastRenderedPageBreak/>
        <w:t xml:space="preserve">și funcționare a controlului intern managerial a condiționat apariția unor neconformități, ceea ce denotă necesitatea întreprinderii măsurilor corespunzătoare în vederea implementării și consolidării acestuia. De asemenea, este necesar de a asigura </w:t>
      </w:r>
      <w:r>
        <w:rPr>
          <w:rFonts w:asciiTheme="majorHAnsi" w:hAnsiTheme="majorHAnsi" w:cstheme="majorHAnsi"/>
          <w:sz w:val="24"/>
          <w:szCs w:val="24"/>
          <w:lang w:val="ro-RO"/>
        </w:rPr>
        <w:t xml:space="preserve">efectuarea </w:t>
      </w:r>
      <w:r w:rsidRPr="00FF5993">
        <w:rPr>
          <w:rFonts w:asciiTheme="majorHAnsi" w:hAnsiTheme="majorHAnsi" w:cstheme="majorHAnsi"/>
          <w:sz w:val="24"/>
          <w:szCs w:val="24"/>
          <w:lang w:val="ro-RO"/>
        </w:rPr>
        <w:t>în continuare</w:t>
      </w:r>
      <w:r>
        <w:rPr>
          <w:rFonts w:asciiTheme="majorHAnsi" w:hAnsiTheme="majorHAnsi" w:cstheme="majorHAnsi"/>
          <w:sz w:val="24"/>
          <w:szCs w:val="24"/>
          <w:lang w:val="ro-RO"/>
        </w:rPr>
        <w:t xml:space="preserve"> a</w:t>
      </w:r>
      <w:r w:rsidRPr="00FF5993">
        <w:rPr>
          <w:rFonts w:asciiTheme="majorHAnsi" w:hAnsiTheme="majorHAnsi" w:cstheme="majorHAnsi"/>
          <w:bCs/>
          <w:sz w:val="24"/>
          <w:szCs w:val="24"/>
          <w:lang w:val="ro-RO"/>
        </w:rPr>
        <w:t xml:space="preserve"> proceduri</w:t>
      </w:r>
      <w:r>
        <w:rPr>
          <w:rFonts w:asciiTheme="majorHAnsi" w:hAnsiTheme="majorHAnsi" w:cstheme="majorHAnsi"/>
          <w:bCs/>
          <w:sz w:val="24"/>
          <w:szCs w:val="24"/>
          <w:lang w:val="ro-RO"/>
        </w:rPr>
        <w:t>lor</w:t>
      </w:r>
      <w:r w:rsidRPr="00FF5993">
        <w:rPr>
          <w:rFonts w:asciiTheme="majorHAnsi" w:hAnsiTheme="majorHAnsi" w:cstheme="majorHAnsi"/>
          <w:bCs/>
          <w:sz w:val="24"/>
          <w:szCs w:val="24"/>
          <w:lang w:val="ro-RO"/>
        </w:rPr>
        <w:t xml:space="preserve"> de control menite să minimizeze riscurile aferente. </w:t>
      </w:r>
      <w:r w:rsidRPr="00FF5993">
        <w:rPr>
          <w:rFonts w:asciiTheme="majorHAnsi" w:hAnsiTheme="majorHAnsi" w:cstheme="majorHAnsi"/>
          <w:sz w:val="24"/>
          <w:szCs w:val="24"/>
          <w:lang w:val="ro-RO"/>
        </w:rPr>
        <w:t xml:space="preserve"> </w:t>
      </w:r>
    </w:p>
    <w:p w:rsidR="00F368DE" w:rsidRPr="00383001" w:rsidRDefault="00F368DE" w:rsidP="00F368DE">
      <w:pPr>
        <w:tabs>
          <w:tab w:val="left" w:pos="90"/>
        </w:tabs>
        <w:spacing w:after="120" w:line="276" w:lineRule="auto"/>
        <w:rPr>
          <w:rFonts w:asciiTheme="majorHAnsi" w:eastAsia="Times New Roman" w:hAnsiTheme="majorHAnsi" w:cs="Times New Roman"/>
          <w:sz w:val="24"/>
          <w:szCs w:val="24"/>
          <w:lang w:val="ro-RO"/>
        </w:rPr>
      </w:pPr>
      <w:r w:rsidRPr="00E97BF5">
        <w:rPr>
          <w:rFonts w:asciiTheme="majorHAnsi" w:hAnsiTheme="majorHAnsi" w:cstheme="majorHAnsi"/>
          <w:b/>
          <w:bCs/>
          <w:sz w:val="24"/>
          <w:szCs w:val="24"/>
          <w:lang w:val="ro-RO"/>
        </w:rPr>
        <w:t>5.2.</w:t>
      </w:r>
      <w:r>
        <w:rPr>
          <w:rFonts w:asciiTheme="majorHAnsi" w:hAnsiTheme="majorHAnsi" w:cstheme="majorHAnsi"/>
          <w:bCs/>
          <w:sz w:val="24"/>
          <w:szCs w:val="24"/>
          <w:lang w:val="ro-RO"/>
        </w:rPr>
        <w:t xml:space="preserve"> S</w:t>
      </w:r>
      <w:r w:rsidRPr="00FF5993">
        <w:rPr>
          <w:rFonts w:asciiTheme="majorHAnsi" w:hAnsiTheme="majorHAnsi" w:cstheme="majorHAnsi"/>
          <w:bCs/>
          <w:sz w:val="24"/>
          <w:szCs w:val="24"/>
          <w:lang w:val="ro-RO"/>
        </w:rPr>
        <w:t>tructur</w:t>
      </w:r>
      <w:r>
        <w:rPr>
          <w:rFonts w:asciiTheme="majorHAnsi" w:hAnsiTheme="majorHAnsi" w:cstheme="majorHAnsi"/>
          <w:bCs/>
          <w:sz w:val="24"/>
          <w:szCs w:val="24"/>
          <w:lang w:val="ro-RO"/>
        </w:rPr>
        <w:t>ile</w:t>
      </w:r>
      <w:r w:rsidRPr="00FF5993">
        <w:rPr>
          <w:rFonts w:asciiTheme="majorHAnsi" w:hAnsiTheme="majorHAnsi" w:cstheme="majorHAnsi"/>
          <w:bCs/>
          <w:sz w:val="24"/>
          <w:szCs w:val="24"/>
          <w:lang w:val="ro-RO"/>
        </w:rPr>
        <w:t xml:space="preserve"> organizațional</w:t>
      </w:r>
      <w:r>
        <w:rPr>
          <w:rFonts w:asciiTheme="majorHAnsi" w:hAnsiTheme="majorHAnsi" w:cstheme="majorHAnsi"/>
          <w:bCs/>
          <w:sz w:val="24"/>
          <w:szCs w:val="24"/>
          <w:lang w:val="ro-RO"/>
        </w:rPr>
        <w:t>e</w:t>
      </w:r>
      <w:r w:rsidRPr="00FF5993">
        <w:rPr>
          <w:rFonts w:asciiTheme="majorHAnsi" w:hAnsiTheme="majorHAnsi" w:cstheme="majorHAnsi"/>
          <w:bCs/>
          <w:sz w:val="24"/>
          <w:szCs w:val="24"/>
          <w:lang w:val="ro-RO"/>
        </w:rPr>
        <w:t xml:space="preserve"> a</w:t>
      </w:r>
      <w:r>
        <w:rPr>
          <w:rFonts w:asciiTheme="majorHAnsi" w:hAnsiTheme="majorHAnsi" w:cstheme="majorHAnsi"/>
          <w:bCs/>
          <w:sz w:val="24"/>
          <w:szCs w:val="24"/>
          <w:lang w:val="ro-RO"/>
        </w:rPr>
        <w:t>le</w:t>
      </w:r>
      <w:r w:rsidRPr="00FF5993">
        <w:rPr>
          <w:rFonts w:asciiTheme="majorHAnsi" w:hAnsiTheme="majorHAnsi" w:cstheme="majorHAnsi"/>
          <w:bCs/>
          <w:sz w:val="24"/>
          <w:szCs w:val="24"/>
          <w:lang w:val="ro-RO"/>
        </w:rPr>
        <w:t xml:space="preserve"> Aparatului central al Ministerului Finanțelor, Serviciului Fiscal de Stat și Serviciului Vamal </w:t>
      </w:r>
      <w:r>
        <w:rPr>
          <w:rFonts w:asciiTheme="majorHAnsi" w:hAnsiTheme="majorHAnsi" w:cstheme="majorHAnsi"/>
          <w:bCs/>
          <w:sz w:val="24"/>
          <w:szCs w:val="24"/>
          <w:lang w:val="ro-RO"/>
        </w:rPr>
        <w:t>includ</w:t>
      </w:r>
      <w:r w:rsidRPr="00FF5993">
        <w:rPr>
          <w:rFonts w:asciiTheme="majorHAnsi" w:hAnsiTheme="majorHAnsi" w:cstheme="majorHAnsi"/>
          <w:bCs/>
          <w:sz w:val="24"/>
          <w:szCs w:val="24"/>
          <w:lang w:val="ro-RO"/>
        </w:rPr>
        <w:t xml:space="preserve">, conform cerințelor legale, Servicii de audit intern, care </w:t>
      </w:r>
      <w:r w:rsidRPr="00FF5993">
        <w:rPr>
          <w:rFonts w:asciiTheme="majorHAnsi" w:hAnsiTheme="majorHAnsi" w:cstheme="majorHAnsi"/>
          <w:sz w:val="24"/>
          <w:szCs w:val="24"/>
          <w:lang w:val="ro-RO"/>
        </w:rPr>
        <w:t>pe parcursul anului 2019 au fost funcționale, desfășur</w:t>
      </w:r>
      <w:r>
        <w:rPr>
          <w:rFonts w:asciiTheme="majorHAnsi" w:hAnsiTheme="majorHAnsi" w:cstheme="majorHAnsi"/>
          <w:sz w:val="24"/>
          <w:szCs w:val="24"/>
          <w:lang w:val="ro-RO"/>
        </w:rPr>
        <w:t>ându-și</w:t>
      </w:r>
      <w:r w:rsidRPr="00FF5993">
        <w:rPr>
          <w:rFonts w:asciiTheme="majorHAnsi" w:hAnsiTheme="majorHAnsi" w:cstheme="majorHAnsi"/>
          <w:sz w:val="24"/>
          <w:szCs w:val="24"/>
          <w:lang w:val="ro-RO"/>
        </w:rPr>
        <w:t xml:space="preserve"> activitatea conform prevederilor cadrului normativ și reglementărilor relevante de audit intern.</w:t>
      </w:r>
      <w:r w:rsidRPr="00FF5993">
        <w:rPr>
          <w:rFonts w:asciiTheme="majorHAnsi" w:hAnsiTheme="majorHAnsi" w:cstheme="majorHAnsi"/>
          <w:bCs/>
          <w:sz w:val="24"/>
          <w:szCs w:val="24"/>
          <w:lang w:val="ro-RO"/>
        </w:rPr>
        <w:t xml:space="preserve"> </w:t>
      </w:r>
      <w:r>
        <w:rPr>
          <w:rFonts w:asciiTheme="majorHAnsi" w:hAnsiTheme="majorHAnsi" w:cstheme="majorHAnsi"/>
          <w:bCs/>
          <w:sz w:val="24"/>
          <w:szCs w:val="24"/>
          <w:lang w:val="ro-RO"/>
        </w:rPr>
        <w:t>Urmare acțiunilor sale, e</w:t>
      </w:r>
      <w:r w:rsidRPr="00FF5993">
        <w:rPr>
          <w:rFonts w:asciiTheme="majorHAnsi" w:hAnsiTheme="majorHAnsi" w:cstheme="majorHAnsi"/>
          <w:bCs/>
          <w:sz w:val="24"/>
          <w:szCs w:val="24"/>
          <w:lang w:val="ro-RO"/>
        </w:rPr>
        <w:t>chipa de audit a constatat că în cadrul Inspecției Financiare și Agenției Achiziții Publice nu există subdiviziun</w:t>
      </w:r>
      <w:r>
        <w:rPr>
          <w:rFonts w:asciiTheme="majorHAnsi" w:hAnsiTheme="majorHAnsi" w:cstheme="majorHAnsi"/>
          <w:bCs/>
          <w:sz w:val="24"/>
          <w:szCs w:val="24"/>
          <w:lang w:val="ro-RO"/>
        </w:rPr>
        <w:t xml:space="preserve">i </w:t>
      </w:r>
      <w:r w:rsidRPr="00FF5993">
        <w:rPr>
          <w:rFonts w:asciiTheme="majorHAnsi" w:hAnsiTheme="majorHAnsi" w:cstheme="majorHAnsi"/>
          <w:bCs/>
          <w:sz w:val="24"/>
          <w:szCs w:val="24"/>
          <w:lang w:val="ro-RO"/>
        </w:rPr>
        <w:t xml:space="preserve"> de audit intern, atribuțiile acestora fiind preluate de către Direcția audit </w:t>
      </w:r>
      <w:r w:rsidRPr="001B3483">
        <w:rPr>
          <w:rFonts w:asciiTheme="majorHAnsi" w:hAnsiTheme="majorHAnsi" w:cstheme="majorHAnsi"/>
          <w:bCs/>
          <w:sz w:val="24"/>
          <w:szCs w:val="24"/>
          <w:lang w:val="ro-RO"/>
        </w:rPr>
        <w:t>intern din cadrul Aparatului central al Ministerului Finanțelor. Totodată, subdiviziunile de audit intern evaluate  au efectuat un număr mic de audituri financiare, prin ce nu s-au asigurat acuratețea situațiilor financiare și regularitatea tranzacțiilor.</w:t>
      </w:r>
    </w:p>
    <w:p w:rsidR="00F368DE" w:rsidRPr="00FF5993" w:rsidRDefault="00F368DE" w:rsidP="00F368DE">
      <w:pPr>
        <w:tabs>
          <w:tab w:val="left" w:pos="90"/>
        </w:tabs>
        <w:spacing w:line="276" w:lineRule="auto"/>
        <w:rPr>
          <w:rFonts w:asciiTheme="majorHAnsi" w:hAnsiTheme="majorHAnsi" w:cstheme="majorHAnsi"/>
          <w:sz w:val="24"/>
          <w:szCs w:val="24"/>
          <w:lang w:val="ro-RO"/>
        </w:rPr>
      </w:pPr>
      <w:r w:rsidRPr="00E97BF5">
        <w:rPr>
          <w:rFonts w:asciiTheme="majorHAnsi" w:hAnsiTheme="majorHAnsi"/>
          <w:b/>
          <w:sz w:val="24"/>
          <w:szCs w:val="24"/>
          <w:lang w:val="ro-RO"/>
        </w:rPr>
        <w:t>5.3.</w:t>
      </w:r>
      <w:r w:rsidRPr="001B3483">
        <w:rPr>
          <w:rFonts w:asciiTheme="majorHAnsi" w:hAnsiTheme="majorHAnsi"/>
          <w:sz w:val="24"/>
          <w:szCs w:val="24"/>
          <w:lang w:val="ro-RO"/>
        </w:rPr>
        <w:t xml:space="preserve"> Pe parcursul misiunii de audit, atenția noastră a fost atrasă de unele nereguli, care, deși nu au influențat opinia de audit, implică neconformitat</w:t>
      </w:r>
      <w:r w:rsidRPr="00383001">
        <w:rPr>
          <w:rFonts w:asciiTheme="majorHAnsi" w:hAnsiTheme="majorHAnsi"/>
          <w:sz w:val="24"/>
          <w:szCs w:val="24"/>
          <w:lang w:val="ro-RO"/>
        </w:rPr>
        <w:t xml:space="preserve">ea activității de înregistrare și administrare a patrimoniului cu legile și reglementările aferente domeniului. Astfel, menționăm neînregistrarea de către Serviciul Vamal a drepturilor cadastrale asupra a </w:t>
      </w:r>
      <w:r w:rsidRPr="00383001">
        <w:rPr>
          <w:rFonts w:asciiTheme="majorHAnsi" w:hAnsiTheme="majorHAnsi" w:cstheme="majorHAnsi"/>
          <w:sz w:val="24"/>
          <w:szCs w:val="24"/>
          <w:lang w:val="ro-RO"/>
        </w:rPr>
        <w:t>10 imobile/construcții cu suprafața totală de 315,3 m</w:t>
      </w:r>
      <w:r w:rsidRPr="00383001">
        <w:rPr>
          <w:rFonts w:asciiTheme="majorHAnsi" w:hAnsiTheme="majorHAnsi" w:cstheme="majorHAnsi"/>
          <w:sz w:val="24"/>
          <w:szCs w:val="24"/>
          <w:vertAlign w:val="superscript"/>
          <w:lang w:val="ro-RO"/>
        </w:rPr>
        <w:t>2</w:t>
      </w:r>
      <w:r w:rsidRPr="00383001">
        <w:rPr>
          <w:rFonts w:asciiTheme="majorHAnsi" w:hAnsiTheme="majorHAnsi" w:cstheme="majorHAnsi"/>
          <w:sz w:val="24"/>
          <w:szCs w:val="24"/>
          <w:lang w:val="ro-RO"/>
        </w:rPr>
        <w:t xml:space="preserve"> , în valoare de 2 702,5 mii lei, și asupra unui teren cu suprafața de </w:t>
      </w:r>
      <w:r w:rsidRPr="00383001">
        <w:rPr>
          <w:rFonts w:asciiTheme="majorHAnsi" w:hAnsiTheme="majorHAnsi" w:cstheme="majorHAnsi"/>
          <w:bCs/>
          <w:color w:val="000000"/>
          <w:sz w:val="24"/>
          <w:szCs w:val="24"/>
          <w:shd w:val="clear" w:color="auto" w:fill="FFFFFF"/>
          <w:lang w:val="ro-RO"/>
        </w:rPr>
        <w:t>0,0025 ha</w:t>
      </w:r>
      <w:r w:rsidRPr="00383001">
        <w:rPr>
          <w:rFonts w:asciiTheme="majorHAnsi" w:hAnsiTheme="majorHAnsi" w:cstheme="majorHAnsi"/>
          <w:sz w:val="24"/>
          <w:szCs w:val="24"/>
          <w:lang w:val="ro-RO"/>
        </w:rPr>
        <w:t>, reflectate în evidența contabilă în sumă de 3,23 mii lei.</w:t>
      </w:r>
    </w:p>
    <w:p w:rsidR="00F368DE" w:rsidRPr="00FF5993" w:rsidRDefault="00F368DE" w:rsidP="00F368DE">
      <w:pPr>
        <w:tabs>
          <w:tab w:val="left" w:pos="90"/>
        </w:tabs>
        <w:spacing w:after="120" w:line="276" w:lineRule="auto"/>
        <w:rPr>
          <w:rFonts w:asciiTheme="majorHAnsi" w:hAnsiTheme="majorHAnsi" w:cstheme="majorHAnsi"/>
          <w:sz w:val="24"/>
          <w:szCs w:val="24"/>
          <w:lang w:val="ro-RO"/>
        </w:rPr>
      </w:pPr>
      <w:r w:rsidRPr="00FF5993">
        <w:rPr>
          <w:rFonts w:asciiTheme="majorHAnsi" w:eastAsia="Times New Roman" w:hAnsiTheme="majorHAnsi" w:cstheme="majorHAnsi"/>
          <w:sz w:val="24"/>
          <w:szCs w:val="24"/>
          <w:lang w:val="ro-RO"/>
        </w:rPr>
        <w:t>R</w:t>
      </w:r>
      <w:r w:rsidRPr="00FF5993">
        <w:rPr>
          <w:rFonts w:asciiTheme="majorHAnsi" w:hAnsiTheme="majorHAnsi" w:cstheme="majorHAnsi"/>
          <w:sz w:val="24"/>
          <w:szCs w:val="24"/>
          <w:lang w:val="ro-RO"/>
        </w:rPr>
        <w:t>eflectarea în evidența contabilă a mai multor clădiri</w:t>
      </w:r>
      <w:r w:rsidR="005B697F">
        <w:rPr>
          <w:rFonts w:asciiTheme="majorHAnsi" w:hAnsiTheme="majorHAnsi" w:cstheme="majorHAnsi"/>
          <w:sz w:val="24"/>
          <w:szCs w:val="24"/>
          <w:lang w:val="ro-RO"/>
        </w:rPr>
        <w:t xml:space="preserve">, </w:t>
      </w:r>
      <w:r w:rsidRPr="00FF5993">
        <w:rPr>
          <w:rFonts w:asciiTheme="majorHAnsi" w:hAnsiTheme="majorHAnsi" w:cstheme="majorHAnsi"/>
          <w:sz w:val="24"/>
          <w:szCs w:val="24"/>
          <w:lang w:val="ro-RO"/>
        </w:rPr>
        <w:t xml:space="preserve">anexe și încăperi </w:t>
      </w:r>
      <w:r w:rsidRPr="005B697F">
        <w:rPr>
          <w:rFonts w:asciiTheme="majorHAnsi" w:hAnsiTheme="majorHAnsi" w:cstheme="majorHAnsi"/>
          <w:sz w:val="24"/>
          <w:szCs w:val="24"/>
          <w:lang w:val="ro-RO"/>
        </w:rPr>
        <w:t>cu același număr d</w:t>
      </w:r>
      <w:r w:rsidRPr="00FF5993">
        <w:rPr>
          <w:rFonts w:asciiTheme="majorHAnsi" w:hAnsiTheme="majorHAnsi" w:cstheme="majorHAnsi"/>
          <w:sz w:val="24"/>
          <w:szCs w:val="24"/>
          <w:lang w:val="ro-RO"/>
        </w:rPr>
        <w:t>e inventar, deși</w:t>
      </w:r>
      <w:r>
        <w:rPr>
          <w:rFonts w:asciiTheme="majorHAnsi" w:hAnsiTheme="majorHAnsi" w:cstheme="majorHAnsi"/>
          <w:sz w:val="24"/>
          <w:szCs w:val="24"/>
          <w:lang w:val="ro-RO"/>
        </w:rPr>
        <w:t>,</w:t>
      </w:r>
      <w:r w:rsidRPr="00FF5993">
        <w:rPr>
          <w:rFonts w:asciiTheme="majorHAnsi" w:hAnsiTheme="majorHAnsi" w:cstheme="majorHAnsi"/>
          <w:sz w:val="24"/>
          <w:szCs w:val="24"/>
          <w:lang w:val="ro-RO"/>
        </w:rPr>
        <w:t xml:space="preserve"> conform cadrului normativ</w:t>
      </w:r>
      <w:r w:rsidRPr="00FF5993">
        <w:rPr>
          <w:rStyle w:val="a7"/>
          <w:rFonts w:asciiTheme="majorHAnsi" w:hAnsiTheme="majorHAnsi" w:cstheme="majorHAnsi"/>
          <w:sz w:val="24"/>
          <w:szCs w:val="24"/>
          <w:lang w:val="ro-RO"/>
        </w:rPr>
        <w:footnoteReference w:id="14"/>
      </w:r>
      <w:r w:rsidRPr="00FF5993">
        <w:rPr>
          <w:rFonts w:asciiTheme="majorHAnsi" w:hAnsiTheme="majorHAnsi" w:cstheme="majorHAnsi"/>
          <w:sz w:val="24"/>
          <w:szCs w:val="24"/>
          <w:lang w:val="ro-RO"/>
        </w:rPr>
        <w:t xml:space="preserve"> și datelor </w:t>
      </w:r>
      <w:r>
        <w:rPr>
          <w:rFonts w:asciiTheme="majorHAnsi" w:hAnsiTheme="majorHAnsi" w:cstheme="majorHAnsi"/>
          <w:sz w:val="24"/>
          <w:szCs w:val="24"/>
          <w:lang w:val="ro-RO"/>
        </w:rPr>
        <w:t>R</w:t>
      </w:r>
      <w:r w:rsidRPr="00FF5993">
        <w:rPr>
          <w:rFonts w:asciiTheme="majorHAnsi" w:hAnsiTheme="majorHAnsi" w:cstheme="majorHAnsi"/>
          <w:sz w:val="24"/>
          <w:szCs w:val="24"/>
          <w:lang w:val="ro-RO"/>
        </w:rPr>
        <w:t>egistrului bunurilor imobile, evidența urma a fi ținută separat. Astfel,</w:t>
      </w:r>
      <w:r w:rsidRPr="00FF5993">
        <w:rPr>
          <w:rFonts w:asciiTheme="majorHAnsi" w:eastAsia="Times New Roman" w:hAnsiTheme="majorHAnsi" w:cstheme="majorHAnsi"/>
          <w:sz w:val="24"/>
          <w:szCs w:val="24"/>
          <w:lang w:val="ro-RO"/>
        </w:rPr>
        <w:t xml:space="preserve"> </w:t>
      </w:r>
      <w:r w:rsidRPr="00FF5993">
        <w:rPr>
          <w:rFonts w:asciiTheme="majorHAnsi" w:hAnsiTheme="majorHAnsi" w:cstheme="majorHAnsi"/>
          <w:sz w:val="24"/>
          <w:szCs w:val="24"/>
          <w:lang w:val="ro-RO"/>
        </w:rPr>
        <w:t>în evidența contabilă a Inspecției Financiare</w:t>
      </w:r>
      <w:r>
        <w:rPr>
          <w:rFonts w:asciiTheme="majorHAnsi" w:hAnsiTheme="majorHAnsi" w:cstheme="majorHAnsi"/>
          <w:sz w:val="24"/>
          <w:szCs w:val="24"/>
          <w:lang w:val="ro-RO"/>
        </w:rPr>
        <w:t>,</w:t>
      </w:r>
      <w:r w:rsidRPr="00FF5993">
        <w:rPr>
          <w:rFonts w:asciiTheme="majorHAnsi" w:hAnsiTheme="majorHAnsi" w:cstheme="majorHAnsi"/>
          <w:sz w:val="24"/>
          <w:szCs w:val="24"/>
          <w:lang w:val="ro-RO"/>
        </w:rPr>
        <w:t xml:space="preserve"> </w:t>
      </w:r>
      <w:r>
        <w:rPr>
          <w:rFonts w:asciiTheme="majorHAnsi" w:eastAsia="Times New Roman" w:hAnsiTheme="majorHAnsi" w:cstheme="majorHAnsi"/>
          <w:sz w:val="24"/>
          <w:szCs w:val="24"/>
          <w:lang w:val="ro-RO"/>
        </w:rPr>
        <w:t>cu</w:t>
      </w:r>
      <w:r w:rsidRPr="00FF5993">
        <w:rPr>
          <w:rFonts w:asciiTheme="majorHAnsi" w:eastAsia="Times New Roman" w:hAnsiTheme="majorHAnsi" w:cstheme="majorHAnsi"/>
          <w:sz w:val="24"/>
          <w:szCs w:val="24"/>
          <w:lang w:val="ro-RO"/>
        </w:rPr>
        <w:t xml:space="preserve"> un singur număr de inventar sunt înregistrate</w:t>
      </w:r>
      <w:r w:rsidRPr="00FF5993">
        <w:rPr>
          <w:rFonts w:asciiTheme="majorHAnsi" w:hAnsiTheme="majorHAnsi" w:cstheme="majorHAnsi"/>
          <w:sz w:val="24"/>
          <w:szCs w:val="24"/>
          <w:lang w:val="ro-RO"/>
        </w:rPr>
        <w:t xml:space="preserve"> clădirea administrativă, anexa cu 4 garaje, depozitul și 2 încăperi auxiliare cu suprafața totală de 230,1 m</w:t>
      </w:r>
      <w:r w:rsidRPr="00FF5993">
        <w:rPr>
          <w:rFonts w:asciiTheme="majorHAnsi" w:hAnsiTheme="majorHAnsi" w:cstheme="majorHAnsi"/>
          <w:sz w:val="24"/>
          <w:szCs w:val="24"/>
          <w:vertAlign w:val="superscript"/>
          <w:lang w:val="ro-RO"/>
        </w:rPr>
        <w:t>2</w:t>
      </w:r>
      <w:r w:rsidRPr="00FF5993">
        <w:rPr>
          <w:rFonts w:asciiTheme="majorHAnsi" w:eastAsia="Times New Roman" w:hAnsiTheme="majorHAnsi" w:cstheme="majorHAnsi"/>
          <w:sz w:val="24"/>
          <w:szCs w:val="24"/>
          <w:lang w:val="ro-RO"/>
        </w:rPr>
        <w:t xml:space="preserve">, iar </w:t>
      </w:r>
      <w:r w:rsidRPr="00FF5993">
        <w:rPr>
          <w:rFonts w:asciiTheme="majorHAnsi" w:hAnsiTheme="majorHAnsi" w:cstheme="majorHAnsi"/>
          <w:sz w:val="24"/>
          <w:szCs w:val="24"/>
          <w:lang w:val="ro-RO"/>
        </w:rPr>
        <w:t>în cadrul Serviciului Fiscal de Stat - încăperile neevaluate din clădirea situată în or. Hâncești</w:t>
      </w:r>
      <w:r>
        <w:rPr>
          <w:rFonts w:asciiTheme="majorHAnsi" w:hAnsiTheme="majorHAnsi" w:cstheme="majorHAnsi"/>
          <w:sz w:val="24"/>
          <w:szCs w:val="24"/>
          <w:lang w:val="ro-RO"/>
        </w:rPr>
        <w:t>,</w:t>
      </w:r>
      <w:r w:rsidRPr="00FF5993">
        <w:rPr>
          <w:rFonts w:asciiTheme="majorHAnsi" w:hAnsiTheme="majorHAnsi" w:cstheme="majorHAnsi"/>
          <w:sz w:val="24"/>
          <w:szCs w:val="24"/>
          <w:lang w:val="ro-RO"/>
        </w:rPr>
        <w:t xml:space="preserve"> cu suprafața totală de 510,6 m</w:t>
      </w:r>
      <w:r w:rsidRPr="00FF5993">
        <w:rPr>
          <w:rFonts w:asciiTheme="majorHAnsi" w:hAnsiTheme="majorHAnsi" w:cstheme="majorHAnsi"/>
          <w:sz w:val="24"/>
          <w:szCs w:val="24"/>
          <w:vertAlign w:val="superscript"/>
          <w:lang w:val="ro-RO"/>
        </w:rPr>
        <w:t>2</w:t>
      </w:r>
      <w:r w:rsidRPr="00FF5993">
        <w:rPr>
          <w:rFonts w:asciiTheme="majorHAnsi" w:hAnsiTheme="majorHAnsi" w:cstheme="majorHAnsi"/>
          <w:sz w:val="24"/>
          <w:szCs w:val="24"/>
          <w:lang w:val="ro-RO"/>
        </w:rPr>
        <w:t xml:space="preserve">. </w:t>
      </w:r>
    </w:p>
    <w:p w:rsidR="00F368DE" w:rsidRPr="00FF5993" w:rsidRDefault="00F368DE" w:rsidP="00F368DE">
      <w:pPr>
        <w:tabs>
          <w:tab w:val="left" w:pos="90"/>
        </w:tabs>
        <w:spacing w:after="120" w:line="276" w:lineRule="auto"/>
        <w:rPr>
          <w:rFonts w:asciiTheme="majorHAnsi" w:hAnsiTheme="majorHAnsi" w:cstheme="majorHAnsi"/>
          <w:sz w:val="24"/>
          <w:szCs w:val="24"/>
          <w:lang w:val="ro-RO"/>
        </w:rPr>
      </w:pPr>
      <w:r w:rsidRPr="00FF5993">
        <w:rPr>
          <w:rFonts w:asciiTheme="majorHAnsi" w:hAnsiTheme="majorHAnsi" w:cstheme="majorHAnsi"/>
          <w:sz w:val="24"/>
          <w:szCs w:val="24"/>
          <w:lang w:val="ro-RO"/>
        </w:rPr>
        <w:t xml:space="preserve">Ținerea neregulamentară a evidenței contabile a generat contabilizarea separată la grupa </w:t>
      </w:r>
      <w:r>
        <w:rPr>
          <w:rFonts w:asciiTheme="majorHAnsi" w:hAnsiTheme="majorHAnsi" w:cstheme="majorHAnsi"/>
          <w:sz w:val="24"/>
          <w:szCs w:val="24"/>
          <w:lang w:val="ro-RO"/>
        </w:rPr>
        <w:t>„M</w:t>
      </w:r>
      <w:r w:rsidRPr="00FF5993">
        <w:rPr>
          <w:rFonts w:asciiTheme="majorHAnsi" w:hAnsiTheme="majorHAnsi" w:cstheme="majorHAnsi"/>
          <w:sz w:val="24"/>
          <w:szCs w:val="24"/>
          <w:lang w:val="ro-RO"/>
        </w:rPr>
        <w:t>ijloace fixe</w:t>
      </w:r>
      <w:r>
        <w:rPr>
          <w:rFonts w:asciiTheme="majorHAnsi" w:hAnsiTheme="majorHAnsi" w:cstheme="majorHAnsi"/>
          <w:sz w:val="24"/>
          <w:szCs w:val="24"/>
          <w:lang w:val="ro-RO"/>
        </w:rPr>
        <w:t>”</w:t>
      </w:r>
      <w:r w:rsidRPr="00FF5993">
        <w:rPr>
          <w:rFonts w:asciiTheme="majorHAnsi" w:hAnsiTheme="majorHAnsi" w:cstheme="majorHAnsi"/>
          <w:sz w:val="24"/>
          <w:szCs w:val="24"/>
          <w:lang w:val="ro-RO"/>
        </w:rPr>
        <w:t xml:space="preserve"> a unor lucrări efectuate în perioadele precedente anului 2019, care</w:t>
      </w:r>
      <w:r>
        <w:rPr>
          <w:rFonts w:asciiTheme="majorHAnsi" w:hAnsiTheme="majorHAnsi" w:cstheme="majorHAnsi"/>
          <w:sz w:val="24"/>
          <w:szCs w:val="24"/>
          <w:lang w:val="ro-RO"/>
        </w:rPr>
        <w:t xml:space="preserve">, </w:t>
      </w:r>
      <w:r w:rsidRPr="00FF5993">
        <w:rPr>
          <w:rFonts w:asciiTheme="majorHAnsi" w:hAnsiTheme="majorHAnsi" w:cstheme="majorHAnsi"/>
          <w:sz w:val="24"/>
          <w:szCs w:val="24"/>
          <w:lang w:val="ro-RO"/>
        </w:rPr>
        <w:t xml:space="preserve"> regulamentar</w:t>
      </w:r>
      <w:r w:rsidRPr="00FF5993">
        <w:rPr>
          <w:rStyle w:val="a7"/>
          <w:rFonts w:asciiTheme="majorHAnsi" w:hAnsiTheme="majorHAnsi" w:cstheme="majorHAnsi"/>
          <w:sz w:val="24"/>
          <w:szCs w:val="24"/>
          <w:lang w:val="ro-RO"/>
        </w:rPr>
        <w:footnoteReference w:id="15"/>
      </w:r>
      <w:r>
        <w:rPr>
          <w:rFonts w:asciiTheme="majorHAnsi" w:hAnsiTheme="majorHAnsi" w:cstheme="majorHAnsi"/>
          <w:sz w:val="24"/>
          <w:szCs w:val="24"/>
          <w:lang w:val="ro-RO"/>
        </w:rPr>
        <w:t>,</w:t>
      </w:r>
      <w:r w:rsidRPr="00FF5993">
        <w:rPr>
          <w:rFonts w:asciiTheme="majorHAnsi" w:hAnsiTheme="majorHAnsi" w:cstheme="majorHAnsi"/>
          <w:sz w:val="24"/>
          <w:szCs w:val="24"/>
          <w:lang w:val="ro-RO"/>
        </w:rPr>
        <w:t xml:space="preserve"> urmau a fi incluse în valoarea activului. Astfel, </w:t>
      </w:r>
      <w:r>
        <w:rPr>
          <w:rFonts w:asciiTheme="majorHAnsi" w:hAnsiTheme="majorHAnsi" w:cstheme="majorHAnsi"/>
          <w:sz w:val="24"/>
          <w:szCs w:val="24"/>
          <w:lang w:val="ro-RO"/>
        </w:rPr>
        <w:t xml:space="preserve">la </w:t>
      </w:r>
      <w:r w:rsidRPr="00FF5993">
        <w:rPr>
          <w:rFonts w:asciiTheme="majorHAnsi" w:hAnsiTheme="majorHAnsi" w:cstheme="majorHAnsi"/>
          <w:sz w:val="24"/>
          <w:szCs w:val="24"/>
          <w:lang w:val="ro-RO"/>
        </w:rPr>
        <w:t>Serviciul Fiscal de Stat</w:t>
      </w:r>
      <w:r>
        <w:rPr>
          <w:rFonts w:asciiTheme="majorHAnsi" w:hAnsiTheme="majorHAnsi" w:cstheme="majorHAnsi"/>
          <w:sz w:val="24"/>
          <w:szCs w:val="24"/>
          <w:lang w:val="ro-RO"/>
        </w:rPr>
        <w:t>,</w:t>
      </w:r>
      <w:r w:rsidRPr="00FF5993">
        <w:rPr>
          <w:rFonts w:asciiTheme="majorHAnsi" w:hAnsiTheme="majorHAnsi" w:cstheme="majorHAnsi"/>
          <w:sz w:val="24"/>
          <w:szCs w:val="24"/>
          <w:lang w:val="ro-RO"/>
        </w:rPr>
        <w:t xml:space="preserve"> ca mijloc fix a </w:t>
      </w:r>
      <w:r>
        <w:rPr>
          <w:rFonts w:asciiTheme="majorHAnsi" w:hAnsiTheme="majorHAnsi" w:cstheme="majorHAnsi"/>
          <w:sz w:val="24"/>
          <w:szCs w:val="24"/>
          <w:lang w:val="ro-RO"/>
        </w:rPr>
        <w:t xml:space="preserve">fost </w:t>
      </w:r>
      <w:r w:rsidRPr="00FF5993">
        <w:rPr>
          <w:rFonts w:asciiTheme="majorHAnsi" w:hAnsiTheme="majorHAnsi" w:cstheme="majorHAnsi"/>
          <w:sz w:val="24"/>
          <w:szCs w:val="24"/>
          <w:lang w:val="ro-RO"/>
        </w:rPr>
        <w:t>reflectat</w:t>
      </w:r>
      <w:r>
        <w:rPr>
          <w:rFonts w:asciiTheme="majorHAnsi" w:hAnsiTheme="majorHAnsi" w:cstheme="majorHAnsi"/>
          <w:sz w:val="24"/>
          <w:szCs w:val="24"/>
          <w:lang w:val="ro-RO"/>
        </w:rPr>
        <w:t>ă</w:t>
      </w:r>
      <w:r w:rsidRPr="00FF5993">
        <w:rPr>
          <w:rFonts w:asciiTheme="majorHAnsi" w:hAnsiTheme="majorHAnsi" w:cstheme="majorHAnsi"/>
          <w:sz w:val="24"/>
          <w:szCs w:val="24"/>
          <w:lang w:val="ro-RO"/>
        </w:rPr>
        <w:t xml:space="preserve"> „reparația clădirii administrative” în sumă de 217,5 mii lei,  </w:t>
      </w:r>
      <w:r>
        <w:rPr>
          <w:rFonts w:asciiTheme="majorHAnsi" w:hAnsiTheme="majorHAnsi" w:cstheme="majorHAnsi"/>
          <w:sz w:val="24"/>
          <w:szCs w:val="24"/>
          <w:lang w:val="ro-RO"/>
        </w:rPr>
        <w:t xml:space="preserve">la </w:t>
      </w:r>
      <w:r w:rsidRPr="001B3483">
        <w:rPr>
          <w:rFonts w:asciiTheme="majorHAnsi" w:hAnsiTheme="majorHAnsi" w:cstheme="majorHAnsi"/>
          <w:sz w:val="24"/>
          <w:szCs w:val="24"/>
          <w:lang w:val="ro-RO"/>
        </w:rPr>
        <w:t xml:space="preserve">Biroul </w:t>
      </w:r>
      <w:r w:rsidRPr="00E97BF5">
        <w:rPr>
          <w:rFonts w:asciiTheme="majorHAnsi" w:hAnsiTheme="majorHAnsi" w:cstheme="majorHAnsi"/>
          <w:sz w:val="24"/>
          <w:szCs w:val="24"/>
          <w:lang w:val="ro-RO"/>
        </w:rPr>
        <w:t>V</w:t>
      </w:r>
      <w:r w:rsidRPr="001B3483">
        <w:rPr>
          <w:rFonts w:asciiTheme="majorHAnsi" w:hAnsiTheme="majorHAnsi" w:cstheme="majorHAnsi"/>
          <w:sz w:val="24"/>
          <w:szCs w:val="24"/>
          <w:lang w:val="ro-RO"/>
        </w:rPr>
        <w:t>amal Nord -</w:t>
      </w:r>
      <w:r w:rsidRPr="001B3483">
        <w:rPr>
          <w:rFonts w:asciiTheme="majorHAnsi" w:eastAsia="Times New Roman" w:hAnsiTheme="majorHAnsi" w:cstheme="majorHAnsi"/>
          <w:sz w:val="24"/>
          <w:szCs w:val="24"/>
          <w:lang w:val="ro-RO"/>
        </w:rPr>
        <w:t xml:space="preserve"> „adaosul la parcarea</w:t>
      </w:r>
      <w:r w:rsidRPr="001B3483">
        <w:rPr>
          <w:rFonts w:asciiTheme="majorHAnsi" w:hAnsiTheme="majorHAnsi" w:cstheme="majorHAnsi"/>
          <w:sz w:val="24"/>
          <w:szCs w:val="24"/>
          <w:lang w:val="ro-RO"/>
        </w:rPr>
        <w:t xml:space="preserve"> auto de la </w:t>
      </w:r>
      <w:r w:rsidRPr="005B697F">
        <w:rPr>
          <w:rFonts w:asciiTheme="majorHAnsi" w:hAnsiTheme="majorHAnsi" w:cstheme="majorHAnsi"/>
          <w:sz w:val="24"/>
          <w:szCs w:val="24"/>
          <w:lang w:val="ro-RO"/>
        </w:rPr>
        <w:t xml:space="preserve">Postul Vamal CRIVA” în sumă de </w:t>
      </w:r>
      <w:r w:rsidRPr="005B697F">
        <w:rPr>
          <w:rFonts w:asciiTheme="majorHAnsi" w:hAnsiTheme="majorHAnsi" w:cstheme="majorHAnsi"/>
          <w:sz w:val="24"/>
          <w:szCs w:val="24"/>
        </w:rPr>
        <w:t xml:space="preserve">766,9 mii lei, și la </w:t>
      </w:r>
      <w:r w:rsidRPr="005B697F">
        <w:rPr>
          <w:rFonts w:asciiTheme="majorHAnsi" w:hAnsiTheme="majorHAnsi" w:cstheme="majorHAnsi"/>
          <w:sz w:val="24"/>
          <w:szCs w:val="24"/>
          <w:lang w:val="ro-RO"/>
        </w:rPr>
        <w:t>Serviciul Vamal - ,,</w:t>
      </w:r>
      <w:r w:rsidRPr="005B697F">
        <w:rPr>
          <w:rFonts w:asciiTheme="majorHAnsi" w:eastAsia="Times New Roman" w:hAnsiTheme="majorHAnsi" w:cstheme="majorHAnsi"/>
          <w:sz w:val="24"/>
          <w:szCs w:val="24"/>
          <w:lang w:val="ro-RO"/>
        </w:rPr>
        <w:t>Modificarea SI ECONOMIST” în sumă de 98,0 mii lei.</w:t>
      </w:r>
      <w:r w:rsidRPr="00FF5993">
        <w:rPr>
          <w:rFonts w:asciiTheme="majorHAnsi" w:hAnsiTheme="majorHAnsi" w:cstheme="majorHAnsi"/>
          <w:sz w:val="24"/>
          <w:szCs w:val="24"/>
          <w:lang w:val="ro-RO"/>
        </w:rPr>
        <w:t xml:space="preserve"> </w:t>
      </w:r>
    </w:p>
    <w:p w:rsidR="00F368DE" w:rsidRPr="00FF5993" w:rsidRDefault="00F368DE" w:rsidP="00F368DE">
      <w:pPr>
        <w:tabs>
          <w:tab w:val="left" w:pos="90"/>
          <w:tab w:val="left" w:pos="450"/>
        </w:tabs>
        <w:spacing w:line="276" w:lineRule="auto"/>
        <w:rPr>
          <w:rFonts w:asciiTheme="majorHAnsi" w:eastAsia="Times New Roman" w:hAnsiTheme="majorHAnsi" w:cstheme="majorHAnsi"/>
          <w:sz w:val="24"/>
          <w:szCs w:val="24"/>
          <w:lang w:val="ro-RO"/>
        </w:rPr>
      </w:pPr>
      <w:r w:rsidRPr="00FF5993">
        <w:rPr>
          <w:rFonts w:asciiTheme="majorHAnsi" w:hAnsiTheme="majorHAnsi" w:cstheme="majorHAnsi"/>
          <w:sz w:val="24"/>
          <w:szCs w:val="24"/>
          <w:lang w:val="ro-RO"/>
        </w:rPr>
        <w:t xml:space="preserve">Deși în cadrul Serviciului Vamal a fost raportată corect și regulamentar valoarea </w:t>
      </w:r>
      <w:r w:rsidRPr="00FF5993">
        <w:rPr>
          <w:rFonts w:asciiTheme="majorHAnsi" w:eastAsia="Times New Roman" w:hAnsiTheme="majorHAnsi" w:cstheme="majorHAnsi"/>
          <w:bCs/>
          <w:sz w:val="24"/>
          <w:szCs w:val="24"/>
          <w:lang w:val="ro-RO"/>
        </w:rPr>
        <w:t xml:space="preserve">investițiilor în curs de execuție,  </w:t>
      </w:r>
      <w:r>
        <w:rPr>
          <w:rFonts w:asciiTheme="majorHAnsi" w:eastAsia="Times New Roman" w:hAnsiTheme="majorHAnsi" w:cstheme="majorHAnsi"/>
          <w:bCs/>
          <w:sz w:val="24"/>
          <w:szCs w:val="24"/>
          <w:lang w:val="ro-RO"/>
        </w:rPr>
        <w:t>atestăm</w:t>
      </w:r>
      <w:r w:rsidRPr="00FF5993">
        <w:rPr>
          <w:rFonts w:asciiTheme="majorHAnsi" w:eastAsia="Times New Roman" w:hAnsiTheme="majorHAnsi" w:cstheme="majorHAnsi"/>
          <w:b/>
          <w:bCs/>
          <w:sz w:val="24"/>
          <w:szCs w:val="24"/>
          <w:lang w:val="ro-RO"/>
        </w:rPr>
        <w:t xml:space="preserve"> </w:t>
      </w:r>
      <w:r w:rsidRPr="00FF5993">
        <w:rPr>
          <w:rFonts w:asciiTheme="majorHAnsi" w:eastAsia="Times New Roman" w:hAnsiTheme="majorHAnsi" w:cstheme="majorHAnsi"/>
          <w:bCs/>
          <w:sz w:val="24"/>
          <w:szCs w:val="24"/>
          <w:lang w:val="ro-RO"/>
        </w:rPr>
        <w:t>necontabilizarea separată</w:t>
      </w:r>
      <w:r w:rsidRPr="00FF5993">
        <w:rPr>
          <w:rStyle w:val="a7"/>
          <w:rFonts w:asciiTheme="majorHAnsi" w:eastAsia="Times New Roman" w:hAnsiTheme="majorHAnsi" w:cstheme="majorHAnsi"/>
          <w:bCs/>
          <w:sz w:val="24"/>
          <w:szCs w:val="24"/>
          <w:lang w:val="ro-RO"/>
        </w:rPr>
        <w:footnoteReference w:id="16"/>
      </w:r>
      <w:r w:rsidRPr="00FF5993">
        <w:rPr>
          <w:rFonts w:asciiTheme="majorHAnsi" w:eastAsia="Times New Roman" w:hAnsiTheme="majorHAnsi" w:cstheme="majorHAnsi"/>
          <w:bCs/>
          <w:sz w:val="24"/>
          <w:szCs w:val="24"/>
          <w:lang w:val="ro-RO"/>
        </w:rPr>
        <w:t xml:space="preserve"> a proiectelor unor obiecte nefinalizate în sumă de </w:t>
      </w:r>
      <w:r w:rsidRPr="00FF5993">
        <w:rPr>
          <w:rFonts w:asciiTheme="majorHAnsi" w:hAnsiTheme="majorHAnsi" w:cstheme="majorHAnsi"/>
          <w:sz w:val="24"/>
          <w:szCs w:val="24"/>
          <w:lang w:val="en-GB"/>
        </w:rPr>
        <w:t>1 990,7 mii lei</w:t>
      </w:r>
      <w:r w:rsidRPr="00FF5993">
        <w:rPr>
          <w:rFonts w:asciiTheme="majorHAnsi" w:hAnsiTheme="majorHAnsi"/>
          <w:b/>
          <w:sz w:val="20"/>
          <w:szCs w:val="20"/>
          <w:lang w:val="en-GB"/>
        </w:rPr>
        <w:t xml:space="preserve"> </w:t>
      </w:r>
      <w:r w:rsidRPr="00FF5993">
        <w:rPr>
          <w:rFonts w:asciiTheme="majorHAnsi" w:hAnsiTheme="majorHAnsi" w:cstheme="majorHAnsi"/>
          <w:sz w:val="24"/>
          <w:szCs w:val="24"/>
          <w:lang w:val="ro-RO"/>
        </w:rPr>
        <w:t>și</w:t>
      </w:r>
      <w:r w:rsidRPr="00FF5993">
        <w:rPr>
          <w:rFonts w:asciiTheme="majorHAnsi" w:hAnsiTheme="majorHAnsi" w:cs="Times New Roman"/>
          <w:szCs w:val="28"/>
          <w:lang w:val="ro-RO"/>
        </w:rPr>
        <w:t xml:space="preserve"> </w:t>
      </w:r>
      <w:r w:rsidRPr="00FF5993">
        <w:rPr>
          <w:rFonts w:asciiTheme="majorHAnsi" w:eastAsia="Times New Roman" w:hAnsiTheme="majorHAnsi" w:cstheme="majorHAnsi"/>
          <w:sz w:val="24"/>
          <w:szCs w:val="24"/>
          <w:lang w:val="ro-RO"/>
        </w:rPr>
        <w:t xml:space="preserve">raportarea a 7 obiecte, </w:t>
      </w:r>
      <w:r>
        <w:rPr>
          <w:rFonts w:asciiTheme="majorHAnsi" w:hAnsiTheme="majorHAnsi" w:cstheme="majorHAnsi"/>
          <w:sz w:val="24"/>
          <w:szCs w:val="24"/>
          <w:lang w:val="ro-RO"/>
        </w:rPr>
        <w:t>acestea</w:t>
      </w:r>
      <w:r w:rsidRPr="00FF5993">
        <w:rPr>
          <w:rFonts w:asciiTheme="majorHAnsi" w:hAnsiTheme="majorHAnsi" w:cstheme="majorHAnsi"/>
          <w:sz w:val="24"/>
          <w:szCs w:val="24"/>
        </w:rPr>
        <w:t xml:space="preserve"> </w:t>
      </w:r>
      <w:r w:rsidRPr="00FF5993">
        <w:rPr>
          <w:rFonts w:asciiTheme="majorHAnsi" w:hAnsiTheme="majorHAnsi" w:cstheme="majorHAnsi"/>
          <w:sz w:val="24"/>
          <w:szCs w:val="24"/>
          <w:lang w:val="ro-RO"/>
        </w:rPr>
        <w:t>reprez</w:t>
      </w:r>
      <w:r>
        <w:rPr>
          <w:rFonts w:asciiTheme="majorHAnsi" w:hAnsiTheme="majorHAnsi" w:cstheme="majorHAnsi"/>
          <w:sz w:val="24"/>
          <w:szCs w:val="24"/>
          <w:lang w:val="ro-RO"/>
        </w:rPr>
        <w:t>entând</w:t>
      </w:r>
      <w:r w:rsidRPr="00FF5993">
        <w:rPr>
          <w:rFonts w:asciiTheme="majorHAnsi" w:hAnsiTheme="majorHAnsi" w:cstheme="majorHAnsi"/>
          <w:sz w:val="24"/>
          <w:szCs w:val="24"/>
          <w:lang w:val="ro-RO"/>
        </w:rPr>
        <w:t xml:space="preserve"> doar cheltuieli de elaborare a proiectelor tehnice </w:t>
      </w:r>
      <w:r w:rsidRPr="00FF5993">
        <w:rPr>
          <w:rFonts w:asciiTheme="majorHAnsi" w:eastAsia="Times New Roman" w:hAnsiTheme="majorHAnsi" w:cstheme="majorHAnsi"/>
          <w:sz w:val="24"/>
          <w:szCs w:val="24"/>
          <w:lang w:val="ro-RO"/>
        </w:rPr>
        <w:t xml:space="preserve">din anii 1997-2015 în sumă totală de 2 061,1 mii lei, care de facto nu vor fi realizate, </w:t>
      </w:r>
      <w:r>
        <w:rPr>
          <w:rFonts w:asciiTheme="majorHAnsi" w:eastAsia="Times New Roman" w:hAnsiTheme="majorHAnsi" w:cstheme="majorHAnsi"/>
          <w:sz w:val="24"/>
          <w:szCs w:val="24"/>
          <w:lang w:val="ro-RO"/>
        </w:rPr>
        <w:t xml:space="preserve">ceea ce </w:t>
      </w:r>
      <w:r w:rsidRPr="00FF5993">
        <w:rPr>
          <w:rFonts w:asciiTheme="majorHAnsi" w:eastAsia="Times New Roman" w:hAnsiTheme="majorHAnsi" w:cstheme="majorHAnsi"/>
          <w:sz w:val="24"/>
          <w:szCs w:val="24"/>
          <w:lang w:val="ro-RO"/>
        </w:rPr>
        <w:t>major</w:t>
      </w:r>
      <w:r>
        <w:rPr>
          <w:rFonts w:asciiTheme="majorHAnsi" w:eastAsia="Times New Roman" w:hAnsiTheme="majorHAnsi" w:cstheme="majorHAnsi"/>
          <w:sz w:val="24"/>
          <w:szCs w:val="24"/>
          <w:lang w:val="ro-RO"/>
        </w:rPr>
        <w:t>ează</w:t>
      </w:r>
      <w:r w:rsidRPr="00FF5993">
        <w:rPr>
          <w:rFonts w:asciiTheme="majorHAnsi" w:eastAsia="Times New Roman" w:hAnsiTheme="majorHAnsi" w:cstheme="majorHAnsi"/>
          <w:sz w:val="24"/>
          <w:szCs w:val="24"/>
          <w:lang w:val="ro-RO"/>
        </w:rPr>
        <w:t xml:space="preserve"> neîntemeiat soldul </w:t>
      </w:r>
      <w:r w:rsidRPr="00FF5993">
        <w:rPr>
          <w:rFonts w:asciiTheme="majorHAnsi" w:eastAsia="Times New Roman" w:hAnsiTheme="majorHAnsi" w:cstheme="majorHAnsi"/>
          <w:bCs/>
          <w:sz w:val="24"/>
          <w:szCs w:val="24"/>
          <w:lang w:val="ro-RO"/>
        </w:rPr>
        <w:t>investițiilor în curs de execuție.</w:t>
      </w:r>
      <w:r w:rsidRPr="00FF5993">
        <w:rPr>
          <w:rFonts w:asciiTheme="majorHAnsi" w:eastAsia="Times New Roman" w:hAnsiTheme="majorHAnsi" w:cstheme="majorHAnsi"/>
          <w:b/>
          <w:bCs/>
          <w:sz w:val="24"/>
          <w:szCs w:val="24"/>
          <w:lang w:val="ro-RO"/>
        </w:rPr>
        <w:t xml:space="preserve"> </w:t>
      </w:r>
    </w:p>
    <w:p w:rsidR="00F368DE" w:rsidRPr="00FF5993" w:rsidRDefault="00F368DE" w:rsidP="00F368DE">
      <w:pPr>
        <w:tabs>
          <w:tab w:val="left" w:pos="90"/>
        </w:tabs>
        <w:spacing w:line="276" w:lineRule="auto"/>
        <w:rPr>
          <w:rFonts w:asciiTheme="majorHAnsi" w:hAnsiTheme="majorHAnsi" w:cstheme="majorHAnsi"/>
          <w:sz w:val="24"/>
          <w:szCs w:val="24"/>
          <w:lang w:val="ro-RO"/>
        </w:rPr>
      </w:pPr>
      <w:r w:rsidRPr="00FF5993">
        <w:rPr>
          <w:rFonts w:asciiTheme="majorHAnsi" w:hAnsiTheme="majorHAnsi" w:cstheme="majorHAnsi"/>
          <w:color w:val="000000"/>
          <w:sz w:val="24"/>
          <w:szCs w:val="24"/>
          <w:lang w:val="ro-RO"/>
        </w:rPr>
        <w:lastRenderedPageBreak/>
        <w:t xml:space="preserve">Serviciul Vamal, la compartimentul </w:t>
      </w:r>
      <w:r>
        <w:rPr>
          <w:rFonts w:asciiTheme="majorHAnsi" w:hAnsiTheme="majorHAnsi" w:cstheme="majorHAnsi"/>
          <w:color w:val="000000"/>
          <w:sz w:val="24"/>
          <w:szCs w:val="24"/>
          <w:lang w:val="ro-RO"/>
        </w:rPr>
        <w:t>„I</w:t>
      </w:r>
      <w:r w:rsidRPr="001B3483">
        <w:rPr>
          <w:rFonts w:asciiTheme="majorHAnsi" w:hAnsiTheme="majorHAnsi" w:cstheme="majorHAnsi"/>
          <w:color w:val="000000"/>
          <w:sz w:val="24"/>
          <w:szCs w:val="24"/>
          <w:lang w:val="ro-RO"/>
        </w:rPr>
        <w:t>nvestiții capitale</w:t>
      </w:r>
      <w:r>
        <w:rPr>
          <w:rFonts w:asciiTheme="majorHAnsi" w:hAnsiTheme="majorHAnsi" w:cstheme="majorHAnsi"/>
          <w:color w:val="000000"/>
          <w:sz w:val="24"/>
          <w:szCs w:val="24"/>
          <w:lang w:val="ro-RO"/>
        </w:rPr>
        <w:t>”</w:t>
      </w:r>
      <w:r w:rsidRPr="001B3483">
        <w:rPr>
          <w:rFonts w:asciiTheme="majorHAnsi" w:hAnsiTheme="majorHAnsi" w:cstheme="majorHAnsi"/>
          <w:color w:val="000000"/>
          <w:sz w:val="24"/>
          <w:szCs w:val="24"/>
          <w:lang w:val="ro-RO"/>
        </w:rPr>
        <w:t>, nu a</w:t>
      </w:r>
      <w:r w:rsidRPr="001B3483">
        <w:rPr>
          <w:rFonts w:asciiTheme="majorHAnsi" w:eastAsia="Times New Roman" w:hAnsiTheme="majorHAnsi" w:cstheme="majorHAnsi"/>
          <w:sz w:val="24"/>
          <w:szCs w:val="24"/>
          <w:lang w:val="ro-RO"/>
        </w:rPr>
        <w:t xml:space="preserve"> </w:t>
      </w:r>
      <w:r w:rsidRPr="001B3483">
        <w:rPr>
          <w:rFonts w:asciiTheme="majorHAnsi" w:hAnsiTheme="majorHAnsi" w:cstheme="majorHAnsi"/>
          <w:color w:val="000000"/>
          <w:sz w:val="24"/>
          <w:szCs w:val="24"/>
          <w:lang w:val="ro-RO"/>
        </w:rPr>
        <w:t xml:space="preserve">valorificat 3 903,5 mii lei, ca urmare a </w:t>
      </w:r>
      <w:r w:rsidRPr="00383001">
        <w:rPr>
          <w:rFonts w:asciiTheme="majorHAnsi" w:hAnsiTheme="majorHAnsi" w:cstheme="majorHAnsi"/>
          <w:color w:val="000000"/>
          <w:sz w:val="24"/>
          <w:szCs w:val="24"/>
          <w:lang w:val="ro-RO"/>
        </w:rPr>
        <w:t>neexecutării unor contracte (418,2 mii lei), necontractării unor l</w:t>
      </w:r>
      <w:r w:rsidRPr="00FF5993">
        <w:rPr>
          <w:rFonts w:asciiTheme="majorHAnsi" w:hAnsiTheme="majorHAnsi" w:cstheme="majorHAnsi"/>
          <w:color w:val="000000"/>
          <w:sz w:val="24"/>
          <w:szCs w:val="24"/>
          <w:lang w:val="ro-RO"/>
        </w:rPr>
        <w:t>ucrări planificate (1 659,4 mii lei)</w:t>
      </w:r>
      <w:r>
        <w:rPr>
          <w:rFonts w:asciiTheme="majorHAnsi" w:hAnsiTheme="majorHAnsi" w:cstheme="majorHAnsi"/>
          <w:color w:val="000000"/>
          <w:sz w:val="24"/>
          <w:szCs w:val="24"/>
          <w:lang w:val="ro-RO"/>
        </w:rPr>
        <w:t xml:space="preserve"> </w:t>
      </w:r>
      <w:r w:rsidRPr="00FF5993">
        <w:rPr>
          <w:rFonts w:asciiTheme="majorHAnsi" w:hAnsiTheme="majorHAnsi" w:cstheme="majorHAnsi"/>
          <w:color w:val="000000"/>
          <w:sz w:val="24"/>
          <w:szCs w:val="24"/>
          <w:lang w:val="ro-RO"/>
        </w:rPr>
        <w:t xml:space="preserve">și </w:t>
      </w:r>
      <w:r>
        <w:rPr>
          <w:rFonts w:asciiTheme="majorHAnsi" w:hAnsiTheme="majorHAnsi" w:cstheme="majorHAnsi"/>
          <w:color w:val="000000"/>
          <w:sz w:val="24"/>
          <w:szCs w:val="24"/>
          <w:lang w:val="ro-RO"/>
        </w:rPr>
        <w:t xml:space="preserve">a </w:t>
      </w:r>
      <w:r w:rsidRPr="00FF5993">
        <w:rPr>
          <w:rFonts w:asciiTheme="majorHAnsi" w:hAnsiTheme="majorHAnsi" w:cstheme="majorHAnsi"/>
          <w:color w:val="000000"/>
          <w:sz w:val="24"/>
          <w:szCs w:val="24"/>
          <w:lang w:val="ro-RO"/>
        </w:rPr>
        <w:t>anulării unor achiziții (1 825,9 mii lei).</w:t>
      </w:r>
      <w:r w:rsidRPr="00FF5993">
        <w:rPr>
          <w:rFonts w:asciiTheme="majorHAnsi" w:hAnsiTheme="majorHAnsi" w:cstheme="majorHAnsi"/>
          <w:sz w:val="24"/>
          <w:szCs w:val="24"/>
          <w:lang w:val="ro-RO"/>
        </w:rPr>
        <w:t xml:space="preserve"> Totodată, neachiziționarea microscopului necesar </w:t>
      </w:r>
      <w:r>
        <w:rPr>
          <w:rFonts w:asciiTheme="majorHAnsi" w:hAnsiTheme="majorHAnsi" w:cstheme="majorHAnsi"/>
          <w:sz w:val="24"/>
          <w:szCs w:val="24"/>
          <w:lang w:val="ro-RO"/>
        </w:rPr>
        <w:t xml:space="preserve">pentru </w:t>
      </w:r>
      <w:r w:rsidRPr="00FF5993">
        <w:rPr>
          <w:rFonts w:asciiTheme="majorHAnsi" w:hAnsiTheme="majorHAnsi" w:cstheme="majorHAnsi"/>
          <w:sz w:val="24"/>
          <w:szCs w:val="24"/>
          <w:lang w:val="ro-RO"/>
        </w:rPr>
        <w:t>activit</w:t>
      </w:r>
      <w:r>
        <w:rPr>
          <w:rFonts w:asciiTheme="majorHAnsi" w:hAnsiTheme="majorHAnsi" w:cstheme="majorHAnsi"/>
          <w:sz w:val="24"/>
          <w:szCs w:val="24"/>
          <w:lang w:val="ro-RO"/>
        </w:rPr>
        <w:t>atea</w:t>
      </w:r>
      <w:r w:rsidRPr="00FF5993">
        <w:rPr>
          <w:rFonts w:asciiTheme="majorHAnsi" w:hAnsiTheme="majorHAnsi" w:cstheme="majorHAnsi"/>
          <w:sz w:val="24"/>
          <w:szCs w:val="24"/>
          <w:lang w:val="ro-RO"/>
        </w:rPr>
        <w:t xml:space="preserve"> Laboratorului Vamal</w:t>
      </w:r>
      <w:r w:rsidRPr="00FF5993">
        <w:rPr>
          <w:rFonts w:asciiTheme="majorHAnsi" w:hAnsiTheme="majorHAnsi" w:cs="Times New Roman"/>
          <w:sz w:val="18"/>
          <w:szCs w:val="18"/>
          <w:lang w:val="ro-RO"/>
        </w:rPr>
        <w:t xml:space="preserve"> </w:t>
      </w:r>
      <w:r w:rsidRPr="00FF5993">
        <w:rPr>
          <w:rFonts w:asciiTheme="majorHAnsi" w:hAnsiTheme="majorHAnsi" w:cstheme="majorHAnsi"/>
          <w:sz w:val="24"/>
          <w:szCs w:val="24"/>
          <w:lang w:val="ro-RO"/>
        </w:rPr>
        <w:t>a condiționat nevalorificarea în anul 2019 a mijloacelor financiare alocate în cadrul Proiectului IMPEFO</w:t>
      </w:r>
      <w:r w:rsidRPr="00FF5993">
        <w:rPr>
          <w:rFonts w:asciiTheme="majorHAnsi" w:hAnsiTheme="majorHAnsi" w:cs="Times New Roman"/>
          <w:szCs w:val="28"/>
          <w:lang w:val="ro-RO"/>
        </w:rPr>
        <w:t xml:space="preserve"> </w:t>
      </w:r>
      <w:r w:rsidRPr="00FF5993">
        <w:rPr>
          <w:rFonts w:asciiTheme="majorHAnsi" w:hAnsiTheme="majorHAnsi" w:cstheme="majorHAnsi"/>
          <w:sz w:val="24"/>
          <w:szCs w:val="24"/>
          <w:lang w:val="ro-RO"/>
        </w:rPr>
        <w:t xml:space="preserve">în sumă de 825,7 mii lei.  </w:t>
      </w:r>
    </w:p>
    <w:p w:rsidR="00F368DE" w:rsidRPr="00FF5993" w:rsidRDefault="00F368DE" w:rsidP="00F368DE">
      <w:pPr>
        <w:tabs>
          <w:tab w:val="left" w:pos="90"/>
        </w:tabs>
        <w:spacing w:line="276" w:lineRule="auto"/>
        <w:rPr>
          <w:rFonts w:asciiTheme="majorHAnsi" w:hAnsiTheme="majorHAnsi" w:cstheme="majorHAnsi"/>
          <w:bCs/>
          <w:sz w:val="24"/>
          <w:szCs w:val="24"/>
          <w:lang w:val="ro-RO"/>
        </w:rPr>
      </w:pPr>
      <w:r w:rsidRPr="00FF5993">
        <w:rPr>
          <w:rFonts w:asciiTheme="majorHAnsi" w:hAnsiTheme="majorHAnsi" w:cstheme="majorHAnsi"/>
          <w:sz w:val="24"/>
          <w:szCs w:val="24"/>
          <w:lang w:val="ro-RO"/>
        </w:rPr>
        <w:t>Unele cheltuieli reflectate în raportul consolidat al Ministerului Finanțelor nu țin de cheltuieli</w:t>
      </w:r>
      <w:r>
        <w:rPr>
          <w:rFonts w:asciiTheme="majorHAnsi" w:hAnsiTheme="majorHAnsi" w:cstheme="majorHAnsi"/>
          <w:sz w:val="24"/>
          <w:szCs w:val="24"/>
          <w:lang w:val="ro-RO"/>
        </w:rPr>
        <w:t xml:space="preserve">le </w:t>
      </w:r>
      <w:r w:rsidRPr="00FF5993">
        <w:rPr>
          <w:rFonts w:asciiTheme="majorHAnsi" w:hAnsiTheme="majorHAnsi" w:cstheme="majorHAnsi"/>
          <w:sz w:val="24"/>
          <w:szCs w:val="24"/>
          <w:lang w:val="ro-RO"/>
        </w:rPr>
        <w:t xml:space="preserve"> administrative ale</w:t>
      </w:r>
      <w:r>
        <w:rPr>
          <w:rFonts w:asciiTheme="majorHAnsi" w:hAnsiTheme="majorHAnsi" w:cstheme="majorHAnsi"/>
          <w:sz w:val="24"/>
          <w:szCs w:val="24"/>
          <w:lang w:val="ro-RO"/>
        </w:rPr>
        <w:t xml:space="preserve"> instituțiilor, </w:t>
      </w:r>
      <w:r w:rsidRPr="00FF5993">
        <w:rPr>
          <w:rFonts w:asciiTheme="majorHAnsi" w:hAnsiTheme="majorHAnsi" w:cstheme="majorHAnsi"/>
          <w:sz w:val="24"/>
          <w:szCs w:val="24"/>
          <w:lang w:val="ro-RO"/>
        </w:rPr>
        <w:t xml:space="preserve">acestea urmând a fi finanțate și executate din contul cheltuielilor generale ale </w:t>
      </w:r>
      <w:r>
        <w:rPr>
          <w:rFonts w:asciiTheme="majorHAnsi" w:hAnsiTheme="majorHAnsi" w:cstheme="majorHAnsi"/>
          <w:sz w:val="24"/>
          <w:szCs w:val="24"/>
          <w:lang w:val="ro-RO"/>
        </w:rPr>
        <w:t>b</w:t>
      </w:r>
      <w:r w:rsidRPr="00FF5993">
        <w:rPr>
          <w:rFonts w:asciiTheme="majorHAnsi" w:hAnsiTheme="majorHAnsi" w:cstheme="majorHAnsi"/>
          <w:sz w:val="24"/>
          <w:szCs w:val="24"/>
          <w:lang w:val="ro-RO"/>
        </w:rPr>
        <w:t>ugetului de stat. Astfel, în raportul consolidat au fost reflectate cheltuielile privind serviciile</w:t>
      </w:r>
      <w:r w:rsidRPr="00FF5993">
        <w:rPr>
          <w:rFonts w:asciiTheme="majorHAnsi" w:eastAsia="Times New Roman" w:hAnsiTheme="majorHAnsi" w:cstheme="majorHAnsi"/>
          <w:color w:val="000000"/>
          <w:sz w:val="24"/>
          <w:szCs w:val="24"/>
          <w:lang w:val="ro-RO"/>
        </w:rPr>
        <w:t xml:space="preserve"> </w:t>
      </w:r>
      <w:r w:rsidRPr="00FF5993">
        <w:rPr>
          <w:rFonts w:asciiTheme="majorHAnsi" w:hAnsiTheme="majorHAnsi" w:cstheme="majorHAnsi"/>
          <w:sz w:val="24"/>
          <w:szCs w:val="24"/>
          <w:lang w:val="ro-RO"/>
        </w:rPr>
        <w:t xml:space="preserve">de rating pe țară de </w:t>
      </w:r>
      <w:r w:rsidRPr="00FF5993">
        <w:rPr>
          <w:rFonts w:asciiTheme="majorHAnsi" w:eastAsia="Times New Roman" w:hAnsiTheme="majorHAnsi" w:cstheme="majorHAnsi"/>
          <w:color w:val="000000"/>
          <w:sz w:val="24"/>
          <w:szCs w:val="24"/>
          <w:lang w:val="ro-RO"/>
        </w:rPr>
        <w:t>642,5 mii lei.</w:t>
      </w:r>
    </w:p>
    <w:p w:rsidR="00F368DE" w:rsidRPr="00FF5993" w:rsidRDefault="00F368DE" w:rsidP="00F368DE">
      <w:pPr>
        <w:tabs>
          <w:tab w:val="left" w:pos="90"/>
        </w:tabs>
        <w:spacing w:line="276" w:lineRule="auto"/>
        <w:rPr>
          <w:rFonts w:asciiTheme="majorHAnsi" w:hAnsiTheme="majorHAnsi" w:cstheme="majorHAnsi"/>
          <w:bCs/>
          <w:color w:val="000000"/>
          <w:sz w:val="24"/>
          <w:szCs w:val="24"/>
          <w:lang w:val="ro-RO"/>
        </w:rPr>
      </w:pPr>
      <w:r w:rsidRPr="00FF5993">
        <w:rPr>
          <w:rFonts w:asciiTheme="majorHAnsi" w:hAnsiTheme="majorHAnsi" w:cstheme="majorHAnsi"/>
          <w:sz w:val="24"/>
          <w:szCs w:val="24"/>
          <w:lang w:val="ro-RO"/>
        </w:rPr>
        <w:t xml:space="preserve">Ținem să menționăm că </w:t>
      </w:r>
      <w:r w:rsidRPr="00FF5993">
        <w:rPr>
          <w:rFonts w:asciiTheme="majorHAnsi" w:eastAsia="Times New Roman" w:hAnsiTheme="majorHAnsi" w:cstheme="majorHAnsi"/>
          <w:sz w:val="24"/>
          <w:szCs w:val="24"/>
          <w:lang w:val="ro-RO"/>
        </w:rPr>
        <w:t xml:space="preserve">creanțele executorilor judecătorești </w:t>
      </w:r>
      <w:r w:rsidRPr="00FF5993">
        <w:rPr>
          <w:rFonts w:asciiTheme="majorHAnsi" w:hAnsiTheme="majorHAnsi" w:cstheme="majorHAnsi"/>
          <w:color w:val="000000"/>
          <w:sz w:val="24"/>
          <w:szCs w:val="24"/>
          <w:lang w:val="ro-RO"/>
        </w:rPr>
        <w:t xml:space="preserve">față de stat </w:t>
      </w:r>
      <w:r w:rsidRPr="00FF5993">
        <w:rPr>
          <w:rFonts w:asciiTheme="majorHAnsi" w:eastAsia="Times New Roman" w:hAnsiTheme="majorHAnsi" w:cstheme="majorHAnsi"/>
          <w:sz w:val="24"/>
          <w:szCs w:val="24"/>
          <w:lang w:val="ro-RO"/>
        </w:rPr>
        <w:t xml:space="preserve">raportate de către Serviciul Fiscal de Stat la </w:t>
      </w:r>
      <w:r w:rsidRPr="00FF5993">
        <w:rPr>
          <w:rFonts w:asciiTheme="majorHAnsi" w:hAnsiTheme="majorHAnsi" w:cstheme="majorHAnsi"/>
          <w:color w:val="000000"/>
          <w:sz w:val="24"/>
          <w:szCs w:val="24"/>
          <w:lang w:val="ro-RO"/>
        </w:rPr>
        <w:t xml:space="preserve">31.12.2019 </w:t>
      </w:r>
      <w:r w:rsidRPr="00FF5993">
        <w:rPr>
          <w:rFonts w:asciiTheme="majorHAnsi" w:eastAsia="Times New Roman" w:hAnsiTheme="majorHAnsi" w:cstheme="majorHAnsi"/>
          <w:sz w:val="24"/>
          <w:szCs w:val="24"/>
          <w:lang w:val="ro-RO"/>
        </w:rPr>
        <w:t xml:space="preserve">au </w:t>
      </w:r>
      <w:r w:rsidRPr="00FF5993">
        <w:rPr>
          <w:rFonts w:asciiTheme="majorHAnsi" w:hAnsiTheme="majorHAnsi" w:cstheme="majorHAnsi"/>
          <w:color w:val="000000"/>
          <w:sz w:val="24"/>
          <w:szCs w:val="24"/>
          <w:lang w:val="ro-RO"/>
        </w:rPr>
        <w:t xml:space="preserve">constituit </w:t>
      </w:r>
      <w:r w:rsidRPr="00FF5993">
        <w:rPr>
          <w:rFonts w:asciiTheme="majorHAnsi" w:hAnsiTheme="majorHAnsi" w:cstheme="majorHAnsi"/>
          <w:bCs/>
          <w:color w:val="000000"/>
          <w:sz w:val="24"/>
          <w:szCs w:val="24"/>
          <w:lang w:val="ro-RO"/>
        </w:rPr>
        <w:t xml:space="preserve">2 463,9 mii lei, inclusiv creanțele </w:t>
      </w:r>
      <w:r>
        <w:rPr>
          <w:rFonts w:asciiTheme="majorHAnsi" w:hAnsiTheme="majorHAnsi" w:cstheme="majorHAnsi"/>
          <w:bCs/>
          <w:color w:val="000000"/>
          <w:sz w:val="24"/>
          <w:szCs w:val="24"/>
          <w:lang w:val="ro-RO"/>
        </w:rPr>
        <w:t xml:space="preserve">din </w:t>
      </w:r>
      <w:r w:rsidRPr="00FF5993">
        <w:rPr>
          <w:rFonts w:asciiTheme="majorHAnsi" w:hAnsiTheme="majorHAnsi" w:cstheme="majorHAnsi"/>
          <w:bCs/>
          <w:color w:val="000000"/>
          <w:sz w:val="24"/>
          <w:szCs w:val="24"/>
          <w:lang w:val="ro-RO"/>
        </w:rPr>
        <w:t>ani</w:t>
      </w:r>
      <w:r>
        <w:rPr>
          <w:rFonts w:asciiTheme="majorHAnsi" w:hAnsiTheme="majorHAnsi" w:cstheme="majorHAnsi"/>
          <w:bCs/>
          <w:color w:val="000000"/>
          <w:sz w:val="24"/>
          <w:szCs w:val="24"/>
          <w:lang w:val="ro-RO"/>
        </w:rPr>
        <w:t xml:space="preserve">i </w:t>
      </w:r>
      <w:r w:rsidRPr="00FF5993">
        <w:rPr>
          <w:rFonts w:asciiTheme="majorHAnsi" w:hAnsiTheme="majorHAnsi" w:cstheme="majorHAnsi"/>
          <w:bCs/>
          <w:color w:val="000000"/>
          <w:sz w:val="24"/>
          <w:szCs w:val="24"/>
          <w:lang w:val="ro-RO"/>
        </w:rPr>
        <w:t xml:space="preserve"> precedenți </w:t>
      </w:r>
      <w:r>
        <w:rPr>
          <w:rFonts w:asciiTheme="majorHAnsi" w:hAnsiTheme="majorHAnsi" w:cstheme="majorHAnsi"/>
          <w:bCs/>
          <w:color w:val="000000"/>
          <w:sz w:val="24"/>
          <w:szCs w:val="24"/>
          <w:lang w:val="ro-RO"/>
        </w:rPr>
        <w:t xml:space="preserve">- </w:t>
      </w:r>
      <w:r w:rsidRPr="00FF5993">
        <w:rPr>
          <w:rFonts w:asciiTheme="majorHAnsi" w:hAnsiTheme="majorHAnsi" w:cstheme="majorHAnsi"/>
          <w:bCs/>
          <w:color w:val="000000"/>
          <w:sz w:val="24"/>
          <w:szCs w:val="24"/>
          <w:lang w:val="ro-RO"/>
        </w:rPr>
        <w:t>1 265,6 mii lei</w:t>
      </w:r>
      <w:r>
        <w:rPr>
          <w:rFonts w:asciiTheme="majorHAnsi" w:hAnsiTheme="majorHAnsi" w:cstheme="majorHAnsi"/>
          <w:bCs/>
          <w:color w:val="000000"/>
          <w:sz w:val="24"/>
          <w:szCs w:val="24"/>
          <w:lang w:val="ro-RO"/>
        </w:rPr>
        <w:t>,</w:t>
      </w:r>
      <w:r w:rsidRPr="00FF5993">
        <w:rPr>
          <w:rFonts w:asciiTheme="majorHAnsi" w:hAnsiTheme="majorHAnsi" w:cstheme="majorHAnsi"/>
          <w:bCs/>
          <w:color w:val="000000"/>
          <w:sz w:val="24"/>
          <w:szCs w:val="24"/>
          <w:lang w:val="ro-RO"/>
        </w:rPr>
        <w:t xml:space="preserve"> cu un risc major de nerecuperare. </w:t>
      </w:r>
    </w:p>
    <w:p w:rsidR="00F368DE" w:rsidRPr="00FF5993" w:rsidRDefault="00F368DE" w:rsidP="00F368DE">
      <w:pPr>
        <w:tabs>
          <w:tab w:val="left" w:pos="90"/>
        </w:tabs>
        <w:spacing w:after="120" w:line="276" w:lineRule="auto"/>
        <w:rPr>
          <w:rFonts w:asciiTheme="majorHAnsi" w:eastAsia="Times New Roman" w:hAnsiTheme="majorHAnsi" w:cs="Times New Roman"/>
          <w:sz w:val="24"/>
          <w:szCs w:val="24"/>
          <w:lang w:val="ro-RO"/>
        </w:rPr>
      </w:pPr>
      <w:r w:rsidRPr="00FF5993">
        <w:rPr>
          <w:rFonts w:asciiTheme="majorHAnsi" w:eastAsia="Times New Roman" w:hAnsiTheme="majorHAnsi" w:cs="Times New Roman"/>
          <w:sz w:val="24"/>
          <w:szCs w:val="24"/>
          <w:lang w:val="ro-RO"/>
        </w:rPr>
        <w:t xml:space="preserve">Recomandările anterioare ale Curții de Conturi </w:t>
      </w:r>
      <w:r>
        <w:rPr>
          <w:rFonts w:asciiTheme="majorHAnsi" w:eastAsia="Times New Roman" w:hAnsiTheme="majorHAnsi" w:cs="Times New Roman"/>
          <w:sz w:val="24"/>
          <w:szCs w:val="24"/>
          <w:lang w:val="ro-RO"/>
        </w:rPr>
        <w:t>s-</w:t>
      </w:r>
      <w:r w:rsidRPr="00FF5993">
        <w:rPr>
          <w:rFonts w:asciiTheme="majorHAnsi" w:eastAsia="Times New Roman" w:hAnsiTheme="majorHAnsi" w:cs="Times New Roman"/>
          <w:sz w:val="24"/>
          <w:szCs w:val="24"/>
          <w:lang w:val="ro-RO"/>
        </w:rPr>
        <w:t xml:space="preserve">au realizat la un nivel înalt (peste 80%), astfel fiind contabilizate în cadrul Aparatului central al Ministerului Finanțelor și </w:t>
      </w:r>
      <w:r>
        <w:rPr>
          <w:rFonts w:asciiTheme="majorHAnsi" w:eastAsia="Times New Roman" w:hAnsiTheme="majorHAnsi" w:cs="Times New Roman"/>
          <w:sz w:val="24"/>
          <w:szCs w:val="24"/>
          <w:lang w:val="ro-RO"/>
        </w:rPr>
        <w:t xml:space="preserve">la </w:t>
      </w:r>
      <w:r w:rsidRPr="00FF5993">
        <w:rPr>
          <w:rFonts w:asciiTheme="majorHAnsi" w:eastAsia="Times New Roman" w:hAnsiTheme="majorHAnsi" w:cs="Times New Roman"/>
          <w:sz w:val="24"/>
          <w:szCs w:val="24"/>
          <w:lang w:val="ro-RO"/>
        </w:rPr>
        <w:t>instituțiile din subordine imobilele și terenurile gestionate, cu excepția unor imobile și terenuri care au fost contabilizate în perioada desfășurării auditului.</w:t>
      </w:r>
    </w:p>
    <w:p w:rsidR="00F368DE" w:rsidRPr="00FF5993" w:rsidRDefault="00F368DE" w:rsidP="00D67181">
      <w:pPr>
        <w:tabs>
          <w:tab w:val="left" w:pos="90"/>
          <w:tab w:val="left" w:pos="270"/>
        </w:tabs>
        <w:spacing w:after="120" w:line="276" w:lineRule="auto"/>
        <w:rPr>
          <w:rFonts w:asciiTheme="majorHAnsi" w:hAnsiTheme="majorHAnsi" w:cstheme="majorHAnsi"/>
          <w:b/>
          <w:szCs w:val="28"/>
        </w:rPr>
      </w:pPr>
      <w:r w:rsidRPr="00FF5993">
        <w:rPr>
          <w:rFonts w:asciiTheme="majorHAnsi" w:hAnsiTheme="majorHAnsi" w:cstheme="majorHAnsi"/>
          <w:b/>
          <w:szCs w:val="28"/>
        </w:rPr>
        <w:t>VI</w:t>
      </w:r>
      <w:r>
        <w:rPr>
          <w:rFonts w:asciiTheme="majorHAnsi" w:hAnsiTheme="majorHAnsi" w:cstheme="majorHAnsi"/>
          <w:b/>
          <w:szCs w:val="28"/>
        </w:rPr>
        <w:t>.</w:t>
      </w:r>
      <w:r w:rsidRPr="00FF5993">
        <w:rPr>
          <w:rFonts w:asciiTheme="majorHAnsi" w:hAnsiTheme="majorHAnsi" w:cstheme="majorHAnsi"/>
          <w:b/>
          <w:szCs w:val="28"/>
        </w:rPr>
        <w:t xml:space="preserve"> RESPONSABILITĂȚILE CONDUCERII PENTRU RAPOARTELE FINANCIARE</w:t>
      </w:r>
    </w:p>
    <w:p w:rsidR="00F368DE" w:rsidRDefault="00F368DE" w:rsidP="00D67181">
      <w:pPr>
        <w:tabs>
          <w:tab w:val="left" w:pos="90"/>
        </w:tabs>
        <w:autoSpaceDE w:val="0"/>
        <w:autoSpaceDN w:val="0"/>
        <w:adjustRightInd w:val="0"/>
        <w:spacing w:after="120" w:line="276" w:lineRule="auto"/>
        <w:rPr>
          <w:rFonts w:asciiTheme="majorHAnsi" w:hAnsiTheme="majorHAnsi" w:cstheme="majorHAnsi"/>
          <w:color w:val="000000"/>
          <w:sz w:val="24"/>
          <w:szCs w:val="24"/>
        </w:rPr>
      </w:pPr>
      <w:r w:rsidRPr="00FF5993">
        <w:rPr>
          <w:rFonts w:asciiTheme="majorHAnsi" w:hAnsiTheme="majorHAnsi" w:cstheme="majorHAnsi"/>
          <w:bCs/>
          <w:color w:val="000000"/>
          <w:sz w:val="24"/>
          <w:szCs w:val="24"/>
          <w:lang w:val="ro-RO"/>
        </w:rPr>
        <w:t>Ministrul</w:t>
      </w:r>
      <w:r w:rsidRPr="00FF5993">
        <w:rPr>
          <w:rFonts w:asciiTheme="majorHAnsi" w:hAnsiTheme="majorHAnsi" w:cstheme="majorHAnsi"/>
          <w:color w:val="000000"/>
          <w:sz w:val="24"/>
          <w:szCs w:val="24"/>
          <w:lang w:val="ro-RO"/>
        </w:rPr>
        <w:t xml:space="preserve"> </w:t>
      </w:r>
      <w:r>
        <w:rPr>
          <w:rFonts w:asciiTheme="majorHAnsi" w:hAnsiTheme="majorHAnsi" w:cstheme="majorHAnsi"/>
          <w:bCs/>
          <w:color w:val="000000"/>
          <w:sz w:val="24"/>
          <w:szCs w:val="24"/>
          <w:lang w:val="ro-RO"/>
        </w:rPr>
        <w:t>f</w:t>
      </w:r>
      <w:r w:rsidRPr="00FF5993">
        <w:rPr>
          <w:rFonts w:asciiTheme="majorHAnsi" w:hAnsiTheme="majorHAnsi" w:cstheme="majorHAnsi"/>
          <w:bCs/>
          <w:color w:val="000000"/>
          <w:sz w:val="24"/>
          <w:szCs w:val="24"/>
          <w:lang w:val="ro-RO"/>
        </w:rPr>
        <w:t>inanțelor,</w:t>
      </w:r>
      <w:r w:rsidRPr="00FF5993">
        <w:rPr>
          <w:rFonts w:asciiTheme="majorHAnsi" w:hAnsiTheme="majorHAnsi" w:cstheme="majorHAnsi"/>
          <w:color w:val="000000"/>
          <w:sz w:val="24"/>
          <w:szCs w:val="24"/>
        </w:rPr>
        <w:t xml:space="preserve"> în calitate de conducător al organului central de specialitate al administrației publice, este responsabil de întocmirea și semnarea rapoartelor financiare consolidate</w:t>
      </w:r>
      <w:r w:rsidRPr="00FF5993">
        <w:rPr>
          <w:rFonts w:asciiTheme="majorHAnsi" w:hAnsiTheme="majorHAnsi" w:cstheme="majorHAnsi"/>
          <w:color w:val="000000"/>
          <w:sz w:val="24"/>
          <w:szCs w:val="24"/>
          <w:vertAlign w:val="superscript"/>
        </w:rPr>
        <w:footnoteReference w:id="17"/>
      </w:r>
      <w:r w:rsidRPr="00FF5993">
        <w:rPr>
          <w:rFonts w:asciiTheme="majorHAnsi" w:hAnsiTheme="majorHAnsi" w:cstheme="majorHAnsi"/>
          <w:color w:val="000000"/>
          <w:sz w:val="24"/>
          <w:szCs w:val="24"/>
        </w:rPr>
        <w:t xml:space="preserve">, în conformitate cu cadrul de raportare financiară aplicabil, precum și de organizarea sistemului de controlul </w:t>
      </w:r>
      <w:r w:rsidRPr="00FF5993">
        <w:rPr>
          <w:rFonts w:asciiTheme="majorHAnsi" w:hAnsiTheme="majorHAnsi" w:cstheme="majorHAnsi"/>
          <w:color w:val="000000"/>
          <w:sz w:val="24"/>
          <w:szCs w:val="24"/>
          <w:lang w:val="ro-RO"/>
        </w:rPr>
        <w:t>intern</w:t>
      </w:r>
      <w:r w:rsidRPr="00FF5993">
        <w:rPr>
          <w:rFonts w:asciiTheme="majorHAnsi" w:hAnsiTheme="majorHAnsi" w:cstheme="majorHAnsi"/>
          <w:sz w:val="24"/>
          <w:szCs w:val="24"/>
          <w:vertAlign w:val="superscript"/>
          <w:lang w:val="ro-RO"/>
        </w:rPr>
        <w:footnoteReference w:id="18"/>
      </w:r>
      <w:r w:rsidRPr="00FF5993">
        <w:rPr>
          <w:rFonts w:asciiTheme="majorHAnsi" w:hAnsiTheme="majorHAnsi" w:cstheme="majorHAnsi"/>
          <w:color w:val="000000"/>
          <w:sz w:val="24"/>
          <w:szCs w:val="24"/>
          <w:lang w:val="ro-RO"/>
        </w:rPr>
        <w:t>,</w:t>
      </w:r>
      <w:r w:rsidRPr="00FF5993">
        <w:rPr>
          <w:rFonts w:asciiTheme="majorHAnsi" w:hAnsiTheme="majorHAnsi" w:cstheme="majorHAnsi"/>
          <w:color w:val="000000"/>
          <w:sz w:val="24"/>
          <w:szCs w:val="24"/>
        </w:rPr>
        <w:t xml:space="preserve"> pentru a asigura desfășurarea organizată și eficientă a activității economice a entității, inclusiv respectarea strictă a integrității activelor, prevenirea și descoperirea cauzelor de fraudă și eroare, exactitatea și plenitudinea înregistrărilor contabile, precum și pregătirea oportună a unor informații financiare credibile.</w:t>
      </w:r>
    </w:p>
    <w:p w:rsidR="00F368DE" w:rsidRPr="00FF5993" w:rsidRDefault="00F368DE" w:rsidP="00D67181">
      <w:pPr>
        <w:tabs>
          <w:tab w:val="left" w:pos="90"/>
        </w:tabs>
        <w:autoSpaceDE w:val="0"/>
        <w:autoSpaceDN w:val="0"/>
        <w:adjustRightInd w:val="0"/>
        <w:spacing w:after="120" w:line="276" w:lineRule="auto"/>
        <w:rPr>
          <w:rFonts w:asciiTheme="majorHAnsi" w:hAnsiTheme="majorHAnsi" w:cstheme="majorHAnsi"/>
          <w:b/>
          <w:color w:val="000000" w:themeColor="text1"/>
          <w:szCs w:val="28"/>
        </w:rPr>
      </w:pPr>
      <w:r w:rsidRPr="00FF5993">
        <w:rPr>
          <w:rFonts w:asciiTheme="majorHAnsi" w:hAnsiTheme="majorHAnsi" w:cstheme="majorHAnsi"/>
          <w:b/>
          <w:color w:val="000000" w:themeColor="text1"/>
          <w:szCs w:val="28"/>
        </w:rPr>
        <w:t>VII</w:t>
      </w:r>
      <w:r>
        <w:rPr>
          <w:rFonts w:asciiTheme="majorHAnsi" w:hAnsiTheme="majorHAnsi" w:cstheme="majorHAnsi"/>
          <w:b/>
          <w:color w:val="000000" w:themeColor="text1"/>
          <w:szCs w:val="28"/>
        </w:rPr>
        <w:t>.</w:t>
      </w:r>
      <w:r w:rsidRPr="00FF5993">
        <w:rPr>
          <w:rFonts w:asciiTheme="majorHAnsi" w:hAnsiTheme="majorHAnsi" w:cstheme="majorHAnsi"/>
          <w:b/>
          <w:color w:val="000000" w:themeColor="text1"/>
          <w:szCs w:val="28"/>
        </w:rPr>
        <w:t>RESPONSABILITĂȚILE AUDITORULUI</w:t>
      </w:r>
      <w:r w:rsidRPr="00FF5993">
        <w:rPr>
          <w:rFonts w:asciiTheme="majorHAnsi" w:hAnsiTheme="majorHAnsi" w:cstheme="majorHAnsi"/>
          <w:color w:val="000000" w:themeColor="text1"/>
          <w:szCs w:val="28"/>
        </w:rPr>
        <w:t xml:space="preserve"> </w:t>
      </w:r>
      <w:r w:rsidRPr="00FF5993">
        <w:rPr>
          <w:rFonts w:asciiTheme="majorHAnsi" w:hAnsiTheme="majorHAnsi" w:cstheme="majorHAnsi"/>
          <w:b/>
          <w:color w:val="000000" w:themeColor="text1"/>
          <w:szCs w:val="28"/>
        </w:rPr>
        <w:t xml:space="preserve">ÎNTR-UN AUDIT AL </w:t>
      </w:r>
      <w:r w:rsidRPr="00FF5993">
        <w:rPr>
          <w:rFonts w:asciiTheme="majorHAnsi" w:hAnsiTheme="majorHAnsi" w:cstheme="majorHAnsi"/>
          <w:b/>
          <w:color w:val="000000"/>
          <w:szCs w:val="28"/>
        </w:rPr>
        <w:t>RAPOARTELOR</w:t>
      </w:r>
      <w:r w:rsidRPr="00FF5993">
        <w:rPr>
          <w:rFonts w:asciiTheme="majorHAnsi" w:hAnsiTheme="majorHAnsi" w:cstheme="majorHAnsi"/>
          <w:b/>
          <w:color w:val="000000" w:themeColor="text1"/>
          <w:szCs w:val="28"/>
        </w:rPr>
        <w:t xml:space="preserve"> FINANCIARE</w:t>
      </w:r>
    </w:p>
    <w:p w:rsidR="00F368DE" w:rsidRPr="00FF5993" w:rsidRDefault="00F368DE" w:rsidP="00D67181">
      <w:pPr>
        <w:tabs>
          <w:tab w:val="left" w:pos="90"/>
        </w:tabs>
        <w:autoSpaceDE w:val="0"/>
        <w:autoSpaceDN w:val="0"/>
        <w:adjustRightInd w:val="0"/>
        <w:spacing w:after="120" w:line="276" w:lineRule="auto"/>
        <w:rPr>
          <w:rFonts w:asciiTheme="majorHAnsi" w:hAnsiTheme="majorHAnsi" w:cstheme="minorHAnsi"/>
          <w:sz w:val="24"/>
          <w:szCs w:val="24"/>
        </w:rPr>
      </w:pPr>
      <w:r w:rsidRPr="00FF5993">
        <w:rPr>
          <w:rFonts w:asciiTheme="majorHAnsi" w:hAnsiTheme="majorHAnsi" w:cstheme="minorHAnsi"/>
          <w:sz w:val="24"/>
          <w:szCs w:val="24"/>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rsidR="00F368DE" w:rsidRPr="00FF5993" w:rsidRDefault="00F368DE" w:rsidP="00F368DE">
      <w:pPr>
        <w:tabs>
          <w:tab w:val="left" w:pos="90"/>
        </w:tabs>
        <w:autoSpaceDE w:val="0"/>
        <w:autoSpaceDN w:val="0"/>
        <w:adjustRightInd w:val="0"/>
        <w:spacing w:after="0" w:line="276" w:lineRule="auto"/>
        <w:rPr>
          <w:rFonts w:asciiTheme="majorHAnsi" w:hAnsiTheme="majorHAnsi" w:cstheme="minorHAnsi"/>
          <w:sz w:val="24"/>
          <w:szCs w:val="24"/>
        </w:rPr>
      </w:pPr>
      <w:r w:rsidRPr="00FF5993">
        <w:rPr>
          <w:rFonts w:asciiTheme="majorHAnsi" w:hAnsiTheme="majorHAnsi" w:cstheme="minorHAnsi"/>
          <w:sz w:val="24"/>
          <w:szCs w:val="24"/>
        </w:rPr>
        <w:t xml:space="preserve">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rsidR="00F368DE" w:rsidRPr="00FF5993" w:rsidRDefault="00F368DE" w:rsidP="00F368DE">
      <w:pPr>
        <w:tabs>
          <w:tab w:val="left" w:pos="90"/>
        </w:tabs>
        <w:autoSpaceDE w:val="0"/>
        <w:autoSpaceDN w:val="0"/>
        <w:adjustRightInd w:val="0"/>
        <w:spacing w:after="0" w:line="276" w:lineRule="auto"/>
        <w:rPr>
          <w:rFonts w:asciiTheme="majorHAnsi" w:hAnsiTheme="majorHAnsi" w:cstheme="minorHAnsi"/>
          <w:sz w:val="24"/>
          <w:szCs w:val="24"/>
        </w:rPr>
      </w:pPr>
      <w:r w:rsidRPr="00FF5993">
        <w:rPr>
          <w:rFonts w:asciiTheme="majorHAnsi" w:hAnsiTheme="majorHAnsi" w:cstheme="minorHAnsi"/>
          <w:sz w:val="24"/>
          <w:szCs w:val="24"/>
        </w:rPr>
        <w:lastRenderedPageBreak/>
        <w:t xml:space="preserve">O descriere suplimentară a responsabilităților auditorului într-un audit al rapoartelor financiare este plasată pe site-ul </w:t>
      </w:r>
      <w:proofErr w:type="spellStart"/>
      <w:r w:rsidRPr="00FF5993">
        <w:rPr>
          <w:rFonts w:asciiTheme="majorHAnsi" w:hAnsiTheme="majorHAnsi" w:cstheme="minorHAnsi"/>
          <w:sz w:val="24"/>
          <w:szCs w:val="24"/>
        </w:rPr>
        <w:t>Curţii</w:t>
      </w:r>
      <w:proofErr w:type="spellEnd"/>
      <w:r w:rsidRPr="00FF5993">
        <w:rPr>
          <w:rFonts w:asciiTheme="majorHAnsi" w:hAnsiTheme="majorHAnsi" w:cstheme="minorHAnsi"/>
          <w:sz w:val="24"/>
          <w:szCs w:val="24"/>
        </w:rPr>
        <w:t xml:space="preserve"> de Conturi, la adresa:</w:t>
      </w:r>
      <w:r w:rsidRPr="00FF5993">
        <w:rPr>
          <w:rFonts w:asciiTheme="majorHAnsi" w:hAnsiTheme="majorHAnsi"/>
        </w:rPr>
        <w:t xml:space="preserve"> </w:t>
      </w:r>
      <w:hyperlink r:id="rId9" w:history="1">
        <w:r w:rsidRPr="00FF5993">
          <w:rPr>
            <w:rStyle w:val="a4"/>
            <w:rFonts w:asciiTheme="majorHAnsi" w:hAnsiTheme="majorHAnsi" w:cstheme="majorHAnsi"/>
            <w:i/>
            <w:sz w:val="24"/>
            <w:szCs w:val="24"/>
          </w:rPr>
          <w:t>http://www.ccrm.md/activitatea-curtii-de-conturi-1-25</w:t>
        </w:r>
      </w:hyperlink>
      <w:r w:rsidRPr="00FF5993">
        <w:rPr>
          <w:rFonts w:asciiTheme="majorHAnsi" w:hAnsiTheme="majorHAnsi" w:cstheme="majorHAnsi"/>
          <w:sz w:val="24"/>
          <w:szCs w:val="24"/>
        </w:rPr>
        <w:t xml:space="preserve"> </w:t>
      </w:r>
      <w:r w:rsidRPr="00FF5993">
        <w:rPr>
          <w:rFonts w:asciiTheme="majorHAnsi" w:hAnsiTheme="majorHAnsi" w:cstheme="majorHAnsi"/>
          <w:i/>
          <w:sz w:val="24"/>
          <w:szCs w:val="24"/>
        </w:rPr>
        <w:t>.</w:t>
      </w:r>
      <w:r w:rsidRPr="00FF5993">
        <w:rPr>
          <w:rFonts w:asciiTheme="majorHAnsi" w:hAnsiTheme="majorHAnsi" w:cstheme="majorHAnsi"/>
          <w:sz w:val="24"/>
          <w:szCs w:val="24"/>
        </w:rPr>
        <w:t xml:space="preserve"> Această descriere face parte din </w:t>
      </w:r>
      <w:r>
        <w:rPr>
          <w:rFonts w:asciiTheme="majorHAnsi" w:hAnsiTheme="majorHAnsi" w:cstheme="majorHAnsi"/>
          <w:sz w:val="24"/>
          <w:szCs w:val="24"/>
        </w:rPr>
        <w:t>R</w:t>
      </w:r>
      <w:r w:rsidRPr="00FF5993">
        <w:rPr>
          <w:rFonts w:asciiTheme="majorHAnsi" w:hAnsiTheme="majorHAnsi" w:cstheme="majorHAnsi"/>
          <w:sz w:val="24"/>
          <w:szCs w:val="24"/>
        </w:rPr>
        <w:t>apo</w:t>
      </w:r>
      <w:r w:rsidRPr="00FF5993">
        <w:rPr>
          <w:rFonts w:asciiTheme="majorHAnsi" w:hAnsiTheme="majorHAnsi" w:cstheme="minorHAnsi"/>
          <w:sz w:val="24"/>
          <w:szCs w:val="24"/>
        </w:rPr>
        <w:t>rtul nostru de audit.</w:t>
      </w:r>
    </w:p>
    <w:p w:rsidR="00F368DE" w:rsidRDefault="00F368DE" w:rsidP="00F368DE">
      <w:pPr>
        <w:tabs>
          <w:tab w:val="left" w:pos="90"/>
        </w:tabs>
        <w:autoSpaceDE w:val="0"/>
        <w:autoSpaceDN w:val="0"/>
        <w:adjustRightInd w:val="0"/>
        <w:spacing w:after="0" w:line="276" w:lineRule="auto"/>
        <w:rPr>
          <w:rFonts w:asciiTheme="majorHAnsi" w:hAnsiTheme="majorHAnsi" w:cstheme="minorHAnsi"/>
          <w:sz w:val="24"/>
          <w:szCs w:val="24"/>
        </w:rPr>
      </w:pPr>
    </w:p>
    <w:p w:rsidR="00D67181" w:rsidRPr="00FF5993" w:rsidRDefault="00D67181" w:rsidP="00F368DE">
      <w:pPr>
        <w:tabs>
          <w:tab w:val="left" w:pos="90"/>
        </w:tabs>
        <w:autoSpaceDE w:val="0"/>
        <w:autoSpaceDN w:val="0"/>
        <w:adjustRightInd w:val="0"/>
        <w:spacing w:after="0" w:line="276" w:lineRule="auto"/>
        <w:rPr>
          <w:rFonts w:asciiTheme="majorHAnsi" w:hAnsiTheme="majorHAnsi" w:cstheme="minorHAnsi"/>
          <w:sz w:val="24"/>
          <w:szCs w:val="24"/>
        </w:rPr>
      </w:pPr>
    </w:p>
    <w:p w:rsidR="00F368DE" w:rsidRPr="00FF5993" w:rsidRDefault="00F368DE" w:rsidP="00F368DE">
      <w:pPr>
        <w:tabs>
          <w:tab w:val="left" w:pos="90"/>
        </w:tabs>
        <w:autoSpaceDE w:val="0"/>
        <w:autoSpaceDN w:val="0"/>
        <w:adjustRightInd w:val="0"/>
        <w:spacing w:after="0" w:line="276" w:lineRule="auto"/>
        <w:rPr>
          <w:rFonts w:asciiTheme="majorHAnsi" w:hAnsiTheme="majorHAnsi" w:cstheme="minorHAnsi"/>
          <w:b/>
          <w:i/>
          <w:sz w:val="24"/>
          <w:szCs w:val="24"/>
        </w:rPr>
      </w:pPr>
      <w:r w:rsidRPr="00FF5993">
        <w:rPr>
          <w:rFonts w:asciiTheme="majorHAnsi" w:hAnsiTheme="majorHAnsi" w:cstheme="minorHAnsi"/>
          <w:b/>
          <w:i/>
          <w:sz w:val="24"/>
          <w:szCs w:val="24"/>
        </w:rPr>
        <w:t>Responsabil de întocmirea Raportului de audit:</w:t>
      </w:r>
    </w:p>
    <w:p w:rsidR="00F368DE" w:rsidRPr="00FF5993" w:rsidRDefault="00F368DE" w:rsidP="00F368DE">
      <w:pPr>
        <w:tabs>
          <w:tab w:val="left" w:pos="90"/>
        </w:tabs>
        <w:autoSpaceDE w:val="0"/>
        <w:autoSpaceDN w:val="0"/>
        <w:adjustRightInd w:val="0"/>
        <w:spacing w:after="0" w:line="276" w:lineRule="auto"/>
        <w:rPr>
          <w:rFonts w:asciiTheme="majorHAnsi" w:hAnsiTheme="majorHAnsi" w:cstheme="minorHAnsi"/>
          <w:b/>
          <w:sz w:val="24"/>
          <w:szCs w:val="24"/>
        </w:rPr>
      </w:pPr>
      <w:r>
        <w:rPr>
          <w:rFonts w:asciiTheme="majorHAnsi" w:hAnsiTheme="majorHAnsi" w:cstheme="minorHAnsi"/>
          <w:sz w:val="24"/>
          <w:szCs w:val="24"/>
        </w:rPr>
        <w:t>ș</w:t>
      </w:r>
      <w:r w:rsidRPr="00FF5993">
        <w:rPr>
          <w:rFonts w:asciiTheme="majorHAnsi" w:hAnsiTheme="majorHAnsi" w:cstheme="minorHAnsi"/>
          <w:sz w:val="24"/>
          <w:szCs w:val="24"/>
        </w:rPr>
        <w:t xml:space="preserve">eful echipei de audit, auditor public principal                                                                     </w:t>
      </w:r>
      <w:r w:rsidRPr="00FF5993">
        <w:rPr>
          <w:rFonts w:asciiTheme="majorHAnsi" w:hAnsiTheme="majorHAnsi" w:cstheme="minorHAnsi"/>
          <w:b/>
          <w:sz w:val="24"/>
          <w:szCs w:val="24"/>
        </w:rPr>
        <w:t>Tudor Suhan</w:t>
      </w:r>
    </w:p>
    <w:p w:rsidR="00F368DE" w:rsidRPr="00FF5993" w:rsidRDefault="00F368DE" w:rsidP="00F368DE">
      <w:pPr>
        <w:tabs>
          <w:tab w:val="left" w:pos="90"/>
        </w:tabs>
        <w:autoSpaceDE w:val="0"/>
        <w:autoSpaceDN w:val="0"/>
        <w:adjustRightInd w:val="0"/>
        <w:spacing w:after="0" w:line="276" w:lineRule="auto"/>
        <w:rPr>
          <w:rFonts w:asciiTheme="majorHAnsi" w:hAnsiTheme="majorHAnsi" w:cstheme="minorHAnsi"/>
          <w:b/>
          <w:sz w:val="24"/>
          <w:szCs w:val="24"/>
        </w:rPr>
      </w:pPr>
    </w:p>
    <w:p w:rsidR="00F368DE" w:rsidRPr="00FF5993" w:rsidRDefault="00F368DE" w:rsidP="00F368DE">
      <w:pPr>
        <w:tabs>
          <w:tab w:val="left" w:pos="90"/>
        </w:tabs>
        <w:autoSpaceDE w:val="0"/>
        <w:autoSpaceDN w:val="0"/>
        <w:adjustRightInd w:val="0"/>
        <w:spacing w:after="0" w:line="276" w:lineRule="auto"/>
        <w:rPr>
          <w:rFonts w:asciiTheme="majorHAnsi" w:hAnsiTheme="majorHAnsi" w:cstheme="minorHAnsi"/>
          <w:b/>
          <w:i/>
          <w:sz w:val="24"/>
          <w:szCs w:val="24"/>
        </w:rPr>
      </w:pPr>
      <w:r w:rsidRPr="00FF5993">
        <w:rPr>
          <w:rFonts w:asciiTheme="majorHAnsi" w:hAnsiTheme="majorHAnsi" w:cstheme="minorHAnsi"/>
          <w:b/>
          <w:i/>
          <w:sz w:val="24"/>
          <w:szCs w:val="24"/>
        </w:rPr>
        <w:t>Membrii echipei de audit:</w:t>
      </w:r>
    </w:p>
    <w:p w:rsidR="00F368DE" w:rsidRPr="00FF5993" w:rsidRDefault="00F368DE" w:rsidP="00F368DE">
      <w:pPr>
        <w:tabs>
          <w:tab w:val="left" w:pos="90"/>
        </w:tabs>
        <w:autoSpaceDE w:val="0"/>
        <w:autoSpaceDN w:val="0"/>
        <w:adjustRightInd w:val="0"/>
        <w:spacing w:after="0" w:line="276" w:lineRule="auto"/>
        <w:rPr>
          <w:rFonts w:asciiTheme="majorHAnsi" w:hAnsiTheme="majorHAnsi" w:cstheme="minorHAnsi"/>
          <w:b/>
          <w:sz w:val="24"/>
          <w:szCs w:val="24"/>
        </w:rPr>
      </w:pPr>
      <w:r>
        <w:rPr>
          <w:rFonts w:asciiTheme="majorHAnsi" w:hAnsiTheme="majorHAnsi" w:cstheme="minorHAnsi"/>
          <w:sz w:val="24"/>
          <w:szCs w:val="24"/>
        </w:rPr>
        <w:t>a</w:t>
      </w:r>
      <w:r w:rsidRPr="00FF5993">
        <w:rPr>
          <w:rFonts w:asciiTheme="majorHAnsi" w:hAnsiTheme="majorHAnsi" w:cstheme="minorHAnsi"/>
          <w:sz w:val="24"/>
          <w:szCs w:val="24"/>
        </w:rPr>
        <w:t xml:space="preserve">uditor public superior                                                                                                           </w:t>
      </w:r>
      <w:r w:rsidRPr="00FF5993">
        <w:rPr>
          <w:rFonts w:asciiTheme="majorHAnsi" w:hAnsiTheme="majorHAnsi" w:cstheme="minorHAnsi"/>
          <w:b/>
          <w:sz w:val="24"/>
          <w:szCs w:val="24"/>
        </w:rPr>
        <w:t>Natalia Cabac</w:t>
      </w:r>
    </w:p>
    <w:p w:rsidR="00F368DE" w:rsidRPr="00FF5993" w:rsidRDefault="00F368DE" w:rsidP="00F368DE">
      <w:pPr>
        <w:tabs>
          <w:tab w:val="left" w:pos="90"/>
        </w:tabs>
        <w:autoSpaceDE w:val="0"/>
        <w:autoSpaceDN w:val="0"/>
        <w:adjustRightInd w:val="0"/>
        <w:spacing w:after="0" w:line="276" w:lineRule="auto"/>
        <w:rPr>
          <w:rFonts w:asciiTheme="majorHAnsi" w:hAnsiTheme="majorHAnsi" w:cstheme="minorHAnsi"/>
          <w:b/>
          <w:sz w:val="24"/>
          <w:szCs w:val="24"/>
        </w:rPr>
      </w:pPr>
    </w:p>
    <w:p w:rsidR="00F368DE" w:rsidRPr="00FF5993" w:rsidRDefault="00F368DE" w:rsidP="00F368DE">
      <w:pPr>
        <w:tabs>
          <w:tab w:val="left" w:pos="90"/>
        </w:tabs>
        <w:autoSpaceDE w:val="0"/>
        <w:autoSpaceDN w:val="0"/>
        <w:adjustRightInd w:val="0"/>
        <w:spacing w:after="0" w:line="276" w:lineRule="auto"/>
        <w:rPr>
          <w:rFonts w:asciiTheme="majorHAnsi" w:hAnsiTheme="majorHAnsi" w:cstheme="minorHAnsi"/>
          <w:b/>
          <w:sz w:val="24"/>
          <w:szCs w:val="24"/>
        </w:rPr>
      </w:pPr>
      <w:r w:rsidRPr="00FF5993">
        <w:rPr>
          <w:rFonts w:asciiTheme="majorHAnsi" w:hAnsiTheme="majorHAnsi" w:cstheme="minorHAnsi"/>
          <w:b/>
          <w:sz w:val="24"/>
          <w:szCs w:val="24"/>
        </w:rPr>
        <w:t>Responsabil de audit</w:t>
      </w:r>
    </w:p>
    <w:p w:rsidR="00F368DE" w:rsidRPr="00FF5993" w:rsidRDefault="00F368DE" w:rsidP="00F368DE">
      <w:pPr>
        <w:tabs>
          <w:tab w:val="left" w:pos="90"/>
        </w:tabs>
        <w:autoSpaceDE w:val="0"/>
        <w:autoSpaceDN w:val="0"/>
        <w:adjustRightInd w:val="0"/>
        <w:spacing w:after="0" w:line="276" w:lineRule="auto"/>
        <w:rPr>
          <w:rFonts w:asciiTheme="majorHAnsi" w:hAnsiTheme="majorHAnsi" w:cstheme="minorHAnsi"/>
          <w:b/>
          <w:sz w:val="24"/>
          <w:szCs w:val="24"/>
        </w:rPr>
      </w:pPr>
      <w:r>
        <w:rPr>
          <w:rFonts w:asciiTheme="majorHAnsi" w:hAnsiTheme="majorHAnsi" w:cstheme="minorHAnsi"/>
          <w:sz w:val="24"/>
          <w:szCs w:val="24"/>
        </w:rPr>
        <w:t>ș</w:t>
      </w:r>
      <w:r w:rsidRPr="00FF5993">
        <w:rPr>
          <w:rFonts w:asciiTheme="majorHAnsi" w:hAnsiTheme="majorHAnsi" w:cstheme="minorHAnsi"/>
          <w:sz w:val="24"/>
          <w:szCs w:val="24"/>
        </w:rPr>
        <w:t xml:space="preserve">eful Direcției generale de audit I, auditor public                                                                </w:t>
      </w:r>
      <w:r w:rsidRPr="00FF5993">
        <w:rPr>
          <w:rFonts w:asciiTheme="majorHAnsi" w:hAnsiTheme="majorHAnsi" w:cstheme="minorHAnsi"/>
          <w:b/>
          <w:sz w:val="24"/>
          <w:szCs w:val="24"/>
        </w:rPr>
        <w:t>Natalia Trofim</w:t>
      </w:r>
    </w:p>
    <w:p w:rsidR="00F368DE" w:rsidRPr="00FF5993" w:rsidRDefault="00F368DE" w:rsidP="00F368DE">
      <w:pPr>
        <w:tabs>
          <w:tab w:val="left" w:pos="90"/>
        </w:tabs>
        <w:autoSpaceDE w:val="0"/>
        <w:autoSpaceDN w:val="0"/>
        <w:adjustRightInd w:val="0"/>
        <w:spacing w:after="0" w:line="276" w:lineRule="auto"/>
        <w:rPr>
          <w:rFonts w:asciiTheme="majorHAnsi" w:hAnsiTheme="majorHAnsi" w:cstheme="minorHAnsi"/>
          <w:i/>
          <w:sz w:val="24"/>
          <w:szCs w:val="24"/>
        </w:rPr>
      </w:pPr>
    </w:p>
    <w:p w:rsidR="00F368DE" w:rsidRPr="00FF5993" w:rsidRDefault="00F368DE" w:rsidP="00F368DE">
      <w:pPr>
        <w:tabs>
          <w:tab w:val="left" w:pos="90"/>
        </w:tabs>
        <w:autoSpaceDE w:val="0"/>
        <w:autoSpaceDN w:val="0"/>
        <w:adjustRightInd w:val="0"/>
        <w:spacing w:after="0" w:line="276" w:lineRule="auto"/>
        <w:rPr>
          <w:rFonts w:asciiTheme="majorHAnsi" w:hAnsiTheme="majorHAnsi" w:cstheme="minorHAnsi"/>
          <w:i/>
          <w:sz w:val="24"/>
          <w:szCs w:val="24"/>
        </w:rPr>
      </w:pPr>
    </w:p>
    <w:p w:rsidR="00F368DE" w:rsidRPr="00FF5993" w:rsidRDefault="00F368DE" w:rsidP="00F368DE">
      <w:pPr>
        <w:tabs>
          <w:tab w:val="left" w:pos="90"/>
        </w:tabs>
        <w:spacing w:line="276" w:lineRule="auto"/>
        <w:ind w:right="-24"/>
        <w:rPr>
          <w:rFonts w:asciiTheme="majorHAnsi" w:hAnsiTheme="majorHAnsi"/>
        </w:rPr>
      </w:pPr>
    </w:p>
    <w:p w:rsidR="00F368DE" w:rsidRPr="00FF5993" w:rsidRDefault="00F368DE" w:rsidP="00F368DE">
      <w:pPr>
        <w:tabs>
          <w:tab w:val="left" w:pos="90"/>
        </w:tabs>
        <w:rPr>
          <w:rFonts w:asciiTheme="majorHAnsi" w:hAnsiTheme="majorHAnsi"/>
        </w:rPr>
      </w:pPr>
    </w:p>
    <w:p w:rsidR="00F368DE" w:rsidRPr="00FF5993" w:rsidRDefault="00F368DE" w:rsidP="00F368DE">
      <w:pPr>
        <w:rPr>
          <w:rFonts w:asciiTheme="majorHAnsi" w:hAnsiTheme="majorHAnsi"/>
        </w:rPr>
      </w:pPr>
    </w:p>
    <w:p w:rsidR="00836E12" w:rsidRDefault="00836E12"/>
    <w:sectPr w:rsidR="00836E12" w:rsidSect="00705B41">
      <w:headerReference w:type="default" r:id="rId10"/>
      <w:footerReference w:type="default" r:id="rId11"/>
      <w:pgSz w:w="11906" w:h="16838" w:code="9"/>
      <w:pgMar w:top="630" w:right="850" w:bottom="1134" w:left="1701" w:header="708" w:footer="708" w:gutter="0"/>
      <w:pgNumType w:start="1" w:chapStyle="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DA9" w:rsidRDefault="001E0DA9" w:rsidP="00F368DE">
      <w:pPr>
        <w:spacing w:after="0" w:line="240" w:lineRule="auto"/>
      </w:pPr>
      <w:r>
        <w:separator/>
      </w:r>
    </w:p>
  </w:endnote>
  <w:endnote w:type="continuationSeparator" w:id="0">
    <w:p w:rsidR="001E0DA9" w:rsidRDefault="001E0DA9" w:rsidP="00F3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218349"/>
      <w:docPartObj>
        <w:docPartGallery w:val="Page Numbers (Bottom of Page)"/>
        <w:docPartUnique/>
      </w:docPartObj>
    </w:sdtPr>
    <w:sdtEndPr>
      <w:rPr>
        <w:noProof/>
      </w:rPr>
    </w:sdtEndPr>
    <w:sdtContent>
      <w:p w:rsidR="004316AA" w:rsidRDefault="00FC308B">
        <w:pPr>
          <w:pStyle w:val="a8"/>
          <w:jc w:val="right"/>
        </w:pPr>
        <w:r>
          <w:fldChar w:fldCharType="begin"/>
        </w:r>
        <w:r>
          <w:instrText xml:space="preserve"> PAGE   \* MERGEFORMAT </w:instrText>
        </w:r>
        <w:r>
          <w:fldChar w:fldCharType="separate"/>
        </w:r>
        <w:r w:rsidR="001A01D5">
          <w:rPr>
            <w:noProof/>
          </w:rPr>
          <w:t>6</w:t>
        </w:r>
        <w:r>
          <w:rPr>
            <w:noProof/>
          </w:rPr>
          <w:fldChar w:fldCharType="end"/>
        </w:r>
      </w:p>
    </w:sdtContent>
  </w:sdt>
  <w:p w:rsidR="004316AA" w:rsidRDefault="001E0D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DA9" w:rsidRDefault="001E0DA9" w:rsidP="00F368DE">
      <w:pPr>
        <w:spacing w:after="0" w:line="240" w:lineRule="auto"/>
      </w:pPr>
      <w:r>
        <w:separator/>
      </w:r>
    </w:p>
  </w:footnote>
  <w:footnote w:type="continuationSeparator" w:id="0">
    <w:p w:rsidR="001E0DA9" w:rsidRDefault="001E0DA9" w:rsidP="00F368DE">
      <w:pPr>
        <w:spacing w:after="0" w:line="240" w:lineRule="auto"/>
      </w:pPr>
      <w:r>
        <w:continuationSeparator/>
      </w:r>
    </w:p>
  </w:footnote>
  <w:footnote w:id="1">
    <w:p w:rsidR="00F368DE" w:rsidRPr="001256DC" w:rsidRDefault="00F368DE" w:rsidP="00F368DE">
      <w:pPr>
        <w:pStyle w:val="a5"/>
        <w:rPr>
          <w:rFonts w:asciiTheme="majorHAnsi" w:hAnsiTheme="majorHAnsi" w:cstheme="majorHAnsi"/>
          <w:sz w:val="16"/>
          <w:szCs w:val="16"/>
          <w:lang w:val="ro-RO"/>
        </w:rPr>
      </w:pPr>
      <w:r w:rsidRPr="001256DC">
        <w:rPr>
          <w:rStyle w:val="a7"/>
          <w:rFonts w:asciiTheme="majorHAnsi" w:hAnsiTheme="majorHAnsi" w:cstheme="majorHAnsi"/>
          <w:sz w:val="16"/>
          <w:szCs w:val="16"/>
        </w:rPr>
        <w:footnoteRef/>
      </w:r>
      <w:r w:rsidRPr="001256DC">
        <w:rPr>
          <w:rFonts w:asciiTheme="majorHAnsi" w:hAnsiTheme="majorHAnsi" w:cstheme="majorHAnsi"/>
          <w:sz w:val="16"/>
          <w:szCs w:val="16"/>
        </w:rPr>
        <w:t xml:space="preserve"> </w:t>
      </w:r>
      <w:r w:rsidRPr="001256DC">
        <w:rPr>
          <w:rFonts w:asciiTheme="majorHAnsi" w:eastAsia="Times New Roman" w:hAnsiTheme="majorHAnsi" w:cstheme="majorHAnsi"/>
          <w:sz w:val="16"/>
          <w:szCs w:val="16"/>
          <w:lang w:val="ro-MD"/>
        </w:rPr>
        <w:t xml:space="preserve">Legea contabilității nr.113-XVI din 27.04.2007; Ordinul ministrului finanțelor nr. 216 din 28.12.2015 „Cu privire la aprobarea Planului de conturi contabile în sistemul bugetar și a Normelor metodologice privind evidența contabilă și raportarea financiară în sistemul bugetar” </w:t>
      </w:r>
      <w:r w:rsidRPr="004B5350">
        <w:rPr>
          <w:rFonts w:asciiTheme="majorHAnsi" w:eastAsia="Times New Roman" w:hAnsiTheme="majorHAnsi" w:cstheme="majorHAnsi"/>
          <w:sz w:val="16"/>
          <w:szCs w:val="16"/>
          <w:lang w:val="ro-MD"/>
        </w:rPr>
        <w:t xml:space="preserve">(în continuare </w:t>
      </w:r>
      <w:r>
        <w:rPr>
          <w:rFonts w:asciiTheme="majorHAnsi" w:eastAsia="Times New Roman" w:hAnsiTheme="majorHAnsi" w:cstheme="majorHAnsi"/>
          <w:sz w:val="16"/>
          <w:szCs w:val="16"/>
          <w:lang w:val="ro-MD"/>
        </w:rPr>
        <w:t>-</w:t>
      </w:r>
      <w:r w:rsidRPr="004B5350">
        <w:rPr>
          <w:rFonts w:asciiTheme="majorHAnsi" w:eastAsia="Times New Roman" w:hAnsiTheme="majorHAnsi" w:cstheme="majorHAnsi"/>
          <w:sz w:val="16"/>
          <w:szCs w:val="16"/>
          <w:lang w:val="ro-MD"/>
        </w:rPr>
        <w:t xml:space="preserve"> Normele metodologice privind evidența contabilă și raportarea financiară în sistemul bugetar, aprobate prin Ordinul </w:t>
      </w:r>
      <w:r>
        <w:rPr>
          <w:rFonts w:asciiTheme="majorHAnsi" w:eastAsia="Times New Roman" w:hAnsiTheme="majorHAnsi" w:cstheme="majorHAnsi"/>
          <w:sz w:val="16"/>
          <w:szCs w:val="16"/>
          <w:lang w:val="ro-MD"/>
        </w:rPr>
        <w:t>ministrului finanțelor</w:t>
      </w:r>
      <w:r w:rsidRPr="004B5350">
        <w:rPr>
          <w:rFonts w:asciiTheme="majorHAnsi" w:eastAsia="Times New Roman" w:hAnsiTheme="majorHAnsi" w:cstheme="majorHAnsi"/>
          <w:sz w:val="16"/>
          <w:szCs w:val="16"/>
          <w:lang w:val="ro-MD"/>
        </w:rPr>
        <w:t xml:space="preserve"> nr. 216 din 28.12.2015</w:t>
      </w:r>
      <w:r>
        <w:rPr>
          <w:rFonts w:asciiTheme="majorHAnsi" w:eastAsia="Times New Roman" w:hAnsiTheme="majorHAnsi" w:cstheme="majorHAnsi"/>
          <w:sz w:val="16"/>
          <w:szCs w:val="16"/>
          <w:lang w:val="ro-MD"/>
        </w:rPr>
        <w:t>)</w:t>
      </w:r>
      <w:r w:rsidRPr="004B5350">
        <w:rPr>
          <w:rFonts w:asciiTheme="majorHAnsi" w:eastAsia="Times New Roman" w:hAnsiTheme="majorHAnsi" w:cstheme="majorHAnsi"/>
          <w:sz w:val="16"/>
          <w:szCs w:val="16"/>
          <w:lang w:val="ro-MD"/>
        </w:rPr>
        <w:t>;</w:t>
      </w:r>
      <w:r w:rsidRPr="004B5350">
        <w:rPr>
          <w:rFonts w:asciiTheme="majorHAnsi" w:eastAsia="Times New Roman" w:hAnsiTheme="majorHAnsi" w:cstheme="majorHAnsi"/>
          <w:sz w:val="16"/>
          <w:szCs w:val="16"/>
          <w:lang w:val="ro-RO"/>
        </w:rPr>
        <w:t xml:space="preserve"> </w:t>
      </w:r>
      <w:r w:rsidRPr="001256DC">
        <w:rPr>
          <w:rFonts w:asciiTheme="majorHAnsi" w:eastAsia="Times New Roman" w:hAnsiTheme="majorHAnsi" w:cstheme="majorHAnsi"/>
          <w:sz w:val="16"/>
          <w:szCs w:val="16"/>
          <w:lang w:val="ro-RO"/>
        </w:rPr>
        <w:t>Ordinul ministrului finanțelor nr.164 din 30.12.2016 „Cu privire la aprobarea Cerințelor la întocmirea Raportului narativ privind executarea bugetelor autorităților/instituțiilor bugetare”.</w:t>
      </w:r>
      <w:r w:rsidRPr="001256DC">
        <w:rPr>
          <w:rFonts w:asciiTheme="majorHAnsi" w:hAnsiTheme="majorHAnsi" w:cstheme="majorHAnsi"/>
          <w:sz w:val="16"/>
          <w:szCs w:val="16"/>
          <w:lang w:val="ro-RO"/>
        </w:rPr>
        <w:t xml:space="preserve"> </w:t>
      </w:r>
    </w:p>
  </w:footnote>
  <w:footnote w:id="2">
    <w:p w:rsidR="00F368DE" w:rsidRPr="001256DC" w:rsidRDefault="00F368DE" w:rsidP="00F368DE">
      <w:pPr>
        <w:pStyle w:val="a5"/>
        <w:rPr>
          <w:rFonts w:asciiTheme="majorHAnsi" w:eastAsia="Times New Roman" w:hAnsiTheme="majorHAnsi" w:cstheme="majorHAnsi"/>
          <w:sz w:val="16"/>
          <w:szCs w:val="16"/>
          <w:lang w:val="ro-MD"/>
        </w:rPr>
      </w:pPr>
      <w:r w:rsidRPr="001256DC">
        <w:rPr>
          <w:rStyle w:val="a7"/>
          <w:rFonts w:asciiTheme="majorHAnsi" w:hAnsiTheme="majorHAnsi" w:cstheme="majorHAnsi"/>
          <w:sz w:val="16"/>
          <w:szCs w:val="16"/>
          <w:lang w:val="ro-RO"/>
        </w:rPr>
        <w:footnoteRef/>
      </w:r>
      <w:r w:rsidRPr="001256DC">
        <w:rPr>
          <w:rFonts w:asciiTheme="majorHAnsi" w:hAnsiTheme="majorHAnsi" w:cstheme="majorHAnsi"/>
          <w:sz w:val="16"/>
          <w:szCs w:val="16"/>
          <w:lang w:val="ro-RO"/>
        </w:rPr>
        <w:t xml:space="preserve"> </w:t>
      </w:r>
      <w:r>
        <w:rPr>
          <w:rFonts w:asciiTheme="majorHAnsi" w:eastAsia="Times New Roman" w:hAnsiTheme="majorHAnsi" w:cstheme="majorHAnsi"/>
          <w:sz w:val="16"/>
          <w:szCs w:val="16"/>
          <w:lang w:val="ro-RO"/>
        </w:rPr>
        <w:t>Hotărârea Curții de Conturi nr.</w:t>
      </w:r>
      <w:r w:rsidRPr="001256DC">
        <w:rPr>
          <w:rFonts w:asciiTheme="majorHAnsi" w:eastAsia="Times New Roman" w:hAnsiTheme="majorHAnsi" w:cstheme="majorHAnsi"/>
          <w:sz w:val="16"/>
          <w:szCs w:val="16"/>
          <w:lang w:val="ro-RO"/>
        </w:rPr>
        <w:t>2 din 24.01.2020„Cu privire la Cadrul Declarațiilor Profesionale ale INTOSAI”</w:t>
      </w:r>
      <w:r>
        <w:rPr>
          <w:rFonts w:asciiTheme="majorHAnsi" w:eastAsia="Times New Roman" w:hAnsiTheme="majorHAnsi" w:cstheme="majorHAnsi"/>
          <w:sz w:val="16"/>
          <w:szCs w:val="16"/>
          <w:lang w:val="ro-RO"/>
        </w:rPr>
        <w:t>.</w:t>
      </w:r>
      <w:r w:rsidRPr="001256DC">
        <w:rPr>
          <w:rFonts w:asciiTheme="majorHAnsi" w:eastAsia="Times New Roman" w:hAnsiTheme="majorHAnsi" w:cstheme="majorHAnsi"/>
          <w:sz w:val="16"/>
          <w:szCs w:val="16"/>
          <w:lang w:val="ro-RO"/>
        </w:rPr>
        <w:t xml:space="preserve">  </w:t>
      </w:r>
    </w:p>
  </w:footnote>
  <w:footnote w:id="3">
    <w:p w:rsidR="00F368DE" w:rsidRPr="001256DC" w:rsidRDefault="00F368DE" w:rsidP="00F368DE">
      <w:pPr>
        <w:pStyle w:val="a5"/>
        <w:rPr>
          <w:rFonts w:asciiTheme="majorHAnsi" w:hAnsiTheme="majorHAnsi" w:cstheme="majorHAnsi"/>
          <w:sz w:val="16"/>
          <w:szCs w:val="16"/>
        </w:rPr>
      </w:pPr>
      <w:r w:rsidRPr="001256DC">
        <w:rPr>
          <w:rStyle w:val="a7"/>
          <w:rFonts w:asciiTheme="majorHAnsi" w:hAnsiTheme="majorHAnsi" w:cstheme="majorHAnsi"/>
          <w:sz w:val="16"/>
          <w:szCs w:val="16"/>
        </w:rPr>
        <w:footnoteRef/>
      </w:r>
      <w:r>
        <w:rPr>
          <w:rFonts w:asciiTheme="majorHAnsi" w:eastAsia="Times New Roman" w:hAnsiTheme="majorHAnsi" w:cstheme="majorHAnsi"/>
          <w:sz w:val="16"/>
          <w:szCs w:val="16"/>
          <w:lang w:val="ro-MD"/>
        </w:rPr>
        <w:t xml:space="preserve"> </w:t>
      </w:r>
      <w:r w:rsidRPr="004B5350">
        <w:rPr>
          <w:rFonts w:asciiTheme="majorHAnsi" w:hAnsiTheme="majorHAnsi" w:cstheme="majorHAnsi"/>
          <w:sz w:val="16"/>
          <w:szCs w:val="16"/>
        </w:rPr>
        <w:t xml:space="preserve">Pct. 3.3 </w:t>
      </w:r>
      <w:r w:rsidRPr="004B5350">
        <w:rPr>
          <w:rFonts w:asciiTheme="majorHAnsi" w:hAnsiTheme="majorHAnsi" w:cstheme="majorHAnsi"/>
          <w:sz w:val="16"/>
          <w:szCs w:val="16"/>
          <w:lang w:val="ro-RO"/>
        </w:rPr>
        <w:t>și pct. 5.3.3 din</w:t>
      </w:r>
      <w:r w:rsidRPr="004B5350">
        <w:rPr>
          <w:rFonts w:asciiTheme="majorHAnsi" w:eastAsia="Times New Roman" w:hAnsiTheme="majorHAnsi" w:cstheme="majorHAnsi"/>
          <w:sz w:val="16"/>
          <w:szCs w:val="16"/>
          <w:lang w:val="ro-MD"/>
        </w:rPr>
        <w:t xml:space="preserve"> Normele metodologice privind evidența contabilă și raportarea financiară în sistemul bugeta</w:t>
      </w:r>
      <w:r>
        <w:rPr>
          <w:rFonts w:asciiTheme="majorHAnsi" w:eastAsia="Times New Roman" w:hAnsiTheme="majorHAnsi" w:cstheme="majorHAnsi"/>
          <w:sz w:val="16"/>
          <w:szCs w:val="16"/>
          <w:lang w:val="ro-MD"/>
        </w:rPr>
        <w:t>r, aprobate prin Ordinul ministrului finanțelor nr.</w:t>
      </w:r>
      <w:r w:rsidRPr="004B5350">
        <w:rPr>
          <w:rFonts w:asciiTheme="majorHAnsi" w:eastAsia="Times New Roman" w:hAnsiTheme="majorHAnsi" w:cstheme="majorHAnsi"/>
          <w:sz w:val="16"/>
          <w:szCs w:val="16"/>
          <w:lang w:val="ro-MD"/>
        </w:rPr>
        <w:t>216 din 28.12.2015</w:t>
      </w:r>
      <w:r>
        <w:rPr>
          <w:rFonts w:asciiTheme="majorHAnsi" w:eastAsia="Times New Roman" w:hAnsiTheme="majorHAnsi" w:cstheme="majorHAnsi"/>
          <w:color w:val="FF0000"/>
          <w:sz w:val="16"/>
          <w:szCs w:val="16"/>
          <w:lang w:val="ro-MD"/>
        </w:rPr>
        <w:t>.</w:t>
      </w:r>
      <w:r w:rsidRPr="001256DC">
        <w:rPr>
          <w:rFonts w:asciiTheme="majorHAnsi" w:hAnsiTheme="majorHAnsi" w:cstheme="majorHAnsi"/>
          <w:sz w:val="16"/>
          <w:szCs w:val="16"/>
        </w:rPr>
        <w:t xml:space="preserve"> </w:t>
      </w:r>
    </w:p>
  </w:footnote>
  <w:footnote w:id="4">
    <w:p w:rsidR="00F368DE" w:rsidRPr="001256DC" w:rsidRDefault="00F368DE" w:rsidP="00F368DE">
      <w:pPr>
        <w:pStyle w:val="a5"/>
        <w:rPr>
          <w:rFonts w:asciiTheme="majorHAnsi" w:hAnsiTheme="majorHAnsi" w:cstheme="majorHAnsi"/>
          <w:sz w:val="16"/>
          <w:szCs w:val="16"/>
        </w:rPr>
      </w:pPr>
      <w:r w:rsidRPr="001256DC">
        <w:rPr>
          <w:rStyle w:val="a7"/>
          <w:rFonts w:asciiTheme="majorHAnsi" w:hAnsiTheme="majorHAnsi" w:cstheme="majorHAnsi"/>
          <w:sz w:val="16"/>
          <w:szCs w:val="16"/>
        </w:rPr>
        <w:footnoteRef/>
      </w:r>
      <w:r w:rsidRPr="001256DC">
        <w:rPr>
          <w:rFonts w:asciiTheme="majorHAnsi" w:hAnsiTheme="majorHAnsi" w:cstheme="majorHAnsi"/>
          <w:sz w:val="16"/>
          <w:szCs w:val="16"/>
        </w:rPr>
        <w:t xml:space="preserve"> </w:t>
      </w:r>
      <w:r>
        <w:rPr>
          <w:rFonts w:asciiTheme="majorHAnsi" w:hAnsiTheme="majorHAnsi" w:cstheme="majorHAnsi"/>
          <w:sz w:val="16"/>
          <w:szCs w:val="16"/>
        </w:rPr>
        <w:t>Î</w:t>
      </w:r>
      <w:r w:rsidRPr="001256DC">
        <w:rPr>
          <w:rFonts w:asciiTheme="majorHAnsi" w:hAnsiTheme="majorHAnsi" w:cstheme="majorHAnsi"/>
          <w:iCs/>
          <w:color w:val="000000" w:themeColor="text1"/>
          <w:sz w:val="16"/>
          <w:szCs w:val="16"/>
          <w:shd w:val="clear" w:color="auto" w:fill="FFFFFF" w:themeFill="background1"/>
          <w:lang w:val="ro-RO"/>
        </w:rPr>
        <w:t xml:space="preserve">n </w:t>
      </w:r>
      <w:r w:rsidRPr="00F63A62">
        <w:rPr>
          <w:rFonts w:asciiTheme="majorHAnsi" w:hAnsiTheme="majorHAnsi" w:cstheme="majorHAnsi"/>
          <w:iCs/>
          <w:color w:val="000000" w:themeColor="text1"/>
          <w:sz w:val="16"/>
          <w:szCs w:val="16"/>
          <w:shd w:val="clear" w:color="auto" w:fill="FFFFFF" w:themeFill="background1"/>
          <w:lang w:val="ro-RO"/>
        </w:rPr>
        <w:t xml:space="preserve">interiorul </w:t>
      </w:r>
      <w:proofErr w:type="spellStart"/>
      <w:r>
        <w:rPr>
          <w:rFonts w:asciiTheme="majorHAnsi" w:eastAsia="Times New Roman" w:hAnsiTheme="majorHAnsi" w:cstheme="majorHAnsi"/>
          <w:bCs/>
          <w:sz w:val="16"/>
          <w:szCs w:val="16"/>
        </w:rPr>
        <w:t>s</w:t>
      </w:r>
      <w:r w:rsidRPr="00F63A62">
        <w:rPr>
          <w:rFonts w:asciiTheme="majorHAnsi" w:eastAsia="Times New Roman" w:hAnsiTheme="majorHAnsi" w:cstheme="majorHAnsi"/>
          <w:bCs/>
          <w:sz w:val="16"/>
          <w:szCs w:val="16"/>
        </w:rPr>
        <w:t>ubclasei</w:t>
      </w:r>
      <w:proofErr w:type="spellEnd"/>
      <w:r w:rsidRPr="00F63A62">
        <w:rPr>
          <w:rFonts w:asciiTheme="majorHAnsi" w:eastAsia="Times New Roman" w:hAnsiTheme="majorHAnsi" w:cstheme="majorHAnsi"/>
          <w:sz w:val="16"/>
          <w:szCs w:val="16"/>
        </w:rPr>
        <w:t xml:space="preserve"> </w:t>
      </w:r>
      <w:r w:rsidRPr="00F63A62">
        <w:rPr>
          <w:rFonts w:asciiTheme="majorHAnsi" w:eastAsia="Times New Roman" w:hAnsiTheme="majorHAnsi" w:cstheme="majorHAnsi"/>
          <w:bCs/>
          <w:sz w:val="16"/>
          <w:szCs w:val="16"/>
        </w:rPr>
        <w:t>31 „</w:t>
      </w:r>
      <w:proofErr w:type="spellStart"/>
      <w:r w:rsidRPr="00F63A62">
        <w:rPr>
          <w:rFonts w:asciiTheme="majorHAnsi" w:eastAsia="Times New Roman" w:hAnsiTheme="majorHAnsi" w:cstheme="majorHAnsi"/>
          <w:bCs/>
          <w:sz w:val="16"/>
          <w:szCs w:val="16"/>
        </w:rPr>
        <w:t>Mijloace</w:t>
      </w:r>
      <w:proofErr w:type="spellEnd"/>
      <w:r w:rsidRPr="00F63A62">
        <w:rPr>
          <w:rFonts w:asciiTheme="majorHAnsi" w:eastAsia="Times New Roman" w:hAnsiTheme="majorHAnsi" w:cstheme="majorHAnsi"/>
          <w:bCs/>
          <w:sz w:val="16"/>
          <w:szCs w:val="16"/>
        </w:rPr>
        <w:t xml:space="preserve"> fixe</w:t>
      </w:r>
      <w:r>
        <w:rPr>
          <w:rFonts w:asciiTheme="majorHAnsi" w:hAnsiTheme="majorHAnsi" w:cstheme="majorHAnsi"/>
          <w:iCs/>
          <w:color w:val="000000" w:themeColor="text1"/>
          <w:sz w:val="16"/>
          <w:szCs w:val="16"/>
          <w:shd w:val="clear" w:color="auto" w:fill="FFFFFF" w:themeFill="background1"/>
          <w:lang w:val="ro-RO"/>
        </w:rPr>
        <w:t>”</w:t>
      </w:r>
      <w:r w:rsidRPr="00F63A62">
        <w:rPr>
          <w:rFonts w:asciiTheme="majorHAnsi" w:hAnsiTheme="majorHAnsi" w:cstheme="majorHAnsi"/>
          <w:iCs/>
          <w:color w:val="000000" w:themeColor="text1"/>
          <w:sz w:val="16"/>
          <w:szCs w:val="16"/>
          <w:shd w:val="clear" w:color="auto" w:fill="FFFFFF" w:themeFill="background1"/>
          <w:lang w:val="ro-RO"/>
        </w:rPr>
        <w:t xml:space="preserve"> </w:t>
      </w:r>
      <w:r w:rsidRPr="001256DC">
        <w:rPr>
          <w:rFonts w:asciiTheme="majorHAnsi" w:hAnsiTheme="majorHAnsi" w:cstheme="majorHAnsi"/>
          <w:iCs/>
          <w:color w:val="000000" w:themeColor="text1"/>
          <w:sz w:val="16"/>
          <w:szCs w:val="16"/>
          <w:shd w:val="clear" w:color="auto" w:fill="FFFFFF" w:themeFill="background1"/>
          <w:lang w:val="ro-RO"/>
        </w:rPr>
        <w:t>(</w:t>
      </w:r>
      <w:r w:rsidRPr="001256DC">
        <w:rPr>
          <w:rFonts w:asciiTheme="majorHAnsi" w:hAnsiTheme="majorHAnsi" w:cstheme="majorHAnsi"/>
          <w:sz w:val="16"/>
          <w:szCs w:val="16"/>
          <w:lang w:val="ro-RO"/>
        </w:rPr>
        <w:t>Aparatul</w:t>
      </w:r>
      <w:r w:rsidR="005B697F">
        <w:rPr>
          <w:rFonts w:asciiTheme="majorHAnsi" w:hAnsiTheme="majorHAnsi" w:cstheme="majorHAnsi"/>
          <w:sz w:val="16"/>
          <w:szCs w:val="16"/>
          <w:lang w:val="ro-RO"/>
        </w:rPr>
        <w:t xml:space="preserve"> c</w:t>
      </w:r>
      <w:r>
        <w:rPr>
          <w:rFonts w:asciiTheme="majorHAnsi" w:hAnsiTheme="majorHAnsi" w:cstheme="majorHAnsi"/>
          <w:sz w:val="16"/>
          <w:szCs w:val="16"/>
          <w:lang w:val="ro-RO"/>
        </w:rPr>
        <w:t xml:space="preserve">entral (AC) - </w:t>
      </w:r>
      <w:r w:rsidRPr="001256DC">
        <w:rPr>
          <w:rFonts w:asciiTheme="majorHAnsi" w:hAnsiTheme="majorHAnsi" w:cstheme="majorHAnsi"/>
          <w:sz w:val="16"/>
          <w:szCs w:val="16"/>
          <w:lang w:val="ro-RO"/>
        </w:rPr>
        <w:t>în su</w:t>
      </w:r>
      <w:r>
        <w:rPr>
          <w:rFonts w:asciiTheme="majorHAnsi" w:hAnsiTheme="majorHAnsi" w:cstheme="majorHAnsi"/>
          <w:sz w:val="16"/>
          <w:szCs w:val="16"/>
          <w:lang w:val="ro-RO"/>
        </w:rPr>
        <w:t>mă de 245,1 mii lei, Serviciul</w:t>
      </w:r>
      <w:r w:rsidRPr="001256DC">
        <w:rPr>
          <w:rFonts w:asciiTheme="majorHAnsi" w:hAnsiTheme="majorHAnsi" w:cstheme="majorHAnsi"/>
          <w:sz w:val="16"/>
          <w:szCs w:val="16"/>
          <w:lang w:val="ro-RO"/>
        </w:rPr>
        <w:t xml:space="preserve"> Fiscal de Stat (SFS) - 217,1 </w:t>
      </w:r>
      <w:r w:rsidRPr="001256DC">
        <w:rPr>
          <w:rFonts w:asciiTheme="majorHAnsi" w:hAnsiTheme="majorHAnsi" w:cstheme="majorHAnsi"/>
          <w:color w:val="000000"/>
          <w:sz w:val="16"/>
          <w:szCs w:val="16"/>
          <w:lang w:val="ro-RO"/>
        </w:rPr>
        <w:t>mii lei</w:t>
      </w:r>
      <w:r>
        <w:rPr>
          <w:rFonts w:asciiTheme="majorHAnsi" w:hAnsiTheme="majorHAnsi" w:cstheme="majorHAnsi"/>
          <w:sz w:val="16"/>
          <w:szCs w:val="16"/>
          <w:lang w:val="ro-RO"/>
        </w:rPr>
        <w:t>, Serviciul</w:t>
      </w:r>
      <w:r w:rsidRPr="001256DC">
        <w:rPr>
          <w:rFonts w:asciiTheme="majorHAnsi" w:hAnsiTheme="majorHAnsi" w:cstheme="majorHAnsi"/>
          <w:sz w:val="16"/>
          <w:szCs w:val="16"/>
          <w:lang w:val="ro-RO"/>
        </w:rPr>
        <w:t xml:space="preserve"> Vamal</w:t>
      </w:r>
      <w:r>
        <w:rPr>
          <w:rFonts w:asciiTheme="majorHAnsi" w:hAnsiTheme="majorHAnsi" w:cstheme="majorHAnsi"/>
          <w:sz w:val="16"/>
          <w:szCs w:val="16"/>
          <w:lang w:val="ro-RO"/>
        </w:rPr>
        <w:t xml:space="preserve"> (SV)</w:t>
      </w:r>
      <w:r w:rsidRPr="001256DC">
        <w:rPr>
          <w:rFonts w:asciiTheme="majorHAnsi" w:hAnsiTheme="majorHAnsi" w:cstheme="majorHAnsi"/>
          <w:sz w:val="16"/>
          <w:szCs w:val="16"/>
          <w:lang w:val="ro-RO"/>
        </w:rPr>
        <w:t xml:space="preserve"> și </w:t>
      </w:r>
      <w:r>
        <w:rPr>
          <w:rFonts w:asciiTheme="majorHAnsi" w:hAnsiTheme="majorHAnsi" w:cstheme="majorHAnsi"/>
          <w:sz w:val="16"/>
          <w:szCs w:val="16"/>
          <w:lang w:val="ro-RO"/>
        </w:rPr>
        <w:t>birourile vamale</w:t>
      </w:r>
      <w:r w:rsidRPr="001256DC">
        <w:rPr>
          <w:rFonts w:asciiTheme="majorHAnsi" w:hAnsiTheme="majorHAnsi" w:cstheme="majorHAnsi"/>
          <w:sz w:val="16"/>
          <w:szCs w:val="16"/>
          <w:lang w:val="ro-RO"/>
        </w:rPr>
        <w:t xml:space="preserve"> - 460,6 mii lei, Inspecți</w:t>
      </w:r>
      <w:r>
        <w:rPr>
          <w:rFonts w:asciiTheme="majorHAnsi" w:hAnsiTheme="majorHAnsi" w:cstheme="majorHAnsi"/>
          <w:sz w:val="16"/>
          <w:szCs w:val="16"/>
          <w:lang w:val="ro-RO"/>
        </w:rPr>
        <w:t>a</w:t>
      </w:r>
      <w:r w:rsidRPr="001256DC">
        <w:rPr>
          <w:rFonts w:asciiTheme="majorHAnsi" w:hAnsiTheme="majorHAnsi" w:cstheme="majorHAnsi"/>
          <w:sz w:val="16"/>
          <w:szCs w:val="16"/>
          <w:lang w:val="ro-RO"/>
        </w:rPr>
        <w:t xml:space="preserve"> Financiar</w:t>
      </w:r>
      <w:r>
        <w:rPr>
          <w:rFonts w:asciiTheme="majorHAnsi" w:hAnsiTheme="majorHAnsi" w:cstheme="majorHAnsi"/>
          <w:sz w:val="16"/>
          <w:szCs w:val="16"/>
          <w:lang w:val="ro-RO"/>
        </w:rPr>
        <w:t>ă</w:t>
      </w:r>
      <w:r w:rsidRPr="001256DC">
        <w:rPr>
          <w:rFonts w:asciiTheme="majorHAnsi" w:hAnsiTheme="majorHAnsi" w:cstheme="majorHAnsi"/>
          <w:sz w:val="16"/>
          <w:szCs w:val="16"/>
          <w:lang w:val="ro-RO"/>
        </w:rPr>
        <w:t xml:space="preserve"> (IF) </w:t>
      </w:r>
      <w:r>
        <w:rPr>
          <w:rFonts w:asciiTheme="majorHAnsi" w:hAnsiTheme="majorHAnsi" w:cstheme="majorHAnsi"/>
          <w:sz w:val="16"/>
          <w:szCs w:val="16"/>
          <w:lang w:val="ro-RO"/>
        </w:rPr>
        <w:t>-</w:t>
      </w:r>
      <w:r w:rsidRPr="001256DC">
        <w:rPr>
          <w:rFonts w:asciiTheme="majorHAnsi" w:hAnsiTheme="majorHAnsi" w:cstheme="majorHAnsi"/>
          <w:sz w:val="16"/>
          <w:szCs w:val="16"/>
          <w:lang w:val="ro-RO"/>
        </w:rPr>
        <w:t xml:space="preserve"> 7,8 mii lei)</w:t>
      </w:r>
      <w:r>
        <w:rPr>
          <w:rFonts w:asciiTheme="majorHAnsi" w:hAnsiTheme="majorHAnsi" w:cstheme="majorHAnsi"/>
          <w:sz w:val="16"/>
          <w:szCs w:val="16"/>
          <w:lang w:val="ro-RO"/>
        </w:rPr>
        <w:t xml:space="preserve"> </w:t>
      </w:r>
      <w:r w:rsidRPr="001256DC">
        <w:rPr>
          <w:rFonts w:asciiTheme="majorHAnsi" w:hAnsiTheme="majorHAnsi" w:cstheme="majorHAnsi"/>
          <w:sz w:val="16"/>
          <w:szCs w:val="16"/>
          <w:lang w:val="ro-RO"/>
        </w:rPr>
        <w:t xml:space="preserve">și </w:t>
      </w:r>
      <w:r>
        <w:rPr>
          <w:rFonts w:asciiTheme="majorHAnsi" w:hAnsiTheme="majorHAnsi" w:cstheme="majorHAnsi"/>
          <w:sz w:val="16"/>
          <w:szCs w:val="16"/>
        </w:rPr>
        <w:t>d</w:t>
      </w:r>
      <w:r w:rsidRPr="001256DC">
        <w:rPr>
          <w:rFonts w:asciiTheme="majorHAnsi" w:hAnsiTheme="majorHAnsi" w:cstheme="majorHAnsi"/>
          <w:sz w:val="16"/>
          <w:szCs w:val="16"/>
        </w:rPr>
        <w:t xml:space="preserve">e la o </w:t>
      </w:r>
      <w:proofErr w:type="spellStart"/>
      <w:r w:rsidRPr="001256DC">
        <w:rPr>
          <w:rFonts w:asciiTheme="majorHAnsi" w:hAnsiTheme="majorHAnsi" w:cstheme="majorHAnsi"/>
          <w:sz w:val="16"/>
          <w:szCs w:val="16"/>
        </w:rPr>
        <w:t>clasă</w:t>
      </w:r>
      <w:proofErr w:type="spellEnd"/>
      <w:r w:rsidRPr="001256DC">
        <w:rPr>
          <w:rFonts w:asciiTheme="majorHAnsi" w:hAnsiTheme="majorHAnsi" w:cstheme="majorHAnsi"/>
          <w:sz w:val="16"/>
          <w:szCs w:val="16"/>
        </w:rPr>
        <w:t xml:space="preserve"> de </w:t>
      </w:r>
      <w:proofErr w:type="spellStart"/>
      <w:r w:rsidRPr="001256DC">
        <w:rPr>
          <w:rFonts w:asciiTheme="majorHAnsi" w:hAnsiTheme="majorHAnsi" w:cstheme="majorHAnsi"/>
          <w:sz w:val="16"/>
          <w:szCs w:val="16"/>
        </w:rPr>
        <w:t>conturi</w:t>
      </w:r>
      <w:proofErr w:type="spellEnd"/>
      <w:r w:rsidRPr="001256DC">
        <w:rPr>
          <w:rFonts w:asciiTheme="majorHAnsi" w:hAnsiTheme="majorHAnsi" w:cstheme="majorHAnsi"/>
          <w:sz w:val="16"/>
          <w:szCs w:val="16"/>
        </w:rPr>
        <w:t xml:space="preserve"> la </w:t>
      </w:r>
      <w:proofErr w:type="spellStart"/>
      <w:r w:rsidRPr="001256DC">
        <w:rPr>
          <w:rFonts w:asciiTheme="majorHAnsi" w:hAnsiTheme="majorHAnsi" w:cstheme="majorHAnsi"/>
          <w:sz w:val="16"/>
          <w:szCs w:val="16"/>
        </w:rPr>
        <w:t>alta</w:t>
      </w:r>
      <w:proofErr w:type="spellEnd"/>
      <w:r w:rsidRPr="001256DC">
        <w:rPr>
          <w:rFonts w:asciiTheme="majorHAnsi" w:hAnsiTheme="majorHAnsi" w:cstheme="majorHAnsi"/>
          <w:sz w:val="16"/>
          <w:szCs w:val="16"/>
        </w:rPr>
        <w:t xml:space="preserve"> </w:t>
      </w:r>
      <w:r w:rsidRPr="001256DC">
        <w:rPr>
          <w:rFonts w:asciiTheme="majorHAnsi" w:eastAsia="Times New Roman" w:hAnsiTheme="majorHAnsi" w:cstheme="majorHAnsi"/>
          <w:bCs/>
          <w:sz w:val="16"/>
          <w:szCs w:val="16"/>
          <w:lang w:eastAsia="ru-RU"/>
        </w:rPr>
        <w:t>(</w:t>
      </w:r>
      <w:r w:rsidRPr="001256DC">
        <w:rPr>
          <w:rFonts w:asciiTheme="majorHAnsi" w:eastAsia="Times New Roman" w:hAnsiTheme="majorHAnsi" w:cstheme="majorHAnsi"/>
          <w:sz w:val="16"/>
          <w:szCs w:val="16"/>
        </w:rPr>
        <w:t xml:space="preserve">SFS - 9,8 mii lei, SV - 795,1 mii lei, IF - 7,8 </w:t>
      </w:r>
      <w:r w:rsidRPr="001256DC">
        <w:rPr>
          <w:rFonts w:asciiTheme="majorHAnsi" w:eastAsia="Times New Roman" w:hAnsiTheme="majorHAnsi" w:cstheme="majorHAnsi"/>
          <w:sz w:val="16"/>
          <w:szCs w:val="16"/>
          <w:lang w:val="ro-RO"/>
        </w:rPr>
        <w:t>mii lei)</w:t>
      </w:r>
      <w:r>
        <w:rPr>
          <w:rFonts w:asciiTheme="majorHAnsi" w:eastAsia="Times New Roman" w:hAnsiTheme="majorHAnsi" w:cstheme="majorHAnsi"/>
          <w:sz w:val="16"/>
          <w:szCs w:val="16"/>
          <w:lang w:val="ro-RO"/>
        </w:rPr>
        <w:t>.</w:t>
      </w:r>
      <w:r w:rsidRPr="001256DC">
        <w:rPr>
          <w:rFonts w:asciiTheme="majorHAnsi" w:hAnsiTheme="majorHAnsi" w:cstheme="majorHAnsi"/>
          <w:sz w:val="16"/>
          <w:szCs w:val="16"/>
          <w:lang w:val="ro-RO"/>
        </w:rPr>
        <w:t xml:space="preserve">  </w:t>
      </w:r>
    </w:p>
  </w:footnote>
  <w:footnote w:id="5">
    <w:p w:rsidR="00F368DE" w:rsidRPr="001256DC" w:rsidRDefault="00F368DE" w:rsidP="00F368DE">
      <w:pPr>
        <w:pStyle w:val="a5"/>
        <w:rPr>
          <w:rFonts w:asciiTheme="majorHAnsi" w:hAnsiTheme="majorHAnsi" w:cstheme="majorHAnsi"/>
          <w:sz w:val="16"/>
          <w:szCs w:val="16"/>
        </w:rPr>
      </w:pPr>
      <w:r w:rsidRPr="001256DC">
        <w:rPr>
          <w:rStyle w:val="a7"/>
          <w:rFonts w:asciiTheme="majorHAnsi" w:hAnsiTheme="majorHAnsi" w:cstheme="majorHAnsi"/>
          <w:sz w:val="16"/>
          <w:szCs w:val="16"/>
        </w:rPr>
        <w:footnoteRef/>
      </w:r>
      <w:r>
        <w:rPr>
          <w:rFonts w:asciiTheme="majorHAnsi" w:hAnsiTheme="majorHAnsi" w:cstheme="majorHAnsi"/>
          <w:sz w:val="16"/>
          <w:szCs w:val="16"/>
        </w:rPr>
        <w:t xml:space="preserve"> Î</w:t>
      </w:r>
      <w:r w:rsidRPr="001256DC">
        <w:rPr>
          <w:rFonts w:asciiTheme="majorHAnsi" w:hAnsiTheme="majorHAnsi" w:cstheme="majorHAnsi"/>
          <w:sz w:val="16"/>
          <w:szCs w:val="16"/>
          <w:lang w:val="ro-RO"/>
        </w:rPr>
        <w:t xml:space="preserve">n interiorul </w:t>
      </w:r>
      <w:proofErr w:type="spellStart"/>
      <w:r>
        <w:rPr>
          <w:rFonts w:asciiTheme="majorHAnsi" w:eastAsia="Times New Roman" w:hAnsiTheme="majorHAnsi" w:cstheme="majorHAnsi"/>
          <w:sz w:val="16"/>
          <w:szCs w:val="16"/>
        </w:rPr>
        <w:t>s</w:t>
      </w:r>
      <w:r w:rsidRPr="00F63A62">
        <w:rPr>
          <w:rFonts w:asciiTheme="majorHAnsi" w:eastAsia="Times New Roman" w:hAnsiTheme="majorHAnsi" w:cstheme="majorHAnsi"/>
          <w:sz w:val="16"/>
          <w:szCs w:val="16"/>
        </w:rPr>
        <w:t>ubclasei</w:t>
      </w:r>
      <w:proofErr w:type="spellEnd"/>
      <w:r w:rsidRPr="00F63A62">
        <w:rPr>
          <w:rFonts w:asciiTheme="majorHAnsi" w:eastAsia="Times New Roman" w:hAnsiTheme="majorHAnsi" w:cstheme="majorHAnsi"/>
          <w:sz w:val="16"/>
          <w:szCs w:val="16"/>
        </w:rPr>
        <w:t xml:space="preserve"> 33 </w:t>
      </w:r>
      <w:r w:rsidRPr="00F63A62">
        <w:rPr>
          <w:rFonts w:asciiTheme="majorHAnsi" w:eastAsia="Times New Roman" w:hAnsiTheme="majorHAnsi" w:cstheme="majorHAnsi"/>
          <w:iCs/>
          <w:sz w:val="16"/>
          <w:szCs w:val="16"/>
        </w:rPr>
        <w:t>„</w:t>
      </w:r>
      <w:proofErr w:type="spellStart"/>
      <w:r w:rsidRPr="00F63A62">
        <w:rPr>
          <w:rFonts w:asciiTheme="majorHAnsi" w:eastAsia="Times New Roman" w:hAnsiTheme="majorHAnsi" w:cstheme="majorHAnsi"/>
          <w:iCs/>
          <w:sz w:val="16"/>
          <w:szCs w:val="16"/>
        </w:rPr>
        <w:t>Stocuri</w:t>
      </w:r>
      <w:proofErr w:type="spellEnd"/>
      <w:r w:rsidRPr="00F63A62">
        <w:rPr>
          <w:rFonts w:asciiTheme="majorHAnsi" w:eastAsia="Times New Roman" w:hAnsiTheme="majorHAnsi" w:cstheme="majorHAnsi"/>
          <w:iCs/>
          <w:sz w:val="16"/>
          <w:szCs w:val="16"/>
        </w:rPr>
        <w:t xml:space="preserve"> de </w:t>
      </w:r>
      <w:proofErr w:type="spellStart"/>
      <w:r w:rsidRPr="00F63A62">
        <w:rPr>
          <w:rFonts w:asciiTheme="majorHAnsi" w:eastAsia="Times New Roman" w:hAnsiTheme="majorHAnsi" w:cstheme="majorHAnsi"/>
          <w:iCs/>
          <w:sz w:val="16"/>
          <w:szCs w:val="16"/>
        </w:rPr>
        <w:t>materiale</w:t>
      </w:r>
      <w:proofErr w:type="spellEnd"/>
      <w:r w:rsidRPr="00F63A62">
        <w:rPr>
          <w:rFonts w:asciiTheme="majorHAnsi" w:eastAsia="Times New Roman" w:hAnsiTheme="majorHAnsi" w:cstheme="majorHAnsi"/>
          <w:iCs/>
          <w:sz w:val="16"/>
          <w:szCs w:val="16"/>
        </w:rPr>
        <w:t xml:space="preserve"> </w:t>
      </w:r>
      <w:proofErr w:type="spellStart"/>
      <w:r w:rsidRPr="00F63A62">
        <w:rPr>
          <w:rFonts w:asciiTheme="majorHAnsi" w:eastAsia="Times New Roman" w:hAnsiTheme="majorHAnsi" w:cstheme="majorHAnsi"/>
          <w:iCs/>
          <w:sz w:val="16"/>
          <w:szCs w:val="16"/>
        </w:rPr>
        <w:t>circulante</w:t>
      </w:r>
      <w:proofErr w:type="spellEnd"/>
      <w:r w:rsidRPr="00F63A62">
        <w:rPr>
          <w:rFonts w:asciiTheme="majorHAnsi" w:eastAsia="Times New Roman" w:hAnsiTheme="majorHAnsi" w:cstheme="majorHAnsi"/>
          <w:iCs/>
          <w:sz w:val="16"/>
          <w:szCs w:val="16"/>
        </w:rPr>
        <w:t>”</w:t>
      </w:r>
      <w:r w:rsidRPr="001256DC">
        <w:rPr>
          <w:rFonts w:asciiTheme="majorHAnsi" w:eastAsia="Times New Roman" w:hAnsiTheme="majorHAnsi" w:cstheme="majorHAnsi"/>
          <w:sz w:val="16"/>
          <w:szCs w:val="16"/>
          <w:lang w:val="ro-RO"/>
        </w:rPr>
        <w:t xml:space="preserve"> (AC - 56</w:t>
      </w:r>
      <w:proofErr w:type="gramStart"/>
      <w:r w:rsidRPr="001256DC">
        <w:rPr>
          <w:rFonts w:asciiTheme="majorHAnsi" w:eastAsia="Times New Roman" w:hAnsiTheme="majorHAnsi" w:cstheme="majorHAnsi"/>
          <w:sz w:val="16"/>
          <w:szCs w:val="16"/>
          <w:lang w:val="ro-RO"/>
        </w:rPr>
        <w:t>,9</w:t>
      </w:r>
      <w:proofErr w:type="gramEnd"/>
      <w:r w:rsidRPr="001256DC">
        <w:rPr>
          <w:rFonts w:asciiTheme="majorHAnsi" w:eastAsia="Times New Roman" w:hAnsiTheme="majorHAnsi" w:cstheme="majorHAnsi"/>
          <w:sz w:val="16"/>
          <w:szCs w:val="16"/>
          <w:lang w:val="ro-RO"/>
        </w:rPr>
        <w:t xml:space="preserve"> mii lei, SFS</w:t>
      </w:r>
      <w:r>
        <w:rPr>
          <w:rFonts w:asciiTheme="majorHAnsi" w:eastAsia="Times New Roman" w:hAnsiTheme="majorHAnsi" w:cstheme="majorHAnsi"/>
          <w:sz w:val="16"/>
          <w:szCs w:val="16"/>
          <w:lang w:val="ro-RO"/>
        </w:rPr>
        <w:t xml:space="preserve"> </w:t>
      </w:r>
      <w:r w:rsidRPr="001256DC">
        <w:rPr>
          <w:rFonts w:asciiTheme="majorHAnsi" w:eastAsia="Times New Roman" w:hAnsiTheme="majorHAnsi" w:cstheme="majorHAnsi"/>
          <w:sz w:val="16"/>
          <w:szCs w:val="16"/>
          <w:lang w:val="ro-RO"/>
        </w:rPr>
        <w:t>- 112,4 mii lei, SV</w:t>
      </w:r>
      <w:r w:rsidRPr="001256DC">
        <w:rPr>
          <w:rFonts w:asciiTheme="majorHAnsi" w:hAnsiTheme="majorHAnsi" w:cstheme="majorHAnsi"/>
          <w:sz w:val="16"/>
          <w:szCs w:val="16"/>
          <w:lang w:val="ro-RO"/>
        </w:rPr>
        <w:t xml:space="preserve"> - 374,0 mii lei, IF - 16,0 mii</w:t>
      </w:r>
      <w:r>
        <w:rPr>
          <w:rFonts w:asciiTheme="majorHAnsi" w:hAnsiTheme="majorHAnsi" w:cstheme="majorHAnsi"/>
          <w:sz w:val="16"/>
          <w:szCs w:val="16"/>
          <w:lang w:val="ro-RO"/>
        </w:rPr>
        <w:t xml:space="preserve"> lei</w:t>
      </w:r>
      <w:r w:rsidRPr="001256DC">
        <w:rPr>
          <w:rFonts w:asciiTheme="majorHAnsi" w:hAnsiTheme="majorHAnsi" w:cstheme="majorHAnsi"/>
          <w:sz w:val="16"/>
          <w:szCs w:val="16"/>
          <w:lang w:val="ro-RO"/>
        </w:rPr>
        <w:t>)</w:t>
      </w:r>
      <w:r>
        <w:rPr>
          <w:rFonts w:asciiTheme="majorHAnsi" w:hAnsiTheme="majorHAnsi" w:cstheme="majorHAnsi"/>
          <w:sz w:val="16"/>
          <w:szCs w:val="16"/>
          <w:lang w:val="ro-RO"/>
        </w:rPr>
        <w:t xml:space="preserve"> și de </w:t>
      </w:r>
      <w:r w:rsidRPr="001256DC">
        <w:rPr>
          <w:rFonts w:asciiTheme="majorHAnsi" w:hAnsiTheme="majorHAnsi" w:cstheme="majorHAnsi"/>
          <w:sz w:val="16"/>
          <w:szCs w:val="16"/>
        </w:rPr>
        <w:t xml:space="preserve">la o </w:t>
      </w:r>
      <w:proofErr w:type="spellStart"/>
      <w:r w:rsidRPr="001256DC">
        <w:rPr>
          <w:rFonts w:asciiTheme="majorHAnsi" w:hAnsiTheme="majorHAnsi" w:cstheme="majorHAnsi"/>
          <w:sz w:val="16"/>
          <w:szCs w:val="16"/>
        </w:rPr>
        <w:t>clasă</w:t>
      </w:r>
      <w:proofErr w:type="spellEnd"/>
      <w:r w:rsidRPr="001256DC">
        <w:rPr>
          <w:rFonts w:asciiTheme="majorHAnsi" w:hAnsiTheme="majorHAnsi" w:cstheme="majorHAnsi"/>
          <w:sz w:val="16"/>
          <w:szCs w:val="16"/>
        </w:rPr>
        <w:t xml:space="preserve"> de </w:t>
      </w:r>
      <w:proofErr w:type="spellStart"/>
      <w:r w:rsidRPr="001256DC">
        <w:rPr>
          <w:rFonts w:asciiTheme="majorHAnsi" w:hAnsiTheme="majorHAnsi" w:cstheme="majorHAnsi"/>
          <w:sz w:val="16"/>
          <w:szCs w:val="16"/>
        </w:rPr>
        <w:t>conturi</w:t>
      </w:r>
      <w:proofErr w:type="spellEnd"/>
      <w:r w:rsidRPr="001256DC">
        <w:rPr>
          <w:rFonts w:asciiTheme="majorHAnsi" w:hAnsiTheme="majorHAnsi" w:cstheme="majorHAnsi"/>
          <w:sz w:val="16"/>
          <w:szCs w:val="16"/>
        </w:rPr>
        <w:t xml:space="preserve"> la </w:t>
      </w:r>
      <w:proofErr w:type="spellStart"/>
      <w:r w:rsidRPr="001256DC">
        <w:rPr>
          <w:rFonts w:asciiTheme="majorHAnsi" w:hAnsiTheme="majorHAnsi" w:cstheme="majorHAnsi"/>
          <w:sz w:val="16"/>
          <w:szCs w:val="16"/>
        </w:rPr>
        <w:t>alta</w:t>
      </w:r>
      <w:proofErr w:type="spellEnd"/>
      <w:r w:rsidRPr="001256DC">
        <w:rPr>
          <w:rFonts w:asciiTheme="majorHAnsi" w:hAnsiTheme="majorHAnsi" w:cstheme="majorHAnsi"/>
          <w:sz w:val="16"/>
          <w:szCs w:val="16"/>
        </w:rPr>
        <w:t xml:space="preserve"> </w:t>
      </w:r>
      <w:r w:rsidRPr="001256DC">
        <w:rPr>
          <w:rFonts w:asciiTheme="majorHAnsi" w:eastAsia="Times New Roman" w:hAnsiTheme="majorHAnsi" w:cstheme="majorHAnsi"/>
          <w:bCs/>
          <w:sz w:val="16"/>
          <w:szCs w:val="16"/>
          <w:lang w:eastAsia="ru-RU"/>
        </w:rPr>
        <w:t>(</w:t>
      </w:r>
      <w:r w:rsidRPr="001256DC">
        <w:rPr>
          <w:rFonts w:asciiTheme="majorHAnsi" w:eastAsia="Times New Roman" w:hAnsiTheme="majorHAnsi" w:cstheme="majorHAnsi"/>
          <w:sz w:val="16"/>
          <w:szCs w:val="16"/>
        </w:rPr>
        <w:t xml:space="preserve">SFS - 9,8 mii lei, SV - 795,1 mii lei, IF - 7,8 </w:t>
      </w:r>
      <w:r>
        <w:rPr>
          <w:rFonts w:asciiTheme="majorHAnsi" w:eastAsia="Times New Roman" w:hAnsiTheme="majorHAnsi" w:cstheme="majorHAnsi"/>
          <w:sz w:val="16"/>
          <w:szCs w:val="16"/>
          <w:lang w:val="ro-RO"/>
        </w:rPr>
        <w:t>mii lei</w:t>
      </w:r>
      <w:r w:rsidRPr="001256DC">
        <w:rPr>
          <w:rFonts w:asciiTheme="majorHAnsi" w:eastAsia="Times New Roman" w:hAnsiTheme="majorHAnsi" w:cstheme="majorHAnsi"/>
          <w:sz w:val="16"/>
          <w:szCs w:val="16"/>
          <w:lang w:val="ro-RO"/>
        </w:rPr>
        <w:t>)</w:t>
      </w:r>
      <w:r>
        <w:rPr>
          <w:rFonts w:asciiTheme="majorHAnsi" w:eastAsia="Times New Roman" w:hAnsiTheme="majorHAnsi" w:cstheme="majorHAnsi"/>
          <w:sz w:val="16"/>
          <w:szCs w:val="16"/>
          <w:lang w:val="ro-RO"/>
        </w:rPr>
        <w:t>.</w:t>
      </w:r>
      <w:r w:rsidRPr="001256DC">
        <w:rPr>
          <w:rFonts w:asciiTheme="majorHAnsi" w:hAnsiTheme="majorHAnsi" w:cstheme="majorHAnsi"/>
          <w:sz w:val="16"/>
          <w:szCs w:val="16"/>
          <w:lang w:val="ro-RO"/>
        </w:rPr>
        <w:t xml:space="preserve">  </w:t>
      </w:r>
    </w:p>
  </w:footnote>
  <w:footnote w:id="6">
    <w:p w:rsidR="00F368DE" w:rsidRPr="004B5350" w:rsidRDefault="00F368DE" w:rsidP="00F368DE">
      <w:pPr>
        <w:pStyle w:val="a5"/>
        <w:rPr>
          <w:rFonts w:asciiTheme="majorHAnsi" w:hAnsiTheme="majorHAnsi" w:cstheme="majorHAnsi"/>
          <w:sz w:val="16"/>
          <w:szCs w:val="16"/>
          <w:lang w:val="ro-RO"/>
        </w:rPr>
      </w:pPr>
      <w:r w:rsidRPr="001256DC">
        <w:rPr>
          <w:rStyle w:val="a7"/>
          <w:rFonts w:asciiTheme="majorHAnsi" w:hAnsiTheme="majorHAnsi" w:cstheme="majorHAnsi"/>
          <w:sz w:val="16"/>
          <w:szCs w:val="16"/>
        </w:rPr>
        <w:footnoteRef/>
      </w:r>
      <w:r w:rsidRPr="001256DC">
        <w:rPr>
          <w:rFonts w:asciiTheme="majorHAnsi" w:hAnsiTheme="majorHAnsi" w:cstheme="majorHAnsi"/>
          <w:sz w:val="16"/>
          <w:szCs w:val="16"/>
        </w:rPr>
        <w:t xml:space="preserve"> </w:t>
      </w:r>
      <w:r>
        <w:rPr>
          <w:rFonts w:asciiTheme="majorHAnsi" w:eastAsia="Times New Roman" w:hAnsiTheme="majorHAnsi" w:cstheme="majorHAnsi"/>
          <w:sz w:val="16"/>
          <w:szCs w:val="16"/>
          <w:lang w:val="ro-RO"/>
        </w:rPr>
        <w:t xml:space="preserve"> </w:t>
      </w:r>
      <w:r w:rsidRPr="004B5350">
        <w:rPr>
          <w:rFonts w:asciiTheme="majorHAnsi" w:hAnsiTheme="majorHAnsi" w:cstheme="majorHAnsi"/>
          <w:sz w:val="16"/>
          <w:szCs w:val="16"/>
        </w:rPr>
        <w:t xml:space="preserve">Pct. 3.3 </w:t>
      </w:r>
      <w:proofErr w:type="spellStart"/>
      <w:r w:rsidRPr="004B5350">
        <w:rPr>
          <w:rFonts w:asciiTheme="majorHAnsi" w:hAnsiTheme="majorHAnsi" w:cstheme="majorHAnsi"/>
          <w:sz w:val="16"/>
          <w:szCs w:val="16"/>
        </w:rPr>
        <w:t>și</w:t>
      </w:r>
      <w:proofErr w:type="spellEnd"/>
      <w:r w:rsidRPr="004B5350">
        <w:rPr>
          <w:rFonts w:asciiTheme="majorHAnsi" w:hAnsiTheme="majorHAnsi" w:cstheme="majorHAnsi"/>
          <w:sz w:val="16"/>
          <w:szCs w:val="16"/>
        </w:rPr>
        <w:t xml:space="preserve"> pct. 5.3.3 din </w:t>
      </w:r>
      <w:r w:rsidRPr="004B5350">
        <w:rPr>
          <w:rFonts w:asciiTheme="majorHAnsi" w:eastAsia="Times New Roman" w:hAnsiTheme="majorHAnsi" w:cstheme="majorHAnsi"/>
          <w:sz w:val="16"/>
          <w:szCs w:val="16"/>
          <w:lang w:val="ro-RO"/>
        </w:rPr>
        <w:t>Normele metodologice privind evidența contabilă și raportarea financiară în sistemul bugetar, aprobate prin Ordinul ministrului finanțelor nr.216 din 28.12.2015</w:t>
      </w:r>
      <w:r>
        <w:rPr>
          <w:rFonts w:asciiTheme="majorHAnsi" w:eastAsia="Times New Roman" w:hAnsiTheme="majorHAnsi" w:cstheme="majorHAnsi"/>
          <w:sz w:val="16"/>
          <w:szCs w:val="16"/>
          <w:lang w:val="ro-RO"/>
        </w:rPr>
        <w:t>.</w:t>
      </w:r>
    </w:p>
  </w:footnote>
  <w:footnote w:id="7">
    <w:p w:rsidR="00F368DE" w:rsidRPr="004B5350" w:rsidRDefault="00F368DE" w:rsidP="00F368DE">
      <w:pPr>
        <w:pStyle w:val="a5"/>
        <w:rPr>
          <w:rFonts w:asciiTheme="majorHAnsi" w:hAnsiTheme="majorHAnsi" w:cstheme="majorHAnsi"/>
          <w:sz w:val="16"/>
          <w:szCs w:val="16"/>
          <w:lang w:val="ro-MD"/>
        </w:rPr>
      </w:pPr>
      <w:r w:rsidRPr="001256DC">
        <w:rPr>
          <w:rStyle w:val="a7"/>
          <w:rFonts w:asciiTheme="majorHAnsi" w:hAnsiTheme="majorHAnsi" w:cstheme="majorHAnsi"/>
          <w:sz w:val="16"/>
          <w:szCs w:val="16"/>
        </w:rPr>
        <w:footnoteRef/>
      </w:r>
      <w:r w:rsidRPr="001256DC">
        <w:rPr>
          <w:rFonts w:asciiTheme="majorHAnsi" w:hAnsiTheme="majorHAnsi" w:cstheme="majorHAnsi"/>
          <w:sz w:val="16"/>
          <w:szCs w:val="16"/>
        </w:rPr>
        <w:t xml:space="preserve"> </w:t>
      </w:r>
      <w:r>
        <w:rPr>
          <w:rFonts w:asciiTheme="majorHAnsi" w:eastAsia="Times New Roman" w:hAnsiTheme="majorHAnsi" w:cstheme="majorHAnsi"/>
          <w:sz w:val="16"/>
          <w:szCs w:val="16"/>
          <w:lang w:val="ro-RO"/>
        </w:rPr>
        <w:t xml:space="preserve"> </w:t>
      </w:r>
      <w:r w:rsidRPr="004B5350">
        <w:rPr>
          <w:rFonts w:asciiTheme="majorHAnsi" w:hAnsiTheme="majorHAnsi" w:cstheme="majorHAnsi"/>
          <w:sz w:val="16"/>
          <w:szCs w:val="16"/>
        </w:rPr>
        <w:t xml:space="preserve">Pct. 3.3 din </w:t>
      </w:r>
      <w:r w:rsidRPr="004B5350">
        <w:rPr>
          <w:rFonts w:asciiTheme="majorHAnsi" w:eastAsia="Times New Roman" w:hAnsiTheme="majorHAnsi" w:cstheme="majorHAnsi"/>
          <w:sz w:val="16"/>
          <w:szCs w:val="16"/>
          <w:lang w:val="ro-RO"/>
        </w:rPr>
        <w:t>Normele metodologice privind evidența contabilă și raportarea financiară în sistemul bugetar, aprobate prin Ordinul ministrului finanțelor nr.216 din 28.12.2015</w:t>
      </w:r>
      <w:r>
        <w:rPr>
          <w:rFonts w:asciiTheme="majorHAnsi" w:eastAsia="Times New Roman" w:hAnsiTheme="majorHAnsi" w:cstheme="majorHAnsi"/>
          <w:sz w:val="16"/>
          <w:szCs w:val="16"/>
          <w:lang w:val="ro-RO"/>
        </w:rPr>
        <w:t>.</w:t>
      </w:r>
    </w:p>
  </w:footnote>
  <w:footnote w:id="8">
    <w:p w:rsidR="00F368DE" w:rsidRPr="001256DC" w:rsidRDefault="00F368DE" w:rsidP="00F368DE">
      <w:pPr>
        <w:pStyle w:val="a5"/>
        <w:rPr>
          <w:rFonts w:asciiTheme="majorHAnsi" w:hAnsiTheme="majorHAnsi" w:cstheme="majorHAnsi"/>
          <w:sz w:val="16"/>
          <w:szCs w:val="16"/>
        </w:rPr>
      </w:pPr>
      <w:r w:rsidRPr="001256DC">
        <w:rPr>
          <w:rStyle w:val="a7"/>
          <w:rFonts w:asciiTheme="majorHAnsi" w:hAnsiTheme="majorHAnsi" w:cstheme="majorHAnsi"/>
          <w:sz w:val="16"/>
          <w:szCs w:val="16"/>
        </w:rPr>
        <w:footnoteRef/>
      </w:r>
      <w:r w:rsidRPr="001256DC">
        <w:rPr>
          <w:rFonts w:asciiTheme="majorHAnsi" w:hAnsiTheme="majorHAnsi" w:cstheme="majorHAnsi"/>
          <w:sz w:val="16"/>
          <w:szCs w:val="16"/>
        </w:rPr>
        <w:t xml:space="preserve"> </w:t>
      </w:r>
      <w:r>
        <w:rPr>
          <w:rFonts w:asciiTheme="majorHAnsi" w:eastAsia="Times New Roman" w:hAnsiTheme="majorHAnsi" w:cstheme="majorHAnsi"/>
          <w:sz w:val="16"/>
          <w:szCs w:val="16"/>
          <w:lang w:val="ro-RO"/>
        </w:rPr>
        <w:t xml:space="preserve"> </w:t>
      </w:r>
      <w:r w:rsidRPr="004B5350">
        <w:rPr>
          <w:rFonts w:asciiTheme="majorHAnsi" w:hAnsiTheme="majorHAnsi" w:cstheme="majorHAnsi"/>
          <w:sz w:val="16"/>
          <w:szCs w:val="16"/>
        </w:rPr>
        <w:t xml:space="preserve">Pct. 1.4.5 din </w:t>
      </w:r>
      <w:r w:rsidRPr="004B5350">
        <w:rPr>
          <w:rFonts w:asciiTheme="majorHAnsi" w:eastAsia="Times New Roman" w:hAnsiTheme="majorHAnsi" w:cstheme="majorHAnsi"/>
          <w:sz w:val="16"/>
          <w:szCs w:val="16"/>
          <w:lang w:val="ro-RO"/>
        </w:rPr>
        <w:t>Normele metodologice privind evidența contabilă și raportarea financiară în sistemul bugetar, aprobate prin Ordinul ministrului finanțelor nr.216 din 28.12.2015</w:t>
      </w:r>
      <w:r>
        <w:rPr>
          <w:rFonts w:asciiTheme="majorHAnsi" w:eastAsia="Times New Roman" w:hAnsiTheme="majorHAnsi" w:cstheme="majorHAnsi"/>
          <w:sz w:val="16"/>
          <w:szCs w:val="16"/>
          <w:lang w:val="ro-RO"/>
        </w:rPr>
        <w:t>.</w:t>
      </w:r>
    </w:p>
  </w:footnote>
  <w:footnote w:id="9">
    <w:p w:rsidR="00F368DE" w:rsidRPr="004B5350" w:rsidRDefault="00F368DE" w:rsidP="00F368DE">
      <w:pPr>
        <w:pStyle w:val="a5"/>
        <w:rPr>
          <w:rFonts w:asciiTheme="majorHAnsi" w:hAnsiTheme="majorHAnsi" w:cstheme="majorHAnsi"/>
          <w:sz w:val="16"/>
          <w:szCs w:val="16"/>
          <w:lang w:val="ro-RO"/>
        </w:rPr>
      </w:pPr>
      <w:r w:rsidRPr="001256DC">
        <w:rPr>
          <w:rStyle w:val="a7"/>
          <w:rFonts w:asciiTheme="majorHAnsi" w:hAnsiTheme="majorHAnsi" w:cstheme="majorHAnsi"/>
          <w:sz w:val="16"/>
          <w:szCs w:val="16"/>
        </w:rPr>
        <w:footnoteRef/>
      </w:r>
      <w:r w:rsidRPr="001256DC">
        <w:rPr>
          <w:rFonts w:asciiTheme="majorHAnsi" w:hAnsiTheme="majorHAnsi" w:cstheme="majorHAnsi"/>
          <w:sz w:val="16"/>
          <w:szCs w:val="16"/>
        </w:rPr>
        <w:t xml:space="preserve"> </w:t>
      </w:r>
      <w:r>
        <w:rPr>
          <w:rFonts w:asciiTheme="majorHAnsi" w:hAnsiTheme="majorHAnsi" w:cstheme="majorHAnsi"/>
          <w:sz w:val="16"/>
          <w:szCs w:val="16"/>
          <w:lang w:val="ro-RO"/>
        </w:rPr>
        <w:t xml:space="preserve"> </w:t>
      </w:r>
      <w:r w:rsidRPr="004B5350">
        <w:rPr>
          <w:rFonts w:asciiTheme="majorHAnsi" w:hAnsiTheme="majorHAnsi" w:cstheme="majorHAnsi"/>
          <w:sz w:val="16"/>
          <w:szCs w:val="16"/>
          <w:lang w:val="ro-RO"/>
        </w:rPr>
        <w:t>Pct. 1.4.5</w:t>
      </w:r>
      <w:r w:rsidRPr="004B5350">
        <w:rPr>
          <w:rFonts w:asciiTheme="majorHAnsi" w:hAnsiTheme="majorHAnsi" w:cstheme="majorHAnsi"/>
          <w:sz w:val="16"/>
          <w:szCs w:val="16"/>
        </w:rPr>
        <w:t xml:space="preserve"> din </w:t>
      </w:r>
      <w:r w:rsidRPr="004B5350">
        <w:rPr>
          <w:rFonts w:asciiTheme="majorHAnsi" w:eastAsia="Times New Roman" w:hAnsiTheme="majorHAnsi" w:cstheme="majorHAnsi"/>
          <w:sz w:val="16"/>
          <w:szCs w:val="16"/>
          <w:lang w:val="ro-RO"/>
        </w:rPr>
        <w:t>Normele metodologice privind evidența contabilă și raportarea financiară în sistemul bugetar, aprobate prin Ordinul ministrului finanțelor nr.216 din 28.12.2015.</w:t>
      </w:r>
      <w:r w:rsidRPr="004B5350">
        <w:rPr>
          <w:rFonts w:asciiTheme="majorHAnsi" w:hAnsiTheme="majorHAnsi" w:cstheme="majorHAnsi"/>
          <w:sz w:val="16"/>
          <w:szCs w:val="16"/>
          <w:lang w:val="ro-RO"/>
        </w:rPr>
        <w:t xml:space="preserve"> </w:t>
      </w:r>
    </w:p>
  </w:footnote>
  <w:footnote w:id="10">
    <w:p w:rsidR="00F368DE" w:rsidRPr="001256DC" w:rsidRDefault="00F368DE" w:rsidP="00F368DE">
      <w:pPr>
        <w:spacing w:after="0" w:line="240" w:lineRule="auto"/>
        <w:rPr>
          <w:rFonts w:asciiTheme="majorHAnsi" w:eastAsia="Calibri" w:hAnsiTheme="majorHAnsi" w:cstheme="majorHAnsi"/>
          <w:sz w:val="16"/>
          <w:szCs w:val="16"/>
          <w:lang w:val="ro-RO"/>
        </w:rPr>
      </w:pPr>
      <w:r w:rsidRPr="001256DC">
        <w:rPr>
          <w:rStyle w:val="a7"/>
          <w:rFonts w:asciiTheme="majorHAnsi" w:hAnsiTheme="majorHAnsi" w:cstheme="majorHAnsi"/>
          <w:sz w:val="16"/>
          <w:szCs w:val="16"/>
        </w:rPr>
        <w:footnoteRef/>
      </w:r>
      <w:r w:rsidRPr="001256DC">
        <w:rPr>
          <w:rFonts w:asciiTheme="majorHAnsi" w:hAnsiTheme="majorHAnsi" w:cstheme="majorHAnsi"/>
          <w:sz w:val="16"/>
          <w:szCs w:val="16"/>
        </w:rPr>
        <w:t xml:space="preserve"> </w:t>
      </w:r>
      <w:r w:rsidRPr="004B5350">
        <w:rPr>
          <w:rFonts w:asciiTheme="majorHAnsi" w:hAnsiTheme="majorHAnsi" w:cstheme="majorHAnsi"/>
          <w:sz w:val="16"/>
          <w:szCs w:val="16"/>
        </w:rPr>
        <w:t xml:space="preserve">Pct. 3.2 din </w:t>
      </w:r>
      <w:r w:rsidRPr="004B5350">
        <w:rPr>
          <w:rFonts w:asciiTheme="majorHAnsi" w:eastAsia="Times New Roman" w:hAnsiTheme="majorHAnsi" w:cstheme="majorHAnsi"/>
          <w:sz w:val="16"/>
          <w:szCs w:val="16"/>
          <w:lang w:val="ro-RO"/>
        </w:rPr>
        <w:t>Normele metodologice privind evidența contabilă și raportarea financiară în sistemul bugetar, aprobate prin Ordinul ministrului finanțelor nr.216 din 28.12.2015</w:t>
      </w:r>
      <w:r w:rsidRPr="001256DC">
        <w:rPr>
          <w:rFonts w:asciiTheme="majorHAnsi" w:eastAsia="Times New Roman" w:hAnsiTheme="majorHAnsi" w:cstheme="majorHAnsi"/>
          <w:sz w:val="16"/>
          <w:szCs w:val="16"/>
          <w:lang w:val="ro-RO"/>
        </w:rPr>
        <w:t>.</w:t>
      </w:r>
    </w:p>
  </w:footnote>
  <w:footnote w:id="11">
    <w:p w:rsidR="00F368DE" w:rsidRPr="001256DC" w:rsidRDefault="00F368DE" w:rsidP="00F368DE">
      <w:pPr>
        <w:spacing w:after="0" w:line="240" w:lineRule="auto"/>
        <w:rPr>
          <w:rFonts w:asciiTheme="majorHAnsi" w:eastAsia="Calibri" w:hAnsiTheme="majorHAnsi" w:cstheme="majorHAnsi"/>
          <w:sz w:val="16"/>
          <w:szCs w:val="16"/>
          <w:lang w:val="ro-RO"/>
        </w:rPr>
      </w:pPr>
      <w:r w:rsidRPr="001256DC">
        <w:rPr>
          <w:rStyle w:val="a7"/>
          <w:rFonts w:asciiTheme="majorHAnsi" w:hAnsiTheme="majorHAnsi" w:cstheme="majorHAnsi"/>
          <w:sz w:val="16"/>
          <w:szCs w:val="16"/>
        </w:rPr>
        <w:footnoteRef/>
      </w:r>
      <w:r w:rsidRPr="001256DC">
        <w:rPr>
          <w:rFonts w:asciiTheme="majorHAnsi" w:hAnsiTheme="majorHAnsi" w:cstheme="majorHAnsi"/>
          <w:sz w:val="16"/>
          <w:szCs w:val="16"/>
        </w:rPr>
        <w:t xml:space="preserve"> </w:t>
      </w:r>
      <w:r w:rsidRPr="001256DC">
        <w:rPr>
          <w:rFonts w:asciiTheme="majorHAnsi" w:hAnsiTheme="majorHAnsi" w:cstheme="majorHAnsi"/>
          <w:sz w:val="16"/>
          <w:szCs w:val="16"/>
          <w:lang w:val="ro-RO"/>
        </w:rPr>
        <w:t xml:space="preserve">Pct. </w:t>
      </w:r>
      <w:r w:rsidRPr="001256DC">
        <w:rPr>
          <w:rFonts w:asciiTheme="majorHAnsi" w:eastAsia="Times New Roman" w:hAnsiTheme="majorHAnsi" w:cstheme="majorHAnsi"/>
          <w:bCs/>
          <w:sz w:val="16"/>
          <w:szCs w:val="16"/>
          <w:lang w:val="ro-RO"/>
        </w:rPr>
        <w:t>3.3.44 din</w:t>
      </w:r>
      <w:r w:rsidRPr="001256DC">
        <w:rPr>
          <w:rFonts w:asciiTheme="majorHAnsi" w:eastAsia="Times New Roman" w:hAnsiTheme="majorHAnsi" w:cstheme="majorHAnsi"/>
          <w:b/>
          <w:bCs/>
          <w:sz w:val="16"/>
          <w:szCs w:val="16"/>
          <w:lang w:val="ro-RO"/>
        </w:rPr>
        <w:t xml:space="preserve"> </w:t>
      </w:r>
      <w:r w:rsidRPr="001256DC">
        <w:rPr>
          <w:rFonts w:asciiTheme="majorHAnsi" w:eastAsia="Times New Roman" w:hAnsiTheme="majorHAnsi" w:cstheme="majorHAnsi"/>
          <w:sz w:val="16"/>
          <w:szCs w:val="16"/>
          <w:lang w:val="ro-RO"/>
        </w:rPr>
        <w:t>Planul de conturi contabile în sistemul bugetar și Normele metodologice privind evidența contabilă și raportarea financiară în sistemul bugetar, aprobate prin Ordinul ministrului finanțelor nr.216 din 28.12.2015</w:t>
      </w:r>
      <w:r>
        <w:rPr>
          <w:rFonts w:asciiTheme="majorHAnsi" w:eastAsia="Times New Roman" w:hAnsiTheme="majorHAnsi" w:cstheme="majorHAnsi"/>
          <w:sz w:val="16"/>
          <w:szCs w:val="16"/>
          <w:lang w:val="ro-RO"/>
        </w:rPr>
        <w:t>.</w:t>
      </w:r>
      <w:r w:rsidRPr="001256DC">
        <w:rPr>
          <w:rFonts w:asciiTheme="majorHAnsi" w:eastAsia="Times New Roman" w:hAnsiTheme="majorHAnsi" w:cstheme="majorHAnsi"/>
          <w:sz w:val="16"/>
          <w:szCs w:val="16"/>
          <w:lang w:val="ro-RO"/>
        </w:rPr>
        <w:t xml:space="preserve"> </w:t>
      </w:r>
    </w:p>
  </w:footnote>
  <w:footnote w:id="12">
    <w:p w:rsidR="00F368DE" w:rsidRPr="001256DC" w:rsidRDefault="00F368DE" w:rsidP="00F368DE">
      <w:pPr>
        <w:spacing w:after="0" w:line="240" w:lineRule="auto"/>
        <w:rPr>
          <w:rFonts w:asciiTheme="majorHAnsi" w:eastAsia="Calibri" w:hAnsiTheme="majorHAnsi" w:cstheme="majorHAnsi"/>
          <w:sz w:val="16"/>
          <w:szCs w:val="16"/>
          <w:lang w:val="ro-RO"/>
        </w:rPr>
      </w:pPr>
      <w:r w:rsidRPr="001B3483">
        <w:rPr>
          <w:rStyle w:val="a7"/>
          <w:rFonts w:asciiTheme="majorHAnsi" w:hAnsiTheme="majorHAnsi" w:cstheme="majorHAnsi"/>
          <w:sz w:val="16"/>
          <w:szCs w:val="16"/>
        </w:rPr>
        <w:footnoteRef/>
      </w:r>
      <w:r w:rsidRPr="001B3483">
        <w:rPr>
          <w:rFonts w:asciiTheme="majorHAnsi" w:hAnsiTheme="majorHAnsi" w:cstheme="majorHAnsi"/>
          <w:sz w:val="16"/>
          <w:szCs w:val="16"/>
        </w:rPr>
        <w:t xml:space="preserve"> </w:t>
      </w:r>
      <w:r w:rsidRPr="001B3483">
        <w:rPr>
          <w:rFonts w:asciiTheme="majorHAnsi" w:hAnsiTheme="majorHAnsi" w:cstheme="majorHAnsi"/>
          <w:sz w:val="16"/>
          <w:szCs w:val="16"/>
          <w:lang w:val="ro-RO"/>
        </w:rPr>
        <w:t>H</w:t>
      </w:r>
      <w:r>
        <w:rPr>
          <w:rFonts w:asciiTheme="majorHAnsi" w:hAnsiTheme="majorHAnsi" w:cstheme="majorHAnsi"/>
          <w:sz w:val="16"/>
          <w:szCs w:val="16"/>
          <w:lang w:val="ro-RO"/>
        </w:rPr>
        <w:t xml:space="preserve">otărârea </w:t>
      </w:r>
      <w:r w:rsidRPr="001B3483">
        <w:rPr>
          <w:rFonts w:asciiTheme="majorHAnsi" w:hAnsiTheme="majorHAnsi" w:cstheme="majorHAnsi"/>
          <w:sz w:val="16"/>
          <w:szCs w:val="16"/>
          <w:lang w:val="ro-RO"/>
        </w:rPr>
        <w:t>G</w:t>
      </w:r>
      <w:r>
        <w:rPr>
          <w:rFonts w:asciiTheme="majorHAnsi" w:hAnsiTheme="majorHAnsi" w:cstheme="majorHAnsi"/>
          <w:sz w:val="16"/>
          <w:szCs w:val="16"/>
          <w:lang w:val="ro-RO"/>
        </w:rPr>
        <w:t>uvernului</w:t>
      </w:r>
      <w:r w:rsidRPr="001B3483">
        <w:rPr>
          <w:rFonts w:asciiTheme="majorHAnsi" w:hAnsiTheme="majorHAnsi" w:cstheme="majorHAnsi"/>
          <w:sz w:val="16"/>
          <w:szCs w:val="16"/>
          <w:lang w:val="ro-RO"/>
        </w:rPr>
        <w:t xml:space="preserve"> nr. 338</w:t>
      </w:r>
      <w:r w:rsidRPr="001256DC">
        <w:rPr>
          <w:rFonts w:asciiTheme="majorHAnsi" w:hAnsiTheme="majorHAnsi" w:cstheme="majorHAnsi"/>
          <w:sz w:val="16"/>
          <w:szCs w:val="16"/>
          <w:lang w:val="ro-RO"/>
        </w:rPr>
        <w:t xml:space="preserve"> din 21.03.2003 </w:t>
      </w:r>
      <w:r>
        <w:rPr>
          <w:rFonts w:asciiTheme="majorHAnsi" w:hAnsiTheme="majorHAnsi" w:cstheme="majorHAnsi"/>
          <w:sz w:val="16"/>
          <w:szCs w:val="16"/>
          <w:lang w:val="ro-RO"/>
        </w:rPr>
        <w:t>„C</w:t>
      </w:r>
      <w:r w:rsidRPr="001256DC">
        <w:rPr>
          <w:rFonts w:asciiTheme="majorHAnsi" w:hAnsiTheme="majorHAnsi" w:cstheme="majorHAnsi"/>
          <w:sz w:val="16"/>
          <w:szCs w:val="16"/>
          <w:lang w:val="ro-RO"/>
        </w:rPr>
        <w:t>u privire la aprobarea Catalogului mijloacelor fixe și activelor nemateriale</w:t>
      </w:r>
      <w:r>
        <w:rPr>
          <w:rFonts w:asciiTheme="majorHAnsi" w:hAnsiTheme="majorHAnsi" w:cstheme="majorHAnsi"/>
          <w:sz w:val="16"/>
          <w:szCs w:val="16"/>
          <w:lang w:val="ro-RO"/>
        </w:rPr>
        <w:t>”</w:t>
      </w:r>
      <w:r w:rsidRPr="001256DC">
        <w:rPr>
          <w:rFonts w:asciiTheme="majorHAnsi" w:hAnsiTheme="majorHAnsi" w:cstheme="majorHAnsi"/>
          <w:sz w:val="16"/>
          <w:szCs w:val="16"/>
          <w:lang w:val="ro-RO"/>
        </w:rPr>
        <w:t>.</w:t>
      </w:r>
    </w:p>
  </w:footnote>
  <w:footnote w:id="13">
    <w:p w:rsidR="00F368DE" w:rsidRPr="001256DC" w:rsidRDefault="00F368DE" w:rsidP="00F368DE">
      <w:pPr>
        <w:pStyle w:val="a5"/>
        <w:rPr>
          <w:rFonts w:asciiTheme="majorHAnsi" w:hAnsiTheme="majorHAnsi" w:cstheme="majorHAnsi"/>
          <w:sz w:val="16"/>
          <w:szCs w:val="16"/>
          <w:lang w:val="ro-RO"/>
        </w:rPr>
      </w:pPr>
      <w:r w:rsidRPr="001256DC">
        <w:rPr>
          <w:rStyle w:val="a7"/>
          <w:rFonts w:asciiTheme="majorHAnsi" w:hAnsiTheme="majorHAnsi" w:cstheme="majorHAnsi"/>
          <w:sz w:val="16"/>
          <w:szCs w:val="16"/>
        </w:rPr>
        <w:footnoteRef/>
      </w:r>
      <w:r w:rsidRPr="001256DC">
        <w:rPr>
          <w:rFonts w:asciiTheme="majorHAnsi" w:hAnsiTheme="majorHAnsi" w:cstheme="majorHAnsi"/>
          <w:sz w:val="16"/>
          <w:szCs w:val="16"/>
        </w:rPr>
        <w:t xml:space="preserve"> </w:t>
      </w:r>
      <w:r w:rsidRPr="001256DC">
        <w:rPr>
          <w:rFonts w:asciiTheme="majorHAnsi" w:hAnsiTheme="majorHAnsi" w:cstheme="majorHAnsi"/>
          <w:bCs/>
          <w:color w:val="313131"/>
          <w:sz w:val="16"/>
          <w:szCs w:val="16"/>
          <w:shd w:val="clear" w:color="auto" w:fill="FFFFFF"/>
        </w:rPr>
        <w:t xml:space="preserve">S.N.C.13 </w:t>
      </w:r>
      <w:r>
        <w:rPr>
          <w:rFonts w:asciiTheme="majorHAnsi" w:hAnsiTheme="majorHAnsi" w:cstheme="majorHAnsi"/>
          <w:bCs/>
          <w:color w:val="313131"/>
          <w:sz w:val="16"/>
          <w:szCs w:val="16"/>
          <w:shd w:val="clear" w:color="auto" w:fill="FFFFFF"/>
        </w:rPr>
        <w:t>„</w:t>
      </w:r>
      <w:r w:rsidRPr="001256DC">
        <w:rPr>
          <w:rFonts w:asciiTheme="majorHAnsi" w:hAnsiTheme="majorHAnsi" w:cstheme="majorHAnsi"/>
          <w:bCs/>
          <w:sz w:val="16"/>
          <w:szCs w:val="16"/>
          <w:shd w:val="clear" w:color="auto" w:fill="FFFFFF"/>
          <w:lang w:val="ro-RO"/>
        </w:rPr>
        <w:t>Contabilitatea activelor nemateriale"</w:t>
      </w:r>
      <w:r>
        <w:rPr>
          <w:rFonts w:asciiTheme="majorHAnsi" w:hAnsiTheme="majorHAnsi" w:cstheme="majorHAnsi"/>
          <w:bCs/>
          <w:sz w:val="16"/>
          <w:szCs w:val="16"/>
          <w:shd w:val="clear" w:color="auto" w:fill="FFFFFF"/>
          <w:lang w:val="ro-RO"/>
        </w:rPr>
        <w:t>,</w:t>
      </w:r>
      <w:r w:rsidRPr="001256DC">
        <w:rPr>
          <w:rFonts w:asciiTheme="majorHAnsi" w:hAnsiTheme="majorHAnsi" w:cstheme="majorHAnsi"/>
          <w:sz w:val="16"/>
          <w:szCs w:val="16"/>
          <w:shd w:val="clear" w:color="auto" w:fill="FFFFFF"/>
          <w:lang w:val="ro-RO"/>
        </w:rPr>
        <w:t xml:space="preserve"> aprobat prin Ordinul ministrului finanțelor nr.16 din 29 ianuarie 1999. </w:t>
      </w:r>
    </w:p>
  </w:footnote>
  <w:footnote w:id="14">
    <w:p w:rsidR="00F368DE" w:rsidRPr="00EF43DF" w:rsidRDefault="00F368DE" w:rsidP="00F368DE">
      <w:pPr>
        <w:spacing w:after="0" w:line="240" w:lineRule="auto"/>
        <w:rPr>
          <w:rFonts w:asciiTheme="majorHAnsi" w:eastAsia="Times New Roman" w:hAnsiTheme="majorHAnsi" w:cstheme="majorHAnsi"/>
          <w:sz w:val="16"/>
          <w:szCs w:val="16"/>
          <w:lang w:val="ro-RO"/>
        </w:rPr>
      </w:pPr>
      <w:r w:rsidRPr="00EF43DF">
        <w:rPr>
          <w:rStyle w:val="a7"/>
          <w:rFonts w:asciiTheme="majorHAnsi" w:hAnsiTheme="majorHAnsi" w:cstheme="majorHAnsi"/>
          <w:sz w:val="16"/>
          <w:szCs w:val="16"/>
          <w:lang w:val="ro-RO"/>
        </w:rPr>
        <w:footnoteRef/>
      </w:r>
      <w:r w:rsidRPr="00EF43DF">
        <w:rPr>
          <w:rFonts w:asciiTheme="majorHAnsi" w:hAnsiTheme="majorHAnsi" w:cstheme="majorHAnsi"/>
          <w:sz w:val="16"/>
          <w:szCs w:val="16"/>
          <w:lang w:val="ro-RO"/>
        </w:rPr>
        <w:t xml:space="preserve"> Pct. 20 și </w:t>
      </w:r>
      <w:r>
        <w:rPr>
          <w:rFonts w:asciiTheme="majorHAnsi" w:hAnsiTheme="majorHAnsi" w:cstheme="majorHAnsi"/>
          <w:sz w:val="16"/>
          <w:szCs w:val="16"/>
          <w:lang w:val="ro-RO"/>
        </w:rPr>
        <w:t>pct.</w:t>
      </w:r>
      <w:r w:rsidRPr="00EF43DF">
        <w:rPr>
          <w:rFonts w:asciiTheme="majorHAnsi" w:hAnsiTheme="majorHAnsi" w:cstheme="majorHAnsi"/>
          <w:sz w:val="16"/>
          <w:szCs w:val="16"/>
          <w:lang w:val="ro-RO"/>
        </w:rPr>
        <w:t>22 din C</w:t>
      </w:r>
      <w:r w:rsidRPr="00EF43DF">
        <w:rPr>
          <w:rFonts w:asciiTheme="majorHAnsi" w:eastAsia="Times New Roman" w:hAnsiTheme="majorHAnsi" w:cstheme="majorHAnsi"/>
          <w:sz w:val="16"/>
          <w:szCs w:val="16"/>
          <w:lang w:val="ro-RO"/>
        </w:rPr>
        <w:t xml:space="preserve">atalogul mijloacelor fixe </w:t>
      </w:r>
      <w:proofErr w:type="spellStart"/>
      <w:r w:rsidRPr="00EF43DF">
        <w:rPr>
          <w:rFonts w:asciiTheme="majorHAnsi" w:eastAsia="Times New Roman" w:hAnsiTheme="majorHAnsi" w:cstheme="majorHAnsi"/>
          <w:sz w:val="16"/>
          <w:szCs w:val="16"/>
          <w:lang w:val="ro-RO"/>
        </w:rPr>
        <w:t>şi</w:t>
      </w:r>
      <w:proofErr w:type="spellEnd"/>
      <w:r w:rsidRPr="00EF43DF">
        <w:rPr>
          <w:rFonts w:asciiTheme="majorHAnsi" w:eastAsia="Times New Roman" w:hAnsiTheme="majorHAnsi" w:cstheme="majorHAnsi"/>
          <w:sz w:val="16"/>
          <w:szCs w:val="16"/>
          <w:lang w:val="ro-RO"/>
        </w:rPr>
        <w:t xml:space="preserve"> activelor nemateriale, aprobat prin Hotărârea Guvernului nr. 338 din 21.03.2003. </w:t>
      </w:r>
    </w:p>
  </w:footnote>
  <w:footnote w:id="15">
    <w:p w:rsidR="00F368DE" w:rsidRPr="00EF43DF" w:rsidRDefault="00F368DE" w:rsidP="00F368DE">
      <w:pPr>
        <w:pStyle w:val="a5"/>
        <w:rPr>
          <w:rFonts w:asciiTheme="majorHAnsi" w:hAnsiTheme="majorHAnsi" w:cstheme="majorHAnsi"/>
          <w:sz w:val="16"/>
          <w:szCs w:val="16"/>
          <w:lang w:val="ro-RO"/>
        </w:rPr>
      </w:pPr>
      <w:r w:rsidRPr="00EF43DF">
        <w:rPr>
          <w:rStyle w:val="a7"/>
          <w:rFonts w:asciiTheme="majorHAnsi" w:hAnsiTheme="majorHAnsi" w:cstheme="majorHAnsi"/>
          <w:sz w:val="16"/>
          <w:szCs w:val="16"/>
        </w:rPr>
        <w:footnoteRef/>
      </w:r>
      <w:r w:rsidRPr="00EF43DF">
        <w:rPr>
          <w:rFonts w:asciiTheme="majorHAnsi" w:hAnsiTheme="majorHAnsi" w:cstheme="majorHAnsi"/>
          <w:sz w:val="16"/>
          <w:szCs w:val="16"/>
        </w:rPr>
        <w:t xml:space="preserve"> Pct. 3.3.9 din </w:t>
      </w:r>
      <w:r w:rsidRPr="00EF43DF">
        <w:rPr>
          <w:rFonts w:asciiTheme="majorHAnsi" w:eastAsia="Times New Roman" w:hAnsiTheme="majorHAnsi" w:cstheme="majorHAnsi"/>
          <w:sz w:val="16"/>
          <w:szCs w:val="16"/>
          <w:lang w:val="ro-RO"/>
        </w:rPr>
        <w:t>Normele metodologice privind evidența contabilă și raportarea financiară în sistemul bugetar, aprobate prin Ordinul ministrului finanțelor nr.216 din 28.12.2015.</w:t>
      </w:r>
    </w:p>
  </w:footnote>
  <w:footnote w:id="16">
    <w:p w:rsidR="00F368DE" w:rsidRPr="00EF43DF" w:rsidRDefault="00F368DE" w:rsidP="00F368DE">
      <w:pPr>
        <w:pStyle w:val="a5"/>
        <w:rPr>
          <w:rFonts w:asciiTheme="majorHAnsi" w:hAnsiTheme="majorHAnsi" w:cstheme="majorHAnsi"/>
          <w:sz w:val="16"/>
          <w:szCs w:val="16"/>
        </w:rPr>
      </w:pPr>
      <w:r w:rsidRPr="00EF43DF">
        <w:rPr>
          <w:rStyle w:val="a7"/>
          <w:rFonts w:asciiTheme="majorHAnsi" w:hAnsiTheme="majorHAnsi" w:cstheme="majorHAnsi"/>
          <w:sz w:val="16"/>
          <w:szCs w:val="16"/>
        </w:rPr>
        <w:footnoteRef/>
      </w:r>
      <w:r w:rsidRPr="00EF43DF">
        <w:rPr>
          <w:rFonts w:asciiTheme="majorHAnsi" w:hAnsiTheme="majorHAnsi" w:cstheme="majorHAnsi"/>
          <w:sz w:val="16"/>
          <w:szCs w:val="16"/>
        </w:rPr>
        <w:t xml:space="preserve"> Pct.</w:t>
      </w:r>
      <w:r w:rsidRPr="00EF43DF">
        <w:rPr>
          <w:rFonts w:asciiTheme="majorHAnsi" w:eastAsia="Times New Roman" w:hAnsiTheme="majorHAnsi" w:cstheme="majorHAnsi"/>
          <w:bCs/>
          <w:sz w:val="16"/>
          <w:szCs w:val="16"/>
        </w:rPr>
        <w:t>3.3.41</w:t>
      </w:r>
      <w:r w:rsidRPr="00EF43DF">
        <w:rPr>
          <w:rFonts w:asciiTheme="majorHAnsi" w:eastAsia="Times New Roman" w:hAnsiTheme="majorHAnsi" w:cstheme="majorHAnsi"/>
          <w:sz w:val="16"/>
          <w:szCs w:val="16"/>
          <w:lang w:val="ro-RO"/>
        </w:rPr>
        <w:t xml:space="preserve"> </w:t>
      </w:r>
      <w:r>
        <w:rPr>
          <w:rFonts w:asciiTheme="majorHAnsi" w:eastAsia="Times New Roman" w:hAnsiTheme="majorHAnsi" w:cstheme="majorHAnsi"/>
          <w:sz w:val="16"/>
          <w:szCs w:val="16"/>
          <w:lang w:val="ro-RO"/>
        </w:rPr>
        <w:t xml:space="preserve">din </w:t>
      </w:r>
      <w:r w:rsidRPr="00EF43DF">
        <w:rPr>
          <w:rFonts w:asciiTheme="majorHAnsi" w:eastAsia="Times New Roman" w:hAnsiTheme="majorHAnsi" w:cstheme="majorHAnsi"/>
          <w:sz w:val="16"/>
          <w:szCs w:val="16"/>
          <w:lang w:val="ro-RO"/>
        </w:rPr>
        <w:t>Normele metodologice privind evidența contabilă și raportarea financiară în sistemul bugetar, aprobate prin Ordinul ministrului finanțelor nr.216 din 28.12.2015.</w:t>
      </w:r>
    </w:p>
  </w:footnote>
  <w:footnote w:id="17">
    <w:p w:rsidR="00F368DE" w:rsidRPr="00CD0E0F" w:rsidRDefault="00F368DE" w:rsidP="00F368DE">
      <w:pPr>
        <w:pStyle w:val="a5"/>
        <w:rPr>
          <w:rFonts w:asciiTheme="majorHAnsi" w:hAnsiTheme="majorHAnsi" w:cstheme="majorHAnsi"/>
          <w:sz w:val="16"/>
          <w:szCs w:val="16"/>
          <w:lang w:val="ro-RO"/>
        </w:rPr>
      </w:pPr>
      <w:r w:rsidRPr="00CD0E0F">
        <w:rPr>
          <w:rStyle w:val="a7"/>
          <w:rFonts w:asciiTheme="majorHAnsi" w:hAnsiTheme="majorHAnsi" w:cstheme="majorHAnsi"/>
          <w:sz w:val="16"/>
          <w:szCs w:val="16"/>
          <w:lang w:val="ro-RO"/>
        </w:rPr>
        <w:footnoteRef/>
      </w:r>
      <w:r>
        <w:rPr>
          <w:rFonts w:asciiTheme="majorHAnsi" w:hAnsiTheme="majorHAnsi" w:cstheme="majorHAnsi"/>
          <w:sz w:val="16"/>
          <w:szCs w:val="16"/>
          <w:lang w:val="ro-RO"/>
        </w:rPr>
        <w:t xml:space="preserve"> </w:t>
      </w:r>
      <w:r w:rsidRPr="00CD0E0F">
        <w:rPr>
          <w:rFonts w:asciiTheme="majorHAnsi" w:hAnsiTheme="majorHAnsi" w:cstheme="majorHAnsi"/>
          <w:sz w:val="16"/>
          <w:szCs w:val="16"/>
          <w:lang w:val="ro-RO"/>
        </w:rPr>
        <w:t>Art. 37 alin.(5) din Legea contabilității nr.113-XVI din 27.04.2007; pct. 1.4.1.3. din Anexa nr.1 la Ordinul ministrului finanțelor nr.216 din 28.12.2015.</w:t>
      </w:r>
    </w:p>
  </w:footnote>
  <w:footnote w:id="18">
    <w:p w:rsidR="00F368DE" w:rsidRPr="00CD0E0F" w:rsidRDefault="00F368DE" w:rsidP="00F368DE">
      <w:pPr>
        <w:pStyle w:val="a5"/>
        <w:rPr>
          <w:rFonts w:asciiTheme="majorHAnsi" w:hAnsiTheme="majorHAnsi" w:cstheme="majorHAnsi"/>
          <w:sz w:val="16"/>
          <w:szCs w:val="16"/>
          <w:lang w:val="ro-RO"/>
        </w:rPr>
      </w:pPr>
      <w:r w:rsidRPr="00CD0E0F">
        <w:rPr>
          <w:rStyle w:val="a7"/>
          <w:rFonts w:asciiTheme="majorHAnsi" w:hAnsiTheme="majorHAnsi" w:cstheme="majorHAnsi"/>
          <w:sz w:val="16"/>
          <w:szCs w:val="16"/>
          <w:lang w:val="ro-RO"/>
        </w:rPr>
        <w:footnoteRef/>
      </w:r>
      <w:r w:rsidRPr="00CD0E0F">
        <w:rPr>
          <w:rFonts w:asciiTheme="majorHAnsi" w:hAnsiTheme="majorHAnsi" w:cstheme="majorHAnsi"/>
          <w:sz w:val="16"/>
          <w:szCs w:val="16"/>
          <w:lang w:val="ro-RO"/>
        </w:rPr>
        <w:t xml:space="preserve"> Art. 13 alin.(2) din Legea contabilității nr.113-XVI din 27.04.2007.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166" w:rsidRPr="00FD4166" w:rsidRDefault="00FC308B" w:rsidP="00FD4166">
    <w:pPr>
      <w:pStyle w:val="aa"/>
      <w:jc w:val="right"/>
      <w:rPr>
        <w:rFonts w:asciiTheme="majorHAnsi" w:hAnsiTheme="majorHAnsi" w:cstheme="majorHAnsi"/>
        <w:b/>
        <w:sz w:val="24"/>
        <w:szCs w:val="24"/>
      </w:rPr>
    </w:pPr>
    <w:r>
      <w:rPr>
        <w:rFonts w:asciiTheme="majorHAnsi" w:hAnsiTheme="majorHAnsi" w:cstheme="majorHAnsi"/>
        <w:b/>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23"/>
    <w:rsid w:val="00124314"/>
    <w:rsid w:val="00184302"/>
    <w:rsid w:val="001A01D5"/>
    <w:rsid w:val="001E0DA9"/>
    <w:rsid w:val="00321D23"/>
    <w:rsid w:val="0037320C"/>
    <w:rsid w:val="005A19FA"/>
    <w:rsid w:val="005B697F"/>
    <w:rsid w:val="006541B3"/>
    <w:rsid w:val="00705B41"/>
    <w:rsid w:val="00757320"/>
    <w:rsid w:val="008131C6"/>
    <w:rsid w:val="00836E12"/>
    <w:rsid w:val="008B1C80"/>
    <w:rsid w:val="008F1D8C"/>
    <w:rsid w:val="009D4478"/>
    <w:rsid w:val="00D67181"/>
    <w:rsid w:val="00F368DE"/>
    <w:rsid w:val="00FC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2B63"/>
  <w15:chartTrackingRefBased/>
  <w15:docId w15:val="{8C3772E2-864D-4752-9A64-BE77B0DD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8DE"/>
    <w:pPr>
      <w:jc w:val="both"/>
    </w:pPr>
    <w:rPr>
      <w:rFonts w:ascii="Times New Roman" w:hAnsi="Times New Roman"/>
      <w:sz w:val="28"/>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6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368DE"/>
    <w:rPr>
      <w:color w:val="0563C1" w:themeColor="hyperlink"/>
      <w:u w:val="single"/>
    </w:rPr>
  </w:style>
  <w:style w:type="paragraph" w:styleId="a5">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a"/>
    <w:link w:val="a6"/>
    <w:unhideWhenUsed/>
    <w:qFormat/>
    <w:rsid w:val="00F368DE"/>
    <w:pPr>
      <w:spacing w:after="0" w:line="240" w:lineRule="auto"/>
    </w:pPr>
    <w:rPr>
      <w:sz w:val="20"/>
      <w:szCs w:val="20"/>
      <w:lang w:val="en-US"/>
    </w:rPr>
  </w:style>
  <w:style w:type="character" w:customStyle="1" w:styleId="a6">
    <w:name w:val="Текст сноски Знак"/>
    <w:aliases w:val="Char Знак,Знак1 Знак,single space Знак,FOOTNOTES Знак,fn Знак,Footnote Text Char1 Знак,Footnote Text Char2 Char Знак,Footnote Text Char1 Char Char Знак,Footnote Text Char2 Char Char Char Знак,Cha Знак,A Знак,Знак Знак, Char Знак"/>
    <w:basedOn w:val="a0"/>
    <w:link w:val="a5"/>
    <w:rsid w:val="00F368DE"/>
    <w:rPr>
      <w:rFonts w:ascii="Times New Roman" w:hAnsi="Times New Roman"/>
      <w:sz w:val="20"/>
      <w:szCs w:val="20"/>
    </w:rPr>
  </w:style>
  <w:style w:type="character" w:styleId="a7">
    <w:name w:val="footnote reference"/>
    <w:aliases w:val="ftref,Times 10 Point,Exposant 3 Point,Footnote symbol,Footnote reference number,EN Footnote Reference,note TESI,16 Point,Superscript 6 Point,BVI fnr,Footnote Text Char2,FOOTNOTES Char1,fn Char1,single space Char1,ft Char1,Ref,fr"/>
    <w:basedOn w:val="a0"/>
    <w:link w:val="FNRefeCharChar"/>
    <w:uiPriority w:val="99"/>
    <w:unhideWhenUsed/>
    <w:rsid w:val="00F368DE"/>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F368DE"/>
    <w:pPr>
      <w:spacing w:line="240" w:lineRule="exact"/>
    </w:pPr>
    <w:rPr>
      <w:rFonts w:asciiTheme="minorHAnsi" w:hAnsiTheme="minorHAnsi"/>
      <w:sz w:val="22"/>
      <w:vertAlign w:val="superscript"/>
      <w:lang w:val="en-US"/>
    </w:rPr>
  </w:style>
  <w:style w:type="paragraph" w:styleId="a8">
    <w:name w:val="footer"/>
    <w:basedOn w:val="a"/>
    <w:link w:val="a9"/>
    <w:uiPriority w:val="99"/>
    <w:unhideWhenUsed/>
    <w:rsid w:val="00F368DE"/>
    <w:pPr>
      <w:tabs>
        <w:tab w:val="center" w:pos="4844"/>
        <w:tab w:val="right" w:pos="9689"/>
      </w:tabs>
      <w:spacing w:after="0" w:line="240" w:lineRule="auto"/>
    </w:pPr>
  </w:style>
  <w:style w:type="character" w:customStyle="1" w:styleId="a9">
    <w:name w:val="Нижний колонтитул Знак"/>
    <w:basedOn w:val="a0"/>
    <w:link w:val="a8"/>
    <w:uiPriority w:val="99"/>
    <w:rsid w:val="00F368DE"/>
    <w:rPr>
      <w:rFonts w:ascii="Times New Roman" w:hAnsi="Times New Roman"/>
      <w:sz w:val="28"/>
      <w:lang w:val="ro-MD"/>
    </w:rPr>
  </w:style>
  <w:style w:type="paragraph" w:styleId="aa">
    <w:name w:val="header"/>
    <w:basedOn w:val="a"/>
    <w:link w:val="ab"/>
    <w:uiPriority w:val="99"/>
    <w:unhideWhenUsed/>
    <w:rsid w:val="00F368DE"/>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F368DE"/>
    <w:rPr>
      <w:rFonts w:ascii="Times New Roman" w:hAnsi="Times New Roman"/>
      <w:sz w:val="28"/>
      <w:lang w:val="ro-MD"/>
    </w:rPr>
  </w:style>
  <w:style w:type="paragraph" w:styleId="ac">
    <w:name w:val="Balloon Text"/>
    <w:basedOn w:val="a"/>
    <w:link w:val="ad"/>
    <w:uiPriority w:val="99"/>
    <w:semiHidden/>
    <w:unhideWhenUsed/>
    <w:rsid w:val="00705B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05B41"/>
    <w:rPr>
      <w:rFonts w:ascii="Segoe UI" w:hAnsi="Segoe UI" w:cs="Segoe UI"/>
      <w:sz w:val="18"/>
      <w:szCs w:val="18"/>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rm@ccrm.m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crm.m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crm.md/activitatea-curtii-de-conturi-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Bulmaga Ion</dc:creator>
  <cp:keywords/>
  <dc:description/>
  <cp:lastModifiedBy>Suhan Tudor</cp:lastModifiedBy>
  <cp:revision>5</cp:revision>
  <cp:lastPrinted>2020-08-03T07:19:00Z</cp:lastPrinted>
  <dcterms:created xsi:type="dcterms:W3CDTF">2020-07-30T10:20:00Z</dcterms:created>
  <dcterms:modified xsi:type="dcterms:W3CDTF">2020-08-03T07:24:00Z</dcterms:modified>
</cp:coreProperties>
</file>