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DB7" w:rsidRPr="0024512C" w:rsidRDefault="00C8468E" w:rsidP="004A4AD1">
      <w:pPr>
        <w:tabs>
          <w:tab w:val="left" w:pos="720"/>
        </w:tabs>
        <w:spacing w:after="0" w:line="276" w:lineRule="auto"/>
        <w:jc w:val="right"/>
        <w:rPr>
          <w:rFonts w:asciiTheme="majorHAnsi" w:eastAsia="Times New Roman" w:hAnsiTheme="majorHAnsi" w:cstheme="majorHAnsi"/>
          <w:b/>
          <w:i/>
          <w:sz w:val="24"/>
          <w:szCs w:val="24"/>
          <w:lang w:val="ro-MD" w:eastAsia="ro-RO"/>
        </w:rPr>
      </w:pPr>
      <w:r w:rsidRPr="00321F59">
        <w:rPr>
          <w:rFonts w:ascii="Times New Roman" w:eastAsia="Times New Roman" w:hAnsi="Times New Roman" w:cs="Times New Roman"/>
          <w:sz w:val="28"/>
          <w:szCs w:val="24"/>
          <w:lang w:val="ro-MD" w:eastAsia="ro-RO"/>
        </w:rPr>
        <w:tab/>
      </w:r>
      <w:r w:rsidR="00E85DB7" w:rsidRPr="0024512C">
        <w:rPr>
          <w:rFonts w:asciiTheme="majorHAnsi" w:eastAsia="Times New Roman" w:hAnsiTheme="majorHAnsi" w:cs="Times New Roman"/>
          <w:bCs/>
          <w:sz w:val="24"/>
          <w:szCs w:val="24"/>
          <w:lang w:val="ro-MD"/>
        </w:rPr>
        <w:t xml:space="preserve">Anexă </w:t>
      </w:r>
    </w:p>
    <w:p w:rsidR="00E85DB7" w:rsidRPr="005C74F5" w:rsidRDefault="00E85DB7" w:rsidP="00E85DB7">
      <w:pPr>
        <w:tabs>
          <w:tab w:val="left" w:pos="720"/>
        </w:tabs>
        <w:spacing w:after="0" w:line="276" w:lineRule="auto"/>
        <w:jc w:val="right"/>
        <w:rPr>
          <w:rFonts w:asciiTheme="majorHAnsi" w:eastAsia="Times New Roman" w:hAnsiTheme="majorHAnsi" w:cs="Times New Roman"/>
          <w:bCs/>
          <w:sz w:val="24"/>
          <w:szCs w:val="24"/>
          <w:lang w:val="ro-MD"/>
        </w:rPr>
      </w:pPr>
      <w:r w:rsidRPr="005C74F5">
        <w:rPr>
          <w:rFonts w:asciiTheme="majorHAnsi" w:eastAsia="Times New Roman" w:hAnsiTheme="majorHAnsi" w:cs="Times New Roman"/>
          <w:bCs/>
          <w:sz w:val="24"/>
          <w:szCs w:val="24"/>
          <w:lang w:val="ro-MD"/>
        </w:rPr>
        <w:t xml:space="preserve">la Hotărârea Curții de Conturi </w:t>
      </w:r>
    </w:p>
    <w:p w:rsidR="00E85DB7" w:rsidRPr="0024512C" w:rsidRDefault="00E85DB7" w:rsidP="00E85DB7">
      <w:pPr>
        <w:tabs>
          <w:tab w:val="left" w:pos="720"/>
        </w:tabs>
        <w:spacing w:after="0" w:line="276" w:lineRule="auto"/>
        <w:jc w:val="right"/>
        <w:rPr>
          <w:rFonts w:asciiTheme="majorHAnsi" w:eastAsia="Times New Roman" w:hAnsiTheme="majorHAnsi" w:cs="Times New Roman"/>
          <w:bCs/>
          <w:color w:val="1F4E79" w:themeColor="accent1" w:themeShade="80"/>
          <w:sz w:val="24"/>
          <w:szCs w:val="24"/>
          <w:lang w:val="ro-MD"/>
        </w:rPr>
      </w:pPr>
      <w:r w:rsidRPr="0024512C">
        <w:rPr>
          <w:rFonts w:asciiTheme="majorHAnsi" w:eastAsia="Times New Roman" w:hAnsiTheme="majorHAnsi" w:cs="Times New Roman"/>
          <w:bCs/>
          <w:sz w:val="24"/>
          <w:szCs w:val="24"/>
          <w:lang w:val="ro-MD"/>
        </w:rPr>
        <w:t>nr.</w:t>
      </w:r>
      <w:r w:rsidR="004A4AD1" w:rsidRPr="0024512C">
        <w:rPr>
          <w:rFonts w:asciiTheme="majorHAnsi" w:eastAsia="Times New Roman" w:hAnsiTheme="majorHAnsi" w:cs="Times New Roman"/>
          <w:bCs/>
          <w:sz w:val="24"/>
          <w:szCs w:val="24"/>
          <w:lang w:val="ro-MD"/>
        </w:rPr>
        <w:t xml:space="preserve">40 din </w:t>
      </w:r>
      <w:r w:rsidR="00A5531E" w:rsidRPr="0024512C">
        <w:rPr>
          <w:rFonts w:asciiTheme="majorHAnsi" w:eastAsia="Times New Roman" w:hAnsiTheme="majorHAnsi" w:cs="Times New Roman"/>
          <w:bCs/>
          <w:sz w:val="24"/>
          <w:szCs w:val="24"/>
          <w:lang w:val="ro-MD"/>
        </w:rPr>
        <w:t>28</w:t>
      </w:r>
      <w:r w:rsidR="00CC270F" w:rsidRPr="0024512C">
        <w:rPr>
          <w:rFonts w:asciiTheme="majorHAnsi" w:eastAsia="Times New Roman" w:hAnsiTheme="majorHAnsi" w:cs="Times New Roman"/>
          <w:bCs/>
          <w:sz w:val="24"/>
          <w:szCs w:val="24"/>
          <w:lang w:val="ro-MD"/>
        </w:rPr>
        <w:t xml:space="preserve"> </w:t>
      </w:r>
      <w:r w:rsidR="00AA2CC1" w:rsidRPr="0024512C">
        <w:rPr>
          <w:rFonts w:asciiTheme="majorHAnsi" w:eastAsia="Times New Roman" w:hAnsiTheme="majorHAnsi" w:cs="Times New Roman"/>
          <w:bCs/>
          <w:sz w:val="24"/>
          <w:szCs w:val="24"/>
          <w:lang w:val="ro-MD"/>
        </w:rPr>
        <w:t>iulie</w:t>
      </w:r>
      <w:r w:rsidRPr="0024512C">
        <w:rPr>
          <w:rFonts w:asciiTheme="majorHAnsi" w:eastAsia="Times New Roman" w:hAnsiTheme="majorHAnsi" w:cs="Times New Roman"/>
          <w:bCs/>
          <w:sz w:val="24"/>
          <w:szCs w:val="24"/>
          <w:lang w:val="ro-MD"/>
        </w:rPr>
        <w:t xml:space="preserve"> 2020</w:t>
      </w:r>
    </w:p>
    <w:p w:rsidR="00E85DB7" w:rsidRPr="0024512C" w:rsidRDefault="00E85DB7" w:rsidP="00E85DB7">
      <w:pPr>
        <w:spacing w:after="0" w:line="276" w:lineRule="auto"/>
        <w:rPr>
          <w:rFonts w:asciiTheme="majorHAnsi" w:hAnsiTheme="majorHAnsi" w:cs="Times New Roman"/>
          <w:sz w:val="24"/>
          <w:szCs w:val="24"/>
          <w:lang w:val="ro-MD"/>
        </w:rPr>
      </w:pPr>
    </w:p>
    <w:p w:rsidR="00E85DB7" w:rsidRPr="0024512C" w:rsidRDefault="00E85DB7" w:rsidP="00E85DB7">
      <w:pPr>
        <w:spacing w:after="0" w:line="276" w:lineRule="auto"/>
        <w:rPr>
          <w:rFonts w:asciiTheme="majorHAnsi" w:hAnsiTheme="majorHAnsi" w:cs="Times New Roman"/>
          <w:lang w:val="ro-MD"/>
        </w:rPr>
      </w:pPr>
    </w:p>
    <w:p w:rsidR="00E85DB7" w:rsidRPr="0024512C" w:rsidRDefault="00E85DB7" w:rsidP="00E85DB7">
      <w:pPr>
        <w:spacing w:after="0" w:line="276" w:lineRule="auto"/>
        <w:rPr>
          <w:rFonts w:asciiTheme="majorHAnsi" w:hAnsiTheme="majorHAnsi" w:cs="Times New Roman"/>
          <w:lang w:val="ro-MD"/>
        </w:rPr>
      </w:pPr>
    </w:p>
    <w:p w:rsidR="00E85DB7" w:rsidRPr="0024512C" w:rsidRDefault="00E85DB7" w:rsidP="00E85DB7">
      <w:pPr>
        <w:spacing w:after="0" w:line="276" w:lineRule="auto"/>
        <w:rPr>
          <w:rFonts w:asciiTheme="majorHAnsi" w:hAnsiTheme="majorHAnsi" w:cs="Times New Roman"/>
          <w:lang w:val="ro-MD"/>
        </w:rPr>
      </w:pPr>
    </w:p>
    <w:p w:rsidR="00E85DB7" w:rsidRPr="0024512C" w:rsidRDefault="00E85DB7" w:rsidP="00E85DB7">
      <w:pPr>
        <w:spacing w:after="0" w:line="276" w:lineRule="auto"/>
        <w:jc w:val="center"/>
        <w:rPr>
          <w:rFonts w:asciiTheme="majorHAnsi" w:hAnsiTheme="majorHAnsi" w:cs="Times New Roman"/>
          <w:b/>
          <w:sz w:val="28"/>
          <w:szCs w:val="28"/>
          <w:lang w:val="ro-MD"/>
        </w:rPr>
      </w:pPr>
      <w:r w:rsidRPr="00C85965">
        <w:rPr>
          <w:rFonts w:asciiTheme="majorHAnsi" w:hAnsiTheme="majorHAnsi" w:cs="Times New Roman"/>
          <w:b/>
          <w:noProof/>
          <w:sz w:val="28"/>
          <w:szCs w:val="28"/>
        </w:rPr>
        <w:drawing>
          <wp:inline distT="0" distB="0" distL="0" distR="0" wp14:anchorId="1C6C8720" wp14:editId="0A889E1C">
            <wp:extent cx="1059180" cy="967740"/>
            <wp:effectExtent l="0" t="0" r="7620" b="3810"/>
            <wp:docPr id="13" name="Picture 13" descr="d:\m_savv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_savva\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967740"/>
                    </a:xfrm>
                    <a:prstGeom prst="rect">
                      <a:avLst/>
                    </a:prstGeom>
                    <a:noFill/>
                    <a:ln>
                      <a:noFill/>
                    </a:ln>
                  </pic:spPr>
                </pic:pic>
              </a:graphicData>
            </a:graphic>
          </wp:inline>
        </w:drawing>
      </w:r>
    </w:p>
    <w:p w:rsidR="00E85DB7" w:rsidRPr="005C74F5" w:rsidRDefault="00E85DB7" w:rsidP="00E85DB7">
      <w:pPr>
        <w:spacing w:after="0" w:line="276" w:lineRule="auto"/>
        <w:jc w:val="center"/>
        <w:rPr>
          <w:rFonts w:asciiTheme="majorHAnsi" w:hAnsiTheme="majorHAnsi" w:cs="Times New Roman"/>
          <w:b/>
          <w:sz w:val="28"/>
          <w:szCs w:val="28"/>
          <w:lang w:val="ro-MD"/>
        </w:rPr>
      </w:pPr>
    </w:p>
    <w:p w:rsidR="00E85DB7" w:rsidRPr="0024512C" w:rsidRDefault="00E85DB7" w:rsidP="00E85DB7">
      <w:pPr>
        <w:spacing w:after="0" w:line="276" w:lineRule="auto"/>
        <w:jc w:val="center"/>
        <w:rPr>
          <w:rFonts w:asciiTheme="majorHAnsi" w:hAnsiTheme="majorHAnsi" w:cs="Times New Roman"/>
          <w:b/>
          <w:sz w:val="28"/>
          <w:szCs w:val="28"/>
          <w:lang w:val="ro-MD"/>
        </w:rPr>
      </w:pPr>
    </w:p>
    <w:p w:rsidR="00E85DB7" w:rsidRPr="0024512C" w:rsidRDefault="00E85DB7" w:rsidP="00E85DB7">
      <w:pPr>
        <w:spacing w:after="0" w:line="276" w:lineRule="auto"/>
        <w:jc w:val="center"/>
        <w:rPr>
          <w:rFonts w:asciiTheme="majorHAnsi" w:hAnsiTheme="majorHAnsi" w:cs="Times New Roman"/>
          <w:b/>
          <w:sz w:val="28"/>
          <w:szCs w:val="28"/>
          <w:lang w:val="ro-MD"/>
        </w:rPr>
      </w:pPr>
    </w:p>
    <w:p w:rsidR="00E85DB7" w:rsidRPr="0024512C" w:rsidRDefault="00E85DB7" w:rsidP="00E85DB7">
      <w:pPr>
        <w:spacing w:after="0" w:line="276" w:lineRule="auto"/>
        <w:jc w:val="center"/>
        <w:rPr>
          <w:rFonts w:asciiTheme="majorHAnsi" w:hAnsiTheme="majorHAnsi" w:cs="Times New Roman"/>
          <w:b/>
          <w:sz w:val="28"/>
          <w:szCs w:val="28"/>
          <w:lang w:val="ro-MD"/>
        </w:rPr>
      </w:pPr>
    </w:p>
    <w:p w:rsidR="00E85DB7" w:rsidRPr="0024512C" w:rsidRDefault="00E85DB7" w:rsidP="00E85DB7">
      <w:pPr>
        <w:spacing w:after="0" w:line="276" w:lineRule="auto"/>
        <w:jc w:val="center"/>
        <w:rPr>
          <w:rFonts w:asciiTheme="majorHAnsi" w:hAnsiTheme="majorHAnsi" w:cs="Times New Roman"/>
          <w:b/>
          <w:sz w:val="28"/>
          <w:szCs w:val="28"/>
          <w:lang w:val="ro-MD"/>
        </w:rPr>
      </w:pPr>
      <w:r w:rsidRPr="0024512C">
        <w:rPr>
          <w:rFonts w:asciiTheme="majorHAnsi" w:hAnsiTheme="majorHAnsi" w:cs="Times New Roman"/>
          <w:b/>
          <w:sz w:val="28"/>
          <w:szCs w:val="28"/>
          <w:lang w:val="ro-MD"/>
        </w:rPr>
        <w:t>CURTEA DE CONTURI A REPUBLICII MOLDOVA</w:t>
      </w:r>
    </w:p>
    <w:p w:rsidR="00E85DB7" w:rsidRPr="0024512C" w:rsidRDefault="00E85DB7" w:rsidP="00E85DB7">
      <w:pPr>
        <w:spacing w:after="0" w:line="276" w:lineRule="auto"/>
        <w:rPr>
          <w:rFonts w:asciiTheme="majorHAnsi" w:hAnsiTheme="majorHAnsi" w:cs="Times New Roman"/>
          <w:lang w:val="ro-MD"/>
        </w:rPr>
      </w:pPr>
    </w:p>
    <w:p w:rsidR="00E85DB7" w:rsidRPr="0024512C" w:rsidRDefault="00E85DB7" w:rsidP="00E85DB7">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rsidR="00E85DB7" w:rsidRPr="0024512C" w:rsidRDefault="00E85DB7" w:rsidP="00E85DB7">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tbl>
      <w:tblPr>
        <w:tblStyle w:val="TableGrid1"/>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85DB7" w:rsidRPr="0024512C" w:rsidTr="0048672D">
        <w:trPr>
          <w:trHeight w:val="435"/>
        </w:trPr>
        <w:tc>
          <w:tcPr>
            <w:tcW w:w="9350" w:type="dxa"/>
          </w:tcPr>
          <w:p w:rsidR="00E85DB7" w:rsidRPr="0024512C" w:rsidRDefault="00E85DB7" w:rsidP="0048672D">
            <w:pPr>
              <w:tabs>
                <w:tab w:val="left" w:pos="720"/>
              </w:tabs>
              <w:spacing w:line="276" w:lineRule="auto"/>
              <w:jc w:val="center"/>
              <w:rPr>
                <w:rFonts w:asciiTheme="majorHAnsi" w:hAnsiTheme="majorHAnsi" w:cs="Times New Roman"/>
                <w:b/>
                <w:color w:val="0563C1" w:themeColor="hyperlink"/>
                <w:sz w:val="18"/>
                <w:szCs w:val="18"/>
                <w:u w:val="single"/>
                <w:lang w:val="ro-MD"/>
              </w:rPr>
            </w:pPr>
            <w:r w:rsidRPr="0024512C">
              <w:rPr>
                <w:rFonts w:asciiTheme="majorHAnsi" w:hAnsiTheme="majorHAnsi" w:cs="Times New Roman"/>
                <w:sz w:val="18"/>
                <w:szCs w:val="18"/>
                <w:lang w:val="ro-MD"/>
              </w:rPr>
              <w:t xml:space="preserve">MD-2001, mun. Chișinău, bd. Ștefan cel Mare și Sfânt </w:t>
            </w:r>
            <w:r w:rsidRPr="00321F59">
              <w:rPr>
                <w:rFonts w:asciiTheme="majorHAnsi" w:hAnsiTheme="majorHAnsi" w:cs="Times New Roman"/>
                <w:sz w:val="18"/>
                <w:szCs w:val="18"/>
                <w:lang w:val="ro-MD"/>
              </w:rPr>
              <w:t>nr.</w:t>
            </w:r>
            <w:r w:rsidRPr="0024512C">
              <w:rPr>
                <w:rFonts w:asciiTheme="majorHAnsi" w:hAnsiTheme="majorHAnsi" w:cs="Times New Roman"/>
                <w:sz w:val="18"/>
                <w:szCs w:val="18"/>
                <w:lang w:val="ro-MD"/>
              </w:rPr>
              <w:t xml:space="preserve">69, tel.: (+373) 22 23 25 79, fax: (+373) 22 23 30 20, </w:t>
            </w:r>
            <w:r w:rsidRPr="0024512C">
              <w:rPr>
                <w:rFonts w:asciiTheme="majorHAnsi" w:hAnsiTheme="majorHAnsi" w:cs="Times New Roman"/>
                <w:b/>
                <w:color w:val="0070C0"/>
                <w:sz w:val="18"/>
                <w:szCs w:val="18"/>
                <w:lang w:val="ro-MD"/>
              </w:rPr>
              <w:t>www.ccrm.md</w:t>
            </w:r>
            <w:r w:rsidRPr="005C74F5">
              <w:rPr>
                <w:rFonts w:asciiTheme="majorHAnsi" w:hAnsiTheme="majorHAnsi" w:cs="Times New Roman"/>
                <w:b/>
                <w:color w:val="0070C0"/>
                <w:sz w:val="18"/>
                <w:szCs w:val="18"/>
                <w:u w:val="single"/>
                <w:lang w:val="ro-MD"/>
              </w:rPr>
              <w:t>;</w:t>
            </w:r>
          </w:p>
          <w:p w:rsidR="00E85DB7" w:rsidRPr="0024512C" w:rsidRDefault="00E85DB7" w:rsidP="0048672D">
            <w:pPr>
              <w:tabs>
                <w:tab w:val="left" w:pos="720"/>
              </w:tabs>
              <w:spacing w:line="276" w:lineRule="auto"/>
              <w:jc w:val="center"/>
              <w:rPr>
                <w:rFonts w:asciiTheme="majorHAnsi" w:eastAsia="Times New Roman" w:hAnsiTheme="majorHAnsi" w:cs="Times New Roman"/>
                <w:b/>
                <w:bCs/>
                <w:color w:val="1F4E79" w:themeColor="accent1" w:themeShade="80"/>
                <w:sz w:val="24"/>
                <w:szCs w:val="24"/>
                <w:lang w:val="ro-MD"/>
              </w:rPr>
            </w:pPr>
            <w:r w:rsidRPr="0024512C">
              <w:rPr>
                <w:rFonts w:asciiTheme="majorHAnsi" w:hAnsiTheme="majorHAnsi" w:cs="Times New Roman"/>
                <w:sz w:val="18"/>
                <w:szCs w:val="18"/>
                <w:lang w:val="ro-MD"/>
              </w:rPr>
              <w:t xml:space="preserve">e-mail: </w:t>
            </w:r>
            <w:hyperlink r:id="rId9" w:history="1">
              <w:r w:rsidRPr="0024512C">
                <w:rPr>
                  <w:rFonts w:asciiTheme="majorHAnsi" w:hAnsiTheme="majorHAnsi" w:cs="Times New Roman"/>
                  <w:b/>
                  <w:color w:val="0563C1" w:themeColor="hyperlink"/>
                  <w:sz w:val="18"/>
                  <w:szCs w:val="18"/>
                  <w:u w:val="single"/>
                  <w:lang w:val="ro-MD"/>
                </w:rPr>
                <w:t>ccrm@ccrm.md</w:t>
              </w:r>
            </w:hyperlink>
          </w:p>
        </w:tc>
      </w:tr>
    </w:tbl>
    <w:p w:rsidR="00E85DB7" w:rsidRPr="0024512C" w:rsidRDefault="00E85DB7" w:rsidP="00E85DB7">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rsidR="00E85DB7" w:rsidRPr="005C74F5" w:rsidRDefault="00E85DB7" w:rsidP="00E85DB7">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rsidR="00E85DB7" w:rsidRPr="0024512C" w:rsidRDefault="00E85DB7" w:rsidP="00E85DB7">
      <w:pPr>
        <w:tabs>
          <w:tab w:val="left" w:pos="720"/>
        </w:tabs>
        <w:spacing w:after="0" w:line="276" w:lineRule="auto"/>
        <w:ind w:firstLine="720"/>
        <w:jc w:val="center"/>
        <w:rPr>
          <w:rFonts w:asciiTheme="majorHAnsi" w:eastAsia="Times New Roman" w:hAnsiTheme="majorHAnsi" w:cs="Times New Roman"/>
          <w:b/>
          <w:bCs/>
          <w:sz w:val="32"/>
          <w:szCs w:val="32"/>
          <w:lang w:val="ro-MD"/>
        </w:rPr>
      </w:pPr>
    </w:p>
    <w:p w:rsidR="00E85DB7" w:rsidRPr="0024512C" w:rsidRDefault="00E85DB7" w:rsidP="00E85DB7">
      <w:pPr>
        <w:tabs>
          <w:tab w:val="left" w:pos="720"/>
        </w:tabs>
        <w:spacing w:after="0" w:line="276" w:lineRule="auto"/>
        <w:jc w:val="center"/>
        <w:rPr>
          <w:rFonts w:asciiTheme="majorHAnsi" w:eastAsia="Times New Roman" w:hAnsiTheme="majorHAnsi" w:cs="Times New Roman"/>
          <w:b/>
          <w:bCs/>
          <w:sz w:val="32"/>
          <w:szCs w:val="32"/>
          <w:lang w:val="ro-MD"/>
        </w:rPr>
      </w:pPr>
      <w:r w:rsidRPr="0024512C">
        <w:rPr>
          <w:rFonts w:asciiTheme="majorHAnsi" w:eastAsia="Times New Roman" w:hAnsiTheme="majorHAnsi" w:cs="Times New Roman"/>
          <w:b/>
          <w:bCs/>
          <w:sz w:val="32"/>
          <w:szCs w:val="32"/>
          <w:lang w:val="ro-MD"/>
        </w:rPr>
        <w:t xml:space="preserve">RAPORTUL </w:t>
      </w:r>
    </w:p>
    <w:p w:rsidR="00E85DB7" w:rsidRPr="0024512C" w:rsidRDefault="00E85DB7" w:rsidP="00E85DB7">
      <w:pPr>
        <w:tabs>
          <w:tab w:val="left" w:pos="0"/>
        </w:tabs>
        <w:spacing w:after="0" w:line="276" w:lineRule="auto"/>
        <w:jc w:val="center"/>
        <w:rPr>
          <w:rFonts w:asciiTheme="majorHAnsi" w:eastAsia="Times New Roman" w:hAnsiTheme="majorHAnsi" w:cs="Times New Roman"/>
          <w:bCs/>
          <w:sz w:val="32"/>
          <w:szCs w:val="32"/>
          <w:lang w:val="ro-MD"/>
        </w:rPr>
      </w:pPr>
      <w:r w:rsidRPr="0024512C">
        <w:rPr>
          <w:rFonts w:asciiTheme="majorHAnsi" w:eastAsia="Times New Roman" w:hAnsiTheme="majorHAnsi" w:cs="Times New Roman"/>
          <w:bCs/>
          <w:sz w:val="32"/>
          <w:szCs w:val="32"/>
          <w:lang w:val="ro-MD"/>
        </w:rPr>
        <w:t>auditului performanței privind activitatea Directoratului Liniei de Credit</w:t>
      </w:r>
      <w:r w:rsidR="001B485C" w:rsidRPr="0024512C">
        <w:rPr>
          <w:rStyle w:val="FootnoteReference"/>
          <w:rFonts w:asciiTheme="majorHAnsi" w:eastAsia="Times New Roman" w:hAnsiTheme="majorHAnsi" w:cs="Times New Roman"/>
          <w:bCs/>
          <w:sz w:val="32"/>
          <w:szCs w:val="32"/>
          <w:lang w:val="ro-MD"/>
        </w:rPr>
        <w:footnoteReference w:id="1"/>
      </w:r>
      <w:r w:rsidRPr="0024512C">
        <w:rPr>
          <w:rFonts w:asciiTheme="majorHAnsi" w:eastAsia="Times New Roman" w:hAnsiTheme="majorHAnsi" w:cs="Times New Roman"/>
          <w:bCs/>
          <w:sz w:val="32"/>
          <w:szCs w:val="32"/>
          <w:lang w:val="ro-MD"/>
        </w:rPr>
        <w:t>, în care Ministerul Finanțelor are calitatea de fondator</w:t>
      </w:r>
    </w:p>
    <w:p w:rsidR="00E85DB7" w:rsidRPr="005C74F5" w:rsidRDefault="00E85DB7" w:rsidP="00E85DB7">
      <w:pPr>
        <w:tabs>
          <w:tab w:val="left" w:pos="720"/>
        </w:tabs>
        <w:spacing w:after="0" w:line="276" w:lineRule="auto"/>
        <w:ind w:firstLine="720"/>
        <w:jc w:val="center"/>
        <w:rPr>
          <w:rFonts w:asciiTheme="majorHAnsi" w:eastAsia="Times New Roman" w:hAnsiTheme="majorHAnsi" w:cs="Times New Roman"/>
          <w:b/>
          <w:bCs/>
          <w:sz w:val="32"/>
          <w:szCs w:val="32"/>
          <w:lang w:val="ro-MD"/>
        </w:rPr>
      </w:pPr>
    </w:p>
    <w:p w:rsidR="00E85DB7" w:rsidRPr="0024512C" w:rsidRDefault="00E85DB7" w:rsidP="00E85DB7">
      <w:pPr>
        <w:tabs>
          <w:tab w:val="left" w:pos="720"/>
        </w:tabs>
        <w:spacing w:after="0" w:line="276" w:lineRule="auto"/>
        <w:ind w:firstLine="720"/>
        <w:jc w:val="center"/>
        <w:rPr>
          <w:rFonts w:asciiTheme="majorHAnsi" w:eastAsia="Times New Roman" w:hAnsiTheme="majorHAnsi" w:cs="Times New Roman"/>
          <w:b/>
          <w:bCs/>
          <w:sz w:val="32"/>
          <w:szCs w:val="32"/>
          <w:lang w:val="ro-MD"/>
        </w:rPr>
      </w:pPr>
    </w:p>
    <w:p w:rsidR="00C8468E" w:rsidRPr="0024512C" w:rsidRDefault="00C8468E" w:rsidP="00C8468E">
      <w:pPr>
        <w:tabs>
          <w:tab w:val="left" w:pos="1164"/>
        </w:tabs>
        <w:spacing w:after="0" w:line="240" w:lineRule="auto"/>
        <w:ind w:firstLine="706"/>
        <w:jc w:val="both"/>
        <w:rPr>
          <w:rFonts w:ascii="Times New Roman" w:eastAsia="Times New Roman" w:hAnsi="Times New Roman" w:cs="Times New Roman"/>
          <w:sz w:val="28"/>
          <w:szCs w:val="24"/>
          <w:lang w:val="ro-MD" w:eastAsia="ro-RO"/>
        </w:rPr>
      </w:pPr>
    </w:p>
    <w:p w:rsidR="00E85DB7" w:rsidRPr="00321F59" w:rsidRDefault="00E85DB7" w:rsidP="00C8468E">
      <w:pPr>
        <w:tabs>
          <w:tab w:val="left" w:pos="1164"/>
        </w:tabs>
        <w:spacing w:after="0" w:line="240" w:lineRule="auto"/>
        <w:ind w:firstLine="706"/>
        <w:jc w:val="both"/>
        <w:rPr>
          <w:rFonts w:ascii="Times New Roman" w:eastAsia="Times New Roman" w:hAnsi="Times New Roman" w:cs="Times New Roman"/>
          <w:sz w:val="28"/>
          <w:szCs w:val="24"/>
          <w:lang w:val="ro-MD" w:eastAsia="ro-RO"/>
        </w:rPr>
      </w:pPr>
    </w:p>
    <w:p w:rsidR="00E85DB7" w:rsidRPr="00321F59" w:rsidRDefault="00E85DB7" w:rsidP="00C8468E">
      <w:pPr>
        <w:tabs>
          <w:tab w:val="left" w:pos="1164"/>
        </w:tabs>
        <w:spacing w:after="0" w:line="240" w:lineRule="auto"/>
        <w:ind w:firstLine="706"/>
        <w:jc w:val="both"/>
        <w:rPr>
          <w:rFonts w:ascii="Times New Roman" w:eastAsia="Times New Roman" w:hAnsi="Times New Roman" w:cs="Times New Roman"/>
          <w:sz w:val="28"/>
          <w:szCs w:val="24"/>
          <w:lang w:val="ro-MD" w:eastAsia="ro-RO"/>
        </w:rPr>
      </w:pPr>
    </w:p>
    <w:p w:rsidR="00E85DB7" w:rsidRPr="00321F59" w:rsidRDefault="00E85DB7" w:rsidP="00C8468E">
      <w:pPr>
        <w:tabs>
          <w:tab w:val="left" w:pos="1164"/>
        </w:tabs>
        <w:spacing w:after="0" w:line="240" w:lineRule="auto"/>
        <w:ind w:firstLine="706"/>
        <w:jc w:val="both"/>
        <w:rPr>
          <w:rFonts w:ascii="Times New Roman" w:eastAsia="Times New Roman" w:hAnsi="Times New Roman" w:cs="Times New Roman"/>
          <w:sz w:val="28"/>
          <w:szCs w:val="24"/>
          <w:lang w:val="ro-MD" w:eastAsia="ro-RO"/>
        </w:rPr>
      </w:pPr>
    </w:p>
    <w:p w:rsidR="002A08B8" w:rsidRPr="00321F59" w:rsidRDefault="002A08B8" w:rsidP="00C8468E">
      <w:pPr>
        <w:tabs>
          <w:tab w:val="left" w:pos="1164"/>
        </w:tabs>
        <w:spacing w:after="0" w:line="240" w:lineRule="auto"/>
        <w:ind w:firstLine="706"/>
        <w:jc w:val="both"/>
        <w:rPr>
          <w:rFonts w:ascii="Times New Roman" w:eastAsia="Times New Roman" w:hAnsi="Times New Roman" w:cs="Times New Roman"/>
          <w:sz w:val="28"/>
          <w:szCs w:val="24"/>
          <w:lang w:val="ro-MD" w:eastAsia="ro-RO"/>
        </w:rPr>
      </w:pPr>
    </w:p>
    <w:p w:rsidR="002A08B8" w:rsidRPr="00321F59" w:rsidRDefault="002A08B8" w:rsidP="00C8468E">
      <w:pPr>
        <w:tabs>
          <w:tab w:val="left" w:pos="1164"/>
        </w:tabs>
        <w:spacing w:after="0" w:line="240" w:lineRule="auto"/>
        <w:ind w:firstLine="706"/>
        <w:jc w:val="both"/>
        <w:rPr>
          <w:rFonts w:ascii="Times New Roman" w:eastAsia="Times New Roman" w:hAnsi="Times New Roman" w:cs="Times New Roman"/>
          <w:sz w:val="28"/>
          <w:szCs w:val="24"/>
          <w:lang w:val="ro-MD" w:eastAsia="ro-RO"/>
        </w:rPr>
      </w:pPr>
    </w:p>
    <w:p w:rsidR="00E85DB7" w:rsidRPr="00321F59" w:rsidRDefault="00E85DB7" w:rsidP="001B485C">
      <w:pPr>
        <w:tabs>
          <w:tab w:val="left" w:pos="1164"/>
        </w:tabs>
        <w:spacing w:after="0" w:line="240" w:lineRule="auto"/>
        <w:jc w:val="both"/>
        <w:rPr>
          <w:rFonts w:ascii="Times New Roman" w:eastAsia="Times New Roman" w:hAnsi="Times New Roman" w:cs="Times New Roman"/>
          <w:sz w:val="28"/>
          <w:szCs w:val="24"/>
          <w:lang w:val="ro-MD" w:eastAsia="ro-RO"/>
        </w:rPr>
      </w:pPr>
    </w:p>
    <w:p w:rsidR="00E85DB7" w:rsidRPr="00321F59" w:rsidRDefault="00E85DB7" w:rsidP="00C8468E">
      <w:pPr>
        <w:tabs>
          <w:tab w:val="left" w:pos="1164"/>
        </w:tabs>
        <w:spacing w:after="0" w:line="240" w:lineRule="auto"/>
        <w:ind w:firstLine="706"/>
        <w:jc w:val="both"/>
        <w:rPr>
          <w:rFonts w:ascii="Times New Roman" w:eastAsia="Times New Roman" w:hAnsi="Times New Roman" w:cs="Times New Roman"/>
          <w:sz w:val="28"/>
          <w:szCs w:val="24"/>
          <w:lang w:val="ro-MD" w:eastAsia="ro-RO"/>
        </w:rPr>
      </w:pPr>
    </w:p>
    <w:sdt>
      <w:sdtPr>
        <w:rPr>
          <w:rFonts w:asciiTheme="minorHAnsi" w:eastAsiaTheme="minorHAnsi" w:hAnsiTheme="minorHAnsi" w:cstheme="minorBidi"/>
          <w:color w:val="auto"/>
          <w:sz w:val="22"/>
          <w:szCs w:val="22"/>
          <w:lang w:val="ro-MD"/>
        </w:rPr>
        <w:id w:val="629442418"/>
        <w:docPartObj>
          <w:docPartGallery w:val="Table of Contents"/>
          <w:docPartUnique/>
        </w:docPartObj>
      </w:sdtPr>
      <w:sdtEndPr>
        <w:rPr>
          <w:b/>
          <w:bCs/>
          <w:noProof/>
        </w:rPr>
      </w:sdtEndPr>
      <w:sdtContent>
        <w:bookmarkStart w:id="0" w:name="_GoBack" w:displacedByCustomXml="prev"/>
        <w:bookmarkEnd w:id="0" w:displacedByCustomXml="prev"/>
        <w:p w:rsidR="0079208E" w:rsidRPr="00321F59" w:rsidRDefault="0079208E" w:rsidP="0079208E">
          <w:pPr>
            <w:pStyle w:val="TOCHeading"/>
            <w:jc w:val="center"/>
            <w:rPr>
              <w:b/>
              <w:color w:val="5B9BD5" w:themeColor="accent1"/>
              <w:lang w:val="ro-MD"/>
            </w:rPr>
          </w:pPr>
          <w:r w:rsidRPr="00321F59">
            <w:rPr>
              <w:b/>
              <w:color w:val="5B9BD5" w:themeColor="accent1"/>
              <w:lang w:val="ro-MD"/>
            </w:rPr>
            <w:t>CUPRINS</w:t>
          </w:r>
        </w:p>
        <w:p w:rsidR="003920EA" w:rsidRDefault="0079208E">
          <w:pPr>
            <w:pStyle w:val="TOC1"/>
            <w:tabs>
              <w:tab w:val="right" w:leader="dot" w:pos="9345"/>
            </w:tabs>
            <w:rPr>
              <w:rFonts w:eastAsiaTheme="minorEastAsia"/>
              <w:noProof/>
            </w:rPr>
          </w:pPr>
          <w:r w:rsidRPr="00321F59">
            <w:rPr>
              <w:sz w:val="24"/>
              <w:szCs w:val="24"/>
              <w:lang w:val="ro-MD"/>
            </w:rPr>
            <w:fldChar w:fldCharType="begin"/>
          </w:r>
          <w:r w:rsidRPr="00321F59">
            <w:rPr>
              <w:sz w:val="24"/>
              <w:szCs w:val="24"/>
              <w:lang w:val="ro-MD"/>
            </w:rPr>
            <w:instrText xml:space="preserve"> TOC \o "1-3" \h \z \u </w:instrText>
          </w:r>
          <w:r w:rsidRPr="00321F59">
            <w:rPr>
              <w:sz w:val="24"/>
              <w:szCs w:val="24"/>
              <w:lang w:val="ro-MD"/>
            </w:rPr>
            <w:fldChar w:fldCharType="separate"/>
          </w:r>
          <w:hyperlink w:anchor="_Toc47009702" w:history="1">
            <w:r w:rsidR="003920EA" w:rsidRPr="00BB3809">
              <w:rPr>
                <w:rStyle w:val="Hyperlink"/>
                <w:rFonts w:asciiTheme="majorHAnsi" w:eastAsiaTheme="majorEastAsia" w:hAnsiTheme="majorHAnsi" w:cstheme="majorHAnsi"/>
                <w:b/>
                <w:noProof/>
                <w:lang w:val="ro-MD"/>
              </w:rPr>
              <w:t>LISTA ACRONIMELOR</w:t>
            </w:r>
            <w:r w:rsidR="003920EA">
              <w:rPr>
                <w:noProof/>
                <w:webHidden/>
              </w:rPr>
              <w:tab/>
            </w:r>
            <w:r w:rsidR="003920EA">
              <w:rPr>
                <w:noProof/>
                <w:webHidden/>
              </w:rPr>
              <w:fldChar w:fldCharType="begin"/>
            </w:r>
            <w:r w:rsidR="003920EA">
              <w:rPr>
                <w:noProof/>
                <w:webHidden/>
              </w:rPr>
              <w:instrText xml:space="preserve"> PAGEREF _Toc47009702 \h </w:instrText>
            </w:r>
            <w:r w:rsidR="003920EA">
              <w:rPr>
                <w:noProof/>
                <w:webHidden/>
              </w:rPr>
            </w:r>
            <w:r w:rsidR="003920EA">
              <w:rPr>
                <w:noProof/>
                <w:webHidden/>
              </w:rPr>
              <w:fldChar w:fldCharType="separate"/>
            </w:r>
            <w:r w:rsidR="003920EA">
              <w:rPr>
                <w:noProof/>
                <w:webHidden/>
              </w:rPr>
              <w:t>3</w:t>
            </w:r>
            <w:r w:rsidR="003920EA">
              <w:rPr>
                <w:noProof/>
                <w:webHidden/>
              </w:rPr>
              <w:fldChar w:fldCharType="end"/>
            </w:r>
          </w:hyperlink>
        </w:p>
        <w:p w:rsidR="003920EA" w:rsidRDefault="003920EA">
          <w:pPr>
            <w:pStyle w:val="TOC1"/>
            <w:tabs>
              <w:tab w:val="right" w:leader="dot" w:pos="9345"/>
            </w:tabs>
            <w:rPr>
              <w:rFonts w:eastAsiaTheme="minorEastAsia"/>
              <w:noProof/>
            </w:rPr>
          </w:pPr>
          <w:hyperlink w:anchor="_Toc47009703" w:history="1">
            <w:r w:rsidRPr="00BB3809">
              <w:rPr>
                <w:rStyle w:val="Hyperlink"/>
                <w:rFonts w:asciiTheme="majorHAnsi" w:eastAsiaTheme="majorEastAsia" w:hAnsiTheme="majorHAnsi" w:cstheme="majorHAnsi"/>
                <w:b/>
                <w:noProof/>
                <w:lang w:val="ro-MD"/>
              </w:rPr>
              <w:t>GLOSAR</w:t>
            </w:r>
            <w:r>
              <w:rPr>
                <w:noProof/>
                <w:webHidden/>
              </w:rPr>
              <w:tab/>
            </w:r>
            <w:r>
              <w:rPr>
                <w:noProof/>
                <w:webHidden/>
              </w:rPr>
              <w:fldChar w:fldCharType="begin"/>
            </w:r>
            <w:r>
              <w:rPr>
                <w:noProof/>
                <w:webHidden/>
              </w:rPr>
              <w:instrText xml:space="preserve"> PAGEREF _Toc47009703 \h </w:instrText>
            </w:r>
            <w:r>
              <w:rPr>
                <w:noProof/>
                <w:webHidden/>
              </w:rPr>
            </w:r>
            <w:r>
              <w:rPr>
                <w:noProof/>
                <w:webHidden/>
              </w:rPr>
              <w:fldChar w:fldCharType="separate"/>
            </w:r>
            <w:r>
              <w:rPr>
                <w:noProof/>
                <w:webHidden/>
              </w:rPr>
              <w:t>4</w:t>
            </w:r>
            <w:r>
              <w:rPr>
                <w:noProof/>
                <w:webHidden/>
              </w:rPr>
              <w:fldChar w:fldCharType="end"/>
            </w:r>
          </w:hyperlink>
        </w:p>
        <w:p w:rsidR="003920EA" w:rsidRDefault="003920EA">
          <w:pPr>
            <w:pStyle w:val="TOC1"/>
            <w:tabs>
              <w:tab w:val="left" w:pos="660"/>
              <w:tab w:val="right" w:leader="dot" w:pos="9345"/>
            </w:tabs>
            <w:rPr>
              <w:rFonts w:eastAsiaTheme="minorEastAsia"/>
              <w:noProof/>
            </w:rPr>
          </w:pPr>
          <w:hyperlink w:anchor="_Toc47009704" w:history="1">
            <w:r w:rsidRPr="00BB3809">
              <w:rPr>
                <w:rStyle w:val="Hyperlink"/>
                <w:rFonts w:asciiTheme="majorHAnsi" w:eastAsia="Times New Roman" w:hAnsiTheme="majorHAnsi" w:cstheme="majorHAnsi"/>
                <w:b/>
                <w:bCs/>
                <w:noProof/>
                <w:lang w:val="ro-MD" w:eastAsia="ru-RU"/>
              </w:rPr>
              <w:t>I.</w:t>
            </w:r>
            <w:r>
              <w:rPr>
                <w:rFonts w:eastAsiaTheme="minorEastAsia"/>
                <w:noProof/>
              </w:rPr>
              <w:tab/>
            </w:r>
            <w:r w:rsidRPr="00BB3809">
              <w:rPr>
                <w:rStyle w:val="Hyperlink"/>
                <w:rFonts w:asciiTheme="majorHAnsi" w:eastAsia="Times New Roman" w:hAnsiTheme="majorHAnsi" w:cstheme="majorHAnsi"/>
                <w:b/>
                <w:bCs/>
                <w:noProof/>
                <w:lang w:val="ro-MD" w:eastAsia="ru-RU"/>
              </w:rPr>
              <w:t>SINTEZA</w:t>
            </w:r>
            <w:r>
              <w:rPr>
                <w:noProof/>
                <w:webHidden/>
              </w:rPr>
              <w:tab/>
            </w:r>
            <w:r>
              <w:rPr>
                <w:noProof/>
                <w:webHidden/>
              </w:rPr>
              <w:fldChar w:fldCharType="begin"/>
            </w:r>
            <w:r>
              <w:rPr>
                <w:noProof/>
                <w:webHidden/>
              </w:rPr>
              <w:instrText xml:space="preserve"> PAGEREF _Toc47009704 \h </w:instrText>
            </w:r>
            <w:r>
              <w:rPr>
                <w:noProof/>
                <w:webHidden/>
              </w:rPr>
            </w:r>
            <w:r>
              <w:rPr>
                <w:noProof/>
                <w:webHidden/>
              </w:rPr>
              <w:fldChar w:fldCharType="separate"/>
            </w:r>
            <w:r>
              <w:rPr>
                <w:noProof/>
                <w:webHidden/>
              </w:rPr>
              <w:t>5</w:t>
            </w:r>
            <w:r>
              <w:rPr>
                <w:noProof/>
                <w:webHidden/>
              </w:rPr>
              <w:fldChar w:fldCharType="end"/>
            </w:r>
          </w:hyperlink>
        </w:p>
        <w:p w:rsidR="003920EA" w:rsidRDefault="003920EA">
          <w:pPr>
            <w:pStyle w:val="TOC1"/>
            <w:tabs>
              <w:tab w:val="left" w:pos="660"/>
              <w:tab w:val="right" w:leader="dot" w:pos="9345"/>
            </w:tabs>
            <w:rPr>
              <w:rFonts w:eastAsiaTheme="minorEastAsia"/>
              <w:noProof/>
            </w:rPr>
          </w:pPr>
          <w:hyperlink w:anchor="_Toc47009705" w:history="1">
            <w:r w:rsidRPr="00BB3809">
              <w:rPr>
                <w:rStyle w:val="Hyperlink"/>
                <w:rFonts w:asciiTheme="majorHAnsi" w:eastAsia="Times New Roman" w:hAnsiTheme="majorHAnsi" w:cstheme="majorHAnsi"/>
                <w:b/>
                <w:bCs/>
                <w:noProof/>
                <w:lang w:val="ro-MD" w:eastAsia="ru-RU"/>
              </w:rPr>
              <w:t>II.</w:t>
            </w:r>
            <w:r>
              <w:rPr>
                <w:rFonts w:eastAsiaTheme="minorEastAsia"/>
                <w:noProof/>
              </w:rPr>
              <w:tab/>
            </w:r>
            <w:r w:rsidRPr="00BB3809">
              <w:rPr>
                <w:rStyle w:val="Hyperlink"/>
                <w:rFonts w:asciiTheme="majorHAnsi" w:eastAsia="Times New Roman" w:hAnsiTheme="majorHAnsi" w:cstheme="majorHAnsi"/>
                <w:b/>
                <w:bCs/>
                <w:noProof/>
                <w:lang w:val="ro-MD" w:eastAsia="ru-RU"/>
              </w:rPr>
              <w:t>PREZENTAREA GENERALĂ</w:t>
            </w:r>
            <w:r>
              <w:rPr>
                <w:noProof/>
                <w:webHidden/>
              </w:rPr>
              <w:tab/>
            </w:r>
            <w:r>
              <w:rPr>
                <w:noProof/>
                <w:webHidden/>
              </w:rPr>
              <w:fldChar w:fldCharType="begin"/>
            </w:r>
            <w:r>
              <w:rPr>
                <w:noProof/>
                <w:webHidden/>
              </w:rPr>
              <w:instrText xml:space="preserve"> PAGEREF _Toc47009705 \h </w:instrText>
            </w:r>
            <w:r>
              <w:rPr>
                <w:noProof/>
                <w:webHidden/>
              </w:rPr>
            </w:r>
            <w:r>
              <w:rPr>
                <w:noProof/>
                <w:webHidden/>
              </w:rPr>
              <w:fldChar w:fldCharType="separate"/>
            </w:r>
            <w:r>
              <w:rPr>
                <w:noProof/>
                <w:webHidden/>
              </w:rPr>
              <w:t>7</w:t>
            </w:r>
            <w:r>
              <w:rPr>
                <w:noProof/>
                <w:webHidden/>
              </w:rPr>
              <w:fldChar w:fldCharType="end"/>
            </w:r>
          </w:hyperlink>
        </w:p>
        <w:p w:rsidR="003920EA" w:rsidRDefault="003920EA">
          <w:pPr>
            <w:pStyle w:val="TOC1"/>
            <w:tabs>
              <w:tab w:val="left" w:pos="660"/>
              <w:tab w:val="right" w:leader="dot" w:pos="9345"/>
            </w:tabs>
            <w:rPr>
              <w:rFonts w:eastAsiaTheme="minorEastAsia"/>
              <w:noProof/>
            </w:rPr>
          </w:pPr>
          <w:hyperlink w:anchor="_Toc47009706" w:history="1">
            <w:r w:rsidRPr="00BB3809">
              <w:rPr>
                <w:rStyle w:val="Hyperlink"/>
                <w:rFonts w:asciiTheme="majorHAnsi" w:eastAsia="Times New Roman" w:hAnsiTheme="majorHAnsi" w:cstheme="majorHAnsi"/>
                <w:b/>
                <w:bCs/>
                <w:noProof/>
                <w:lang w:val="ro-MD" w:eastAsia="ru-RU"/>
              </w:rPr>
              <w:t>III.</w:t>
            </w:r>
            <w:r>
              <w:rPr>
                <w:rFonts w:eastAsiaTheme="minorEastAsia"/>
                <w:noProof/>
              </w:rPr>
              <w:tab/>
            </w:r>
            <w:r w:rsidRPr="00BB3809">
              <w:rPr>
                <w:rStyle w:val="Hyperlink"/>
                <w:rFonts w:asciiTheme="majorHAnsi" w:eastAsia="Times New Roman" w:hAnsiTheme="majorHAnsi" w:cstheme="majorHAnsi"/>
                <w:b/>
                <w:bCs/>
                <w:noProof/>
                <w:lang w:val="ro-MD" w:eastAsia="ru-RU"/>
              </w:rPr>
              <w:t>SFERA ȘI ABORDAREA DE AUDIT</w:t>
            </w:r>
            <w:r>
              <w:rPr>
                <w:noProof/>
                <w:webHidden/>
              </w:rPr>
              <w:tab/>
            </w:r>
            <w:r>
              <w:rPr>
                <w:noProof/>
                <w:webHidden/>
              </w:rPr>
              <w:fldChar w:fldCharType="begin"/>
            </w:r>
            <w:r>
              <w:rPr>
                <w:noProof/>
                <w:webHidden/>
              </w:rPr>
              <w:instrText xml:space="preserve"> PAGEREF _Toc47009706 \h </w:instrText>
            </w:r>
            <w:r>
              <w:rPr>
                <w:noProof/>
                <w:webHidden/>
              </w:rPr>
            </w:r>
            <w:r>
              <w:rPr>
                <w:noProof/>
                <w:webHidden/>
              </w:rPr>
              <w:fldChar w:fldCharType="separate"/>
            </w:r>
            <w:r>
              <w:rPr>
                <w:noProof/>
                <w:webHidden/>
              </w:rPr>
              <w:t>9</w:t>
            </w:r>
            <w:r>
              <w:rPr>
                <w:noProof/>
                <w:webHidden/>
              </w:rPr>
              <w:fldChar w:fldCharType="end"/>
            </w:r>
          </w:hyperlink>
        </w:p>
        <w:p w:rsidR="003920EA" w:rsidRDefault="003920EA">
          <w:pPr>
            <w:pStyle w:val="TOC1"/>
            <w:tabs>
              <w:tab w:val="left" w:pos="660"/>
              <w:tab w:val="right" w:leader="dot" w:pos="9345"/>
            </w:tabs>
            <w:rPr>
              <w:rFonts w:eastAsiaTheme="minorEastAsia"/>
              <w:noProof/>
            </w:rPr>
          </w:pPr>
          <w:hyperlink w:anchor="_Toc47009707" w:history="1">
            <w:r w:rsidRPr="00BB3809">
              <w:rPr>
                <w:rStyle w:val="Hyperlink"/>
                <w:rFonts w:asciiTheme="majorHAnsi" w:eastAsia="Times New Roman" w:hAnsiTheme="majorHAnsi" w:cstheme="majorHAnsi"/>
                <w:b/>
                <w:bCs/>
                <w:noProof/>
                <w:lang w:val="ro-MD" w:eastAsia="ru-RU"/>
              </w:rPr>
              <w:t>IV.</w:t>
            </w:r>
            <w:r>
              <w:rPr>
                <w:rFonts w:eastAsiaTheme="minorEastAsia"/>
                <w:noProof/>
              </w:rPr>
              <w:tab/>
            </w:r>
            <w:r w:rsidRPr="00BB3809">
              <w:rPr>
                <w:rStyle w:val="Hyperlink"/>
                <w:rFonts w:asciiTheme="majorHAnsi" w:eastAsia="Times New Roman" w:hAnsiTheme="majorHAnsi" w:cstheme="majorHAnsi"/>
                <w:b/>
                <w:bCs/>
                <w:noProof/>
                <w:lang w:val="ro-MD" w:eastAsia="ru-RU"/>
              </w:rPr>
              <w:t>CONSTATĂRI</w:t>
            </w:r>
            <w:r>
              <w:rPr>
                <w:noProof/>
                <w:webHidden/>
              </w:rPr>
              <w:tab/>
            </w:r>
            <w:r>
              <w:rPr>
                <w:noProof/>
                <w:webHidden/>
              </w:rPr>
              <w:fldChar w:fldCharType="begin"/>
            </w:r>
            <w:r>
              <w:rPr>
                <w:noProof/>
                <w:webHidden/>
              </w:rPr>
              <w:instrText xml:space="preserve"> PAGEREF _Toc47009707 \h </w:instrText>
            </w:r>
            <w:r>
              <w:rPr>
                <w:noProof/>
                <w:webHidden/>
              </w:rPr>
            </w:r>
            <w:r>
              <w:rPr>
                <w:noProof/>
                <w:webHidden/>
              </w:rPr>
              <w:fldChar w:fldCharType="separate"/>
            </w:r>
            <w:r>
              <w:rPr>
                <w:noProof/>
                <w:webHidden/>
              </w:rPr>
              <w:t>9</w:t>
            </w:r>
            <w:r>
              <w:rPr>
                <w:noProof/>
                <w:webHidden/>
              </w:rPr>
              <w:fldChar w:fldCharType="end"/>
            </w:r>
          </w:hyperlink>
        </w:p>
        <w:p w:rsidR="003920EA" w:rsidRDefault="003920EA">
          <w:pPr>
            <w:pStyle w:val="TOC2"/>
            <w:rPr>
              <w:rFonts w:cstheme="minorBidi"/>
              <w:noProof/>
            </w:rPr>
          </w:pPr>
          <w:hyperlink w:anchor="_Toc47009708" w:history="1">
            <w:r w:rsidRPr="00BB3809">
              <w:rPr>
                <w:rStyle w:val="Hyperlink"/>
                <w:rFonts w:asciiTheme="majorHAnsi" w:eastAsia="Times New Roman" w:hAnsiTheme="majorHAnsi" w:cstheme="majorHAnsi"/>
                <w:b/>
                <w:bCs/>
                <w:noProof/>
                <w:lang w:val="ro-MD" w:eastAsia="ru-RU"/>
              </w:rPr>
              <w:t>4.1.</w:t>
            </w:r>
            <w:r>
              <w:rPr>
                <w:rFonts w:cstheme="minorBidi"/>
                <w:noProof/>
              </w:rPr>
              <w:tab/>
            </w:r>
            <w:r w:rsidRPr="00BB3809">
              <w:rPr>
                <w:rStyle w:val="Hyperlink"/>
                <w:rFonts w:asciiTheme="majorHAnsi" w:eastAsia="Times New Roman" w:hAnsiTheme="majorHAnsi" w:cstheme="majorHAnsi"/>
                <w:b/>
                <w:bCs/>
                <w:noProof/>
                <w:lang w:val="ro-MD" w:eastAsia="ru-RU"/>
              </w:rPr>
              <w:t>Obiectivul specific I. Evaluarea economicității activităților operaționale ale DLC în corespundere cu principiile și practicile administrative rezonabile</w:t>
            </w:r>
            <w:r>
              <w:rPr>
                <w:noProof/>
                <w:webHidden/>
              </w:rPr>
              <w:tab/>
            </w:r>
            <w:r>
              <w:rPr>
                <w:noProof/>
                <w:webHidden/>
              </w:rPr>
              <w:fldChar w:fldCharType="begin"/>
            </w:r>
            <w:r>
              <w:rPr>
                <w:noProof/>
                <w:webHidden/>
              </w:rPr>
              <w:instrText xml:space="preserve"> PAGEREF _Toc47009708 \h </w:instrText>
            </w:r>
            <w:r>
              <w:rPr>
                <w:noProof/>
                <w:webHidden/>
              </w:rPr>
            </w:r>
            <w:r>
              <w:rPr>
                <w:noProof/>
                <w:webHidden/>
              </w:rPr>
              <w:fldChar w:fldCharType="separate"/>
            </w:r>
            <w:r>
              <w:rPr>
                <w:noProof/>
                <w:webHidden/>
              </w:rPr>
              <w:t>9</w:t>
            </w:r>
            <w:r>
              <w:rPr>
                <w:noProof/>
                <w:webHidden/>
              </w:rPr>
              <w:fldChar w:fldCharType="end"/>
            </w:r>
          </w:hyperlink>
        </w:p>
        <w:p w:rsidR="003920EA" w:rsidRDefault="003920EA">
          <w:pPr>
            <w:pStyle w:val="TOC2"/>
            <w:rPr>
              <w:rFonts w:cstheme="minorBidi"/>
              <w:noProof/>
            </w:rPr>
          </w:pPr>
          <w:hyperlink w:anchor="_Toc47009709" w:history="1">
            <w:r w:rsidRPr="00BB3809">
              <w:rPr>
                <w:rStyle w:val="Hyperlink"/>
                <w:rFonts w:asciiTheme="majorHAnsi" w:eastAsia="Times New Roman" w:hAnsiTheme="majorHAnsi" w:cstheme="majorHAnsi"/>
                <w:b/>
                <w:bCs/>
                <w:i/>
                <w:noProof/>
                <w:lang w:val="ro-MD" w:eastAsia="ru-RU"/>
              </w:rPr>
              <w:t>4.1.1.</w:t>
            </w:r>
            <w:r>
              <w:rPr>
                <w:rFonts w:cstheme="minorBidi"/>
                <w:noProof/>
              </w:rPr>
              <w:tab/>
            </w:r>
            <w:r w:rsidRPr="00BB3809">
              <w:rPr>
                <w:rStyle w:val="Hyperlink"/>
                <w:rFonts w:asciiTheme="majorHAnsi" w:eastAsia="Times New Roman" w:hAnsiTheme="majorHAnsi" w:cstheme="majorHAnsi"/>
                <w:b/>
                <w:bCs/>
                <w:i/>
                <w:noProof/>
                <w:lang w:val="ro-MD" w:eastAsia="ru-RU"/>
              </w:rPr>
              <w:t>Cheltuielile ce țin de activitatea operațională a DLC s-au încadrat în bugetul aprobat pentru anul 2019</w:t>
            </w:r>
            <w:r>
              <w:rPr>
                <w:noProof/>
                <w:webHidden/>
              </w:rPr>
              <w:tab/>
            </w:r>
            <w:r>
              <w:rPr>
                <w:noProof/>
                <w:webHidden/>
              </w:rPr>
              <w:fldChar w:fldCharType="begin"/>
            </w:r>
            <w:r>
              <w:rPr>
                <w:noProof/>
                <w:webHidden/>
              </w:rPr>
              <w:instrText xml:space="preserve"> PAGEREF _Toc47009709 \h </w:instrText>
            </w:r>
            <w:r>
              <w:rPr>
                <w:noProof/>
                <w:webHidden/>
              </w:rPr>
            </w:r>
            <w:r>
              <w:rPr>
                <w:noProof/>
                <w:webHidden/>
              </w:rPr>
              <w:fldChar w:fldCharType="separate"/>
            </w:r>
            <w:r>
              <w:rPr>
                <w:noProof/>
                <w:webHidden/>
              </w:rPr>
              <w:t>10</w:t>
            </w:r>
            <w:r>
              <w:rPr>
                <w:noProof/>
                <w:webHidden/>
              </w:rPr>
              <w:fldChar w:fldCharType="end"/>
            </w:r>
          </w:hyperlink>
        </w:p>
        <w:p w:rsidR="003920EA" w:rsidRDefault="003920EA">
          <w:pPr>
            <w:pStyle w:val="TOC3"/>
            <w:rPr>
              <w:rFonts w:cstheme="minorBidi"/>
              <w:noProof/>
            </w:rPr>
          </w:pPr>
          <w:hyperlink w:anchor="_Toc47009710" w:history="1">
            <w:r w:rsidRPr="00BB3809">
              <w:rPr>
                <w:rStyle w:val="Hyperlink"/>
                <w:rFonts w:asciiTheme="majorHAnsi" w:hAnsiTheme="majorHAnsi" w:cstheme="majorHAnsi"/>
                <w:b/>
                <w:noProof/>
                <w:lang w:val="ro-MD" w:eastAsia="ru-RU"/>
              </w:rPr>
              <w:t>4.2.</w:t>
            </w:r>
            <w:r>
              <w:rPr>
                <w:rFonts w:cstheme="minorBidi"/>
                <w:noProof/>
              </w:rPr>
              <w:tab/>
            </w:r>
            <w:r w:rsidRPr="00BB3809">
              <w:rPr>
                <w:rStyle w:val="Hyperlink"/>
                <w:rFonts w:asciiTheme="majorHAnsi" w:eastAsia="Times New Roman" w:hAnsiTheme="majorHAnsi" w:cstheme="majorHAnsi"/>
                <w:b/>
                <w:bCs/>
                <w:noProof/>
                <w:lang w:val="ro-MD" w:eastAsia="ru-RU"/>
              </w:rPr>
              <w:t>Obiectivul specific II. Evaluarea eficienței gestionării și monitorizării proiectelor investiționale și a Liniilor de credit care au fost încredințate DLC</w:t>
            </w:r>
            <w:r>
              <w:rPr>
                <w:noProof/>
                <w:webHidden/>
              </w:rPr>
              <w:tab/>
            </w:r>
            <w:r>
              <w:rPr>
                <w:noProof/>
                <w:webHidden/>
              </w:rPr>
              <w:fldChar w:fldCharType="begin"/>
            </w:r>
            <w:r>
              <w:rPr>
                <w:noProof/>
                <w:webHidden/>
              </w:rPr>
              <w:instrText xml:space="preserve"> PAGEREF _Toc47009710 \h </w:instrText>
            </w:r>
            <w:r>
              <w:rPr>
                <w:noProof/>
                <w:webHidden/>
              </w:rPr>
            </w:r>
            <w:r>
              <w:rPr>
                <w:noProof/>
                <w:webHidden/>
              </w:rPr>
              <w:fldChar w:fldCharType="separate"/>
            </w:r>
            <w:r>
              <w:rPr>
                <w:noProof/>
                <w:webHidden/>
              </w:rPr>
              <w:t>14</w:t>
            </w:r>
            <w:r>
              <w:rPr>
                <w:noProof/>
                <w:webHidden/>
              </w:rPr>
              <w:fldChar w:fldCharType="end"/>
            </w:r>
          </w:hyperlink>
        </w:p>
        <w:p w:rsidR="003920EA" w:rsidRDefault="003920EA">
          <w:pPr>
            <w:pStyle w:val="TOC3"/>
            <w:rPr>
              <w:rFonts w:cstheme="minorBidi"/>
              <w:noProof/>
            </w:rPr>
          </w:pPr>
          <w:hyperlink w:anchor="_Toc47009711" w:history="1">
            <w:r w:rsidRPr="00BB3809">
              <w:rPr>
                <w:rStyle w:val="Hyperlink"/>
                <w:rFonts w:asciiTheme="majorHAnsi" w:hAnsiTheme="majorHAnsi" w:cstheme="majorHAnsi"/>
                <w:b/>
                <w:i/>
                <w:noProof/>
                <w:lang w:val="ro-MD" w:eastAsia="ru-RU"/>
              </w:rPr>
              <w:t>4.2.1.</w:t>
            </w:r>
            <w:r>
              <w:rPr>
                <w:rFonts w:cstheme="minorBidi"/>
                <w:noProof/>
              </w:rPr>
              <w:tab/>
            </w:r>
            <w:r w:rsidRPr="00BB3809">
              <w:rPr>
                <w:rStyle w:val="Hyperlink"/>
                <w:rFonts w:asciiTheme="majorHAnsi" w:hAnsiTheme="majorHAnsi" w:cstheme="majorHAnsi"/>
                <w:b/>
                <w:i/>
                <w:noProof/>
                <w:lang w:val="ro-MD" w:eastAsia="ru-RU"/>
              </w:rPr>
              <w:t>Evaluarea și monitorizarea continuă a IFP selectate pentru intermedierea Proiectelor permite întreprinderea măsurilor prompte de către DLC în vederea neadmiterii formării datoriilor cu termen de achitare expirat</w:t>
            </w:r>
            <w:r>
              <w:rPr>
                <w:noProof/>
                <w:webHidden/>
              </w:rPr>
              <w:tab/>
            </w:r>
            <w:r>
              <w:rPr>
                <w:noProof/>
                <w:webHidden/>
              </w:rPr>
              <w:fldChar w:fldCharType="begin"/>
            </w:r>
            <w:r>
              <w:rPr>
                <w:noProof/>
                <w:webHidden/>
              </w:rPr>
              <w:instrText xml:space="preserve"> PAGEREF _Toc47009711 \h </w:instrText>
            </w:r>
            <w:r>
              <w:rPr>
                <w:noProof/>
                <w:webHidden/>
              </w:rPr>
            </w:r>
            <w:r>
              <w:rPr>
                <w:noProof/>
                <w:webHidden/>
              </w:rPr>
              <w:fldChar w:fldCharType="separate"/>
            </w:r>
            <w:r>
              <w:rPr>
                <w:noProof/>
                <w:webHidden/>
              </w:rPr>
              <w:t>16</w:t>
            </w:r>
            <w:r>
              <w:rPr>
                <w:noProof/>
                <w:webHidden/>
              </w:rPr>
              <w:fldChar w:fldCharType="end"/>
            </w:r>
          </w:hyperlink>
        </w:p>
        <w:p w:rsidR="003920EA" w:rsidRDefault="003920EA">
          <w:pPr>
            <w:pStyle w:val="TOC3"/>
            <w:rPr>
              <w:rFonts w:cstheme="minorBidi"/>
              <w:noProof/>
            </w:rPr>
          </w:pPr>
          <w:hyperlink w:anchor="_Toc47009712" w:history="1">
            <w:r w:rsidRPr="00BB3809">
              <w:rPr>
                <w:rStyle w:val="Hyperlink"/>
                <w:rFonts w:asciiTheme="majorHAnsi" w:hAnsiTheme="majorHAnsi" w:cstheme="majorHAnsi"/>
                <w:b/>
                <w:i/>
                <w:noProof/>
                <w:lang w:val="ro-MD" w:eastAsia="ru-RU"/>
              </w:rPr>
              <w:t>4.2.2.</w:t>
            </w:r>
            <w:r>
              <w:rPr>
                <w:rFonts w:cstheme="minorBidi"/>
                <w:noProof/>
              </w:rPr>
              <w:tab/>
            </w:r>
            <w:r w:rsidRPr="00BB3809">
              <w:rPr>
                <w:rStyle w:val="Hyperlink"/>
                <w:rFonts w:asciiTheme="majorHAnsi" w:hAnsiTheme="majorHAnsi" w:cstheme="majorHAnsi"/>
                <w:b/>
                <w:i/>
                <w:noProof/>
                <w:lang w:val="ro-MD" w:eastAsia="ru-RU"/>
              </w:rPr>
              <w:t>În ultimii ani, ratele de dobândă de recreditare stabilite pentru IFP au variat semnificativ, fiind influențate de mai mulți factori</w:t>
            </w:r>
            <w:r>
              <w:rPr>
                <w:noProof/>
                <w:webHidden/>
              </w:rPr>
              <w:tab/>
            </w:r>
            <w:r>
              <w:rPr>
                <w:noProof/>
                <w:webHidden/>
              </w:rPr>
              <w:fldChar w:fldCharType="begin"/>
            </w:r>
            <w:r>
              <w:rPr>
                <w:noProof/>
                <w:webHidden/>
              </w:rPr>
              <w:instrText xml:space="preserve"> PAGEREF _Toc47009712 \h </w:instrText>
            </w:r>
            <w:r>
              <w:rPr>
                <w:noProof/>
                <w:webHidden/>
              </w:rPr>
            </w:r>
            <w:r>
              <w:rPr>
                <w:noProof/>
                <w:webHidden/>
              </w:rPr>
              <w:fldChar w:fldCharType="separate"/>
            </w:r>
            <w:r>
              <w:rPr>
                <w:noProof/>
                <w:webHidden/>
              </w:rPr>
              <w:t>17</w:t>
            </w:r>
            <w:r>
              <w:rPr>
                <w:noProof/>
                <w:webHidden/>
              </w:rPr>
              <w:fldChar w:fldCharType="end"/>
            </w:r>
          </w:hyperlink>
        </w:p>
        <w:p w:rsidR="003920EA" w:rsidRDefault="003920EA">
          <w:pPr>
            <w:pStyle w:val="TOC3"/>
            <w:rPr>
              <w:rFonts w:cstheme="minorBidi"/>
              <w:noProof/>
            </w:rPr>
          </w:pPr>
          <w:hyperlink w:anchor="_Toc47009713" w:history="1">
            <w:r w:rsidRPr="00BB3809">
              <w:rPr>
                <w:rStyle w:val="Hyperlink"/>
                <w:rFonts w:asciiTheme="majorHAnsi" w:hAnsiTheme="majorHAnsi" w:cstheme="majorHAnsi"/>
                <w:b/>
                <w:i/>
                <w:noProof/>
                <w:lang w:val="ro-MD" w:eastAsia="ru-RU"/>
              </w:rPr>
              <w:t>4.2.3.</w:t>
            </w:r>
            <w:r>
              <w:rPr>
                <w:rFonts w:cstheme="minorBidi"/>
                <w:noProof/>
              </w:rPr>
              <w:tab/>
            </w:r>
            <w:r w:rsidRPr="00BB3809">
              <w:rPr>
                <w:rStyle w:val="Hyperlink"/>
                <w:rFonts w:asciiTheme="majorHAnsi" w:hAnsiTheme="majorHAnsi" w:cstheme="majorHAnsi"/>
                <w:b/>
                <w:i/>
                <w:noProof/>
                <w:lang w:val="ro-MD" w:eastAsia="ru-RU"/>
              </w:rPr>
              <w:t>Asumarea riscului de credit de către IFP pentru beneficiarii finali de sub-proiecte asigură rambursarea în termen a datoriilor</w:t>
            </w:r>
            <w:r>
              <w:rPr>
                <w:noProof/>
                <w:webHidden/>
              </w:rPr>
              <w:tab/>
            </w:r>
            <w:r>
              <w:rPr>
                <w:noProof/>
                <w:webHidden/>
              </w:rPr>
              <w:fldChar w:fldCharType="begin"/>
            </w:r>
            <w:r>
              <w:rPr>
                <w:noProof/>
                <w:webHidden/>
              </w:rPr>
              <w:instrText xml:space="preserve"> PAGEREF _Toc47009713 \h </w:instrText>
            </w:r>
            <w:r>
              <w:rPr>
                <w:noProof/>
                <w:webHidden/>
              </w:rPr>
            </w:r>
            <w:r>
              <w:rPr>
                <w:noProof/>
                <w:webHidden/>
              </w:rPr>
              <w:fldChar w:fldCharType="separate"/>
            </w:r>
            <w:r>
              <w:rPr>
                <w:noProof/>
                <w:webHidden/>
              </w:rPr>
              <w:t>19</w:t>
            </w:r>
            <w:r>
              <w:rPr>
                <w:noProof/>
                <w:webHidden/>
              </w:rPr>
              <w:fldChar w:fldCharType="end"/>
            </w:r>
          </w:hyperlink>
        </w:p>
        <w:p w:rsidR="003920EA" w:rsidRDefault="003920EA">
          <w:pPr>
            <w:pStyle w:val="TOC3"/>
            <w:rPr>
              <w:rFonts w:cstheme="minorBidi"/>
              <w:noProof/>
            </w:rPr>
          </w:pPr>
          <w:hyperlink w:anchor="_Toc47009714" w:history="1">
            <w:r w:rsidRPr="00BB3809">
              <w:rPr>
                <w:rStyle w:val="Hyperlink"/>
                <w:rFonts w:asciiTheme="majorHAnsi" w:hAnsiTheme="majorHAnsi" w:cstheme="majorHAnsi"/>
                <w:b/>
                <w:i/>
                <w:noProof/>
                <w:lang w:val="ro-MD" w:eastAsia="ru-RU"/>
              </w:rPr>
              <w:t>4.2.4.</w:t>
            </w:r>
            <w:r>
              <w:rPr>
                <w:rFonts w:cstheme="minorBidi"/>
                <w:noProof/>
              </w:rPr>
              <w:tab/>
            </w:r>
            <w:r w:rsidRPr="00BB3809">
              <w:rPr>
                <w:rStyle w:val="Hyperlink"/>
                <w:rFonts w:asciiTheme="majorHAnsi" w:hAnsiTheme="majorHAnsi" w:cstheme="majorHAnsi"/>
                <w:b/>
                <w:i/>
                <w:noProof/>
                <w:lang w:val="ro-MD" w:eastAsia="ru-RU"/>
              </w:rPr>
              <w:t>Mijloacele acumulate din recreditarea secundară permit DLC să asigure continuitatea operațiunilor de recreditare a sub-proiectelor noi viabile, să formeze fonduri necesare activității DLC și de acoperire a riscurilor creditare, precum și să finanțeze proiecte investiționale noi</w:t>
            </w:r>
            <w:r>
              <w:rPr>
                <w:noProof/>
                <w:webHidden/>
              </w:rPr>
              <w:tab/>
            </w:r>
            <w:r>
              <w:rPr>
                <w:noProof/>
                <w:webHidden/>
              </w:rPr>
              <w:fldChar w:fldCharType="begin"/>
            </w:r>
            <w:r>
              <w:rPr>
                <w:noProof/>
                <w:webHidden/>
              </w:rPr>
              <w:instrText xml:space="preserve"> PAGEREF _Toc47009714 \h </w:instrText>
            </w:r>
            <w:r>
              <w:rPr>
                <w:noProof/>
                <w:webHidden/>
              </w:rPr>
            </w:r>
            <w:r>
              <w:rPr>
                <w:noProof/>
                <w:webHidden/>
              </w:rPr>
              <w:fldChar w:fldCharType="separate"/>
            </w:r>
            <w:r>
              <w:rPr>
                <w:noProof/>
                <w:webHidden/>
              </w:rPr>
              <w:t>22</w:t>
            </w:r>
            <w:r>
              <w:rPr>
                <w:noProof/>
                <w:webHidden/>
              </w:rPr>
              <w:fldChar w:fldCharType="end"/>
            </w:r>
          </w:hyperlink>
        </w:p>
        <w:p w:rsidR="003920EA" w:rsidRDefault="003920EA">
          <w:pPr>
            <w:pStyle w:val="TOC3"/>
            <w:rPr>
              <w:rFonts w:cstheme="minorBidi"/>
              <w:noProof/>
            </w:rPr>
          </w:pPr>
          <w:hyperlink w:anchor="_Toc47009715" w:history="1">
            <w:r w:rsidRPr="00BB3809">
              <w:rPr>
                <w:rStyle w:val="Hyperlink"/>
                <w:rFonts w:asciiTheme="majorHAnsi" w:hAnsiTheme="majorHAnsi" w:cstheme="majorHAnsi"/>
                <w:b/>
                <w:i/>
                <w:noProof/>
                <w:lang w:val="ro-MD" w:eastAsia="ru-RU"/>
              </w:rPr>
              <w:t>4.2.5.</w:t>
            </w:r>
            <w:r>
              <w:rPr>
                <w:rFonts w:cstheme="minorBidi"/>
                <w:noProof/>
              </w:rPr>
              <w:tab/>
            </w:r>
            <w:r w:rsidRPr="00BB3809">
              <w:rPr>
                <w:rStyle w:val="Hyperlink"/>
                <w:rFonts w:asciiTheme="majorHAnsi" w:hAnsiTheme="majorHAnsi" w:cstheme="majorHAnsi"/>
                <w:b/>
                <w:i/>
                <w:noProof/>
                <w:lang w:val="ro-MD" w:eastAsia="ru-RU"/>
              </w:rPr>
              <w:t>DLC a asigurat colectarea și remiterea în termen și în volum deplin a sumelor datorate către MF pentru rambursarea sumelor principale și a dobânzilor datorate creditorilor externi</w:t>
            </w:r>
            <w:r>
              <w:rPr>
                <w:noProof/>
                <w:webHidden/>
              </w:rPr>
              <w:tab/>
            </w:r>
            <w:r>
              <w:rPr>
                <w:noProof/>
                <w:webHidden/>
              </w:rPr>
              <w:fldChar w:fldCharType="begin"/>
            </w:r>
            <w:r>
              <w:rPr>
                <w:noProof/>
                <w:webHidden/>
              </w:rPr>
              <w:instrText xml:space="preserve"> PAGEREF _Toc47009715 \h </w:instrText>
            </w:r>
            <w:r>
              <w:rPr>
                <w:noProof/>
                <w:webHidden/>
              </w:rPr>
            </w:r>
            <w:r>
              <w:rPr>
                <w:noProof/>
                <w:webHidden/>
              </w:rPr>
              <w:fldChar w:fldCharType="separate"/>
            </w:r>
            <w:r>
              <w:rPr>
                <w:noProof/>
                <w:webHidden/>
              </w:rPr>
              <w:t>23</w:t>
            </w:r>
            <w:r>
              <w:rPr>
                <w:noProof/>
                <w:webHidden/>
              </w:rPr>
              <w:fldChar w:fldCharType="end"/>
            </w:r>
          </w:hyperlink>
        </w:p>
        <w:p w:rsidR="003920EA" w:rsidRDefault="003920EA">
          <w:pPr>
            <w:pStyle w:val="TOC2"/>
            <w:rPr>
              <w:rFonts w:cstheme="minorBidi"/>
              <w:noProof/>
            </w:rPr>
          </w:pPr>
          <w:hyperlink w:anchor="_Toc47009716" w:history="1">
            <w:r w:rsidRPr="00BB3809">
              <w:rPr>
                <w:rStyle w:val="Hyperlink"/>
                <w:rFonts w:asciiTheme="majorHAnsi" w:eastAsia="Times New Roman" w:hAnsiTheme="majorHAnsi" w:cstheme="majorHAnsi"/>
                <w:b/>
                <w:bCs/>
                <w:i/>
                <w:noProof/>
                <w:lang w:val="ro-MD" w:eastAsia="ru-RU"/>
              </w:rPr>
              <w:t>4.2.6.</w:t>
            </w:r>
            <w:r>
              <w:rPr>
                <w:rFonts w:cstheme="minorBidi"/>
                <w:noProof/>
              </w:rPr>
              <w:tab/>
            </w:r>
            <w:r w:rsidRPr="00BB3809">
              <w:rPr>
                <w:rStyle w:val="Hyperlink"/>
                <w:rFonts w:asciiTheme="majorHAnsi" w:eastAsia="Times New Roman" w:hAnsiTheme="majorHAnsi" w:cstheme="majorHAnsi"/>
                <w:b/>
                <w:bCs/>
                <w:i/>
                <w:noProof/>
                <w:lang w:val="ro-MD" w:eastAsia="ru-RU"/>
              </w:rPr>
              <w:t>Gestionarea Liniilor de credit și a Proiectelor s-a realizat în conformitate cu funcțiile și sarcinile atribuite DLC</w:t>
            </w:r>
            <w:r>
              <w:rPr>
                <w:noProof/>
                <w:webHidden/>
              </w:rPr>
              <w:tab/>
            </w:r>
            <w:r>
              <w:rPr>
                <w:noProof/>
                <w:webHidden/>
              </w:rPr>
              <w:fldChar w:fldCharType="begin"/>
            </w:r>
            <w:r>
              <w:rPr>
                <w:noProof/>
                <w:webHidden/>
              </w:rPr>
              <w:instrText xml:space="preserve"> PAGEREF _Toc47009716 \h </w:instrText>
            </w:r>
            <w:r>
              <w:rPr>
                <w:noProof/>
                <w:webHidden/>
              </w:rPr>
            </w:r>
            <w:r>
              <w:rPr>
                <w:noProof/>
                <w:webHidden/>
              </w:rPr>
              <w:fldChar w:fldCharType="separate"/>
            </w:r>
            <w:r>
              <w:rPr>
                <w:noProof/>
                <w:webHidden/>
              </w:rPr>
              <w:t>24</w:t>
            </w:r>
            <w:r>
              <w:rPr>
                <w:noProof/>
                <w:webHidden/>
              </w:rPr>
              <w:fldChar w:fldCharType="end"/>
            </w:r>
          </w:hyperlink>
        </w:p>
        <w:p w:rsidR="003920EA" w:rsidRDefault="003920EA">
          <w:pPr>
            <w:pStyle w:val="TOC3"/>
            <w:rPr>
              <w:rFonts w:cstheme="minorBidi"/>
              <w:noProof/>
            </w:rPr>
          </w:pPr>
          <w:hyperlink w:anchor="_Toc47009717" w:history="1">
            <w:r w:rsidRPr="00BB3809">
              <w:rPr>
                <w:rStyle w:val="Hyperlink"/>
                <w:rFonts w:ascii="Calibri Light" w:hAnsi="Calibri Light" w:cs="Calibri Light"/>
                <w:b/>
                <w:bCs/>
                <w:i/>
                <w:noProof/>
                <w:lang w:val="ro-MD"/>
              </w:rPr>
              <w:t>4.2.7.</w:t>
            </w:r>
            <w:r>
              <w:rPr>
                <w:rFonts w:cstheme="minorBidi"/>
                <w:noProof/>
              </w:rPr>
              <w:tab/>
            </w:r>
            <w:r w:rsidRPr="00BB3809">
              <w:rPr>
                <w:rStyle w:val="Hyperlink"/>
                <w:rFonts w:ascii="Calibri Light" w:hAnsi="Calibri Light" w:cs="Calibri Light"/>
                <w:b/>
                <w:bCs/>
                <w:i/>
                <w:noProof/>
                <w:lang w:val="ro-MD"/>
              </w:rPr>
              <w:t>Din contul mijloacelor circulante acumulate de către DLC au fost realizate și finanțate două proiecte pentru tinerii antreprenori din Republica Moldova</w:t>
            </w:r>
            <w:r>
              <w:rPr>
                <w:noProof/>
                <w:webHidden/>
              </w:rPr>
              <w:tab/>
            </w:r>
            <w:r>
              <w:rPr>
                <w:noProof/>
                <w:webHidden/>
              </w:rPr>
              <w:fldChar w:fldCharType="begin"/>
            </w:r>
            <w:r>
              <w:rPr>
                <w:noProof/>
                <w:webHidden/>
              </w:rPr>
              <w:instrText xml:space="preserve"> PAGEREF _Toc47009717 \h </w:instrText>
            </w:r>
            <w:r>
              <w:rPr>
                <w:noProof/>
                <w:webHidden/>
              </w:rPr>
            </w:r>
            <w:r>
              <w:rPr>
                <w:noProof/>
                <w:webHidden/>
              </w:rPr>
              <w:fldChar w:fldCharType="separate"/>
            </w:r>
            <w:r>
              <w:rPr>
                <w:noProof/>
                <w:webHidden/>
              </w:rPr>
              <w:t>28</w:t>
            </w:r>
            <w:r>
              <w:rPr>
                <w:noProof/>
                <w:webHidden/>
              </w:rPr>
              <w:fldChar w:fldCharType="end"/>
            </w:r>
          </w:hyperlink>
        </w:p>
        <w:p w:rsidR="003920EA" w:rsidRDefault="003920EA">
          <w:pPr>
            <w:pStyle w:val="TOC2"/>
            <w:rPr>
              <w:rFonts w:cstheme="minorBidi"/>
              <w:noProof/>
            </w:rPr>
          </w:pPr>
          <w:hyperlink w:anchor="_Toc47009718" w:history="1">
            <w:r w:rsidRPr="00BB3809">
              <w:rPr>
                <w:rStyle w:val="Hyperlink"/>
                <w:rFonts w:asciiTheme="majorHAnsi" w:eastAsia="Times New Roman" w:hAnsiTheme="majorHAnsi" w:cstheme="majorHAnsi"/>
                <w:b/>
                <w:bCs/>
                <w:noProof/>
                <w:lang w:val="ro-MD" w:eastAsia="ru-RU"/>
              </w:rPr>
              <w:t>4.3.</w:t>
            </w:r>
            <w:r>
              <w:rPr>
                <w:rFonts w:cstheme="minorBidi"/>
                <w:noProof/>
              </w:rPr>
              <w:tab/>
            </w:r>
            <w:r w:rsidRPr="00BB3809">
              <w:rPr>
                <w:rStyle w:val="Hyperlink"/>
                <w:rFonts w:asciiTheme="majorHAnsi" w:eastAsia="Times New Roman" w:hAnsiTheme="majorHAnsi" w:cstheme="majorHAnsi"/>
                <w:b/>
                <w:bCs/>
                <w:noProof/>
                <w:lang w:val="ro-MD" w:eastAsia="ru-RU"/>
              </w:rPr>
              <w:t>În anul 2020, Directoratul Liniei de Credit a fost restructurat în Instituția Publică „Oficiul de Gestionare a Programelor de Asistență Externă”</w:t>
            </w:r>
            <w:r>
              <w:rPr>
                <w:noProof/>
                <w:webHidden/>
              </w:rPr>
              <w:tab/>
            </w:r>
            <w:r>
              <w:rPr>
                <w:noProof/>
                <w:webHidden/>
              </w:rPr>
              <w:fldChar w:fldCharType="begin"/>
            </w:r>
            <w:r>
              <w:rPr>
                <w:noProof/>
                <w:webHidden/>
              </w:rPr>
              <w:instrText xml:space="preserve"> PAGEREF _Toc47009718 \h </w:instrText>
            </w:r>
            <w:r>
              <w:rPr>
                <w:noProof/>
                <w:webHidden/>
              </w:rPr>
            </w:r>
            <w:r>
              <w:rPr>
                <w:noProof/>
                <w:webHidden/>
              </w:rPr>
              <w:fldChar w:fldCharType="separate"/>
            </w:r>
            <w:r>
              <w:rPr>
                <w:noProof/>
                <w:webHidden/>
              </w:rPr>
              <w:t>29</w:t>
            </w:r>
            <w:r>
              <w:rPr>
                <w:noProof/>
                <w:webHidden/>
              </w:rPr>
              <w:fldChar w:fldCharType="end"/>
            </w:r>
          </w:hyperlink>
        </w:p>
        <w:p w:rsidR="003920EA" w:rsidRDefault="003920EA">
          <w:pPr>
            <w:pStyle w:val="TOC1"/>
            <w:tabs>
              <w:tab w:val="left" w:pos="660"/>
              <w:tab w:val="right" w:leader="dot" w:pos="9345"/>
            </w:tabs>
            <w:rPr>
              <w:rFonts w:eastAsiaTheme="minorEastAsia"/>
              <w:noProof/>
            </w:rPr>
          </w:pPr>
          <w:hyperlink w:anchor="_Toc47009719" w:history="1">
            <w:r w:rsidRPr="00BB3809">
              <w:rPr>
                <w:rStyle w:val="Hyperlink"/>
                <w:rFonts w:asciiTheme="majorHAnsi" w:eastAsia="Times New Roman" w:hAnsiTheme="majorHAnsi" w:cstheme="majorHAnsi"/>
                <w:b/>
                <w:bCs/>
                <w:noProof/>
                <w:lang w:val="ro-MD" w:eastAsia="ru-RU"/>
              </w:rPr>
              <w:t>V.</w:t>
            </w:r>
            <w:r>
              <w:rPr>
                <w:rFonts w:eastAsiaTheme="minorEastAsia"/>
                <w:noProof/>
              </w:rPr>
              <w:tab/>
            </w:r>
            <w:r w:rsidRPr="00BB3809">
              <w:rPr>
                <w:rStyle w:val="Hyperlink"/>
                <w:rFonts w:asciiTheme="majorHAnsi" w:eastAsia="Times New Roman" w:hAnsiTheme="majorHAnsi" w:cstheme="majorHAnsi"/>
                <w:b/>
                <w:bCs/>
                <w:noProof/>
                <w:lang w:val="ro-MD" w:eastAsia="ru-RU"/>
              </w:rPr>
              <w:t>CONCLUZIA GENERALĂ</w:t>
            </w:r>
            <w:r>
              <w:rPr>
                <w:noProof/>
                <w:webHidden/>
              </w:rPr>
              <w:tab/>
            </w:r>
            <w:r>
              <w:rPr>
                <w:noProof/>
                <w:webHidden/>
              </w:rPr>
              <w:fldChar w:fldCharType="begin"/>
            </w:r>
            <w:r>
              <w:rPr>
                <w:noProof/>
                <w:webHidden/>
              </w:rPr>
              <w:instrText xml:space="preserve"> PAGEREF _Toc47009719 \h </w:instrText>
            </w:r>
            <w:r>
              <w:rPr>
                <w:noProof/>
                <w:webHidden/>
              </w:rPr>
            </w:r>
            <w:r>
              <w:rPr>
                <w:noProof/>
                <w:webHidden/>
              </w:rPr>
              <w:fldChar w:fldCharType="separate"/>
            </w:r>
            <w:r>
              <w:rPr>
                <w:noProof/>
                <w:webHidden/>
              </w:rPr>
              <w:t>30</w:t>
            </w:r>
            <w:r>
              <w:rPr>
                <w:noProof/>
                <w:webHidden/>
              </w:rPr>
              <w:fldChar w:fldCharType="end"/>
            </w:r>
          </w:hyperlink>
        </w:p>
        <w:p w:rsidR="003920EA" w:rsidRDefault="003920EA">
          <w:pPr>
            <w:pStyle w:val="TOC1"/>
            <w:tabs>
              <w:tab w:val="left" w:pos="660"/>
              <w:tab w:val="right" w:leader="dot" w:pos="9345"/>
            </w:tabs>
            <w:rPr>
              <w:rFonts w:eastAsiaTheme="minorEastAsia"/>
              <w:noProof/>
            </w:rPr>
          </w:pPr>
          <w:hyperlink w:anchor="_Toc47009720" w:history="1">
            <w:r w:rsidRPr="00BB3809">
              <w:rPr>
                <w:rStyle w:val="Hyperlink"/>
                <w:rFonts w:asciiTheme="majorHAnsi" w:eastAsia="Times New Roman" w:hAnsiTheme="majorHAnsi" w:cstheme="majorHAnsi"/>
                <w:b/>
                <w:bCs/>
                <w:noProof/>
                <w:lang w:val="ro-MD" w:eastAsia="ru-RU"/>
              </w:rPr>
              <w:t>VI.</w:t>
            </w:r>
            <w:r>
              <w:rPr>
                <w:rFonts w:eastAsiaTheme="minorEastAsia"/>
                <w:noProof/>
              </w:rPr>
              <w:tab/>
            </w:r>
            <w:r w:rsidRPr="00BB3809">
              <w:rPr>
                <w:rStyle w:val="Hyperlink"/>
                <w:rFonts w:asciiTheme="majorHAnsi" w:eastAsia="Times New Roman" w:hAnsiTheme="majorHAnsi" w:cstheme="majorHAnsi"/>
                <w:b/>
                <w:bCs/>
                <w:noProof/>
                <w:lang w:val="ro-MD" w:eastAsia="ru-RU"/>
              </w:rPr>
              <w:t>RECOMANDĂRI SUCCESORULUI DIRECTORATULUI LINIEI DE CREDIT:</w:t>
            </w:r>
            <w:r>
              <w:rPr>
                <w:noProof/>
                <w:webHidden/>
              </w:rPr>
              <w:tab/>
            </w:r>
            <w:r>
              <w:rPr>
                <w:noProof/>
                <w:webHidden/>
              </w:rPr>
              <w:fldChar w:fldCharType="begin"/>
            </w:r>
            <w:r>
              <w:rPr>
                <w:noProof/>
                <w:webHidden/>
              </w:rPr>
              <w:instrText xml:space="preserve"> PAGEREF _Toc47009720 \h </w:instrText>
            </w:r>
            <w:r>
              <w:rPr>
                <w:noProof/>
                <w:webHidden/>
              </w:rPr>
            </w:r>
            <w:r>
              <w:rPr>
                <w:noProof/>
                <w:webHidden/>
              </w:rPr>
              <w:fldChar w:fldCharType="separate"/>
            </w:r>
            <w:r>
              <w:rPr>
                <w:noProof/>
                <w:webHidden/>
              </w:rPr>
              <w:t>31</w:t>
            </w:r>
            <w:r>
              <w:rPr>
                <w:noProof/>
                <w:webHidden/>
              </w:rPr>
              <w:fldChar w:fldCharType="end"/>
            </w:r>
          </w:hyperlink>
        </w:p>
        <w:p w:rsidR="003920EA" w:rsidRDefault="003920EA">
          <w:pPr>
            <w:pStyle w:val="TOC1"/>
            <w:tabs>
              <w:tab w:val="right" w:leader="dot" w:pos="9345"/>
            </w:tabs>
            <w:rPr>
              <w:rFonts w:eastAsiaTheme="minorEastAsia"/>
              <w:noProof/>
            </w:rPr>
          </w:pPr>
          <w:hyperlink w:anchor="_Toc47009721" w:history="1">
            <w:r w:rsidRPr="00BB3809">
              <w:rPr>
                <w:rStyle w:val="Hyperlink"/>
                <w:rFonts w:eastAsia="Times New Roman" w:cstheme="majorHAnsi"/>
                <w:b/>
                <w:bCs/>
                <w:noProof/>
                <w:lang w:val="ro-MD" w:eastAsia="ru-RU"/>
              </w:rPr>
              <w:t>ANEXE</w:t>
            </w:r>
            <w:r>
              <w:rPr>
                <w:noProof/>
                <w:webHidden/>
              </w:rPr>
              <w:tab/>
            </w:r>
            <w:r>
              <w:rPr>
                <w:noProof/>
                <w:webHidden/>
              </w:rPr>
              <w:fldChar w:fldCharType="begin"/>
            </w:r>
            <w:r>
              <w:rPr>
                <w:noProof/>
                <w:webHidden/>
              </w:rPr>
              <w:instrText xml:space="preserve"> PAGEREF _Toc47009721 \h </w:instrText>
            </w:r>
            <w:r>
              <w:rPr>
                <w:noProof/>
                <w:webHidden/>
              </w:rPr>
            </w:r>
            <w:r>
              <w:rPr>
                <w:noProof/>
                <w:webHidden/>
              </w:rPr>
              <w:fldChar w:fldCharType="separate"/>
            </w:r>
            <w:r>
              <w:rPr>
                <w:noProof/>
                <w:webHidden/>
              </w:rPr>
              <w:t>32</w:t>
            </w:r>
            <w:r>
              <w:rPr>
                <w:noProof/>
                <w:webHidden/>
              </w:rPr>
              <w:fldChar w:fldCharType="end"/>
            </w:r>
          </w:hyperlink>
        </w:p>
        <w:p w:rsidR="0079208E" w:rsidRPr="00321F59" w:rsidRDefault="0079208E">
          <w:pPr>
            <w:rPr>
              <w:lang w:val="ro-MD"/>
            </w:rPr>
          </w:pPr>
          <w:r w:rsidRPr="00321F59">
            <w:rPr>
              <w:b/>
              <w:bCs/>
              <w:noProof/>
              <w:lang w:val="ro-MD"/>
            </w:rPr>
            <w:fldChar w:fldCharType="end"/>
          </w:r>
        </w:p>
      </w:sdtContent>
    </w:sdt>
    <w:p w:rsidR="00E85DB7" w:rsidRPr="00321F59" w:rsidRDefault="00E85DB7" w:rsidP="00C8468E">
      <w:pPr>
        <w:tabs>
          <w:tab w:val="left" w:pos="1164"/>
        </w:tabs>
        <w:spacing w:after="0" w:line="240" w:lineRule="auto"/>
        <w:ind w:firstLine="706"/>
        <w:jc w:val="both"/>
        <w:rPr>
          <w:rFonts w:ascii="Times New Roman" w:eastAsia="Times New Roman" w:hAnsi="Times New Roman" w:cs="Times New Roman"/>
          <w:sz w:val="28"/>
          <w:szCs w:val="24"/>
          <w:lang w:val="ro-MD" w:eastAsia="ro-RO"/>
        </w:rPr>
      </w:pPr>
    </w:p>
    <w:p w:rsidR="002A08B8" w:rsidRPr="00321F59" w:rsidRDefault="002A08B8" w:rsidP="00C8468E">
      <w:pPr>
        <w:tabs>
          <w:tab w:val="left" w:pos="1164"/>
        </w:tabs>
        <w:spacing w:after="0" w:line="240" w:lineRule="auto"/>
        <w:ind w:firstLine="706"/>
        <w:jc w:val="both"/>
        <w:rPr>
          <w:rFonts w:ascii="Times New Roman" w:eastAsia="Times New Roman" w:hAnsi="Times New Roman" w:cs="Times New Roman"/>
          <w:sz w:val="28"/>
          <w:szCs w:val="24"/>
          <w:lang w:val="ro-MD" w:eastAsia="ro-RO"/>
        </w:rPr>
      </w:pPr>
    </w:p>
    <w:p w:rsidR="002A08B8" w:rsidRPr="00321F59" w:rsidRDefault="002A08B8" w:rsidP="00C8468E">
      <w:pPr>
        <w:tabs>
          <w:tab w:val="left" w:pos="1164"/>
        </w:tabs>
        <w:spacing w:after="0" w:line="240" w:lineRule="auto"/>
        <w:ind w:firstLine="706"/>
        <w:jc w:val="both"/>
        <w:rPr>
          <w:rFonts w:ascii="Times New Roman" w:eastAsia="Times New Roman" w:hAnsi="Times New Roman" w:cs="Times New Roman"/>
          <w:sz w:val="28"/>
          <w:szCs w:val="24"/>
          <w:lang w:val="ro-MD" w:eastAsia="ro-RO"/>
        </w:rPr>
      </w:pPr>
    </w:p>
    <w:p w:rsidR="00E85DB7" w:rsidRPr="00321F59" w:rsidRDefault="00E85DB7" w:rsidP="004C03B2">
      <w:pPr>
        <w:tabs>
          <w:tab w:val="left" w:pos="1164"/>
        </w:tabs>
        <w:spacing w:after="0" w:line="240" w:lineRule="auto"/>
        <w:jc w:val="both"/>
        <w:rPr>
          <w:rFonts w:ascii="Times New Roman" w:eastAsia="Times New Roman" w:hAnsi="Times New Roman" w:cs="Times New Roman"/>
          <w:sz w:val="28"/>
          <w:szCs w:val="24"/>
          <w:lang w:val="ro-MD" w:eastAsia="ro-RO"/>
        </w:rPr>
      </w:pPr>
    </w:p>
    <w:p w:rsidR="00CC270F" w:rsidRPr="00321F59" w:rsidRDefault="00CC270F" w:rsidP="003160B2">
      <w:pPr>
        <w:keepNext/>
        <w:keepLines/>
        <w:spacing w:before="240" w:after="0" w:line="240" w:lineRule="auto"/>
        <w:outlineLvl w:val="0"/>
        <w:rPr>
          <w:rFonts w:asciiTheme="majorHAnsi" w:eastAsiaTheme="majorEastAsia" w:hAnsiTheme="majorHAnsi" w:cstheme="majorHAnsi"/>
          <w:b/>
          <w:color w:val="5B9BD5" w:themeColor="accent1"/>
          <w:sz w:val="28"/>
          <w:szCs w:val="28"/>
          <w:lang w:val="ro-MD"/>
        </w:rPr>
      </w:pPr>
      <w:bookmarkStart w:id="1" w:name="_Toc47009702"/>
      <w:r w:rsidRPr="00321F59">
        <w:rPr>
          <w:rFonts w:asciiTheme="majorHAnsi" w:eastAsiaTheme="majorEastAsia" w:hAnsiTheme="majorHAnsi" w:cstheme="majorHAnsi"/>
          <w:b/>
          <w:color w:val="5B9BD5" w:themeColor="accent1"/>
          <w:sz w:val="28"/>
          <w:szCs w:val="28"/>
          <w:lang w:val="ro-MD"/>
        </w:rPr>
        <w:lastRenderedPageBreak/>
        <w:t>LISTA ACRONIMELOR</w:t>
      </w:r>
      <w:bookmarkEnd w:id="1"/>
    </w:p>
    <w:tbl>
      <w:tblPr>
        <w:tblW w:w="0" w:type="auto"/>
        <w:tblLook w:val="04A0" w:firstRow="1" w:lastRow="0" w:firstColumn="1" w:lastColumn="0" w:noHBand="0" w:noVBand="1"/>
      </w:tblPr>
      <w:tblGrid>
        <w:gridCol w:w="1620"/>
        <w:gridCol w:w="7380"/>
      </w:tblGrid>
      <w:tr w:rsidR="00CC270F" w:rsidRPr="0024512C" w:rsidTr="00B71350">
        <w:tc>
          <w:tcPr>
            <w:tcW w:w="1620" w:type="dxa"/>
          </w:tcPr>
          <w:p w:rsidR="00CC270F" w:rsidRPr="00321F59" w:rsidRDefault="003160B2" w:rsidP="0048672D">
            <w:pPr>
              <w:spacing w:after="0" w:line="240" w:lineRule="auto"/>
              <w:rPr>
                <w:rFonts w:asciiTheme="majorHAnsi" w:hAnsiTheme="majorHAnsi" w:cstheme="majorHAnsi"/>
                <w:bCs/>
                <w:sz w:val="24"/>
                <w:szCs w:val="24"/>
                <w:lang w:val="ro-MD"/>
              </w:rPr>
            </w:pPr>
            <w:r w:rsidRPr="00321F59">
              <w:rPr>
                <w:rFonts w:asciiTheme="majorHAnsi" w:hAnsiTheme="majorHAnsi" w:cstheme="majorHAnsi"/>
                <w:bCs/>
                <w:sz w:val="24"/>
                <w:szCs w:val="24"/>
                <w:lang w:val="ro-MD"/>
              </w:rPr>
              <w:t>AID</w:t>
            </w:r>
          </w:p>
        </w:tc>
        <w:tc>
          <w:tcPr>
            <w:tcW w:w="7380" w:type="dxa"/>
          </w:tcPr>
          <w:p w:rsidR="00CC270F" w:rsidRPr="00321F59" w:rsidRDefault="003160B2" w:rsidP="0048672D">
            <w:pPr>
              <w:spacing w:after="0" w:line="240" w:lineRule="auto"/>
              <w:jc w:val="both"/>
              <w:rPr>
                <w:rFonts w:asciiTheme="majorHAnsi" w:hAnsiTheme="majorHAnsi" w:cstheme="majorHAnsi"/>
                <w:bCs/>
                <w:sz w:val="24"/>
                <w:szCs w:val="24"/>
                <w:lang w:val="ro-MD"/>
              </w:rPr>
            </w:pPr>
            <w:r w:rsidRPr="00321F59">
              <w:rPr>
                <w:rFonts w:asciiTheme="majorHAnsi" w:hAnsiTheme="majorHAnsi" w:cstheme="majorHAnsi"/>
                <w:bCs/>
                <w:sz w:val="24"/>
                <w:szCs w:val="24"/>
                <w:lang w:val="ro-MD"/>
              </w:rPr>
              <w:t>Asociația Internațională de Dezvoltare</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bCs/>
                <w:sz w:val="24"/>
                <w:szCs w:val="24"/>
                <w:lang w:val="ro-MD"/>
              </w:rPr>
            </w:pPr>
            <w:r w:rsidRPr="00321F59">
              <w:rPr>
                <w:rFonts w:asciiTheme="majorHAnsi" w:hAnsiTheme="majorHAnsi" w:cstheme="majorHAnsi"/>
                <w:bCs/>
                <w:sz w:val="24"/>
                <w:szCs w:val="24"/>
                <w:lang w:val="ro-MD"/>
              </w:rPr>
              <w:t>BC</w:t>
            </w:r>
          </w:p>
        </w:tc>
        <w:tc>
          <w:tcPr>
            <w:tcW w:w="7380" w:type="dxa"/>
          </w:tcPr>
          <w:p w:rsidR="003160B2" w:rsidRPr="00321F59" w:rsidRDefault="003160B2" w:rsidP="003160B2">
            <w:pPr>
              <w:spacing w:after="0" w:line="240" w:lineRule="auto"/>
              <w:jc w:val="both"/>
              <w:rPr>
                <w:rFonts w:asciiTheme="majorHAnsi" w:hAnsiTheme="majorHAnsi" w:cstheme="majorHAnsi"/>
                <w:bCs/>
                <w:sz w:val="24"/>
                <w:szCs w:val="24"/>
                <w:lang w:val="ro-MD"/>
              </w:rPr>
            </w:pPr>
            <w:r w:rsidRPr="00321F59">
              <w:rPr>
                <w:rFonts w:asciiTheme="majorHAnsi" w:hAnsiTheme="majorHAnsi" w:cstheme="majorHAnsi"/>
                <w:bCs/>
                <w:sz w:val="24"/>
                <w:szCs w:val="24"/>
                <w:lang w:val="ro-MD"/>
              </w:rPr>
              <w:t>Bancă comercială</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bCs/>
                <w:sz w:val="24"/>
                <w:szCs w:val="24"/>
                <w:lang w:val="ro-MD"/>
              </w:rPr>
            </w:pPr>
            <w:r w:rsidRPr="00321F59">
              <w:rPr>
                <w:rFonts w:asciiTheme="majorHAnsi" w:hAnsiTheme="majorHAnsi" w:cstheme="majorHAnsi"/>
                <w:bCs/>
                <w:sz w:val="24"/>
                <w:szCs w:val="24"/>
                <w:lang w:val="ro-MD"/>
              </w:rPr>
              <w:t>BNM</w:t>
            </w:r>
          </w:p>
        </w:tc>
        <w:tc>
          <w:tcPr>
            <w:tcW w:w="7380" w:type="dxa"/>
          </w:tcPr>
          <w:p w:rsidR="003160B2" w:rsidRPr="00321F59" w:rsidRDefault="003160B2" w:rsidP="003160B2">
            <w:pPr>
              <w:spacing w:after="0" w:line="240" w:lineRule="auto"/>
              <w:jc w:val="both"/>
              <w:rPr>
                <w:rFonts w:asciiTheme="majorHAnsi" w:hAnsiTheme="majorHAnsi" w:cstheme="majorHAnsi"/>
                <w:bCs/>
                <w:sz w:val="24"/>
                <w:szCs w:val="24"/>
                <w:lang w:val="ro-MD"/>
              </w:rPr>
            </w:pPr>
            <w:r w:rsidRPr="00321F59">
              <w:rPr>
                <w:rFonts w:asciiTheme="majorHAnsi" w:hAnsiTheme="majorHAnsi" w:cstheme="majorHAnsi"/>
                <w:bCs/>
                <w:sz w:val="24"/>
                <w:szCs w:val="24"/>
                <w:lang w:val="ro-MD"/>
              </w:rPr>
              <w:t>Banca Națională a Moldovei</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bCs/>
                <w:sz w:val="24"/>
                <w:szCs w:val="24"/>
                <w:lang w:val="ro-MD"/>
              </w:rPr>
            </w:pPr>
            <w:r w:rsidRPr="00321F59">
              <w:rPr>
                <w:rFonts w:asciiTheme="majorHAnsi" w:hAnsiTheme="majorHAnsi" w:cstheme="majorHAnsi"/>
                <w:bCs/>
                <w:sz w:val="24"/>
                <w:szCs w:val="24"/>
                <w:lang w:val="ro-MD"/>
              </w:rPr>
              <w:t>DLC</w:t>
            </w:r>
          </w:p>
        </w:tc>
        <w:tc>
          <w:tcPr>
            <w:tcW w:w="7380" w:type="dxa"/>
          </w:tcPr>
          <w:p w:rsidR="003160B2" w:rsidRPr="00321F59" w:rsidRDefault="003160B2" w:rsidP="003160B2">
            <w:pPr>
              <w:spacing w:after="0" w:line="240" w:lineRule="auto"/>
              <w:jc w:val="both"/>
              <w:rPr>
                <w:rFonts w:asciiTheme="majorHAnsi" w:hAnsiTheme="majorHAnsi" w:cstheme="majorHAnsi"/>
                <w:bCs/>
                <w:sz w:val="24"/>
                <w:szCs w:val="24"/>
                <w:lang w:val="ro-MD"/>
              </w:rPr>
            </w:pPr>
            <w:r w:rsidRPr="00321F59">
              <w:rPr>
                <w:rFonts w:asciiTheme="majorHAnsi" w:hAnsiTheme="majorHAnsi" w:cstheme="majorHAnsi"/>
                <w:bCs/>
                <w:sz w:val="24"/>
                <w:szCs w:val="24"/>
                <w:lang w:val="ro-MD"/>
              </w:rPr>
              <w:t>Directoratul Liniei de Credit</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bCs/>
                <w:sz w:val="24"/>
                <w:szCs w:val="24"/>
                <w:lang w:val="ro-MD"/>
              </w:rPr>
            </w:pPr>
            <w:r w:rsidRPr="00321F59">
              <w:rPr>
                <w:rFonts w:asciiTheme="majorHAnsi" w:hAnsiTheme="majorHAnsi" w:cstheme="majorHAnsi"/>
                <w:bCs/>
                <w:sz w:val="24"/>
                <w:szCs w:val="24"/>
                <w:lang w:val="ro-MD"/>
              </w:rPr>
              <w:t>FCT</w:t>
            </w:r>
          </w:p>
        </w:tc>
        <w:tc>
          <w:tcPr>
            <w:tcW w:w="7380" w:type="dxa"/>
          </w:tcPr>
          <w:p w:rsidR="003160B2" w:rsidRPr="00321F59" w:rsidRDefault="003160B2" w:rsidP="003160B2">
            <w:pPr>
              <w:spacing w:after="0" w:line="240" w:lineRule="auto"/>
              <w:jc w:val="both"/>
              <w:rPr>
                <w:rFonts w:asciiTheme="majorHAnsi" w:hAnsiTheme="majorHAnsi" w:cstheme="majorHAnsi"/>
                <w:bCs/>
                <w:sz w:val="24"/>
                <w:szCs w:val="24"/>
                <w:lang w:val="ro-MD"/>
              </w:rPr>
            </w:pPr>
            <w:r w:rsidRPr="00321F59">
              <w:rPr>
                <w:rFonts w:asciiTheme="majorHAnsi" w:hAnsiTheme="majorHAnsi" w:cstheme="majorHAnsi"/>
                <w:bCs/>
                <w:sz w:val="24"/>
                <w:szCs w:val="24"/>
                <w:lang w:val="ro-MD"/>
              </w:rPr>
              <w:t xml:space="preserve">Proiectul </w:t>
            </w:r>
            <w:r w:rsidR="004342D6" w:rsidRPr="00321F59">
              <w:rPr>
                <w:rFonts w:asciiTheme="majorHAnsi" w:hAnsiTheme="majorHAnsi" w:cstheme="majorHAnsi"/>
                <w:bCs/>
                <w:sz w:val="24"/>
                <w:szCs w:val="24"/>
                <w:lang w:val="ro-MD"/>
              </w:rPr>
              <w:t>Facilitatea de Creditare pentru Tineri</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bCs/>
                <w:sz w:val="24"/>
                <w:szCs w:val="24"/>
                <w:lang w:val="ro-MD"/>
              </w:rPr>
            </w:pPr>
            <w:r w:rsidRPr="00321F59">
              <w:rPr>
                <w:rFonts w:asciiTheme="majorHAnsi" w:hAnsiTheme="majorHAnsi" w:cstheme="majorHAnsi"/>
                <w:bCs/>
                <w:sz w:val="24"/>
                <w:szCs w:val="24"/>
                <w:lang w:val="ro-MD"/>
              </w:rPr>
              <w:t>FIDA I</w:t>
            </w:r>
          </w:p>
        </w:tc>
        <w:tc>
          <w:tcPr>
            <w:tcW w:w="7380" w:type="dxa"/>
          </w:tcPr>
          <w:p w:rsidR="003160B2" w:rsidRPr="00321F59" w:rsidRDefault="003160B2" w:rsidP="003160B2">
            <w:pPr>
              <w:spacing w:after="0" w:line="240" w:lineRule="auto"/>
              <w:jc w:val="both"/>
              <w:rPr>
                <w:rFonts w:asciiTheme="majorHAnsi" w:hAnsiTheme="majorHAnsi" w:cstheme="majorHAnsi"/>
                <w:bCs/>
                <w:sz w:val="24"/>
                <w:szCs w:val="24"/>
                <w:lang w:val="ro-MD"/>
              </w:rPr>
            </w:pPr>
            <w:r w:rsidRPr="00321F59">
              <w:rPr>
                <w:rFonts w:asciiTheme="majorHAnsi" w:hAnsiTheme="majorHAnsi" w:cstheme="majorHAnsi"/>
                <w:bCs/>
                <w:sz w:val="24"/>
                <w:szCs w:val="24"/>
                <w:lang w:val="ro-MD"/>
              </w:rPr>
              <w:t>Proiectul de Finanțare Rurală și Dezvoltare a Întreprinderilor Mici</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bCs/>
                <w:sz w:val="24"/>
                <w:szCs w:val="24"/>
                <w:lang w:val="ro-MD"/>
              </w:rPr>
            </w:pPr>
            <w:r w:rsidRPr="00321F59">
              <w:rPr>
                <w:rFonts w:asciiTheme="majorHAnsi" w:hAnsiTheme="majorHAnsi" w:cstheme="majorHAnsi"/>
                <w:bCs/>
                <w:sz w:val="24"/>
                <w:szCs w:val="24"/>
                <w:lang w:val="ro-MD"/>
              </w:rPr>
              <w:t>FIDA II</w:t>
            </w:r>
          </w:p>
        </w:tc>
        <w:tc>
          <w:tcPr>
            <w:tcW w:w="7380" w:type="dxa"/>
          </w:tcPr>
          <w:p w:rsidR="003160B2" w:rsidRPr="00321F59" w:rsidRDefault="003160B2" w:rsidP="003160B2">
            <w:pPr>
              <w:spacing w:after="0" w:line="240" w:lineRule="auto"/>
              <w:jc w:val="both"/>
              <w:rPr>
                <w:rFonts w:asciiTheme="majorHAnsi" w:hAnsiTheme="majorHAnsi" w:cstheme="majorHAnsi"/>
                <w:bCs/>
                <w:sz w:val="24"/>
                <w:szCs w:val="24"/>
                <w:lang w:val="ro-MD"/>
              </w:rPr>
            </w:pPr>
            <w:r w:rsidRPr="00321F59">
              <w:rPr>
                <w:rFonts w:asciiTheme="majorHAnsi" w:hAnsiTheme="majorHAnsi" w:cstheme="majorHAnsi"/>
                <w:bCs/>
                <w:sz w:val="24"/>
                <w:szCs w:val="24"/>
                <w:lang w:val="ro-MD"/>
              </w:rPr>
              <w:t>Proiectul de Revitalizare a Agriculturii</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bCs/>
                <w:sz w:val="24"/>
                <w:szCs w:val="24"/>
                <w:lang w:val="ro-MD"/>
              </w:rPr>
            </w:pPr>
            <w:r w:rsidRPr="00321F59">
              <w:rPr>
                <w:rFonts w:asciiTheme="majorHAnsi" w:hAnsiTheme="majorHAnsi" w:cstheme="majorHAnsi"/>
                <w:bCs/>
                <w:sz w:val="24"/>
                <w:szCs w:val="24"/>
                <w:lang w:val="ro-MD"/>
              </w:rPr>
              <w:t>FIDA III</w:t>
            </w:r>
          </w:p>
        </w:tc>
        <w:tc>
          <w:tcPr>
            <w:tcW w:w="7380" w:type="dxa"/>
          </w:tcPr>
          <w:p w:rsidR="003160B2" w:rsidRPr="00321F59" w:rsidRDefault="003160B2" w:rsidP="003160B2">
            <w:pPr>
              <w:spacing w:after="0" w:line="240" w:lineRule="auto"/>
              <w:jc w:val="both"/>
              <w:rPr>
                <w:rFonts w:asciiTheme="majorHAnsi" w:hAnsiTheme="majorHAnsi" w:cstheme="majorHAnsi"/>
                <w:bCs/>
                <w:sz w:val="24"/>
                <w:szCs w:val="24"/>
                <w:lang w:val="ro-MD"/>
              </w:rPr>
            </w:pPr>
            <w:r w:rsidRPr="00321F59">
              <w:rPr>
                <w:rFonts w:asciiTheme="majorHAnsi" w:hAnsiTheme="majorHAnsi" w:cstheme="majorHAnsi"/>
                <w:bCs/>
                <w:sz w:val="24"/>
                <w:szCs w:val="24"/>
                <w:lang w:val="ro-MD"/>
              </w:rPr>
              <w:t>Programul de Dezvoltare a Afacerilor Rurale</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bCs/>
                <w:sz w:val="24"/>
                <w:szCs w:val="24"/>
                <w:lang w:val="ro-MD"/>
              </w:rPr>
            </w:pPr>
            <w:r w:rsidRPr="00321F59">
              <w:rPr>
                <w:rFonts w:asciiTheme="majorHAnsi" w:hAnsiTheme="majorHAnsi" w:cstheme="majorHAnsi"/>
                <w:bCs/>
                <w:sz w:val="24"/>
                <w:szCs w:val="24"/>
                <w:lang w:val="ro-MD"/>
              </w:rPr>
              <w:t>FIDA IV</w:t>
            </w:r>
          </w:p>
        </w:tc>
        <w:tc>
          <w:tcPr>
            <w:tcW w:w="7380" w:type="dxa"/>
          </w:tcPr>
          <w:p w:rsidR="003160B2" w:rsidRPr="00321F59" w:rsidRDefault="003160B2" w:rsidP="003160B2">
            <w:pPr>
              <w:spacing w:after="0" w:line="240" w:lineRule="auto"/>
              <w:jc w:val="both"/>
              <w:rPr>
                <w:rFonts w:asciiTheme="majorHAnsi" w:hAnsiTheme="majorHAnsi" w:cstheme="majorHAnsi"/>
                <w:bCs/>
                <w:sz w:val="24"/>
                <w:szCs w:val="24"/>
                <w:lang w:val="ro-MD"/>
              </w:rPr>
            </w:pPr>
            <w:r w:rsidRPr="00321F59">
              <w:rPr>
                <w:rFonts w:asciiTheme="majorHAnsi" w:hAnsiTheme="majorHAnsi" w:cstheme="majorHAnsi"/>
                <w:bCs/>
                <w:sz w:val="24"/>
                <w:szCs w:val="24"/>
                <w:lang w:val="ro-MD"/>
              </w:rPr>
              <w:t>Programul de Servicii Financiare Rurale și Marketing</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bCs/>
                <w:sz w:val="24"/>
                <w:szCs w:val="24"/>
                <w:lang w:val="ro-MD"/>
              </w:rPr>
            </w:pPr>
            <w:r w:rsidRPr="00321F59">
              <w:rPr>
                <w:rFonts w:asciiTheme="majorHAnsi" w:hAnsiTheme="majorHAnsi" w:cstheme="majorHAnsi"/>
                <w:bCs/>
                <w:sz w:val="24"/>
                <w:szCs w:val="24"/>
                <w:lang w:val="ro-MD"/>
              </w:rPr>
              <w:t>FIDA V</w:t>
            </w:r>
          </w:p>
        </w:tc>
        <w:tc>
          <w:tcPr>
            <w:tcW w:w="7380" w:type="dxa"/>
          </w:tcPr>
          <w:p w:rsidR="003160B2" w:rsidRPr="00321F59" w:rsidRDefault="003160B2" w:rsidP="003160B2">
            <w:pPr>
              <w:spacing w:after="0" w:line="240" w:lineRule="auto"/>
              <w:jc w:val="both"/>
              <w:rPr>
                <w:rFonts w:asciiTheme="majorHAnsi" w:hAnsiTheme="majorHAnsi" w:cstheme="majorHAnsi"/>
                <w:bCs/>
                <w:sz w:val="24"/>
                <w:szCs w:val="24"/>
                <w:lang w:val="ro-MD"/>
              </w:rPr>
            </w:pPr>
            <w:r w:rsidRPr="00321F59">
              <w:rPr>
                <w:rFonts w:asciiTheme="majorHAnsi" w:hAnsiTheme="majorHAnsi" w:cstheme="majorHAnsi"/>
                <w:bCs/>
                <w:sz w:val="24"/>
                <w:szCs w:val="24"/>
                <w:lang w:val="ro-MD"/>
              </w:rPr>
              <w:t>Proiectul de Servicii Financiare Rurale și Dezvoltare a Businessului Agricol</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bCs/>
                <w:sz w:val="24"/>
                <w:szCs w:val="24"/>
                <w:lang w:val="ro-MD"/>
              </w:rPr>
            </w:pPr>
            <w:r w:rsidRPr="00321F59">
              <w:rPr>
                <w:rFonts w:asciiTheme="majorHAnsi" w:hAnsiTheme="majorHAnsi" w:cstheme="majorHAnsi"/>
                <w:bCs/>
                <w:sz w:val="24"/>
                <w:szCs w:val="24"/>
                <w:lang w:val="ro-MD"/>
              </w:rPr>
              <w:t>FIDA VI</w:t>
            </w:r>
          </w:p>
        </w:tc>
        <w:tc>
          <w:tcPr>
            <w:tcW w:w="7380" w:type="dxa"/>
          </w:tcPr>
          <w:p w:rsidR="003160B2" w:rsidRPr="00321F59" w:rsidRDefault="003160B2" w:rsidP="003160B2">
            <w:pPr>
              <w:spacing w:after="0" w:line="240" w:lineRule="auto"/>
              <w:jc w:val="both"/>
              <w:rPr>
                <w:rFonts w:asciiTheme="majorHAnsi" w:hAnsiTheme="majorHAnsi" w:cstheme="majorHAnsi"/>
                <w:bCs/>
                <w:sz w:val="24"/>
                <w:szCs w:val="24"/>
                <w:lang w:val="ro-MD"/>
              </w:rPr>
            </w:pPr>
            <w:r w:rsidRPr="00321F59">
              <w:rPr>
                <w:rFonts w:asciiTheme="majorHAnsi" w:hAnsiTheme="majorHAnsi" w:cstheme="majorHAnsi"/>
                <w:bCs/>
                <w:sz w:val="24"/>
                <w:szCs w:val="24"/>
                <w:lang w:val="ro-MD"/>
              </w:rPr>
              <w:t>Programul de Servicii Financiare Rurale și Dezvoltarea Agriculturii</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bCs/>
                <w:sz w:val="24"/>
                <w:szCs w:val="24"/>
                <w:lang w:val="ro-MD"/>
              </w:rPr>
            </w:pPr>
            <w:r w:rsidRPr="00321F59">
              <w:rPr>
                <w:rFonts w:asciiTheme="majorHAnsi" w:hAnsiTheme="majorHAnsi" w:cstheme="majorHAnsi"/>
                <w:bCs/>
                <w:sz w:val="24"/>
                <w:szCs w:val="24"/>
                <w:lang w:val="ro-MD"/>
              </w:rPr>
              <w:t>FIDA VII</w:t>
            </w:r>
          </w:p>
        </w:tc>
        <w:tc>
          <w:tcPr>
            <w:tcW w:w="7380" w:type="dxa"/>
          </w:tcPr>
          <w:p w:rsidR="003160B2" w:rsidRPr="00321F59" w:rsidRDefault="003160B2" w:rsidP="003160B2">
            <w:pPr>
              <w:spacing w:after="0" w:line="240" w:lineRule="auto"/>
              <w:jc w:val="both"/>
              <w:rPr>
                <w:rFonts w:asciiTheme="majorHAnsi" w:hAnsiTheme="majorHAnsi" w:cstheme="majorHAnsi"/>
                <w:bCs/>
                <w:sz w:val="24"/>
                <w:szCs w:val="24"/>
                <w:lang w:val="ro-MD"/>
              </w:rPr>
            </w:pPr>
            <w:r w:rsidRPr="00321F59">
              <w:rPr>
                <w:rFonts w:asciiTheme="majorHAnsi" w:hAnsiTheme="majorHAnsi" w:cstheme="majorHAnsi"/>
                <w:bCs/>
                <w:sz w:val="24"/>
                <w:szCs w:val="24"/>
                <w:lang w:val="ro-MD"/>
              </w:rPr>
              <w:t>Proiectul de Reziliență Rurală</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bCs/>
                <w:sz w:val="24"/>
                <w:szCs w:val="24"/>
                <w:lang w:val="ro-MD"/>
              </w:rPr>
            </w:pPr>
            <w:r w:rsidRPr="00321F59">
              <w:rPr>
                <w:rFonts w:asciiTheme="majorHAnsi" w:hAnsiTheme="majorHAnsi" w:cstheme="majorHAnsi"/>
                <w:bCs/>
                <w:sz w:val="24"/>
                <w:szCs w:val="24"/>
                <w:lang w:val="ro-MD"/>
              </w:rPr>
              <w:t>IFAD</w:t>
            </w:r>
          </w:p>
        </w:tc>
        <w:tc>
          <w:tcPr>
            <w:tcW w:w="7380" w:type="dxa"/>
          </w:tcPr>
          <w:p w:rsidR="003160B2" w:rsidRPr="00321F59" w:rsidRDefault="003160B2" w:rsidP="003160B2">
            <w:pPr>
              <w:spacing w:after="0" w:line="240" w:lineRule="auto"/>
              <w:jc w:val="both"/>
              <w:rPr>
                <w:rFonts w:asciiTheme="majorHAnsi" w:hAnsiTheme="majorHAnsi" w:cstheme="majorHAnsi"/>
                <w:bCs/>
                <w:sz w:val="24"/>
                <w:szCs w:val="24"/>
                <w:lang w:val="ro-MD"/>
              </w:rPr>
            </w:pPr>
            <w:r w:rsidRPr="00321F59">
              <w:rPr>
                <w:rFonts w:asciiTheme="majorHAnsi" w:hAnsiTheme="majorHAnsi" w:cstheme="majorHAnsi"/>
                <w:bCs/>
                <w:sz w:val="24"/>
                <w:szCs w:val="24"/>
                <w:lang w:val="ro-MD"/>
              </w:rPr>
              <w:t>Fondul Internațional pentru Dezvoltarea Agricolă</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sz w:val="24"/>
                <w:szCs w:val="24"/>
                <w:lang w:val="ro-MD"/>
              </w:rPr>
            </w:pPr>
            <w:r w:rsidRPr="00321F59">
              <w:rPr>
                <w:rFonts w:asciiTheme="majorHAnsi" w:hAnsiTheme="majorHAnsi" w:cstheme="majorHAnsi"/>
                <w:sz w:val="24"/>
                <w:szCs w:val="24"/>
                <w:lang w:val="ro-MD"/>
              </w:rPr>
              <w:t>IFP</w:t>
            </w:r>
          </w:p>
        </w:tc>
        <w:tc>
          <w:tcPr>
            <w:tcW w:w="7380" w:type="dxa"/>
          </w:tcPr>
          <w:p w:rsidR="003160B2" w:rsidRPr="00321F59" w:rsidRDefault="003160B2" w:rsidP="003160B2">
            <w:pPr>
              <w:spacing w:after="0" w:line="240"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t>Instituție financiară participantă</w:t>
            </w:r>
          </w:p>
        </w:tc>
      </w:tr>
      <w:tr w:rsidR="000054AF" w:rsidRPr="0024512C" w:rsidTr="00B71350">
        <w:tc>
          <w:tcPr>
            <w:tcW w:w="1620" w:type="dxa"/>
          </w:tcPr>
          <w:p w:rsidR="000054AF" w:rsidRPr="00321F59" w:rsidRDefault="000054AF" w:rsidP="003160B2">
            <w:pPr>
              <w:spacing w:after="0" w:line="240" w:lineRule="auto"/>
              <w:rPr>
                <w:rFonts w:asciiTheme="majorHAnsi" w:hAnsiTheme="majorHAnsi" w:cstheme="majorHAnsi"/>
                <w:sz w:val="24"/>
                <w:szCs w:val="24"/>
                <w:lang w:val="ro-MD"/>
              </w:rPr>
            </w:pPr>
            <w:r w:rsidRPr="00321F59">
              <w:rPr>
                <w:rFonts w:asciiTheme="majorHAnsi" w:hAnsiTheme="majorHAnsi" w:cstheme="majorHAnsi"/>
                <w:sz w:val="24"/>
                <w:szCs w:val="24"/>
                <w:lang w:val="ro-MD"/>
              </w:rPr>
              <w:t>ÎMM</w:t>
            </w:r>
          </w:p>
        </w:tc>
        <w:tc>
          <w:tcPr>
            <w:tcW w:w="7380" w:type="dxa"/>
          </w:tcPr>
          <w:p w:rsidR="000054AF" w:rsidRPr="00321F59" w:rsidRDefault="000054AF" w:rsidP="003160B2">
            <w:pPr>
              <w:spacing w:after="0" w:line="240"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t>Întreprinderile mici și mijlocii</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sz w:val="24"/>
                <w:szCs w:val="24"/>
                <w:lang w:val="ro-MD"/>
              </w:rPr>
            </w:pPr>
            <w:proofErr w:type="spellStart"/>
            <w:r w:rsidRPr="00321F59">
              <w:rPr>
                <w:rFonts w:asciiTheme="majorHAnsi" w:hAnsiTheme="majorHAnsi" w:cstheme="majorHAnsi"/>
                <w:sz w:val="24"/>
                <w:szCs w:val="24"/>
                <w:lang w:val="ro-MD"/>
              </w:rPr>
              <w:t>KfW</w:t>
            </w:r>
            <w:proofErr w:type="spellEnd"/>
          </w:p>
        </w:tc>
        <w:tc>
          <w:tcPr>
            <w:tcW w:w="7380" w:type="dxa"/>
          </w:tcPr>
          <w:p w:rsidR="003160B2" w:rsidRPr="00321F59" w:rsidRDefault="003160B2" w:rsidP="003160B2">
            <w:pPr>
              <w:spacing w:after="0" w:line="240"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t xml:space="preserve">Împrumutul </w:t>
            </w:r>
            <w:proofErr w:type="spellStart"/>
            <w:r w:rsidRPr="00321F59">
              <w:rPr>
                <w:rFonts w:asciiTheme="majorHAnsi" w:hAnsiTheme="majorHAnsi" w:cstheme="majorHAnsi"/>
                <w:sz w:val="24"/>
                <w:szCs w:val="24"/>
                <w:lang w:val="ro-MD"/>
              </w:rPr>
              <w:t>Kreditanstalt</w:t>
            </w:r>
            <w:proofErr w:type="spellEnd"/>
            <w:r w:rsidRPr="00321F59">
              <w:rPr>
                <w:rFonts w:asciiTheme="majorHAnsi" w:hAnsiTheme="majorHAnsi" w:cstheme="majorHAnsi"/>
                <w:sz w:val="24"/>
                <w:szCs w:val="24"/>
                <w:lang w:val="ro-MD"/>
              </w:rPr>
              <w:t xml:space="preserve"> fur </w:t>
            </w:r>
            <w:proofErr w:type="spellStart"/>
            <w:r w:rsidRPr="00321F59">
              <w:rPr>
                <w:rFonts w:asciiTheme="majorHAnsi" w:hAnsiTheme="majorHAnsi" w:cstheme="majorHAnsi"/>
                <w:sz w:val="24"/>
                <w:szCs w:val="24"/>
                <w:lang w:val="ro-MD"/>
              </w:rPr>
              <w:t>Wiederaufbau</w:t>
            </w:r>
            <w:proofErr w:type="spellEnd"/>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sz w:val="24"/>
                <w:szCs w:val="24"/>
                <w:lang w:val="ro-MD"/>
              </w:rPr>
            </w:pPr>
            <w:r w:rsidRPr="00321F59">
              <w:rPr>
                <w:rFonts w:asciiTheme="majorHAnsi" w:hAnsiTheme="majorHAnsi" w:cstheme="majorHAnsi"/>
                <w:sz w:val="24"/>
                <w:szCs w:val="24"/>
                <w:lang w:val="ro-MD"/>
              </w:rPr>
              <w:t>MF</w:t>
            </w:r>
          </w:p>
        </w:tc>
        <w:tc>
          <w:tcPr>
            <w:tcW w:w="7380" w:type="dxa"/>
          </w:tcPr>
          <w:p w:rsidR="003160B2" w:rsidRPr="00321F59" w:rsidRDefault="003160B2" w:rsidP="003160B2">
            <w:pPr>
              <w:spacing w:after="0" w:line="240"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t>Ministerul Finanțelor</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sz w:val="24"/>
                <w:szCs w:val="24"/>
                <w:lang w:val="ro-MD"/>
              </w:rPr>
            </w:pPr>
            <w:r w:rsidRPr="00321F59">
              <w:rPr>
                <w:rFonts w:asciiTheme="majorHAnsi" w:hAnsiTheme="majorHAnsi" w:cstheme="majorHAnsi"/>
                <w:sz w:val="24"/>
                <w:szCs w:val="24"/>
                <w:lang w:val="ro-MD"/>
              </w:rPr>
              <w:t>MO</w:t>
            </w:r>
          </w:p>
        </w:tc>
        <w:tc>
          <w:tcPr>
            <w:tcW w:w="7380" w:type="dxa"/>
          </w:tcPr>
          <w:p w:rsidR="003160B2" w:rsidRPr="00321F59" w:rsidRDefault="003160B2" w:rsidP="003160B2">
            <w:pPr>
              <w:spacing w:after="0" w:line="240"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t>Manual operațional</w:t>
            </w:r>
          </w:p>
        </w:tc>
      </w:tr>
      <w:tr w:rsidR="00AE7636" w:rsidRPr="0024512C" w:rsidTr="00B71350">
        <w:tc>
          <w:tcPr>
            <w:tcW w:w="1620" w:type="dxa"/>
          </w:tcPr>
          <w:p w:rsidR="00AE7636" w:rsidRPr="00321F59" w:rsidRDefault="00AE7636" w:rsidP="003160B2">
            <w:pPr>
              <w:spacing w:after="0" w:line="240" w:lineRule="auto"/>
              <w:rPr>
                <w:rFonts w:asciiTheme="majorHAnsi" w:hAnsiTheme="majorHAnsi" w:cstheme="majorHAnsi"/>
                <w:sz w:val="24"/>
                <w:szCs w:val="24"/>
                <w:lang w:val="ro-MD"/>
              </w:rPr>
            </w:pPr>
            <w:r w:rsidRPr="00321F59">
              <w:rPr>
                <w:rFonts w:asciiTheme="majorHAnsi" w:hAnsiTheme="majorHAnsi" w:cstheme="majorHAnsi"/>
                <w:sz w:val="24"/>
                <w:szCs w:val="24"/>
                <w:lang w:val="ro-MD"/>
              </w:rPr>
              <w:t>OGPAE</w:t>
            </w:r>
          </w:p>
        </w:tc>
        <w:tc>
          <w:tcPr>
            <w:tcW w:w="7380" w:type="dxa"/>
          </w:tcPr>
          <w:p w:rsidR="00AE7636" w:rsidRPr="00321F59" w:rsidRDefault="00AE7636" w:rsidP="003160B2">
            <w:pPr>
              <w:spacing w:after="0" w:line="240"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t>Instituția Publică „Oficiul de Gestionare a Programelor de Asistență Externă”</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sz w:val="24"/>
                <w:szCs w:val="24"/>
                <w:lang w:val="ro-MD"/>
              </w:rPr>
            </w:pPr>
            <w:r w:rsidRPr="00321F59">
              <w:rPr>
                <w:rFonts w:asciiTheme="majorHAnsi" w:hAnsiTheme="majorHAnsi" w:cstheme="majorHAnsi"/>
                <w:sz w:val="24"/>
                <w:szCs w:val="24"/>
                <w:lang w:val="ro-MD"/>
              </w:rPr>
              <w:t>PAC</w:t>
            </w:r>
          </w:p>
        </w:tc>
        <w:tc>
          <w:tcPr>
            <w:tcW w:w="7380" w:type="dxa"/>
          </w:tcPr>
          <w:p w:rsidR="003160B2" w:rsidRPr="00321F59" w:rsidRDefault="003160B2" w:rsidP="003160B2">
            <w:pPr>
              <w:spacing w:after="0" w:line="240"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t>Proiectul de Ameliorare a Competitivității</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sz w:val="24"/>
                <w:szCs w:val="24"/>
                <w:lang w:val="ro-MD"/>
              </w:rPr>
            </w:pPr>
            <w:r w:rsidRPr="00321F59">
              <w:rPr>
                <w:rFonts w:asciiTheme="majorHAnsi" w:hAnsiTheme="majorHAnsi" w:cstheme="majorHAnsi"/>
                <w:sz w:val="24"/>
                <w:szCs w:val="24"/>
                <w:lang w:val="ro-MD"/>
              </w:rPr>
              <w:t>PASET</w:t>
            </w:r>
          </w:p>
        </w:tc>
        <w:tc>
          <w:tcPr>
            <w:tcW w:w="7380" w:type="dxa"/>
          </w:tcPr>
          <w:p w:rsidR="003160B2" w:rsidRPr="00321F59" w:rsidRDefault="003160B2" w:rsidP="003160B2">
            <w:pPr>
              <w:spacing w:after="0" w:line="240"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t xml:space="preserve">Proiectul Abilitatea </w:t>
            </w:r>
            <w:proofErr w:type="spellStart"/>
            <w:r w:rsidRPr="00321F59">
              <w:rPr>
                <w:rFonts w:asciiTheme="majorHAnsi" w:hAnsiTheme="majorHAnsi" w:cstheme="majorHAnsi"/>
                <w:sz w:val="24"/>
                <w:szCs w:val="24"/>
                <w:lang w:val="ro-MD"/>
              </w:rPr>
              <w:t>Socio</w:t>
            </w:r>
            <w:proofErr w:type="spellEnd"/>
            <w:r w:rsidRPr="00321F59">
              <w:rPr>
                <w:rFonts w:asciiTheme="majorHAnsi" w:hAnsiTheme="majorHAnsi" w:cstheme="majorHAnsi"/>
                <w:sz w:val="24"/>
                <w:szCs w:val="24"/>
                <w:lang w:val="ro-MD"/>
              </w:rPr>
              <w:t>-Economică a Tineretului</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sz w:val="24"/>
                <w:szCs w:val="24"/>
                <w:lang w:val="ro-MD"/>
              </w:rPr>
            </w:pPr>
            <w:r w:rsidRPr="00321F59">
              <w:rPr>
                <w:rFonts w:asciiTheme="majorHAnsi" w:hAnsiTheme="majorHAnsi" w:cstheme="majorHAnsi"/>
                <w:sz w:val="24"/>
                <w:szCs w:val="24"/>
                <w:lang w:val="ro-MD"/>
              </w:rPr>
              <w:t>PFR</w:t>
            </w:r>
          </w:p>
        </w:tc>
        <w:tc>
          <w:tcPr>
            <w:tcW w:w="7380" w:type="dxa"/>
          </w:tcPr>
          <w:p w:rsidR="003160B2" w:rsidRPr="00321F59" w:rsidRDefault="003160B2" w:rsidP="003160B2">
            <w:pPr>
              <w:spacing w:after="0" w:line="240"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t>Proiectul de Finanțare Rurală</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sz w:val="24"/>
                <w:szCs w:val="24"/>
                <w:lang w:val="ro-MD"/>
              </w:rPr>
            </w:pPr>
            <w:r w:rsidRPr="00321F59">
              <w:rPr>
                <w:rFonts w:asciiTheme="majorHAnsi" w:hAnsiTheme="majorHAnsi" w:cstheme="majorHAnsi"/>
                <w:sz w:val="24"/>
                <w:szCs w:val="24"/>
                <w:lang w:val="ro-MD"/>
              </w:rPr>
              <w:t>PNAET</w:t>
            </w:r>
          </w:p>
        </w:tc>
        <w:tc>
          <w:tcPr>
            <w:tcW w:w="7380" w:type="dxa"/>
          </w:tcPr>
          <w:p w:rsidR="003160B2" w:rsidRPr="00321F59" w:rsidRDefault="003160B2" w:rsidP="003160B2">
            <w:pPr>
              <w:spacing w:after="0" w:line="240"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t>Programul Național de Abilitare Economică a Tinerilor</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sz w:val="24"/>
                <w:szCs w:val="24"/>
                <w:lang w:val="ro-MD"/>
              </w:rPr>
            </w:pPr>
            <w:r w:rsidRPr="00321F59">
              <w:rPr>
                <w:rFonts w:asciiTheme="majorHAnsi" w:hAnsiTheme="majorHAnsi" w:cstheme="majorHAnsi"/>
                <w:sz w:val="24"/>
                <w:szCs w:val="24"/>
                <w:lang w:val="ro-MD"/>
              </w:rPr>
              <w:t xml:space="preserve">PDSP </w:t>
            </w:r>
          </w:p>
        </w:tc>
        <w:tc>
          <w:tcPr>
            <w:tcW w:w="7380" w:type="dxa"/>
          </w:tcPr>
          <w:p w:rsidR="003160B2" w:rsidRPr="00321F59" w:rsidRDefault="003160B2" w:rsidP="003160B2">
            <w:pPr>
              <w:spacing w:after="0" w:line="240"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t>Primul Proiect de Dezvoltare a Sectorului Privat</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sz w:val="24"/>
                <w:szCs w:val="24"/>
                <w:lang w:val="ro-MD"/>
              </w:rPr>
            </w:pPr>
            <w:r w:rsidRPr="00321F59">
              <w:rPr>
                <w:rFonts w:asciiTheme="majorHAnsi" w:hAnsiTheme="majorHAnsi" w:cstheme="majorHAnsi"/>
                <w:sz w:val="24"/>
                <w:szCs w:val="24"/>
                <w:lang w:val="ro-MD"/>
              </w:rPr>
              <w:t>RISP</w:t>
            </w:r>
          </w:p>
        </w:tc>
        <w:tc>
          <w:tcPr>
            <w:tcW w:w="7380" w:type="dxa"/>
          </w:tcPr>
          <w:p w:rsidR="003160B2" w:rsidRPr="00321F59" w:rsidRDefault="003160B2" w:rsidP="003160B2">
            <w:pPr>
              <w:spacing w:after="0" w:line="240"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t>Proiectul de Investiții și Servicii Rurale</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sz w:val="24"/>
                <w:szCs w:val="24"/>
                <w:lang w:val="ro-MD"/>
              </w:rPr>
            </w:pPr>
            <w:r w:rsidRPr="00321F59">
              <w:rPr>
                <w:rFonts w:asciiTheme="majorHAnsi" w:hAnsiTheme="majorHAnsi" w:cstheme="majorHAnsi"/>
                <w:sz w:val="24"/>
                <w:szCs w:val="24"/>
                <w:lang w:val="ro-MD"/>
              </w:rPr>
              <w:t>RM</w:t>
            </w:r>
          </w:p>
        </w:tc>
        <w:tc>
          <w:tcPr>
            <w:tcW w:w="7380" w:type="dxa"/>
          </w:tcPr>
          <w:p w:rsidR="003160B2" w:rsidRPr="00321F59" w:rsidRDefault="003160B2" w:rsidP="003160B2">
            <w:pPr>
              <w:spacing w:after="0" w:line="240"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t>Republica Moldova</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sz w:val="24"/>
                <w:szCs w:val="24"/>
                <w:lang w:val="ro-MD"/>
              </w:rPr>
            </w:pPr>
            <w:r w:rsidRPr="00321F59">
              <w:rPr>
                <w:rFonts w:asciiTheme="majorHAnsi" w:hAnsiTheme="majorHAnsi" w:cstheme="majorHAnsi"/>
                <w:sz w:val="24"/>
                <w:szCs w:val="24"/>
                <w:lang w:val="ro-MD"/>
              </w:rPr>
              <w:t>SA</w:t>
            </w:r>
          </w:p>
        </w:tc>
        <w:tc>
          <w:tcPr>
            <w:tcW w:w="7380" w:type="dxa"/>
          </w:tcPr>
          <w:p w:rsidR="003160B2" w:rsidRPr="00321F59" w:rsidRDefault="003160B2" w:rsidP="003160B2">
            <w:pPr>
              <w:spacing w:after="0" w:line="240"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t>Societate pe acțiuni</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sz w:val="24"/>
                <w:szCs w:val="24"/>
                <w:lang w:val="ro-MD"/>
              </w:rPr>
            </w:pPr>
            <w:r w:rsidRPr="00321F59">
              <w:rPr>
                <w:rFonts w:asciiTheme="majorHAnsi" w:hAnsiTheme="majorHAnsi" w:cstheme="majorHAnsi"/>
                <w:sz w:val="24"/>
                <w:szCs w:val="24"/>
                <w:lang w:val="ro-MD"/>
              </w:rPr>
              <w:t>SRL</w:t>
            </w:r>
          </w:p>
        </w:tc>
        <w:tc>
          <w:tcPr>
            <w:tcW w:w="7380" w:type="dxa"/>
          </w:tcPr>
          <w:p w:rsidR="003160B2" w:rsidRPr="00321F59" w:rsidRDefault="003160B2" w:rsidP="003160B2">
            <w:pPr>
              <w:spacing w:after="0" w:line="240"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t>Societate cu răspundere limitată</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sz w:val="24"/>
                <w:szCs w:val="24"/>
                <w:lang w:val="ro-MD"/>
              </w:rPr>
            </w:pPr>
            <w:r w:rsidRPr="00321F59">
              <w:rPr>
                <w:rFonts w:asciiTheme="majorHAnsi" w:hAnsiTheme="majorHAnsi" w:cstheme="majorHAnsi"/>
                <w:sz w:val="24"/>
                <w:szCs w:val="24"/>
                <w:lang w:val="ro-MD"/>
              </w:rPr>
              <w:t>UCIMPRSVV</w:t>
            </w:r>
          </w:p>
        </w:tc>
        <w:tc>
          <w:tcPr>
            <w:tcW w:w="7380" w:type="dxa"/>
          </w:tcPr>
          <w:p w:rsidR="003160B2" w:rsidRPr="00321F59" w:rsidRDefault="003160B2" w:rsidP="003160B2">
            <w:pPr>
              <w:spacing w:after="0" w:line="240"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t>Unitatea Consolidată pentru Implementarea și Monitorizarea Programului de Restructurare a Sectorului Vitivinicol</w:t>
            </w:r>
          </w:p>
        </w:tc>
      </w:tr>
      <w:tr w:rsidR="003160B2" w:rsidRPr="0024512C" w:rsidTr="00B71350">
        <w:tc>
          <w:tcPr>
            <w:tcW w:w="1620" w:type="dxa"/>
          </w:tcPr>
          <w:p w:rsidR="003160B2" w:rsidRPr="00321F59" w:rsidRDefault="003160B2" w:rsidP="003160B2">
            <w:pPr>
              <w:spacing w:after="0" w:line="240" w:lineRule="auto"/>
              <w:rPr>
                <w:rFonts w:asciiTheme="majorHAnsi" w:hAnsiTheme="majorHAnsi" w:cstheme="majorHAnsi"/>
                <w:sz w:val="24"/>
                <w:szCs w:val="24"/>
                <w:lang w:val="ro-MD"/>
              </w:rPr>
            </w:pPr>
            <w:r w:rsidRPr="00321F59">
              <w:rPr>
                <w:rFonts w:asciiTheme="majorHAnsi" w:hAnsiTheme="majorHAnsi" w:cstheme="majorHAnsi"/>
                <w:sz w:val="24"/>
                <w:szCs w:val="24"/>
                <w:lang w:val="ro-MD"/>
              </w:rPr>
              <w:t>UCIP-IFAD</w:t>
            </w:r>
          </w:p>
        </w:tc>
        <w:tc>
          <w:tcPr>
            <w:tcW w:w="7380" w:type="dxa"/>
          </w:tcPr>
          <w:p w:rsidR="003160B2" w:rsidRPr="00321F59" w:rsidRDefault="003160B2" w:rsidP="003160B2">
            <w:pPr>
              <w:spacing w:after="0" w:line="240"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t>Unitatea Consolidată pentru Implementarea Programelor finanțate de IFAD</w:t>
            </w:r>
          </w:p>
        </w:tc>
      </w:tr>
      <w:tr w:rsidR="00C866D7" w:rsidRPr="0024512C" w:rsidTr="00B71350">
        <w:tc>
          <w:tcPr>
            <w:tcW w:w="1620" w:type="dxa"/>
          </w:tcPr>
          <w:p w:rsidR="00C866D7" w:rsidRPr="00321F59" w:rsidRDefault="00C866D7" w:rsidP="003160B2">
            <w:pPr>
              <w:spacing w:after="0" w:line="240" w:lineRule="auto"/>
              <w:rPr>
                <w:rFonts w:asciiTheme="majorHAnsi" w:hAnsiTheme="majorHAnsi" w:cstheme="majorHAnsi"/>
                <w:sz w:val="24"/>
                <w:szCs w:val="24"/>
                <w:lang w:val="ro-MD"/>
              </w:rPr>
            </w:pPr>
            <w:r w:rsidRPr="00321F59">
              <w:rPr>
                <w:rFonts w:asciiTheme="majorHAnsi" w:hAnsiTheme="majorHAnsi" w:cstheme="majorHAnsi"/>
                <w:sz w:val="24"/>
                <w:szCs w:val="24"/>
                <w:lang w:val="ro-MD"/>
              </w:rPr>
              <w:t>VMS</w:t>
            </w:r>
          </w:p>
        </w:tc>
        <w:tc>
          <w:tcPr>
            <w:tcW w:w="7380" w:type="dxa"/>
          </w:tcPr>
          <w:p w:rsidR="00C866D7" w:rsidRPr="00321F59" w:rsidRDefault="00C866D7" w:rsidP="003160B2">
            <w:pPr>
              <w:spacing w:after="0" w:line="240"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t>Valori mobiliare de stat</w:t>
            </w:r>
          </w:p>
        </w:tc>
      </w:tr>
    </w:tbl>
    <w:p w:rsidR="00CC270F" w:rsidRPr="00321F59" w:rsidRDefault="00CC270F" w:rsidP="00CC270F">
      <w:pPr>
        <w:spacing w:after="0" w:line="276" w:lineRule="auto"/>
        <w:rPr>
          <w:rFonts w:ascii="Times New Roman" w:hAnsi="Times New Roman"/>
          <w:noProof/>
          <w:sz w:val="28"/>
          <w:lang w:val="ro-MD"/>
        </w:rPr>
      </w:pPr>
    </w:p>
    <w:p w:rsidR="00C8468E" w:rsidRPr="00321F59" w:rsidRDefault="00C8468E" w:rsidP="00C8468E">
      <w:pPr>
        <w:spacing w:after="0" w:line="276" w:lineRule="auto"/>
        <w:jc w:val="center"/>
        <w:rPr>
          <w:rFonts w:ascii="Times New Roman" w:hAnsi="Times New Roman"/>
          <w:noProof/>
          <w:sz w:val="28"/>
          <w:lang w:val="ro-MD"/>
        </w:rPr>
      </w:pPr>
    </w:p>
    <w:p w:rsidR="00C8468E" w:rsidRPr="00321F59" w:rsidRDefault="00C8468E" w:rsidP="00C8468E">
      <w:pPr>
        <w:spacing w:after="0" w:line="276" w:lineRule="auto"/>
        <w:jc w:val="center"/>
        <w:rPr>
          <w:rFonts w:ascii="Times New Roman" w:hAnsi="Times New Roman"/>
          <w:noProof/>
          <w:sz w:val="28"/>
          <w:lang w:val="ro-MD"/>
        </w:rPr>
      </w:pPr>
    </w:p>
    <w:p w:rsidR="00C8468E" w:rsidRPr="00321F59" w:rsidRDefault="00C8468E" w:rsidP="00C8468E">
      <w:pPr>
        <w:spacing w:after="0" w:line="276" w:lineRule="auto"/>
        <w:jc w:val="center"/>
        <w:rPr>
          <w:rFonts w:ascii="Times New Roman" w:hAnsi="Times New Roman"/>
          <w:noProof/>
          <w:sz w:val="28"/>
          <w:lang w:val="ro-MD"/>
        </w:rPr>
      </w:pPr>
    </w:p>
    <w:p w:rsidR="00082216" w:rsidRPr="00321F59" w:rsidRDefault="00082216" w:rsidP="00C8468E">
      <w:pPr>
        <w:spacing w:after="0" w:line="276" w:lineRule="auto"/>
        <w:jc w:val="center"/>
        <w:rPr>
          <w:rFonts w:ascii="Times New Roman" w:hAnsi="Times New Roman"/>
          <w:noProof/>
          <w:sz w:val="28"/>
          <w:lang w:val="ro-MD"/>
        </w:rPr>
      </w:pPr>
    </w:p>
    <w:p w:rsidR="00082216" w:rsidRPr="00321F59" w:rsidRDefault="00082216" w:rsidP="00C8468E">
      <w:pPr>
        <w:spacing w:after="0" w:line="276" w:lineRule="auto"/>
        <w:jc w:val="center"/>
        <w:rPr>
          <w:rFonts w:ascii="Times New Roman" w:hAnsi="Times New Roman"/>
          <w:noProof/>
          <w:sz w:val="28"/>
          <w:lang w:val="ro-MD"/>
        </w:rPr>
      </w:pPr>
    </w:p>
    <w:p w:rsidR="00082216" w:rsidRPr="00321F59" w:rsidRDefault="00082216" w:rsidP="00C8468E">
      <w:pPr>
        <w:spacing w:after="0" w:line="276" w:lineRule="auto"/>
        <w:jc w:val="center"/>
        <w:rPr>
          <w:rFonts w:ascii="Times New Roman" w:hAnsi="Times New Roman"/>
          <w:noProof/>
          <w:sz w:val="28"/>
          <w:lang w:val="ro-MD"/>
        </w:rPr>
      </w:pPr>
    </w:p>
    <w:p w:rsidR="00082216" w:rsidRPr="00321F59" w:rsidRDefault="00082216" w:rsidP="00C8468E">
      <w:pPr>
        <w:spacing w:after="0" w:line="276" w:lineRule="auto"/>
        <w:jc w:val="center"/>
        <w:rPr>
          <w:rFonts w:ascii="Times New Roman" w:hAnsi="Times New Roman"/>
          <w:noProof/>
          <w:sz w:val="28"/>
          <w:lang w:val="ro-MD"/>
        </w:rPr>
      </w:pPr>
    </w:p>
    <w:p w:rsidR="00082216" w:rsidRPr="00321F59" w:rsidRDefault="00082216" w:rsidP="00C8468E">
      <w:pPr>
        <w:spacing w:after="0" w:line="276" w:lineRule="auto"/>
        <w:jc w:val="center"/>
        <w:rPr>
          <w:rFonts w:ascii="Times New Roman" w:hAnsi="Times New Roman"/>
          <w:noProof/>
          <w:sz w:val="28"/>
          <w:lang w:val="ro-MD"/>
        </w:rPr>
      </w:pPr>
    </w:p>
    <w:p w:rsidR="00082216" w:rsidRPr="00321F59" w:rsidRDefault="00082216" w:rsidP="00C8468E">
      <w:pPr>
        <w:spacing w:after="0" w:line="276" w:lineRule="auto"/>
        <w:jc w:val="center"/>
        <w:rPr>
          <w:rFonts w:ascii="Times New Roman" w:hAnsi="Times New Roman"/>
          <w:noProof/>
          <w:sz w:val="28"/>
          <w:lang w:val="ro-MD"/>
        </w:rPr>
      </w:pPr>
    </w:p>
    <w:p w:rsidR="00082216" w:rsidRPr="00321F59" w:rsidRDefault="00082216" w:rsidP="00C8468E">
      <w:pPr>
        <w:spacing w:after="0" w:line="276" w:lineRule="auto"/>
        <w:jc w:val="center"/>
        <w:rPr>
          <w:rFonts w:ascii="Times New Roman" w:hAnsi="Times New Roman"/>
          <w:noProof/>
          <w:sz w:val="28"/>
          <w:lang w:val="ro-MD"/>
        </w:rPr>
      </w:pPr>
    </w:p>
    <w:p w:rsidR="00082216" w:rsidRPr="00321F59" w:rsidRDefault="00082216" w:rsidP="00C8468E">
      <w:pPr>
        <w:spacing w:after="0" w:line="276" w:lineRule="auto"/>
        <w:jc w:val="center"/>
        <w:rPr>
          <w:rFonts w:ascii="Times New Roman" w:hAnsi="Times New Roman"/>
          <w:noProof/>
          <w:sz w:val="28"/>
          <w:lang w:val="ro-MD"/>
        </w:rPr>
      </w:pPr>
    </w:p>
    <w:p w:rsidR="000054AF" w:rsidRPr="00321F59" w:rsidRDefault="00082216" w:rsidP="000054AF">
      <w:pPr>
        <w:keepNext/>
        <w:keepLines/>
        <w:spacing w:before="240" w:after="0" w:line="240" w:lineRule="auto"/>
        <w:jc w:val="center"/>
        <w:outlineLvl w:val="0"/>
        <w:rPr>
          <w:rFonts w:asciiTheme="majorHAnsi" w:eastAsiaTheme="majorEastAsia" w:hAnsiTheme="majorHAnsi" w:cstheme="majorHAnsi"/>
          <w:b/>
          <w:color w:val="5B9BD5" w:themeColor="accent1"/>
          <w:sz w:val="28"/>
          <w:szCs w:val="28"/>
          <w:lang w:val="ro-MD"/>
        </w:rPr>
      </w:pPr>
      <w:bookmarkStart w:id="2" w:name="_Toc10106674"/>
      <w:bookmarkStart w:id="3" w:name="_Toc47009703"/>
      <w:r w:rsidRPr="00321F59">
        <w:rPr>
          <w:rFonts w:asciiTheme="majorHAnsi" w:eastAsiaTheme="majorEastAsia" w:hAnsiTheme="majorHAnsi" w:cstheme="majorHAnsi"/>
          <w:b/>
          <w:color w:val="5B9BD5" w:themeColor="accent1"/>
          <w:sz w:val="28"/>
          <w:szCs w:val="28"/>
          <w:lang w:val="ro-MD"/>
        </w:rPr>
        <w:lastRenderedPageBreak/>
        <w:t>GLOSAR</w:t>
      </w:r>
      <w:bookmarkEnd w:id="2"/>
      <w:bookmarkEnd w:id="3"/>
    </w:p>
    <w:tbl>
      <w:tblPr>
        <w:tblW w:w="0" w:type="auto"/>
        <w:tblLook w:val="04A0" w:firstRow="1" w:lastRow="0" w:firstColumn="1" w:lastColumn="0" w:noHBand="0" w:noVBand="1"/>
      </w:tblPr>
      <w:tblGrid>
        <w:gridCol w:w="2748"/>
        <w:gridCol w:w="6596"/>
      </w:tblGrid>
      <w:tr w:rsidR="00082216" w:rsidRPr="0024512C" w:rsidTr="004326B1">
        <w:tc>
          <w:tcPr>
            <w:tcW w:w="2748" w:type="dxa"/>
          </w:tcPr>
          <w:p w:rsidR="00082216" w:rsidRPr="0024512C" w:rsidRDefault="000054AF" w:rsidP="00082216">
            <w:pPr>
              <w:spacing w:after="0" w:line="240" w:lineRule="auto"/>
              <w:rPr>
                <w:rFonts w:asciiTheme="majorHAnsi" w:eastAsia="Times New Roman" w:hAnsiTheme="majorHAnsi" w:cstheme="majorHAnsi"/>
                <w:i/>
                <w:sz w:val="24"/>
                <w:szCs w:val="24"/>
                <w:lang w:val="ro-MD" w:eastAsia="ru-RU"/>
              </w:rPr>
            </w:pPr>
            <w:r w:rsidRPr="0024512C">
              <w:rPr>
                <w:rFonts w:asciiTheme="majorHAnsi" w:eastAsia="Times New Roman" w:hAnsiTheme="majorHAnsi" w:cstheme="majorHAnsi"/>
                <w:i/>
                <w:sz w:val="24"/>
                <w:szCs w:val="24"/>
                <w:lang w:val="ro-MD" w:eastAsia="ru-RU"/>
              </w:rPr>
              <w:t>Beneficiarii recreditării</w:t>
            </w:r>
          </w:p>
        </w:tc>
        <w:tc>
          <w:tcPr>
            <w:tcW w:w="6596" w:type="dxa"/>
          </w:tcPr>
          <w:p w:rsidR="00082216" w:rsidRPr="0024512C" w:rsidRDefault="00082216" w:rsidP="00082216">
            <w:pPr>
              <w:spacing w:after="0" w:line="240" w:lineRule="auto"/>
              <w:jc w:val="both"/>
              <w:rPr>
                <w:rFonts w:asciiTheme="majorHAnsi" w:eastAsia="Times New Roman" w:hAnsiTheme="majorHAnsi" w:cstheme="majorHAnsi"/>
                <w:sz w:val="24"/>
                <w:szCs w:val="24"/>
                <w:lang w:val="ro-MD" w:eastAsia="ru-RU"/>
              </w:rPr>
            </w:pPr>
            <w:r w:rsidRPr="005C74F5">
              <w:rPr>
                <w:rFonts w:asciiTheme="majorHAnsi" w:eastAsia="Times New Roman" w:hAnsiTheme="majorHAnsi" w:cstheme="majorHAnsi"/>
                <w:sz w:val="24"/>
                <w:szCs w:val="24"/>
                <w:lang w:val="ro-MD" w:eastAsia="ru-RU"/>
              </w:rPr>
              <w:t>Întreprinderile mici și mijlocii a</w:t>
            </w:r>
            <w:r w:rsidR="001B30F4" w:rsidRPr="0024512C">
              <w:rPr>
                <w:rFonts w:asciiTheme="majorHAnsi" w:eastAsia="Times New Roman" w:hAnsiTheme="majorHAnsi" w:cstheme="majorHAnsi"/>
                <w:sz w:val="24"/>
                <w:szCs w:val="24"/>
                <w:lang w:val="ro-MD" w:eastAsia="ru-RU"/>
              </w:rPr>
              <w:t>le</w:t>
            </w:r>
            <w:r w:rsidRPr="0024512C">
              <w:rPr>
                <w:rFonts w:asciiTheme="majorHAnsi" w:eastAsia="Times New Roman" w:hAnsiTheme="majorHAnsi" w:cstheme="majorHAnsi"/>
                <w:sz w:val="24"/>
                <w:szCs w:val="24"/>
                <w:lang w:val="ro-MD" w:eastAsia="ru-RU"/>
              </w:rPr>
              <w:t xml:space="preserve"> sectorului privat, care au primit resurse creditare prin intermediul IFP de la Unitățile de implementare a proiectelor investiționale sau de la DLC, sau care au beneficiar de resursele creditate în direct de la MF în conturile sale bancare.</w:t>
            </w:r>
          </w:p>
        </w:tc>
      </w:tr>
      <w:tr w:rsidR="003C6D05" w:rsidRPr="0024512C" w:rsidTr="004326B1">
        <w:tc>
          <w:tcPr>
            <w:tcW w:w="2748" w:type="dxa"/>
          </w:tcPr>
          <w:p w:rsidR="003C6D05" w:rsidRPr="0024512C" w:rsidRDefault="003C6D05" w:rsidP="00082216">
            <w:pPr>
              <w:spacing w:after="0" w:line="240" w:lineRule="auto"/>
              <w:rPr>
                <w:rFonts w:asciiTheme="majorHAnsi" w:eastAsia="Times New Roman" w:hAnsiTheme="majorHAnsi" w:cstheme="majorHAnsi"/>
                <w:i/>
                <w:sz w:val="24"/>
                <w:szCs w:val="24"/>
                <w:lang w:val="ro-MD" w:eastAsia="ru-RU"/>
              </w:rPr>
            </w:pPr>
            <w:r w:rsidRPr="0024512C">
              <w:rPr>
                <w:rFonts w:asciiTheme="majorHAnsi" w:eastAsia="Times New Roman" w:hAnsiTheme="majorHAnsi" w:cstheme="majorHAnsi"/>
                <w:i/>
                <w:sz w:val="24"/>
                <w:szCs w:val="24"/>
                <w:lang w:val="ro-MD" w:eastAsia="ru-RU"/>
              </w:rPr>
              <w:t>Depozit bancar</w:t>
            </w:r>
          </w:p>
        </w:tc>
        <w:tc>
          <w:tcPr>
            <w:tcW w:w="6596" w:type="dxa"/>
          </w:tcPr>
          <w:p w:rsidR="003C6D05" w:rsidRPr="005C74F5" w:rsidRDefault="003C6D05" w:rsidP="00082216">
            <w:pPr>
              <w:spacing w:after="0" w:line="240" w:lineRule="auto"/>
              <w:jc w:val="both"/>
              <w:rPr>
                <w:rFonts w:asciiTheme="majorHAnsi" w:eastAsia="Times New Roman" w:hAnsiTheme="majorHAnsi" w:cstheme="majorHAnsi"/>
                <w:sz w:val="24"/>
                <w:szCs w:val="24"/>
                <w:lang w:val="ro-MD" w:eastAsia="ru-RU"/>
              </w:rPr>
            </w:pPr>
            <w:r w:rsidRPr="005C74F5">
              <w:rPr>
                <w:rFonts w:asciiTheme="majorHAnsi" w:eastAsia="Times New Roman" w:hAnsiTheme="majorHAnsi" w:cstheme="majorHAnsi"/>
                <w:sz w:val="24"/>
                <w:szCs w:val="24"/>
                <w:lang w:val="ro-MD" w:eastAsia="ru-RU"/>
              </w:rPr>
              <w:t>Sumă de bani depusă la bancă, pe o perioadă definită, pentru care banca plătește deponentului o dobândă.</w:t>
            </w:r>
          </w:p>
        </w:tc>
      </w:tr>
      <w:tr w:rsidR="003C6D05" w:rsidRPr="0024512C" w:rsidTr="004326B1">
        <w:tc>
          <w:tcPr>
            <w:tcW w:w="2748" w:type="dxa"/>
          </w:tcPr>
          <w:p w:rsidR="003C6D05" w:rsidRPr="0024512C" w:rsidRDefault="003C6D05" w:rsidP="00082216">
            <w:pPr>
              <w:spacing w:after="0" w:line="240" w:lineRule="auto"/>
              <w:rPr>
                <w:rFonts w:asciiTheme="majorHAnsi" w:eastAsia="Times New Roman" w:hAnsiTheme="majorHAnsi" w:cstheme="majorHAnsi"/>
                <w:i/>
                <w:sz w:val="24"/>
                <w:szCs w:val="24"/>
                <w:lang w:val="ro-MD" w:eastAsia="ru-RU"/>
              </w:rPr>
            </w:pPr>
            <w:r w:rsidRPr="0024512C">
              <w:rPr>
                <w:rFonts w:asciiTheme="majorHAnsi" w:eastAsia="Times New Roman" w:hAnsiTheme="majorHAnsi" w:cstheme="majorHAnsi"/>
                <w:i/>
                <w:sz w:val="24"/>
                <w:szCs w:val="24"/>
                <w:lang w:val="ro-MD" w:eastAsia="ru-RU"/>
              </w:rPr>
              <w:t>EURIBOR</w:t>
            </w:r>
          </w:p>
        </w:tc>
        <w:tc>
          <w:tcPr>
            <w:tcW w:w="6596" w:type="dxa"/>
          </w:tcPr>
          <w:p w:rsidR="003C6D05" w:rsidRPr="005C74F5" w:rsidRDefault="003C6D05" w:rsidP="00082216">
            <w:pPr>
              <w:spacing w:after="0" w:line="240" w:lineRule="auto"/>
              <w:jc w:val="both"/>
              <w:rPr>
                <w:rFonts w:asciiTheme="majorHAnsi" w:eastAsia="Times New Roman" w:hAnsiTheme="majorHAnsi" w:cstheme="majorHAnsi"/>
                <w:sz w:val="24"/>
                <w:szCs w:val="24"/>
                <w:lang w:val="ro-MD" w:eastAsia="ru-RU"/>
              </w:rPr>
            </w:pPr>
            <w:r w:rsidRPr="005C74F5">
              <w:rPr>
                <w:rFonts w:asciiTheme="majorHAnsi" w:eastAsia="Times New Roman" w:hAnsiTheme="majorHAnsi" w:cstheme="majorHAnsi"/>
                <w:sz w:val="24"/>
                <w:szCs w:val="24"/>
                <w:lang w:val="ro-MD" w:eastAsia="ru-RU"/>
              </w:rPr>
              <w:t>Rata de referință pentru piața monetară în euro.</w:t>
            </w:r>
          </w:p>
        </w:tc>
      </w:tr>
      <w:tr w:rsidR="004D4E00" w:rsidRPr="0024512C" w:rsidTr="004326B1">
        <w:tc>
          <w:tcPr>
            <w:tcW w:w="2748" w:type="dxa"/>
          </w:tcPr>
          <w:p w:rsidR="004D4E00" w:rsidRPr="0024512C" w:rsidRDefault="004D4E00" w:rsidP="00082216">
            <w:pPr>
              <w:spacing w:after="0" w:line="240" w:lineRule="auto"/>
              <w:rPr>
                <w:rFonts w:asciiTheme="majorHAnsi" w:eastAsia="Times New Roman" w:hAnsiTheme="majorHAnsi" w:cstheme="majorHAnsi"/>
                <w:i/>
                <w:sz w:val="24"/>
                <w:szCs w:val="24"/>
                <w:lang w:val="ro-MD" w:eastAsia="ru-RU"/>
              </w:rPr>
            </w:pPr>
            <w:r w:rsidRPr="0024512C">
              <w:rPr>
                <w:rFonts w:asciiTheme="majorHAnsi" w:eastAsia="Times New Roman" w:hAnsiTheme="majorHAnsi" w:cstheme="majorHAnsi"/>
                <w:i/>
                <w:sz w:val="24"/>
                <w:szCs w:val="24"/>
                <w:lang w:val="ro-MD" w:eastAsia="ru-RU"/>
              </w:rPr>
              <w:t>Exportator direct</w:t>
            </w:r>
          </w:p>
        </w:tc>
        <w:tc>
          <w:tcPr>
            <w:tcW w:w="6596" w:type="dxa"/>
          </w:tcPr>
          <w:p w:rsidR="004D4E00" w:rsidRPr="005C74F5" w:rsidRDefault="004D4E00" w:rsidP="00082216">
            <w:pPr>
              <w:spacing w:after="0" w:line="240" w:lineRule="auto"/>
              <w:jc w:val="both"/>
              <w:rPr>
                <w:rFonts w:asciiTheme="majorHAnsi" w:eastAsia="Times New Roman" w:hAnsiTheme="majorHAnsi" w:cstheme="majorHAnsi"/>
                <w:sz w:val="24"/>
                <w:szCs w:val="24"/>
                <w:lang w:val="ro-MD" w:eastAsia="ru-RU"/>
              </w:rPr>
            </w:pPr>
            <w:r w:rsidRPr="005C74F5">
              <w:rPr>
                <w:rFonts w:asciiTheme="majorHAnsi" w:eastAsia="Times New Roman" w:hAnsiTheme="majorHAnsi" w:cstheme="majorHAnsi"/>
                <w:sz w:val="24"/>
                <w:szCs w:val="24"/>
                <w:lang w:val="ro-MD" w:eastAsia="ru-RU"/>
              </w:rPr>
              <w:t>Producătorul încheie contracte de vânzare internațională direct cu principalii clienți externi.</w:t>
            </w:r>
          </w:p>
        </w:tc>
      </w:tr>
      <w:tr w:rsidR="004D4E00" w:rsidRPr="0024512C" w:rsidTr="004326B1">
        <w:tc>
          <w:tcPr>
            <w:tcW w:w="2748" w:type="dxa"/>
          </w:tcPr>
          <w:p w:rsidR="004D4E00" w:rsidRPr="0024512C" w:rsidRDefault="004D4E00" w:rsidP="00082216">
            <w:pPr>
              <w:spacing w:after="0" w:line="240" w:lineRule="auto"/>
              <w:rPr>
                <w:rFonts w:asciiTheme="majorHAnsi" w:eastAsia="Times New Roman" w:hAnsiTheme="majorHAnsi" w:cstheme="majorHAnsi"/>
                <w:i/>
                <w:sz w:val="24"/>
                <w:szCs w:val="24"/>
                <w:lang w:val="ro-MD" w:eastAsia="ru-RU"/>
              </w:rPr>
            </w:pPr>
            <w:r w:rsidRPr="0024512C">
              <w:rPr>
                <w:rFonts w:asciiTheme="majorHAnsi" w:eastAsia="Times New Roman" w:hAnsiTheme="majorHAnsi" w:cstheme="majorHAnsi"/>
                <w:i/>
                <w:sz w:val="24"/>
                <w:szCs w:val="24"/>
                <w:lang w:val="ro-MD" w:eastAsia="ru-RU"/>
              </w:rPr>
              <w:t>Exportator indirect</w:t>
            </w:r>
          </w:p>
        </w:tc>
        <w:tc>
          <w:tcPr>
            <w:tcW w:w="6596" w:type="dxa"/>
          </w:tcPr>
          <w:p w:rsidR="004D4E00" w:rsidRPr="0024512C" w:rsidRDefault="004D4E00" w:rsidP="00082216">
            <w:pPr>
              <w:spacing w:after="0" w:line="240" w:lineRule="auto"/>
              <w:jc w:val="both"/>
              <w:rPr>
                <w:rFonts w:asciiTheme="majorHAnsi" w:eastAsia="Times New Roman" w:hAnsiTheme="majorHAnsi" w:cstheme="majorHAnsi"/>
                <w:sz w:val="24"/>
                <w:szCs w:val="24"/>
                <w:lang w:val="ro-MD" w:eastAsia="ru-RU"/>
              </w:rPr>
            </w:pPr>
            <w:r w:rsidRPr="005C74F5">
              <w:rPr>
                <w:rFonts w:asciiTheme="majorHAnsi" w:eastAsia="Times New Roman" w:hAnsiTheme="majorHAnsi" w:cstheme="majorHAnsi"/>
                <w:sz w:val="24"/>
                <w:szCs w:val="24"/>
                <w:lang w:val="ro-MD" w:eastAsia="ru-RU"/>
              </w:rPr>
              <w:t xml:space="preserve">Producătorul își vinde producția către clienți externi </w:t>
            </w:r>
            <w:r w:rsidR="003208BB" w:rsidRPr="0024512C">
              <w:rPr>
                <w:rFonts w:asciiTheme="majorHAnsi" w:eastAsia="Times New Roman" w:hAnsiTheme="majorHAnsi" w:cstheme="majorHAnsi"/>
                <w:sz w:val="24"/>
                <w:szCs w:val="24"/>
                <w:lang w:val="ro-MD" w:eastAsia="ru-RU"/>
              </w:rPr>
              <w:t>folosind intermediari.</w:t>
            </w:r>
          </w:p>
        </w:tc>
      </w:tr>
      <w:tr w:rsidR="00737D32" w:rsidRPr="0024512C" w:rsidTr="004326B1">
        <w:tc>
          <w:tcPr>
            <w:tcW w:w="2748" w:type="dxa"/>
          </w:tcPr>
          <w:p w:rsidR="00737D32" w:rsidRPr="0024512C" w:rsidRDefault="00737D32" w:rsidP="00082216">
            <w:pPr>
              <w:spacing w:after="0" w:line="240" w:lineRule="auto"/>
              <w:rPr>
                <w:rFonts w:asciiTheme="majorHAnsi" w:eastAsia="Times New Roman" w:hAnsiTheme="majorHAnsi" w:cstheme="majorHAnsi"/>
                <w:i/>
                <w:sz w:val="24"/>
                <w:szCs w:val="24"/>
                <w:lang w:val="ro-MD" w:eastAsia="ru-RU"/>
              </w:rPr>
            </w:pPr>
            <w:r w:rsidRPr="0024512C">
              <w:rPr>
                <w:rFonts w:asciiTheme="majorHAnsi" w:eastAsia="Times New Roman" w:hAnsiTheme="majorHAnsi" w:cstheme="majorHAnsi"/>
                <w:i/>
                <w:sz w:val="24"/>
                <w:szCs w:val="24"/>
                <w:lang w:val="ro-MD" w:eastAsia="ru-RU"/>
              </w:rPr>
              <w:t>Fond de autofinanțare</w:t>
            </w:r>
          </w:p>
        </w:tc>
        <w:tc>
          <w:tcPr>
            <w:tcW w:w="6596" w:type="dxa"/>
          </w:tcPr>
          <w:p w:rsidR="00737D32" w:rsidRPr="0024512C" w:rsidRDefault="001B30F4" w:rsidP="00082216">
            <w:pPr>
              <w:spacing w:after="0" w:line="240" w:lineRule="auto"/>
              <w:jc w:val="both"/>
              <w:rPr>
                <w:rFonts w:asciiTheme="majorHAnsi" w:eastAsia="Times New Roman" w:hAnsiTheme="majorHAnsi" w:cstheme="majorHAnsi"/>
                <w:sz w:val="24"/>
                <w:szCs w:val="24"/>
                <w:lang w:val="ro-MD" w:eastAsia="ru-RU"/>
              </w:rPr>
            </w:pPr>
            <w:r w:rsidRPr="005C74F5">
              <w:rPr>
                <w:rFonts w:asciiTheme="majorHAnsi" w:hAnsiTheme="majorHAnsi" w:cstheme="majorHAnsi"/>
                <w:sz w:val="24"/>
                <w:szCs w:val="24"/>
                <w:lang w:val="ro-MD"/>
                <w14:glow w14:rad="0">
                  <w14:schemeClr w14:val="tx1"/>
                </w14:glow>
              </w:rPr>
              <w:t>R</w:t>
            </w:r>
            <w:r w:rsidR="00737D32" w:rsidRPr="0024512C">
              <w:rPr>
                <w:rFonts w:asciiTheme="majorHAnsi" w:hAnsiTheme="majorHAnsi" w:cstheme="majorHAnsi"/>
                <w:sz w:val="24"/>
                <w:szCs w:val="24"/>
                <w:lang w:val="ro-MD"/>
                <w14:glow w14:rad="0">
                  <w14:schemeClr w14:val="tx1"/>
                </w14:glow>
              </w:rPr>
              <w:t>ezerva financiară pentru întreținerea operațională a DLC formată ca diferență pozitivă între veniturile și cheltuielile instituției.</w:t>
            </w:r>
          </w:p>
        </w:tc>
      </w:tr>
      <w:tr w:rsidR="00082216" w:rsidRPr="0024512C" w:rsidTr="004326B1">
        <w:tc>
          <w:tcPr>
            <w:tcW w:w="2748" w:type="dxa"/>
          </w:tcPr>
          <w:p w:rsidR="00082216" w:rsidRPr="0024512C" w:rsidRDefault="00082216" w:rsidP="00082216">
            <w:pPr>
              <w:spacing w:after="0" w:line="240" w:lineRule="auto"/>
              <w:rPr>
                <w:rFonts w:asciiTheme="majorHAnsi" w:eastAsia="Times New Roman" w:hAnsiTheme="majorHAnsi" w:cstheme="majorHAnsi"/>
                <w:sz w:val="24"/>
                <w:szCs w:val="24"/>
                <w:lang w:val="ro-MD" w:eastAsia="ru-RU"/>
              </w:rPr>
            </w:pPr>
            <w:r w:rsidRPr="0024512C">
              <w:rPr>
                <w:rFonts w:asciiTheme="majorHAnsi" w:eastAsia="Times New Roman" w:hAnsiTheme="majorHAnsi" w:cs="Times New Roman"/>
                <w:i/>
                <w:iCs/>
                <w:sz w:val="24"/>
                <w:szCs w:val="24"/>
                <w:lang w:val="ro-MD" w:eastAsia="ru-RU"/>
              </w:rPr>
              <w:t>Instituțiile Financiare Participante (IFP)</w:t>
            </w:r>
          </w:p>
        </w:tc>
        <w:tc>
          <w:tcPr>
            <w:tcW w:w="6596" w:type="dxa"/>
          </w:tcPr>
          <w:p w:rsidR="00082216" w:rsidRPr="0024512C" w:rsidRDefault="00082216" w:rsidP="00082216">
            <w:pPr>
              <w:spacing w:after="0" w:line="240" w:lineRule="auto"/>
              <w:jc w:val="both"/>
              <w:rPr>
                <w:rFonts w:asciiTheme="majorHAnsi" w:eastAsia="Times New Roman" w:hAnsiTheme="majorHAnsi" w:cs="Times New Roman"/>
                <w:sz w:val="24"/>
                <w:szCs w:val="24"/>
                <w:lang w:val="ro-MD"/>
              </w:rPr>
            </w:pPr>
            <w:r w:rsidRPr="005C74F5">
              <w:rPr>
                <w:rFonts w:asciiTheme="majorHAnsi" w:eastAsia="Times New Roman" w:hAnsiTheme="majorHAnsi" w:cs="Times New Roman"/>
                <w:sz w:val="24"/>
                <w:lang w:val="ro-MD"/>
              </w:rPr>
              <w:t>Băncile comerciale și unele organizații de creditare nebancară, selectate pentru îndeplinirea fun</w:t>
            </w:r>
            <w:r w:rsidRPr="0024512C">
              <w:rPr>
                <w:rFonts w:asciiTheme="majorHAnsi" w:eastAsia="Times New Roman" w:hAnsiTheme="majorHAnsi" w:cs="Times New Roman"/>
                <w:sz w:val="24"/>
                <w:lang w:val="ro-MD"/>
              </w:rPr>
              <w:t>cției de intermediere a liniilor de credit din resurse directe sau din resurse de refinanțare (</w:t>
            </w:r>
            <w:proofErr w:type="spellStart"/>
            <w:r w:rsidRPr="0024512C">
              <w:rPr>
                <w:rFonts w:asciiTheme="majorHAnsi" w:eastAsia="Times New Roman" w:hAnsiTheme="majorHAnsi" w:cs="Times New Roman"/>
                <w:sz w:val="24"/>
                <w:lang w:val="ro-MD"/>
              </w:rPr>
              <w:t>revolving</w:t>
            </w:r>
            <w:proofErr w:type="spellEnd"/>
            <w:r w:rsidRPr="0024512C">
              <w:rPr>
                <w:rFonts w:asciiTheme="majorHAnsi" w:eastAsia="Times New Roman" w:hAnsiTheme="majorHAnsi" w:cs="Times New Roman"/>
                <w:sz w:val="24"/>
                <w:lang w:val="ro-MD"/>
              </w:rPr>
              <w:t>) în baza criteriilor stipulate de donatorii acestor resurse, care sunt destinate întreprinderilor mici și mijlocii a</w:t>
            </w:r>
            <w:r w:rsidR="001B30F4" w:rsidRPr="0024512C">
              <w:rPr>
                <w:rFonts w:asciiTheme="majorHAnsi" w:eastAsia="Times New Roman" w:hAnsiTheme="majorHAnsi" w:cs="Times New Roman"/>
                <w:sz w:val="24"/>
                <w:lang w:val="ro-MD"/>
              </w:rPr>
              <w:t>le</w:t>
            </w:r>
            <w:r w:rsidRPr="0024512C">
              <w:rPr>
                <w:rFonts w:asciiTheme="majorHAnsi" w:eastAsia="Times New Roman" w:hAnsiTheme="majorHAnsi" w:cs="Times New Roman"/>
                <w:sz w:val="24"/>
                <w:lang w:val="ro-MD"/>
              </w:rPr>
              <w:t xml:space="preserve"> sectorului privat. </w:t>
            </w:r>
          </w:p>
        </w:tc>
      </w:tr>
      <w:tr w:rsidR="000054AF" w:rsidRPr="0024512C" w:rsidTr="004326B1">
        <w:tc>
          <w:tcPr>
            <w:tcW w:w="2748" w:type="dxa"/>
          </w:tcPr>
          <w:p w:rsidR="000054AF" w:rsidRPr="0024512C" w:rsidRDefault="000054AF" w:rsidP="00082216">
            <w:pPr>
              <w:spacing w:after="0" w:line="240" w:lineRule="auto"/>
              <w:rPr>
                <w:rFonts w:asciiTheme="majorHAnsi" w:eastAsia="Times New Roman" w:hAnsiTheme="majorHAnsi" w:cs="Times New Roman"/>
                <w:i/>
                <w:iCs/>
                <w:sz w:val="24"/>
                <w:szCs w:val="24"/>
                <w:lang w:val="ro-MD" w:eastAsia="ru-RU"/>
              </w:rPr>
            </w:pPr>
            <w:r w:rsidRPr="0024512C">
              <w:rPr>
                <w:rFonts w:asciiTheme="majorHAnsi" w:eastAsia="Times New Roman" w:hAnsiTheme="majorHAnsi" w:cs="Times New Roman"/>
                <w:i/>
                <w:iCs/>
                <w:sz w:val="24"/>
                <w:szCs w:val="24"/>
                <w:lang w:val="ro-MD" w:eastAsia="ru-RU"/>
              </w:rPr>
              <w:t>Împrumut de stat</w:t>
            </w:r>
          </w:p>
        </w:tc>
        <w:tc>
          <w:tcPr>
            <w:tcW w:w="6596" w:type="dxa"/>
          </w:tcPr>
          <w:p w:rsidR="000054AF" w:rsidRPr="005C74F5" w:rsidRDefault="000054AF" w:rsidP="00082216">
            <w:pPr>
              <w:spacing w:after="0" w:line="240" w:lineRule="auto"/>
              <w:jc w:val="both"/>
              <w:rPr>
                <w:rFonts w:asciiTheme="majorHAnsi" w:eastAsia="Times New Roman" w:hAnsiTheme="majorHAnsi" w:cs="Times New Roman"/>
                <w:sz w:val="24"/>
                <w:lang w:val="ro-MD"/>
              </w:rPr>
            </w:pPr>
            <w:r w:rsidRPr="005C74F5">
              <w:rPr>
                <w:rFonts w:asciiTheme="majorHAnsi" w:eastAsia="Times New Roman" w:hAnsiTheme="majorHAnsi" w:cs="Times New Roman"/>
                <w:sz w:val="24"/>
                <w:lang w:val="ro-MD"/>
              </w:rPr>
              <w:t>Relație contractuală prin care creditorul transmite în proprietatea statului mijloace, cu condiția rambursării acestora de către stat la expirarea termenului pentru care au fost acordate.</w:t>
            </w:r>
          </w:p>
        </w:tc>
      </w:tr>
      <w:tr w:rsidR="003C6D05" w:rsidRPr="0024512C" w:rsidTr="004326B1">
        <w:tc>
          <w:tcPr>
            <w:tcW w:w="2748" w:type="dxa"/>
          </w:tcPr>
          <w:p w:rsidR="003C6D05" w:rsidRPr="0024512C" w:rsidRDefault="003C6D05" w:rsidP="00082216">
            <w:pPr>
              <w:spacing w:after="0" w:line="240" w:lineRule="auto"/>
              <w:rPr>
                <w:rFonts w:asciiTheme="majorHAnsi" w:eastAsia="Times New Roman" w:hAnsiTheme="majorHAnsi" w:cs="Times New Roman"/>
                <w:i/>
                <w:iCs/>
                <w:sz w:val="24"/>
                <w:szCs w:val="24"/>
                <w:lang w:val="ro-MD" w:eastAsia="ru-RU"/>
              </w:rPr>
            </w:pPr>
            <w:r w:rsidRPr="0024512C">
              <w:rPr>
                <w:rFonts w:asciiTheme="majorHAnsi" w:eastAsia="Times New Roman" w:hAnsiTheme="majorHAnsi" w:cs="Times New Roman"/>
                <w:i/>
                <w:iCs/>
                <w:sz w:val="24"/>
                <w:szCs w:val="24"/>
                <w:lang w:val="ro-MD" w:eastAsia="ru-RU"/>
              </w:rPr>
              <w:t>LIBOR</w:t>
            </w:r>
          </w:p>
        </w:tc>
        <w:tc>
          <w:tcPr>
            <w:tcW w:w="6596" w:type="dxa"/>
          </w:tcPr>
          <w:p w:rsidR="003C6D05" w:rsidRPr="0024512C" w:rsidRDefault="003C6D05" w:rsidP="00082216">
            <w:pPr>
              <w:spacing w:after="0" w:line="240" w:lineRule="auto"/>
              <w:jc w:val="both"/>
              <w:rPr>
                <w:rFonts w:asciiTheme="majorHAnsi" w:eastAsia="Times New Roman" w:hAnsiTheme="majorHAnsi" w:cs="Times New Roman"/>
                <w:sz w:val="24"/>
                <w:lang w:val="ro-MD"/>
              </w:rPr>
            </w:pPr>
            <w:r w:rsidRPr="005C74F5">
              <w:rPr>
                <w:rFonts w:asciiTheme="majorHAnsi" w:eastAsia="Times New Roman" w:hAnsiTheme="majorHAnsi" w:cs="Times New Roman"/>
                <w:sz w:val="24"/>
                <w:lang w:val="ro-MD"/>
              </w:rPr>
              <w:t>Rata dobânzii practicată pe piața londoneză de către bă</w:t>
            </w:r>
            <w:r w:rsidRPr="0024512C">
              <w:rPr>
                <w:rFonts w:asciiTheme="majorHAnsi" w:eastAsia="Times New Roman" w:hAnsiTheme="majorHAnsi" w:cs="Times New Roman"/>
                <w:sz w:val="24"/>
                <w:lang w:val="ro-MD"/>
              </w:rPr>
              <w:t>ncile de prim rang care oferă fonduri și reprezintă media aritmetică a ratelor de dobândă practicate de principalele bănci pentru 5 valute (lire sterline, euro, dolari SUA, franci elvețieni și yeni japonezi).</w:t>
            </w:r>
          </w:p>
        </w:tc>
      </w:tr>
      <w:tr w:rsidR="003C6D05" w:rsidRPr="0024512C" w:rsidTr="004326B1">
        <w:tc>
          <w:tcPr>
            <w:tcW w:w="2748" w:type="dxa"/>
          </w:tcPr>
          <w:p w:rsidR="003C6D05" w:rsidRPr="0024512C" w:rsidRDefault="003C6D05" w:rsidP="00082216">
            <w:pPr>
              <w:spacing w:after="0" w:line="240" w:lineRule="auto"/>
              <w:rPr>
                <w:rFonts w:asciiTheme="majorHAnsi" w:eastAsia="Times New Roman" w:hAnsiTheme="majorHAnsi" w:cs="Times New Roman"/>
                <w:i/>
                <w:iCs/>
                <w:sz w:val="24"/>
                <w:szCs w:val="24"/>
                <w:lang w:val="ro-MD" w:eastAsia="ru-RU"/>
              </w:rPr>
            </w:pPr>
            <w:r w:rsidRPr="0024512C">
              <w:rPr>
                <w:rFonts w:asciiTheme="majorHAnsi" w:eastAsia="Times New Roman" w:hAnsiTheme="majorHAnsi" w:cs="Times New Roman"/>
                <w:i/>
                <w:iCs/>
                <w:sz w:val="24"/>
                <w:szCs w:val="24"/>
                <w:lang w:val="ro-MD" w:eastAsia="ru-RU"/>
              </w:rPr>
              <w:t>Rata dobânzii</w:t>
            </w:r>
          </w:p>
        </w:tc>
        <w:tc>
          <w:tcPr>
            <w:tcW w:w="6596" w:type="dxa"/>
          </w:tcPr>
          <w:p w:rsidR="003C6D05" w:rsidRPr="0024512C" w:rsidRDefault="003C6D05" w:rsidP="00082216">
            <w:pPr>
              <w:spacing w:after="0" w:line="240" w:lineRule="auto"/>
              <w:jc w:val="both"/>
              <w:rPr>
                <w:rFonts w:asciiTheme="majorHAnsi" w:eastAsia="Times New Roman" w:hAnsiTheme="majorHAnsi" w:cs="Times New Roman"/>
                <w:sz w:val="24"/>
                <w:lang w:val="ro-MD"/>
              </w:rPr>
            </w:pPr>
            <w:r w:rsidRPr="005C74F5">
              <w:rPr>
                <w:rFonts w:asciiTheme="majorHAnsi" w:eastAsia="Times New Roman" w:hAnsiTheme="majorHAnsi" w:cs="Times New Roman"/>
                <w:sz w:val="24"/>
                <w:lang w:val="ro-MD"/>
              </w:rPr>
              <w:t>Nivelul procentual aplicat capit</w:t>
            </w:r>
            <w:r w:rsidRPr="0024512C">
              <w:rPr>
                <w:rFonts w:asciiTheme="majorHAnsi" w:eastAsia="Times New Roman" w:hAnsiTheme="majorHAnsi" w:cs="Times New Roman"/>
                <w:sz w:val="24"/>
                <w:lang w:val="ro-MD"/>
              </w:rPr>
              <w:t>alului împrumutat pe perioada derulării creditului.</w:t>
            </w:r>
          </w:p>
        </w:tc>
      </w:tr>
      <w:tr w:rsidR="00082216" w:rsidRPr="0024512C" w:rsidTr="004326B1">
        <w:tc>
          <w:tcPr>
            <w:tcW w:w="2748" w:type="dxa"/>
          </w:tcPr>
          <w:p w:rsidR="00082216" w:rsidRPr="0024512C" w:rsidRDefault="00082216" w:rsidP="00082216">
            <w:pPr>
              <w:spacing w:after="0" w:line="240" w:lineRule="auto"/>
              <w:rPr>
                <w:rFonts w:asciiTheme="majorHAnsi" w:eastAsia="Times New Roman" w:hAnsiTheme="majorHAnsi" w:cstheme="majorHAnsi"/>
                <w:b/>
                <w:sz w:val="24"/>
                <w:szCs w:val="24"/>
                <w:lang w:val="ro-MD" w:eastAsia="ru-RU"/>
              </w:rPr>
            </w:pPr>
            <w:r w:rsidRPr="0024512C">
              <w:rPr>
                <w:rFonts w:asciiTheme="majorHAnsi" w:eastAsia="Times New Roman" w:hAnsiTheme="majorHAnsi" w:cstheme="majorHAnsi"/>
                <w:i/>
                <w:iCs/>
                <w:sz w:val="24"/>
                <w:szCs w:val="24"/>
                <w:lang w:val="ro-MD" w:eastAsia="ru-RU"/>
              </w:rPr>
              <w:t>Recreditare</w:t>
            </w:r>
          </w:p>
        </w:tc>
        <w:tc>
          <w:tcPr>
            <w:tcW w:w="6596" w:type="dxa"/>
          </w:tcPr>
          <w:p w:rsidR="00D167C5" w:rsidRPr="0024512C" w:rsidRDefault="00082216" w:rsidP="00082216">
            <w:pPr>
              <w:spacing w:after="0" w:line="240" w:lineRule="auto"/>
              <w:jc w:val="both"/>
              <w:rPr>
                <w:rFonts w:asciiTheme="majorHAnsi" w:eastAsia="Times New Roman" w:hAnsiTheme="majorHAnsi" w:cstheme="majorHAnsi"/>
                <w:sz w:val="24"/>
                <w:szCs w:val="24"/>
                <w:lang w:val="ro-MD" w:eastAsia="ru-RU"/>
              </w:rPr>
            </w:pPr>
            <w:r w:rsidRPr="005C74F5">
              <w:rPr>
                <w:rFonts w:asciiTheme="majorHAnsi" w:eastAsia="Times New Roman" w:hAnsiTheme="majorHAnsi" w:cstheme="majorHAnsi"/>
                <w:sz w:val="24"/>
                <w:szCs w:val="24"/>
                <w:lang w:val="ro-MD" w:eastAsia="ru-RU"/>
              </w:rPr>
              <w:t>Acordarea de împrumut beneficiarilor recreditării din contul mijloacelor obținute din împrumuturi de stat.</w:t>
            </w:r>
          </w:p>
        </w:tc>
      </w:tr>
      <w:tr w:rsidR="0085508D" w:rsidRPr="0024512C" w:rsidTr="004326B1">
        <w:tc>
          <w:tcPr>
            <w:tcW w:w="2748" w:type="dxa"/>
          </w:tcPr>
          <w:p w:rsidR="0085508D" w:rsidRPr="0024512C" w:rsidRDefault="0085508D" w:rsidP="00082216">
            <w:pPr>
              <w:spacing w:after="0" w:line="240" w:lineRule="auto"/>
              <w:rPr>
                <w:rFonts w:asciiTheme="majorHAnsi" w:eastAsia="Times New Roman" w:hAnsiTheme="majorHAnsi" w:cstheme="majorHAnsi"/>
                <w:i/>
                <w:iCs/>
                <w:sz w:val="24"/>
                <w:szCs w:val="24"/>
                <w:lang w:val="ro-MD" w:eastAsia="ru-RU"/>
              </w:rPr>
            </w:pPr>
            <w:r w:rsidRPr="0024512C">
              <w:rPr>
                <w:rFonts w:asciiTheme="majorHAnsi" w:eastAsia="Times New Roman" w:hAnsiTheme="majorHAnsi" w:cstheme="majorHAnsi"/>
                <w:i/>
                <w:iCs/>
                <w:sz w:val="24"/>
                <w:szCs w:val="24"/>
                <w:lang w:val="ro-MD" w:eastAsia="ru-RU"/>
              </w:rPr>
              <w:t>Recreditare directă</w:t>
            </w:r>
          </w:p>
        </w:tc>
        <w:tc>
          <w:tcPr>
            <w:tcW w:w="6596" w:type="dxa"/>
          </w:tcPr>
          <w:p w:rsidR="0085508D" w:rsidRPr="0024512C" w:rsidRDefault="0085508D" w:rsidP="00082216">
            <w:pPr>
              <w:spacing w:after="0" w:line="240" w:lineRule="auto"/>
              <w:jc w:val="both"/>
              <w:rPr>
                <w:rFonts w:asciiTheme="majorHAnsi" w:eastAsia="Times New Roman" w:hAnsiTheme="majorHAnsi" w:cstheme="majorHAnsi"/>
                <w:sz w:val="24"/>
                <w:szCs w:val="24"/>
                <w:lang w:val="ro-MD" w:eastAsia="ru-RU"/>
              </w:rPr>
            </w:pPr>
            <w:r w:rsidRPr="005C74F5">
              <w:rPr>
                <w:rFonts w:asciiTheme="majorHAnsi" w:eastAsia="Times New Roman" w:hAnsiTheme="majorHAnsi" w:cstheme="majorHAnsi"/>
                <w:sz w:val="24"/>
                <w:szCs w:val="24"/>
                <w:lang w:val="ro-MD" w:eastAsia="ru-RU"/>
              </w:rPr>
              <w:t>Acordarea împrumutului beneficiarilor recreditării în direct, f</w:t>
            </w:r>
            <w:r w:rsidRPr="0024512C">
              <w:rPr>
                <w:rFonts w:asciiTheme="majorHAnsi" w:eastAsia="Times New Roman" w:hAnsiTheme="majorHAnsi" w:cstheme="majorHAnsi"/>
                <w:sz w:val="24"/>
                <w:szCs w:val="24"/>
                <w:lang w:val="ro-MD" w:eastAsia="ru-RU"/>
              </w:rPr>
              <w:t>ără implicarea instituțiilor financiare participante.</w:t>
            </w:r>
          </w:p>
        </w:tc>
      </w:tr>
      <w:tr w:rsidR="00D167C5" w:rsidRPr="0024512C" w:rsidTr="004326B1">
        <w:tc>
          <w:tcPr>
            <w:tcW w:w="2748" w:type="dxa"/>
          </w:tcPr>
          <w:p w:rsidR="00D167C5" w:rsidRPr="005C74F5" w:rsidRDefault="00D167C5" w:rsidP="00082216">
            <w:pPr>
              <w:spacing w:after="0" w:line="240" w:lineRule="auto"/>
              <w:rPr>
                <w:rFonts w:asciiTheme="majorHAnsi" w:eastAsia="Times New Roman" w:hAnsiTheme="majorHAnsi" w:cstheme="majorHAnsi"/>
                <w:i/>
                <w:iCs/>
                <w:sz w:val="24"/>
                <w:szCs w:val="24"/>
                <w:lang w:val="ro-MD" w:eastAsia="ru-RU"/>
              </w:rPr>
            </w:pPr>
            <w:r w:rsidRPr="0024512C">
              <w:rPr>
                <w:rFonts w:asciiTheme="majorHAnsi" w:eastAsia="Times New Roman" w:hAnsiTheme="majorHAnsi" w:cstheme="majorHAnsi"/>
                <w:i/>
                <w:iCs/>
                <w:sz w:val="24"/>
                <w:szCs w:val="24"/>
                <w:lang w:val="ro-MD" w:eastAsia="ru-RU"/>
              </w:rPr>
              <w:t xml:space="preserve">Resurse de refinanțare </w:t>
            </w:r>
            <w:r w:rsidRPr="005C74F5">
              <w:rPr>
                <w:rFonts w:asciiTheme="majorHAnsi" w:eastAsia="Times New Roman" w:hAnsiTheme="majorHAnsi" w:cstheme="majorHAnsi"/>
                <w:i/>
                <w:iCs/>
                <w:sz w:val="24"/>
                <w:szCs w:val="24"/>
                <w:lang w:val="ro-MD" w:eastAsia="ru-RU"/>
              </w:rPr>
              <w:t>(</w:t>
            </w:r>
            <w:proofErr w:type="spellStart"/>
            <w:r w:rsidRPr="005C74F5">
              <w:rPr>
                <w:rFonts w:asciiTheme="majorHAnsi" w:eastAsia="Times New Roman" w:hAnsiTheme="majorHAnsi" w:cstheme="majorHAnsi"/>
                <w:i/>
                <w:iCs/>
                <w:sz w:val="24"/>
                <w:szCs w:val="24"/>
                <w:lang w:val="ro-MD" w:eastAsia="ru-RU"/>
              </w:rPr>
              <w:t>revolving</w:t>
            </w:r>
            <w:proofErr w:type="spellEnd"/>
            <w:r w:rsidRPr="005C74F5">
              <w:rPr>
                <w:rFonts w:asciiTheme="majorHAnsi" w:eastAsia="Times New Roman" w:hAnsiTheme="majorHAnsi" w:cstheme="majorHAnsi"/>
                <w:i/>
                <w:iCs/>
                <w:sz w:val="24"/>
                <w:szCs w:val="24"/>
                <w:lang w:val="ro-MD" w:eastAsia="ru-RU"/>
              </w:rPr>
              <w:t>)</w:t>
            </w:r>
          </w:p>
        </w:tc>
        <w:tc>
          <w:tcPr>
            <w:tcW w:w="6596" w:type="dxa"/>
          </w:tcPr>
          <w:p w:rsidR="00D167C5" w:rsidRPr="0024512C" w:rsidRDefault="00D167C5" w:rsidP="00082216">
            <w:pPr>
              <w:spacing w:after="0" w:line="240" w:lineRule="auto"/>
              <w:jc w:val="both"/>
              <w:rPr>
                <w:rFonts w:asciiTheme="majorHAnsi" w:eastAsia="Times New Roman" w:hAnsiTheme="majorHAnsi" w:cstheme="majorHAnsi"/>
                <w:sz w:val="24"/>
                <w:szCs w:val="24"/>
                <w:lang w:val="ro-MD" w:eastAsia="ru-RU"/>
              </w:rPr>
            </w:pPr>
            <w:r w:rsidRPr="0024512C">
              <w:rPr>
                <w:rFonts w:asciiTheme="majorHAnsi" w:eastAsia="Times New Roman" w:hAnsiTheme="majorHAnsi" w:cstheme="majorHAnsi"/>
                <w:sz w:val="24"/>
                <w:szCs w:val="24"/>
                <w:lang w:val="ro-MD" w:eastAsia="ru-RU"/>
              </w:rPr>
              <w:t>Fondurile acumulate de DLC din rambursarea de către IFP și beneficiarii finali a sumei principale a împrumuturilor contractate de la MF, Unitățile de implementare a proiectelor investiționale sau DLC și a dobânzilor pentru utilizarea acestor împrumuturi.</w:t>
            </w:r>
          </w:p>
        </w:tc>
      </w:tr>
      <w:tr w:rsidR="00EB549F" w:rsidRPr="0024512C" w:rsidTr="004326B1">
        <w:tc>
          <w:tcPr>
            <w:tcW w:w="2748" w:type="dxa"/>
          </w:tcPr>
          <w:p w:rsidR="00EB549F" w:rsidRPr="0024512C" w:rsidRDefault="00EB549F" w:rsidP="00082216">
            <w:pPr>
              <w:spacing w:after="0" w:line="240" w:lineRule="auto"/>
              <w:rPr>
                <w:rFonts w:asciiTheme="majorHAnsi" w:eastAsia="Times New Roman" w:hAnsiTheme="majorHAnsi" w:cstheme="majorHAnsi"/>
                <w:i/>
                <w:iCs/>
                <w:sz w:val="24"/>
                <w:szCs w:val="24"/>
                <w:lang w:val="ro-MD" w:eastAsia="ru-RU"/>
              </w:rPr>
            </w:pPr>
            <w:r w:rsidRPr="0024512C">
              <w:rPr>
                <w:rFonts w:asciiTheme="majorHAnsi" w:eastAsia="Times New Roman" w:hAnsiTheme="majorHAnsi" w:cstheme="majorHAnsi"/>
                <w:i/>
                <w:iCs/>
                <w:sz w:val="24"/>
                <w:szCs w:val="24"/>
                <w:lang w:val="ro-MD" w:eastAsia="ru-RU"/>
              </w:rPr>
              <w:t>Resurse directe</w:t>
            </w:r>
          </w:p>
        </w:tc>
        <w:tc>
          <w:tcPr>
            <w:tcW w:w="6596" w:type="dxa"/>
          </w:tcPr>
          <w:p w:rsidR="00EB549F" w:rsidRPr="005C74F5" w:rsidRDefault="00EB549F" w:rsidP="00082216">
            <w:pPr>
              <w:spacing w:after="0" w:line="240" w:lineRule="auto"/>
              <w:jc w:val="both"/>
              <w:rPr>
                <w:rFonts w:asciiTheme="majorHAnsi" w:eastAsia="Times New Roman" w:hAnsiTheme="majorHAnsi" w:cstheme="majorHAnsi"/>
                <w:sz w:val="24"/>
                <w:szCs w:val="24"/>
                <w:lang w:val="ro-MD" w:eastAsia="ru-RU"/>
              </w:rPr>
            </w:pPr>
            <w:r w:rsidRPr="005C74F5">
              <w:rPr>
                <w:rFonts w:asciiTheme="majorHAnsi" w:eastAsia="Times New Roman" w:hAnsiTheme="majorHAnsi" w:cstheme="majorHAnsi"/>
                <w:sz w:val="24"/>
                <w:szCs w:val="24"/>
                <w:lang w:val="ro-MD" w:eastAsia="ru-RU"/>
              </w:rPr>
              <w:t>Mijloacele obținute din împrumuturi de stat externe.</w:t>
            </w:r>
          </w:p>
        </w:tc>
      </w:tr>
      <w:tr w:rsidR="00D167C5" w:rsidRPr="00AB71E8" w:rsidTr="004326B1">
        <w:tc>
          <w:tcPr>
            <w:tcW w:w="2748" w:type="dxa"/>
          </w:tcPr>
          <w:p w:rsidR="00D167C5" w:rsidRPr="0024512C" w:rsidRDefault="00D167C5" w:rsidP="00D167C5">
            <w:pPr>
              <w:pStyle w:val="NoSpacing"/>
              <w:rPr>
                <w:rFonts w:asciiTheme="majorHAnsi" w:hAnsiTheme="majorHAnsi" w:cstheme="majorHAnsi"/>
                <w:sz w:val="24"/>
                <w:szCs w:val="24"/>
                <w:lang w:val="ro-MD"/>
              </w:rPr>
            </w:pPr>
            <w:r w:rsidRPr="0024512C">
              <w:rPr>
                <w:rFonts w:asciiTheme="majorHAnsi" w:hAnsiTheme="majorHAnsi" w:cstheme="majorHAnsi"/>
                <w:i/>
                <w:iCs/>
                <w:sz w:val="24"/>
                <w:szCs w:val="24"/>
                <w:lang w:val="ro-MD"/>
              </w:rPr>
              <w:t>Sumă principală</w:t>
            </w:r>
            <w:r w:rsidRPr="0024512C">
              <w:rPr>
                <w:rFonts w:asciiTheme="majorHAnsi" w:hAnsiTheme="majorHAnsi" w:cstheme="majorHAnsi"/>
                <w:sz w:val="24"/>
                <w:szCs w:val="24"/>
                <w:lang w:val="ro-MD"/>
              </w:rPr>
              <w:t xml:space="preserve"> </w:t>
            </w:r>
          </w:p>
        </w:tc>
        <w:tc>
          <w:tcPr>
            <w:tcW w:w="6596" w:type="dxa"/>
          </w:tcPr>
          <w:p w:rsidR="00D167C5" w:rsidRPr="0024512C" w:rsidRDefault="00D167C5" w:rsidP="00D167C5">
            <w:pPr>
              <w:pStyle w:val="NoSpacing"/>
              <w:jc w:val="both"/>
              <w:rPr>
                <w:rFonts w:asciiTheme="majorHAnsi" w:hAnsiTheme="majorHAnsi" w:cstheme="majorHAnsi"/>
                <w:b/>
                <w:sz w:val="24"/>
                <w:szCs w:val="24"/>
                <w:lang w:val="ro-MD"/>
              </w:rPr>
            </w:pPr>
            <w:r w:rsidRPr="005C74F5">
              <w:rPr>
                <w:rFonts w:asciiTheme="majorHAnsi" w:hAnsiTheme="majorHAnsi" w:cstheme="majorHAnsi"/>
                <w:sz w:val="24"/>
                <w:szCs w:val="24"/>
                <w:lang w:val="ro-MD"/>
              </w:rPr>
              <w:t>Sumă acordată în cadrul unui împrumut.</w:t>
            </w:r>
          </w:p>
        </w:tc>
      </w:tr>
    </w:tbl>
    <w:p w:rsidR="00082216" w:rsidRPr="0024512C" w:rsidRDefault="00082216" w:rsidP="00C8468E">
      <w:pPr>
        <w:spacing w:after="0" w:line="276" w:lineRule="auto"/>
        <w:jc w:val="center"/>
        <w:rPr>
          <w:rFonts w:ascii="Times New Roman" w:hAnsi="Times New Roman"/>
          <w:noProof/>
          <w:sz w:val="28"/>
          <w:lang w:val="ro-MD"/>
        </w:rPr>
      </w:pPr>
    </w:p>
    <w:p w:rsidR="00AE7636" w:rsidRPr="005C74F5" w:rsidRDefault="00AE7636" w:rsidP="00C8468E">
      <w:pPr>
        <w:spacing w:after="0" w:line="276" w:lineRule="auto"/>
        <w:jc w:val="center"/>
        <w:rPr>
          <w:rFonts w:ascii="Times New Roman" w:hAnsi="Times New Roman"/>
          <w:noProof/>
          <w:sz w:val="28"/>
          <w:lang w:val="ro-MD"/>
        </w:rPr>
      </w:pPr>
    </w:p>
    <w:p w:rsidR="00AE7636" w:rsidRPr="0024512C" w:rsidRDefault="00AE7636" w:rsidP="00C8468E">
      <w:pPr>
        <w:spacing w:after="0" w:line="276" w:lineRule="auto"/>
        <w:jc w:val="center"/>
        <w:rPr>
          <w:rFonts w:ascii="Times New Roman" w:hAnsi="Times New Roman"/>
          <w:noProof/>
          <w:sz w:val="28"/>
          <w:lang w:val="ro-MD"/>
        </w:rPr>
      </w:pPr>
    </w:p>
    <w:p w:rsidR="00AE7636" w:rsidRPr="0024512C" w:rsidRDefault="00AE7636" w:rsidP="00C8468E">
      <w:pPr>
        <w:spacing w:after="0" w:line="276" w:lineRule="auto"/>
        <w:jc w:val="center"/>
        <w:rPr>
          <w:rFonts w:ascii="Times New Roman" w:hAnsi="Times New Roman"/>
          <w:noProof/>
          <w:sz w:val="28"/>
          <w:lang w:val="ro-MD"/>
        </w:rPr>
      </w:pPr>
    </w:p>
    <w:p w:rsidR="00AE7636" w:rsidRPr="0024512C" w:rsidRDefault="00AE7636" w:rsidP="00C8468E">
      <w:pPr>
        <w:spacing w:after="0" w:line="276" w:lineRule="auto"/>
        <w:jc w:val="center"/>
        <w:rPr>
          <w:rFonts w:ascii="Times New Roman" w:hAnsi="Times New Roman"/>
          <w:noProof/>
          <w:sz w:val="28"/>
          <w:lang w:val="ro-MD"/>
        </w:rPr>
      </w:pPr>
    </w:p>
    <w:p w:rsidR="00FB4824" w:rsidRPr="0024512C" w:rsidRDefault="00FB4824" w:rsidP="00C8468E">
      <w:pPr>
        <w:autoSpaceDE w:val="0"/>
        <w:autoSpaceDN w:val="0"/>
        <w:adjustRightInd w:val="0"/>
        <w:spacing w:after="0" w:line="240" w:lineRule="auto"/>
        <w:rPr>
          <w:rFonts w:ascii="Times New Roman" w:hAnsi="Times New Roman"/>
          <w:noProof/>
          <w:sz w:val="28"/>
          <w:lang w:val="ro-MD"/>
        </w:rPr>
      </w:pPr>
    </w:p>
    <w:p w:rsidR="001B30F4" w:rsidRPr="0024512C" w:rsidRDefault="001B30F4" w:rsidP="00C8468E">
      <w:pPr>
        <w:autoSpaceDE w:val="0"/>
        <w:autoSpaceDN w:val="0"/>
        <w:adjustRightInd w:val="0"/>
        <w:spacing w:after="0" w:line="240" w:lineRule="auto"/>
        <w:rPr>
          <w:rFonts w:ascii="Times New Roman" w:hAnsi="Times New Roman"/>
          <w:noProof/>
          <w:sz w:val="28"/>
          <w:lang w:val="ro-MD"/>
        </w:rPr>
      </w:pPr>
    </w:p>
    <w:p w:rsidR="000977E0" w:rsidRPr="0024512C" w:rsidRDefault="000977E0" w:rsidP="00C8468E">
      <w:pPr>
        <w:autoSpaceDE w:val="0"/>
        <w:autoSpaceDN w:val="0"/>
        <w:adjustRightInd w:val="0"/>
        <w:spacing w:after="0" w:line="240" w:lineRule="auto"/>
        <w:rPr>
          <w:rFonts w:asciiTheme="majorHAnsi" w:hAnsiTheme="majorHAnsi" w:cstheme="majorHAnsi"/>
          <w:b/>
          <w:bCs/>
          <w:sz w:val="26"/>
          <w:szCs w:val="26"/>
          <w:lang w:val="ro-MD"/>
        </w:rPr>
      </w:pPr>
    </w:p>
    <w:p w:rsidR="005D4F65" w:rsidRPr="0024512C" w:rsidRDefault="00A07D82" w:rsidP="00805CC0">
      <w:pPr>
        <w:pStyle w:val="ListParagraph"/>
        <w:numPr>
          <w:ilvl w:val="0"/>
          <w:numId w:val="1"/>
        </w:numPr>
        <w:autoSpaceDE w:val="0"/>
        <w:autoSpaceDN w:val="0"/>
        <w:adjustRightInd w:val="0"/>
        <w:spacing w:after="0" w:line="240" w:lineRule="auto"/>
        <w:outlineLvl w:val="0"/>
        <w:rPr>
          <w:rFonts w:asciiTheme="majorHAnsi" w:eastAsia="Times New Roman" w:hAnsiTheme="majorHAnsi" w:cstheme="majorHAnsi"/>
          <w:b/>
          <w:bCs/>
          <w:color w:val="5B9BD5" w:themeColor="accent1"/>
          <w:sz w:val="28"/>
          <w:szCs w:val="28"/>
          <w:lang w:val="ro-MD" w:eastAsia="ru-RU"/>
        </w:rPr>
      </w:pPr>
      <w:bookmarkStart w:id="4" w:name="_Toc47009704"/>
      <w:r w:rsidRPr="0024512C">
        <w:rPr>
          <w:rFonts w:asciiTheme="majorHAnsi" w:eastAsia="Times New Roman" w:hAnsiTheme="majorHAnsi" w:cstheme="majorHAnsi"/>
          <w:b/>
          <w:bCs/>
          <w:color w:val="5B9BD5" w:themeColor="accent1"/>
          <w:sz w:val="28"/>
          <w:szCs w:val="28"/>
          <w:lang w:val="ro-MD" w:eastAsia="ru-RU"/>
        </w:rPr>
        <w:lastRenderedPageBreak/>
        <w:t>SINTEZA</w:t>
      </w:r>
      <w:bookmarkEnd w:id="4"/>
    </w:p>
    <w:p w:rsidR="00774568" w:rsidRPr="0024512C" w:rsidRDefault="008E2EC9" w:rsidP="00285EEC">
      <w:pPr>
        <w:spacing w:line="276" w:lineRule="auto"/>
        <w:jc w:val="both"/>
        <w:rPr>
          <w:rFonts w:asciiTheme="majorHAnsi" w:eastAsia="Times New Roman" w:hAnsiTheme="majorHAnsi" w:cstheme="majorHAnsi"/>
          <w:bCs/>
          <w:sz w:val="24"/>
          <w:szCs w:val="24"/>
          <w:lang w:val="ro-MD" w:eastAsia="ru-RU"/>
        </w:rPr>
      </w:pPr>
      <w:r w:rsidRPr="0024512C">
        <w:rPr>
          <w:rFonts w:asciiTheme="majorHAnsi" w:eastAsia="Times New Roman" w:hAnsiTheme="majorHAnsi" w:cstheme="majorHAnsi"/>
          <w:bCs/>
          <w:sz w:val="24"/>
          <w:szCs w:val="24"/>
          <w:lang w:val="ro-MD" w:eastAsia="ru-RU"/>
        </w:rPr>
        <w:t>Directoratul Liniei de Credit este o instituție publică, care dispune de autonomie admin</w:t>
      </w:r>
      <w:r w:rsidR="00774568" w:rsidRPr="0024512C">
        <w:rPr>
          <w:rFonts w:asciiTheme="majorHAnsi" w:eastAsia="Times New Roman" w:hAnsiTheme="majorHAnsi" w:cstheme="majorHAnsi"/>
          <w:bCs/>
          <w:sz w:val="24"/>
          <w:szCs w:val="24"/>
          <w:lang w:val="ro-MD" w:eastAsia="ru-RU"/>
        </w:rPr>
        <w:t>istrativă și financiară și care a fost fondată de Ministerul Finanțelor în scopul implementării proiectelor investiționale ale Băncii Mondiale și a</w:t>
      </w:r>
      <w:r w:rsidR="001B30F4" w:rsidRPr="0024512C">
        <w:rPr>
          <w:rFonts w:asciiTheme="majorHAnsi" w:eastAsia="Times New Roman" w:hAnsiTheme="majorHAnsi" w:cstheme="majorHAnsi"/>
          <w:bCs/>
          <w:sz w:val="24"/>
          <w:szCs w:val="24"/>
          <w:lang w:val="ro-MD" w:eastAsia="ru-RU"/>
        </w:rPr>
        <w:t>le</w:t>
      </w:r>
      <w:r w:rsidR="00774568" w:rsidRPr="0024512C">
        <w:rPr>
          <w:rFonts w:asciiTheme="majorHAnsi" w:eastAsia="Times New Roman" w:hAnsiTheme="majorHAnsi" w:cstheme="majorHAnsi"/>
          <w:bCs/>
          <w:sz w:val="24"/>
          <w:szCs w:val="24"/>
          <w:lang w:val="ro-MD" w:eastAsia="ru-RU"/>
        </w:rPr>
        <w:t xml:space="preserve"> altor organizații financiare internaționale</w:t>
      </w:r>
      <w:r w:rsidR="001B30F4" w:rsidRPr="0024512C">
        <w:rPr>
          <w:rFonts w:asciiTheme="majorHAnsi" w:eastAsia="Times New Roman" w:hAnsiTheme="majorHAnsi" w:cstheme="majorHAnsi"/>
          <w:bCs/>
          <w:sz w:val="24"/>
          <w:szCs w:val="24"/>
          <w:lang w:val="ro-MD" w:eastAsia="ru-RU"/>
        </w:rPr>
        <w:t>,</w:t>
      </w:r>
      <w:r w:rsidR="00774568" w:rsidRPr="0024512C">
        <w:rPr>
          <w:rFonts w:asciiTheme="majorHAnsi" w:eastAsia="Times New Roman" w:hAnsiTheme="majorHAnsi" w:cstheme="majorHAnsi"/>
          <w:bCs/>
          <w:sz w:val="24"/>
          <w:szCs w:val="24"/>
          <w:lang w:val="ro-MD" w:eastAsia="ru-RU"/>
        </w:rPr>
        <w:t xml:space="preserve"> prin efectuarea recreditării, administrării, evidenței și monitorizării resurselor acestor proiecte pentru dezvoltarea întreprinderilor mici și mijlocii. </w:t>
      </w:r>
      <w:r w:rsidR="00285EEC" w:rsidRPr="0024512C">
        <w:rPr>
          <w:rFonts w:asciiTheme="majorHAnsi" w:eastAsia="Times New Roman" w:hAnsiTheme="majorHAnsi" w:cstheme="majorHAnsi"/>
          <w:bCs/>
          <w:sz w:val="24"/>
          <w:szCs w:val="24"/>
          <w:lang w:val="ro-MD" w:eastAsia="ru-RU"/>
        </w:rPr>
        <w:t xml:space="preserve">Întreprinderile viabile din sectorul privat sunt </w:t>
      </w:r>
      <w:proofErr w:type="spellStart"/>
      <w:r w:rsidR="00285EEC" w:rsidRPr="0024512C">
        <w:rPr>
          <w:rFonts w:asciiTheme="majorHAnsi" w:eastAsia="Times New Roman" w:hAnsiTheme="majorHAnsi" w:cstheme="majorHAnsi"/>
          <w:bCs/>
          <w:sz w:val="24"/>
          <w:szCs w:val="24"/>
          <w:lang w:val="ro-MD" w:eastAsia="ru-RU"/>
        </w:rPr>
        <w:t>recreditate</w:t>
      </w:r>
      <w:proofErr w:type="spellEnd"/>
      <w:r w:rsidR="00285EEC" w:rsidRPr="0024512C">
        <w:rPr>
          <w:rFonts w:asciiTheme="majorHAnsi" w:eastAsia="Times New Roman" w:hAnsiTheme="majorHAnsi" w:cstheme="majorHAnsi"/>
          <w:bCs/>
          <w:sz w:val="24"/>
          <w:szCs w:val="24"/>
          <w:lang w:val="ro-MD" w:eastAsia="ru-RU"/>
        </w:rPr>
        <w:t xml:space="preserve"> de către DLC din fondurile împrumuturilor de stat externe prin intermediul IFP</w:t>
      </w:r>
      <w:r w:rsidR="00BD27D3" w:rsidRPr="0024512C">
        <w:rPr>
          <w:rFonts w:asciiTheme="majorHAnsi" w:eastAsia="Times New Roman" w:hAnsiTheme="majorHAnsi" w:cstheme="majorHAnsi"/>
          <w:bCs/>
          <w:sz w:val="24"/>
          <w:szCs w:val="24"/>
          <w:lang w:val="ro-MD" w:eastAsia="ru-RU"/>
        </w:rPr>
        <w:t>,</w:t>
      </w:r>
      <w:r w:rsidR="00285EEC" w:rsidRPr="0024512C">
        <w:rPr>
          <w:rFonts w:asciiTheme="majorHAnsi" w:eastAsia="Times New Roman" w:hAnsiTheme="majorHAnsi" w:cstheme="majorHAnsi"/>
          <w:bCs/>
          <w:sz w:val="24"/>
          <w:szCs w:val="24"/>
          <w:lang w:val="ro-MD" w:eastAsia="ru-RU"/>
        </w:rPr>
        <w:t xml:space="preserve"> care își asumă toate riscurile de credit.</w:t>
      </w:r>
    </w:p>
    <w:p w:rsidR="00D56FC8" w:rsidRPr="00321F59" w:rsidRDefault="000E4BB6" w:rsidP="00D56FC8">
      <w:pPr>
        <w:spacing w:line="276" w:lineRule="auto"/>
        <w:jc w:val="both"/>
        <w:rPr>
          <w:rFonts w:asciiTheme="majorHAnsi" w:hAnsiTheme="majorHAnsi" w:cstheme="majorHAnsi"/>
          <w:bCs/>
          <w:sz w:val="24"/>
          <w:szCs w:val="24"/>
          <w:lang w:val="ro-MD" w:eastAsia="ru-RU"/>
        </w:rPr>
      </w:pPr>
      <w:r w:rsidRPr="0024512C">
        <w:rPr>
          <w:rFonts w:asciiTheme="majorHAnsi" w:hAnsiTheme="majorHAnsi" w:cstheme="majorHAnsi"/>
          <w:sz w:val="24"/>
          <w:szCs w:val="24"/>
          <w:lang w:val="ro-MD" w:eastAsia="ru-RU"/>
        </w:rPr>
        <w:t>Hotărârea Guvernului nr.953 din 07.09.2001</w:t>
      </w:r>
      <w:r w:rsidRPr="0024512C">
        <w:rPr>
          <w:rStyle w:val="FootnoteReference"/>
          <w:rFonts w:asciiTheme="majorHAnsi" w:hAnsiTheme="majorHAnsi" w:cstheme="majorHAnsi"/>
          <w:sz w:val="24"/>
          <w:szCs w:val="24"/>
          <w:lang w:val="ro-MD" w:eastAsia="ru-RU"/>
        </w:rPr>
        <w:footnoteReference w:id="2"/>
      </w:r>
      <w:r w:rsidRPr="0024512C">
        <w:rPr>
          <w:rFonts w:asciiTheme="majorHAnsi" w:hAnsiTheme="majorHAnsi" w:cstheme="majorHAnsi"/>
          <w:sz w:val="24"/>
          <w:szCs w:val="24"/>
          <w:lang w:val="ro-MD" w:eastAsia="ru-RU"/>
        </w:rPr>
        <w:t xml:space="preserve"> prevede că </w:t>
      </w:r>
      <w:r w:rsidRPr="00321F59">
        <w:rPr>
          <w:rFonts w:asciiTheme="majorHAnsi" w:hAnsiTheme="majorHAnsi" w:cstheme="majorHAnsi"/>
          <w:bCs/>
          <w:sz w:val="24"/>
          <w:szCs w:val="24"/>
          <w:lang w:val="ro-MD" w:eastAsia="ru-RU"/>
        </w:rPr>
        <w:t>m</w:t>
      </w:r>
      <w:r w:rsidR="003208BB" w:rsidRPr="00321F59">
        <w:rPr>
          <w:rFonts w:asciiTheme="majorHAnsi" w:hAnsiTheme="majorHAnsi" w:cstheme="majorHAnsi"/>
          <w:bCs/>
          <w:sz w:val="24"/>
          <w:szCs w:val="24"/>
          <w:lang w:val="ro-MD" w:eastAsia="ru-RU"/>
        </w:rPr>
        <w:t>ijloacele financiare pentru întreținerea</w:t>
      </w:r>
      <w:r w:rsidR="00D56FC8" w:rsidRPr="00321F59">
        <w:rPr>
          <w:rFonts w:asciiTheme="majorHAnsi" w:hAnsiTheme="majorHAnsi" w:cstheme="majorHAnsi"/>
          <w:bCs/>
          <w:sz w:val="24"/>
          <w:szCs w:val="24"/>
          <w:lang w:val="ro-MD" w:eastAsia="ru-RU"/>
        </w:rPr>
        <w:t xml:space="preserve"> DLC se formează din dobânda adăugată la sub-împrumuturile acordate IFP, donațiile donatorilor străini și autohtoni</w:t>
      </w:r>
      <w:r w:rsidR="001B30F4" w:rsidRPr="00321F59">
        <w:rPr>
          <w:rFonts w:asciiTheme="majorHAnsi" w:hAnsiTheme="majorHAnsi" w:cstheme="majorHAnsi"/>
          <w:bCs/>
          <w:sz w:val="24"/>
          <w:szCs w:val="24"/>
          <w:lang w:val="ro-MD" w:eastAsia="ru-RU"/>
        </w:rPr>
        <w:t>, precum</w:t>
      </w:r>
      <w:r w:rsidR="00D56FC8" w:rsidRPr="00321F59">
        <w:rPr>
          <w:rFonts w:asciiTheme="majorHAnsi" w:hAnsiTheme="majorHAnsi" w:cstheme="majorHAnsi"/>
          <w:bCs/>
          <w:sz w:val="24"/>
          <w:szCs w:val="24"/>
          <w:lang w:val="ro-MD" w:eastAsia="ru-RU"/>
        </w:rPr>
        <w:t xml:space="preserve"> și </w:t>
      </w:r>
      <w:r w:rsidR="001B30F4" w:rsidRPr="00321F59">
        <w:rPr>
          <w:rFonts w:asciiTheme="majorHAnsi" w:hAnsiTheme="majorHAnsi" w:cstheme="majorHAnsi"/>
          <w:bCs/>
          <w:sz w:val="24"/>
          <w:szCs w:val="24"/>
          <w:lang w:val="ro-MD" w:eastAsia="ru-RU"/>
        </w:rPr>
        <w:t xml:space="preserve">din </w:t>
      </w:r>
      <w:r w:rsidR="00D56FC8" w:rsidRPr="00321F59">
        <w:rPr>
          <w:rFonts w:asciiTheme="majorHAnsi" w:hAnsiTheme="majorHAnsi" w:cstheme="majorHAnsi"/>
          <w:bCs/>
          <w:sz w:val="24"/>
          <w:szCs w:val="24"/>
          <w:lang w:val="ro-MD" w:eastAsia="ru-RU"/>
        </w:rPr>
        <w:t xml:space="preserve">alte surse legale. Rezultatul activității DLC nu este impozitat, astfel valoarea profitului trece în componența fondului de autofinanțare. </w:t>
      </w:r>
      <w:r w:rsidR="00D75E0F" w:rsidRPr="00321F59">
        <w:rPr>
          <w:rFonts w:asciiTheme="majorHAnsi" w:hAnsiTheme="majorHAnsi" w:cstheme="majorHAnsi"/>
          <w:bCs/>
          <w:sz w:val="24"/>
          <w:szCs w:val="24"/>
          <w:lang w:val="ro-MD" w:eastAsia="ru-RU"/>
        </w:rPr>
        <w:t>P</w:t>
      </w:r>
      <w:r w:rsidR="00D56FC8" w:rsidRPr="00321F59">
        <w:rPr>
          <w:rFonts w:asciiTheme="majorHAnsi" w:hAnsiTheme="majorHAnsi" w:cstheme="majorHAnsi"/>
          <w:bCs/>
          <w:sz w:val="24"/>
          <w:szCs w:val="24"/>
          <w:lang w:val="ro-MD" w:eastAsia="ru-RU"/>
        </w:rPr>
        <w:t>e parcursul anilor 2015-2019</w:t>
      </w:r>
      <w:r w:rsidR="00BD27D3" w:rsidRPr="00321F59">
        <w:rPr>
          <w:rFonts w:asciiTheme="majorHAnsi" w:hAnsiTheme="majorHAnsi" w:cstheme="majorHAnsi"/>
          <w:bCs/>
          <w:sz w:val="24"/>
          <w:szCs w:val="24"/>
          <w:lang w:val="ro-MD" w:eastAsia="ru-RU"/>
        </w:rPr>
        <w:t>,</w:t>
      </w:r>
      <w:r w:rsidR="00D56FC8" w:rsidRPr="00321F59">
        <w:rPr>
          <w:rFonts w:asciiTheme="majorHAnsi" w:hAnsiTheme="majorHAnsi" w:cstheme="majorHAnsi"/>
          <w:bCs/>
          <w:sz w:val="24"/>
          <w:szCs w:val="24"/>
          <w:lang w:val="ro-MD" w:eastAsia="ru-RU"/>
        </w:rPr>
        <w:t xml:space="preserve"> volumul fondului de autofinanțare s-a majorat de 1,5 ori, constituind în</w:t>
      </w:r>
      <w:r w:rsidR="00D75E0F" w:rsidRPr="00321F59">
        <w:rPr>
          <w:rFonts w:asciiTheme="majorHAnsi" w:hAnsiTheme="majorHAnsi" w:cstheme="majorHAnsi"/>
          <w:bCs/>
          <w:sz w:val="24"/>
          <w:szCs w:val="24"/>
          <w:lang w:val="ro-MD" w:eastAsia="ru-RU"/>
        </w:rPr>
        <w:t xml:space="preserve"> anul 2019 – 78,6 mil. lei</w:t>
      </w:r>
      <w:r w:rsidR="001B30F4" w:rsidRPr="00321F59">
        <w:rPr>
          <w:rFonts w:asciiTheme="majorHAnsi" w:hAnsiTheme="majorHAnsi" w:cstheme="majorHAnsi"/>
          <w:bCs/>
          <w:sz w:val="24"/>
          <w:szCs w:val="24"/>
          <w:lang w:val="ro-MD" w:eastAsia="ru-RU"/>
        </w:rPr>
        <w:t>. Conducerea DLC</w:t>
      </w:r>
      <w:r w:rsidR="00D56FC8" w:rsidRPr="00321F59">
        <w:rPr>
          <w:rFonts w:asciiTheme="majorHAnsi" w:hAnsiTheme="majorHAnsi" w:cstheme="majorHAnsi"/>
          <w:bCs/>
          <w:sz w:val="24"/>
          <w:szCs w:val="24"/>
          <w:lang w:val="ro-MD" w:eastAsia="ru-RU"/>
        </w:rPr>
        <w:t xml:space="preserve"> a decis plasarea acestora în conturi de depozit la bănci comerciale, ceea ce a dus la încasarea în anul 2019 a unei dobânzi aferente depozitelor b</w:t>
      </w:r>
      <w:r w:rsidR="00D75E0F" w:rsidRPr="00321F59">
        <w:rPr>
          <w:rFonts w:asciiTheme="majorHAnsi" w:hAnsiTheme="majorHAnsi" w:cstheme="majorHAnsi"/>
          <w:bCs/>
          <w:sz w:val="24"/>
          <w:szCs w:val="24"/>
          <w:lang w:val="ro-MD" w:eastAsia="ru-RU"/>
        </w:rPr>
        <w:t>ancare în sumă de 2,48 mil. lei</w:t>
      </w:r>
      <w:r w:rsidR="00D56FC8" w:rsidRPr="00321F59">
        <w:rPr>
          <w:rFonts w:asciiTheme="majorHAnsi" w:hAnsiTheme="majorHAnsi" w:cstheme="majorHAnsi"/>
          <w:bCs/>
          <w:sz w:val="24"/>
          <w:szCs w:val="24"/>
          <w:lang w:val="ro-MD" w:eastAsia="ru-RU"/>
        </w:rPr>
        <w:t>.</w:t>
      </w:r>
      <w:r w:rsidR="00D75E0F" w:rsidRPr="00321F59">
        <w:rPr>
          <w:rFonts w:asciiTheme="majorHAnsi" w:hAnsiTheme="majorHAnsi" w:cstheme="majorHAnsi"/>
          <w:bCs/>
          <w:sz w:val="24"/>
          <w:szCs w:val="24"/>
          <w:lang w:val="ro-MD" w:eastAsia="ru-RU"/>
        </w:rPr>
        <w:t xml:space="preserve"> Deși DLC dispune de autonomie administrativă și financiară, plasarea mijloacelor fondului de autofinanțare în depozite bancare urma a fi coordonată </w:t>
      </w:r>
      <w:r w:rsidR="003208BB" w:rsidRPr="00321F59">
        <w:rPr>
          <w:rFonts w:asciiTheme="majorHAnsi" w:hAnsiTheme="majorHAnsi" w:cstheme="majorHAnsi"/>
          <w:bCs/>
          <w:sz w:val="24"/>
          <w:szCs w:val="24"/>
          <w:lang w:val="ro-MD" w:eastAsia="ru-RU"/>
        </w:rPr>
        <w:t xml:space="preserve">cu fondatorul sau Consiliul DLC, </w:t>
      </w:r>
      <w:r w:rsidR="002D6AF1" w:rsidRPr="00321F59">
        <w:rPr>
          <w:rFonts w:asciiTheme="majorHAnsi" w:hAnsiTheme="majorHAnsi" w:cstheme="majorHAnsi"/>
          <w:bCs/>
          <w:sz w:val="24"/>
          <w:szCs w:val="24"/>
          <w:lang w:val="ro-MD" w:eastAsia="ru-RU"/>
        </w:rPr>
        <w:t>care</w:t>
      </w:r>
      <w:r w:rsidR="001B30F4" w:rsidRPr="00321F59">
        <w:rPr>
          <w:rFonts w:asciiTheme="majorHAnsi" w:hAnsiTheme="majorHAnsi" w:cstheme="majorHAnsi"/>
          <w:bCs/>
          <w:sz w:val="24"/>
          <w:szCs w:val="24"/>
          <w:lang w:val="ro-MD" w:eastAsia="ru-RU"/>
        </w:rPr>
        <w:t>,</w:t>
      </w:r>
      <w:r w:rsidR="002D6AF1" w:rsidRPr="00321F59">
        <w:rPr>
          <w:rFonts w:asciiTheme="majorHAnsi" w:hAnsiTheme="majorHAnsi" w:cstheme="majorHAnsi"/>
          <w:bCs/>
          <w:sz w:val="24"/>
          <w:szCs w:val="24"/>
          <w:lang w:val="ro-MD" w:eastAsia="ru-RU"/>
        </w:rPr>
        <w:t xml:space="preserve"> de fapt</w:t>
      </w:r>
      <w:r w:rsidR="001B30F4" w:rsidRPr="00321F59">
        <w:rPr>
          <w:rFonts w:asciiTheme="majorHAnsi" w:hAnsiTheme="majorHAnsi" w:cstheme="majorHAnsi"/>
          <w:bCs/>
          <w:sz w:val="24"/>
          <w:szCs w:val="24"/>
          <w:lang w:val="ro-MD" w:eastAsia="ru-RU"/>
        </w:rPr>
        <w:t>,</w:t>
      </w:r>
      <w:r w:rsidR="002D6AF1" w:rsidRPr="00321F59">
        <w:rPr>
          <w:rFonts w:asciiTheme="majorHAnsi" w:hAnsiTheme="majorHAnsi" w:cstheme="majorHAnsi"/>
          <w:bCs/>
          <w:sz w:val="24"/>
          <w:szCs w:val="24"/>
          <w:lang w:val="ro-MD" w:eastAsia="ru-RU"/>
        </w:rPr>
        <w:t xml:space="preserve"> nu a fost efectuată în direct, </w:t>
      </w:r>
      <w:r w:rsidR="002D6AF1" w:rsidRPr="00321F59">
        <w:rPr>
          <w:rFonts w:asciiTheme="majorHAnsi" w:hAnsiTheme="majorHAnsi" w:cstheme="majorHAnsi"/>
          <w:sz w:val="24"/>
          <w:szCs w:val="24"/>
          <w:lang w:val="ro-MD"/>
          <w14:glow w14:rad="0">
            <w14:schemeClr w14:val="tx1"/>
          </w14:glow>
        </w:rPr>
        <w:t>ci adusă la cunoștință indirect</w:t>
      </w:r>
      <w:r w:rsidR="001B30F4" w:rsidRPr="00321F59">
        <w:rPr>
          <w:rFonts w:asciiTheme="majorHAnsi" w:hAnsiTheme="majorHAnsi" w:cstheme="majorHAnsi"/>
          <w:sz w:val="24"/>
          <w:szCs w:val="24"/>
          <w:lang w:val="ro-MD"/>
          <w14:glow w14:rad="0">
            <w14:schemeClr w14:val="tx1"/>
          </w14:glow>
        </w:rPr>
        <w:t>,</w:t>
      </w:r>
      <w:r w:rsidR="002D6AF1" w:rsidRPr="00321F59">
        <w:rPr>
          <w:rFonts w:asciiTheme="majorHAnsi" w:hAnsiTheme="majorHAnsi" w:cstheme="majorHAnsi"/>
          <w:sz w:val="24"/>
          <w:szCs w:val="24"/>
          <w:lang w:val="ro-MD"/>
          <w14:glow w14:rad="0">
            <w14:schemeClr w14:val="tx1"/>
          </w14:glow>
        </w:rPr>
        <w:t xml:space="preserve"> prin includerea în buget a poziției de venituri obținute din dobânda la conturi</w:t>
      </w:r>
      <w:r w:rsidR="001B30F4" w:rsidRPr="00321F59">
        <w:rPr>
          <w:rFonts w:asciiTheme="majorHAnsi" w:hAnsiTheme="majorHAnsi" w:cstheme="majorHAnsi"/>
          <w:sz w:val="24"/>
          <w:szCs w:val="24"/>
          <w:lang w:val="ro-MD"/>
          <w14:glow w14:rad="0">
            <w14:schemeClr w14:val="tx1"/>
          </w14:glow>
        </w:rPr>
        <w:t>le</w:t>
      </w:r>
      <w:r w:rsidR="002D6AF1" w:rsidRPr="00321F59">
        <w:rPr>
          <w:rFonts w:asciiTheme="majorHAnsi" w:hAnsiTheme="majorHAnsi" w:cstheme="majorHAnsi"/>
          <w:sz w:val="24"/>
          <w:szCs w:val="24"/>
          <w:lang w:val="ro-MD"/>
          <w14:glow w14:rad="0">
            <w14:schemeClr w14:val="tx1"/>
          </w14:glow>
        </w:rPr>
        <w:t xml:space="preserve"> curente și de depozit, prin prezentarea Rapoartelor anuale, inclusiv de executare a veniturilor și cheltuielilor</w:t>
      </w:r>
      <w:r w:rsidR="00D823EA" w:rsidRPr="00321F59">
        <w:rPr>
          <w:rFonts w:asciiTheme="majorHAnsi" w:hAnsiTheme="majorHAnsi" w:cstheme="majorHAnsi"/>
          <w:sz w:val="24"/>
          <w:szCs w:val="24"/>
          <w:lang w:val="ro-MD"/>
          <w14:glow w14:rad="0">
            <w14:schemeClr w14:val="tx1"/>
          </w14:glow>
        </w:rPr>
        <w:t>,</w:t>
      </w:r>
      <w:r w:rsidR="002D6AF1" w:rsidRPr="00321F59">
        <w:rPr>
          <w:rFonts w:asciiTheme="majorHAnsi" w:hAnsiTheme="majorHAnsi" w:cstheme="majorHAnsi"/>
          <w:sz w:val="24"/>
          <w:szCs w:val="24"/>
          <w:lang w:val="ro-MD"/>
          <w14:glow w14:rad="0">
            <w14:schemeClr w14:val="tx1"/>
          </w14:glow>
        </w:rPr>
        <w:t xml:space="preserve"> și a Rapoartelor de audit extern asupra situațiilor financiare.</w:t>
      </w:r>
    </w:p>
    <w:p w:rsidR="00D56FC8" w:rsidRPr="00321F59" w:rsidRDefault="00D56FC8" w:rsidP="00CA11EF">
      <w:pPr>
        <w:spacing w:line="276" w:lineRule="auto"/>
        <w:jc w:val="both"/>
        <w:rPr>
          <w:rFonts w:asciiTheme="majorHAnsi" w:hAnsiTheme="majorHAnsi" w:cstheme="majorHAnsi"/>
          <w:sz w:val="24"/>
          <w:szCs w:val="24"/>
          <w:lang w:val="ro-MD" w:eastAsia="ru-RU"/>
        </w:rPr>
      </w:pPr>
      <w:r w:rsidRPr="00321F59">
        <w:rPr>
          <w:rFonts w:asciiTheme="majorHAnsi" w:hAnsiTheme="majorHAnsi" w:cstheme="majorHAnsi"/>
          <w:sz w:val="24"/>
          <w:szCs w:val="24"/>
          <w:lang w:val="ro-MD" w:eastAsia="ru-RU"/>
        </w:rPr>
        <w:t xml:space="preserve">Bugetul anual al DLC este coordonat cu Consiliul DLC și se aprobă de către </w:t>
      </w:r>
      <w:r w:rsidR="001B30F4" w:rsidRPr="00321F59">
        <w:rPr>
          <w:rFonts w:asciiTheme="majorHAnsi" w:hAnsiTheme="majorHAnsi" w:cstheme="majorHAnsi"/>
          <w:sz w:val="24"/>
          <w:szCs w:val="24"/>
          <w:lang w:val="ro-MD" w:eastAsia="ru-RU"/>
        </w:rPr>
        <w:t>m</w:t>
      </w:r>
      <w:r w:rsidRPr="00321F59">
        <w:rPr>
          <w:rFonts w:asciiTheme="majorHAnsi" w:hAnsiTheme="majorHAnsi" w:cstheme="majorHAnsi"/>
          <w:sz w:val="24"/>
          <w:szCs w:val="24"/>
          <w:lang w:val="ro-MD" w:eastAsia="ru-RU"/>
        </w:rPr>
        <w:t xml:space="preserve">inistrul </w:t>
      </w:r>
      <w:r w:rsidR="001B30F4" w:rsidRPr="00321F59">
        <w:rPr>
          <w:rFonts w:asciiTheme="majorHAnsi" w:hAnsiTheme="majorHAnsi" w:cstheme="majorHAnsi"/>
          <w:sz w:val="24"/>
          <w:szCs w:val="24"/>
          <w:lang w:val="ro-MD" w:eastAsia="ru-RU"/>
        </w:rPr>
        <w:t>F</w:t>
      </w:r>
      <w:r w:rsidRPr="00321F59">
        <w:rPr>
          <w:rFonts w:asciiTheme="majorHAnsi" w:hAnsiTheme="majorHAnsi" w:cstheme="majorHAnsi"/>
          <w:sz w:val="24"/>
          <w:szCs w:val="24"/>
          <w:lang w:val="ro-MD" w:eastAsia="ru-RU"/>
        </w:rPr>
        <w:t xml:space="preserve">inanțelor. Bugetul pentru anul 2019 a fost </w:t>
      </w:r>
      <w:r w:rsidR="00D75E0F" w:rsidRPr="00321F59">
        <w:rPr>
          <w:rFonts w:asciiTheme="majorHAnsi" w:hAnsiTheme="majorHAnsi" w:cstheme="majorHAnsi"/>
          <w:sz w:val="24"/>
          <w:szCs w:val="24"/>
          <w:lang w:val="ro-MD" w:eastAsia="ru-RU"/>
        </w:rPr>
        <w:t>aprobat în mărime de 7,7 mil. lei</w:t>
      </w:r>
      <w:r w:rsidRPr="00321F59">
        <w:rPr>
          <w:rFonts w:asciiTheme="majorHAnsi" w:hAnsiTheme="majorHAnsi" w:cstheme="majorHAnsi"/>
          <w:sz w:val="24"/>
          <w:szCs w:val="24"/>
          <w:lang w:val="ro-MD" w:eastAsia="ru-RU"/>
        </w:rPr>
        <w:t xml:space="preserve"> la venituri și </w:t>
      </w:r>
      <w:r w:rsidR="00D823EA" w:rsidRPr="00321F59">
        <w:rPr>
          <w:rFonts w:asciiTheme="majorHAnsi" w:hAnsiTheme="majorHAnsi" w:cstheme="majorHAnsi"/>
          <w:sz w:val="24"/>
          <w:szCs w:val="24"/>
          <w:lang w:val="ro-MD" w:eastAsia="ru-RU"/>
        </w:rPr>
        <w:t xml:space="preserve">de </w:t>
      </w:r>
      <w:r w:rsidRPr="00321F59">
        <w:rPr>
          <w:rFonts w:asciiTheme="majorHAnsi" w:hAnsiTheme="majorHAnsi" w:cstheme="majorHAnsi"/>
          <w:sz w:val="24"/>
          <w:szCs w:val="24"/>
          <w:lang w:val="ro-MD" w:eastAsia="ru-RU"/>
        </w:rPr>
        <w:t>5,0 mil.</w:t>
      </w:r>
      <w:r w:rsidR="00D75E0F" w:rsidRPr="00321F59">
        <w:rPr>
          <w:rFonts w:asciiTheme="majorHAnsi" w:hAnsiTheme="majorHAnsi" w:cstheme="majorHAnsi"/>
          <w:sz w:val="24"/>
          <w:szCs w:val="24"/>
          <w:lang w:val="ro-MD" w:eastAsia="ru-RU"/>
        </w:rPr>
        <w:t xml:space="preserve"> lei</w:t>
      </w:r>
      <w:r w:rsidRPr="00321F59">
        <w:rPr>
          <w:rFonts w:asciiTheme="majorHAnsi" w:hAnsiTheme="majorHAnsi" w:cstheme="majorHAnsi"/>
          <w:sz w:val="24"/>
          <w:szCs w:val="24"/>
          <w:lang w:val="ro-MD" w:eastAsia="ru-RU"/>
        </w:rPr>
        <w:t xml:space="preserve"> la cheltuieli, fiind executat în mărime de </w:t>
      </w:r>
      <w:r w:rsidR="00D75E0F" w:rsidRPr="00321F59">
        <w:rPr>
          <w:rFonts w:asciiTheme="majorHAnsi" w:hAnsiTheme="majorHAnsi" w:cstheme="majorHAnsi"/>
          <w:sz w:val="24"/>
          <w:szCs w:val="24"/>
          <w:lang w:val="ro-MD" w:eastAsia="ru-RU"/>
        </w:rPr>
        <w:t>9,8 mil. lei</w:t>
      </w:r>
      <w:r w:rsidRPr="00321F59">
        <w:rPr>
          <w:rFonts w:asciiTheme="majorHAnsi" w:hAnsiTheme="majorHAnsi" w:cstheme="majorHAnsi"/>
          <w:sz w:val="24"/>
          <w:szCs w:val="24"/>
          <w:lang w:val="ro-MD" w:eastAsia="ru-RU"/>
        </w:rPr>
        <w:t xml:space="preserve"> la venituri (127,3%) și </w:t>
      </w:r>
      <w:r w:rsidR="001B30F4" w:rsidRPr="00321F59">
        <w:rPr>
          <w:rFonts w:asciiTheme="majorHAnsi" w:hAnsiTheme="majorHAnsi" w:cstheme="majorHAnsi"/>
          <w:sz w:val="24"/>
          <w:szCs w:val="24"/>
          <w:lang w:val="ro-MD" w:eastAsia="ru-RU"/>
        </w:rPr>
        <w:t xml:space="preserve">de </w:t>
      </w:r>
      <w:r w:rsidRPr="00321F59">
        <w:rPr>
          <w:rFonts w:asciiTheme="majorHAnsi" w:hAnsiTheme="majorHAnsi" w:cstheme="majorHAnsi"/>
          <w:sz w:val="24"/>
          <w:szCs w:val="24"/>
          <w:lang w:val="ro-MD" w:eastAsia="ru-RU"/>
        </w:rPr>
        <w:t xml:space="preserve">4,2 </w:t>
      </w:r>
      <w:r w:rsidR="00D75E0F" w:rsidRPr="00321F59">
        <w:rPr>
          <w:rFonts w:asciiTheme="majorHAnsi" w:hAnsiTheme="majorHAnsi" w:cstheme="majorHAnsi"/>
          <w:sz w:val="24"/>
          <w:szCs w:val="24"/>
          <w:lang w:val="ro-MD" w:eastAsia="ru-RU"/>
        </w:rPr>
        <w:t>mil. lei</w:t>
      </w:r>
      <w:r w:rsidRPr="00321F59">
        <w:rPr>
          <w:rFonts w:asciiTheme="majorHAnsi" w:hAnsiTheme="majorHAnsi" w:cstheme="majorHAnsi"/>
          <w:sz w:val="24"/>
          <w:szCs w:val="24"/>
          <w:lang w:val="ro-MD" w:eastAsia="ru-RU"/>
        </w:rPr>
        <w:t xml:space="preserve"> la cheltuieli (84,0%). </w:t>
      </w:r>
      <w:r w:rsidR="00D75E0F" w:rsidRPr="00321F59">
        <w:rPr>
          <w:rFonts w:asciiTheme="majorHAnsi" w:hAnsiTheme="majorHAnsi" w:cstheme="majorHAnsi"/>
          <w:sz w:val="24"/>
          <w:szCs w:val="24"/>
          <w:lang w:val="ro-MD" w:eastAsia="ru-RU"/>
        </w:rPr>
        <w:t>Din volumul total al cheltuielilor</w:t>
      </w:r>
      <w:r w:rsidR="001B30F4" w:rsidRPr="00321F59">
        <w:rPr>
          <w:rFonts w:asciiTheme="majorHAnsi" w:hAnsiTheme="majorHAnsi" w:cstheme="majorHAnsi"/>
          <w:sz w:val="24"/>
          <w:szCs w:val="24"/>
          <w:lang w:val="ro-MD" w:eastAsia="ru-RU"/>
        </w:rPr>
        <w:t>,</w:t>
      </w:r>
      <w:r w:rsidR="00D75E0F" w:rsidRPr="00321F59">
        <w:rPr>
          <w:rFonts w:asciiTheme="majorHAnsi" w:hAnsiTheme="majorHAnsi" w:cstheme="majorHAnsi"/>
          <w:sz w:val="24"/>
          <w:szCs w:val="24"/>
          <w:lang w:val="ro-MD" w:eastAsia="ru-RU"/>
        </w:rPr>
        <w:t xml:space="preserve"> partea cea mai semnificativă (3,38 mil. lei</w:t>
      </w:r>
      <w:r w:rsidR="001B30F4" w:rsidRPr="00321F59">
        <w:rPr>
          <w:rFonts w:asciiTheme="majorHAnsi" w:hAnsiTheme="majorHAnsi" w:cstheme="majorHAnsi"/>
          <w:sz w:val="24"/>
          <w:szCs w:val="24"/>
          <w:lang w:val="ro-MD" w:eastAsia="ru-RU"/>
        </w:rPr>
        <w:t>,</w:t>
      </w:r>
      <w:r w:rsidR="00D75E0F" w:rsidRPr="00321F59">
        <w:rPr>
          <w:rFonts w:asciiTheme="majorHAnsi" w:hAnsiTheme="majorHAnsi" w:cstheme="majorHAnsi"/>
          <w:sz w:val="24"/>
          <w:szCs w:val="24"/>
          <w:lang w:val="ro-MD" w:eastAsia="ru-RU"/>
        </w:rPr>
        <w:t xml:space="preserve"> sau circa 80%) a fost îndreptată spre achitarea plăților salariale pentru 8 angajați ai DLC.</w:t>
      </w:r>
      <w:r w:rsidR="00207A6C" w:rsidRPr="00321F59">
        <w:rPr>
          <w:rFonts w:asciiTheme="majorHAnsi" w:hAnsiTheme="majorHAnsi" w:cstheme="majorHAnsi"/>
          <w:sz w:val="24"/>
          <w:lang w:val="ro-MD"/>
        </w:rPr>
        <w:t xml:space="preserve"> Se denotă lipsa criteriilor de stabilire a cuantumului salariilor de funcție pentru angajați, deoarece DLC nu se regăsește în cadrul legal privind retribuirea muncii al RM.</w:t>
      </w:r>
    </w:p>
    <w:p w:rsidR="00774568" w:rsidRPr="0024512C" w:rsidRDefault="00774568" w:rsidP="00CA11EF">
      <w:pPr>
        <w:spacing w:line="276" w:lineRule="auto"/>
        <w:jc w:val="both"/>
        <w:rPr>
          <w:rFonts w:asciiTheme="majorHAnsi" w:eastAsia="Times New Roman" w:hAnsiTheme="majorHAnsi" w:cstheme="majorHAnsi"/>
          <w:bCs/>
          <w:sz w:val="24"/>
          <w:szCs w:val="24"/>
          <w:lang w:val="ro-MD" w:eastAsia="ru-RU"/>
        </w:rPr>
      </w:pPr>
      <w:r w:rsidRPr="0024512C">
        <w:rPr>
          <w:rFonts w:asciiTheme="majorHAnsi" w:eastAsia="Times New Roman" w:hAnsiTheme="majorHAnsi" w:cstheme="majorHAnsi"/>
          <w:bCs/>
          <w:sz w:val="24"/>
          <w:szCs w:val="24"/>
          <w:lang w:val="ro-MD" w:eastAsia="ru-RU"/>
        </w:rPr>
        <w:t>La</w:t>
      </w:r>
      <w:r w:rsidR="008E2EC9" w:rsidRPr="0024512C">
        <w:rPr>
          <w:rFonts w:asciiTheme="majorHAnsi" w:eastAsia="Times New Roman" w:hAnsiTheme="majorHAnsi" w:cstheme="majorHAnsi"/>
          <w:bCs/>
          <w:sz w:val="24"/>
          <w:szCs w:val="24"/>
          <w:lang w:val="ro-MD" w:eastAsia="ru-RU"/>
        </w:rPr>
        <w:t xml:space="preserve"> situ</w:t>
      </w:r>
      <w:r w:rsidR="00D37E2A" w:rsidRPr="0024512C">
        <w:rPr>
          <w:rFonts w:asciiTheme="majorHAnsi" w:eastAsia="Times New Roman" w:hAnsiTheme="majorHAnsi" w:cstheme="majorHAnsi"/>
          <w:bCs/>
          <w:sz w:val="24"/>
          <w:szCs w:val="24"/>
          <w:lang w:val="ro-MD" w:eastAsia="ru-RU"/>
        </w:rPr>
        <w:t>ația din 31.12.</w:t>
      </w:r>
      <w:r w:rsidR="008E2EC9" w:rsidRPr="005C74F5">
        <w:rPr>
          <w:rFonts w:asciiTheme="majorHAnsi" w:eastAsia="Times New Roman" w:hAnsiTheme="majorHAnsi" w:cstheme="majorHAnsi"/>
          <w:bCs/>
          <w:sz w:val="24"/>
          <w:szCs w:val="24"/>
          <w:lang w:val="ro-MD" w:eastAsia="ru-RU"/>
        </w:rPr>
        <w:t xml:space="preserve">2019, </w:t>
      </w:r>
      <w:r w:rsidRPr="0024512C">
        <w:rPr>
          <w:rFonts w:asciiTheme="majorHAnsi" w:eastAsia="Times New Roman" w:hAnsiTheme="majorHAnsi" w:cstheme="majorHAnsi"/>
          <w:bCs/>
          <w:sz w:val="24"/>
          <w:szCs w:val="24"/>
          <w:lang w:val="ro-MD" w:eastAsia="ru-RU"/>
        </w:rPr>
        <w:t xml:space="preserve">DLC </w:t>
      </w:r>
      <w:r w:rsidR="001B30F4" w:rsidRPr="0024512C">
        <w:rPr>
          <w:rFonts w:asciiTheme="majorHAnsi" w:eastAsia="Times New Roman" w:hAnsiTheme="majorHAnsi" w:cstheme="majorHAnsi"/>
          <w:bCs/>
          <w:sz w:val="24"/>
          <w:szCs w:val="24"/>
          <w:lang w:val="ro-MD" w:eastAsia="ru-RU"/>
        </w:rPr>
        <w:t>avea</w:t>
      </w:r>
      <w:r w:rsidR="008E2EC9" w:rsidRPr="0024512C">
        <w:rPr>
          <w:rFonts w:asciiTheme="majorHAnsi" w:eastAsia="Times New Roman" w:hAnsiTheme="majorHAnsi" w:cstheme="majorHAnsi"/>
          <w:bCs/>
          <w:sz w:val="24"/>
          <w:szCs w:val="24"/>
          <w:lang w:val="ro-MD" w:eastAsia="ru-RU"/>
        </w:rPr>
        <w:t xml:space="preserve"> în gestiune 21 Linii de credit </w:t>
      </w:r>
      <w:r w:rsidR="00D37E2A" w:rsidRPr="0024512C">
        <w:rPr>
          <w:rFonts w:asciiTheme="majorHAnsi" w:eastAsia="Times New Roman" w:hAnsiTheme="majorHAnsi" w:cstheme="majorHAnsi"/>
          <w:bCs/>
          <w:sz w:val="24"/>
          <w:szCs w:val="24"/>
          <w:lang w:val="ro-MD" w:eastAsia="ru-RU"/>
        </w:rPr>
        <w:t xml:space="preserve">și Proiecte </w:t>
      </w:r>
      <w:r w:rsidR="008E2EC9" w:rsidRPr="0024512C">
        <w:rPr>
          <w:rFonts w:asciiTheme="majorHAnsi" w:eastAsia="Times New Roman" w:hAnsiTheme="majorHAnsi" w:cstheme="majorHAnsi"/>
          <w:bCs/>
          <w:sz w:val="24"/>
          <w:szCs w:val="24"/>
          <w:lang w:val="ro-MD" w:eastAsia="ru-RU"/>
        </w:rPr>
        <w:t>fi</w:t>
      </w:r>
      <w:r w:rsidRPr="0024512C">
        <w:rPr>
          <w:rFonts w:asciiTheme="majorHAnsi" w:eastAsia="Times New Roman" w:hAnsiTheme="majorHAnsi" w:cstheme="majorHAnsi"/>
          <w:bCs/>
          <w:sz w:val="24"/>
          <w:szCs w:val="24"/>
          <w:lang w:val="ro-MD" w:eastAsia="ru-RU"/>
        </w:rPr>
        <w:t>nanțate din îm</w:t>
      </w:r>
      <w:r w:rsidR="001B30F4" w:rsidRPr="0024512C">
        <w:rPr>
          <w:rFonts w:asciiTheme="majorHAnsi" w:eastAsia="Times New Roman" w:hAnsiTheme="majorHAnsi" w:cstheme="majorHAnsi"/>
          <w:bCs/>
          <w:sz w:val="24"/>
          <w:szCs w:val="24"/>
          <w:lang w:val="ro-MD" w:eastAsia="ru-RU"/>
        </w:rPr>
        <w:t>prumuturi externe, inclusiv era</w:t>
      </w:r>
      <w:r w:rsidRPr="0024512C">
        <w:rPr>
          <w:rFonts w:asciiTheme="majorHAnsi" w:eastAsia="Times New Roman" w:hAnsiTheme="majorHAnsi" w:cstheme="majorHAnsi"/>
          <w:bCs/>
          <w:sz w:val="24"/>
          <w:szCs w:val="24"/>
          <w:lang w:val="ro-MD" w:eastAsia="ru-RU"/>
        </w:rPr>
        <w:t xml:space="preserve"> responsabil de evidența și calcularea dobânzii pentru împrumuturile acordate direct de către MF beneficiarilor finali pentru procurarea strugurilor și operațiuni de leasing în cadrul proiectului Filiera Vinului.</w:t>
      </w:r>
    </w:p>
    <w:p w:rsidR="00285EEC" w:rsidRPr="0024512C" w:rsidRDefault="00285EEC" w:rsidP="00285EEC">
      <w:pPr>
        <w:spacing w:line="276" w:lineRule="auto"/>
        <w:jc w:val="both"/>
        <w:rPr>
          <w:rFonts w:asciiTheme="majorHAnsi" w:hAnsiTheme="majorHAnsi" w:cstheme="majorHAnsi"/>
          <w:sz w:val="24"/>
          <w:szCs w:val="24"/>
          <w:lang w:val="ro-MD" w:eastAsia="ru-RU"/>
        </w:rPr>
      </w:pPr>
      <w:r w:rsidRPr="0024512C">
        <w:rPr>
          <w:rFonts w:asciiTheme="majorHAnsi" w:hAnsiTheme="majorHAnsi" w:cstheme="majorHAnsi"/>
          <w:sz w:val="24"/>
          <w:szCs w:val="24"/>
          <w:lang w:val="ro-MD" w:eastAsia="ru-RU"/>
        </w:rPr>
        <w:t xml:space="preserve">Pe parcursul anului 2019, la operațiunile de intermediere financiară în cadrul </w:t>
      </w:r>
      <w:r w:rsidR="001B30F4" w:rsidRPr="0024512C">
        <w:rPr>
          <w:rFonts w:asciiTheme="majorHAnsi" w:hAnsiTheme="majorHAnsi" w:cstheme="majorHAnsi"/>
          <w:sz w:val="24"/>
          <w:szCs w:val="24"/>
          <w:lang w:val="ro-MD" w:eastAsia="ru-RU"/>
        </w:rPr>
        <w:t>L</w:t>
      </w:r>
      <w:r w:rsidRPr="0024512C">
        <w:rPr>
          <w:rFonts w:asciiTheme="majorHAnsi" w:hAnsiTheme="majorHAnsi" w:cstheme="majorHAnsi"/>
          <w:sz w:val="24"/>
          <w:szCs w:val="24"/>
          <w:lang w:val="ro-MD" w:eastAsia="ru-RU"/>
        </w:rPr>
        <w:t>iniilor de credit au participat 14 IFP. S-a</w:t>
      </w:r>
      <w:r w:rsidR="001B30F4" w:rsidRPr="0024512C">
        <w:rPr>
          <w:rFonts w:asciiTheme="majorHAnsi" w:hAnsiTheme="majorHAnsi" w:cstheme="majorHAnsi"/>
          <w:sz w:val="24"/>
          <w:szCs w:val="24"/>
          <w:lang w:val="ro-MD" w:eastAsia="ru-RU"/>
        </w:rPr>
        <w:t xml:space="preserve"> stabilit</w:t>
      </w:r>
      <w:r w:rsidRPr="0024512C">
        <w:rPr>
          <w:rFonts w:asciiTheme="majorHAnsi" w:hAnsiTheme="majorHAnsi" w:cstheme="majorHAnsi"/>
          <w:sz w:val="24"/>
          <w:szCs w:val="24"/>
          <w:lang w:val="ro-MD" w:eastAsia="ru-RU"/>
        </w:rPr>
        <w:t xml:space="preserve"> că </w:t>
      </w:r>
      <w:r w:rsidR="001B30F4" w:rsidRPr="0024512C">
        <w:rPr>
          <w:rFonts w:asciiTheme="majorHAnsi" w:hAnsiTheme="majorHAnsi" w:cstheme="majorHAnsi"/>
          <w:sz w:val="24"/>
          <w:szCs w:val="24"/>
          <w:lang w:val="ro-MD" w:eastAsia="ru-RU"/>
        </w:rPr>
        <w:t>DLC nu a raportat</w:t>
      </w:r>
      <w:r w:rsidRPr="0024512C">
        <w:rPr>
          <w:rFonts w:asciiTheme="majorHAnsi" w:hAnsiTheme="majorHAnsi" w:cstheme="majorHAnsi"/>
          <w:sz w:val="24"/>
          <w:szCs w:val="24"/>
          <w:lang w:val="ro-MD" w:eastAsia="ru-RU"/>
        </w:rPr>
        <w:t xml:space="preserve"> datorii expirate ale IFP, cu excepția datoriei în sumă de 1,43 mil.</w:t>
      </w:r>
      <w:r w:rsidR="00D56FC8" w:rsidRPr="0024512C">
        <w:rPr>
          <w:rFonts w:asciiTheme="majorHAnsi" w:hAnsiTheme="majorHAnsi" w:cstheme="majorHAnsi"/>
          <w:sz w:val="24"/>
          <w:szCs w:val="24"/>
          <w:lang w:val="ro-MD" w:eastAsia="ru-RU"/>
        </w:rPr>
        <w:t xml:space="preserve"> lei</w:t>
      </w:r>
      <w:r w:rsidRPr="0024512C">
        <w:rPr>
          <w:rFonts w:asciiTheme="majorHAnsi" w:hAnsiTheme="majorHAnsi" w:cstheme="majorHAnsi"/>
          <w:sz w:val="24"/>
          <w:szCs w:val="24"/>
          <w:lang w:val="ro-MD" w:eastAsia="ru-RU"/>
        </w:rPr>
        <w:t xml:space="preserve"> a BC „</w:t>
      </w:r>
      <w:proofErr w:type="spellStart"/>
      <w:r w:rsidRPr="0024512C">
        <w:rPr>
          <w:rFonts w:asciiTheme="majorHAnsi" w:hAnsiTheme="majorHAnsi" w:cstheme="majorHAnsi"/>
          <w:sz w:val="24"/>
          <w:szCs w:val="24"/>
          <w:lang w:val="ro-MD" w:eastAsia="ru-RU"/>
        </w:rPr>
        <w:t>Investprivatbank</w:t>
      </w:r>
      <w:proofErr w:type="spellEnd"/>
      <w:r w:rsidRPr="0024512C">
        <w:rPr>
          <w:rFonts w:asciiTheme="majorHAnsi" w:hAnsiTheme="majorHAnsi" w:cstheme="majorHAnsi"/>
          <w:sz w:val="24"/>
          <w:szCs w:val="24"/>
          <w:lang w:val="ro-MD" w:eastAsia="ru-RU"/>
        </w:rPr>
        <w:t>” SA, care</w:t>
      </w:r>
      <w:r w:rsidR="003208BB" w:rsidRPr="0024512C">
        <w:rPr>
          <w:rFonts w:asciiTheme="majorHAnsi" w:hAnsiTheme="majorHAnsi" w:cstheme="majorHAnsi"/>
          <w:sz w:val="24"/>
          <w:szCs w:val="24"/>
          <w:lang w:val="ro-MD" w:eastAsia="ru-RU"/>
        </w:rPr>
        <w:t xml:space="preserve"> se află în proces de lichidare și asupra căreia se identifică riscul de nerecuperare.</w:t>
      </w:r>
    </w:p>
    <w:p w:rsidR="00013DFE" w:rsidRPr="00321F59" w:rsidRDefault="00767403" w:rsidP="00767403">
      <w:pPr>
        <w:spacing w:line="276" w:lineRule="auto"/>
        <w:jc w:val="both"/>
        <w:rPr>
          <w:rFonts w:asciiTheme="majorHAnsi" w:hAnsiTheme="majorHAnsi" w:cstheme="majorHAnsi"/>
          <w:sz w:val="24"/>
          <w:szCs w:val="24"/>
          <w:lang w:val="ro-MD" w:eastAsia="ru-RU"/>
        </w:rPr>
      </w:pPr>
      <w:r w:rsidRPr="00321F59">
        <w:rPr>
          <w:rFonts w:asciiTheme="majorHAnsi" w:hAnsiTheme="majorHAnsi" w:cstheme="majorHAnsi"/>
          <w:sz w:val="24"/>
          <w:szCs w:val="24"/>
          <w:lang w:val="ro-MD" w:eastAsia="ru-RU"/>
        </w:rPr>
        <w:t xml:space="preserve">La lansarea finanțării și implementării unei Linii de credit noi, Consiliul DLC </w:t>
      </w:r>
      <w:r w:rsidR="001B30F4" w:rsidRPr="00321F59">
        <w:rPr>
          <w:rFonts w:asciiTheme="majorHAnsi" w:hAnsiTheme="majorHAnsi" w:cstheme="majorHAnsi"/>
          <w:sz w:val="24"/>
          <w:szCs w:val="24"/>
          <w:lang w:val="ro-MD" w:eastAsia="ru-RU"/>
        </w:rPr>
        <w:t>aprobă</w:t>
      </w:r>
      <w:r w:rsidRPr="00321F59">
        <w:rPr>
          <w:rFonts w:asciiTheme="majorHAnsi" w:hAnsiTheme="majorHAnsi" w:cstheme="majorHAnsi"/>
          <w:sz w:val="24"/>
          <w:szCs w:val="24"/>
          <w:lang w:val="ro-MD" w:eastAsia="ru-RU"/>
        </w:rPr>
        <w:t xml:space="preserve"> formula de calcul a ratei dobânzii de recreditare a IFP.</w:t>
      </w:r>
      <w:r w:rsidRPr="00321F59">
        <w:rPr>
          <w:rFonts w:asciiTheme="majorHAnsi" w:hAnsiTheme="majorHAnsi" w:cstheme="majorHAnsi"/>
          <w:sz w:val="24"/>
          <w:szCs w:val="24"/>
          <w:lang w:val="ro-MD"/>
          <w14:glow w14:rad="0">
            <w14:schemeClr w14:val="tx1"/>
          </w14:glow>
        </w:rPr>
        <w:t xml:space="preserve"> Pe parcursul anului 2019 se denotă o tendință </w:t>
      </w:r>
      <w:r w:rsidRPr="00321F59">
        <w:rPr>
          <w:rFonts w:asciiTheme="majorHAnsi" w:hAnsiTheme="majorHAnsi" w:cstheme="majorHAnsi"/>
          <w:sz w:val="24"/>
          <w:szCs w:val="24"/>
          <w:lang w:val="ro-MD" w:eastAsia="ru-RU"/>
        </w:rPr>
        <w:t xml:space="preserve">pozitivă </w:t>
      </w:r>
      <w:r w:rsidRPr="00321F59">
        <w:rPr>
          <w:rFonts w:asciiTheme="majorHAnsi" w:hAnsiTheme="majorHAnsi" w:cstheme="majorHAnsi"/>
          <w:sz w:val="24"/>
          <w:szCs w:val="24"/>
          <w:lang w:val="ro-MD" w:eastAsia="ru-RU"/>
        </w:rPr>
        <w:lastRenderedPageBreak/>
        <w:t>de reduce</w:t>
      </w:r>
      <w:r w:rsidR="0059376B" w:rsidRPr="00321F59">
        <w:rPr>
          <w:rFonts w:asciiTheme="majorHAnsi" w:hAnsiTheme="majorHAnsi" w:cstheme="majorHAnsi"/>
          <w:sz w:val="24"/>
          <w:szCs w:val="24"/>
          <w:lang w:val="ro-MD" w:eastAsia="ru-RU"/>
        </w:rPr>
        <w:t>re</w:t>
      </w:r>
      <w:r w:rsidRPr="00321F59">
        <w:rPr>
          <w:rFonts w:asciiTheme="majorHAnsi" w:hAnsiTheme="majorHAnsi" w:cstheme="majorHAnsi"/>
          <w:sz w:val="24"/>
          <w:szCs w:val="24"/>
          <w:lang w:val="ro-MD" w:eastAsia="ru-RU"/>
        </w:rPr>
        <w:t xml:space="preserve"> a ratelor de dobândă stabilite de DLC pentru sub-împrumuturile </w:t>
      </w:r>
      <w:proofErr w:type="spellStart"/>
      <w:r w:rsidRPr="00321F59">
        <w:rPr>
          <w:rFonts w:asciiTheme="majorHAnsi" w:hAnsiTheme="majorHAnsi" w:cstheme="majorHAnsi"/>
          <w:sz w:val="24"/>
          <w:szCs w:val="24"/>
          <w:lang w:val="ro-MD" w:eastAsia="ru-RU"/>
        </w:rPr>
        <w:t>rec</w:t>
      </w:r>
      <w:r w:rsidR="0059376B" w:rsidRPr="00321F59">
        <w:rPr>
          <w:rFonts w:asciiTheme="majorHAnsi" w:hAnsiTheme="majorHAnsi" w:cstheme="majorHAnsi"/>
          <w:sz w:val="24"/>
          <w:szCs w:val="24"/>
          <w:lang w:val="ro-MD" w:eastAsia="ru-RU"/>
        </w:rPr>
        <w:t>reditate</w:t>
      </w:r>
      <w:proofErr w:type="spellEnd"/>
      <w:r w:rsidR="0059376B" w:rsidRPr="00321F59">
        <w:rPr>
          <w:rFonts w:asciiTheme="majorHAnsi" w:hAnsiTheme="majorHAnsi" w:cstheme="majorHAnsi"/>
          <w:sz w:val="24"/>
          <w:szCs w:val="24"/>
          <w:lang w:val="ro-MD" w:eastAsia="ru-RU"/>
        </w:rPr>
        <w:t xml:space="preserve"> în </w:t>
      </w:r>
      <w:r w:rsidR="00CF7DCA" w:rsidRPr="00321F59">
        <w:rPr>
          <w:rFonts w:asciiTheme="majorHAnsi" w:hAnsiTheme="majorHAnsi" w:cstheme="majorHAnsi"/>
          <w:sz w:val="24"/>
          <w:szCs w:val="24"/>
          <w:lang w:val="ro-MD" w:eastAsia="ru-RU"/>
        </w:rPr>
        <w:t xml:space="preserve">          </w:t>
      </w:r>
      <w:r w:rsidR="00DA2199" w:rsidRPr="00321F59">
        <w:rPr>
          <w:rFonts w:asciiTheme="majorHAnsi" w:hAnsiTheme="majorHAnsi" w:cstheme="majorHAnsi"/>
          <w:sz w:val="24"/>
          <w:szCs w:val="24"/>
          <w:lang w:val="ro-MD" w:eastAsia="ru-RU"/>
        </w:rPr>
        <w:t>dol. SUA</w:t>
      </w:r>
      <w:r w:rsidR="0059376B" w:rsidRPr="00321F59">
        <w:rPr>
          <w:rFonts w:asciiTheme="majorHAnsi" w:hAnsiTheme="majorHAnsi" w:cstheme="majorHAnsi"/>
          <w:sz w:val="24"/>
          <w:szCs w:val="24"/>
          <w:lang w:val="ro-MD" w:eastAsia="ru-RU"/>
        </w:rPr>
        <w:t>, euro și lei</w:t>
      </w:r>
      <w:r w:rsidR="001B30F4" w:rsidRPr="00321F59">
        <w:rPr>
          <w:rFonts w:asciiTheme="majorHAnsi" w:hAnsiTheme="majorHAnsi" w:cstheme="majorHAnsi"/>
          <w:sz w:val="24"/>
          <w:szCs w:val="24"/>
          <w:lang w:val="ro-MD" w:eastAsia="ru-RU"/>
        </w:rPr>
        <w:t xml:space="preserve">, însă în perioada </w:t>
      </w:r>
      <w:r w:rsidRPr="00321F59">
        <w:rPr>
          <w:rFonts w:asciiTheme="majorHAnsi" w:hAnsiTheme="majorHAnsi" w:cstheme="majorHAnsi"/>
          <w:sz w:val="24"/>
          <w:szCs w:val="24"/>
          <w:lang w:val="ro-MD" w:eastAsia="ru-RU"/>
        </w:rPr>
        <w:t xml:space="preserve">2015-2019, ratele </w:t>
      </w:r>
      <w:r w:rsidR="001B30F4" w:rsidRPr="00321F59">
        <w:rPr>
          <w:rFonts w:asciiTheme="majorHAnsi" w:hAnsiTheme="majorHAnsi" w:cstheme="majorHAnsi"/>
          <w:sz w:val="24"/>
          <w:szCs w:val="24"/>
          <w:lang w:val="ro-MD" w:eastAsia="ru-RU"/>
        </w:rPr>
        <w:t>dobânzii</w:t>
      </w:r>
      <w:r w:rsidRPr="00321F59">
        <w:rPr>
          <w:rFonts w:asciiTheme="majorHAnsi" w:hAnsiTheme="majorHAnsi" w:cstheme="majorHAnsi"/>
          <w:sz w:val="24"/>
          <w:szCs w:val="24"/>
          <w:lang w:val="ro-MD" w:eastAsia="ru-RU"/>
        </w:rPr>
        <w:t xml:space="preserve"> au variat semnificativ.</w:t>
      </w:r>
      <w:r w:rsidRPr="00321F59">
        <w:rPr>
          <w:rFonts w:asciiTheme="majorHAnsi" w:hAnsiTheme="majorHAnsi" w:cstheme="majorHAnsi"/>
          <w:sz w:val="24"/>
          <w:szCs w:val="24"/>
          <w:lang w:val="ro-MD"/>
          <w14:glow w14:rad="0">
            <w14:schemeClr w14:val="tx1"/>
          </w14:glow>
        </w:rPr>
        <w:t xml:space="preserve"> </w:t>
      </w:r>
      <w:r w:rsidRPr="00321F59">
        <w:rPr>
          <w:rFonts w:asciiTheme="majorHAnsi" w:hAnsiTheme="majorHAnsi" w:cstheme="majorHAnsi"/>
          <w:sz w:val="24"/>
          <w:szCs w:val="24"/>
          <w:lang w:val="ro-MD" w:eastAsia="ru-RU"/>
        </w:rPr>
        <w:t>Asupra modificării acestora au influențat un șir de factori, inclusiv modificarea formulei de calcul a ratelor din 15 martie 2018</w:t>
      </w:r>
      <w:r w:rsidR="00AC6DAB" w:rsidRPr="00321F59">
        <w:rPr>
          <w:rFonts w:asciiTheme="majorHAnsi" w:hAnsiTheme="majorHAnsi" w:cstheme="majorHAnsi"/>
          <w:sz w:val="24"/>
          <w:szCs w:val="24"/>
          <w:lang w:val="ro-MD" w:eastAsia="ru-RU"/>
        </w:rPr>
        <w:t>,</w:t>
      </w:r>
      <w:r w:rsidRPr="00321F59">
        <w:rPr>
          <w:rFonts w:asciiTheme="majorHAnsi" w:hAnsiTheme="majorHAnsi" w:cstheme="majorHAnsi"/>
          <w:sz w:val="24"/>
          <w:szCs w:val="24"/>
          <w:lang w:val="ro-MD" w:eastAsia="ru-RU"/>
        </w:rPr>
        <w:t xml:space="preserve"> când</w:t>
      </w:r>
      <w:r w:rsidR="003208BB" w:rsidRPr="00321F59">
        <w:rPr>
          <w:rFonts w:asciiTheme="majorHAnsi" w:hAnsiTheme="majorHAnsi" w:cstheme="majorHAnsi"/>
          <w:sz w:val="24"/>
          <w:szCs w:val="24"/>
          <w:lang w:val="ro-MD" w:eastAsia="ru-RU"/>
        </w:rPr>
        <w:t xml:space="preserve"> Consiliul DLC </w:t>
      </w:r>
      <w:r w:rsidRPr="00321F59">
        <w:rPr>
          <w:rFonts w:asciiTheme="majorHAnsi" w:hAnsiTheme="majorHAnsi" w:cstheme="majorHAnsi"/>
          <w:sz w:val="24"/>
          <w:szCs w:val="24"/>
          <w:lang w:val="ro-MD" w:eastAsia="ru-RU"/>
        </w:rPr>
        <w:t xml:space="preserve">a aprobat formula </w:t>
      </w:r>
      <w:r w:rsidR="00013DFE" w:rsidRPr="00321F59">
        <w:rPr>
          <w:rFonts w:asciiTheme="majorHAnsi" w:hAnsiTheme="majorHAnsi" w:cstheme="majorHAnsi"/>
          <w:sz w:val="24"/>
          <w:szCs w:val="24"/>
          <w:lang w:val="ro-MD" w:eastAsia="ru-RU"/>
        </w:rPr>
        <w:t xml:space="preserve">nouă </w:t>
      </w:r>
      <w:r w:rsidRPr="00321F59">
        <w:rPr>
          <w:rFonts w:asciiTheme="majorHAnsi" w:hAnsiTheme="majorHAnsi" w:cstheme="majorHAnsi"/>
          <w:sz w:val="24"/>
          <w:szCs w:val="24"/>
          <w:lang w:val="ro-MD" w:eastAsia="ru-RU"/>
        </w:rPr>
        <w:t xml:space="preserve">bazată pe ratele medii ponderate </w:t>
      </w:r>
      <w:r w:rsidR="00232F6B" w:rsidRPr="00321F59">
        <w:rPr>
          <w:rFonts w:asciiTheme="majorHAnsi" w:hAnsiTheme="majorHAnsi" w:cstheme="majorHAnsi"/>
          <w:sz w:val="24"/>
          <w:szCs w:val="24"/>
          <w:lang w:val="ro-MD" w:eastAsia="ru-RU"/>
        </w:rPr>
        <w:t>a</w:t>
      </w:r>
      <w:r w:rsidR="001B30F4" w:rsidRPr="00321F59">
        <w:rPr>
          <w:rFonts w:asciiTheme="majorHAnsi" w:hAnsiTheme="majorHAnsi" w:cstheme="majorHAnsi"/>
          <w:sz w:val="24"/>
          <w:szCs w:val="24"/>
          <w:lang w:val="ro-MD" w:eastAsia="ru-RU"/>
        </w:rPr>
        <w:t>le</w:t>
      </w:r>
      <w:r w:rsidR="00232F6B" w:rsidRPr="00321F59">
        <w:rPr>
          <w:rFonts w:asciiTheme="majorHAnsi" w:hAnsiTheme="majorHAnsi" w:cstheme="majorHAnsi"/>
          <w:sz w:val="24"/>
          <w:szCs w:val="24"/>
          <w:lang w:val="ro-MD" w:eastAsia="ru-RU"/>
        </w:rPr>
        <w:t xml:space="preserve"> bonurilor de trezorerie cu</w:t>
      </w:r>
      <w:r w:rsidRPr="00321F59">
        <w:rPr>
          <w:rFonts w:asciiTheme="majorHAnsi" w:hAnsiTheme="majorHAnsi" w:cstheme="majorHAnsi"/>
          <w:sz w:val="24"/>
          <w:szCs w:val="24"/>
          <w:lang w:val="ro-MD" w:eastAsia="ru-RU"/>
        </w:rPr>
        <w:t xml:space="preserve"> circulație</w:t>
      </w:r>
      <w:r w:rsidR="00232F6B" w:rsidRPr="00321F59">
        <w:rPr>
          <w:rFonts w:asciiTheme="majorHAnsi" w:hAnsiTheme="majorHAnsi" w:cstheme="majorHAnsi"/>
          <w:sz w:val="24"/>
          <w:szCs w:val="24"/>
          <w:lang w:val="ro-MD" w:eastAsia="ru-RU"/>
        </w:rPr>
        <w:t xml:space="preserve"> de</w:t>
      </w:r>
      <w:r w:rsidRPr="00321F59">
        <w:rPr>
          <w:rFonts w:asciiTheme="majorHAnsi" w:hAnsiTheme="majorHAnsi" w:cstheme="majorHAnsi"/>
          <w:sz w:val="24"/>
          <w:szCs w:val="24"/>
          <w:lang w:val="ro-MD" w:eastAsia="ru-RU"/>
        </w:rPr>
        <w:t xml:space="preserve"> 182 </w:t>
      </w:r>
      <w:r w:rsidR="001B30F4" w:rsidRPr="00321F59">
        <w:rPr>
          <w:rFonts w:asciiTheme="majorHAnsi" w:hAnsiTheme="majorHAnsi" w:cstheme="majorHAnsi"/>
          <w:sz w:val="24"/>
          <w:szCs w:val="24"/>
          <w:lang w:val="ro-MD" w:eastAsia="ru-RU"/>
        </w:rPr>
        <w:t xml:space="preserve">de </w:t>
      </w:r>
      <w:r w:rsidRPr="00321F59">
        <w:rPr>
          <w:rFonts w:asciiTheme="majorHAnsi" w:hAnsiTheme="majorHAnsi" w:cstheme="majorHAnsi"/>
          <w:sz w:val="24"/>
          <w:szCs w:val="24"/>
          <w:lang w:val="ro-MD" w:eastAsia="ru-RU"/>
        </w:rPr>
        <w:t>zile.</w:t>
      </w:r>
      <w:r w:rsidR="00013DFE" w:rsidRPr="00321F59">
        <w:rPr>
          <w:rFonts w:asciiTheme="majorHAnsi" w:hAnsiTheme="majorHAnsi" w:cstheme="majorHAnsi"/>
          <w:sz w:val="24"/>
          <w:szCs w:val="24"/>
          <w:lang w:val="ro-MD" w:eastAsia="ru-RU"/>
        </w:rPr>
        <w:t xml:space="preserve"> </w:t>
      </w:r>
      <w:r w:rsidR="001B30F4" w:rsidRPr="00321F59">
        <w:rPr>
          <w:rFonts w:asciiTheme="majorHAnsi" w:hAnsiTheme="majorHAnsi" w:cstheme="majorHAnsi"/>
          <w:sz w:val="24"/>
          <w:szCs w:val="24"/>
          <w:lang w:val="ro-MD" w:eastAsia="ru-RU"/>
        </w:rPr>
        <w:t>Ca</w:t>
      </w:r>
      <w:r w:rsidR="00013DFE" w:rsidRPr="00321F59">
        <w:rPr>
          <w:rFonts w:asciiTheme="majorHAnsi" w:hAnsiTheme="majorHAnsi" w:cstheme="majorHAnsi"/>
          <w:sz w:val="24"/>
          <w:szCs w:val="24"/>
          <w:lang w:val="ro-MD" w:eastAsia="ru-RU"/>
        </w:rPr>
        <w:t xml:space="preserve"> rezultat, pe măsura creșterii ratelor pentru VMS, s-au majorat și ratele de recreditare stabilite pentru IFP, astfel devenind neatractive și mai scumpe decât alte resurse ale pieței financiare locale. Restabilirea formulei vechi </w:t>
      </w:r>
      <w:r w:rsidR="001B30F4" w:rsidRPr="00321F59">
        <w:rPr>
          <w:rFonts w:asciiTheme="majorHAnsi" w:hAnsiTheme="majorHAnsi" w:cstheme="majorHAnsi"/>
          <w:sz w:val="24"/>
          <w:szCs w:val="24"/>
          <w:lang w:val="ro-MD" w:eastAsia="ru-RU"/>
        </w:rPr>
        <w:t>bazate</w:t>
      </w:r>
      <w:r w:rsidR="00013DFE" w:rsidRPr="00321F59">
        <w:rPr>
          <w:rFonts w:asciiTheme="majorHAnsi" w:hAnsiTheme="majorHAnsi" w:cstheme="majorHAnsi"/>
          <w:sz w:val="24"/>
          <w:szCs w:val="24"/>
          <w:lang w:val="ro-MD" w:eastAsia="ru-RU"/>
        </w:rPr>
        <w:t xml:space="preserve"> pe media inflației a avut loc în baza deciziei Consiliului DLC </w:t>
      </w:r>
      <w:r w:rsidR="007D7F06" w:rsidRPr="00321F59">
        <w:rPr>
          <w:rFonts w:asciiTheme="majorHAnsi" w:hAnsiTheme="majorHAnsi" w:cstheme="majorHAnsi"/>
          <w:sz w:val="24"/>
          <w:szCs w:val="24"/>
          <w:lang w:val="ro-MD" w:eastAsia="ru-RU"/>
        </w:rPr>
        <w:t>din</w:t>
      </w:r>
      <w:r w:rsidR="00013DFE" w:rsidRPr="00321F59">
        <w:rPr>
          <w:rFonts w:asciiTheme="majorHAnsi" w:hAnsiTheme="majorHAnsi" w:cstheme="majorHAnsi"/>
          <w:sz w:val="24"/>
          <w:szCs w:val="24"/>
          <w:lang w:val="ro-MD" w:eastAsia="ru-RU"/>
        </w:rPr>
        <w:t xml:space="preserve"> 11 februarie 2019.</w:t>
      </w:r>
    </w:p>
    <w:p w:rsidR="00767403" w:rsidRPr="00321F59" w:rsidRDefault="00767403" w:rsidP="00767403">
      <w:pPr>
        <w:spacing w:line="276" w:lineRule="auto"/>
        <w:jc w:val="both"/>
        <w:rPr>
          <w:rFonts w:asciiTheme="majorHAnsi" w:hAnsiTheme="majorHAnsi" w:cstheme="majorHAnsi"/>
          <w:sz w:val="24"/>
          <w:szCs w:val="24"/>
          <w:lang w:val="ro-MD" w:eastAsia="ru-RU"/>
        </w:rPr>
      </w:pPr>
      <w:r w:rsidRPr="00321F59">
        <w:rPr>
          <w:rFonts w:asciiTheme="majorHAnsi" w:hAnsiTheme="majorHAnsi" w:cstheme="majorHAnsi"/>
          <w:sz w:val="24"/>
          <w:szCs w:val="24"/>
          <w:lang w:val="ro-MD" w:eastAsia="ru-RU"/>
        </w:rPr>
        <w:t>Modificările ratelor de dobândă au influențat și asupra numărului beneficiarilor finali de sub-împrumuturi.</w:t>
      </w:r>
      <w:r w:rsidRPr="00321F59">
        <w:rPr>
          <w:rFonts w:asciiTheme="majorHAnsi" w:hAnsiTheme="majorHAnsi" w:cstheme="majorHAnsi"/>
          <w:sz w:val="24"/>
          <w:szCs w:val="24"/>
          <w:lang w:val="ro-MD"/>
          <w14:glow w14:rad="0">
            <w14:schemeClr w14:val="tx1"/>
          </w14:glow>
        </w:rPr>
        <w:t xml:space="preserve"> </w:t>
      </w:r>
      <w:r w:rsidRPr="00321F59">
        <w:rPr>
          <w:rFonts w:asciiTheme="majorHAnsi" w:hAnsiTheme="majorHAnsi" w:cstheme="majorHAnsi"/>
          <w:sz w:val="24"/>
          <w:szCs w:val="24"/>
          <w:lang w:val="ro-MD" w:eastAsia="ru-RU"/>
        </w:rPr>
        <w:t xml:space="preserve">Astfel, deși numărul Proiectelor investiționale și a Liniilor de credit gestionate de DLC a crescut de la 17 gestionate în 2015 la 21 în 2019, numărul beneficiarilor de surse </w:t>
      </w:r>
      <w:proofErr w:type="spellStart"/>
      <w:r w:rsidRPr="00321F59">
        <w:rPr>
          <w:rFonts w:asciiTheme="majorHAnsi" w:hAnsiTheme="majorHAnsi" w:cstheme="majorHAnsi"/>
          <w:sz w:val="24"/>
          <w:szCs w:val="24"/>
          <w:lang w:val="ro-MD" w:eastAsia="ru-RU"/>
        </w:rPr>
        <w:t>recreditate</w:t>
      </w:r>
      <w:proofErr w:type="spellEnd"/>
      <w:r w:rsidRPr="00321F59">
        <w:rPr>
          <w:rFonts w:asciiTheme="majorHAnsi" w:hAnsiTheme="majorHAnsi" w:cstheme="majorHAnsi"/>
          <w:sz w:val="24"/>
          <w:szCs w:val="24"/>
          <w:lang w:val="ro-MD" w:eastAsia="ru-RU"/>
        </w:rPr>
        <w:t xml:space="preserve"> pe parcursul anilor 2015-2019 s-a micșorat cu circa 45%. </w:t>
      </w:r>
    </w:p>
    <w:p w:rsidR="00767403" w:rsidRPr="0024512C" w:rsidRDefault="00767403" w:rsidP="00767403">
      <w:pPr>
        <w:spacing w:line="276" w:lineRule="auto"/>
        <w:jc w:val="both"/>
        <w:rPr>
          <w:rFonts w:asciiTheme="majorHAnsi" w:hAnsiTheme="majorHAnsi" w:cstheme="majorHAnsi"/>
          <w:bCs/>
          <w:sz w:val="24"/>
          <w:szCs w:val="24"/>
          <w:lang w:val="ro-MD" w:eastAsia="ru-RU"/>
        </w:rPr>
      </w:pPr>
      <w:r w:rsidRPr="00321F59">
        <w:rPr>
          <w:rFonts w:asciiTheme="majorHAnsi" w:hAnsiTheme="majorHAnsi" w:cstheme="majorHAnsi"/>
          <w:sz w:val="24"/>
          <w:szCs w:val="24"/>
          <w:lang w:val="ro-MD" w:eastAsia="ru-RU"/>
        </w:rPr>
        <w:t xml:space="preserve">Un alt factor care a influențat </w:t>
      </w:r>
      <w:r w:rsidR="007D7F06" w:rsidRPr="00321F59">
        <w:rPr>
          <w:rFonts w:asciiTheme="majorHAnsi" w:hAnsiTheme="majorHAnsi" w:cstheme="majorHAnsi"/>
          <w:sz w:val="24"/>
          <w:szCs w:val="24"/>
          <w:lang w:val="ro-MD" w:eastAsia="ru-RU"/>
        </w:rPr>
        <w:t>reducerea</w:t>
      </w:r>
      <w:r w:rsidRPr="00321F59">
        <w:rPr>
          <w:rFonts w:asciiTheme="majorHAnsi" w:hAnsiTheme="majorHAnsi" w:cstheme="majorHAnsi"/>
          <w:sz w:val="24"/>
          <w:szCs w:val="24"/>
          <w:lang w:val="ro-MD" w:eastAsia="ru-RU"/>
        </w:rPr>
        <w:t xml:space="preserve"> numărului de sub-proiecte a fost stoparea </w:t>
      </w:r>
      <w:r w:rsidR="00BC701A" w:rsidRPr="00321F59">
        <w:rPr>
          <w:rFonts w:asciiTheme="majorHAnsi" w:hAnsiTheme="majorHAnsi" w:cstheme="majorHAnsi"/>
          <w:sz w:val="24"/>
          <w:szCs w:val="24"/>
          <w:lang w:val="ro-MD" w:eastAsia="ru-RU"/>
        </w:rPr>
        <w:t>temporară a recreditării în lei</w:t>
      </w:r>
      <w:r w:rsidR="00013DFE" w:rsidRPr="00321F59">
        <w:rPr>
          <w:rFonts w:asciiTheme="majorHAnsi" w:hAnsiTheme="majorHAnsi" w:cstheme="majorHAnsi"/>
          <w:sz w:val="24"/>
          <w:szCs w:val="24"/>
          <w:lang w:val="ro-MD" w:eastAsia="ru-RU"/>
        </w:rPr>
        <w:t xml:space="preserve"> și recreditarea doar în valută străină, decizie aprobată </w:t>
      </w:r>
      <w:r w:rsidR="003208BB" w:rsidRPr="00321F59">
        <w:rPr>
          <w:rFonts w:asciiTheme="majorHAnsi" w:hAnsiTheme="majorHAnsi" w:cstheme="majorHAnsi"/>
          <w:sz w:val="24"/>
          <w:szCs w:val="24"/>
          <w:lang w:val="ro-MD" w:eastAsia="ru-RU"/>
        </w:rPr>
        <w:t xml:space="preserve">de Consiliul DLC </w:t>
      </w:r>
      <w:r w:rsidR="00013DFE" w:rsidRPr="00321F59">
        <w:rPr>
          <w:rFonts w:asciiTheme="majorHAnsi" w:hAnsiTheme="majorHAnsi" w:cstheme="majorHAnsi"/>
          <w:sz w:val="24"/>
          <w:szCs w:val="24"/>
          <w:lang w:val="ro-MD" w:eastAsia="ru-RU"/>
        </w:rPr>
        <w:t>la 29 septembrie 2016</w:t>
      </w:r>
      <w:r w:rsidR="007D7F06" w:rsidRPr="00321F59">
        <w:rPr>
          <w:rFonts w:asciiTheme="majorHAnsi" w:hAnsiTheme="majorHAnsi" w:cstheme="majorHAnsi"/>
          <w:sz w:val="24"/>
          <w:szCs w:val="24"/>
          <w:lang w:val="ro-MD" w:eastAsia="ru-RU"/>
        </w:rPr>
        <w:t>,</w:t>
      </w:r>
      <w:r w:rsidRPr="00321F59">
        <w:rPr>
          <w:rFonts w:asciiTheme="majorHAnsi" w:hAnsiTheme="majorHAnsi" w:cstheme="majorHAnsi"/>
          <w:sz w:val="24"/>
          <w:szCs w:val="24"/>
          <w:lang w:val="ro-MD" w:eastAsia="ru-RU"/>
        </w:rPr>
        <w:t xml:space="preserve"> </w:t>
      </w:r>
      <w:r w:rsidRPr="0024512C">
        <w:rPr>
          <w:rFonts w:asciiTheme="majorHAnsi" w:hAnsiTheme="majorHAnsi" w:cstheme="majorHAnsi"/>
          <w:sz w:val="24"/>
          <w:szCs w:val="24"/>
          <w:lang w:val="ro-MD" w:eastAsia="ru-RU"/>
        </w:rPr>
        <w:t>p</w:t>
      </w:r>
      <w:r w:rsidRPr="0024512C">
        <w:rPr>
          <w:rFonts w:asciiTheme="majorHAnsi" w:hAnsiTheme="majorHAnsi" w:cstheme="majorHAnsi"/>
          <w:bCs/>
          <w:sz w:val="24"/>
          <w:szCs w:val="24"/>
          <w:lang w:val="ro-MD" w:eastAsia="ru-RU"/>
        </w:rPr>
        <w:t>entru evitarea riscului de schimb valutar</w:t>
      </w:r>
      <w:r w:rsidR="00013DFE" w:rsidRPr="005C74F5">
        <w:rPr>
          <w:rFonts w:asciiTheme="majorHAnsi" w:hAnsiTheme="majorHAnsi" w:cstheme="majorHAnsi"/>
          <w:bCs/>
          <w:sz w:val="24"/>
          <w:szCs w:val="24"/>
          <w:lang w:val="ro-MD" w:eastAsia="ru-RU"/>
        </w:rPr>
        <w:t xml:space="preserve">. </w:t>
      </w:r>
      <w:r w:rsidR="00BC701A" w:rsidRPr="00321F59">
        <w:rPr>
          <w:rFonts w:asciiTheme="majorHAnsi" w:hAnsiTheme="majorHAnsi" w:cstheme="majorHAnsi"/>
          <w:sz w:val="24"/>
          <w:szCs w:val="24"/>
          <w:lang w:val="ro-MD" w:eastAsia="ru-RU"/>
        </w:rPr>
        <w:t>Reluarea recreditării IFP în lei</w:t>
      </w:r>
      <w:r w:rsidRPr="00321F59">
        <w:rPr>
          <w:rFonts w:asciiTheme="majorHAnsi" w:hAnsiTheme="majorHAnsi" w:cstheme="majorHAnsi"/>
          <w:sz w:val="24"/>
          <w:szCs w:val="24"/>
          <w:lang w:val="ro-MD" w:eastAsia="ru-RU"/>
        </w:rPr>
        <w:t xml:space="preserve"> în toate </w:t>
      </w:r>
      <w:r w:rsidR="007D7F06" w:rsidRPr="00321F59">
        <w:rPr>
          <w:rFonts w:asciiTheme="majorHAnsi" w:hAnsiTheme="majorHAnsi" w:cstheme="majorHAnsi"/>
          <w:sz w:val="24"/>
          <w:szCs w:val="24"/>
          <w:lang w:val="ro-MD" w:eastAsia="ru-RU"/>
        </w:rPr>
        <w:t>L</w:t>
      </w:r>
      <w:r w:rsidRPr="00321F59">
        <w:rPr>
          <w:rFonts w:asciiTheme="majorHAnsi" w:hAnsiTheme="majorHAnsi" w:cstheme="majorHAnsi"/>
          <w:sz w:val="24"/>
          <w:szCs w:val="24"/>
          <w:lang w:val="ro-MD" w:eastAsia="ru-RU"/>
        </w:rPr>
        <w:t>iniile de credit disponibile a fost permisă începând cu 20 martie 2018.</w:t>
      </w:r>
    </w:p>
    <w:p w:rsidR="00582BE5" w:rsidRPr="0024512C" w:rsidRDefault="00801F6F" w:rsidP="00767403">
      <w:pPr>
        <w:spacing w:line="276" w:lineRule="auto"/>
        <w:jc w:val="both"/>
        <w:rPr>
          <w:rFonts w:asciiTheme="majorHAnsi" w:hAnsiTheme="majorHAnsi" w:cstheme="majorHAnsi"/>
          <w:sz w:val="24"/>
          <w:szCs w:val="24"/>
          <w:lang w:val="ro-MD" w:eastAsia="ru-RU"/>
        </w:rPr>
      </w:pPr>
      <w:r w:rsidRPr="005C74F5">
        <w:rPr>
          <w:rFonts w:asciiTheme="majorHAnsi" w:hAnsiTheme="majorHAnsi" w:cstheme="majorHAnsi"/>
          <w:sz w:val="24"/>
          <w:szCs w:val="24"/>
          <w:lang w:val="ro-MD" w:eastAsia="ru-RU"/>
        </w:rPr>
        <w:t>Conform Regulamentului DLC, una din</w:t>
      </w:r>
      <w:r w:rsidR="007D7F06" w:rsidRPr="0024512C">
        <w:rPr>
          <w:rFonts w:asciiTheme="majorHAnsi" w:hAnsiTheme="majorHAnsi" w:cstheme="majorHAnsi"/>
          <w:sz w:val="24"/>
          <w:szCs w:val="24"/>
          <w:lang w:val="ro-MD" w:eastAsia="ru-RU"/>
        </w:rPr>
        <w:t>tre</w:t>
      </w:r>
      <w:r w:rsidRPr="0024512C">
        <w:rPr>
          <w:rFonts w:asciiTheme="majorHAnsi" w:hAnsiTheme="majorHAnsi" w:cstheme="majorHAnsi"/>
          <w:sz w:val="24"/>
          <w:szCs w:val="24"/>
          <w:lang w:val="ro-MD" w:eastAsia="ru-RU"/>
        </w:rPr>
        <w:t xml:space="preserve"> funcțiile principale ale acestuia </w:t>
      </w:r>
      <w:r w:rsidR="00633B7D" w:rsidRPr="0024512C">
        <w:rPr>
          <w:rFonts w:asciiTheme="majorHAnsi" w:hAnsiTheme="majorHAnsi" w:cstheme="majorHAnsi"/>
          <w:sz w:val="24"/>
          <w:szCs w:val="24"/>
          <w:lang w:val="ro-MD" w:eastAsia="ru-RU"/>
        </w:rPr>
        <w:t xml:space="preserve">este </w:t>
      </w:r>
      <w:r w:rsidRPr="0024512C">
        <w:rPr>
          <w:rFonts w:asciiTheme="majorHAnsi" w:hAnsiTheme="majorHAnsi" w:cstheme="majorHAnsi"/>
          <w:sz w:val="24"/>
          <w:szCs w:val="24"/>
          <w:lang w:val="ro-MD" w:eastAsia="ru-RU"/>
        </w:rPr>
        <w:t xml:space="preserve">gestiunea cotidiană a </w:t>
      </w:r>
      <w:r w:rsidR="007D7F06" w:rsidRPr="0024512C">
        <w:rPr>
          <w:rFonts w:asciiTheme="majorHAnsi" w:hAnsiTheme="majorHAnsi" w:cstheme="majorHAnsi"/>
          <w:sz w:val="24"/>
          <w:szCs w:val="24"/>
          <w:lang w:val="ro-MD" w:eastAsia="ru-RU"/>
        </w:rPr>
        <w:t>L</w:t>
      </w:r>
      <w:r w:rsidRPr="0024512C">
        <w:rPr>
          <w:rFonts w:asciiTheme="majorHAnsi" w:hAnsiTheme="majorHAnsi" w:cstheme="majorHAnsi"/>
          <w:sz w:val="24"/>
          <w:szCs w:val="24"/>
          <w:lang w:val="ro-MD" w:eastAsia="ru-RU"/>
        </w:rPr>
        <w:t xml:space="preserve">iniilor de credit și asigurarea accesului intermediarilor la resursele ei pentru creditarea ulterioară, </w:t>
      </w:r>
      <w:r w:rsidR="007D7F06" w:rsidRPr="0024512C">
        <w:rPr>
          <w:rFonts w:asciiTheme="majorHAnsi" w:hAnsiTheme="majorHAnsi" w:cstheme="majorHAnsi"/>
          <w:sz w:val="24"/>
          <w:szCs w:val="24"/>
          <w:lang w:val="ro-MD" w:eastAsia="ru-RU"/>
        </w:rPr>
        <w:t xml:space="preserve">inclusiv creditarea secundară. </w:t>
      </w:r>
      <w:r w:rsidRPr="00321F59">
        <w:rPr>
          <w:rFonts w:asciiTheme="majorHAnsi" w:hAnsiTheme="majorHAnsi" w:cstheme="majorHAnsi"/>
          <w:sz w:val="24"/>
          <w:szCs w:val="24"/>
          <w:lang w:val="ro-MD" w:eastAsia="ru-RU"/>
        </w:rPr>
        <w:t xml:space="preserve">Recreditarea din mijloacele circulante ale DLC constituie circa 60% din volumul </w:t>
      </w:r>
      <w:r w:rsidR="0059376B" w:rsidRPr="00321F59">
        <w:rPr>
          <w:rFonts w:asciiTheme="majorHAnsi" w:hAnsiTheme="majorHAnsi" w:cstheme="majorHAnsi"/>
          <w:sz w:val="24"/>
          <w:szCs w:val="24"/>
          <w:lang w:val="ro-MD" w:eastAsia="ru-RU"/>
        </w:rPr>
        <w:t>total al mijloacelor recreditare</w:t>
      </w:r>
      <w:r w:rsidRPr="00321F59">
        <w:rPr>
          <w:rFonts w:asciiTheme="majorHAnsi" w:hAnsiTheme="majorHAnsi" w:cstheme="majorHAnsi"/>
          <w:sz w:val="24"/>
          <w:szCs w:val="24"/>
          <w:lang w:val="ro-MD" w:eastAsia="ru-RU"/>
        </w:rPr>
        <w:t>.</w:t>
      </w:r>
    </w:p>
    <w:p w:rsidR="001103ED" w:rsidRPr="0024512C" w:rsidRDefault="001103ED" w:rsidP="00801F6F">
      <w:pPr>
        <w:spacing w:line="276" w:lineRule="auto"/>
        <w:jc w:val="both"/>
        <w:rPr>
          <w:rFonts w:asciiTheme="majorHAnsi" w:hAnsiTheme="majorHAnsi" w:cstheme="majorHAnsi"/>
          <w:sz w:val="24"/>
          <w:szCs w:val="24"/>
          <w:lang w:val="ro-MD" w:eastAsia="ru-RU"/>
        </w:rPr>
      </w:pPr>
      <w:r w:rsidRPr="005C74F5">
        <w:rPr>
          <w:rFonts w:asciiTheme="majorHAnsi" w:hAnsiTheme="majorHAnsi" w:cstheme="majorHAnsi"/>
          <w:sz w:val="24"/>
          <w:szCs w:val="24"/>
          <w:lang w:val="ro-MD" w:eastAsia="ru-RU"/>
        </w:rPr>
        <w:t>În cadrul procesu</w:t>
      </w:r>
      <w:r w:rsidR="007D7F06" w:rsidRPr="0024512C">
        <w:rPr>
          <w:rFonts w:asciiTheme="majorHAnsi" w:hAnsiTheme="majorHAnsi" w:cstheme="majorHAnsi"/>
          <w:sz w:val="24"/>
          <w:szCs w:val="24"/>
          <w:lang w:val="ro-MD" w:eastAsia="ru-RU"/>
        </w:rPr>
        <w:t xml:space="preserve">lui de recreditare, inclusiv </w:t>
      </w:r>
      <w:r w:rsidRPr="0024512C">
        <w:rPr>
          <w:rFonts w:asciiTheme="majorHAnsi" w:hAnsiTheme="majorHAnsi" w:cstheme="majorHAnsi"/>
          <w:sz w:val="24"/>
          <w:szCs w:val="24"/>
          <w:lang w:val="ro-MD" w:eastAsia="ru-RU"/>
        </w:rPr>
        <w:t xml:space="preserve">datorită recreditării secundare, de către DLC: </w:t>
      </w:r>
      <w:r w:rsidRPr="0024512C">
        <w:rPr>
          <w:rFonts w:asciiTheme="majorHAnsi" w:hAnsiTheme="majorHAnsi" w:cstheme="majorHAnsi"/>
          <w:b/>
          <w:i/>
          <w:sz w:val="24"/>
          <w:szCs w:val="24"/>
          <w:lang w:val="ro-MD" w:eastAsia="ru-RU"/>
        </w:rPr>
        <w:t>(i)</w:t>
      </w:r>
      <w:r w:rsidRPr="0024512C">
        <w:rPr>
          <w:rFonts w:asciiTheme="majorHAnsi" w:hAnsiTheme="majorHAnsi" w:cstheme="majorHAnsi"/>
          <w:sz w:val="24"/>
          <w:szCs w:val="24"/>
          <w:lang w:val="ro-MD" w:eastAsia="ru-RU"/>
        </w:rPr>
        <w:t xml:space="preserve"> au fost acoperite la timp toate solicitările MF de plată a părții principale și a dobânzilor datorate creditorilor externi în sumă totală echivalentă cu circa 883,6 mil. lei; </w:t>
      </w:r>
      <w:r w:rsidRPr="0024512C">
        <w:rPr>
          <w:rFonts w:asciiTheme="majorHAnsi" w:hAnsiTheme="majorHAnsi" w:cstheme="majorHAnsi"/>
          <w:b/>
          <w:i/>
          <w:sz w:val="24"/>
          <w:szCs w:val="24"/>
          <w:lang w:val="ro-MD" w:eastAsia="ru-RU"/>
        </w:rPr>
        <w:t>(ii)</w:t>
      </w:r>
      <w:r w:rsidRPr="0024512C">
        <w:rPr>
          <w:rFonts w:asciiTheme="majorHAnsi" w:hAnsiTheme="majorHAnsi" w:cstheme="majorHAnsi"/>
          <w:sz w:val="24"/>
          <w:szCs w:val="24"/>
          <w:lang w:val="ro-MD" w:eastAsia="ru-RU"/>
        </w:rPr>
        <w:t xml:space="preserve"> au fost transferate către MF mijloace financiare </w:t>
      </w:r>
      <w:r w:rsidR="007D7F06" w:rsidRPr="0024512C">
        <w:rPr>
          <w:rFonts w:asciiTheme="majorHAnsi" w:hAnsiTheme="majorHAnsi" w:cstheme="majorHAnsi"/>
          <w:sz w:val="24"/>
          <w:szCs w:val="24"/>
          <w:lang w:val="ro-MD" w:eastAsia="ru-RU"/>
        </w:rPr>
        <w:t xml:space="preserve">în sumă </w:t>
      </w:r>
      <w:r w:rsidRPr="0024512C">
        <w:rPr>
          <w:rFonts w:asciiTheme="majorHAnsi" w:hAnsiTheme="majorHAnsi" w:cstheme="majorHAnsi"/>
          <w:sz w:val="24"/>
          <w:szCs w:val="24"/>
          <w:lang w:val="ro-MD" w:eastAsia="ru-RU"/>
        </w:rPr>
        <w:t xml:space="preserve">de 130,6 mil. lei pentru fondul de risc (care până în anul 2017 era format și gestionat de MF); </w:t>
      </w:r>
      <w:r w:rsidRPr="0024512C">
        <w:rPr>
          <w:rFonts w:asciiTheme="majorHAnsi" w:hAnsiTheme="majorHAnsi" w:cstheme="majorHAnsi"/>
          <w:b/>
          <w:i/>
          <w:sz w:val="24"/>
          <w:szCs w:val="24"/>
          <w:lang w:val="ro-MD" w:eastAsia="ru-RU"/>
        </w:rPr>
        <w:t>(iii)</w:t>
      </w:r>
      <w:r w:rsidRPr="0024512C">
        <w:rPr>
          <w:rFonts w:asciiTheme="majorHAnsi" w:hAnsiTheme="majorHAnsi" w:cstheme="majorHAnsi"/>
          <w:sz w:val="24"/>
          <w:szCs w:val="24"/>
          <w:lang w:val="ro-MD" w:eastAsia="ru-RU"/>
        </w:rPr>
        <w:t xml:space="preserve"> au fost acumulate rezerve pentru acoperirea riscurilor legate de operațiunile de recreditare, inclusiv de schimb valutar, în sumă de 39,86 mil. lei </w:t>
      </w:r>
      <w:r w:rsidR="00BC701A" w:rsidRPr="0024512C">
        <w:rPr>
          <w:rFonts w:asciiTheme="majorHAnsi" w:hAnsiTheme="majorHAnsi" w:cstheme="majorHAnsi"/>
          <w:sz w:val="24"/>
          <w:szCs w:val="24"/>
          <w:lang w:val="ro-MD" w:eastAsia="ru-RU"/>
        </w:rPr>
        <w:t xml:space="preserve">(din anul 2017 fondul de risc este format și gestionat de către DLC); </w:t>
      </w:r>
      <w:r w:rsidR="00BC701A" w:rsidRPr="0024512C">
        <w:rPr>
          <w:rFonts w:asciiTheme="majorHAnsi" w:hAnsiTheme="majorHAnsi" w:cstheme="majorHAnsi"/>
          <w:b/>
          <w:i/>
          <w:sz w:val="24"/>
          <w:szCs w:val="24"/>
          <w:lang w:val="ro-MD" w:eastAsia="ru-RU"/>
        </w:rPr>
        <w:t>(iv)</w:t>
      </w:r>
      <w:r w:rsidR="00BC701A" w:rsidRPr="0024512C">
        <w:rPr>
          <w:rFonts w:asciiTheme="majorHAnsi" w:hAnsiTheme="majorHAnsi" w:cstheme="majorHAnsi"/>
          <w:sz w:val="24"/>
          <w:szCs w:val="24"/>
          <w:lang w:val="ro-MD" w:eastAsia="ru-RU"/>
        </w:rPr>
        <w:t xml:space="preserve"> a fost acumulat fondul de autofinanțare a DLC în mărime de 78,6 mil. lei; </w:t>
      </w:r>
      <w:r w:rsidR="00BC701A" w:rsidRPr="0024512C">
        <w:rPr>
          <w:rFonts w:asciiTheme="majorHAnsi" w:hAnsiTheme="majorHAnsi" w:cstheme="majorHAnsi"/>
          <w:b/>
          <w:i/>
          <w:sz w:val="24"/>
          <w:szCs w:val="24"/>
          <w:lang w:val="ro-MD" w:eastAsia="ru-RU"/>
        </w:rPr>
        <w:t>(v)</w:t>
      </w:r>
      <w:r w:rsidR="00BC701A" w:rsidRPr="0024512C">
        <w:rPr>
          <w:rFonts w:asciiTheme="majorHAnsi" w:hAnsiTheme="majorHAnsi" w:cstheme="majorHAnsi"/>
          <w:sz w:val="24"/>
          <w:szCs w:val="24"/>
          <w:lang w:val="ro-MD" w:eastAsia="ru-RU"/>
        </w:rPr>
        <w:t xml:space="preserve"> au fost formate fonduri libere pentru asimilare în componentele Liniilor de credit </w:t>
      </w:r>
      <w:proofErr w:type="spellStart"/>
      <w:r w:rsidR="00BC701A" w:rsidRPr="0024512C">
        <w:rPr>
          <w:rFonts w:asciiTheme="majorHAnsi" w:hAnsiTheme="majorHAnsi" w:cstheme="majorHAnsi"/>
          <w:sz w:val="24"/>
          <w:szCs w:val="24"/>
          <w:lang w:val="ro-MD" w:eastAsia="ru-RU"/>
        </w:rPr>
        <w:t>recreditate</w:t>
      </w:r>
      <w:proofErr w:type="spellEnd"/>
      <w:r w:rsidR="00BC701A" w:rsidRPr="0024512C">
        <w:rPr>
          <w:rFonts w:asciiTheme="majorHAnsi" w:hAnsiTheme="majorHAnsi" w:cstheme="majorHAnsi"/>
          <w:sz w:val="24"/>
          <w:szCs w:val="24"/>
          <w:lang w:val="ro-MD" w:eastAsia="ru-RU"/>
        </w:rPr>
        <w:t xml:space="preserve"> prin IFP în volum echivalent cu 966,4 mil. lei; </w:t>
      </w:r>
      <w:r w:rsidR="00BC701A" w:rsidRPr="0024512C">
        <w:rPr>
          <w:rFonts w:asciiTheme="majorHAnsi" w:hAnsiTheme="majorHAnsi" w:cstheme="majorHAnsi"/>
          <w:b/>
          <w:i/>
          <w:sz w:val="24"/>
          <w:szCs w:val="24"/>
          <w:lang w:val="ro-MD" w:eastAsia="ru-RU"/>
        </w:rPr>
        <w:t>(vi)</w:t>
      </w:r>
      <w:r w:rsidR="00BC701A" w:rsidRPr="0024512C">
        <w:rPr>
          <w:rFonts w:asciiTheme="majorHAnsi" w:hAnsiTheme="majorHAnsi" w:cstheme="majorHAnsi"/>
          <w:sz w:val="24"/>
          <w:szCs w:val="24"/>
          <w:lang w:val="ro-MD" w:eastAsia="ru-RU"/>
        </w:rPr>
        <w:t xml:space="preserve"> a fost implementat și finanțat proiectul investițional nou „Programul național de abilitare economică a tinerilor”</w:t>
      </w:r>
      <w:r w:rsidR="00AC6DAB" w:rsidRPr="0024512C">
        <w:rPr>
          <w:rFonts w:asciiTheme="majorHAnsi" w:hAnsiTheme="majorHAnsi" w:cstheme="majorHAnsi"/>
          <w:sz w:val="24"/>
          <w:szCs w:val="24"/>
          <w:lang w:val="ro-MD" w:eastAsia="ru-RU"/>
        </w:rPr>
        <w:t>,</w:t>
      </w:r>
      <w:r w:rsidR="00BC701A" w:rsidRPr="0024512C">
        <w:rPr>
          <w:rFonts w:asciiTheme="majorHAnsi" w:hAnsiTheme="majorHAnsi" w:cstheme="majorHAnsi"/>
          <w:sz w:val="24"/>
          <w:szCs w:val="24"/>
          <w:lang w:val="ro-MD" w:eastAsia="ru-RU"/>
        </w:rPr>
        <w:t xml:space="preserve"> menit să promoveze și să încurajeze tinerii antreprenori; </w:t>
      </w:r>
      <w:r w:rsidR="00BC701A" w:rsidRPr="0024512C">
        <w:rPr>
          <w:rFonts w:asciiTheme="majorHAnsi" w:hAnsiTheme="majorHAnsi" w:cstheme="majorHAnsi"/>
          <w:b/>
          <w:i/>
          <w:sz w:val="24"/>
          <w:szCs w:val="24"/>
          <w:lang w:val="ro-MD" w:eastAsia="ru-RU"/>
        </w:rPr>
        <w:t>(vii)</w:t>
      </w:r>
      <w:r w:rsidR="00BC701A" w:rsidRPr="0024512C">
        <w:rPr>
          <w:rFonts w:asciiTheme="majorHAnsi" w:hAnsiTheme="majorHAnsi" w:cstheme="majorHAnsi"/>
          <w:sz w:val="24"/>
          <w:szCs w:val="24"/>
          <w:lang w:val="ro-MD" w:eastAsia="ru-RU"/>
        </w:rPr>
        <w:t xml:space="preserve"> a fost implementat un proiect nou</w:t>
      </w:r>
      <w:r w:rsidR="007D7F06" w:rsidRPr="0024512C">
        <w:rPr>
          <w:rFonts w:asciiTheme="majorHAnsi" w:hAnsiTheme="majorHAnsi" w:cstheme="majorHAnsi"/>
          <w:sz w:val="24"/>
          <w:szCs w:val="24"/>
          <w:lang w:val="ro-MD" w:eastAsia="ru-RU"/>
        </w:rPr>
        <w:t>,</w:t>
      </w:r>
      <w:r w:rsidR="00BC701A" w:rsidRPr="0024512C">
        <w:rPr>
          <w:rFonts w:asciiTheme="majorHAnsi" w:hAnsiTheme="majorHAnsi" w:cstheme="majorHAnsi"/>
          <w:sz w:val="24"/>
          <w:szCs w:val="24"/>
          <w:lang w:val="ro-MD" w:eastAsia="ru-RU"/>
        </w:rPr>
        <w:t xml:space="preserve"> „Facilitatea de Creditare pentru Tineri”</w:t>
      </w:r>
      <w:r w:rsidR="007D7F06" w:rsidRPr="0024512C">
        <w:rPr>
          <w:rFonts w:asciiTheme="majorHAnsi" w:hAnsiTheme="majorHAnsi" w:cstheme="majorHAnsi"/>
          <w:sz w:val="24"/>
          <w:szCs w:val="24"/>
          <w:lang w:val="ro-MD" w:eastAsia="ru-RU"/>
        </w:rPr>
        <w:t>,</w:t>
      </w:r>
      <w:r w:rsidR="00BC701A" w:rsidRPr="0024512C">
        <w:rPr>
          <w:rFonts w:asciiTheme="majorHAnsi" w:hAnsiTheme="majorHAnsi" w:cstheme="majorHAnsi"/>
          <w:sz w:val="24"/>
          <w:szCs w:val="24"/>
          <w:lang w:val="ro-MD" w:eastAsia="ru-RU"/>
        </w:rPr>
        <w:t xml:space="preserve"> în scopul </w:t>
      </w:r>
      <w:r w:rsidR="00BC701A" w:rsidRPr="0024512C">
        <w:rPr>
          <w:rFonts w:ascii="Calibri Light" w:hAnsi="Calibri Light" w:cs="Calibri Light"/>
          <w:bCs/>
          <w:sz w:val="24"/>
          <w:szCs w:val="24"/>
          <w:lang w:val="ro-MD"/>
        </w:rPr>
        <w:t>acordării sprijinului suplimentar tinerilor prin reducerea cu 2% a dobânzilor la creditele investiționale contractate în cadrul Liniilor de credit administrate de DLC prin IFP.</w:t>
      </w:r>
    </w:p>
    <w:p w:rsidR="00BC701A" w:rsidRPr="0024512C" w:rsidRDefault="00ED5721" w:rsidP="00801F6F">
      <w:pPr>
        <w:spacing w:line="276" w:lineRule="auto"/>
        <w:jc w:val="both"/>
        <w:rPr>
          <w:rFonts w:ascii="Calibri Light" w:hAnsi="Calibri Light" w:cs="Calibri Light"/>
          <w:bCs/>
          <w:sz w:val="24"/>
          <w:szCs w:val="24"/>
          <w:lang w:val="ro-MD"/>
        </w:rPr>
      </w:pPr>
      <w:r w:rsidRPr="0024512C">
        <w:rPr>
          <w:rFonts w:ascii="Calibri Light" w:hAnsi="Calibri Light" w:cs="Calibri Light"/>
          <w:bCs/>
          <w:sz w:val="24"/>
          <w:szCs w:val="24"/>
          <w:lang w:val="ro-MD"/>
        </w:rPr>
        <w:t>În anul 2019, Consiliul DLC a aprobat transferul către MF a unei sume totale de 1 900,0 mil. lei din mijloacele circulante acumulate de către DLC</w:t>
      </w:r>
      <w:r w:rsidR="007D7F06" w:rsidRPr="0024512C">
        <w:rPr>
          <w:rFonts w:ascii="Calibri Light" w:hAnsi="Calibri Light" w:cs="Calibri Light"/>
          <w:bCs/>
          <w:sz w:val="24"/>
          <w:szCs w:val="24"/>
          <w:lang w:val="ro-MD"/>
        </w:rPr>
        <w:t>,</w:t>
      </w:r>
      <w:r w:rsidRPr="0024512C">
        <w:rPr>
          <w:rFonts w:ascii="Calibri Light" w:hAnsi="Calibri Light" w:cs="Calibri Light"/>
          <w:bCs/>
          <w:sz w:val="24"/>
          <w:szCs w:val="24"/>
          <w:lang w:val="ro-MD"/>
        </w:rPr>
        <w:t xml:space="preserve"> în vederea achitării unor plăți prioritare de către MF. Mijloacele au fost contractate pe o perioadă nedeterminată</w:t>
      </w:r>
      <w:r w:rsidRPr="0024512C">
        <w:rPr>
          <w:rFonts w:asciiTheme="majorHAnsi" w:eastAsia="Times New Roman" w:hAnsiTheme="majorHAnsi" w:cstheme="majorHAnsi"/>
          <w:bCs/>
          <w:color w:val="000000"/>
          <w:sz w:val="24"/>
          <w:szCs w:val="24"/>
          <w:lang w:val="ro-MD" w:eastAsia="ru-RU"/>
        </w:rPr>
        <w:t xml:space="preserve">. </w:t>
      </w:r>
      <w:r w:rsidR="007B0EC8" w:rsidRPr="0024512C">
        <w:rPr>
          <w:rFonts w:asciiTheme="majorHAnsi" w:eastAsia="Times New Roman" w:hAnsiTheme="majorHAnsi" w:cstheme="majorHAnsi"/>
          <w:bCs/>
          <w:color w:val="000000"/>
          <w:sz w:val="24"/>
          <w:szCs w:val="24"/>
          <w:lang w:val="ro-MD" w:eastAsia="ru-RU"/>
        </w:rPr>
        <w:t>Suma contractată a fost transferată în tranșe</w:t>
      </w:r>
      <w:r w:rsidR="007D7F06" w:rsidRPr="0024512C">
        <w:rPr>
          <w:rFonts w:asciiTheme="majorHAnsi" w:eastAsia="Times New Roman" w:hAnsiTheme="majorHAnsi" w:cstheme="majorHAnsi"/>
          <w:bCs/>
          <w:color w:val="000000"/>
          <w:sz w:val="24"/>
          <w:szCs w:val="24"/>
          <w:lang w:val="ro-MD" w:eastAsia="ru-RU"/>
        </w:rPr>
        <w:t>,</w:t>
      </w:r>
      <w:r w:rsidR="007B0EC8" w:rsidRPr="0024512C">
        <w:rPr>
          <w:rFonts w:asciiTheme="majorHAnsi" w:eastAsia="Times New Roman" w:hAnsiTheme="majorHAnsi" w:cstheme="majorHAnsi"/>
          <w:bCs/>
          <w:color w:val="000000"/>
          <w:sz w:val="24"/>
          <w:szCs w:val="24"/>
          <w:lang w:val="ro-MD" w:eastAsia="ru-RU"/>
        </w:rPr>
        <w:t xml:space="preserve"> în funcție de solicitările primite de la MF. Rambursarea mijloacelor s-a efectuat la fel în tranșe</w:t>
      </w:r>
      <w:r w:rsidR="007D7F06" w:rsidRPr="0024512C">
        <w:rPr>
          <w:rFonts w:asciiTheme="majorHAnsi" w:eastAsia="Times New Roman" w:hAnsiTheme="majorHAnsi" w:cstheme="majorHAnsi"/>
          <w:bCs/>
          <w:color w:val="000000"/>
          <w:sz w:val="24"/>
          <w:szCs w:val="24"/>
          <w:lang w:val="ro-MD" w:eastAsia="ru-RU"/>
        </w:rPr>
        <w:t>,</w:t>
      </w:r>
      <w:r w:rsidR="007B0EC8" w:rsidRPr="0024512C">
        <w:rPr>
          <w:rFonts w:asciiTheme="majorHAnsi" w:eastAsia="Times New Roman" w:hAnsiTheme="majorHAnsi" w:cstheme="majorHAnsi"/>
          <w:bCs/>
          <w:color w:val="000000"/>
          <w:sz w:val="24"/>
          <w:szCs w:val="24"/>
          <w:lang w:val="ro-MD" w:eastAsia="ru-RU"/>
        </w:rPr>
        <w:t xml:space="preserve"> în decurs de 7-21 </w:t>
      </w:r>
      <w:r w:rsidR="007D7F06" w:rsidRPr="0024512C">
        <w:rPr>
          <w:rFonts w:asciiTheme="majorHAnsi" w:eastAsia="Times New Roman" w:hAnsiTheme="majorHAnsi" w:cstheme="majorHAnsi"/>
          <w:bCs/>
          <w:color w:val="000000"/>
          <w:sz w:val="24"/>
          <w:szCs w:val="24"/>
          <w:lang w:val="ro-MD" w:eastAsia="ru-RU"/>
        </w:rPr>
        <w:t xml:space="preserve">de </w:t>
      </w:r>
      <w:r w:rsidR="007B0EC8" w:rsidRPr="0024512C">
        <w:rPr>
          <w:rFonts w:asciiTheme="majorHAnsi" w:eastAsia="Times New Roman" w:hAnsiTheme="majorHAnsi" w:cstheme="majorHAnsi"/>
          <w:bCs/>
          <w:color w:val="000000"/>
          <w:sz w:val="24"/>
          <w:szCs w:val="24"/>
          <w:lang w:val="ro-MD" w:eastAsia="ru-RU"/>
        </w:rPr>
        <w:t>zile după contractare.</w:t>
      </w:r>
    </w:p>
    <w:p w:rsidR="001103ED" w:rsidRPr="0024512C" w:rsidRDefault="002F521B" w:rsidP="00801F6F">
      <w:pPr>
        <w:spacing w:line="276" w:lineRule="auto"/>
        <w:jc w:val="both"/>
        <w:rPr>
          <w:rFonts w:asciiTheme="majorHAnsi" w:eastAsia="Times New Roman" w:hAnsiTheme="majorHAnsi" w:cstheme="majorHAnsi"/>
          <w:bCs/>
          <w:sz w:val="24"/>
          <w:szCs w:val="24"/>
          <w:lang w:val="ro-MD" w:eastAsia="ru-RU"/>
        </w:rPr>
      </w:pPr>
      <w:r w:rsidRPr="0024512C">
        <w:rPr>
          <w:rFonts w:asciiTheme="majorHAnsi" w:eastAsia="Times New Roman" w:hAnsiTheme="majorHAnsi" w:cstheme="majorHAnsi"/>
          <w:bCs/>
          <w:sz w:val="24"/>
          <w:szCs w:val="24"/>
          <w:lang w:val="ro-MD" w:eastAsia="ru-RU"/>
        </w:rPr>
        <w:lastRenderedPageBreak/>
        <w:t xml:space="preserve">O situație dificilă cu care se confruntă DLC în exercitarea funcțiilor de gestionare a proiectelor și Liniilor de credit este </w:t>
      </w:r>
      <w:r w:rsidR="00432884" w:rsidRPr="0024512C">
        <w:rPr>
          <w:rFonts w:asciiTheme="majorHAnsi" w:eastAsia="Times New Roman" w:hAnsiTheme="majorHAnsi" w:cstheme="majorHAnsi"/>
          <w:bCs/>
          <w:sz w:val="24"/>
          <w:szCs w:val="24"/>
          <w:lang w:val="ro-MD" w:eastAsia="ru-RU"/>
        </w:rPr>
        <w:t xml:space="preserve">colectarea plăților de la entitățile vitivinicole </w:t>
      </w:r>
      <w:proofErr w:type="spellStart"/>
      <w:r w:rsidR="00432884" w:rsidRPr="0024512C">
        <w:rPr>
          <w:rFonts w:asciiTheme="majorHAnsi" w:eastAsia="Times New Roman" w:hAnsiTheme="majorHAnsi" w:cstheme="majorHAnsi"/>
          <w:bCs/>
          <w:sz w:val="24"/>
          <w:szCs w:val="24"/>
          <w:lang w:val="ro-MD" w:eastAsia="ru-RU"/>
        </w:rPr>
        <w:t>recreditate</w:t>
      </w:r>
      <w:proofErr w:type="spellEnd"/>
      <w:r w:rsidR="00432884" w:rsidRPr="0024512C">
        <w:rPr>
          <w:rFonts w:asciiTheme="majorHAnsi" w:eastAsia="Times New Roman" w:hAnsiTheme="majorHAnsi" w:cstheme="majorHAnsi"/>
          <w:bCs/>
          <w:sz w:val="24"/>
          <w:szCs w:val="24"/>
          <w:lang w:val="ro-MD" w:eastAsia="ru-RU"/>
        </w:rPr>
        <w:t xml:space="preserve"> în direct de către MF în cadrul Programului de restructurare a sectorului vitivinicol și transmise la </w:t>
      </w:r>
      <w:r w:rsidR="000E4BB6" w:rsidRPr="0024512C">
        <w:rPr>
          <w:rFonts w:asciiTheme="majorHAnsi" w:eastAsia="Times New Roman" w:hAnsiTheme="majorHAnsi" w:cstheme="majorHAnsi"/>
          <w:bCs/>
          <w:sz w:val="24"/>
          <w:szCs w:val="24"/>
          <w:lang w:val="ro-MD" w:eastAsia="ru-RU"/>
        </w:rPr>
        <w:t>deservire DLC. Astfel, 10 din 16</w:t>
      </w:r>
      <w:r w:rsidR="00432884" w:rsidRPr="0024512C">
        <w:rPr>
          <w:rFonts w:asciiTheme="majorHAnsi" w:eastAsia="Times New Roman" w:hAnsiTheme="majorHAnsi" w:cstheme="majorHAnsi"/>
          <w:bCs/>
          <w:sz w:val="24"/>
          <w:szCs w:val="24"/>
          <w:lang w:val="ro-MD" w:eastAsia="ru-RU"/>
        </w:rPr>
        <w:t xml:space="preserve"> beneficiari ai recreditării au depășit graficul de achitare a sumelor principale și a dobânzilor</w:t>
      </w:r>
      <w:r w:rsidR="007D7F06" w:rsidRPr="0024512C">
        <w:rPr>
          <w:rFonts w:asciiTheme="majorHAnsi" w:eastAsia="Times New Roman" w:hAnsiTheme="majorHAnsi" w:cstheme="majorHAnsi"/>
          <w:bCs/>
          <w:sz w:val="24"/>
          <w:szCs w:val="24"/>
          <w:lang w:val="ro-MD" w:eastAsia="ru-RU"/>
        </w:rPr>
        <w:t>,</w:t>
      </w:r>
      <w:r w:rsidR="00432884" w:rsidRPr="0024512C">
        <w:rPr>
          <w:rFonts w:asciiTheme="majorHAnsi" w:eastAsia="Times New Roman" w:hAnsiTheme="majorHAnsi" w:cstheme="majorHAnsi"/>
          <w:bCs/>
          <w:sz w:val="24"/>
          <w:szCs w:val="24"/>
          <w:lang w:val="ro-MD" w:eastAsia="ru-RU"/>
        </w:rPr>
        <w:t xml:space="preserve"> de la 9 până la 810</w:t>
      </w:r>
      <w:r w:rsidR="007D7F06" w:rsidRPr="0024512C">
        <w:rPr>
          <w:rFonts w:asciiTheme="majorHAnsi" w:eastAsia="Times New Roman" w:hAnsiTheme="majorHAnsi" w:cstheme="majorHAnsi"/>
          <w:bCs/>
          <w:sz w:val="24"/>
          <w:szCs w:val="24"/>
          <w:lang w:val="ro-MD" w:eastAsia="ru-RU"/>
        </w:rPr>
        <w:t xml:space="preserve"> </w:t>
      </w:r>
      <w:r w:rsidR="00432884" w:rsidRPr="0024512C">
        <w:rPr>
          <w:rFonts w:asciiTheme="majorHAnsi" w:eastAsia="Times New Roman" w:hAnsiTheme="majorHAnsi" w:cstheme="majorHAnsi"/>
          <w:bCs/>
          <w:sz w:val="24"/>
          <w:szCs w:val="24"/>
          <w:lang w:val="ro-MD" w:eastAsia="ru-RU"/>
        </w:rPr>
        <w:t xml:space="preserve">zile, ceea ce a </w:t>
      </w:r>
      <w:r w:rsidR="007D7F06" w:rsidRPr="0024512C">
        <w:rPr>
          <w:rFonts w:asciiTheme="majorHAnsi" w:eastAsia="Times New Roman" w:hAnsiTheme="majorHAnsi" w:cstheme="majorHAnsi"/>
          <w:bCs/>
          <w:sz w:val="24"/>
          <w:szCs w:val="24"/>
          <w:lang w:val="ro-MD" w:eastAsia="ru-RU"/>
        </w:rPr>
        <w:t>determinat</w:t>
      </w:r>
      <w:r w:rsidR="00432884" w:rsidRPr="0024512C">
        <w:rPr>
          <w:rFonts w:asciiTheme="majorHAnsi" w:eastAsia="Times New Roman" w:hAnsiTheme="majorHAnsi" w:cstheme="majorHAnsi"/>
          <w:bCs/>
          <w:sz w:val="24"/>
          <w:szCs w:val="24"/>
          <w:lang w:val="ro-MD" w:eastAsia="ru-RU"/>
        </w:rPr>
        <w:t xml:space="preserve"> formarea unor datorii cu termen de achitare expirat în sumă de 0,6 mil. euro. Totodată, mijloacele încasate de către Trezoreria de Stat din debitarea forțată a ben</w:t>
      </w:r>
      <w:r w:rsidR="007D7F06" w:rsidRPr="0024512C">
        <w:rPr>
          <w:rFonts w:asciiTheme="majorHAnsi" w:eastAsia="Times New Roman" w:hAnsiTheme="majorHAnsi" w:cstheme="majorHAnsi"/>
          <w:bCs/>
          <w:sz w:val="24"/>
          <w:szCs w:val="24"/>
          <w:lang w:val="ro-MD" w:eastAsia="ru-RU"/>
        </w:rPr>
        <w:t>eficiarilor cu datorii expirate</w:t>
      </w:r>
      <w:r w:rsidR="00432884" w:rsidRPr="0024512C">
        <w:rPr>
          <w:rFonts w:asciiTheme="majorHAnsi" w:eastAsia="Times New Roman" w:hAnsiTheme="majorHAnsi" w:cstheme="majorHAnsi"/>
          <w:bCs/>
          <w:sz w:val="24"/>
          <w:szCs w:val="24"/>
          <w:lang w:val="ro-MD" w:eastAsia="ru-RU"/>
        </w:rPr>
        <w:t xml:space="preserve"> nu sunt transferate îndată către DLC, ci reținute în conturile </w:t>
      </w:r>
      <w:proofErr w:type="spellStart"/>
      <w:r w:rsidR="00432884" w:rsidRPr="0024512C">
        <w:rPr>
          <w:rFonts w:asciiTheme="majorHAnsi" w:eastAsia="Times New Roman" w:hAnsiTheme="majorHAnsi" w:cstheme="majorHAnsi"/>
          <w:bCs/>
          <w:sz w:val="24"/>
          <w:szCs w:val="24"/>
          <w:lang w:val="ro-MD" w:eastAsia="ru-RU"/>
        </w:rPr>
        <w:t>trezoreriale</w:t>
      </w:r>
      <w:proofErr w:type="spellEnd"/>
      <w:r w:rsidR="00432884" w:rsidRPr="0024512C">
        <w:rPr>
          <w:rFonts w:asciiTheme="majorHAnsi" w:eastAsia="Times New Roman" w:hAnsiTheme="majorHAnsi" w:cstheme="majorHAnsi"/>
          <w:bCs/>
          <w:sz w:val="24"/>
          <w:szCs w:val="24"/>
          <w:lang w:val="ro-MD" w:eastAsia="ru-RU"/>
        </w:rPr>
        <w:t xml:space="preserve"> de la o zi până la 357 de zile.</w:t>
      </w:r>
    </w:p>
    <w:p w:rsidR="007E0E92" w:rsidRPr="00321F59" w:rsidRDefault="00432884" w:rsidP="005B7CF5">
      <w:pPr>
        <w:spacing w:line="276" w:lineRule="auto"/>
        <w:jc w:val="both"/>
        <w:rPr>
          <w:rFonts w:asciiTheme="majorHAnsi" w:hAnsiTheme="majorHAnsi" w:cstheme="majorHAnsi"/>
          <w:bCs/>
          <w:sz w:val="24"/>
          <w:szCs w:val="24"/>
          <w:lang w:val="ro-MD" w:eastAsia="ru-RU"/>
        </w:rPr>
      </w:pPr>
      <w:r w:rsidRPr="00321F59">
        <w:rPr>
          <w:rFonts w:asciiTheme="majorHAnsi" w:hAnsiTheme="majorHAnsi" w:cstheme="majorHAnsi"/>
          <w:sz w:val="24"/>
          <w:szCs w:val="24"/>
          <w:lang w:val="ro-MD" w:eastAsia="ru-RU"/>
        </w:rPr>
        <w:t>În 2020</w:t>
      </w:r>
      <w:r w:rsidR="00BD0F04" w:rsidRPr="00321F59">
        <w:rPr>
          <w:rFonts w:asciiTheme="majorHAnsi" w:hAnsiTheme="majorHAnsi" w:cstheme="majorHAnsi"/>
          <w:sz w:val="24"/>
          <w:szCs w:val="24"/>
          <w:lang w:val="ro-MD" w:eastAsia="ru-RU"/>
        </w:rPr>
        <w:t xml:space="preserve">, DLC a fost </w:t>
      </w:r>
      <w:r w:rsidR="0085508D" w:rsidRPr="00321F59">
        <w:rPr>
          <w:rFonts w:asciiTheme="majorHAnsi" w:hAnsiTheme="majorHAnsi" w:cstheme="majorHAnsi"/>
          <w:sz w:val="24"/>
          <w:szCs w:val="24"/>
          <w:lang w:val="ro-MD" w:eastAsia="ru-RU"/>
        </w:rPr>
        <w:t>supus procesului de restructurare</w:t>
      </w:r>
      <w:r w:rsidR="00BD0F04" w:rsidRPr="00321F59">
        <w:rPr>
          <w:rFonts w:asciiTheme="majorHAnsi" w:hAnsiTheme="majorHAnsi" w:cstheme="majorHAnsi"/>
          <w:sz w:val="24"/>
          <w:szCs w:val="24"/>
          <w:lang w:val="ro-MD" w:eastAsia="ru-RU"/>
        </w:rPr>
        <w:t xml:space="preserve">. </w:t>
      </w:r>
      <w:r w:rsidRPr="00321F59">
        <w:rPr>
          <w:rFonts w:asciiTheme="majorHAnsi" w:hAnsiTheme="majorHAnsi" w:cstheme="majorHAnsi"/>
          <w:sz w:val="24"/>
          <w:szCs w:val="24"/>
          <w:lang w:val="ro-MD" w:eastAsia="ru-RU"/>
        </w:rPr>
        <w:t>Astfel, î</w:t>
      </w:r>
      <w:r w:rsidR="00BD0F04" w:rsidRPr="00321F59">
        <w:rPr>
          <w:rFonts w:asciiTheme="majorHAnsi" w:hAnsiTheme="majorHAnsi" w:cstheme="majorHAnsi"/>
          <w:sz w:val="24"/>
          <w:szCs w:val="24"/>
          <w:lang w:val="ro-MD" w:eastAsia="ru-RU"/>
        </w:rPr>
        <w:t>n baza Hotărârii Guvernului nr.338 din 03.06.2020</w:t>
      </w:r>
      <w:r w:rsidR="009955D4" w:rsidRPr="00321F59">
        <w:rPr>
          <w:rStyle w:val="FootnoteReference"/>
          <w:rFonts w:asciiTheme="majorHAnsi" w:hAnsiTheme="majorHAnsi" w:cstheme="majorHAnsi"/>
          <w:sz w:val="24"/>
          <w:szCs w:val="24"/>
          <w:lang w:val="ro-MD" w:eastAsia="ru-RU"/>
        </w:rPr>
        <w:footnoteReference w:id="3"/>
      </w:r>
      <w:r w:rsidR="007D7F06" w:rsidRPr="00321F59">
        <w:rPr>
          <w:rFonts w:asciiTheme="majorHAnsi" w:hAnsiTheme="majorHAnsi" w:cstheme="majorHAnsi"/>
          <w:sz w:val="24"/>
          <w:szCs w:val="24"/>
          <w:lang w:val="ro-MD" w:eastAsia="ru-RU"/>
        </w:rPr>
        <w:t xml:space="preserve">, a fost </w:t>
      </w:r>
      <w:r w:rsidR="00BD0F04" w:rsidRPr="00321F59">
        <w:rPr>
          <w:rFonts w:asciiTheme="majorHAnsi" w:hAnsiTheme="majorHAnsi" w:cstheme="majorHAnsi"/>
          <w:sz w:val="24"/>
          <w:szCs w:val="24"/>
          <w:lang w:val="ro-MD" w:eastAsia="ru-RU"/>
        </w:rPr>
        <w:t xml:space="preserve">aprobată modificarea denumirii  Instituției Publice „Directoratul Liniei de Credit” în Instituția Publică „Oficiul de Gestionare a Programelor de Asistență Externă” și statutul instituției. </w:t>
      </w:r>
      <w:r w:rsidR="00BD0F04" w:rsidRPr="00321F59">
        <w:rPr>
          <w:rFonts w:asciiTheme="majorHAnsi" w:hAnsiTheme="majorHAnsi" w:cstheme="majorHAnsi"/>
          <w:bCs/>
          <w:sz w:val="24"/>
          <w:szCs w:val="24"/>
          <w:lang w:val="ro-MD" w:eastAsia="ru-RU"/>
        </w:rPr>
        <w:t xml:space="preserve">Conform statutului nou aprobat, OGPAE va deține competențe atât în procesul de recreditare și administrare a resurselor </w:t>
      </w:r>
      <w:r w:rsidR="007D7F06" w:rsidRPr="00321F59">
        <w:rPr>
          <w:rFonts w:asciiTheme="majorHAnsi" w:hAnsiTheme="majorHAnsi" w:cstheme="majorHAnsi"/>
          <w:bCs/>
          <w:sz w:val="24"/>
          <w:szCs w:val="24"/>
          <w:lang w:val="ro-MD" w:eastAsia="ru-RU"/>
        </w:rPr>
        <w:t>L</w:t>
      </w:r>
      <w:r w:rsidR="00BD0F04" w:rsidRPr="00321F59">
        <w:rPr>
          <w:rFonts w:asciiTheme="majorHAnsi" w:hAnsiTheme="majorHAnsi" w:cstheme="majorHAnsi"/>
          <w:bCs/>
          <w:sz w:val="24"/>
          <w:szCs w:val="24"/>
          <w:lang w:val="ro-MD" w:eastAsia="ru-RU"/>
        </w:rPr>
        <w:t>iniilor de credit investiționale, cât și funcții vaste în programele de cooperare transfrontalieră și transnațională.</w:t>
      </w:r>
    </w:p>
    <w:p w:rsidR="00C8468E" w:rsidRPr="0024512C" w:rsidRDefault="00A07D82" w:rsidP="00805CC0">
      <w:pPr>
        <w:pStyle w:val="ListParagraph"/>
        <w:numPr>
          <w:ilvl w:val="0"/>
          <w:numId w:val="1"/>
        </w:numPr>
        <w:tabs>
          <w:tab w:val="left" w:pos="426"/>
        </w:tabs>
        <w:spacing w:after="0" w:line="276" w:lineRule="auto"/>
        <w:ind w:right="-1"/>
        <w:outlineLvl w:val="0"/>
        <w:rPr>
          <w:rFonts w:asciiTheme="majorHAnsi" w:eastAsia="Times New Roman" w:hAnsiTheme="majorHAnsi" w:cstheme="majorHAnsi"/>
          <w:b/>
          <w:bCs/>
          <w:color w:val="5B9BD5" w:themeColor="accent1"/>
          <w:sz w:val="28"/>
          <w:szCs w:val="28"/>
          <w:lang w:val="ro-MD" w:eastAsia="ru-RU"/>
        </w:rPr>
      </w:pPr>
      <w:bookmarkStart w:id="5" w:name="_Toc47009705"/>
      <w:r w:rsidRPr="0024512C">
        <w:rPr>
          <w:rFonts w:asciiTheme="majorHAnsi" w:eastAsia="Times New Roman" w:hAnsiTheme="majorHAnsi" w:cstheme="majorHAnsi"/>
          <w:b/>
          <w:bCs/>
          <w:color w:val="5B9BD5" w:themeColor="accent1"/>
          <w:sz w:val="28"/>
          <w:szCs w:val="28"/>
          <w:lang w:val="ro-MD" w:eastAsia="ru-RU"/>
        </w:rPr>
        <w:t>PREZENTAREA GENERALĂ</w:t>
      </w:r>
      <w:bookmarkEnd w:id="5"/>
    </w:p>
    <w:p w:rsidR="00C8468E" w:rsidRPr="0024512C" w:rsidRDefault="00C8468E" w:rsidP="00EE5977">
      <w:pPr>
        <w:spacing w:line="276" w:lineRule="auto"/>
        <w:jc w:val="both"/>
        <w:rPr>
          <w:rFonts w:asciiTheme="majorHAnsi" w:hAnsiTheme="majorHAnsi" w:cstheme="majorHAnsi"/>
          <w:sz w:val="24"/>
          <w:szCs w:val="24"/>
          <w:lang w:val="ro-MD" w:eastAsia="ru-RU"/>
        </w:rPr>
      </w:pPr>
      <w:r w:rsidRPr="005C74F5">
        <w:rPr>
          <w:rFonts w:asciiTheme="majorHAnsi" w:hAnsiTheme="majorHAnsi" w:cstheme="majorHAnsi"/>
          <w:sz w:val="24"/>
          <w:szCs w:val="24"/>
          <w:lang w:val="ro-MD" w:eastAsia="ru-RU"/>
        </w:rPr>
        <w:t xml:space="preserve">Directoratul Liniei de Credit </w:t>
      </w:r>
      <w:r w:rsidRPr="00A33B69">
        <w:rPr>
          <w:rFonts w:asciiTheme="majorHAnsi" w:hAnsiTheme="majorHAnsi" w:cstheme="majorHAnsi"/>
          <w:color w:val="000000"/>
          <w:sz w:val="24"/>
          <w:szCs w:val="24"/>
          <w:lang w:val="ro-MD"/>
        </w:rPr>
        <w:t xml:space="preserve">este o instituție publică în care Ministerul </w:t>
      </w:r>
      <w:r w:rsidR="00621C9D" w:rsidRPr="0024512C">
        <w:rPr>
          <w:rFonts w:asciiTheme="majorHAnsi" w:hAnsiTheme="majorHAnsi" w:cstheme="majorHAnsi"/>
          <w:color w:val="000000"/>
          <w:sz w:val="24"/>
          <w:szCs w:val="24"/>
          <w:lang w:val="ro-MD"/>
        </w:rPr>
        <w:t>Finanțelor</w:t>
      </w:r>
      <w:r w:rsidRPr="0024512C">
        <w:rPr>
          <w:rFonts w:asciiTheme="majorHAnsi" w:hAnsiTheme="majorHAnsi" w:cstheme="majorHAnsi"/>
          <w:color w:val="000000"/>
          <w:sz w:val="24"/>
          <w:szCs w:val="24"/>
          <w:lang w:val="ro-MD"/>
        </w:rPr>
        <w:t xml:space="preserve"> are calitatea de fondator, fiind responsabil de </w:t>
      </w:r>
      <w:r w:rsidRPr="0024512C">
        <w:rPr>
          <w:rFonts w:asciiTheme="majorHAnsi" w:hAnsiTheme="majorHAnsi" w:cstheme="majorHAnsi"/>
          <w:sz w:val="24"/>
          <w:szCs w:val="24"/>
          <w:lang w:val="ro-MD" w:eastAsia="ru-RU"/>
        </w:rPr>
        <w:t xml:space="preserve">recreditarea, administrarea și monitorizarea resurselor proiectelor investiționale </w:t>
      </w:r>
      <w:r w:rsidR="00621C9D" w:rsidRPr="0024512C">
        <w:rPr>
          <w:rFonts w:asciiTheme="majorHAnsi" w:hAnsiTheme="majorHAnsi" w:cstheme="majorHAnsi"/>
          <w:sz w:val="24"/>
          <w:szCs w:val="24"/>
          <w:lang w:val="ro-MD" w:eastAsia="ru-RU"/>
        </w:rPr>
        <w:t>finanțate</w:t>
      </w:r>
      <w:r w:rsidRPr="0024512C">
        <w:rPr>
          <w:rFonts w:asciiTheme="majorHAnsi" w:hAnsiTheme="majorHAnsi" w:cstheme="majorHAnsi"/>
          <w:sz w:val="24"/>
          <w:szCs w:val="24"/>
          <w:lang w:val="ro-MD" w:eastAsia="ru-RU"/>
        </w:rPr>
        <w:t xml:space="preserve"> din fondurile împrumuturilor externe de stat, acordate de Instituțiile Financiare Internaționale pentru dezvoltarea sectorului privat. </w:t>
      </w:r>
    </w:p>
    <w:p w:rsidR="00824B84" w:rsidRPr="00321F59" w:rsidRDefault="009860F8" w:rsidP="00EE5977">
      <w:pPr>
        <w:spacing w:line="276" w:lineRule="auto"/>
        <w:jc w:val="both"/>
        <w:rPr>
          <w:rFonts w:asciiTheme="majorHAnsi" w:hAnsiTheme="majorHAnsi" w:cstheme="majorHAnsi"/>
          <w:i/>
          <w:sz w:val="24"/>
          <w:szCs w:val="24"/>
          <w:lang w:val="ro-MD" w:eastAsia="ru-RU"/>
        </w:rPr>
      </w:pPr>
      <w:r w:rsidRPr="0024512C">
        <w:rPr>
          <w:rFonts w:asciiTheme="majorHAnsi" w:hAnsiTheme="majorHAnsi" w:cstheme="majorHAnsi"/>
          <w:i/>
          <w:sz w:val="24"/>
          <w:szCs w:val="24"/>
          <w:lang w:val="ro-MD" w:eastAsia="ru-RU"/>
        </w:rPr>
        <w:t>În a</w:t>
      </w:r>
      <w:r w:rsidR="0085508D" w:rsidRPr="0024512C">
        <w:rPr>
          <w:rFonts w:asciiTheme="majorHAnsi" w:hAnsiTheme="majorHAnsi" w:cstheme="majorHAnsi"/>
          <w:i/>
          <w:sz w:val="24"/>
          <w:szCs w:val="24"/>
          <w:lang w:val="ro-MD" w:eastAsia="ru-RU"/>
        </w:rPr>
        <w:t>nul 2020, DLC a fost restructurat</w:t>
      </w:r>
      <w:r w:rsidRPr="0024512C">
        <w:rPr>
          <w:rFonts w:asciiTheme="majorHAnsi" w:hAnsiTheme="majorHAnsi" w:cstheme="majorHAnsi"/>
          <w:i/>
          <w:sz w:val="24"/>
          <w:szCs w:val="24"/>
          <w:lang w:val="ro-MD" w:eastAsia="ru-RU"/>
        </w:rPr>
        <w:t xml:space="preserve"> în </w:t>
      </w:r>
      <w:r w:rsidR="00824B84" w:rsidRPr="00321F59">
        <w:rPr>
          <w:rFonts w:asciiTheme="majorHAnsi" w:hAnsiTheme="majorHAnsi" w:cstheme="majorHAnsi"/>
          <w:i/>
          <w:sz w:val="24"/>
          <w:lang w:val="ro-MD"/>
        </w:rPr>
        <w:t>Instituția Publică „Oficiul de Gestionare a Programelor de Asistență Externă” în baza Hotărârii Guvernului nr.338 din 03.06.2020, ceea ce a dus la atribuirea acestuia și a altor sarcini și responsabilități. Deoarece misiunea de audit s-a axat pe activitatea DLC exercitată în anu</w:t>
      </w:r>
      <w:r w:rsidR="0085508D" w:rsidRPr="00321F59">
        <w:rPr>
          <w:rFonts w:asciiTheme="majorHAnsi" w:hAnsiTheme="majorHAnsi" w:cstheme="majorHAnsi"/>
          <w:i/>
          <w:sz w:val="24"/>
          <w:lang w:val="ro-MD"/>
        </w:rPr>
        <w:t>l 2019, sau până la restructurare</w:t>
      </w:r>
      <w:r w:rsidR="00824B84" w:rsidRPr="00321F59">
        <w:rPr>
          <w:rFonts w:asciiTheme="majorHAnsi" w:hAnsiTheme="majorHAnsi" w:cstheme="majorHAnsi"/>
          <w:i/>
          <w:sz w:val="24"/>
          <w:lang w:val="ro-MD"/>
        </w:rPr>
        <w:t>, în prezentul Raport de audit va fi utilizată denumirea instituției</w:t>
      </w:r>
      <w:r w:rsidR="003208BB" w:rsidRPr="00321F59">
        <w:rPr>
          <w:rFonts w:asciiTheme="majorHAnsi" w:hAnsiTheme="majorHAnsi" w:cstheme="majorHAnsi"/>
          <w:i/>
          <w:sz w:val="24"/>
          <w:lang w:val="ro-MD"/>
        </w:rPr>
        <w:t xml:space="preserve"> ca</w:t>
      </w:r>
      <w:r w:rsidR="00824B84" w:rsidRPr="00321F59">
        <w:rPr>
          <w:rFonts w:asciiTheme="majorHAnsi" w:hAnsiTheme="majorHAnsi" w:cstheme="majorHAnsi"/>
          <w:i/>
          <w:sz w:val="24"/>
          <w:lang w:val="ro-MD"/>
        </w:rPr>
        <w:t xml:space="preserve"> DLC și </w:t>
      </w:r>
      <w:r w:rsidR="007D7F06" w:rsidRPr="00321F59">
        <w:rPr>
          <w:rFonts w:asciiTheme="majorHAnsi" w:hAnsiTheme="majorHAnsi" w:cstheme="majorHAnsi"/>
          <w:i/>
          <w:sz w:val="24"/>
          <w:lang w:val="ro-MD"/>
        </w:rPr>
        <w:t xml:space="preserve">vor fi </w:t>
      </w:r>
      <w:r w:rsidR="00824B84" w:rsidRPr="00321F59">
        <w:rPr>
          <w:rFonts w:asciiTheme="majorHAnsi" w:hAnsiTheme="majorHAnsi" w:cstheme="majorHAnsi"/>
          <w:i/>
          <w:sz w:val="24"/>
          <w:lang w:val="ro-MD"/>
        </w:rPr>
        <w:t>descrise funcțiile exercitate în baza cadrului legal va</w:t>
      </w:r>
      <w:r w:rsidR="003208BB" w:rsidRPr="00321F59">
        <w:rPr>
          <w:rFonts w:asciiTheme="majorHAnsi" w:hAnsiTheme="majorHAnsi" w:cstheme="majorHAnsi"/>
          <w:i/>
          <w:sz w:val="24"/>
          <w:lang w:val="ro-MD"/>
        </w:rPr>
        <w:t>labil anului de gestiune auditat</w:t>
      </w:r>
      <w:r w:rsidR="00824B84" w:rsidRPr="00321F59">
        <w:rPr>
          <w:rFonts w:asciiTheme="majorHAnsi" w:hAnsiTheme="majorHAnsi" w:cstheme="majorHAnsi"/>
          <w:i/>
          <w:sz w:val="24"/>
          <w:lang w:val="ro-MD"/>
        </w:rPr>
        <w:t>.</w:t>
      </w:r>
    </w:p>
    <w:p w:rsidR="00EE5977" w:rsidRPr="0024512C" w:rsidRDefault="00EE5977" w:rsidP="00EE5977">
      <w:pPr>
        <w:spacing w:line="276" w:lineRule="auto"/>
        <w:jc w:val="both"/>
        <w:rPr>
          <w:rFonts w:asciiTheme="majorHAnsi" w:hAnsiTheme="majorHAnsi" w:cstheme="majorHAnsi"/>
          <w:sz w:val="24"/>
          <w:szCs w:val="24"/>
          <w:lang w:val="ro-MD" w:eastAsia="ru-RU"/>
        </w:rPr>
      </w:pPr>
      <w:r w:rsidRPr="0024512C">
        <w:rPr>
          <w:rFonts w:asciiTheme="majorHAnsi" w:hAnsiTheme="majorHAnsi" w:cstheme="majorHAnsi"/>
          <w:sz w:val="24"/>
          <w:szCs w:val="24"/>
          <w:lang w:val="ro-MD" w:eastAsia="ru-RU"/>
        </w:rPr>
        <w:t>DLC își exercită atribuțiile în baza legislației naționale, Acordurilor de împrumut, Regulamentului DLC</w:t>
      </w:r>
      <w:r w:rsidR="00D00A2F" w:rsidRPr="005C74F5">
        <w:rPr>
          <w:rFonts w:asciiTheme="majorHAnsi" w:hAnsiTheme="majorHAnsi" w:cstheme="majorHAnsi"/>
          <w:sz w:val="24"/>
          <w:szCs w:val="24"/>
          <w:lang w:val="ro-MD" w:eastAsia="ru-RU"/>
        </w:rPr>
        <w:t>,</w:t>
      </w:r>
      <w:r w:rsidRPr="00A33B69">
        <w:rPr>
          <w:rFonts w:asciiTheme="majorHAnsi" w:hAnsiTheme="majorHAnsi" w:cstheme="majorHAnsi"/>
          <w:sz w:val="24"/>
          <w:szCs w:val="24"/>
          <w:lang w:val="ro-MD" w:eastAsia="ru-RU"/>
        </w:rPr>
        <w:t xml:space="preserve"> aprobat prin Hotărârea Guvernului nr.953 din 07.09.2001</w:t>
      </w:r>
      <w:r w:rsidR="00D00A2F" w:rsidRPr="0024512C">
        <w:rPr>
          <w:rFonts w:asciiTheme="majorHAnsi" w:hAnsiTheme="majorHAnsi" w:cstheme="majorHAnsi"/>
          <w:sz w:val="24"/>
          <w:szCs w:val="24"/>
          <w:lang w:val="ro-MD" w:eastAsia="ru-RU"/>
        </w:rPr>
        <w:t>,</w:t>
      </w:r>
      <w:r w:rsidRPr="0024512C">
        <w:rPr>
          <w:rFonts w:asciiTheme="majorHAnsi" w:hAnsiTheme="majorHAnsi" w:cstheme="majorHAnsi"/>
          <w:sz w:val="24"/>
          <w:szCs w:val="24"/>
          <w:lang w:val="ro-MD" w:eastAsia="ru-RU"/>
        </w:rPr>
        <w:t xml:space="preserve"> și instrucțiunilor sale. </w:t>
      </w:r>
    </w:p>
    <w:p w:rsidR="00EE5977" w:rsidRPr="0024512C" w:rsidRDefault="00422014" w:rsidP="00EE5977">
      <w:pPr>
        <w:spacing w:line="276" w:lineRule="auto"/>
        <w:jc w:val="both"/>
        <w:rPr>
          <w:rFonts w:asciiTheme="majorHAnsi" w:hAnsiTheme="majorHAnsi" w:cstheme="majorHAnsi"/>
          <w:sz w:val="24"/>
          <w:szCs w:val="24"/>
          <w:lang w:val="ro-MD" w:eastAsia="ru-RU"/>
        </w:rPr>
      </w:pPr>
      <w:r w:rsidRPr="0024512C">
        <w:rPr>
          <w:rFonts w:asciiTheme="majorHAnsi" w:hAnsiTheme="majorHAnsi" w:cstheme="majorHAnsi"/>
          <w:sz w:val="24"/>
          <w:szCs w:val="24"/>
          <w:lang w:val="ro-MD" w:eastAsia="ru-RU"/>
        </w:rPr>
        <w:t xml:space="preserve">Funcțiile principale ale DLC sunt: </w:t>
      </w:r>
      <w:r w:rsidR="00EE5977" w:rsidRPr="0024512C">
        <w:rPr>
          <w:rFonts w:asciiTheme="majorHAnsi" w:hAnsiTheme="majorHAnsi" w:cstheme="majorHAnsi"/>
          <w:sz w:val="24"/>
          <w:szCs w:val="24"/>
          <w:lang w:val="ro-MD" w:eastAsia="ru-RU"/>
        </w:rPr>
        <w:t xml:space="preserve">a) selectarea </w:t>
      </w:r>
      <w:r w:rsidR="00B97679" w:rsidRPr="0024512C">
        <w:rPr>
          <w:rFonts w:asciiTheme="majorHAnsi" w:hAnsiTheme="majorHAnsi" w:cstheme="majorHAnsi"/>
          <w:sz w:val="24"/>
          <w:szCs w:val="24"/>
          <w:lang w:val="ro-MD" w:eastAsia="ru-RU"/>
        </w:rPr>
        <w:t>și</w:t>
      </w:r>
      <w:r w:rsidR="00EE5977" w:rsidRPr="0024512C">
        <w:rPr>
          <w:rFonts w:asciiTheme="majorHAnsi" w:hAnsiTheme="majorHAnsi" w:cstheme="majorHAnsi"/>
          <w:sz w:val="24"/>
          <w:szCs w:val="24"/>
          <w:lang w:val="ro-MD" w:eastAsia="ru-RU"/>
        </w:rPr>
        <w:t xml:space="preserve"> desemnarea băncilor comerciale </w:t>
      </w:r>
      <w:r w:rsidR="00B97679" w:rsidRPr="0024512C">
        <w:rPr>
          <w:rFonts w:asciiTheme="majorHAnsi" w:hAnsiTheme="majorHAnsi" w:cstheme="majorHAnsi"/>
          <w:sz w:val="24"/>
          <w:szCs w:val="24"/>
          <w:lang w:val="ro-MD" w:eastAsia="ru-RU"/>
        </w:rPr>
        <w:t>și</w:t>
      </w:r>
      <w:r w:rsidR="00EE5977" w:rsidRPr="0024512C">
        <w:rPr>
          <w:rFonts w:asciiTheme="majorHAnsi" w:hAnsiTheme="majorHAnsi" w:cstheme="majorHAnsi"/>
          <w:sz w:val="24"/>
          <w:szCs w:val="24"/>
          <w:lang w:val="ro-MD" w:eastAsia="ru-RU"/>
        </w:rPr>
        <w:t xml:space="preserve"> altor </w:t>
      </w:r>
      <w:r w:rsidR="004B2D4B" w:rsidRPr="0024512C">
        <w:rPr>
          <w:rFonts w:asciiTheme="majorHAnsi" w:hAnsiTheme="majorHAnsi" w:cstheme="majorHAnsi"/>
          <w:sz w:val="24"/>
          <w:szCs w:val="24"/>
          <w:lang w:val="ro-MD" w:eastAsia="ru-RU"/>
        </w:rPr>
        <w:t>instituții</w:t>
      </w:r>
      <w:r w:rsidR="00EE5977" w:rsidRPr="0024512C">
        <w:rPr>
          <w:rFonts w:asciiTheme="majorHAnsi" w:hAnsiTheme="majorHAnsi" w:cstheme="majorHAnsi"/>
          <w:sz w:val="24"/>
          <w:szCs w:val="24"/>
          <w:lang w:val="ro-MD" w:eastAsia="ru-RU"/>
        </w:rPr>
        <w:t xml:space="preserve"> financiare ca </w:t>
      </w:r>
      <w:r w:rsidRPr="0024512C">
        <w:rPr>
          <w:rFonts w:asciiTheme="majorHAnsi" w:hAnsiTheme="majorHAnsi" w:cstheme="majorHAnsi"/>
          <w:sz w:val="24"/>
          <w:szCs w:val="24"/>
          <w:lang w:val="ro-MD" w:eastAsia="ru-RU"/>
        </w:rPr>
        <w:t>IFP</w:t>
      </w:r>
      <w:r w:rsidR="00EE5977" w:rsidRPr="0024512C">
        <w:rPr>
          <w:rFonts w:asciiTheme="majorHAnsi" w:hAnsiTheme="majorHAnsi" w:cstheme="majorHAnsi"/>
          <w:sz w:val="24"/>
          <w:szCs w:val="24"/>
          <w:lang w:val="ro-MD" w:eastAsia="ru-RU"/>
        </w:rPr>
        <w:t xml:space="preserve"> la derularea proiectelor </w:t>
      </w:r>
      <w:r w:rsidR="00B97679" w:rsidRPr="0024512C">
        <w:rPr>
          <w:rFonts w:asciiTheme="majorHAnsi" w:hAnsiTheme="majorHAnsi" w:cstheme="majorHAnsi"/>
          <w:sz w:val="24"/>
          <w:szCs w:val="24"/>
          <w:lang w:val="ro-MD" w:eastAsia="ru-RU"/>
        </w:rPr>
        <w:t>și</w:t>
      </w:r>
      <w:r w:rsidR="00EE5977" w:rsidRPr="0024512C">
        <w:rPr>
          <w:rFonts w:asciiTheme="majorHAnsi" w:hAnsiTheme="majorHAnsi" w:cstheme="majorHAnsi"/>
          <w:sz w:val="24"/>
          <w:szCs w:val="24"/>
          <w:lang w:val="ro-MD" w:eastAsia="ru-RU"/>
        </w:rPr>
        <w:t xml:space="preserve"> monitorizarea continuă a stării financiare </w:t>
      </w:r>
      <w:r w:rsidR="00B97679" w:rsidRPr="0024512C">
        <w:rPr>
          <w:rFonts w:asciiTheme="majorHAnsi" w:hAnsiTheme="majorHAnsi" w:cstheme="majorHAnsi"/>
          <w:sz w:val="24"/>
          <w:szCs w:val="24"/>
          <w:lang w:val="ro-MD" w:eastAsia="ru-RU"/>
        </w:rPr>
        <w:t>și</w:t>
      </w:r>
      <w:r w:rsidR="00EE5977" w:rsidRPr="0024512C">
        <w:rPr>
          <w:rFonts w:asciiTheme="majorHAnsi" w:hAnsiTheme="majorHAnsi" w:cstheme="majorHAnsi"/>
          <w:sz w:val="24"/>
          <w:szCs w:val="24"/>
          <w:lang w:val="ro-MD" w:eastAsia="ru-RU"/>
        </w:rPr>
        <w:t xml:space="preserve"> a dreptului lor la intermedierea resurselor liniilor de credit în conformitate cu </w:t>
      </w:r>
      <w:r w:rsidR="004B2D4B" w:rsidRPr="0024512C">
        <w:rPr>
          <w:rFonts w:asciiTheme="majorHAnsi" w:hAnsiTheme="majorHAnsi" w:cstheme="majorHAnsi"/>
          <w:sz w:val="24"/>
          <w:szCs w:val="24"/>
          <w:lang w:val="ro-MD" w:eastAsia="ru-RU"/>
        </w:rPr>
        <w:t>cerințele</w:t>
      </w:r>
      <w:r w:rsidR="00EE5977" w:rsidRPr="0024512C">
        <w:rPr>
          <w:rFonts w:asciiTheme="majorHAnsi" w:hAnsiTheme="majorHAnsi" w:cstheme="majorHAnsi"/>
          <w:sz w:val="24"/>
          <w:szCs w:val="24"/>
          <w:lang w:val="ro-MD" w:eastAsia="ru-RU"/>
        </w:rPr>
        <w:t xml:space="preserve"> stabilite;</w:t>
      </w:r>
      <w:r w:rsidRPr="0024512C">
        <w:rPr>
          <w:rFonts w:asciiTheme="majorHAnsi" w:hAnsiTheme="majorHAnsi" w:cstheme="majorHAnsi"/>
          <w:sz w:val="24"/>
          <w:szCs w:val="24"/>
          <w:lang w:val="ro-MD" w:eastAsia="ru-RU"/>
        </w:rPr>
        <w:t xml:space="preserve"> </w:t>
      </w:r>
      <w:r w:rsidR="00EE5977" w:rsidRPr="0024512C">
        <w:rPr>
          <w:rFonts w:asciiTheme="majorHAnsi" w:hAnsiTheme="majorHAnsi" w:cstheme="majorHAnsi"/>
          <w:sz w:val="24"/>
          <w:szCs w:val="24"/>
          <w:lang w:val="ro-MD" w:eastAsia="ru-RU"/>
        </w:rPr>
        <w:t xml:space="preserve">b) elaborarea </w:t>
      </w:r>
      <w:r w:rsidR="00B97679" w:rsidRPr="0024512C">
        <w:rPr>
          <w:rFonts w:asciiTheme="majorHAnsi" w:hAnsiTheme="majorHAnsi" w:cstheme="majorHAnsi"/>
          <w:sz w:val="24"/>
          <w:szCs w:val="24"/>
          <w:lang w:val="ro-MD" w:eastAsia="ru-RU"/>
        </w:rPr>
        <w:t>și</w:t>
      </w:r>
      <w:r w:rsidR="00EE5977" w:rsidRPr="0024512C">
        <w:rPr>
          <w:rFonts w:asciiTheme="majorHAnsi" w:hAnsiTheme="majorHAnsi" w:cstheme="majorHAnsi"/>
          <w:sz w:val="24"/>
          <w:szCs w:val="24"/>
          <w:lang w:val="ro-MD" w:eastAsia="ru-RU"/>
        </w:rPr>
        <w:t xml:space="preserve"> îndeplinirea regulamentelor </w:t>
      </w:r>
      <w:r w:rsidR="00B97679" w:rsidRPr="0024512C">
        <w:rPr>
          <w:rFonts w:asciiTheme="majorHAnsi" w:hAnsiTheme="majorHAnsi" w:cstheme="majorHAnsi"/>
          <w:sz w:val="24"/>
          <w:szCs w:val="24"/>
          <w:lang w:val="ro-MD" w:eastAsia="ru-RU"/>
        </w:rPr>
        <w:t>și</w:t>
      </w:r>
      <w:r w:rsidR="00EE5977" w:rsidRPr="0024512C">
        <w:rPr>
          <w:rFonts w:asciiTheme="majorHAnsi" w:hAnsiTheme="majorHAnsi" w:cstheme="majorHAnsi"/>
          <w:sz w:val="24"/>
          <w:szCs w:val="24"/>
          <w:lang w:val="ro-MD" w:eastAsia="ru-RU"/>
        </w:rPr>
        <w:t xml:space="preserve"> </w:t>
      </w:r>
      <w:r w:rsidR="004B2D4B" w:rsidRPr="0024512C">
        <w:rPr>
          <w:rFonts w:asciiTheme="majorHAnsi" w:hAnsiTheme="majorHAnsi" w:cstheme="majorHAnsi"/>
          <w:sz w:val="24"/>
          <w:szCs w:val="24"/>
          <w:lang w:val="ro-MD" w:eastAsia="ru-RU"/>
        </w:rPr>
        <w:t>instrucțiunilor</w:t>
      </w:r>
      <w:r w:rsidR="00EE5977" w:rsidRPr="0024512C">
        <w:rPr>
          <w:rFonts w:asciiTheme="majorHAnsi" w:hAnsiTheme="majorHAnsi" w:cstheme="majorHAnsi"/>
          <w:sz w:val="24"/>
          <w:szCs w:val="24"/>
          <w:lang w:val="ro-MD" w:eastAsia="ru-RU"/>
        </w:rPr>
        <w:t xml:space="preserve"> privind utilizarea resurselor liniilor de credit;</w:t>
      </w:r>
      <w:r w:rsidRPr="0024512C">
        <w:rPr>
          <w:rFonts w:asciiTheme="majorHAnsi" w:hAnsiTheme="majorHAnsi" w:cstheme="majorHAnsi"/>
          <w:sz w:val="24"/>
          <w:szCs w:val="24"/>
          <w:lang w:val="ro-MD" w:eastAsia="ru-RU"/>
        </w:rPr>
        <w:t xml:space="preserve"> </w:t>
      </w:r>
      <w:r w:rsidR="00EE5977" w:rsidRPr="0024512C">
        <w:rPr>
          <w:rFonts w:asciiTheme="majorHAnsi" w:hAnsiTheme="majorHAnsi" w:cstheme="majorHAnsi"/>
          <w:sz w:val="24"/>
          <w:szCs w:val="24"/>
          <w:lang w:val="ro-MD" w:eastAsia="ru-RU"/>
        </w:rPr>
        <w:t>c) gestiunea cotidiană a liniilor de credit </w:t>
      </w:r>
      <w:r w:rsidR="00B97679" w:rsidRPr="0024512C">
        <w:rPr>
          <w:rFonts w:asciiTheme="majorHAnsi" w:hAnsiTheme="majorHAnsi" w:cstheme="majorHAnsi"/>
          <w:sz w:val="24"/>
          <w:szCs w:val="24"/>
          <w:lang w:val="ro-MD" w:eastAsia="ru-RU"/>
        </w:rPr>
        <w:t>și</w:t>
      </w:r>
      <w:r w:rsidR="00EE5977" w:rsidRPr="0024512C">
        <w:rPr>
          <w:rFonts w:asciiTheme="majorHAnsi" w:hAnsiTheme="majorHAnsi" w:cstheme="majorHAnsi"/>
          <w:sz w:val="24"/>
          <w:szCs w:val="24"/>
          <w:lang w:val="ro-MD" w:eastAsia="ru-RU"/>
        </w:rPr>
        <w:t xml:space="preserve"> asigurarea accesu</w:t>
      </w:r>
      <w:r w:rsidRPr="0024512C">
        <w:rPr>
          <w:rFonts w:asciiTheme="majorHAnsi" w:hAnsiTheme="majorHAnsi" w:cstheme="majorHAnsi"/>
          <w:sz w:val="24"/>
          <w:szCs w:val="24"/>
          <w:lang w:val="ro-MD" w:eastAsia="ru-RU"/>
        </w:rPr>
        <w:t>lui IFP</w:t>
      </w:r>
      <w:r w:rsidR="00EE5977" w:rsidRPr="0024512C">
        <w:rPr>
          <w:rFonts w:asciiTheme="majorHAnsi" w:hAnsiTheme="majorHAnsi" w:cstheme="majorHAnsi"/>
          <w:sz w:val="24"/>
          <w:szCs w:val="24"/>
          <w:lang w:val="ro-MD" w:eastAsia="ru-RU"/>
        </w:rPr>
        <w:t xml:space="preserve"> la resursele ei pentru creditarea ulterioară, inclusiv creditarea secundară;</w:t>
      </w:r>
      <w:r w:rsidRPr="0024512C">
        <w:rPr>
          <w:rFonts w:asciiTheme="majorHAnsi" w:hAnsiTheme="majorHAnsi" w:cstheme="majorHAnsi"/>
          <w:sz w:val="24"/>
          <w:szCs w:val="24"/>
          <w:lang w:val="ro-MD" w:eastAsia="ru-RU"/>
        </w:rPr>
        <w:t xml:space="preserve"> </w:t>
      </w:r>
      <w:r w:rsidR="00EE5977" w:rsidRPr="0024512C">
        <w:rPr>
          <w:rFonts w:asciiTheme="majorHAnsi" w:hAnsiTheme="majorHAnsi" w:cstheme="majorHAnsi"/>
          <w:sz w:val="24"/>
          <w:szCs w:val="24"/>
          <w:lang w:val="ro-MD" w:eastAsia="ru-RU"/>
        </w:rPr>
        <w:t xml:space="preserve">d) supravegherea îndeplinirii de către </w:t>
      </w:r>
      <w:r w:rsidRPr="0024512C">
        <w:rPr>
          <w:rFonts w:asciiTheme="majorHAnsi" w:hAnsiTheme="majorHAnsi" w:cstheme="majorHAnsi"/>
          <w:sz w:val="24"/>
          <w:szCs w:val="24"/>
          <w:lang w:val="ro-MD" w:eastAsia="ru-RU"/>
        </w:rPr>
        <w:t>IFP</w:t>
      </w:r>
      <w:r w:rsidR="00EE5977" w:rsidRPr="0024512C">
        <w:rPr>
          <w:rFonts w:asciiTheme="majorHAnsi" w:hAnsiTheme="majorHAnsi" w:cstheme="majorHAnsi"/>
          <w:sz w:val="24"/>
          <w:szCs w:val="24"/>
          <w:lang w:val="ro-MD" w:eastAsia="ru-RU"/>
        </w:rPr>
        <w:t xml:space="preserve"> a </w:t>
      </w:r>
      <w:r w:rsidR="004B2D4B" w:rsidRPr="0024512C">
        <w:rPr>
          <w:rFonts w:asciiTheme="majorHAnsi" w:hAnsiTheme="majorHAnsi" w:cstheme="majorHAnsi"/>
          <w:sz w:val="24"/>
          <w:szCs w:val="24"/>
          <w:lang w:val="ro-MD" w:eastAsia="ru-RU"/>
        </w:rPr>
        <w:t>condițiilor</w:t>
      </w:r>
      <w:r w:rsidR="00EE5977" w:rsidRPr="0024512C">
        <w:rPr>
          <w:rFonts w:asciiTheme="majorHAnsi" w:hAnsiTheme="majorHAnsi" w:cstheme="majorHAnsi"/>
          <w:sz w:val="24"/>
          <w:szCs w:val="24"/>
          <w:lang w:val="ro-MD" w:eastAsia="ru-RU"/>
        </w:rPr>
        <w:t xml:space="preserve"> acordurilor de împrumut subsidiar de recreditare a fondurilor, </w:t>
      </w:r>
      <w:proofErr w:type="spellStart"/>
      <w:r w:rsidR="00EE5977" w:rsidRPr="0024512C">
        <w:rPr>
          <w:rFonts w:asciiTheme="majorHAnsi" w:hAnsiTheme="majorHAnsi" w:cstheme="majorHAnsi"/>
          <w:sz w:val="24"/>
          <w:szCs w:val="24"/>
          <w:lang w:val="ro-MD" w:eastAsia="ru-RU"/>
        </w:rPr>
        <w:t>îndrumarelor</w:t>
      </w:r>
      <w:proofErr w:type="spellEnd"/>
      <w:r w:rsidR="00EE5977" w:rsidRPr="0024512C">
        <w:rPr>
          <w:rFonts w:asciiTheme="majorHAnsi" w:hAnsiTheme="majorHAnsi" w:cstheme="majorHAnsi"/>
          <w:sz w:val="24"/>
          <w:szCs w:val="24"/>
          <w:lang w:val="ro-MD" w:eastAsia="ru-RU"/>
        </w:rPr>
        <w:t xml:space="preserve"> liniilor de credit respective;</w:t>
      </w:r>
      <w:r w:rsidRPr="0024512C">
        <w:rPr>
          <w:rFonts w:asciiTheme="majorHAnsi" w:hAnsiTheme="majorHAnsi" w:cstheme="majorHAnsi"/>
          <w:sz w:val="24"/>
          <w:szCs w:val="24"/>
          <w:lang w:val="ro-MD" w:eastAsia="ru-RU"/>
        </w:rPr>
        <w:t xml:space="preserve"> </w:t>
      </w:r>
      <w:r w:rsidR="00EE5977" w:rsidRPr="0024512C">
        <w:rPr>
          <w:rFonts w:asciiTheme="majorHAnsi" w:hAnsiTheme="majorHAnsi" w:cstheme="majorHAnsi"/>
          <w:sz w:val="24"/>
          <w:szCs w:val="24"/>
          <w:lang w:val="ro-MD" w:eastAsia="ru-RU"/>
        </w:rPr>
        <w:t>e) gestiunea ajutorului tehnic alocat.</w:t>
      </w:r>
    </w:p>
    <w:p w:rsidR="00EB549F" w:rsidRPr="00321F59" w:rsidRDefault="00EB549F" w:rsidP="00EB549F">
      <w:pPr>
        <w:spacing w:line="276" w:lineRule="auto"/>
        <w:jc w:val="both"/>
        <w:rPr>
          <w:rFonts w:asciiTheme="majorHAnsi" w:hAnsiTheme="majorHAnsi" w:cstheme="majorHAns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t>Contabilitatea în cadrul DLC este organizată și divizată după următoarele genuri principale de activitate și operațiuni: (i) activitatea operațională aferentă faptelor economice de întreț</w:t>
      </w:r>
      <w:r w:rsidR="007D7F06" w:rsidRPr="00321F59">
        <w:rPr>
          <w:rFonts w:asciiTheme="majorHAnsi" w:hAnsiTheme="majorHAnsi" w:cstheme="majorHAnsi"/>
          <w:sz w:val="24"/>
          <w:szCs w:val="24"/>
          <w:lang w:val="ro-MD"/>
          <w14:glow w14:rad="0">
            <w14:schemeClr w14:val="tx1"/>
          </w14:glow>
        </w:rPr>
        <w:t xml:space="preserve">inere a </w:t>
      </w:r>
      <w:r w:rsidR="007D7F06" w:rsidRPr="00321F59">
        <w:rPr>
          <w:rFonts w:asciiTheme="majorHAnsi" w:hAnsiTheme="majorHAnsi" w:cstheme="majorHAnsi"/>
          <w:sz w:val="24"/>
          <w:szCs w:val="24"/>
          <w:lang w:val="ro-MD"/>
          <w14:glow w14:rad="0">
            <w14:schemeClr w14:val="tx1"/>
          </w14:glow>
        </w:rPr>
        <w:lastRenderedPageBreak/>
        <w:t>DLC, bazate pe autonomia</w:t>
      </w:r>
      <w:r w:rsidRPr="00321F59">
        <w:rPr>
          <w:rFonts w:asciiTheme="majorHAnsi" w:hAnsiTheme="majorHAnsi" w:cstheme="majorHAnsi"/>
          <w:sz w:val="24"/>
          <w:szCs w:val="24"/>
          <w:lang w:val="ro-MD"/>
          <w14:glow w14:rad="0">
            <w14:schemeClr w14:val="tx1"/>
          </w14:glow>
        </w:rPr>
        <w:t xml:space="preserve"> administrativă și financiară a DLC, care se efectuează în baza bugetului anual al DLC; (ii) activitatea de administrare și recreditare a împrumuturilor externe directe a</w:t>
      </w:r>
      <w:r w:rsidR="007D7F06" w:rsidRPr="00321F59">
        <w:rPr>
          <w:rFonts w:asciiTheme="majorHAnsi" w:hAnsiTheme="majorHAnsi" w:cstheme="majorHAnsi"/>
          <w:sz w:val="24"/>
          <w:szCs w:val="24"/>
          <w:lang w:val="ro-MD"/>
          <w14:glow w14:rad="0">
            <w14:schemeClr w14:val="tx1"/>
          </w14:glow>
        </w:rPr>
        <w:t>le</w:t>
      </w:r>
      <w:r w:rsidRPr="00321F59">
        <w:rPr>
          <w:rFonts w:asciiTheme="majorHAnsi" w:hAnsiTheme="majorHAnsi" w:cstheme="majorHAnsi"/>
          <w:sz w:val="24"/>
          <w:szCs w:val="24"/>
          <w:lang w:val="ro-MD"/>
          <w14:glow w14:rad="0">
            <w14:schemeClr w14:val="tx1"/>
          </w14:glow>
        </w:rPr>
        <w:t xml:space="preserve"> Proiectelor investiționale pentru dezvoltare, alocate de MF prin Unitățile speciale de implementare și preluate la deservire de către DLC, precum și activitatea de continuare a recreditării mijloacelor circulante acumulate în Liniile de credit (</w:t>
      </w:r>
      <w:proofErr w:type="spellStart"/>
      <w:r w:rsidRPr="00321F59">
        <w:rPr>
          <w:rFonts w:asciiTheme="majorHAnsi" w:hAnsiTheme="majorHAnsi" w:cstheme="majorHAnsi"/>
          <w:sz w:val="24"/>
          <w:szCs w:val="24"/>
          <w:lang w:val="ro-MD"/>
          <w14:glow w14:rad="0">
            <w14:schemeClr w14:val="tx1"/>
          </w14:glow>
        </w:rPr>
        <w:t>revolving</w:t>
      </w:r>
      <w:proofErr w:type="spellEnd"/>
      <w:r w:rsidRPr="00321F59">
        <w:rPr>
          <w:rFonts w:asciiTheme="majorHAnsi" w:hAnsiTheme="majorHAnsi" w:cstheme="majorHAnsi"/>
          <w:sz w:val="24"/>
          <w:szCs w:val="24"/>
          <w:lang w:val="ro-MD"/>
          <w14:glow w14:rad="0">
            <w14:schemeClr w14:val="tx1"/>
          </w14:glow>
        </w:rPr>
        <w:t>).</w:t>
      </w:r>
    </w:p>
    <w:p w:rsidR="00DF6FCC" w:rsidRPr="00321F59" w:rsidRDefault="00DF6FCC" w:rsidP="00DF6FCC">
      <w:pPr>
        <w:spacing w:line="276" w:lineRule="auto"/>
        <w:jc w:val="both"/>
        <w:rPr>
          <w:rFonts w:asciiTheme="majorHAnsi" w:hAnsiTheme="majorHAnsi" w:cstheme="majorHAns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t>Cheltuielile privind activitatea operațională au constituit 4,2 mil. lei</w:t>
      </w:r>
      <w:r w:rsidR="007D7F06" w:rsidRPr="00321F59">
        <w:rPr>
          <w:rFonts w:asciiTheme="majorHAnsi" w:hAnsiTheme="majorHAnsi" w:cstheme="majorHAnsi"/>
          <w:sz w:val="24"/>
          <w:szCs w:val="24"/>
          <w:lang w:val="ro-MD"/>
          <w14:glow w14:rad="0">
            <w14:schemeClr w14:val="tx1"/>
          </w14:glow>
        </w:rPr>
        <w:t>,</w:t>
      </w:r>
      <w:r w:rsidRPr="00321F59">
        <w:rPr>
          <w:rFonts w:asciiTheme="majorHAnsi" w:hAnsiTheme="majorHAnsi" w:cstheme="majorHAnsi"/>
          <w:sz w:val="24"/>
          <w:szCs w:val="24"/>
          <w:lang w:val="ro-MD"/>
          <w14:glow w14:rad="0">
            <w14:schemeClr w14:val="tx1"/>
          </w14:glow>
        </w:rPr>
        <w:t xml:space="preserve"> sau 83,7% din suma cheltuielilor aprobată în bugetul de venituri și cheltuieli pentru anul 2019. </w:t>
      </w:r>
      <w:r w:rsidRPr="00321F59">
        <w:rPr>
          <w:rFonts w:asciiTheme="majorHAnsi" w:hAnsiTheme="majorHAnsi" w:cstheme="majorHAnsi"/>
          <w:sz w:val="24"/>
          <w:lang w:val="ro-MD"/>
        </w:rPr>
        <w:t>În structura acestora, ponderea majoră de circa 80% este deținută de cheltuielile privind remunerare</w:t>
      </w:r>
      <w:r w:rsidR="007D7F06" w:rsidRPr="00321F59">
        <w:rPr>
          <w:rFonts w:asciiTheme="majorHAnsi" w:hAnsiTheme="majorHAnsi" w:cstheme="majorHAnsi"/>
          <w:sz w:val="24"/>
          <w:lang w:val="ro-MD"/>
        </w:rPr>
        <w:t>a personalului DLC, fiind urmate</w:t>
      </w:r>
      <w:r w:rsidRPr="00321F59">
        <w:rPr>
          <w:rFonts w:asciiTheme="majorHAnsi" w:hAnsiTheme="majorHAnsi" w:cstheme="majorHAnsi"/>
          <w:sz w:val="24"/>
          <w:lang w:val="ro-MD"/>
        </w:rPr>
        <w:t xml:space="preserve"> de cheltuielile ce țin de arenda spațiului de lucru și cheltuieli</w:t>
      </w:r>
      <w:r w:rsidR="007D7F06" w:rsidRPr="00321F59">
        <w:rPr>
          <w:rFonts w:asciiTheme="majorHAnsi" w:hAnsiTheme="majorHAnsi" w:cstheme="majorHAnsi"/>
          <w:sz w:val="24"/>
          <w:lang w:val="ro-MD"/>
        </w:rPr>
        <w:t>le</w:t>
      </w:r>
      <w:r w:rsidRPr="00321F59">
        <w:rPr>
          <w:rFonts w:asciiTheme="majorHAnsi" w:hAnsiTheme="majorHAnsi" w:cstheme="majorHAnsi"/>
          <w:sz w:val="24"/>
          <w:lang w:val="ro-MD"/>
        </w:rPr>
        <w:t xml:space="preserve"> de acomodare (7,9%),</w:t>
      </w:r>
      <w:r w:rsidR="007D7F06" w:rsidRPr="00321F59">
        <w:rPr>
          <w:rFonts w:asciiTheme="majorHAnsi" w:hAnsiTheme="majorHAnsi" w:cstheme="majorHAnsi"/>
          <w:sz w:val="24"/>
          <w:lang w:val="ro-MD"/>
        </w:rPr>
        <w:t xml:space="preserve"> reînnoirea bazei tehnice (3,9%)</w:t>
      </w:r>
      <w:r w:rsidRPr="00321F59">
        <w:rPr>
          <w:rFonts w:asciiTheme="majorHAnsi" w:hAnsiTheme="majorHAnsi" w:cstheme="majorHAnsi"/>
          <w:sz w:val="24"/>
          <w:lang w:val="ro-MD"/>
        </w:rPr>
        <w:t xml:space="preserve"> etc.</w:t>
      </w:r>
    </w:p>
    <w:p w:rsidR="00DF6FCC" w:rsidRPr="00321F59" w:rsidRDefault="00DF6FCC" w:rsidP="00DF6FCC">
      <w:pPr>
        <w:spacing w:line="276" w:lineRule="auto"/>
        <w:jc w:val="both"/>
        <w:rPr>
          <w:rFonts w:asciiTheme="majorHAnsi" w:hAnsiTheme="majorHAnsi" w:cstheme="majorHAns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t xml:space="preserve">Fondul de autofinanțare al DLC, care este </w:t>
      </w:r>
      <w:r w:rsidRPr="0024512C">
        <w:rPr>
          <w:rFonts w:asciiTheme="majorHAnsi" w:hAnsiTheme="majorHAnsi" w:cstheme="majorHAnsi"/>
          <w:sz w:val="24"/>
          <w:szCs w:val="24"/>
          <w:lang w:val="ro-MD"/>
          <w14:glow w14:rad="0">
            <w14:schemeClr w14:val="tx1"/>
          </w14:glow>
        </w:rPr>
        <w:t>rezerva financiară pentru întreținerea operațională a DLC</w:t>
      </w:r>
      <w:r w:rsidR="007D7F06" w:rsidRPr="005C74F5">
        <w:rPr>
          <w:rFonts w:asciiTheme="majorHAnsi" w:hAnsiTheme="majorHAnsi" w:cstheme="majorHAnsi"/>
          <w:sz w:val="24"/>
          <w:szCs w:val="24"/>
          <w:lang w:val="ro-MD"/>
          <w14:glow w14:rad="0">
            <w14:schemeClr w14:val="tx1"/>
          </w14:glow>
        </w:rPr>
        <w:t>, se formează ca diferența</w:t>
      </w:r>
      <w:r w:rsidRPr="005C74F5">
        <w:rPr>
          <w:rFonts w:asciiTheme="majorHAnsi" w:hAnsiTheme="majorHAnsi" w:cstheme="majorHAnsi"/>
          <w:sz w:val="24"/>
          <w:szCs w:val="24"/>
          <w:lang w:val="ro-MD"/>
          <w14:glow w14:rad="0">
            <w14:schemeClr w14:val="tx1"/>
          </w14:glow>
        </w:rPr>
        <w:t xml:space="preserve"> pozitivă între veniturile și cheltu</w:t>
      </w:r>
      <w:r w:rsidR="007D7F06" w:rsidRPr="00A33B69">
        <w:rPr>
          <w:rFonts w:asciiTheme="majorHAnsi" w:hAnsiTheme="majorHAnsi" w:cstheme="majorHAnsi"/>
          <w:sz w:val="24"/>
          <w:szCs w:val="24"/>
          <w:lang w:val="ro-MD"/>
          <w14:glow w14:rad="0">
            <w14:schemeClr w14:val="tx1"/>
          </w14:glow>
        </w:rPr>
        <w:t>ielile instituției și constituia</w:t>
      </w:r>
      <w:r w:rsidRPr="0024512C">
        <w:rPr>
          <w:rFonts w:asciiTheme="majorHAnsi" w:hAnsiTheme="majorHAnsi" w:cstheme="majorHAnsi"/>
          <w:sz w:val="24"/>
          <w:szCs w:val="24"/>
          <w:lang w:val="ro-MD"/>
          <w14:glow w14:rad="0">
            <w14:schemeClr w14:val="tx1"/>
          </w14:glow>
        </w:rPr>
        <w:t xml:space="preserve"> 78,61 mil. lei, la situația din 31.12.2019.</w:t>
      </w:r>
    </w:p>
    <w:p w:rsidR="00F318B6" w:rsidRPr="0024512C" w:rsidRDefault="00F318B6" w:rsidP="00EE5977">
      <w:pPr>
        <w:spacing w:line="276" w:lineRule="auto"/>
        <w:jc w:val="both"/>
        <w:rPr>
          <w:rFonts w:asciiTheme="majorHAnsi" w:hAnsiTheme="majorHAnsi" w:cstheme="majorHAnsi"/>
          <w:sz w:val="24"/>
          <w:szCs w:val="24"/>
          <w:lang w:val="ro-MD" w:eastAsia="ru-RU"/>
        </w:rPr>
      </w:pPr>
      <w:r w:rsidRPr="0024512C">
        <w:rPr>
          <w:rFonts w:asciiTheme="majorHAnsi" w:hAnsiTheme="majorHAnsi" w:cstheme="majorHAnsi"/>
          <w:sz w:val="24"/>
          <w:szCs w:val="24"/>
          <w:lang w:val="ro-MD" w:eastAsia="ru-RU"/>
        </w:rPr>
        <w:t xml:space="preserve">În anul </w:t>
      </w:r>
      <w:r w:rsidR="007D7F06" w:rsidRPr="0024512C">
        <w:rPr>
          <w:rFonts w:asciiTheme="majorHAnsi" w:hAnsiTheme="majorHAnsi" w:cstheme="majorHAnsi"/>
          <w:sz w:val="24"/>
          <w:szCs w:val="24"/>
          <w:lang w:val="ro-MD" w:eastAsia="ru-RU"/>
        </w:rPr>
        <w:t>bugetar supus auditării</w:t>
      </w:r>
      <w:r w:rsidRPr="0024512C">
        <w:rPr>
          <w:rFonts w:asciiTheme="majorHAnsi" w:hAnsiTheme="majorHAnsi" w:cstheme="majorHAnsi"/>
          <w:sz w:val="24"/>
          <w:szCs w:val="24"/>
          <w:lang w:val="ro-MD" w:eastAsia="ru-RU"/>
        </w:rPr>
        <w:t>, din fondul Liniilor de credit și a</w:t>
      </w:r>
      <w:r w:rsidR="007D7F06" w:rsidRPr="005C74F5">
        <w:rPr>
          <w:rFonts w:asciiTheme="majorHAnsi" w:hAnsiTheme="majorHAnsi" w:cstheme="majorHAnsi"/>
          <w:sz w:val="24"/>
          <w:szCs w:val="24"/>
          <w:lang w:val="ro-MD" w:eastAsia="ru-RU"/>
        </w:rPr>
        <w:t>l</w:t>
      </w:r>
      <w:r w:rsidRPr="005C74F5">
        <w:rPr>
          <w:rFonts w:asciiTheme="majorHAnsi" w:hAnsiTheme="majorHAnsi" w:cstheme="majorHAnsi"/>
          <w:sz w:val="24"/>
          <w:szCs w:val="24"/>
          <w:lang w:val="ro-MD" w:eastAsia="ru-RU"/>
        </w:rPr>
        <w:t xml:space="preserve"> Proiectelor investiționale gestionate de către DLC </w:t>
      </w:r>
      <w:r w:rsidR="00F643FB" w:rsidRPr="0024512C">
        <w:rPr>
          <w:rFonts w:asciiTheme="majorHAnsi" w:hAnsiTheme="majorHAnsi" w:cstheme="majorHAnsi"/>
          <w:sz w:val="24"/>
          <w:szCs w:val="24"/>
          <w:lang w:val="ro-MD" w:eastAsia="ru-RU"/>
        </w:rPr>
        <w:t>a</w:t>
      </w:r>
      <w:r w:rsidRPr="0024512C">
        <w:rPr>
          <w:rFonts w:asciiTheme="majorHAnsi" w:hAnsiTheme="majorHAnsi" w:cstheme="majorHAnsi"/>
          <w:sz w:val="24"/>
          <w:szCs w:val="24"/>
          <w:lang w:val="ro-MD" w:eastAsia="ru-RU"/>
        </w:rPr>
        <w:t xml:space="preserve">u fost </w:t>
      </w:r>
      <w:proofErr w:type="spellStart"/>
      <w:r w:rsidRPr="0024512C">
        <w:rPr>
          <w:rFonts w:asciiTheme="majorHAnsi" w:hAnsiTheme="majorHAnsi" w:cstheme="majorHAnsi"/>
          <w:sz w:val="24"/>
          <w:szCs w:val="24"/>
          <w:lang w:val="ro-MD" w:eastAsia="ru-RU"/>
        </w:rPr>
        <w:t>recreditați</w:t>
      </w:r>
      <w:proofErr w:type="spellEnd"/>
      <w:r w:rsidRPr="0024512C">
        <w:rPr>
          <w:rFonts w:asciiTheme="majorHAnsi" w:hAnsiTheme="majorHAnsi" w:cstheme="majorHAnsi"/>
          <w:sz w:val="24"/>
          <w:szCs w:val="24"/>
          <w:lang w:val="ro-MD" w:eastAsia="ru-RU"/>
        </w:rPr>
        <w:t xml:space="preserve"> 472 beneficiari de sub-proiecte</w:t>
      </w:r>
      <w:r w:rsidR="007D7F06" w:rsidRPr="0024512C">
        <w:rPr>
          <w:rFonts w:asciiTheme="majorHAnsi" w:hAnsiTheme="majorHAnsi" w:cstheme="majorHAnsi"/>
          <w:sz w:val="24"/>
          <w:szCs w:val="24"/>
          <w:lang w:val="ro-MD" w:eastAsia="ru-RU"/>
        </w:rPr>
        <w:t>,</w:t>
      </w:r>
      <w:r w:rsidRPr="0024512C">
        <w:rPr>
          <w:rFonts w:asciiTheme="majorHAnsi" w:hAnsiTheme="majorHAnsi" w:cstheme="majorHAnsi"/>
          <w:sz w:val="24"/>
          <w:szCs w:val="24"/>
          <w:lang w:val="ro-MD" w:eastAsia="ru-RU"/>
        </w:rPr>
        <w:t xml:space="preserve"> în sumă totală echivalentă cu 655,68 mil.</w:t>
      </w:r>
      <w:r w:rsidR="00DF6FCC" w:rsidRPr="0024512C">
        <w:rPr>
          <w:rFonts w:asciiTheme="majorHAnsi" w:hAnsiTheme="majorHAnsi" w:cstheme="majorHAnsi"/>
          <w:sz w:val="24"/>
          <w:szCs w:val="24"/>
          <w:lang w:val="ro-MD" w:eastAsia="ru-RU"/>
        </w:rPr>
        <w:t xml:space="preserve"> lei</w:t>
      </w:r>
      <w:r w:rsidRPr="0024512C">
        <w:rPr>
          <w:rFonts w:asciiTheme="majorHAnsi" w:hAnsiTheme="majorHAnsi" w:cstheme="majorHAnsi"/>
          <w:sz w:val="24"/>
          <w:szCs w:val="24"/>
          <w:lang w:val="ro-MD" w:eastAsia="ru-RU"/>
        </w:rPr>
        <w:t xml:space="preserve">. De la </w:t>
      </w:r>
      <w:r w:rsidR="00F643FB" w:rsidRPr="0024512C">
        <w:rPr>
          <w:rFonts w:asciiTheme="majorHAnsi" w:hAnsiTheme="majorHAnsi" w:cstheme="majorHAnsi"/>
          <w:sz w:val="24"/>
          <w:szCs w:val="24"/>
          <w:lang w:val="ro-MD" w:eastAsia="ru-RU"/>
        </w:rPr>
        <w:t>începutul act</w:t>
      </w:r>
      <w:r w:rsidR="00D36737" w:rsidRPr="0024512C">
        <w:rPr>
          <w:rFonts w:asciiTheme="majorHAnsi" w:hAnsiTheme="majorHAnsi" w:cstheme="majorHAnsi"/>
          <w:sz w:val="24"/>
          <w:szCs w:val="24"/>
          <w:lang w:val="ro-MD" w:eastAsia="ru-RU"/>
        </w:rPr>
        <w:t xml:space="preserve">ivității DLC au fost </w:t>
      </w:r>
      <w:proofErr w:type="spellStart"/>
      <w:r w:rsidR="00D36737" w:rsidRPr="0024512C">
        <w:rPr>
          <w:rFonts w:asciiTheme="majorHAnsi" w:hAnsiTheme="majorHAnsi" w:cstheme="majorHAnsi"/>
          <w:sz w:val="24"/>
          <w:szCs w:val="24"/>
          <w:lang w:val="ro-MD" w:eastAsia="ru-RU"/>
        </w:rPr>
        <w:t>recreditate</w:t>
      </w:r>
      <w:proofErr w:type="spellEnd"/>
      <w:r w:rsidR="00F643FB" w:rsidRPr="0024512C">
        <w:rPr>
          <w:rFonts w:asciiTheme="majorHAnsi" w:hAnsiTheme="majorHAnsi" w:cstheme="majorHAnsi"/>
          <w:sz w:val="24"/>
          <w:szCs w:val="24"/>
          <w:lang w:val="ro-MD" w:eastAsia="ru-RU"/>
        </w:rPr>
        <w:t xml:space="preserve"> 11 822 de sub-proiecte în sumă totală echivalentă </w:t>
      </w:r>
      <w:r w:rsidR="007D7F06" w:rsidRPr="0024512C">
        <w:rPr>
          <w:rFonts w:asciiTheme="majorHAnsi" w:hAnsiTheme="majorHAnsi" w:cstheme="majorHAnsi"/>
          <w:sz w:val="24"/>
          <w:szCs w:val="24"/>
          <w:lang w:val="ro-MD" w:eastAsia="ru-RU"/>
        </w:rPr>
        <w:t>cu</w:t>
      </w:r>
      <w:r w:rsidR="00DF6FCC" w:rsidRPr="0024512C">
        <w:rPr>
          <w:rFonts w:asciiTheme="majorHAnsi" w:hAnsiTheme="majorHAnsi" w:cstheme="majorHAnsi"/>
          <w:sz w:val="24"/>
          <w:szCs w:val="24"/>
          <w:lang w:val="ro-MD" w:eastAsia="ru-RU"/>
        </w:rPr>
        <w:t xml:space="preserve"> 10 045,6 mil. lei</w:t>
      </w:r>
      <w:r w:rsidR="00F643FB" w:rsidRPr="0024512C">
        <w:rPr>
          <w:rFonts w:asciiTheme="majorHAnsi" w:hAnsiTheme="majorHAnsi" w:cstheme="majorHAnsi"/>
          <w:sz w:val="24"/>
          <w:szCs w:val="24"/>
          <w:lang w:val="ro-MD" w:eastAsia="ru-RU"/>
        </w:rPr>
        <w:t xml:space="preserve">. </w:t>
      </w:r>
      <w:r w:rsidR="00360211" w:rsidRPr="0024512C">
        <w:rPr>
          <w:rFonts w:asciiTheme="majorHAnsi" w:hAnsiTheme="majorHAnsi" w:cstheme="majorHAnsi"/>
          <w:sz w:val="24"/>
          <w:szCs w:val="24"/>
          <w:lang w:val="ro-MD" w:eastAsia="ru-RU"/>
        </w:rPr>
        <w:t>Ponderea majoră de 58,0% din total</w:t>
      </w:r>
      <w:r w:rsidR="00D36737" w:rsidRPr="0024512C">
        <w:rPr>
          <w:rFonts w:asciiTheme="majorHAnsi" w:hAnsiTheme="majorHAnsi" w:cstheme="majorHAnsi"/>
          <w:sz w:val="24"/>
          <w:szCs w:val="24"/>
          <w:lang w:val="ro-MD" w:eastAsia="ru-RU"/>
        </w:rPr>
        <w:t>ul</w:t>
      </w:r>
      <w:r w:rsidR="00360211" w:rsidRPr="0024512C">
        <w:rPr>
          <w:rFonts w:asciiTheme="majorHAnsi" w:hAnsiTheme="majorHAnsi" w:cstheme="majorHAnsi"/>
          <w:sz w:val="24"/>
          <w:szCs w:val="24"/>
          <w:lang w:val="ro-MD" w:eastAsia="ru-RU"/>
        </w:rPr>
        <w:t xml:space="preserve"> sub-împrumutur</w:t>
      </w:r>
      <w:r w:rsidR="007D7F06" w:rsidRPr="0024512C">
        <w:rPr>
          <w:rFonts w:asciiTheme="majorHAnsi" w:hAnsiTheme="majorHAnsi" w:cstheme="majorHAnsi"/>
          <w:sz w:val="24"/>
          <w:szCs w:val="24"/>
          <w:lang w:val="ro-MD" w:eastAsia="ru-RU"/>
        </w:rPr>
        <w:t xml:space="preserve">ilor </w:t>
      </w:r>
      <w:proofErr w:type="spellStart"/>
      <w:r w:rsidR="007D7F06" w:rsidRPr="0024512C">
        <w:rPr>
          <w:rFonts w:asciiTheme="majorHAnsi" w:hAnsiTheme="majorHAnsi" w:cstheme="majorHAnsi"/>
          <w:sz w:val="24"/>
          <w:szCs w:val="24"/>
          <w:lang w:val="ro-MD" w:eastAsia="ru-RU"/>
        </w:rPr>
        <w:t>recreditate</w:t>
      </w:r>
      <w:proofErr w:type="spellEnd"/>
      <w:r w:rsidR="007D7F06" w:rsidRPr="0024512C">
        <w:rPr>
          <w:rFonts w:asciiTheme="majorHAnsi" w:hAnsiTheme="majorHAnsi" w:cstheme="majorHAnsi"/>
          <w:sz w:val="24"/>
          <w:szCs w:val="24"/>
          <w:lang w:val="ro-MD" w:eastAsia="ru-RU"/>
        </w:rPr>
        <w:t xml:space="preserve"> de către DLC a</w:t>
      </w:r>
      <w:r w:rsidR="00360211" w:rsidRPr="0024512C">
        <w:rPr>
          <w:rFonts w:asciiTheme="majorHAnsi" w:hAnsiTheme="majorHAnsi" w:cstheme="majorHAnsi"/>
          <w:sz w:val="24"/>
          <w:szCs w:val="24"/>
          <w:lang w:val="ro-MD" w:eastAsia="ru-RU"/>
        </w:rPr>
        <w:t xml:space="preserve"> fost </w:t>
      </w:r>
      <w:r w:rsidR="007D7F06" w:rsidRPr="0024512C">
        <w:rPr>
          <w:rFonts w:asciiTheme="majorHAnsi" w:hAnsiTheme="majorHAnsi" w:cstheme="majorHAnsi"/>
          <w:sz w:val="24"/>
          <w:szCs w:val="24"/>
          <w:lang w:val="ro-MD" w:eastAsia="ru-RU"/>
        </w:rPr>
        <w:t>direcționată la</w:t>
      </w:r>
      <w:r w:rsidR="00360211" w:rsidRPr="0024512C">
        <w:rPr>
          <w:rFonts w:asciiTheme="majorHAnsi" w:hAnsiTheme="majorHAnsi" w:cstheme="majorHAnsi"/>
          <w:sz w:val="24"/>
          <w:szCs w:val="24"/>
          <w:lang w:val="ro-MD" w:eastAsia="ru-RU"/>
        </w:rPr>
        <w:t xml:space="preserve"> finanțarea întreprinderilor și activităților în domeniul agriculturii</w:t>
      </w:r>
      <w:r w:rsidR="00CF5A62" w:rsidRPr="0024512C">
        <w:rPr>
          <w:rFonts w:asciiTheme="majorHAnsi" w:hAnsiTheme="majorHAnsi" w:cstheme="majorHAnsi"/>
          <w:sz w:val="24"/>
          <w:szCs w:val="24"/>
          <w:lang w:val="ro-MD" w:eastAsia="ru-RU"/>
        </w:rPr>
        <w:t>.</w:t>
      </w:r>
      <w:r w:rsidR="00360211" w:rsidRPr="0024512C">
        <w:rPr>
          <w:rFonts w:asciiTheme="majorHAnsi" w:hAnsiTheme="majorHAnsi" w:cstheme="majorHAnsi"/>
          <w:sz w:val="24"/>
          <w:szCs w:val="24"/>
          <w:lang w:val="ro-MD" w:eastAsia="ru-RU"/>
        </w:rPr>
        <w:t xml:space="preserve"> </w:t>
      </w:r>
    </w:p>
    <w:p w:rsidR="00F643FB" w:rsidRPr="0024512C" w:rsidRDefault="00545639" w:rsidP="00EE5977">
      <w:pPr>
        <w:spacing w:line="276" w:lineRule="auto"/>
        <w:jc w:val="both"/>
        <w:rPr>
          <w:rFonts w:asciiTheme="majorHAnsi" w:hAnsiTheme="majorHAnsi" w:cstheme="majorHAnsi"/>
          <w:i/>
          <w:sz w:val="24"/>
          <w:szCs w:val="24"/>
          <w:lang w:val="ro-MD" w:eastAsia="ru-RU"/>
        </w:rPr>
      </w:pPr>
      <w:r w:rsidRPr="0024512C">
        <w:rPr>
          <w:rFonts w:asciiTheme="majorHAnsi" w:hAnsiTheme="majorHAnsi" w:cstheme="majorHAnsi"/>
          <w:sz w:val="24"/>
          <w:szCs w:val="24"/>
          <w:lang w:val="ro-MD" w:eastAsia="ru-RU"/>
        </w:rPr>
        <w:t>La operațiunile de intermediere financiară în cadrul a 21 de Proiecte și Linii de</w:t>
      </w:r>
      <w:r w:rsidR="00CF5A62" w:rsidRPr="0024512C">
        <w:rPr>
          <w:rFonts w:asciiTheme="majorHAnsi" w:hAnsiTheme="majorHAnsi" w:cstheme="majorHAnsi"/>
          <w:sz w:val="24"/>
          <w:szCs w:val="24"/>
          <w:lang w:val="ro-MD" w:eastAsia="ru-RU"/>
        </w:rPr>
        <w:t xml:space="preserve"> credit gestionate de către DLC</w:t>
      </w:r>
      <w:r w:rsidRPr="0024512C">
        <w:rPr>
          <w:rFonts w:asciiTheme="majorHAnsi" w:hAnsiTheme="majorHAnsi" w:cstheme="majorHAnsi"/>
          <w:sz w:val="24"/>
          <w:szCs w:val="24"/>
          <w:lang w:val="ro-MD" w:eastAsia="ru-RU"/>
        </w:rPr>
        <w:t xml:space="preserve"> în prezent participă 14 IFP. </w:t>
      </w:r>
      <w:r w:rsidR="00D36737" w:rsidRPr="0024512C">
        <w:rPr>
          <w:rFonts w:asciiTheme="majorHAnsi" w:hAnsiTheme="majorHAnsi" w:cstheme="majorHAnsi"/>
          <w:sz w:val="24"/>
          <w:szCs w:val="24"/>
          <w:lang w:val="ro-MD" w:eastAsia="ru-RU"/>
        </w:rPr>
        <w:t>Rambursările efectuate de</w:t>
      </w:r>
      <w:r w:rsidR="00F643FB" w:rsidRPr="0024512C">
        <w:rPr>
          <w:rFonts w:asciiTheme="majorHAnsi" w:hAnsiTheme="majorHAnsi" w:cstheme="majorHAnsi"/>
          <w:sz w:val="24"/>
          <w:szCs w:val="24"/>
          <w:lang w:val="ro-MD" w:eastAsia="ru-RU"/>
        </w:rPr>
        <w:t xml:space="preserve"> IFP către DLC pe parcursul anului 2019 au constituit 633,55 mil.</w:t>
      </w:r>
      <w:r w:rsidR="00DF6FCC" w:rsidRPr="0024512C">
        <w:rPr>
          <w:rFonts w:asciiTheme="majorHAnsi" w:hAnsiTheme="majorHAnsi" w:cstheme="majorHAnsi"/>
          <w:sz w:val="24"/>
          <w:szCs w:val="24"/>
          <w:lang w:val="ro-MD" w:eastAsia="ru-RU"/>
        </w:rPr>
        <w:t xml:space="preserve"> lei</w:t>
      </w:r>
      <w:r w:rsidR="00D36737" w:rsidRPr="0024512C">
        <w:rPr>
          <w:rFonts w:asciiTheme="majorHAnsi" w:hAnsiTheme="majorHAnsi" w:cstheme="majorHAnsi"/>
          <w:sz w:val="24"/>
          <w:szCs w:val="24"/>
          <w:lang w:val="ro-MD" w:eastAsia="ru-RU"/>
        </w:rPr>
        <w:t xml:space="preserve"> și s-au efectuat conform graficelor stabilite, astfel nefiind înregistrate datorii noi cu termen de achitare expirat.</w:t>
      </w:r>
      <w:r w:rsidR="00F643FB" w:rsidRPr="0024512C">
        <w:rPr>
          <w:rFonts w:asciiTheme="majorHAnsi" w:hAnsiTheme="majorHAnsi" w:cstheme="majorHAnsi"/>
          <w:sz w:val="24"/>
          <w:szCs w:val="24"/>
          <w:lang w:val="ro-MD" w:eastAsia="ru-RU"/>
        </w:rPr>
        <w:t xml:space="preserve"> Rambursările totale efectuate de IFP de la începutul procesului de recre</w:t>
      </w:r>
      <w:r w:rsidR="00CF5A62" w:rsidRPr="0024512C">
        <w:rPr>
          <w:rFonts w:asciiTheme="majorHAnsi" w:hAnsiTheme="majorHAnsi" w:cstheme="majorHAnsi"/>
          <w:sz w:val="24"/>
          <w:szCs w:val="24"/>
          <w:lang w:val="ro-MD" w:eastAsia="ru-RU"/>
        </w:rPr>
        <w:t xml:space="preserve">ditare au însumat echivalentul </w:t>
      </w:r>
      <w:r w:rsidR="00F96253" w:rsidRPr="0024512C">
        <w:rPr>
          <w:rFonts w:asciiTheme="majorHAnsi" w:hAnsiTheme="majorHAnsi" w:cstheme="majorHAnsi"/>
          <w:sz w:val="24"/>
          <w:szCs w:val="24"/>
          <w:lang w:val="ro-MD" w:eastAsia="ru-RU"/>
        </w:rPr>
        <w:t>a 7 955,28</w:t>
      </w:r>
      <w:r w:rsidR="00F643FB" w:rsidRPr="0024512C">
        <w:rPr>
          <w:rFonts w:asciiTheme="majorHAnsi" w:hAnsiTheme="majorHAnsi" w:cstheme="majorHAnsi"/>
          <w:sz w:val="24"/>
          <w:szCs w:val="24"/>
          <w:lang w:val="ro-MD" w:eastAsia="ru-RU"/>
        </w:rPr>
        <w:t xml:space="preserve"> mil.</w:t>
      </w:r>
      <w:r w:rsidR="00DF6FCC" w:rsidRPr="0024512C">
        <w:rPr>
          <w:rFonts w:asciiTheme="majorHAnsi" w:hAnsiTheme="majorHAnsi" w:cstheme="majorHAnsi"/>
          <w:sz w:val="24"/>
          <w:szCs w:val="24"/>
          <w:lang w:val="ro-MD" w:eastAsia="ru-RU"/>
        </w:rPr>
        <w:t xml:space="preserve"> lei</w:t>
      </w:r>
      <w:r w:rsidRPr="0024512C">
        <w:rPr>
          <w:rFonts w:asciiTheme="majorHAnsi" w:hAnsiTheme="majorHAnsi" w:cstheme="majorHAnsi"/>
          <w:sz w:val="24"/>
          <w:szCs w:val="24"/>
          <w:lang w:val="ro-MD" w:eastAsia="ru-RU"/>
        </w:rPr>
        <w:t>, totodată fiind înregistrată datoria cu termen de achitare ex</w:t>
      </w:r>
      <w:r w:rsidR="00CF5A62" w:rsidRPr="0024512C">
        <w:rPr>
          <w:rFonts w:asciiTheme="majorHAnsi" w:hAnsiTheme="majorHAnsi" w:cstheme="majorHAnsi"/>
          <w:sz w:val="24"/>
          <w:szCs w:val="24"/>
          <w:lang w:val="ro-MD" w:eastAsia="ru-RU"/>
        </w:rPr>
        <w:t>pirat în sumă de 1,4 mil. lei la</w:t>
      </w:r>
      <w:r w:rsidRPr="0024512C">
        <w:rPr>
          <w:rFonts w:asciiTheme="majorHAnsi" w:hAnsiTheme="majorHAnsi" w:cstheme="majorHAnsi"/>
          <w:sz w:val="24"/>
          <w:szCs w:val="24"/>
          <w:lang w:val="ro-MD" w:eastAsia="ru-RU"/>
        </w:rPr>
        <w:t xml:space="preserve"> BC „</w:t>
      </w:r>
      <w:proofErr w:type="spellStart"/>
      <w:r w:rsidRPr="0024512C">
        <w:rPr>
          <w:rFonts w:asciiTheme="majorHAnsi" w:hAnsiTheme="majorHAnsi" w:cstheme="majorHAnsi"/>
          <w:sz w:val="24"/>
          <w:szCs w:val="24"/>
          <w:lang w:val="ro-MD" w:eastAsia="ru-RU"/>
        </w:rPr>
        <w:t>Investprivatbank</w:t>
      </w:r>
      <w:proofErr w:type="spellEnd"/>
      <w:r w:rsidRPr="0024512C">
        <w:rPr>
          <w:rFonts w:asciiTheme="majorHAnsi" w:hAnsiTheme="majorHAnsi" w:cstheme="majorHAnsi"/>
          <w:sz w:val="24"/>
          <w:szCs w:val="24"/>
          <w:lang w:val="ro-MD" w:eastAsia="ru-RU"/>
        </w:rPr>
        <w:t>” SA, care se află în proces de lichidare.</w:t>
      </w:r>
      <w:r w:rsidR="00D36737" w:rsidRPr="0024512C">
        <w:rPr>
          <w:rFonts w:asciiTheme="majorHAnsi" w:hAnsiTheme="majorHAnsi" w:cstheme="majorHAnsi"/>
          <w:sz w:val="24"/>
          <w:szCs w:val="24"/>
          <w:lang w:val="ro-MD" w:eastAsia="ru-RU"/>
        </w:rPr>
        <w:t xml:space="preserve"> </w:t>
      </w:r>
      <w:r w:rsidR="00346E6F" w:rsidRPr="0024512C">
        <w:rPr>
          <w:rFonts w:asciiTheme="majorHAnsi" w:hAnsiTheme="majorHAnsi" w:cstheme="majorHAnsi"/>
          <w:i/>
          <w:sz w:val="24"/>
          <w:szCs w:val="24"/>
          <w:lang w:val="ro-MD" w:eastAsia="ru-RU"/>
        </w:rPr>
        <w:t>Informația detaliată pe fiecare Linie</w:t>
      </w:r>
      <w:r w:rsidR="001A34D3" w:rsidRPr="0024512C">
        <w:rPr>
          <w:rFonts w:asciiTheme="majorHAnsi" w:hAnsiTheme="majorHAnsi" w:cstheme="majorHAnsi"/>
          <w:i/>
          <w:sz w:val="24"/>
          <w:szCs w:val="24"/>
          <w:lang w:val="ro-MD" w:eastAsia="ru-RU"/>
        </w:rPr>
        <w:t xml:space="preserve"> </w:t>
      </w:r>
      <w:r w:rsidR="00346E6F" w:rsidRPr="0024512C">
        <w:rPr>
          <w:rFonts w:asciiTheme="majorHAnsi" w:hAnsiTheme="majorHAnsi" w:cstheme="majorHAnsi"/>
          <w:i/>
          <w:sz w:val="24"/>
          <w:szCs w:val="24"/>
          <w:lang w:val="ro-MD" w:eastAsia="ru-RU"/>
        </w:rPr>
        <w:t xml:space="preserve">de credit privind sumele </w:t>
      </w:r>
      <w:proofErr w:type="spellStart"/>
      <w:r w:rsidR="00346E6F" w:rsidRPr="0024512C">
        <w:rPr>
          <w:rFonts w:asciiTheme="majorHAnsi" w:hAnsiTheme="majorHAnsi" w:cstheme="majorHAnsi"/>
          <w:i/>
          <w:sz w:val="24"/>
          <w:szCs w:val="24"/>
          <w:lang w:val="ro-MD" w:eastAsia="ru-RU"/>
        </w:rPr>
        <w:t>recreditate</w:t>
      </w:r>
      <w:proofErr w:type="spellEnd"/>
      <w:r w:rsidR="00346E6F" w:rsidRPr="0024512C">
        <w:rPr>
          <w:rFonts w:asciiTheme="majorHAnsi" w:hAnsiTheme="majorHAnsi" w:cstheme="majorHAnsi"/>
          <w:i/>
          <w:sz w:val="24"/>
          <w:szCs w:val="24"/>
          <w:lang w:val="ro-MD" w:eastAsia="ru-RU"/>
        </w:rPr>
        <w:t xml:space="preserve"> și soldurile datoriilor înregis</w:t>
      </w:r>
      <w:r w:rsidR="006206D0" w:rsidRPr="0024512C">
        <w:rPr>
          <w:rFonts w:asciiTheme="majorHAnsi" w:hAnsiTheme="majorHAnsi" w:cstheme="majorHAnsi"/>
          <w:i/>
          <w:sz w:val="24"/>
          <w:szCs w:val="24"/>
          <w:lang w:val="ro-MD" w:eastAsia="ru-RU"/>
        </w:rPr>
        <w:t>trate se prezintă în Anexa nr.</w:t>
      </w:r>
      <w:r w:rsidR="004F396C" w:rsidRPr="0024512C">
        <w:rPr>
          <w:rFonts w:asciiTheme="majorHAnsi" w:hAnsiTheme="majorHAnsi" w:cstheme="majorHAnsi"/>
          <w:i/>
          <w:sz w:val="24"/>
          <w:szCs w:val="24"/>
          <w:lang w:val="ro-MD" w:eastAsia="ru-RU"/>
        </w:rPr>
        <w:t xml:space="preserve"> 3</w:t>
      </w:r>
      <w:r w:rsidR="00D36737" w:rsidRPr="0024512C">
        <w:rPr>
          <w:rFonts w:asciiTheme="majorHAnsi" w:hAnsiTheme="majorHAnsi" w:cstheme="majorHAnsi"/>
          <w:i/>
          <w:sz w:val="24"/>
          <w:szCs w:val="24"/>
          <w:lang w:val="ro-MD" w:eastAsia="ru-RU"/>
        </w:rPr>
        <w:t xml:space="preserve"> la prezentul Raport de audit</w:t>
      </w:r>
      <w:r w:rsidR="00F643FB" w:rsidRPr="0024512C">
        <w:rPr>
          <w:rFonts w:asciiTheme="majorHAnsi" w:hAnsiTheme="majorHAnsi" w:cstheme="majorHAnsi"/>
          <w:i/>
          <w:sz w:val="24"/>
          <w:szCs w:val="24"/>
          <w:lang w:val="ro-MD" w:eastAsia="ru-RU"/>
        </w:rPr>
        <w:t>.</w:t>
      </w:r>
    </w:p>
    <w:p w:rsidR="00024CA8" w:rsidRPr="0024512C" w:rsidRDefault="00F643FB" w:rsidP="00EE5977">
      <w:pPr>
        <w:spacing w:line="276" w:lineRule="auto"/>
        <w:jc w:val="both"/>
        <w:rPr>
          <w:rFonts w:asciiTheme="majorHAnsi" w:hAnsiTheme="majorHAnsi" w:cstheme="majorHAnsi"/>
          <w:sz w:val="24"/>
          <w:szCs w:val="24"/>
          <w:lang w:val="ro-MD" w:eastAsia="ru-RU"/>
        </w:rPr>
      </w:pPr>
      <w:r w:rsidRPr="0024512C">
        <w:rPr>
          <w:rFonts w:asciiTheme="majorHAnsi" w:hAnsiTheme="majorHAnsi" w:cstheme="majorHAnsi"/>
          <w:sz w:val="24"/>
          <w:szCs w:val="24"/>
          <w:lang w:val="ro-MD" w:eastAsia="ru-RU"/>
        </w:rPr>
        <w:t xml:space="preserve">Soldul datoriei pentru sub-împrumuturile </w:t>
      </w:r>
      <w:proofErr w:type="spellStart"/>
      <w:r w:rsidRPr="0024512C">
        <w:rPr>
          <w:rFonts w:asciiTheme="majorHAnsi" w:hAnsiTheme="majorHAnsi" w:cstheme="majorHAnsi"/>
          <w:sz w:val="24"/>
          <w:szCs w:val="24"/>
          <w:lang w:val="ro-MD" w:eastAsia="ru-RU"/>
        </w:rPr>
        <w:t>recreditate</w:t>
      </w:r>
      <w:proofErr w:type="spellEnd"/>
      <w:r w:rsidRPr="0024512C">
        <w:rPr>
          <w:rFonts w:asciiTheme="majorHAnsi" w:hAnsiTheme="majorHAnsi" w:cstheme="majorHAnsi"/>
          <w:sz w:val="24"/>
          <w:szCs w:val="24"/>
          <w:lang w:val="ro-MD" w:eastAsia="ru-RU"/>
        </w:rPr>
        <w:t>, la situația din 31.12.2019</w:t>
      </w:r>
      <w:r w:rsidR="00CF5A62" w:rsidRPr="0024512C">
        <w:rPr>
          <w:rFonts w:asciiTheme="majorHAnsi" w:hAnsiTheme="majorHAnsi" w:cstheme="majorHAnsi"/>
          <w:sz w:val="24"/>
          <w:szCs w:val="24"/>
          <w:lang w:val="ro-MD" w:eastAsia="ru-RU"/>
        </w:rPr>
        <w:t>, constituia</w:t>
      </w:r>
      <w:r w:rsidRPr="0024512C">
        <w:rPr>
          <w:rFonts w:asciiTheme="majorHAnsi" w:hAnsiTheme="majorHAnsi" w:cstheme="majorHAnsi"/>
          <w:sz w:val="24"/>
          <w:szCs w:val="24"/>
          <w:lang w:val="ro-MD" w:eastAsia="ru-RU"/>
        </w:rPr>
        <w:t xml:space="preserve"> </w:t>
      </w:r>
      <w:r w:rsidR="00CF7DCA" w:rsidRPr="0024512C">
        <w:rPr>
          <w:rFonts w:asciiTheme="majorHAnsi" w:hAnsiTheme="majorHAnsi" w:cstheme="majorHAnsi"/>
          <w:sz w:val="24"/>
          <w:szCs w:val="24"/>
          <w:lang w:val="ro-MD" w:eastAsia="ru-RU"/>
        </w:rPr>
        <w:t xml:space="preserve">                </w:t>
      </w:r>
      <w:r w:rsidRPr="0024512C">
        <w:rPr>
          <w:rFonts w:asciiTheme="majorHAnsi" w:hAnsiTheme="majorHAnsi" w:cstheme="majorHAnsi"/>
          <w:sz w:val="24"/>
          <w:szCs w:val="24"/>
          <w:lang w:val="ro-MD" w:eastAsia="ru-RU"/>
        </w:rPr>
        <w:t xml:space="preserve">2 </w:t>
      </w:r>
      <w:r w:rsidR="006C4C86" w:rsidRPr="0024512C">
        <w:rPr>
          <w:rFonts w:asciiTheme="majorHAnsi" w:hAnsiTheme="majorHAnsi" w:cstheme="majorHAnsi"/>
          <w:sz w:val="24"/>
          <w:szCs w:val="24"/>
          <w:lang w:val="ro-MD" w:eastAsia="ru-RU"/>
        </w:rPr>
        <w:t>090,3</w:t>
      </w:r>
      <w:r w:rsidR="00AB2499" w:rsidRPr="0024512C">
        <w:rPr>
          <w:rFonts w:asciiTheme="majorHAnsi" w:hAnsiTheme="majorHAnsi" w:cstheme="majorHAnsi"/>
          <w:sz w:val="24"/>
          <w:szCs w:val="24"/>
          <w:lang w:val="ro-MD" w:eastAsia="ru-RU"/>
        </w:rPr>
        <w:t>6</w:t>
      </w:r>
      <w:r w:rsidRPr="0024512C">
        <w:rPr>
          <w:rFonts w:asciiTheme="majorHAnsi" w:hAnsiTheme="majorHAnsi" w:cstheme="majorHAnsi"/>
          <w:sz w:val="24"/>
          <w:szCs w:val="24"/>
          <w:lang w:val="ro-MD" w:eastAsia="ru-RU"/>
        </w:rPr>
        <w:t xml:space="preserve"> mil.</w:t>
      </w:r>
      <w:r w:rsidR="00DF6FCC" w:rsidRPr="0024512C">
        <w:rPr>
          <w:rFonts w:asciiTheme="majorHAnsi" w:hAnsiTheme="majorHAnsi" w:cstheme="majorHAnsi"/>
          <w:sz w:val="24"/>
          <w:szCs w:val="24"/>
          <w:lang w:val="ro-MD" w:eastAsia="ru-RU"/>
        </w:rPr>
        <w:t xml:space="preserve"> lei</w:t>
      </w:r>
      <w:r w:rsidR="00AB2499" w:rsidRPr="0024512C">
        <w:rPr>
          <w:rFonts w:asciiTheme="majorHAnsi" w:hAnsiTheme="majorHAnsi" w:cstheme="majorHAnsi"/>
          <w:sz w:val="24"/>
          <w:szCs w:val="24"/>
          <w:lang w:val="ro-MD" w:eastAsia="ru-RU"/>
        </w:rPr>
        <w:t xml:space="preserve"> (inclusiv soldul sumei principale </w:t>
      </w:r>
      <w:r w:rsidR="001A34D3" w:rsidRPr="0024512C">
        <w:rPr>
          <w:rFonts w:asciiTheme="majorHAnsi" w:hAnsiTheme="majorHAnsi" w:cstheme="majorHAnsi"/>
          <w:sz w:val="24"/>
          <w:szCs w:val="24"/>
          <w:lang w:val="ro-MD" w:eastAsia="ru-RU"/>
        </w:rPr>
        <w:t xml:space="preserve">de </w:t>
      </w:r>
      <w:r w:rsidR="00AB2499" w:rsidRPr="0024512C">
        <w:rPr>
          <w:rFonts w:asciiTheme="majorHAnsi" w:hAnsiTheme="majorHAnsi" w:cstheme="majorHAnsi"/>
          <w:sz w:val="24"/>
          <w:szCs w:val="24"/>
          <w:lang w:val="ro-MD" w:eastAsia="ru-RU"/>
        </w:rPr>
        <w:t>2 089,71 mil. lei</w:t>
      </w:r>
      <w:r w:rsidR="001A34D3" w:rsidRPr="0024512C">
        <w:rPr>
          <w:rFonts w:asciiTheme="majorHAnsi" w:hAnsiTheme="majorHAnsi" w:cstheme="majorHAnsi"/>
          <w:sz w:val="24"/>
          <w:szCs w:val="24"/>
          <w:lang w:val="ro-MD" w:eastAsia="ru-RU"/>
        </w:rPr>
        <w:t>,</w:t>
      </w:r>
      <w:r w:rsidR="00AB2499" w:rsidRPr="0024512C">
        <w:rPr>
          <w:rFonts w:asciiTheme="majorHAnsi" w:hAnsiTheme="majorHAnsi" w:cstheme="majorHAnsi"/>
          <w:sz w:val="24"/>
          <w:szCs w:val="24"/>
          <w:lang w:val="ro-MD" w:eastAsia="ru-RU"/>
        </w:rPr>
        <w:t xml:space="preserve"> dobânda și penalități</w:t>
      </w:r>
      <w:r w:rsidR="001A34D3" w:rsidRPr="0024512C">
        <w:rPr>
          <w:rFonts w:asciiTheme="majorHAnsi" w:hAnsiTheme="majorHAnsi" w:cstheme="majorHAnsi"/>
          <w:sz w:val="24"/>
          <w:szCs w:val="24"/>
          <w:lang w:val="ro-MD" w:eastAsia="ru-RU"/>
        </w:rPr>
        <w:t>le</w:t>
      </w:r>
      <w:r w:rsidR="00AB2499" w:rsidRPr="0024512C">
        <w:rPr>
          <w:rFonts w:asciiTheme="majorHAnsi" w:hAnsiTheme="majorHAnsi" w:cstheme="majorHAnsi"/>
          <w:sz w:val="24"/>
          <w:szCs w:val="24"/>
          <w:lang w:val="ro-MD" w:eastAsia="ru-RU"/>
        </w:rPr>
        <w:t xml:space="preserve"> expirate – </w:t>
      </w:r>
      <w:r w:rsidR="001A34D3" w:rsidRPr="0024512C">
        <w:rPr>
          <w:rFonts w:asciiTheme="majorHAnsi" w:hAnsiTheme="majorHAnsi" w:cstheme="majorHAnsi"/>
          <w:sz w:val="24"/>
          <w:szCs w:val="24"/>
          <w:lang w:val="ro-MD" w:eastAsia="ru-RU"/>
        </w:rPr>
        <w:t xml:space="preserve">de </w:t>
      </w:r>
      <w:r w:rsidR="00AB2499" w:rsidRPr="0024512C">
        <w:rPr>
          <w:rFonts w:asciiTheme="majorHAnsi" w:hAnsiTheme="majorHAnsi" w:cstheme="majorHAnsi"/>
          <w:sz w:val="24"/>
          <w:szCs w:val="24"/>
          <w:lang w:val="ro-MD" w:eastAsia="ru-RU"/>
        </w:rPr>
        <w:t>0,65 mil. lei)</w:t>
      </w:r>
      <w:r w:rsidRPr="0024512C">
        <w:rPr>
          <w:rFonts w:asciiTheme="majorHAnsi" w:hAnsiTheme="majorHAnsi" w:cstheme="majorHAnsi"/>
          <w:sz w:val="24"/>
          <w:szCs w:val="24"/>
          <w:lang w:val="ro-MD" w:eastAsia="ru-RU"/>
        </w:rPr>
        <w:t xml:space="preserve">, fiind format din soldul </w:t>
      </w:r>
      <w:r w:rsidR="00CF5A62" w:rsidRPr="0024512C">
        <w:rPr>
          <w:rFonts w:asciiTheme="majorHAnsi" w:hAnsiTheme="majorHAnsi" w:cstheme="majorHAnsi"/>
          <w:sz w:val="24"/>
          <w:szCs w:val="24"/>
          <w:lang w:val="ro-MD" w:eastAsia="ru-RU"/>
        </w:rPr>
        <w:t>a</w:t>
      </w:r>
      <w:r w:rsidRPr="0024512C">
        <w:rPr>
          <w:rFonts w:asciiTheme="majorHAnsi" w:hAnsiTheme="majorHAnsi" w:cstheme="majorHAnsi"/>
          <w:sz w:val="24"/>
          <w:szCs w:val="24"/>
          <w:lang w:val="ro-MD" w:eastAsia="ru-RU"/>
        </w:rPr>
        <w:t xml:space="preserve"> 2</w:t>
      </w:r>
      <w:r w:rsidR="0048000B" w:rsidRPr="0024512C">
        <w:rPr>
          <w:rFonts w:asciiTheme="majorHAnsi" w:hAnsiTheme="majorHAnsi" w:cstheme="majorHAnsi"/>
          <w:sz w:val="24"/>
          <w:szCs w:val="24"/>
          <w:lang w:val="ro-MD" w:eastAsia="ru-RU"/>
        </w:rPr>
        <w:t xml:space="preserve"> </w:t>
      </w:r>
      <w:r w:rsidRPr="0024512C">
        <w:rPr>
          <w:rFonts w:asciiTheme="majorHAnsi" w:hAnsiTheme="majorHAnsi" w:cstheme="majorHAnsi"/>
          <w:sz w:val="24"/>
          <w:szCs w:val="24"/>
          <w:lang w:val="ro-MD" w:eastAsia="ru-RU"/>
        </w:rPr>
        <w:t xml:space="preserve">631 de sub-proiecte </w:t>
      </w:r>
      <w:proofErr w:type="spellStart"/>
      <w:r w:rsidRPr="0024512C">
        <w:rPr>
          <w:rFonts w:asciiTheme="majorHAnsi" w:hAnsiTheme="majorHAnsi" w:cstheme="majorHAnsi"/>
          <w:sz w:val="24"/>
          <w:szCs w:val="24"/>
          <w:lang w:val="ro-MD" w:eastAsia="ru-RU"/>
        </w:rPr>
        <w:t>recreditate</w:t>
      </w:r>
      <w:proofErr w:type="spellEnd"/>
      <w:r w:rsidRPr="0024512C">
        <w:rPr>
          <w:rFonts w:asciiTheme="majorHAnsi" w:hAnsiTheme="majorHAnsi" w:cstheme="majorHAnsi"/>
          <w:sz w:val="24"/>
          <w:szCs w:val="24"/>
          <w:lang w:val="ro-MD" w:eastAsia="ru-RU"/>
        </w:rPr>
        <w:t xml:space="preserve"> care sunt în proces de implementare. Datorii expirate sunt înregistrate în cadrul recreditării BC „</w:t>
      </w:r>
      <w:proofErr w:type="spellStart"/>
      <w:r w:rsidRPr="0024512C">
        <w:rPr>
          <w:rFonts w:asciiTheme="majorHAnsi" w:hAnsiTheme="majorHAnsi" w:cstheme="majorHAnsi"/>
          <w:sz w:val="24"/>
          <w:szCs w:val="24"/>
          <w:lang w:val="ro-MD" w:eastAsia="ru-RU"/>
        </w:rPr>
        <w:t>Investprivatbank</w:t>
      </w:r>
      <w:proofErr w:type="spellEnd"/>
      <w:r w:rsidRPr="0024512C">
        <w:rPr>
          <w:rFonts w:asciiTheme="majorHAnsi" w:hAnsiTheme="majorHAnsi" w:cstheme="majorHAnsi"/>
          <w:sz w:val="24"/>
          <w:szCs w:val="24"/>
          <w:lang w:val="ro-MD" w:eastAsia="ru-RU"/>
        </w:rPr>
        <w:t>” SA din contul Programului Național de Abilitare Economică a Tineri</w:t>
      </w:r>
      <w:r w:rsidR="00346E6F" w:rsidRPr="0024512C">
        <w:rPr>
          <w:rFonts w:asciiTheme="majorHAnsi" w:hAnsiTheme="majorHAnsi" w:cstheme="majorHAnsi"/>
          <w:sz w:val="24"/>
          <w:szCs w:val="24"/>
          <w:lang w:val="ro-MD" w:eastAsia="ru-RU"/>
        </w:rPr>
        <w:t>lor (PNAET)</w:t>
      </w:r>
      <w:r w:rsidR="00CF5A62" w:rsidRPr="0024512C">
        <w:rPr>
          <w:rFonts w:asciiTheme="majorHAnsi" w:hAnsiTheme="majorHAnsi" w:cstheme="majorHAnsi"/>
          <w:sz w:val="24"/>
          <w:szCs w:val="24"/>
          <w:lang w:val="ro-MD" w:eastAsia="ru-RU"/>
        </w:rPr>
        <w:t>,</w:t>
      </w:r>
      <w:r w:rsidR="00346E6F" w:rsidRPr="0024512C">
        <w:rPr>
          <w:rFonts w:asciiTheme="majorHAnsi" w:hAnsiTheme="majorHAnsi" w:cstheme="majorHAnsi"/>
          <w:sz w:val="24"/>
          <w:szCs w:val="24"/>
          <w:lang w:val="ro-MD" w:eastAsia="ru-RU"/>
        </w:rPr>
        <w:t xml:space="preserve"> în sumă de 1,4 mil.</w:t>
      </w:r>
      <w:r w:rsidR="00DF6FCC" w:rsidRPr="0024512C">
        <w:rPr>
          <w:rFonts w:asciiTheme="majorHAnsi" w:hAnsiTheme="majorHAnsi" w:cstheme="majorHAnsi"/>
          <w:sz w:val="24"/>
          <w:szCs w:val="24"/>
          <w:lang w:val="ro-MD" w:eastAsia="ru-RU"/>
        </w:rPr>
        <w:t xml:space="preserve"> lei</w:t>
      </w:r>
      <w:r w:rsidR="00CF5A62" w:rsidRPr="0024512C">
        <w:rPr>
          <w:rFonts w:asciiTheme="majorHAnsi" w:hAnsiTheme="majorHAnsi" w:cstheme="majorHAnsi"/>
          <w:sz w:val="24"/>
          <w:szCs w:val="24"/>
          <w:lang w:val="ro-MD" w:eastAsia="ru-RU"/>
        </w:rPr>
        <w:t xml:space="preserve">, și </w:t>
      </w:r>
      <w:r w:rsidR="00545639" w:rsidRPr="0024512C">
        <w:rPr>
          <w:rFonts w:asciiTheme="majorHAnsi" w:hAnsiTheme="majorHAnsi" w:cstheme="majorHAnsi"/>
          <w:sz w:val="24"/>
          <w:szCs w:val="24"/>
          <w:lang w:val="ro-MD" w:eastAsia="ru-RU"/>
        </w:rPr>
        <w:t xml:space="preserve">a beneficiarilor </w:t>
      </w:r>
      <w:proofErr w:type="spellStart"/>
      <w:r w:rsidR="00545639" w:rsidRPr="0024512C">
        <w:rPr>
          <w:rFonts w:asciiTheme="majorHAnsi" w:hAnsiTheme="majorHAnsi" w:cstheme="majorHAnsi"/>
          <w:sz w:val="24"/>
          <w:szCs w:val="24"/>
          <w:lang w:val="ro-MD" w:eastAsia="ru-RU"/>
        </w:rPr>
        <w:t>recreditați</w:t>
      </w:r>
      <w:proofErr w:type="spellEnd"/>
      <w:r w:rsidR="00545639" w:rsidRPr="0024512C">
        <w:rPr>
          <w:rFonts w:asciiTheme="majorHAnsi" w:hAnsiTheme="majorHAnsi" w:cstheme="majorHAnsi"/>
          <w:sz w:val="24"/>
          <w:szCs w:val="24"/>
          <w:lang w:val="ro-MD" w:eastAsia="ru-RU"/>
        </w:rPr>
        <w:t xml:space="preserve"> în direct de către MF din cadrul Componentei „Struguri” a Proiectului Filiera Vinului</w:t>
      </w:r>
      <w:r w:rsidR="00CF5A62" w:rsidRPr="0024512C">
        <w:rPr>
          <w:rFonts w:asciiTheme="majorHAnsi" w:hAnsiTheme="majorHAnsi" w:cstheme="majorHAnsi"/>
          <w:sz w:val="24"/>
          <w:szCs w:val="24"/>
          <w:lang w:val="ro-MD" w:eastAsia="ru-RU"/>
        </w:rPr>
        <w:t>,</w:t>
      </w:r>
      <w:r w:rsidR="006C4C86" w:rsidRPr="0024512C">
        <w:rPr>
          <w:rFonts w:asciiTheme="majorHAnsi" w:hAnsiTheme="majorHAnsi" w:cstheme="majorHAnsi"/>
          <w:sz w:val="24"/>
          <w:szCs w:val="24"/>
          <w:lang w:val="ro-MD" w:eastAsia="ru-RU"/>
        </w:rPr>
        <w:t xml:space="preserve"> în sumă de 592,13</w:t>
      </w:r>
      <w:r w:rsidR="00545639" w:rsidRPr="0024512C">
        <w:rPr>
          <w:rFonts w:asciiTheme="majorHAnsi" w:hAnsiTheme="majorHAnsi" w:cstheme="majorHAnsi"/>
          <w:sz w:val="24"/>
          <w:szCs w:val="24"/>
          <w:lang w:val="ro-MD" w:eastAsia="ru-RU"/>
        </w:rPr>
        <w:t xml:space="preserve"> mii euro. </w:t>
      </w:r>
    </w:p>
    <w:p w:rsidR="00346E6F" w:rsidRPr="0024512C" w:rsidRDefault="00D30DEB" w:rsidP="00EE5977">
      <w:pPr>
        <w:spacing w:line="276" w:lineRule="auto"/>
        <w:jc w:val="both"/>
        <w:rPr>
          <w:rFonts w:asciiTheme="majorHAnsi" w:hAnsiTheme="majorHAnsi" w:cstheme="majorHAnsi"/>
          <w:sz w:val="24"/>
          <w:szCs w:val="24"/>
          <w:lang w:val="ro-MD" w:eastAsia="ru-RU"/>
        </w:rPr>
      </w:pPr>
      <w:r w:rsidRPr="0024512C">
        <w:rPr>
          <w:rFonts w:asciiTheme="majorHAnsi" w:hAnsiTheme="majorHAnsi" w:cstheme="majorHAnsi"/>
          <w:sz w:val="24"/>
          <w:szCs w:val="24"/>
          <w:lang w:val="ro-MD" w:eastAsia="ru-RU"/>
        </w:rPr>
        <w:t xml:space="preserve">Fondurile disponibile pentru recreditarea sectorului real prin intermediul IFP constituie echivalentul a </w:t>
      </w:r>
      <w:r w:rsidR="00CF7DCA" w:rsidRPr="0024512C">
        <w:rPr>
          <w:rFonts w:asciiTheme="majorHAnsi" w:hAnsiTheme="majorHAnsi" w:cstheme="majorHAnsi"/>
          <w:sz w:val="24"/>
          <w:szCs w:val="24"/>
          <w:lang w:val="ro-MD" w:eastAsia="ru-RU"/>
        </w:rPr>
        <w:t>1 946,56</w:t>
      </w:r>
      <w:r w:rsidR="00346E6F" w:rsidRPr="0024512C">
        <w:rPr>
          <w:rFonts w:asciiTheme="majorHAnsi" w:hAnsiTheme="majorHAnsi" w:cstheme="majorHAnsi"/>
          <w:sz w:val="24"/>
          <w:szCs w:val="24"/>
          <w:lang w:val="ro-MD" w:eastAsia="ru-RU"/>
        </w:rPr>
        <w:t xml:space="preserve"> mil.</w:t>
      </w:r>
      <w:r w:rsidR="00DF6FCC" w:rsidRPr="0024512C">
        <w:rPr>
          <w:rFonts w:asciiTheme="majorHAnsi" w:hAnsiTheme="majorHAnsi" w:cstheme="majorHAnsi"/>
          <w:sz w:val="24"/>
          <w:szCs w:val="24"/>
          <w:lang w:val="ro-MD" w:eastAsia="ru-RU"/>
        </w:rPr>
        <w:t xml:space="preserve"> lei</w:t>
      </w:r>
      <w:r w:rsidR="00346E6F" w:rsidRPr="0024512C">
        <w:rPr>
          <w:rFonts w:asciiTheme="majorHAnsi" w:hAnsiTheme="majorHAnsi" w:cstheme="majorHAnsi"/>
          <w:sz w:val="24"/>
          <w:szCs w:val="24"/>
          <w:lang w:val="ro-MD" w:eastAsia="ru-RU"/>
        </w:rPr>
        <w:t>, care sunt păstrate în conturile Liniilor de credit deschise la BNM</w:t>
      </w:r>
      <w:r w:rsidR="00D36737" w:rsidRPr="0024512C">
        <w:rPr>
          <w:rFonts w:asciiTheme="majorHAnsi" w:hAnsiTheme="majorHAnsi" w:cstheme="majorHAnsi"/>
          <w:sz w:val="24"/>
          <w:szCs w:val="24"/>
          <w:lang w:val="ro-MD" w:eastAsia="ru-RU"/>
        </w:rPr>
        <w:t>.</w:t>
      </w:r>
      <w:r w:rsidR="00346E6F" w:rsidRPr="0024512C">
        <w:rPr>
          <w:rFonts w:asciiTheme="majorHAnsi" w:hAnsiTheme="majorHAnsi" w:cstheme="majorHAnsi"/>
          <w:sz w:val="24"/>
          <w:szCs w:val="24"/>
          <w:lang w:val="ro-MD" w:eastAsia="ru-RU"/>
        </w:rPr>
        <w:t xml:space="preserve"> </w:t>
      </w:r>
      <w:r w:rsidR="00346E6F" w:rsidRPr="0024512C">
        <w:rPr>
          <w:rFonts w:asciiTheme="majorHAnsi" w:hAnsiTheme="majorHAnsi" w:cstheme="majorHAnsi"/>
          <w:i/>
          <w:sz w:val="24"/>
          <w:szCs w:val="24"/>
          <w:lang w:val="ro-MD" w:eastAsia="ru-RU"/>
        </w:rPr>
        <w:t>Informația deta</w:t>
      </w:r>
      <w:r w:rsidR="004F396C" w:rsidRPr="0024512C">
        <w:rPr>
          <w:rFonts w:asciiTheme="majorHAnsi" w:hAnsiTheme="majorHAnsi" w:cstheme="majorHAnsi"/>
          <w:i/>
          <w:sz w:val="24"/>
          <w:szCs w:val="24"/>
          <w:lang w:val="ro-MD" w:eastAsia="ru-RU"/>
        </w:rPr>
        <w:t>liată se prezintă în Anexa nr. 4</w:t>
      </w:r>
      <w:r w:rsidR="00346E6F" w:rsidRPr="0024512C">
        <w:rPr>
          <w:rFonts w:asciiTheme="majorHAnsi" w:hAnsiTheme="majorHAnsi" w:cstheme="majorHAnsi"/>
          <w:i/>
          <w:sz w:val="24"/>
          <w:szCs w:val="24"/>
          <w:lang w:val="ro-MD" w:eastAsia="ru-RU"/>
        </w:rPr>
        <w:t xml:space="preserve"> la prezentul Raport de audi</w:t>
      </w:r>
      <w:r w:rsidR="00D36737" w:rsidRPr="0024512C">
        <w:rPr>
          <w:rFonts w:asciiTheme="majorHAnsi" w:hAnsiTheme="majorHAnsi" w:cstheme="majorHAnsi"/>
          <w:i/>
          <w:sz w:val="24"/>
          <w:szCs w:val="24"/>
          <w:lang w:val="ro-MD" w:eastAsia="ru-RU"/>
        </w:rPr>
        <w:t>t</w:t>
      </w:r>
      <w:r w:rsidR="00346E6F" w:rsidRPr="0024512C">
        <w:rPr>
          <w:rFonts w:asciiTheme="majorHAnsi" w:hAnsiTheme="majorHAnsi" w:cstheme="majorHAnsi"/>
          <w:sz w:val="24"/>
          <w:szCs w:val="24"/>
          <w:lang w:val="ro-MD" w:eastAsia="ru-RU"/>
        </w:rPr>
        <w:t>.</w:t>
      </w:r>
      <w:r w:rsidR="00360211" w:rsidRPr="0024512C">
        <w:rPr>
          <w:rFonts w:asciiTheme="majorHAnsi" w:hAnsiTheme="majorHAnsi" w:cstheme="majorHAnsi"/>
          <w:sz w:val="24"/>
          <w:szCs w:val="24"/>
          <w:lang w:val="ro-MD" w:eastAsia="ru-RU"/>
        </w:rPr>
        <w:t xml:space="preserve"> De asemenea, în conturile Liniilor de credit deservite de BNM sunt păstrate și rezervele DLC formate pentru acoperirea riscurilor legate de operațiunile de recreditare și schimb valutar. La situația di</w:t>
      </w:r>
      <w:r w:rsidR="00CF5A62" w:rsidRPr="0024512C">
        <w:rPr>
          <w:rFonts w:asciiTheme="majorHAnsi" w:hAnsiTheme="majorHAnsi" w:cstheme="majorHAnsi"/>
          <w:sz w:val="24"/>
          <w:szCs w:val="24"/>
          <w:lang w:val="ro-MD" w:eastAsia="ru-RU"/>
        </w:rPr>
        <w:t xml:space="preserve">n </w:t>
      </w:r>
      <w:r w:rsidR="00CF5A62" w:rsidRPr="0024512C">
        <w:rPr>
          <w:rFonts w:asciiTheme="majorHAnsi" w:hAnsiTheme="majorHAnsi" w:cstheme="majorHAnsi"/>
          <w:sz w:val="24"/>
          <w:szCs w:val="24"/>
          <w:lang w:val="ro-MD" w:eastAsia="ru-RU"/>
        </w:rPr>
        <w:lastRenderedPageBreak/>
        <w:t>31.12.2019, acestea constituiau</w:t>
      </w:r>
      <w:r w:rsidR="00360211" w:rsidRPr="0024512C">
        <w:rPr>
          <w:rFonts w:asciiTheme="majorHAnsi" w:hAnsiTheme="majorHAnsi" w:cstheme="majorHAnsi"/>
          <w:sz w:val="24"/>
          <w:szCs w:val="24"/>
          <w:lang w:val="ro-MD" w:eastAsia="ru-RU"/>
        </w:rPr>
        <w:t xml:space="preserve"> 39,86 mil.</w:t>
      </w:r>
      <w:r w:rsidR="00D36737" w:rsidRPr="0024512C">
        <w:rPr>
          <w:rFonts w:asciiTheme="majorHAnsi" w:hAnsiTheme="majorHAnsi" w:cstheme="majorHAnsi"/>
          <w:sz w:val="24"/>
          <w:szCs w:val="24"/>
          <w:lang w:val="ro-MD" w:eastAsia="ru-RU"/>
        </w:rPr>
        <w:t xml:space="preserve"> lei</w:t>
      </w:r>
      <w:r w:rsidR="00360211" w:rsidRPr="0024512C">
        <w:rPr>
          <w:rFonts w:asciiTheme="majorHAnsi" w:hAnsiTheme="majorHAnsi" w:cstheme="majorHAnsi"/>
          <w:sz w:val="24"/>
          <w:szCs w:val="24"/>
          <w:lang w:val="ro-MD" w:eastAsia="ru-RU"/>
        </w:rPr>
        <w:t>, sau cu 5,76 mil.</w:t>
      </w:r>
      <w:r w:rsidR="00D36737" w:rsidRPr="0024512C">
        <w:rPr>
          <w:rFonts w:asciiTheme="majorHAnsi" w:hAnsiTheme="majorHAnsi" w:cstheme="majorHAnsi"/>
          <w:sz w:val="24"/>
          <w:szCs w:val="24"/>
          <w:lang w:val="ro-MD" w:eastAsia="ru-RU"/>
        </w:rPr>
        <w:t xml:space="preserve"> lei</w:t>
      </w:r>
      <w:r w:rsidR="00360211" w:rsidRPr="0024512C">
        <w:rPr>
          <w:rFonts w:asciiTheme="majorHAnsi" w:hAnsiTheme="majorHAnsi" w:cstheme="majorHAnsi"/>
          <w:sz w:val="24"/>
          <w:szCs w:val="24"/>
          <w:lang w:val="ro-MD" w:eastAsia="ru-RU"/>
        </w:rPr>
        <w:t xml:space="preserve"> mai mult față de aceeași perioadă a anului precedent.</w:t>
      </w:r>
    </w:p>
    <w:p w:rsidR="00C8468E" w:rsidRPr="0024512C" w:rsidRDefault="00D30DEB" w:rsidP="00246BFA">
      <w:pPr>
        <w:spacing w:line="276" w:lineRule="auto"/>
        <w:jc w:val="both"/>
        <w:rPr>
          <w:rFonts w:asciiTheme="majorHAnsi" w:hAnsiTheme="majorHAnsi" w:cstheme="majorHAnsi"/>
          <w:sz w:val="24"/>
          <w:szCs w:val="24"/>
          <w:lang w:val="ro-MD" w:eastAsia="ru-RU"/>
        </w:rPr>
      </w:pPr>
      <w:r w:rsidRPr="0024512C">
        <w:rPr>
          <w:rFonts w:asciiTheme="majorHAnsi" w:hAnsiTheme="majorHAnsi" w:cstheme="majorHAnsi"/>
          <w:sz w:val="24"/>
          <w:szCs w:val="24"/>
          <w:lang w:val="ro-MD" w:eastAsia="ru-RU"/>
        </w:rPr>
        <w:t>Pentru asigurarea deservirii datoriei externe</w:t>
      </w:r>
      <w:r w:rsidR="00433EC9" w:rsidRPr="0024512C">
        <w:rPr>
          <w:rFonts w:asciiTheme="majorHAnsi" w:hAnsiTheme="majorHAnsi" w:cstheme="majorHAnsi"/>
          <w:sz w:val="24"/>
          <w:szCs w:val="24"/>
          <w:lang w:val="ro-MD" w:eastAsia="ru-RU"/>
        </w:rPr>
        <w:t>,</w:t>
      </w:r>
      <w:r w:rsidRPr="0024512C">
        <w:rPr>
          <w:rFonts w:asciiTheme="majorHAnsi" w:hAnsiTheme="majorHAnsi" w:cstheme="majorHAnsi"/>
          <w:sz w:val="24"/>
          <w:szCs w:val="24"/>
          <w:lang w:val="ro-MD" w:eastAsia="ru-RU"/>
        </w:rPr>
        <w:t xml:space="preserve"> DLC</w:t>
      </w:r>
      <w:r w:rsidR="00433EC9" w:rsidRPr="0024512C">
        <w:rPr>
          <w:rFonts w:asciiTheme="majorHAnsi" w:hAnsiTheme="majorHAnsi" w:cstheme="majorHAnsi"/>
          <w:sz w:val="24"/>
          <w:szCs w:val="24"/>
          <w:lang w:val="ro-MD" w:eastAsia="ru-RU"/>
        </w:rPr>
        <w:t>,</w:t>
      </w:r>
      <w:r w:rsidRPr="0024512C">
        <w:rPr>
          <w:rFonts w:asciiTheme="majorHAnsi" w:hAnsiTheme="majorHAnsi" w:cstheme="majorHAnsi"/>
          <w:sz w:val="24"/>
          <w:szCs w:val="24"/>
          <w:lang w:val="ro-MD" w:eastAsia="ru-RU"/>
        </w:rPr>
        <w:t xml:space="preserve"> </w:t>
      </w:r>
      <w:r w:rsidR="00360211" w:rsidRPr="0024512C">
        <w:rPr>
          <w:rFonts w:asciiTheme="majorHAnsi" w:hAnsiTheme="majorHAnsi" w:cstheme="majorHAnsi"/>
          <w:sz w:val="24"/>
          <w:szCs w:val="24"/>
          <w:lang w:val="ro-MD" w:eastAsia="ru-RU"/>
        </w:rPr>
        <w:t>pe parcursul anului 2019</w:t>
      </w:r>
      <w:r w:rsidR="00433EC9" w:rsidRPr="0024512C">
        <w:rPr>
          <w:rFonts w:asciiTheme="majorHAnsi" w:hAnsiTheme="majorHAnsi" w:cstheme="majorHAnsi"/>
          <w:sz w:val="24"/>
          <w:szCs w:val="24"/>
          <w:lang w:val="ro-MD" w:eastAsia="ru-RU"/>
        </w:rPr>
        <w:t>,</w:t>
      </w:r>
      <w:r w:rsidRPr="0024512C">
        <w:rPr>
          <w:rFonts w:asciiTheme="majorHAnsi" w:hAnsiTheme="majorHAnsi" w:cstheme="majorHAnsi"/>
          <w:sz w:val="24"/>
          <w:szCs w:val="24"/>
          <w:lang w:val="ro-MD" w:eastAsia="ru-RU"/>
        </w:rPr>
        <w:t xml:space="preserve"> a trans</w:t>
      </w:r>
      <w:r w:rsidR="00CF5A62" w:rsidRPr="0024512C">
        <w:rPr>
          <w:rFonts w:asciiTheme="majorHAnsi" w:hAnsiTheme="majorHAnsi" w:cstheme="majorHAnsi"/>
          <w:sz w:val="24"/>
          <w:szCs w:val="24"/>
          <w:lang w:val="ro-MD" w:eastAsia="ru-RU"/>
        </w:rPr>
        <w:t xml:space="preserve">ferat și rambursat către MF </w:t>
      </w:r>
      <w:r w:rsidR="00360211" w:rsidRPr="0024512C">
        <w:rPr>
          <w:rFonts w:asciiTheme="majorHAnsi" w:hAnsiTheme="majorHAnsi" w:cstheme="majorHAnsi"/>
          <w:sz w:val="24"/>
          <w:szCs w:val="24"/>
          <w:lang w:val="ro-MD" w:eastAsia="ru-RU"/>
        </w:rPr>
        <w:t>142,39 mil.</w:t>
      </w:r>
      <w:r w:rsidR="00D36737" w:rsidRPr="0024512C">
        <w:rPr>
          <w:rFonts w:asciiTheme="majorHAnsi" w:hAnsiTheme="majorHAnsi" w:cstheme="majorHAnsi"/>
          <w:sz w:val="24"/>
          <w:szCs w:val="24"/>
          <w:lang w:val="ro-MD" w:eastAsia="ru-RU"/>
        </w:rPr>
        <w:t xml:space="preserve"> lei</w:t>
      </w:r>
      <w:r w:rsidRPr="0024512C">
        <w:rPr>
          <w:rFonts w:asciiTheme="majorHAnsi" w:hAnsiTheme="majorHAnsi" w:cstheme="majorHAnsi"/>
          <w:sz w:val="24"/>
          <w:szCs w:val="24"/>
          <w:lang w:val="ro-MD" w:eastAsia="ru-RU"/>
        </w:rPr>
        <w:t xml:space="preserve">. </w:t>
      </w:r>
      <w:r w:rsidR="00360211" w:rsidRPr="0024512C">
        <w:rPr>
          <w:rFonts w:asciiTheme="majorHAnsi" w:hAnsiTheme="majorHAnsi" w:cstheme="majorHAnsi"/>
          <w:sz w:val="24"/>
          <w:szCs w:val="24"/>
          <w:lang w:val="ro-MD" w:eastAsia="ru-RU"/>
        </w:rPr>
        <w:t xml:space="preserve">Valoarea totală a transferurilor efectuate către MF </w:t>
      </w:r>
      <w:r w:rsidR="00CF5A62" w:rsidRPr="0024512C">
        <w:rPr>
          <w:rFonts w:asciiTheme="majorHAnsi" w:hAnsiTheme="majorHAnsi" w:cstheme="majorHAnsi"/>
          <w:sz w:val="24"/>
          <w:szCs w:val="24"/>
          <w:lang w:val="ro-MD" w:eastAsia="ru-RU"/>
        </w:rPr>
        <w:t>pe parcursul activității DLC</w:t>
      </w:r>
      <w:r w:rsidR="00545639" w:rsidRPr="0024512C">
        <w:rPr>
          <w:rFonts w:asciiTheme="majorHAnsi" w:hAnsiTheme="majorHAnsi" w:cstheme="majorHAnsi"/>
          <w:sz w:val="24"/>
          <w:szCs w:val="24"/>
          <w:lang w:val="ro-MD" w:eastAsia="ru-RU"/>
        </w:rPr>
        <w:t xml:space="preserve"> </w:t>
      </w:r>
      <w:r w:rsidR="00360211" w:rsidRPr="0024512C">
        <w:rPr>
          <w:rFonts w:asciiTheme="majorHAnsi" w:hAnsiTheme="majorHAnsi" w:cstheme="majorHAnsi"/>
          <w:sz w:val="24"/>
          <w:szCs w:val="24"/>
          <w:lang w:val="ro-MD" w:eastAsia="ru-RU"/>
        </w:rPr>
        <w:t>constituie echivalentul a 1 157,0 mil.</w:t>
      </w:r>
      <w:r w:rsidR="00D36737" w:rsidRPr="0024512C">
        <w:rPr>
          <w:rFonts w:asciiTheme="majorHAnsi" w:hAnsiTheme="majorHAnsi" w:cstheme="majorHAnsi"/>
          <w:sz w:val="24"/>
          <w:szCs w:val="24"/>
          <w:lang w:val="ro-MD" w:eastAsia="ru-RU"/>
        </w:rPr>
        <w:t xml:space="preserve"> lei</w:t>
      </w:r>
      <w:r w:rsidR="008B116A" w:rsidRPr="0024512C">
        <w:rPr>
          <w:rFonts w:asciiTheme="majorHAnsi" w:hAnsiTheme="majorHAnsi" w:cstheme="majorHAnsi"/>
          <w:sz w:val="24"/>
          <w:szCs w:val="24"/>
          <w:lang w:val="ro-MD" w:eastAsia="ru-RU"/>
        </w:rPr>
        <w:t xml:space="preserve">, </w:t>
      </w:r>
      <w:r w:rsidR="00545639" w:rsidRPr="0024512C">
        <w:rPr>
          <w:rFonts w:asciiTheme="majorHAnsi" w:hAnsiTheme="majorHAnsi" w:cstheme="majorHAnsi"/>
          <w:sz w:val="24"/>
          <w:szCs w:val="24"/>
          <w:lang w:val="ro-MD" w:eastAsia="ru-RU"/>
        </w:rPr>
        <w:t>inclusiv</w:t>
      </w:r>
      <w:r w:rsidR="008B116A" w:rsidRPr="0024512C">
        <w:rPr>
          <w:rFonts w:asciiTheme="majorHAnsi" w:hAnsiTheme="majorHAnsi" w:cstheme="majorHAnsi"/>
          <w:sz w:val="24"/>
          <w:szCs w:val="24"/>
          <w:lang w:val="ro-MD" w:eastAsia="ru-RU"/>
        </w:rPr>
        <w:t xml:space="preserve"> pentru rambursarea sumelor datorate către creditorii externi – 1 026,4 mil.</w:t>
      </w:r>
      <w:r w:rsidR="00D36737" w:rsidRPr="0024512C">
        <w:rPr>
          <w:rFonts w:asciiTheme="majorHAnsi" w:hAnsiTheme="majorHAnsi" w:cstheme="majorHAnsi"/>
          <w:sz w:val="24"/>
          <w:szCs w:val="24"/>
          <w:lang w:val="ro-MD" w:eastAsia="ru-RU"/>
        </w:rPr>
        <w:t xml:space="preserve"> lei</w:t>
      </w:r>
      <w:r w:rsidR="00433EC9" w:rsidRPr="0024512C">
        <w:rPr>
          <w:rFonts w:asciiTheme="majorHAnsi" w:hAnsiTheme="majorHAnsi" w:cstheme="majorHAnsi"/>
          <w:sz w:val="24"/>
          <w:szCs w:val="24"/>
          <w:lang w:val="ro-MD" w:eastAsia="ru-RU"/>
        </w:rPr>
        <w:t>,</w:t>
      </w:r>
      <w:r w:rsidR="008B116A" w:rsidRPr="0024512C">
        <w:rPr>
          <w:rFonts w:asciiTheme="majorHAnsi" w:hAnsiTheme="majorHAnsi" w:cstheme="majorHAnsi"/>
          <w:sz w:val="24"/>
          <w:szCs w:val="24"/>
          <w:lang w:val="ro-MD" w:eastAsia="ru-RU"/>
        </w:rPr>
        <w:t xml:space="preserve"> și 130,6 mil.</w:t>
      </w:r>
      <w:r w:rsidR="00D36737" w:rsidRPr="0024512C">
        <w:rPr>
          <w:rFonts w:asciiTheme="majorHAnsi" w:hAnsiTheme="majorHAnsi" w:cstheme="majorHAnsi"/>
          <w:sz w:val="24"/>
          <w:szCs w:val="24"/>
          <w:lang w:val="ro-MD" w:eastAsia="ru-RU"/>
        </w:rPr>
        <w:t xml:space="preserve"> lei</w:t>
      </w:r>
      <w:r w:rsidR="00CF5A62" w:rsidRPr="0024512C">
        <w:rPr>
          <w:rFonts w:asciiTheme="majorHAnsi" w:hAnsiTheme="majorHAnsi" w:cstheme="majorHAnsi"/>
          <w:sz w:val="24"/>
          <w:szCs w:val="24"/>
          <w:lang w:val="ro-MD" w:eastAsia="ru-RU"/>
        </w:rPr>
        <w:t xml:space="preserve"> </w:t>
      </w:r>
      <w:r w:rsidR="00433EC9" w:rsidRPr="0024512C">
        <w:rPr>
          <w:rFonts w:asciiTheme="majorHAnsi" w:hAnsiTheme="majorHAnsi" w:cstheme="majorHAnsi"/>
          <w:sz w:val="24"/>
          <w:szCs w:val="24"/>
          <w:lang w:val="ro-MD" w:eastAsia="ru-RU"/>
        </w:rPr>
        <w:t>–</w:t>
      </w:r>
      <w:r w:rsidR="008B116A" w:rsidRPr="0024512C">
        <w:rPr>
          <w:rFonts w:asciiTheme="majorHAnsi" w:hAnsiTheme="majorHAnsi" w:cstheme="majorHAnsi"/>
          <w:sz w:val="24"/>
          <w:szCs w:val="24"/>
          <w:lang w:val="ro-MD" w:eastAsia="ru-RU"/>
        </w:rPr>
        <w:t xml:space="preserve"> pentru formarea fondului de risc</w:t>
      </w:r>
      <w:r w:rsidR="00180F93" w:rsidRPr="0024512C">
        <w:rPr>
          <w:rFonts w:asciiTheme="majorHAnsi" w:hAnsiTheme="majorHAnsi" w:cstheme="majorHAnsi"/>
          <w:sz w:val="24"/>
          <w:szCs w:val="24"/>
          <w:lang w:val="ro-MD" w:eastAsia="ru-RU"/>
        </w:rPr>
        <w:t>,</w:t>
      </w:r>
      <w:r w:rsidR="008B116A" w:rsidRPr="0024512C">
        <w:rPr>
          <w:rFonts w:asciiTheme="majorHAnsi" w:hAnsiTheme="majorHAnsi" w:cstheme="majorHAnsi"/>
          <w:sz w:val="24"/>
          <w:szCs w:val="24"/>
          <w:lang w:val="ro-MD" w:eastAsia="ru-RU"/>
        </w:rPr>
        <w:t xml:space="preserve"> care până în anul 2017 </w:t>
      </w:r>
      <w:r w:rsidR="00D36737" w:rsidRPr="0024512C">
        <w:rPr>
          <w:rFonts w:asciiTheme="majorHAnsi" w:hAnsiTheme="majorHAnsi" w:cstheme="majorHAnsi"/>
          <w:sz w:val="24"/>
          <w:szCs w:val="24"/>
          <w:lang w:val="ro-MD" w:eastAsia="ru-RU"/>
        </w:rPr>
        <w:t>a fost</w:t>
      </w:r>
      <w:r w:rsidR="008B116A" w:rsidRPr="0024512C">
        <w:rPr>
          <w:rFonts w:asciiTheme="majorHAnsi" w:hAnsiTheme="majorHAnsi" w:cstheme="majorHAnsi"/>
          <w:sz w:val="24"/>
          <w:szCs w:val="24"/>
          <w:lang w:val="ro-MD" w:eastAsia="ru-RU"/>
        </w:rPr>
        <w:t xml:space="preserve"> gestionat de către MF.</w:t>
      </w:r>
    </w:p>
    <w:p w:rsidR="009E4B49" w:rsidRPr="0024512C" w:rsidRDefault="00A07D82" w:rsidP="00805CC0">
      <w:pPr>
        <w:pStyle w:val="ListParagraph"/>
        <w:numPr>
          <w:ilvl w:val="0"/>
          <w:numId w:val="1"/>
        </w:numPr>
        <w:autoSpaceDE w:val="0"/>
        <w:autoSpaceDN w:val="0"/>
        <w:adjustRightInd w:val="0"/>
        <w:spacing w:after="0" w:line="240" w:lineRule="auto"/>
        <w:outlineLvl w:val="0"/>
        <w:rPr>
          <w:rFonts w:asciiTheme="majorHAnsi" w:eastAsia="Times New Roman" w:hAnsiTheme="majorHAnsi" w:cstheme="majorHAnsi"/>
          <w:b/>
          <w:bCs/>
          <w:color w:val="5B9BD5" w:themeColor="accent1"/>
          <w:sz w:val="28"/>
          <w:szCs w:val="28"/>
          <w:lang w:val="ro-MD" w:eastAsia="ru-RU"/>
        </w:rPr>
      </w:pPr>
      <w:bookmarkStart w:id="6" w:name="_Toc47009706"/>
      <w:r w:rsidRPr="0024512C">
        <w:rPr>
          <w:rFonts w:asciiTheme="majorHAnsi" w:eastAsia="Times New Roman" w:hAnsiTheme="majorHAnsi" w:cstheme="majorHAnsi"/>
          <w:b/>
          <w:bCs/>
          <w:color w:val="5B9BD5" w:themeColor="accent1"/>
          <w:sz w:val="28"/>
          <w:szCs w:val="28"/>
          <w:lang w:val="ro-MD" w:eastAsia="ru-RU"/>
        </w:rPr>
        <w:t>SFERA ȘI A</w:t>
      </w:r>
      <w:r w:rsidR="005D35A1" w:rsidRPr="0024512C">
        <w:rPr>
          <w:rFonts w:asciiTheme="majorHAnsi" w:eastAsia="Times New Roman" w:hAnsiTheme="majorHAnsi" w:cstheme="majorHAnsi"/>
          <w:b/>
          <w:bCs/>
          <w:color w:val="5B9BD5" w:themeColor="accent1"/>
          <w:sz w:val="28"/>
          <w:szCs w:val="28"/>
          <w:lang w:val="ro-MD" w:eastAsia="ru-RU"/>
        </w:rPr>
        <w:t>B</w:t>
      </w:r>
      <w:r w:rsidRPr="0024512C">
        <w:rPr>
          <w:rFonts w:asciiTheme="majorHAnsi" w:eastAsia="Times New Roman" w:hAnsiTheme="majorHAnsi" w:cstheme="majorHAnsi"/>
          <w:b/>
          <w:bCs/>
          <w:color w:val="5B9BD5" w:themeColor="accent1"/>
          <w:sz w:val="28"/>
          <w:szCs w:val="28"/>
          <w:lang w:val="ro-MD" w:eastAsia="ru-RU"/>
        </w:rPr>
        <w:t>ORDAREA DE AUDIT</w:t>
      </w:r>
      <w:bookmarkEnd w:id="6"/>
    </w:p>
    <w:p w:rsidR="00BD3CD1" w:rsidRPr="00321F59" w:rsidRDefault="00F04539" w:rsidP="00BD3CD1">
      <w:pPr>
        <w:spacing w:line="276" w:lineRule="auto"/>
        <w:jc w:val="both"/>
        <w:rPr>
          <w:rFonts w:asciiTheme="majorHAnsi" w:hAnsiTheme="majorHAnsi" w:cstheme="majorHAnsi"/>
          <w:sz w:val="24"/>
          <w:szCs w:val="24"/>
          <w:lang w:val="ro-MD"/>
          <w14:glow w14:rad="0">
            <w14:schemeClr w14:val="tx1"/>
          </w14:glow>
        </w:rPr>
      </w:pPr>
      <w:r w:rsidRPr="0024512C">
        <w:rPr>
          <w:rFonts w:asciiTheme="majorHAnsi" w:eastAsia="Times New Roman" w:hAnsiTheme="majorHAnsi" w:cstheme="majorHAnsi"/>
          <w:bCs/>
          <w:sz w:val="24"/>
          <w:szCs w:val="24"/>
          <w:lang w:val="ro-MD" w:eastAsia="ru-RU"/>
        </w:rPr>
        <w:t xml:space="preserve">În contextul importanței funcțiilor delegate DLC în vederea gestionării și monitorizării Liniilor de credit finanțate din împrumuturi externe, Curtea de Conturi a dispus efectuarea unui audit al performanței </w:t>
      </w:r>
      <w:r w:rsidR="00BD3CD1" w:rsidRPr="0024512C">
        <w:rPr>
          <w:rFonts w:asciiTheme="majorHAnsi" w:eastAsia="Times New Roman" w:hAnsiTheme="majorHAnsi" w:cstheme="majorHAnsi"/>
          <w:bCs/>
          <w:sz w:val="24"/>
          <w:szCs w:val="24"/>
          <w:lang w:val="ro-MD" w:eastAsia="ru-RU"/>
        </w:rPr>
        <w:t xml:space="preserve">activității </w:t>
      </w:r>
      <w:r w:rsidR="002A6A73" w:rsidRPr="0024512C">
        <w:rPr>
          <w:rFonts w:asciiTheme="majorHAnsi" w:eastAsia="Times New Roman" w:hAnsiTheme="majorHAnsi" w:cstheme="majorHAnsi"/>
          <w:bCs/>
          <w:sz w:val="24"/>
          <w:szCs w:val="24"/>
          <w:lang w:val="ro-MD" w:eastAsia="ru-RU"/>
        </w:rPr>
        <w:t xml:space="preserve">Instituției Publice </w:t>
      </w:r>
      <w:r w:rsidR="00CF5A62" w:rsidRPr="0024512C">
        <w:rPr>
          <w:rFonts w:asciiTheme="majorHAnsi" w:eastAsia="Times New Roman" w:hAnsiTheme="majorHAnsi" w:cstheme="majorHAnsi"/>
          <w:bCs/>
          <w:sz w:val="24"/>
          <w:szCs w:val="24"/>
          <w:lang w:val="ro-MD" w:eastAsia="ru-RU"/>
        </w:rPr>
        <w:t>„</w:t>
      </w:r>
      <w:r w:rsidR="00BD3CD1" w:rsidRPr="0024512C">
        <w:rPr>
          <w:rFonts w:asciiTheme="majorHAnsi" w:eastAsia="Times New Roman" w:hAnsiTheme="majorHAnsi" w:cstheme="majorHAnsi"/>
          <w:bCs/>
          <w:sz w:val="24"/>
          <w:szCs w:val="24"/>
          <w:lang w:val="ro-MD" w:eastAsia="ru-RU"/>
        </w:rPr>
        <w:t>D</w:t>
      </w:r>
      <w:r w:rsidR="002A6A73" w:rsidRPr="0024512C">
        <w:rPr>
          <w:rFonts w:asciiTheme="majorHAnsi" w:eastAsia="Times New Roman" w:hAnsiTheme="majorHAnsi" w:cstheme="majorHAnsi"/>
          <w:bCs/>
          <w:sz w:val="24"/>
          <w:szCs w:val="24"/>
          <w:lang w:val="ro-MD" w:eastAsia="ru-RU"/>
        </w:rPr>
        <w:t xml:space="preserve">irectoratul </w:t>
      </w:r>
      <w:r w:rsidR="00BD3CD1" w:rsidRPr="0024512C">
        <w:rPr>
          <w:rFonts w:asciiTheme="majorHAnsi" w:eastAsia="Times New Roman" w:hAnsiTheme="majorHAnsi" w:cstheme="majorHAnsi"/>
          <w:bCs/>
          <w:sz w:val="24"/>
          <w:szCs w:val="24"/>
          <w:lang w:val="ro-MD" w:eastAsia="ru-RU"/>
        </w:rPr>
        <w:t>L</w:t>
      </w:r>
      <w:r w:rsidR="002A6A73" w:rsidRPr="0024512C">
        <w:rPr>
          <w:rFonts w:asciiTheme="majorHAnsi" w:eastAsia="Times New Roman" w:hAnsiTheme="majorHAnsi" w:cstheme="majorHAnsi"/>
          <w:bCs/>
          <w:sz w:val="24"/>
          <w:szCs w:val="24"/>
          <w:lang w:val="ro-MD" w:eastAsia="ru-RU"/>
        </w:rPr>
        <w:t xml:space="preserve">iniei de </w:t>
      </w:r>
      <w:r w:rsidR="00BD3CD1" w:rsidRPr="0024512C">
        <w:rPr>
          <w:rFonts w:asciiTheme="majorHAnsi" w:eastAsia="Times New Roman" w:hAnsiTheme="majorHAnsi" w:cstheme="majorHAnsi"/>
          <w:bCs/>
          <w:sz w:val="24"/>
          <w:szCs w:val="24"/>
          <w:lang w:val="ro-MD" w:eastAsia="ru-RU"/>
        </w:rPr>
        <w:t>C</w:t>
      </w:r>
      <w:r w:rsidR="002A6A73" w:rsidRPr="0024512C">
        <w:rPr>
          <w:rFonts w:asciiTheme="majorHAnsi" w:eastAsia="Times New Roman" w:hAnsiTheme="majorHAnsi" w:cstheme="majorHAnsi"/>
          <w:bCs/>
          <w:sz w:val="24"/>
          <w:szCs w:val="24"/>
          <w:lang w:val="ro-MD" w:eastAsia="ru-RU"/>
        </w:rPr>
        <w:t>redit</w:t>
      </w:r>
      <w:r w:rsidR="00433EC9" w:rsidRPr="0024512C">
        <w:rPr>
          <w:rFonts w:asciiTheme="majorHAnsi" w:eastAsia="Times New Roman" w:hAnsiTheme="majorHAnsi" w:cstheme="majorHAnsi"/>
          <w:bCs/>
          <w:sz w:val="24"/>
          <w:szCs w:val="24"/>
          <w:lang w:val="ro-MD" w:eastAsia="ru-RU"/>
        </w:rPr>
        <w:t>”</w:t>
      </w:r>
      <w:r w:rsidR="00BD3CD1" w:rsidRPr="0024512C">
        <w:rPr>
          <w:rFonts w:asciiTheme="majorHAnsi" w:eastAsia="Times New Roman" w:hAnsiTheme="majorHAnsi" w:cstheme="majorHAnsi"/>
          <w:bCs/>
          <w:sz w:val="24"/>
          <w:szCs w:val="24"/>
          <w:lang w:val="ro-MD" w:eastAsia="ru-RU"/>
        </w:rPr>
        <w:t>. Auditul a avut drept scop</w:t>
      </w:r>
      <w:r w:rsidR="00BD3CD1" w:rsidRPr="00321F59">
        <w:rPr>
          <w:rFonts w:asciiTheme="majorHAnsi" w:hAnsiTheme="majorHAnsi" w:cstheme="majorHAnsi"/>
          <w:sz w:val="24"/>
          <w:szCs w:val="24"/>
          <w:lang w:val="ro-MD"/>
          <w14:glow w14:rad="0">
            <w14:schemeClr w14:val="tx1"/>
          </w14:glow>
        </w:rPr>
        <w:t xml:space="preserve"> evaluarea performanțelor atinse de către Directoratul Liniei de Credit în administrarea Liniilor de credit și a Proiectelor transmise în gestionare de către Ministerul Finanțelor. </w:t>
      </w:r>
    </w:p>
    <w:p w:rsidR="00BD3CD1" w:rsidRPr="00A33B69" w:rsidRDefault="00BD3CD1" w:rsidP="00BD3CD1">
      <w:pPr>
        <w:spacing w:line="276" w:lineRule="auto"/>
        <w:jc w:val="both"/>
        <w:rPr>
          <w:rFonts w:asciiTheme="majorHAnsi" w:hAnsiTheme="majorHAnsi" w:cstheme="majorHAnsi"/>
          <w:color w:val="000000"/>
          <w:sz w:val="24"/>
          <w:szCs w:val="24"/>
          <w:lang w:val="ro-MD"/>
        </w:rPr>
      </w:pPr>
      <w:r w:rsidRPr="0024512C">
        <w:rPr>
          <w:rFonts w:asciiTheme="majorHAnsi" w:hAnsiTheme="majorHAnsi" w:cstheme="majorHAnsi"/>
          <w:bCs/>
          <w:sz w:val="24"/>
          <w:szCs w:val="24"/>
          <w:lang w:val="ro-MD"/>
        </w:rPr>
        <w:t xml:space="preserve">Obiectivul general al auditului a constat </w:t>
      </w:r>
      <w:r w:rsidRPr="0024512C">
        <w:rPr>
          <w:rFonts w:asciiTheme="majorHAnsi" w:eastAsia="Times New Roman" w:hAnsiTheme="majorHAnsi" w:cstheme="majorHAnsi"/>
          <w:bCs/>
          <w:sz w:val="24"/>
          <w:szCs w:val="24"/>
          <w:lang w:val="ro-MD"/>
        </w:rPr>
        <w:t xml:space="preserve">în </w:t>
      </w:r>
      <w:r w:rsidRPr="005C74F5">
        <w:rPr>
          <w:rFonts w:asciiTheme="majorHAnsi" w:eastAsia="Times New Roman" w:hAnsiTheme="majorHAnsi" w:cstheme="majorHAnsi"/>
          <w:b/>
          <w:bCs/>
          <w:i/>
          <w:sz w:val="24"/>
          <w:szCs w:val="24"/>
          <w:lang w:val="ro-MD"/>
        </w:rPr>
        <w:t>evaluarea performanței activității DLC, în care Ministerul Finanțelor are calitatea de fondator, prin prisma atribuțiilor care îi revin</w:t>
      </w:r>
      <w:r w:rsidRPr="005C74F5">
        <w:rPr>
          <w:rFonts w:asciiTheme="majorHAnsi" w:hAnsiTheme="majorHAnsi" w:cstheme="majorHAnsi"/>
          <w:bCs/>
          <w:sz w:val="24"/>
          <w:szCs w:val="24"/>
          <w:lang w:val="ro-MD"/>
        </w:rPr>
        <w:t>.</w:t>
      </w:r>
    </w:p>
    <w:p w:rsidR="00BD3CD1" w:rsidRPr="00321F59" w:rsidRDefault="00BD3CD1" w:rsidP="00BD3CD1">
      <w:pPr>
        <w:spacing w:after="0" w:line="276"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t xml:space="preserve">În scopul atingerii obiectivului general, auditul public extern a stabilit </w:t>
      </w:r>
      <w:r w:rsidR="002A6A73" w:rsidRPr="00321F59">
        <w:rPr>
          <w:rFonts w:asciiTheme="majorHAnsi" w:hAnsiTheme="majorHAnsi" w:cstheme="majorHAnsi"/>
          <w:sz w:val="24"/>
          <w:szCs w:val="24"/>
          <w:lang w:val="ro-MD"/>
        </w:rPr>
        <w:t>următoarele obiective specifice</w:t>
      </w:r>
      <w:r w:rsidRPr="00321F59">
        <w:rPr>
          <w:rFonts w:asciiTheme="majorHAnsi" w:hAnsiTheme="majorHAnsi" w:cstheme="majorHAnsi"/>
          <w:sz w:val="24"/>
          <w:szCs w:val="24"/>
          <w:lang w:val="ro-MD"/>
        </w:rPr>
        <w:t>:</w:t>
      </w:r>
    </w:p>
    <w:p w:rsidR="00BD3CD1" w:rsidRPr="00321F59" w:rsidRDefault="00BD3CD1" w:rsidP="00BD3CD1">
      <w:pPr>
        <w:tabs>
          <w:tab w:val="left" w:pos="284"/>
          <w:tab w:val="left" w:pos="567"/>
        </w:tabs>
        <w:spacing w:line="276" w:lineRule="auto"/>
        <w:jc w:val="both"/>
        <w:rPr>
          <w:rFonts w:asciiTheme="majorHAnsi" w:hAnsiTheme="majorHAnsi" w:cstheme="majorHAnsi"/>
          <w:sz w:val="24"/>
          <w:szCs w:val="24"/>
          <w:lang w:val="ro-MD"/>
        </w:rPr>
      </w:pPr>
      <w:r w:rsidRPr="00321F59">
        <w:rPr>
          <w:rFonts w:asciiTheme="majorHAnsi" w:hAnsiTheme="majorHAnsi" w:cstheme="majorHAnsi"/>
          <w:b/>
          <w:sz w:val="24"/>
          <w:szCs w:val="24"/>
          <w:lang w:val="ro-MD"/>
        </w:rPr>
        <w:t>Obiectivul specific I.</w:t>
      </w:r>
      <w:r w:rsidRPr="00321F59">
        <w:rPr>
          <w:rFonts w:asciiTheme="majorHAnsi" w:hAnsiTheme="majorHAnsi" w:cstheme="majorHAnsi"/>
          <w:sz w:val="24"/>
          <w:szCs w:val="24"/>
          <w:lang w:val="ro-MD"/>
        </w:rPr>
        <w:t xml:space="preserve"> Evaluarea economicității activităților operaționale ale DLC în corespundere cu principiile și practicile administrative rezonabile</w:t>
      </w:r>
      <w:r w:rsidR="00433EC9" w:rsidRPr="00321F59">
        <w:rPr>
          <w:rFonts w:asciiTheme="majorHAnsi" w:hAnsiTheme="majorHAnsi" w:cstheme="majorHAnsi"/>
          <w:sz w:val="24"/>
          <w:szCs w:val="24"/>
          <w:lang w:val="ro-MD"/>
        </w:rPr>
        <w:t>;</w:t>
      </w:r>
    </w:p>
    <w:p w:rsidR="00F04539" w:rsidRPr="00321F59" w:rsidRDefault="00BD3CD1" w:rsidP="009E4B49">
      <w:pPr>
        <w:tabs>
          <w:tab w:val="left" w:pos="284"/>
          <w:tab w:val="left" w:pos="567"/>
        </w:tabs>
        <w:spacing w:line="276" w:lineRule="auto"/>
        <w:jc w:val="both"/>
        <w:rPr>
          <w:rFonts w:asciiTheme="majorHAnsi" w:hAnsiTheme="majorHAnsi" w:cstheme="majorHAnsi"/>
          <w:sz w:val="24"/>
          <w:szCs w:val="24"/>
          <w:lang w:val="ro-MD"/>
        </w:rPr>
      </w:pPr>
      <w:r w:rsidRPr="00321F59">
        <w:rPr>
          <w:rFonts w:asciiTheme="majorHAnsi" w:hAnsiTheme="majorHAnsi" w:cstheme="majorHAnsi"/>
          <w:b/>
          <w:sz w:val="24"/>
          <w:szCs w:val="24"/>
          <w:lang w:val="ro-MD"/>
        </w:rPr>
        <w:t>Obiectivul specific II.</w:t>
      </w:r>
      <w:r w:rsidRPr="00321F59">
        <w:rPr>
          <w:rFonts w:asciiTheme="majorHAnsi" w:hAnsiTheme="majorHAnsi" w:cstheme="majorHAnsi"/>
          <w:sz w:val="24"/>
          <w:szCs w:val="24"/>
          <w:lang w:val="ro-MD"/>
        </w:rPr>
        <w:t xml:space="preserve"> </w:t>
      </w:r>
      <w:r w:rsidRPr="00321F59">
        <w:rPr>
          <w:rFonts w:asciiTheme="majorHAnsi" w:hAnsiTheme="majorHAnsi" w:cstheme="majorHAnsi"/>
          <w:sz w:val="24"/>
          <w:lang w:val="ro-MD"/>
        </w:rPr>
        <w:t xml:space="preserve">Evaluarea eficienței gestionării și monitorizării proiectelor investiționale </w:t>
      </w:r>
      <w:r w:rsidR="002A6A73" w:rsidRPr="00321F59">
        <w:rPr>
          <w:rFonts w:asciiTheme="majorHAnsi" w:hAnsiTheme="majorHAnsi" w:cstheme="majorHAnsi"/>
          <w:sz w:val="24"/>
          <w:lang w:val="ro-MD"/>
        </w:rPr>
        <w:t xml:space="preserve">și a Liniilor de credit </w:t>
      </w:r>
      <w:r w:rsidRPr="00321F59">
        <w:rPr>
          <w:rFonts w:asciiTheme="majorHAnsi" w:hAnsiTheme="majorHAnsi" w:cstheme="majorHAnsi"/>
          <w:sz w:val="24"/>
          <w:lang w:val="ro-MD"/>
        </w:rPr>
        <w:t>care au fost încredințate DLC</w:t>
      </w:r>
      <w:r w:rsidRPr="00321F59">
        <w:rPr>
          <w:rFonts w:asciiTheme="majorHAnsi" w:hAnsiTheme="majorHAnsi" w:cstheme="majorHAnsi"/>
          <w:sz w:val="24"/>
          <w:szCs w:val="24"/>
          <w:lang w:val="ro-MD"/>
        </w:rPr>
        <w:t xml:space="preserve">. </w:t>
      </w:r>
    </w:p>
    <w:p w:rsidR="00BD3CD1" w:rsidRPr="0024512C" w:rsidRDefault="00BD3CD1" w:rsidP="00BD3CD1">
      <w:pPr>
        <w:tabs>
          <w:tab w:val="left" w:pos="284"/>
          <w:tab w:val="left" w:pos="567"/>
        </w:tabs>
        <w:spacing w:line="276" w:lineRule="auto"/>
        <w:jc w:val="both"/>
        <w:rPr>
          <w:rFonts w:asciiTheme="majorHAnsi" w:eastAsia="Times New Roman" w:hAnsiTheme="majorHAnsi" w:cstheme="majorHAnsi"/>
          <w:bCs/>
          <w:sz w:val="24"/>
          <w:szCs w:val="24"/>
          <w:lang w:val="ro-MD" w:eastAsia="ru-RU"/>
        </w:rPr>
      </w:pPr>
      <w:r w:rsidRPr="0024512C">
        <w:rPr>
          <w:rFonts w:asciiTheme="majorHAnsi" w:eastAsia="Times New Roman" w:hAnsiTheme="majorHAnsi" w:cstheme="majorHAnsi"/>
          <w:bCs/>
          <w:sz w:val="24"/>
          <w:szCs w:val="24"/>
          <w:lang w:val="ro-MD" w:eastAsia="ru-RU"/>
        </w:rPr>
        <w:t xml:space="preserve">Auditul </w:t>
      </w:r>
      <w:r w:rsidR="009E4B49" w:rsidRPr="0024512C">
        <w:rPr>
          <w:rFonts w:asciiTheme="majorHAnsi" w:eastAsia="Times New Roman" w:hAnsiTheme="majorHAnsi" w:cstheme="majorHAnsi"/>
          <w:bCs/>
          <w:sz w:val="24"/>
          <w:szCs w:val="24"/>
          <w:lang w:val="ro-MD" w:eastAsia="ru-RU"/>
        </w:rPr>
        <w:t>a evalua</w:t>
      </w:r>
      <w:r w:rsidRPr="0024512C">
        <w:rPr>
          <w:rFonts w:asciiTheme="majorHAnsi" w:eastAsia="Times New Roman" w:hAnsiTheme="majorHAnsi" w:cstheme="majorHAnsi"/>
          <w:bCs/>
          <w:sz w:val="24"/>
          <w:szCs w:val="24"/>
          <w:lang w:val="ro-MD" w:eastAsia="ru-RU"/>
        </w:rPr>
        <w:t>t</w:t>
      </w:r>
      <w:r w:rsidR="009E4B49" w:rsidRPr="005C74F5">
        <w:rPr>
          <w:rFonts w:asciiTheme="majorHAnsi" w:eastAsia="Times New Roman" w:hAnsiTheme="majorHAnsi" w:cstheme="majorHAnsi"/>
          <w:bCs/>
          <w:sz w:val="24"/>
          <w:szCs w:val="24"/>
          <w:lang w:val="ro-MD" w:eastAsia="ru-RU"/>
        </w:rPr>
        <w:t xml:space="preserve"> modul de gestionare și gradul de implementare a </w:t>
      </w:r>
      <w:r w:rsidRPr="005C74F5">
        <w:rPr>
          <w:rFonts w:asciiTheme="majorHAnsi" w:eastAsia="Times New Roman" w:hAnsiTheme="majorHAnsi" w:cstheme="majorHAnsi"/>
          <w:bCs/>
          <w:sz w:val="24"/>
          <w:szCs w:val="24"/>
          <w:lang w:val="ro-MD" w:eastAsia="ru-RU"/>
        </w:rPr>
        <w:t xml:space="preserve">Liniilor de credit și a </w:t>
      </w:r>
      <w:r w:rsidR="009E4B49" w:rsidRPr="00A33B69">
        <w:rPr>
          <w:rFonts w:asciiTheme="majorHAnsi" w:eastAsia="Times New Roman" w:hAnsiTheme="majorHAnsi" w:cstheme="majorHAnsi"/>
          <w:bCs/>
          <w:sz w:val="24"/>
          <w:szCs w:val="24"/>
          <w:lang w:val="ro-MD" w:eastAsia="ru-RU"/>
        </w:rPr>
        <w:t xml:space="preserve">Proiectelor investiționale administrate de DLC pentru perioada 2015-2019 prin prisma: rezultatelor </w:t>
      </w:r>
      <w:r w:rsidR="009E4B49" w:rsidRPr="0024512C">
        <w:rPr>
          <w:rFonts w:asciiTheme="majorHAnsi" w:eastAsia="Times New Roman" w:hAnsiTheme="majorHAnsi" w:cstheme="majorHAnsi"/>
          <w:bCs/>
          <w:sz w:val="24"/>
          <w:szCs w:val="24"/>
          <w:lang w:val="ro-MD" w:eastAsia="ru-RU"/>
        </w:rPr>
        <w:t xml:space="preserve">obținute; mecanismului de monitorizare </w:t>
      </w:r>
      <w:r w:rsidRPr="0024512C">
        <w:rPr>
          <w:rFonts w:asciiTheme="majorHAnsi" w:eastAsia="Times New Roman" w:hAnsiTheme="majorHAnsi" w:cstheme="majorHAnsi"/>
          <w:bCs/>
          <w:sz w:val="24"/>
          <w:szCs w:val="24"/>
          <w:lang w:val="ro-MD" w:eastAsia="ru-RU"/>
        </w:rPr>
        <w:t>și</w:t>
      </w:r>
      <w:r w:rsidR="009E4B49" w:rsidRPr="0024512C">
        <w:rPr>
          <w:rFonts w:asciiTheme="majorHAnsi" w:eastAsia="Times New Roman" w:hAnsiTheme="majorHAnsi" w:cstheme="majorHAnsi"/>
          <w:bCs/>
          <w:sz w:val="24"/>
          <w:szCs w:val="24"/>
          <w:lang w:val="ro-MD" w:eastAsia="ru-RU"/>
        </w:rPr>
        <w:t xml:space="preserve"> coordonare; nivelului de finanțare </w:t>
      </w:r>
      <w:r w:rsidRPr="0024512C">
        <w:rPr>
          <w:rFonts w:asciiTheme="majorHAnsi" w:eastAsia="Times New Roman" w:hAnsiTheme="majorHAnsi" w:cstheme="majorHAnsi"/>
          <w:bCs/>
          <w:sz w:val="24"/>
          <w:szCs w:val="24"/>
          <w:lang w:val="ro-MD" w:eastAsia="ru-RU"/>
        </w:rPr>
        <w:t>și</w:t>
      </w:r>
      <w:r w:rsidR="009E4B49" w:rsidRPr="0024512C">
        <w:rPr>
          <w:rFonts w:asciiTheme="majorHAnsi" w:eastAsia="Times New Roman" w:hAnsiTheme="majorHAnsi" w:cstheme="majorHAnsi"/>
          <w:bCs/>
          <w:sz w:val="24"/>
          <w:szCs w:val="24"/>
          <w:lang w:val="ro-MD" w:eastAsia="ru-RU"/>
        </w:rPr>
        <w:t xml:space="preserve"> realizare a acțiunilor; utilizării eficiente </w:t>
      </w:r>
      <w:r w:rsidRPr="0024512C">
        <w:rPr>
          <w:rFonts w:asciiTheme="majorHAnsi" w:eastAsia="Times New Roman" w:hAnsiTheme="majorHAnsi" w:cstheme="majorHAnsi"/>
          <w:bCs/>
          <w:sz w:val="24"/>
          <w:szCs w:val="24"/>
          <w:lang w:val="ro-MD" w:eastAsia="ru-RU"/>
        </w:rPr>
        <w:t>și</w:t>
      </w:r>
      <w:r w:rsidR="009E4B49" w:rsidRPr="0024512C">
        <w:rPr>
          <w:rFonts w:asciiTheme="majorHAnsi" w:eastAsia="Times New Roman" w:hAnsiTheme="majorHAnsi" w:cstheme="majorHAnsi"/>
          <w:bCs/>
          <w:sz w:val="24"/>
          <w:szCs w:val="24"/>
          <w:lang w:val="ro-MD" w:eastAsia="ru-RU"/>
        </w:rPr>
        <w:t xml:space="preserve"> eficace a mijloacelor alocate, precum </w:t>
      </w:r>
      <w:r w:rsidRPr="0024512C">
        <w:rPr>
          <w:rFonts w:asciiTheme="majorHAnsi" w:eastAsia="Times New Roman" w:hAnsiTheme="majorHAnsi" w:cstheme="majorHAnsi"/>
          <w:bCs/>
          <w:sz w:val="24"/>
          <w:szCs w:val="24"/>
          <w:lang w:val="ro-MD" w:eastAsia="ru-RU"/>
        </w:rPr>
        <w:t>și</w:t>
      </w:r>
      <w:r w:rsidR="009E4B49" w:rsidRPr="0024512C">
        <w:rPr>
          <w:rFonts w:asciiTheme="majorHAnsi" w:eastAsia="Times New Roman" w:hAnsiTheme="majorHAnsi" w:cstheme="majorHAnsi"/>
          <w:bCs/>
          <w:sz w:val="24"/>
          <w:szCs w:val="24"/>
          <w:lang w:val="ro-MD" w:eastAsia="ru-RU"/>
        </w:rPr>
        <w:t xml:space="preserve"> prin acțiunile întreprinse de către instituțiile responsabile. </w:t>
      </w:r>
      <w:r w:rsidRPr="0024512C">
        <w:rPr>
          <w:rFonts w:asciiTheme="majorHAnsi" w:eastAsia="Times New Roman" w:hAnsiTheme="majorHAnsi" w:cstheme="majorHAnsi"/>
          <w:bCs/>
          <w:sz w:val="24"/>
          <w:szCs w:val="24"/>
          <w:lang w:val="ro-MD" w:eastAsia="ru-RU"/>
        </w:rPr>
        <w:t>În acest sens, echipa de audit a examinat probele de natură analitică și documentară.</w:t>
      </w:r>
    </w:p>
    <w:p w:rsidR="00BD3CD1" w:rsidRPr="0024512C" w:rsidRDefault="009E4B49" w:rsidP="00BD3CD1">
      <w:pPr>
        <w:tabs>
          <w:tab w:val="left" w:pos="284"/>
          <w:tab w:val="left" w:pos="567"/>
        </w:tabs>
        <w:spacing w:line="276" w:lineRule="auto"/>
        <w:jc w:val="both"/>
        <w:rPr>
          <w:rFonts w:asciiTheme="majorHAnsi" w:eastAsia="Times New Roman" w:hAnsiTheme="majorHAnsi" w:cstheme="majorHAnsi"/>
          <w:bCs/>
          <w:sz w:val="24"/>
          <w:szCs w:val="24"/>
          <w:lang w:val="ro-MD" w:eastAsia="ru-RU"/>
        </w:rPr>
      </w:pPr>
      <w:r w:rsidRPr="00321F59">
        <w:rPr>
          <w:rFonts w:asciiTheme="majorHAnsi" w:hAnsiTheme="majorHAnsi" w:cstheme="majorHAnsi"/>
          <w:bCs/>
          <w:sz w:val="24"/>
          <w:szCs w:val="24"/>
          <w:lang w:val="ro-MD"/>
        </w:rPr>
        <w:t>Abordarea de audit</w:t>
      </w:r>
      <w:r w:rsidR="00BD3CD1" w:rsidRPr="00321F59">
        <w:rPr>
          <w:rFonts w:asciiTheme="majorHAnsi" w:hAnsiTheme="majorHAnsi" w:cstheme="majorHAnsi"/>
          <w:sz w:val="24"/>
          <w:szCs w:val="24"/>
          <w:lang w:val="ro-MD"/>
        </w:rPr>
        <w:t xml:space="preserve"> a fost</w:t>
      </w:r>
      <w:r w:rsidRPr="00321F59">
        <w:rPr>
          <w:rFonts w:asciiTheme="majorHAnsi" w:hAnsiTheme="majorHAnsi" w:cstheme="majorHAnsi"/>
          <w:sz w:val="24"/>
          <w:szCs w:val="24"/>
          <w:lang w:val="ro-MD"/>
        </w:rPr>
        <w:t xml:space="preserve"> una combinată (mixtă), axată atât pe probleme de identificare și </w:t>
      </w:r>
      <w:r w:rsidRPr="00321F59">
        <w:rPr>
          <w:rFonts w:asciiTheme="majorHAnsi" w:hAnsiTheme="majorHAnsi" w:cstheme="majorHAnsi"/>
          <w:iCs/>
          <w:sz w:val="24"/>
          <w:szCs w:val="24"/>
          <w:lang w:val="ro-MD"/>
        </w:rPr>
        <w:t>analiză a deficiențelor cu impact asupra activității DLC</w:t>
      </w:r>
      <w:r w:rsidRPr="00321F59">
        <w:rPr>
          <w:rFonts w:asciiTheme="majorHAnsi" w:hAnsiTheme="majorHAnsi" w:cstheme="majorHAnsi"/>
          <w:sz w:val="24"/>
          <w:szCs w:val="24"/>
          <w:lang w:val="ro-MD"/>
        </w:rPr>
        <w:t>, cât și pe rezultate</w:t>
      </w:r>
      <w:r w:rsidR="00433EC9" w:rsidRPr="00321F59">
        <w:rPr>
          <w:rFonts w:asciiTheme="majorHAnsi" w:hAnsiTheme="majorHAnsi" w:cstheme="majorHAnsi"/>
          <w:sz w:val="24"/>
          <w:szCs w:val="24"/>
          <w:lang w:val="ro-MD"/>
        </w:rPr>
        <w:t>,</w:t>
      </w:r>
      <w:r w:rsidRPr="00321F59">
        <w:rPr>
          <w:rFonts w:asciiTheme="majorHAnsi" w:hAnsiTheme="majorHAnsi" w:cstheme="majorHAnsi"/>
          <w:iCs/>
          <w:sz w:val="24"/>
          <w:szCs w:val="24"/>
          <w:lang w:val="ro-MD"/>
        </w:rPr>
        <w:t xml:space="preserve"> în contextul analizei performanțelor obținute în mod eficient și eficace, ca urmare a analizei acțiunilor/obiectivelor planificate și rezultatelor obținute</w:t>
      </w:r>
      <w:r w:rsidRPr="00321F59">
        <w:rPr>
          <w:rFonts w:asciiTheme="majorHAnsi" w:hAnsiTheme="majorHAnsi" w:cstheme="majorHAnsi"/>
          <w:sz w:val="24"/>
          <w:szCs w:val="24"/>
          <w:lang w:val="ro-MD"/>
        </w:rPr>
        <w:t>, punându-se accent pe măsurile întreprinse de către factorii decizionali/responsabili de activitatea DLC.</w:t>
      </w:r>
      <w:r w:rsidR="00BD3CD1" w:rsidRPr="00321F59">
        <w:rPr>
          <w:rFonts w:asciiTheme="majorHAnsi" w:hAnsiTheme="majorHAnsi" w:cstheme="majorHAnsi"/>
          <w:sz w:val="24"/>
          <w:szCs w:val="24"/>
          <w:lang w:val="ro-MD"/>
        </w:rPr>
        <w:t xml:space="preserve"> </w:t>
      </w:r>
    </w:p>
    <w:p w:rsidR="00DB680B" w:rsidRPr="0024512C" w:rsidRDefault="00986443" w:rsidP="00965320">
      <w:pPr>
        <w:tabs>
          <w:tab w:val="left" w:pos="426"/>
        </w:tabs>
        <w:spacing w:line="276" w:lineRule="auto"/>
        <w:contextualSpacing/>
        <w:jc w:val="both"/>
        <w:rPr>
          <w:rFonts w:asciiTheme="majorHAnsi" w:hAnsiTheme="majorHAnsi" w:cstheme="majorHAnsi"/>
          <w:sz w:val="24"/>
          <w:szCs w:val="24"/>
          <w:lang w:val="ro-MD"/>
        </w:rPr>
      </w:pPr>
      <w:r w:rsidRPr="005C74F5">
        <w:rPr>
          <w:rFonts w:asciiTheme="majorHAnsi" w:hAnsiTheme="majorHAnsi" w:cstheme="majorHAnsi"/>
          <w:i/>
          <w:sz w:val="24"/>
          <w:szCs w:val="24"/>
          <w:lang w:val="ro-MD"/>
        </w:rPr>
        <w:t xml:space="preserve">Domeniul de aplicare </w:t>
      </w:r>
      <w:r w:rsidR="00965320" w:rsidRPr="00A33B69">
        <w:rPr>
          <w:rFonts w:asciiTheme="majorHAnsi" w:hAnsiTheme="majorHAnsi" w:cstheme="majorHAnsi"/>
          <w:i/>
          <w:sz w:val="24"/>
          <w:szCs w:val="24"/>
          <w:lang w:val="ro-MD"/>
        </w:rPr>
        <w:t>ș</w:t>
      </w:r>
      <w:r w:rsidR="00965320" w:rsidRPr="0024512C">
        <w:rPr>
          <w:rFonts w:asciiTheme="majorHAnsi" w:hAnsiTheme="majorHAnsi" w:cstheme="majorHAnsi"/>
          <w:i/>
          <w:sz w:val="24"/>
          <w:szCs w:val="24"/>
          <w:lang w:val="ro-MD"/>
        </w:rPr>
        <w:t>i</w:t>
      </w:r>
      <w:r w:rsidRPr="0024512C">
        <w:rPr>
          <w:rFonts w:asciiTheme="majorHAnsi" w:hAnsiTheme="majorHAnsi" w:cstheme="majorHAnsi"/>
          <w:i/>
          <w:sz w:val="24"/>
          <w:szCs w:val="24"/>
          <w:lang w:val="ro-MD"/>
        </w:rPr>
        <w:t xml:space="preserve"> metodologia de audit sunt prezentate în Anexa nr.</w:t>
      </w:r>
      <w:r w:rsidR="00CF5A62" w:rsidRPr="0024512C">
        <w:rPr>
          <w:rFonts w:asciiTheme="majorHAnsi" w:hAnsiTheme="majorHAnsi" w:cstheme="majorHAnsi"/>
          <w:i/>
          <w:sz w:val="24"/>
          <w:szCs w:val="24"/>
          <w:lang w:val="ro-MD"/>
        </w:rPr>
        <w:t xml:space="preserve"> </w:t>
      </w:r>
      <w:r w:rsidRPr="0024512C">
        <w:rPr>
          <w:rFonts w:asciiTheme="majorHAnsi" w:hAnsiTheme="majorHAnsi" w:cstheme="majorHAnsi"/>
          <w:i/>
          <w:sz w:val="24"/>
          <w:szCs w:val="24"/>
          <w:lang w:val="ro-MD"/>
        </w:rPr>
        <w:t>1 la prezentul Raport</w:t>
      </w:r>
      <w:r w:rsidR="00965320" w:rsidRPr="0024512C">
        <w:rPr>
          <w:rFonts w:asciiTheme="majorHAnsi" w:hAnsiTheme="majorHAnsi" w:cstheme="majorHAnsi"/>
          <w:i/>
          <w:sz w:val="24"/>
          <w:szCs w:val="24"/>
          <w:lang w:val="ro-MD"/>
        </w:rPr>
        <w:t xml:space="preserve"> de audit</w:t>
      </w:r>
      <w:r w:rsidRPr="0024512C">
        <w:rPr>
          <w:rFonts w:asciiTheme="majorHAnsi" w:hAnsiTheme="majorHAnsi" w:cstheme="majorHAnsi"/>
          <w:sz w:val="24"/>
          <w:szCs w:val="24"/>
          <w:lang w:val="ro-MD"/>
        </w:rPr>
        <w:t>.</w:t>
      </w:r>
    </w:p>
    <w:p w:rsidR="00A57057" w:rsidRPr="0024512C" w:rsidRDefault="00A07D82" w:rsidP="004927F5">
      <w:pPr>
        <w:pStyle w:val="ListParagraph"/>
        <w:numPr>
          <w:ilvl w:val="0"/>
          <w:numId w:val="1"/>
        </w:numPr>
        <w:autoSpaceDE w:val="0"/>
        <w:autoSpaceDN w:val="0"/>
        <w:adjustRightInd w:val="0"/>
        <w:spacing w:after="0" w:line="240" w:lineRule="auto"/>
        <w:outlineLvl w:val="0"/>
        <w:rPr>
          <w:rFonts w:asciiTheme="majorHAnsi" w:eastAsia="Times New Roman" w:hAnsiTheme="majorHAnsi" w:cstheme="majorHAnsi"/>
          <w:b/>
          <w:bCs/>
          <w:color w:val="5B9BD5" w:themeColor="accent1"/>
          <w:sz w:val="28"/>
          <w:szCs w:val="28"/>
          <w:lang w:val="ro-MD" w:eastAsia="ru-RU"/>
        </w:rPr>
      </w:pPr>
      <w:bookmarkStart w:id="7" w:name="_Toc47009707"/>
      <w:r w:rsidRPr="0024512C">
        <w:rPr>
          <w:rFonts w:asciiTheme="majorHAnsi" w:eastAsia="Times New Roman" w:hAnsiTheme="majorHAnsi" w:cstheme="majorHAnsi"/>
          <w:b/>
          <w:bCs/>
          <w:color w:val="5B9BD5" w:themeColor="accent1"/>
          <w:sz w:val="28"/>
          <w:szCs w:val="28"/>
          <w:lang w:val="ro-MD" w:eastAsia="ru-RU"/>
        </w:rPr>
        <w:t>CONSTATĂRI</w:t>
      </w:r>
      <w:bookmarkEnd w:id="7"/>
    </w:p>
    <w:p w:rsidR="00DB680B" w:rsidRPr="0024512C" w:rsidRDefault="00DB680B" w:rsidP="00DB680B">
      <w:pPr>
        <w:pStyle w:val="ListParagraph"/>
        <w:autoSpaceDE w:val="0"/>
        <w:autoSpaceDN w:val="0"/>
        <w:adjustRightInd w:val="0"/>
        <w:spacing w:after="0" w:line="240" w:lineRule="auto"/>
        <w:ind w:left="1080"/>
        <w:outlineLvl w:val="0"/>
        <w:rPr>
          <w:rFonts w:asciiTheme="majorHAnsi" w:eastAsia="Times New Roman" w:hAnsiTheme="majorHAnsi" w:cstheme="majorHAnsi"/>
          <w:b/>
          <w:bCs/>
          <w:color w:val="5B9BD5" w:themeColor="accent1"/>
          <w:sz w:val="16"/>
          <w:szCs w:val="16"/>
          <w:lang w:val="ro-MD" w:eastAsia="ru-RU"/>
        </w:rPr>
      </w:pPr>
    </w:p>
    <w:p w:rsidR="009F39B5" w:rsidRPr="0024512C" w:rsidRDefault="00F122A2" w:rsidP="00DB680B">
      <w:pPr>
        <w:pStyle w:val="ListParagraph"/>
        <w:numPr>
          <w:ilvl w:val="1"/>
          <w:numId w:val="2"/>
        </w:numPr>
        <w:autoSpaceDE w:val="0"/>
        <w:autoSpaceDN w:val="0"/>
        <w:adjustRightInd w:val="0"/>
        <w:spacing w:line="240" w:lineRule="auto"/>
        <w:ind w:left="0" w:firstLine="0"/>
        <w:jc w:val="both"/>
        <w:outlineLvl w:val="1"/>
        <w:rPr>
          <w:rFonts w:asciiTheme="majorHAnsi" w:eastAsia="Times New Roman" w:hAnsiTheme="majorHAnsi" w:cstheme="majorHAnsi"/>
          <w:b/>
          <w:bCs/>
          <w:color w:val="5B9BD5" w:themeColor="accent1"/>
          <w:sz w:val="26"/>
          <w:szCs w:val="26"/>
          <w:lang w:val="ro-MD" w:eastAsia="ru-RU"/>
        </w:rPr>
      </w:pPr>
      <w:bookmarkStart w:id="8" w:name="_Toc47009708"/>
      <w:r w:rsidRPr="00321F59">
        <w:rPr>
          <w:rFonts w:asciiTheme="majorHAnsi" w:eastAsia="Times New Roman" w:hAnsiTheme="majorHAnsi" w:cstheme="majorHAnsi"/>
          <w:b/>
          <w:bCs/>
          <w:color w:val="5B9BD5" w:themeColor="accent1"/>
          <w:sz w:val="26"/>
          <w:szCs w:val="26"/>
          <w:lang w:val="ro-MD" w:eastAsia="ru-RU"/>
        </w:rPr>
        <w:t>Obiectivul specific I. Evaluarea economicității activităților operaționale ale DLC în corespundere cu principiile și practicile administrative rezonabile</w:t>
      </w:r>
      <w:bookmarkEnd w:id="8"/>
    </w:p>
    <w:p w:rsidR="004927F5" w:rsidRPr="00321F59" w:rsidRDefault="004927F5" w:rsidP="00741F97">
      <w:pPr>
        <w:spacing w:line="276" w:lineRule="auto"/>
        <w:jc w:val="both"/>
        <w:rPr>
          <w:rFonts w:asciiTheme="majorHAnsi" w:hAnsiTheme="majorHAnsi" w:cstheme="majorHAns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lastRenderedPageBreak/>
        <w:t>Activitatea operațională aferentă faptelor economice de întreținere a DLC se bazează</w:t>
      </w:r>
      <w:r w:rsidR="00CF5A62" w:rsidRPr="00321F59">
        <w:rPr>
          <w:rFonts w:asciiTheme="majorHAnsi" w:hAnsiTheme="majorHAnsi" w:cstheme="majorHAnsi"/>
          <w:sz w:val="24"/>
          <w:szCs w:val="24"/>
          <w:lang w:val="ro-MD"/>
          <w14:glow w14:rad="0">
            <w14:schemeClr w14:val="tx1"/>
          </w14:glow>
        </w:rPr>
        <w:t xml:space="preserve"> pe autonomia</w:t>
      </w:r>
      <w:r w:rsidRPr="00321F59">
        <w:rPr>
          <w:rFonts w:asciiTheme="majorHAnsi" w:hAnsiTheme="majorHAnsi" w:cstheme="majorHAnsi"/>
          <w:sz w:val="24"/>
          <w:szCs w:val="24"/>
          <w:lang w:val="ro-MD"/>
          <w14:glow w14:rad="0">
            <w14:schemeClr w14:val="tx1"/>
          </w14:glow>
        </w:rPr>
        <w:t xml:space="preserve"> administrativă și financiară a DLC și se efectuează în baza bugetului anual.</w:t>
      </w:r>
    </w:p>
    <w:p w:rsidR="004927F5" w:rsidRPr="0024512C" w:rsidRDefault="006C4C86" w:rsidP="00741F97">
      <w:pPr>
        <w:spacing w:line="276" w:lineRule="auto"/>
        <w:jc w:val="both"/>
        <w:rPr>
          <w:rFonts w:asciiTheme="majorHAnsi" w:hAnsiTheme="majorHAnsi" w:cstheme="majorHAnsi"/>
          <w:sz w:val="24"/>
          <w:szCs w:val="24"/>
          <w:lang w:val="ro-MD"/>
          <w14:glow w14:rad="0">
            <w14:schemeClr w14:val="tx1"/>
          </w14:glow>
        </w:rPr>
      </w:pPr>
      <w:r w:rsidRPr="0024512C">
        <w:rPr>
          <w:rFonts w:asciiTheme="majorHAnsi" w:hAnsiTheme="majorHAnsi" w:cstheme="majorHAnsi"/>
          <w:sz w:val="24"/>
          <w:szCs w:val="24"/>
          <w:lang w:val="ro-MD" w:eastAsia="ru-RU"/>
        </w:rPr>
        <w:t xml:space="preserve">Conform Hotărârii Guvernului nr.953 din 07.09.2001, </w:t>
      </w:r>
      <w:r w:rsidRPr="00321F59">
        <w:rPr>
          <w:rFonts w:asciiTheme="majorHAnsi" w:hAnsiTheme="majorHAnsi" w:cstheme="majorHAnsi"/>
          <w:sz w:val="24"/>
          <w:szCs w:val="24"/>
          <w:lang w:val="ro-MD"/>
          <w14:glow w14:rad="0">
            <w14:schemeClr w14:val="tx1"/>
          </w14:glow>
        </w:rPr>
        <w:t>m</w:t>
      </w:r>
      <w:r w:rsidR="004927F5" w:rsidRPr="00321F59">
        <w:rPr>
          <w:rFonts w:asciiTheme="majorHAnsi" w:hAnsiTheme="majorHAnsi" w:cstheme="majorHAnsi"/>
          <w:sz w:val="24"/>
          <w:szCs w:val="24"/>
          <w:lang w:val="ro-MD"/>
          <w14:glow w14:rad="0">
            <w14:schemeClr w14:val="tx1"/>
          </w14:glow>
        </w:rPr>
        <w:t>ijloacele financiare pen</w:t>
      </w:r>
      <w:r w:rsidR="00CF5A62" w:rsidRPr="00321F59">
        <w:rPr>
          <w:rFonts w:asciiTheme="majorHAnsi" w:hAnsiTheme="majorHAnsi" w:cstheme="majorHAnsi"/>
          <w:sz w:val="24"/>
          <w:szCs w:val="24"/>
          <w:lang w:val="ro-MD"/>
          <w14:glow w14:rad="0">
            <w14:schemeClr w14:val="tx1"/>
          </w14:glow>
        </w:rPr>
        <w:t>tru activitatea operațională a</w:t>
      </w:r>
      <w:r w:rsidR="004927F5" w:rsidRPr="00321F59">
        <w:rPr>
          <w:rFonts w:asciiTheme="majorHAnsi" w:hAnsiTheme="majorHAnsi" w:cstheme="majorHAnsi"/>
          <w:sz w:val="24"/>
          <w:szCs w:val="24"/>
          <w:lang w:val="ro-MD"/>
          <w14:glow w14:rad="0">
            <w14:schemeClr w14:val="tx1"/>
          </w14:glow>
        </w:rPr>
        <w:t xml:space="preserve"> DLC se formează din dobânda adăugată la sub-împrumuturile acordate IFP, donațiile donatorilor străini și autohtoni și </w:t>
      </w:r>
      <w:r w:rsidR="00CF5A62" w:rsidRPr="00321F59">
        <w:rPr>
          <w:rFonts w:asciiTheme="majorHAnsi" w:hAnsiTheme="majorHAnsi" w:cstheme="majorHAnsi"/>
          <w:sz w:val="24"/>
          <w:szCs w:val="24"/>
          <w:lang w:val="ro-MD"/>
          <w14:glow w14:rad="0">
            <w14:schemeClr w14:val="tx1"/>
          </w14:glow>
        </w:rPr>
        <w:t xml:space="preserve">din </w:t>
      </w:r>
      <w:r w:rsidR="004927F5" w:rsidRPr="00321F59">
        <w:rPr>
          <w:rFonts w:asciiTheme="majorHAnsi" w:hAnsiTheme="majorHAnsi" w:cstheme="majorHAnsi"/>
          <w:sz w:val="24"/>
          <w:szCs w:val="24"/>
          <w:lang w:val="ro-MD"/>
          <w14:glow w14:rad="0">
            <w14:schemeClr w14:val="tx1"/>
          </w14:glow>
        </w:rPr>
        <w:t>alte surse legale.</w:t>
      </w:r>
    </w:p>
    <w:p w:rsidR="00741F97" w:rsidRPr="0024512C" w:rsidRDefault="00741F97" w:rsidP="00741F97">
      <w:pPr>
        <w:spacing w:line="276" w:lineRule="auto"/>
        <w:jc w:val="both"/>
        <w:rPr>
          <w:rFonts w:asciiTheme="majorHAnsi" w:hAnsiTheme="majorHAnsi" w:cstheme="majorHAnsi"/>
          <w:sz w:val="24"/>
          <w:szCs w:val="24"/>
          <w:lang w:val="ro-MD"/>
          <w14:glow w14:rad="0">
            <w14:schemeClr w14:val="tx1"/>
          </w14:glow>
        </w:rPr>
      </w:pPr>
      <w:r w:rsidRPr="005C74F5">
        <w:rPr>
          <w:rFonts w:asciiTheme="majorHAnsi" w:hAnsiTheme="majorHAnsi" w:cstheme="majorHAnsi"/>
          <w:sz w:val="24"/>
          <w:szCs w:val="24"/>
          <w:lang w:val="ro-MD"/>
          <w14:glow w14:rad="0">
            <w14:schemeClr w14:val="tx1"/>
          </w14:glow>
        </w:rPr>
        <w:t xml:space="preserve">Resursele DLC se acumulează în </w:t>
      </w:r>
      <w:r w:rsidR="00192623" w:rsidRPr="005C74F5">
        <w:rPr>
          <w:rFonts w:asciiTheme="majorHAnsi" w:hAnsiTheme="majorHAnsi" w:cstheme="majorHAnsi"/>
          <w:sz w:val="24"/>
          <w:szCs w:val="24"/>
          <w:lang w:val="ro-MD"/>
          <w14:glow w14:rad="0">
            <w14:schemeClr w14:val="tx1"/>
          </w14:glow>
        </w:rPr>
        <w:t xml:space="preserve">fondul de autofinanțare a DLC </w:t>
      </w:r>
      <w:r w:rsidRPr="005C74F5">
        <w:rPr>
          <w:rFonts w:asciiTheme="majorHAnsi" w:hAnsiTheme="majorHAnsi" w:cstheme="majorHAnsi"/>
          <w:sz w:val="24"/>
          <w:szCs w:val="24"/>
          <w:lang w:val="ro-MD"/>
          <w14:glow w14:rad="0">
            <w14:schemeClr w14:val="tx1"/>
          </w14:glow>
        </w:rPr>
        <w:t>ș</w:t>
      </w:r>
      <w:r w:rsidRPr="00A33B69">
        <w:rPr>
          <w:rFonts w:asciiTheme="majorHAnsi" w:hAnsiTheme="majorHAnsi" w:cstheme="majorHAnsi"/>
          <w:sz w:val="24"/>
          <w:szCs w:val="24"/>
          <w:lang w:val="ro-MD"/>
          <w14:glow w14:rad="0">
            <w14:schemeClr w14:val="tx1"/>
          </w14:glow>
        </w:rPr>
        <w:t>i se utilizează în conform</w:t>
      </w:r>
      <w:r w:rsidRPr="0024512C">
        <w:rPr>
          <w:rFonts w:asciiTheme="majorHAnsi" w:hAnsiTheme="majorHAnsi" w:cstheme="majorHAnsi"/>
          <w:sz w:val="24"/>
          <w:szCs w:val="24"/>
          <w:lang w:val="ro-MD"/>
          <w14:glow w14:rad="0">
            <w14:schemeClr w14:val="tx1"/>
          </w14:glow>
        </w:rPr>
        <w:t xml:space="preserve">itate cu bugetul anual, care este coordonat cu Consiliul DLC și aprobat de </w:t>
      </w:r>
      <w:r w:rsidR="00CF5A62" w:rsidRPr="0024512C">
        <w:rPr>
          <w:rFonts w:asciiTheme="majorHAnsi" w:hAnsiTheme="majorHAnsi" w:cstheme="majorHAnsi"/>
          <w:sz w:val="24"/>
          <w:szCs w:val="24"/>
          <w:lang w:val="ro-MD"/>
          <w14:glow w14:rad="0">
            <w14:schemeClr w14:val="tx1"/>
          </w14:glow>
        </w:rPr>
        <w:t>m</w:t>
      </w:r>
      <w:r w:rsidRPr="0024512C">
        <w:rPr>
          <w:rFonts w:asciiTheme="majorHAnsi" w:hAnsiTheme="majorHAnsi" w:cstheme="majorHAnsi"/>
          <w:sz w:val="24"/>
          <w:szCs w:val="24"/>
          <w:lang w:val="ro-MD"/>
          <w14:glow w14:rad="0">
            <w14:schemeClr w14:val="tx1"/>
          </w14:glow>
        </w:rPr>
        <w:t xml:space="preserve">inistrul </w:t>
      </w:r>
      <w:r w:rsidR="00CF5A62" w:rsidRPr="0024512C">
        <w:rPr>
          <w:rFonts w:asciiTheme="majorHAnsi" w:hAnsiTheme="majorHAnsi" w:cstheme="majorHAnsi"/>
          <w:sz w:val="24"/>
          <w:szCs w:val="24"/>
          <w:lang w:val="ro-MD"/>
          <w14:glow w14:rad="0">
            <w14:schemeClr w14:val="tx1"/>
          </w14:glow>
        </w:rPr>
        <w:t>F</w:t>
      </w:r>
      <w:r w:rsidRPr="0024512C">
        <w:rPr>
          <w:rFonts w:asciiTheme="majorHAnsi" w:hAnsiTheme="majorHAnsi" w:cstheme="majorHAnsi"/>
          <w:sz w:val="24"/>
          <w:szCs w:val="24"/>
          <w:lang w:val="ro-MD"/>
          <w14:glow w14:rad="0">
            <w14:schemeClr w14:val="tx1"/>
          </w14:glow>
        </w:rPr>
        <w:t>inanțelor. Mijlo</w:t>
      </w:r>
      <w:r w:rsidR="00CF5A62" w:rsidRPr="0024512C">
        <w:rPr>
          <w:rFonts w:asciiTheme="majorHAnsi" w:hAnsiTheme="majorHAnsi" w:cstheme="majorHAnsi"/>
          <w:sz w:val="24"/>
          <w:szCs w:val="24"/>
          <w:lang w:val="ro-MD"/>
          <w14:glow w14:rad="0">
            <w14:schemeClr w14:val="tx1"/>
          </w14:glow>
        </w:rPr>
        <w:t>a</w:t>
      </w:r>
      <w:r w:rsidRPr="0024512C">
        <w:rPr>
          <w:rFonts w:asciiTheme="majorHAnsi" w:hAnsiTheme="majorHAnsi" w:cstheme="majorHAnsi"/>
          <w:sz w:val="24"/>
          <w:szCs w:val="24"/>
          <w:lang w:val="ro-MD"/>
          <w14:glow w14:rad="0">
            <w14:schemeClr w14:val="tx1"/>
          </w14:glow>
        </w:rPr>
        <w:t>cele neutilizate pe parcursul anului în curs se raportea</w:t>
      </w:r>
      <w:r w:rsidR="00F0104E" w:rsidRPr="0024512C">
        <w:rPr>
          <w:rFonts w:asciiTheme="majorHAnsi" w:hAnsiTheme="majorHAnsi" w:cstheme="majorHAnsi"/>
          <w:sz w:val="24"/>
          <w:szCs w:val="24"/>
          <w:lang w:val="ro-MD"/>
          <w14:glow w14:rad="0">
            <w14:schemeClr w14:val="tx1"/>
          </w14:glow>
        </w:rPr>
        <w:t>ză pentru anul viitor</w:t>
      </w:r>
      <w:r w:rsidR="00433EC9" w:rsidRPr="0024512C">
        <w:rPr>
          <w:rFonts w:asciiTheme="majorHAnsi" w:hAnsiTheme="majorHAnsi" w:cstheme="majorHAnsi"/>
          <w:sz w:val="24"/>
          <w:szCs w:val="24"/>
          <w:lang w:val="ro-MD"/>
          <w14:glow w14:rad="0">
            <w14:schemeClr w14:val="tx1"/>
          </w14:glow>
        </w:rPr>
        <w:t>, pentru</w:t>
      </w:r>
      <w:r w:rsidRPr="0024512C">
        <w:rPr>
          <w:rFonts w:asciiTheme="majorHAnsi" w:hAnsiTheme="majorHAnsi" w:cstheme="majorHAnsi"/>
          <w:sz w:val="24"/>
          <w:szCs w:val="24"/>
          <w:lang w:val="ro-MD"/>
          <w14:glow w14:rad="0">
            <w14:schemeClr w14:val="tx1"/>
          </w14:glow>
        </w:rPr>
        <w:t xml:space="preserve"> a fi utilizate conform bugetului aprobat pentru an</w:t>
      </w:r>
      <w:r w:rsidR="00433EC9" w:rsidRPr="0024512C">
        <w:rPr>
          <w:rFonts w:asciiTheme="majorHAnsi" w:hAnsiTheme="majorHAnsi" w:cstheme="majorHAnsi"/>
          <w:sz w:val="24"/>
          <w:szCs w:val="24"/>
          <w:lang w:val="ro-MD"/>
          <w14:glow w14:rad="0">
            <w14:schemeClr w14:val="tx1"/>
          </w14:glow>
        </w:rPr>
        <w:t>ul respectiv</w:t>
      </w:r>
      <w:r w:rsidRPr="0024512C">
        <w:rPr>
          <w:rFonts w:asciiTheme="majorHAnsi" w:hAnsiTheme="majorHAnsi" w:cstheme="majorHAnsi"/>
          <w:sz w:val="24"/>
          <w:szCs w:val="24"/>
          <w:lang w:val="ro-MD"/>
          <w14:glow w14:rad="0">
            <w14:schemeClr w14:val="tx1"/>
          </w14:glow>
        </w:rPr>
        <w:t>.</w:t>
      </w:r>
    </w:p>
    <w:p w:rsidR="00741F97" w:rsidRPr="0024512C" w:rsidRDefault="00741F97" w:rsidP="00741F97">
      <w:pPr>
        <w:spacing w:line="276" w:lineRule="auto"/>
        <w:jc w:val="both"/>
        <w:rPr>
          <w:rFonts w:asciiTheme="majorHAnsi" w:hAnsiTheme="majorHAnsi" w:cstheme="majorHAnsi"/>
          <w:sz w:val="24"/>
          <w:szCs w:val="24"/>
          <w:lang w:val="ro-MD"/>
          <w14:glow w14:rad="0">
            <w14:schemeClr w14:val="tx1"/>
          </w14:glow>
        </w:rPr>
      </w:pPr>
      <w:r w:rsidRPr="0024512C">
        <w:rPr>
          <w:rFonts w:asciiTheme="majorHAnsi" w:hAnsiTheme="majorHAnsi" w:cstheme="majorHAnsi"/>
          <w:sz w:val="24"/>
          <w:szCs w:val="24"/>
          <w:lang w:val="ro-MD"/>
          <w14:glow w14:rad="0">
            <w14:schemeClr w14:val="tx1"/>
          </w14:glow>
        </w:rPr>
        <w:t>După încetarea activității DLC, toate mijloacele de pe conturile acestuia și patrimoniul din proprietatea lui vor trece în posesia MF</w:t>
      </w:r>
      <w:r w:rsidR="00AD4B10" w:rsidRPr="0024512C">
        <w:rPr>
          <w:rStyle w:val="FootnoteReference"/>
          <w:rFonts w:asciiTheme="majorHAnsi" w:hAnsiTheme="majorHAnsi" w:cstheme="majorHAnsi"/>
          <w:sz w:val="24"/>
          <w:szCs w:val="24"/>
          <w:lang w:val="ro-MD"/>
          <w14:glow w14:rad="0">
            <w14:schemeClr w14:val="tx1"/>
          </w14:glow>
        </w:rPr>
        <w:footnoteReference w:id="4"/>
      </w:r>
      <w:r w:rsidRPr="0024512C">
        <w:rPr>
          <w:rFonts w:asciiTheme="majorHAnsi" w:hAnsiTheme="majorHAnsi" w:cstheme="majorHAnsi"/>
          <w:sz w:val="24"/>
          <w:szCs w:val="24"/>
          <w:lang w:val="ro-MD"/>
          <w14:glow w14:rad="0">
            <w14:schemeClr w14:val="tx1"/>
          </w14:glow>
        </w:rPr>
        <w:t>.</w:t>
      </w:r>
    </w:p>
    <w:p w:rsidR="00F122A2" w:rsidRPr="0024512C" w:rsidRDefault="00573175" w:rsidP="00DB680B">
      <w:pPr>
        <w:pStyle w:val="ListParagraph"/>
        <w:numPr>
          <w:ilvl w:val="2"/>
          <w:numId w:val="2"/>
        </w:numPr>
        <w:autoSpaceDE w:val="0"/>
        <w:autoSpaceDN w:val="0"/>
        <w:adjustRightInd w:val="0"/>
        <w:spacing w:line="240" w:lineRule="auto"/>
        <w:ind w:left="0" w:firstLine="0"/>
        <w:jc w:val="both"/>
        <w:outlineLvl w:val="1"/>
        <w:rPr>
          <w:rFonts w:asciiTheme="majorHAnsi" w:eastAsia="Times New Roman" w:hAnsiTheme="majorHAnsi" w:cstheme="majorHAnsi"/>
          <w:b/>
          <w:bCs/>
          <w:i/>
          <w:color w:val="5B9BD5" w:themeColor="accent1"/>
          <w:sz w:val="24"/>
          <w:szCs w:val="24"/>
          <w:lang w:val="ro-MD" w:eastAsia="ru-RU"/>
        </w:rPr>
      </w:pPr>
      <w:bookmarkStart w:id="9" w:name="_Toc47009709"/>
      <w:r w:rsidRPr="005C74F5">
        <w:rPr>
          <w:rFonts w:asciiTheme="majorHAnsi" w:eastAsia="Times New Roman" w:hAnsiTheme="majorHAnsi" w:cstheme="majorHAnsi"/>
          <w:b/>
          <w:bCs/>
          <w:i/>
          <w:color w:val="5B9BD5" w:themeColor="accent1"/>
          <w:sz w:val="24"/>
          <w:szCs w:val="24"/>
          <w:lang w:val="ro-MD" w:eastAsia="ru-RU"/>
        </w:rPr>
        <w:t>Cheltuielile ce țin</w:t>
      </w:r>
      <w:r w:rsidR="00F122A2" w:rsidRPr="005C74F5">
        <w:rPr>
          <w:rFonts w:asciiTheme="majorHAnsi" w:eastAsia="Times New Roman" w:hAnsiTheme="majorHAnsi" w:cstheme="majorHAnsi"/>
          <w:b/>
          <w:bCs/>
          <w:i/>
          <w:color w:val="5B9BD5" w:themeColor="accent1"/>
          <w:sz w:val="24"/>
          <w:szCs w:val="24"/>
          <w:lang w:val="ro-MD" w:eastAsia="ru-RU"/>
        </w:rPr>
        <w:t xml:space="preserve"> </w:t>
      </w:r>
      <w:r w:rsidRPr="005C74F5">
        <w:rPr>
          <w:rFonts w:asciiTheme="majorHAnsi" w:eastAsia="Times New Roman" w:hAnsiTheme="majorHAnsi" w:cstheme="majorHAnsi"/>
          <w:b/>
          <w:bCs/>
          <w:i/>
          <w:color w:val="5B9BD5" w:themeColor="accent1"/>
          <w:sz w:val="24"/>
          <w:szCs w:val="24"/>
          <w:lang w:val="ro-MD" w:eastAsia="ru-RU"/>
        </w:rPr>
        <w:t>de</w:t>
      </w:r>
      <w:r w:rsidR="00F122A2" w:rsidRPr="00A33B69">
        <w:rPr>
          <w:rFonts w:asciiTheme="majorHAnsi" w:eastAsia="Times New Roman" w:hAnsiTheme="majorHAnsi" w:cstheme="majorHAnsi"/>
          <w:b/>
          <w:bCs/>
          <w:i/>
          <w:color w:val="5B9BD5" w:themeColor="accent1"/>
          <w:sz w:val="24"/>
          <w:szCs w:val="24"/>
          <w:lang w:val="ro-MD" w:eastAsia="ru-RU"/>
        </w:rPr>
        <w:t xml:space="preserve"> activitatea operațională </w:t>
      </w:r>
      <w:r w:rsidR="006705EF" w:rsidRPr="0024512C">
        <w:rPr>
          <w:rFonts w:asciiTheme="majorHAnsi" w:eastAsia="Times New Roman" w:hAnsiTheme="majorHAnsi" w:cstheme="majorHAnsi"/>
          <w:b/>
          <w:bCs/>
          <w:i/>
          <w:color w:val="5B9BD5" w:themeColor="accent1"/>
          <w:sz w:val="24"/>
          <w:szCs w:val="24"/>
          <w:lang w:val="ro-MD" w:eastAsia="ru-RU"/>
        </w:rPr>
        <w:t>a DLC s-au încadrat în</w:t>
      </w:r>
      <w:r w:rsidRPr="0024512C">
        <w:rPr>
          <w:rFonts w:asciiTheme="majorHAnsi" w:eastAsia="Times New Roman" w:hAnsiTheme="majorHAnsi" w:cstheme="majorHAnsi"/>
          <w:b/>
          <w:bCs/>
          <w:i/>
          <w:color w:val="5B9BD5" w:themeColor="accent1"/>
          <w:sz w:val="24"/>
          <w:szCs w:val="24"/>
          <w:lang w:val="ro-MD" w:eastAsia="ru-RU"/>
        </w:rPr>
        <w:t xml:space="preserve"> bugetul aprobat</w:t>
      </w:r>
      <w:r w:rsidR="006705EF" w:rsidRPr="0024512C">
        <w:rPr>
          <w:rFonts w:asciiTheme="majorHAnsi" w:eastAsia="Times New Roman" w:hAnsiTheme="majorHAnsi" w:cstheme="majorHAnsi"/>
          <w:b/>
          <w:bCs/>
          <w:i/>
          <w:color w:val="5B9BD5" w:themeColor="accent1"/>
          <w:sz w:val="24"/>
          <w:szCs w:val="24"/>
          <w:lang w:val="ro-MD" w:eastAsia="ru-RU"/>
        </w:rPr>
        <w:t xml:space="preserve"> pentru anul 2019</w:t>
      </w:r>
      <w:bookmarkEnd w:id="9"/>
      <w:r w:rsidRPr="0024512C">
        <w:rPr>
          <w:rFonts w:asciiTheme="majorHAnsi" w:eastAsia="Times New Roman" w:hAnsiTheme="majorHAnsi" w:cstheme="majorHAnsi"/>
          <w:b/>
          <w:bCs/>
          <w:i/>
          <w:color w:val="5B9BD5" w:themeColor="accent1"/>
          <w:sz w:val="24"/>
          <w:szCs w:val="24"/>
          <w:lang w:val="ro-MD" w:eastAsia="ru-RU"/>
        </w:rPr>
        <w:t xml:space="preserve"> </w:t>
      </w:r>
    </w:p>
    <w:p w:rsidR="00192623" w:rsidRPr="00321F59" w:rsidRDefault="009F5C4D" w:rsidP="00F122A2">
      <w:pPr>
        <w:spacing w:line="276" w:lineRule="auto"/>
        <w:jc w:val="both"/>
        <w:rPr>
          <w:rFonts w:asciiTheme="majorHAnsi" w:hAnsiTheme="majorHAnsi" w:cstheme="majorHAns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t xml:space="preserve">Conform Regulamentului </w:t>
      </w:r>
      <w:r w:rsidR="00CF5A62" w:rsidRPr="00321F59">
        <w:rPr>
          <w:rFonts w:asciiTheme="majorHAnsi" w:hAnsiTheme="majorHAnsi" w:cstheme="majorHAnsi"/>
          <w:sz w:val="24"/>
          <w:szCs w:val="24"/>
          <w:lang w:val="ro-MD"/>
          <w14:glow w14:rad="0">
            <w14:schemeClr w14:val="tx1"/>
          </w14:glow>
        </w:rPr>
        <w:t>său</w:t>
      </w:r>
      <w:r w:rsidRPr="00321F59">
        <w:rPr>
          <w:rStyle w:val="FootnoteReference"/>
          <w:rFonts w:asciiTheme="majorHAnsi" w:hAnsiTheme="majorHAnsi" w:cstheme="majorHAnsi"/>
          <w:sz w:val="24"/>
          <w:szCs w:val="24"/>
          <w:lang w:val="ro-MD"/>
          <w14:glow w14:rad="0">
            <w14:schemeClr w14:val="tx1"/>
          </w14:glow>
        </w:rPr>
        <w:footnoteReference w:id="5"/>
      </w:r>
      <w:r w:rsidRPr="00321F59">
        <w:rPr>
          <w:rFonts w:asciiTheme="majorHAnsi" w:hAnsiTheme="majorHAnsi" w:cstheme="majorHAnsi"/>
          <w:sz w:val="24"/>
          <w:szCs w:val="24"/>
          <w:lang w:val="ro-MD"/>
          <w14:glow w14:rad="0">
            <w14:schemeClr w14:val="tx1"/>
          </w14:glow>
        </w:rPr>
        <w:t xml:space="preserve">, </w:t>
      </w:r>
      <w:r w:rsidR="00F122A2" w:rsidRPr="00321F59">
        <w:rPr>
          <w:rFonts w:asciiTheme="majorHAnsi" w:hAnsiTheme="majorHAnsi" w:cstheme="majorHAnsi"/>
          <w:sz w:val="24"/>
          <w:szCs w:val="24"/>
          <w:lang w:val="ro-MD"/>
          <w14:glow w14:rad="0">
            <w14:schemeClr w14:val="tx1"/>
          </w14:glow>
        </w:rPr>
        <w:t xml:space="preserve">DLC este o instituție publică care dispune de autonomie administrativă și financiară. </w:t>
      </w:r>
      <w:r w:rsidR="00192623" w:rsidRPr="00321F59">
        <w:rPr>
          <w:rFonts w:asciiTheme="majorHAnsi" w:hAnsiTheme="majorHAnsi" w:cstheme="majorHAnsi"/>
          <w:sz w:val="24"/>
          <w:szCs w:val="24"/>
          <w:lang w:val="ro-MD"/>
          <w14:glow w14:rad="0">
            <w14:schemeClr w14:val="tx1"/>
          </w14:glow>
        </w:rPr>
        <w:t>În baza Politicilor contabile aprobate</w:t>
      </w:r>
      <w:r w:rsidR="00192623" w:rsidRPr="00321F59">
        <w:rPr>
          <w:rStyle w:val="FootnoteReference"/>
          <w:rFonts w:asciiTheme="majorHAnsi" w:hAnsiTheme="majorHAnsi" w:cstheme="majorHAnsi"/>
          <w:sz w:val="24"/>
          <w:szCs w:val="24"/>
          <w:lang w:val="ro-MD"/>
          <w14:glow w14:rad="0">
            <w14:schemeClr w14:val="tx1"/>
          </w14:glow>
        </w:rPr>
        <w:footnoteReference w:id="6"/>
      </w:r>
      <w:r w:rsidR="00192623" w:rsidRPr="00321F59">
        <w:rPr>
          <w:rFonts w:asciiTheme="majorHAnsi" w:hAnsiTheme="majorHAnsi" w:cstheme="majorHAnsi"/>
          <w:sz w:val="24"/>
          <w:szCs w:val="24"/>
          <w:lang w:val="ro-MD"/>
          <w14:glow w14:rad="0">
            <w14:schemeClr w14:val="tx1"/>
          </w14:glow>
        </w:rPr>
        <w:t>, contabilitatea se ține în baza sistemului contabil în partidă dublă</w:t>
      </w:r>
      <w:r w:rsidR="00CF5A62" w:rsidRPr="00321F59">
        <w:rPr>
          <w:rFonts w:asciiTheme="majorHAnsi" w:hAnsiTheme="majorHAnsi" w:cstheme="majorHAnsi"/>
          <w:sz w:val="24"/>
          <w:szCs w:val="24"/>
          <w:lang w:val="ro-MD"/>
          <w14:glow w14:rad="0">
            <w14:schemeClr w14:val="tx1"/>
          </w14:glow>
        </w:rPr>
        <w:t>,</w:t>
      </w:r>
      <w:r w:rsidR="00192623" w:rsidRPr="00321F59">
        <w:rPr>
          <w:rFonts w:asciiTheme="majorHAnsi" w:hAnsiTheme="majorHAnsi" w:cstheme="majorHAnsi"/>
          <w:sz w:val="24"/>
          <w:szCs w:val="24"/>
          <w:lang w:val="ro-MD"/>
          <w14:glow w14:rad="0">
            <w14:schemeClr w14:val="tx1"/>
          </w14:glow>
        </w:rPr>
        <w:t xml:space="preserve"> în conformitate cu Legea contabilităț</w:t>
      </w:r>
      <w:r w:rsidR="00CF5A62" w:rsidRPr="00321F59">
        <w:rPr>
          <w:rFonts w:asciiTheme="majorHAnsi" w:hAnsiTheme="majorHAnsi" w:cstheme="majorHAnsi"/>
          <w:sz w:val="24"/>
          <w:szCs w:val="24"/>
          <w:lang w:val="ro-MD"/>
          <w14:glow w14:rad="0">
            <w14:schemeClr w14:val="tx1"/>
          </w14:glow>
        </w:rPr>
        <w:t>ii și raportării financiare nr.</w:t>
      </w:r>
      <w:r w:rsidR="00192623" w:rsidRPr="00321F59">
        <w:rPr>
          <w:rFonts w:asciiTheme="majorHAnsi" w:hAnsiTheme="majorHAnsi" w:cstheme="majorHAnsi"/>
          <w:sz w:val="24"/>
          <w:szCs w:val="24"/>
          <w:lang w:val="ro-MD"/>
          <w14:glow w14:rad="0">
            <w14:schemeClr w14:val="tx1"/>
          </w14:glow>
        </w:rPr>
        <w:t>287 din 15.12.2017, Standardele Naționale de Contabilitate</w:t>
      </w:r>
      <w:r w:rsidR="00192623" w:rsidRPr="00321F59">
        <w:rPr>
          <w:rStyle w:val="FootnoteReference"/>
          <w:rFonts w:asciiTheme="majorHAnsi" w:hAnsiTheme="majorHAnsi" w:cstheme="majorHAnsi"/>
          <w:sz w:val="24"/>
          <w:szCs w:val="24"/>
          <w:lang w:val="ro-MD"/>
          <w14:glow w14:rad="0">
            <w14:schemeClr w14:val="tx1"/>
          </w14:glow>
        </w:rPr>
        <w:footnoteReference w:id="7"/>
      </w:r>
      <w:r w:rsidR="00192623" w:rsidRPr="00321F59">
        <w:rPr>
          <w:rFonts w:asciiTheme="majorHAnsi" w:hAnsiTheme="majorHAnsi" w:cstheme="majorHAnsi"/>
          <w:sz w:val="24"/>
          <w:szCs w:val="24"/>
          <w:lang w:val="ro-MD"/>
          <w14:glow w14:rad="0">
            <w14:schemeClr w14:val="tx1"/>
          </w14:glow>
        </w:rPr>
        <w:t>, Planul general de conturi contabile</w:t>
      </w:r>
      <w:r w:rsidR="00192623" w:rsidRPr="00321F59">
        <w:rPr>
          <w:rStyle w:val="FootnoteReference"/>
          <w:rFonts w:asciiTheme="majorHAnsi" w:hAnsiTheme="majorHAnsi" w:cstheme="majorHAnsi"/>
          <w:sz w:val="24"/>
          <w:szCs w:val="24"/>
          <w:lang w:val="ro-MD"/>
          <w14:glow w14:rad="0">
            <w14:schemeClr w14:val="tx1"/>
          </w14:glow>
        </w:rPr>
        <w:footnoteReference w:id="8"/>
      </w:r>
      <w:r w:rsidR="00192623" w:rsidRPr="00321F59">
        <w:rPr>
          <w:rFonts w:asciiTheme="majorHAnsi" w:hAnsiTheme="majorHAnsi" w:cstheme="majorHAnsi"/>
          <w:sz w:val="24"/>
          <w:szCs w:val="24"/>
          <w:lang w:val="ro-MD"/>
          <w14:glow w14:rad="0">
            <w14:schemeClr w14:val="tx1"/>
          </w14:glow>
        </w:rPr>
        <w:t xml:space="preserve">, actele legislative în vigoare aferente evidenței contabile. </w:t>
      </w:r>
      <w:r w:rsidR="00192623" w:rsidRPr="0024512C">
        <w:rPr>
          <w:rFonts w:asciiTheme="majorHAnsi" w:hAnsiTheme="majorHAnsi" w:cstheme="majorHAnsi"/>
          <w:sz w:val="24"/>
          <w:szCs w:val="24"/>
          <w:lang w:val="ro-MD"/>
          <w14:glow w14:rad="0">
            <w14:schemeClr w14:val="tx1"/>
          </w14:glow>
        </w:rPr>
        <w:t>Elementele contabile se înregistrează în baza contabilității de angajamente</w:t>
      </w:r>
      <w:r w:rsidR="00433EC9" w:rsidRPr="0024512C">
        <w:rPr>
          <w:rFonts w:asciiTheme="majorHAnsi" w:hAnsiTheme="majorHAnsi" w:cstheme="majorHAnsi"/>
          <w:sz w:val="24"/>
          <w:szCs w:val="24"/>
          <w:lang w:val="ro-MD"/>
          <w14:glow w14:rad="0">
            <w14:schemeClr w14:val="tx1"/>
          </w14:glow>
        </w:rPr>
        <w:t>,</w:t>
      </w:r>
      <w:r w:rsidR="00192623" w:rsidRPr="0024512C">
        <w:rPr>
          <w:rFonts w:asciiTheme="majorHAnsi" w:hAnsiTheme="majorHAnsi" w:cstheme="majorHAnsi"/>
          <w:sz w:val="24"/>
          <w:szCs w:val="24"/>
          <w:lang w:val="ro-MD"/>
          <w14:glow w14:rad="0">
            <w14:schemeClr w14:val="tx1"/>
          </w14:glow>
        </w:rPr>
        <w:t xml:space="preserve"> cu prezentarea situațiilor financiare complete.</w:t>
      </w:r>
    </w:p>
    <w:p w:rsidR="00965E12" w:rsidRPr="0024512C" w:rsidRDefault="00965E12" w:rsidP="00F122A2">
      <w:pPr>
        <w:spacing w:line="276" w:lineRule="auto"/>
        <w:jc w:val="both"/>
        <w:rPr>
          <w:rFonts w:asciiTheme="majorHAnsi" w:hAnsiTheme="majorHAnsi" w:cstheme="majorHAnsi"/>
          <w:sz w:val="24"/>
          <w:szCs w:val="24"/>
          <w:lang w:val="ro-MD"/>
          <w14:glow w14:rad="0">
            <w14:schemeClr w14:val="tx1"/>
          </w14:glow>
        </w:rPr>
      </w:pPr>
      <w:r w:rsidRPr="0024512C">
        <w:rPr>
          <w:rFonts w:asciiTheme="majorHAnsi" w:hAnsiTheme="majorHAnsi" w:cstheme="majorHAnsi"/>
          <w:sz w:val="24"/>
          <w:szCs w:val="24"/>
          <w:lang w:val="ro-MD"/>
          <w14:glow w14:rad="0">
            <w14:schemeClr w14:val="tx1"/>
          </w14:glow>
        </w:rPr>
        <w:t xml:space="preserve">Deși DLC </w:t>
      </w:r>
      <w:r w:rsidR="00192623" w:rsidRPr="0024512C">
        <w:rPr>
          <w:rFonts w:asciiTheme="majorHAnsi" w:hAnsiTheme="majorHAnsi" w:cstheme="majorHAnsi"/>
          <w:sz w:val="24"/>
          <w:szCs w:val="24"/>
          <w:lang w:val="ro-MD"/>
          <w14:glow w14:rad="0">
            <w14:schemeClr w14:val="tx1"/>
          </w14:glow>
        </w:rPr>
        <w:t>are statut de</w:t>
      </w:r>
      <w:r w:rsidRPr="0024512C">
        <w:rPr>
          <w:rFonts w:asciiTheme="majorHAnsi" w:hAnsiTheme="majorHAnsi" w:cstheme="majorHAnsi"/>
          <w:sz w:val="24"/>
          <w:szCs w:val="24"/>
          <w:lang w:val="ro-MD"/>
          <w14:glow w14:rad="0">
            <w14:schemeClr w14:val="tx1"/>
          </w14:glow>
        </w:rPr>
        <w:t xml:space="preserve"> instituție publică fondată de MF, în baza art.6 din Legea bugetului de stat pentru anul 2019</w:t>
      </w:r>
      <w:r w:rsidRPr="0024512C">
        <w:rPr>
          <w:rStyle w:val="FootnoteReference"/>
          <w:rFonts w:asciiTheme="majorHAnsi" w:hAnsiTheme="majorHAnsi" w:cstheme="majorHAnsi"/>
          <w:sz w:val="24"/>
          <w:szCs w:val="24"/>
          <w:lang w:val="ro-MD"/>
          <w14:glow w14:rad="0">
            <w14:schemeClr w14:val="tx1"/>
          </w14:glow>
        </w:rPr>
        <w:footnoteReference w:id="9"/>
      </w:r>
      <w:r w:rsidRPr="0024512C">
        <w:rPr>
          <w:rFonts w:asciiTheme="majorHAnsi" w:hAnsiTheme="majorHAnsi" w:cstheme="majorHAnsi"/>
          <w:sz w:val="24"/>
          <w:szCs w:val="24"/>
          <w:lang w:val="ro-MD"/>
          <w14:glow w14:rad="0">
            <w14:schemeClr w14:val="tx1"/>
          </w14:glow>
        </w:rPr>
        <w:t xml:space="preserve">, mijloacele </w:t>
      </w:r>
      <w:r w:rsidR="00192623" w:rsidRPr="0024512C">
        <w:rPr>
          <w:rFonts w:asciiTheme="majorHAnsi" w:hAnsiTheme="majorHAnsi" w:cstheme="majorHAnsi"/>
          <w:sz w:val="24"/>
          <w:szCs w:val="24"/>
          <w:lang w:val="ro-MD"/>
          <w14:glow w14:rad="0">
            <w14:schemeClr w14:val="tx1"/>
          </w14:glow>
        </w:rPr>
        <w:t>DLC</w:t>
      </w:r>
      <w:r w:rsidRPr="0024512C">
        <w:rPr>
          <w:rFonts w:asciiTheme="majorHAnsi" w:hAnsiTheme="majorHAnsi" w:cstheme="majorHAnsi"/>
          <w:sz w:val="24"/>
          <w:szCs w:val="24"/>
          <w:lang w:val="ro-MD"/>
          <w14:glow w14:rad="0">
            <w14:schemeClr w14:val="tx1"/>
          </w14:glow>
        </w:rPr>
        <w:t xml:space="preserve"> nu se gestionează prin Contul Unic </w:t>
      </w:r>
      <w:proofErr w:type="spellStart"/>
      <w:r w:rsidRPr="0024512C">
        <w:rPr>
          <w:rFonts w:asciiTheme="majorHAnsi" w:hAnsiTheme="majorHAnsi" w:cstheme="majorHAnsi"/>
          <w:sz w:val="24"/>
          <w:szCs w:val="24"/>
          <w:lang w:val="ro-MD"/>
          <w14:glow w14:rad="0">
            <w14:schemeClr w14:val="tx1"/>
          </w14:glow>
        </w:rPr>
        <w:t>Trezorerial</w:t>
      </w:r>
      <w:proofErr w:type="spellEnd"/>
      <w:r w:rsidRPr="0024512C">
        <w:rPr>
          <w:rFonts w:asciiTheme="majorHAnsi" w:hAnsiTheme="majorHAnsi" w:cstheme="majorHAnsi"/>
          <w:sz w:val="24"/>
          <w:szCs w:val="24"/>
          <w:lang w:val="ro-MD"/>
          <w14:glow w14:rad="0">
            <w14:schemeClr w14:val="tx1"/>
          </w14:glow>
        </w:rPr>
        <w:t xml:space="preserve"> al MF</w:t>
      </w:r>
      <w:r w:rsidR="00192623" w:rsidRPr="005C74F5">
        <w:rPr>
          <w:rFonts w:asciiTheme="majorHAnsi" w:hAnsiTheme="majorHAnsi" w:cstheme="majorHAnsi"/>
          <w:sz w:val="24"/>
          <w:szCs w:val="24"/>
          <w:lang w:val="ro-MD"/>
          <w14:glow w14:rad="0">
            <w14:schemeClr w14:val="tx1"/>
          </w14:glow>
        </w:rPr>
        <w:t>,</w:t>
      </w:r>
      <w:r w:rsidRPr="005C74F5">
        <w:rPr>
          <w:rFonts w:asciiTheme="majorHAnsi" w:hAnsiTheme="majorHAnsi" w:cstheme="majorHAnsi"/>
          <w:sz w:val="24"/>
          <w:szCs w:val="24"/>
          <w:lang w:val="ro-MD"/>
          <w14:glow w14:rad="0">
            <w14:schemeClr w14:val="tx1"/>
          </w14:glow>
        </w:rPr>
        <w:t xml:space="preserve"> </w:t>
      </w:r>
      <w:r w:rsidR="009C3F13" w:rsidRPr="005C74F5">
        <w:rPr>
          <w:rFonts w:asciiTheme="majorHAnsi" w:hAnsiTheme="majorHAnsi" w:cstheme="majorHAnsi"/>
          <w:sz w:val="24"/>
          <w:szCs w:val="24"/>
          <w:lang w:val="ro-MD"/>
          <w14:glow w14:rad="0">
            <w14:schemeClr w14:val="tx1"/>
          </w14:glow>
        </w:rPr>
        <w:t>chiar dacă</w:t>
      </w:r>
      <w:r w:rsidR="00F0104E" w:rsidRPr="00A33B69">
        <w:rPr>
          <w:rFonts w:asciiTheme="majorHAnsi" w:hAnsiTheme="majorHAnsi" w:cstheme="majorHAnsi"/>
          <w:sz w:val="24"/>
          <w:szCs w:val="24"/>
          <w:lang w:val="ro-MD"/>
          <w14:glow w14:rad="0">
            <w14:schemeClr w14:val="tx1"/>
          </w14:glow>
        </w:rPr>
        <w:t xml:space="preserve"> a</w:t>
      </w:r>
      <w:r w:rsidR="00F0104E" w:rsidRPr="0024512C">
        <w:rPr>
          <w:rFonts w:asciiTheme="majorHAnsi" w:hAnsiTheme="majorHAnsi" w:cstheme="majorHAnsi"/>
          <w:sz w:val="24"/>
          <w:szCs w:val="24"/>
          <w:lang w:val="ro-MD"/>
          <w14:glow w14:rad="0">
            <w14:schemeClr w14:val="tx1"/>
          </w14:glow>
        </w:rPr>
        <w:t xml:space="preserve">cestea provin </w:t>
      </w:r>
      <w:r w:rsidR="00CF5A62" w:rsidRPr="0024512C">
        <w:rPr>
          <w:rFonts w:asciiTheme="majorHAnsi" w:hAnsiTheme="majorHAnsi" w:cstheme="majorHAnsi"/>
          <w:sz w:val="24"/>
          <w:szCs w:val="24"/>
          <w:lang w:val="ro-MD"/>
          <w14:glow w14:rad="0">
            <w14:schemeClr w14:val="tx1"/>
          </w14:glow>
        </w:rPr>
        <w:t>din sursele de finanțare externă</w:t>
      </w:r>
      <w:r w:rsidR="00F0104E" w:rsidRPr="0024512C">
        <w:rPr>
          <w:rFonts w:asciiTheme="majorHAnsi" w:hAnsiTheme="majorHAnsi" w:cstheme="majorHAnsi"/>
          <w:sz w:val="24"/>
          <w:szCs w:val="24"/>
          <w:lang w:val="ro-MD"/>
          <w14:glow w14:rad="0">
            <w14:schemeClr w14:val="tx1"/>
          </w14:glow>
        </w:rPr>
        <w:t xml:space="preserve"> în baza Acordurilor de împrumut</w:t>
      </w:r>
      <w:r w:rsidRPr="0024512C">
        <w:rPr>
          <w:rFonts w:asciiTheme="majorHAnsi" w:hAnsiTheme="majorHAnsi" w:cstheme="majorHAnsi"/>
          <w:sz w:val="24"/>
          <w:szCs w:val="24"/>
          <w:lang w:val="ro-MD"/>
          <w14:glow w14:rad="0">
            <w14:schemeClr w14:val="tx1"/>
          </w14:glow>
        </w:rPr>
        <w:t>.</w:t>
      </w:r>
    </w:p>
    <w:p w:rsidR="009C3F13" w:rsidRPr="0024512C" w:rsidRDefault="0085508D" w:rsidP="00F122A2">
      <w:pPr>
        <w:spacing w:line="276" w:lineRule="auto"/>
        <w:jc w:val="both"/>
        <w:rPr>
          <w:rFonts w:asciiTheme="majorHAnsi" w:hAnsiTheme="majorHAnsi" w:cstheme="majorHAnsi"/>
          <w:sz w:val="24"/>
          <w:szCs w:val="24"/>
          <w:lang w:val="ro-MD"/>
          <w14:glow w14:rad="0">
            <w14:schemeClr w14:val="tx1"/>
          </w14:glow>
        </w:rPr>
      </w:pPr>
      <w:r w:rsidRPr="0024512C">
        <w:rPr>
          <w:rFonts w:asciiTheme="majorHAnsi" w:hAnsiTheme="majorHAnsi" w:cstheme="majorHAnsi"/>
          <w:b/>
          <w:i/>
          <w:sz w:val="24"/>
          <w:szCs w:val="24"/>
          <w:lang w:val="ro-MD"/>
          <w14:glow w14:rad="0">
            <w14:schemeClr w14:val="tx1"/>
          </w14:glow>
        </w:rPr>
        <w:t>Notă:</w:t>
      </w:r>
      <w:r w:rsidRPr="0024512C">
        <w:rPr>
          <w:rFonts w:asciiTheme="majorHAnsi" w:hAnsiTheme="majorHAnsi" w:cstheme="majorHAnsi"/>
          <w:sz w:val="24"/>
          <w:szCs w:val="24"/>
          <w:lang w:val="ro-MD"/>
          <w14:glow w14:rad="0">
            <w14:schemeClr w14:val="tx1"/>
          </w14:glow>
        </w:rPr>
        <w:t xml:space="preserve"> </w:t>
      </w:r>
      <w:r w:rsidR="009C3F13" w:rsidRPr="0024512C">
        <w:rPr>
          <w:rFonts w:asciiTheme="majorHAnsi" w:hAnsiTheme="majorHAnsi" w:cstheme="majorHAnsi"/>
          <w:sz w:val="24"/>
          <w:szCs w:val="24"/>
          <w:lang w:val="ro-MD"/>
          <w14:glow w14:rad="0">
            <w14:schemeClr w14:val="tx1"/>
          </w14:glow>
        </w:rPr>
        <w:t xml:space="preserve">În </w:t>
      </w:r>
      <w:r w:rsidR="00CF5A62" w:rsidRPr="0024512C">
        <w:rPr>
          <w:rFonts w:asciiTheme="majorHAnsi" w:hAnsiTheme="majorHAnsi" w:cstheme="majorHAnsi"/>
          <w:sz w:val="24"/>
          <w:szCs w:val="24"/>
          <w:lang w:val="ro-MD"/>
          <w14:glow w14:rad="0">
            <w14:schemeClr w14:val="tx1"/>
          </w14:glow>
        </w:rPr>
        <w:t>urma</w:t>
      </w:r>
      <w:r w:rsidR="009C3F13" w:rsidRPr="0024512C">
        <w:rPr>
          <w:rFonts w:asciiTheme="majorHAnsi" w:hAnsiTheme="majorHAnsi" w:cstheme="majorHAnsi"/>
          <w:sz w:val="24"/>
          <w:szCs w:val="24"/>
          <w:lang w:val="ro-MD"/>
          <w14:glow w14:rad="0">
            <w14:schemeClr w14:val="tx1"/>
          </w14:glow>
        </w:rPr>
        <w:t xml:space="preserve"> restructurării, </w:t>
      </w:r>
      <w:r w:rsidR="009C3F13" w:rsidRPr="00321F59">
        <w:rPr>
          <w:rFonts w:asciiTheme="majorHAnsi" w:hAnsiTheme="majorHAnsi" w:cstheme="majorHAnsi"/>
          <w:sz w:val="24"/>
          <w:szCs w:val="24"/>
          <w:lang w:val="ro-MD"/>
          <w14:glow w14:rad="0">
            <w14:schemeClr w14:val="tx1"/>
          </w14:glow>
        </w:rPr>
        <w:t xml:space="preserve">Instituția Publică „Oficiul de Gestionare a Programelor de Asistență Externă” urmează să asigure transferarea soldurilor mijloacelor financiare din conturile bancare deschise la prestatorii de servicii de plată în conturile deschise în Contul Unic </w:t>
      </w:r>
      <w:proofErr w:type="spellStart"/>
      <w:r w:rsidR="009C3F13" w:rsidRPr="00321F59">
        <w:rPr>
          <w:rFonts w:asciiTheme="majorHAnsi" w:hAnsiTheme="majorHAnsi" w:cstheme="majorHAnsi"/>
          <w:sz w:val="24"/>
          <w:szCs w:val="24"/>
          <w:lang w:val="ro-MD"/>
          <w14:glow w14:rad="0">
            <w14:schemeClr w14:val="tx1"/>
          </w14:glow>
        </w:rPr>
        <w:t>Trezorerial</w:t>
      </w:r>
      <w:proofErr w:type="spellEnd"/>
      <w:r w:rsidR="009C3F13" w:rsidRPr="00321F59">
        <w:rPr>
          <w:rFonts w:asciiTheme="majorHAnsi" w:hAnsiTheme="majorHAnsi" w:cstheme="majorHAnsi"/>
          <w:sz w:val="24"/>
          <w:szCs w:val="24"/>
          <w:lang w:val="ro-MD"/>
          <w14:glow w14:rad="0">
            <w14:schemeClr w14:val="tx1"/>
          </w14:glow>
        </w:rPr>
        <w:t xml:space="preserve"> al MF și să utilizeze în activitatea sa aceste conturi.</w:t>
      </w:r>
      <w:r w:rsidR="004A2FF7" w:rsidRPr="00321F59">
        <w:rPr>
          <w:rFonts w:asciiTheme="majorHAnsi" w:hAnsiTheme="majorHAnsi" w:cstheme="majorHAnsi"/>
          <w:sz w:val="24"/>
          <w:szCs w:val="24"/>
          <w:lang w:val="ro-MD"/>
          <w14:glow w14:rad="0">
            <w14:schemeClr w14:val="tx1"/>
          </w14:glow>
        </w:rPr>
        <w:t xml:space="preserve"> Potrivit informației DLC, transferarea soldurilor </w:t>
      </w:r>
      <w:r w:rsidR="00280608" w:rsidRPr="00321F59">
        <w:rPr>
          <w:rFonts w:asciiTheme="majorHAnsi" w:hAnsiTheme="majorHAnsi" w:cstheme="majorHAnsi"/>
          <w:sz w:val="24"/>
          <w:szCs w:val="24"/>
          <w:lang w:val="ro-MD"/>
          <w14:glow w14:rad="0">
            <w14:schemeClr w14:val="tx1"/>
          </w14:glow>
        </w:rPr>
        <w:t xml:space="preserve">de </w:t>
      </w:r>
      <w:r w:rsidR="004A2FF7" w:rsidRPr="00321F59">
        <w:rPr>
          <w:rFonts w:asciiTheme="majorHAnsi" w:hAnsiTheme="majorHAnsi" w:cstheme="majorHAnsi"/>
          <w:sz w:val="24"/>
          <w:szCs w:val="24"/>
          <w:lang w:val="ro-MD"/>
          <w14:glow w14:rad="0">
            <w14:schemeClr w14:val="tx1"/>
          </w14:glow>
        </w:rPr>
        <w:t>mijloace</w:t>
      </w:r>
      <w:r w:rsidR="00280608" w:rsidRPr="00321F59">
        <w:rPr>
          <w:rFonts w:asciiTheme="majorHAnsi" w:hAnsiTheme="majorHAnsi" w:cstheme="majorHAnsi"/>
          <w:sz w:val="24"/>
          <w:szCs w:val="24"/>
          <w:lang w:val="ro-MD"/>
          <w14:glow w14:rad="0">
            <w14:schemeClr w14:val="tx1"/>
          </w14:glow>
        </w:rPr>
        <w:t xml:space="preserve"> aferente</w:t>
      </w:r>
      <w:r w:rsidR="004A2FF7" w:rsidRPr="00321F59">
        <w:rPr>
          <w:rFonts w:asciiTheme="majorHAnsi" w:hAnsiTheme="majorHAnsi" w:cstheme="majorHAnsi"/>
          <w:sz w:val="24"/>
          <w:szCs w:val="24"/>
          <w:lang w:val="ro-MD"/>
          <w14:glow w14:rad="0">
            <w14:schemeClr w14:val="tx1"/>
          </w14:glow>
        </w:rPr>
        <w:t xml:space="preserve"> liniilor de credit gestionate de DLC </w:t>
      </w:r>
      <w:r w:rsidR="00280608" w:rsidRPr="00321F59">
        <w:rPr>
          <w:rFonts w:asciiTheme="majorHAnsi" w:hAnsiTheme="majorHAnsi" w:cstheme="majorHAnsi"/>
          <w:sz w:val="24"/>
          <w:szCs w:val="24"/>
          <w:lang w:val="ro-MD"/>
          <w14:glow w14:rad="0">
            <w14:schemeClr w14:val="tx1"/>
          </w14:glow>
        </w:rPr>
        <w:t xml:space="preserve">și </w:t>
      </w:r>
      <w:r w:rsidR="004A2FF7" w:rsidRPr="00321F59">
        <w:rPr>
          <w:rFonts w:asciiTheme="majorHAnsi" w:hAnsiTheme="majorHAnsi" w:cstheme="majorHAnsi"/>
          <w:sz w:val="24"/>
          <w:szCs w:val="24"/>
          <w:lang w:val="ro-MD"/>
          <w14:glow w14:rad="0">
            <w14:schemeClr w14:val="tx1"/>
          </w14:glow>
        </w:rPr>
        <w:t>deservite la BNM a fost executată la 15.07.2020 în conturile deschise la MF</w:t>
      </w:r>
      <w:r w:rsidR="00280608" w:rsidRPr="00321F59">
        <w:rPr>
          <w:rFonts w:asciiTheme="majorHAnsi" w:hAnsiTheme="majorHAnsi" w:cstheme="majorHAnsi"/>
          <w:sz w:val="24"/>
          <w:szCs w:val="24"/>
          <w:lang w:val="ro-MD"/>
          <w14:glow w14:rad="0">
            <w14:schemeClr w14:val="tx1"/>
          </w14:glow>
        </w:rPr>
        <w:t xml:space="preserve"> (</w:t>
      </w:r>
      <w:r w:rsidR="004A2FF7" w:rsidRPr="00321F59">
        <w:rPr>
          <w:rFonts w:asciiTheme="majorHAnsi" w:hAnsiTheme="majorHAnsi" w:cstheme="majorHAnsi"/>
          <w:sz w:val="24"/>
          <w:szCs w:val="24"/>
          <w:lang w:val="ro-MD"/>
          <w14:glow w14:rad="0">
            <w14:schemeClr w14:val="tx1"/>
          </w14:glow>
        </w:rPr>
        <w:t>Trezoreria Chișinău</w:t>
      </w:r>
      <w:r w:rsidR="00280608" w:rsidRPr="00321F59">
        <w:rPr>
          <w:rFonts w:asciiTheme="majorHAnsi" w:hAnsiTheme="majorHAnsi" w:cstheme="majorHAnsi"/>
          <w:sz w:val="24"/>
          <w:szCs w:val="24"/>
          <w:lang w:val="ro-MD"/>
          <w14:glow w14:rad="0">
            <w14:schemeClr w14:val="tx1"/>
          </w14:glow>
        </w:rPr>
        <w:t>)</w:t>
      </w:r>
      <w:r w:rsidR="004A2FF7" w:rsidRPr="00321F59">
        <w:rPr>
          <w:rFonts w:asciiTheme="majorHAnsi" w:hAnsiTheme="majorHAnsi" w:cstheme="majorHAnsi"/>
          <w:sz w:val="24"/>
          <w:szCs w:val="24"/>
          <w:lang w:val="ro-MD"/>
          <w14:glow w14:rad="0">
            <w14:schemeClr w14:val="tx1"/>
          </w14:glow>
        </w:rPr>
        <w:t>.</w:t>
      </w:r>
    </w:p>
    <w:p w:rsidR="00704604" w:rsidRPr="0024512C" w:rsidRDefault="00E629D1" w:rsidP="00704604">
      <w:pPr>
        <w:spacing w:line="276" w:lineRule="auto"/>
        <w:jc w:val="both"/>
        <w:rPr>
          <w:rFonts w:asciiTheme="majorHAnsi" w:hAnsiTheme="majorHAnsi" w:cstheme="majorHAnsi"/>
          <w:i/>
          <w:sz w:val="24"/>
          <w:szCs w:val="24"/>
          <w:lang w:val="ro-MD"/>
          <w14:glow w14:rad="0">
            <w14:schemeClr w14:val="tx1"/>
          </w14:glow>
        </w:rPr>
      </w:pPr>
      <w:r w:rsidRPr="005C74F5">
        <w:rPr>
          <w:rFonts w:asciiTheme="majorHAnsi" w:hAnsiTheme="majorHAnsi" w:cstheme="majorHAnsi"/>
          <w:sz w:val="24"/>
          <w:szCs w:val="24"/>
          <w:lang w:val="ro-MD"/>
          <w14:glow w14:rad="0">
            <w14:schemeClr w14:val="tx1"/>
          </w14:glow>
        </w:rPr>
        <w:t>Valoarea activelor și pasivelor înregistrate la situația din 31.1</w:t>
      </w:r>
      <w:r w:rsidR="00B62B4B" w:rsidRPr="005C74F5">
        <w:rPr>
          <w:rFonts w:asciiTheme="majorHAnsi" w:hAnsiTheme="majorHAnsi" w:cstheme="majorHAnsi"/>
          <w:sz w:val="24"/>
          <w:szCs w:val="24"/>
          <w:lang w:val="ro-MD"/>
          <w14:glow w14:rad="0">
            <w14:schemeClr w14:val="tx1"/>
          </w14:glow>
        </w:rPr>
        <w:t>2</w:t>
      </w:r>
      <w:r w:rsidR="000E4BB6" w:rsidRPr="005C74F5">
        <w:rPr>
          <w:rFonts w:asciiTheme="majorHAnsi" w:hAnsiTheme="majorHAnsi" w:cstheme="majorHAnsi"/>
          <w:sz w:val="24"/>
          <w:szCs w:val="24"/>
          <w:lang w:val="ro-MD"/>
          <w14:glow w14:rad="0">
            <w14:schemeClr w14:val="tx1"/>
          </w14:glow>
        </w:rPr>
        <w:t xml:space="preserve">.2019 a constituit 3,95 </w:t>
      </w:r>
      <w:proofErr w:type="spellStart"/>
      <w:r w:rsidR="000E4BB6" w:rsidRPr="005C74F5">
        <w:rPr>
          <w:rFonts w:asciiTheme="majorHAnsi" w:hAnsiTheme="majorHAnsi" w:cstheme="majorHAnsi"/>
          <w:sz w:val="24"/>
          <w:szCs w:val="24"/>
          <w:lang w:val="ro-MD"/>
          <w14:glow w14:rad="0">
            <w14:schemeClr w14:val="tx1"/>
          </w14:glow>
        </w:rPr>
        <w:t>mlrd</w:t>
      </w:r>
      <w:proofErr w:type="spellEnd"/>
      <w:r w:rsidR="000E4BB6" w:rsidRPr="005C74F5">
        <w:rPr>
          <w:rFonts w:asciiTheme="majorHAnsi" w:hAnsiTheme="majorHAnsi" w:cstheme="majorHAnsi"/>
          <w:sz w:val="24"/>
          <w:szCs w:val="24"/>
          <w:lang w:val="ro-MD"/>
          <w14:glow w14:rad="0">
            <w14:schemeClr w14:val="tx1"/>
          </w14:glow>
        </w:rPr>
        <w:t xml:space="preserve">. lei, sau cu 0,17 </w:t>
      </w:r>
      <w:proofErr w:type="spellStart"/>
      <w:r w:rsidR="000E4BB6" w:rsidRPr="005C74F5">
        <w:rPr>
          <w:rFonts w:asciiTheme="majorHAnsi" w:hAnsiTheme="majorHAnsi" w:cstheme="majorHAnsi"/>
          <w:sz w:val="24"/>
          <w:szCs w:val="24"/>
          <w:lang w:val="ro-MD"/>
          <w14:glow w14:rad="0">
            <w14:schemeClr w14:val="tx1"/>
          </w14:glow>
        </w:rPr>
        <w:t>mlrd</w:t>
      </w:r>
      <w:proofErr w:type="spellEnd"/>
      <w:r w:rsidR="009F39B5" w:rsidRPr="0024512C">
        <w:rPr>
          <w:rFonts w:asciiTheme="majorHAnsi" w:hAnsiTheme="majorHAnsi" w:cstheme="majorHAnsi"/>
          <w:sz w:val="24"/>
          <w:szCs w:val="24"/>
          <w:lang w:val="ro-MD"/>
          <w14:glow w14:rad="0">
            <w14:schemeClr w14:val="tx1"/>
          </w14:glow>
        </w:rPr>
        <w:t>. lei</w:t>
      </w:r>
      <w:r w:rsidR="00B62B4B" w:rsidRPr="0024512C">
        <w:rPr>
          <w:rFonts w:asciiTheme="majorHAnsi" w:hAnsiTheme="majorHAnsi" w:cstheme="majorHAnsi"/>
          <w:sz w:val="24"/>
          <w:szCs w:val="24"/>
          <w:lang w:val="ro-MD"/>
          <w14:glow w14:rad="0">
            <w14:schemeClr w14:val="tx1"/>
          </w14:glow>
        </w:rPr>
        <w:t xml:space="preserve"> mai mult față de valoarea anului precedent</w:t>
      </w:r>
      <w:r w:rsidRPr="0024512C">
        <w:rPr>
          <w:rFonts w:asciiTheme="majorHAnsi" w:hAnsiTheme="majorHAnsi" w:cstheme="majorHAnsi"/>
          <w:sz w:val="24"/>
          <w:szCs w:val="24"/>
          <w:lang w:val="ro-MD"/>
          <w14:glow w14:rad="0">
            <w14:schemeClr w14:val="tx1"/>
          </w14:glow>
        </w:rPr>
        <w:t xml:space="preserve">. </w:t>
      </w:r>
      <w:r w:rsidR="00704604" w:rsidRPr="0024512C">
        <w:rPr>
          <w:rFonts w:asciiTheme="majorHAnsi" w:hAnsiTheme="majorHAnsi" w:cstheme="majorHAnsi"/>
          <w:i/>
          <w:sz w:val="24"/>
          <w:szCs w:val="24"/>
          <w:lang w:val="ro-MD"/>
          <w14:glow w14:rad="0">
            <w14:schemeClr w14:val="tx1"/>
          </w14:glow>
        </w:rPr>
        <w:t>Informația detaliată se prezintă în Anexa nr. 2 din prezentul Raport de audit.</w:t>
      </w:r>
    </w:p>
    <w:p w:rsidR="00F6424E" w:rsidRPr="0024512C" w:rsidRDefault="009C5DB7" w:rsidP="00F122A2">
      <w:pPr>
        <w:spacing w:line="276" w:lineRule="auto"/>
        <w:jc w:val="both"/>
        <w:rPr>
          <w:rFonts w:asciiTheme="majorHAnsi" w:hAnsiTheme="majorHAnsi" w:cstheme="majorHAnsi"/>
          <w:sz w:val="24"/>
          <w:szCs w:val="24"/>
          <w:lang w:val="ro-MD"/>
          <w14:glow w14:rad="0">
            <w14:schemeClr w14:val="tx1"/>
          </w14:glow>
        </w:rPr>
      </w:pPr>
      <w:r w:rsidRPr="0024512C">
        <w:rPr>
          <w:rFonts w:asciiTheme="majorHAnsi" w:hAnsiTheme="majorHAnsi" w:cstheme="majorHAnsi"/>
          <w:sz w:val="24"/>
          <w:szCs w:val="24"/>
          <w:lang w:val="ro-MD"/>
          <w14:glow w14:rad="0">
            <w14:schemeClr w14:val="tx1"/>
          </w14:glow>
        </w:rPr>
        <w:t>Structura activelor DLC include: (i) soldurile conturilor bancare ale liniilor de credit și conturilor operaționale ale DLC (2 010,72 mil. lei</w:t>
      </w:r>
      <w:r w:rsidR="00CF5A62" w:rsidRPr="0024512C">
        <w:rPr>
          <w:rFonts w:asciiTheme="majorHAnsi" w:hAnsiTheme="majorHAnsi" w:cstheme="majorHAnsi"/>
          <w:sz w:val="24"/>
          <w:szCs w:val="24"/>
          <w:lang w:val="ro-MD"/>
          <w14:glow w14:rad="0">
            <w14:schemeClr w14:val="tx1"/>
          </w14:glow>
        </w:rPr>
        <w:t>,</w:t>
      </w:r>
      <w:r w:rsidRPr="0024512C">
        <w:rPr>
          <w:rFonts w:asciiTheme="majorHAnsi" w:hAnsiTheme="majorHAnsi" w:cstheme="majorHAnsi"/>
          <w:sz w:val="24"/>
          <w:szCs w:val="24"/>
          <w:lang w:val="ro-MD"/>
          <w14:glow w14:rad="0">
            <w14:schemeClr w14:val="tx1"/>
          </w14:glow>
        </w:rPr>
        <w:t xml:space="preserve"> sau 50,9%); (ii) împrumuturile </w:t>
      </w:r>
      <w:r w:rsidR="00027F68" w:rsidRPr="0024512C">
        <w:rPr>
          <w:rFonts w:asciiTheme="majorHAnsi" w:hAnsiTheme="majorHAnsi" w:cstheme="majorHAnsi"/>
          <w:sz w:val="24"/>
          <w:szCs w:val="24"/>
          <w:lang w:val="ro-MD"/>
          <w14:glow w14:rad="0">
            <w14:schemeClr w14:val="tx1"/>
          </w14:glow>
        </w:rPr>
        <w:t xml:space="preserve">acordate pe termen lung </w:t>
      </w:r>
      <w:r w:rsidR="00027F68" w:rsidRPr="0024512C">
        <w:rPr>
          <w:rFonts w:asciiTheme="majorHAnsi" w:hAnsiTheme="majorHAnsi" w:cstheme="majorHAnsi"/>
          <w:sz w:val="24"/>
          <w:szCs w:val="24"/>
          <w:lang w:val="ro-MD"/>
          <w14:glow w14:rad="0">
            <w14:schemeClr w14:val="tx1"/>
          </w14:glow>
        </w:rPr>
        <w:lastRenderedPageBreak/>
        <w:t xml:space="preserve">beneficiarilor recreditării </w:t>
      </w:r>
      <w:r w:rsidRPr="0024512C">
        <w:rPr>
          <w:rFonts w:asciiTheme="majorHAnsi" w:hAnsiTheme="majorHAnsi" w:cstheme="majorHAnsi"/>
          <w:sz w:val="24"/>
          <w:szCs w:val="24"/>
          <w:lang w:val="ro-MD"/>
          <w14:glow w14:rad="0">
            <w14:schemeClr w14:val="tx1"/>
          </w14:glow>
        </w:rPr>
        <w:t>din resurse</w:t>
      </w:r>
      <w:r w:rsidR="00CF5A62" w:rsidRPr="0024512C">
        <w:rPr>
          <w:rFonts w:asciiTheme="majorHAnsi" w:hAnsiTheme="majorHAnsi" w:cstheme="majorHAnsi"/>
          <w:sz w:val="24"/>
          <w:szCs w:val="24"/>
          <w:lang w:val="ro-MD"/>
          <w14:glow w14:rad="0">
            <w14:schemeClr w14:val="tx1"/>
          </w14:glow>
        </w:rPr>
        <w:t>le</w:t>
      </w:r>
      <w:r w:rsidRPr="0024512C">
        <w:rPr>
          <w:rFonts w:asciiTheme="majorHAnsi" w:hAnsiTheme="majorHAnsi" w:cstheme="majorHAnsi"/>
          <w:sz w:val="24"/>
          <w:szCs w:val="24"/>
          <w:lang w:val="ro-MD"/>
          <w14:glow w14:rad="0">
            <w14:schemeClr w14:val="tx1"/>
          </w14:glow>
        </w:rPr>
        <w:t xml:space="preserve"> directe și din resursele de refinanțare </w:t>
      </w:r>
      <w:r w:rsidR="00027F68" w:rsidRPr="0024512C">
        <w:rPr>
          <w:rFonts w:asciiTheme="majorHAnsi" w:hAnsiTheme="majorHAnsi" w:cstheme="majorHAnsi"/>
          <w:sz w:val="24"/>
          <w:szCs w:val="24"/>
          <w:lang w:val="ro-MD"/>
          <w14:glow w14:rad="0">
            <w14:schemeClr w14:val="tx1"/>
          </w14:glow>
        </w:rPr>
        <w:t>(1 870,40 mil. lei</w:t>
      </w:r>
      <w:r w:rsidR="00CF5A62" w:rsidRPr="0024512C">
        <w:rPr>
          <w:rFonts w:asciiTheme="majorHAnsi" w:hAnsiTheme="majorHAnsi" w:cstheme="majorHAnsi"/>
          <w:sz w:val="24"/>
          <w:szCs w:val="24"/>
          <w:lang w:val="ro-MD"/>
          <w14:glow w14:rad="0">
            <w14:schemeClr w14:val="tx1"/>
          </w14:glow>
        </w:rPr>
        <w:t>,</w:t>
      </w:r>
      <w:r w:rsidR="00027F68" w:rsidRPr="0024512C">
        <w:rPr>
          <w:rFonts w:asciiTheme="majorHAnsi" w:hAnsiTheme="majorHAnsi" w:cstheme="majorHAnsi"/>
          <w:sz w:val="24"/>
          <w:szCs w:val="24"/>
          <w:lang w:val="ro-MD"/>
          <w14:glow w14:rad="0">
            <w14:schemeClr w14:val="tx1"/>
          </w14:glow>
        </w:rPr>
        <w:t xml:space="preserve"> sau 47,3%); (iii) </w:t>
      </w:r>
      <w:r w:rsidR="00F6424E" w:rsidRPr="0024512C">
        <w:rPr>
          <w:rFonts w:asciiTheme="majorHAnsi" w:hAnsiTheme="majorHAnsi" w:cstheme="majorHAnsi"/>
          <w:sz w:val="24"/>
          <w:szCs w:val="24"/>
          <w:lang w:val="ro-MD"/>
          <w14:glow w14:rad="0">
            <w14:schemeClr w14:val="tx1"/>
          </w14:glow>
        </w:rPr>
        <w:t>valoarea fondului de autofinanțare plasat în depozite bancare (53,64 mil. lei</w:t>
      </w:r>
      <w:r w:rsidR="00CF5A62" w:rsidRPr="0024512C">
        <w:rPr>
          <w:rFonts w:asciiTheme="majorHAnsi" w:hAnsiTheme="majorHAnsi" w:cstheme="majorHAnsi"/>
          <w:sz w:val="24"/>
          <w:szCs w:val="24"/>
          <w:lang w:val="ro-MD"/>
          <w14:glow w14:rad="0">
            <w14:schemeClr w14:val="tx1"/>
          </w14:glow>
        </w:rPr>
        <w:t>,</w:t>
      </w:r>
      <w:r w:rsidR="00F6424E" w:rsidRPr="0024512C">
        <w:rPr>
          <w:rFonts w:asciiTheme="majorHAnsi" w:hAnsiTheme="majorHAnsi" w:cstheme="majorHAnsi"/>
          <w:sz w:val="24"/>
          <w:szCs w:val="24"/>
          <w:lang w:val="ro-MD"/>
          <w14:glow w14:rad="0">
            <w14:schemeClr w14:val="tx1"/>
          </w14:glow>
        </w:rPr>
        <w:t xml:space="preserve"> sau 1,3%); (iv) creanțe</w:t>
      </w:r>
      <w:r w:rsidR="00CF5A62" w:rsidRPr="0024512C">
        <w:rPr>
          <w:rFonts w:asciiTheme="majorHAnsi" w:hAnsiTheme="majorHAnsi" w:cstheme="majorHAnsi"/>
          <w:sz w:val="24"/>
          <w:szCs w:val="24"/>
          <w:lang w:val="ro-MD"/>
          <w14:glow w14:rad="0">
            <w14:schemeClr w14:val="tx1"/>
          </w14:glow>
        </w:rPr>
        <w:t>le</w:t>
      </w:r>
      <w:r w:rsidR="00F6424E" w:rsidRPr="0024512C">
        <w:rPr>
          <w:rFonts w:asciiTheme="majorHAnsi" w:hAnsiTheme="majorHAnsi" w:cstheme="majorHAnsi"/>
          <w:sz w:val="24"/>
          <w:szCs w:val="24"/>
          <w:lang w:val="ro-MD"/>
          <w14:glow w14:rad="0">
            <w14:schemeClr w14:val="tx1"/>
          </w14:glow>
        </w:rPr>
        <w:t xml:space="preserve"> curente aferente activității de recreditare și activității operaționale a DLC (17,18 mil. lei</w:t>
      </w:r>
      <w:r w:rsidR="00CF5A62" w:rsidRPr="0024512C">
        <w:rPr>
          <w:rFonts w:asciiTheme="majorHAnsi" w:hAnsiTheme="majorHAnsi" w:cstheme="majorHAnsi"/>
          <w:sz w:val="24"/>
          <w:szCs w:val="24"/>
          <w:lang w:val="ro-MD"/>
          <w14:glow w14:rad="0">
            <w14:schemeClr w14:val="tx1"/>
          </w14:glow>
        </w:rPr>
        <w:t>,</w:t>
      </w:r>
      <w:r w:rsidR="00F6424E" w:rsidRPr="0024512C">
        <w:rPr>
          <w:rFonts w:asciiTheme="majorHAnsi" w:hAnsiTheme="majorHAnsi" w:cstheme="majorHAnsi"/>
          <w:sz w:val="24"/>
          <w:szCs w:val="24"/>
          <w:lang w:val="ro-MD"/>
          <w14:glow w14:rad="0">
            <w14:schemeClr w14:val="tx1"/>
          </w14:glow>
        </w:rPr>
        <w:t xml:space="preserve"> sau 0,4%); (v) alte elemente de activ (0,52 mil. lei</w:t>
      </w:r>
      <w:r w:rsidR="00CF5A62" w:rsidRPr="0024512C">
        <w:rPr>
          <w:rFonts w:asciiTheme="majorHAnsi" w:hAnsiTheme="majorHAnsi" w:cstheme="majorHAnsi"/>
          <w:sz w:val="24"/>
          <w:szCs w:val="24"/>
          <w:lang w:val="ro-MD"/>
          <w14:glow w14:rad="0">
            <w14:schemeClr w14:val="tx1"/>
          </w14:glow>
        </w:rPr>
        <w:t>,</w:t>
      </w:r>
      <w:r w:rsidR="00F6424E" w:rsidRPr="0024512C">
        <w:rPr>
          <w:rFonts w:asciiTheme="majorHAnsi" w:hAnsiTheme="majorHAnsi" w:cstheme="majorHAnsi"/>
          <w:sz w:val="24"/>
          <w:szCs w:val="24"/>
          <w:lang w:val="ro-MD"/>
          <w14:glow w14:rad="0">
            <w14:schemeClr w14:val="tx1"/>
          </w14:glow>
        </w:rPr>
        <w:t xml:space="preserve"> sau 0,1%).</w:t>
      </w:r>
    </w:p>
    <w:p w:rsidR="009C5DB7" w:rsidRPr="0024512C" w:rsidRDefault="00BE04DE" w:rsidP="00F122A2">
      <w:pPr>
        <w:spacing w:line="276" w:lineRule="auto"/>
        <w:jc w:val="both"/>
        <w:rPr>
          <w:rFonts w:asciiTheme="majorHAnsi" w:hAnsiTheme="majorHAnsi" w:cstheme="majorHAnsi"/>
          <w:sz w:val="24"/>
          <w:szCs w:val="24"/>
          <w:lang w:val="ro-MD"/>
          <w14:glow w14:rad="0">
            <w14:schemeClr w14:val="tx1"/>
          </w14:glow>
        </w:rPr>
      </w:pPr>
      <w:r w:rsidRPr="0024512C">
        <w:rPr>
          <w:rFonts w:asciiTheme="majorHAnsi" w:hAnsiTheme="majorHAnsi" w:cstheme="majorHAnsi"/>
          <w:sz w:val="24"/>
          <w:szCs w:val="24"/>
          <w:lang w:val="ro-MD"/>
          <w14:glow w14:rad="0">
            <w14:schemeClr w14:val="tx1"/>
          </w14:glow>
        </w:rPr>
        <w:t xml:space="preserve">Pasivele DLC sunt formate din: (i) datoriile pe termen lung (datoriile aferente sumelor principale </w:t>
      </w:r>
      <w:proofErr w:type="spellStart"/>
      <w:r w:rsidRPr="0024512C">
        <w:rPr>
          <w:rFonts w:asciiTheme="majorHAnsi" w:hAnsiTheme="majorHAnsi" w:cstheme="majorHAnsi"/>
          <w:sz w:val="24"/>
          <w:szCs w:val="24"/>
          <w:lang w:val="ro-MD"/>
          <w14:glow w14:rad="0">
            <w14:schemeClr w14:val="tx1"/>
          </w14:glow>
        </w:rPr>
        <w:t>recreditate</w:t>
      </w:r>
      <w:proofErr w:type="spellEnd"/>
      <w:r w:rsidRPr="0024512C">
        <w:rPr>
          <w:rFonts w:asciiTheme="majorHAnsi" w:hAnsiTheme="majorHAnsi" w:cstheme="majorHAnsi"/>
          <w:sz w:val="24"/>
          <w:szCs w:val="24"/>
          <w:lang w:val="ro-MD"/>
          <w14:glow w14:rad="0">
            <w14:schemeClr w14:val="tx1"/>
          </w14:glow>
        </w:rPr>
        <w:t xml:space="preserve"> din resurse directe și din resurse de refinanțare, diferența dobânzilor cal</w:t>
      </w:r>
      <w:r w:rsidR="00CF5A62" w:rsidRPr="0024512C">
        <w:rPr>
          <w:rFonts w:asciiTheme="majorHAnsi" w:hAnsiTheme="majorHAnsi" w:cstheme="majorHAnsi"/>
          <w:sz w:val="24"/>
          <w:szCs w:val="24"/>
          <w:lang w:val="ro-MD"/>
          <w14:glow w14:rad="0">
            <w14:schemeClr w14:val="tx1"/>
          </w14:glow>
        </w:rPr>
        <w:t>culate, fondul de risc acumulat</w:t>
      </w:r>
      <w:r w:rsidRPr="0024512C">
        <w:rPr>
          <w:rFonts w:asciiTheme="majorHAnsi" w:hAnsiTheme="majorHAnsi" w:cstheme="majorHAnsi"/>
          <w:sz w:val="24"/>
          <w:szCs w:val="24"/>
          <w:lang w:val="ro-MD"/>
          <w14:glow w14:rad="0">
            <w14:schemeClr w14:val="tx1"/>
          </w14:glow>
        </w:rPr>
        <w:t xml:space="preserve"> etc</w:t>
      </w:r>
      <w:r w:rsidR="00CF5A62" w:rsidRPr="0024512C">
        <w:rPr>
          <w:rFonts w:asciiTheme="majorHAnsi" w:hAnsiTheme="majorHAnsi" w:cstheme="majorHAnsi"/>
          <w:sz w:val="24"/>
          <w:szCs w:val="24"/>
          <w:lang w:val="ro-MD"/>
          <w14:glow w14:rad="0">
            <w14:schemeClr w14:val="tx1"/>
          </w14:glow>
        </w:rPr>
        <w:t>.</w:t>
      </w:r>
      <w:r w:rsidR="0048197D" w:rsidRPr="0024512C">
        <w:rPr>
          <w:rFonts w:asciiTheme="majorHAnsi" w:hAnsiTheme="majorHAnsi" w:cstheme="majorHAnsi"/>
          <w:sz w:val="24"/>
          <w:szCs w:val="24"/>
          <w:lang w:val="ro-MD"/>
          <w14:glow w14:rad="0">
            <w14:schemeClr w14:val="tx1"/>
          </w14:glow>
        </w:rPr>
        <w:t xml:space="preserve">) </w:t>
      </w:r>
      <w:r w:rsidR="00DB3348" w:rsidRPr="0024512C">
        <w:rPr>
          <w:rFonts w:asciiTheme="majorHAnsi" w:hAnsiTheme="majorHAnsi" w:cstheme="majorHAnsi"/>
          <w:sz w:val="24"/>
          <w:szCs w:val="24"/>
          <w:lang w:val="ro-MD"/>
          <w14:glow w14:rad="0">
            <w14:schemeClr w14:val="tx1"/>
          </w14:glow>
        </w:rPr>
        <w:t>–</w:t>
      </w:r>
      <w:r w:rsidR="00F0104E" w:rsidRPr="0024512C">
        <w:rPr>
          <w:rFonts w:asciiTheme="majorHAnsi" w:hAnsiTheme="majorHAnsi" w:cstheme="majorHAnsi"/>
          <w:sz w:val="24"/>
          <w:szCs w:val="24"/>
          <w:lang w:val="ro-MD"/>
          <w14:glow w14:rad="0">
            <w14:schemeClr w14:val="tx1"/>
          </w14:glow>
        </w:rPr>
        <w:t xml:space="preserve"> </w:t>
      </w:r>
      <w:r w:rsidRPr="0024512C">
        <w:rPr>
          <w:rFonts w:asciiTheme="majorHAnsi" w:hAnsiTheme="majorHAnsi" w:cstheme="majorHAnsi"/>
          <w:sz w:val="24"/>
          <w:szCs w:val="24"/>
          <w:lang w:val="ro-MD"/>
          <w14:glow w14:rad="0">
            <w14:schemeClr w14:val="tx1"/>
          </w14:glow>
        </w:rPr>
        <w:t>3 873,33 mil. lei</w:t>
      </w:r>
      <w:r w:rsidR="0048197D" w:rsidRPr="0024512C">
        <w:rPr>
          <w:rFonts w:asciiTheme="majorHAnsi" w:hAnsiTheme="majorHAnsi" w:cstheme="majorHAnsi"/>
          <w:sz w:val="24"/>
          <w:szCs w:val="24"/>
          <w:lang w:val="ro-MD"/>
          <w14:glow w14:rad="0">
            <w14:schemeClr w14:val="tx1"/>
          </w14:glow>
        </w:rPr>
        <w:t>,</w:t>
      </w:r>
      <w:r w:rsidRPr="0024512C">
        <w:rPr>
          <w:rFonts w:asciiTheme="majorHAnsi" w:hAnsiTheme="majorHAnsi" w:cstheme="majorHAnsi"/>
          <w:sz w:val="24"/>
          <w:szCs w:val="24"/>
          <w:lang w:val="ro-MD"/>
          <w14:glow w14:rad="0">
            <w14:schemeClr w14:val="tx1"/>
          </w14:glow>
        </w:rPr>
        <w:t xml:space="preserve"> sau 98,0%; (ii) capitalul propriu al D</w:t>
      </w:r>
      <w:r w:rsidR="00F0104E" w:rsidRPr="0024512C">
        <w:rPr>
          <w:rFonts w:asciiTheme="majorHAnsi" w:hAnsiTheme="majorHAnsi" w:cstheme="majorHAnsi"/>
          <w:sz w:val="24"/>
          <w:szCs w:val="24"/>
          <w:lang w:val="ro-MD"/>
          <w14:glow w14:rad="0">
            <w14:schemeClr w14:val="tx1"/>
          </w14:glow>
        </w:rPr>
        <w:t xml:space="preserve">LC sau fondul de autofinanțare </w:t>
      </w:r>
      <w:r w:rsidR="00DB3348" w:rsidRPr="0024512C">
        <w:rPr>
          <w:rFonts w:asciiTheme="majorHAnsi" w:hAnsiTheme="majorHAnsi" w:cstheme="majorHAnsi"/>
          <w:sz w:val="24"/>
          <w:szCs w:val="24"/>
          <w:lang w:val="ro-MD"/>
          <w14:glow w14:rad="0">
            <w14:schemeClr w14:val="tx1"/>
          </w14:glow>
        </w:rPr>
        <w:t>–</w:t>
      </w:r>
      <w:r w:rsidR="00F0104E" w:rsidRPr="0024512C">
        <w:rPr>
          <w:rFonts w:asciiTheme="majorHAnsi" w:hAnsiTheme="majorHAnsi" w:cstheme="majorHAnsi"/>
          <w:sz w:val="24"/>
          <w:szCs w:val="24"/>
          <w:lang w:val="ro-MD"/>
          <w14:glow w14:rad="0">
            <w14:schemeClr w14:val="tx1"/>
          </w14:glow>
        </w:rPr>
        <w:t xml:space="preserve"> 78,61 mil. lei</w:t>
      </w:r>
      <w:r w:rsidR="0048197D" w:rsidRPr="0024512C">
        <w:rPr>
          <w:rFonts w:asciiTheme="majorHAnsi" w:hAnsiTheme="majorHAnsi" w:cstheme="majorHAnsi"/>
          <w:sz w:val="24"/>
          <w:szCs w:val="24"/>
          <w:lang w:val="ro-MD"/>
          <w14:glow w14:rad="0">
            <w14:schemeClr w14:val="tx1"/>
          </w14:glow>
        </w:rPr>
        <w:t>,</w:t>
      </w:r>
      <w:r w:rsidR="00F0104E" w:rsidRPr="0024512C">
        <w:rPr>
          <w:rFonts w:asciiTheme="majorHAnsi" w:hAnsiTheme="majorHAnsi" w:cstheme="majorHAnsi"/>
          <w:sz w:val="24"/>
          <w:szCs w:val="24"/>
          <w:lang w:val="ro-MD"/>
          <w14:glow w14:rad="0">
            <w14:schemeClr w14:val="tx1"/>
          </w14:glow>
        </w:rPr>
        <w:t xml:space="preserve"> sau 1,99%; (iii) datorii curente </w:t>
      </w:r>
      <w:r w:rsidR="00DB3348" w:rsidRPr="0024512C">
        <w:rPr>
          <w:rFonts w:asciiTheme="majorHAnsi" w:hAnsiTheme="majorHAnsi" w:cstheme="majorHAnsi"/>
          <w:sz w:val="24"/>
          <w:szCs w:val="24"/>
          <w:lang w:val="ro-MD"/>
          <w14:glow w14:rad="0">
            <w14:schemeClr w14:val="tx1"/>
          </w14:glow>
        </w:rPr>
        <w:t>–</w:t>
      </w:r>
      <w:r w:rsidR="00F0104E" w:rsidRPr="0024512C">
        <w:rPr>
          <w:rFonts w:asciiTheme="majorHAnsi" w:hAnsiTheme="majorHAnsi" w:cstheme="majorHAnsi"/>
          <w:sz w:val="24"/>
          <w:szCs w:val="24"/>
          <w:lang w:val="ro-MD"/>
          <w14:glow w14:rad="0">
            <w14:schemeClr w14:val="tx1"/>
          </w14:glow>
        </w:rPr>
        <w:t xml:space="preserve"> 0,52 mil. lei</w:t>
      </w:r>
      <w:r w:rsidR="0048197D" w:rsidRPr="0024512C">
        <w:rPr>
          <w:rFonts w:asciiTheme="majorHAnsi" w:hAnsiTheme="majorHAnsi" w:cstheme="majorHAnsi"/>
          <w:sz w:val="24"/>
          <w:szCs w:val="24"/>
          <w:lang w:val="ro-MD"/>
          <w14:glow w14:rad="0">
            <w14:schemeClr w14:val="tx1"/>
          </w14:glow>
        </w:rPr>
        <w:t>,</w:t>
      </w:r>
      <w:r w:rsidR="00F0104E" w:rsidRPr="0024512C">
        <w:rPr>
          <w:rFonts w:asciiTheme="majorHAnsi" w:hAnsiTheme="majorHAnsi" w:cstheme="majorHAnsi"/>
          <w:sz w:val="24"/>
          <w:szCs w:val="24"/>
          <w:lang w:val="ro-MD"/>
          <w14:glow w14:rad="0">
            <w14:schemeClr w14:val="tx1"/>
          </w14:glow>
        </w:rPr>
        <w:t xml:space="preserve"> sau 0,01%</w:t>
      </w:r>
      <w:r w:rsidRPr="0024512C">
        <w:rPr>
          <w:rFonts w:asciiTheme="majorHAnsi" w:hAnsiTheme="majorHAnsi" w:cstheme="majorHAnsi"/>
          <w:sz w:val="24"/>
          <w:szCs w:val="24"/>
          <w:lang w:val="ro-MD"/>
          <w14:glow w14:rad="0">
            <w14:schemeClr w14:val="tx1"/>
          </w14:glow>
        </w:rPr>
        <w:t>.</w:t>
      </w:r>
    </w:p>
    <w:p w:rsidR="00737D32" w:rsidRPr="00321F59" w:rsidRDefault="00737D32" w:rsidP="00F122A2">
      <w:pPr>
        <w:spacing w:line="276" w:lineRule="auto"/>
        <w:jc w:val="both"/>
        <w:rPr>
          <w:rFonts w:asciiTheme="majorHAnsi" w:hAnsiTheme="majorHAnsi" w:cstheme="majorHAns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t>Conform Regulamentului DLC</w:t>
      </w:r>
      <w:r w:rsidRPr="00321F59">
        <w:rPr>
          <w:rStyle w:val="FootnoteReference"/>
          <w:rFonts w:asciiTheme="majorHAnsi" w:hAnsiTheme="majorHAnsi" w:cstheme="majorHAnsi"/>
          <w:sz w:val="24"/>
          <w:szCs w:val="24"/>
          <w:lang w:val="ro-MD"/>
          <w14:glow w14:rad="0">
            <w14:schemeClr w14:val="tx1"/>
          </w14:glow>
        </w:rPr>
        <w:footnoteReference w:id="10"/>
      </w:r>
      <w:r w:rsidRPr="00321F59">
        <w:rPr>
          <w:rFonts w:asciiTheme="majorHAnsi" w:hAnsiTheme="majorHAnsi" w:cstheme="majorHAnsi"/>
          <w:sz w:val="24"/>
          <w:szCs w:val="24"/>
          <w:lang w:val="ro-MD"/>
          <w14:glow w14:rad="0">
            <w14:schemeClr w14:val="tx1"/>
          </w14:glow>
        </w:rPr>
        <w:t xml:space="preserve">, mijloacele financiare pentru activitatea operațională se formează din dobânda adăugată la sub-împrumuturile acordate IFP, donațiile donatorilor străini și autohtoni și alte surse legale. Resursele DLC se acumulează în conturile curente deschise/deservite în instituții financiare, care se utilizează în conformitate cu bugetul anual aprobat de </w:t>
      </w:r>
      <w:r w:rsidR="0048197D" w:rsidRPr="00321F59">
        <w:rPr>
          <w:rFonts w:asciiTheme="majorHAnsi" w:hAnsiTheme="majorHAnsi" w:cstheme="majorHAnsi"/>
          <w:sz w:val="24"/>
          <w:szCs w:val="24"/>
          <w:lang w:val="ro-MD"/>
          <w14:glow w14:rad="0">
            <w14:schemeClr w14:val="tx1"/>
          </w14:glow>
        </w:rPr>
        <w:t>m</w:t>
      </w:r>
      <w:r w:rsidRPr="00321F59">
        <w:rPr>
          <w:rFonts w:asciiTheme="majorHAnsi" w:hAnsiTheme="majorHAnsi" w:cstheme="majorHAnsi"/>
          <w:sz w:val="24"/>
          <w:szCs w:val="24"/>
          <w:lang w:val="ro-MD"/>
          <w14:glow w14:rad="0">
            <w14:schemeClr w14:val="tx1"/>
          </w14:glow>
        </w:rPr>
        <w:t xml:space="preserve">inistrul </w:t>
      </w:r>
      <w:r w:rsidR="0048197D" w:rsidRPr="00321F59">
        <w:rPr>
          <w:rFonts w:asciiTheme="majorHAnsi" w:hAnsiTheme="majorHAnsi" w:cstheme="majorHAnsi"/>
          <w:sz w:val="24"/>
          <w:szCs w:val="24"/>
          <w:lang w:val="ro-MD"/>
          <w14:glow w14:rad="0">
            <w14:schemeClr w14:val="tx1"/>
          </w14:glow>
        </w:rPr>
        <w:t>F</w:t>
      </w:r>
      <w:r w:rsidRPr="00321F59">
        <w:rPr>
          <w:rFonts w:asciiTheme="majorHAnsi" w:hAnsiTheme="majorHAnsi" w:cstheme="majorHAnsi"/>
          <w:sz w:val="24"/>
          <w:szCs w:val="24"/>
          <w:lang w:val="ro-MD"/>
          <w14:glow w14:rad="0">
            <w14:schemeClr w14:val="tx1"/>
          </w14:glow>
        </w:rPr>
        <w:t>inanțelor și coordonat cu Consiliul DLC.</w:t>
      </w:r>
    </w:p>
    <w:p w:rsidR="008F0F6B" w:rsidRPr="00321F59" w:rsidRDefault="00F122A2" w:rsidP="00F122A2">
      <w:pPr>
        <w:spacing w:line="276" w:lineRule="auto"/>
        <w:jc w:val="both"/>
        <w:rPr>
          <w:rFonts w:asciiTheme="majorHAnsi" w:hAnsiTheme="majorHAnsi" w:cstheme="majorHAns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t>Verificările auditului au stabilit că</w:t>
      </w:r>
      <w:r w:rsidR="0048197D" w:rsidRPr="00321F59">
        <w:rPr>
          <w:rFonts w:asciiTheme="majorHAnsi" w:hAnsiTheme="majorHAnsi" w:cstheme="majorHAnsi"/>
          <w:sz w:val="24"/>
          <w:szCs w:val="24"/>
          <w:lang w:val="ro-MD"/>
          <w14:glow w14:rad="0">
            <w14:schemeClr w14:val="tx1"/>
          </w14:glow>
        </w:rPr>
        <w:t>,</w:t>
      </w:r>
      <w:r w:rsidRPr="00321F59">
        <w:rPr>
          <w:rFonts w:asciiTheme="majorHAnsi" w:hAnsiTheme="majorHAnsi" w:cstheme="majorHAnsi"/>
          <w:sz w:val="24"/>
          <w:szCs w:val="24"/>
          <w:lang w:val="ro-MD"/>
          <w14:glow w14:rad="0">
            <w14:schemeClr w14:val="tx1"/>
          </w14:glow>
        </w:rPr>
        <w:t xml:space="preserve"> atât în anul 2019, cât și pe parcursul anilor precedenți, mijloacele financiare ale DLC au fost formate din contul dobânzii adăugate la sub-împrumuturile acordate IFP. </w:t>
      </w:r>
      <w:r w:rsidR="008F0F6B" w:rsidRPr="00321F59">
        <w:rPr>
          <w:rFonts w:asciiTheme="majorHAnsi" w:hAnsiTheme="majorHAnsi" w:cstheme="majorHAnsi"/>
          <w:sz w:val="24"/>
          <w:szCs w:val="24"/>
          <w:lang w:val="ro-MD"/>
          <w14:glow w14:rad="0">
            <w14:schemeClr w14:val="tx1"/>
          </w14:glow>
        </w:rPr>
        <w:t>În acest scop, Consiliul DLC</w:t>
      </w:r>
      <w:r w:rsidR="00DB3348" w:rsidRPr="00321F59">
        <w:rPr>
          <w:rFonts w:asciiTheme="majorHAnsi" w:hAnsiTheme="majorHAnsi" w:cstheme="majorHAnsi"/>
          <w:sz w:val="24"/>
          <w:szCs w:val="24"/>
          <w:lang w:val="ro-MD"/>
          <w14:glow w14:rad="0">
            <w14:schemeClr w14:val="tx1"/>
          </w14:glow>
        </w:rPr>
        <w:t>,</w:t>
      </w:r>
      <w:r w:rsidR="008F0F6B" w:rsidRPr="00321F59">
        <w:rPr>
          <w:rFonts w:asciiTheme="majorHAnsi" w:hAnsiTheme="majorHAnsi" w:cstheme="majorHAnsi"/>
          <w:sz w:val="24"/>
          <w:szCs w:val="24"/>
          <w:lang w:val="ro-MD"/>
          <w14:glow w14:rad="0">
            <w14:schemeClr w14:val="tx1"/>
          </w14:glow>
        </w:rPr>
        <w:t xml:space="preserve"> pentru cheltuielile operaționale</w:t>
      </w:r>
      <w:r w:rsidR="00AD4B10" w:rsidRPr="00321F59">
        <w:rPr>
          <w:rFonts w:asciiTheme="majorHAnsi" w:hAnsiTheme="majorHAnsi" w:cstheme="majorHAnsi"/>
          <w:sz w:val="24"/>
          <w:szCs w:val="24"/>
          <w:lang w:val="ro-MD"/>
          <w14:glow w14:rad="0">
            <w14:schemeClr w14:val="tx1"/>
          </w14:glow>
        </w:rPr>
        <w:t xml:space="preserve"> ale DLC</w:t>
      </w:r>
      <w:r w:rsidR="00DB3348" w:rsidRPr="00321F59">
        <w:rPr>
          <w:rFonts w:asciiTheme="majorHAnsi" w:hAnsiTheme="majorHAnsi" w:cstheme="majorHAnsi"/>
          <w:sz w:val="24"/>
          <w:szCs w:val="24"/>
          <w:lang w:val="ro-MD"/>
          <w14:glow w14:rad="0">
            <w14:schemeClr w14:val="tx1"/>
          </w14:glow>
        </w:rPr>
        <w:t>,</w:t>
      </w:r>
      <w:r w:rsidR="008F0F6B" w:rsidRPr="00321F59">
        <w:rPr>
          <w:rFonts w:asciiTheme="majorHAnsi" w:hAnsiTheme="majorHAnsi" w:cstheme="majorHAnsi"/>
          <w:sz w:val="24"/>
          <w:szCs w:val="24"/>
          <w:lang w:val="ro-MD"/>
          <w14:glow w14:rad="0">
            <w14:schemeClr w14:val="tx1"/>
          </w14:glow>
        </w:rPr>
        <w:t xml:space="preserve"> a aprobat pentru anul 2019 </w:t>
      </w:r>
      <w:r w:rsidR="00AD4B10" w:rsidRPr="00321F59">
        <w:rPr>
          <w:rFonts w:asciiTheme="majorHAnsi" w:hAnsiTheme="majorHAnsi" w:cstheme="majorHAnsi"/>
          <w:sz w:val="24"/>
          <w:szCs w:val="24"/>
          <w:lang w:val="ro-MD"/>
          <w14:glow w14:rad="0">
            <w14:schemeClr w14:val="tx1"/>
          </w14:glow>
        </w:rPr>
        <w:t>o</w:t>
      </w:r>
      <w:r w:rsidR="008F0F6B" w:rsidRPr="00321F59">
        <w:rPr>
          <w:rFonts w:asciiTheme="majorHAnsi" w:hAnsiTheme="majorHAnsi" w:cstheme="majorHAnsi"/>
          <w:sz w:val="24"/>
          <w:szCs w:val="24"/>
          <w:lang w:val="ro-MD"/>
          <w14:glow w14:rad="0">
            <w14:schemeClr w14:val="tx1"/>
          </w14:glow>
        </w:rPr>
        <w:t xml:space="preserve"> </w:t>
      </w:r>
      <w:r w:rsidR="00AD4B10" w:rsidRPr="00321F59">
        <w:rPr>
          <w:rFonts w:asciiTheme="majorHAnsi" w:hAnsiTheme="majorHAnsi" w:cstheme="majorHAnsi"/>
          <w:sz w:val="24"/>
          <w:szCs w:val="24"/>
          <w:lang w:val="ro-MD"/>
          <w14:glow w14:rad="0">
            <w14:schemeClr w14:val="tx1"/>
          </w14:glow>
        </w:rPr>
        <w:t>marjă</w:t>
      </w:r>
      <w:r w:rsidR="008F0F6B" w:rsidRPr="00321F59">
        <w:rPr>
          <w:rFonts w:asciiTheme="majorHAnsi" w:hAnsiTheme="majorHAnsi" w:cstheme="majorHAnsi"/>
          <w:sz w:val="24"/>
          <w:szCs w:val="24"/>
          <w:lang w:val="ro-MD"/>
          <w14:glow w14:rad="0">
            <w14:schemeClr w14:val="tx1"/>
          </w14:glow>
        </w:rPr>
        <w:t xml:space="preserve"> de 0,3% inclus</w:t>
      </w:r>
      <w:r w:rsidR="00AD4B10" w:rsidRPr="00321F59">
        <w:rPr>
          <w:rFonts w:asciiTheme="majorHAnsi" w:hAnsiTheme="majorHAnsi" w:cstheme="majorHAnsi"/>
          <w:sz w:val="24"/>
          <w:szCs w:val="24"/>
          <w:lang w:val="ro-MD"/>
          <w14:glow w14:rad="0">
            <w14:schemeClr w14:val="tx1"/>
          </w14:glow>
        </w:rPr>
        <w:t>ă</w:t>
      </w:r>
      <w:r w:rsidR="008F0F6B" w:rsidRPr="00321F59">
        <w:rPr>
          <w:rFonts w:asciiTheme="majorHAnsi" w:hAnsiTheme="majorHAnsi" w:cstheme="majorHAnsi"/>
          <w:sz w:val="24"/>
          <w:szCs w:val="24"/>
          <w:lang w:val="ro-MD"/>
          <w14:glow w14:rad="0">
            <w14:schemeClr w14:val="tx1"/>
          </w14:glow>
        </w:rPr>
        <w:t xml:space="preserve"> suplimentar în costurile resurselor pentru toate Liniile de credit și Proiectele administrate și perceput</w:t>
      </w:r>
      <w:r w:rsidR="00DB3348" w:rsidRPr="00321F59">
        <w:rPr>
          <w:rFonts w:asciiTheme="majorHAnsi" w:hAnsiTheme="majorHAnsi" w:cstheme="majorHAnsi"/>
          <w:sz w:val="24"/>
          <w:szCs w:val="24"/>
          <w:lang w:val="ro-MD"/>
          <w14:glow w14:rad="0">
            <w14:schemeClr w14:val="tx1"/>
          </w14:glow>
        </w:rPr>
        <w:t>ă</w:t>
      </w:r>
      <w:r w:rsidR="008F0F6B" w:rsidRPr="00321F59">
        <w:rPr>
          <w:rFonts w:asciiTheme="majorHAnsi" w:hAnsiTheme="majorHAnsi" w:cstheme="majorHAnsi"/>
          <w:sz w:val="24"/>
          <w:szCs w:val="24"/>
          <w:lang w:val="ro-MD"/>
          <w14:glow w14:rad="0">
            <w14:schemeClr w14:val="tx1"/>
          </w14:glow>
        </w:rPr>
        <w:t xml:space="preserve"> de la utilizatori, comparativ cu opțiunea care regulamentar</w:t>
      </w:r>
      <w:r w:rsidR="008F0F6B" w:rsidRPr="00321F59">
        <w:rPr>
          <w:rStyle w:val="FootnoteReference"/>
          <w:rFonts w:asciiTheme="majorHAnsi" w:hAnsiTheme="majorHAnsi" w:cstheme="majorHAnsi"/>
          <w:sz w:val="24"/>
          <w:szCs w:val="24"/>
          <w:lang w:val="ro-MD"/>
          <w14:glow w14:rad="0">
            <w14:schemeClr w14:val="tx1"/>
          </w14:glow>
        </w:rPr>
        <w:footnoteReference w:id="11"/>
      </w:r>
      <w:r w:rsidR="008F0F6B" w:rsidRPr="00321F59">
        <w:rPr>
          <w:rFonts w:asciiTheme="majorHAnsi" w:hAnsiTheme="majorHAnsi" w:cstheme="majorHAnsi"/>
          <w:sz w:val="24"/>
          <w:szCs w:val="24"/>
          <w:lang w:val="ro-MD"/>
          <w14:glow w14:rad="0">
            <w14:schemeClr w14:val="tx1"/>
          </w14:glow>
        </w:rPr>
        <w:t xml:space="preserve"> ar putea constitui cel puțin 0,85% din sumele alocate.</w:t>
      </w:r>
    </w:p>
    <w:p w:rsidR="008F0F6B" w:rsidRPr="00321F59" w:rsidRDefault="008F0F6B" w:rsidP="00F122A2">
      <w:pPr>
        <w:spacing w:line="276" w:lineRule="auto"/>
        <w:jc w:val="both"/>
        <w:rPr>
          <w:rFonts w:asciiTheme="majorHAnsi" w:hAnsiTheme="majorHAnsi" w:cstheme="majorHAns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t>Conducerea</w:t>
      </w:r>
      <w:r w:rsidR="00F122A2" w:rsidRPr="00321F59">
        <w:rPr>
          <w:rFonts w:asciiTheme="majorHAnsi" w:hAnsiTheme="majorHAnsi" w:cstheme="majorHAnsi"/>
          <w:sz w:val="24"/>
          <w:szCs w:val="24"/>
          <w:lang w:val="ro-MD"/>
          <w14:glow w14:rad="0">
            <w14:schemeClr w14:val="tx1"/>
          </w14:glow>
        </w:rPr>
        <w:t xml:space="preserve"> DLC</w:t>
      </w:r>
      <w:r w:rsidR="0048197D" w:rsidRPr="00321F59">
        <w:rPr>
          <w:rFonts w:asciiTheme="majorHAnsi" w:hAnsiTheme="majorHAnsi" w:cstheme="majorHAnsi"/>
          <w:sz w:val="24"/>
          <w:szCs w:val="24"/>
          <w:lang w:val="ro-MD"/>
          <w14:glow w14:rad="0">
            <w14:schemeClr w14:val="tx1"/>
          </w14:glow>
        </w:rPr>
        <w:t xml:space="preserve"> a menționat că această rată</w:t>
      </w:r>
      <w:r w:rsidR="00F122A2" w:rsidRPr="00321F59">
        <w:rPr>
          <w:rFonts w:asciiTheme="majorHAnsi" w:hAnsiTheme="majorHAnsi" w:cstheme="majorHAnsi"/>
          <w:sz w:val="24"/>
          <w:szCs w:val="24"/>
          <w:lang w:val="ro-MD"/>
          <w14:glow w14:rad="0">
            <w14:schemeClr w14:val="tx1"/>
          </w14:glow>
        </w:rPr>
        <w:t xml:space="preserve"> a fost aprobată de Consiliul DLC încă din anul 2014</w:t>
      </w:r>
      <w:r w:rsidRPr="00321F59">
        <w:rPr>
          <w:rStyle w:val="FootnoteReference"/>
          <w:rFonts w:asciiTheme="majorHAnsi" w:hAnsiTheme="majorHAnsi" w:cstheme="majorHAnsi"/>
          <w:sz w:val="24"/>
          <w:szCs w:val="24"/>
          <w:lang w:val="ro-MD"/>
          <w14:glow w14:rad="0">
            <w14:schemeClr w14:val="tx1"/>
          </w14:glow>
        </w:rPr>
        <w:footnoteReference w:id="12"/>
      </w:r>
      <w:r w:rsidR="00F122A2" w:rsidRPr="00321F59">
        <w:rPr>
          <w:rFonts w:asciiTheme="majorHAnsi" w:hAnsiTheme="majorHAnsi" w:cstheme="majorHAnsi"/>
          <w:sz w:val="24"/>
          <w:szCs w:val="24"/>
          <w:lang w:val="ro-MD"/>
          <w14:glow w14:rad="0">
            <w14:schemeClr w14:val="tx1"/>
          </w14:glow>
        </w:rPr>
        <w:t xml:space="preserve"> pentru toate liniile de credit</w:t>
      </w:r>
      <w:r w:rsidRPr="00321F59">
        <w:rPr>
          <w:rFonts w:asciiTheme="majorHAnsi" w:hAnsiTheme="majorHAnsi" w:cstheme="majorHAnsi"/>
          <w:sz w:val="24"/>
          <w:szCs w:val="24"/>
          <w:lang w:val="ro-MD"/>
          <w14:glow w14:rad="0">
            <w14:schemeClr w14:val="tx1"/>
          </w14:glow>
        </w:rPr>
        <w:t>,</w:t>
      </w:r>
      <w:r w:rsidR="0048197D" w:rsidRPr="00321F59">
        <w:rPr>
          <w:rFonts w:asciiTheme="majorHAnsi" w:hAnsiTheme="majorHAnsi" w:cstheme="majorHAnsi"/>
          <w:sz w:val="24"/>
          <w:szCs w:val="24"/>
          <w:lang w:val="ro-MD"/>
          <w14:glow w14:rad="0">
            <w14:schemeClr w14:val="tx1"/>
          </w14:glow>
        </w:rPr>
        <w:t xml:space="preserve"> </w:t>
      </w:r>
      <w:r w:rsidR="00F122A2" w:rsidRPr="00321F59">
        <w:rPr>
          <w:rFonts w:asciiTheme="majorHAnsi" w:hAnsiTheme="majorHAnsi" w:cstheme="majorHAnsi"/>
          <w:sz w:val="24"/>
          <w:szCs w:val="24"/>
          <w:lang w:val="ro-MD"/>
          <w14:glow w14:rad="0">
            <w14:schemeClr w14:val="tx1"/>
          </w14:glow>
        </w:rPr>
        <w:t xml:space="preserve">ținând cont de recomandările Guvernului în scopul diminuării dobânzilor la creditele refinanțate sectorului real și acordării pe termen lung a fondurilor mai ieftine către beneficiarii finali de sub-împrumuturi. </w:t>
      </w:r>
    </w:p>
    <w:p w:rsidR="008F0F6B" w:rsidRPr="00321F59" w:rsidRDefault="004D57BF" w:rsidP="00F122A2">
      <w:pPr>
        <w:spacing w:line="276" w:lineRule="auto"/>
        <w:jc w:val="both"/>
        <w:rPr>
          <w:rFonts w:asciiTheme="majorHAnsi" w:hAnsiTheme="majorHAnsi" w:cstheme="majorHAns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t>P</w:t>
      </w:r>
      <w:r w:rsidR="00F122A2" w:rsidRPr="00321F59">
        <w:rPr>
          <w:rFonts w:asciiTheme="majorHAnsi" w:hAnsiTheme="majorHAnsi" w:cstheme="majorHAnsi"/>
          <w:sz w:val="24"/>
          <w:szCs w:val="24"/>
          <w:lang w:val="ro-MD"/>
          <w14:glow w14:rad="0">
            <w14:schemeClr w14:val="tx1"/>
          </w14:glow>
        </w:rPr>
        <w:t>e parcursul anilor 2015-2019</w:t>
      </w:r>
      <w:r w:rsidR="008F0F6B" w:rsidRPr="00321F59">
        <w:rPr>
          <w:rFonts w:asciiTheme="majorHAnsi" w:hAnsiTheme="majorHAnsi" w:cstheme="majorHAnsi"/>
          <w:sz w:val="24"/>
          <w:szCs w:val="24"/>
          <w:lang w:val="ro-MD"/>
          <w14:glow w14:rad="0">
            <w14:schemeClr w14:val="tx1"/>
          </w14:glow>
        </w:rPr>
        <w:t>,</w:t>
      </w:r>
      <w:r w:rsidR="00F122A2" w:rsidRPr="00321F59">
        <w:rPr>
          <w:rFonts w:asciiTheme="majorHAnsi" w:hAnsiTheme="majorHAnsi" w:cstheme="majorHAnsi"/>
          <w:sz w:val="24"/>
          <w:szCs w:val="24"/>
          <w:lang w:val="ro-MD"/>
          <w14:glow w14:rad="0">
            <w14:schemeClr w14:val="tx1"/>
          </w14:glow>
        </w:rPr>
        <w:t xml:space="preserve"> volumul fondului de autofinanțare s-a majorat de 1,5 ori, </w:t>
      </w:r>
      <w:r w:rsidRPr="00321F59">
        <w:rPr>
          <w:rFonts w:asciiTheme="majorHAnsi" w:hAnsiTheme="majorHAnsi" w:cstheme="majorHAnsi"/>
          <w:sz w:val="24"/>
          <w:szCs w:val="24"/>
          <w:lang w:val="ro-MD"/>
          <w14:glow w14:rad="0">
            <w14:schemeClr w14:val="tx1"/>
          </w14:glow>
        </w:rPr>
        <w:t>atingând în anul 2019 volumul de</w:t>
      </w:r>
      <w:r w:rsidR="00F122A2" w:rsidRPr="00321F59">
        <w:rPr>
          <w:rFonts w:asciiTheme="majorHAnsi" w:hAnsiTheme="majorHAnsi" w:cstheme="majorHAnsi"/>
          <w:sz w:val="24"/>
          <w:szCs w:val="24"/>
          <w:lang w:val="ro-MD"/>
          <w14:glow w14:rad="0">
            <w14:schemeClr w14:val="tx1"/>
          </w14:glow>
        </w:rPr>
        <w:t xml:space="preserve"> 78,6</w:t>
      </w:r>
      <w:r w:rsidRPr="00321F59">
        <w:rPr>
          <w:rFonts w:asciiTheme="majorHAnsi" w:hAnsiTheme="majorHAnsi" w:cstheme="majorHAnsi"/>
          <w:sz w:val="24"/>
          <w:szCs w:val="24"/>
          <w:lang w:val="ro-MD"/>
          <w14:glow w14:rad="0">
            <w14:schemeClr w14:val="tx1"/>
          </w14:glow>
        </w:rPr>
        <w:t>1</w:t>
      </w:r>
      <w:r w:rsidR="00F122A2" w:rsidRPr="00321F59">
        <w:rPr>
          <w:rFonts w:asciiTheme="majorHAnsi" w:hAnsiTheme="majorHAnsi" w:cstheme="majorHAnsi"/>
          <w:sz w:val="24"/>
          <w:szCs w:val="24"/>
          <w:lang w:val="ro-MD"/>
          <w14:glow w14:rad="0">
            <w14:schemeClr w14:val="tx1"/>
          </w14:glow>
        </w:rPr>
        <w:t xml:space="preserve"> mil.</w:t>
      </w:r>
      <w:r w:rsidRPr="00321F59">
        <w:rPr>
          <w:rFonts w:asciiTheme="majorHAnsi" w:hAnsiTheme="majorHAnsi" w:cstheme="majorHAnsi"/>
          <w:sz w:val="24"/>
          <w:szCs w:val="24"/>
          <w:lang w:val="ro-MD"/>
          <w14:glow w14:rad="0">
            <w14:schemeClr w14:val="tx1"/>
          </w14:glow>
        </w:rPr>
        <w:t xml:space="preserve"> lei</w:t>
      </w:r>
      <w:r w:rsidR="00F122A2" w:rsidRPr="00321F59">
        <w:rPr>
          <w:rFonts w:asciiTheme="majorHAnsi" w:hAnsiTheme="majorHAnsi" w:cstheme="majorHAnsi"/>
          <w:sz w:val="24"/>
          <w:szCs w:val="24"/>
          <w:lang w:val="ro-MD"/>
          <w14:glow w14:rad="0">
            <w14:schemeClr w14:val="tx1"/>
          </w14:glow>
        </w:rPr>
        <w:t xml:space="preserve">. </w:t>
      </w:r>
      <w:r w:rsidRPr="00321F59">
        <w:rPr>
          <w:rFonts w:asciiTheme="majorHAnsi" w:hAnsiTheme="majorHAnsi" w:cstheme="majorHAnsi"/>
          <w:sz w:val="24"/>
          <w:szCs w:val="24"/>
          <w:lang w:val="ro-MD"/>
          <w14:glow w14:rad="0">
            <w14:schemeClr w14:val="tx1"/>
          </w14:glow>
        </w:rPr>
        <w:t>Î</w:t>
      </w:r>
      <w:r w:rsidR="00F122A2" w:rsidRPr="00321F59">
        <w:rPr>
          <w:rFonts w:asciiTheme="majorHAnsi" w:hAnsiTheme="majorHAnsi" w:cstheme="majorHAnsi"/>
          <w:sz w:val="24"/>
          <w:szCs w:val="24"/>
          <w:lang w:val="ro-MD"/>
          <w14:glow w14:rad="0">
            <w14:schemeClr w14:val="tx1"/>
          </w14:glow>
        </w:rPr>
        <w:t xml:space="preserve">n vederea capitalizării </w:t>
      </w:r>
      <w:r w:rsidRPr="00321F59">
        <w:rPr>
          <w:rFonts w:asciiTheme="majorHAnsi" w:hAnsiTheme="majorHAnsi" w:cstheme="majorHAnsi"/>
          <w:sz w:val="24"/>
          <w:szCs w:val="24"/>
          <w:lang w:val="ro-MD"/>
          <w14:glow w14:rad="0">
            <w14:schemeClr w14:val="tx1"/>
          </w14:glow>
        </w:rPr>
        <w:t xml:space="preserve">și majorării </w:t>
      </w:r>
      <w:r w:rsidR="00F122A2" w:rsidRPr="00321F59">
        <w:rPr>
          <w:rFonts w:asciiTheme="majorHAnsi" w:hAnsiTheme="majorHAnsi" w:cstheme="majorHAnsi"/>
          <w:sz w:val="24"/>
          <w:szCs w:val="24"/>
          <w:lang w:val="ro-MD"/>
          <w14:glow w14:rad="0">
            <w14:schemeClr w14:val="tx1"/>
          </w14:glow>
        </w:rPr>
        <w:t xml:space="preserve">fondului de mijloace financiare acumulat, </w:t>
      </w:r>
      <w:r w:rsidRPr="00321F59">
        <w:rPr>
          <w:rFonts w:asciiTheme="majorHAnsi" w:hAnsiTheme="majorHAnsi" w:cstheme="majorHAnsi"/>
          <w:sz w:val="24"/>
          <w:szCs w:val="24"/>
          <w:lang w:val="ro-MD"/>
          <w14:glow w14:rad="0">
            <w14:schemeClr w14:val="tx1"/>
          </w14:glow>
        </w:rPr>
        <w:t xml:space="preserve">conducerea DLC a decis plasarea </w:t>
      </w:r>
      <w:r w:rsidR="00EB3FC7" w:rsidRPr="00321F59">
        <w:rPr>
          <w:rFonts w:asciiTheme="majorHAnsi" w:hAnsiTheme="majorHAnsi" w:cstheme="majorHAnsi"/>
          <w:sz w:val="24"/>
          <w:szCs w:val="24"/>
          <w:lang w:val="ro-MD"/>
          <w14:glow w14:rad="0">
            <w14:schemeClr w14:val="tx1"/>
          </w14:glow>
        </w:rPr>
        <w:t xml:space="preserve">parțială a </w:t>
      </w:r>
      <w:r w:rsidRPr="00321F59">
        <w:rPr>
          <w:rFonts w:asciiTheme="majorHAnsi" w:hAnsiTheme="majorHAnsi" w:cstheme="majorHAnsi"/>
          <w:sz w:val="24"/>
          <w:szCs w:val="24"/>
          <w:lang w:val="ro-MD"/>
          <w14:glow w14:rad="0">
            <w14:schemeClr w14:val="tx1"/>
          </w14:glow>
        </w:rPr>
        <w:t>acestor mijloace</w:t>
      </w:r>
      <w:r w:rsidR="00F122A2" w:rsidRPr="00321F59">
        <w:rPr>
          <w:rFonts w:asciiTheme="majorHAnsi" w:hAnsiTheme="majorHAnsi" w:cstheme="majorHAnsi"/>
          <w:sz w:val="24"/>
          <w:szCs w:val="24"/>
          <w:lang w:val="ro-MD"/>
          <w14:glow w14:rad="0">
            <w14:schemeClr w14:val="tx1"/>
          </w14:glow>
        </w:rPr>
        <w:t xml:space="preserve"> în conturi</w:t>
      </w:r>
      <w:r w:rsidRPr="00321F59">
        <w:rPr>
          <w:rFonts w:asciiTheme="majorHAnsi" w:hAnsiTheme="majorHAnsi" w:cstheme="majorHAnsi"/>
          <w:sz w:val="24"/>
          <w:szCs w:val="24"/>
          <w:lang w:val="ro-MD"/>
          <w14:glow w14:rad="0">
            <w14:schemeClr w14:val="tx1"/>
          </w14:glow>
        </w:rPr>
        <w:t xml:space="preserve"> de depozit la bănci comerciale. </w:t>
      </w:r>
      <w:r w:rsidR="0048197D" w:rsidRPr="00321F59">
        <w:rPr>
          <w:rFonts w:asciiTheme="majorHAnsi" w:hAnsiTheme="majorHAnsi" w:cstheme="majorHAnsi"/>
          <w:sz w:val="24"/>
          <w:szCs w:val="24"/>
          <w:lang w:val="ro-MD"/>
          <w14:glow w14:rad="0">
            <w14:schemeClr w14:val="tx1"/>
          </w14:glow>
        </w:rPr>
        <w:t>A</w:t>
      </w:r>
      <w:r w:rsidR="009C3F13" w:rsidRPr="00321F59">
        <w:rPr>
          <w:rFonts w:asciiTheme="majorHAnsi" w:hAnsiTheme="majorHAnsi" w:cstheme="majorHAnsi"/>
          <w:sz w:val="24"/>
          <w:szCs w:val="24"/>
          <w:lang w:val="ro-MD"/>
          <w14:glow w14:rad="0">
            <w14:schemeClr w14:val="tx1"/>
          </w14:glow>
        </w:rPr>
        <w:t>udit</w:t>
      </w:r>
      <w:r w:rsidR="0048197D" w:rsidRPr="00321F59">
        <w:rPr>
          <w:rFonts w:asciiTheme="majorHAnsi" w:hAnsiTheme="majorHAnsi" w:cstheme="majorHAnsi"/>
          <w:sz w:val="24"/>
          <w:szCs w:val="24"/>
          <w:lang w:val="ro-MD"/>
          <w14:glow w14:rad="0">
            <w14:schemeClr w14:val="tx1"/>
          </w14:glow>
        </w:rPr>
        <w:t>ul nu a</w:t>
      </w:r>
      <w:r w:rsidR="009C3F13" w:rsidRPr="00321F59">
        <w:rPr>
          <w:rFonts w:asciiTheme="majorHAnsi" w:hAnsiTheme="majorHAnsi" w:cstheme="majorHAnsi"/>
          <w:sz w:val="24"/>
          <w:szCs w:val="24"/>
          <w:lang w:val="ro-MD"/>
          <w14:glow w14:rad="0">
            <w14:schemeClr w14:val="tx1"/>
          </w14:glow>
        </w:rPr>
        <w:t xml:space="preserve"> identificat criterii ce urmau a fi îndeplinite în vederea comunicării acestei decizii către MF, în calitate de fondator, și </w:t>
      </w:r>
      <w:r w:rsidR="00DB3348" w:rsidRPr="00321F59">
        <w:rPr>
          <w:rFonts w:asciiTheme="majorHAnsi" w:hAnsiTheme="majorHAnsi" w:cstheme="majorHAnsi"/>
          <w:sz w:val="24"/>
          <w:szCs w:val="24"/>
          <w:lang w:val="ro-MD"/>
          <w14:glow w14:rad="0">
            <w14:schemeClr w14:val="tx1"/>
          </w14:glow>
        </w:rPr>
        <w:t xml:space="preserve">către </w:t>
      </w:r>
      <w:r w:rsidR="009C3F13" w:rsidRPr="00321F59">
        <w:rPr>
          <w:rFonts w:asciiTheme="majorHAnsi" w:hAnsiTheme="majorHAnsi" w:cstheme="majorHAnsi"/>
          <w:sz w:val="24"/>
          <w:szCs w:val="24"/>
          <w:lang w:val="ro-MD"/>
          <w14:glow w14:rad="0">
            <w14:schemeClr w14:val="tx1"/>
          </w14:glow>
        </w:rPr>
        <w:t xml:space="preserve">Consiliul DLC. Astfel, s-a stabilit că </w:t>
      </w:r>
      <w:r w:rsidR="001269AB" w:rsidRPr="00321F59">
        <w:rPr>
          <w:rFonts w:asciiTheme="majorHAnsi" w:hAnsiTheme="majorHAnsi" w:cstheme="majorHAnsi"/>
          <w:sz w:val="24"/>
          <w:szCs w:val="24"/>
          <w:lang w:val="ro-MD"/>
          <w14:glow w14:rad="0">
            <w14:schemeClr w14:val="tx1"/>
          </w14:glow>
        </w:rPr>
        <w:t>această acțiune</w:t>
      </w:r>
      <w:r w:rsidR="009C3F13" w:rsidRPr="00321F59">
        <w:rPr>
          <w:rFonts w:asciiTheme="majorHAnsi" w:hAnsiTheme="majorHAnsi" w:cstheme="majorHAnsi"/>
          <w:sz w:val="24"/>
          <w:szCs w:val="24"/>
          <w:lang w:val="ro-MD"/>
          <w14:glow w14:rad="0">
            <w14:schemeClr w14:val="tx1"/>
          </w14:glow>
        </w:rPr>
        <w:t xml:space="preserve"> nu a fost coordonată </w:t>
      </w:r>
      <w:r w:rsidR="001269AB" w:rsidRPr="00321F59">
        <w:rPr>
          <w:rFonts w:asciiTheme="majorHAnsi" w:hAnsiTheme="majorHAnsi" w:cstheme="majorHAnsi"/>
          <w:sz w:val="24"/>
          <w:szCs w:val="24"/>
          <w:lang w:val="ro-MD"/>
          <w14:glow w14:rad="0">
            <w14:schemeClr w14:val="tx1"/>
          </w14:glow>
        </w:rPr>
        <w:t xml:space="preserve">direct </w:t>
      </w:r>
      <w:r w:rsidR="009C3F13" w:rsidRPr="00321F59">
        <w:rPr>
          <w:rFonts w:asciiTheme="majorHAnsi" w:hAnsiTheme="majorHAnsi" w:cstheme="majorHAnsi"/>
          <w:sz w:val="24"/>
          <w:szCs w:val="24"/>
          <w:lang w:val="ro-MD"/>
          <w14:glow w14:rad="0">
            <w14:schemeClr w14:val="tx1"/>
          </w14:glow>
        </w:rPr>
        <w:t xml:space="preserve">cu </w:t>
      </w:r>
      <w:r w:rsidR="001269AB" w:rsidRPr="00321F59">
        <w:rPr>
          <w:rFonts w:asciiTheme="majorHAnsi" w:hAnsiTheme="majorHAnsi" w:cstheme="majorHAnsi"/>
          <w:sz w:val="24"/>
          <w:szCs w:val="24"/>
          <w:lang w:val="ro-MD"/>
          <w14:glow w14:rad="0">
            <w14:schemeClr w14:val="tx1"/>
          </w14:glow>
        </w:rPr>
        <w:t xml:space="preserve">MF și cu </w:t>
      </w:r>
      <w:r w:rsidR="0048197D" w:rsidRPr="00321F59">
        <w:rPr>
          <w:rFonts w:asciiTheme="majorHAnsi" w:hAnsiTheme="majorHAnsi" w:cstheme="majorHAnsi"/>
          <w:sz w:val="24"/>
          <w:szCs w:val="24"/>
          <w:lang w:val="ro-MD"/>
          <w14:glow w14:rad="0">
            <w14:schemeClr w14:val="tx1"/>
          </w14:glow>
        </w:rPr>
        <w:t>C</w:t>
      </w:r>
      <w:r w:rsidR="009C3F13" w:rsidRPr="00321F59">
        <w:rPr>
          <w:rFonts w:asciiTheme="majorHAnsi" w:hAnsiTheme="majorHAnsi" w:cstheme="majorHAnsi"/>
          <w:sz w:val="24"/>
          <w:szCs w:val="24"/>
          <w:lang w:val="ro-MD"/>
          <w14:glow w14:rad="0">
            <w14:schemeClr w14:val="tx1"/>
          </w14:glow>
        </w:rPr>
        <w:t xml:space="preserve">onsiliul DLC, </w:t>
      </w:r>
      <w:r w:rsidR="001269AB" w:rsidRPr="00321F59">
        <w:rPr>
          <w:rFonts w:asciiTheme="majorHAnsi" w:hAnsiTheme="majorHAnsi" w:cstheme="majorHAnsi"/>
          <w:sz w:val="24"/>
          <w:szCs w:val="24"/>
          <w:lang w:val="ro-MD"/>
          <w14:glow w14:rad="0">
            <w14:schemeClr w14:val="tx1"/>
          </w14:glow>
        </w:rPr>
        <w:t>ci adusă la cunoștință indirect</w:t>
      </w:r>
      <w:r w:rsidR="00DB3348" w:rsidRPr="00321F59">
        <w:rPr>
          <w:rFonts w:asciiTheme="majorHAnsi" w:hAnsiTheme="majorHAnsi" w:cstheme="majorHAnsi"/>
          <w:sz w:val="24"/>
          <w:szCs w:val="24"/>
          <w:lang w:val="ro-MD"/>
          <w14:glow w14:rad="0">
            <w14:schemeClr w14:val="tx1"/>
          </w14:glow>
        </w:rPr>
        <w:t>,</w:t>
      </w:r>
      <w:r w:rsidR="001269AB" w:rsidRPr="00321F59">
        <w:rPr>
          <w:rFonts w:asciiTheme="majorHAnsi" w:hAnsiTheme="majorHAnsi" w:cstheme="majorHAnsi"/>
          <w:sz w:val="24"/>
          <w:szCs w:val="24"/>
          <w:lang w:val="ro-MD"/>
          <w14:glow w14:rad="0">
            <w14:schemeClr w14:val="tx1"/>
          </w14:glow>
        </w:rPr>
        <w:t xml:space="preserve"> prin includerea în buget a poziției de venituri obținute din dobânda la conturi</w:t>
      </w:r>
      <w:r w:rsidR="0048197D" w:rsidRPr="00321F59">
        <w:rPr>
          <w:rFonts w:asciiTheme="majorHAnsi" w:hAnsiTheme="majorHAnsi" w:cstheme="majorHAnsi"/>
          <w:sz w:val="24"/>
          <w:szCs w:val="24"/>
          <w:lang w:val="ro-MD"/>
          <w14:glow w14:rad="0">
            <w14:schemeClr w14:val="tx1"/>
          </w14:glow>
        </w:rPr>
        <w:t>le</w:t>
      </w:r>
      <w:r w:rsidR="001269AB" w:rsidRPr="00321F59">
        <w:rPr>
          <w:rFonts w:asciiTheme="majorHAnsi" w:hAnsiTheme="majorHAnsi" w:cstheme="majorHAnsi"/>
          <w:sz w:val="24"/>
          <w:szCs w:val="24"/>
          <w:lang w:val="ro-MD"/>
          <w14:glow w14:rad="0">
            <w14:schemeClr w14:val="tx1"/>
          </w14:glow>
        </w:rPr>
        <w:t xml:space="preserve"> curente și de depozit, prin prezentarea Rapoartelor anuale, inclusiv de executare a veniturilor și cheltuielilor</w:t>
      </w:r>
      <w:r w:rsidR="0048197D" w:rsidRPr="00321F59">
        <w:rPr>
          <w:rFonts w:asciiTheme="majorHAnsi" w:hAnsiTheme="majorHAnsi" w:cstheme="majorHAnsi"/>
          <w:sz w:val="24"/>
          <w:szCs w:val="24"/>
          <w:lang w:val="ro-MD"/>
          <w14:glow w14:rad="0">
            <w14:schemeClr w14:val="tx1"/>
          </w14:glow>
        </w:rPr>
        <w:t>,</w:t>
      </w:r>
      <w:r w:rsidR="001269AB" w:rsidRPr="00321F59">
        <w:rPr>
          <w:rFonts w:asciiTheme="majorHAnsi" w:hAnsiTheme="majorHAnsi" w:cstheme="majorHAnsi"/>
          <w:sz w:val="24"/>
          <w:szCs w:val="24"/>
          <w:lang w:val="ro-MD"/>
          <w14:glow w14:rad="0">
            <w14:schemeClr w14:val="tx1"/>
          </w14:glow>
        </w:rPr>
        <w:t xml:space="preserve"> și a Rapoartelor de audit extern asupra situațiilor financiare</w:t>
      </w:r>
      <w:r w:rsidR="009C3F13" w:rsidRPr="00321F59">
        <w:rPr>
          <w:rFonts w:asciiTheme="majorHAnsi" w:hAnsiTheme="majorHAnsi" w:cstheme="majorHAnsi"/>
          <w:sz w:val="24"/>
          <w:szCs w:val="24"/>
          <w:lang w:val="ro-MD"/>
          <w14:glow w14:rad="0">
            <w14:schemeClr w14:val="tx1"/>
          </w14:glow>
        </w:rPr>
        <w:t>.</w:t>
      </w:r>
    </w:p>
    <w:p w:rsidR="004B41C2" w:rsidRPr="00321F59" w:rsidRDefault="004F5C5D" w:rsidP="001269AB">
      <w:pPr>
        <w:spacing w:line="276" w:lineRule="auto"/>
        <w:jc w:val="both"/>
        <w:rPr>
          <w:rFonts w:asciiTheme="majorHAnsi" w:hAnsiTheme="majorHAnsi" w:cstheme="majorHAnsi"/>
          <w: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t>La situația din 31.12.2019, mijloacele fondului de autofinanțare</w:t>
      </w:r>
      <w:r w:rsidR="00DB3348" w:rsidRPr="00321F59">
        <w:rPr>
          <w:rFonts w:asciiTheme="majorHAnsi" w:hAnsiTheme="majorHAnsi" w:cstheme="majorHAnsi"/>
          <w:sz w:val="24"/>
          <w:szCs w:val="24"/>
          <w:lang w:val="ro-MD"/>
          <w14:glow w14:rad="0">
            <w14:schemeClr w14:val="tx1"/>
          </w14:glow>
        </w:rPr>
        <w:t>,</w:t>
      </w:r>
      <w:r w:rsidRPr="00321F59">
        <w:rPr>
          <w:rFonts w:asciiTheme="majorHAnsi" w:hAnsiTheme="majorHAnsi" w:cstheme="majorHAnsi"/>
          <w:sz w:val="24"/>
          <w:szCs w:val="24"/>
          <w:lang w:val="ro-MD"/>
          <w14:glow w14:rad="0">
            <w14:schemeClr w14:val="tx1"/>
          </w14:glow>
        </w:rPr>
        <w:t xml:space="preserve"> în sumă de 53,6 mil. lei</w:t>
      </w:r>
      <w:r w:rsidR="00DB3348" w:rsidRPr="00321F59">
        <w:rPr>
          <w:rFonts w:asciiTheme="majorHAnsi" w:hAnsiTheme="majorHAnsi" w:cstheme="majorHAnsi"/>
          <w:sz w:val="24"/>
          <w:szCs w:val="24"/>
          <w:lang w:val="ro-MD"/>
          <w14:glow w14:rad="0">
            <w14:schemeClr w14:val="tx1"/>
          </w14:glow>
        </w:rPr>
        <w:t>,</w:t>
      </w:r>
      <w:r w:rsidRPr="00321F59">
        <w:rPr>
          <w:rFonts w:asciiTheme="majorHAnsi" w:hAnsiTheme="majorHAnsi" w:cstheme="majorHAnsi"/>
          <w:sz w:val="24"/>
          <w:szCs w:val="24"/>
          <w:lang w:val="ro-MD"/>
          <w14:glow w14:rad="0">
            <w14:schemeClr w14:val="tx1"/>
          </w14:glow>
        </w:rPr>
        <w:t xml:space="preserve"> au fost plasate în 5 conturi de depozite</w:t>
      </w:r>
      <w:r w:rsidR="00551E2C" w:rsidRPr="00321F59">
        <w:rPr>
          <w:rFonts w:asciiTheme="majorHAnsi" w:hAnsiTheme="majorHAnsi" w:cstheme="majorHAnsi"/>
          <w:sz w:val="24"/>
          <w:szCs w:val="24"/>
          <w:lang w:val="ro-MD"/>
          <w14:glow w14:rad="0">
            <w14:schemeClr w14:val="tx1"/>
          </w14:glow>
        </w:rPr>
        <w:t xml:space="preserve"> la bănci comerciale</w:t>
      </w:r>
      <w:r w:rsidR="00551E2C" w:rsidRPr="00321F59">
        <w:rPr>
          <w:rStyle w:val="FootnoteReference"/>
          <w:rFonts w:asciiTheme="majorHAnsi" w:hAnsiTheme="majorHAnsi" w:cstheme="majorHAnsi"/>
          <w:sz w:val="24"/>
          <w:szCs w:val="24"/>
          <w:lang w:val="ro-MD"/>
          <w14:glow w14:rad="0">
            <w14:schemeClr w14:val="tx1"/>
          </w14:glow>
        </w:rPr>
        <w:footnoteReference w:id="13"/>
      </w:r>
      <w:r w:rsidRPr="00321F59">
        <w:rPr>
          <w:rFonts w:asciiTheme="majorHAnsi" w:hAnsiTheme="majorHAnsi" w:cstheme="majorHAnsi"/>
          <w:sz w:val="24"/>
          <w:szCs w:val="24"/>
          <w:lang w:val="ro-MD"/>
          <w14:glow w14:rad="0">
            <w14:schemeClr w14:val="tx1"/>
          </w14:glow>
        </w:rPr>
        <w:t>. Î</w:t>
      </w:r>
      <w:r w:rsidR="004D57BF" w:rsidRPr="00321F59">
        <w:rPr>
          <w:rFonts w:asciiTheme="majorHAnsi" w:hAnsiTheme="majorHAnsi" w:cstheme="majorHAnsi"/>
          <w:sz w:val="24"/>
          <w:szCs w:val="24"/>
          <w:lang w:val="ro-MD"/>
          <w14:glow w14:rad="0">
            <w14:schemeClr w14:val="tx1"/>
          </w14:glow>
        </w:rPr>
        <w:t>n anul 2019</w:t>
      </w:r>
      <w:r w:rsidR="00551E2C" w:rsidRPr="00321F59">
        <w:rPr>
          <w:rFonts w:asciiTheme="majorHAnsi" w:hAnsiTheme="majorHAnsi" w:cstheme="majorHAnsi"/>
          <w:sz w:val="24"/>
          <w:szCs w:val="24"/>
          <w:lang w:val="ro-MD"/>
          <w14:glow w14:rad="0">
            <w14:schemeClr w14:val="tx1"/>
          </w14:glow>
        </w:rPr>
        <w:t>,</w:t>
      </w:r>
      <w:r w:rsidR="004D57BF" w:rsidRPr="00321F59">
        <w:rPr>
          <w:rFonts w:asciiTheme="majorHAnsi" w:hAnsiTheme="majorHAnsi" w:cstheme="majorHAnsi"/>
          <w:sz w:val="24"/>
          <w:szCs w:val="24"/>
          <w:lang w:val="ro-MD"/>
          <w14:glow w14:rad="0">
            <w14:schemeClr w14:val="tx1"/>
          </w14:glow>
        </w:rPr>
        <w:t xml:space="preserve"> suma dobânzilor aferente depozitelor bancare în care au fost plasate mijloacele fondului de autofinanțare </w:t>
      </w:r>
      <w:r w:rsidRPr="00321F59">
        <w:rPr>
          <w:rFonts w:asciiTheme="majorHAnsi" w:hAnsiTheme="majorHAnsi" w:cstheme="majorHAnsi"/>
          <w:sz w:val="24"/>
          <w:szCs w:val="24"/>
          <w:lang w:val="ro-MD"/>
          <w14:glow w14:rad="0">
            <w14:schemeClr w14:val="tx1"/>
          </w14:glow>
        </w:rPr>
        <w:t xml:space="preserve">au constituit 2,48 mil. lei, </w:t>
      </w:r>
      <w:r w:rsidR="00551E2C" w:rsidRPr="00321F59">
        <w:rPr>
          <w:rFonts w:asciiTheme="majorHAnsi" w:hAnsiTheme="majorHAnsi" w:cstheme="majorHAnsi"/>
          <w:sz w:val="24"/>
          <w:szCs w:val="24"/>
          <w:lang w:val="ro-MD"/>
          <w14:glow w14:rad="0">
            <w14:schemeClr w14:val="tx1"/>
          </w14:glow>
        </w:rPr>
        <w:t xml:space="preserve">iar </w:t>
      </w:r>
      <w:r w:rsidRPr="00321F59">
        <w:rPr>
          <w:rFonts w:asciiTheme="majorHAnsi" w:hAnsiTheme="majorHAnsi" w:cstheme="majorHAnsi"/>
          <w:sz w:val="24"/>
          <w:szCs w:val="24"/>
          <w:lang w:val="ro-MD"/>
          <w14:glow w14:rad="0">
            <w14:schemeClr w14:val="tx1"/>
          </w14:glow>
        </w:rPr>
        <w:t xml:space="preserve">în perioada 2015-2019 </w:t>
      </w:r>
      <w:r w:rsidR="00A56FDD" w:rsidRPr="00321F59">
        <w:rPr>
          <w:rFonts w:asciiTheme="majorHAnsi" w:hAnsiTheme="majorHAnsi" w:cstheme="majorHAnsi"/>
          <w:sz w:val="24"/>
          <w:szCs w:val="24"/>
          <w:lang w:val="ro-MD"/>
          <w14:glow w14:rad="0">
            <w14:schemeClr w14:val="tx1"/>
          </w14:glow>
        </w:rPr>
        <w:t>au fost</w:t>
      </w:r>
      <w:r w:rsidRPr="00321F59">
        <w:rPr>
          <w:rFonts w:asciiTheme="majorHAnsi" w:hAnsiTheme="majorHAnsi" w:cstheme="majorHAnsi"/>
          <w:sz w:val="24"/>
          <w:szCs w:val="24"/>
          <w:lang w:val="ro-MD"/>
          <w14:glow w14:rad="0">
            <w14:schemeClr w14:val="tx1"/>
          </w14:glow>
        </w:rPr>
        <w:t xml:space="preserve"> încasate dobânzi de circa 16,8 mil. lei. </w:t>
      </w:r>
      <w:r w:rsidR="00F122A2" w:rsidRPr="00321F59">
        <w:rPr>
          <w:rFonts w:asciiTheme="majorHAnsi" w:hAnsiTheme="majorHAnsi" w:cstheme="majorHAnsi"/>
          <w:i/>
          <w:sz w:val="24"/>
          <w:szCs w:val="24"/>
          <w:lang w:val="ro-MD"/>
          <w14:glow w14:rad="0">
            <w14:schemeClr w14:val="tx1"/>
          </w14:glow>
        </w:rPr>
        <w:t xml:space="preserve">Informația privind </w:t>
      </w:r>
      <w:r w:rsidR="00F122A2" w:rsidRPr="00321F59">
        <w:rPr>
          <w:rFonts w:asciiTheme="majorHAnsi" w:hAnsiTheme="majorHAnsi" w:cstheme="majorHAnsi"/>
          <w:i/>
          <w:sz w:val="24"/>
          <w:szCs w:val="24"/>
          <w:lang w:val="ro-MD"/>
          <w14:glow w14:rad="0">
            <w14:schemeClr w14:val="tx1"/>
          </w14:glow>
        </w:rPr>
        <w:lastRenderedPageBreak/>
        <w:t>volumul fondului de autofinanțare și plasarea ace</w:t>
      </w:r>
      <w:r w:rsidR="00C85965" w:rsidRPr="00321F59">
        <w:rPr>
          <w:rFonts w:asciiTheme="majorHAnsi" w:hAnsiTheme="majorHAnsi" w:cstheme="majorHAnsi"/>
          <w:i/>
          <w:sz w:val="24"/>
          <w:szCs w:val="24"/>
          <w:lang w:val="ro-MD"/>
          <w14:glow w14:rad="0">
            <w14:schemeClr w14:val="tx1"/>
          </w14:glow>
        </w:rPr>
        <w:t>stuia</w:t>
      </w:r>
      <w:r w:rsidR="00F122A2" w:rsidRPr="00321F59">
        <w:rPr>
          <w:rFonts w:asciiTheme="majorHAnsi" w:hAnsiTheme="majorHAnsi" w:cstheme="majorHAnsi"/>
          <w:i/>
          <w:sz w:val="24"/>
          <w:szCs w:val="24"/>
          <w:lang w:val="ro-MD"/>
          <w14:glow w14:rad="0">
            <w14:schemeClr w14:val="tx1"/>
          </w14:glow>
        </w:rPr>
        <w:t xml:space="preserve"> în depozite bancare se prezintă în Tabelul nr.</w:t>
      </w:r>
      <w:r w:rsidRPr="00321F59">
        <w:rPr>
          <w:rFonts w:asciiTheme="majorHAnsi" w:hAnsiTheme="majorHAnsi" w:cstheme="majorHAnsi"/>
          <w:i/>
          <w:sz w:val="24"/>
          <w:szCs w:val="24"/>
          <w:lang w:val="ro-MD"/>
          <w14:glow w14:rad="0">
            <w14:schemeClr w14:val="tx1"/>
          </w14:glow>
        </w:rPr>
        <w:t xml:space="preserve"> 1</w:t>
      </w:r>
      <w:r w:rsidR="00F122A2" w:rsidRPr="00321F59">
        <w:rPr>
          <w:rFonts w:asciiTheme="majorHAnsi" w:hAnsiTheme="majorHAnsi" w:cstheme="majorHAnsi"/>
          <w:i/>
          <w:sz w:val="24"/>
          <w:szCs w:val="24"/>
          <w:lang w:val="ro-MD"/>
          <w14:glow w14:rad="0">
            <w14:schemeClr w14:val="tx1"/>
          </w14:glow>
        </w:rPr>
        <w:t>.</w:t>
      </w:r>
    </w:p>
    <w:p w:rsidR="00F122A2" w:rsidRPr="00321F59" w:rsidRDefault="004F5C5D" w:rsidP="00F122A2">
      <w:pPr>
        <w:spacing w:after="0" w:line="276" w:lineRule="auto"/>
        <w:jc w:val="right"/>
        <w:rPr>
          <w:rFonts w:asciiTheme="majorHAnsi" w:hAnsiTheme="majorHAnsi" w:cstheme="majorHAnsi"/>
          <w:b/>
          <w:i/>
          <w:color w:val="5B9BD5" w:themeColor="accent1"/>
          <w:sz w:val="24"/>
          <w:szCs w:val="24"/>
          <w:lang w:val="ro-MD"/>
          <w14:glow w14:rad="0">
            <w14:schemeClr w14:val="tx1"/>
          </w14:glow>
        </w:rPr>
      </w:pPr>
      <w:r w:rsidRPr="00321F59">
        <w:rPr>
          <w:rFonts w:asciiTheme="majorHAnsi" w:hAnsiTheme="majorHAnsi" w:cstheme="majorHAnsi"/>
          <w:b/>
          <w:i/>
          <w:color w:val="5B9BD5" w:themeColor="accent1"/>
          <w:sz w:val="24"/>
          <w:szCs w:val="24"/>
          <w:lang w:val="ro-MD"/>
          <w14:glow w14:rad="0">
            <w14:schemeClr w14:val="tx1"/>
          </w14:glow>
        </w:rPr>
        <w:t>Tabelul nr. 1, mil. lei</w:t>
      </w:r>
    </w:p>
    <w:tbl>
      <w:tblPr>
        <w:tblStyle w:val="TableGrid"/>
        <w:tblW w:w="9375" w:type="dxa"/>
        <w:tblInd w:w="-5" w:type="dxa"/>
        <w:tblLook w:val="04A0" w:firstRow="1" w:lastRow="0" w:firstColumn="1" w:lastColumn="0" w:noHBand="0" w:noVBand="1"/>
      </w:tblPr>
      <w:tblGrid>
        <w:gridCol w:w="2700"/>
        <w:gridCol w:w="1335"/>
        <w:gridCol w:w="1335"/>
        <w:gridCol w:w="1335"/>
        <w:gridCol w:w="1335"/>
        <w:gridCol w:w="1335"/>
      </w:tblGrid>
      <w:tr w:rsidR="00F122A2" w:rsidRPr="0024512C" w:rsidTr="00F122A2">
        <w:tc>
          <w:tcPr>
            <w:tcW w:w="2700" w:type="dxa"/>
            <w:shd w:val="clear" w:color="auto" w:fill="DEEAF6" w:themeFill="accent1" w:themeFillTint="33"/>
          </w:tcPr>
          <w:p w:rsidR="00F122A2" w:rsidRPr="00321F59" w:rsidRDefault="00F122A2" w:rsidP="00F122A2">
            <w:pPr>
              <w:spacing w:line="276" w:lineRule="auto"/>
              <w:jc w:val="both"/>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Indicator</w:t>
            </w:r>
          </w:p>
        </w:tc>
        <w:tc>
          <w:tcPr>
            <w:tcW w:w="1335" w:type="dxa"/>
            <w:shd w:val="clear" w:color="auto" w:fill="DEEAF6" w:themeFill="accent1" w:themeFillTint="33"/>
          </w:tcPr>
          <w:p w:rsidR="00F122A2" w:rsidRPr="00321F59" w:rsidRDefault="00F122A2" w:rsidP="00F122A2">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2015</w:t>
            </w:r>
          </w:p>
        </w:tc>
        <w:tc>
          <w:tcPr>
            <w:tcW w:w="1335" w:type="dxa"/>
            <w:shd w:val="clear" w:color="auto" w:fill="DEEAF6" w:themeFill="accent1" w:themeFillTint="33"/>
          </w:tcPr>
          <w:p w:rsidR="00F122A2" w:rsidRPr="00321F59" w:rsidRDefault="00F122A2" w:rsidP="00F122A2">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2016</w:t>
            </w:r>
          </w:p>
        </w:tc>
        <w:tc>
          <w:tcPr>
            <w:tcW w:w="1335" w:type="dxa"/>
            <w:shd w:val="clear" w:color="auto" w:fill="DEEAF6" w:themeFill="accent1" w:themeFillTint="33"/>
          </w:tcPr>
          <w:p w:rsidR="00F122A2" w:rsidRPr="00321F59" w:rsidRDefault="00F122A2" w:rsidP="00F122A2">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2017</w:t>
            </w:r>
          </w:p>
        </w:tc>
        <w:tc>
          <w:tcPr>
            <w:tcW w:w="1335" w:type="dxa"/>
            <w:shd w:val="clear" w:color="auto" w:fill="DEEAF6" w:themeFill="accent1" w:themeFillTint="33"/>
          </w:tcPr>
          <w:p w:rsidR="00F122A2" w:rsidRPr="00321F59" w:rsidRDefault="00F122A2" w:rsidP="00F122A2">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2018</w:t>
            </w:r>
          </w:p>
        </w:tc>
        <w:tc>
          <w:tcPr>
            <w:tcW w:w="1335" w:type="dxa"/>
            <w:shd w:val="clear" w:color="auto" w:fill="DEEAF6" w:themeFill="accent1" w:themeFillTint="33"/>
          </w:tcPr>
          <w:p w:rsidR="00F122A2" w:rsidRPr="00321F59" w:rsidRDefault="00F122A2" w:rsidP="00F122A2">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2019</w:t>
            </w:r>
          </w:p>
        </w:tc>
      </w:tr>
      <w:tr w:rsidR="00F122A2" w:rsidRPr="0024512C" w:rsidTr="00F122A2">
        <w:tc>
          <w:tcPr>
            <w:tcW w:w="2700" w:type="dxa"/>
          </w:tcPr>
          <w:p w:rsidR="00F122A2" w:rsidRPr="00321F59" w:rsidRDefault="00F122A2" w:rsidP="00F122A2">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Fond</w:t>
            </w:r>
            <w:r w:rsidR="00A56FDD" w:rsidRPr="00321F59">
              <w:rPr>
                <w:rFonts w:asciiTheme="majorHAnsi" w:hAnsiTheme="majorHAnsi" w:cstheme="majorHAnsi"/>
                <w:sz w:val="20"/>
                <w:szCs w:val="20"/>
                <w:lang w:val="ro-MD"/>
                <w14:glow w14:rad="0">
                  <w14:schemeClr w14:val="tx1"/>
                </w14:glow>
              </w:rPr>
              <w:t>ul</w:t>
            </w:r>
            <w:r w:rsidRPr="00321F59">
              <w:rPr>
                <w:rFonts w:asciiTheme="majorHAnsi" w:hAnsiTheme="majorHAnsi" w:cstheme="majorHAnsi"/>
                <w:sz w:val="20"/>
                <w:szCs w:val="20"/>
                <w:lang w:val="ro-MD"/>
                <w14:glow w14:rad="0">
                  <w14:schemeClr w14:val="tx1"/>
                </w14:glow>
              </w:rPr>
              <w:t xml:space="preserve"> de autofinanțare</w:t>
            </w:r>
          </w:p>
        </w:tc>
        <w:tc>
          <w:tcPr>
            <w:tcW w:w="1335" w:type="dxa"/>
          </w:tcPr>
          <w:p w:rsidR="00F122A2" w:rsidRPr="00321F59" w:rsidRDefault="00B94AF5" w:rsidP="00B94AF5">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50,</w:t>
            </w:r>
            <w:r w:rsidR="00F122A2" w:rsidRPr="00321F59">
              <w:rPr>
                <w:rFonts w:asciiTheme="majorHAnsi" w:hAnsiTheme="majorHAnsi" w:cstheme="majorHAnsi"/>
                <w:sz w:val="20"/>
                <w:szCs w:val="20"/>
                <w:lang w:val="ro-MD"/>
                <w14:glow w14:rad="0">
                  <w14:schemeClr w14:val="tx1"/>
                </w14:glow>
              </w:rPr>
              <w:t>89</w:t>
            </w:r>
          </w:p>
        </w:tc>
        <w:tc>
          <w:tcPr>
            <w:tcW w:w="1335" w:type="dxa"/>
          </w:tcPr>
          <w:p w:rsidR="00F122A2" w:rsidRPr="00321F59" w:rsidRDefault="00F122A2" w:rsidP="00B94AF5">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w:t>
            </w:r>
            <w:r w:rsidR="00B94AF5" w:rsidRPr="00321F59">
              <w:rPr>
                <w:rFonts w:asciiTheme="majorHAnsi" w:hAnsiTheme="majorHAnsi" w:cstheme="majorHAnsi"/>
                <w:sz w:val="20"/>
                <w:szCs w:val="20"/>
                <w:lang w:val="ro-MD"/>
                <w14:glow w14:rad="0">
                  <w14:schemeClr w14:val="tx1"/>
                </w14:glow>
              </w:rPr>
              <w:t>1,</w:t>
            </w:r>
            <w:r w:rsidRPr="00321F59">
              <w:rPr>
                <w:rFonts w:asciiTheme="majorHAnsi" w:hAnsiTheme="majorHAnsi" w:cstheme="majorHAnsi"/>
                <w:sz w:val="20"/>
                <w:szCs w:val="20"/>
                <w:lang w:val="ro-MD"/>
                <w14:glow w14:rad="0">
                  <w14:schemeClr w14:val="tx1"/>
                </w14:glow>
              </w:rPr>
              <w:t>09</w:t>
            </w:r>
          </w:p>
        </w:tc>
        <w:tc>
          <w:tcPr>
            <w:tcW w:w="1335" w:type="dxa"/>
          </w:tcPr>
          <w:p w:rsidR="00F122A2" w:rsidRPr="00321F59" w:rsidRDefault="00F122A2" w:rsidP="00B94AF5">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w:t>
            </w:r>
            <w:r w:rsidR="00B94AF5" w:rsidRPr="00321F59">
              <w:rPr>
                <w:rFonts w:asciiTheme="majorHAnsi" w:hAnsiTheme="majorHAnsi" w:cstheme="majorHAnsi"/>
                <w:sz w:val="20"/>
                <w:szCs w:val="20"/>
                <w:lang w:val="ro-MD"/>
                <w14:glow w14:rad="0">
                  <w14:schemeClr w14:val="tx1"/>
                </w14:glow>
              </w:rPr>
              <w:t>7,</w:t>
            </w:r>
            <w:r w:rsidRPr="00321F59">
              <w:rPr>
                <w:rFonts w:asciiTheme="majorHAnsi" w:hAnsiTheme="majorHAnsi" w:cstheme="majorHAnsi"/>
                <w:sz w:val="20"/>
                <w:szCs w:val="20"/>
                <w:lang w:val="ro-MD"/>
                <w14:glow w14:rad="0">
                  <w14:schemeClr w14:val="tx1"/>
                </w14:glow>
              </w:rPr>
              <w:t>98</w:t>
            </w:r>
          </w:p>
        </w:tc>
        <w:tc>
          <w:tcPr>
            <w:tcW w:w="1335" w:type="dxa"/>
          </w:tcPr>
          <w:p w:rsidR="00F122A2" w:rsidRPr="00321F59" w:rsidRDefault="00F122A2" w:rsidP="00B94AF5">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7</w:t>
            </w:r>
            <w:r w:rsidR="00B94AF5" w:rsidRPr="00321F59">
              <w:rPr>
                <w:rFonts w:asciiTheme="majorHAnsi" w:hAnsiTheme="majorHAnsi" w:cstheme="majorHAnsi"/>
                <w:sz w:val="20"/>
                <w:szCs w:val="20"/>
                <w:lang w:val="ro-MD"/>
                <w14:glow w14:rad="0">
                  <w14:schemeClr w14:val="tx1"/>
                </w14:glow>
              </w:rPr>
              <w:t>3,</w:t>
            </w:r>
            <w:r w:rsidRPr="00321F59">
              <w:rPr>
                <w:rFonts w:asciiTheme="majorHAnsi" w:hAnsiTheme="majorHAnsi" w:cstheme="majorHAnsi"/>
                <w:sz w:val="20"/>
                <w:szCs w:val="20"/>
                <w:lang w:val="ro-MD"/>
                <w14:glow w14:rad="0">
                  <w14:schemeClr w14:val="tx1"/>
                </w14:glow>
              </w:rPr>
              <w:t>19</w:t>
            </w:r>
          </w:p>
        </w:tc>
        <w:tc>
          <w:tcPr>
            <w:tcW w:w="1335" w:type="dxa"/>
          </w:tcPr>
          <w:p w:rsidR="00F122A2" w:rsidRPr="00321F59" w:rsidRDefault="00F122A2" w:rsidP="00B94AF5">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7</w:t>
            </w:r>
            <w:r w:rsidR="00B94AF5" w:rsidRPr="00321F59">
              <w:rPr>
                <w:rFonts w:asciiTheme="majorHAnsi" w:hAnsiTheme="majorHAnsi" w:cstheme="majorHAnsi"/>
                <w:sz w:val="20"/>
                <w:szCs w:val="20"/>
                <w:lang w:val="ro-MD"/>
                <w14:glow w14:rad="0">
                  <w14:schemeClr w14:val="tx1"/>
                </w14:glow>
              </w:rPr>
              <w:t>8,</w:t>
            </w:r>
            <w:r w:rsidRPr="00321F59">
              <w:rPr>
                <w:rFonts w:asciiTheme="majorHAnsi" w:hAnsiTheme="majorHAnsi" w:cstheme="majorHAnsi"/>
                <w:sz w:val="20"/>
                <w:szCs w:val="20"/>
                <w:lang w:val="ro-MD"/>
                <w14:glow w14:rad="0">
                  <w14:schemeClr w14:val="tx1"/>
                </w14:glow>
              </w:rPr>
              <w:t>6</w:t>
            </w:r>
            <w:r w:rsidR="00B94AF5" w:rsidRPr="00321F59">
              <w:rPr>
                <w:rFonts w:asciiTheme="majorHAnsi" w:hAnsiTheme="majorHAnsi" w:cstheme="majorHAnsi"/>
                <w:sz w:val="20"/>
                <w:szCs w:val="20"/>
                <w:lang w:val="ro-MD"/>
                <w14:glow w14:rad="0">
                  <w14:schemeClr w14:val="tx1"/>
                </w14:glow>
              </w:rPr>
              <w:t>1</w:t>
            </w:r>
          </w:p>
        </w:tc>
      </w:tr>
      <w:tr w:rsidR="00F122A2" w:rsidRPr="0024512C" w:rsidTr="00F122A2">
        <w:tc>
          <w:tcPr>
            <w:tcW w:w="2700" w:type="dxa"/>
          </w:tcPr>
          <w:p w:rsidR="00F122A2" w:rsidRPr="00321F59" w:rsidRDefault="004F5C5D" w:rsidP="00F122A2">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Suma depozitelor DLC la băncile comerciale</w:t>
            </w:r>
          </w:p>
        </w:tc>
        <w:tc>
          <w:tcPr>
            <w:tcW w:w="1335" w:type="dxa"/>
          </w:tcPr>
          <w:p w:rsidR="00F122A2" w:rsidRPr="00321F59" w:rsidRDefault="00F122A2" w:rsidP="00B94AF5">
            <w:pPr>
              <w:spacing w:line="276" w:lineRule="auto"/>
              <w:rPr>
                <w:rFonts w:asciiTheme="majorHAnsi" w:hAnsiTheme="majorHAnsi" w:cstheme="majorHAnsi"/>
                <w:sz w:val="20"/>
                <w:szCs w:val="20"/>
                <w:lang w:val="ro-MD"/>
                <w14:glow w14:rad="0">
                  <w14:schemeClr w14:val="tx1"/>
                </w14:glow>
              </w:rPr>
            </w:pPr>
          </w:p>
          <w:p w:rsidR="00F122A2" w:rsidRPr="00321F59" w:rsidRDefault="00B94AF5" w:rsidP="00B94AF5">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35,</w:t>
            </w:r>
            <w:r w:rsidR="00F122A2" w:rsidRPr="00321F59">
              <w:rPr>
                <w:rFonts w:asciiTheme="majorHAnsi" w:hAnsiTheme="majorHAnsi" w:cstheme="majorHAnsi"/>
                <w:sz w:val="20"/>
                <w:szCs w:val="20"/>
                <w:lang w:val="ro-MD"/>
                <w14:glow w14:rad="0">
                  <w14:schemeClr w14:val="tx1"/>
                </w14:glow>
              </w:rPr>
              <w:t>0</w:t>
            </w:r>
          </w:p>
        </w:tc>
        <w:tc>
          <w:tcPr>
            <w:tcW w:w="1335" w:type="dxa"/>
          </w:tcPr>
          <w:p w:rsidR="00F122A2" w:rsidRPr="00321F59" w:rsidRDefault="00F122A2" w:rsidP="00F122A2">
            <w:pPr>
              <w:spacing w:line="276" w:lineRule="auto"/>
              <w:jc w:val="center"/>
              <w:rPr>
                <w:rFonts w:asciiTheme="majorHAnsi" w:hAnsiTheme="majorHAnsi" w:cstheme="majorHAnsi"/>
                <w:sz w:val="20"/>
                <w:szCs w:val="20"/>
                <w:lang w:val="ro-MD"/>
                <w14:glow w14:rad="0">
                  <w14:schemeClr w14:val="tx1"/>
                </w14:glow>
              </w:rPr>
            </w:pPr>
          </w:p>
          <w:p w:rsidR="00F122A2" w:rsidRPr="00321F59" w:rsidRDefault="00B94AF5" w:rsidP="00B94AF5">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54,85</w:t>
            </w:r>
          </w:p>
        </w:tc>
        <w:tc>
          <w:tcPr>
            <w:tcW w:w="1335" w:type="dxa"/>
          </w:tcPr>
          <w:p w:rsidR="00F122A2" w:rsidRPr="00321F59" w:rsidRDefault="00F122A2" w:rsidP="00F122A2">
            <w:pPr>
              <w:spacing w:line="276" w:lineRule="auto"/>
              <w:jc w:val="center"/>
              <w:rPr>
                <w:rFonts w:asciiTheme="majorHAnsi" w:hAnsiTheme="majorHAnsi" w:cstheme="majorHAnsi"/>
                <w:sz w:val="20"/>
                <w:szCs w:val="20"/>
                <w:lang w:val="ro-MD"/>
                <w14:glow w14:rad="0">
                  <w14:schemeClr w14:val="tx1"/>
                </w14:glow>
              </w:rPr>
            </w:pPr>
          </w:p>
          <w:p w:rsidR="00F122A2" w:rsidRPr="00321F59" w:rsidRDefault="00B94AF5" w:rsidP="00B94AF5">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57,51</w:t>
            </w:r>
          </w:p>
        </w:tc>
        <w:tc>
          <w:tcPr>
            <w:tcW w:w="1335" w:type="dxa"/>
          </w:tcPr>
          <w:p w:rsidR="00F122A2" w:rsidRPr="00321F59" w:rsidRDefault="00F122A2" w:rsidP="00F122A2">
            <w:pPr>
              <w:spacing w:line="276" w:lineRule="auto"/>
              <w:jc w:val="center"/>
              <w:rPr>
                <w:rFonts w:asciiTheme="majorHAnsi" w:hAnsiTheme="majorHAnsi" w:cstheme="majorHAnsi"/>
                <w:sz w:val="20"/>
                <w:szCs w:val="20"/>
                <w:lang w:val="ro-MD"/>
                <w14:glow w14:rad="0">
                  <w14:schemeClr w14:val="tx1"/>
                </w14:glow>
              </w:rPr>
            </w:pPr>
          </w:p>
          <w:p w:rsidR="00F122A2" w:rsidRPr="00321F59" w:rsidRDefault="00B94AF5" w:rsidP="00B94AF5">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60,60</w:t>
            </w:r>
          </w:p>
        </w:tc>
        <w:tc>
          <w:tcPr>
            <w:tcW w:w="1335" w:type="dxa"/>
          </w:tcPr>
          <w:p w:rsidR="00F122A2" w:rsidRPr="00321F59" w:rsidRDefault="00F122A2" w:rsidP="00F122A2">
            <w:pPr>
              <w:spacing w:line="276" w:lineRule="auto"/>
              <w:jc w:val="center"/>
              <w:rPr>
                <w:rFonts w:asciiTheme="majorHAnsi" w:hAnsiTheme="majorHAnsi" w:cstheme="majorHAnsi"/>
                <w:sz w:val="20"/>
                <w:szCs w:val="20"/>
                <w:lang w:val="ro-MD"/>
                <w14:glow w14:rad="0">
                  <w14:schemeClr w14:val="tx1"/>
                </w14:glow>
              </w:rPr>
            </w:pPr>
          </w:p>
          <w:p w:rsidR="00F122A2" w:rsidRPr="00321F59" w:rsidRDefault="00B94AF5" w:rsidP="00B94AF5">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53,64</w:t>
            </w:r>
          </w:p>
        </w:tc>
      </w:tr>
      <w:tr w:rsidR="00F122A2" w:rsidRPr="0024512C" w:rsidTr="00F122A2">
        <w:tc>
          <w:tcPr>
            <w:tcW w:w="2700" w:type="dxa"/>
          </w:tcPr>
          <w:p w:rsidR="00F122A2" w:rsidRPr="00321F59" w:rsidRDefault="00F122A2" w:rsidP="00F122A2">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Venituri</w:t>
            </w:r>
            <w:r w:rsidR="00A56FDD" w:rsidRPr="00321F59">
              <w:rPr>
                <w:rFonts w:asciiTheme="majorHAnsi" w:hAnsiTheme="majorHAnsi" w:cstheme="majorHAnsi"/>
                <w:sz w:val="20"/>
                <w:szCs w:val="20"/>
                <w:lang w:val="ro-MD"/>
                <w14:glow w14:rad="0">
                  <w14:schemeClr w14:val="tx1"/>
                </w14:glow>
              </w:rPr>
              <w:t>le</w:t>
            </w:r>
            <w:r w:rsidRPr="00321F59">
              <w:rPr>
                <w:rFonts w:asciiTheme="majorHAnsi" w:hAnsiTheme="majorHAnsi" w:cstheme="majorHAnsi"/>
                <w:sz w:val="20"/>
                <w:szCs w:val="20"/>
                <w:lang w:val="ro-MD"/>
                <w14:glow w14:rad="0">
                  <w14:schemeClr w14:val="tx1"/>
                </w14:glow>
              </w:rPr>
              <w:t xml:space="preserve"> din dobânzi aferente depozitelor bancare</w:t>
            </w:r>
          </w:p>
        </w:tc>
        <w:tc>
          <w:tcPr>
            <w:tcW w:w="1335" w:type="dxa"/>
          </w:tcPr>
          <w:p w:rsidR="00F122A2" w:rsidRPr="00321F59" w:rsidRDefault="00B94AF5" w:rsidP="00B94AF5">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w:t>
            </w:r>
            <w:r w:rsidR="00F122A2" w:rsidRPr="00321F59">
              <w:rPr>
                <w:rFonts w:asciiTheme="majorHAnsi" w:hAnsiTheme="majorHAnsi" w:cstheme="majorHAnsi"/>
                <w:sz w:val="20"/>
                <w:szCs w:val="20"/>
                <w:lang w:val="ro-MD"/>
                <w14:glow w14:rad="0">
                  <w14:schemeClr w14:val="tx1"/>
                </w14:glow>
              </w:rPr>
              <w:t>45</w:t>
            </w:r>
          </w:p>
        </w:tc>
        <w:tc>
          <w:tcPr>
            <w:tcW w:w="1335" w:type="dxa"/>
          </w:tcPr>
          <w:p w:rsidR="00F122A2" w:rsidRPr="00321F59" w:rsidRDefault="00F122A2" w:rsidP="00B94AF5">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5</w:t>
            </w:r>
            <w:r w:rsidR="00B94AF5" w:rsidRPr="00321F59">
              <w:rPr>
                <w:rFonts w:asciiTheme="majorHAnsi" w:hAnsiTheme="majorHAnsi" w:cstheme="majorHAnsi"/>
                <w:sz w:val="20"/>
                <w:szCs w:val="20"/>
                <w:lang w:val="ro-MD"/>
                <w14:glow w14:rad="0">
                  <w14:schemeClr w14:val="tx1"/>
                </w14:glow>
              </w:rPr>
              <w:t>,</w:t>
            </w:r>
            <w:r w:rsidRPr="00321F59">
              <w:rPr>
                <w:rFonts w:asciiTheme="majorHAnsi" w:hAnsiTheme="majorHAnsi" w:cstheme="majorHAnsi"/>
                <w:sz w:val="20"/>
                <w:szCs w:val="20"/>
                <w:lang w:val="ro-MD"/>
                <w14:glow w14:rad="0">
                  <w14:schemeClr w14:val="tx1"/>
                </w14:glow>
              </w:rPr>
              <w:t>2</w:t>
            </w:r>
            <w:r w:rsidR="00B94AF5" w:rsidRPr="00321F59">
              <w:rPr>
                <w:rFonts w:asciiTheme="majorHAnsi" w:hAnsiTheme="majorHAnsi" w:cstheme="majorHAnsi"/>
                <w:sz w:val="20"/>
                <w:szCs w:val="20"/>
                <w:lang w:val="ro-MD"/>
                <w14:glow w14:rad="0">
                  <w14:schemeClr w14:val="tx1"/>
                </w14:glow>
              </w:rPr>
              <w:t>3</w:t>
            </w:r>
          </w:p>
        </w:tc>
        <w:tc>
          <w:tcPr>
            <w:tcW w:w="1335" w:type="dxa"/>
          </w:tcPr>
          <w:p w:rsidR="00F122A2" w:rsidRPr="00321F59" w:rsidRDefault="00F122A2" w:rsidP="00B94AF5">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w:t>
            </w:r>
            <w:r w:rsidR="00B94AF5" w:rsidRPr="00321F59">
              <w:rPr>
                <w:rFonts w:asciiTheme="majorHAnsi" w:hAnsiTheme="majorHAnsi" w:cstheme="majorHAnsi"/>
                <w:sz w:val="20"/>
                <w:szCs w:val="20"/>
                <w:lang w:val="ro-MD"/>
                <w14:glow w14:rad="0">
                  <w14:schemeClr w14:val="tx1"/>
                </w14:glow>
              </w:rPr>
              <w:t>,</w:t>
            </w:r>
            <w:r w:rsidRPr="00321F59">
              <w:rPr>
                <w:rFonts w:asciiTheme="majorHAnsi" w:hAnsiTheme="majorHAnsi" w:cstheme="majorHAnsi"/>
                <w:sz w:val="20"/>
                <w:szCs w:val="20"/>
                <w:lang w:val="ro-MD"/>
                <w14:glow w14:rad="0">
                  <w14:schemeClr w14:val="tx1"/>
                </w14:glow>
              </w:rPr>
              <w:t>97</w:t>
            </w:r>
          </w:p>
        </w:tc>
        <w:tc>
          <w:tcPr>
            <w:tcW w:w="1335" w:type="dxa"/>
          </w:tcPr>
          <w:p w:rsidR="00F122A2" w:rsidRPr="00321F59" w:rsidRDefault="00F122A2" w:rsidP="00B94AF5">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w:t>
            </w:r>
            <w:r w:rsidR="00B94AF5" w:rsidRPr="00321F59">
              <w:rPr>
                <w:rFonts w:asciiTheme="majorHAnsi" w:hAnsiTheme="majorHAnsi" w:cstheme="majorHAnsi"/>
                <w:sz w:val="20"/>
                <w:szCs w:val="20"/>
                <w:lang w:val="ro-MD"/>
                <w14:glow w14:rad="0">
                  <w14:schemeClr w14:val="tx1"/>
                </w14:glow>
              </w:rPr>
              <w:t>,</w:t>
            </w:r>
            <w:r w:rsidRPr="00321F59">
              <w:rPr>
                <w:rFonts w:asciiTheme="majorHAnsi" w:hAnsiTheme="majorHAnsi" w:cstheme="majorHAnsi"/>
                <w:sz w:val="20"/>
                <w:szCs w:val="20"/>
                <w:lang w:val="ro-MD"/>
                <w14:glow w14:rad="0">
                  <w14:schemeClr w14:val="tx1"/>
                </w14:glow>
              </w:rPr>
              <w:t>6</w:t>
            </w:r>
            <w:r w:rsidR="00B94AF5" w:rsidRPr="00321F59">
              <w:rPr>
                <w:rFonts w:asciiTheme="majorHAnsi" w:hAnsiTheme="majorHAnsi" w:cstheme="majorHAnsi"/>
                <w:sz w:val="20"/>
                <w:szCs w:val="20"/>
                <w:lang w:val="ro-MD"/>
                <w14:glow w14:rad="0">
                  <w14:schemeClr w14:val="tx1"/>
                </w14:glow>
              </w:rPr>
              <w:t>3</w:t>
            </w:r>
          </w:p>
        </w:tc>
        <w:tc>
          <w:tcPr>
            <w:tcW w:w="1335" w:type="dxa"/>
          </w:tcPr>
          <w:p w:rsidR="00F122A2" w:rsidRPr="00321F59" w:rsidRDefault="00F122A2" w:rsidP="00B94AF5">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w:t>
            </w:r>
            <w:r w:rsidR="00B94AF5" w:rsidRPr="00321F59">
              <w:rPr>
                <w:rFonts w:asciiTheme="majorHAnsi" w:hAnsiTheme="majorHAnsi" w:cstheme="majorHAnsi"/>
                <w:sz w:val="20"/>
                <w:szCs w:val="20"/>
                <w:lang w:val="ro-MD"/>
                <w14:glow w14:rad="0">
                  <w14:schemeClr w14:val="tx1"/>
                </w14:glow>
              </w:rPr>
              <w:t>,</w:t>
            </w:r>
            <w:r w:rsidRPr="00321F59">
              <w:rPr>
                <w:rFonts w:asciiTheme="majorHAnsi" w:hAnsiTheme="majorHAnsi" w:cstheme="majorHAnsi"/>
                <w:sz w:val="20"/>
                <w:szCs w:val="20"/>
                <w:lang w:val="ro-MD"/>
                <w14:glow w14:rad="0">
                  <w14:schemeClr w14:val="tx1"/>
                </w14:glow>
              </w:rPr>
              <w:t>48</w:t>
            </w:r>
          </w:p>
        </w:tc>
      </w:tr>
      <w:tr w:rsidR="00F122A2" w:rsidRPr="0024512C" w:rsidTr="00F122A2">
        <w:tc>
          <w:tcPr>
            <w:tcW w:w="2700" w:type="dxa"/>
          </w:tcPr>
          <w:p w:rsidR="00F122A2" w:rsidRPr="00321F59" w:rsidRDefault="00F122A2" w:rsidP="00F122A2">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Venituri</w:t>
            </w:r>
            <w:r w:rsidR="00A56FDD" w:rsidRPr="00321F59">
              <w:rPr>
                <w:rFonts w:asciiTheme="majorHAnsi" w:hAnsiTheme="majorHAnsi" w:cstheme="majorHAnsi"/>
                <w:sz w:val="20"/>
                <w:szCs w:val="20"/>
                <w:lang w:val="ro-MD"/>
                <w14:glow w14:rad="0">
                  <w14:schemeClr w14:val="tx1"/>
                </w14:glow>
              </w:rPr>
              <w:t>le</w:t>
            </w:r>
            <w:r w:rsidRPr="00321F59">
              <w:rPr>
                <w:rFonts w:asciiTheme="majorHAnsi" w:hAnsiTheme="majorHAnsi" w:cstheme="majorHAnsi"/>
                <w:sz w:val="20"/>
                <w:szCs w:val="20"/>
                <w:lang w:val="ro-MD"/>
                <w14:glow w14:rad="0">
                  <w14:schemeClr w14:val="tx1"/>
                </w14:glow>
              </w:rPr>
              <w:t>/pierderi</w:t>
            </w:r>
            <w:r w:rsidR="00A56FDD" w:rsidRPr="00321F59">
              <w:rPr>
                <w:rFonts w:asciiTheme="majorHAnsi" w:hAnsiTheme="majorHAnsi" w:cstheme="majorHAnsi"/>
                <w:sz w:val="20"/>
                <w:szCs w:val="20"/>
                <w:lang w:val="ro-MD"/>
                <w14:glow w14:rad="0">
                  <w14:schemeClr w14:val="tx1"/>
                </w14:glow>
              </w:rPr>
              <w:t>le</w:t>
            </w:r>
            <w:r w:rsidRPr="00321F59">
              <w:rPr>
                <w:rFonts w:asciiTheme="majorHAnsi" w:hAnsiTheme="majorHAnsi" w:cstheme="majorHAnsi"/>
                <w:sz w:val="20"/>
                <w:szCs w:val="20"/>
                <w:lang w:val="ro-MD"/>
                <w14:glow w14:rad="0">
                  <w14:schemeClr w14:val="tx1"/>
                </w14:glow>
              </w:rPr>
              <w:t xml:space="preserve"> din diferențe de curs valutar</w:t>
            </w:r>
          </w:p>
        </w:tc>
        <w:tc>
          <w:tcPr>
            <w:tcW w:w="1335" w:type="dxa"/>
          </w:tcPr>
          <w:p w:rsidR="00F122A2" w:rsidRPr="00321F59" w:rsidRDefault="00F122A2" w:rsidP="00F122A2">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0</w:t>
            </w:r>
          </w:p>
        </w:tc>
        <w:tc>
          <w:tcPr>
            <w:tcW w:w="1335" w:type="dxa"/>
          </w:tcPr>
          <w:p w:rsidR="00F122A2" w:rsidRPr="00321F59" w:rsidRDefault="00F122A2" w:rsidP="00B94AF5">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r w:rsidR="00B94AF5" w:rsidRPr="00321F59">
              <w:rPr>
                <w:rFonts w:asciiTheme="majorHAnsi" w:hAnsiTheme="majorHAnsi" w:cstheme="majorHAnsi"/>
                <w:sz w:val="20"/>
                <w:szCs w:val="20"/>
                <w:lang w:val="ro-MD"/>
                <w14:glow w14:rad="0">
                  <w14:schemeClr w14:val="tx1"/>
                </w14:glow>
              </w:rPr>
              <w:t>0,</w:t>
            </w:r>
            <w:r w:rsidRPr="00321F59">
              <w:rPr>
                <w:rFonts w:asciiTheme="majorHAnsi" w:hAnsiTheme="majorHAnsi" w:cstheme="majorHAnsi"/>
                <w:sz w:val="20"/>
                <w:szCs w:val="20"/>
                <w:lang w:val="ro-MD"/>
                <w14:glow w14:rad="0">
                  <w14:schemeClr w14:val="tx1"/>
                </w14:glow>
              </w:rPr>
              <w:t>22)</w:t>
            </w:r>
          </w:p>
        </w:tc>
        <w:tc>
          <w:tcPr>
            <w:tcW w:w="1335" w:type="dxa"/>
          </w:tcPr>
          <w:p w:rsidR="00F122A2" w:rsidRPr="00321F59" w:rsidRDefault="00F122A2" w:rsidP="00B94AF5">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r w:rsidR="00B94AF5" w:rsidRPr="00321F59">
              <w:rPr>
                <w:rFonts w:asciiTheme="majorHAnsi" w:hAnsiTheme="majorHAnsi" w:cstheme="majorHAnsi"/>
                <w:sz w:val="20"/>
                <w:szCs w:val="20"/>
                <w:lang w:val="ro-MD"/>
                <w14:glow w14:rad="0">
                  <w14:schemeClr w14:val="tx1"/>
                </w14:glow>
              </w:rPr>
              <w:t>1,</w:t>
            </w:r>
            <w:r w:rsidRPr="00321F59">
              <w:rPr>
                <w:rFonts w:asciiTheme="majorHAnsi" w:hAnsiTheme="majorHAnsi" w:cstheme="majorHAnsi"/>
                <w:sz w:val="20"/>
                <w:szCs w:val="20"/>
                <w:lang w:val="ro-MD"/>
                <w14:glow w14:rad="0">
                  <w14:schemeClr w14:val="tx1"/>
                </w14:glow>
              </w:rPr>
              <w:t>3</w:t>
            </w:r>
            <w:r w:rsidR="00B94AF5" w:rsidRPr="00321F59">
              <w:rPr>
                <w:rFonts w:asciiTheme="majorHAnsi" w:hAnsiTheme="majorHAnsi" w:cstheme="majorHAnsi"/>
                <w:sz w:val="20"/>
                <w:szCs w:val="20"/>
                <w:lang w:val="ro-MD"/>
                <w14:glow w14:rad="0">
                  <w14:schemeClr w14:val="tx1"/>
                </w14:glow>
              </w:rPr>
              <w:t>7</w:t>
            </w:r>
            <w:r w:rsidRPr="00321F59">
              <w:rPr>
                <w:rFonts w:asciiTheme="majorHAnsi" w:hAnsiTheme="majorHAnsi" w:cstheme="majorHAnsi"/>
                <w:sz w:val="20"/>
                <w:szCs w:val="20"/>
                <w:lang w:val="ro-MD"/>
                <w14:glow w14:rad="0">
                  <w14:schemeClr w14:val="tx1"/>
                </w14:glow>
              </w:rPr>
              <w:t>)</w:t>
            </w:r>
          </w:p>
        </w:tc>
        <w:tc>
          <w:tcPr>
            <w:tcW w:w="1335" w:type="dxa"/>
          </w:tcPr>
          <w:p w:rsidR="00F122A2" w:rsidRPr="00321F59" w:rsidRDefault="00F122A2" w:rsidP="00B94AF5">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r w:rsidR="00B94AF5" w:rsidRPr="00321F59">
              <w:rPr>
                <w:rFonts w:asciiTheme="majorHAnsi" w:hAnsiTheme="majorHAnsi" w:cstheme="majorHAnsi"/>
                <w:sz w:val="20"/>
                <w:szCs w:val="20"/>
                <w:lang w:val="ro-MD"/>
                <w14:glow w14:rad="0">
                  <w14:schemeClr w14:val="tx1"/>
                </w14:glow>
              </w:rPr>
              <w:t>0,</w:t>
            </w:r>
            <w:r w:rsidRPr="00321F59">
              <w:rPr>
                <w:rFonts w:asciiTheme="majorHAnsi" w:hAnsiTheme="majorHAnsi" w:cstheme="majorHAnsi"/>
                <w:sz w:val="20"/>
                <w:szCs w:val="20"/>
                <w:lang w:val="ro-MD"/>
                <w14:glow w14:rad="0">
                  <w14:schemeClr w14:val="tx1"/>
                </w14:glow>
              </w:rPr>
              <w:t>5</w:t>
            </w:r>
            <w:r w:rsidR="00B94AF5" w:rsidRPr="00321F59">
              <w:rPr>
                <w:rFonts w:asciiTheme="majorHAnsi" w:hAnsiTheme="majorHAnsi" w:cstheme="majorHAnsi"/>
                <w:sz w:val="20"/>
                <w:szCs w:val="20"/>
                <w:lang w:val="ro-MD"/>
                <w14:glow w14:rad="0">
                  <w14:schemeClr w14:val="tx1"/>
                </w14:glow>
              </w:rPr>
              <w:t>2</w:t>
            </w:r>
            <w:r w:rsidRPr="00321F59">
              <w:rPr>
                <w:rFonts w:asciiTheme="majorHAnsi" w:hAnsiTheme="majorHAnsi" w:cstheme="majorHAnsi"/>
                <w:sz w:val="20"/>
                <w:szCs w:val="20"/>
                <w:lang w:val="ro-MD"/>
                <w14:glow w14:rad="0">
                  <w14:schemeClr w14:val="tx1"/>
                </w14:glow>
              </w:rPr>
              <w:t>)</w:t>
            </w:r>
          </w:p>
        </w:tc>
        <w:tc>
          <w:tcPr>
            <w:tcW w:w="1335" w:type="dxa"/>
          </w:tcPr>
          <w:p w:rsidR="00F122A2" w:rsidRPr="00321F59" w:rsidRDefault="00F122A2" w:rsidP="00B94AF5">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r w:rsidR="00B94AF5" w:rsidRPr="00321F59">
              <w:rPr>
                <w:rFonts w:asciiTheme="majorHAnsi" w:hAnsiTheme="majorHAnsi" w:cstheme="majorHAnsi"/>
                <w:sz w:val="20"/>
                <w:szCs w:val="20"/>
                <w:lang w:val="ro-MD"/>
                <w14:glow w14:rad="0">
                  <w14:schemeClr w14:val="tx1"/>
                </w14:glow>
              </w:rPr>
              <w:t>0,</w:t>
            </w:r>
            <w:r w:rsidRPr="00321F59">
              <w:rPr>
                <w:rFonts w:asciiTheme="majorHAnsi" w:hAnsiTheme="majorHAnsi" w:cstheme="majorHAnsi"/>
                <w:sz w:val="20"/>
                <w:szCs w:val="20"/>
                <w:lang w:val="ro-MD"/>
                <w14:glow w14:rad="0">
                  <w14:schemeClr w14:val="tx1"/>
                </w14:glow>
              </w:rPr>
              <w:t>22)</w:t>
            </w:r>
          </w:p>
        </w:tc>
      </w:tr>
    </w:tbl>
    <w:p w:rsidR="00F122A2" w:rsidRPr="00321F59" w:rsidRDefault="000162BB" w:rsidP="000162BB">
      <w:pPr>
        <w:spacing w:line="276" w:lineRule="auto"/>
        <w:jc w:val="both"/>
        <w:rPr>
          <w:rFonts w:asciiTheme="majorHAnsi" w:hAnsiTheme="majorHAnsi" w:cstheme="majorHAnsi"/>
          <w:i/>
          <w:sz w:val="20"/>
          <w:szCs w:val="20"/>
          <w:lang w:val="ro-MD"/>
        </w:rPr>
      </w:pPr>
      <w:r w:rsidRPr="00321F59">
        <w:rPr>
          <w:rFonts w:asciiTheme="majorHAnsi" w:hAnsiTheme="majorHAnsi" w:cstheme="majorHAnsi"/>
          <w:b/>
          <w:i/>
          <w:sz w:val="20"/>
          <w:szCs w:val="20"/>
          <w:lang w:val="ro-MD"/>
        </w:rPr>
        <w:t>Sursa:</w:t>
      </w:r>
      <w:r w:rsidRPr="00321F59">
        <w:rPr>
          <w:rFonts w:asciiTheme="majorHAnsi" w:hAnsiTheme="majorHAnsi" w:cstheme="majorHAnsi"/>
          <w:i/>
          <w:sz w:val="20"/>
          <w:szCs w:val="20"/>
          <w:lang w:val="ro-MD"/>
        </w:rPr>
        <w:t xml:space="preserve"> Situațiile financiare ale DLC pentru anii 2015-2019; Informația DLC privind depozitele DLC plasate la băncile comerciale.</w:t>
      </w:r>
    </w:p>
    <w:p w:rsidR="00F122A2" w:rsidRPr="00321F59" w:rsidRDefault="00F122A2" w:rsidP="00F122A2">
      <w:pPr>
        <w:spacing w:line="276" w:lineRule="auto"/>
        <w:jc w:val="both"/>
        <w:rPr>
          <w:rFonts w:asciiTheme="majorHAnsi" w:hAnsiTheme="majorHAnsi" w:cstheme="majorHAns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t>Bugetul anual al DLC este coordonat cu Consi</w:t>
      </w:r>
      <w:r w:rsidR="00D05A27" w:rsidRPr="00321F59">
        <w:rPr>
          <w:rFonts w:asciiTheme="majorHAnsi" w:hAnsiTheme="majorHAnsi" w:cstheme="majorHAnsi"/>
          <w:sz w:val="24"/>
          <w:szCs w:val="24"/>
          <w:lang w:val="ro-MD"/>
          <w14:glow w14:rad="0">
            <w14:schemeClr w14:val="tx1"/>
          </w14:glow>
        </w:rPr>
        <w:t xml:space="preserve">liul DLC și se aprobă de către </w:t>
      </w:r>
      <w:r w:rsidR="00A56FDD" w:rsidRPr="00321F59">
        <w:rPr>
          <w:rFonts w:asciiTheme="majorHAnsi" w:hAnsiTheme="majorHAnsi" w:cstheme="majorHAnsi"/>
          <w:sz w:val="24"/>
          <w:szCs w:val="24"/>
          <w:lang w:val="ro-MD"/>
          <w14:glow w14:rad="0">
            <w14:schemeClr w14:val="tx1"/>
          </w14:glow>
        </w:rPr>
        <w:t>m</w:t>
      </w:r>
      <w:r w:rsidRPr="00321F59">
        <w:rPr>
          <w:rFonts w:asciiTheme="majorHAnsi" w:hAnsiTheme="majorHAnsi" w:cstheme="majorHAnsi"/>
          <w:sz w:val="24"/>
          <w:szCs w:val="24"/>
          <w:lang w:val="ro-MD"/>
          <w14:glow w14:rad="0">
            <w14:schemeClr w14:val="tx1"/>
          </w14:glow>
        </w:rPr>
        <w:t xml:space="preserve">inistrul </w:t>
      </w:r>
      <w:r w:rsidR="00A56FDD" w:rsidRPr="00321F59">
        <w:rPr>
          <w:rFonts w:asciiTheme="majorHAnsi" w:hAnsiTheme="majorHAnsi" w:cstheme="majorHAnsi"/>
          <w:sz w:val="24"/>
          <w:szCs w:val="24"/>
          <w:lang w:val="ro-MD"/>
          <w14:glow w14:rad="0">
            <w14:schemeClr w14:val="tx1"/>
          </w14:glow>
        </w:rPr>
        <w:t>F</w:t>
      </w:r>
      <w:r w:rsidRPr="00321F59">
        <w:rPr>
          <w:rFonts w:asciiTheme="majorHAnsi" w:hAnsiTheme="majorHAnsi" w:cstheme="majorHAnsi"/>
          <w:sz w:val="24"/>
          <w:szCs w:val="24"/>
          <w:lang w:val="ro-MD"/>
          <w14:glow w14:rad="0">
            <w14:schemeClr w14:val="tx1"/>
          </w14:glow>
        </w:rPr>
        <w:t>inanțelor. Bugetul pentru anul 2019 a fost aprobat în mărime de 7,7 mil.</w:t>
      </w:r>
      <w:r w:rsidR="009A64D4" w:rsidRPr="00321F59">
        <w:rPr>
          <w:rFonts w:asciiTheme="majorHAnsi" w:hAnsiTheme="majorHAnsi" w:cstheme="majorHAnsi"/>
          <w:sz w:val="24"/>
          <w:szCs w:val="24"/>
          <w:lang w:val="ro-MD"/>
          <w14:glow w14:rad="0">
            <w14:schemeClr w14:val="tx1"/>
          </w14:glow>
        </w:rPr>
        <w:t xml:space="preserve"> lei la venituri și 5,0 mil. lei</w:t>
      </w:r>
      <w:r w:rsidRPr="00321F59">
        <w:rPr>
          <w:rFonts w:asciiTheme="majorHAnsi" w:hAnsiTheme="majorHAnsi" w:cstheme="majorHAnsi"/>
          <w:sz w:val="24"/>
          <w:szCs w:val="24"/>
          <w:lang w:val="ro-MD"/>
          <w14:glow w14:rad="0">
            <w14:schemeClr w14:val="tx1"/>
          </w14:glow>
        </w:rPr>
        <w:t xml:space="preserve"> la cheltuieli, fiind, comparativ cu anul p</w:t>
      </w:r>
      <w:r w:rsidR="009A64D4" w:rsidRPr="00321F59">
        <w:rPr>
          <w:rFonts w:asciiTheme="majorHAnsi" w:hAnsiTheme="majorHAnsi" w:cstheme="majorHAnsi"/>
          <w:sz w:val="24"/>
          <w:szCs w:val="24"/>
          <w:lang w:val="ro-MD"/>
          <w14:glow w14:rad="0">
            <w14:schemeClr w14:val="tx1"/>
          </w14:glow>
        </w:rPr>
        <w:t>recedent, mai mic cu 2,0 mil. lei la venituri și cu 0,07 mil. lei</w:t>
      </w:r>
      <w:r w:rsidRPr="00321F59">
        <w:rPr>
          <w:rFonts w:asciiTheme="majorHAnsi" w:hAnsiTheme="majorHAnsi" w:cstheme="majorHAnsi"/>
          <w:sz w:val="24"/>
          <w:szCs w:val="24"/>
          <w:lang w:val="ro-MD"/>
          <w14:glow w14:rad="0">
            <w14:schemeClr w14:val="tx1"/>
          </w14:glow>
        </w:rPr>
        <w:t xml:space="preserve"> mai mare la cheltuieli. Executarea efectivă a bugetului în anul 2019 a constituit 9,8 mi</w:t>
      </w:r>
      <w:r w:rsidR="009A64D4" w:rsidRPr="00321F59">
        <w:rPr>
          <w:rFonts w:asciiTheme="majorHAnsi" w:hAnsiTheme="majorHAnsi" w:cstheme="majorHAnsi"/>
          <w:sz w:val="24"/>
          <w:szCs w:val="24"/>
          <w:lang w:val="ro-MD"/>
          <w14:glow w14:rad="0">
            <w14:schemeClr w14:val="tx1"/>
          </w14:glow>
        </w:rPr>
        <w:t>l. lei</w:t>
      </w:r>
      <w:r w:rsidR="00A557B6" w:rsidRPr="00321F59">
        <w:rPr>
          <w:rFonts w:asciiTheme="majorHAnsi" w:hAnsiTheme="majorHAnsi" w:cstheme="majorHAnsi"/>
          <w:sz w:val="24"/>
          <w:szCs w:val="24"/>
          <w:lang w:val="ro-MD"/>
          <w14:glow w14:rad="0">
            <w14:schemeClr w14:val="tx1"/>
          </w14:glow>
        </w:rPr>
        <w:t xml:space="preserve"> la venituri (128,0</w:t>
      </w:r>
      <w:r w:rsidRPr="00321F59">
        <w:rPr>
          <w:rFonts w:asciiTheme="majorHAnsi" w:hAnsiTheme="majorHAnsi" w:cstheme="majorHAnsi"/>
          <w:sz w:val="24"/>
          <w:szCs w:val="24"/>
          <w:lang w:val="ro-MD"/>
          <w14:glow w14:rad="0">
            <w14:schemeClr w14:val="tx1"/>
          </w14:glow>
        </w:rPr>
        <w:t>%) și 4,2 mil.</w:t>
      </w:r>
      <w:r w:rsidR="009A64D4" w:rsidRPr="00321F59">
        <w:rPr>
          <w:rFonts w:asciiTheme="majorHAnsi" w:hAnsiTheme="majorHAnsi" w:cstheme="majorHAnsi"/>
          <w:sz w:val="24"/>
          <w:szCs w:val="24"/>
          <w:lang w:val="ro-MD"/>
          <w14:glow w14:rad="0">
            <w14:schemeClr w14:val="tx1"/>
          </w14:glow>
        </w:rPr>
        <w:t xml:space="preserve"> lei</w:t>
      </w:r>
      <w:r w:rsidR="00A557B6" w:rsidRPr="00321F59">
        <w:rPr>
          <w:rFonts w:asciiTheme="majorHAnsi" w:hAnsiTheme="majorHAnsi" w:cstheme="majorHAnsi"/>
          <w:sz w:val="24"/>
          <w:szCs w:val="24"/>
          <w:lang w:val="ro-MD"/>
          <w14:glow w14:rad="0">
            <w14:schemeClr w14:val="tx1"/>
          </w14:glow>
        </w:rPr>
        <w:t xml:space="preserve"> la cheltuieli (83,7</w:t>
      </w:r>
      <w:r w:rsidRPr="00321F59">
        <w:rPr>
          <w:rFonts w:asciiTheme="majorHAnsi" w:hAnsiTheme="majorHAnsi" w:cstheme="majorHAnsi"/>
          <w:sz w:val="24"/>
          <w:szCs w:val="24"/>
          <w:lang w:val="ro-MD"/>
          <w14:glow w14:rad="0">
            <w14:schemeClr w14:val="tx1"/>
          </w14:glow>
        </w:rPr>
        <w:t xml:space="preserve">%). </w:t>
      </w:r>
      <w:r w:rsidRPr="00321F59">
        <w:rPr>
          <w:rFonts w:asciiTheme="majorHAnsi" w:hAnsiTheme="majorHAnsi" w:cstheme="majorHAnsi"/>
          <w:i/>
          <w:sz w:val="24"/>
          <w:szCs w:val="24"/>
          <w:lang w:val="ro-MD"/>
          <w14:glow w14:rad="0">
            <w14:schemeClr w14:val="tx1"/>
          </w14:glow>
        </w:rPr>
        <w:t xml:space="preserve">Informația privind executarea bugetului </w:t>
      </w:r>
      <w:r w:rsidR="00A56FDD" w:rsidRPr="00321F59">
        <w:rPr>
          <w:rFonts w:asciiTheme="majorHAnsi" w:hAnsiTheme="majorHAnsi" w:cstheme="majorHAnsi"/>
          <w:i/>
          <w:sz w:val="24"/>
          <w:szCs w:val="24"/>
          <w:lang w:val="ro-MD"/>
          <w14:glow w14:rad="0">
            <w14:schemeClr w14:val="tx1"/>
          </w14:glow>
        </w:rPr>
        <w:t>la</w:t>
      </w:r>
      <w:r w:rsidRPr="00321F59">
        <w:rPr>
          <w:rFonts w:asciiTheme="majorHAnsi" w:hAnsiTheme="majorHAnsi" w:cstheme="majorHAnsi"/>
          <w:i/>
          <w:sz w:val="24"/>
          <w:szCs w:val="24"/>
          <w:lang w:val="ro-MD"/>
          <w14:glow w14:rad="0">
            <w14:schemeClr w14:val="tx1"/>
          </w14:glow>
        </w:rPr>
        <w:t xml:space="preserve"> venituri și cheltuieli pentru anul 2019 se prezintă în </w:t>
      </w:r>
      <w:r w:rsidR="00AB693B" w:rsidRPr="00321F59">
        <w:rPr>
          <w:rFonts w:asciiTheme="majorHAnsi" w:hAnsiTheme="majorHAnsi" w:cstheme="majorHAnsi"/>
          <w:i/>
          <w:sz w:val="24"/>
          <w:szCs w:val="24"/>
          <w:lang w:val="ro-MD"/>
          <w14:glow w14:rad="0">
            <w14:schemeClr w14:val="tx1"/>
          </w14:glow>
        </w:rPr>
        <w:t>Tabelul nr. 2.</w:t>
      </w:r>
      <w:r w:rsidR="00AB693B" w:rsidRPr="00321F59">
        <w:rPr>
          <w:rFonts w:asciiTheme="majorHAnsi" w:hAnsiTheme="majorHAnsi" w:cstheme="majorHAnsi"/>
          <w:sz w:val="24"/>
          <w:szCs w:val="24"/>
          <w:lang w:val="ro-MD"/>
          <w14:glow w14:rad="0">
            <w14:schemeClr w14:val="tx1"/>
          </w14:glow>
        </w:rPr>
        <w:t xml:space="preserve"> </w:t>
      </w:r>
    </w:p>
    <w:p w:rsidR="00AB693B" w:rsidRPr="00321F59" w:rsidRDefault="00AB693B" w:rsidP="00FD4F1D">
      <w:pPr>
        <w:spacing w:after="0" w:line="276" w:lineRule="auto"/>
        <w:jc w:val="right"/>
        <w:rPr>
          <w:rFonts w:asciiTheme="majorHAnsi" w:hAnsiTheme="majorHAnsi" w:cstheme="majorHAnsi"/>
          <w:b/>
          <w:i/>
          <w:sz w:val="24"/>
          <w:szCs w:val="24"/>
          <w:lang w:val="ro-MD"/>
          <w14:glow w14:rad="0">
            <w14:schemeClr w14:val="tx1"/>
          </w14:glow>
        </w:rPr>
      </w:pPr>
      <w:r w:rsidRPr="00321F59">
        <w:rPr>
          <w:rFonts w:asciiTheme="majorHAnsi" w:hAnsiTheme="majorHAnsi" w:cstheme="majorHAnsi"/>
          <w:b/>
          <w:i/>
          <w:color w:val="5B9BD5" w:themeColor="accent1"/>
          <w:sz w:val="24"/>
          <w:szCs w:val="24"/>
          <w:lang w:val="ro-MD"/>
          <w14:glow w14:rad="0">
            <w14:schemeClr w14:val="tx1"/>
          </w14:glow>
        </w:rPr>
        <w:t>Tabelul nr. 2, mii lei</w:t>
      </w:r>
    </w:p>
    <w:tbl>
      <w:tblPr>
        <w:tblStyle w:val="TableGrid"/>
        <w:tblW w:w="9445" w:type="dxa"/>
        <w:tblLook w:val="04A0" w:firstRow="1" w:lastRow="0" w:firstColumn="1" w:lastColumn="0" w:noHBand="0" w:noVBand="1"/>
      </w:tblPr>
      <w:tblGrid>
        <w:gridCol w:w="535"/>
        <w:gridCol w:w="4050"/>
        <w:gridCol w:w="1260"/>
        <w:gridCol w:w="1260"/>
        <w:gridCol w:w="1170"/>
        <w:gridCol w:w="1170"/>
      </w:tblGrid>
      <w:tr w:rsidR="00AB693B" w:rsidRPr="0024512C" w:rsidTr="00AB693B">
        <w:tc>
          <w:tcPr>
            <w:tcW w:w="535" w:type="dxa"/>
            <w:vMerge w:val="restart"/>
            <w:shd w:val="clear" w:color="auto" w:fill="DEEAF6" w:themeFill="accent1" w:themeFillTint="33"/>
            <w:vAlign w:val="center"/>
          </w:tcPr>
          <w:p w:rsidR="00AB693B" w:rsidRPr="00321F59" w:rsidRDefault="00AB693B" w:rsidP="00AB693B">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Nr.</w:t>
            </w:r>
          </w:p>
        </w:tc>
        <w:tc>
          <w:tcPr>
            <w:tcW w:w="4050" w:type="dxa"/>
            <w:vMerge w:val="restart"/>
            <w:shd w:val="clear" w:color="auto" w:fill="DEEAF6" w:themeFill="accent1" w:themeFillTint="33"/>
            <w:vAlign w:val="center"/>
          </w:tcPr>
          <w:p w:rsidR="00AB693B" w:rsidRPr="00321F59" w:rsidRDefault="00AB693B" w:rsidP="00AB693B">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Articolul de cheltuieli</w:t>
            </w:r>
          </w:p>
        </w:tc>
        <w:tc>
          <w:tcPr>
            <w:tcW w:w="1260" w:type="dxa"/>
            <w:vMerge w:val="restart"/>
            <w:shd w:val="clear" w:color="auto" w:fill="DEEAF6" w:themeFill="accent1" w:themeFillTint="33"/>
            <w:vAlign w:val="center"/>
          </w:tcPr>
          <w:p w:rsidR="00AB693B" w:rsidRPr="00321F59" w:rsidRDefault="00AB693B" w:rsidP="00AB693B">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Planificat</w:t>
            </w:r>
          </w:p>
        </w:tc>
        <w:tc>
          <w:tcPr>
            <w:tcW w:w="1260" w:type="dxa"/>
            <w:vMerge w:val="restart"/>
            <w:shd w:val="clear" w:color="auto" w:fill="DEEAF6" w:themeFill="accent1" w:themeFillTint="33"/>
            <w:vAlign w:val="center"/>
          </w:tcPr>
          <w:p w:rsidR="00AB693B" w:rsidRPr="00321F59" w:rsidRDefault="00AB693B" w:rsidP="00AB693B">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Executat</w:t>
            </w:r>
          </w:p>
        </w:tc>
        <w:tc>
          <w:tcPr>
            <w:tcW w:w="2340" w:type="dxa"/>
            <w:gridSpan w:val="2"/>
            <w:shd w:val="clear" w:color="auto" w:fill="DEEAF6" w:themeFill="accent1" w:themeFillTint="33"/>
            <w:vAlign w:val="center"/>
          </w:tcPr>
          <w:p w:rsidR="00AB693B" w:rsidRPr="00321F59" w:rsidRDefault="00AB693B" w:rsidP="00AB693B">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Executat față de planificat</w:t>
            </w:r>
          </w:p>
        </w:tc>
      </w:tr>
      <w:tr w:rsidR="00AB693B" w:rsidRPr="0024512C" w:rsidTr="00AB693B">
        <w:tc>
          <w:tcPr>
            <w:tcW w:w="535" w:type="dxa"/>
            <w:vMerge/>
            <w:shd w:val="clear" w:color="auto" w:fill="DEEAF6" w:themeFill="accent1" w:themeFillTint="33"/>
            <w:vAlign w:val="center"/>
          </w:tcPr>
          <w:p w:rsidR="00AB693B" w:rsidRPr="00321F59" w:rsidRDefault="00AB693B" w:rsidP="00AB693B">
            <w:pPr>
              <w:spacing w:line="276" w:lineRule="auto"/>
              <w:jc w:val="center"/>
              <w:rPr>
                <w:rFonts w:asciiTheme="majorHAnsi" w:hAnsiTheme="majorHAnsi" w:cstheme="majorHAnsi"/>
                <w:b/>
                <w:sz w:val="20"/>
                <w:szCs w:val="20"/>
                <w:lang w:val="ro-MD"/>
                <w14:glow w14:rad="0">
                  <w14:schemeClr w14:val="tx1"/>
                </w14:glow>
              </w:rPr>
            </w:pPr>
          </w:p>
        </w:tc>
        <w:tc>
          <w:tcPr>
            <w:tcW w:w="4050" w:type="dxa"/>
            <w:vMerge/>
            <w:shd w:val="clear" w:color="auto" w:fill="DEEAF6" w:themeFill="accent1" w:themeFillTint="33"/>
            <w:vAlign w:val="center"/>
          </w:tcPr>
          <w:p w:rsidR="00AB693B" w:rsidRPr="00321F59" w:rsidRDefault="00AB693B" w:rsidP="00AB693B">
            <w:pPr>
              <w:spacing w:line="276" w:lineRule="auto"/>
              <w:jc w:val="center"/>
              <w:rPr>
                <w:rFonts w:asciiTheme="majorHAnsi" w:hAnsiTheme="majorHAnsi" w:cstheme="majorHAnsi"/>
                <w:b/>
                <w:sz w:val="20"/>
                <w:szCs w:val="20"/>
                <w:lang w:val="ro-MD"/>
                <w14:glow w14:rad="0">
                  <w14:schemeClr w14:val="tx1"/>
                </w14:glow>
              </w:rPr>
            </w:pPr>
          </w:p>
        </w:tc>
        <w:tc>
          <w:tcPr>
            <w:tcW w:w="1260" w:type="dxa"/>
            <w:vMerge/>
            <w:shd w:val="clear" w:color="auto" w:fill="DEEAF6" w:themeFill="accent1" w:themeFillTint="33"/>
            <w:vAlign w:val="center"/>
          </w:tcPr>
          <w:p w:rsidR="00AB693B" w:rsidRPr="00321F59" w:rsidRDefault="00AB693B" w:rsidP="00AB693B">
            <w:pPr>
              <w:spacing w:line="276" w:lineRule="auto"/>
              <w:jc w:val="center"/>
              <w:rPr>
                <w:rFonts w:asciiTheme="majorHAnsi" w:hAnsiTheme="majorHAnsi" w:cstheme="majorHAnsi"/>
                <w:b/>
                <w:sz w:val="20"/>
                <w:szCs w:val="20"/>
                <w:lang w:val="ro-MD"/>
                <w14:glow w14:rad="0">
                  <w14:schemeClr w14:val="tx1"/>
                </w14:glow>
              </w:rPr>
            </w:pPr>
          </w:p>
        </w:tc>
        <w:tc>
          <w:tcPr>
            <w:tcW w:w="1260" w:type="dxa"/>
            <w:vMerge/>
            <w:shd w:val="clear" w:color="auto" w:fill="DEEAF6" w:themeFill="accent1" w:themeFillTint="33"/>
            <w:vAlign w:val="center"/>
          </w:tcPr>
          <w:p w:rsidR="00AB693B" w:rsidRPr="00321F59" w:rsidRDefault="00AB693B" w:rsidP="00AB693B">
            <w:pPr>
              <w:spacing w:line="276" w:lineRule="auto"/>
              <w:jc w:val="center"/>
              <w:rPr>
                <w:rFonts w:asciiTheme="majorHAnsi" w:hAnsiTheme="majorHAnsi" w:cstheme="majorHAnsi"/>
                <w:b/>
                <w:sz w:val="20"/>
                <w:szCs w:val="20"/>
                <w:lang w:val="ro-MD"/>
                <w14:glow w14:rad="0">
                  <w14:schemeClr w14:val="tx1"/>
                </w14:glow>
              </w:rPr>
            </w:pPr>
          </w:p>
        </w:tc>
        <w:tc>
          <w:tcPr>
            <w:tcW w:w="1170" w:type="dxa"/>
            <w:shd w:val="clear" w:color="auto" w:fill="DEEAF6" w:themeFill="accent1" w:themeFillTint="33"/>
            <w:vAlign w:val="center"/>
          </w:tcPr>
          <w:p w:rsidR="00AB693B" w:rsidRPr="00321F59" w:rsidRDefault="009A64D4" w:rsidP="00AB693B">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mil. lei</w:t>
            </w:r>
          </w:p>
        </w:tc>
        <w:tc>
          <w:tcPr>
            <w:tcW w:w="1170" w:type="dxa"/>
            <w:shd w:val="clear" w:color="auto" w:fill="DEEAF6" w:themeFill="accent1" w:themeFillTint="33"/>
            <w:vAlign w:val="center"/>
          </w:tcPr>
          <w:p w:rsidR="00AB693B" w:rsidRPr="00321F59" w:rsidRDefault="00AB693B" w:rsidP="00AB693B">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w:t>
            </w:r>
          </w:p>
        </w:tc>
      </w:tr>
      <w:tr w:rsidR="00AB693B" w:rsidRPr="0024512C" w:rsidTr="00AB693B">
        <w:tc>
          <w:tcPr>
            <w:tcW w:w="9445" w:type="dxa"/>
            <w:gridSpan w:val="6"/>
          </w:tcPr>
          <w:p w:rsidR="00AB693B" w:rsidRPr="00321F59" w:rsidRDefault="00AB693B" w:rsidP="00AB693B">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Venituri</w:t>
            </w:r>
          </w:p>
        </w:tc>
      </w:tr>
      <w:tr w:rsidR="00AB693B" w:rsidRPr="0024512C" w:rsidTr="00AB693B">
        <w:tc>
          <w:tcPr>
            <w:tcW w:w="535"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w:t>
            </w:r>
          </w:p>
        </w:tc>
        <w:tc>
          <w:tcPr>
            <w:tcW w:w="4050"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Venituri din marja DLC la rata dobânzii (0,3%)</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5 592,42</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7 359</w:t>
            </w:r>
            <w:r w:rsidRPr="0024512C">
              <w:rPr>
                <w:rFonts w:asciiTheme="majorHAnsi" w:hAnsiTheme="majorHAnsi" w:cstheme="majorHAnsi"/>
                <w:sz w:val="20"/>
                <w:szCs w:val="20"/>
                <w:lang w:val="ro-MD"/>
                <w14:glow w14:rad="0">
                  <w14:schemeClr w14:val="tx1"/>
                </w14:glow>
              </w:rPr>
              <w:t>,</w:t>
            </w:r>
            <w:r w:rsidRPr="00321F59">
              <w:rPr>
                <w:rFonts w:asciiTheme="majorHAnsi" w:hAnsiTheme="majorHAnsi" w:cstheme="majorHAnsi"/>
                <w:sz w:val="20"/>
                <w:szCs w:val="20"/>
                <w:lang w:val="ro-MD"/>
                <w14:glow w14:rad="0">
                  <w14:schemeClr w14:val="tx1"/>
                </w14:glow>
              </w:rPr>
              <w:t>74</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+1 767,32</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131,6</w:t>
            </w:r>
          </w:p>
        </w:tc>
      </w:tr>
      <w:tr w:rsidR="00AB693B" w:rsidRPr="0024512C" w:rsidTr="00AB693B">
        <w:tc>
          <w:tcPr>
            <w:tcW w:w="535"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w:t>
            </w:r>
          </w:p>
        </w:tc>
        <w:tc>
          <w:tcPr>
            <w:tcW w:w="4050"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Dobânda la conturi curente și depozite</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2 100,83</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2 484,0</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+383,17</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118,2</w:t>
            </w:r>
          </w:p>
        </w:tc>
      </w:tr>
      <w:tr w:rsidR="00AB693B" w:rsidRPr="0024512C" w:rsidTr="00AB693B">
        <w:tc>
          <w:tcPr>
            <w:tcW w:w="535" w:type="dxa"/>
          </w:tcPr>
          <w:p w:rsidR="00AB693B" w:rsidRPr="00321F59" w:rsidRDefault="00AB693B" w:rsidP="00AB693B">
            <w:pPr>
              <w:spacing w:line="276" w:lineRule="auto"/>
              <w:jc w:val="both"/>
              <w:rPr>
                <w:rFonts w:asciiTheme="majorHAnsi" w:hAnsiTheme="majorHAnsi" w:cstheme="majorHAnsi"/>
                <w:b/>
                <w:sz w:val="20"/>
                <w:szCs w:val="20"/>
                <w:lang w:val="ro-MD"/>
                <w14:glow w14:rad="0">
                  <w14:schemeClr w14:val="tx1"/>
                </w14:glow>
              </w:rPr>
            </w:pPr>
          </w:p>
        </w:tc>
        <w:tc>
          <w:tcPr>
            <w:tcW w:w="4050" w:type="dxa"/>
          </w:tcPr>
          <w:p w:rsidR="00AB693B" w:rsidRPr="00321F59" w:rsidRDefault="00AB693B" w:rsidP="00AB693B">
            <w:pPr>
              <w:spacing w:line="276" w:lineRule="auto"/>
              <w:jc w:val="both"/>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Total venituri</w:t>
            </w:r>
          </w:p>
        </w:tc>
        <w:tc>
          <w:tcPr>
            <w:tcW w:w="1260" w:type="dxa"/>
          </w:tcPr>
          <w:p w:rsidR="00AB693B" w:rsidRPr="00321F59" w:rsidRDefault="00AB693B" w:rsidP="00AB693B">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7 693,25</w:t>
            </w:r>
          </w:p>
        </w:tc>
        <w:tc>
          <w:tcPr>
            <w:tcW w:w="1260" w:type="dxa"/>
          </w:tcPr>
          <w:p w:rsidR="00AB693B" w:rsidRPr="00321F59" w:rsidRDefault="00AB693B" w:rsidP="00AB693B">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9 843,74</w:t>
            </w:r>
          </w:p>
        </w:tc>
        <w:tc>
          <w:tcPr>
            <w:tcW w:w="1170" w:type="dxa"/>
          </w:tcPr>
          <w:p w:rsidR="00AB693B" w:rsidRPr="00321F59" w:rsidRDefault="00AB693B" w:rsidP="00AB693B">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+2 150,49</w:t>
            </w:r>
          </w:p>
        </w:tc>
        <w:tc>
          <w:tcPr>
            <w:tcW w:w="1170" w:type="dxa"/>
          </w:tcPr>
          <w:p w:rsidR="00AB693B" w:rsidRPr="00321F59" w:rsidRDefault="00AB693B" w:rsidP="00AB693B">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128,0</w:t>
            </w:r>
          </w:p>
        </w:tc>
      </w:tr>
      <w:tr w:rsidR="00AB693B" w:rsidRPr="0024512C" w:rsidTr="00AB693B">
        <w:tc>
          <w:tcPr>
            <w:tcW w:w="9445" w:type="dxa"/>
            <w:gridSpan w:val="6"/>
          </w:tcPr>
          <w:p w:rsidR="00AB693B" w:rsidRPr="00321F59" w:rsidRDefault="00AB693B" w:rsidP="00AB693B">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Cheltuieli</w:t>
            </w:r>
          </w:p>
        </w:tc>
      </w:tr>
      <w:tr w:rsidR="00AB693B" w:rsidRPr="0024512C" w:rsidTr="00AB693B">
        <w:tc>
          <w:tcPr>
            <w:tcW w:w="535"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w:t>
            </w:r>
          </w:p>
        </w:tc>
        <w:tc>
          <w:tcPr>
            <w:tcW w:w="4050"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Fondul de remunerare a muncii</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2 917,08</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2 653,72</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-263,36</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91,0</w:t>
            </w:r>
          </w:p>
        </w:tc>
      </w:tr>
      <w:tr w:rsidR="00AB693B" w:rsidRPr="0024512C" w:rsidTr="00AB693B">
        <w:tc>
          <w:tcPr>
            <w:tcW w:w="535"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w:t>
            </w:r>
          </w:p>
        </w:tc>
        <w:tc>
          <w:tcPr>
            <w:tcW w:w="4050"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Asigurarea socială și medicală</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802,19</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729,77</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-72,42</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91,0</w:t>
            </w:r>
          </w:p>
        </w:tc>
      </w:tr>
      <w:tr w:rsidR="00AB693B" w:rsidRPr="0024512C" w:rsidTr="00AB693B">
        <w:tc>
          <w:tcPr>
            <w:tcW w:w="535"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w:t>
            </w:r>
          </w:p>
        </w:tc>
        <w:tc>
          <w:tcPr>
            <w:tcW w:w="4050"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Arenda spațiului de lucru, inclusiv cheltuieli de acomodare</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352,31</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334,08</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-18,23</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94,8</w:t>
            </w:r>
          </w:p>
        </w:tc>
      </w:tr>
      <w:tr w:rsidR="00AB693B" w:rsidRPr="0024512C" w:rsidTr="00AB693B">
        <w:tc>
          <w:tcPr>
            <w:tcW w:w="535"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4.</w:t>
            </w:r>
          </w:p>
        </w:tc>
        <w:tc>
          <w:tcPr>
            <w:tcW w:w="4050"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Cheltuieli de comunicare</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22,62</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16,66</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-5,96</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73,7</w:t>
            </w:r>
          </w:p>
        </w:tc>
      </w:tr>
      <w:tr w:rsidR="00AB693B" w:rsidRPr="0024512C" w:rsidTr="00AB693B">
        <w:tc>
          <w:tcPr>
            <w:tcW w:w="535"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5.</w:t>
            </w:r>
          </w:p>
        </w:tc>
        <w:tc>
          <w:tcPr>
            <w:tcW w:w="4050"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Rechizite de birou, de gospodărie, deservirea echipamentului tehnic</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52,8</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34,69</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-18,11</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65,7</w:t>
            </w:r>
          </w:p>
        </w:tc>
      </w:tr>
      <w:tr w:rsidR="00AB693B" w:rsidRPr="0024512C" w:rsidTr="00AB693B">
        <w:tc>
          <w:tcPr>
            <w:tcW w:w="535"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w:t>
            </w:r>
          </w:p>
        </w:tc>
        <w:tc>
          <w:tcPr>
            <w:tcW w:w="4050"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Cheltuieli de transport</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33,52</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22,1</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-11,42</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65,9</w:t>
            </w:r>
          </w:p>
        </w:tc>
      </w:tr>
      <w:tr w:rsidR="00AB693B" w:rsidRPr="0024512C" w:rsidTr="00AB693B">
        <w:tc>
          <w:tcPr>
            <w:tcW w:w="535"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7.</w:t>
            </w:r>
          </w:p>
        </w:tc>
        <w:tc>
          <w:tcPr>
            <w:tcW w:w="4050"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Ediții periodice și literatură de specialitate</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5,2</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4,38</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-0,82</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84,2</w:t>
            </w:r>
          </w:p>
        </w:tc>
      </w:tr>
      <w:tr w:rsidR="00AB693B" w:rsidRPr="0024512C" w:rsidTr="00AB693B">
        <w:tc>
          <w:tcPr>
            <w:tcW w:w="535"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8.</w:t>
            </w:r>
          </w:p>
        </w:tc>
        <w:tc>
          <w:tcPr>
            <w:tcW w:w="4050"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Servicii de audit</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208,0</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110,43</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-97,57</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53,1</w:t>
            </w:r>
          </w:p>
        </w:tc>
      </w:tr>
      <w:tr w:rsidR="00AB693B" w:rsidRPr="0024512C" w:rsidTr="00AB693B">
        <w:tc>
          <w:tcPr>
            <w:tcW w:w="535"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9.</w:t>
            </w:r>
          </w:p>
        </w:tc>
        <w:tc>
          <w:tcPr>
            <w:tcW w:w="4050"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Cheltuieli de instruire</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166,4</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104,34</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-62,06</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62,7</w:t>
            </w:r>
          </w:p>
        </w:tc>
      </w:tr>
      <w:tr w:rsidR="00AB693B" w:rsidRPr="0024512C" w:rsidTr="00AB693B">
        <w:tc>
          <w:tcPr>
            <w:tcW w:w="535"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10.</w:t>
            </w:r>
          </w:p>
        </w:tc>
        <w:tc>
          <w:tcPr>
            <w:tcW w:w="4050"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Deplasări</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22,25</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0</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-22,25</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0</w:t>
            </w:r>
          </w:p>
        </w:tc>
      </w:tr>
      <w:tr w:rsidR="00AB693B" w:rsidRPr="0024512C" w:rsidTr="00AB693B">
        <w:tc>
          <w:tcPr>
            <w:tcW w:w="535"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11.</w:t>
            </w:r>
          </w:p>
        </w:tc>
        <w:tc>
          <w:tcPr>
            <w:tcW w:w="4050"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Reînnoirea bazei tehnice</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335,74</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162,91</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-172,83</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48,5</w:t>
            </w:r>
          </w:p>
        </w:tc>
      </w:tr>
      <w:tr w:rsidR="00AB693B" w:rsidRPr="0024512C" w:rsidTr="00AB693B">
        <w:tc>
          <w:tcPr>
            <w:tcW w:w="535"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12.</w:t>
            </w:r>
          </w:p>
        </w:tc>
        <w:tc>
          <w:tcPr>
            <w:tcW w:w="4050"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Servicii bancare</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41,2</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30,60</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-10,6</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74,3</w:t>
            </w:r>
          </w:p>
        </w:tc>
      </w:tr>
      <w:tr w:rsidR="00AB693B" w:rsidRPr="0024512C" w:rsidTr="00AB693B">
        <w:tc>
          <w:tcPr>
            <w:tcW w:w="535"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13.</w:t>
            </w:r>
          </w:p>
        </w:tc>
        <w:tc>
          <w:tcPr>
            <w:tcW w:w="4050"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Alte cheltuieli</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81,0</w:t>
            </w:r>
          </w:p>
        </w:tc>
        <w:tc>
          <w:tcPr>
            <w:tcW w:w="126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17,27</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-63,73</w:t>
            </w:r>
          </w:p>
        </w:tc>
        <w:tc>
          <w:tcPr>
            <w:tcW w:w="1170" w:type="dxa"/>
          </w:tcPr>
          <w:p w:rsidR="00AB693B" w:rsidRPr="00321F59" w:rsidRDefault="00AB693B" w:rsidP="00AB693B">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21,3</w:t>
            </w:r>
          </w:p>
        </w:tc>
      </w:tr>
      <w:tr w:rsidR="00AB693B" w:rsidRPr="0024512C" w:rsidTr="00AB693B">
        <w:tc>
          <w:tcPr>
            <w:tcW w:w="535" w:type="dxa"/>
          </w:tcPr>
          <w:p w:rsidR="00AB693B" w:rsidRPr="00321F59" w:rsidRDefault="00AB693B" w:rsidP="00AB693B">
            <w:pPr>
              <w:spacing w:line="276" w:lineRule="auto"/>
              <w:jc w:val="both"/>
              <w:rPr>
                <w:rFonts w:asciiTheme="majorHAnsi" w:hAnsiTheme="majorHAnsi" w:cstheme="majorHAnsi"/>
                <w:sz w:val="20"/>
                <w:szCs w:val="20"/>
                <w:lang w:val="ro-MD"/>
                <w14:glow w14:rad="0">
                  <w14:schemeClr w14:val="tx1"/>
                </w14:glow>
              </w:rPr>
            </w:pPr>
          </w:p>
        </w:tc>
        <w:tc>
          <w:tcPr>
            <w:tcW w:w="4050" w:type="dxa"/>
          </w:tcPr>
          <w:p w:rsidR="00AB693B" w:rsidRPr="00321F59" w:rsidRDefault="00AB693B" w:rsidP="00AB693B">
            <w:pPr>
              <w:spacing w:line="276" w:lineRule="auto"/>
              <w:jc w:val="both"/>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Total cheltuieli</w:t>
            </w:r>
          </w:p>
        </w:tc>
        <w:tc>
          <w:tcPr>
            <w:tcW w:w="1260" w:type="dxa"/>
          </w:tcPr>
          <w:p w:rsidR="00AB693B" w:rsidRPr="00321F59" w:rsidRDefault="00AB693B" w:rsidP="00AB693B">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5 040,31</w:t>
            </w:r>
          </w:p>
        </w:tc>
        <w:tc>
          <w:tcPr>
            <w:tcW w:w="1260" w:type="dxa"/>
          </w:tcPr>
          <w:p w:rsidR="00AB693B" w:rsidRPr="00321F59" w:rsidRDefault="00AB693B" w:rsidP="00AB693B">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4 220,95</w:t>
            </w:r>
          </w:p>
        </w:tc>
        <w:tc>
          <w:tcPr>
            <w:tcW w:w="1170" w:type="dxa"/>
          </w:tcPr>
          <w:p w:rsidR="00AB693B" w:rsidRPr="00321F59" w:rsidRDefault="00AB693B" w:rsidP="00AB693B">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-819,36</w:t>
            </w:r>
          </w:p>
        </w:tc>
        <w:tc>
          <w:tcPr>
            <w:tcW w:w="1170" w:type="dxa"/>
          </w:tcPr>
          <w:p w:rsidR="00AB693B" w:rsidRPr="00321F59" w:rsidRDefault="00AB693B" w:rsidP="00AB693B">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83,7</w:t>
            </w:r>
          </w:p>
        </w:tc>
      </w:tr>
    </w:tbl>
    <w:p w:rsidR="00AB693B" w:rsidRPr="00321F59" w:rsidRDefault="00AB693B" w:rsidP="00F122A2">
      <w:pPr>
        <w:spacing w:line="276" w:lineRule="auto"/>
        <w:jc w:val="both"/>
        <w:rPr>
          <w:rFonts w:asciiTheme="majorHAnsi" w:hAnsiTheme="majorHAnsi" w:cstheme="majorHAnsi"/>
          <w:i/>
          <w:sz w:val="20"/>
          <w:szCs w:val="20"/>
          <w:lang w:val="ro-MD"/>
        </w:rPr>
      </w:pPr>
      <w:r w:rsidRPr="00321F59">
        <w:rPr>
          <w:rFonts w:asciiTheme="majorHAnsi" w:hAnsiTheme="majorHAnsi" w:cstheme="majorHAnsi"/>
          <w:b/>
          <w:i/>
          <w:sz w:val="20"/>
          <w:szCs w:val="20"/>
          <w:lang w:val="ro-MD"/>
        </w:rPr>
        <w:t>Sursa:</w:t>
      </w:r>
      <w:r w:rsidRPr="00321F59">
        <w:rPr>
          <w:rFonts w:asciiTheme="majorHAnsi" w:hAnsiTheme="majorHAnsi" w:cstheme="majorHAnsi"/>
          <w:i/>
          <w:sz w:val="20"/>
          <w:szCs w:val="20"/>
          <w:lang w:val="ro-MD"/>
        </w:rPr>
        <w:t xml:space="preserve"> Bugetul de venituri și cheltuieli al DLC pentru anul 2019</w:t>
      </w:r>
      <w:r w:rsidR="00974431" w:rsidRPr="00321F59">
        <w:rPr>
          <w:rFonts w:asciiTheme="majorHAnsi" w:hAnsiTheme="majorHAnsi" w:cstheme="majorHAnsi"/>
          <w:i/>
          <w:sz w:val="20"/>
          <w:szCs w:val="20"/>
          <w:lang w:val="ro-MD"/>
        </w:rPr>
        <w:t>; Informația DLC privind evidența analitică a veniturilor în anul 2019; Informația DLC privind executarea devizului de cheltuieli pentru anul 2019.</w:t>
      </w:r>
    </w:p>
    <w:p w:rsidR="00AB693B" w:rsidRPr="00321F59" w:rsidRDefault="00A557B6" w:rsidP="00F122A2">
      <w:pPr>
        <w:spacing w:line="276" w:lineRule="auto"/>
        <w:jc w:val="both"/>
        <w:rPr>
          <w:rFonts w:asciiTheme="majorHAnsi" w:hAnsiTheme="majorHAnsi" w:cstheme="majorHAnsi"/>
          <w:sz w:val="24"/>
          <w:lang w:val="ro-MD"/>
        </w:rPr>
      </w:pPr>
      <w:r w:rsidRPr="00321F59">
        <w:rPr>
          <w:rFonts w:asciiTheme="majorHAnsi" w:hAnsiTheme="majorHAnsi" w:cstheme="majorHAnsi"/>
          <w:sz w:val="24"/>
          <w:lang w:val="ro-MD"/>
        </w:rPr>
        <w:lastRenderedPageBreak/>
        <w:t>Veniturile DLC se formează în baza condițiilor contractuale din comisioanele DLC în formă de marjă de dobândă adăugată la operațiunile de recreditare achitată de IFP, din dobânzile la depozitele bancare, precum și din diferența de curs favorabilă afere</w:t>
      </w:r>
      <w:r w:rsidR="00A56FDD" w:rsidRPr="00321F59">
        <w:rPr>
          <w:rFonts w:asciiTheme="majorHAnsi" w:hAnsiTheme="majorHAnsi" w:cstheme="majorHAnsi"/>
          <w:sz w:val="24"/>
          <w:lang w:val="ro-MD"/>
        </w:rPr>
        <w:t>ntă activității operaționale a</w:t>
      </w:r>
      <w:r w:rsidRPr="00321F59">
        <w:rPr>
          <w:rFonts w:asciiTheme="majorHAnsi" w:hAnsiTheme="majorHAnsi" w:cstheme="majorHAnsi"/>
          <w:sz w:val="24"/>
          <w:lang w:val="ro-MD"/>
        </w:rPr>
        <w:t xml:space="preserve"> DLC. Astfel, în anul 2019</w:t>
      </w:r>
      <w:r w:rsidR="00A3628C" w:rsidRPr="00321F59">
        <w:rPr>
          <w:rFonts w:asciiTheme="majorHAnsi" w:hAnsiTheme="majorHAnsi" w:cstheme="majorHAnsi"/>
          <w:sz w:val="24"/>
          <w:lang w:val="ro-MD"/>
        </w:rPr>
        <w:t xml:space="preserve">, </w:t>
      </w:r>
      <w:r w:rsidR="00A56FDD" w:rsidRPr="00321F59">
        <w:rPr>
          <w:rFonts w:asciiTheme="majorHAnsi" w:hAnsiTheme="majorHAnsi" w:cstheme="majorHAnsi"/>
          <w:sz w:val="24"/>
          <w:lang w:val="ro-MD"/>
        </w:rPr>
        <w:t>DLC a încasat</w:t>
      </w:r>
      <w:r w:rsidR="00A3628C" w:rsidRPr="00321F59">
        <w:rPr>
          <w:rFonts w:asciiTheme="majorHAnsi" w:hAnsiTheme="majorHAnsi" w:cstheme="majorHAnsi"/>
          <w:sz w:val="24"/>
          <w:lang w:val="ro-MD"/>
        </w:rPr>
        <w:t xml:space="preserve"> venituri totale în sumă de 9,84 mil. lei, inclusiv venituri din marjă la rata dobânzii în sumă de 7,35 mil. lei și ven</w:t>
      </w:r>
      <w:r w:rsidR="00A56FDD" w:rsidRPr="00321F59">
        <w:rPr>
          <w:rFonts w:asciiTheme="majorHAnsi" w:hAnsiTheme="majorHAnsi" w:cstheme="majorHAnsi"/>
          <w:sz w:val="24"/>
          <w:lang w:val="ro-MD"/>
        </w:rPr>
        <w:t xml:space="preserve">ituri din dobânzile la depozite </w:t>
      </w:r>
      <w:r w:rsidR="004321D5" w:rsidRPr="00321F59">
        <w:rPr>
          <w:rFonts w:asciiTheme="majorHAnsi" w:hAnsiTheme="majorHAnsi" w:cstheme="majorHAnsi"/>
          <w:sz w:val="24"/>
          <w:lang w:val="ro-MD"/>
        </w:rPr>
        <w:t xml:space="preserve">– </w:t>
      </w:r>
      <w:r w:rsidR="00A56FDD" w:rsidRPr="00321F59">
        <w:rPr>
          <w:rFonts w:asciiTheme="majorHAnsi" w:hAnsiTheme="majorHAnsi" w:cstheme="majorHAnsi"/>
          <w:sz w:val="24"/>
          <w:lang w:val="ro-MD"/>
        </w:rPr>
        <w:t>de</w:t>
      </w:r>
      <w:r w:rsidR="00A3628C" w:rsidRPr="00321F59">
        <w:rPr>
          <w:rFonts w:asciiTheme="majorHAnsi" w:hAnsiTheme="majorHAnsi" w:cstheme="majorHAnsi"/>
          <w:sz w:val="24"/>
          <w:lang w:val="ro-MD"/>
        </w:rPr>
        <w:t xml:space="preserve"> 2,48 mil. lei.</w:t>
      </w:r>
    </w:p>
    <w:p w:rsidR="00A3628C" w:rsidRPr="00321F59" w:rsidRDefault="00A3628C" w:rsidP="00F122A2">
      <w:pPr>
        <w:spacing w:line="276" w:lineRule="auto"/>
        <w:jc w:val="both"/>
        <w:rPr>
          <w:rFonts w:asciiTheme="majorHAnsi" w:hAnsiTheme="majorHAnsi" w:cstheme="majorHAnsi"/>
          <w:sz w:val="24"/>
          <w:lang w:val="ro-MD"/>
        </w:rPr>
      </w:pPr>
      <w:r w:rsidRPr="00321F59">
        <w:rPr>
          <w:rFonts w:asciiTheme="majorHAnsi" w:hAnsiTheme="majorHAnsi" w:cstheme="majorHAnsi"/>
          <w:sz w:val="24"/>
          <w:lang w:val="ro-MD"/>
        </w:rPr>
        <w:t xml:space="preserve">În structura cheltuielilor DLC, ponderea majoră este deținută de cheltuielile privind remunerarea </w:t>
      </w:r>
      <w:r w:rsidR="00573175" w:rsidRPr="00321F59">
        <w:rPr>
          <w:rFonts w:asciiTheme="majorHAnsi" w:hAnsiTheme="majorHAnsi" w:cstheme="majorHAnsi"/>
          <w:sz w:val="24"/>
          <w:lang w:val="ro-MD"/>
        </w:rPr>
        <w:t>personalului DLC – 3 383,49 mii</w:t>
      </w:r>
      <w:r w:rsidRPr="00321F59">
        <w:rPr>
          <w:rFonts w:asciiTheme="majorHAnsi" w:hAnsiTheme="majorHAnsi" w:cstheme="majorHAnsi"/>
          <w:sz w:val="24"/>
          <w:lang w:val="ro-MD"/>
        </w:rPr>
        <w:t xml:space="preserve"> lei (80,2%), fiind urmată de cheltuielile ce țin de arenda spațiului de lucru și chelt</w:t>
      </w:r>
      <w:r w:rsidR="00573175" w:rsidRPr="00321F59">
        <w:rPr>
          <w:rFonts w:asciiTheme="majorHAnsi" w:hAnsiTheme="majorHAnsi" w:cstheme="majorHAnsi"/>
          <w:sz w:val="24"/>
          <w:lang w:val="ro-MD"/>
        </w:rPr>
        <w:t>uieli</w:t>
      </w:r>
      <w:r w:rsidR="00A56FDD" w:rsidRPr="00321F59">
        <w:rPr>
          <w:rFonts w:asciiTheme="majorHAnsi" w:hAnsiTheme="majorHAnsi" w:cstheme="majorHAnsi"/>
          <w:sz w:val="24"/>
          <w:lang w:val="ro-MD"/>
        </w:rPr>
        <w:t>le</w:t>
      </w:r>
      <w:r w:rsidR="00573175" w:rsidRPr="00321F59">
        <w:rPr>
          <w:rFonts w:asciiTheme="majorHAnsi" w:hAnsiTheme="majorHAnsi" w:cstheme="majorHAnsi"/>
          <w:sz w:val="24"/>
          <w:lang w:val="ro-MD"/>
        </w:rPr>
        <w:t xml:space="preserve"> de acomodare – 334,08 mii</w:t>
      </w:r>
      <w:r w:rsidRPr="00321F59">
        <w:rPr>
          <w:rFonts w:asciiTheme="majorHAnsi" w:hAnsiTheme="majorHAnsi" w:cstheme="majorHAnsi"/>
          <w:sz w:val="24"/>
          <w:lang w:val="ro-MD"/>
        </w:rPr>
        <w:t xml:space="preserve"> lei (7,9%), reînno</w:t>
      </w:r>
      <w:r w:rsidR="00573175" w:rsidRPr="00321F59">
        <w:rPr>
          <w:rFonts w:asciiTheme="majorHAnsi" w:hAnsiTheme="majorHAnsi" w:cstheme="majorHAnsi"/>
          <w:sz w:val="24"/>
          <w:lang w:val="ro-MD"/>
        </w:rPr>
        <w:t>irea bazei tehnice – 162,91 mii</w:t>
      </w:r>
      <w:r w:rsidRPr="00321F59">
        <w:rPr>
          <w:rFonts w:asciiTheme="majorHAnsi" w:hAnsiTheme="majorHAnsi" w:cstheme="majorHAnsi"/>
          <w:sz w:val="24"/>
          <w:lang w:val="ro-MD"/>
        </w:rPr>
        <w:t xml:space="preserve"> lei (3,9%),</w:t>
      </w:r>
      <w:r w:rsidR="00573175" w:rsidRPr="00321F59">
        <w:rPr>
          <w:rFonts w:asciiTheme="majorHAnsi" w:hAnsiTheme="majorHAnsi" w:cstheme="majorHAnsi"/>
          <w:sz w:val="24"/>
          <w:lang w:val="ro-MD"/>
        </w:rPr>
        <w:t xml:space="preserve"> servicii de audit – 110,43 mii</w:t>
      </w:r>
      <w:r w:rsidRPr="00321F59">
        <w:rPr>
          <w:rFonts w:asciiTheme="majorHAnsi" w:hAnsiTheme="majorHAnsi" w:cstheme="majorHAnsi"/>
          <w:sz w:val="24"/>
          <w:lang w:val="ro-MD"/>
        </w:rPr>
        <w:t xml:space="preserve"> lei (2,6%), chelt</w:t>
      </w:r>
      <w:r w:rsidR="00573175" w:rsidRPr="00321F59">
        <w:rPr>
          <w:rFonts w:asciiTheme="majorHAnsi" w:hAnsiTheme="majorHAnsi" w:cstheme="majorHAnsi"/>
          <w:sz w:val="24"/>
          <w:lang w:val="ro-MD"/>
        </w:rPr>
        <w:t>uieli de instruire – 104,34 mii</w:t>
      </w:r>
      <w:r w:rsidRPr="00321F59">
        <w:rPr>
          <w:rFonts w:asciiTheme="majorHAnsi" w:hAnsiTheme="majorHAnsi" w:cstheme="majorHAnsi"/>
          <w:sz w:val="24"/>
          <w:lang w:val="ro-MD"/>
        </w:rPr>
        <w:t xml:space="preserve"> lei (2,5%) etc.</w:t>
      </w:r>
    </w:p>
    <w:p w:rsidR="00637DE1" w:rsidRPr="00321F59" w:rsidRDefault="00FD4F1D" w:rsidP="00637AC0">
      <w:pPr>
        <w:spacing w:before="240" w:line="276" w:lineRule="auto"/>
        <w:jc w:val="both"/>
        <w:rPr>
          <w:rFonts w:asciiTheme="majorHAnsi" w:hAnsiTheme="majorHAnsi" w:cstheme="majorHAnsi"/>
          <w:i/>
          <w:sz w:val="24"/>
          <w:szCs w:val="24"/>
          <w:lang w:val="ro-MD"/>
          <w14:glow w14:rad="0">
            <w14:schemeClr w14:val="tx1"/>
          </w14:glow>
        </w:rPr>
      </w:pPr>
      <w:r w:rsidRPr="00321F59">
        <w:rPr>
          <w:rFonts w:asciiTheme="majorHAnsi" w:hAnsiTheme="majorHAnsi" w:cstheme="majorHAnsi"/>
          <w:sz w:val="24"/>
          <w:lang w:val="ro-MD"/>
        </w:rPr>
        <w:t xml:space="preserve">Evoluția cheltuielilor executate în anii 2015-2019 nu denotă variații semnificative, ponderea majoră în totalul cheltuielilor revenind fondului de remunerare a muncii. </w:t>
      </w:r>
      <w:r w:rsidRPr="00321F59">
        <w:rPr>
          <w:rFonts w:asciiTheme="majorHAnsi" w:hAnsiTheme="majorHAnsi" w:cstheme="majorHAnsi"/>
          <w:i/>
          <w:sz w:val="24"/>
          <w:szCs w:val="24"/>
          <w:lang w:val="ro-MD"/>
          <w14:glow w14:rad="0">
            <w14:schemeClr w14:val="tx1"/>
          </w14:glow>
        </w:rPr>
        <w:t>Informația detaliată se prezintă în Figura nr. 1.</w:t>
      </w:r>
    </w:p>
    <w:p w:rsidR="00FD4F1D" w:rsidRPr="00321F59" w:rsidRDefault="00FD4F1D" w:rsidP="00FD4F1D">
      <w:pPr>
        <w:spacing w:after="0" w:line="276" w:lineRule="auto"/>
        <w:jc w:val="right"/>
        <w:rPr>
          <w:rFonts w:asciiTheme="majorHAnsi" w:hAnsiTheme="majorHAnsi" w:cstheme="majorHAnsi"/>
          <w:b/>
          <w:i/>
          <w:sz w:val="24"/>
          <w:lang w:val="ro-MD"/>
        </w:rPr>
      </w:pPr>
      <w:r w:rsidRPr="00C85965">
        <w:rPr>
          <w:rFonts w:asciiTheme="majorHAnsi" w:hAnsiTheme="majorHAnsi" w:cstheme="majorHAnsi"/>
          <w:b/>
          <w:i/>
          <w:noProof/>
          <w:color w:val="5B9BD5" w:themeColor="accent1"/>
          <w:sz w:val="24"/>
          <w:szCs w:val="24"/>
          <w14:glow w14:rad="0">
            <w14:schemeClr w14:val="tx1"/>
          </w14:glow>
        </w:rPr>
        <w:drawing>
          <wp:anchor distT="0" distB="0" distL="114300" distR="114300" simplePos="0" relativeHeight="251673600" behindDoc="0" locked="0" layoutInCell="1" allowOverlap="1">
            <wp:simplePos x="0" y="0"/>
            <wp:positionH relativeFrom="margin">
              <wp:align>left</wp:align>
            </wp:positionH>
            <wp:positionV relativeFrom="paragraph">
              <wp:posOffset>276225</wp:posOffset>
            </wp:positionV>
            <wp:extent cx="5905500" cy="2270760"/>
            <wp:effectExtent l="0" t="0" r="0" b="15240"/>
            <wp:wrapThrough wrapText="bothSides">
              <wp:wrapPolygon edited="0">
                <wp:start x="0" y="0"/>
                <wp:lineTo x="0" y="21564"/>
                <wp:lineTo x="21530" y="21564"/>
                <wp:lineTo x="21530"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321F59">
        <w:rPr>
          <w:rFonts w:asciiTheme="majorHAnsi" w:hAnsiTheme="majorHAnsi" w:cstheme="majorHAnsi"/>
          <w:b/>
          <w:i/>
          <w:color w:val="5B9BD5" w:themeColor="accent1"/>
          <w:sz w:val="24"/>
          <w:szCs w:val="24"/>
          <w:lang w:val="ro-MD"/>
          <w14:glow w14:rad="0">
            <w14:schemeClr w14:val="tx1"/>
          </w14:glow>
        </w:rPr>
        <w:t>Figura nr. 1</w:t>
      </w:r>
    </w:p>
    <w:p w:rsidR="00FD4F1D" w:rsidRPr="00321F59" w:rsidRDefault="00FD4F1D" w:rsidP="00FD4F1D">
      <w:pPr>
        <w:spacing w:line="276" w:lineRule="auto"/>
        <w:jc w:val="both"/>
        <w:rPr>
          <w:rFonts w:asciiTheme="majorHAnsi" w:hAnsiTheme="majorHAnsi" w:cstheme="majorHAnsi"/>
          <w:i/>
          <w:sz w:val="20"/>
          <w:szCs w:val="20"/>
          <w:lang w:val="ro-MD"/>
        </w:rPr>
      </w:pPr>
      <w:r w:rsidRPr="00321F59">
        <w:rPr>
          <w:rFonts w:asciiTheme="majorHAnsi" w:hAnsiTheme="majorHAnsi" w:cstheme="majorHAnsi"/>
          <w:b/>
          <w:i/>
          <w:sz w:val="20"/>
          <w:szCs w:val="20"/>
          <w:lang w:val="ro-MD"/>
        </w:rPr>
        <w:t>Sursa:</w:t>
      </w:r>
      <w:r w:rsidRPr="00321F59">
        <w:rPr>
          <w:rFonts w:asciiTheme="majorHAnsi" w:hAnsiTheme="majorHAnsi" w:cstheme="majorHAnsi"/>
          <w:i/>
          <w:sz w:val="20"/>
          <w:szCs w:val="20"/>
          <w:lang w:val="ro-MD"/>
        </w:rPr>
        <w:t xml:space="preserve"> Informația DLC privind executarea devizului de cheltuieli pentru anii 2015-2019.</w:t>
      </w:r>
    </w:p>
    <w:p w:rsidR="005577C9" w:rsidRPr="00321F59" w:rsidRDefault="005577C9" w:rsidP="00637AC0">
      <w:pPr>
        <w:spacing w:before="240" w:line="276" w:lineRule="auto"/>
        <w:jc w:val="both"/>
        <w:rPr>
          <w:rFonts w:asciiTheme="majorHAnsi" w:hAnsiTheme="majorHAnsi" w:cstheme="majorHAnsi"/>
          <w:sz w:val="24"/>
          <w:lang w:val="ro-MD"/>
        </w:rPr>
      </w:pPr>
      <w:r w:rsidRPr="00321F59">
        <w:rPr>
          <w:rFonts w:asciiTheme="majorHAnsi" w:hAnsiTheme="majorHAnsi" w:cstheme="majorHAnsi"/>
          <w:sz w:val="24"/>
          <w:lang w:val="ro-MD"/>
        </w:rPr>
        <w:t xml:space="preserve">Se menționează că </w:t>
      </w:r>
      <w:r w:rsidR="00A56FDD" w:rsidRPr="00321F59">
        <w:rPr>
          <w:rFonts w:asciiTheme="majorHAnsi" w:hAnsiTheme="majorHAnsi" w:cstheme="majorHAnsi"/>
          <w:sz w:val="24"/>
          <w:lang w:val="ro-MD"/>
        </w:rPr>
        <w:t>echipa de audit a supus</w:t>
      </w:r>
      <w:r w:rsidRPr="00321F59">
        <w:rPr>
          <w:rFonts w:asciiTheme="majorHAnsi" w:hAnsiTheme="majorHAnsi" w:cstheme="majorHAnsi"/>
          <w:sz w:val="24"/>
          <w:lang w:val="ro-MD"/>
        </w:rPr>
        <w:t xml:space="preserve"> verificării corectitudinea efectuării și înregistrării cheltuielilor ce țin de remunerarea muncii, arenda spațiului de lucru și cheltuielile de acomodare, cheltuielile privind reînnoirea bazei tehnice de lucru și cheltuielile pentru servicii de audit. Ponderea cheltuielilor analizate constituie circa 95% din volumul total al cheltuielilor executate de către DLC în anul 2019. Astfel, </w:t>
      </w:r>
      <w:r w:rsidR="00A56FDD" w:rsidRPr="00321F59">
        <w:rPr>
          <w:rFonts w:asciiTheme="majorHAnsi" w:hAnsiTheme="majorHAnsi" w:cstheme="majorHAnsi"/>
          <w:sz w:val="24"/>
          <w:lang w:val="ro-MD"/>
        </w:rPr>
        <w:t>ca rezultat al</w:t>
      </w:r>
      <w:r w:rsidRPr="00321F59">
        <w:rPr>
          <w:rFonts w:asciiTheme="majorHAnsi" w:hAnsiTheme="majorHAnsi" w:cstheme="majorHAnsi"/>
          <w:sz w:val="24"/>
          <w:lang w:val="ro-MD"/>
        </w:rPr>
        <w:t xml:space="preserve"> aplicării procedurilor de audit</w:t>
      </w:r>
      <w:r w:rsidR="004321D5" w:rsidRPr="00321F59">
        <w:rPr>
          <w:rFonts w:asciiTheme="majorHAnsi" w:hAnsiTheme="majorHAnsi" w:cstheme="majorHAnsi"/>
          <w:sz w:val="24"/>
          <w:lang w:val="ro-MD"/>
        </w:rPr>
        <w:t>,</w:t>
      </w:r>
      <w:r w:rsidRPr="00321F59">
        <w:rPr>
          <w:rFonts w:asciiTheme="majorHAnsi" w:hAnsiTheme="majorHAnsi" w:cstheme="majorHAnsi"/>
          <w:sz w:val="24"/>
          <w:lang w:val="ro-MD"/>
        </w:rPr>
        <w:t xml:space="preserve"> s-au constatat următoarele:</w:t>
      </w:r>
    </w:p>
    <w:p w:rsidR="00C771D3" w:rsidRPr="00321F59" w:rsidRDefault="00A56FDD" w:rsidP="00C771D3">
      <w:pPr>
        <w:pStyle w:val="ListParagraph"/>
        <w:numPr>
          <w:ilvl w:val="0"/>
          <w:numId w:val="18"/>
        </w:numPr>
        <w:spacing w:before="240" w:line="276" w:lineRule="auto"/>
        <w:ind w:left="0" w:firstLine="360"/>
        <w:jc w:val="both"/>
        <w:rPr>
          <w:rFonts w:asciiTheme="majorHAnsi" w:hAnsiTheme="majorHAnsi" w:cstheme="majorHAnsi"/>
          <w:sz w:val="24"/>
          <w:lang w:val="ro-MD"/>
        </w:rPr>
      </w:pPr>
      <w:r w:rsidRPr="00321F59">
        <w:rPr>
          <w:rFonts w:asciiTheme="majorHAnsi" w:hAnsiTheme="majorHAnsi" w:cstheme="majorHAnsi"/>
          <w:sz w:val="24"/>
          <w:lang w:val="ro-MD"/>
        </w:rPr>
        <w:t>r</w:t>
      </w:r>
      <w:r w:rsidR="005577C9" w:rsidRPr="00321F59">
        <w:rPr>
          <w:rFonts w:asciiTheme="majorHAnsi" w:hAnsiTheme="majorHAnsi" w:cstheme="majorHAnsi"/>
          <w:sz w:val="24"/>
          <w:lang w:val="ro-MD"/>
        </w:rPr>
        <w:t xml:space="preserve">eferitor la cheltuielile pentru remunerarea muncii, </w:t>
      </w:r>
      <w:r w:rsidR="00C771D3" w:rsidRPr="00321F59">
        <w:rPr>
          <w:rFonts w:asciiTheme="majorHAnsi" w:hAnsiTheme="majorHAnsi" w:cstheme="majorHAnsi"/>
          <w:sz w:val="24"/>
          <w:lang w:val="ro-MD"/>
        </w:rPr>
        <w:t xml:space="preserve">se menționează că auditul nu a putut determina criteriile de stabilire a cuantumului salariilor de funcție pentru angajați, </w:t>
      </w:r>
      <w:r w:rsidRPr="00321F59">
        <w:rPr>
          <w:rFonts w:asciiTheme="majorHAnsi" w:hAnsiTheme="majorHAnsi" w:cstheme="majorHAnsi"/>
          <w:sz w:val="24"/>
          <w:lang w:val="ro-MD"/>
        </w:rPr>
        <w:t>din cauza</w:t>
      </w:r>
      <w:r w:rsidR="00C771D3" w:rsidRPr="00321F59">
        <w:rPr>
          <w:rFonts w:asciiTheme="majorHAnsi" w:hAnsiTheme="majorHAnsi" w:cstheme="majorHAnsi"/>
          <w:sz w:val="24"/>
          <w:lang w:val="ro-MD"/>
        </w:rPr>
        <w:t xml:space="preserve"> faptului că DLC nu se regăsește nici în cadrul legal privind retribuirea muncii în sistemul bugetar</w:t>
      </w:r>
      <w:r w:rsidR="00DB6E4D" w:rsidRPr="00321F59">
        <w:rPr>
          <w:rStyle w:val="FootnoteReference"/>
          <w:rFonts w:asciiTheme="majorHAnsi" w:hAnsiTheme="majorHAnsi" w:cstheme="majorHAnsi"/>
          <w:sz w:val="24"/>
          <w:lang w:val="ro-MD"/>
        </w:rPr>
        <w:footnoteReference w:id="14"/>
      </w:r>
      <w:r w:rsidR="00C771D3" w:rsidRPr="00321F59">
        <w:rPr>
          <w:rFonts w:asciiTheme="majorHAnsi" w:hAnsiTheme="majorHAnsi" w:cstheme="majorHAnsi"/>
          <w:sz w:val="24"/>
          <w:lang w:val="ro-MD"/>
        </w:rPr>
        <w:t xml:space="preserve">, nici în cadrul legal privind salarizarea </w:t>
      </w:r>
      <w:r w:rsidR="00DB6E4D" w:rsidRPr="00321F59">
        <w:rPr>
          <w:rFonts w:asciiTheme="majorHAnsi" w:hAnsiTheme="majorHAnsi" w:cstheme="majorHAnsi"/>
          <w:sz w:val="24"/>
          <w:lang w:val="ro-MD"/>
        </w:rPr>
        <w:t>angajaților din unitățile cu autonomie financiară</w:t>
      </w:r>
      <w:r w:rsidR="00DB6E4D" w:rsidRPr="00321F59">
        <w:rPr>
          <w:rStyle w:val="FootnoteReference"/>
          <w:rFonts w:asciiTheme="majorHAnsi" w:hAnsiTheme="majorHAnsi" w:cstheme="majorHAnsi"/>
          <w:sz w:val="24"/>
          <w:lang w:val="ro-MD"/>
        </w:rPr>
        <w:footnoteReference w:id="15"/>
      </w:r>
      <w:r w:rsidR="00C771D3" w:rsidRPr="00321F59">
        <w:rPr>
          <w:rFonts w:asciiTheme="majorHAnsi" w:hAnsiTheme="majorHAnsi" w:cstheme="majorHAnsi"/>
          <w:sz w:val="24"/>
          <w:lang w:val="ro-MD"/>
        </w:rPr>
        <w:t xml:space="preserve">. </w:t>
      </w:r>
    </w:p>
    <w:p w:rsidR="00126C92" w:rsidRPr="005C74F5" w:rsidRDefault="00126C92" w:rsidP="00126C92">
      <w:pPr>
        <w:spacing w:line="276" w:lineRule="auto"/>
        <w:jc w:val="both"/>
        <w:rPr>
          <w:rFonts w:asciiTheme="majorHAnsi" w:hAnsiTheme="majorHAnsi" w:cstheme="majorHAnsi"/>
          <w:sz w:val="24"/>
          <w:szCs w:val="24"/>
          <w:lang w:val="ro-MD"/>
          <w14:glow w14:rad="0">
            <w14:schemeClr w14:val="tx1"/>
          </w14:glow>
        </w:rPr>
      </w:pPr>
      <w:r w:rsidRPr="0024512C">
        <w:rPr>
          <w:rFonts w:asciiTheme="majorHAnsi" w:hAnsiTheme="majorHAnsi" w:cstheme="majorHAnsi"/>
          <w:b/>
          <w:i/>
          <w:sz w:val="24"/>
          <w:szCs w:val="24"/>
          <w:lang w:val="ro-MD"/>
          <w14:glow w14:rad="0">
            <w14:schemeClr w14:val="tx1"/>
          </w14:glow>
        </w:rPr>
        <w:lastRenderedPageBreak/>
        <w:t>Notă:</w:t>
      </w:r>
      <w:r w:rsidRPr="0024512C">
        <w:rPr>
          <w:rFonts w:asciiTheme="majorHAnsi" w:hAnsiTheme="majorHAnsi" w:cstheme="majorHAnsi"/>
          <w:sz w:val="24"/>
          <w:szCs w:val="24"/>
          <w:lang w:val="ro-MD"/>
          <w14:glow w14:rad="0">
            <w14:schemeClr w14:val="tx1"/>
          </w14:glow>
        </w:rPr>
        <w:t xml:space="preserve"> În cadrul comunicării cu DLC, a fost adus la cunoștință </w:t>
      </w:r>
      <w:r w:rsidR="004321D5" w:rsidRPr="0024512C">
        <w:rPr>
          <w:rFonts w:asciiTheme="majorHAnsi" w:hAnsiTheme="majorHAnsi" w:cstheme="majorHAnsi"/>
          <w:sz w:val="24"/>
          <w:szCs w:val="24"/>
          <w:lang w:val="ro-MD"/>
          <w14:glow w14:rad="0">
            <w14:schemeClr w14:val="tx1"/>
          </w14:glow>
        </w:rPr>
        <w:t xml:space="preserve">faptul </w:t>
      </w:r>
      <w:r w:rsidRPr="005C74F5">
        <w:rPr>
          <w:rFonts w:asciiTheme="majorHAnsi" w:hAnsiTheme="majorHAnsi" w:cstheme="majorHAnsi"/>
          <w:sz w:val="24"/>
          <w:szCs w:val="24"/>
          <w:lang w:val="ro-MD"/>
          <w14:glow w14:rad="0">
            <w14:schemeClr w14:val="tx1"/>
          </w14:glow>
        </w:rPr>
        <w:t>că</w:t>
      </w:r>
      <w:r w:rsidR="00A56FDD" w:rsidRPr="005C74F5">
        <w:rPr>
          <w:rFonts w:asciiTheme="majorHAnsi" w:hAnsiTheme="majorHAnsi" w:cstheme="majorHAnsi"/>
          <w:sz w:val="24"/>
          <w:szCs w:val="24"/>
          <w:lang w:val="ro-MD"/>
          <w14:glow w14:rad="0">
            <w14:schemeClr w14:val="tx1"/>
          </w14:glow>
        </w:rPr>
        <w:t>,</w:t>
      </w:r>
      <w:r w:rsidRPr="0024512C">
        <w:rPr>
          <w:rFonts w:asciiTheme="majorHAnsi" w:hAnsiTheme="majorHAnsi" w:cstheme="majorHAnsi"/>
          <w:sz w:val="24"/>
          <w:szCs w:val="24"/>
          <w:lang w:val="ro-MD"/>
          <w14:glow w14:rad="0">
            <w14:schemeClr w14:val="tx1"/>
          </w14:glow>
        </w:rPr>
        <w:t xml:space="preserve"> în </w:t>
      </w:r>
      <w:r w:rsidR="00A56FDD" w:rsidRPr="0024512C">
        <w:rPr>
          <w:rFonts w:asciiTheme="majorHAnsi" w:hAnsiTheme="majorHAnsi" w:cstheme="majorHAnsi"/>
          <w:sz w:val="24"/>
          <w:szCs w:val="24"/>
          <w:lang w:val="ro-MD"/>
          <w14:glow w14:rad="0">
            <w14:schemeClr w14:val="tx1"/>
          </w14:glow>
        </w:rPr>
        <w:t>urma</w:t>
      </w:r>
      <w:r w:rsidRPr="0024512C">
        <w:rPr>
          <w:rFonts w:asciiTheme="majorHAnsi" w:hAnsiTheme="majorHAnsi" w:cstheme="majorHAnsi"/>
          <w:sz w:val="24"/>
          <w:szCs w:val="24"/>
          <w:lang w:val="ro-MD"/>
          <w14:glow w14:rad="0">
            <w14:schemeClr w14:val="tx1"/>
          </w14:glow>
        </w:rPr>
        <w:t xml:space="preserve"> restructurării</w:t>
      </w:r>
      <w:r w:rsidR="00A56FDD" w:rsidRPr="0024512C">
        <w:rPr>
          <w:rFonts w:asciiTheme="majorHAnsi" w:hAnsiTheme="majorHAnsi" w:cstheme="majorHAnsi"/>
          <w:sz w:val="24"/>
          <w:szCs w:val="24"/>
          <w:lang w:val="ro-MD"/>
          <w14:glow w14:rad="0">
            <w14:schemeClr w14:val="tx1"/>
          </w14:glow>
        </w:rPr>
        <w:t xml:space="preserve"> DLC</w:t>
      </w:r>
      <w:r w:rsidRPr="0024512C">
        <w:rPr>
          <w:rFonts w:asciiTheme="majorHAnsi" w:hAnsiTheme="majorHAnsi" w:cstheme="majorHAnsi"/>
          <w:sz w:val="24"/>
          <w:szCs w:val="24"/>
          <w:lang w:val="ro-MD"/>
          <w14:glow w14:rad="0">
            <w14:schemeClr w14:val="tx1"/>
          </w14:glow>
        </w:rPr>
        <w:t xml:space="preserve"> în </w:t>
      </w:r>
      <w:r w:rsidRPr="00321F59">
        <w:rPr>
          <w:rFonts w:asciiTheme="majorHAnsi" w:hAnsiTheme="majorHAnsi" w:cstheme="majorHAnsi"/>
          <w:sz w:val="24"/>
          <w:szCs w:val="24"/>
          <w:lang w:val="ro-MD"/>
          <w14:glow w14:rad="0">
            <w14:schemeClr w14:val="tx1"/>
          </w14:glow>
        </w:rPr>
        <w:t>Instituția Publică „Oficiul de Gestionare a Programelor de Asistență Externă”</w:t>
      </w:r>
      <w:r w:rsidR="00CE2AF2" w:rsidRPr="00321F59">
        <w:rPr>
          <w:rFonts w:asciiTheme="majorHAnsi" w:hAnsiTheme="majorHAnsi" w:cstheme="majorHAnsi"/>
          <w:sz w:val="24"/>
          <w:szCs w:val="24"/>
          <w:lang w:val="ro-MD"/>
          <w14:glow w14:rad="0">
            <w14:schemeClr w14:val="tx1"/>
          </w14:glow>
        </w:rPr>
        <w:t>,</w:t>
      </w:r>
      <w:r w:rsidRPr="00321F59">
        <w:rPr>
          <w:rFonts w:asciiTheme="majorHAnsi" w:hAnsiTheme="majorHAnsi" w:cstheme="majorHAnsi"/>
          <w:sz w:val="24"/>
          <w:szCs w:val="24"/>
          <w:lang w:val="ro-MD"/>
          <w14:glow w14:rad="0">
            <w14:schemeClr w14:val="tx1"/>
          </w14:glow>
        </w:rPr>
        <w:t xml:space="preserve"> stabilirea salariilor pentru angajați se va efectua în baza </w:t>
      </w:r>
      <w:r w:rsidRPr="0024512C">
        <w:rPr>
          <w:rFonts w:asciiTheme="majorHAnsi" w:hAnsiTheme="majorHAnsi" w:cstheme="majorHAnsi"/>
          <w:sz w:val="24"/>
          <w:szCs w:val="24"/>
          <w:lang w:val="ro-MD"/>
          <w14:glow w14:rad="0">
            <w14:schemeClr w14:val="tx1"/>
          </w14:glow>
        </w:rPr>
        <w:t>Hotărârii</w:t>
      </w:r>
      <w:r w:rsidR="00A56FDD" w:rsidRPr="0024512C">
        <w:rPr>
          <w:rFonts w:asciiTheme="majorHAnsi" w:hAnsiTheme="majorHAnsi" w:cstheme="majorHAnsi"/>
          <w:sz w:val="24"/>
          <w:szCs w:val="24"/>
          <w:lang w:val="ro-MD"/>
          <w14:glow w14:rad="0">
            <w14:schemeClr w14:val="tx1"/>
          </w14:glow>
        </w:rPr>
        <w:t xml:space="preserve"> Guvernului nr.</w:t>
      </w:r>
      <w:r w:rsidRPr="0024512C">
        <w:rPr>
          <w:rFonts w:asciiTheme="majorHAnsi" w:hAnsiTheme="majorHAnsi" w:cstheme="majorHAnsi"/>
          <w:sz w:val="24"/>
          <w:szCs w:val="24"/>
          <w:lang w:val="ro-MD"/>
          <w14:glow w14:rad="0">
            <w14:schemeClr w14:val="tx1"/>
          </w14:glow>
        </w:rPr>
        <w:t>743 din 11.06.2002.</w:t>
      </w:r>
    </w:p>
    <w:p w:rsidR="00C771D3" w:rsidRPr="00321F59" w:rsidRDefault="00A56FDD" w:rsidP="00C771D3">
      <w:pPr>
        <w:spacing w:before="240" w:line="276" w:lineRule="auto"/>
        <w:jc w:val="both"/>
        <w:rPr>
          <w:rFonts w:asciiTheme="majorHAnsi" w:hAnsiTheme="majorHAnsi" w:cstheme="majorHAnsi"/>
          <w:sz w:val="24"/>
          <w:lang w:val="ro-MD"/>
        </w:rPr>
      </w:pPr>
      <w:r w:rsidRPr="00321F59">
        <w:rPr>
          <w:rFonts w:asciiTheme="majorHAnsi" w:hAnsiTheme="majorHAnsi" w:cstheme="majorHAnsi"/>
          <w:sz w:val="24"/>
          <w:lang w:val="ro-MD"/>
        </w:rPr>
        <w:t>Personalul din</w:t>
      </w:r>
      <w:r w:rsidR="00C771D3" w:rsidRPr="00321F59">
        <w:rPr>
          <w:rFonts w:asciiTheme="majorHAnsi" w:hAnsiTheme="majorHAnsi" w:cstheme="majorHAnsi"/>
          <w:sz w:val="24"/>
          <w:lang w:val="ro-MD"/>
        </w:rPr>
        <w:t xml:space="preserve"> cadrul DLC activează în baza contractului individual de muncă</w:t>
      </w:r>
      <w:r w:rsidRPr="00321F59">
        <w:rPr>
          <w:rFonts w:asciiTheme="majorHAnsi" w:hAnsiTheme="majorHAnsi" w:cstheme="majorHAnsi"/>
          <w:sz w:val="24"/>
          <w:lang w:val="ro-MD"/>
        </w:rPr>
        <w:t>,</w:t>
      </w:r>
      <w:r w:rsidR="00C771D3" w:rsidRPr="00321F59">
        <w:rPr>
          <w:rFonts w:asciiTheme="majorHAnsi" w:hAnsiTheme="majorHAnsi" w:cstheme="majorHAnsi"/>
          <w:sz w:val="24"/>
          <w:lang w:val="ro-MD"/>
        </w:rPr>
        <w:t xml:space="preserve"> în care sunt stabilite sarcinile principale de funcție și condițiile de salarizare. La angajarea personalului, candidatul selectat trebuie să fie aprobat de către MF. Salariul lunar brut pentru unitățile de personal aprobate este stabilit prin Schema personalului scriptic, care se aprobă de </w:t>
      </w:r>
      <w:r w:rsidRPr="00321F59">
        <w:rPr>
          <w:rFonts w:asciiTheme="majorHAnsi" w:hAnsiTheme="majorHAnsi" w:cstheme="majorHAnsi"/>
          <w:sz w:val="24"/>
          <w:lang w:val="ro-MD"/>
        </w:rPr>
        <w:t>m</w:t>
      </w:r>
      <w:r w:rsidR="00C771D3" w:rsidRPr="00321F59">
        <w:rPr>
          <w:rFonts w:asciiTheme="majorHAnsi" w:hAnsiTheme="majorHAnsi" w:cstheme="majorHAnsi"/>
          <w:sz w:val="24"/>
          <w:lang w:val="ro-MD"/>
        </w:rPr>
        <w:t xml:space="preserve">inistrul </w:t>
      </w:r>
      <w:r w:rsidRPr="00321F59">
        <w:rPr>
          <w:rFonts w:asciiTheme="majorHAnsi" w:hAnsiTheme="majorHAnsi" w:cstheme="majorHAnsi"/>
          <w:sz w:val="24"/>
          <w:lang w:val="ro-MD"/>
        </w:rPr>
        <w:t>F</w:t>
      </w:r>
      <w:r w:rsidR="00C771D3" w:rsidRPr="00321F59">
        <w:rPr>
          <w:rFonts w:asciiTheme="majorHAnsi" w:hAnsiTheme="majorHAnsi" w:cstheme="majorHAnsi"/>
          <w:sz w:val="24"/>
          <w:lang w:val="ro-MD"/>
        </w:rPr>
        <w:t>inanțelor și constituie parte componentă a Bugetului anual de venituri și cheltuieli. Salariul lunar este stabilit în euro, dar se achită în echivalentul în lei</w:t>
      </w:r>
      <w:r w:rsidR="004321D5" w:rsidRPr="00321F59">
        <w:rPr>
          <w:rFonts w:asciiTheme="majorHAnsi" w:hAnsiTheme="majorHAnsi" w:cstheme="majorHAnsi"/>
          <w:sz w:val="24"/>
          <w:lang w:val="ro-MD"/>
        </w:rPr>
        <w:t>,</w:t>
      </w:r>
      <w:r w:rsidR="00C771D3" w:rsidRPr="00321F59">
        <w:rPr>
          <w:rFonts w:asciiTheme="majorHAnsi" w:hAnsiTheme="majorHAnsi" w:cstheme="majorHAnsi"/>
          <w:sz w:val="24"/>
          <w:lang w:val="ro-MD"/>
        </w:rPr>
        <w:t xml:space="preserve"> î</w:t>
      </w:r>
      <w:r w:rsidRPr="00321F59">
        <w:rPr>
          <w:rFonts w:asciiTheme="majorHAnsi" w:hAnsiTheme="majorHAnsi" w:cstheme="majorHAnsi"/>
          <w:sz w:val="24"/>
          <w:lang w:val="ro-MD"/>
        </w:rPr>
        <w:t>n baza ratei de schimb stabilite</w:t>
      </w:r>
      <w:r w:rsidR="00C771D3" w:rsidRPr="00321F59">
        <w:rPr>
          <w:rFonts w:asciiTheme="majorHAnsi" w:hAnsiTheme="majorHAnsi" w:cstheme="majorHAnsi"/>
          <w:sz w:val="24"/>
          <w:lang w:val="ro-MD"/>
        </w:rPr>
        <w:t xml:space="preserve"> de BNM la ziua efectuării calculului, a tabelelor de pontaj și a calculelor efectuate de contabilul principal. Remunerarea lunară include toate cheltuielile și impozitele conform legislației în vigoare</w:t>
      </w:r>
      <w:r w:rsidRPr="00321F59">
        <w:rPr>
          <w:rFonts w:asciiTheme="majorHAnsi" w:hAnsiTheme="majorHAnsi" w:cstheme="majorHAnsi"/>
          <w:sz w:val="24"/>
          <w:lang w:val="ro-MD"/>
        </w:rPr>
        <w:t>,</w:t>
      </w:r>
      <w:r w:rsidR="00C771D3" w:rsidRPr="00321F59">
        <w:rPr>
          <w:rFonts w:asciiTheme="majorHAnsi" w:hAnsiTheme="majorHAnsi" w:cstheme="majorHAnsi"/>
          <w:sz w:val="24"/>
          <w:lang w:val="ro-MD"/>
        </w:rPr>
        <w:t xml:space="preserve"> care se achită de către salariat în modul stabilit.</w:t>
      </w:r>
    </w:p>
    <w:p w:rsidR="00A8181D" w:rsidRPr="00321F59" w:rsidRDefault="005577C9" w:rsidP="00637AC0">
      <w:pPr>
        <w:spacing w:before="240" w:line="276" w:lineRule="auto"/>
        <w:jc w:val="both"/>
        <w:rPr>
          <w:rFonts w:asciiTheme="majorHAnsi" w:hAnsiTheme="majorHAnsi" w:cstheme="majorHAnsi"/>
          <w:sz w:val="24"/>
          <w:lang w:val="ro-MD"/>
        </w:rPr>
      </w:pPr>
      <w:r w:rsidRPr="00321F59">
        <w:rPr>
          <w:rFonts w:asciiTheme="majorHAnsi" w:hAnsiTheme="majorHAnsi" w:cstheme="majorHAnsi"/>
          <w:sz w:val="24"/>
          <w:lang w:val="ro-MD"/>
        </w:rPr>
        <w:t>S</w:t>
      </w:r>
      <w:r w:rsidR="007B5B3C" w:rsidRPr="00321F59">
        <w:rPr>
          <w:rFonts w:asciiTheme="majorHAnsi" w:hAnsiTheme="majorHAnsi" w:cstheme="majorHAnsi"/>
          <w:sz w:val="24"/>
          <w:lang w:val="ro-MD"/>
        </w:rPr>
        <w:t>alariile</w:t>
      </w:r>
      <w:r w:rsidR="00C771D3" w:rsidRPr="00321F59">
        <w:rPr>
          <w:rFonts w:asciiTheme="majorHAnsi" w:hAnsiTheme="majorHAnsi" w:cstheme="majorHAnsi"/>
          <w:sz w:val="24"/>
          <w:lang w:val="ro-MD"/>
        </w:rPr>
        <w:t xml:space="preserve"> de funcție ale angajaților DLC</w:t>
      </w:r>
      <w:r w:rsidR="007B5B3C" w:rsidRPr="00321F59">
        <w:rPr>
          <w:rFonts w:asciiTheme="majorHAnsi" w:hAnsiTheme="majorHAnsi" w:cstheme="majorHAnsi"/>
          <w:sz w:val="24"/>
          <w:lang w:val="ro-MD"/>
        </w:rPr>
        <w:t xml:space="preserve"> nu s-au modificat</w:t>
      </w:r>
      <w:r w:rsidRPr="00321F59">
        <w:rPr>
          <w:rFonts w:asciiTheme="majorHAnsi" w:hAnsiTheme="majorHAnsi" w:cstheme="majorHAnsi"/>
          <w:sz w:val="24"/>
          <w:lang w:val="ro-MD"/>
        </w:rPr>
        <w:t xml:space="preserve"> din anul 2016</w:t>
      </w:r>
      <w:r w:rsidR="00C771D3" w:rsidRPr="00321F59">
        <w:rPr>
          <w:rFonts w:asciiTheme="majorHAnsi" w:hAnsiTheme="majorHAnsi" w:cstheme="majorHAnsi"/>
          <w:sz w:val="24"/>
          <w:lang w:val="ro-MD"/>
        </w:rPr>
        <w:t xml:space="preserve"> și constituie în medie 1,2 mii euro</w:t>
      </w:r>
      <w:r w:rsidR="006A0ED7" w:rsidRPr="00321F59">
        <w:rPr>
          <w:rFonts w:asciiTheme="majorHAnsi" w:hAnsiTheme="majorHAnsi" w:cstheme="majorHAnsi"/>
          <w:sz w:val="24"/>
          <w:lang w:val="ro-MD"/>
        </w:rPr>
        <w:t>, variind de la 2,0 mii euro la șeful DLC până la 0,7 mii euro la contabilul superior</w:t>
      </w:r>
      <w:r w:rsidR="007B5B3C" w:rsidRPr="00321F59">
        <w:rPr>
          <w:rFonts w:asciiTheme="majorHAnsi" w:hAnsiTheme="majorHAnsi" w:cstheme="majorHAnsi"/>
          <w:sz w:val="24"/>
          <w:lang w:val="ro-MD"/>
        </w:rPr>
        <w:t>.</w:t>
      </w:r>
      <w:r w:rsidR="006A0ED7" w:rsidRPr="00321F59">
        <w:rPr>
          <w:rFonts w:asciiTheme="majorHAnsi" w:hAnsiTheme="majorHAnsi" w:cstheme="majorHAnsi"/>
          <w:sz w:val="24"/>
          <w:lang w:val="ro-MD"/>
        </w:rPr>
        <w:t xml:space="preserve"> </w:t>
      </w:r>
      <w:r w:rsidR="00965E12" w:rsidRPr="00321F59">
        <w:rPr>
          <w:rFonts w:asciiTheme="majorHAnsi" w:hAnsiTheme="majorHAnsi" w:cstheme="majorHAnsi"/>
          <w:sz w:val="24"/>
          <w:lang w:val="ro-MD"/>
        </w:rPr>
        <w:t>Conform Schemei organizaționale a DLC</w:t>
      </w:r>
      <w:r w:rsidR="00F20DF6" w:rsidRPr="00321F59">
        <w:rPr>
          <w:rFonts w:asciiTheme="majorHAnsi" w:hAnsiTheme="majorHAnsi" w:cstheme="majorHAnsi"/>
          <w:sz w:val="24"/>
          <w:lang w:val="ro-MD"/>
        </w:rPr>
        <w:t>,</w:t>
      </w:r>
      <w:r w:rsidR="00965E12" w:rsidRPr="00321F59">
        <w:rPr>
          <w:rFonts w:asciiTheme="majorHAnsi" w:hAnsiTheme="majorHAnsi" w:cstheme="majorHAnsi"/>
          <w:sz w:val="24"/>
          <w:lang w:val="ro-MD"/>
        </w:rPr>
        <w:t xml:space="preserve"> pentru anul 2019 au fost </w:t>
      </w:r>
      <w:r w:rsidR="006A0ED7" w:rsidRPr="00321F59">
        <w:rPr>
          <w:rFonts w:asciiTheme="majorHAnsi" w:hAnsiTheme="majorHAnsi" w:cstheme="majorHAnsi"/>
          <w:sz w:val="24"/>
          <w:lang w:val="ro-MD"/>
        </w:rPr>
        <w:t>a</w:t>
      </w:r>
      <w:r w:rsidR="00A56FDD" w:rsidRPr="00321F59">
        <w:rPr>
          <w:rFonts w:asciiTheme="majorHAnsi" w:hAnsiTheme="majorHAnsi" w:cstheme="majorHAnsi"/>
          <w:sz w:val="24"/>
          <w:lang w:val="ro-MD"/>
        </w:rPr>
        <w:t>probate 10 unități de personal,</w:t>
      </w:r>
      <w:r w:rsidR="00965E12" w:rsidRPr="00321F59">
        <w:rPr>
          <w:rFonts w:asciiTheme="majorHAnsi" w:hAnsiTheme="majorHAnsi" w:cstheme="majorHAnsi"/>
          <w:sz w:val="24"/>
          <w:lang w:val="ro-MD"/>
        </w:rPr>
        <w:t xml:space="preserve"> </w:t>
      </w:r>
      <w:r w:rsidR="006A0ED7" w:rsidRPr="00321F59">
        <w:rPr>
          <w:rFonts w:asciiTheme="majorHAnsi" w:hAnsiTheme="majorHAnsi" w:cstheme="majorHAnsi"/>
          <w:sz w:val="24"/>
          <w:lang w:val="ro-MD"/>
        </w:rPr>
        <w:t>p</w:t>
      </w:r>
      <w:r w:rsidR="000162BB" w:rsidRPr="00321F59">
        <w:rPr>
          <w:rFonts w:asciiTheme="majorHAnsi" w:hAnsiTheme="majorHAnsi" w:cstheme="majorHAnsi"/>
          <w:sz w:val="24"/>
          <w:lang w:val="ro-MD"/>
        </w:rPr>
        <w:t xml:space="preserve">e parcursul anului </w:t>
      </w:r>
      <w:r w:rsidR="006A0ED7" w:rsidRPr="00321F59">
        <w:rPr>
          <w:rFonts w:asciiTheme="majorHAnsi" w:hAnsiTheme="majorHAnsi" w:cstheme="majorHAnsi"/>
          <w:sz w:val="24"/>
          <w:lang w:val="ro-MD"/>
        </w:rPr>
        <w:t>activând</w:t>
      </w:r>
      <w:r w:rsidR="000162BB" w:rsidRPr="00321F59">
        <w:rPr>
          <w:rFonts w:asciiTheme="majorHAnsi" w:hAnsiTheme="majorHAnsi" w:cstheme="majorHAnsi"/>
          <w:sz w:val="24"/>
          <w:lang w:val="ro-MD"/>
        </w:rPr>
        <w:t xml:space="preserve"> </w:t>
      </w:r>
      <w:r w:rsidR="00A56FDD" w:rsidRPr="00321F59">
        <w:rPr>
          <w:rFonts w:asciiTheme="majorHAnsi" w:hAnsiTheme="majorHAnsi" w:cstheme="majorHAnsi"/>
          <w:sz w:val="24"/>
          <w:lang w:val="ro-MD"/>
        </w:rPr>
        <w:t xml:space="preserve">efectiv </w:t>
      </w:r>
      <w:r w:rsidR="000162BB" w:rsidRPr="00321F59">
        <w:rPr>
          <w:rFonts w:asciiTheme="majorHAnsi" w:hAnsiTheme="majorHAnsi" w:cstheme="majorHAnsi"/>
          <w:sz w:val="24"/>
          <w:lang w:val="ro-MD"/>
        </w:rPr>
        <w:t xml:space="preserve">8 angajați. </w:t>
      </w:r>
    </w:p>
    <w:p w:rsidR="00637AC0" w:rsidRPr="00321F59" w:rsidRDefault="00637AC0" w:rsidP="00637AC0">
      <w:pPr>
        <w:spacing w:before="240" w:line="276" w:lineRule="auto"/>
        <w:jc w:val="both"/>
        <w:rPr>
          <w:rFonts w:asciiTheme="majorHAnsi" w:eastAsia="Times New Roman" w:hAnsiTheme="majorHAnsi" w:cstheme="majorHAnsi"/>
          <w:sz w:val="24"/>
          <w:szCs w:val="24"/>
          <w:lang w:val="ro-MD" w:eastAsia="ru-RU"/>
        </w:rPr>
      </w:pPr>
      <w:r w:rsidRPr="00321F59">
        <w:rPr>
          <w:rFonts w:asciiTheme="majorHAnsi" w:eastAsia="MS Mincho" w:hAnsiTheme="majorHAnsi" w:cstheme="majorHAnsi"/>
          <w:sz w:val="24"/>
          <w:szCs w:val="24"/>
          <w:lang w:val="ro-MD" w:eastAsia="ru-RU"/>
        </w:rPr>
        <w:t>Reieșind din reconcilierile și verificările comparative efectuate</w:t>
      </w:r>
      <w:r w:rsidR="00190610" w:rsidRPr="00321F59">
        <w:rPr>
          <w:rFonts w:asciiTheme="majorHAnsi" w:eastAsia="MS Mincho" w:hAnsiTheme="majorHAnsi" w:cstheme="majorHAnsi"/>
          <w:sz w:val="24"/>
          <w:szCs w:val="24"/>
          <w:lang w:val="ro-MD" w:eastAsia="ru-RU"/>
        </w:rPr>
        <w:t xml:space="preserve"> referitor la respectarea calculării salariului cu datele Schemei personalului scriptic</w:t>
      </w:r>
      <w:r w:rsidRPr="00321F59">
        <w:rPr>
          <w:rFonts w:asciiTheme="majorHAnsi" w:eastAsia="MS Mincho" w:hAnsiTheme="majorHAnsi" w:cstheme="majorHAnsi"/>
          <w:sz w:val="24"/>
          <w:szCs w:val="24"/>
          <w:lang w:val="ro-MD" w:eastAsia="ru-RU"/>
        </w:rPr>
        <w:t xml:space="preserve">, precum și </w:t>
      </w:r>
      <w:r w:rsidR="00A56FDD" w:rsidRPr="00321F59">
        <w:rPr>
          <w:rFonts w:asciiTheme="majorHAnsi" w:eastAsia="MS Mincho" w:hAnsiTheme="majorHAnsi" w:cstheme="majorHAnsi"/>
          <w:sz w:val="24"/>
          <w:szCs w:val="24"/>
          <w:lang w:val="ro-MD" w:eastAsia="ru-RU"/>
        </w:rPr>
        <w:t xml:space="preserve">la </w:t>
      </w:r>
      <w:r w:rsidRPr="00321F59">
        <w:rPr>
          <w:rFonts w:asciiTheme="majorHAnsi" w:eastAsia="MS Mincho" w:hAnsiTheme="majorHAnsi" w:cstheme="majorHAnsi"/>
          <w:sz w:val="24"/>
          <w:szCs w:val="24"/>
          <w:lang w:val="ro-MD" w:eastAsia="ru-RU"/>
        </w:rPr>
        <w:t xml:space="preserve">analiza tuturor documentelor confirmative corespunzătoare pentru eșantioanele selectate, auditul a </w:t>
      </w:r>
      <w:r w:rsidR="00A56FDD" w:rsidRPr="00321F59">
        <w:rPr>
          <w:rFonts w:asciiTheme="majorHAnsi" w:eastAsia="MS Mincho" w:hAnsiTheme="majorHAnsi" w:cstheme="majorHAnsi"/>
          <w:sz w:val="24"/>
          <w:szCs w:val="24"/>
          <w:lang w:val="ro-MD" w:eastAsia="ru-RU"/>
        </w:rPr>
        <w:t>stabilit</w:t>
      </w:r>
      <w:r w:rsidRPr="00321F59">
        <w:rPr>
          <w:rFonts w:asciiTheme="majorHAnsi" w:eastAsia="MS Mincho" w:hAnsiTheme="majorHAnsi" w:cstheme="majorHAnsi"/>
          <w:sz w:val="24"/>
          <w:szCs w:val="24"/>
          <w:lang w:val="ro-MD" w:eastAsia="ru-RU"/>
        </w:rPr>
        <w:t xml:space="preserve"> </w:t>
      </w:r>
      <w:r w:rsidRPr="00321F59">
        <w:rPr>
          <w:rFonts w:asciiTheme="majorHAnsi" w:eastAsia="Times New Roman" w:hAnsiTheme="majorHAnsi" w:cstheme="majorHAnsi"/>
          <w:sz w:val="24"/>
          <w:szCs w:val="24"/>
          <w:lang w:val="ro-MD" w:eastAsia="ru-RU"/>
        </w:rPr>
        <w:t xml:space="preserve">corectitudinea calculării și achitării salariului </w:t>
      </w:r>
      <w:r w:rsidR="00F20DF6" w:rsidRPr="00321F59">
        <w:rPr>
          <w:rFonts w:asciiTheme="majorHAnsi" w:eastAsia="Times New Roman" w:hAnsiTheme="majorHAnsi" w:cstheme="majorHAnsi"/>
          <w:sz w:val="24"/>
          <w:szCs w:val="24"/>
          <w:lang w:val="ro-MD" w:eastAsia="ru-RU"/>
        </w:rPr>
        <w:t xml:space="preserve">angajaților </w:t>
      </w:r>
      <w:r w:rsidRPr="00321F59">
        <w:rPr>
          <w:rFonts w:asciiTheme="majorHAnsi" w:eastAsia="Times New Roman" w:hAnsiTheme="majorHAnsi" w:cstheme="majorHAnsi"/>
          <w:sz w:val="24"/>
          <w:szCs w:val="24"/>
          <w:lang w:val="ro-MD" w:eastAsia="ru-RU"/>
        </w:rPr>
        <w:t xml:space="preserve">din cadrul DLC. Totodată, s-a </w:t>
      </w:r>
      <w:r w:rsidR="00A56FDD" w:rsidRPr="00321F59">
        <w:rPr>
          <w:rFonts w:asciiTheme="majorHAnsi" w:eastAsia="Times New Roman" w:hAnsiTheme="majorHAnsi" w:cstheme="majorHAnsi"/>
          <w:sz w:val="24"/>
          <w:szCs w:val="24"/>
          <w:lang w:val="ro-MD" w:eastAsia="ru-RU"/>
        </w:rPr>
        <w:t>constatat</w:t>
      </w:r>
      <w:r w:rsidRPr="00321F59">
        <w:rPr>
          <w:rFonts w:asciiTheme="majorHAnsi" w:eastAsia="Times New Roman" w:hAnsiTheme="majorHAnsi" w:cstheme="majorHAnsi"/>
          <w:sz w:val="24"/>
          <w:szCs w:val="24"/>
          <w:lang w:val="ro-MD" w:eastAsia="ru-RU"/>
        </w:rPr>
        <w:t xml:space="preserve"> că</w:t>
      </w:r>
      <w:r w:rsidR="00A56FDD" w:rsidRPr="00321F59">
        <w:rPr>
          <w:rFonts w:asciiTheme="majorHAnsi" w:eastAsia="Times New Roman" w:hAnsiTheme="majorHAnsi" w:cstheme="majorHAnsi"/>
          <w:sz w:val="24"/>
          <w:szCs w:val="24"/>
          <w:lang w:val="ro-MD" w:eastAsia="ru-RU"/>
        </w:rPr>
        <w:t>,</w:t>
      </w:r>
      <w:r w:rsidRPr="00321F59">
        <w:rPr>
          <w:rFonts w:asciiTheme="majorHAnsi" w:eastAsia="Times New Roman" w:hAnsiTheme="majorHAnsi" w:cstheme="majorHAnsi"/>
          <w:sz w:val="24"/>
          <w:szCs w:val="24"/>
          <w:lang w:val="ro-MD" w:eastAsia="ru-RU"/>
        </w:rPr>
        <w:t xml:space="preserve"> pe parcursul perioadei analizate, nu au fost </w:t>
      </w:r>
      <w:r w:rsidR="006A0ED7" w:rsidRPr="00321F59">
        <w:rPr>
          <w:rFonts w:asciiTheme="majorHAnsi" w:eastAsia="Times New Roman" w:hAnsiTheme="majorHAnsi" w:cstheme="majorHAnsi"/>
          <w:sz w:val="24"/>
          <w:szCs w:val="24"/>
          <w:lang w:val="ro-MD" w:eastAsia="ru-RU"/>
        </w:rPr>
        <w:t>efectuate</w:t>
      </w:r>
      <w:r w:rsidRPr="00321F59">
        <w:rPr>
          <w:rFonts w:asciiTheme="majorHAnsi" w:eastAsia="Times New Roman" w:hAnsiTheme="majorHAnsi" w:cstheme="majorHAnsi"/>
          <w:sz w:val="24"/>
          <w:szCs w:val="24"/>
          <w:lang w:val="ro-MD" w:eastAsia="ru-RU"/>
        </w:rPr>
        <w:t xml:space="preserve"> plăți </w:t>
      </w:r>
      <w:r w:rsidR="006A0ED7" w:rsidRPr="00321F59">
        <w:rPr>
          <w:rFonts w:asciiTheme="majorHAnsi" w:eastAsia="Times New Roman" w:hAnsiTheme="majorHAnsi" w:cstheme="majorHAnsi"/>
          <w:sz w:val="24"/>
          <w:szCs w:val="24"/>
          <w:lang w:val="ro-MD" w:eastAsia="ru-RU"/>
        </w:rPr>
        <w:t>către membrii</w:t>
      </w:r>
      <w:r w:rsidRPr="00321F59">
        <w:rPr>
          <w:rFonts w:asciiTheme="majorHAnsi" w:eastAsia="Times New Roman" w:hAnsiTheme="majorHAnsi" w:cstheme="majorHAnsi"/>
          <w:sz w:val="24"/>
          <w:szCs w:val="24"/>
          <w:lang w:val="ro-MD" w:eastAsia="ru-RU"/>
        </w:rPr>
        <w:t xml:space="preserve"> Consiliului </w:t>
      </w:r>
      <w:r w:rsidR="00190610" w:rsidRPr="00321F59">
        <w:rPr>
          <w:rFonts w:asciiTheme="majorHAnsi" w:eastAsia="Times New Roman" w:hAnsiTheme="majorHAnsi" w:cstheme="majorHAnsi"/>
          <w:sz w:val="24"/>
          <w:szCs w:val="24"/>
          <w:lang w:val="ro-MD" w:eastAsia="ru-RU"/>
        </w:rPr>
        <w:t>DLC</w:t>
      </w:r>
      <w:r w:rsidR="00A56FDD" w:rsidRPr="00321F59">
        <w:rPr>
          <w:rFonts w:asciiTheme="majorHAnsi" w:eastAsia="Times New Roman" w:hAnsiTheme="majorHAnsi" w:cstheme="majorHAnsi"/>
          <w:sz w:val="24"/>
          <w:szCs w:val="24"/>
          <w:lang w:val="ro-MD" w:eastAsia="ru-RU"/>
        </w:rPr>
        <w:t>;</w:t>
      </w:r>
    </w:p>
    <w:p w:rsidR="006A0ED7" w:rsidRPr="00321F59" w:rsidRDefault="00A56FDD" w:rsidP="006A0ED7">
      <w:pPr>
        <w:pStyle w:val="ListParagraph"/>
        <w:numPr>
          <w:ilvl w:val="0"/>
          <w:numId w:val="18"/>
        </w:numPr>
        <w:spacing w:before="240" w:line="276" w:lineRule="auto"/>
        <w:ind w:left="0" w:firstLine="360"/>
        <w:jc w:val="both"/>
        <w:rPr>
          <w:rFonts w:asciiTheme="majorHAnsi" w:eastAsia="Times New Roman" w:hAnsiTheme="majorHAnsi" w:cstheme="majorHAnsi"/>
          <w:sz w:val="24"/>
          <w:szCs w:val="24"/>
          <w:lang w:val="ro-MD" w:eastAsia="ru-RU"/>
        </w:rPr>
      </w:pPr>
      <w:r w:rsidRPr="00321F59">
        <w:rPr>
          <w:rFonts w:asciiTheme="majorHAnsi" w:eastAsia="Times New Roman" w:hAnsiTheme="majorHAnsi" w:cstheme="majorHAnsi"/>
          <w:sz w:val="24"/>
          <w:szCs w:val="24"/>
          <w:lang w:val="ro-MD" w:eastAsia="ru-RU"/>
        </w:rPr>
        <w:t>î</w:t>
      </w:r>
      <w:r w:rsidR="006A0ED7" w:rsidRPr="00321F59">
        <w:rPr>
          <w:rFonts w:asciiTheme="majorHAnsi" w:eastAsia="Times New Roman" w:hAnsiTheme="majorHAnsi" w:cstheme="majorHAnsi"/>
          <w:sz w:val="24"/>
          <w:szCs w:val="24"/>
          <w:lang w:val="ro-MD" w:eastAsia="ru-RU"/>
        </w:rPr>
        <w:t>n ceea ce ține de alte cheltuieli operaționale analizate de către audit</w:t>
      </w:r>
      <w:r w:rsidR="009932DC" w:rsidRPr="00321F59">
        <w:rPr>
          <w:rFonts w:asciiTheme="majorHAnsi" w:eastAsia="Times New Roman" w:hAnsiTheme="majorHAnsi" w:cstheme="majorHAnsi"/>
          <w:sz w:val="24"/>
          <w:szCs w:val="24"/>
          <w:lang w:val="ro-MD" w:eastAsia="ru-RU"/>
        </w:rPr>
        <w:t>,</w:t>
      </w:r>
      <w:r w:rsidR="006A0ED7" w:rsidRPr="00321F59">
        <w:rPr>
          <w:rFonts w:asciiTheme="majorHAnsi" w:eastAsia="Times New Roman" w:hAnsiTheme="majorHAnsi" w:cstheme="majorHAnsi"/>
          <w:sz w:val="24"/>
          <w:szCs w:val="24"/>
          <w:lang w:val="ro-MD" w:eastAsia="ru-RU"/>
        </w:rPr>
        <w:t xml:space="preserve"> se menționează că</w:t>
      </w:r>
      <w:r w:rsidRPr="00321F59">
        <w:rPr>
          <w:rFonts w:asciiTheme="majorHAnsi" w:eastAsia="Times New Roman" w:hAnsiTheme="majorHAnsi" w:cstheme="majorHAnsi"/>
          <w:sz w:val="24"/>
          <w:szCs w:val="24"/>
          <w:lang w:val="ro-MD" w:eastAsia="ru-RU"/>
        </w:rPr>
        <w:t>,</w:t>
      </w:r>
      <w:r w:rsidR="006A0ED7" w:rsidRPr="00321F59">
        <w:rPr>
          <w:rFonts w:asciiTheme="majorHAnsi" w:eastAsia="Times New Roman" w:hAnsiTheme="majorHAnsi" w:cstheme="majorHAnsi"/>
          <w:sz w:val="24"/>
          <w:szCs w:val="24"/>
          <w:lang w:val="ro-MD" w:eastAsia="ru-RU"/>
        </w:rPr>
        <w:t xml:space="preserve"> la contractarea bunurilor sau serviciilor necesare activității DLC, acesta se conduce de prevederile cadrului legal privind achizițiile publice în RM</w:t>
      </w:r>
      <w:r w:rsidRPr="00321F59">
        <w:rPr>
          <w:rFonts w:asciiTheme="majorHAnsi" w:eastAsia="Times New Roman" w:hAnsiTheme="majorHAnsi" w:cstheme="majorHAnsi"/>
          <w:sz w:val="24"/>
          <w:szCs w:val="24"/>
          <w:lang w:val="ro-MD" w:eastAsia="ru-RU"/>
        </w:rPr>
        <w:t>,</w:t>
      </w:r>
      <w:r w:rsidR="009932DC" w:rsidRPr="00321F59">
        <w:rPr>
          <w:rFonts w:asciiTheme="majorHAnsi" w:eastAsia="Times New Roman" w:hAnsiTheme="majorHAnsi" w:cstheme="majorHAnsi"/>
          <w:sz w:val="24"/>
          <w:szCs w:val="24"/>
          <w:lang w:val="ro-MD" w:eastAsia="ru-RU"/>
        </w:rPr>
        <w:t xml:space="preserve"> cu aplicarea procedurilor de achiziție corespunzătoare. Verificările auditului au stabilit corectitudinea contractării, înregistrării și ra</w:t>
      </w:r>
      <w:r w:rsidR="00E27703" w:rsidRPr="00321F59">
        <w:rPr>
          <w:rFonts w:asciiTheme="majorHAnsi" w:eastAsia="Times New Roman" w:hAnsiTheme="majorHAnsi" w:cstheme="majorHAnsi"/>
          <w:sz w:val="24"/>
          <w:szCs w:val="24"/>
          <w:lang w:val="ro-MD" w:eastAsia="ru-RU"/>
        </w:rPr>
        <w:t>portării cheltuielilor ce țin de activitatea operațională a DLC pe parcursul anului 2019.</w:t>
      </w:r>
    </w:p>
    <w:p w:rsidR="00F122A2" w:rsidRPr="00321F59" w:rsidRDefault="00F122A2" w:rsidP="00083CC2">
      <w:pPr>
        <w:spacing w:line="276" w:lineRule="auto"/>
        <w:jc w:val="both"/>
        <w:rPr>
          <w:rFonts w:asciiTheme="majorHAnsi" w:hAnsiTheme="majorHAnsi" w:cstheme="majorHAnsi"/>
          <w:sz w:val="24"/>
          <w:lang w:val="ro-MD"/>
        </w:rPr>
      </w:pPr>
      <w:r w:rsidRPr="00321F59">
        <w:rPr>
          <w:rFonts w:asciiTheme="majorHAnsi" w:hAnsiTheme="majorHAnsi" w:cstheme="majorHAnsi"/>
          <w:sz w:val="24"/>
          <w:lang w:val="ro-MD"/>
        </w:rPr>
        <w:t>Pentru evidența contabilă (inclusiv înregistrarea și raportarea veniturilor și cheltuielilor)</w:t>
      </w:r>
      <w:r w:rsidR="00F20DF6" w:rsidRPr="00321F59">
        <w:rPr>
          <w:rFonts w:asciiTheme="majorHAnsi" w:hAnsiTheme="majorHAnsi" w:cstheme="majorHAnsi"/>
          <w:sz w:val="24"/>
          <w:lang w:val="ro-MD"/>
        </w:rPr>
        <w:t>,</w:t>
      </w:r>
      <w:r w:rsidRPr="00321F59">
        <w:rPr>
          <w:rFonts w:asciiTheme="majorHAnsi" w:hAnsiTheme="majorHAnsi" w:cstheme="majorHAnsi"/>
          <w:sz w:val="24"/>
          <w:lang w:val="ro-MD"/>
        </w:rPr>
        <w:t xml:space="preserve"> se folosesc registrele contabile electronice în formatul Microsoft Excel. În prezent se implementează și se ajustează la cerințele și necesitățile evidenței contabile </w:t>
      </w:r>
      <w:r w:rsidR="00A56FDD" w:rsidRPr="00321F59">
        <w:rPr>
          <w:rFonts w:asciiTheme="majorHAnsi" w:hAnsiTheme="majorHAnsi" w:cstheme="majorHAnsi"/>
          <w:sz w:val="24"/>
          <w:lang w:val="ro-MD"/>
        </w:rPr>
        <w:t xml:space="preserve">ale </w:t>
      </w:r>
      <w:r w:rsidRPr="00321F59">
        <w:rPr>
          <w:rFonts w:asciiTheme="majorHAnsi" w:hAnsiTheme="majorHAnsi" w:cstheme="majorHAnsi"/>
          <w:sz w:val="24"/>
          <w:lang w:val="ro-MD"/>
        </w:rPr>
        <w:t>DLC</w:t>
      </w:r>
      <w:r w:rsidR="00A56FDD" w:rsidRPr="00321F59">
        <w:rPr>
          <w:rFonts w:asciiTheme="majorHAnsi" w:hAnsiTheme="majorHAnsi" w:cstheme="majorHAnsi"/>
          <w:sz w:val="24"/>
          <w:lang w:val="ro-MD"/>
        </w:rPr>
        <w:t>,</w:t>
      </w:r>
      <w:r w:rsidRPr="00321F59">
        <w:rPr>
          <w:rFonts w:asciiTheme="majorHAnsi" w:hAnsiTheme="majorHAnsi" w:cstheme="majorHAnsi"/>
          <w:sz w:val="24"/>
          <w:lang w:val="ro-MD"/>
        </w:rPr>
        <w:t xml:space="preserve"> sistemul 1C: Contabilitatea 8. </w:t>
      </w:r>
    </w:p>
    <w:p w:rsidR="004E3E19" w:rsidRPr="0024512C" w:rsidRDefault="004E3E19" w:rsidP="00DB680B">
      <w:pPr>
        <w:pStyle w:val="ListParagraph"/>
        <w:numPr>
          <w:ilvl w:val="1"/>
          <w:numId w:val="2"/>
        </w:numPr>
        <w:spacing w:line="276" w:lineRule="auto"/>
        <w:ind w:left="0" w:firstLine="0"/>
        <w:jc w:val="both"/>
        <w:outlineLvl w:val="2"/>
        <w:rPr>
          <w:rFonts w:asciiTheme="majorHAnsi" w:hAnsiTheme="majorHAnsi" w:cstheme="majorHAnsi"/>
          <w:b/>
          <w:i/>
          <w:color w:val="5B9BD5" w:themeColor="accent1"/>
          <w:sz w:val="26"/>
          <w:szCs w:val="26"/>
          <w:lang w:val="ro-MD" w:eastAsia="ru-RU"/>
        </w:rPr>
      </w:pPr>
      <w:bookmarkStart w:id="10" w:name="_Toc47009710"/>
      <w:r w:rsidRPr="00321F59">
        <w:rPr>
          <w:rFonts w:asciiTheme="majorHAnsi" w:eastAsia="Times New Roman" w:hAnsiTheme="majorHAnsi" w:cstheme="majorHAnsi"/>
          <w:b/>
          <w:bCs/>
          <w:color w:val="5B9BD5" w:themeColor="accent1"/>
          <w:sz w:val="26"/>
          <w:szCs w:val="26"/>
          <w:lang w:val="ro-MD" w:eastAsia="ru-RU"/>
        </w:rPr>
        <w:t>Obiectivul specific II. Evaluarea eficienței gestionării și monitorizării proiectelor investiționale și a Liniilor de credit care au fost încredințate DLC</w:t>
      </w:r>
      <w:bookmarkEnd w:id="10"/>
    </w:p>
    <w:p w:rsidR="004927F5" w:rsidRPr="0024512C" w:rsidRDefault="004927F5" w:rsidP="004927F5">
      <w:pPr>
        <w:spacing w:line="276" w:lineRule="auto"/>
        <w:jc w:val="both"/>
        <w:rPr>
          <w:rFonts w:asciiTheme="majorHAnsi" w:hAnsiTheme="majorHAnsi" w:cstheme="majorHAnsi"/>
          <w:color w:val="000000"/>
          <w:sz w:val="24"/>
          <w:szCs w:val="24"/>
          <w:lang w:val="ro-MD"/>
        </w:rPr>
      </w:pPr>
      <w:r w:rsidRPr="0024512C">
        <w:rPr>
          <w:rFonts w:asciiTheme="majorHAnsi" w:hAnsiTheme="majorHAnsi" w:cstheme="majorHAnsi"/>
          <w:sz w:val="24"/>
          <w:szCs w:val="24"/>
          <w:lang w:val="ro-MD" w:eastAsia="ru-RU"/>
        </w:rPr>
        <w:t xml:space="preserve">Directoratul Liniei de Credit </w:t>
      </w:r>
      <w:r w:rsidRPr="0024512C">
        <w:rPr>
          <w:rFonts w:asciiTheme="majorHAnsi" w:hAnsiTheme="majorHAnsi" w:cstheme="majorHAnsi"/>
          <w:color w:val="000000"/>
          <w:sz w:val="24"/>
          <w:szCs w:val="24"/>
          <w:lang w:val="ro-MD"/>
        </w:rPr>
        <w:t xml:space="preserve">este o instituție publică în care Ministerul Finanțelor are calitatea de fondator, </w:t>
      </w:r>
      <w:r w:rsidRPr="005C74F5">
        <w:rPr>
          <w:rFonts w:asciiTheme="majorHAnsi" w:hAnsiTheme="majorHAnsi" w:cstheme="majorHAnsi"/>
          <w:color w:val="000000"/>
          <w:sz w:val="24"/>
          <w:szCs w:val="24"/>
          <w:lang w:val="ro-MD"/>
        </w:rPr>
        <w:t>fiind format prin reorganizare în scopul administrării resurselor organizațiilor financiare internaționale</w:t>
      </w:r>
      <w:r w:rsidR="00F0104E" w:rsidRPr="005C74F5">
        <w:rPr>
          <w:rFonts w:asciiTheme="majorHAnsi" w:hAnsiTheme="majorHAnsi" w:cstheme="majorHAnsi"/>
          <w:color w:val="000000"/>
          <w:sz w:val="24"/>
          <w:szCs w:val="24"/>
          <w:lang w:val="ro-MD"/>
        </w:rPr>
        <w:t xml:space="preserve"> sau a creditelor externe care sunt parte componentă a datoriei de stat externe</w:t>
      </w:r>
      <w:r w:rsidRPr="00642BEC">
        <w:rPr>
          <w:rFonts w:asciiTheme="majorHAnsi" w:hAnsiTheme="majorHAnsi" w:cstheme="majorHAnsi"/>
          <w:color w:val="000000"/>
          <w:sz w:val="24"/>
          <w:szCs w:val="24"/>
          <w:lang w:val="ro-MD"/>
        </w:rPr>
        <w:t xml:space="preserve">, precum și în </w:t>
      </w:r>
      <w:r w:rsidRPr="0024512C">
        <w:rPr>
          <w:rFonts w:asciiTheme="majorHAnsi" w:hAnsiTheme="majorHAnsi" w:cstheme="majorHAnsi"/>
          <w:color w:val="000000"/>
          <w:sz w:val="24"/>
          <w:szCs w:val="24"/>
          <w:lang w:val="ro-MD"/>
        </w:rPr>
        <w:t xml:space="preserve">vederea colectării datoriilor și rambursării creditelor acordate pentru dezvoltarea întreprinderilor mici și mijlocii, recreditării resurselor acumulate pentru finanțarea noilor proiecte </w:t>
      </w:r>
      <w:r w:rsidRPr="0024512C">
        <w:rPr>
          <w:rFonts w:asciiTheme="majorHAnsi" w:hAnsiTheme="majorHAnsi" w:cstheme="majorHAnsi"/>
          <w:color w:val="000000"/>
          <w:sz w:val="24"/>
          <w:szCs w:val="24"/>
          <w:lang w:val="ro-MD"/>
        </w:rPr>
        <w:lastRenderedPageBreak/>
        <w:t>viabile, inclusiv monitorizare</w:t>
      </w:r>
      <w:r w:rsidR="00A56FDD" w:rsidRPr="0024512C">
        <w:rPr>
          <w:rFonts w:asciiTheme="majorHAnsi" w:hAnsiTheme="majorHAnsi" w:cstheme="majorHAnsi"/>
          <w:color w:val="000000"/>
          <w:sz w:val="24"/>
          <w:szCs w:val="24"/>
          <w:lang w:val="ro-MD"/>
        </w:rPr>
        <w:t>a</w:t>
      </w:r>
      <w:r w:rsidRPr="0024512C">
        <w:rPr>
          <w:rFonts w:asciiTheme="majorHAnsi" w:hAnsiTheme="majorHAnsi" w:cstheme="majorHAnsi"/>
          <w:color w:val="000000"/>
          <w:sz w:val="24"/>
          <w:szCs w:val="24"/>
          <w:lang w:val="ro-MD"/>
        </w:rPr>
        <w:t xml:space="preserve"> băncilor intermediare locale și asigurarea evidenței tranzacțiilor legate de Liniile de credit. </w:t>
      </w:r>
    </w:p>
    <w:p w:rsidR="004927F5" w:rsidRPr="0024512C" w:rsidRDefault="004927F5" w:rsidP="004927F5">
      <w:pPr>
        <w:spacing w:line="276" w:lineRule="auto"/>
        <w:jc w:val="both"/>
        <w:rPr>
          <w:rFonts w:asciiTheme="majorHAnsi" w:hAnsiTheme="majorHAnsi" w:cstheme="majorHAnsi"/>
          <w:sz w:val="24"/>
          <w:szCs w:val="24"/>
          <w:lang w:val="ro-MD" w:eastAsia="ru-RU"/>
        </w:rPr>
      </w:pPr>
      <w:r w:rsidRPr="0024512C">
        <w:rPr>
          <w:rFonts w:asciiTheme="majorHAnsi" w:hAnsiTheme="majorHAnsi" w:cstheme="majorHAnsi"/>
          <w:sz w:val="24"/>
          <w:szCs w:val="24"/>
          <w:lang w:val="ro-MD" w:eastAsia="ru-RU"/>
        </w:rPr>
        <w:t>Astfel,</w:t>
      </w:r>
      <w:r w:rsidR="00A56FDD" w:rsidRPr="0024512C">
        <w:rPr>
          <w:rFonts w:asciiTheme="majorHAnsi" w:hAnsiTheme="majorHAnsi" w:cstheme="majorHAnsi"/>
          <w:sz w:val="24"/>
          <w:szCs w:val="24"/>
          <w:lang w:val="ro-MD" w:eastAsia="ru-RU"/>
        </w:rPr>
        <w:t xml:space="preserve"> sarcinile principale ale DLC su</w:t>
      </w:r>
      <w:r w:rsidRPr="0024512C">
        <w:rPr>
          <w:rFonts w:asciiTheme="majorHAnsi" w:hAnsiTheme="majorHAnsi" w:cstheme="majorHAnsi"/>
          <w:sz w:val="24"/>
          <w:szCs w:val="24"/>
          <w:lang w:val="ro-MD" w:eastAsia="ru-RU"/>
        </w:rPr>
        <w:t>nt: (i) administrarea resurselor Liniei de Credit a Primului Proiect de Dezvoltare a Sectorului Privat în conformitate cu Acordul de Împrumut între Republica Moldova și Banca Mondială</w:t>
      </w:r>
      <w:r w:rsidR="001B7177" w:rsidRPr="0024512C">
        <w:rPr>
          <w:rFonts w:asciiTheme="majorHAnsi" w:hAnsiTheme="majorHAnsi" w:cstheme="majorHAnsi"/>
          <w:sz w:val="24"/>
          <w:szCs w:val="24"/>
          <w:lang w:val="ro-MD" w:eastAsia="ru-RU"/>
        </w:rPr>
        <w:t>,</w:t>
      </w:r>
      <w:r w:rsidRPr="0024512C">
        <w:rPr>
          <w:rFonts w:asciiTheme="majorHAnsi" w:hAnsiTheme="majorHAnsi" w:cstheme="majorHAnsi"/>
          <w:sz w:val="24"/>
          <w:szCs w:val="24"/>
          <w:lang w:val="ro-MD" w:eastAsia="ru-RU"/>
        </w:rPr>
        <w:t> precum și cu alte proiecte finanțate de organizații financiare internaționale; (ii) continuarea operațiunilor de recreditare a fondurilor pentru noi sub</w:t>
      </w:r>
      <w:r w:rsidR="00A56FDD" w:rsidRPr="0024512C">
        <w:rPr>
          <w:rFonts w:asciiTheme="majorHAnsi" w:hAnsiTheme="majorHAnsi" w:cstheme="majorHAnsi"/>
          <w:sz w:val="24"/>
          <w:szCs w:val="24"/>
          <w:lang w:val="ro-MD" w:eastAsia="ru-RU"/>
        </w:rPr>
        <w:t>-</w:t>
      </w:r>
      <w:r w:rsidRPr="0024512C">
        <w:rPr>
          <w:rFonts w:asciiTheme="majorHAnsi" w:hAnsiTheme="majorHAnsi" w:cstheme="majorHAnsi"/>
          <w:sz w:val="24"/>
          <w:szCs w:val="24"/>
          <w:lang w:val="ro-MD" w:eastAsia="ru-RU"/>
        </w:rPr>
        <w:t>proiecte viabile; (iii) evidența tranzacțiilor legate de liniile de credit; (iv) colectarea plăților de achitare a sub-împrumuturilor băncilor intermediare locale, pentru a fi rambursate organizațiilor financiare internaționale; (v) acordarea concursului la dezvoltarea și implementarea noilor proiecte ale organizațiilor financiare internaț</w:t>
      </w:r>
      <w:r w:rsidR="00AD4B10" w:rsidRPr="0024512C">
        <w:rPr>
          <w:rFonts w:asciiTheme="majorHAnsi" w:hAnsiTheme="majorHAnsi" w:cstheme="majorHAnsi"/>
          <w:sz w:val="24"/>
          <w:szCs w:val="24"/>
          <w:lang w:val="ro-MD" w:eastAsia="ru-RU"/>
        </w:rPr>
        <w:t>ionale de fonduri rambursabile; (vi) monitorizarea eligibilității IFP.</w:t>
      </w:r>
    </w:p>
    <w:p w:rsidR="004927F5" w:rsidRPr="0024512C" w:rsidRDefault="004927F5" w:rsidP="004927F5">
      <w:pPr>
        <w:spacing w:line="276" w:lineRule="auto"/>
        <w:jc w:val="both"/>
        <w:rPr>
          <w:rFonts w:asciiTheme="majorHAnsi" w:hAnsiTheme="majorHAnsi" w:cstheme="majorHAnsi"/>
          <w:sz w:val="24"/>
          <w:szCs w:val="24"/>
          <w:lang w:val="ro-MD" w:eastAsia="ru-RU"/>
        </w:rPr>
      </w:pPr>
      <w:r w:rsidRPr="0024512C">
        <w:rPr>
          <w:rFonts w:asciiTheme="majorHAnsi" w:hAnsiTheme="majorHAnsi" w:cstheme="majorHAnsi"/>
          <w:sz w:val="24"/>
          <w:szCs w:val="24"/>
          <w:lang w:val="ro-MD" w:eastAsia="ru-RU"/>
        </w:rPr>
        <w:t xml:space="preserve">În scopul recreditării mijloacelor Liniei de credit beneficiarilor finali, MF încheie Acorduri de recreditare cu IFP acreditate de MF/DLC/Creditorul extern pentru participare la Linia de credit în calitate de intermediari financiari eligibili. Ratele DLC pentru IFP nu vor fi mai joase decât rata dobânzii și comisioanele plătite de către MF în favoarea Creditorului extern, plus o marjă operațională și de riscuri de recreditare. </w:t>
      </w:r>
    </w:p>
    <w:p w:rsidR="004927F5" w:rsidRPr="0024512C" w:rsidRDefault="004927F5" w:rsidP="004927F5">
      <w:pPr>
        <w:spacing w:line="276" w:lineRule="auto"/>
        <w:jc w:val="both"/>
        <w:rPr>
          <w:rFonts w:asciiTheme="majorHAnsi" w:hAnsiTheme="majorHAnsi" w:cstheme="majorHAnsi"/>
          <w:sz w:val="24"/>
          <w:szCs w:val="24"/>
          <w:lang w:val="ro-MD" w:eastAsia="ru-RU"/>
        </w:rPr>
      </w:pPr>
      <w:r w:rsidRPr="0024512C">
        <w:rPr>
          <w:rFonts w:asciiTheme="majorHAnsi" w:hAnsiTheme="majorHAnsi" w:cstheme="majorHAnsi"/>
          <w:sz w:val="24"/>
          <w:szCs w:val="24"/>
          <w:lang w:val="ro-MD" w:eastAsia="ru-RU"/>
        </w:rPr>
        <w:t xml:space="preserve">Suma principală totală </w:t>
      </w:r>
      <w:proofErr w:type="spellStart"/>
      <w:r w:rsidRPr="0024512C">
        <w:rPr>
          <w:rFonts w:asciiTheme="majorHAnsi" w:hAnsiTheme="majorHAnsi" w:cstheme="majorHAnsi"/>
          <w:sz w:val="24"/>
          <w:szCs w:val="24"/>
          <w:lang w:val="ro-MD" w:eastAsia="ru-RU"/>
        </w:rPr>
        <w:t>recreditată</w:t>
      </w:r>
      <w:proofErr w:type="spellEnd"/>
      <w:r w:rsidRPr="0024512C">
        <w:rPr>
          <w:rFonts w:asciiTheme="majorHAnsi" w:hAnsiTheme="majorHAnsi" w:cstheme="majorHAnsi"/>
          <w:sz w:val="24"/>
          <w:szCs w:val="24"/>
          <w:lang w:val="ro-MD" w:eastAsia="ru-RU"/>
        </w:rPr>
        <w:t xml:space="preserve"> IFP va fi egală cu suma sub-împrumuturilor acordate de către IFP beneficiarilor finali, care au fost finanțați din resursele Liniei de credit. Valuta </w:t>
      </w:r>
      <w:proofErr w:type="spellStart"/>
      <w:r w:rsidRPr="0024512C">
        <w:rPr>
          <w:rFonts w:asciiTheme="majorHAnsi" w:hAnsiTheme="majorHAnsi" w:cstheme="majorHAnsi"/>
          <w:sz w:val="24"/>
          <w:szCs w:val="24"/>
          <w:lang w:val="ro-MD" w:eastAsia="ru-RU"/>
        </w:rPr>
        <w:t>recreditată</w:t>
      </w:r>
      <w:proofErr w:type="spellEnd"/>
      <w:r w:rsidRPr="0024512C">
        <w:rPr>
          <w:rFonts w:asciiTheme="majorHAnsi" w:hAnsiTheme="majorHAnsi" w:cstheme="majorHAnsi"/>
          <w:sz w:val="24"/>
          <w:szCs w:val="24"/>
          <w:lang w:val="ro-MD" w:eastAsia="ru-RU"/>
        </w:rPr>
        <w:t xml:space="preserve"> către IFP va fi aceeași ca și valuta sub-împrumuturilor acordate de IFP beneficiarilor finali. Totodată, rambursările vor fi în aceeași valută în care sub-împrumuturile au fost debursate. </w:t>
      </w:r>
    </w:p>
    <w:p w:rsidR="004927F5" w:rsidRPr="0024512C" w:rsidRDefault="004927F5" w:rsidP="004927F5">
      <w:pPr>
        <w:spacing w:line="276" w:lineRule="auto"/>
        <w:jc w:val="both"/>
        <w:rPr>
          <w:rFonts w:asciiTheme="majorHAnsi" w:hAnsiTheme="majorHAnsi" w:cstheme="majorHAnsi"/>
          <w:sz w:val="24"/>
          <w:szCs w:val="24"/>
          <w:lang w:val="ro-MD" w:eastAsia="ru-RU"/>
        </w:rPr>
      </w:pPr>
      <w:r w:rsidRPr="0024512C">
        <w:rPr>
          <w:rFonts w:asciiTheme="majorHAnsi" w:hAnsiTheme="majorHAnsi" w:cstheme="majorHAnsi"/>
          <w:sz w:val="24"/>
          <w:szCs w:val="24"/>
          <w:lang w:val="ro-MD" w:eastAsia="ru-RU"/>
        </w:rPr>
        <w:t>Beneficiarii finali prezintă către IFP cereri de finanțare a sub-proiectelor lor, care își asumă toate riscurile de creditare</w:t>
      </w:r>
      <w:r w:rsidR="002073D8" w:rsidRPr="0024512C">
        <w:rPr>
          <w:rFonts w:asciiTheme="majorHAnsi" w:hAnsiTheme="majorHAnsi" w:cstheme="majorHAnsi"/>
          <w:sz w:val="24"/>
          <w:szCs w:val="24"/>
          <w:lang w:val="ro-MD" w:eastAsia="ru-RU"/>
        </w:rPr>
        <w:t>,</w:t>
      </w:r>
      <w:r w:rsidRPr="0024512C">
        <w:rPr>
          <w:rFonts w:asciiTheme="majorHAnsi" w:hAnsiTheme="majorHAnsi" w:cstheme="majorHAnsi"/>
          <w:sz w:val="24"/>
          <w:szCs w:val="24"/>
          <w:lang w:val="ro-MD" w:eastAsia="ru-RU"/>
        </w:rPr>
        <w:t xml:space="preserve"> prin analiza creditară și aprobarea sub-proiectelor. Selectarea și evaluarea sub-proiectelor eligibile ține de responsabilitatea IFP, dar este necesară și o aprobare suplimentară din partea DLC. După aprobarea sub-proiectului de către DLC, IFP poate să deburseze fondurile respective. După obținerea finanțării, IFP va confirma imediat în scris DLC data de creditare a conturilor IFP și sumele primite. Ratele dobânzii, marjele la dobândă, comisioanele aplicabile finanțării se examinează și se ajustează de către Consiliul DLC. DLC informează IFP despre modificările survenite imediat după stabilirea acestora. IFP urmează să efectueze toate plățile de deservire a sub-împrumutului către DLC indiferent de rambursările parvenite la IFP de la beneficiari. </w:t>
      </w:r>
    </w:p>
    <w:p w:rsidR="004927F5" w:rsidRPr="00321F59" w:rsidRDefault="004927F5" w:rsidP="004927F5">
      <w:pPr>
        <w:spacing w:line="276" w:lineRule="auto"/>
        <w:jc w:val="both"/>
        <w:rPr>
          <w:rFonts w:asciiTheme="majorHAnsi" w:hAnsiTheme="majorHAnsi" w:cstheme="majorHAnsi"/>
          <w:sz w:val="24"/>
          <w:szCs w:val="24"/>
          <w:lang w:val="ro-MD" w:eastAsia="ru-RU"/>
        </w:rPr>
      </w:pPr>
      <w:r w:rsidRPr="00321F59">
        <w:rPr>
          <w:rFonts w:asciiTheme="majorHAnsi" w:hAnsiTheme="majorHAnsi" w:cstheme="majorHAnsi"/>
          <w:sz w:val="24"/>
          <w:szCs w:val="24"/>
          <w:lang w:val="ro-MD"/>
          <w14:glow w14:rad="0">
            <w14:schemeClr w14:val="tx1"/>
          </w14:glow>
        </w:rPr>
        <w:t xml:space="preserve">Pentru evidența împrumuturilor </w:t>
      </w:r>
      <w:proofErr w:type="spellStart"/>
      <w:r w:rsidRPr="00321F59">
        <w:rPr>
          <w:rFonts w:asciiTheme="majorHAnsi" w:hAnsiTheme="majorHAnsi" w:cstheme="majorHAnsi"/>
          <w:sz w:val="24"/>
          <w:szCs w:val="24"/>
          <w:lang w:val="ro-MD"/>
          <w14:glow w14:rad="0">
            <w14:schemeClr w14:val="tx1"/>
          </w14:glow>
        </w:rPr>
        <w:t>recreditate</w:t>
      </w:r>
      <w:proofErr w:type="spellEnd"/>
      <w:r w:rsidRPr="00321F59">
        <w:rPr>
          <w:rFonts w:asciiTheme="majorHAnsi" w:hAnsiTheme="majorHAnsi" w:cstheme="majorHAnsi"/>
          <w:sz w:val="24"/>
          <w:szCs w:val="24"/>
          <w:lang w:val="ro-MD"/>
          <w14:glow w14:rad="0">
            <w14:schemeClr w14:val="tx1"/>
          </w14:glow>
        </w:rPr>
        <w:t>, cu distribuirea pe linii de credit și IFP debitoare, urmărirea respectării plăților de către IFP conform graficelor de rambursare pentru fiecare sub-proiect, calculul dobânzilor și generarea rapoartelor privind finanțarea IFP</w:t>
      </w:r>
      <w:r w:rsidR="002073D8" w:rsidRPr="00321F59">
        <w:rPr>
          <w:rFonts w:asciiTheme="majorHAnsi" w:hAnsiTheme="majorHAnsi" w:cstheme="majorHAnsi"/>
          <w:sz w:val="24"/>
          <w:szCs w:val="24"/>
          <w:lang w:val="ro-MD"/>
          <w14:glow w14:rad="0">
            <w14:schemeClr w14:val="tx1"/>
          </w14:glow>
        </w:rPr>
        <w:t>,</w:t>
      </w:r>
      <w:r w:rsidRPr="00321F59">
        <w:rPr>
          <w:rFonts w:asciiTheme="majorHAnsi" w:hAnsiTheme="majorHAnsi" w:cstheme="majorHAnsi"/>
          <w:sz w:val="24"/>
          <w:szCs w:val="24"/>
          <w:lang w:val="ro-MD"/>
          <w14:glow w14:rad="0">
            <w14:schemeClr w14:val="tx1"/>
          </w14:glow>
        </w:rPr>
        <w:t xml:space="preserve"> se folosește Sistemul Informațional EVIDA, care a fost elaborat</w:t>
      </w:r>
      <w:r w:rsidR="002073D8" w:rsidRPr="00321F59">
        <w:rPr>
          <w:rFonts w:asciiTheme="majorHAnsi" w:hAnsiTheme="majorHAnsi" w:cstheme="majorHAnsi"/>
          <w:sz w:val="24"/>
          <w:szCs w:val="24"/>
          <w:lang w:val="ro-MD"/>
          <w14:glow w14:rad="0">
            <w14:schemeClr w14:val="tx1"/>
          </w14:glow>
        </w:rPr>
        <w:t xml:space="preserve"> inițial</w:t>
      </w:r>
      <w:r w:rsidRPr="00321F59">
        <w:rPr>
          <w:rFonts w:asciiTheme="majorHAnsi" w:hAnsiTheme="majorHAnsi" w:cstheme="majorHAnsi"/>
          <w:sz w:val="24"/>
          <w:szCs w:val="24"/>
          <w:lang w:val="ro-MD"/>
          <w14:glow w14:rad="0">
            <w14:schemeClr w14:val="tx1"/>
          </w14:glow>
        </w:rPr>
        <w:t xml:space="preserve"> în cadrul Corporației de Finanțare Rurală. Pentru automatizarea evidenței împrumuturilor </w:t>
      </w:r>
      <w:proofErr w:type="spellStart"/>
      <w:r w:rsidRPr="00321F59">
        <w:rPr>
          <w:rFonts w:asciiTheme="majorHAnsi" w:hAnsiTheme="majorHAnsi" w:cstheme="majorHAnsi"/>
          <w:sz w:val="24"/>
          <w:szCs w:val="24"/>
          <w:lang w:val="ro-MD"/>
          <w14:glow w14:rad="0">
            <w14:schemeClr w14:val="tx1"/>
          </w14:glow>
        </w:rPr>
        <w:t>recreditate</w:t>
      </w:r>
      <w:proofErr w:type="spellEnd"/>
      <w:r w:rsidR="00A56FDD" w:rsidRPr="00321F59">
        <w:rPr>
          <w:rFonts w:asciiTheme="majorHAnsi" w:hAnsiTheme="majorHAnsi" w:cstheme="majorHAnsi"/>
          <w:sz w:val="24"/>
          <w:szCs w:val="24"/>
          <w:lang w:val="ro-MD"/>
          <w14:glow w14:rad="0">
            <w14:schemeClr w14:val="tx1"/>
          </w14:glow>
        </w:rPr>
        <w:t>,</w:t>
      </w:r>
      <w:r w:rsidRPr="00321F59">
        <w:rPr>
          <w:rFonts w:asciiTheme="majorHAnsi" w:hAnsiTheme="majorHAnsi" w:cstheme="majorHAnsi"/>
          <w:sz w:val="24"/>
          <w:szCs w:val="24"/>
          <w:lang w:val="ro-MD"/>
          <w14:glow w14:rad="0">
            <w14:schemeClr w14:val="tx1"/>
          </w14:glow>
        </w:rPr>
        <w:t xml:space="preserve"> în prezent se implementează și se ajustează la cerințele DLC sistemul 1C: Contabilitatea 8. </w:t>
      </w:r>
    </w:p>
    <w:p w:rsidR="0034758C" w:rsidRPr="0024512C" w:rsidRDefault="004927F5" w:rsidP="0034758C">
      <w:pPr>
        <w:spacing w:line="276" w:lineRule="auto"/>
        <w:jc w:val="both"/>
        <w:rPr>
          <w:rFonts w:asciiTheme="majorHAnsi" w:hAnsiTheme="majorHAnsi" w:cstheme="majorHAnsi"/>
          <w:sz w:val="24"/>
          <w:szCs w:val="24"/>
          <w:lang w:val="ro-MD" w:eastAsia="ru-RU"/>
        </w:rPr>
      </w:pPr>
      <w:r w:rsidRPr="0024512C">
        <w:rPr>
          <w:rFonts w:asciiTheme="majorHAnsi" w:hAnsiTheme="majorHAnsi" w:cstheme="majorHAnsi"/>
          <w:sz w:val="24"/>
          <w:szCs w:val="24"/>
          <w:lang w:val="ro-MD" w:eastAsia="ru-RU"/>
        </w:rPr>
        <w:t>Sub-împrumuturile acordate în cadrul Liniei de credit sunt supuse e</w:t>
      </w:r>
      <w:r w:rsidR="00EC08E7" w:rsidRPr="0024512C">
        <w:rPr>
          <w:rFonts w:asciiTheme="majorHAnsi" w:hAnsiTheme="majorHAnsi" w:cstheme="majorHAnsi"/>
          <w:sz w:val="24"/>
          <w:szCs w:val="24"/>
          <w:lang w:val="ro-MD" w:eastAsia="ru-RU"/>
        </w:rPr>
        <w:t>xaminării și monitorizării post-</w:t>
      </w:r>
      <w:r w:rsidRPr="005C74F5">
        <w:rPr>
          <w:rFonts w:asciiTheme="majorHAnsi" w:hAnsiTheme="majorHAnsi" w:cstheme="majorHAnsi"/>
          <w:sz w:val="24"/>
          <w:szCs w:val="24"/>
          <w:lang w:val="ro-MD" w:eastAsia="ru-RU"/>
        </w:rPr>
        <w:t>debursare. Dacă este necesar, MF/DLC</w:t>
      </w:r>
      <w:r w:rsidR="002073D8" w:rsidRPr="005C74F5">
        <w:rPr>
          <w:rFonts w:asciiTheme="majorHAnsi" w:hAnsiTheme="majorHAnsi" w:cstheme="majorHAnsi"/>
          <w:sz w:val="24"/>
          <w:szCs w:val="24"/>
          <w:lang w:val="ro-MD" w:eastAsia="ru-RU"/>
        </w:rPr>
        <w:t>/</w:t>
      </w:r>
      <w:r w:rsidRPr="0024512C">
        <w:rPr>
          <w:rFonts w:asciiTheme="majorHAnsi" w:hAnsiTheme="majorHAnsi" w:cstheme="majorHAnsi"/>
          <w:sz w:val="24"/>
          <w:szCs w:val="24"/>
          <w:lang w:val="ro-MD" w:eastAsia="ru-RU"/>
        </w:rPr>
        <w:t>creditorul extern po</w:t>
      </w:r>
      <w:r w:rsidR="002073D8" w:rsidRPr="0024512C">
        <w:rPr>
          <w:rFonts w:asciiTheme="majorHAnsi" w:hAnsiTheme="majorHAnsi" w:cstheme="majorHAnsi"/>
          <w:sz w:val="24"/>
          <w:szCs w:val="24"/>
          <w:lang w:val="ro-MD" w:eastAsia="ru-RU"/>
        </w:rPr>
        <w:t>a</w:t>
      </w:r>
      <w:r w:rsidRPr="0024512C">
        <w:rPr>
          <w:rFonts w:asciiTheme="majorHAnsi" w:hAnsiTheme="majorHAnsi" w:cstheme="majorHAnsi"/>
          <w:sz w:val="24"/>
          <w:szCs w:val="24"/>
          <w:lang w:val="ro-MD" w:eastAsia="ru-RU"/>
        </w:rPr>
        <w:t>t</w:t>
      </w:r>
      <w:r w:rsidR="002073D8" w:rsidRPr="0024512C">
        <w:rPr>
          <w:rFonts w:asciiTheme="majorHAnsi" w:hAnsiTheme="majorHAnsi" w:cstheme="majorHAnsi"/>
          <w:sz w:val="24"/>
          <w:szCs w:val="24"/>
          <w:lang w:val="ro-MD" w:eastAsia="ru-RU"/>
        </w:rPr>
        <w:t>e</w:t>
      </w:r>
      <w:r w:rsidRPr="0024512C">
        <w:rPr>
          <w:rFonts w:asciiTheme="majorHAnsi" w:hAnsiTheme="majorHAnsi" w:cstheme="majorHAnsi"/>
          <w:sz w:val="24"/>
          <w:szCs w:val="24"/>
          <w:lang w:val="ro-MD" w:eastAsia="ru-RU"/>
        </w:rPr>
        <w:t xml:space="preserve"> trimite reprezentanții </w:t>
      </w:r>
      <w:r w:rsidR="002073D8" w:rsidRPr="0024512C">
        <w:rPr>
          <w:rFonts w:asciiTheme="majorHAnsi" w:hAnsiTheme="majorHAnsi" w:cstheme="majorHAnsi"/>
          <w:sz w:val="24"/>
          <w:szCs w:val="24"/>
          <w:lang w:val="ro-MD" w:eastAsia="ru-RU"/>
        </w:rPr>
        <w:t xml:space="preserve">săi </w:t>
      </w:r>
      <w:r w:rsidRPr="0024512C">
        <w:rPr>
          <w:rFonts w:asciiTheme="majorHAnsi" w:hAnsiTheme="majorHAnsi" w:cstheme="majorHAnsi"/>
          <w:sz w:val="24"/>
          <w:szCs w:val="24"/>
          <w:lang w:val="ro-MD" w:eastAsia="ru-RU"/>
        </w:rPr>
        <w:t>în orice moment pentru a efectua o revizuire pe loc</w:t>
      </w:r>
      <w:r w:rsidR="002073D8" w:rsidRPr="0024512C">
        <w:rPr>
          <w:rFonts w:asciiTheme="majorHAnsi" w:hAnsiTheme="majorHAnsi" w:cstheme="majorHAnsi"/>
          <w:sz w:val="24"/>
          <w:szCs w:val="24"/>
          <w:lang w:val="ro-MD" w:eastAsia="ru-RU"/>
        </w:rPr>
        <w:t>,</w:t>
      </w:r>
      <w:r w:rsidRPr="0024512C">
        <w:rPr>
          <w:rFonts w:asciiTheme="majorHAnsi" w:hAnsiTheme="majorHAnsi" w:cstheme="majorHAnsi"/>
          <w:sz w:val="24"/>
          <w:szCs w:val="24"/>
          <w:lang w:val="ro-MD" w:eastAsia="ru-RU"/>
        </w:rPr>
        <w:t xml:space="preserve"> </w:t>
      </w:r>
      <w:r w:rsidR="00EC08E7" w:rsidRPr="0024512C">
        <w:rPr>
          <w:rFonts w:asciiTheme="majorHAnsi" w:hAnsiTheme="majorHAnsi" w:cstheme="majorHAnsi"/>
          <w:sz w:val="24"/>
          <w:szCs w:val="24"/>
          <w:lang w:val="ro-MD" w:eastAsia="ru-RU"/>
        </w:rPr>
        <w:t>în scopul verificării</w:t>
      </w:r>
      <w:r w:rsidRPr="0024512C">
        <w:rPr>
          <w:rFonts w:asciiTheme="majorHAnsi" w:hAnsiTheme="majorHAnsi" w:cstheme="majorHAnsi"/>
          <w:sz w:val="24"/>
          <w:szCs w:val="24"/>
          <w:lang w:val="ro-MD" w:eastAsia="ru-RU"/>
        </w:rPr>
        <w:t xml:space="preserve"> dacă implementarea sub-</w:t>
      </w:r>
      <w:r w:rsidRPr="0024512C">
        <w:rPr>
          <w:rFonts w:asciiTheme="majorHAnsi" w:hAnsiTheme="majorHAnsi" w:cstheme="majorHAnsi"/>
          <w:sz w:val="24"/>
          <w:szCs w:val="24"/>
          <w:lang w:val="ro-MD" w:eastAsia="ru-RU"/>
        </w:rPr>
        <w:lastRenderedPageBreak/>
        <w:t>împrumutului finanțat este în conformitate cu Acord</w:t>
      </w:r>
      <w:r w:rsidR="00EC08E7" w:rsidRPr="0024512C">
        <w:rPr>
          <w:rFonts w:asciiTheme="majorHAnsi" w:hAnsiTheme="majorHAnsi" w:cstheme="majorHAnsi"/>
          <w:sz w:val="24"/>
          <w:szCs w:val="24"/>
          <w:lang w:val="ro-MD" w:eastAsia="ru-RU"/>
        </w:rPr>
        <w:t>ul de recreditare</w:t>
      </w:r>
      <w:r w:rsidR="002073D8" w:rsidRPr="0024512C">
        <w:rPr>
          <w:rFonts w:asciiTheme="majorHAnsi" w:hAnsiTheme="majorHAnsi" w:cstheme="majorHAnsi"/>
          <w:sz w:val="24"/>
          <w:szCs w:val="24"/>
          <w:lang w:val="ro-MD" w:eastAsia="ru-RU"/>
        </w:rPr>
        <w:t>,</w:t>
      </w:r>
      <w:r w:rsidR="00EC08E7" w:rsidRPr="0024512C">
        <w:rPr>
          <w:rFonts w:asciiTheme="majorHAnsi" w:hAnsiTheme="majorHAnsi" w:cstheme="majorHAnsi"/>
          <w:sz w:val="24"/>
          <w:szCs w:val="24"/>
          <w:lang w:val="ro-MD" w:eastAsia="ru-RU"/>
        </w:rPr>
        <w:t xml:space="preserve"> cu termenele</w:t>
      </w:r>
      <w:r w:rsidRPr="0024512C">
        <w:rPr>
          <w:rFonts w:asciiTheme="majorHAnsi" w:hAnsiTheme="majorHAnsi" w:cstheme="majorHAnsi"/>
          <w:sz w:val="24"/>
          <w:szCs w:val="24"/>
          <w:lang w:val="ro-MD" w:eastAsia="ru-RU"/>
        </w:rPr>
        <w:t xml:space="preserve"> și condițiile p</w:t>
      </w:r>
      <w:r w:rsidR="0034758C" w:rsidRPr="0024512C">
        <w:rPr>
          <w:rFonts w:asciiTheme="majorHAnsi" w:hAnsiTheme="majorHAnsi" w:cstheme="majorHAnsi"/>
          <w:sz w:val="24"/>
          <w:szCs w:val="24"/>
          <w:lang w:val="ro-MD" w:eastAsia="ru-RU"/>
        </w:rPr>
        <w:t>entru sub-împrumuturi.</w:t>
      </w:r>
    </w:p>
    <w:p w:rsidR="005F1573" w:rsidRPr="0024512C" w:rsidRDefault="004927F5" w:rsidP="0034758C">
      <w:pPr>
        <w:spacing w:line="276" w:lineRule="auto"/>
        <w:jc w:val="both"/>
        <w:rPr>
          <w:rFonts w:asciiTheme="majorHAnsi" w:hAnsiTheme="majorHAnsi" w:cstheme="majorHAnsi"/>
          <w:sz w:val="24"/>
          <w:szCs w:val="24"/>
          <w:lang w:val="ro-MD" w:eastAsia="ru-RU"/>
        </w:rPr>
      </w:pPr>
      <w:r w:rsidRPr="0024512C">
        <w:rPr>
          <w:rFonts w:asciiTheme="majorHAnsi" w:hAnsiTheme="majorHAnsi" w:cstheme="majorHAnsi"/>
          <w:sz w:val="24"/>
          <w:szCs w:val="24"/>
          <w:lang w:val="ro-MD" w:eastAsia="ru-RU"/>
        </w:rPr>
        <w:t>Ulterior, în baza plăților încasate de la IFP, DLC efectuează transferurile de mijloace necesare MF pentru acoperirea cheltuielilor privind sumele principale și dobânzile</w:t>
      </w:r>
      <w:r w:rsidR="00CB0FC0" w:rsidRPr="0024512C">
        <w:rPr>
          <w:rFonts w:asciiTheme="majorHAnsi" w:hAnsiTheme="majorHAnsi" w:cstheme="majorHAnsi"/>
          <w:sz w:val="24"/>
          <w:szCs w:val="24"/>
          <w:lang w:val="ro-MD" w:eastAsia="ru-RU"/>
        </w:rPr>
        <w:t xml:space="preserve"> datorate creditorilor externi.</w:t>
      </w:r>
    </w:p>
    <w:p w:rsidR="00423ECB" w:rsidRPr="0024512C" w:rsidRDefault="004E5FC0" w:rsidP="00DB680B">
      <w:pPr>
        <w:pStyle w:val="ListParagraph"/>
        <w:numPr>
          <w:ilvl w:val="2"/>
          <w:numId w:val="2"/>
        </w:numPr>
        <w:spacing w:line="276" w:lineRule="auto"/>
        <w:ind w:left="0" w:firstLine="0"/>
        <w:jc w:val="both"/>
        <w:outlineLvl w:val="2"/>
        <w:rPr>
          <w:rFonts w:asciiTheme="majorHAnsi" w:hAnsiTheme="majorHAnsi" w:cstheme="majorHAnsi"/>
          <w:b/>
          <w:i/>
          <w:color w:val="5B9BD5" w:themeColor="accent1"/>
          <w:sz w:val="24"/>
          <w:szCs w:val="24"/>
          <w:lang w:val="ro-MD" w:eastAsia="ru-RU"/>
        </w:rPr>
      </w:pPr>
      <w:bookmarkStart w:id="11" w:name="_Toc47009711"/>
      <w:r w:rsidRPr="0024512C">
        <w:rPr>
          <w:rFonts w:asciiTheme="majorHAnsi" w:hAnsiTheme="majorHAnsi" w:cstheme="majorHAnsi"/>
          <w:b/>
          <w:i/>
          <w:color w:val="5B9BD5" w:themeColor="accent1"/>
          <w:sz w:val="24"/>
          <w:szCs w:val="24"/>
          <w:lang w:val="ro-MD" w:eastAsia="ru-RU"/>
        </w:rPr>
        <w:t>Evaluarea și monitorizarea continuă a IFP selectate</w:t>
      </w:r>
      <w:r w:rsidR="00423ECB" w:rsidRPr="0024512C">
        <w:rPr>
          <w:rFonts w:asciiTheme="majorHAnsi" w:hAnsiTheme="majorHAnsi" w:cstheme="majorHAnsi"/>
          <w:b/>
          <w:i/>
          <w:color w:val="5B9BD5" w:themeColor="accent1"/>
          <w:sz w:val="24"/>
          <w:szCs w:val="24"/>
          <w:lang w:val="ro-MD" w:eastAsia="ru-RU"/>
        </w:rPr>
        <w:t xml:space="preserve"> </w:t>
      </w:r>
      <w:r w:rsidRPr="0024512C">
        <w:rPr>
          <w:rFonts w:asciiTheme="majorHAnsi" w:hAnsiTheme="majorHAnsi" w:cstheme="majorHAnsi"/>
          <w:b/>
          <w:i/>
          <w:color w:val="5B9BD5" w:themeColor="accent1"/>
          <w:sz w:val="24"/>
          <w:szCs w:val="24"/>
          <w:lang w:val="ro-MD" w:eastAsia="ru-RU"/>
        </w:rPr>
        <w:t>pentru intermedierea P</w:t>
      </w:r>
      <w:r w:rsidR="00423ECB" w:rsidRPr="0024512C">
        <w:rPr>
          <w:rFonts w:asciiTheme="majorHAnsi" w:hAnsiTheme="majorHAnsi" w:cstheme="majorHAnsi"/>
          <w:b/>
          <w:i/>
          <w:color w:val="5B9BD5" w:themeColor="accent1"/>
          <w:sz w:val="24"/>
          <w:szCs w:val="24"/>
          <w:lang w:val="ro-MD" w:eastAsia="ru-RU"/>
        </w:rPr>
        <w:t>roiectelor</w:t>
      </w:r>
      <w:r w:rsidRPr="0024512C">
        <w:rPr>
          <w:rFonts w:asciiTheme="majorHAnsi" w:hAnsiTheme="majorHAnsi" w:cstheme="majorHAnsi"/>
          <w:b/>
          <w:i/>
          <w:color w:val="5B9BD5" w:themeColor="accent1"/>
          <w:sz w:val="24"/>
          <w:szCs w:val="24"/>
          <w:lang w:val="ro-MD" w:eastAsia="ru-RU"/>
        </w:rPr>
        <w:t xml:space="preserve"> permite întreprinderea măsurilor prompte de către DLC în vederea neadmiterii formării datoriilor cu termen de achitare expirat</w:t>
      </w:r>
      <w:bookmarkEnd w:id="11"/>
      <w:r w:rsidR="00423ECB" w:rsidRPr="0024512C">
        <w:rPr>
          <w:rFonts w:asciiTheme="majorHAnsi" w:hAnsiTheme="majorHAnsi" w:cstheme="majorHAnsi"/>
          <w:b/>
          <w:i/>
          <w:color w:val="5B9BD5" w:themeColor="accent1"/>
          <w:sz w:val="24"/>
          <w:szCs w:val="24"/>
          <w:lang w:val="ro-MD" w:eastAsia="ru-RU"/>
        </w:rPr>
        <w:t xml:space="preserve"> </w:t>
      </w:r>
    </w:p>
    <w:p w:rsidR="008C689B" w:rsidRPr="0024512C" w:rsidRDefault="008C689B" w:rsidP="00DB680B">
      <w:pPr>
        <w:spacing w:line="276" w:lineRule="auto"/>
        <w:jc w:val="both"/>
        <w:rPr>
          <w:rFonts w:asciiTheme="majorHAnsi" w:hAnsiTheme="majorHAnsi" w:cstheme="majorHAnsi"/>
          <w:sz w:val="24"/>
          <w:szCs w:val="24"/>
          <w:lang w:val="ro-MD" w:eastAsia="ru-RU"/>
        </w:rPr>
      </w:pPr>
      <w:r w:rsidRPr="0024512C">
        <w:rPr>
          <w:rFonts w:asciiTheme="majorHAnsi" w:hAnsiTheme="majorHAnsi" w:cstheme="majorHAnsi"/>
          <w:sz w:val="24"/>
          <w:szCs w:val="24"/>
          <w:lang w:val="ro-MD" w:eastAsia="ru-RU"/>
        </w:rPr>
        <w:t xml:space="preserve">Una dintre funcțiile principale ale DLC este selectarea și desemnarea băncilor comerciale și altor instituții financiare ca IFP la derularea proiectelor și monitorizarea continuă a stării financiare și a dreptului lor la intermedierea resurselor liniilor de credit în conformitate cu cerințele stabilite. </w:t>
      </w:r>
    </w:p>
    <w:p w:rsidR="00163FE8" w:rsidRPr="0024512C" w:rsidRDefault="00163FE8" w:rsidP="00C15C23">
      <w:pPr>
        <w:spacing w:line="276" w:lineRule="auto"/>
        <w:jc w:val="both"/>
        <w:rPr>
          <w:rFonts w:asciiTheme="majorHAnsi" w:hAnsiTheme="majorHAnsi" w:cstheme="majorHAnsi"/>
          <w:sz w:val="24"/>
          <w:szCs w:val="24"/>
          <w:lang w:val="ro-MD" w:eastAsia="ru-RU"/>
        </w:rPr>
      </w:pPr>
      <w:r w:rsidRPr="0024512C">
        <w:rPr>
          <w:rFonts w:asciiTheme="majorHAnsi" w:hAnsiTheme="majorHAnsi" w:cstheme="majorHAnsi"/>
          <w:sz w:val="24"/>
          <w:szCs w:val="24"/>
          <w:lang w:val="ro-MD" w:eastAsia="ru-RU"/>
        </w:rPr>
        <w:t>Astfel, în vederea îndeplinirii funcțiilor stabilite, precum și în scopul dirijării riscurilor și informării MF, Consiliul</w:t>
      </w:r>
      <w:r w:rsidR="006B16F5" w:rsidRPr="0024512C">
        <w:rPr>
          <w:rFonts w:asciiTheme="majorHAnsi" w:hAnsiTheme="majorHAnsi" w:cstheme="majorHAnsi"/>
          <w:sz w:val="24"/>
          <w:szCs w:val="24"/>
          <w:lang w:val="ro-MD" w:eastAsia="ru-RU"/>
        </w:rPr>
        <w:t>ui</w:t>
      </w:r>
      <w:r w:rsidRPr="0024512C">
        <w:rPr>
          <w:rFonts w:asciiTheme="majorHAnsi" w:hAnsiTheme="majorHAnsi" w:cstheme="majorHAnsi"/>
          <w:sz w:val="24"/>
          <w:szCs w:val="24"/>
          <w:lang w:val="ro-MD" w:eastAsia="ru-RU"/>
        </w:rPr>
        <w:t xml:space="preserve"> DLC și creditori</w:t>
      </w:r>
      <w:r w:rsidR="006B16F5" w:rsidRPr="0024512C">
        <w:rPr>
          <w:rFonts w:asciiTheme="majorHAnsi" w:hAnsiTheme="majorHAnsi" w:cstheme="majorHAnsi"/>
          <w:sz w:val="24"/>
          <w:szCs w:val="24"/>
          <w:lang w:val="ro-MD" w:eastAsia="ru-RU"/>
        </w:rPr>
        <w:t>lor</w:t>
      </w:r>
      <w:r w:rsidRPr="0024512C">
        <w:rPr>
          <w:rFonts w:asciiTheme="majorHAnsi" w:hAnsiTheme="majorHAnsi" w:cstheme="majorHAnsi"/>
          <w:sz w:val="24"/>
          <w:szCs w:val="24"/>
          <w:lang w:val="ro-MD" w:eastAsia="ru-RU"/>
        </w:rPr>
        <w:t xml:space="preserve"> externi referitor la riscurile legate de recreditarea împrumuturilor de stat externe prin intermediul IFP, conform acordurilor de împrumut subsidiar încheiate cu IFP</w:t>
      </w:r>
      <w:r w:rsidR="00522C44" w:rsidRPr="0024512C">
        <w:rPr>
          <w:rFonts w:asciiTheme="majorHAnsi" w:hAnsiTheme="majorHAnsi" w:cstheme="majorHAnsi"/>
          <w:sz w:val="24"/>
          <w:szCs w:val="24"/>
          <w:lang w:val="ro-MD" w:eastAsia="ru-RU"/>
        </w:rPr>
        <w:t>,</w:t>
      </w:r>
      <w:r w:rsidR="00EC08E7" w:rsidRPr="0024512C">
        <w:rPr>
          <w:rFonts w:asciiTheme="majorHAnsi" w:hAnsiTheme="majorHAnsi" w:cstheme="majorHAnsi"/>
          <w:sz w:val="24"/>
          <w:szCs w:val="24"/>
          <w:lang w:val="ro-MD" w:eastAsia="ru-RU"/>
        </w:rPr>
        <w:t xml:space="preserve"> </w:t>
      </w:r>
      <w:r w:rsidRPr="0024512C">
        <w:rPr>
          <w:rFonts w:asciiTheme="majorHAnsi" w:hAnsiTheme="majorHAnsi" w:cstheme="majorHAnsi"/>
          <w:sz w:val="24"/>
          <w:szCs w:val="24"/>
          <w:lang w:val="ro-MD" w:eastAsia="ru-RU"/>
        </w:rPr>
        <w:t xml:space="preserve">DLC efectuează monitorizarea permanentă a </w:t>
      </w:r>
      <w:r w:rsidR="002A6A73" w:rsidRPr="0024512C">
        <w:rPr>
          <w:rFonts w:asciiTheme="majorHAnsi" w:hAnsiTheme="majorHAnsi" w:cstheme="majorHAnsi"/>
          <w:sz w:val="24"/>
          <w:szCs w:val="24"/>
          <w:lang w:val="ro-MD" w:eastAsia="ru-RU"/>
        </w:rPr>
        <w:t>acestora</w:t>
      </w:r>
      <w:r w:rsidR="006B16F5" w:rsidRPr="0024512C">
        <w:rPr>
          <w:rFonts w:asciiTheme="majorHAnsi" w:hAnsiTheme="majorHAnsi" w:cstheme="majorHAnsi"/>
          <w:sz w:val="24"/>
          <w:szCs w:val="24"/>
          <w:lang w:val="ro-MD" w:eastAsia="ru-RU"/>
        </w:rPr>
        <w:t>,</w:t>
      </w:r>
      <w:r w:rsidRPr="0024512C">
        <w:rPr>
          <w:rFonts w:asciiTheme="majorHAnsi" w:hAnsiTheme="majorHAnsi" w:cstheme="majorHAnsi"/>
          <w:sz w:val="24"/>
          <w:szCs w:val="24"/>
          <w:lang w:val="ro-MD" w:eastAsia="ru-RU"/>
        </w:rPr>
        <w:t xml:space="preserve"> precu</w:t>
      </w:r>
      <w:r w:rsidR="002A6A73" w:rsidRPr="0024512C">
        <w:rPr>
          <w:rFonts w:asciiTheme="majorHAnsi" w:hAnsiTheme="majorHAnsi" w:cstheme="majorHAnsi"/>
          <w:sz w:val="24"/>
          <w:szCs w:val="24"/>
          <w:lang w:val="ro-MD" w:eastAsia="ru-RU"/>
        </w:rPr>
        <w:t>m și verificarea corespunderii</w:t>
      </w:r>
      <w:r w:rsidRPr="0024512C">
        <w:rPr>
          <w:rFonts w:asciiTheme="majorHAnsi" w:hAnsiTheme="majorHAnsi" w:cstheme="majorHAnsi"/>
          <w:sz w:val="24"/>
          <w:szCs w:val="24"/>
          <w:lang w:val="ro-MD" w:eastAsia="ru-RU"/>
        </w:rPr>
        <w:t xml:space="preserve"> criteriilor de eligibilitate stabilite în baza cerințelor creditorilor externi pentru fiecare Proiect investițional. </w:t>
      </w:r>
    </w:p>
    <w:p w:rsidR="00163FE8" w:rsidRPr="0024512C" w:rsidRDefault="008E7363" w:rsidP="00C15C23">
      <w:pPr>
        <w:spacing w:line="276" w:lineRule="auto"/>
        <w:jc w:val="both"/>
        <w:rPr>
          <w:rFonts w:asciiTheme="majorHAnsi" w:hAnsiTheme="majorHAnsi" w:cstheme="majorHAnsi"/>
          <w:sz w:val="24"/>
          <w:szCs w:val="24"/>
          <w:lang w:val="ro-MD" w:eastAsia="ru-RU"/>
        </w:rPr>
      </w:pPr>
      <w:r w:rsidRPr="0024512C">
        <w:rPr>
          <w:rFonts w:asciiTheme="majorHAnsi" w:hAnsiTheme="majorHAnsi" w:cstheme="majorHAnsi"/>
          <w:sz w:val="24"/>
          <w:szCs w:val="24"/>
          <w:lang w:val="ro-MD" w:eastAsia="ru-RU"/>
        </w:rPr>
        <w:t>Pentru a</w:t>
      </w:r>
      <w:r w:rsidR="00EC08E7" w:rsidRPr="0024512C">
        <w:rPr>
          <w:rFonts w:asciiTheme="majorHAnsi" w:hAnsiTheme="majorHAnsi" w:cstheme="majorHAnsi"/>
          <w:sz w:val="24"/>
          <w:szCs w:val="24"/>
          <w:lang w:val="ro-MD" w:eastAsia="ru-RU"/>
        </w:rPr>
        <w:t>cea</w:t>
      </w:r>
      <w:r w:rsidRPr="0024512C">
        <w:rPr>
          <w:rFonts w:asciiTheme="majorHAnsi" w:hAnsiTheme="majorHAnsi" w:cstheme="majorHAnsi"/>
          <w:sz w:val="24"/>
          <w:szCs w:val="24"/>
          <w:lang w:val="ro-MD" w:eastAsia="ru-RU"/>
        </w:rPr>
        <w:t xml:space="preserve">sta, </w:t>
      </w:r>
      <w:r w:rsidR="00163FE8" w:rsidRPr="0024512C">
        <w:rPr>
          <w:rFonts w:asciiTheme="majorHAnsi" w:hAnsiTheme="majorHAnsi" w:cstheme="majorHAnsi"/>
          <w:sz w:val="24"/>
          <w:szCs w:val="24"/>
          <w:lang w:val="ro-MD" w:eastAsia="ru-RU"/>
        </w:rPr>
        <w:t xml:space="preserve">DLC </w:t>
      </w:r>
      <w:r w:rsidR="00EC08E7" w:rsidRPr="0024512C">
        <w:rPr>
          <w:rFonts w:asciiTheme="majorHAnsi" w:hAnsiTheme="majorHAnsi" w:cstheme="majorHAnsi"/>
          <w:sz w:val="24"/>
          <w:szCs w:val="24"/>
          <w:lang w:val="ro-MD" w:eastAsia="ru-RU"/>
        </w:rPr>
        <w:t>solicită,</w:t>
      </w:r>
      <w:r w:rsidR="00095134" w:rsidRPr="0024512C">
        <w:rPr>
          <w:rFonts w:asciiTheme="majorHAnsi" w:hAnsiTheme="majorHAnsi" w:cstheme="majorHAnsi"/>
          <w:sz w:val="24"/>
          <w:szCs w:val="24"/>
          <w:lang w:val="ro-MD" w:eastAsia="ru-RU"/>
        </w:rPr>
        <w:t xml:space="preserve"> </w:t>
      </w:r>
      <w:r w:rsidR="00EC08E7" w:rsidRPr="0024512C">
        <w:rPr>
          <w:rFonts w:asciiTheme="majorHAnsi" w:hAnsiTheme="majorHAnsi" w:cstheme="majorHAnsi"/>
          <w:sz w:val="24"/>
          <w:szCs w:val="24"/>
          <w:lang w:val="ro-MD" w:eastAsia="ru-RU"/>
        </w:rPr>
        <w:t xml:space="preserve">lunar și trimestrial, </w:t>
      </w:r>
      <w:r w:rsidR="00095134" w:rsidRPr="0024512C">
        <w:rPr>
          <w:rFonts w:asciiTheme="majorHAnsi" w:hAnsiTheme="majorHAnsi" w:cstheme="majorHAnsi"/>
          <w:sz w:val="24"/>
          <w:szCs w:val="24"/>
          <w:lang w:val="ro-MD" w:eastAsia="ru-RU"/>
        </w:rPr>
        <w:t xml:space="preserve">un șir de rapoarte și date </w:t>
      </w:r>
      <w:r w:rsidR="006C71A2" w:rsidRPr="0024512C">
        <w:rPr>
          <w:rFonts w:asciiTheme="majorHAnsi" w:hAnsiTheme="majorHAnsi" w:cstheme="majorHAnsi"/>
          <w:sz w:val="24"/>
          <w:szCs w:val="24"/>
          <w:lang w:val="ro-MD" w:eastAsia="ru-RU"/>
        </w:rPr>
        <w:t>de la</w:t>
      </w:r>
      <w:r w:rsidR="00095134" w:rsidRPr="0024512C">
        <w:rPr>
          <w:rFonts w:asciiTheme="majorHAnsi" w:hAnsiTheme="majorHAnsi" w:cstheme="majorHAnsi"/>
          <w:sz w:val="24"/>
          <w:szCs w:val="24"/>
          <w:lang w:val="ro-MD" w:eastAsia="ru-RU"/>
        </w:rPr>
        <w:t xml:space="preserve"> IFP</w:t>
      </w:r>
      <w:r w:rsidR="00F849D1" w:rsidRPr="0024512C">
        <w:rPr>
          <w:rFonts w:asciiTheme="majorHAnsi" w:hAnsiTheme="majorHAnsi" w:cstheme="majorHAnsi"/>
          <w:sz w:val="24"/>
          <w:szCs w:val="24"/>
          <w:lang w:val="ro-MD" w:eastAsia="ru-RU"/>
        </w:rPr>
        <w:t xml:space="preserve"> (Bilanțul, contul de profit și pierderi, raportul privind depozitele, raportul privind lichiditate</w:t>
      </w:r>
      <w:r w:rsidR="002D488A" w:rsidRPr="0024512C">
        <w:rPr>
          <w:rFonts w:asciiTheme="majorHAnsi" w:hAnsiTheme="majorHAnsi" w:cstheme="majorHAnsi"/>
          <w:sz w:val="24"/>
          <w:szCs w:val="24"/>
          <w:lang w:val="ro-MD" w:eastAsia="ru-RU"/>
        </w:rPr>
        <w:t>a, rap</w:t>
      </w:r>
      <w:r w:rsidR="00EC08E7" w:rsidRPr="0024512C">
        <w:rPr>
          <w:rFonts w:asciiTheme="majorHAnsi" w:hAnsiTheme="majorHAnsi" w:cstheme="majorHAnsi"/>
          <w:sz w:val="24"/>
          <w:szCs w:val="24"/>
          <w:lang w:val="ro-MD" w:eastAsia="ru-RU"/>
        </w:rPr>
        <w:t>ortul privind acționarii băncii</w:t>
      </w:r>
      <w:r w:rsidR="002D488A" w:rsidRPr="0024512C">
        <w:rPr>
          <w:rFonts w:asciiTheme="majorHAnsi" w:hAnsiTheme="majorHAnsi" w:cstheme="majorHAnsi"/>
          <w:sz w:val="24"/>
          <w:szCs w:val="24"/>
          <w:lang w:val="ro-MD" w:eastAsia="ru-RU"/>
        </w:rPr>
        <w:t xml:space="preserve"> etc.)</w:t>
      </w:r>
      <w:r w:rsidR="00095134" w:rsidRPr="0024512C">
        <w:rPr>
          <w:rFonts w:asciiTheme="majorHAnsi" w:hAnsiTheme="majorHAnsi" w:cstheme="majorHAnsi"/>
          <w:sz w:val="24"/>
          <w:szCs w:val="24"/>
          <w:lang w:val="ro-MD" w:eastAsia="ru-RU"/>
        </w:rPr>
        <w:t>. Acestea cuprind informații contabile ale IFP, precum și unele rapoarte prezentate BNM</w:t>
      </w:r>
      <w:r w:rsidR="002B0F13" w:rsidRPr="0024512C">
        <w:rPr>
          <w:rStyle w:val="FootnoteReference"/>
          <w:rFonts w:asciiTheme="majorHAnsi" w:hAnsiTheme="majorHAnsi" w:cstheme="majorHAnsi"/>
          <w:sz w:val="24"/>
          <w:szCs w:val="24"/>
          <w:lang w:val="ro-MD" w:eastAsia="ru-RU"/>
        </w:rPr>
        <w:footnoteReference w:id="16"/>
      </w:r>
      <w:r w:rsidR="00095134" w:rsidRPr="0024512C">
        <w:rPr>
          <w:rFonts w:asciiTheme="majorHAnsi" w:hAnsiTheme="majorHAnsi" w:cstheme="majorHAnsi"/>
          <w:sz w:val="24"/>
          <w:szCs w:val="24"/>
          <w:lang w:val="ro-MD" w:eastAsia="ru-RU"/>
        </w:rPr>
        <w:t xml:space="preserve"> </w:t>
      </w:r>
      <w:r w:rsidR="002B0F13" w:rsidRPr="0024512C">
        <w:rPr>
          <w:rFonts w:asciiTheme="majorHAnsi" w:hAnsiTheme="majorHAnsi" w:cstheme="majorHAnsi"/>
          <w:sz w:val="24"/>
          <w:szCs w:val="24"/>
          <w:lang w:val="ro-MD" w:eastAsia="ru-RU"/>
        </w:rPr>
        <w:t xml:space="preserve">întocmite </w:t>
      </w:r>
      <w:r w:rsidR="00095134" w:rsidRPr="0024512C">
        <w:rPr>
          <w:rFonts w:asciiTheme="majorHAnsi" w:hAnsiTheme="majorHAnsi" w:cstheme="majorHAnsi"/>
          <w:sz w:val="24"/>
          <w:szCs w:val="24"/>
          <w:lang w:val="ro-MD" w:eastAsia="ru-RU"/>
        </w:rPr>
        <w:t>în baza Instrucțiunii cu privire la modul de întocmire și prezentare de către bănci a rapoartelor în scopuri prudențiale</w:t>
      </w:r>
      <w:r w:rsidR="00095134" w:rsidRPr="0024512C">
        <w:rPr>
          <w:rStyle w:val="FootnoteReference"/>
          <w:rFonts w:asciiTheme="majorHAnsi" w:hAnsiTheme="majorHAnsi" w:cstheme="majorHAnsi"/>
          <w:sz w:val="24"/>
          <w:szCs w:val="24"/>
          <w:lang w:val="ro-MD" w:eastAsia="ru-RU"/>
        </w:rPr>
        <w:footnoteReference w:id="17"/>
      </w:r>
      <w:r w:rsidR="00095134" w:rsidRPr="0024512C">
        <w:rPr>
          <w:rFonts w:asciiTheme="majorHAnsi" w:hAnsiTheme="majorHAnsi" w:cstheme="majorHAnsi"/>
          <w:sz w:val="24"/>
          <w:szCs w:val="24"/>
          <w:lang w:val="ro-MD" w:eastAsia="ru-RU"/>
        </w:rPr>
        <w:t>.</w:t>
      </w:r>
      <w:r w:rsidRPr="0024512C">
        <w:rPr>
          <w:rFonts w:asciiTheme="majorHAnsi" w:hAnsiTheme="majorHAnsi" w:cstheme="majorHAnsi"/>
          <w:sz w:val="24"/>
          <w:szCs w:val="24"/>
          <w:lang w:val="ro-MD" w:eastAsia="ru-RU"/>
        </w:rPr>
        <w:t xml:space="preserve"> De asemenea, anual </w:t>
      </w:r>
      <w:r w:rsidRPr="005C74F5">
        <w:rPr>
          <w:rFonts w:asciiTheme="majorHAnsi" w:hAnsiTheme="majorHAnsi" w:cstheme="majorHAnsi"/>
          <w:sz w:val="24"/>
          <w:szCs w:val="24"/>
          <w:lang w:val="ro-MD" w:eastAsia="ru-RU"/>
        </w:rPr>
        <w:t>se solicită</w:t>
      </w:r>
      <w:r w:rsidR="006B16F5" w:rsidRPr="005C74F5">
        <w:rPr>
          <w:rFonts w:asciiTheme="majorHAnsi" w:hAnsiTheme="majorHAnsi" w:cstheme="majorHAnsi"/>
          <w:sz w:val="24"/>
          <w:szCs w:val="24"/>
          <w:lang w:val="ro-MD" w:eastAsia="ru-RU"/>
        </w:rPr>
        <w:t xml:space="preserve"> de la IFP</w:t>
      </w:r>
      <w:r w:rsidRPr="0024512C">
        <w:rPr>
          <w:rFonts w:asciiTheme="majorHAnsi" w:hAnsiTheme="majorHAnsi" w:cstheme="majorHAnsi"/>
          <w:sz w:val="24"/>
          <w:szCs w:val="24"/>
          <w:lang w:val="ro-MD" w:eastAsia="ru-RU"/>
        </w:rPr>
        <w:t xml:space="preserve"> prezentarea Raportului auditului situațiilor financiare. </w:t>
      </w:r>
    </w:p>
    <w:p w:rsidR="008E7363" w:rsidRPr="0024512C" w:rsidRDefault="008E7363" w:rsidP="00C15C23">
      <w:pPr>
        <w:spacing w:line="276" w:lineRule="auto"/>
        <w:jc w:val="both"/>
        <w:rPr>
          <w:rFonts w:asciiTheme="majorHAnsi" w:hAnsiTheme="majorHAnsi" w:cstheme="majorHAnsi"/>
          <w:sz w:val="24"/>
          <w:szCs w:val="24"/>
          <w:lang w:val="ro-MD" w:eastAsia="ru-RU"/>
        </w:rPr>
      </w:pPr>
      <w:r w:rsidRPr="0024512C">
        <w:rPr>
          <w:rFonts w:asciiTheme="majorHAnsi" w:hAnsiTheme="majorHAnsi" w:cstheme="majorHAnsi"/>
          <w:sz w:val="24"/>
          <w:szCs w:val="24"/>
          <w:lang w:val="ro-MD" w:eastAsia="ru-RU"/>
        </w:rPr>
        <w:t>Totodată, în baza Legii cu privire la datoria publică, garanțiile de stat și recreditarea de stat nr.419-XVI din 22.12.2006</w:t>
      </w:r>
      <w:r w:rsidR="00017C4A" w:rsidRPr="0024512C">
        <w:rPr>
          <w:rStyle w:val="FootnoteReference"/>
          <w:rFonts w:asciiTheme="majorHAnsi" w:hAnsiTheme="majorHAnsi" w:cstheme="majorHAnsi"/>
          <w:sz w:val="24"/>
          <w:szCs w:val="24"/>
          <w:lang w:val="ro-MD" w:eastAsia="ru-RU"/>
        </w:rPr>
        <w:footnoteReference w:id="18"/>
      </w:r>
      <w:r w:rsidRPr="0024512C">
        <w:rPr>
          <w:rFonts w:asciiTheme="majorHAnsi" w:hAnsiTheme="majorHAnsi" w:cstheme="majorHAnsi"/>
          <w:sz w:val="24"/>
          <w:szCs w:val="24"/>
          <w:lang w:val="ro-MD" w:eastAsia="ru-RU"/>
        </w:rPr>
        <w:t>, precum și a Acordului nr.1 cu privire la Agentul fiscal</w:t>
      </w:r>
      <w:r w:rsidR="00EC08E7" w:rsidRPr="0024512C">
        <w:rPr>
          <w:rFonts w:asciiTheme="majorHAnsi" w:hAnsiTheme="majorHAnsi" w:cstheme="majorHAnsi"/>
          <w:sz w:val="24"/>
          <w:szCs w:val="24"/>
          <w:lang w:val="ro-MD" w:eastAsia="ru-RU"/>
        </w:rPr>
        <w:t>,</w:t>
      </w:r>
      <w:r w:rsidRPr="0024512C">
        <w:rPr>
          <w:rFonts w:asciiTheme="majorHAnsi" w:hAnsiTheme="majorHAnsi" w:cstheme="majorHAnsi"/>
          <w:sz w:val="24"/>
          <w:szCs w:val="24"/>
          <w:lang w:val="ro-MD" w:eastAsia="ru-RU"/>
        </w:rPr>
        <w:t xml:space="preserve"> încheiat între</w:t>
      </w:r>
      <w:r w:rsidRPr="005C74F5">
        <w:rPr>
          <w:rFonts w:asciiTheme="majorHAnsi" w:hAnsiTheme="majorHAnsi" w:cstheme="majorHAnsi"/>
          <w:sz w:val="24"/>
          <w:szCs w:val="24"/>
          <w:lang w:val="ro-MD" w:eastAsia="ru-RU"/>
        </w:rPr>
        <w:t xml:space="preserve"> MF, BNM și DLC, se solicită prezentarea lunară de către BNM a unor rapoarte și date privind băncile autorizate</w:t>
      </w:r>
      <w:r w:rsidR="002D488A" w:rsidRPr="0024512C">
        <w:rPr>
          <w:rFonts w:asciiTheme="majorHAnsi" w:hAnsiTheme="majorHAnsi" w:cstheme="majorHAnsi"/>
          <w:sz w:val="24"/>
          <w:szCs w:val="24"/>
          <w:lang w:val="ro-MD" w:eastAsia="ru-RU"/>
        </w:rPr>
        <w:t xml:space="preserve"> (</w:t>
      </w:r>
      <w:r w:rsidR="00EC08E7" w:rsidRPr="0024512C">
        <w:rPr>
          <w:rFonts w:asciiTheme="majorHAnsi" w:hAnsiTheme="majorHAnsi" w:cstheme="majorHAnsi"/>
          <w:sz w:val="24"/>
          <w:szCs w:val="24"/>
          <w:lang w:val="ro-MD" w:eastAsia="ru-RU"/>
        </w:rPr>
        <w:t>s</w:t>
      </w:r>
      <w:r w:rsidR="002D488A" w:rsidRPr="0024512C">
        <w:rPr>
          <w:rFonts w:asciiTheme="majorHAnsi" w:hAnsiTheme="majorHAnsi" w:cstheme="majorHAnsi"/>
          <w:sz w:val="24"/>
          <w:szCs w:val="24"/>
          <w:lang w:val="ro-MD" w:eastAsia="ru-RU"/>
        </w:rPr>
        <w:t>oldul total al datoriei la creditele primite de bănci de la BNM, fondurile proprii ale băncilor, veniturile din dobânzi ale b</w:t>
      </w:r>
      <w:r w:rsidR="00EC08E7" w:rsidRPr="0024512C">
        <w:rPr>
          <w:rFonts w:asciiTheme="majorHAnsi" w:hAnsiTheme="majorHAnsi" w:cstheme="majorHAnsi"/>
          <w:sz w:val="24"/>
          <w:szCs w:val="24"/>
          <w:lang w:val="ro-MD" w:eastAsia="ru-RU"/>
        </w:rPr>
        <w:t xml:space="preserve">ăncilor, lichiditatea băncilor </w:t>
      </w:r>
      <w:r w:rsidR="002D488A" w:rsidRPr="0024512C">
        <w:rPr>
          <w:rFonts w:asciiTheme="majorHAnsi" w:hAnsiTheme="majorHAnsi" w:cstheme="majorHAnsi"/>
          <w:sz w:val="24"/>
          <w:szCs w:val="24"/>
          <w:lang w:val="ro-MD" w:eastAsia="ru-RU"/>
        </w:rPr>
        <w:t>etc</w:t>
      </w:r>
      <w:r w:rsidR="00EC08E7" w:rsidRPr="0024512C">
        <w:rPr>
          <w:rFonts w:asciiTheme="majorHAnsi" w:hAnsiTheme="majorHAnsi" w:cstheme="majorHAnsi"/>
          <w:sz w:val="24"/>
          <w:szCs w:val="24"/>
          <w:lang w:val="ro-MD" w:eastAsia="ru-RU"/>
        </w:rPr>
        <w:t>.</w:t>
      </w:r>
      <w:r w:rsidR="002D488A" w:rsidRPr="0024512C">
        <w:rPr>
          <w:rFonts w:asciiTheme="majorHAnsi" w:hAnsiTheme="majorHAnsi" w:cstheme="majorHAnsi"/>
          <w:sz w:val="24"/>
          <w:szCs w:val="24"/>
          <w:lang w:val="ro-MD" w:eastAsia="ru-RU"/>
        </w:rPr>
        <w:t>)</w:t>
      </w:r>
      <w:r w:rsidRPr="0024512C">
        <w:rPr>
          <w:rFonts w:asciiTheme="majorHAnsi" w:hAnsiTheme="majorHAnsi" w:cstheme="majorHAnsi"/>
          <w:sz w:val="24"/>
          <w:szCs w:val="24"/>
          <w:lang w:val="ro-MD" w:eastAsia="ru-RU"/>
        </w:rPr>
        <w:t xml:space="preserve">. </w:t>
      </w:r>
    </w:p>
    <w:p w:rsidR="006C71A2" w:rsidRPr="0024512C" w:rsidRDefault="006C71A2" w:rsidP="00C15C23">
      <w:pPr>
        <w:spacing w:line="276" w:lineRule="auto"/>
        <w:jc w:val="both"/>
        <w:rPr>
          <w:rFonts w:asciiTheme="majorHAnsi" w:hAnsiTheme="majorHAnsi" w:cstheme="majorHAnsi"/>
          <w:sz w:val="24"/>
          <w:szCs w:val="24"/>
          <w:lang w:val="ro-MD" w:eastAsia="ru-RU"/>
        </w:rPr>
      </w:pPr>
      <w:r w:rsidRPr="0024512C">
        <w:rPr>
          <w:rFonts w:asciiTheme="majorHAnsi" w:hAnsiTheme="majorHAnsi" w:cstheme="majorHAnsi"/>
          <w:sz w:val="24"/>
          <w:szCs w:val="24"/>
          <w:lang w:val="ro-MD" w:eastAsia="ru-RU"/>
        </w:rPr>
        <w:t xml:space="preserve">În baza </w:t>
      </w:r>
      <w:r w:rsidR="00EC08E7" w:rsidRPr="0024512C">
        <w:rPr>
          <w:rFonts w:asciiTheme="majorHAnsi" w:hAnsiTheme="majorHAnsi" w:cstheme="majorHAnsi"/>
          <w:sz w:val="24"/>
          <w:szCs w:val="24"/>
          <w:lang w:val="ro-MD" w:eastAsia="ru-RU"/>
        </w:rPr>
        <w:t xml:space="preserve">datelor acumulate, </w:t>
      </w:r>
      <w:r w:rsidRPr="0024512C">
        <w:rPr>
          <w:rFonts w:asciiTheme="majorHAnsi" w:hAnsiTheme="majorHAnsi" w:cstheme="majorHAnsi"/>
          <w:sz w:val="24"/>
          <w:szCs w:val="24"/>
          <w:lang w:val="ro-MD" w:eastAsia="ru-RU"/>
        </w:rPr>
        <w:t xml:space="preserve">DLC </w:t>
      </w:r>
      <w:r w:rsidR="00EC08E7" w:rsidRPr="0024512C">
        <w:rPr>
          <w:rFonts w:asciiTheme="majorHAnsi" w:hAnsiTheme="majorHAnsi" w:cstheme="majorHAnsi"/>
          <w:sz w:val="24"/>
          <w:szCs w:val="24"/>
          <w:lang w:val="ro-MD" w:eastAsia="ru-RU"/>
        </w:rPr>
        <w:t>î</w:t>
      </w:r>
      <w:r w:rsidRPr="0024512C">
        <w:rPr>
          <w:rFonts w:asciiTheme="majorHAnsi" w:hAnsiTheme="majorHAnsi" w:cstheme="majorHAnsi"/>
          <w:sz w:val="24"/>
          <w:szCs w:val="24"/>
          <w:lang w:val="ro-MD" w:eastAsia="ru-RU"/>
        </w:rPr>
        <w:t xml:space="preserve">ntocmește </w:t>
      </w:r>
      <w:r w:rsidR="00EC08E7" w:rsidRPr="0024512C">
        <w:rPr>
          <w:rFonts w:asciiTheme="majorHAnsi" w:hAnsiTheme="majorHAnsi" w:cstheme="majorHAnsi"/>
          <w:sz w:val="24"/>
          <w:szCs w:val="24"/>
          <w:lang w:val="ro-MD" w:eastAsia="ru-RU"/>
        </w:rPr>
        <w:t xml:space="preserve">trimestrial </w:t>
      </w:r>
      <w:r w:rsidR="00A57041" w:rsidRPr="0024512C">
        <w:rPr>
          <w:rFonts w:asciiTheme="majorHAnsi" w:hAnsiTheme="majorHAnsi" w:cstheme="majorHAnsi"/>
          <w:sz w:val="24"/>
          <w:szCs w:val="24"/>
          <w:lang w:val="ro-MD" w:eastAsia="ru-RU"/>
        </w:rPr>
        <w:t>Raportul privind evaluarea și monitorizarea IFP, ca</w:t>
      </w:r>
      <w:r w:rsidR="00EC08E7" w:rsidRPr="0024512C">
        <w:rPr>
          <w:rFonts w:asciiTheme="majorHAnsi" w:hAnsiTheme="majorHAnsi" w:cstheme="majorHAnsi"/>
          <w:sz w:val="24"/>
          <w:szCs w:val="24"/>
          <w:lang w:val="ro-MD" w:eastAsia="ru-RU"/>
        </w:rPr>
        <w:t>re conține un șir de indicatori</w:t>
      </w:r>
      <w:r w:rsidR="00A57041" w:rsidRPr="0024512C">
        <w:rPr>
          <w:rFonts w:asciiTheme="majorHAnsi" w:hAnsiTheme="majorHAnsi" w:cstheme="majorHAnsi"/>
          <w:sz w:val="24"/>
          <w:szCs w:val="24"/>
          <w:lang w:val="ro-MD" w:eastAsia="ru-RU"/>
        </w:rPr>
        <w:t xml:space="preserve"> și criterii de analiză a băncilor. Ulterior</w:t>
      </w:r>
      <w:r w:rsidR="00EC08E7" w:rsidRPr="0024512C">
        <w:rPr>
          <w:rFonts w:asciiTheme="majorHAnsi" w:hAnsiTheme="majorHAnsi" w:cstheme="majorHAnsi"/>
          <w:sz w:val="24"/>
          <w:szCs w:val="24"/>
          <w:lang w:val="ro-MD" w:eastAsia="ru-RU"/>
        </w:rPr>
        <w:t>,</w:t>
      </w:r>
      <w:r w:rsidR="00A57041" w:rsidRPr="0024512C">
        <w:rPr>
          <w:rFonts w:asciiTheme="majorHAnsi" w:hAnsiTheme="majorHAnsi" w:cstheme="majorHAnsi"/>
          <w:sz w:val="24"/>
          <w:szCs w:val="24"/>
          <w:lang w:val="ro-MD" w:eastAsia="ru-RU"/>
        </w:rPr>
        <w:t xml:space="preserve"> acesta este adus la cunoștință Consiliul</w:t>
      </w:r>
      <w:r w:rsidR="00EC08E7" w:rsidRPr="0024512C">
        <w:rPr>
          <w:rFonts w:asciiTheme="majorHAnsi" w:hAnsiTheme="majorHAnsi" w:cstheme="majorHAnsi"/>
          <w:sz w:val="24"/>
          <w:szCs w:val="24"/>
          <w:lang w:val="ro-MD" w:eastAsia="ru-RU"/>
        </w:rPr>
        <w:t>ui</w:t>
      </w:r>
      <w:r w:rsidR="00A57041" w:rsidRPr="0024512C">
        <w:rPr>
          <w:rFonts w:asciiTheme="majorHAnsi" w:hAnsiTheme="majorHAnsi" w:cstheme="majorHAnsi"/>
          <w:sz w:val="24"/>
          <w:szCs w:val="24"/>
          <w:lang w:val="ro-MD" w:eastAsia="ru-RU"/>
        </w:rPr>
        <w:t xml:space="preserve"> DLC. </w:t>
      </w:r>
    </w:p>
    <w:p w:rsidR="00C15C23" w:rsidRPr="0024512C" w:rsidRDefault="00A57041" w:rsidP="00423ECB">
      <w:pPr>
        <w:spacing w:line="276" w:lineRule="auto"/>
        <w:jc w:val="both"/>
        <w:rPr>
          <w:rFonts w:asciiTheme="majorHAnsi" w:hAnsiTheme="majorHAnsi" w:cstheme="majorHAnsi"/>
          <w:sz w:val="24"/>
          <w:szCs w:val="24"/>
          <w:lang w:val="ro-MD" w:eastAsia="ru-RU"/>
        </w:rPr>
      </w:pPr>
      <w:r w:rsidRPr="0024512C">
        <w:rPr>
          <w:rFonts w:asciiTheme="majorHAnsi" w:hAnsiTheme="majorHAnsi" w:cstheme="majorHAnsi"/>
          <w:sz w:val="24"/>
          <w:szCs w:val="24"/>
          <w:lang w:val="ro-MD" w:eastAsia="ru-RU"/>
        </w:rPr>
        <w:t>La situația din 31.12.2019, l</w:t>
      </w:r>
      <w:r w:rsidR="00C15C23" w:rsidRPr="0024512C">
        <w:rPr>
          <w:rFonts w:asciiTheme="majorHAnsi" w:hAnsiTheme="majorHAnsi" w:cstheme="majorHAnsi"/>
          <w:sz w:val="24"/>
          <w:szCs w:val="24"/>
          <w:lang w:val="ro-MD" w:eastAsia="ru-RU"/>
        </w:rPr>
        <w:t>a operațiunile de intermediere financiară în cadrul liniilor de credit particip</w:t>
      </w:r>
      <w:r w:rsidR="006B16F5" w:rsidRPr="0024512C">
        <w:rPr>
          <w:rFonts w:asciiTheme="majorHAnsi" w:hAnsiTheme="majorHAnsi" w:cstheme="majorHAnsi"/>
          <w:sz w:val="24"/>
          <w:szCs w:val="24"/>
          <w:lang w:val="ro-MD" w:eastAsia="ru-RU"/>
        </w:rPr>
        <w:t>au</w:t>
      </w:r>
      <w:r w:rsidR="00C15C23" w:rsidRPr="0024512C">
        <w:rPr>
          <w:rFonts w:asciiTheme="majorHAnsi" w:hAnsiTheme="majorHAnsi" w:cstheme="majorHAnsi"/>
          <w:sz w:val="24"/>
          <w:szCs w:val="24"/>
          <w:lang w:val="ro-MD" w:eastAsia="ru-RU"/>
        </w:rPr>
        <w:t xml:space="preserve"> 14 IFP. </w:t>
      </w:r>
    </w:p>
    <w:p w:rsidR="00942C8F" w:rsidRPr="0024512C" w:rsidRDefault="00942C8F" w:rsidP="00423ECB">
      <w:pPr>
        <w:spacing w:line="276" w:lineRule="auto"/>
        <w:jc w:val="both"/>
        <w:rPr>
          <w:rFonts w:asciiTheme="majorHAnsi" w:hAnsiTheme="majorHAnsi" w:cstheme="majorHAnsi"/>
          <w:sz w:val="24"/>
          <w:szCs w:val="24"/>
          <w:lang w:val="ro-MD" w:eastAsia="ru-RU"/>
        </w:rPr>
      </w:pPr>
      <w:r w:rsidRPr="0024512C">
        <w:rPr>
          <w:rFonts w:asciiTheme="majorHAnsi" w:hAnsiTheme="majorHAnsi" w:cstheme="majorHAnsi"/>
          <w:sz w:val="24"/>
          <w:szCs w:val="24"/>
          <w:lang w:val="ro-MD" w:eastAsia="ru-RU"/>
        </w:rPr>
        <w:t>Ver</w:t>
      </w:r>
      <w:r w:rsidR="00EC08E7" w:rsidRPr="0024512C">
        <w:rPr>
          <w:rFonts w:asciiTheme="majorHAnsi" w:hAnsiTheme="majorHAnsi" w:cstheme="majorHAnsi"/>
          <w:sz w:val="24"/>
          <w:szCs w:val="24"/>
          <w:lang w:val="ro-MD" w:eastAsia="ru-RU"/>
        </w:rPr>
        <w:t>ificările auditului au stabilit</w:t>
      </w:r>
      <w:r w:rsidRPr="0024512C">
        <w:rPr>
          <w:rFonts w:asciiTheme="majorHAnsi" w:hAnsiTheme="majorHAnsi" w:cstheme="majorHAnsi"/>
          <w:sz w:val="24"/>
          <w:szCs w:val="24"/>
          <w:lang w:val="ro-MD" w:eastAsia="ru-RU"/>
        </w:rPr>
        <w:t xml:space="preserve"> că </w:t>
      </w:r>
      <w:r w:rsidR="00522C44" w:rsidRPr="0024512C">
        <w:rPr>
          <w:rFonts w:asciiTheme="majorHAnsi" w:hAnsiTheme="majorHAnsi" w:cstheme="majorHAnsi"/>
          <w:sz w:val="24"/>
          <w:szCs w:val="24"/>
          <w:lang w:val="ro-MD" w:eastAsia="ru-RU"/>
        </w:rPr>
        <w:t>monitorizarea permanentă de către DLC a situației IFP a dus la neînregistrarea</w:t>
      </w:r>
      <w:r w:rsidRPr="0024512C">
        <w:rPr>
          <w:rFonts w:asciiTheme="majorHAnsi" w:hAnsiTheme="majorHAnsi" w:cstheme="majorHAnsi"/>
          <w:sz w:val="24"/>
          <w:szCs w:val="24"/>
          <w:lang w:val="ro-MD" w:eastAsia="ru-RU"/>
        </w:rPr>
        <w:t xml:space="preserve"> datorii</w:t>
      </w:r>
      <w:r w:rsidR="00522C44" w:rsidRPr="0024512C">
        <w:rPr>
          <w:rFonts w:asciiTheme="majorHAnsi" w:hAnsiTheme="majorHAnsi" w:cstheme="majorHAnsi"/>
          <w:sz w:val="24"/>
          <w:szCs w:val="24"/>
          <w:lang w:val="ro-MD" w:eastAsia="ru-RU"/>
        </w:rPr>
        <w:t xml:space="preserve">lor expirate ale IFP. Unica excepție reprezintă datoria în sumă de 1,43 mil. </w:t>
      </w:r>
      <w:r w:rsidR="00522C44" w:rsidRPr="0024512C">
        <w:rPr>
          <w:rFonts w:asciiTheme="majorHAnsi" w:hAnsiTheme="majorHAnsi" w:cstheme="majorHAnsi"/>
          <w:sz w:val="24"/>
          <w:szCs w:val="24"/>
          <w:lang w:val="ro-MD" w:eastAsia="ru-RU"/>
        </w:rPr>
        <w:lastRenderedPageBreak/>
        <w:t>lei</w:t>
      </w:r>
      <w:r w:rsidRPr="0024512C">
        <w:rPr>
          <w:rFonts w:asciiTheme="majorHAnsi" w:hAnsiTheme="majorHAnsi" w:cstheme="majorHAnsi"/>
          <w:sz w:val="24"/>
          <w:szCs w:val="24"/>
          <w:lang w:val="ro-MD" w:eastAsia="ru-RU"/>
        </w:rPr>
        <w:t xml:space="preserve"> a BC „</w:t>
      </w:r>
      <w:proofErr w:type="spellStart"/>
      <w:r w:rsidRPr="0024512C">
        <w:rPr>
          <w:rFonts w:asciiTheme="majorHAnsi" w:hAnsiTheme="majorHAnsi" w:cstheme="majorHAnsi"/>
          <w:sz w:val="24"/>
          <w:szCs w:val="24"/>
          <w:lang w:val="ro-MD" w:eastAsia="ru-RU"/>
        </w:rPr>
        <w:t>Investprivatbank</w:t>
      </w:r>
      <w:proofErr w:type="spellEnd"/>
      <w:r w:rsidRPr="0024512C">
        <w:rPr>
          <w:rFonts w:asciiTheme="majorHAnsi" w:hAnsiTheme="majorHAnsi" w:cstheme="majorHAnsi"/>
          <w:sz w:val="24"/>
          <w:szCs w:val="24"/>
          <w:lang w:val="ro-MD" w:eastAsia="ru-RU"/>
        </w:rPr>
        <w:t>” SA, care se află în proces de lichidare. Potrivit răspunsului BNM la demersul DLC referitor la recuperarea datoriilor BC „</w:t>
      </w:r>
      <w:proofErr w:type="spellStart"/>
      <w:r w:rsidRPr="0024512C">
        <w:rPr>
          <w:rFonts w:asciiTheme="majorHAnsi" w:hAnsiTheme="majorHAnsi" w:cstheme="majorHAnsi"/>
          <w:sz w:val="24"/>
          <w:szCs w:val="24"/>
          <w:lang w:val="ro-MD" w:eastAsia="ru-RU"/>
        </w:rPr>
        <w:t>Investprivatbank</w:t>
      </w:r>
      <w:proofErr w:type="spellEnd"/>
      <w:r w:rsidRPr="0024512C">
        <w:rPr>
          <w:rFonts w:asciiTheme="majorHAnsi" w:hAnsiTheme="majorHAnsi" w:cstheme="majorHAnsi"/>
          <w:sz w:val="24"/>
          <w:szCs w:val="24"/>
          <w:lang w:val="ro-MD" w:eastAsia="ru-RU"/>
        </w:rPr>
        <w:t xml:space="preserve">” SA în proces de lichidare, </w:t>
      </w:r>
      <w:r w:rsidR="00733212" w:rsidRPr="0024512C">
        <w:rPr>
          <w:rFonts w:asciiTheme="majorHAnsi" w:hAnsiTheme="majorHAnsi" w:cstheme="majorHAnsi"/>
          <w:sz w:val="24"/>
          <w:szCs w:val="24"/>
          <w:lang w:val="ro-MD" w:eastAsia="ru-RU"/>
        </w:rPr>
        <w:t>în baza</w:t>
      </w:r>
      <w:r w:rsidR="003A150A" w:rsidRPr="0024512C">
        <w:rPr>
          <w:rFonts w:asciiTheme="majorHAnsi" w:hAnsiTheme="majorHAnsi" w:cstheme="majorHAnsi"/>
          <w:sz w:val="24"/>
          <w:szCs w:val="24"/>
          <w:lang w:val="ro-MD" w:eastAsia="ru-RU"/>
        </w:rPr>
        <w:t xml:space="preserve"> informațiilor/prognozelor pr</w:t>
      </w:r>
      <w:r w:rsidR="00F0104E" w:rsidRPr="0024512C">
        <w:rPr>
          <w:rFonts w:asciiTheme="majorHAnsi" w:hAnsiTheme="majorHAnsi" w:cstheme="majorHAnsi"/>
          <w:sz w:val="24"/>
          <w:szCs w:val="24"/>
          <w:lang w:val="ro-MD" w:eastAsia="ru-RU"/>
        </w:rPr>
        <w:t>ezentate de lichidatorul băncii</w:t>
      </w:r>
      <w:r w:rsidR="00733212" w:rsidRPr="0024512C">
        <w:rPr>
          <w:rFonts w:asciiTheme="majorHAnsi" w:hAnsiTheme="majorHAnsi" w:cstheme="majorHAnsi"/>
          <w:sz w:val="24"/>
          <w:szCs w:val="24"/>
          <w:lang w:val="ro-MD" w:eastAsia="ru-RU"/>
        </w:rPr>
        <w:t>,</w:t>
      </w:r>
      <w:r w:rsidR="003A150A" w:rsidRPr="0024512C">
        <w:rPr>
          <w:rFonts w:asciiTheme="majorHAnsi" w:hAnsiTheme="majorHAnsi" w:cstheme="majorHAnsi"/>
          <w:sz w:val="24"/>
          <w:szCs w:val="24"/>
          <w:lang w:val="ro-MD" w:eastAsia="ru-RU"/>
        </w:rPr>
        <w:t xml:space="preserve"> </w:t>
      </w:r>
      <w:r w:rsidR="00F0104E" w:rsidRPr="0024512C">
        <w:rPr>
          <w:rFonts w:asciiTheme="majorHAnsi" w:hAnsiTheme="majorHAnsi" w:cstheme="majorHAnsi"/>
          <w:sz w:val="24"/>
          <w:szCs w:val="24"/>
          <w:lang w:val="ro-MD" w:eastAsia="ru-RU"/>
        </w:rPr>
        <w:t>„</w:t>
      </w:r>
      <w:r w:rsidR="003A150A" w:rsidRPr="0024512C">
        <w:rPr>
          <w:rFonts w:asciiTheme="majorHAnsi" w:hAnsiTheme="majorHAnsi" w:cstheme="majorHAnsi"/>
          <w:sz w:val="24"/>
          <w:szCs w:val="24"/>
          <w:lang w:val="ro-MD" w:eastAsia="ru-RU"/>
        </w:rPr>
        <w:t>nu se vor dispune de mijloace suficiente pentru a iniția onorarea obligațiunilor față de clasa de creanțe din care face parte și creanța DLC</w:t>
      </w:r>
      <w:r w:rsidR="00F0104E" w:rsidRPr="0024512C">
        <w:rPr>
          <w:rFonts w:asciiTheme="majorHAnsi" w:hAnsiTheme="majorHAnsi" w:cstheme="majorHAnsi"/>
          <w:sz w:val="24"/>
          <w:szCs w:val="24"/>
          <w:lang w:val="ro-MD" w:eastAsia="ru-RU"/>
        </w:rPr>
        <w:t>”, adică este prezent riscul nerestituirii</w:t>
      </w:r>
      <w:r w:rsidR="003A150A" w:rsidRPr="0024512C">
        <w:rPr>
          <w:rFonts w:asciiTheme="majorHAnsi" w:hAnsiTheme="majorHAnsi" w:cstheme="majorHAnsi"/>
          <w:sz w:val="24"/>
          <w:szCs w:val="24"/>
          <w:lang w:val="ro-MD" w:eastAsia="ru-RU"/>
        </w:rPr>
        <w:t>.</w:t>
      </w:r>
    </w:p>
    <w:p w:rsidR="00C15C23" w:rsidRPr="0024512C" w:rsidRDefault="00DD298B" w:rsidP="00805CC0">
      <w:pPr>
        <w:pStyle w:val="ListParagraph"/>
        <w:numPr>
          <w:ilvl w:val="2"/>
          <w:numId w:val="2"/>
        </w:numPr>
        <w:spacing w:line="276" w:lineRule="auto"/>
        <w:ind w:left="0" w:firstLine="0"/>
        <w:jc w:val="both"/>
        <w:outlineLvl w:val="2"/>
        <w:rPr>
          <w:rFonts w:asciiTheme="majorHAnsi" w:hAnsiTheme="majorHAnsi" w:cstheme="majorHAnsi"/>
          <w:b/>
          <w:i/>
          <w:color w:val="5B9BD5" w:themeColor="accent1"/>
          <w:sz w:val="24"/>
          <w:szCs w:val="24"/>
          <w:lang w:val="ro-MD" w:eastAsia="ru-RU"/>
        </w:rPr>
      </w:pPr>
      <w:bookmarkStart w:id="12" w:name="_Toc47009712"/>
      <w:r w:rsidRPr="0024512C">
        <w:rPr>
          <w:rFonts w:asciiTheme="majorHAnsi" w:hAnsiTheme="majorHAnsi" w:cstheme="majorHAnsi"/>
          <w:b/>
          <w:i/>
          <w:color w:val="5B9BD5" w:themeColor="accent1"/>
          <w:sz w:val="24"/>
          <w:szCs w:val="24"/>
          <w:lang w:val="ro-MD" w:eastAsia="ru-RU"/>
        </w:rPr>
        <w:t>În ultimii ani</w:t>
      </w:r>
      <w:r w:rsidR="006B16F5" w:rsidRPr="0024512C">
        <w:rPr>
          <w:rFonts w:asciiTheme="majorHAnsi" w:hAnsiTheme="majorHAnsi" w:cstheme="majorHAnsi"/>
          <w:b/>
          <w:i/>
          <w:color w:val="5B9BD5" w:themeColor="accent1"/>
          <w:sz w:val="24"/>
          <w:szCs w:val="24"/>
          <w:lang w:val="ro-MD" w:eastAsia="ru-RU"/>
        </w:rPr>
        <w:t>,</w:t>
      </w:r>
      <w:r w:rsidRPr="0024512C">
        <w:rPr>
          <w:rFonts w:asciiTheme="majorHAnsi" w:hAnsiTheme="majorHAnsi" w:cstheme="majorHAnsi"/>
          <w:b/>
          <w:i/>
          <w:color w:val="5B9BD5" w:themeColor="accent1"/>
          <w:sz w:val="24"/>
          <w:szCs w:val="24"/>
          <w:lang w:val="ro-MD" w:eastAsia="ru-RU"/>
        </w:rPr>
        <w:t xml:space="preserve"> ratele</w:t>
      </w:r>
      <w:r w:rsidR="00C15C23" w:rsidRPr="0024512C">
        <w:rPr>
          <w:rFonts w:asciiTheme="majorHAnsi" w:hAnsiTheme="majorHAnsi" w:cstheme="majorHAnsi"/>
          <w:b/>
          <w:i/>
          <w:color w:val="5B9BD5" w:themeColor="accent1"/>
          <w:sz w:val="24"/>
          <w:szCs w:val="24"/>
          <w:lang w:val="ro-MD" w:eastAsia="ru-RU"/>
        </w:rPr>
        <w:t xml:space="preserve"> de dobândă de recreditare </w:t>
      </w:r>
      <w:r w:rsidRPr="0024512C">
        <w:rPr>
          <w:rFonts w:asciiTheme="majorHAnsi" w:hAnsiTheme="majorHAnsi" w:cstheme="majorHAnsi"/>
          <w:b/>
          <w:i/>
          <w:color w:val="5B9BD5" w:themeColor="accent1"/>
          <w:sz w:val="24"/>
          <w:szCs w:val="24"/>
          <w:lang w:val="ro-MD" w:eastAsia="ru-RU"/>
        </w:rPr>
        <w:t xml:space="preserve">stabilite </w:t>
      </w:r>
      <w:r w:rsidR="00C15C23" w:rsidRPr="0024512C">
        <w:rPr>
          <w:rFonts w:asciiTheme="majorHAnsi" w:hAnsiTheme="majorHAnsi" w:cstheme="majorHAnsi"/>
          <w:b/>
          <w:i/>
          <w:color w:val="5B9BD5" w:themeColor="accent1"/>
          <w:sz w:val="24"/>
          <w:szCs w:val="24"/>
          <w:lang w:val="ro-MD" w:eastAsia="ru-RU"/>
        </w:rPr>
        <w:t>pentru IFP</w:t>
      </w:r>
      <w:r w:rsidRPr="0024512C">
        <w:rPr>
          <w:rFonts w:asciiTheme="majorHAnsi" w:hAnsiTheme="majorHAnsi" w:cstheme="majorHAnsi"/>
          <w:b/>
          <w:i/>
          <w:color w:val="5B9BD5" w:themeColor="accent1"/>
          <w:sz w:val="24"/>
          <w:szCs w:val="24"/>
          <w:lang w:val="ro-MD" w:eastAsia="ru-RU"/>
        </w:rPr>
        <w:t xml:space="preserve"> au variat semnificativ</w:t>
      </w:r>
      <w:r w:rsidR="006B16F5" w:rsidRPr="0024512C">
        <w:rPr>
          <w:rFonts w:asciiTheme="majorHAnsi" w:hAnsiTheme="majorHAnsi" w:cstheme="majorHAnsi"/>
          <w:b/>
          <w:i/>
          <w:color w:val="5B9BD5" w:themeColor="accent1"/>
          <w:sz w:val="24"/>
          <w:szCs w:val="24"/>
          <w:lang w:val="ro-MD" w:eastAsia="ru-RU"/>
        </w:rPr>
        <w:t>,</w:t>
      </w:r>
      <w:r w:rsidRPr="0024512C">
        <w:rPr>
          <w:rFonts w:asciiTheme="majorHAnsi" w:hAnsiTheme="majorHAnsi" w:cstheme="majorHAnsi"/>
          <w:b/>
          <w:i/>
          <w:color w:val="5B9BD5" w:themeColor="accent1"/>
          <w:sz w:val="24"/>
          <w:szCs w:val="24"/>
          <w:lang w:val="ro-MD" w:eastAsia="ru-RU"/>
        </w:rPr>
        <w:t xml:space="preserve"> fiind influențate de mai mulți factori</w:t>
      </w:r>
      <w:bookmarkEnd w:id="12"/>
    </w:p>
    <w:p w:rsidR="005D3E18" w:rsidRPr="00321F59" w:rsidRDefault="00F16DFF" w:rsidP="005D3E18">
      <w:pPr>
        <w:spacing w:line="276" w:lineRule="auto"/>
        <w:jc w:val="both"/>
        <w:rPr>
          <w:rFonts w:asciiTheme="majorHAnsi" w:hAnsiTheme="majorHAnsi" w:cstheme="majorHAns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t xml:space="preserve">La lansarea finanțării și implementării unei Linii de credit noi, Consiliul DLC </w:t>
      </w:r>
      <w:r w:rsidR="00733212" w:rsidRPr="00321F59">
        <w:rPr>
          <w:rFonts w:asciiTheme="majorHAnsi" w:hAnsiTheme="majorHAnsi" w:cstheme="majorHAnsi"/>
          <w:sz w:val="24"/>
          <w:szCs w:val="24"/>
          <w:lang w:val="ro-MD"/>
          <w14:glow w14:rad="0">
            <w14:schemeClr w14:val="tx1"/>
          </w14:glow>
        </w:rPr>
        <w:t>aprobă</w:t>
      </w:r>
      <w:r w:rsidRPr="00321F59">
        <w:rPr>
          <w:rFonts w:asciiTheme="majorHAnsi" w:hAnsiTheme="majorHAnsi" w:cstheme="majorHAnsi"/>
          <w:sz w:val="24"/>
          <w:szCs w:val="24"/>
          <w:lang w:val="ro-MD"/>
          <w14:glow w14:rad="0">
            <w14:schemeClr w14:val="tx1"/>
          </w14:glow>
        </w:rPr>
        <w:t xml:space="preserve"> formula de calcul a rate</w:t>
      </w:r>
      <w:r w:rsidR="00DD298B" w:rsidRPr="00321F59">
        <w:rPr>
          <w:rFonts w:asciiTheme="majorHAnsi" w:hAnsiTheme="majorHAnsi" w:cstheme="majorHAnsi"/>
          <w:sz w:val="24"/>
          <w:szCs w:val="24"/>
          <w:lang w:val="ro-MD"/>
          <w14:glow w14:rad="0">
            <w14:schemeClr w14:val="tx1"/>
          </w14:glow>
        </w:rPr>
        <w:t>i dobânzii de recreditare a IFP, care</w:t>
      </w:r>
      <w:r w:rsidRPr="00321F59">
        <w:rPr>
          <w:rFonts w:asciiTheme="majorHAnsi" w:hAnsiTheme="majorHAnsi" w:cstheme="majorHAnsi"/>
          <w:sz w:val="24"/>
          <w:szCs w:val="24"/>
          <w:lang w:val="ro-MD"/>
          <w14:glow w14:rad="0">
            <w14:schemeClr w14:val="tx1"/>
          </w14:glow>
        </w:rPr>
        <w:t xml:space="preserve"> nu trebuie să fie mai mică decât costurile MF pentru împrumut</w:t>
      </w:r>
      <w:r w:rsidR="00DD298B" w:rsidRPr="00321F59">
        <w:rPr>
          <w:rFonts w:asciiTheme="majorHAnsi" w:hAnsiTheme="majorHAnsi" w:cstheme="majorHAnsi"/>
          <w:sz w:val="24"/>
          <w:szCs w:val="24"/>
          <w:lang w:val="ro-MD"/>
          <w14:glow w14:rad="0">
            <w14:schemeClr w14:val="tx1"/>
          </w14:glow>
        </w:rPr>
        <w:t>. Astfel</w:t>
      </w:r>
      <w:r w:rsidR="00733212" w:rsidRPr="00321F59">
        <w:rPr>
          <w:rFonts w:asciiTheme="majorHAnsi" w:hAnsiTheme="majorHAnsi" w:cstheme="majorHAnsi"/>
          <w:sz w:val="24"/>
          <w:szCs w:val="24"/>
          <w:lang w:val="ro-MD"/>
          <w14:glow w14:rad="0">
            <w14:schemeClr w14:val="tx1"/>
          </w14:glow>
        </w:rPr>
        <w:t>,</w:t>
      </w:r>
    </w:p>
    <w:p w:rsidR="00F16DFF" w:rsidRPr="00321F59" w:rsidRDefault="00733212" w:rsidP="00805CC0">
      <w:pPr>
        <w:pStyle w:val="ListParagraph"/>
        <w:numPr>
          <w:ilvl w:val="0"/>
          <w:numId w:val="3"/>
        </w:numPr>
        <w:spacing w:line="276" w:lineRule="auto"/>
        <w:ind w:left="0" w:firstLine="360"/>
        <w:jc w:val="both"/>
        <w:rPr>
          <w:rFonts w:asciiTheme="majorHAnsi" w:hAnsiTheme="majorHAnsi" w:cstheme="majorHAns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t>p</w:t>
      </w:r>
      <w:r w:rsidR="00F16DFF" w:rsidRPr="00321F59">
        <w:rPr>
          <w:rFonts w:asciiTheme="majorHAnsi" w:hAnsiTheme="majorHAnsi" w:cstheme="majorHAnsi"/>
          <w:sz w:val="24"/>
          <w:szCs w:val="24"/>
          <w:lang w:val="ro-MD"/>
          <w14:glow w14:rad="0">
            <w14:schemeClr w14:val="tx1"/>
          </w14:glow>
        </w:rPr>
        <w:t xml:space="preserve">entru împrumuturile în </w:t>
      </w:r>
      <w:r w:rsidR="00DA2199" w:rsidRPr="00321F59">
        <w:rPr>
          <w:rFonts w:asciiTheme="majorHAnsi" w:hAnsiTheme="majorHAnsi" w:cstheme="majorHAnsi"/>
          <w:sz w:val="24"/>
          <w:szCs w:val="24"/>
          <w:lang w:val="ro-MD"/>
          <w14:glow w14:rad="0">
            <w14:schemeClr w14:val="tx1"/>
          </w14:glow>
        </w:rPr>
        <w:t>dol. SUA</w:t>
      </w:r>
      <w:r w:rsidR="00F16DFF" w:rsidRPr="00321F59">
        <w:rPr>
          <w:rFonts w:asciiTheme="majorHAnsi" w:hAnsiTheme="majorHAnsi" w:cstheme="majorHAnsi"/>
          <w:sz w:val="24"/>
          <w:szCs w:val="24"/>
          <w:lang w:val="ro-MD"/>
          <w14:glow w14:rad="0">
            <w14:schemeClr w14:val="tx1"/>
          </w14:glow>
        </w:rPr>
        <w:t xml:space="preserve"> sau euro, ratele vor fi variabile, ajustate la fiecare jumătate de an în baza ratelor de referință ale MF/DLC pentru </w:t>
      </w:r>
      <w:r w:rsidR="00DA2199" w:rsidRPr="00321F59">
        <w:rPr>
          <w:rFonts w:asciiTheme="majorHAnsi" w:hAnsiTheme="majorHAnsi" w:cstheme="majorHAnsi"/>
          <w:sz w:val="24"/>
          <w:szCs w:val="24"/>
          <w:lang w:val="ro-MD"/>
          <w14:glow w14:rad="0">
            <w14:schemeClr w14:val="tx1"/>
          </w14:glow>
        </w:rPr>
        <w:t>dol. SUA</w:t>
      </w:r>
      <w:r w:rsidR="00F16DFF" w:rsidRPr="00321F59">
        <w:rPr>
          <w:rFonts w:asciiTheme="majorHAnsi" w:hAnsiTheme="majorHAnsi" w:cstheme="majorHAnsi"/>
          <w:sz w:val="24"/>
          <w:szCs w:val="24"/>
          <w:lang w:val="ro-MD"/>
          <w14:glow w14:rad="0">
            <w14:schemeClr w14:val="tx1"/>
          </w14:glow>
        </w:rPr>
        <w:t xml:space="preserve">/euro (adică ratele LIBOR și EURIBOR pentru 6 luni) plus o </w:t>
      </w:r>
      <w:r w:rsidRPr="00321F59">
        <w:rPr>
          <w:rFonts w:asciiTheme="majorHAnsi" w:hAnsiTheme="majorHAnsi" w:cstheme="majorHAnsi"/>
          <w:sz w:val="24"/>
          <w:szCs w:val="24"/>
          <w:lang w:val="ro-MD"/>
          <w14:glow w14:rad="0">
            <w14:schemeClr w14:val="tx1"/>
          </w14:glow>
        </w:rPr>
        <w:t>marjă a dobânzii pe recreditare;</w:t>
      </w:r>
    </w:p>
    <w:p w:rsidR="00F16DFF" w:rsidRPr="00321F59" w:rsidRDefault="00733212" w:rsidP="00805CC0">
      <w:pPr>
        <w:pStyle w:val="ListParagraph"/>
        <w:numPr>
          <w:ilvl w:val="0"/>
          <w:numId w:val="3"/>
        </w:numPr>
        <w:spacing w:line="276" w:lineRule="auto"/>
        <w:ind w:left="0" w:firstLine="360"/>
        <w:jc w:val="both"/>
        <w:rPr>
          <w:rFonts w:asciiTheme="majorHAnsi" w:hAnsiTheme="majorHAnsi" w:cstheme="majorHAns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t>p</w:t>
      </w:r>
      <w:r w:rsidR="009A64D4" w:rsidRPr="00321F59">
        <w:rPr>
          <w:rFonts w:asciiTheme="majorHAnsi" w:hAnsiTheme="majorHAnsi" w:cstheme="majorHAnsi"/>
          <w:sz w:val="24"/>
          <w:szCs w:val="24"/>
          <w:lang w:val="ro-MD"/>
          <w14:glow w14:rad="0">
            <w14:schemeClr w14:val="tx1"/>
          </w14:glow>
        </w:rPr>
        <w:t>entru împrumuturile în lei</w:t>
      </w:r>
      <w:r w:rsidRPr="00321F59">
        <w:rPr>
          <w:rFonts w:asciiTheme="majorHAnsi" w:hAnsiTheme="majorHAnsi" w:cstheme="majorHAnsi"/>
          <w:sz w:val="24"/>
          <w:szCs w:val="24"/>
          <w:lang w:val="ro-MD"/>
          <w14:glow w14:rad="0">
            <w14:schemeClr w14:val="tx1"/>
          </w14:glow>
        </w:rPr>
        <w:t>,</w:t>
      </w:r>
      <w:r w:rsidR="00F16DFF" w:rsidRPr="00321F59">
        <w:rPr>
          <w:rFonts w:asciiTheme="majorHAnsi" w:hAnsiTheme="majorHAnsi" w:cstheme="majorHAnsi"/>
          <w:sz w:val="24"/>
          <w:szCs w:val="24"/>
          <w:lang w:val="ro-MD"/>
          <w14:glow w14:rad="0">
            <w14:schemeClr w14:val="tx1"/>
          </w14:glow>
        </w:rPr>
        <w:t xml:space="preserve"> rata dobânzii va fi variabilă, ajustată la fiecare jumătate de an în baza ratei de referință MF/DLC, care va fi egală cu: la începutul fiecărui an calendaristic, media dintre ra</w:t>
      </w:r>
      <w:r w:rsidRPr="00321F59">
        <w:rPr>
          <w:rFonts w:asciiTheme="majorHAnsi" w:hAnsiTheme="majorHAnsi" w:cstheme="majorHAnsi"/>
          <w:sz w:val="24"/>
          <w:szCs w:val="24"/>
          <w:lang w:val="ro-MD"/>
          <w14:glow w14:rad="0">
            <w14:schemeClr w14:val="tx1"/>
          </w14:glow>
        </w:rPr>
        <w:t>ta anuală a inflației prognozate</w:t>
      </w:r>
      <w:r w:rsidR="00F16DFF" w:rsidRPr="00321F59">
        <w:rPr>
          <w:rFonts w:asciiTheme="majorHAnsi" w:hAnsiTheme="majorHAnsi" w:cstheme="majorHAnsi"/>
          <w:sz w:val="24"/>
          <w:szCs w:val="24"/>
          <w:lang w:val="ro-MD"/>
          <w14:glow w14:rad="0">
            <w14:schemeClr w14:val="tx1"/>
          </w14:glow>
        </w:rPr>
        <w:t xml:space="preserve"> de BNM pentru anul curent și rata reală a inflației pentr</w:t>
      </w:r>
      <w:r w:rsidRPr="00321F59">
        <w:rPr>
          <w:rFonts w:asciiTheme="majorHAnsi" w:hAnsiTheme="majorHAnsi" w:cstheme="majorHAnsi"/>
          <w:sz w:val="24"/>
          <w:szCs w:val="24"/>
          <w:lang w:val="ro-MD"/>
          <w14:glow w14:rad="0">
            <w14:schemeClr w14:val="tx1"/>
          </w14:glow>
        </w:rPr>
        <w:t>u anul precedent;</w:t>
      </w:r>
      <w:r w:rsidR="00F16DFF" w:rsidRPr="00321F59">
        <w:rPr>
          <w:rFonts w:asciiTheme="majorHAnsi" w:hAnsiTheme="majorHAnsi" w:cstheme="majorHAnsi"/>
          <w:sz w:val="24"/>
          <w:szCs w:val="24"/>
          <w:lang w:val="ro-MD"/>
          <w14:glow w14:rad="0">
            <w14:schemeClr w14:val="tx1"/>
          </w14:glow>
        </w:rPr>
        <w:t xml:space="preserve"> în a doua jumătate a anului, inflația reală pentru primele 6 luni ale anului, plus prognoza revizuită pentru cele 6 luni rămase ale anului și plus o marjă</w:t>
      </w:r>
      <w:r w:rsidR="00AC2861" w:rsidRPr="00321F59">
        <w:rPr>
          <w:rFonts w:asciiTheme="majorHAnsi" w:hAnsiTheme="majorHAnsi" w:cstheme="majorHAnsi"/>
          <w:sz w:val="24"/>
          <w:szCs w:val="24"/>
          <w:lang w:val="ro-MD"/>
          <w14:glow w14:rad="0">
            <w14:schemeClr w14:val="tx1"/>
          </w14:glow>
        </w:rPr>
        <w:t xml:space="preserve"> a dobânzii pentru recreditare. Totodată, în scopul diminuării ratelor dobânzii de recreditare a fondurilor prin IFP, Consiliul DLC poate ajusta și apl</w:t>
      </w:r>
      <w:r w:rsidR="009A64D4" w:rsidRPr="00321F59">
        <w:rPr>
          <w:rFonts w:asciiTheme="majorHAnsi" w:hAnsiTheme="majorHAnsi" w:cstheme="majorHAnsi"/>
          <w:sz w:val="24"/>
          <w:szCs w:val="24"/>
          <w:lang w:val="ro-MD"/>
          <w14:glow w14:rad="0">
            <w14:schemeClr w14:val="tx1"/>
          </w14:glow>
        </w:rPr>
        <w:t>ica rata de referință pentru lei</w:t>
      </w:r>
      <w:r w:rsidR="00AC2861" w:rsidRPr="00321F59">
        <w:rPr>
          <w:rFonts w:asciiTheme="majorHAnsi" w:hAnsiTheme="majorHAnsi" w:cstheme="majorHAnsi"/>
          <w:sz w:val="24"/>
          <w:szCs w:val="24"/>
          <w:lang w:val="ro-MD"/>
          <w14:glow w14:rad="0">
            <w14:schemeClr w14:val="tx1"/>
          </w14:glow>
        </w:rPr>
        <w:t xml:space="preserve"> pe baza ratei BN</w:t>
      </w:r>
      <w:r w:rsidRPr="00321F59">
        <w:rPr>
          <w:rFonts w:asciiTheme="majorHAnsi" w:hAnsiTheme="majorHAnsi" w:cstheme="majorHAnsi"/>
          <w:sz w:val="24"/>
          <w:szCs w:val="24"/>
          <w:lang w:val="ro-MD"/>
          <w14:glow w14:rad="0">
            <w14:schemeClr w14:val="tx1"/>
          </w14:glow>
        </w:rPr>
        <w:t>M de refinanțare pe termen lung</w:t>
      </w:r>
      <w:r w:rsidR="00AC2861" w:rsidRPr="00321F59">
        <w:rPr>
          <w:rFonts w:asciiTheme="majorHAnsi" w:hAnsiTheme="majorHAnsi" w:cstheme="majorHAnsi"/>
          <w:sz w:val="24"/>
          <w:szCs w:val="24"/>
          <w:lang w:val="ro-MD"/>
          <w14:glow w14:rad="0">
            <w14:schemeClr w14:val="tx1"/>
          </w14:glow>
        </w:rPr>
        <w:t xml:space="preserve"> sau altă rată aplicată.</w:t>
      </w:r>
    </w:p>
    <w:p w:rsidR="00254CA7" w:rsidRPr="00321F59" w:rsidRDefault="00254CA7" w:rsidP="00AC2861">
      <w:pPr>
        <w:spacing w:line="276" w:lineRule="auto"/>
        <w:jc w:val="both"/>
        <w:rPr>
          <w:rFonts w:asciiTheme="majorHAnsi" w:hAnsiTheme="majorHAnsi" w:cstheme="majorHAns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t xml:space="preserve">Marja dobânzii </w:t>
      </w:r>
      <w:r w:rsidR="00733212" w:rsidRPr="00321F59">
        <w:rPr>
          <w:rFonts w:asciiTheme="majorHAnsi" w:hAnsiTheme="majorHAnsi" w:cstheme="majorHAnsi"/>
          <w:sz w:val="24"/>
          <w:szCs w:val="24"/>
          <w:lang w:val="ro-MD"/>
          <w14:glow w14:rad="0">
            <w14:schemeClr w14:val="tx1"/>
          </w14:glow>
        </w:rPr>
        <w:t>de</w:t>
      </w:r>
      <w:r w:rsidRPr="00321F59">
        <w:rPr>
          <w:rFonts w:asciiTheme="majorHAnsi" w:hAnsiTheme="majorHAnsi" w:cstheme="majorHAnsi"/>
          <w:sz w:val="24"/>
          <w:szCs w:val="24"/>
          <w:lang w:val="ro-MD"/>
          <w14:glow w14:rad="0">
            <w14:schemeClr w14:val="tx1"/>
          </w14:glow>
        </w:rPr>
        <w:t xml:space="preserve"> recreditare pentru perioada analizată constituie 0,6% și se formează din 0,3% destinate defalcărilor în </w:t>
      </w:r>
      <w:r w:rsidRPr="0024512C">
        <w:rPr>
          <w:rFonts w:asciiTheme="majorHAnsi" w:eastAsia="Times New Roman" w:hAnsiTheme="majorHAnsi" w:cstheme="majorHAnsi"/>
          <w:bCs/>
          <w:color w:val="000000"/>
          <w:sz w:val="24"/>
          <w:szCs w:val="24"/>
          <w:lang w:val="ro-MD" w:eastAsia="ru-RU"/>
        </w:rPr>
        <w:t>fondul de risc și 0,3% destinate constituir</w:t>
      </w:r>
      <w:r w:rsidR="00ED0461" w:rsidRPr="0024512C">
        <w:rPr>
          <w:rFonts w:asciiTheme="majorHAnsi" w:eastAsia="Times New Roman" w:hAnsiTheme="majorHAnsi" w:cstheme="majorHAnsi"/>
          <w:bCs/>
          <w:color w:val="000000"/>
          <w:sz w:val="24"/>
          <w:szCs w:val="24"/>
          <w:lang w:val="ro-MD" w:eastAsia="ru-RU"/>
        </w:rPr>
        <w:t>ii</w:t>
      </w:r>
      <w:r w:rsidRPr="005C74F5">
        <w:rPr>
          <w:rFonts w:asciiTheme="majorHAnsi" w:eastAsia="Times New Roman" w:hAnsiTheme="majorHAnsi" w:cstheme="majorHAnsi"/>
          <w:bCs/>
          <w:color w:val="000000"/>
          <w:sz w:val="24"/>
          <w:szCs w:val="24"/>
          <w:lang w:val="ro-MD" w:eastAsia="ru-RU"/>
        </w:rPr>
        <w:t xml:space="preserve"> fondului de </w:t>
      </w:r>
      <w:r w:rsidRPr="00321F59">
        <w:rPr>
          <w:rFonts w:asciiTheme="majorHAnsi" w:eastAsia="Times New Roman" w:hAnsiTheme="majorHAnsi" w:cstheme="majorHAnsi"/>
          <w:bCs/>
          <w:color w:val="000000"/>
          <w:sz w:val="24"/>
          <w:szCs w:val="24"/>
          <w:lang w:val="ro-MD" w:eastAsia="ru-RU"/>
        </w:rPr>
        <w:t>autofinanțare a</w:t>
      </w:r>
      <w:r w:rsidR="00ED0461" w:rsidRPr="00321F59">
        <w:rPr>
          <w:rFonts w:asciiTheme="majorHAnsi" w:eastAsia="Times New Roman" w:hAnsiTheme="majorHAnsi" w:cstheme="majorHAnsi"/>
          <w:bCs/>
          <w:color w:val="000000"/>
          <w:sz w:val="24"/>
          <w:szCs w:val="24"/>
          <w:lang w:val="ro-MD" w:eastAsia="ru-RU"/>
        </w:rPr>
        <w:t>l</w:t>
      </w:r>
      <w:r w:rsidRPr="0024512C">
        <w:rPr>
          <w:rFonts w:asciiTheme="majorHAnsi" w:eastAsia="Times New Roman" w:hAnsiTheme="majorHAnsi" w:cstheme="majorHAnsi"/>
          <w:bCs/>
          <w:color w:val="000000"/>
          <w:sz w:val="24"/>
          <w:szCs w:val="24"/>
          <w:lang w:val="ro-MD" w:eastAsia="ru-RU"/>
        </w:rPr>
        <w:t xml:space="preserve"> DLC.</w:t>
      </w:r>
    </w:p>
    <w:p w:rsidR="00AC2861" w:rsidRPr="00321F59" w:rsidRDefault="008335CD" w:rsidP="00AC2861">
      <w:pPr>
        <w:spacing w:line="276" w:lineRule="auto"/>
        <w:jc w:val="both"/>
        <w:rPr>
          <w:rFonts w:asciiTheme="majorHAnsi" w:hAnsiTheme="majorHAnsi" w:cstheme="majorHAnsi"/>
          <w:i/>
          <w:sz w:val="24"/>
          <w:szCs w:val="24"/>
          <w:lang w:val="ro-MD"/>
          <w14:glow w14:rad="0">
            <w14:schemeClr w14:val="tx1"/>
          </w14:glow>
        </w:rPr>
      </w:pPr>
      <w:r w:rsidRPr="00321F59">
        <w:rPr>
          <w:rFonts w:asciiTheme="majorHAnsi" w:hAnsiTheme="majorHAnsi" w:cstheme="majorHAnsi"/>
          <w:i/>
          <w:sz w:val="24"/>
          <w:szCs w:val="24"/>
          <w:lang w:val="ro-MD"/>
          <w14:glow w14:rad="0">
            <w14:schemeClr w14:val="tx1"/>
          </w14:glow>
        </w:rPr>
        <w:t>Ratele medii a</w:t>
      </w:r>
      <w:r w:rsidR="00733212" w:rsidRPr="00321F59">
        <w:rPr>
          <w:rFonts w:asciiTheme="majorHAnsi" w:hAnsiTheme="majorHAnsi" w:cstheme="majorHAnsi"/>
          <w:i/>
          <w:sz w:val="24"/>
          <w:szCs w:val="24"/>
          <w:lang w:val="ro-MD"/>
          <w14:glow w14:rad="0">
            <w14:schemeClr w14:val="tx1"/>
          </w14:glow>
        </w:rPr>
        <w:t>le</w:t>
      </w:r>
      <w:r w:rsidRPr="00321F59">
        <w:rPr>
          <w:rFonts w:asciiTheme="majorHAnsi" w:hAnsiTheme="majorHAnsi" w:cstheme="majorHAnsi"/>
          <w:i/>
          <w:sz w:val="24"/>
          <w:szCs w:val="24"/>
          <w:lang w:val="ro-MD"/>
          <w14:glow w14:rad="0">
            <w14:schemeClr w14:val="tx1"/>
          </w14:glow>
        </w:rPr>
        <w:t xml:space="preserve"> dobânzilor stabilite de DLC pentru Liniile de credit gestionate se prezintă în Tabelul nr</w:t>
      </w:r>
      <w:r w:rsidR="00C46CD1" w:rsidRPr="00321F59">
        <w:rPr>
          <w:rFonts w:asciiTheme="majorHAnsi" w:hAnsiTheme="majorHAnsi" w:cstheme="majorHAnsi"/>
          <w:i/>
          <w:sz w:val="24"/>
          <w:szCs w:val="24"/>
          <w:lang w:val="ro-MD"/>
          <w14:glow w14:rad="0">
            <w14:schemeClr w14:val="tx1"/>
          </w14:glow>
        </w:rPr>
        <w:t>. 3</w:t>
      </w:r>
      <w:r w:rsidRPr="00321F59">
        <w:rPr>
          <w:rFonts w:asciiTheme="majorHAnsi" w:hAnsiTheme="majorHAnsi" w:cstheme="majorHAnsi"/>
          <w:i/>
          <w:sz w:val="24"/>
          <w:szCs w:val="24"/>
          <w:lang w:val="ro-MD"/>
          <w14:glow w14:rad="0">
            <w14:schemeClr w14:val="tx1"/>
          </w14:glow>
        </w:rPr>
        <w:t>.</w:t>
      </w:r>
    </w:p>
    <w:p w:rsidR="008335CD" w:rsidRPr="00321F59" w:rsidRDefault="008335CD" w:rsidP="00062319">
      <w:pPr>
        <w:spacing w:after="0" w:line="276" w:lineRule="auto"/>
        <w:jc w:val="right"/>
        <w:rPr>
          <w:rFonts w:asciiTheme="majorHAnsi" w:hAnsiTheme="majorHAnsi" w:cstheme="majorHAnsi"/>
          <w:b/>
          <w:i/>
          <w:color w:val="5B9BD5" w:themeColor="accent1"/>
          <w:sz w:val="24"/>
          <w:szCs w:val="24"/>
          <w:lang w:val="ro-MD"/>
          <w14:glow w14:rad="0">
            <w14:schemeClr w14:val="tx1"/>
          </w14:glow>
        </w:rPr>
      </w:pPr>
      <w:r w:rsidRPr="00321F59">
        <w:rPr>
          <w:rFonts w:asciiTheme="majorHAnsi" w:hAnsiTheme="majorHAnsi" w:cstheme="majorHAnsi"/>
          <w:b/>
          <w:i/>
          <w:color w:val="5B9BD5" w:themeColor="accent1"/>
          <w:sz w:val="24"/>
          <w:szCs w:val="24"/>
          <w:lang w:val="ro-MD"/>
          <w14:glow w14:rad="0">
            <w14:schemeClr w14:val="tx1"/>
          </w14:glow>
        </w:rPr>
        <w:t>Tabelul nr.</w:t>
      </w:r>
      <w:r w:rsidR="00C46CD1" w:rsidRPr="00321F59">
        <w:rPr>
          <w:rFonts w:asciiTheme="majorHAnsi" w:hAnsiTheme="majorHAnsi" w:cstheme="majorHAnsi"/>
          <w:b/>
          <w:i/>
          <w:color w:val="5B9BD5" w:themeColor="accent1"/>
          <w:sz w:val="24"/>
          <w:szCs w:val="24"/>
          <w:lang w:val="ro-MD"/>
          <w14:glow w14:rad="0">
            <w14:schemeClr w14:val="tx1"/>
          </w14:glow>
        </w:rPr>
        <w:t xml:space="preserve"> 3</w:t>
      </w:r>
      <w:r w:rsidRPr="00321F59">
        <w:rPr>
          <w:rFonts w:asciiTheme="majorHAnsi" w:hAnsiTheme="majorHAnsi" w:cstheme="majorHAnsi"/>
          <w:b/>
          <w:i/>
          <w:color w:val="5B9BD5" w:themeColor="accent1"/>
          <w:sz w:val="24"/>
          <w:szCs w:val="24"/>
          <w:lang w:val="ro-MD"/>
          <w14:glow w14:rad="0">
            <w14:schemeClr w14:val="tx1"/>
          </w14:glow>
        </w:rPr>
        <w:t>, %</w:t>
      </w:r>
    </w:p>
    <w:tbl>
      <w:tblPr>
        <w:tblStyle w:val="TableGrid"/>
        <w:tblW w:w="0" w:type="auto"/>
        <w:tblLook w:val="04A0" w:firstRow="1" w:lastRow="0" w:firstColumn="1" w:lastColumn="0" w:noHBand="0" w:noVBand="1"/>
      </w:tblPr>
      <w:tblGrid>
        <w:gridCol w:w="2336"/>
        <w:gridCol w:w="2336"/>
        <w:gridCol w:w="2336"/>
        <w:gridCol w:w="2337"/>
      </w:tblGrid>
      <w:tr w:rsidR="008335CD" w:rsidRPr="0024512C" w:rsidTr="00062319">
        <w:tc>
          <w:tcPr>
            <w:tcW w:w="2336" w:type="dxa"/>
            <w:shd w:val="clear" w:color="auto" w:fill="DEEAF6" w:themeFill="accent1" w:themeFillTint="33"/>
          </w:tcPr>
          <w:p w:rsidR="008335CD" w:rsidRPr="00321F59" w:rsidRDefault="008335CD" w:rsidP="008335CD">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Data/Valuta</w:t>
            </w:r>
          </w:p>
        </w:tc>
        <w:tc>
          <w:tcPr>
            <w:tcW w:w="2336" w:type="dxa"/>
            <w:shd w:val="clear" w:color="auto" w:fill="DEEAF6" w:themeFill="accent1" w:themeFillTint="33"/>
          </w:tcPr>
          <w:p w:rsidR="008335CD" w:rsidRPr="00321F59" w:rsidRDefault="00DA2199" w:rsidP="008335CD">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dol. SUA</w:t>
            </w:r>
          </w:p>
        </w:tc>
        <w:tc>
          <w:tcPr>
            <w:tcW w:w="2336" w:type="dxa"/>
            <w:shd w:val="clear" w:color="auto" w:fill="DEEAF6" w:themeFill="accent1" w:themeFillTint="33"/>
          </w:tcPr>
          <w:p w:rsidR="008335CD" w:rsidRPr="00321F59" w:rsidRDefault="008335CD" w:rsidP="008335CD">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euro</w:t>
            </w:r>
          </w:p>
        </w:tc>
        <w:tc>
          <w:tcPr>
            <w:tcW w:w="2337" w:type="dxa"/>
            <w:shd w:val="clear" w:color="auto" w:fill="DEEAF6" w:themeFill="accent1" w:themeFillTint="33"/>
          </w:tcPr>
          <w:p w:rsidR="008335CD" w:rsidRPr="00321F59" w:rsidRDefault="00A848DC" w:rsidP="008335CD">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lei</w:t>
            </w:r>
          </w:p>
        </w:tc>
      </w:tr>
      <w:tr w:rsidR="008335CD" w:rsidRPr="0024512C" w:rsidTr="008335CD">
        <w:tc>
          <w:tcPr>
            <w:tcW w:w="2336" w:type="dxa"/>
          </w:tcPr>
          <w:p w:rsidR="008335CD" w:rsidRPr="00321F59" w:rsidRDefault="008335CD" w:rsidP="008335C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01.01.2019</w:t>
            </w:r>
          </w:p>
        </w:tc>
        <w:tc>
          <w:tcPr>
            <w:tcW w:w="2336" w:type="dxa"/>
          </w:tcPr>
          <w:p w:rsidR="008335CD" w:rsidRPr="00321F59" w:rsidRDefault="008335CD" w:rsidP="008335C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3,346</w:t>
            </w:r>
          </w:p>
        </w:tc>
        <w:tc>
          <w:tcPr>
            <w:tcW w:w="2336" w:type="dxa"/>
          </w:tcPr>
          <w:p w:rsidR="008335CD" w:rsidRPr="00321F59" w:rsidRDefault="008335CD" w:rsidP="008335C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1,128</w:t>
            </w:r>
          </w:p>
        </w:tc>
        <w:tc>
          <w:tcPr>
            <w:tcW w:w="2337" w:type="dxa"/>
          </w:tcPr>
          <w:p w:rsidR="008335CD" w:rsidRPr="00321F59" w:rsidRDefault="008335CD" w:rsidP="008335C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6,129</w:t>
            </w:r>
          </w:p>
        </w:tc>
      </w:tr>
      <w:tr w:rsidR="008335CD" w:rsidRPr="0024512C" w:rsidTr="008335CD">
        <w:tc>
          <w:tcPr>
            <w:tcW w:w="2336" w:type="dxa"/>
          </w:tcPr>
          <w:p w:rsidR="008335CD" w:rsidRPr="00321F59" w:rsidRDefault="008335CD" w:rsidP="008335C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31.12.2019</w:t>
            </w:r>
          </w:p>
        </w:tc>
        <w:tc>
          <w:tcPr>
            <w:tcW w:w="2336" w:type="dxa"/>
          </w:tcPr>
          <w:p w:rsidR="008335CD" w:rsidRPr="00321F59" w:rsidRDefault="008335CD" w:rsidP="008335C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2,754</w:t>
            </w:r>
          </w:p>
        </w:tc>
        <w:tc>
          <w:tcPr>
            <w:tcW w:w="2336" w:type="dxa"/>
          </w:tcPr>
          <w:p w:rsidR="008335CD" w:rsidRPr="00321F59" w:rsidRDefault="008335CD" w:rsidP="008335C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1,081</w:t>
            </w:r>
          </w:p>
        </w:tc>
        <w:tc>
          <w:tcPr>
            <w:tcW w:w="2337" w:type="dxa"/>
          </w:tcPr>
          <w:p w:rsidR="008335CD" w:rsidRPr="00321F59" w:rsidRDefault="008335CD" w:rsidP="008335C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5,543</w:t>
            </w:r>
          </w:p>
        </w:tc>
      </w:tr>
      <w:tr w:rsidR="008335CD" w:rsidRPr="0024512C" w:rsidTr="008335CD">
        <w:tc>
          <w:tcPr>
            <w:tcW w:w="2336" w:type="dxa"/>
          </w:tcPr>
          <w:p w:rsidR="008335CD" w:rsidRPr="00321F59" w:rsidRDefault="008335CD" w:rsidP="008335C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Diferența</w:t>
            </w:r>
          </w:p>
        </w:tc>
        <w:tc>
          <w:tcPr>
            <w:tcW w:w="2336" w:type="dxa"/>
          </w:tcPr>
          <w:p w:rsidR="008335CD" w:rsidRPr="00321F59" w:rsidRDefault="008335CD" w:rsidP="008335C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-0,592</w:t>
            </w:r>
          </w:p>
        </w:tc>
        <w:tc>
          <w:tcPr>
            <w:tcW w:w="2336" w:type="dxa"/>
          </w:tcPr>
          <w:p w:rsidR="008335CD" w:rsidRPr="00321F59" w:rsidRDefault="008335CD" w:rsidP="008335C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-0,047</w:t>
            </w:r>
          </w:p>
        </w:tc>
        <w:tc>
          <w:tcPr>
            <w:tcW w:w="2337" w:type="dxa"/>
          </w:tcPr>
          <w:p w:rsidR="008335CD" w:rsidRPr="00321F59" w:rsidRDefault="008335CD" w:rsidP="008335C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-0,586</w:t>
            </w:r>
          </w:p>
        </w:tc>
      </w:tr>
    </w:tbl>
    <w:p w:rsidR="008335CD" w:rsidRPr="00321F59" w:rsidRDefault="00E34E4A" w:rsidP="008335CD">
      <w:pPr>
        <w:spacing w:line="276" w:lineRule="auto"/>
        <w:jc w:val="both"/>
        <w:rPr>
          <w:rFonts w:asciiTheme="majorHAnsi" w:hAnsiTheme="majorHAnsi" w:cstheme="majorHAnsi"/>
          <w:i/>
          <w:sz w:val="20"/>
          <w:szCs w:val="20"/>
          <w:lang w:val="ro-MD"/>
          <w14:glow w14:rad="0">
            <w14:schemeClr w14:val="tx1"/>
          </w14:glow>
        </w:rPr>
      </w:pPr>
      <w:r w:rsidRPr="00321F59">
        <w:rPr>
          <w:rFonts w:asciiTheme="majorHAnsi" w:hAnsiTheme="majorHAnsi" w:cstheme="majorHAnsi"/>
          <w:b/>
          <w:i/>
          <w:sz w:val="20"/>
          <w:szCs w:val="20"/>
          <w:lang w:val="ro-MD"/>
          <w14:glow w14:rad="0">
            <w14:schemeClr w14:val="tx1"/>
          </w14:glow>
        </w:rPr>
        <w:t>Sursa:</w:t>
      </w:r>
      <w:r w:rsidRPr="00321F59">
        <w:rPr>
          <w:rFonts w:asciiTheme="majorHAnsi" w:hAnsiTheme="majorHAnsi" w:cstheme="majorHAnsi"/>
          <w:i/>
          <w:sz w:val="20"/>
          <w:szCs w:val="20"/>
          <w:lang w:val="ro-MD"/>
          <w14:glow w14:rad="0">
            <w14:schemeClr w14:val="tx1"/>
          </w14:glow>
        </w:rPr>
        <w:t xml:space="preserve"> Întocmit de către echipa de audit în baza informației DLC privind ratele medii a</w:t>
      </w:r>
      <w:r w:rsidR="00733212" w:rsidRPr="00321F59">
        <w:rPr>
          <w:rFonts w:asciiTheme="majorHAnsi" w:hAnsiTheme="majorHAnsi" w:cstheme="majorHAnsi"/>
          <w:i/>
          <w:sz w:val="20"/>
          <w:szCs w:val="20"/>
          <w:lang w:val="ro-MD"/>
          <w14:glow w14:rad="0">
            <w14:schemeClr w14:val="tx1"/>
          </w14:glow>
        </w:rPr>
        <w:t>le</w:t>
      </w:r>
      <w:r w:rsidRPr="00321F59">
        <w:rPr>
          <w:rFonts w:asciiTheme="majorHAnsi" w:hAnsiTheme="majorHAnsi" w:cstheme="majorHAnsi"/>
          <w:i/>
          <w:sz w:val="20"/>
          <w:szCs w:val="20"/>
          <w:lang w:val="ro-MD"/>
          <w14:glow w14:rad="0">
            <w14:schemeClr w14:val="tx1"/>
          </w14:glow>
        </w:rPr>
        <w:t xml:space="preserve"> dobânzilor stabilite de DLC pentru Liniile de credit în anii 2015-2019.</w:t>
      </w:r>
    </w:p>
    <w:p w:rsidR="008335CD" w:rsidRPr="00321F59" w:rsidRDefault="008335CD" w:rsidP="008335CD">
      <w:pPr>
        <w:spacing w:line="276" w:lineRule="auto"/>
        <w:jc w:val="both"/>
        <w:rPr>
          <w:rFonts w:asciiTheme="majorHAnsi" w:hAnsiTheme="majorHAnsi" w:cstheme="majorHAns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t>Datele din tabel denotă o tendință pozitivă de reduce</w:t>
      </w:r>
      <w:r w:rsidR="00733212" w:rsidRPr="00321F59">
        <w:rPr>
          <w:rFonts w:asciiTheme="majorHAnsi" w:hAnsiTheme="majorHAnsi" w:cstheme="majorHAnsi"/>
          <w:sz w:val="24"/>
          <w:szCs w:val="24"/>
          <w:lang w:val="ro-MD"/>
          <w14:glow w14:rad="0">
            <w14:schemeClr w14:val="tx1"/>
          </w14:glow>
        </w:rPr>
        <w:t>re</w:t>
      </w:r>
      <w:r w:rsidRPr="00321F59">
        <w:rPr>
          <w:rFonts w:asciiTheme="majorHAnsi" w:hAnsiTheme="majorHAnsi" w:cstheme="majorHAnsi"/>
          <w:sz w:val="24"/>
          <w:szCs w:val="24"/>
          <w:lang w:val="ro-MD"/>
          <w14:glow w14:rad="0">
            <w14:schemeClr w14:val="tx1"/>
          </w14:glow>
        </w:rPr>
        <w:t xml:space="preserve"> a ratelor de dobândă stabilite de DLC pe parcursul anului 2019 pentru sub-împrumuturile </w:t>
      </w:r>
      <w:proofErr w:type="spellStart"/>
      <w:r w:rsidRPr="00321F59">
        <w:rPr>
          <w:rFonts w:asciiTheme="majorHAnsi" w:hAnsiTheme="majorHAnsi" w:cstheme="majorHAnsi"/>
          <w:sz w:val="24"/>
          <w:szCs w:val="24"/>
          <w:lang w:val="ro-MD"/>
          <w14:glow w14:rad="0">
            <w14:schemeClr w14:val="tx1"/>
          </w14:glow>
        </w:rPr>
        <w:t>rec</w:t>
      </w:r>
      <w:r w:rsidR="00E34E4A" w:rsidRPr="00321F59">
        <w:rPr>
          <w:rFonts w:asciiTheme="majorHAnsi" w:hAnsiTheme="majorHAnsi" w:cstheme="majorHAnsi"/>
          <w:sz w:val="24"/>
          <w:szCs w:val="24"/>
          <w:lang w:val="ro-MD"/>
          <w14:glow w14:rad="0">
            <w14:schemeClr w14:val="tx1"/>
          </w14:glow>
        </w:rPr>
        <w:t>reditate</w:t>
      </w:r>
      <w:proofErr w:type="spellEnd"/>
      <w:r w:rsidR="00E34E4A" w:rsidRPr="00321F59">
        <w:rPr>
          <w:rFonts w:asciiTheme="majorHAnsi" w:hAnsiTheme="majorHAnsi" w:cstheme="majorHAnsi"/>
          <w:sz w:val="24"/>
          <w:szCs w:val="24"/>
          <w:lang w:val="ro-MD"/>
          <w14:glow w14:rad="0">
            <w14:schemeClr w14:val="tx1"/>
          </w14:glow>
        </w:rPr>
        <w:t xml:space="preserve"> în dol.</w:t>
      </w:r>
      <w:r w:rsidR="00733212" w:rsidRPr="00321F59">
        <w:rPr>
          <w:rFonts w:asciiTheme="majorHAnsi" w:hAnsiTheme="majorHAnsi" w:cstheme="majorHAnsi"/>
          <w:sz w:val="24"/>
          <w:szCs w:val="24"/>
          <w:lang w:val="ro-MD"/>
          <w14:glow w14:rad="0">
            <w14:schemeClr w14:val="tx1"/>
          </w14:glow>
        </w:rPr>
        <w:t xml:space="preserve"> </w:t>
      </w:r>
      <w:r w:rsidR="00E34E4A" w:rsidRPr="00321F59">
        <w:rPr>
          <w:rFonts w:asciiTheme="majorHAnsi" w:hAnsiTheme="majorHAnsi" w:cstheme="majorHAnsi"/>
          <w:sz w:val="24"/>
          <w:szCs w:val="24"/>
          <w:lang w:val="ro-MD"/>
          <w14:glow w14:rad="0">
            <w14:schemeClr w14:val="tx1"/>
          </w14:glow>
        </w:rPr>
        <w:t>SUA, euro și lei</w:t>
      </w:r>
      <w:r w:rsidRPr="00321F59">
        <w:rPr>
          <w:rFonts w:asciiTheme="majorHAnsi" w:hAnsiTheme="majorHAnsi" w:cstheme="majorHAnsi"/>
          <w:sz w:val="24"/>
          <w:szCs w:val="24"/>
          <w:lang w:val="ro-MD"/>
          <w14:glow w14:rad="0">
            <w14:schemeClr w14:val="tx1"/>
          </w14:glow>
        </w:rPr>
        <w:t xml:space="preserve">. </w:t>
      </w:r>
      <w:r w:rsidR="007717A6" w:rsidRPr="00321F59">
        <w:rPr>
          <w:rFonts w:asciiTheme="majorHAnsi" w:hAnsiTheme="majorHAnsi" w:cstheme="majorHAnsi"/>
          <w:sz w:val="24"/>
          <w:szCs w:val="24"/>
          <w:lang w:val="ro-MD"/>
          <w14:glow w14:rad="0">
            <w14:schemeClr w14:val="tx1"/>
          </w14:glow>
        </w:rPr>
        <w:t>Beneficiarul final însă</w:t>
      </w:r>
      <w:r w:rsidR="00994844" w:rsidRPr="00321F59">
        <w:rPr>
          <w:rFonts w:asciiTheme="majorHAnsi" w:hAnsiTheme="majorHAnsi" w:cstheme="majorHAnsi"/>
          <w:sz w:val="24"/>
          <w:szCs w:val="24"/>
          <w:lang w:val="ro-MD"/>
          <w14:glow w14:rad="0">
            <w14:schemeClr w14:val="tx1"/>
          </w14:glow>
        </w:rPr>
        <w:t xml:space="preserve"> va avea o povară mai mare și</w:t>
      </w:r>
      <w:r w:rsidR="00A77286" w:rsidRPr="00321F59">
        <w:rPr>
          <w:rFonts w:asciiTheme="majorHAnsi" w:hAnsiTheme="majorHAnsi" w:cstheme="majorHAnsi"/>
          <w:sz w:val="24"/>
          <w:szCs w:val="24"/>
          <w:lang w:val="ro-MD"/>
          <w14:glow w14:rad="0">
            <w14:schemeClr w14:val="tx1"/>
          </w14:glow>
        </w:rPr>
        <w:t>,</w:t>
      </w:r>
      <w:r w:rsidR="007717A6" w:rsidRPr="00321F59">
        <w:rPr>
          <w:rFonts w:asciiTheme="majorHAnsi" w:hAnsiTheme="majorHAnsi" w:cstheme="majorHAnsi"/>
          <w:sz w:val="24"/>
          <w:szCs w:val="24"/>
          <w:lang w:val="ro-MD"/>
          <w14:glow w14:rad="0">
            <w14:schemeClr w14:val="tx1"/>
          </w14:glow>
        </w:rPr>
        <w:t xml:space="preserve"> la contractarea unui sub-împrumut</w:t>
      </w:r>
      <w:r w:rsidR="00733212" w:rsidRPr="00321F59">
        <w:rPr>
          <w:rFonts w:asciiTheme="majorHAnsi" w:hAnsiTheme="majorHAnsi" w:cstheme="majorHAnsi"/>
          <w:sz w:val="24"/>
          <w:szCs w:val="24"/>
          <w:lang w:val="ro-MD"/>
          <w14:glow w14:rad="0">
            <w14:schemeClr w14:val="tx1"/>
          </w14:glow>
        </w:rPr>
        <w:t>,</w:t>
      </w:r>
      <w:r w:rsidR="007717A6" w:rsidRPr="00321F59">
        <w:rPr>
          <w:rFonts w:asciiTheme="majorHAnsi" w:hAnsiTheme="majorHAnsi" w:cstheme="majorHAnsi"/>
          <w:sz w:val="24"/>
          <w:szCs w:val="24"/>
          <w:lang w:val="ro-MD"/>
          <w14:glow w14:rad="0">
            <w14:schemeClr w14:val="tx1"/>
          </w14:glow>
        </w:rPr>
        <w:t xml:space="preserve"> va achita o rată a dobânzii cu circa 4% mai mare decât rata stabilită de DLC, </w:t>
      </w:r>
      <w:r w:rsidR="006853AD">
        <w:rPr>
          <w:rFonts w:asciiTheme="majorHAnsi" w:hAnsiTheme="majorHAnsi" w:cstheme="majorHAnsi"/>
          <w:sz w:val="24"/>
          <w:szCs w:val="24"/>
          <w:lang w:val="ro-MD"/>
          <w14:glow w14:rad="0">
            <w14:schemeClr w14:val="tx1"/>
          </w14:glow>
        </w:rPr>
        <w:t>din cauza</w:t>
      </w:r>
      <w:r w:rsidR="006853AD" w:rsidRPr="00321F59">
        <w:rPr>
          <w:rFonts w:asciiTheme="majorHAnsi" w:hAnsiTheme="majorHAnsi" w:cstheme="majorHAnsi"/>
          <w:sz w:val="24"/>
          <w:szCs w:val="24"/>
          <w:lang w:val="ro-MD"/>
          <w14:glow w14:rad="0">
            <w14:schemeClr w14:val="tx1"/>
          </w14:glow>
        </w:rPr>
        <w:t xml:space="preserve"> </w:t>
      </w:r>
      <w:r w:rsidR="007717A6" w:rsidRPr="00321F59">
        <w:rPr>
          <w:rFonts w:asciiTheme="majorHAnsi" w:hAnsiTheme="majorHAnsi" w:cstheme="majorHAnsi"/>
          <w:sz w:val="24"/>
          <w:szCs w:val="24"/>
          <w:lang w:val="ro-MD"/>
          <w14:glow w14:rad="0">
            <w14:schemeClr w14:val="tx1"/>
          </w14:glow>
        </w:rPr>
        <w:t>dobânzilor și comisio</w:t>
      </w:r>
      <w:r w:rsidR="00733212" w:rsidRPr="00321F59">
        <w:rPr>
          <w:rFonts w:asciiTheme="majorHAnsi" w:hAnsiTheme="majorHAnsi" w:cstheme="majorHAnsi"/>
          <w:sz w:val="24"/>
          <w:szCs w:val="24"/>
          <w:lang w:val="ro-MD"/>
          <w14:glow w14:rad="0">
            <w14:schemeClr w14:val="tx1"/>
          </w14:glow>
        </w:rPr>
        <w:t>anelor aplicate de IFP eligibile</w:t>
      </w:r>
      <w:r w:rsidR="007717A6" w:rsidRPr="00321F59">
        <w:rPr>
          <w:rFonts w:asciiTheme="majorHAnsi" w:hAnsiTheme="majorHAnsi" w:cstheme="majorHAnsi"/>
          <w:sz w:val="24"/>
          <w:szCs w:val="24"/>
          <w:lang w:val="ro-MD"/>
          <w14:glow w14:rad="0">
            <w14:schemeClr w14:val="tx1"/>
          </w14:glow>
        </w:rPr>
        <w:t xml:space="preserve"> pentru proiect</w:t>
      </w:r>
      <w:r w:rsidR="00733212" w:rsidRPr="00321F59">
        <w:rPr>
          <w:rFonts w:asciiTheme="majorHAnsi" w:hAnsiTheme="majorHAnsi" w:cstheme="majorHAnsi"/>
          <w:sz w:val="24"/>
          <w:szCs w:val="24"/>
          <w:lang w:val="ro-MD"/>
          <w14:glow w14:rad="0">
            <w14:schemeClr w14:val="tx1"/>
          </w14:glow>
        </w:rPr>
        <w:t>ul</w:t>
      </w:r>
      <w:r w:rsidR="007717A6" w:rsidRPr="00321F59">
        <w:rPr>
          <w:rFonts w:asciiTheme="majorHAnsi" w:hAnsiTheme="majorHAnsi" w:cstheme="majorHAnsi"/>
          <w:sz w:val="24"/>
          <w:szCs w:val="24"/>
          <w:lang w:val="ro-MD"/>
          <w14:glow w14:rad="0">
            <w14:schemeClr w14:val="tx1"/>
          </w14:glow>
        </w:rPr>
        <w:t xml:space="preserve"> prin care va fi contractat sub-împrumutul. Astfel, pentru finanțarea sectorului real al economiei</w:t>
      </w:r>
      <w:r w:rsidR="00733212" w:rsidRPr="00321F59">
        <w:rPr>
          <w:rFonts w:asciiTheme="majorHAnsi" w:hAnsiTheme="majorHAnsi" w:cstheme="majorHAnsi"/>
          <w:sz w:val="24"/>
          <w:szCs w:val="24"/>
          <w:lang w:val="ro-MD"/>
          <w14:glow w14:rad="0">
            <w14:schemeClr w14:val="tx1"/>
          </w14:glow>
        </w:rPr>
        <w:t>,</w:t>
      </w:r>
      <w:r w:rsidR="007717A6" w:rsidRPr="00321F59">
        <w:rPr>
          <w:rFonts w:asciiTheme="majorHAnsi" w:hAnsiTheme="majorHAnsi" w:cstheme="majorHAnsi"/>
          <w:sz w:val="24"/>
          <w:szCs w:val="24"/>
          <w:lang w:val="ro-MD"/>
          <w14:glow w14:rad="0">
            <w14:schemeClr w14:val="tx1"/>
          </w14:glow>
        </w:rPr>
        <w:t xml:space="preserve"> beneficiarul va achita o rată a dobânzii de circa 6,754% </w:t>
      </w:r>
      <w:r w:rsidR="007717A6" w:rsidRPr="00321F59">
        <w:rPr>
          <w:rFonts w:asciiTheme="majorHAnsi" w:hAnsiTheme="majorHAnsi" w:cstheme="majorHAnsi"/>
          <w:sz w:val="24"/>
          <w:szCs w:val="24"/>
          <w:lang w:val="ro-MD"/>
          <w14:glow w14:rad="0">
            <w14:schemeClr w14:val="tx1"/>
          </w14:glow>
        </w:rPr>
        <w:lastRenderedPageBreak/>
        <w:t>pentru un sub-împrumut contractat în dol.</w:t>
      </w:r>
      <w:r w:rsidR="00733212" w:rsidRPr="00321F59">
        <w:rPr>
          <w:rFonts w:asciiTheme="majorHAnsi" w:hAnsiTheme="majorHAnsi" w:cstheme="majorHAnsi"/>
          <w:sz w:val="24"/>
          <w:szCs w:val="24"/>
          <w:lang w:val="ro-MD"/>
          <w14:glow w14:rad="0">
            <w14:schemeClr w14:val="tx1"/>
          </w14:glow>
        </w:rPr>
        <w:t xml:space="preserve"> </w:t>
      </w:r>
      <w:r w:rsidR="007717A6" w:rsidRPr="00321F59">
        <w:rPr>
          <w:rFonts w:asciiTheme="majorHAnsi" w:hAnsiTheme="majorHAnsi" w:cstheme="majorHAnsi"/>
          <w:sz w:val="24"/>
          <w:szCs w:val="24"/>
          <w:lang w:val="ro-MD"/>
          <w14:glow w14:rad="0">
            <w14:schemeClr w14:val="tx1"/>
          </w14:glow>
        </w:rPr>
        <w:t xml:space="preserve">SUA, </w:t>
      </w:r>
      <w:r w:rsidR="00733212" w:rsidRPr="00321F59">
        <w:rPr>
          <w:rFonts w:asciiTheme="majorHAnsi" w:hAnsiTheme="majorHAnsi" w:cstheme="majorHAnsi"/>
          <w:sz w:val="24"/>
          <w:szCs w:val="24"/>
          <w:lang w:val="ro-MD"/>
          <w14:glow w14:rad="0">
            <w14:schemeClr w14:val="tx1"/>
          </w14:glow>
        </w:rPr>
        <w:t xml:space="preserve">de </w:t>
      </w:r>
      <w:r w:rsidR="007717A6" w:rsidRPr="00321F59">
        <w:rPr>
          <w:rFonts w:asciiTheme="majorHAnsi" w:hAnsiTheme="majorHAnsi" w:cstheme="majorHAnsi"/>
          <w:sz w:val="24"/>
          <w:szCs w:val="24"/>
          <w:lang w:val="ro-MD"/>
          <w14:glow w14:rad="0">
            <w14:schemeClr w14:val="tx1"/>
          </w14:glow>
        </w:rPr>
        <w:t xml:space="preserve">5,081% </w:t>
      </w:r>
      <w:r w:rsidR="00A33B69">
        <w:rPr>
          <w:rFonts w:asciiTheme="majorHAnsi" w:hAnsiTheme="majorHAnsi" w:cstheme="majorHAnsi"/>
          <w:sz w:val="24"/>
          <w:szCs w:val="24"/>
          <w:lang w:val="ro-MD"/>
          <w14:glow w14:rad="0">
            <w14:schemeClr w14:val="tx1"/>
          </w14:glow>
        </w:rPr>
        <w:t>–</w:t>
      </w:r>
      <w:r w:rsidR="00733212" w:rsidRPr="00321F59">
        <w:rPr>
          <w:rFonts w:asciiTheme="majorHAnsi" w:hAnsiTheme="majorHAnsi" w:cstheme="majorHAnsi"/>
          <w:sz w:val="24"/>
          <w:szCs w:val="24"/>
          <w:lang w:val="ro-MD"/>
          <w14:glow w14:rad="0">
            <w14:schemeClr w14:val="tx1"/>
          </w14:glow>
        </w:rPr>
        <w:t xml:space="preserve"> </w:t>
      </w:r>
      <w:r w:rsidR="007717A6" w:rsidRPr="00321F59">
        <w:rPr>
          <w:rFonts w:asciiTheme="majorHAnsi" w:hAnsiTheme="majorHAnsi" w:cstheme="majorHAnsi"/>
          <w:sz w:val="24"/>
          <w:szCs w:val="24"/>
          <w:lang w:val="ro-MD"/>
          <w14:glow w14:rad="0">
            <w14:schemeClr w14:val="tx1"/>
          </w14:glow>
        </w:rPr>
        <w:t>pentru un sub-împrumut contracta</w:t>
      </w:r>
      <w:r w:rsidR="00E34E4A" w:rsidRPr="00321F59">
        <w:rPr>
          <w:rFonts w:asciiTheme="majorHAnsi" w:hAnsiTheme="majorHAnsi" w:cstheme="majorHAnsi"/>
          <w:sz w:val="24"/>
          <w:szCs w:val="24"/>
          <w:lang w:val="ro-MD"/>
          <w14:glow w14:rad="0">
            <w14:schemeClr w14:val="tx1"/>
          </w14:glow>
        </w:rPr>
        <w:t>t în euro</w:t>
      </w:r>
      <w:r w:rsidR="00733212" w:rsidRPr="00321F59">
        <w:rPr>
          <w:rFonts w:asciiTheme="majorHAnsi" w:hAnsiTheme="majorHAnsi" w:cstheme="majorHAnsi"/>
          <w:sz w:val="24"/>
          <w:szCs w:val="24"/>
          <w:lang w:val="ro-MD"/>
          <w14:glow w14:rad="0">
            <w14:schemeClr w14:val="tx1"/>
          </w14:glow>
        </w:rPr>
        <w:t>,</w:t>
      </w:r>
      <w:r w:rsidR="00E34E4A" w:rsidRPr="00321F59">
        <w:rPr>
          <w:rFonts w:asciiTheme="majorHAnsi" w:hAnsiTheme="majorHAnsi" w:cstheme="majorHAnsi"/>
          <w:sz w:val="24"/>
          <w:szCs w:val="24"/>
          <w:lang w:val="ro-MD"/>
          <w14:glow w14:rad="0">
            <w14:schemeClr w14:val="tx1"/>
          </w14:glow>
        </w:rPr>
        <w:t xml:space="preserve"> și</w:t>
      </w:r>
      <w:r w:rsidR="00733212" w:rsidRPr="00321F59">
        <w:rPr>
          <w:rFonts w:asciiTheme="majorHAnsi" w:hAnsiTheme="majorHAnsi" w:cstheme="majorHAnsi"/>
          <w:sz w:val="24"/>
          <w:szCs w:val="24"/>
          <w:lang w:val="ro-MD"/>
          <w14:glow w14:rad="0">
            <w14:schemeClr w14:val="tx1"/>
          </w14:glow>
        </w:rPr>
        <w:t xml:space="preserve"> de</w:t>
      </w:r>
      <w:r w:rsidR="00E34E4A" w:rsidRPr="00321F59">
        <w:rPr>
          <w:rFonts w:asciiTheme="majorHAnsi" w:hAnsiTheme="majorHAnsi" w:cstheme="majorHAnsi"/>
          <w:sz w:val="24"/>
          <w:szCs w:val="24"/>
          <w:lang w:val="ro-MD"/>
          <w14:glow w14:rad="0">
            <w14:schemeClr w14:val="tx1"/>
          </w14:glow>
        </w:rPr>
        <w:t xml:space="preserve"> 9,543% </w:t>
      </w:r>
      <w:r w:rsidR="00A33B69">
        <w:rPr>
          <w:rFonts w:asciiTheme="majorHAnsi" w:hAnsiTheme="majorHAnsi" w:cstheme="majorHAnsi"/>
          <w:sz w:val="24"/>
          <w:szCs w:val="24"/>
          <w:lang w:val="ro-MD"/>
          <w14:glow w14:rad="0">
            <w14:schemeClr w14:val="tx1"/>
          </w14:glow>
        </w:rPr>
        <w:t>–</w:t>
      </w:r>
      <w:r w:rsidR="00E34E4A" w:rsidRPr="00321F59">
        <w:rPr>
          <w:rFonts w:asciiTheme="majorHAnsi" w:hAnsiTheme="majorHAnsi" w:cstheme="majorHAnsi"/>
          <w:sz w:val="24"/>
          <w:szCs w:val="24"/>
          <w:lang w:val="ro-MD"/>
          <w14:glow w14:rad="0">
            <w14:schemeClr w14:val="tx1"/>
          </w14:glow>
        </w:rPr>
        <w:t xml:space="preserve"> pentru </w:t>
      </w:r>
      <w:r w:rsidR="00733212" w:rsidRPr="00321F59">
        <w:rPr>
          <w:rFonts w:asciiTheme="majorHAnsi" w:hAnsiTheme="majorHAnsi" w:cstheme="majorHAnsi"/>
          <w:sz w:val="24"/>
          <w:szCs w:val="24"/>
          <w:lang w:val="ro-MD"/>
          <w14:glow w14:rad="0">
            <w14:schemeClr w14:val="tx1"/>
          </w14:glow>
        </w:rPr>
        <w:t xml:space="preserve">cel în </w:t>
      </w:r>
      <w:r w:rsidR="00E34E4A" w:rsidRPr="00321F59">
        <w:rPr>
          <w:rFonts w:asciiTheme="majorHAnsi" w:hAnsiTheme="majorHAnsi" w:cstheme="majorHAnsi"/>
          <w:sz w:val="24"/>
          <w:szCs w:val="24"/>
          <w:lang w:val="ro-MD"/>
          <w14:glow w14:rad="0">
            <w14:schemeClr w14:val="tx1"/>
          </w14:glow>
        </w:rPr>
        <w:t>lei</w:t>
      </w:r>
      <w:r w:rsidR="007717A6" w:rsidRPr="00321F59">
        <w:rPr>
          <w:rFonts w:asciiTheme="majorHAnsi" w:hAnsiTheme="majorHAnsi" w:cstheme="majorHAnsi"/>
          <w:sz w:val="24"/>
          <w:szCs w:val="24"/>
          <w:lang w:val="ro-MD"/>
          <w14:glow w14:rad="0">
            <w14:schemeClr w14:val="tx1"/>
          </w14:glow>
        </w:rPr>
        <w:t xml:space="preserve">. </w:t>
      </w:r>
    </w:p>
    <w:p w:rsidR="002C107F" w:rsidRPr="00A33B69" w:rsidRDefault="002C107F" w:rsidP="002C107F">
      <w:pPr>
        <w:spacing w:line="276" w:lineRule="auto"/>
        <w:jc w:val="both"/>
        <w:rPr>
          <w:rFonts w:asciiTheme="majorHAnsi" w:hAnsiTheme="majorHAnsi" w:cstheme="majorHAnsi"/>
          <w:i/>
          <w:sz w:val="24"/>
          <w:szCs w:val="24"/>
          <w:lang w:val="ro-MD"/>
          <w14:glow w14:rad="0">
            <w14:schemeClr w14:val="tx1"/>
          </w14:glow>
        </w:rPr>
      </w:pPr>
      <w:r w:rsidRPr="0024512C">
        <w:rPr>
          <w:rFonts w:asciiTheme="majorHAnsi" w:hAnsiTheme="majorHAnsi" w:cstheme="majorHAnsi"/>
          <w:i/>
          <w:sz w:val="24"/>
          <w:szCs w:val="24"/>
          <w:lang w:val="ro-MD"/>
          <w14:glow w14:rad="0">
            <w14:schemeClr w14:val="tx1"/>
          </w14:glow>
        </w:rPr>
        <w:t>Evoluția ratelor medii de dobândă pentru toate liniile de credit administrate de DLC pe parcursul anilor 2015-201</w:t>
      </w:r>
      <w:r w:rsidR="00C46CD1" w:rsidRPr="005C74F5">
        <w:rPr>
          <w:rFonts w:asciiTheme="majorHAnsi" w:hAnsiTheme="majorHAnsi" w:cstheme="majorHAnsi"/>
          <w:i/>
          <w:sz w:val="24"/>
          <w:szCs w:val="24"/>
          <w:lang w:val="ro-MD"/>
          <w14:glow w14:rad="0">
            <w14:schemeClr w14:val="tx1"/>
          </w14:glow>
        </w:rPr>
        <w:t xml:space="preserve">9 </w:t>
      </w:r>
      <w:r w:rsidR="00A77286" w:rsidRPr="005C74F5">
        <w:rPr>
          <w:rFonts w:asciiTheme="majorHAnsi" w:hAnsiTheme="majorHAnsi" w:cstheme="majorHAnsi"/>
          <w:i/>
          <w:sz w:val="24"/>
          <w:szCs w:val="24"/>
          <w:lang w:val="ro-MD"/>
          <w14:glow w14:rad="0">
            <w14:schemeClr w14:val="tx1"/>
          </w14:glow>
        </w:rPr>
        <w:t xml:space="preserve">este </w:t>
      </w:r>
      <w:r w:rsidR="00C46CD1" w:rsidRPr="00A33B69">
        <w:rPr>
          <w:rFonts w:asciiTheme="majorHAnsi" w:hAnsiTheme="majorHAnsi" w:cstheme="majorHAnsi"/>
          <w:i/>
          <w:sz w:val="24"/>
          <w:szCs w:val="24"/>
          <w:lang w:val="ro-MD"/>
          <w14:glow w14:rad="0">
            <w14:schemeClr w14:val="tx1"/>
          </w14:glow>
        </w:rPr>
        <w:t>prezentat</w:t>
      </w:r>
      <w:r w:rsidR="00A77286" w:rsidRPr="00A33B69">
        <w:rPr>
          <w:rFonts w:asciiTheme="majorHAnsi" w:hAnsiTheme="majorHAnsi" w:cstheme="majorHAnsi"/>
          <w:i/>
          <w:sz w:val="24"/>
          <w:szCs w:val="24"/>
          <w:lang w:val="ro-MD"/>
          <w14:glow w14:rad="0">
            <w14:schemeClr w14:val="tx1"/>
          </w14:glow>
        </w:rPr>
        <w:t>ă</w:t>
      </w:r>
      <w:r w:rsidR="00C46CD1" w:rsidRPr="00A33B69">
        <w:rPr>
          <w:rFonts w:asciiTheme="majorHAnsi" w:hAnsiTheme="majorHAnsi" w:cstheme="majorHAnsi"/>
          <w:i/>
          <w:sz w:val="24"/>
          <w:szCs w:val="24"/>
          <w:lang w:val="ro-MD"/>
          <w14:glow w14:rad="0">
            <w14:schemeClr w14:val="tx1"/>
          </w14:glow>
        </w:rPr>
        <w:t xml:space="preserve"> în Figura nr. 2</w:t>
      </w:r>
      <w:r w:rsidRPr="00A33B69">
        <w:rPr>
          <w:rFonts w:asciiTheme="majorHAnsi" w:hAnsiTheme="majorHAnsi" w:cstheme="majorHAnsi"/>
          <w:i/>
          <w:sz w:val="24"/>
          <w:szCs w:val="24"/>
          <w:lang w:val="ro-MD"/>
          <w14:glow w14:rad="0">
            <w14:schemeClr w14:val="tx1"/>
          </w14:glow>
        </w:rPr>
        <w:t>.</w:t>
      </w:r>
    </w:p>
    <w:p w:rsidR="002C107F" w:rsidRPr="00321F59" w:rsidRDefault="002C107F" w:rsidP="002C107F">
      <w:pPr>
        <w:spacing w:after="0" w:line="276" w:lineRule="auto"/>
        <w:jc w:val="right"/>
        <w:rPr>
          <w:rFonts w:asciiTheme="majorHAnsi" w:hAnsiTheme="majorHAnsi" w:cstheme="majorHAnsi"/>
          <w:sz w:val="24"/>
          <w:szCs w:val="24"/>
          <w:lang w:val="ro-MD"/>
          <w14:glow w14:rad="0">
            <w14:schemeClr w14:val="tx1"/>
          </w14:glow>
        </w:rPr>
      </w:pPr>
      <w:r w:rsidRPr="00C85965">
        <w:rPr>
          <w:noProof/>
          <w:color w:val="5B9BD5" w:themeColor="accent1"/>
        </w:rPr>
        <w:drawing>
          <wp:anchor distT="0" distB="0" distL="114300" distR="114300" simplePos="0" relativeHeight="251670528" behindDoc="0" locked="0" layoutInCell="1" allowOverlap="1" wp14:anchorId="1D1805D5" wp14:editId="3DA47314">
            <wp:simplePos x="0" y="0"/>
            <wp:positionH relativeFrom="margin">
              <wp:align>right</wp:align>
            </wp:positionH>
            <wp:positionV relativeFrom="paragraph">
              <wp:posOffset>311785</wp:posOffset>
            </wp:positionV>
            <wp:extent cx="5928360" cy="2743200"/>
            <wp:effectExtent l="0" t="0" r="15240" b="0"/>
            <wp:wrapThrough wrapText="bothSides">
              <wp:wrapPolygon edited="0">
                <wp:start x="0" y="0"/>
                <wp:lineTo x="0" y="21450"/>
                <wp:lineTo x="21586" y="21450"/>
                <wp:lineTo x="21586" y="0"/>
                <wp:lineTo x="0" y="0"/>
              </wp:wrapPolygon>
            </wp:wrapThrough>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C46CD1" w:rsidRPr="0024512C">
        <w:rPr>
          <w:rFonts w:asciiTheme="majorHAnsi" w:hAnsiTheme="majorHAnsi" w:cstheme="majorHAnsi"/>
          <w:b/>
          <w:i/>
          <w:color w:val="5B9BD5" w:themeColor="accent1"/>
          <w:sz w:val="24"/>
          <w:szCs w:val="24"/>
          <w:lang w:val="ro-MD"/>
          <w14:glow w14:rad="0">
            <w14:schemeClr w14:val="tx1"/>
          </w14:glow>
        </w:rPr>
        <w:t>Figura nr. 2</w:t>
      </w:r>
    </w:p>
    <w:p w:rsidR="00E34E4A" w:rsidRPr="00321F59" w:rsidRDefault="00E34E4A" w:rsidP="002C107F">
      <w:pPr>
        <w:spacing w:line="276" w:lineRule="auto"/>
        <w:jc w:val="both"/>
        <w:rPr>
          <w:rFonts w:asciiTheme="majorHAnsi" w:hAnsiTheme="majorHAnsi" w:cstheme="majorHAnsi"/>
          <w:i/>
          <w:sz w:val="20"/>
          <w:szCs w:val="20"/>
          <w:lang w:val="ro-MD"/>
          <w14:glow w14:rad="0">
            <w14:schemeClr w14:val="tx1"/>
          </w14:glow>
        </w:rPr>
      </w:pPr>
      <w:r w:rsidRPr="00321F59">
        <w:rPr>
          <w:rFonts w:asciiTheme="majorHAnsi" w:hAnsiTheme="majorHAnsi" w:cstheme="majorHAnsi"/>
          <w:b/>
          <w:i/>
          <w:sz w:val="20"/>
          <w:szCs w:val="20"/>
          <w:lang w:val="ro-MD"/>
          <w14:glow w14:rad="0">
            <w14:schemeClr w14:val="tx1"/>
          </w14:glow>
        </w:rPr>
        <w:t>Sursa:</w:t>
      </w:r>
      <w:r w:rsidRPr="00321F59">
        <w:rPr>
          <w:rFonts w:asciiTheme="majorHAnsi" w:hAnsiTheme="majorHAnsi" w:cstheme="majorHAnsi"/>
          <w:i/>
          <w:sz w:val="20"/>
          <w:szCs w:val="20"/>
          <w:lang w:val="ro-MD"/>
          <w14:glow w14:rad="0">
            <w14:schemeClr w14:val="tx1"/>
          </w14:glow>
        </w:rPr>
        <w:t xml:space="preserve"> Întocmit de către echipa de audit în baza informației DLC privind ratele medii a</w:t>
      </w:r>
      <w:r w:rsidR="00A77286" w:rsidRPr="00321F59">
        <w:rPr>
          <w:rFonts w:asciiTheme="majorHAnsi" w:hAnsiTheme="majorHAnsi" w:cstheme="majorHAnsi"/>
          <w:i/>
          <w:sz w:val="20"/>
          <w:szCs w:val="20"/>
          <w:lang w:val="ro-MD"/>
          <w14:glow w14:rad="0">
            <w14:schemeClr w14:val="tx1"/>
          </w14:glow>
        </w:rPr>
        <w:t>le</w:t>
      </w:r>
      <w:r w:rsidRPr="00321F59">
        <w:rPr>
          <w:rFonts w:asciiTheme="majorHAnsi" w:hAnsiTheme="majorHAnsi" w:cstheme="majorHAnsi"/>
          <w:i/>
          <w:sz w:val="20"/>
          <w:szCs w:val="20"/>
          <w:lang w:val="ro-MD"/>
          <w14:glow w14:rad="0">
            <w14:schemeClr w14:val="tx1"/>
          </w14:glow>
        </w:rPr>
        <w:t xml:space="preserve"> dobânzilor stabilite de DLC pentru Liniile de credit în anii 2015-2019.</w:t>
      </w:r>
    </w:p>
    <w:p w:rsidR="002C107F" w:rsidRPr="00321F59" w:rsidRDefault="002C107F" w:rsidP="002C107F">
      <w:pPr>
        <w:spacing w:line="276" w:lineRule="auto"/>
        <w:jc w:val="both"/>
        <w:rPr>
          <w:rFonts w:asciiTheme="majorHAnsi" w:hAnsiTheme="majorHAnsi" w:cstheme="majorHAns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t>Datele din figură denotă modificări în aspectul ratelor de dob</w:t>
      </w:r>
      <w:r w:rsidR="00E34E4A" w:rsidRPr="00321F59">
        <w:rPr>
          <w:rFonts w:asciiTheme="majorHAnsi" w:hAnsiTheme="majorHAnsi" w:cstheme="majorHAnsi"/>
          <w:sz w:val="24"/>
          <w:szCs w:val="24"/>
          <w:lang w:val="ro-MD"/>
          <w14:glow w14:rad="0">
            <w14:schemeClr w14:val="tx1"/>
          </w14:glow>
        </w:rPr>
        <w:t>ândă pentru împrumuturile în lei</w:t>
      </w:r>
      <w:r w:rsidRPr="00321F59">
        <w:rPr>
          <w:rFonts w:asciiTheme="majorHAnsi" w:hAnsiTheme="majorHAnsi" w:cstheme="majorHAnsi"/>
          <w:sz w:val="24"/>
          <w:szCs w:val="24"/>
          <w:lang w:val="ro-MD"/>
          <w14:glow w14:rad="0">
            <w14:schemeClr w14:val="tx1"/>
          </w14:glow>
        </w:rPr>
        <w:t xml:space="preserve"> și în dol.</w:t>
      </w:r>
      <w:r w:rsidR="00733212" w:rsidRPr="00321F59">
        <w:rPr>
          <w:rFonts w:asciiTheme="majorHAnsi" w:hAnsiTheme="majorHAnsi" w:cstheme="majorHAnsi"/>
          <w:sz w:val="24"/>
          <w:szCs w:val="24"/>
          <w:lang w:val="ro-MD"/>
          <w14:glow w14:rad="0">
            <w14:schemeClr w14:val="tx1"/>
          </w14:glow>
        </w:rPr>
        <w:t xml:space="preserve"> SUA, pe câ</w:t>
      </w:r>
      <w:r w:rsidRPr="00321F59">
        <w:rPr>
          <w:rFonts w:asciiTheme="majorHAnsi" w:hAnsiTheme="majorHAnsi" w:cstheme="majorHAnsi"/>
          <w:sz w:val="24"/>
          <w:szCs w:val="24"/>
          <w:lang w:val="ro-MD"/>
          <w14:glow w14:rad="0">
            <w14:schemeClr w14:val="tx1"/>
          </w14:glow>
        </w:rPr>
        <w:t>nd împrumuturile în euro nu au înregistrat modificări esențiale pe parcursul perioadei analizate. Astfel, ratele de dobân</w:t>
      </w:r>
      <w:r w:rsidR="00E34E4A" w:rsidRPr="00321F59">
        <w:rPr>
          <w:rFonts w:asciiTheme="majorHAnsi" w:hAnsiTheme="majorHAnsi" w:cstheme="majorHAnsi"/>
          <w:sz w:val="24"/>
          <w:szCs w:val="24"/>
          <w:lang w:val="ro-MD"/>
          <w14:glow w14:rad="0">
            <w14:schemeClr w14:val="tx1"/>
          </w14:glow>
        </w:rPr>
        <w:t>dă pentru împrumuturile în lei</w:t>
      </w:r>
      <w:r w:rsidRPr="00321F59">
        <w:rPr>
          <w:rFonts w:asciiTheme="majorHAnsi" w:hAnsiTheme="majorHAnsi" w:cstheme="majorHAnsi"/>
          <w:sz w:val="24"/>
          <w:szCs w:val="24"/>
          <w:lang w:val="ro-MD"/>
          <w14:glow w14:rad="0">
            <w14:schemeClr w14:val="tx1"/>
          </w14:glow>
        </w:rPr>
        <w:t xml:space="preserve"> au înregistrat cea mai mare valoare în anul 2017, fiind în medie de 7,78%, în anul 2019 acestea practic au atins nivelul anului 2015</w:t>
      </w:r>
      <w:r w:rsidR="00A77286" w:rsidRPr="00321F59">
        <w:rPr>
          <w:rFonts w:asciiTheme="majorHAnsi" w:hAnsiTheme="majorHAnsi" w:cstheme="majorHAnsi"/>
          <w:sz w:val="24"/>
          <w:szCs w:val="24"/>
          <w:lang w:val="ro-MD"/>
          <w14:glow w14:rad="0">
            <w14:schemeClr w14:val="tx1"/>
          </w14:glow>
        </w:rPr>
        <w:t>,</w:t>
      </w:r>
      <w:r w:rsidRPr="00321F59">
        <w:rPr>
          <w:rFonts w:asciiTheme="majorHAnsi" w:hAnsiTheme="majorHAnsi" w:cstheme="majorHAnsi"/>
          <w:sz w:val="24"/>
          <w:szCs w:val="24"/>
          <w:lang w:val="ro-MD"/>
          <w14:glow w14:rad="0">
            <w14:schemeClr w14:val="tx1"/>
          </w14:glow>
        </w:rPr>
        <w:t xml:space="preserve"> fiind de 5,48%. Se observă și o majorare semnificativă a ratelor de dobândă pentru împrumuturile contractate în dol.</w:t>
      </w:r>
      <w:r w:rsidR="00733212" w:rsidRPr="00321F59">
        <w:rPr>
          <w:rFonts w:asciiTheme="majorHAnsi" w:hAnsiTheme="majorHAnsi" w:cstheme="majorHAnsi"/>
          <w:sz w:val="24"/>
          <w:szCs w:val="24"/>
          <w:lang w:val="ro-MD"/>
          <w14:glow w14:rad="0">
            <w14:schemeClr w14:val="tx1"/>
          </w14:glow>
        </w:rPr>
        <w:t xml:space="preserve"> </w:t>
      </w:r>
      <w:r w:rsidRPr="00321F59">
        <w:rPr>
          <w:rFonts w:asciiTheme="majorHAnsi" w:hAnsiTheme="majorHAnsi" w:cstheme="majorHAnsi"/>
          <w:sz w:val="24"/>
          <w:szCs w:val="24"/>
          <w:lang w:val="ro-MD"/>
          <w14:glow w14:rad="0">
            <w14:schemeClr w14:val="tx1"/>
          </w14:glow>
        </w:rPr>
        <w:t>SUA, acestea majorându-se față de anul 2015 practic de 2,5 ori.</w:t>
      </w:r>
    </w:p>
    <w:p w:rsidR="002C107F" w:rsidRPr="00321F59" w:rsidRDefault="002C107F" w:rsidP="002C107F">
      <w:pPr>
        <w:spacing w:line="276" w:lineRule="auto"/>
        <w:jc w:val="both"/>
        <w:rPr>
          <w:rFonts w:asciiTheme="majorHAnsi" w:hAnsiTheme="majorHAnsi" w:cstheme="majorHAns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t>Asupra modificării ratelor de dobândă</w:t>
      </w:r>
      <w:r w:rsidR="003B5BD9" w:rsidRPr="00321F59">
        <w:rPr>
          <w:rFonts w:asciiTheme="majorHAnsi" w:hAnsiTheme="majorHAnsi" w:cstheme="majorHAnsi"/>
          <w:sz w:val="24"/>
          <w:szCs w:val="24"/>
          <w:lang w:val="ro-MD"/>
          <w14:glow w14:rad="0">
            <w14:schemeClr w14:val="tx1"/>
          </w14:glow>
        </w:rPr>
        <w:t>, înafara excesului de lichidi</w:t>
      </w:r>
      <w:r w:rsidR="00DA00AB" w:rsidRPr="00321F59">
        <w:rPr>
          <w:rFonts w:asciiTheme="majorHAnsi" w:hAnsiTheme="majorHAnsi" w:cstheme="majorHAnsi"/>
          <w:sz w:val="24"/>
          <w:szCs w:val="24"/>
          <w:lang w:val="ro-MD"/>
          <w14:glow w14:rad="0">
            <w14:schemeClr w14:val="tx1"/>
          </w14:glow>
        </w:rPr>
        <w:t>tăți în sistemul bancar și lipsei</w:t>
      </w:r>
      <w:r w:rsidR="003B5BD9" w:rsidRPr="00321F59">
        <w:rPr>
          <w:rFonts w:asciiTheme="majorHAnsi" w:hAnsiTheme="majorHAnsi" w:cstheme="majorHAnsi"/>
          <w:sz w:val="24"/>
          <w:szCs w:val="24"/>
          <w:lang w:val="ro-MD"/>
          <w14:glow w14:rad="0">
            <w14:schemeClr w14:val="tx1"/>
          </w14:glow>
        </w:rPr>
        <w:t xml:space="preserve"> cererii de resurse din partea sectorului real, o influență directă a avut</w:t>
      </w:r>
      <w:r w:rsidRPr="00321F59">
        <w:rPr>
          <w:rFonts w:asciiTheme="majorHAnsi" w:hAnsiTheme="majorHAnsi" w:cstheme="majorHAnsi"/>
          <w:sz w:val="24"/>
          <w:szCs w:val="24"/>
          <w:lang w:val="ro-MD"/>
          <w14:glow w14:rad="0">
            <w14:schemeClr w14:val="tx1"/>
          </w14:glow>
        </w:rPr>
        <w:t xml:space="preserve"> </w:t>
      </w:r>
      <w:r w:rsidR="003B5BD9" w:rsidRPr="00321F59">
        <w:rPr>
          <w:rFonts w:asciiTheme="majorHAnsi" w:hAnsiTheme="majorHAnsi" w:cstheme="majorHAnsi"/>
          <w:sz w:val="24"/>
          <w:szCs w:val="24"/>
          <w:lang w:val="ro-MD"/>
          <w14:glow w14:rad="0">
            <w14:schemeClr w14:val="tx1"/>
          </w14:glow>
        </w:rPr>
        <w:t>schimbarea</w:t>
      </w:r>
      <w:r w:rsidRPr="00321F59">
        <w:rPr>
          <w:rFonts w:asciiTheme="majorHAnsi" w:hAnsiTheme="majorHAnsi" w:cstheme="majorHAnsi"/>
          <w:sz w:val="24"/>
          <w:szCs w:val="24"/>
          <w:lang w:val="ro-MD"/>
          <w14:glow w14:rad="0">
            <w14:schemeClr w14:val="tx1"/>
          </w14:glow>
        </w:rPr>
        <w:t xml:space="preserve"> formulei de calcul a ratelor</w:t>
      </w:r>
      <w:r w:rsidR="00A77286" w:rsidRPr="00321F59">
        <w:rPr>
          <w:rFonts w:asciiTheme="majorHAnsi" w:hAnsiTheme="majorHAnsi" w:cstheme="majorHAnsi"/>
          <w:sz w:val="24"/>
          <w:szCs w:val="24"/>
          <w:lang w:val="ro-MD"/>
          <w14:glow w14:rad="0">
            <w14:schemeClr w14:val="tx1"/>
          </w14:glow>
        </w:rPr>
        <w:t>,</w:t>
      </w:r>
      <w:r w:rsidRPr="00321F59">
        <w:rPr>
          <w:rFonts w:asciiTheme="majorHAnsi" w:hAnsiTheme="majorHAnsi" w:cstheme="majorHAnsi"/>
          <w:sz w:val="24"/>
          <w:szCs w:val="24"/>
          <w:lang w:val="ro-MD"/>
          <w14:glow w14:rad="0">
            <w14:schemeClr w14:val="tx1"/>
          </w14:glow>
        </w:rPr>
        <w:t xml:space="preserve"> care a avut loc la 15 martie 2018. În baza deciziei Consiliului DLC</w:t>
      </w:r>
      <w:r w:rsidR="00DA00AB" w:rsidRPr="00321F59">
        <w:rPr>
          <w:rFonts w:asciiTheme="majorHAnsi" w:hAnsiTheme="majorHAnsi" w:cstheme="majorHAnsi"/>
          <w:sz w:val="24"/>
          <w:szCs w:val="24"/>
          <w:lang w:val="ro-MD"/>
          <w14:glow w14:rad="0">
            <w14:schemeClr w14:val="tx1"/>
          </w14:glow>
        </w:rPr>
        <w:t>,</w:t>
      </w:r>
      <w:r w:rsidRPr="00321F59">
        <w:rPr>
          <w:rFonts w:asciiTheme="majorHAnsi" w:hAnsiTheme="majorHAnsi" w:cstheme="majorHAnsi"/>
          <w:sz w:val="24"/>
          <w:szCs w:val="24"/>
          <w:lang w:val="ro-MD"/>
          <w14:glow w14:rad="0">
            <w14:schemeClr w14:val="tx1"/>
          </w14:glow>
        </w:rPr>
        <w:t xml:space="preserve"> s-a aprobat modificarea formulei de calcul a ratei de recreditare pentru IFP </w:t>
      </w:r>
      <w:r w:rsidR="00DA00AB" w:rsidRPr="00321F59">
        <w:rPr>
          <w:rFonts w:asciiTheme="majorHAnsi" w:hAnsiTheme="majorHAnsi" w:cstheme="majorHAnsi"/>
          <w:sz w:val="24"/>
          <w:szCs w:val="24"/>
          <w:lang w:val="ro-MD"/>
          <w14:glow w14:rad="0">
            <w14:schemeClr w14:val="tx1"/>
          </w14:glow>
        </w:rPr>
        <w:t>la</w:t>
      </w:r>
      <w:r w:rsidR="00E34E4A" w:rsidRPr="00321F59">
        <w:rPr>
          <w:rFonts w:asciiTheme="majorHAnsi" w:hAnsiTheme="majorHAnsi" w:cstheme="majorHAnsi"/>
          <w:sz w:val="24"/>
          <w:szCs w:val="24"/>
          <w:lang w:val="ro-MD"/>
          <w14:glow w14:rad="0">
            <w14:schemeClr w14:val="tx1"/>
          </w14:glow>
        </w:rPr>
        <w:t xml:space="preserve"> împrumuturile acordate în lei</w:t>
      </w:r>
      <w:r w:rsidRPr="00321F59">
        <w:rPr>
          <w:rFonts w:asciiTheme="majorHAnsi" w:hAnsiTheme="majorHAnsi" w:cstheme="majorHAnsi"/>
          <w:sz w:val="24"/>
          <w:szCs w:val="24"/>
          <w:lang w:val="ro-MD"/>
          <w14:glow w14:rad="0">
            <w14:schemeClr w14:val="tx1"/>
          </w14:glow>
        </w:rPr>
        <w:t xml:space="preserve">, bazată pe ratele medii ponderate stabilite la licitațiile de vânzare a bonurilor de trezorerie de circulație </w:t>
      </w:r>
      <w:r w:rsidR="00DA00AB" w:rsidRPr="00321F59">
        <w:rPr>
          <w:rFonts w:asciiTheme="majorHAnsi" w:hAnsiTheme="majorHAnsi" w:cstheme="majorHAnsi"/>
          <w:sz w:val="24"/>
          <w:szCs w:val="24"/>
          <w:lang w:val="ro-MD"/>
          <w14:glow w14:rad="0">
            <w14:schemeClr w14:val="tx1"/>
          </w14:glow>
        </w:rPr>
        <w:t xml:space="preserve">de </w:t>
      </w:r>
      <w:r w:rsidRPr="00321F59">
        <w:rPr>
          <w:rFonts w:asciiTheme="majorHAnsi" w:hAnsiTheme="majorHAnsi" w:cstheme="majorHAnsi"/>
          <w:sz w:val="24"/>
          <w:szCs w:val="24"/>
          <w:lang w:val="ro-MD"/>
          <w14:glow w14:rad="0">
            <w14:schemeClr w14:val="tx1"/>
          </w14:glow>
        </w:rPr>
        <w:t xml:space="preserve">182 </w:t>
      </w:r>
      <w:r w:rsidR="00FE1FA7" w:rsidRPr="00321F59">
        <w:rPr>
          <w:rFonts w:asciiTheme="majorHAnsi" w:hAnsiTheme="majorHAnsi" w:cstheme="majorHAnsi"/>
          <w:sz w:val="24"/>
          <w:szCs w:val="24"/>
          <w:lang w:val="ro-MD"/>
          <w14:glow w14:rad="0">
            <w14:schemeClr w14:val="tx1"/>
          </w14:glow>
        </w:rPr>
        <w:t xml:space="preserve">de </w:t>
      </w:r>
      <w:r w:rsidRPr="00321F59">
        <w:rPr>
          <w:rFonts w:asciiTheme="majorHAnsi" w:hAnsiTheme="majorHAnsi" w:cstheme="majorHAnsi"/>
          <w:sz w:val="24"/>
          <w:szCs w:val="24"/>
          <w:lang w:val="ro-MD"/>
          <w14:glow w14:rad="0">
            <w14:schemeClr w14:val="tx1"/>
          </w14:glow>
        </w:rPr>
        <w:t xml:space="preserve">zile în 6 săptămâni imediat precedente datei </w:t>
      </w:r>
      <w:r w:rsidR="00DA00AB" w:rsidRPr="00321F59">
        <w:rPr>
          <w:rFonts w:asciiTheme="majorHAnsi" w:hAnsiTheme="majorHAnsi" w:cstheme="majorHAnsi"/>
          <w:sz w:val="24"/>
          <w:szCs w:val="24"/>
          <w:lang w:val="ro-MD"/>
          <w14:glow w14:rad="0">
            <w14:schemeClr w14:val="tx1"/>
          </w14:glow>
        </w:rPr>
        <w:t>de stabilire a</w:t>
      </w:r>
      <w:r w:rsidRPr="00321F59">
        <w:rPr>
          <w:rFonts w:asciiTheme="majorHAnsi" w:hAnsiTheme="majorHAnsi" w:cstheme="majorHAnsi"/>
          <w:sz w:val="24"/>
          <w:szCs w:val="24"/>
          <w:lang w:val="ro-MD"/>
          <w14:glow w14:rad="0">
            <w14:schemeClr w14:val="tx1"/>
          </w14:glow>
        </w:rPr>
        <w:t xml:space="preserve"> ratei dobânzii. La ședința Consiliului DLC din 11 februarie 2019, </w:t>
      </w:r>
      <w:r w:rsidR="00DA00AB" w:rsidRPr="00321F59">
        <w:rPr>
          <w:rFonts w:asciiTheme="majorHAnsi" w:hAnsiTheme="majorHAnsi" w:cstheme="majorHAnsi"/>
          <w:sz w:val="24"/>
          <w:szCs w:val="24"/>
          <w:lang w:val="ro-MD"/>
          <w14:glow w14:rad="0">
            <w14:schemeClr w14:val="tx1"/>
          </w14:glow>
        </w:rPr>
        <w:t xml:space="preserve">conducerea DLC </w:t>
      </w:r>
      <w:r w:rsidRPr="00321F59">
        <w:rPr>
          <w:rFonts w:asciiTheme="majorHAnsi" w:hAnsiTheme="majorHAnsi" w:cstheme="majorHAnsi"/>
          <w:sz w:val="24"/>
          <w:szCs w:val="24"/>
          <w:lang w:val="ro-MD"/>
          <w14:glow w14:rad="0">
            <w14:schemeClr w14:val="tx1"/>
          </w14:glow>
        </w:rPr>
        <w:t>a propus restabilirea formulei de calcul a rate</w:t>
      </w:r>
      <w:r w:rsidR="00DA00AB" w:rsidRPr="00321F59">
        <w:rPr>
          <w:rFonts w:asciiTheme="majorHAnsi" w:hAnsiTheme="majorHAnsi" w:cstheme="majorHAnsi"/>
          <w:sz w:val="24"/>
          <w:szCs w:val="24"/>
          <w:lang w:val="ro-MD"/>
          <w14:glow w14:rad="0">
            <w14:schemeClr w14:val="tx1"/>
          </w14:glow>
        </w:rPr>
        <w:t>i dobânzii de recreditare bazate</w:t>
      </w:r>
      <w:r w:rsidRPr="00321F59">
        <w:rPr>
          <w:rFonts w:asciiTheme="majorHAnsi" w:hAnsiTheme="majorHAnsi" w:cstheme="majorHAnsi"/>
          <w:sz w:val="24"/>
          <w:szCs w:val="24"/>
          <w:lang w:val="ro-MD"/>
          <w14:glow w14:rad="0">
            <w14:schemeClr w14:val="tx1"/>
          </w14:glow>
        </w:rPr>
        <w:t xml:space="preserve"> pe media inflației</w:t>
      </w:r>
      <w:r w:rsidR="00DA00AB" w:rsidRPr="00321F59">
        <w:rPr>
          <w:rFonts w:asciiTheme="majorHAnsi" w:hAnsiTheme="majorHAnsi" w:cstheme="majorHAnsi"/>
          <w:sz w:val="24"/>
          <w:szCs w:val="24"/>
          <w:lang w:val="ro-MD"/>
          <w14:glow w14:rad="0">
            <w14:schemeClr w14:val="tx1"/>
          </w14:glow>
        </w:rPr>
        <w:t>,</w:t>
      </w:r>
      <w:r w:rsidRPr="00321F59">
        <w:rPr>
          <w:rFonts w:asciiTheme="majorHAnsi" w:hAnsiTheme="majorHAnsi" w:cstheme="majorHAnsi"/>
          <w:sz w:val="24"/>
          <w:szCs w:val="24"/>
          <w:lang w:val="ro-MD"/>
          <w14:glow w14:rad="0">
            <w14:schemeClr w14:val="tx1"/>
          </w14:glow>
        </w:rPr>
        <w:t xml:space="preserve"> argumentând prin faptul că</w:t>
      </w:r>
      <w:r w:rsidR="00DA00AB" w:rsidRPr="00321F59">
        <w:rPr>
          <w:rFonts w:asciiTheme="majorHAnsi" w:hAnsiTheme="majorHAnsi" w:cstheme="majorHAnsi"/>
          <w:sz w:val="24"/>
          <w:szCs w:val="24"/>
          <w:lang w:val="ro-MD"/>
          <w14:glow w14:rad="0">
            <w14:schemeClr w14:val="tx1"/>
          </w14:glow>
        </w:rPr>
        <w:t>,</w:t>
      </w:r>
      <w:r w:rsidRPr="00321F59">
        <w:rPr>
          <w:rFonts w:asciiTheme="majorHAnsi" w:hAnsiTheme="majorHAnsi" w:cstheme="majorHAnsi"/>
          <w:sz w:val="24"/>
          <w:szCs w:val="24"/>
          <w:lang w:val="ro-MD"/>
          <w14:glow w14:rad="0">
            <w14:schemeClr w14:val="tx1"/>
          </w14:glow>
        </w:rPr>
        <w:t xml:space="preserve"> pe măsura creșterii ratelor pentru VMS, s-au majorat treptat și ratele de recreditare stabilite pentru IFP în cadrul liniilor de credit, care</w:t>
      </w:r>
      <w:r w:rsidR="00D66913" w:rsidRPr="00321F59">
        <w:rPr>
          <w:rFonts w:asciiTheme="majorHAnsi" w:hAnsiTheme="majorHAnsi" w:cstheme="majorHAnsi"/>
          <w:sz w:val="24"/>
          <w:szCs w:val="24"/>
          <w:lang w:val="ro-MD"/>
          <w14:glow w14:rad="0">
            <w14:schemeClr w14:val="tx1"/>
          </w14:glow>
        </w:rPr>
        <w:t>,</w:t>
      </w:r>
      <w:r w:rsidRPr="00321F59">
        <w:rPr>
          <w:rFonts w:asciiTheme="majorHAnsi" w:hAnsiTheme="majorHAnsi" w:cstheme="majorHAnsi"/>
          <w:sz w:val="24"/>
          <w:szCs w:val="24"/>
          <w:lang w:val="ro-MD"/>
          <w14:glow w14:rad="0">
            <w14:schemeClr w14:val="tx1"/>
          </w14:glow>
        </w:rPr>
        <w:t xml:space="preserve"> începând cu luna septembrie 2018</w:t>
      </w:r>
      <w:r w:rsidR="00D66913" w:rsidRPr="00321F59">
        <w:rPr>
          <w:rFonts w:asciiTheme="majorHAnsi" w:hAnsiTheme="majorHAnsi" w:cstheme="majorHAnsi"/>
          <w:sz w:val="24"/>
          <w:szCs w:val="24"/>
          <w:lang w:val="ro-MD"/>
          <w14:glow w14:rad="0">
            <w14:schemeClr w14:val="tx1"/>
          </w14:glow>
        </w:rPr>
        <w:t>,</w:t>
      </w:r>
      <w:r w:rsidRPr="00321F59">
        <w:rPr>
          <w:rFonts w:asciiTheme="majorHAnsi" w:hAnsiTheme="majorHAnsi" w:cstheme="majorHAnsi"/>
          <w:sz w:val="24"/>
          <w:szCs w:val="24"/>
          <w:lang w:val="ro-MD"/>
          <w14:glow w14:rad="0">
            <w14:schemeClr w14:val="tx1"/>
          </w14:glow>
        </w:rPr>
        <w:t xml:space="preserve"> au devenit neatractive pentru IFP</w:t>
      </w:r>
      <w:r w:rsidR="00994844" w:rsidRPr="00321F59">
        <w:rPr>
          <w:rFonts w:asciiTheme="majorHAnsi" w:hAnsiTheme="majorHAnsi" w:cstheme="majorHAnsi"/>
          <w:sz w:val="24"/>
          <w:szCs w:val="24"/>
          <w:lang w:val="ro-MD"/>
          <w14:glow w14:rad="0">
            <w14:schemeClr w14:val="tx1"/>
          </w14:glow>
        </w:rPr>
        <w:t xml:space="preserve"> și pentru beneficiarii finali</w:t>
      </w:r>
      <w:r w:rsidRPr="00321F59">
        <w:rPr>
          <w:rFonts w:asciiTheme="majorHAnsi" w:hAnsiTheme="majorHAnsi" w:cstheme="majorHAnsi"/>
          <w:sz w:val="24"/>
          <w:szCs w:val="24"/>
          <w:lang w:val="ro-MD"/>
          <w14:glow w14:rad="0">
            <w14:schemeClr w14:val="tx1"/>
          </w14:glow>
        </w:rPr>
        <w:t>, fiind mai scumpe decât alte resurse ale pieței financiare locale. În consecință</w:t>
      </w:r>
      <w:r w:rsidR="00DA00AB" w:rsidRPr="00321F59">
        <w:rPr>
          <w:rFonts w:asciiTheme="majorHAnsi" w:hAnsiTheme="majorHAnsi" w:cstheme="majorHAnsi"/>
          <w:sz w:val="24"/>
          <w:szCs w:val="24"/>
          <w:lang w:val="ro-MD"/>
          <w14:glow w14:rad="0">
            <w14:schemeClr w14:val="tx1"/>
          </w14:glow>
        </w:rPr>
        <w:t xml:space="preserve">, </w:t>
      </w:r>
      <w:r w:rsidRPr="00321F59">
        <w:rPr>
          <w:rFonts w:asciiTheme="majorHAnsi" w:hAnsiTheme="majorHAnsi" w:cstheme="majorHAnsi"/>
          <w:sz w:val="24"/>
          <w:szCs w:val="24"/>
          <w:lang w:val="ro-MD"/>
          <w14:glow w14:rad="0">
            <w14:schemeClr w14:val="tx1"/>
          </w14:glow>
        </w:rPr>
        <w:t>a</w:t>
      </w:r>
      <w:r w:rsidR="00DA00AB" w:rsidRPr="00321F59">
        <w:rPr>
          <w:rFonts w:asciiTheme="majorHAnsi" w:hAnsiTheme="majorHAnsi" w:cstheme="majorHAnsi"/>
          <w:sz w:val="24"/>
          <w:szCs w:val="24"/>
          <w:lang w:val="ro-MD"/>
          <w14:glow w14:rad="0">
            <w14:schemeClr w14:val="tx1"/>
          </w14:glow>
        </w:rPr>
        <w:t xml:space="preserve"> fost</w:t>
      </w:r>
      <w:r w:rsidRPr="00321F59">
        <w:rPr>
          <w:rFonts w:asciiTheme="majorHAnsi" w:hAnsiTheme="majorHAnsi" w:cstheme="majorHAnsi"/>
          <w:sz w:val="24"/>
          <w:szCs w:val="24"/>
          <w:lang w:val="ro-MD"/>
          <w14:glow w14:rad="0">
            <w14:schemeClr w14:val="tx1"/>
          </w14:glow>
        </w:rPr>
        <w:t xml:space="preserve"> cauzat</w:t>
      </w:r>
      <w:r w:rsidR="00DA00AB" w:rsidRPr="00321F59">
        <w:rPr>
          <w:rFonts w:asciiTheme="majorHAnsi" w:hAnsiTheme="majorHAnsi" w:cstheme="majorHAnsi"/>
          <w:sz w:val="24"/>
          <w:szCs w:val="24"/>
          <w:lang w:val="ro-MD"/>
          <w14:glow w14:rad="0">
            <w14:schemeClr w14:val="tx1"/>
          </w14:glow>
        </w:rPr>
        <w:t>ă</w:t>
      </w:r>
      <w:r w:rsidRPr="00321F59">
        <w:rPr>
          <w:rFonts w:asciiTheme="majorHAnsi" w:hAnsiTheme="majorHAnsi" w:cstheme="majorHAnsi"/>
          <w:sz w:val="24"/>
          <w:szCs w:val="24"/>
          <w:lang w:val="ro-MD"/>
          <w14:glow w14:rad="0">
            <w14:schemeClr w14:val="tx1"/>
          </w14:glow>
        </w:rPr>
        <w:t xml:space="preserve"> stoparea </w:t>
      </w:r>
      <w:r w:rsidR="00DA00AB" w:rsidRPr="00321F59">
        <w:rPr>
          <w:rFonts w:asciiTheme="majorHAnsi" w:hAnsiTheme="majorHAnsi" w:cstheme="majorHAnsi"/>
          <w:sz w:val="24"/>
          <w:szCs w:val="24"/>
          <w:lang w:val="ro-MD"/>
          <w14:glow w14:rad="0">
            <w14:schemeClr w14:val="tx1"/>
          </w14:glow>
        </w:rPr>
        <w:t xml:space="preserve">treptată a </w:t>
      </w:r>
      <w:r w:rsidRPr="00321F59">
        <w:rPr>
          <w:rFonts w:asciiTheme="majorHAnsi" w:hAnsiTheme="majorHAnsi" w:cstheme="majorHAnsi"/>
          <w:sz w:val="24"/>
          <w:szCs w:val="24"/>
          <w:lang w:val="ro-MD"/>
          <w14:glow w14:rad="0">
            <w14:schemeClr w14:val="tx1"/>
          </w14:glow>
        </w:rPr>
        <w:t xml:space="preserve">tragerilor noi de împrumuturi de către IFP, cât și rambursarea masivă înainte de termen a împrumuturilor deja acordate. </w:t>
      </w:r>
    </w:p>
    <w:p w:rsidR="004B41C2" w:rsidRPr="00321F59" w:rsidRDefault="002C107F" w:rsidP="003B5BD9">
      <w:pPr>
        <w:spacing w:line="276" w:lineRule="auto"/>
        <w:jc w:val="both"/>
        <w:rPr>
          <w:rFonts w:asciiTheme="majorHAnsi" w:hAnsiTheme="majorHAnsi" w:cstheme="majorHAnsi"/>
          <w: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lastRenderedPageBreak/>
        <w:t xml:space="preserve">Modificările ratelor de dobândă </w:t>
      </w:r>
      <w:r w:rsidR="00CB65E5" w:rsidRPr="00321F59">
        <w:rPr>
          <w:rFonts w:asciiTheme="majorHAnsi" w:hAnsiTheme="majorHAnsi" w:cstheme="majorHAnsi"/>
          <w:sz w:val="24"/>
          <w:szCs w:val="24"/>
          <w:lang w:val="ro-MD"/>
          <w14:glow w14:rad="0">
            <w14:schemeClr w14:val="tx1"/>
          </w14:glow>
        </w:rPr>
        <w:t xml:space="preserve">au influențat și asupra numărului beneficiarilor finali de sub-împrumuturi. </w:t>
      </w:r>
      <w:r w:rsidR="00CB65E5" w:rsidRPr="00321F59">
        <w:rPr>
          <w:rFonts w:asciiTheme="majorHAnsi" w:hAnsiTheme="majorHAnsi" w:cstheme="majorHAnsi"/>
          <w:i/>
          <w:sz w:val="24"/>
          <w:szCs w:val="24"/>
          <w:lang w:val="ro-MD"/>
          <w14:glow w14:rad="0">
            <w14:schemeClr w14:val="tx1"/>
          </w14:glow>
        </w:rPr>
        <w:t xml:space="preserve">Informația privind numărul beneficiarilor </w:t>
      </w:r>
      <w:proofErr w:type="spellStart"/>
      <w:r w:rsidR="00CB65E5" w:rsidRPr="00321F59">
        <w:rPr>
          <w:rFonts w:asciiTheme="majorHAnsi" w:hAnsiTheme="majorHAnsi" w:cstheme="majorHAnsi"/>
          <w:i/>
          <w:sz w:val="24"/>
          <w:szCs w:val="24"/>
          <w:lang w:val="ro-MD"/>
          <w14:glow w14:rad="0">
            <w14:schemeClr w14:val="tx1"/>
          </w14:glow>
        </w:rPr>
        <w:t>recreditați</w:t>
      </w:r>
      <w:proofErr w:type="spellEnd"/>
      <w:r w:rsidR="00CB65E5" w:rsidRPr="00321F59">
        <w:rPr>
          <w:rFonts w:asciiTheme="majorHAnsi" w:hAnsiTheme="majorHAnsi" w:cstheme="majorHAnsi"/>
          <w:i/>
          <w:sz w:val="24"/>
          <w:szCs w:val="24"/>
          <w:lang w:val="ro-MD"/>
          <w14:glow w14:rad="0">
            <w14:schemeClr w14:val="tx1"/>
          </w14:glow>
        </w:rPr>
        <w:t xml:space="preserve"> de către DLC pe parcursul anilor 2015-2019 se prezintă în Tabelul nr.</w:t>
      </w:r>
      <w:r w:rsidR="00C46CD1" w:rsidRPr="00321F59">
        <w:rPr>
          <w:rFonts w:asciiTheme="majorHAnsi" w:hAnsiTheme="majorHAnsi" w:cstheme="majorHAnsi"/>
          <w:i/>
          <w:sz w:val="24"/>
          <w:szCs w:val="24"/>
          <w:lang w:val="ro-MD"/>
          <w14:glow w14:rad="0">
            <w14:schemeClr w14:val="tx1"/>
          </w14:glow>
        </w:rPr>
        <w:t xml:space="preserve"> 4</w:t>
      </w:r>
      <w:r w:rsidR="00CB65E5" w:rsidRPr="00321F59">
        <w:rPr>
          <w:rFonts w:asciiTheme="majorHAnsi" w:hAnsiTheme="majorHAnsi" w:cstheme="majorHAnsi"/>
          <w:i/>
          <w:sz w:val="24"/>
          <w:szCs w:val="24"/>
          <w:lang w:val="ro-MD"/>
          <w14:glow w14:rad="0">
            <w14:schemeClr w14:val="tx1"/>
          </w14:glow>
        </w:rPr>
        <w:t>.</w:t>
      </w:r>
    </w:p>
    <w:p w:rsidR="00CB65E5" w:rsidRPr="00321F59" w:rsidRDefault="00CB65E5" w:rsidP="00CB65E5">
      <w:pPr>
        <w:spacing w:after="0" w:line="276" w:lineRule="auto"/>
        <w:jc w:val="right"/>
        <w:rPr>
          <w:rFonts w:asciiTheme="majorHAnsi" w:hAnsiTheme="majorHAnsi" w:cstheme="majorHAnsi"/>
          <w:b/>
          <w:i/>
          <w:color w:val="5B9BD5" w:themeColor="accent1"/>
          <w:sz w:val="24"/>
          <w:szCs w:val="24"/>
          <w:lang w:val="ro-MD"/>
          <w14:glow w14:rad="0">
            <w14:schemeClr w14:val="tx1"/>
          </w14:glow>
        </w:rPr>
      </w:pPr>
      <w:r w:rsidRPr="00321F59">
        <w:rPr>
          <w:rFonts w:asciiTheme="majorHAnsi" w:hAnsiTheme="majorHAnsi" w:cstheme="majorHAnsi"/>
          <w:b/>
          <w:i/>
          <w:color w:val="5B9BD5" w:themeColor="accent1"/>
          <w:sz w:val="24"/>
          <w:szCs w:val="24"/>
          <w:lang w:val="ro-MD"/>
          <w14:glow w14:rad="0">
            <w14:schemeClr w14:val="tx1"/>
          </w14:glow>
        </w:rPr>
        <w:t>Tabelul nr.</w:t>
      </w:r>
      <w:r w:rsidR="00C46CD1" w:rsidRPr="00321F59">
        <w:rPr>
          <w:rFonts w:asciiTheme="majorHAnsi" w:hAnsiTheme="majorHAnsi" w:cstheme="majorHAnsi"/>
          <w:b/>
          <w:i/>
          <w:color w:val="5B9BD5" w:themeColor="accent1"/>
          <w:sz w:val="24"/>
          <w:szCs w:val="24"/>
          <w:lang w:val="ro-MD"/>
          <w14:glow w14:rad="0">
            <w14:schemeClr w14:val="tx1"/>
          </w14:glow>
        </w:rPr>
        <w:t xml:space="preserve"> 4</w:t>
      </w:r>
    </w:p>
    <w:tbl>
      <w:tblPr>
        <w:tblStyle w:val="TableGrid"/>
        <w:tblW w:w="9460" w:type="dxa"/>
        <w:tblLook w:val="04A0" w:firstRow="1" w:lastRow="0" w:firstColumn="1" w:lastColumn="0" w:noHBand="0" w:noVBand="1"/>
      </w:tblPr>
      <w:tblGrid>
        <w:gridCol w:w="2785"/>
        <w:gridCol w:w="1335"/>
        <w:gridCol w:w="1335"/>
        <w:gridCol w:w="1335"/>
        <w:gridCol w:w="1335"/>
        <w:gridCol w:w="1335"/>
      </w:tblGrid>
      <w:tr w:rsidR="00CB65E5" w:rsidRPr="0024512C" w:rsidTr="00CB65E5">
        <w:tc>
          <w:tcPr>
            <w:tcW w:w="2785" w:type="dxa"/>
            <w:shd w:val="clear" w:color="auto" w:fill="DEEAF6" w:themeFill="accent1" w:themeFillTint="33"/>
          </w:tcPr>
          <w:p w:rsidR="00CB65E5" w:rsidRPr="00321F59" w:rsidRDefault="00CB65E5" w:rsidP="0048672D">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Indicator</w:t>
            </w:r>
          </w:p>
        </w:tc>
        <w:tc>
          <w:tcPr>
            <w:tcW w:w="1335" w:type="dxa"/>
            <w:shd w:val="clear" w:color="auto" w:fill="DEEAF6" w:themeFill="accent1" w:themeFillTint="33"/>
          </w:tcPr>
          <w:p w:rsidR="00CB65E5" w:rsidRPr="00321F59" w:rsidRDefault="00CB65E5" w:rsidP="0048672D">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2015</w:t>
            </w:r>
          </w:p>
        </w:tc>
        <w:tc>
          <w:tcPr>
            <w:tcW w:w="1335" w:type="dxa"/>
            <w:shd w:val="clear" w:color="auto" w:fill="DEEAF6" w:themeFill="accent1" w:themeFillTint="33"/>
          </w:tcPr>
          <w:p w:rsidR="00CB65E5" w:rsidRPr="00321F59" w:rsidRDefault="00CB65E5" w:rsidP="0048672D">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2016</w:t>
            </w:r>
          </w:p>
        </w:tc>
        <w:tc>
          <w:tcPr>
            <w:tcW w:w="1335" w:type="dxa"/>
            <w:shd w:val="clear" w:color="auto" w:fill="DEEAF6" w:themeFill="accent1" w:themeFillTint="33"/>
          </w:tcPr>
          <w:p w:rsidR="00CB65E5" w:rsidRPr="00321F59" w:rsidRDefault="00CB65E5" w:rsidP="0048672D">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2017</w:t>
            </w:r>
          </w:p>
        </w:tc>
        <w:tc>
          <w:tcPr>
            <w:tcW w:w="1335" w:type="dxa"/>
            <w:shd w:val="clear" w:color="auto" w:fill="DEEAF6" w:themeFill="accent1" w:themeFillTint="33"/>
          </w:tcPr>
          <w:p w:rsidR="00CB65E5" w:rsidRPr="00321F59" w:rsidRDefault="00CB65E5" w:rsidP="0048672D">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2018</w:t>
            </w:r>
          </w:p>
        </w:tc>
        <w:tc>
          <w:tcPr>
            <w:tcW w:w="1335" w:type="dxa"/>
            <w:shd w:val="clear" w:color="auto" w:fill="DEEAF6" w:themeFill="accent1" w:themeFillTint="33"/>
          </w:tcPr>
          <w:p w:rsidR="00CB65E5" w:rsidRPr="00321F59" w:rsidRDefault="00CB65E5" w:rsidP="0048672D">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 xml:space="preserve">2019 </w:t>
            </w:r>
          </w:p>
        </w:tc>
      </w:tr>
      <w:tr w:rsidR="00CB65E5" w:rsidRPr="0024512C" w:rsidTr="0048672D">
        <w:tc>
          <w:tcPr>
            <w:tcW w:w="9460" w:type="dxa"/>
            <w:gridSpan w:val="6"/>
            <w:shd w:val="clear" w:color="auto" w:fill="auto"/>
          </w:tcPr>
          <w:p w:rsidR="00CB65E5" w:rsidRPr="00321F59" w:rsidRDefault="00CB65E5" w:rsidP="0048672D">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Numărul de Proiecte gestionate de DLC</w:t>
            </w:r>
          </w:p>
        </w:tc>
      </w:tr>
      <w:tr w:rsidR="00CB65E5" w:rsidRPr="0024512C" w:rsidTr="00CB65E5">
        <w:tc>
          <w:tcPr>
            <w:tcW w:w="2785" w:type="dxa"/>
            <w:shd w:val="clear" w:color="auto" w:fill="auto"/>
          </w:tcPr>
          <w:p w:rsidR="00CB65E5" w:rsidRPr="00321F59" w:rsidRDefault="002E7404" w:rsidP="002E7404">
            <w:pPr>
              <w:spacing w:line="276" w:lineRule="auto"/>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Proiecte și Linii de credit</w:t>
            </w:r>
          </w:p>
        </w:tc>
        <w:tc>
          <w:tcPr>
            <w:tcW w:w="1335" w:type="dxa"/>
            <w:shd w:val="clear" w:color="auto" w:fill="auto"/>
          </w:tcPr>
          <w:p w:rsidR="00CB65E5" w:rsidRPr="00321F59" w:rsidRDefault="002E7404"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17</w:t>
            </w:r>
          </w:p>
        </w:tc>
        <w:tc>
          <w:tcPr>
            <w:tcW w:w="1335" w:type="dxa"/>
            <w:shd w:val="clear" w:color="auto" w:fill="auto"/>
          </w:tcPr>
          <w:p w:rsidR="00CB65E5" w:rsidRPr="00321F59" w:rsidRDefault="002E7404"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18</w:t>
            </w:r>
          </w:p>
        </w:tc>
        <w:tc>
          <w:tcPr>
            <w:tcW w:w="1335" w:type="dxa"/>
            <w:shd w:val="clear" w:color="auto" w:fill="auto"/>
          </w:tcPr>
          <w:p w:rsidR="00CB65E5" w:rsidRPr="00321F59" w:rsidRDefault="002E7404"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19</w:t>
            </w:r>
          </w:p>
        </w:tc>
        <w:tc>
          <w:tcPr>
            <w:tcW w:w="1335" w:type="dxa"/>
            <w:shd w:val="clear" w:color="auto" w:fill="auto"/>
          </w:tcPr>
          <w:p w:rsidR="00CB65E5" w:rsidRPr="00321F59" w:rsidRDefault="002E7404"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19</w:t>
            </w:r>
          </w:p>
        </w:tc>
        <w:tc>
          <w:tcPr>
            <w:tcW w:w="1335" w:type="dxa"/>
            <w:shd w:val="clear" w:color="auto" w:fill="auto"/>
          </w:tcPr>
          <w:p w:rsidR="00CB65E5" w:rsidRPr="00321F59" w:rsidRDefault="002E7404"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21</w:t>
            </w:r>
          </w:p>
        </w:tc>
      </w:tr>
      <w:tr w:rsidR="002E7404" w:rsidRPr="0024512C" w:rsidTr="0048672D">
        <w:tc>
          <w:tcPr>
            <w:tcW w:w="9460" w:type="dxa"/>
            <w:gridSpan w:val="6"/>
            <w:shd w:val="clear" w:color="auto" w:fill="auto"/>
          </w:tcPr>
          <w:p w:rsidR="002E7404" w:rsidRPr="00321F59" w:rsidRDefault="002E7404" w:rsidP="0048672D">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Numărul beneficiarilor finali de sub-împrumuturi</w:t>
            </w:r>
          </w:p>
        </w:tc>
      </w:tr>
      <w:tr w:rsidR="00CB65E5" w:rsidRPr="0024512C" w:rsidTr="00CB65E5">
        <w:tc>
          <w:tcPr>
            <w:tcW w:w="2785" w:type="dxa"/>
          </w:tcPr>
          <w:p w:rsidR="00CB65E5" w:rsidRPr="00321F59" w:rsidRDefault="00CB65E5" w:rsidP="0048672D">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La început de an</w:t>
            </w:r>
          </w:p>
        </w:tc>
        <w:tc>
          <w:tcPr>
            <w:tcW w:w="1335" w:type="dxa"/>
          </w:tcPr>
          <w:p w:rsidR="00CB65E5" w:rsidRPr="00321F59" w:rsidRDefault="00CB65E5"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6 062</w:t>
            </w:r>
          </w:p>
        </w:tc>
        <w:tc>
          <w:tcPr>
            <w:tcW w:w="1335" w:type="dxa"/>
          </w:tcPr>
          <w:p w:rsidR="00CB65E5" w:rsidRPr="00321F59" w:rsidRDefault="00CB65E5"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5 906</w:t>
            </w:r>
          </w:p>
        </w:tc>
        <w:tc>
          <w:tcPr>
            <w:tcW w:w="1335" w:type="dxa"/>
          </w:tcPr>
          <w:p w:rsidR="00CB65E5" w:rsidRPr="00321F59" w:rsidRDefault="00CB65E5"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5 791</w:t>
            </w:r>
          </w:p>
        </w:tc>
        <w:tc>
          <w:tcPr>
            <w:tcW w:w="1335" w:type="dxa"/>
          </w:tcPr>
          <w:p w:rsidR="00CB65E5" w:rsidRPr="00321F59" w:rsidRDefault="00CB65E5"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4 613</w:t>
            </w:r>
          </w:p>
        </w:tc>
        <w:tc>
          <w:tcPr>
            <w:tcW w:w="1335" w:type="dxa"/>
          </w:tcPr>
          <w:p w:rsidR="00CB65E5" w:rsidRPr="00321F59" w:rsidRDefault="00CB65E5"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3 114</w:t>
            </w:r>
          </w:p>
        </w:tc>
      </w:tr>
      <w:tr w:rsidR="00CB65E5" w:rsidRPr="0024512C" w:rsidTr="00CB65E5">
        <w:tc>
          <w:tcPr>
            <w:tcW w:w="2785" w:type="dxa"/>
          </w:tcPr>
          <w:p w:rsidR="00CB65E5" w:rsidRPr="00321F59" w:rsidRDefault="00CB65E5" w:rsidP="0048672D">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Finanțate pe parcursul anului</w:t>
            </w:r>
          </w:p>
        </w:tc>
        <w:tc>
          <w:tcPr>
            <w:tcW w:w="1335" w:type="dxa"/>
          </w:tcPr>
          <w:p w:rsidR="00CB65E5" w:rsidRPr="00321F59" w:rsidRDefault="00CB65E5"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795</w:t>
            </w:r>
          </w:p>
        </w:tc>
        <w:tc>
          <w:tcPr>
            <w:tcW w:w="1335" w:type="dxa"/>
          </w:tcPr>
          <w:p w:rsidR="00CB65E5" w:rsidRPr="00321F59" w:rsidRDefault="00CB65E5"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872</w:t>
            </w:r>
          </w:p>
        </w:tc>
        <w:tc>
          <w:tcPr>
            <w:tcW w:w="1335" w:type="dxa"/>
          </w:tcPr>
          <w:p w:rsidR="00CB65E5" w:rsidRPr="00321F59" w:rsidRDefault="00CB65E5"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557</w:t>
            </w:r>
          </w:p>
        </w:tc>
        <w:tc>
          <w:tcPr>
            <w:tcW w:w="1335" w:type="dxa"/>
          </w:tcPr>
          <w:p w:rsidR="00CB65E5" w:rsidRPr="00321F59" w:rsidRDefault="00CB65E5"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346</w:t>
            </w:r>
          </w:p>
        </w:tc>
        <w:tc>
          <w:tcPr>
            <w:tcW w:w="1335" w:type="dxa"/>
          </w:tcPr>
          <w:p w:rsidR="00CB65E5" w:rsidRPr="00321F59" w:rsidRDefault="001809A0"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472</w:t>
            </w:r>
          </w:p>
        </w:tc>
      </w:tr>
      <w:tr w:rsidR="00CB65E5" w:rsidRPr="0024512C" w:rsidTr="00CB65E5">
        <w:tc>
          <w:tcPr>
            <w:tcW w:w="2785" w:type="dxa"/>
          </w:tcPr>
          <w:p w:rsidR="00CB65E5" w:rsidRPr="00321F59" w:rsidRDefault="00CB65E5" w:rsidP="0048672D">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Încheiate pe parcursul anului</w:t>
            </w:r>
          </w:p>
        </w:tc>
        <w:tc>
          <w:tcPr>
            <w:tcW w:w="1335" w:type="dxa"/>
          </w:tcPr>
          <w:p w:rsidR="00CB65E5" w:rsidRPr="00321F59" w:rsidRDefault="00CB65E5"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951</w:t>
            </w:r>
          </w:p>
        </w:tc>
        <w:tc>
          <w:tcPr>
            <w:tcW w:w="1335" w:type="dxa"/>
          </w:tcPr>
          <w:p w:rsidR="00CB65E5" w:rsidRPr="00321F59" w:rsidRDefault="00CB65E5"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987</w:t>
            </w:r>
          </w:p>
        </w:tc>
        <w:tc>
          <w:tcPr>
            <w:tcW w:w="1335" w:type="dxa"/>
          </w:tcPr>
          <w:p w:rsidR="00CB65E5" w:rsidRPr="00321F59" w:rsidRDefault="00CB65E5"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1735</w:t>
            </w:r>
          </w:p>
        </w:tc>
        <w:tc>
          <w:tcPr>
            <w:tcW w:w="1335" w:type="dxa"/>
          </w:tcPr>
          <w:p w:rsidR="00CB65E5" w:rsidRPr="00321F59" w:rsidRDefault="00CB65E5"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1845</w:t>
            </w:r>
          </w:p>
        </w:tc>
        <w:tc>
          <w:tcPr>
            <w:tcW w:w="1335" w:type="dxa"/>
          </w:tcPr>
          <w:p w:rsidR="00CB65E5" w:rsidRPr="00321F59" w:rsidRDefault="001809A0"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955</w:t>
            </w:r>
          </w:p>
        </w:tc>
      </w:tr>
      <w:tr w:rsidR="00CB65E5" w:rsidRPr="0024512C" w:rsidTr="00CB65E5">
        <w:tc>
          <w:tcPr>
            <w:tcW w:w="2785" w:type="dxa"/>
          </w:tcPr>
          <w:p w:rsidR="00CB65E5" w:rsidRPr="00321F59" w:rsidRDefault="00CB65E5" w:rsidP="0048672D">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La sfârșit de an</w:t>
            </w:r>
          </w:p>
        </w:tc>
        <w:tc>
          <w:tcPr>
            <w:tcW w:w="1335" w:type="dxa"/>
          </w:tcPr>
          <w:p w:rsidR="00CB65E5" w:rsidRPr="00321F59" w:rsidRDefault="00CB65E5"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5 906</w:t>
            </w:r>
          </w:p>
        </w:tc>
        <w:tc>
          <w:tcPr>
            <w:tcW w:w="1335" w:type="dxa"/>
          </w:tcPr>
          <w:p w:rsidR="00CB65E5" w:rsidRPr="00321F59" w:rsidRDefault="00CB65E5"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5 791</w:t>
            </w:r>
          </w:p>
        </w:tc>
        <w:tc>
          <w:tcPr>
            <w:tcW w:w="1335" w:type="dxa"/>
          </w:tcPr>
          <w:p w:rsidR="00CB65E5" w:rsidRPr="00321F59" w:rsidRDefault="00CB65E5"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4 613</w:t>
            </w:r>
          </w:p>
        </w:tc>
        <w:tc>
          <w:tcPr>
            <w:tcW w:w="1335" w:type="dxa"/>
          </w:tcPr>
          <w:p w:rsidR="00CB65E5" w:rsidRPr="00321F59" w:rsidRDefault="00CB65E5"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3 114</w:t>
            </w:r>
          </w:p>
        </w:tc>
        <w:tc>
          <w:tcPr>
            <w:tcW w:w="1335" w:type="dxa"/>
          </w:tcPr>
          <w:p w:rsidR="00CB65E5" w:rsidRPr="00321F59" w:rsidRDefault="001809A0" w:rsidP="0048672D">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2631</w:t>
            </w:r>
          </w:p>
        </w:tc>
      </w:tr>
    </w:tbl>
    <w:p w:rsidR="00CB65E5" w:rsidRPr="00321F59" w:rsidRDefault="00E34E4A" w:rsidP="00CB65E5">
      <w:pPr>
        <w:spacing w:line="276" w:lineRule="auto"/>
        <w:jc w:val="both"/>
        <w:rPr>
          <w:rFonts w:asciiTheme="majorHAnsi" w:hAnsiTheme="majorHAnsi" w:cstheme="majorHAnsi"/>
          <w:i/>
          <w:sz w:val="20"/>
          <w:szCs w:val="20"/>
          <w:lang w:val="ro-MD"/>
          <w14:glow w14:rad="0">
            <w14:schemeClr w14:val="tx1"/>
          </w14:glow>
        </w:rPr>
      </w:pPr>
      <w:r w:rsidRPr="00321F59">
        <w:rPr>
          <w:rFonts w:asciiTheme="majorHAnsi" w:hAnsiTheme="majorHAnsi" w:cstheme="majorHAnsi"/>
          <w:b/>
          <w:i/>
          <w:sz w:val="20"/>
          <w:szCs w:val="20"/>
          <w:lang w:val="ro-MD"/>
          <w14:glow w14:rad="0">
            <w14:schemeClr w14:val="tx1"/>
          </w14:glow>
        </w:rPr>
        <w:t>Sursa:</w:t>
      </w:r>
      <w:r w:rsidRPr="00321F59">
        <w:rPr>
          <w:rFonts w:asciiTheme="majorHAnsi" w:hAnsiTheme="majorHAnsi" w:cstheme="majorHAnsi"/>
          <w:i/>
          <w:sz w:val="20"/>
          <w:szCs w:val="20"/>
          <w:lang w:val="ro-MD"/>
          <w14:glow w14:rad="0">
            <w14:schemeClr w14:val="tx1"/>
          </w14:glow>
        </w:rPr>
        <w:t xml:space="preserve"> Informația DLC privind numărul de proiecte gestionate și numărul beneficiarilor finali de sub-împrumuturi în anii 2015-2019.</w:t>
      </w:r>
    </w:p>
    <w:p w:rsidR="002C107F" w:rsidRPr="00321F59" w:rsidRDefault="00CB65E5" w:rsidP="002C107F">
      <w:pPr>
        <w:spacing w:line="276" w:lineRule="auto"/>
        <w:jc w:val="both"/>
        <w:rPr>
          <w:rFonts w:asciiTheme="majorHAnsi" w:hAnsiTheme="majorHAnsi" w:cstheme="majorHAns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t>Astfel, datele din tabel denotă că</w:t>
      </w:r>
      <w:r w:rsidR="00DA00AB" w:rsidRPr="00321F59">
        <w:rPr>
          <w:rFonts w:asciiTheme="majorHAnsi" w:hAnsiTheme="majorHAnsi" w:cstheme="majorHAnsi"/>
          <w:sz w:val="24"/>
          <w:szCs w:val="24"/>
          <w:lang w:val="ro-MD"/>
          <w14:glow w14:rad="0">
            <w14:schemeClr w14:val="tx1"/>
          </w14:glow>
        </w:rPr>
        <w:t>,</w:t>
      </w:r>
      <w:r w:rsidRPr="00321F59">
        <w:rPr>
          <w:rFonts w:asciiTheme="majorHAnsi" w:hAnsiTheme="majorHAnsi" w:cstheme="majorHAnsi"/>
          <w:sz w:val="24"/>
          <w:szCs w:val="24"/>
          <w:lang w:val="ro-MD"/>
          <w14:glow w14:rad="0">
            <w14:schemeClr w14:val="tx1"/>
          </w14:glow>
        </w:rPr>
        <w:t xml:space="preserve"> deși numărul Proiectelor investiționale și a Liniilor de credit gestionate de către DLC a crescut de la </w:t>
      </w:r>
      <w:r w:rsidR="00017C4A" w:rsidRPr="00321F59">
        <w:rPr>
          <w:rFonts w:asciiTheme="majorHAnsi" w:hAnsiTheme="majorHAnsi" w:cstheme="majorHAnsi"/>
          <w:sz w:val="24"/>
          <w:szCs w:val="24"/>
          <w:lang w:val="ro-MD"/>
          <w14:glow w14:rad="0">
            <w14:schemeClr w14:val="tx1"/>
          </w14:glow>
        </w:rPr>
        <w:t>17 gestionate în 2015 la 21 de P</w:t>
      </w:r>
      <w:r w:rsidRPr="00321F59">
        <w:rPr>
          <w:rFonts w:asciiTheme="majorHAnsi" w:hAnsiTheme="majorHAnsi" w:cstheme="majorHAnsi"/>
          <w:sz w:val="24"/>
          <w:szCs w:val="24"/>
          <w:lang w:val="ro-MD"/>
          <w14:glow w14:rad="0">
            <w14:schemeClr w14:val="tx1"/>
          </w14:glow>
        </w:rPr>
        <w:t xml:space="preserve">roiecte în 2019, numărul beneficiarilor de surse </w:t>
      </w:r>
      <w:proofErr w:type="spellStart"/>
      <w:r w:rsidRPr="00321F59">
        <w:rPr>
          <w:rFonts w:asciiTheme="majorHAnsi" w:hAnsiTheme="majorHAnsi" w:cstheme="majorHAnsi"/>
          <w:sz w:val="24"/>
          <w:szCs w:val="24"/>
          <w:lang w:val="ro-MD"/>
          <w14:glow w14:rad="0">
            <w14:schemeClr w14:val="tx1"/>
          </w14:glow>
        </w:rPr>
        <w:t>recreditate</w:t>
      </w:r>
      <w:proofErr w:type="spellEnd"/>
      <w:r w:rsidRPr="00321F59">
        <w:rPr>
          <w:rFonts w:asciiTheme="majorHAnsi" w:hAnsiTheme="majorHAnsi" w:cstheme="majorHAnsi"/>
          <w:sz w:val="24"/>
          <w:szCs w:val="24"/>
          <w:lang w:val="ro-MD"/>
          <w14:glow w14:rad="0">
            <w14:schemeClr w14:val="tx1"/>
          </w14:glow>
        </w:rPr>
        <w:t xml:space="preserve"> pe parcursul anilor 2015-2019 s-a micșorat</w:t>
      </w:r>
      <w:r w:rsidR="001809A0" w:rsidRPr="00321F59">
        <w:rPr>
          <w:rFonts w:asciiTheme="majorHAnsi" w:hAnsiTheme="majorHAnsi" w:cstheme="majorHAnsi"/>
          <w:sz w:val="24"/>
          <w:szCs w:val="24"/>
          <w:lang w:val="ro-MD"/>
          <w14:glow w14:rad="0">
            <w14:schemeClr w14:val="tx1"/>
          </w14:glow>
        </w:rPr>
        <w:t xml:space="preserve"> cu circa 45</w:t>
      </w:r>
      <w:r w:rsidRPr="00321F59">
        <w:rPr>
          <w:rFonts w:asciiTheme="majorHAnsi" w:hAnsiTheme="majorHAnsi" w:cstheme="majorHAnsi"/>
          <w:sz w:val="24"/>
          <w:szCs w:val="24"/>
          <w:lang w:val="ro-MD"/>
          <w14:glow w14:rad="0">
            <w14:schemeClr w14:val="tx1"/>
          </w14:glow>
        </w:rPr>
        <w:t xml:space="preserve">%. </w:t>
      </w:r>
    </w:p>
    <w:p w:rsidR="00C15C23" w:rsidRPr="00321F59" w:rsidRDefault="002C107F" w:rsidP="00423ECB">
      <w:pPr>
        <w:spacing w:line="276" w:lineRule="auto"/>
        <w:jc w:val="both"/>
        <w:rPr>
          <w:rFonts w:asciiTheme="majorHAnsi" w:hAnsiTheme="majorHAnsi" w:cstheme="majorHAns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t>Un alt factor care a influențat reducer</w:t>
      </w:r>
      <w:r w:rsidR="005C74F5">
        <w:rPr>
          <w:rFonts w:asciiTheme="majorHAnsi" w:hAnsiTheme="majorHAnsi" w:cstheme="majorHAnsi"/>
          <w:sz w:val="24"/>
          <w:szCs w:val="24"/>
          <w:lang w:val="ro-MD"/>
          <w14:glow w14:rad="0">
            <w14:schemeClr w14:val="tx1"/>
          </w14:glow>
        </w:rPr>
        <w:t>ea</w:t>
      </w:r>
      <w:r w:rsidRPr="00321F59">
        <w:rPr>
          <w:rFonts w:asciiTheme="majorHAnsi" w:hAnsiTheme="majorHAnsi" w:cstheme="majorHAnsi"/>
          <w:sz w:val="24"/>
          <w:szCs w:val="24"/>
          <w:lang w:val="ro-MD"/>
          <w14:glow w14:rad="0">
            <w14:schemeClr w14:val="tx1"/>
          </w14:glow>
        </w:rPr>
        <w:t xml:space="preserve"> numărului de sub-proiecte a fost stoparea</w:t>
      </w:r>
      <w:r w:rsidR="00E34E4A" w:rsidRPr="00321F59">
        <w:rPr>
          <w:rFonts w:asciiTheme="majorHAnsi" w:hAnsiTheme="majorHAnsi" w:cstheme="majorHAnsi"/>
          <w:sz w:val="24"/>
          <w:szCs w:val="24"/>
          <w:lang w:val="ro-MD"/>
          <w14:glow w14:rad="0">
            <w14:schemeClr w14:val="tx1"/>
          </w14:glow>
        </w:rPr>
        <w:t xml:space="preserve"> temporară a recreditării în lei</w:t>
      </w:r>
      <w:r w:rsidRPr="00321F59">
        <w:rPr>
          <w:rFonts w:asciiTheme="majorHAnsi" w:hAnsiTheme="majorHAnsi" w:cstheme="majorHAnsi"/>
          <w:sz w:val="24"/>
          <w:szCs w:val="24"/>
          <w:lang w:val="ro-MD"/>
          <w14:glow w14:rad="0">
            <w14:schemeClr w14:val="tx1"/>
          </w14:glow>
        </w:rPr>
        <w:t>. La 29 septembrie 2016, Consiliul DLC</w:t>
      </w:r>
      <w:r w:rsidR="002D5998" w:rsidRPr="00321F59">
        <w:rPr>
          <w:rStyle w:val="FootnoteReference"/>
          <w:rFonts w:asciiTheme="majorHAnsi" w:hAnsiTheme="majorHAnsi" w:cstheme="majorHAnsi"/>
          <w:sz w:val="24"/>
          <w:szCs w:val="24"/>
          <w:lang w:val="ro-MD"/>
          <w14:glow w14:rad="0">
            <w14:schemeClr w14:val="tx1"/>
          </w14:glow>
        </w:rPr>
        <w:footnoteReference w:id="19"/>
      </w:r>
      <w:r w:rsidRPr="00321F59">
        <w:rPr>
          <w:rFonts w:asciiTheme="majorHAnsi" w:hAnsiTheme="majorHAnsi" w:cstheme="majorHAnsi"/>
          <w:sz w:val="24"/>
          <w:szCs w:val="24"/>
          <w:lang w:val="ro-MD"/>
          <w14:glow w14:rad="0">
            <w14:schemeClr w14:val="tx1"/>
          </w14:glow>
        </w:rPr>
        <w:t xml:space="preserve"> </w:t>
      </w:r>
      <w:r w:rsidR="00DA00AB" w:rsidRPr="00321F59">
        <w:rPr>
          <w:rFonts w:asciiTheme="majorHAnsi" w:hAnsiTheme="majorHAnsi" w:cstheme="majorHAnsi"/>
          <w:sz w:val="24"/>
          <w:szCs w:val="24"/>
          <w:lang w:val="ro-MD"/>
          <w14:glow w14:rad="0">
            <w14:schemeClr w14:val="tx1"/>
          </w14:glow>
        </w:rPr>
        <w:t>a decis</w:t>
      </w:r>
      <w:r w:rsidRPr="00321F59">
        <w:rPr>
          <w:rFonts w:asciiTheme="majorHAnsi" w:hAnsiTheme="majorHAnsi" w:cstheme="majorHAnsi"/>
          <w:sz w:val="24"/>
          <w:szCs w:val="24"/>
          <w:lang w:val="ro-MD"/>
          <w14:glow w14:rad="0">
            <w14:schemeClr w14:val="tx1"/>
          </w14:glow>
        </w:rPr>
        <w:t xml:space="preserve"> că</w:t>
      </w:r>
      <w:r w:rsidR="00DA00AB" w:rsidRPr="00321F59">
        <w:rPr>
          <w:rFonts w:asciiTheme="majorHAnsi" w:hAnsiTheme="majorHAnsi" w:cstheme="majorHAnsi"/>
          <w:sz w:val="24"/>
          <w:szCs w:val="24"/>
          <w:lang w:val="ro-MD"/>
          <w14:glow w14:rad="0">
            <w14:schemeClr w14:val="tx1"/>
          </w14:glow>
        </w:rPr>
        <w:t>,</w:t>
      </w:r>
      <w:r w:rsidR="0005555B" w:rsidRPr="00321F59">
        <w:rPr>
          <w:rFonts w:asciiTheme="majorHAnsi" w:hAnsiTheme="majorHAnsi" w:cstheme="majorHAnsi"/>
          <w:sz w:val="24"/>
          <w:szCs w:val="24"/>
          <w:lang w:val="ro-MD"/>
          <w14:glow w14:rad="0">
            <w14:schemeClr w14:val="tx1"/>
          </w14:glow>
        </w:rPr>
        <w:t xml:space="preserve"> p</w:t>
      </w:r>
      <w:r w:rsidR="0005555B" w:rsidRPr="0024512C">
        <w:rPr>
          <w:rFonts w:ascii="Calibri Light" w:hAnsi="Calibri Light" w:cs="Calibri Light"/>
          <w:bCs/>
          <w:sz w:val="24"/>
          <w:szCs w:val="24"/>
          <w:lang w:val="ro-MD"/>
        </w:rPr>
        <w:t>entru evitarea riscului de schimb valutar al MF, recreditarea fondurilor disponibile ale DLC se va con</w:t>
      </w:r>
      <w:r w:rsidR="00DA00AB" w:rsidRPr="005C74F5">
        <w:rPr>
          <w:rFonts w:ascii="Calibri Light" w:hAnsi="Calibri Light" w:cs="Calibri Light"/>
          <w:bCs/>
          <w:sz w:val="24"/>
          <w:szCs w:val="24"/>
          <w:lang w:val="ro-MD"/>
        </w:rPr>
        <w:t>tinua doar în valută străină, cu</w:t>
      </w:r>
      <w:r w:rsidR="0005555B" w:rsidRPr="005C74F5">
        <w:rPr>
          <w:rFonts w:ascii="Calibri Light" w:hAnsi="Calibri Light" w:cs="Calibri Light"/>
          <w:bCs/>
          <w:sz w:val="24"/>
          <w:szCs w:val="24"/>
          <w:lang w:val="ro-MD"/>
        </w:rPr>
        <w:t xml:space="preserve"> ex</w:t>
      </w:r>
      <w:r w:rsidR="00E34E4A" w:rsidRPr="005C74F5">
        <w:rPr>
          <w:rFonts w:ascii="Calibri Light" w:hAnsi="Calibri Light" w:cs="Calibri Light"/>
          <w:bCs/>
          <w:sz w:val="24"/>
          <w:szCs w:val="24"/>
          <w:lang w:val="ro-MD"/>
        </w:rPr>
        <w:t>cepția liniilor de credit în lei</w:t>
      </w:r>
      <w:r w:rsidR="0005555B" w:rsidRPr="005C74F5">
        <w:rPr>
          <w:rFonts w:ascii="Calibri Light" w:hAnsi="Calibri Light" w:cs="Calibri Light"/>
          <w:bCs/>
          <w:sz w:val="24"/>
          <w:szCs w:val="24"/>
          <w:lang w:val="ro-MD"/>
        </w:rPr>
        <w:t xml:space="preserve"> în cadrul Proiectului </w:t>
      </w:r>
      <w:r w:rsidR="0005555B" w:rsidRPr="00321F59">
        <w:rPr>
          <w:rFonts w:asciiTheme="majorHAnsi" w:hAnsiTheme="majorHAnsi" w:cstheme="majorHAnsi"/>
          <w:sz w:val="24"/>
          <w:szCs w:val="24"/>
          <w:lang w:val="ro-MD"/>
          <w14:glow w14:rad="0">
            <w14:schemeClr w14:val="tx1"/>
          </w14:glow>
        </w:rPr>
        <w:t>Ameliorare a Competitivității</w:t>
      </w:r>
      <w:r w:rsidR="00DA00AB" w:rsidRPr="00321F59">
        <w:rPr>
          <w:rFonts w:asciiTheme="majorHAnsi" w:hAnsiTheme="majorHAnsi" w:cstheme="majorHAnsi"/>
          <w:sz w:val="24"/>
          <w:szCs w:val="24"/>
          <w:lang w:val="ro-MD"/>
          <w14:glow w14:rad="0">
            <w14:schemeClr w14:val="tx1"/>
          </w14:glow>
        </w:rPr>
        <w:t>,</w:t>
      </w:r>
      <w:r w:rsidR="0005555B" w:rsidRPr="00321F59">
        <w:rPr>
          <w:rFonts w:asciiTheme="majorHAnsi" w:hAnsiTheme="majorHAnsi" w:cstheme="majorHAnsi"/>
          <w:sz w:val="24"/>
          <w:szCs w:val="24"/>
          <w:lang w:val="ro-MD"/>
          <w14:glow w14:rad="0">
            <w14:schemeClr w14:val="tx1"/>
          </w14:glow>
        </w:rPr>
        <w:t xml:space="preserve"> faza II</w:t>
      </w:r>
      <w:r w:rsidR="00DA00AB" w:rsidRPr="00321F59">
        <w:rPr>
          <w:rFonts w:asciiTheme="majorHAnsi" w:hAnsiTheme="majorHAnsi" w:cstheme="majorHAnsi"/>
          <w:sz w:val="24"/>
          <w:szCs w:val="24"/>
          <w:lang w:val="ro-MD"/>
          <w14:glow w14:rad="0">
            <w14:schemeClr w14:val="tx1"/>
          </w14:glow>
        </w:rPr>
        <w:t>,</w:t>
      </w:r>
      <w:r w:rsidR="0005555B" w:rsidRPr="00321F59">
        <w:rPr>
          <w:rFonts w:asciiTheme="majorHAnsi" w:hAnsiTheme="majorHAnsi" w:cstheme="majorHAnsi"/>
          <w:sz w:val="24"/>
          <w:szCs w:val="24"/>
          <w:lang w:val="ro-MD"/>
          <w14:glow w14:rad="0">
            <w14:schemeClr w14:val="tx1"/>
          </w14:glow>
        </w:rPr>
        <w:t xml:space="preserve"> finanțat de</w:t>
      </w:r>
      <w:r w:rsidR="0005555B" w:rsidRPr="0024512C">
        <w:rPr>
          <w:rFonts w:ascii="Calibri Light" w:hAnsi="Calibri Light" w:cs="Calibri Light"/>
          <w:bCs/>
          <w:sz w:val="24"/>
          <w:szCs w:val="24"/>
          <w:lang w:val="ro-MD"/>
        </w:rPr>
        <w:t xml:space="preserve"> Banca Mondială (res</w:t>
      </w:r>
      <w:r w:rsidR="00DA00AB" w:rsidRPr="0024512C">
        <w:rPr>
          <w:rFonts w:ascii="Calibri Light" w:hAnsi="Calibri Light" w:cs="Calibri Light"/>
          <w:bCs/>
          <w:sz w:val="24"/>
          <w:szCs w:val="24"/>
          <w:lang w:val="ro-MD"/>
        </w:rPr>
        <w:t xml:space="preserve">urse directe) și </w:t>
      </w:r>
      <w:r w:rsidR="0005555B" w:rsidRPr="00321F59">
        <w:rPr>
          <w:rFonts w:asciiTheme="majorHAnsi" w:hAnsiTheme="majorHAnsi" w:cstheme="majorHAnsi"/>
          <w:sz w:val="24"/>
          <w:szCs w:val="24"/>
          <w:lang w:val="ro-MD"/>
          <w14:glow w14:rad="0">
            <w14:schemeClr w14:val="tx1"/>
          </w14:glow>
        </w:rPr>
        <w:t xml:space="preserve">Programului Rural de Reziliență </w:t>
      </w:r>
      <w:proofErr w:type="spellStart"/>
      <w:r w:rsidR="0005555B" w:rsidRPr="00321F59">
        <w:rPr>
          <w:rFonts w:asciiTheme="majorHAnsi" w:hAnsiTheme="majorHAnsi" w:cstheme="majorHAnsi"/>
          <w:sz w:val="24"/>
          <w:szCs w:val="24"/>
          <w:lang w:val="ro-MD"/>
          <w14:glow w14:rad="0">
            <w14:schemeClr w14:val="tx1"/>
          </w14:glow>
        </w:rPr>
        <w:t>Economico</w:t>
      </w:r>
      <w:proofErr w:type="spellEnd"/>
      <w:r w:rsidR="0005555B" w:rsidRPr="00321F59">
        <w:rPr>
          <w:rFonts w:asciiTheme="majorHAnsi" w:hAnsiTheme="majorHAnsi" w:cstheme="majorHAnsi"/>
          <w:sz w:val="24"/>
          <w:szCs w:val="24"/>
          <w:lang w:val="ro-MD"/>
          <w14:glow w14:rad="0">
            <w14:schemeClr w14:val="tx1"/>
          </w14:glow>
        </w:rPr>
        <w:t>-Climatică Incluzivă (FIDA VI)</w:t>
      </w:r>
      <w:r w:rsidR="0005555B" w:rsidRPr="0024512C">
        <w:rPr>
          <w:rFonts w:ascii="Calibri Light" w:hAnsi="Calibri Light" w:cs="Calibri Light"/>
          <w:bCs/>
          <w:sz w:val="24"/>
          <w:szCs w:val="24"/>
          <w:lang w:val="ro-MD"/>
        </w:rPr>
        <w:t xml:space="preserve"> (resurse directe).</w:t>
      </w:r>
      <w:r w:rsidR="0005555B" w:rsidRPr="00321F59">
        <w:rPr>
          <w:rFonts w:asciiTheme="majorHAnsi" w:hAnsiTheme="majorHAnsi" w:cstheme="majorHAnsi"/>
          <w:sz w:val="24"/>
          <w:szCs w:val="24"/>
          <w:lang w:val="ro-MD"/>
          <w14:glow w14:rad="0">
            <w14:schemeClr w14:val="tx1"/>
          </w14:glow>
        </w:rPr>
        <w:t xml:space="preserve"> </w:t>
      </w:r>
      <w:r w:rsidR="00E34E4A" w:rsidRPr="00321F59">
        <w:rPr>
          <w:rFonts w:asciiTheme="majorHAnsi" w:hAnsiTheme="majorHAnsi" w:cstheme="majorHAnsi"/>
          <w:sz w:val="24"/>
          <w:szCs w:val="24"/>
          <w:lang w:val="ro-MD"/>
          <w14:glow w14:rad="0">
            <w14:schemeClr w14:val="tx1"/>
          </w14:glow>
        </w:rPr>
        <w:t>Reluarea recreditării IFP în lei</w:t>
      </w:r>
      <w:r w:rsidRPr="00321F59">
        <w:rPr>
          <w:rFonts w:asciiTheme="majorHAnsi" w:hAnsiTheme="majorHAnsi" w:cstheme="majorHAnsi"/>
          <w:sz w:val="24"/>
          <w:szCs w:val="24"/>
          <w:lang w:val="ro-MD"/>
          <w14:glow w14:rad="0">
            <w14:schemeClr w14:val="tx1"/>
          </w14:glow>
        </w:rPr>
        <w:t xml:space="preserve"> în toate liniile de credit disponibile a fost permisă de către Consiliul DLC începând cu 20 martie 2018</w:t>
      </w:r>
      <w:r w:rsidR="002D5998" w:rsidRPr="00321F59">
        <w:rPr>
          <w:rStyle w:val="FootnoteReference"/>
          <w:rFonts w:asciiTheme="majorHAnsi" w:hAnsiTheme="majorHAnsi" w:cstheme="majorHAnsi"/>
          <w:sz w:val="24"/>
          <w:szCs w:val="24"/>
          <w:lang w:val="ro-MD"/>
          <w14:glow w14:rad="0">
            <w14:schemeClr w14:val="tx1"/>
          </w14:glow>
        </w:rPr>
        <w:footnoteReference w:id="20"/>
      </w:r>
      <w:r w:rsidRPr="00321F59">
        <w:rPr>
          <w:rFonts w:asciiTheme="majorHAnsi" w:hAnsiTheme="majorHAnsi" w:cstheme="majorHAnsi"/>
          <w:sz w:val="24"/>
          <w:szCs w:val="24"/>
          <w:lang w:val="ro-MD"/>
          <w14:glow w14:rad="0">
            <w14:schemeClr w14:val="tx1"/>
          </w14:glow>
        </w:rPr>
        <w:t>.</w:t>
      </w:r>
    </w:p>
    <w:p w:rsidR="00FF71DC" w:rsidRPr="00321F59" w:rsidRDefault="00FF71DC" w:rsidP="00FF71DC">
      <w:pPr>
        <w:spacing w:line="276" w:lineRule="auto"/>
        <w:jc w:val="both"/>
        <w:rPr>
          <w:rFonts w:asciiTheme="majorHAnsi" w:hAnsiTheme="majorHAnsi" w:cstheme="majorHAnsi"/>
          <w: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t>În ceea ce ține de ratele de dobândă la sub-împrumuturi, de asemenea s-a stabilit că</w:t>
      </w:r>
      <w:r w:rsidR="00DA00AB" w:rsidRPr="00321F59">
        <w:rPr>
          <w:rFonts w:asciiTheme="majorHAnsi" w:hAnsiTheme="majorHAnsi" w:cstheme="majorHAnsi"/>
          <w:sz w:val="24"/>
          <w:szCs w:val="24"/>
          <w:lang w:val="ro-MD"/>
          <w14:glow w14:rad="0">
            <w14:schemeClr w14:val="tx1"/>
          </w14:glow>
        </w:rPr>
        <w:t>,</w:t>
      </w:r>
      <w:r w:rsidRPr="00321F59">
        <w:rPr>
          <w:rFonts w:asciiTheme="majorHAnsi" w:hAnsiTheme="majorHAnsi" w:cstheme="majorHAnsi"/>
          <w:sz w:val="24"/>
          <w:szCs w:val="24"/>
          <w:lang w:val="ro-MD"/>
          <w14:glow w14:rad="0">
            <w14:schemeClr w14:val="tx1"/>
          </w14:glow>
        </w:rPr>
        <w:t xml:space="preserve"> în vederea majorării atractivității acestora pentru beneficiarii finali, a fost propusă stabilirea </w:t>
      </w:r>
      <w:r w:rsidRPr="0024512C">
        <w:rPr>
          <w:rFonts w:ascii="Calibri Light" w:eastAsia="MS Mincho" w:hAnsi="Calibri Light" w:cs="Calibri Light"/>
          <w:bCs/>
          <w:sz w:val="24"/>
          <w:szCs w:val="24"/>
          <w:lang w:val="ro-MD" w:eastAsia="ru-RU"/>
        </w:rPr>
        <w:t xml:space="preserve">unei rate promoționale de recreditare a IFP pentru sub-împrumuturile noi </w:t>
      </w:r>
      <w:proofErr w:type="spellStart"/>
      <w:r w:rsidRPr="0024512C">
        <w:rPr>
          <w:rFonts w:ascii="Calibri Light" w:eastAsia="MS Mincho" w:hAnsi="Calibri Light" w:cs="Calibri Light"/>
          <w:bCs/>
          <w:sz w:val="24"/>
          <w:szCs w:val="24"/>
          <w:lang w:val="ro-MD" w:eastAsia="ru-RU"/>
        </w:rPr>
        <w:t>recreditate</w:t>
      </w:r>
      <w:proofErr w:type="spellEnd"/>
      <w:r w:rsidRPr="0024512C">
        <w:rPr>
          <w:rFonts w:ascii="Calibri Light" w:eastAsia="MS Mincho" w:hAnsi="Calibri Light" w:cs="Calibri Light"/>
          <w:bCs/>
          <w:sz w:val="24"/>
          <w:szCs w:val="24"/>
          <w:lang w:val="ro-MD" w:eastAsia="ru-RU"/>
        </w:rPr>
        <w:t xml:space="preserve"> tinerilor antreprenori în cadrul Liniilor de credit, mijloace circulante </w:t>
      </w:r>
      <w:proofErr w:type="spellStart"/>
      <w:r w:rsidR="002F78A2" w:rsidRPr="005C74F5">
        <w:rPr>
          <w:rFonts w:ascii="Calibri Light" w:eastAsia="MS Mincho" w:hAnsi="Calibri Light" w:cs="Calibri Light"/>
          <w:bCs/>
          <w:sz w:val="24"/>
          <w:szCs w:val="24"/>
          <w:lang w:val="ro-MD" w:eastAsia="ru-RU"/>
        </w:rPr>
        <w:t>revolving</w:t>
      </w:r>
      <w:proofErr w:type="spellEnd"/>
      <w:r w:rsidR="002F78A2" w:rsidRPr="005C74F5">
        <w:rPr>
          <w:rFonts w:ascii="Calibri Light" w:eastAsia="MS Mincho" w:hAnsi="Calibri Light" w:cs="Calibri Light"/>
          <w:bCs/>
          <w:sz w:val="24"/>
          <w:szCs w:val="24"/>
          <w:lang w:val="ro-MD" w:eastAsia="ru-RU"/>
        </w:rPr>
        <w:t>, administrate de DLC</w:t>
      </w:r>
      <w:r w:rsidR="003A39CA" w:rsidRPr="005C74F5">
        <w:rPr>
          <w:rFonts w:ascii="Calibri Light" w:eastAsia="MS Mincho" w:hAnsi="Calibri Light" w:cs="Calibri Light"/>
          <w:bCs/>
          <w:sz w:val="24"/>
          <w:szCs w:val="24"/>
          <w:lang w:val="ro-MD" w:eastAsia="ru-RU"/>
        </w:rPr>
        <w:t xml:space="preserve">. </w:t>
      </w:r>
      <w:r w:rsidR="003A39CA" w:rsidRPr="005C74F5">
        <w:rPr>
          <w:rFonts w:ascii="Calibri Light" w:eastAsia="MS Mincho" w:hAnsi="Calibri Light" w:cs="Calibri Light"/>
          <w:bCs/>
          <w:i/>
          <w:sz w:val="24"/>
          <w:szCs w:val="24"/>
          <w:lang w:val="ro-MD" w:eastAsia="ru-RU"/>
        </w:rPr>
        <w:t xml:space="preserve">Informația detaliată se prezintă în cap. 4.2.7 la descrierea </w:t>
      </w:r>
      <w:r w:rsidR="002F78A2" w:rsidRPr="0024512C">
        <w:rPr>
          <w:rFonts w:ascii="Calibri Light" w:hAnsi="Calibri Light" w:cs="Calibri Light"/>
          <w:bCs/>
          <w:i/>
          <w:sz w:val="24"/>
          <w:szCs w:val="24"/>
          <w:lang w:val="ro-MD"/>
        </w:rPr>
        <w:t xml:space="preserve">Proiectului Facilitatea de Creditare </w:t>
      </w:r>
      <w:r w:rsidR="003A39CA" w:rsidRPr="0024512C">
        <w:rPr>
          <w:rFonts w:ascii="Calibri Light" w:hAnsi="Calibri Light" w:cs="Calibri Light"/>
          <w:bCs/>
          <w:i/>
          <w:sz w:val="24"/>
          <w:szCs w:val="24"/>
          <w:lang w:val="ro-MD"/>
        </w:rPr>
        <w:t>pentru Tineret din prezentul Raport de audit</w:t>
      </w:r>
      <w:r w:rsidR="002F78A2" w:rsidRPr="0024512C">
        <w:rPr>
          <w:rFonts w:ascii="Calibri Light" w:hAnsi="Calibri Light" w:cs="Calibri Light"/>
          <w:bCs/>
          <w:i/>
          <w:sz w:val="24"/>
          <w:szCs w:val="24"/>
          <w:lang w:val="ro-MD"/>
        </w:rPr>
        <w:t>.</w:t>
      </w:r>
    </w:p>
    <w:p w:rsidR="00C15C23" w:rsidRPr="0024512C" w:rsidRDefault="00A969E8" w:rsidP="00805CC0">
      <w:pPr>
        <w:pStyle w:val="ListParagraph"/>
        <w:numPr>
          <w:ilvl w:val="2"/>
          <w:numId w:val="2"/>
        </w:numPr>
        <w:spacing w:line="276" w:lineRule="auto"/>
        <w:ind w:left="0" w:firstLine="0"/>
        <w:jc w:val="both"/>
        <w:outlineLvl w:val="2"/>
        <w:rPr>
          <w:rFonts w:asciiTheme="majorHAnsi" w:hAnsiTheme="majorHAnsi" w:cstheme="majorHAnsi"/>
          <w:b/>
          <w:i/>
          <w:color w:val="5B9BD5" w:themeColor="accent1"/>
          <w:sz w:val="24"/>
          <w:szCs w:val="24"/>
          <w:lang w:val="ro-MD" w:eastAsia="ru-RU"/>
        </w:rPr>
      </w:pPr>
      <w:bookmarkStart w:id="13" w:name="_Toc47009713"/>
      <w:r w:rsidRPr="0024512C">
        <w:rPr>
          <w:rFonts w:asciiTheme="majorHAnsi" w:hAnsiTheme="majorHAnsi" w:cstheme="majorHAnsi"/>
          <w:b/>
          <w:i/>
          <w:color w:val="5B9BD5" w:themeColor="accent1"/>
          <w:sz w:val="24"/>
          <w:szCs w:val="24"/>
          <w:lang w:val="ro-MD" w:eastAsia="ru-RU"/>
        </w:rPr>
        <w:t>Asumarea riscului de credit de către IFP pentru beneficiarii finali de sub-proiecte asigură rambursarea în termen a datoriilor</w:t>
      </w:r>
      <w:bookmarkEnd w:id="13"/>
      <w:r w:rsidRPr="0024512C">
        <w:rPr>
          <w:rFonts w:asciiTheme="majorHAnsi" w:hAnsiTheme="majorHAnsi" w:cstheme="majorHAnsi"/>
          <w:b/>
          <w:i/>
          <w:color w:val="5B9BD5" w:themeColor="accent1"/>
          <w:sz w:val="24"/>
          <w:szCs w:val="24"/>
          <w:lang w:val="ro-MD" w:eastAsia="ru-RU"/>
        </w:rPr>
        <w:t xml:space="preserve"> </w:t>
      </w:r>
    </w:p>
    <w:p w:rsidR="009E7E06" w:rsidRPr="0024512C" w:rsidRDefault="009E7E06" w:rsidP="009E7E06">
      <w:pPr>
        <w:spacing w:line="276" w:lineRule="auto"/>
        <w:jc w:val="both"/>
        <w:rPr>
          <w:rFonts w:asciiTheme="majorHAnsi" w:eastAsia="Times New Roman" w:hAnsiTheme="majorHAnsi" w:cstheme="majorHAnsi"/>
          <w:sz w:val="24"/>
          <w:szCs w:val="24"/>
          <w:lang w:val="ro-MD"/>
        </w:rPr>
      </w:pPr>
      <w:r w:rsidRPr="0024512C">
        <w:rPr>
          <w:rFonts w:asciiTheme="majorHAnsi" w:hAnsiTheme="majorHAnsi" w:cstheme="majorHAnsi"/>
          <w:sz w:val="24"/>
          <w:szCs w:val="24"/>
          <w:lang w:val="ro-MD" w:eastAsia="ru-RU"/>
        </w:rPr>
        <w:t>În conformitate cu L</w:t>
      </w:r>
      <w:r w:rsidR="0023466E" w:rsidRPr="005C74F5">
        <w:rPr>
          <w:rFonts w:asciiTheme="majorHAnsi" w:hAnsiTheme="majorHAnsi" w:cstheme="majorHAnsi"/>
          <w:sz w:val="24"/>
          <w:szCs w:val="24"/>
          <w:lang w:val="ro-MD" w:eastAsia="ru-RU"/>
        </w:rPr>
        <w:t>egea nr.</w:t>
      </w:r>
      <w:r w:rsidR="00E513D7" w:rsidRPr="005C74F5">
        <w:rPr>
          <w:rFonts w:asciiTheme="majorHAnsi" w:hAnsiTheme="majorHAnsi" w:cstheme="majorHAnsi"/>
          <w:sz w:val="24"/>
          <w:szCs w:val="24"/>
          <w:lang w:val="ro-MD" w:eastAsia="ru-RU"/>
        </w:rPr>
        <w:t xml:space="preserve"> </w:t>
      </w:r>
      <w:r w:rsidR="0023466E" w:rsidRPr="005C74F5">
        <w:rPr>
          <w:rFonts w:asciiTheme="majorHAnsi" w:hAnsiTheme="majorHAnsi" w:cstheme="majorHAnsi"/>
          <w:sz w:val="24"/>
          <w:szCs w:val="24"/>
          <w:lang w:val="ro-MD" w:eastAsia="ru-RU"/>
        </w:rPr>
        <w:t>419 din 22.12.2006</w:t>
      </w:r>
      <w:r w:rsidR="00E513D7" w:rsidRPr="0024512C">
        <w:rPr>
          <w:rStyle w:val="FootnoteReference"/>
          <w:rFonts w:asciiTheme="majorHAnsi" w:hAnsiTheme="majorHAnsi" w:cstheme="majorHAnsi"/>
          <w:sz w:val="24"/>
          <w:szCs w:val="24"/>
          <w:lang w:val="ro-MD" w:eastAsia="ru-RU"/>
        </w:rPr>
        <w:footnoteReference w:id="21"/>
      </w:r>
      <w:r w:rsidRPr="0024512C">
        <w:rPr>
          <w:rFonts w:asciiTheme="majorHAnsi" w:hAnsiTheme="majorHAnsi" w:cstheme="majorHAnsi"/>
          <w:sz w:val="24"/>
          <w:szCs w:val="24"/>
          <w:lang w:val="ro-MD" w:eastAsia="ru-RU"/>
        </w:rPr>
        <w:t>, î</w:t>
      </w:r>
      <w:r w:rsidRPr="005C74F5">
        <w:rPr>
          <w:rFonts w:asciiTheme="majorHAnsi" w:eastAsia="Times New Roman" w:hAnsiTheme="majorHAnsi" w:cstheme="majorHAnsi"/>
          <w:sz w:val="24"/>
          <w:szCs w:val="24"/>
          <w:lang w:val="ro-MD"/>
        </w:rPr>
        <w:t xml:space="preserve">n cazurile </w:t>
      </w:r>
      <w:r w:rsidR="00DA00AB" w:rsidRPr="005C74F5">
        <w:rPr>
          <w:rFonts w:asciiTheme="majorHAnsi" w:eastAsia="Times New Roman" w:hAnsiTheme="majorHAnsi" w:cstheme="majorHAnsi"/>
          <w:sz w:val="24"/>
          <w:szCs w:val="24"/>
          <w:lang w:val="ro-MD"/>
        </w:rPr>
        <w:t>în care</w:t>
      </w:r>
      <w:r w:rsidRPr="005C74F5">
        <w:rPr>
          <w:rFonts w:asciiTheme="majorHAnsi" w:eastAsia="Times New Roman" w:hAnsiTheme="majorHAnsi" w:cstheme="majorHAnsi"/>
          <w:sz w:val="24"/>
          <w:szCs w:val="24"/>
          <w:lang w:val="ro-MD"/>
        </w:rPr>
        <w:t xml:space="preserve"> recreditarea este făcută prin intermediul băncilor și/sau organizațiilor de creditare nebancare, și/sau asociațiilor de economii și împrumut participante, condițiile pentru selectarea beneficiarilor care pot fi </w:t>
      </w:r>
      <w:r w:rsidR="00DA00AB" w:rsidRPr="0024512C">
        <w:rPr>
          <w:rFonts w:asciiTheme="majorHAnsi" w:eastAsia="Times New Roman" w:hAnsiTheme="majorHAnsi" w:cstheme="majorHAnsi"/>
          <w:sz w:val="24"/>
          <w:szCs w:val="24"/>
          <w:lang w:val="ro-MD"/>
        </w:rPr>
        <w:t>creditați din aceste mijloace su</w:t>
      </w:r>
      <w:r w:rsidRPr="0024512C">
        <w:rPr>
          <w:rFonts w:asciiTheme="majorHAnsi" w:eastAsia="Times New Roman" w:hAnsiTheme="majorHAnsi" w:cstheme="majorHAnsi"/>
          <w:sz w:val="24"/>
          <w:szCs w:val="24"/>
          <w:lang w:val="ro-MD"/>
        </w:rPr>
        <w:t xml:space="preserve">nt definite de băncile și/sau organizațiile de creditare nebancare, și/sau asociațiile de economii și împrumut, cu respectarea criteriilor de evaluare a riscurilor de credit și a criteriilor de selectare conform regulilor și practicilor de creditare recunoscute pe plan intern și internațional. </w:t>
      </w:r>
      <w:r w:rsidRPr="0024512C">
        <w:rPr>
          <w:rFonts w:asciiTheme="majorHAnsi" w:eastAsia="Times New Roman" w:hAnsiTheme="majorHAnsi" w:cstheme="majorHAnsi"/>
          <w:sz w:val="24"/>
          <w:szCs w:val="24"/>
          <w:lang w:val="ro-MD"/>
        </w:rPr>
        <w:lastRenderedPageBreak/>
        <w:t>Riscurile comerciale și financiare aferente operațiunilor de recreditare se suportă de către intermediarii financiari care acordă împrumuturi din mijloacele destinate recreditării.</w:t>
      </w:r>
    </w:p>
    <w:p w:rsidR="00B36939" w:rsidRPr="0024512C" w:rsidRDefault="00B36939" w:rsidP="009E7E06">
      <w:pPr>
        <w:spacing w:line="276" w:lineRule="auto"/>
        <w:jc w:val="both"/>
        <w:rPr>
          <w:rFonts w:asciiTheme="majorHAnsi" w:eastAsia="Times New Roman" w:hAnsiTheme="majorHAnsi" w:cstheme="majorHAnsi"/>
          <w:sz w:val="24"/>
          <w:szCs w:val="24"/>
          <w:lang w:val="ro-MD"/>
        </w:rPr>
      </w:pPr>
      <w:r w:rsidRPr="0024512C">
        <w:rPr>
          <w:rFonts w:asciiTheme="majorHAnsi" w:eastAsia="Times New Roman" w:hAnsiTheme="majorHAnsi" w:cstheme="majorHAnsi"/>
          <w:sz w:val="24"/>
          <w:szCs w:val="24"/>
          <w:lang w:val="ro-MD"/>
        </w:rPr>
        <w:t xml:space="preserve">De asemenea, prevederile Acordurilor de recreditare încheiate între MF, IFP și DLC stabilesc că IFP își asumă toate riscurile de credit și de rambursare a fondurilor. Astfel, IFP se obligă se restituie DLC suma împrumuturilor </w:t>
      </w:r>
      <w:proofErr w:type="spellStart"/>
      <w:r w:rsidRPr="0024512C">
        <w:rPr>
          <w:rFonts w:asciiTheme="majorHAnsi" w:eastAsia="Times New Roman" w:hAnsiTheme="majorHAnsi" w:cstheme="majorHAnsi"/>
          <w:sz w:val="24"/>
          <w:szCs w:val="24"/>
          <w:lang w:val="ro-MD"/>
        </w:rPr>
        <w:t>recreditate</w:t>
      </w:r>
      <w:proofErr w:type="spellEnd"/>
      <w:r w:rsidRPr="0024512C">
        <w:rPr>
          <w:rFonts w:asciiTheme="majorHAnsi" w:eastAsia="Times New Roman" w:hAnsiTheme="majorHAnsi" w:cstheme="majorHAnsi"/>
          <w:sz w:val="24"/>
          <w:szCs w:val="24"/>
          <w:lang w:val="ro-MD"/>
        </w:rPr>
        <w:t xml:space="preserve"> și a dobânzilor aferente conform graficelor stabilite</w:t>
      </w:r>
      <w:r w:rsidR="00D66913" w:rsidRPr="0024512C">
        <w:rPr>
          <w:rFonts w:asciiTheme="majorHAnsi" w:eastAsia="Times New Roman" w:hAnsiTheme="majorHAnsi" w:cstheme="majorHAnsi"/>
          <w:sz w:val="24"/>
          <w:szCs w:val="24"/>
          <w:lang w:val="ro-MD"/>
        </w:rPr>
        <w:t>,</w:t>
      </w:r>
      <w:r w:rsidRPr="0024512C">
        <w:rPr>
          <w:rFonts w:asciiTheme="majorHAnsi" w:eastAsia="Times New Roman" w:hAnsiTheme="majorHAnsi" w:cstheme="majorHAnsi"/>
          <w:sz w:val="24"/>
          <w:szCs w:val="24"/>
          <w:lang w:val="ro-MD"/>
        </w:rPr>
        <w:t xml:space="preserve"> indiferent de rambursările parvenite la IFP de la beneficiarii finali de sub-împrumuturi. </w:t>
      </w:r>
    </w:p>
    <w:p w:rsidR="00033A80" w:rsidRPr="0024512C" w:rsidRDefault="0023466E" w:rsidP="009E7E06">
      <w:pPr>
        <w:spacing w:line="276" w:lineRule="auto"/>
        <w:jc w:val="both"/>
        <w:rPr>
          <w:rFonts w:asciiTheme="majorHAnsi" w:eastAsia="Times New Roman" w:hAnsiTheme="majorHAnsi" w:cstheme="majorHAnsi"/>
          <w:sz w:val="24"/>
          <w:szCs w:val="24"/>
          <w:lang w:val="ro-MD"/>
        </w:rPr>
      </w:pPr>
      <w:r w:rsidRPr="0024512C">
        <w:rPr>
          <w:rFonts w:asciiTheme="majorHAnsi" w:eastAsia="Times New Roman" w:hAnsiTheme="majorHAnsi" w:cstheme="majorHAnsi"/>
          <w:sz w:val="24"/>
          <w:szCs w:val="24"/>
          <w:lang w:val="ro-MD"/>
        </w:rPr>
        <w:t>În așa mod</w:t>
      </w:r>
      <w:r w:rsidR="00033A80" w:rsidRPr="0024512C">
        <w:rPr>
          <w:rFonts w:asciiTheme="majorHAnsi" w:eastAsia="Times New Roman" w:hAnsiTheme="majorHAnsi" w:cstheme="majorHAnsi"/>
          <w:sz w:val="24"/>
          <w:szCs w:val="24"/>
          <w:lang w:val="ro-MD"/>
        </w:rPr>
        <w:t>, transferarea riscului de credit către IFP</w:t>
      </w:r>
      <w:r w:rsidR="00175651" w:rsidRPr="0024512C">
        <w:rPr>
          <w:rFonts w:asciiTheme="majorHAnsi" w:eastAsia="Times New Roman" w:hAnsiTheme="majorHAnsi" w:cstheme="majorHAnsi"/>
          <w:sz w:val="24"/>
          <w:szCs w:val="24"/>
          <w:lang w:val="ro-MD"/>
        </w:rPr>
        <w:t xml:space="preserve"> asigură DLC rambursarea în termen a sumelor datorate și limitarea formării datoriilor cu termen de achitare expirat. </w:t>
      </w:r>
    </w:p>
    <w:p w:rsidR="00175651" w:rsidRPr="0024512C" w:rsidRDefault="00175651" w:rsidP="009E7E06">
      <w:pPr>
        <w:spacing w:line="276" w:lineRule="auto"/>
        <w:jc w:val="both"/>
        <w:rPr>
          <w:rFonts w:asciiTheme="majorHAnsi" w:eastAsia="Times New Roman" w:hAnsiTheme="majorHAnsi" w:cstheme="majorHAnsi"/>
          <w:sz w:val="24"/>
          <w:szCs w:val="24"/>
          <w:lang w:val="ro-MD"/>
        </w:rPr>
      </w:pPr>
      <w:r w:rsidRPr="0024512C">
        <w:rPr>
          <w:rFonts w:asciiTheme="majorHAnsi" w:eastAsia="Times New Roman" w:hAnsiTheme="majorHAnsi" w:cstheme="majorHAnsi"/>
          <w:sz w:val="24"/>
          <w:szCs w:val="24"/>
          <w:lang w:val="ro-MD"/>
        </w:rPr>
        <w:t>Totodată, verifi</w:t>
      </w:r>
      <w:r w:rsidR="00DA00AB" w:rsidRPr="0024512C">
        <w:rPr>
          <w:rFonts w:asciiTheme="majorHAnsi" w:eastAsia="Times New Roman" w:hAnsiTheme="majorHAnsi" w:cstheme="majorHAnsi"/>
          <w:sz w:val="24"/>
          <w:szCs w:val="24"/>
          <w:lang w:val="ro-MD"/>
        </w:rPr>
        <w:t xml:space="preserve">cările auditului au stabilit </w:t>
      </w:r>
      <w:r w:rsidRPr="0024512C">
        <w:rPr>
          <w:rFonts w:asciiTheme="majorHAnsi" w:eastAsia="Times New Roman" w:hAnsiTheme="majorHAnsi" w:cstheme="majorHAnsi"/>
          <w:sz w:val="24"/>
          <w:szCs w:val="24"/>
          <w:lang w:val="ro-MD"/>
        </w:rPr>
        <w:t>existența unor proceduri și mecanisme de monitorizare de către DLC a sumelor datorat</w:t>
      </w:r>
      <w:r w:rsidR="00DA00AB" w:rsidRPr="0024512C">
        <w:rPr>
          <w:rFonts w:asciiTheme="majorHAnsi" w:eastAsia="Times New Roman" w:hAnsiTheme="majorHAnsi" w:cstheme="majorHAnsi"/>
          <w:sz w:val="24"/>
          <w:szCs w:val="24"/>
          <w:lang w:val="ro-MD"/>
        </w:rPr>
        <w:t xml:space="preserve">e de </w:t>
      </w:r>
      <w:r w:rsidR="008362B5" w:rsidRPr="0024512C">
        <w:rPr>
          <w:rFonts w:asciiTheme="majorHAnsi" w:eastAsia="Times New Roman" w:hAnsiTheme="majorHAnsi" w:cstheme="majorHAnsi"/>
          <w:sz w:val="24"/>
          <w:szCs w:val="24"/>
          <w:lang w:val="ro-MD"/>
        </w:rPr>
        <w:t>beneficiarii finali, cum ar fi</w:t>
      </w:r>
      <w:r w:rsidR="00D66913" w:rsidRPr="0024512C">
        <w:rPr>
          <w:rFonts w:asciiTheme="majorHAnsi" w:eastAsia="Times New Roman" w:hAnsiTheme="majorHAnsi" w:cstheme="majorHAnsi"/>
          <w:sz w:val="24"/>
          <w:szCs w:val="24"/>
          <w:lang w:val="ro-MD"/>
        </w:rPr>
        <w:t>:</w:t>
      </w:r>
      <w:r w:rsidR="008362B5" w:rsidRPr="0024512C">
        <w:rPr>
          <w:rFonts w:asciiTheme="majorHAnsi" w:eastAsia="Times New Roman" w:hAnsiTheme="majorHAnsi" w:cstheme="majorHAnsi"/>
          <w:sz w:val="24"/>
          <w:szCs w:val="24"/>
          <w:lang w:val="ro-MD"/>
        </w:rPr>
        <w:t xml:space="preserve"> verificarea pachetelor de documente prezentate de beneficiari, aprobarea finanțării sub-împrumuturilor, calcularea ratelor de dobândă pentru fiecare beneficiar de sub-împrumut din momentul anunțării IFP privind primirea mijloacelor solicitate, revizuirea și aprobarea semi</w:t>
      </w:r>
      <w:r w:rsidR="003469ED" w:rsidRPr="0024512C">
        <w:rPr>
          <w:rFonts w:asciiTheme="majorHAnsi" w:eastAsia="Times New Roman" w:hAnsiTheme="majorHAnsi" w:cstheme="majorHAnsi"/>
          <w:sz w:val="24"/>
          <w:szCs w:val="24"/>
          <w:lang w:val="ro-MD"/>
        </w:rPr>
        <w:t>-</w:t>
      </w:r>
      <w:r w:rsidR="008362B5" w:rsidRPr="0024512C">
        <w:rPr>
          <w:rFonts w:asciiTheme="majorHAnsi" w:eastAsia="Times New Roman" w:hAnsiTheme="majorHAnsi" w:cstheme="majorHAnsi"/>
          <w:sz w:val="24"/>
          <w:szCs w:val="24"/>
          <w:lang w:val="ro-MD"/>
        </w:rPr>
        <w:t xml:space="preserve">anuală a ratelor de dobândă și anunțarea IFP referitor la modificările survenite, calcularea și trimiterea către IFP a solicitărilor de plată la fiecare dată scadentă a sub-împrumutului, verificarea corectitudinii rambursării sumelor datorate de către IFP, întocmirea rapoartelor trimestriale privind activitatea de recreditare a Liniilor de credit.  </w:t>
      </w:r>
    </w:p>
    <w:p w:rsidR="00A969E8" w:rsidRPr="0024512C" w:rsidRDefault="00A969E8" w:rsidP="00A969E8">
      <w:pPr>
        <w:spacing w:after="0" w:line="276" w:lineRule="auto"/>
        <w:jc w:val="both"/>
        <w:rPr>
          <w:rFonts w:ascii="Calibri Light" w:hAnsi="Calibri Light" w:cs="Calibri Light"/>
          <w:bCs/>
          <w:sz w:val="24"/>
          <w:szCs w:val="24"/>
          <w:lang w:val="ro-MD"/>
        </w:rPr>
      </w:pPr>
      <w:r w:rsidRPr="0024512C">
        <w:rPr>
          <w:rFonts w:ascii="Calibri Light" w:hAnsi="Calibri Light" w:cs="Calibri Light"/>
          <w:bCs/>
          <w:sz w:val="24"/>
          <w:szCs w:val="24"/>
          <w:lang w:val="ro-MD"/>
        </w:rPr>
        <w:t>Verificările auditului asupra îndeplinirii de către DLC a funcțiilor de gestionare a Liniilor de credit, precum și de monitorizare și colectare a plăților în cadrul Proiectelor transmise de către MF nu au stabilit nereguli sau abateri. Totodată, verificările asupra eligibilității beneficiarilor de sub-împrumuturi, precum și asupra dosarelor prezentate și păstrate de către DLC au stabilit următoarele:</w:t>
      </w:r>
    </w:p>
    <w:p w:rsidR="00A969E8" w:rsidRPr="0024512C" w:rsidRDefault="00DA00AB" w:rsidP="00A969E8">
      <w:pPr>
        <w:pStyle w:val="ListParagraph"/>
        <w:numPr>
          <w:ilvl w:val="0"/>
          <w:numId w:val="7"/>
        </w:numPr>
        <w:spacing w:line="276" w:lineRule="auto"/>
        <w:ind w:left="0" w:firstLine="360"/>
        <w:jc w:val="both"/>
        <w:rPr>
          <w:rFonts w:ascii="Calibri Light" w:hAnsi="Calibri Light" w:cs="Calibri Light"/>
          <w:bCs/>
          <w:sz w:val="24"/>
          <w:szCs w:val="24"/>
          <w:lang w:val="ro-MD"/>
        </w:rPr>
      </w:pPr>
      <w:r w:rsidRPr="0024512C">
        <w:rPr>
          <w:rFonts w:ascii="Calibri Light" w:hAnsi="Calibri Light" w:cs="Calibri Light"/>
          <w:bCs/>
          <w:sz w:val="24"/>
          <w:szCs w:val="24"/>
          <w:lang w:val="ro-MD"/>
        </w:rPr>
        <w:t>u</w:t>
      </w:r>
      <w:r w:rsidR="00A969E8" w:rsidRPr="0024512C">
        <w:rPr>
          <w:rFonts w:ascii="Calibri Light" w:hAnsi="Calibri Light" w:cs="Calibri Light"/>
          <w:bCs/>
          <w:sz w:val="24"/>
          <w:szCs w:val="24"/>
          <w:lang w:val="ro-MD"/>
        </w:rPr>
        <w:t>nele dosare a</w:t>
      </w:r>
      <w:r w:rsidRPr="0024512C">
        <w:rPr>
          <w:rFonts w:ascii="Calibri Light" w:hAnsi="Calibri Light" w:cs="Calibri Light"/>
          <w:bCs/>
          <w:sz w:val="24"/>
          <w:szCs w:val="24"/>
          <w:lang w:val="ro-MD"/>
        </w:rPr>
        <w:t>le</w:t>
      </w:r>
      <w:r w:rsidR="00A969E8" w:rsidRPr="0024512C">
        <w:rPr>
          <w:rFonts w:ascii="Calibri Light" w:hAnsi="Calibri Light" w:cs="Calibri Light"/>
          <w:bCs/>
          <w:sz w:val="24"/>
          <w:szCs w:val="24"/>
          <w:lang w:val="ro-MD"/>
        </w:rPr>
        <w:t xml:space="preserve"> beneficiarilor de sub-împrumuturi nu conțin în totalitate pachetul de documente prestabilit, precum</w:t>
      </w:r>
      <w:r w:rsidRPr="0024512C">
        <w:rPr>
          <w:rFonts w:ascii="Calibri Light" w:hAnsi="Calibri Light" w:cs="Calibri Light"/>
          <w:bCs/>
          <w:sz w:val="24"/>
          <w:szCs w:val="24"/>
          <w:lang w:val="ro-MD"/>
        </w:rPr>
        <w:t>:</w:t>
      </w:r>
      <w:r w:rsidR="00A969E8" w:rsidRPr="0024512C">
        <w:rPr>
          <w:rFonts w:ascii="Calibri Light" w:hAnsi="Calibri Light" w:cs="Calibri Light"/>
          <w:bCs/>
          <w:sz w:val="24"/>
          <w:szCs w:val="24"/>
          <w:lang w:val="ro-MD"/>
        </w:rPr>
        <w:t xml:space="preserve"> bilanțurile contabile, actele de constituire a întreprinderilor, contractele de credit sau proiectele acestora semnate între IFP și beneficiar</w:t>
      </w:r>
      <w:r w:rsidR="004B19C3" w:rsidRPr="0024512C">
        <w:rPr>
          <w:rFonts w:ascii="Calibri Light" w:hAnsi="Calibri Light" w:cs="Calibri Light"/>
          <w:bCs/>
          <w:sz w:val="24"/>
          <w:szCs w:val="24"/>
          <w:lang w:val="ro-MD"/>
        </w:rPr>
        <w:t xml:space="preserve"> și/sau</w:t>
      </w:r>
      <w:r w:rsidR="00A969E8" w:rsidRPr="0024512C">
        <w:rPr>
          <w:rFonts w:ascii="Calibri Light" w:hAnsi="Calibri Light" w:cs="Calibri Light"/>
          <w:bCs/>
          <w:sz w:val="24"/>
          <w:szCs w:val="24"/>
          <w:lang w:val="ro-MD"/>
        </w:rPr>
        <w:t xml:space="preserve"> documente care ar confirma îndeplinirea de către beneficiar a anumitor criterii (perioada de activitate a beneficiarului, numărul de angajați, volumul anual al vânzărilor, capitalul statutar)</w:t>
      </w:r>
      <w:r w:rsidRPr="0024512C">
        <w:rPr>
          <w:rFonts w:ascii="Calibri Light" w:hAnsi="Calibri Light" w:cs="Calibri Light"/>
          <w:bCs/>
          <w:sz w:val="24"/>
          <w:szCs w:val="24"/>
          <w:lang w:val="ro-MD"/>
        </w:rPr>
        <w:t>;</w:t>
      </w:r>
      <w:r w:rsidR="00A969E8" w:rsidRPr="0024512C">
        <w:rPr>
          <w:rFonts w:ascii="Calibri Light" w:hAnsi="Calibri Light" w:cs="Calibri Light"/>
          <w:bCs/>
          <w:sz w:val="24"/>
          <w:szCs w:val="24"/>
          <w:lang w:val="ro-MD"/>
        </w:rPr>
        <w:t xml:space="preserve"> </w:t>
      </w:r>
    </w:p>
    <w:p w:rsidR="00A969E8" w:rsidRPr="0024512C" w:rsidRDefault="00DA00AB" w:rsidP="00A969E8">
      <w:pPr>
        <w:pStyle w:val="ListParagraph"/>
        <w:numPr>
          <w:ilvl w:val="0"/>
          <w:numId w:val="7"/>
        </w:numPr>
        <w:spacing w:line="276" w:lineRule="auto"/>
        <w:ind w:left="0" w:firstLine="360"/>
        <w:jc w:val="both"/>
        <w:rPr>
          <w:rFonts w:ascii="Calibri Light" w:hAnsi="Calibri Light" w:cs="Calibri Light"/>
          <w:bCs/>
          <w:sz w:val="24"/>
          <w:szCs w:val="24"/>
          <w:lang w:val="ro-MD"/>
        </w:rPr>
      </w:pPr>
      <w:r w:rsidRPr="0024512C">
        <w:rPr>
          <w:rFonts w:ascii="Calibri Light" w:hAnsi="Calibri Light" w:cs="Calibri Light"/>
          <w:bCs/>
          <w:sz w:val="24"/>
          <w:szCs w:val="24"/>
          <w:lang w:val="ro-MD"/>
        </w:rPr>
        <w:t>u</w:t>
      </w:r>
      <w:r w:rsidR="004B19C3" w:rsidRPr="0024512C">
        <w:rPr>
          <w:rFonts w:ascii="Calibri Light" w:hAnsi="Calibri Light" w:cs="Calibri Light"/>
          <w:bCs/>
          <w:sz w:val="24"/>
          <w:szCs w:val="24"/>
          <w:lang w:val="ro-MD"/>
        </w:rPr>
        <w:t>nele</w:t>
      </w:r>
      <w:r w:rsidR="00A969E8" w:rsidRPr="0024512C">
        <w:rPr>
          <w:rFonts w:ascii="Calibri Light" w:hAnsi="Calibri Light" w:cs="Calibri Light"/>
          <w:bCs/>
          <w:sz w:val="24"/>
          <w:szCs w:val="24"/>
          <w:lang w:val="ro-MD"/>
        </w:rPr>
        <w:t xml:space="preserve"> cazuri </w:t>
      </w:r>
      <w:r w:rsidR="004B19C3" w:rsidRPr="0024512C">
        <w:rPr>
          <w:rFonts w:ascii="Calibri Light" w:hAnsi="Calibri Light" w:cs="Calibri Light"/>
          <w:bCs/>
          <w:sz w:val="24"/>
          <w:szCs w:val="24"/>
          <w:lang w:val="ro-MD"/>
        </w:rPr>
        <w:t>de acordare de</w:t>
      </w:r>
      <w:r w:rsidR="00A969E8" w:rsidRPr="0024512C">
        <w:rPr>
          <w:rFonts w:ascii="Calibri Light" w:hAnsi="Calibri Light" w:cs="Calibri Light"/>
          <w:bCs/>
          <w:sz w:val="24"/>
          <w:szCs w:val="24"/>
          <w:lang w:val="ro-MD"/>
        </w:rPr>
        <w:t xml:space="preserve"> sub-</w:t>
      </w:r>
      <w:r w:rsidRPr="0024512C">
        <w:rPr>
          <w:rFonts w:ascii="Calibri Light" w:hAnsi="Calibri Light" w:cs="Calibri Light"/>
          <w:bCs/>
          <w:sz w:val="24"/>
          <w:szCs w:val="24"/>
          <w:lang w:val="ro-MD"/>
        </w:rPr>
        <w:t>împrumuturi întreprinderilor nou create</w:t>
      </w:r>
      <w:r w:rsidR="00A969E8" w:rsidRPr="0024512C">
        <w:rPr>
          <w:rFonts w:ascii="Calibri Light" w:hAnsi="Calibri Light" w:cs="Calibri Light"/>
          <w:bCs/>
          <w:sz w:val="24"/>
          <w:szCs w:val="24"/>
          <w:lang w:val="ro-MD"/>
        </w:rPr>
        <w:t xml:space="preserve"> sau ca</w:t>
      </w:r>
      <w:r w:rsidR="004B19C3" w:rsidRPr="0024512C">
        <w:rPr>
          <w:rFonts w:ascii="Calibri Light" w:hAnsi="Calibri Light" w:cs="Calibri Light"/>
          <w:bCs/>
          <w:sz w:val="24"/>
          <w:szCs w:val="24"/>
          <w:lang w:val="ro-MD"/>
        </w:rPr>
        <w:t>re nu au activitate financiară. D</w:t>
      </w:r>
      <w:r w:rsidRPr="0024512C">
        <w:rPr>
          <w:rFonts w:ascii="Calibri Light" w:hAnsi="Calibri Light" w:cs="Calibri Light"/>
          <w:bCs/>
          <w:sz w:val="24"/>
          <w:szCs w:val="24"/>
          <w:lang w:val="ro-MD"/>
        </w:rPr>
        <w:t>eși</w:t>
      </w:r>
      <w:r w:rsidR="00A969E8" w:rsidRPr="0024512C">
        <w:rPr>
          <w:rFonts w:ascii="Calibri Light" w:hAnsi="Calibri Light" w:cs="Calibri Light"/>
          <w:bCs/>
          <w:sz w:val="24"/>
          <w:szCs w:val="24"/>
          <w:lang w:val="ro-MD"/>
        </w:rPr>
        <w:t xml:space="preserve"> conform documentelor privind unele Proiecte nu sunt stabilite restricții referitoare la perioada de activitate a beneficiarului, auditul consideră această activitate riscantă, deoarece pune sub risc posibilitatea rambursării în terme</w:t>
      </w:r>
      <w:r w:rsidRPr="0024512C">
        <w:rPr>
          <w:rFonts w:ascii="Calibri Light" w:hAnsi="Calibri Light" w:cs="Calibri Light"/>
          <w:bCs/>
          <w:sz w:val="24"/>
          <w:szCs w:val="24"/>
          <w:lang w:val="ro-MD"/>
        </w:rPr>
        <w:t>n a sub-împrumuturilor acordate;</w:t>
      </w:r>
    </w:p>
    <w:p w:rsidR="00A969E8" w:rsidRPr="0024512C" w:rsidRDefault="00DA00AB" w:rsidP="00A969E8">
      <w:pPr>
        <w:pStyle w:val="ListParagraph"/>
        <w:numPr>
          <w:ilvl w:val="0"/>
          <w:numId w:val="7"/>
        </w:numPr>
        <w:spacing w:line="276" w:lineRule="auto"/>
        <w:ind w:left="0" w:firstLine="360"/>
        <w:jc w:val="both"/>
        <w:rPr>
          <w:rFonts w:ascii="Calibri Light" w:hAnsi="Calibri Light" w:cs="Calibri Light"/>
          <w:bCs/>
          <w:sz w:val="24"/>
          <w:szCs w:val="24"/>
          <w:lang w:val="ro-MD"/>
        </w:rPr>
      </w:pPr>
      <w:r w:rsidRPr="0024512C">
        <w:rPr>
          <w:rFonts w:ascii="Calibri Light" w:hAnsi="Calibri Light" w:cs="Calibri Light"/>
          <w:bCs/>
          <w:sz w:val="24"/>
          <w:szCs w:val="24"/>
          <w:lang w:val="ro-MD"/>
        </w:rPr>
        <w:t>u</w:t>
      </w:r>
      <w:r w:rsidR="004B19C3" w:rsidRPr="0024512C">
        <w:rPr>
          <w:rFonts w:ascii="Calibri Light" w:hAnsi="Calibri Light" w:cs="Calibri Light"/>
          <w:bCs/>
          <w:sz w:val="24"/>
          <w:szCs w:val="24"/>
          <w:lang w:val="ro-MD"/>
        </w:rPr>
        <w:t>nele</w:t>
      </w:r>
      <w:r w:rsidR="00A969E8" w:rsidRPr="0024512C">
        <w:rPr>
          <w:rFonts w:ascii="Calibri Light" w:hAnsi="Calibri Light" w:cs="Calibri Light"/>
          <w:bCs/>
          <w:sz w:val="24"/>
          <w:szCs w:val="24"/>
          <w:lang w:val="ro-MD"/>
        </w:rPr>
        <w:t xml:space="preserve"> cazuri </w:t>
      </w:r>
      <w:r w:rsidRPr="0024512C">
        <w:rPr>
          <w:rFonts w:ascii="Calibri Light" w:hAnsi="Calibri Light" w:cs="Calibri Light"/>
          <w:bCs/>
          <w:sz w:val="24"/>
          <w:szCs w:val="24"/>
          <w:lang w:val="ro-MD"/>
        </w:rPr>
        <w:t>în care</w:t>
      </w:r>
      <w:r w:rsidR="00A969E8" w:rsidRPr="0024512C">
        <w:rPr>
          <w:rFonts w:ascii="Calibri Light" w:hAnsi="Calibri Light" w:cs="Calibri Light"/>
          <w:bCs/>
          <w:sz w:val="24"/>
          <w:szCs w:val="24"/>
          <w:lang w:val="ro-MD"/>
        </w:rPr>
        <w:t xml:space="preserve"> beneficiarii de sub-împrumuturi au fost creditați de către IFP în baza contractului de credit în care a fost indicat că </w:t>
      </w:r>
      <w:r w:rsidR="004B19C3" w:rsidRPr="0024512C">
        <w:rPr>
          <w:rFonts w:ascii="Calibri Light" w:hAnsi="Calibri Light" w:cs="Calibri Light"/>
          <w:bCs/>
          <w:sz w:val="24"/>
          <w:szCs w:val="24"/>
          <w:lang w:val="ro-MD"/>
        </w:rPr>
        <w:t>împrumutul</w:t>
      </w:r>
      <w:r w:rsidR="00A969E8" w:rsidRPr="0024512C">
        <w:rPr>
          <w:rFonts w:ascii="Calibri Light" w:hAnsi="Calibri Light" w:cs="Calibri Light"/>
          <w:bCs/>
          <w:sz w:val="24"/>
          <w:szCs w:val="24"/>
          <w:lang w:val="ro-MD"/>
        </w:rPr>
        <w:t xml:space="preserve"> se acordă din resursele unui anumit Proiect, pe când scrisoarea de aprobare a sub-proiectului eligibil a fost emisă de către DLC cu câteva zile mai târziu.</w:t>
      </w:r>
    </w:p>
    <w:p w:rsidR="00A969E8" w:rsidRPr="0024512C" w:rsidRDefault="00DA00AB" w:rsidP="009E7E06">
      <w:pPr>
        <w:spacing w:line="276" w:lineRule="auto"/>
        <w:jc w:val="both"/>
        <w:rPr>
          <w:rFonts w:ascii="Calibri Light" w:hAnsi="Calibri Light" w:cs="Calibri Light"/>
          <w:bCs/>
          <w:sz w:val="24"/>
          <w:szCs w:val="24"/>
          <w:lang w:val="ro-MD"/>
        </w:rPr>
      </w:pPr>
      <w:r w:rsidRPr="0024512C">
        <w:rPr>
          <w:rFonts w:ascii="Calibri Light" w:hAnsi="Calibri Light" w:cs="Calibri Light"/>
          <w:bCs/>
          <w:sz w:val="24"/>
          <w:szCs w:val="24"/>
          <w:lang w:val="ro-MD"/>
        </w:rPr>
        <w:t>R</w:t>
      </w:r>
      <w:r w:rsidR="00A969E8" w:rsidRPr="0024512C">
        <w:rPr>
          <w:rFonts w:ascii="Calibri Light" w:hAnsi="Calibri Light" w:cs="Calibri Light"/>
          <w:bCs/>
          <w:sz w:val="24"/>
          <w:szCs w:val="24"/>
          <w:lang w:val="ro-MD"/>
        </w:rPr>
        <w:t>eferitor la acordarea su</w:t>
      </w:r>
      <w:r w:rsidRPr="0024512C">
        <w:rPr>
          <w:rFonts w:ascii="Calibri Light" w:hAnsi="Calibri Light" w:cs="Calibri Light"/>
          <w:bCs/>
          <w:sz w:val="24"/>
          <w:szCs w:val="24"/>
          <w:lang w:val="ro-MD"/>
        </w:rPr>
        <w:t xml:space="preserve">b-împrumuturilor companiilor </w:t>
      </w:r>
      <w:r w:rsidRPr="00321F59">
        <w:rPr>
          <w:rFonts w:ascii="Calibri Light" w:hAnsi="Calibri Light" w:cs="Calibri Light"/>
          <w:bCs/>
          <w:sz w:val="24"/>
          <w:szCs w:val="24"/>
          <w:lang w:val="ro-MD"/>
        </w:rPr>
        <w:t>nou</w:t>
      </w:r>
      <w:r w:rsidR="00A969E8" w:rsidRPr="00321F59">
        <w:rPr>
          <w:rFonts w:ascii="Calibri Light" w:hAnsi="Calibri Light" w:cs="Calibri Light"/>
          <w:bCs/>
          <w:sz w:val="24"/>
          <w:szCs w:val="24"/>
          <w:lang w:val="ro-MD"/>
        </w:rPr>
        <w:t xml:space="preserve"> create</w:t>
      </w:r>
      <w:r w:rsidR="00A969E8" w:rsidRPr="0024512C">
        <w:rPr>
          <w:rFonts w:ascii="Calibri Light" w:hAnsi="Calibri Light" w:cs="Calibri Light"/>
          <w:bCs/>
          <w:sz w:val="24"/>
          <w:szCs w:val="24"/>
          <w:lang w:val="ro-MD"/>
        </w:rPr>
        <w:t xml:space="preserve"> sau care nu au activitate financiară</w:t>
      </w:r>
      <w:r w:rsidRPr="005C74F5">
        <w:rPr>
          <w:rFonts w:ascii="Calibri Light" w:hAnsi="Calibri Light" w:cs="Calibri Light"/>
          <w:bCs/>
          <w:sz w:val="24"/>
          <w:szCs w:val="24"/>
          <w:lang w:val="ro-MD"/>
        </w:rPr>
        <w:t>, conducerea DLC explică prin următoarele</w:t>
      </w:r>
      <w:r w:rsidR="00A969E8" w:rsidRPr="005C74F5">
        <w:rPr>
          <w:rFonts w:ascii="Calibri Light" w:hAnsi="Calibri Light" w:cs="Calibri Light"/>
          <w:bCs/>
          <w:sz w:val="24"/>
          <w:szCs w:val="24"/>
          <w:lang w:val="ro-MD"/>
        </w:rPr>
        <w:t>: „Toate riscurile MF/DLC legate de operațiunea de recreditare sunt tran</w:t>
      </w:r>
      <w:r w:rsidR="00A969E8" w:rsidRPr="0024512C">
        <w:rPr>
          <w:rFonts w:ascii="Calibri Light" w:hAnsi="Calibri Light" w:cs="Calibri Light"/>
          <w:bCs/>
          <w:sz w:val="24"/>
          <w:szCs w:val="24"/>
          <w:lang w:val="ro-MD"/>
        </w:rPr>
        <w:t>sferate către IFP. Conform art.29 al</w:t>
      </w:r>
      <w:r w:rsidR="007D5CA7" w:rsidRPr="0024512C">
        <w:rPr>
          <w:rFonts w:ascii="Calibri Light" w:hAnsi="Calibri Light" w:cs="Calibri Light"/>
          <w:bCs/>
          <w:sz w:val="24"/>
          <w:szCs w:val="24"/>
          <w:lang w:val="ro-MD"/>
        </w:rPr>
        <w:t>in</w:t>
      </w:r>
      <w:r w:rsidR="00A969E8" w:rsidRPr="0024512C">
        <w:rPr>
          <w:rFonts w:ascii="Calibri Light" w:hAnsi="Calibri Light" w:cs="Calibri Light"/>
          <w:bCs/>
          <w:sz w:val="24"/>
          <w:szCs w:val="24"/>
          <w:lang w:val="ro-MD"/>
        </w:rPr>
        <w:t>.(2) al Legii nr.419 din 22.12.2006, riscurile comerciale și financiare aferente operațiunilor de recreditare se suportă de către intermediarii financiari care acordă împrumuturi din mijloacele destinate recre</w:t>
      </w:r>
      <w:r w:rsidRPr="0024512C">
        <w:rPr>
          <w:rFonts w:ascii="Calibri Light" w:hAnsi="Calibri Light" w:cs="Calibri Light"/>
          <w:bCs/>
          <w:sz w:val="24"/>
          <w:szCs w:val="24"/>
          <w:lang w:val="ro-MD"/>
        </w:rPr>
        <w:t xml:space="preserve">ditării. IFP, </w:t>
      </w:r>
      <w:r w:rsidRPr="0024512C">
        <w:rPr>
          <w:rFonts w:ascii="Calibri Light" w:hAnsi="Calibri Light" w:cs="Calibri Light"/>
          <w:bCs/>
          <w:sz w:val="24"/>
          <w:szCs w:val="24"/>
          <w:lang w:val="ro-MD"/>
        </w:rPr>
        <w:lastRenderedPageBreak/>
        <w:t>conform condițiilor</w:t>
      </w:r>
      <w:r w:rsidR="00A969E8" w:rsidRPr="0024512C">
        <w:rPr>
          <w:rFonts w:ascii="Calibri Light" w:hAnsi="Calibri Light" w:cs="Calibri Light"/>
          <w:bCs/>
          <w:sz w:val="24"/>
          <w:szCs w:val="24"/>
          <w:lang w:val="ro-MD"/>
        </w:rPr>
        <w:t xml:space="preserve"> C</w:t>
      </w:r>
      <w:r w:rsidRPr="0024512C">
        <w:rPr>
          <w:rFonts w:ascii="Calibri Light" w:hAnsi="Calibri Light" w:cs="Calibri Light"/>
          <w:bCs/>
          <w:sz w:val="24"/>
          <w:szCs w:val="24"/>
          <w:lang w:val="ro-MD"/>
        </w:rPr>
        <w:t xml:space="preserve">ontractelor de recreditare și </w:t>
      </w:r>
      <w:r w:rsidR="00A969E8" w:rsidRPr="0024512C">
        <w:rPr>
          <w:rFonts w:ascii="Calibri Light" w:hAnsi="Calibri Light" w:cs="Calibri Light"/>
          <w:bCs/>
          <w:sz w:val="24"/>
          <w:szCs w:val="24"/>
          <w:lang w:val="ro-MD"/>
        </w:rPr>
        <w:t xml:space="preserve">graficelor de rambursare a împrumuturilor contractate de la MF/DLC, UCIP-IFAD, vor rambursa/achita către DLC/MF toate sumele de deservire a sub-împrumuturilor </w:t>
      </w:r>
      <w:proofErr w:type="spellStart"/>
      <w:r w:rsidR="00A969E8" w:rsidRPr="0024512C">
        <w:rPr>
          <w:rFonts w:ascii="Calibri Light" w:hAnsi="Calibri Light" w:cs="Calibri Light"/>
          <w:bCs/>
          <w:sz w:val="24"/>
          <w:szCs w:val="24"/>
          <w:lang w:val="ro-MD"/>
        </w:rPr>
        <w:t>recreditate</w:t>
      </w:r>
      <w:proofErr w:type="spellEnd"/>
      <w:r w:rsidR="00A969E8" w:rsidRPr="0024512C">
        <w:rPr>
          <w:rFonts w:ascii="Calibri Light" w:hAnsi="Calibri Light" w:cs="Calibri Light"/>
          <w:bCs/>
          <w:sz w:val="24"/>
          <w:szCs w:val="24"/>
          <w:lang w:val="ro-MD"/>
        </w:rPr>
        <w:t xml:space="preserve">, chiar și în cazul dacă o întreprindere </w:t>
      </w:r>
      <w:proofErr w:type="spellStart"/>
      <w:r w:rsidR="00A969E8" w:rsidRPr="0024512C">
        <w:rPr>
          <w:rFonts w:ascii="Calibri Light" w:hAnsi="Calibri Light" w:cs="Calibri Light"/>
          <w:bCs/>
          <w:sz w:val="24"/>
          <w:szCs w:val="24"/>
          <w:lang w:val="ro-MD"/>
        </w:rPr>
        <w:t>strart-up</w:t>
      </w:r>
      <w:proofErr w:type="spellEnd"/>
      <w:r w:rsidR="00A969E8" w:rsidRPr="0024512C">
        <w:rPr>
          <w:rFonts w:ascii="Calibri Light" w:hAnsi="Calibri Light" w:cs="Calibri Light"/>
          <w:bCs/>
          <w:sz w:val="24"/>
          <w:szCs w:val="24"/>
          <w:lang w:val="ro-MD"/>
        </w:rPr>
        <w:t xml:space="preserve"> </w:t>
      </w:r>
      <w:proofErr w:type="spellStart"/>
      <w:r w:rsidR="00A969E8" w:rsidRPr="0024512C">
        <w:rPr>
          <w:rFonts w:ascii="Calibri Light" w:hAnsi="Calibri Light" w:cs="Calibri Light"/>
          <w:bCs/>
          <w:sz w:val="24"/>
          <w:szCs w:val="24"/>
          <w:lang w:val="ro-MD"/>
        </w:rPr>
        <w:t>recreditată</w:t>
      </w:r>
      <w:proofErr w:type="spellEnd"/>
      <w:r w:rsidR="00A969E8" w:rsidRPr="0024512C">
        <w:rPr>
          <w:rFonts w:ascii="Calibri Light" w:hAnsi="Calibri Light" w:cs="Calibri Light"/>
          <w:bCs/>
          <w:sz w:val="24"/>
          <w:szCs w:val="24"/>
          <w:lang w:val="ro-MD"/>
        </w:rPr>
        <w:t xml:space="preserve"> va înregistra careva arierate de plăți. IFP vor achita din mijloacele proprii în astfel de cazuri rare. Totodată, MF dispune de dreptul de a debita direct sau prin Serviciul Fiscal de Stat toate datoriile IFP”.</w:t>
      </w:r>
    </w:p>
    <w:p w:rsidR="008362B5" w:rsidRPr="0024512C" w:rsidRDefault="002D4DA3" w:rsidP="009E7E06">
      <w:pPr>
        <w:spacing w:line="276" w:lineRule="auto"/>
        <w:jc w:val="both"/>
        <w:rPr>
          <w:rFonts w:asciiTheme="majorHAnsi" w:eastAsia="Times New Roman" w:hAnsiTheme="majorHAnsi" w:cstheme="majorHAnsi"/>
          <w:sz w:val="24"/>
          <w:szCs w:val="24"/>
          <w:lang w:val="ro-MD"/>
        </w:rPr>
      </w:pPr>
      <w:r w:rsidRPr="005C74F5">
        <w:rPr>
          <w:rFonts w:asciiTheme="majorHAnsi" w:eastAsia="Times New Roman" w:hAnsiTheme="majorHAnsi" w:cstheme="majorHAnsi"/>
          <w:sz w:val="24"/>
          <w:szCs w:val="24"/>
          <w:lang w:val="ro-MD"/>
        </w:rPr>
        <w:t xml:space="preserve">Monitorizarea Liniilor de credit de către DLC a dus la delegarea acestuia a sarcinilor suplimentare de acumulare și administrare a sumelor principale și a dobânzilor sub-împrumuturilor în cadrul unor </w:t>
      </w:r>
      <w:r w:rsidR="0023466E" w:rsidRPr="005C74F5">
        <w:rPr>
          <w:rFonts w:asciiTheme="majorHAnsi" w:eastAsia="Times New Roman" w:hAnsiTheme="majorHAnsi" w:cstheme="majorHAnsi"/>
          <w:sz w:val="24"/>
          <w:szCs w:val="24"/>
          <w:lang w:val="ro-MD"/>
        </w:rPr>
        <w:t>P</w:t>
      </w:r>
      <w:r w:rsidRPr="005C74F5">
        <w:rPr>
          <w:rFonts w:asciiTheme="majorHAnsi" w:eastAsia="Times New Roman" w:hAnsiTheme="majorHAnsi" w:cstheme="majorHAnsi"/>
          <w:sz w:val="24"/>
          <w:szCs w:val="24"/>
          <w:lang w:val="ro-MD"/>
        </w:rPr>
        <w:t>roiecte finanțate din surse externe acordate beneficiarilor prin intermediul IFP de către unitățile de implementare responsabile de administrarea acestora</w:t>
      </w:r>
      <w:r w:rsidR="0023466E" w:rsidRPr="005C74F5">
        <w:rPr>
          <w:rFonts w:asciiTheme="majorHAnsi" w:eastAsia="Times New Roman" w:hAnsiTheme="majorHAnsi" w:cstheme="majorHAnsi"/>
          <w:sz w:val="24"/>
          <w:szCs w:val="24"/>
          <w:lang w:val="ro-MD"/>
        </w:rPr>
        <w:t xml:space="preserve"> sau de MF</w:t>
      </w:r>
      <w:r w:rsidRPr="005C74F5">
        <w:rPr>
          <w:rFonts w:asciiTheme="majorHAnsi" w:eastAsia="Times New Roman" w:hAnsiTheme="majorHAnsi" w:cstheme="majorHAnsi"/>
          <w:sz w:val="24"/>
          <w:szCs w:val="24"/>
          <w:lang w:val="ro-MD"/>
        </w:rPr>
        <w:t xml:space="preserve">. Astfel, DLC a preluat </w:t>
      </w:r>
      <w:r w:rsidR="00FF2F05" w:rsidRPr="005C74F5">
        <w:rPr>
          <w:rFonts w:asciiTheme="majorHAnsi" w:eastAsia="Times New Roman" w:hAnsiTheme="majorHAnsi" w:cstheme="majorHAnsi"/>
          <w:sz w:val="24"/>
          <w:szCs w:val="24"/>
          <w:lang w:val="ro-MD"/>
        </w:rPr>
        <w:t xml:space="preserve">la </w:t>
      </w:r>
      <w:r w:rsidR="00DA00AB" w:rsidRPr="005C74F5">
        <w:rPr>
          <w:rFonts w:asciiTheme="majorHAnsi" w:eastAsia="Times New Roman" w:hAnsiTheme="majorHAnsi" w:cstheme="majorHAnsi"/>
          <w:sz w:val="24"/>
          <w:szCs w:val="24"/>
          <w:lang w:val="ro-MD"/>
        </w:rPr>
        <w:t>deservire</w:t>
      </w:r>
      <w:r w:rsidR="00FF2F05" w:rsidRPr="005C74F5">
        <w:rPr>
          <w:rFonts w:asciiTheme="majorHAnsi" w:eastAsia="Times New Roman" w:hAnsiTheme="majorHAnsi" w:cstheme="majorHAnsi"/>
          <w:sz w:val="24"/>
          <w:szCs w:val="24"/>
          <w:lang w:val="ro-MD"/>
        </w:rPr>
        <w:t xml:space="preserve"> sub-împrumuturile </w:t>
      </w:r>
      <w:proofErr w:type="spellStart"/>
      <w:r w:rsidR="00FF2F05" w:rsidRPr="005C74F5">
        <w:rPr>
          <w:rFonts w:asciiTheme="majorHAnsi" w:eastAsia="Times New Roman" w:hAnsiTheme="majorHAnsi" w:cstheme="majorHAnsi"/>
          <w:sz w:val="24"/>
          <w:szCs w:val="24"/>
          <w:lang w:val="ro-MD"/>
        </w:rPr>
        <w:t>recreditate</w:t>
      </w:r>
      <w:proofErr w:type="spellEnd"/>
      <w:r w:rsidR="00FF2F05" w:rsidRPr="005C74F5">
        <w:rPr>
          <w:rFonts w:asciiTheme="majorHAnsi" w:eastAsia="Times New Roman" w:hAnsiTheme="majorHAnsi" w:cstheme="majorHAnsi"/>
          <w:sz w:val="24"/>
          <w:szCs w:val="24"/>
          <w:lang w:val="ro-MD"/>
        </w:rPr>
        <w:t xml:space="preserve"> de către </w:t>
      </w:r>
      <w:r w:rsidRPr="005C74F5">
        <w:rPr>
          <w:rFonts w:asciiTheme="majorHAnsi" w:eastAsia="Times New Roman" w:hAnsiTheme="majorHAnsi" w:cstheme="majorHAnsi"/>
          <w:sz w:val="24"/>
          <w:szCs w:val="24"/>
          <w:lang w:val="ro-MD"/>
        </w:rPr>
        <w:t xml:space="preserve">Unitatea de implementare a </w:t>
      </w:r>
      <w:r w:rsidR="00FF2F05" w:rsidRPr="005C74F5">
        <w:rPr>
          <w:rFonts w:asciiTheme="majorHAnsi" w:eastAsia="Times New Roman" w:hAnsiTheme="majorHAnsi" w:cstheme="majorHAnsi"/>
          <w:sz w:val="24"/>
          <w:szCs w:val="24"/>
          <w:lang w:val="ro-MD"/>
        </w:rPr>
        <w:t>Proiectelor finanțate de către Fondul Internațional pen</w:t>
      </w:r>
      <w:r w:rsidR="00FF2F05" w:rsidRPr="0024512C">
        <w:rPr>
          <w:rFonts w:asciiTheme="majorHAnsi" w:eastAsia="Times New Roman" w:hAnsiTheme="majorHAnsi" w:cstheme="majorHAnsi"/>
          <w:sz w:val="24"/>
          <w:szCs w:val="24"/>
          <w:lang w:val="ro-MD"/>
        </w:rPr>
        <w:t>tru Dezvoltarea A</w:t>
      </w:r>
      <w:r w:rsidR="00DA00AB" w:rsidRPr="0024512C">
        <w:rPr>
          <w:rFonts w:asciiTheme="majorHAnsi" w:eastAsia="Times New Roman" w:hAnsiTheme="majorHAnsi" w:cstheme="majorHAnsi"/>
          <w:sz w:val="24"/>
          <w:szCs w:val="24"/>
          <w:lang w:val="ro-MD"/>
        </w:rPr>
        <w:t xml:space="preserve">griculturii în cadrul </w:t>
      </w:r>
      <w:r w:rsidR="005C31BE" w:rsidRPr="0024512C">
        <w:rPr>
          <w:rFonts w:asciiTheme="majorHAnsi" w:eastAsia="Times New Roman" w:hAnsiTheme="majorHAnsi" w:cstheme="majorHAnsi"/>
          <w:sz w:val="24"/>
          <w:szCs w:val="24"/>
          <w:lang w:val="ro-MD"/>
        </w:rPr>
        <w:t>a 6 Proiecte investiționale și de către Unitatea Consolidată pentru Implementarea și Monitorizarea Proiectelor în domeniul Agriculturii</w:t>
      </w:r>
      <w:r w:rsidR="005C74F5">
        <w:rPr>
          <w:rFonts w:asciiTheme="majorHAnsi" w:eastAsia="Times New Roman" w:hAnsiTheme="majorHAnsi" w:cstheme="majorHAnsi"/>
          <w:sz w:val="24"/>
          <w:szCs w:val="24"/>
          <w:lang w:val="ro-MD"/>
        </w:rPr>
        <w:t>,</w:t>
      </w:r>
      <w:r w:rsidR="005C31BE" w:rsidRPr="005C74F5">
        <w:rPr>
          <w:rFonts w:asciiTheme="majorHAnsi" w:eastAsia="Times New Roman" w:hAnsiTheme="majorHAnsi" w:cstheme="majorHAnsi"/>
          <w:sz w:val="24"/>
          <w:szCs w:val="24"/>
          <w:lang w:val="ro-MD"/>
        </w:rPr>
        <w:t xml:space="preserve"> în cadrul a două Proiecte investiționale. De asemenea, DLC i-au fost transmise sp</w:t>
      </w:r>
      <w:r w:rsidR="005C31BE" w:rsidRPr="0024512C">
        <w:rPr>
          <w:rFonts w:asciiTheme="majorHAnsi" w:eastAsia="Times New Roman" w:hAnsiTheme="majorHAnsi" w:cstheme="majorHAnsi"/>
          <w:sz w:val="24"/>
          <w:szCs w:val="24"/>
          <w:lang w:val="ro-MD"/>
        </w:rPr>
        <w:t xml:space="preserve">re gestionare datoriile beneficiarilor </w:t>
      </w:r>
      <w:proofErr w:type="spellStart"/>
      <w:r w:rsidR="005C31BE" w:rsidRPr="0024512C">
        <w:rPr>
          <w:rFonts w:asciiTheme="majorHAnsi" w:eastAsia="Times New Roman" w:hAnsiTheme="majorHAnsi" w:cstheme="majorHAnsi"/>
          <w:sz w:val="24"/>
          <w:szCs w:val="24"/>
          <w:lang w:val="ro-MD"/>
        </w:rPr>
        <w:t>recreditați</w:t>
      </w:r>
      <w:proofErr w:type="spellEnd"/>
      <w:r w:rsidR="005C31BE" w:rsidRPr="0024512C">
        <w:rPr>
          <w:rFonts w:asciiTheme="majorHAnsi" w:eastAsia="Times New Roman" w:hAnsiTheme="majorHAnsi" w:cstheme="majorHAnsi"/>
          <w:sz w:val="24"/>
          <w:szCs w:val="24"/>
          <w:lang w:val="ro-MD"/>
        </w:rPr>
        <w:t xml:space="preserve"> direct de către MF în </w:t>
      </w:r>
      <w:r w:rsidR="0023466E" w:rsidRPr="0024512C">
        <w:rPr>
          <w:rFonts w:asciiTheme="majorHAnsi" w:eastAsia="Times New Roman" w:hAnsiTheme="majorHAnsi" w:cstheme="majorHAnsi"/>
          <w:sz w:val="24"/>
          <w:szCs w:val="24"/>
          <w:lang w:val="ro-MD"/>
        </w:rPr>
        <w:t>C</w:t>
      </w:r>
      <w:r w:rsidR="005C31BE" w:rsidRPr="0024512C">
        <w:rPr>
          <w:rFonts w:asciiTheme="majorHAnsi" w:eastAsia="Times New Roman" w:hAnsiTheme="majorHAnsi" w:cstheme="majorHAnsi"/>
          <w:sz w:val="24"/>
          <w:szCs w:val="24"/>
          <w:lang w:val="ro-MD"/>
        </w:rPr>
        <w:t xml:space="preserve">omponenta Struguri a Proiectului Filiera Vinului, precum și datoriile beneficiarilor în </w:t>
      </w:r>
      <w:r w:rsidR="0023466E" w:rsidRPr="0024512C">
        <w:rPr>
          <w:rFonts w:asciiTheme="majorHAnsi" w:eastAsia="Times New Roman" w:hAnsiTheme="majorHAnsi" w:cstheme="majorHAnsi"/>
          <w:sz w:val="24"/>
          <w:szCs w:val="24"/>
          <w:lang w:val="ro-MD"/>
        </w:rPr>
        <w:t>C</w:t>
      </w:r>
      <w:r w:rsidR="005C31BE" w:rsidRPr="0024512C">
        <w:rPr>
          <w:rFonts w:asciiTheme="majorHAnsi" w:eastAsia="Times New Roman" w:hAnsiTheme="majorHAnsi" w:cstheme="majorHAnsi"/>
          <w:sz w:val="24"/>
          <w:szCs w:val="24"/>
          <w:lang w:val="ro-MD"/>
        </w:rPr>
        <w:t xml:space="preserve">omponentele Leasing  acordate de MF în cadrul Proiectelor Filiera Vinului și Livada Moldovei. </w:t>
      </w:r>
    </w:p>
    <w:p w:rsidR="00DB680B" w:rsidRPr="0024512C" w:rsidRDefault="005C74F5" w:rsidP="00E513D7">
      <w:pPr>
        <w:spacing w:line="276" w:lineRule="auto"/>
        <w:jc w:val="both"/>
        <w:rPr>
          <w:rFonts w:asciiTheme="majorHAnsi" w:eastAsia="Times New Roman" w:hAnsiTheme="majorHAnsi" w:cstheme="majorHAnsi"/>
          <w:i/>
          <w:sz w:val="24"/>
          <w:szCs w:val="24"/>
          <w:lang w:val="ro-MD"/>
        </w:rPr>
      </w:pPr>
      <w:r>
        <w:rPr>
          <w:rFonts w:asciiTheme="majorHAnsi" w:eastAsia="Times New Roman" w:hAnsiTheme="majorHAnsi" w:cstheme="majorHAnsi"/>
          <w:i/>
          <w:sz w:val="24"/>
          <w:szCs w:val="24"/>
          <w:lang w:val="ro-MD"/>
        </w:rPr>
        <w:t>D</w:t>
      </w:r>
      <w:r w:rsidR="0080590F" w:rsidRPr="005C74F5">
        <w:rPr>
          <w:rFonts w:asciiTheme="majorHAnsi" w:eastAsia="Times New Roman" w:hAnsiTheme="majorHAnsi" w:cstheme="majorHAnsi"/>
          <w:i/>
          <w:sz w:val="24"/>
          <w:szCs w:val="24"/>
          <w:lang w:val="ro-MD"/>
        </w:rPr>
        <w:t xml:space="preserve">atele generale privind sumele </w:t>
      </w:r>
      <w:proofErr w:type="spellStart"/>
      <w:r w:rsidR="0080590F" w:rsidRPr="005C74F5">
        <w:rPr>
          <w:rFonts w:asciiTheme="majorHAnsi" w:eastAsia="Times New Roman" w:hAnsiTheme="majorHAnsi" w:cstheme="majorHAnsi"/>
          <w:i/>
          <w:sz w:val="24"/>
          <w:szCs w:val="24"/>
          <w:lang w:val="ro-MD"/>
        </w:rPr>
        <w:t>recreditate</w:t>
      </w:r>
      <w:proofErr w:type="spellEnd"/>
      <w:r w:rsidR="0080590F" w:rsidRPr="005C74F5">
        <w:rPr>
          <w:rFonts w:asciiTheme="majorHAnsi" w:eastAsia="Times New Roman" w:hAnsiTheme="majorHAnsi" w:cstheme="majorHAnsi"/>
          <w:i/>
          <w:sz w:val="24"/>
          <w:szCs w:val="24"/>
          <w:lang w:val="ro-MD"/>
        </w:rPr>
        <w:t xml:space="preserve">, rambursate și </w:t>
      </w:r>
      <w:r w:rsidR="00062319" w:rsidRPr="005C74F5">
        <w:rPr>
          <w:rFonts w:asciiTheme="majorHAnsi" w:eastAsia="Times New Roman" w:hAnsiTheme="majorHAnsi" w:cstheme="majorHAnsi"/>
          <w:i/>
          <w:sz w:val="24"/>
          <w:szCs w:val="24"/>
          <w:lang w:val="ro-MD"/>
        </w:rPr>
        <w:t xml:space="preserve">soldul datoriei </w:t>
      </w:r>
      <w:r w:rsidR="00AB2499" w:rsidRPr="005C74F5">
        <w:rPr>
          <w:rFonts w:asciiTheme="majorHAnsi" w:eastAsia="Times New Roman" w:hAnsiTheme="majorHAnsi" w:cstheme="majorHAnsi"/>
          <w:i/>
          <w:sz w:val="24"/>
          <w:szCs w:val="24"/>
          <w:lang w:val="ro-MD"/>
        </w:rPr>
        <w:t xml:space="preserve">sumei principale </w:t>
      </w:r>
      <w:r w:rsidR="00062319" w:rsidRPr="0024512C">
        <w:rPr>
          <w:rFonts w:asciiTheme="majorHAnsi" w:eastAsia="Times New Roman" w:hAnsiTheme="majorHAnsi" w:cstheme="majorHAnsi"/>
          <w:i/>
          <w:sz w:val="24"/>
          <w:szCs w:val="24"/>
          <w:lang w:val="ro-MD"/>
        </w:rPr>
        <w:t>se prezintă în Tabelul nr.</w:t>
      </w:r>
      <w:r w:rsidR="00446E71" w:rsidRPr="0024512C">
        <w:rPr>
          <w:rFonts w:asciiTheme="majorHAnsi" w:eastAsia="Times New Roman" w:hAnsiTheme="majorHAnsi" w:cstheme="majorHAnsi"/>
          <w:i/>
          <w:sz w:val="24"/>
          <w:szCs w:val="24"/>
          <w:lang w:val="ro-MD"/>
        </w:rPr>
        <w:t xml:space="preserve"> </w:t>
      </w:r>
      <w:r w:rsidR="00C46CD1" w:rsidRPr="0024512C">
        <w:rPr>
          <w:rFonts w:asciiTheme="majorHAnsi" w:eastAsia="Times New Roman" w:hAnsiTheme="majorHAnsi" w:cstheme="majorHAnsi"/>
          <w:i/>
          <w:sz w:val="24"/>
          <w:szCs w:val="24"/>
          <w:lang w:val="ro-MD"/>
        </w:rPr>
        <w:t>5</w:t>
      </w:r>
      <w:r w:rsidR="00062319" w:rsidRPr="0024512C">
        <w:rPr>
          <w:rFonts w:asciiTheme="majorHAnsi" w:eastAsia="Times New Roman" w:hAnsiTheme="majorHAnsi" w:cstheme="majorHAnsi"/>
          <w:i/>
          <w:sz w:val="24"/>
          <w:szCs w:val="24"/>
          <w:lang w:val="ro-MD"/>
        </w:rPr>
        <w:t>.</w:t>
      </w:r>
    </w:p>
    <w:p w:rsidR="00432666" w:rsidRPr="0024512C" w:rsidRDefault="00062319" w:rsidP="0044540A">
      <w:pPr>
        <w:spacing w:line="276" w:lineRule="auto"/>
        <w:jc w:val="right"/>
        <w:rPr>
          <w:rFonts w:asciiTheme="majorHAnsi" w:eastAsia="Times New Roman" w:hAnsiTheme="majorHAnsi" w:cstheme="majorHAnsi"/>
          <w:b/>
          <w:i/>
          <w:color w:val="5B9BD5" w:themeColor="accent1"/>
          <w:sz w:val="24"/>
          <w:szCs w:val="24"/>
          <w:lang w:val="ro-MD"/>
        </w:rPr>
      </w:pPr>
      <w:r w:rsidRPr="0024512C">
        <w:rPr>
          <w:rFonts w:asciiTheme="majorHAnsi" w:eastAsia="Times New Roman" w:hAnsiTheme="majorHAnsi" w:cstheme="majorHAnsi"/>
          <w:b/>
          <w:i/>
          <w:color w:val="5B9BD5" w:themeColor="accent1"/>
          <w:sz w:val="24"/>
          <w:szCs w:val="24"/>
          <w:lang w:val="ro-MD"/>
        </w:rPr>
        <w:t>Tabelul nr.</w:t>
      </w:r>
      <w:r w:rsidR="00446E71" w:rsidRPr="0024512C">
        <w:rPr>
          <w:rFonts w:asciiTheme="majorHAnsi" w:eastAsia="Times New Roman" w:hAnsiTheme="majorHAnsi" w:cstheme="majorHAnsi"/>
          <w:b/>
          <w:i/>
          <w:color w:val="5B9BD5" w:themeColor="accent1"/>
          <w:sz w:val="24"/>
          <w:szCs w:val="24"/>
          <w:lang w:val="ro-MD"/>
        </w:rPr>
        <w:t xml:space="preserve"> </w:t>
      </w:r>
      <w:r w:rsidR="00C46CD1" w:rsidRPr="0024512C">
        <w:rPr>
          <w:rFonts w:asciiTheme="majorHAnsi" w:eastAsia="Times New Roman" w:hAnsiTheme="majorHAnsi" w:cstheme="majorHAnsi"/>
          <w:b/>
          <w:i/>
          <w:color w:val="5B9BD5" w:themeColor="accent1"/>
          <w:sz w:val="24"/>
          <w:szCs w:val="24"/>
          <w:lang w:val="ro-MD"/>
        </w:rPr>
        <w:t>5</w:t>
      </w:r>
      <w:r w:rsidR="00446E71" w:rsidRPr="0024512C">
        <w:rPr>
          <w:rFonts w:asciiTheme="majorHAnsi" w:eastAsia="Times New Roman" w:hAnsiTheme="majorHAnsi" w:cstheme="majorHAnsi"/>
          <w:b/>
          <w:i/>
          <w:color w:val="5B9BD5" w:themeColor="accent1"/>
          <w:sz w:val="24"/>
          <w:szCs w:val="24"/>
          <w:lang w:val="ro-MD"/>
        </w:rPr>
        <w:t>, echivalentul mil. lei</w:t>
      </w:r>
    </w:p>
    <w:tbl>
      <w:tblPr>
        <w:tblStyle w:val="TableGrid"/>
        <w:tblW w:w="9265" w:type="dxa"/>
        <w:tblLook w:val="04A0" w:firstRow="1" w:lastRow="0" w:firstColumn="1" w:lastColumn="0" w:noHBand="0" w:noVBand="1"/>
      </w:tblPr>
      <w:tblGrid>
        <w:gridCol w:w="2245"/>
        <w:gridCol w:w="1090"/>
        <w:gridCol w:w="1080"/>
        <w:gridCol w:w="990"/>
        <w:gridCol w:w="1084"/>
        <w:gridCol w:w="976"/>
        <w:gridCol w:w="1800"/>
      </w:tblGrid>
      <w:tr w:rsidR="00033A80" w:rsidRPr="0024512C" w:rsidTr="00A8198C">
        <w:tc>
          <w:tcPr>
            <w:tcW w:w="2245" w:type="dxa"/>
            <w:vMerge w:val="restart"/>
            <w:shd w:val="clear" w:color="auto" w:fill="DEEAF6" w:themeFill="accent1" w:themeFillTint="33"/>
            <w:vAlign w:val="center"/>
          </w:tcPr>
          <w:p w:rsidR="00033A80" w:rsidRPr="0024512C" w:rsidRDefault="00033A80" w:rsidP="0044540A">
            <w:pPr>
              <w:spacing w:line="276" w:lineRule="auto"/>
              <w:jc w:val="center"/>
              <w:rPr>
                <w:rFonts w:asciiTheme="majorHAnsi" w:hAnsiTheme="majorHAnsi" w:cstheme="majorHAnsi"/>
                <w:b/>
                <w:sz w:val="20"/>
                <w:szCs w:val="20"/>
                <w:lang w:val="ro-MD" w:eastAsia="ru-RU"/>
              </w:rPr>
            </w:pPr>
            <w:r w:rsidRPr="0024512C">
              <w:rPr>
                <w:rFonts w:asciiTheme="majorHAnsi" w:hAnsiTheme="majorHAnsi" w:cstheme="majorHAnsi"/>
                <w:b/>
                <w:sz w:val="20"/>
                <w:szCs w:val="20"/>
                <w:lang w:val="ro-MD" w:eastAsia="ru-RU"/>
              </w:rPr>
              <w:t>Indicator</w:t>
            </w:r>
          </w:p>
        </w:tc>
        <w:tc>
          <w:tcPr>
            <w:tcW w:w="2170" w:type="dxa"/>
            <w:gridSpan w:val="2"/>
            <w:shd w:val="clear" w:color="auto" w:fill="DEEAF6" w:themeFill="accent1" w:themeFillTint="33"/>
            <w:vAlign w:val="center"/>
          </w:tcPr>
          <w:p w:rsidR="00033A80" w:rsidRPr="0024512C" w:rsidRDefault="00033A80" w:rsidP="0044540A">
            <w:pPr>
              <w:spacing w:line="276" w:lineRule="auto"/>
              <w:jc w:val="center"/>
              <w:rPr>
                <w:rFonts w:asciiTheme="majorHAnsi" w:hAnsiTheme="majorHAnsi" w:cstheme="majorHAnsi"/>
                <w:b/>
                <w:sz w:val="20"/>
                <w:szCs w:val="20"/>
                <w:lang w:val="ro-MD" w:eastAsia="ru-RU"/>
              </w:rPr>
            </w:pPr>
            <w:proofErr w:type="spellStart"/>
            <w:r w:rsidRPr="0024512C">
              <w:rPr>
                <w:rFonts w:asciiTheme="majorHAnsi" w:hAnsiTheme="majorHAnsi" w:cstheme="majorHAnsi"/>
                <w:b/>
                <w:sz w:val="20"/>
                <w:szCs w:val="20"/>
                <w:lang w:val="ro-MD" w:eastAsia="ru-RU"/>
              </w:rPr>
              <w:t>Recreditat</w:t>
            </w:r>
            <w:proofErr w:type="spellEnd"/>
            <w:r w:rsidRPr="0024512C">
              <w:rPr>
                <w:rFonts w:asciiTheme="majorHAnsi" w:hAnsiTheme="majorHAnsi" w:cstheme="majorHAnsi"/>
                <w:b/>
                <w:sz w:val="20"/>
                <w:szCs w:val="20"/>
                <w:lang w:val="ro-MD" w:eastAsia="ru-RU"/>
              </w:rPr>
              <w:t xml:space="preserve"> total</w:t>
            </w:r>
          </w:p>
        </w:tc>
        <w:tc>
          <w:tcPr>
            <w:tcW w:w="2074" w:type="dxa"/>
            <w:gridSpan w:val="2"/>
            <w:shd w:val="clear" w:color="auto" w:fill="DEEAF6" w:themeFill="accent1" w:themeFillTint="33"/>
            <w:vAlign w:val="center"/>
          </w:tcPr>
          <w:p w:rsidR="00033A80" w:rsidRPr="0024512C" w:rsidRDefault="00033A80" w:rsidP="0044540A">
            <w:pPr>
              <w:spacing w:line="276" w:lineRule="auto"/>
              <w:jc w:val="center"/>
              <w:rPr>
                <w:rFonts w:asciiTheme="majorHAnsi" w:hAnsiTheme="majorHAnsi" w:cstheme="majorHAnsi"/>
                <w:b/>
                <w:sz w:val="20"/>
                <w:szCs w:val="20"/>
                <w:lang w:val="ro-MD" w:eastAsia="ru-RU"/>
              </w:rPr>
            </w:pPr>
            <w:r w:rsidRPr="0024512C">
              <w:rPr>
                <w:rFonts w:asciiTheme="majorHAnsi" w:hAnsiTheme="majorHAnsi" w:cstheme="majorHAnsi"/>
                <w:b/>
                <w:sz w:val="20"/>
                <w:szCs w:val="20"/>
                <w:lang w:val="ro-MD" w:eastAsia="ru-RU"/>
              </w:rPr>
              <w:t>Rambursat total</w:t>
            </w:r>
          </w:p>
        </w:tc>
        <w:tc>
          <w:tcPr>
            <w:tcW w:w="2776" w:type="dxa"/>
            <w:gridSpan w:val="2"/>
            <w:shd w:val="clear" w:color="auto" w:fill="DEEAF6" w:themeFill="accent1" w:themeFillTint="33"/>
            <w:vAlign w:val="center"/>
          </w:tcPr>
          <w:p w:rsidR="00033A80" w:rsidRPr="0024512C" w:rsidRDefault="00033A80" w:rsidP="0044540A">
            <w:pPr>
              <w:spacing w:line="276" w:lineRule="auto"/>
              <w:jc w:val="center"/>
              <w:rPr>
                <w:rFonts w:asciiTheme="majorHAnsi" w:hAnsiTheme="majorHAnsi" w:cstheme="majorHAnsi"/>
                <w:b/>
                <w:sz w:val="20"/>
                <w:szCs w:val="20"/>
                <w:lang w:val="ro-MD" w:eastAsia="ru-RU"/>
              </w:rPr>
            </w:pPr>
            <w:r w:rsidRPr="0024512C">
              <w:rPr>
                <w:rFonts w:asciiTheme="majorHAnsi" w:hAnsiTheme="majorHAnsi" w:cstheme="majorHAnsi"/>
                <w:b/>
                <w:sz w:val="20"/>
                <w:szCs w:val="20"/>
                <w:lang w:val="ro-MD" w:eastAsia="ru-RU"/>
              </w:rPr>
              <w:t>Soldul datoriei</w:t>
            </w:r>
            <w:r w:rsidR="00AB2499" w:rsidRPr="0024512C">
              <w:rPr>
                <w:rFonts w:asciiTheme="majorHAnsi" w:hAnsiTheme="majorHAnsi" w:cstheme="majorHAnsi"/>
                <w:b/>
                <w:sz w:val="20"/>
                <w:szCs w:val="20"/>
                <w:lang w:val="ro-MD" w:eastAsia="ru-RU"/>
              </w:rPr>
              <w:t xml:space="preserve"> sumei principale</w:t>
            </w:r>
          </w:p>
        </w:tc>
      </w:tr>
      <w:tr w:rsidR="00033A80" w:rsidRPr="0024512C" w:rsidTr="00A8198C">
        <w:tc>
          <w:tcPr>
            <w:tcW w:w="2245" w:type="dxa"/>
            <w:vMerge/>
            <w:shd w:val="clear" w:color="auto" w:fill="DEEAF6" w:themeFill="accent1" w:themeFillTint="33"/>
            <w:vAlign w:val="center"/>
          </w:tcPr>
          <w:p w:rsidR="00033A80" w:rsidRPr="0024512C" w:rsidRDefault="00033A80" w:rsidP="00033A80">
            <w:pPr>
              <w:spacing w:line="276" w:lineRule="auto"/>
              <w:jc w:val="center"/>
              <w:rPr>
                <w:rFonts w:asciiTheme="majorHAnsi" w:hAnsiTheme="majorHAnsi" w:cstheme="majorHAnsi"/>
                <w:b/>
                <w:sz w:val="20"/>
                <w:szCs w:val="20"/>
                <w:lang w:val="ro-MD" w:eastAsia="ru-RU"/>
              </w:rPr>
            </w:pPr>
          </w:p>
        </w:tc>
        <w:tc>
          <w:tcPr>
            <w:tcW w:w="1090" w:type="dxa"/>
            <w:shd w:val="clear" w:color="auto" w:fill="DEEAF6" w:themeFill="accent1" w:themeFillTint="33"/>
            <w:vAlign w:val="center"/>
          </w:tcPr>
          <w:p w:rsidR="00033A80" w:rsidRPr="0024512C" w:rsidRDefault="00033A80" w:rsidP="00033A80">
            <w:pPr>
              <w:spacing w:line="276" w:lineRule="auto"/>
              <w:jc w:val="center"/>
              <w:rPr>
                <w:rFonts w:asciiTheme="majorHAnsi" w:hAnsiTheme="majorHAnsi" w:cstheme="majorHAnsi"/>
                <w:b/>
                <w:sz w:val="20"/>
                <w:szCs w:val="20"/>
                <w:lang w:val="ro-MD" w:eastAsia="ru-RU"/>
              </w:rPr>
            </w:pPr>
            <w:r w:rsidRPr="0024512C">
              <w:rPr>
                <w:rFonts w:asciiTheme="majorHAnsi" w:hAnsiTheme="majorHAnsi" w:cstheme="majorHAnsi"/>
                <w:b/>
                <w:sz w:val="20"/>
                <w:szCs w:val="20"/>
                <w:lang w:val="ro-MD" w:eastAsia="ru-RU"/>
              </w:rPr>
              <w:t>Total</w:t>
            </w:r>
          </w:p>
        </w:tc>
        <w:tc>
          <w:tcPr>
            <w:tcW w:w="1080" w:type="dxa"/>
            <w:shd w:val="clear" w:color="auto" w:fill="DEEAF6" w:themeFill="accent1" w:themeFillTint="33"/>
            <w:vAlign w:val="center"/>
          </w:tcPr>
          <w:p w:rsidR="00033A80" w:rsidRPr="0024512C" w:rsidRDefault="00033A80" w:rsidP="00033A80">
            <w:pPr>
              <w:spacing w:line="276" w:lineRule="auto"/>
              <w:jc w:val="center"/>
              <w:rPr>
                <w:rFonts w:asciiTheme="majorHAnsi" w:hAnsiTheme="majorHAnsi" w:cstheme="majorHAnsi"/>
                <w:b/>
                <w:sz w:val="20"/>
                <w:szCs w:val="20"/>
                <w:lang w:val="ro-MD" w:eastAsia="ru-RU"/>
              </w:rPr>
            </w:pPr>
            <w:r w:rsidRPr="0024512C">
              <w:rPr>
                <w:rFonts w:asciiTheme="majorHAnsi" w:hAnsiTheme="majorHAnsi" w:cstheme="majorHAnsi"/>
                <w:b/>
                <w:sz w:val="20"/>
                <w:szCs w:val="20"/>
                <w:lang w:val="ro-MD" w:eastAsia="ru-RU"/>
              </w:rPr>
              <w:t>Inclusiv  în 2019</w:t>
            </w:r>
          </w:p>
        </w:tc>
        <w:tc>
          <w:tcPr>
            <w:tcW w:w="990" w:type="dxa"/>
            <w:shd w:val="clear" w:color="auto" w:fill="DEEAF6" w:themeFill="accent1" w:themeFillTint="33"/>
            <w:vAlign w:val="center"/>
          </w:tcPr>
          <w:p w:rsidR="00033A80" w:rsidRPr="0024512C" w:rsidRDefault="00033A80" w:rsidP="00033A80">
            <w:pPr>
              <w:spacing w:line="276" w:lineRule="auto"/>
              <w:jc w:val="center"/>
              <w:rPr>
                <w:rFonts w:asciiTheme="majorHAnsi" w:hAnsiTheme="majorHAnsi" w:cstheme="majorHAnsi"/>
                <w:b/>
                <w:sz w:val="20"/>
                <w:szCs w:val="20"/>
                <w:lang w:val="ro-MD" w:eastAsia="ru-RU"/>
              </w:rPr>
            </w:pPr>
            <w:r w:rsidRPr="0024512C">
              <w:rPr>
                <w:rFonts w:asciiTheme="majorHAnsi" w:hAnsiTheme="majorHAnsi" w:cstheme="majorHAnsi"/>
                <w:b/>
                <w:sz w:val="20"/>
                <w:szCs w:val="20"/>
                <w:lang w:val="ro-MD" w:eastAsia="ru-RU"/>
              </w:rPr>
              <w:t>Total</w:t>
            </w:r>
          </w:p>
        </w:tc>
        <w:tc>
          <w:tcPr>
            <w:tcW w:w="1084" w:type="dxa"/>
            <w:shd w:val="clear" w:color="auto" w:fill="DEEAF6" w:themeFill="accent1" w:themeFillTint="33"/>
            <w:vAlign w:val="center"/>
          </w:tcPr>
          <w:p w:rsidR="00033A80" w:rsidRPr="0024512C" w:rsidRDefault="00033A80" w:rsidP="00033A80">
            <w:pPr>
              <w:spacing w:line="276" w:lineRule="auto"/>
              <w:jc w:val="center"/>
              <w:rPr>
                <w:rFonts w:asciiTheme="majorHAnsi" w:hAnsiTheme="majorHAnsi" w:cstheme="majorHAnsi"/>
                <w:b/>
                <w:sz w:val="20"/>
                <w:szCs w:val="20"/>
                <w:lang w:val="ro-MD" w:eastAsia="ru-RU"/>
              </w:rPr>
            </w:pPr>
            <w:r w:rsidRPr="0024512C">
              <w:rPr>
                <w:rFonts w:asciiTheme="majorHAnsi" w:hAnsiTheme="majorHAnsi" w:cstheme="majorHAnsi"/>
                <w:b/>
                <w:sz w:val="20"/>
                <w:szCs w:val="20"/>
                <w:lang w:val="ro-MD" w:eastAsia="ru-RU"/>
              </w:rPr>
              <w:t>Inclusiv  în 2019</w:t>
            </w:r>
          </w:p>
        </w:tc>
        <w:tc>
          <w:tcPr>
            <w:tcW w:w="976" w:type="dxa"/>
            <w:shd w:val="clear" w:color="auto" w:fill="DEEAF6" w:themeFill="accent1" w:themeFillTint="33"/>
            <w:vAlign w:val="center"/>
          </w:tcPr>
          <w:p w:rsidR="00033A80" w:rsidRPr="0024512C" w:rsidRDefault="00033A80" w:rsidP="00033A80">
            <w:pPr>
              <w:spacing w:line="276" w:lineRule="auto"/>
              <w:jc w:val="center"/>
              <w:rPr>
                <w:rFonts w:asciiTheme="majorHAnsi" w:hAnsiTheme="majorHAnsi" w:cstheme="majorHAnsi"/>
                <w:b/>
                <w:sz w:val="20"/>
                <w:szCs w:val="20"/>
                <w:lang w:val="ro-MD" w:eastAsia="ru-RU"/>
              </w:rPr>
            </w:pPr>
            <w:r w:rsidRPr="0024512C">
              <w:rPr>
                <w:rFonts w:asciiTheme="majorHAnsi" w:hAnsiTheme="majorHAnsi" w:cstheme="majorHAnsi"/>
                <w:b/>
                <w:sz w:val="20"/>
                <w:szCs w:val="20"/>
                <w:lang w:val="ro-MD" w:eastAsia="ru-RU"/>
              </w:rPr>
              <w:t>Total</w:t>
            </w:r>
          </w:p>
        </w:tc>
        <w:tc>
          <w:tcPr>
            <w:tcW w:w="1800" w:type="dxa"/>
            <w:shd w:val="clear" w:color="auto" w:fill="DEEAF6" w:themeFill="accent1" w:themeFillTint="33"/>
            <w:vAlign w:val="center"/>
          </w:tcPr>
          <w:p w:rsidR="00033A80" w:rsidRPr="0024512C" w:rsidRDefault="00033A80" w:rsidP="00033A80">
            <w:pPr>
              <w:spacing w:line="276" w:lineRule="auto"/>
              <w:jc w:val="center"/>
              <w:rPr>
                <w:rFonts w:asciiTheme="majorHAnsi" w:hAnsiTheme="majorHAnsi" w:cstheme="majorHAnsi"/>
                <w:b/>
                <w:sz w:val="20"/>
                <w:szCs w:val="20"/>
                <w:lang w:val="ro-MD" w:eastAsia="ru-RU"/>
              </w:rPr>
            </w:pPr>
            <w:r w:rsidRPr="0024512C">
              <w:rPr>
                <w:rFonts w:asciiTheme="majorHAnsi" w:hAnsiTheme="majorHAnsi" w:cstheme="majorHAnsi"/>
                <w:b/>
                <w:sz w:val="20"/>
                <w:szCs w:val="20"/>
                <w:lang w:val="ro-MD" w:eastAsia="ru-RU"/>
              </w:rPr>
              <w:t>Inclusiv cu termen  de achitare expirat</w:t>
            </w:r>
          </w:p>
        </w:tc>
      </w:tr>
      <w:tr w:rsidR="00033A80" w:rsidRPr="0024512C" w:rsidTr="00A8198C">
        <w:tc>
          <w:tcPr>
            <w:tcW w:w="2245" w:type="dxa"/>
          </w:tcPr>
          <w:p w:rsidR="00033A80" w:rsidRPr="0024512C" w:rsidRDefault="00033A80" w:rsidP="00033A80">
            <w:pPr>
              <w:spacing w:line="276" w:lineRule="auto"/>
              <w:jc w:val="both"/>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Liniile de credit administrate de DLC</w:t>
            </w:r>
          </w:p>
        </w:tc>
        <w:tc>
          <w:tcPr>
            <w:tcW w:w="1090" w:type="dxa"/>
            <w:vAlign w:val="center"/>
          </w:tcPr>
          <w:p w:rsidR="00033A80" w:rsidRPr="005C74F5" w:rsidRDefault="00033A80" w:rsidP="00033A80">
            <w:pPr>
              <w:spacing w:line="276" w:lineRule="auto"/>
              <w:jc w:val="center"/>
              <w:rPr>
                <w:rFonts w:asciiTheme="majorHAnsi" w:hAnsiTheme="majorHAnsi" w:cstheme="majorHAnsi"/>
                <w:sz w:val="20"/>
                <w:szCs w:val="20"/>
                <w:lang w:val="ro-MD" w:eastAsia="ru-RU"/>
              </w:rPr>
            </w:pPr>
            <w:r w:rsidRPr="005C74F5">
              <w:rPr>
                <w:rFonts w:asciiTheme="majorHAnsi" w:hAnsiTheme="majorHAnsi" w:cstheme="majorHAnsi"/>
                <w:sz w:val="20"/>
                <w:szCs w:val="20"/>
                <w:lang w:val="ro-MD" w:eastAsia="ru-RU"/>
              </w:rPr>
              <w:t>10 045,58</w:t>
            </w:r>
          </w:p>
        </w:tc>
        <w:tc>
          <w:tcPr>
            <w:tcW w:w="1080" w:type="dxa"/>
            <w:vAlign w:val="center"/>
          </w:tcPr>
          <w:p w:rsidR="00033A80" w:rsidRPr="0024512C" w:rsidRDefault="00033A80" w:rsidP="00033A80">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655,68</w:t>
            </w:r>
          </w:p>
        </w:tc>
        <w:tc>
          <w:tcPr>
            <w:tcW w:w="990" w:type="dxa"/>
            <w:vAlign w:val="center"/>
          </w:tcPr>
          <w:p w:rsidR="00033A80" w:rsidRPr="0024512C" w:rsidRDefault="00AB2499" w:rsidP="00033A80">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7 955,87</w:t>
            </w:r>
          </w:p>
        </w:tc>
        <w:tc>
          <w:tcPr>
            <w:tcW w:w="1084" w:type="dxa"/>
            <w:vAlign w:val="center"/>
          </w:tcPr>
          <w:p w:rsidR="00033A80" w:rsidRPr="0024512C" w:rsidRDefault="00033A80" w:rsidP="00033A80">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633,55</w:t>
            </w:r>
          </w:p>
        </w:tc>
        <w:tc>
          <w:tcPr>
            <w:tcW w:w="976" w:type="dxa"/>
            <w:vAlign w:val="center"/>
          </w:tcPr>
          <w:p w:rsidR="00033A80" w:rsidRPr="0024512C" w:rsidRDefault="00AB2499" w:rsidP="00033A80">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2 089,71</w:t>
            </w:r>
          </w:p>
        </w:tc>
        <w:tc>
          <w:tcPr>
            <w:tcW w:w="1800" w:type="dxa"/>
            <w:vAlign w:val="center"/>
          </w:tcPr>
          <w:p w:rsidR="00033A80" w:rsidRPr="0024512C" w:rsidRDefault="00AD4B10" w:rsidP="00033A80">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12,84</w:t>
            </w:r>
          </w:p>
        </w:tc>
      </w:tr>
    </w:tbl>
    <w:p w:rsidR="00432666" w:rsidRPr="005C74F5" w:rsidRDefault="00E05D25" w:rsidP="009E7E06">
      <w:pPr>
        <w:spacing w:line="276" w:lineRule="auto"/>
        <w:jc w:val="both"/>
        <w:rPr>
          <w:rFonts w:asciiTheme="majorHAnsi" w:hAnsiTheme="majorHAnsi" w:cstheme="majorHAnsi"/>
          <w:i/>
          <w:sz w:val="20"/>
          <w:szCs w:val="20"/>
          <w:lang w:val="ro-MD" w:eastAsia="ru-RU"/>
        </w:rPr>
      </w:pPr>
      <w:r w:rsidRPr="0024512C">
        <w:rPr>
          <w:rFonts w:asciiTheme="majorHAnsi" w:hAnsiTheme="majorHAnsi" w:cstheme="majorHAnsi"/>
          <w:b/>
          <w:i/>
          <w:sz w:val="20"/>
          <w:szCs w:val="20"/>
          <w:lang w:val="ro-MD" w:eastAsia="ru-RU"/>
        </w:rPr>
        <w:t>Sursa:</w:t>
      </w:r>
      <w:r w:rsidRPr="0024512C">
        <w:rPr>
          <w:rFonts w:asciiTheme="majorHAnsi" w:hAnsiTheme="majorHAnsi" w:cstheme="majorHAnsi"/>
          <w:i/>
          <w:sz w:val="20"/>
          <w:szCs w:val="20"/>
          <w:lang w:val="ro-MD" w:eastAsia="ru-RU"/>
        </w:rPr>
        <w:t xml:space="preserve"> Raportul DLC privind activitatea de recreditare la situația din 31.12.2019.</w:t>
      </w:r>
    </w:p>
    <w:p w:rsidR="005318B0" w:rsidRPr="005C74F5" w:rsidRDefault="0080590F" w:rsidP="00423ECB">
      <w:pPr>
        <w:spacing w:line="276" w:lineRule="auto"/>
        <w:jc w:val="both"/>
        <w:rPr>
          <w:rFonts w:asciiTheme="majorHAnsi" w:eastAsia="Times New Roman" w:hAnsiTheme="majorHAnsi" w:cstheme="majorHAnsi"/>
          <w:sz w:val="24"/>
          <w:szCs w:val="24"/>
          <w:lang w:val="ro-MD"/>
        </w:rPr>
      </w:pPr>
      <w:r w:rsidRPr="0024512C">
        <w:rPr>
          <w:rFonts w:asciiTheme="majorHAnsi" w:eastAsia="Times New Roman" w:hAnsiTheme="majorHAnsi" w:cstheme="majorHAnsi"/>
          <w:sz w:val="24"/>
          <w:szCs w:val="24"/>
          <w:lang w:val="ro-MD"/>
        </w:rPr>
        <w:t>Datele din tabel denotă că</w:t>
      </w:r>
      <w:r w:rsidR="00DA00AB" w:rsidRPr="0024512C">
        <w:rPr>
          <w:rFonts w:asciiTheme="majorHAnsi" w:eastAsia="Times New Roman" w:hAnsiTheme="majorHAnsi" w:cstheme="majorHAnsi"/>
          <w:sz w:val="24"/>
          <w:szCs w:val="24"/>
          <w:lang w:val="ro-MD"/>
        </w:rPr>
        <w:t>,</w:t>
      </w:r>
      <w:r w:rsidRPr="0024512C">
        <w:rPr>
          <w:rFonts w:asciiTheme="majorHAnsi" w:eastAsia="Times New Roman" w:hAnsiTheme="majorHAnsi" w:cstheme="majorHAnsi"/>
          <w:sz w:val="24"/>
          <w:szCs w:val="24"/>
          <w:lang w:val="ro-MD"/>
        </w:rPr>
        <w:t xml:space="preserve"> la situația din 31.12</w:t>
      </w:r>
      <w:r w:rsidR="00435A29" w:rsidRPr="0024512C">
        <w:rPr>
          <w:rFonts w:asciiTheme="majorHAnsi" w:eastAsia="Times New Roman" w:hAnsiTheme="majorHAnsi" w:cstheme="majorHAnsi"/>
          <w:sz w:val="24"/>
          <w:szCs w:val="24"/>
          <w:lang w:val="ro-MD"/>
        </w:rPr>
        <w:t>.2019, DLC a înregistrat datoria</w:t>
      </w:r>
      <w:r w:rsidRPr="0024512C">
        <w:rPr>
          <w:rFonts w:asciiTheme="majorHAnsi" w:eastAsia="Times New Roman" w:hAnsiTheme="majorHAnsi" w:cstheme="majorHAnsi"/>
          <w:sz w:val="24"/>
          <w:szCs w:val="24"/>
          <w:lang w:val="ro-MD"/>
        </w:rPr>
        <w:t xml:space="preserve"> cu termen de achitare expirat în sumă echivalentă </w:t>
      </w:r>
      <w:r w:rsidR="00435A29" w:rsidRPr="0024512C">
        <w:rPr>
          <w:rFonts w:asciiTheme="majorHAnsi" w:eastAsia="Times New Roman" w:hAnsiTheme="majorHAnsi" w:cstheme="majorHAnsi"/>
          <w:sz w:val="24"/>
          <w:szCs w:val="24"/>
          <w:lang w:val="ro-MD"/>
        </w:rPr>
        <w:t>de</w:t>
      </w:r>
      <w:r w:rsidR="00AD4B10" w:rsidRPr="0024512C">
        <w:rPr>
          <w:rFonts w:asciiTheme="majorHAnsi" w:eastAsia="Times New Roman" w:hAnsiTheme="majorHAnsi" w:cstheme="majorHAnsi"/>
          <w:sz w:val="24"/>
          <w:szCs w:val="24"/>
          <w:lang w:val="ro-MD"/>
        </w:rPr>
        <w:t xml:space="preserve"> 12,84</w:t>
      </w:r>
      <w:r w:rsidRPr="0024512C">
        <w:rPr>
          <w:rFonts w:asciiTheme="majorHAnsi" w:eastAsia="Times New Roman" w:hAnsiTheme="majorHAnsi" w:cstheme="majorHAnsi"/>
          <w:sz w:val="24"/>
          <w:szCs w:val="24"/>
          <w:lang w:val="ro-MD"/>
        </w:rPr>
        <w:t xml:space="preserve"> mil.</w:t>
      </w:r>
      <w:r w:rsidR="00446E71" w:rsidRPr="0024512C">
        <w:rPr>
          <w:rFonts w:asciiTheme="majorHAnsi" w:eastAsia="Times New Roman" w:hAnsiTheme="majorHAnsi" w:cstheme="majorHAnsi"/>
          <w:sz w:val="24"/>
          <w:szCs w:val="24"/>
          <w:lang w:val="ro-MD"/>
        </w:rPr>
        <w:t xml:space="preserve"> lei</w:t>
      </w:r>
      <w:r w:rsidRPr="0024512C">
        <w:rPr>
          <w:rFonts w:asciiTheme="majorHAnsi" w:eastAsia="Times New Roman" w:hAnsiTheme="majorHAnsi" w:cstheme="majorHAnsi"/>
          <w:sz w:val="24"/>
          <w:szCs w:val="24"/>
          <w:lang w:val="ro-MD"/>
        </w:rPr>
        <w:t>, dintre care 1,43 mil.</w:t>
      </w:r>
      <w:r w:rsidR="00446E71" w:rsidRPr="0024512C">
        <w:rPr>
          <w:rFonts w:asciiTheme="majorHAnsi" w:eastAsia="Times New Roman" w:hAnsiTheme="majorHAnsi" w:cstheme="majorHAnsi"/>
          <w:sz w:val="24"/>
          <w:szCs w:val="24"/>
          <w:lang w:val="ro-MD"/>
        </w:rPr>
        <w:t xml:space="preserve"> lei</w:t>
      </w:r>
      <w:r w:rsidRPr="0024512C">
        <w:rPr>
          <w:rFonts w:asciiTheme="majorHAnsi" w:eastAsia="Times New Roman" w:hAnsiTheme="majorHAnsi" w:cstheme="majorHAnsi"/>
          <w:sz w:val="24"/>
          <w:szCs w:val="24"/>
          <w:lang w:val="ro-MD"/>
        </w:rPr>
        <w:t xml:space="preserve"> reprezintă datoria expirată privind suma principală a împrumuturilor </w:t>
      </w:r>
      <w:proofErr w:type="spellStart"/>
      <w:r w:rsidRPr="0024512C">
        <w:rPr>
          <w:rFonts w:asciiTheme="majorHAnsi" w:eastAsia="Times New Roman" w:hAnsiTheme="majorHAnsi" w:cstheme="majorHAnsi"/>
          <w:sz w:val="24"/>
          <w:szCs w:val="24"/>
          <w:lang w:val="ro-MD"/>
        </w:rPr>
        <w:t>recreditate</w:t>
      </w:r>
      <w:proofErr w:type="spellEnd"/>
      <w:r w:rsidRPr="0024512C">
        <w:rPr>
          <w:rFonts w:asciiTheme="majorHAnsi" w:eastAsia="Times New Roman" w:hAnsiTheme="majorHAnsi" w:cstheme="majorHAnsi"/>
          <w:sz w:val="24"/>
          <w:szCs w:val="24"/>
          <w:lang w:val="ro-MD"/>
        </w:rPr>
        <w:t xml:space="preserve"> </w:t>
      </w:r>
      <w:r w:rsidRPr="0024512C">
        <w:rPr>
          <w:rFonts w:asciiTheme="majorHAnsi" w:hAnsiTheme="majorHAnsi" w:cstheme="majorHAnsi"/>
          <w:sz w:val="24"/>
          <w:szCs w:val="24"/>
          <w:lang w:val="ro-MD" w:eastAsia="ru-RU"/>
        </w:rPr>
        <w:t>din contul Proiectului PNAET BC „</w:t>
      </w:r>
      <w:proofErr w:type="spellStart"/>
      <w:r w:rsidRPr="0024512C">
        <w:rPr>
          <w:rFonts w:asciiTheme="majorHAnsi" w:hAnsiTheme="majorHAnsi" w:cstheme="majorHAnsi"/>
          <w:sz w:val="24"/>
          <w:szCs w:val="24"/>
          <w:lang w:val="ro-MD" w:eastAsia="ru-RU"/>
        </w:rPr>
        <w:t>Investprivatbank</w:t>
      </w:r>
      <w:proofErr w:type="spellEnd"/>
      <w:r w:rsidRPr="0024512C">
        <w:rPr>
          <w:rFonts w:asciiTheme="majorHAnsi" w:hAnsiTheme="majorHAnsi" w:cstheme="majorHAnsi"/>
          <w:sz w:val="24"/>
          <w:szCs w:val="24"/>
          <w:lang w:val="ro-MD" w:eastAsia="ru-RU"/>
        </w:rPr>
        <w:t>” SA</w:t>
      </w:r>
      <w:r w:rsidR="00435A29" w:rsidRPr="0024512C">
        <w:rPr>
          <w:rFonts w:asciiTheme="majorHAnsi" w:hAnsiTheme="majorHAnsi" w:cstheme="majorHAnsi"/>
          <w:sz w:val="24"/>
          <w:szCs w:val="24"/>
          <w:lang w:val="ro-MD" w:eastAsia="ru-RU"/>
        </w:rPr>
        <w:t>,</w:t>
      </w:r>
      <w:r w:rsidRPr="0024512C">
        <w:rPr>
          <w:rFonts w:asciiTheme="majorHAnsi" w:hAnsiTheme="majorHAnsi" w:cstheme="majorHAnsi"/>
          <w:sz w:val="24"/>
          <w:szCs w:val="24"/>
          <w:lang w:val="ro-MD" w:eastAsia="ru-RU"/>
        </w:rPr>
        <w:t xml:space="preserve"> care se află </w:t>
      </w:r>
      <w:r w:rsidR="00435A29" w:rsidRPr="0024512C">
        <w:rPr>
          <w:rFonts w:asciiTheme="majorHAnsi" w:hAnsiTheme="majorHAnsi" w:cstheme="majorHAnsi"/>
          <w:sz w:val="24"/>
          <w:szCs w:val="24"/>
          <w:lang w:val="ro-MD" w:eastAsia="ru-RU"/>
        </w:rPr>
        <w:t>î</w:t>
      </w:r>
      <w:r w:rsidRPr="0024512C">
        <w:rPr>
          <w:rFonts w:asciiTheme="majorHAnsi" w:hAnsiTheme="majorHAnsi" w:cstheme="majorHAnsi"/>
          <w:sz w:val="24"/>
          <w:szCs w:val="24"/>
          <w:lang w:val="ro-MD" w:eastAsia="ru-RU"/>
        </w:rPr>
        <w:t>n proces de lichidare, iar 11,4</w:t>
      </w:r>
      <w:r w:rsidR="00AD4B10" w:rsidRPr="0024512C">
        <w:rPr>
          <w:rFonts w:asciiTheme="majorHAnsi" w:hAnsiTheme="majorHAnsi" w:cstheme="majorHAnsi"/>
          <w:sz w:val="24"/>
          <w:szCs w:val="24"/>
          <w:lang w:val="ro-MD" w:eastAsia="ru-RU"/>
        </w:rPr>
        <w:t>1</w:t>
      </w:r>
      <w:r w:rsidRPr="0024512C">
        <w:rPr>
          <w:rFonts w:asciiTheme="majorHAnsi" w:hAnsiTheme="majorHAnsi" w:cstheme="majorHAnsi"/>
          <w:sz w:val="24"/>
          <w:szCs w:val="24"/>
          <w:lang w:val="ro-MD" w:eastAsia="ru-RU"/>
        </w:rPr>
        <w:t xml:space="preserve"> mil.</w:t>
      </w:r>
      <w:r w:rsidR="00446E71" w:rsidRPr="0024512C">
        <w:rPr>
          <w:rFonts w:asciiTheme="majorHAnsi" w:hAnsiTheme="majorHAnsi" w:cstheme="majorHAnsi"/>
          <w:sz w:val="24"/>
          <w:szCs w:val="24"/>
          <w:lang w:val="ro-MD" w:eastAsia="ru-RU"/>
        </w:rPr>
        <w:t xml:space="preserve"> lei</w:t>
      </w:r>
      <w:r w:rsidR="00AD4B10" w:rsidRPr="0024512C">
        <w:rPr>
          <w:rFonts w:asciiTheme="majorHAnsi" w:hAnsiTheme="majorHAnsi" w:cstheme="majorHAnsi"/>
          <w:sz w:val="24"/>
          <w:szCs w:val="24"/>
          <w:lang w:val="ro-MD" w:eastAsia="ru-RU"/>
        </w:rPr>
        <w:t xml:space="preserve"> (592,13</w:t>
      </w:r>
      <w:r w:rsidRPr="0024512C">
        <w:rPr>
          <w:rFonts w:asciiTheme="majorHAnsi" w:hAnsiTheme="majorHAnsi" w:cstheme="majorHAnsi"/>
          <w:sz w:val="24"/>
          <w:szCs w:val="24"/>
          <w:lang w:val="ro-MD" w:eastAsia="ru-RU"/>
        </w:rPr>
        <w:t xml:space="preserve"> mii euro) reprezintă datoria beneficiarilor </w:t>
      </w:r>
      <w:proofErr w:type="spellStart"/>
      <w:r w:rsidRPr="0024512C">
        <w:rPr>
          <w:rFonts w:asciiTheme="majorHAnsi" w:hAnsiTheme="majorHAnsi" w:cstheme="majorHAnsi"/>
          <w:sz w:val="24"/>
          <w:szCs w:val="24"/>
          <w:lang w:val="ro-MD" w:eastAsia="ru-RU"/>
        </w:rPr>
        <w:t>recreditați</w:t>
      </w:r>
      <w:proofErr w:type="spellEnd"/>
      <w:r w:rsidRPr="0024512C">
        <w:rPr>
          <w:rFonts w:asciiTheme="majorHAnsi" w:hAnsiTheme="majorHAnsi" w:cstheme="majorHAnsi"/>
          <w:sz w:val="24"/>
          <w:szCs w:val="24"/>
          <w:lang w:val="ro-MD" w:eastAsia="ru-RU"/>
        </w:rPr>
        <w:t xml:space="preserve"> în direct</w:t>
      </w:r>
      <w:r w:rsidR="003B5BD9" w:rsidRPr="0024512C">
        <w:rPr>
          <w:rFonts w:asciiTheme="majorHAnsi" w:hAnsiTheme="majorHAnsi" w:cstheme="majorHAnsi"/>
          <w:sz w:val="24"/>
          <w:szCs w:val="24"/>
          <w:lang w:val="ro-MD" w:eastAsia="ru-RU"/>
        </w:rPr>
        <w:t xml:space="preserve"> (fără implicarea IFP)</w:t>
      </w:r>
      <w:r w:rsidRPr="0024512C">
        <w:rPr>
          <w:rFonts w:asciiTheme="majorHAnsi" w:hAnsiTheme="majorHAnsi" w:cstheme="majorHAnsi"/>
          <w:sz w:val="24"/>
          <w:szCs w:val="24"/>
          <w:lang w:val="ro-MD" w:eastAsia="ru-RU"/>
        </w:rPr>
        <w:t xml:space="preserve"> de către MF în </w:t>
      </w:r>
      <w:r w:rsidR="0023466E" w:rsidRPr="0024512C">
        <w:rPr>
          <w:rFonts w:asciiTheme="majorHAnsi" w:hAnsiTheme="majorHAnsi" w:cstheme="majorHAnsi"/>
          <w:sz w:val="24"/>
          <w:szCs w:val="24"/>
          <w:lang w:val="ro-MD" w:eastAsia="ru-RU"/>
        </w:rPr>
        <w:t>C</w:t>
      </w:r>
      <w:r w:rsidRPr="0024512C">
        <w:rPr>
          <w:rFonts w:asciiTheme="majorHAnsi" w:hAnsiTheme="majorHAnsi" w:cstheme="majorHAnsi"/>
          <w:sz w:val="24"/>
          <w:szCs w:val="24"/>
          <w:lang w:val="ro-MD" w:eastAsia="ru-RU"/>
        </w:rPr>
        <w:t>omponenta Struguri a Proiectului Filiera Vinului.</w:t>
      </w:r>
      <w:r w:rsidRPr="0024512C">
        <w:rPr>
          <w:rFonts w:asciiTheme="majorHAnsi" w:eastAsia="Times New Roman" w:hAnsiTheme="majorHAnsi" w:cstheme="majorHAnsi"/>
          <w:sz w:val="24"/>
          <w:szCs w:val="24"/>
          <w:lang w:val="ro-MD"/>
        </w:rPr>
        <w:t xml:space="preserve"> Soldul datoriei cu termen de </w:t>
      </w:r>
      <w:r w:rsidR="00994844" w:rsidRPr="0024512C">
        <w:rPr>
          <w:rFonts w:asciiTheme="majorHAnsi" w:eastAsia="Times New Roman" w:hAnsiTheme="majorHAnsi" w:cstheme="majorHAnsi"/>
          <w:sz w:val="24"/>
          <w:szCs w:val="24"/>
          <w:lang w:val="ro-MD"/>
        </w:rPr>
        <w:t>achitare expirat constituie</w:t>
      </w:r>
      <w:r w:rsidRPr="0024512C">
        <w:rPr>
          <w:rFonts w:asciiTheme="majorHAnsi" w:eastAsia="Times New Roman" w:hAnsiTheme="majorHAnsi" w:cstheme="majorHAnsi"/>
          <w:sz w:val="24"/>
          <w:szCs w:val="24"/>
          <w:lang w:val="ro-MD"/>
        </w:rPr>
        <w:t xml:space="preserve"> 0,61% față de </w:t>
      </w:r>
      <w:r w:rsidRPr="00321F59">
        <w:rPr>
          <w:rFonts w:asciiTheme="majorHAnsi" w:eastAsia="Times New Roman" w:hAnsiTheme="majorHAnsi" w:cstheme="majorHAnsi"/>
          <w:sz w:val="24"/>
          <w:szCs w:val="24"/>
          <w:lang w:val="ro-MD"/>
        </w:rPr>
        <w:t xml:space="preserve">soldul </w:t>
      </w:r>
      <w:r w:rsidR="003B5BD9" w:rsidRPr="00321F59">
        <w:rPr>
          <w:rFonts w:asciiTheme="majorHAnsi" w:eastAsia="Times New Roman" w:hAnsiTheme="majorHAnsi" w:cstheme="majorHAnsi"/>
          <w:sz w:val="24"/>
          <w:szCs w:val="24"/>
          <w:lang w:val="ro-MD"/>
        </w:rPr>
        <w:t>sumei</w:t>
      </w:r>
      <w:r w:rsidR="003B5BD9" w:rsidRPr="005C74F5">
        <w:rPr>
          <w:rFonts w:asciiTheme="majorHAnsi" w:eastAsia="Times New Roman" w:hAnsiTheme="majorHAnsi" w:cstheme="majorHAnsi"/>
          <w:sz w:val="24"/>
          <w:szCs w:val="24"/>
          <w:lang w:val="ro-MD"/>
        </w:rPr>
        <w:t xml:space="preserve"> principale</w:t>
      </w:r>
      <w:r w:rsidRPr="005C74F5">
        <w:rPr>
          <w:rFonts w:asciiTheme="majorHAnsi" w:eastAsia="Times New Roman" w:hAnsiTheme="majorHAnsi" w:cstheme="majorHAnsi"/>
          <w:sz w:val="24"/>
          <w:szCs w:val="24"/>
          <w:lang w:val="ro-MD"/>
        </w:rPr>
        <w:t xml:space="preserve"> a împrumuturilor </w:t>
      </w:r>
      <w:proofErr w:type="spellStart"/>
      <w:r w:rsidRPr="005C74F5">
        <w:rPr>
          <w:rFonts w:asciiTheme="majorHAnsi" w:eastAsia="Times New Roman" w:hAnsiTheme="majorHAnsi" w:cstheme="majorHAnsi"/>
          <w:sz w:val="24"/>
          <w:szCs w:val="24"/>
          <w:lang w:val="ro-MD"/>
        </w:rPr>
        <w:t>recreditate</w:t>
      </w:r>
      <w:proofErr w:type="spellEnd"/>
      <w:r w:rsidRPr="005C74F5">
        <w:rPr>
          <w:rFonts w:asciiTheme="majorHAnsi" w:eastAsia="Times New Roman" w:hAnsiTheme="majorHAnsi" w:cstheme="majorHAnsi"/>
          <w:sz w:val="24"/>
          <w:szCs w:val="24"/>
          <w:lang w:val="ro-MD"/>
        </w:rPr>
        <w:t xml:space="preserve"> IFP și </w:t>
      </w:r>
      <w:r w:rsidRPr="00321F59">
        <w:rPr>
          <w:rFonts w:asciiTheme="majorHAnsi" w:eastAsia="Times New Roman" w:hAnsiTheme="majorHAnsi" w:cstheme="majorHAnsi"/>
          <w:sz w:val="24"/>
          <w:szCs w:val="24"/>
          <w:lang w:val="ro-MD"/>
        </w:rPr>
        <w:t>a</w:t>
      </w:r>
      <w:r w:rsidR="00321F59">
        <w:rPr>
          <w:rFonts w:asciiTheme="majorHAnsi" w:eastAsia="Times New Roman" w:hAnsiTheme="majorHAnsi" w:cstheme="majorHAnsi"/>
          <w:sz w:val="24"/>
          <w:szCs w:val="24"/>
          <w:lang w:val="ro-MD"/>
        </w:rPr>
        <w:t xml:space="preserve">l </w:t>
      </w:r>
      <w:r w:rsidRPr="005C74F5">
        <w:rPr>
          <w:rFonts w:asciiTheme="majorHAnsi" w:eastAsia="Times New Roman" w:hAnsiTheme="majorHAnsi" w:cstheme="majorHAnsi"/>
          <w:sz w:val="24"/>
          <w:szCs w:val="24"/>
          <w:lang w:val="ro-MD"/>
        </w:rPr>
        <w:t xml:space="preserve">beneficiarilor direcți. </w:t>
      </w:r>
    </w:p>
    <w:p w:rsidR="00DA36DE" w:rsidRPr="0024512C" w:rsidRDefault="00F93F5A" w:rsidP="00423ECB">
      <w:pPr>
        <w:spacing w:line="276" w:lineRule="auto"/>
        <w:jc w:val="both"/>
        <w:rPr>
          <w:rFonts w:asciiTheme="majorHAnsi" w:hAnsiTheme="majorHAnsi" w:cstheme="majorHAnsi"/>
          <w:sz w:val="24"/>
          <w:szCs w:val="24"/>
          <w:lang w:val="ro-MD" w:eastAsia="ru-RU"/>
        </w:rPr>
      </w:pPr>
      <w:r w:rsidRPr="0024512C">
        <w:rPr>
          <w:rFonts w:asciiTheme="majorHAnsi" w:eastAsia="Times New Roman" w:hAnsiTheme="majorHAnsi" w:cstheme="majorHAnsi"/>
          <w:sz w:val="24"/>
          <w:szCs w:val="24"/>
          <w:lang w:val="ro-MD"/>
        </w:rPr>
        <w:t>De asemenea, verificările auditului au stabilit că</w:t>
      </w:r>
      <w:r w:rsidR="00435A29" w:rsidRPr="0024512C">
        <w:rPr>
          <w:rFonts w:asciiTheme="majorHAnsi" w:eastAsia="Times New Roman" w:hAnsiTheme="majorHAnsi" w:cstheme="majorHAnsi"/>
          <w:sz w:val="24"/>
          <w:szCs w:val="24"/>
          <w:lang w:val="ro-MD"/>
        </w:rPr>
        <w:t>,</w:t>
      </w:r>
      <w:r w:rsidRPr="0024512C">
        <w:rPr>
          <w:rFonts w:asciiTheme="majorHAnsi" w:eastAsia="Times New Roman" w:hAnsiTheme="majorHAnsi" w:cstheme="majorHAnsi"/>
          <w:sz w:val="24"/>
          <w:szCs w:val="24"/>
          <w:lang w:val="ro-MD"/>
        </w:rPr>
        <w:t xml:space="preserve"> în vederea </w:t>
      </w:r>
      <w:r w:rsidR="0023466E" w:rsidRPr="0024512C">
        <w:rPr>
          <w:rFonts w:asciiTheme="majorHAnsi" w:hAnsiTheme="majorHAnsi" w:cstheme="majorHAnsi"/>
          <w:sz w:val="24"/>
          <w:szCs w:val="24"/>
          <w:lang w:val="ro-MD" w:eastAsia="ru-RU"/>
        </w:rPr>
        <w:t>verificării dacă implementarea sub-împrumutului finanțat este în conformitate cu Acord</w:t>
      </w:r>
      <w:r w:rsidR="00435A29" w:rsidRPr="0024512C">
        <w:rPr>
          <w:rFonts w:asciiTheme="majorHAnsi" w:hAnsiTheme="majorHAnsi" w:cstheme="majorHAnsi"/>
          <w:sz w:val="24"/>
          <w:szCs w:val="24"/>
          <w:lang w:val="ro-MD" w:eastAsia="ru-RU"/>
        </w:rPr>
        <w:t>ul de recreditare și cu termenele</w:t>
      </w:r>
      <w:r w:rsidR="0023466E" w:rsidRPr="0024512C">
        <w:rPr>
          <w:rFonts w:asciiTheme="majorHAnsi" w:hAnsiTheme="majorHAnsi" w:cstheme="majorHAnsi"/>
          <w:sz w:val="24"/>
          <w:szCs w:val="24"/>
          <w:lang w:val="ro-MD" w:eastAsia="ru-RU"/>
        </w:rPr>
        <w:t xml:space="preserve"> și condițiile pentru sub-împrumuturi</w:t>
      </w:r>
      <w:r w:rsidRPr="0024512C">
        <w:rPr>
          <w:rFonts w:asciiTheme="majorHAnsi" w:eastAsia="Times New Roman" w:hAnsiTheme="majorHAnsi" w:cstheme="majorHAnsi"/>
          <w:sz w:val="24"/>
          <w:szCs w:val="24"/>
          <w:lang w:val="ro-MD"/>
        </w:rPr>
        <w:t xml:space="preserve">, DLC poate efectua o vizită la beneficiarul sub-împrumutului. Acest drept este stipulat și în Acordurile de recreditare cu IFP </w:t>
      </w:r>
      <w:r w:rsidR="00B7094D" w:rsidRPr="0024512C">
        <w:rPr>
          <w:rFonts w:asciiTheme="majorHAnsi" w:eastAsia="Times New Roman" w:hAnsiTheme="majorHAnsi" w:cstheme="majorHAnsi"/>
          <w:sz w:val="24"/>
          <w:szCs w:val="24"/>
          <w:lang w:val="ro-MD"/>
        </w:rPr>
        <w:t>și</w:t>
      </w:r>
      <w:r w:rsidR="0023466E" w:rsidRPr="0024512C">
        <w:rPr>
          <w:rFonts w:asciiTheme="majorHAnsi" w:eastAsia="Times New Roman" w:hAnsiTheme="majorHAnsi" w:cstheme="majorHAnsi"/>
          <w:sz w:val="24"/>
          <w:szCs w:val="24"/>
          <w:lang w:val="ro-MD"/>
        </w:rPr>
        <w:t xml:space="preserve"> prevede că </w:t>
      </w:r>
      <w:r w:rsidR="0023466E" w:rsidRPr="0024512C">
        <w:rPr>
          <w:rFonts w:asciiTheme="majorHAnsi" w:hAnsiTheme="majorHAnsi" w:cstheme="majorHAnsi"/>
          <w:sz w:val="24"/>
          <w:szCs w:val="24"/>
          <w:lang w:val="ro-MD" w:eastAsia="ru-RU"/>
        </w:rPr>
        <w:t>sub-împrumuturile acordate în cadrul Liniei de credit pot fi supuse examinării și monitorizării post debursare.</w:t>
      </w:r>
      <w:r w:rsidR="00B7094D" w:rsidRPr="0024512C">
        <w:rPr>
          <w:rFonts w:asciiTheme="majorHAnsi" w:hAnsiTheme="majorHAnsi" w:cstheme="majorHAnsi"/>
          <w:sz w:val="24"/>
          <w:szCs w:val="24"/>
          <w:lang w:val="ro-MD" w:eastAsia="ru-RU"/>
        </w:rPr>
        <w:t xml:space="preserve"> </w:t>
      </w:r>
      <w:r w:rsidRPr="0024512C">
        <w:rPr>
          <w:rFonts w:asciiTheme="majorHAnsi" w:eastAsia="Times New Roman" w:hAnsiTheme="majorHAnsi" w:cstheme="majorHAnsi"/>
          <w:sz w:val="24"/>
          <w:szCs w:val="24"/>
          <w:lang w:val="ro-MD"/>
        </w:rPr>
        <w:t xml:space="preserve">Astfel, pe parcursul activității de recreditare a DLC, angajații acestuia au </w:t>
      </w:r>
      <w:r w:rsidR="00435A29" w:rsidRPr="0024512C">
        <w:rPr>
          <w:rFonts w:asciiTheme="majorHAnsi" w:eastAsia="Times New Roman" w:hAnsiTheme="majorHAnsi" w:cstheme="majorHAnsi"/>
          <w:sz w:val="24"/>
          <w:szCs w:val="24"/>
          <w:lang w:val="ro-MD"/>
        </w:rPr>
        <w:t>efectuat</w:t>
      </w:r>
      <w:r w:rsidRPr="0024512C">
        <w:rPr>
          <w:rFonts w:asciiTheme="majorHAnsi" w:eastAsia="Times New Roman" w:hAnsiTheme="majorHAnsi" w:cstheme="majorHAnsi"/>
          <w:sz w:val="24"/>
          <w:szCs w:val="24"/>
          <w:lang w:val="ro-MD"/>
        </w:rPr>
        <w:t xml:space="preserve"> 1029 </w:t>
      </w:r>
      <w:r w:rsidR="00435A29" w:rsidRPr="0024512C">
        <w:rPr>
          <w:rFonts w:asciiTheme="majorHAnsi" w:eastAsia="Times New Roman" w:hAnsiTheme="majorHAnsi" w:cstheme="majorHAnsi"/>
          <w:sz w:val="24"/>
          <w:szCs w:val="24"/>
          <w:lang w:val="ro-MD"/>
        </w:rPr>
        <w:t xml:space="preserve">de </w:t>
      </w:r>
      <w:r w:rsidRPr="0024512C">
        <w:rPr>
          <w:rFonts w:asciiTheme="majorHAnsi" w:eastAsia="Times New Roman" w:hAnsiTheme="majorHAnsi" w:cstheme="majorHAnsi"/>
          <w:sz w:val="24"/>
          <w:szCs w:val="24"/>
          <w:lang w:val="ro-MD"/>
        </w:rPr>
        <w:t xml:space="preserve">monitorizări a sub-proiectelor, inclusiv 13 în anul 2019, în </w:t>
      </w:r>
      <w:r w:rsidR="00435A29" w:rsidRPr="0024512C">
        <w:rPr>
          <w:rFonts w:asciiTheme="majorHAnsi" w:eastAsia="Times New Roman" w:hAnsiTheme="majorHAnsi" w:cstheme="majorHAnsi"/>
          <w:sz w:val="24"/>
          <w:szCs w:val="24"/>
          <w:lang w:val="ro-MD"/>
        </w:rPr>
        <w:t xml:space="preserve">urma cărora nu au fost stabilite </w:t>
      </w:r>
      <w:r w:rsidRPr="0024512C">
        <w:rPr>
          <w:rFonts w:asciiTheme="majorHAnsi" w:eastAsia="Times New Roman" w:hAnsiTheme="majorHAnsi" w:cstheme="majorHAnsi"/>
          <w:sz w:val="24"/>
          <w:szCs w:val="24"/>
          <w:lang w:val="ro-MD"/>
        </w:rPr>
        <w:t>neregularități.</w:t>
      </w:r>
    </w:p>
    <w:p w:rsidR="00C15C23" w:rsidRPr="0024512C" w:rsidRDefault="00986550" w:rsidP="00805CC0">
      <w:pPr>
        <w:pStyle w:val="ListParagraph"/>
        <w:numPr>
          <w:ilvl w:val="2"/>
          <w:numId w:val="2"/>
        </w:numPr>
        <w:spacing w:line="276" w:lineRule="auto"/>
        <w:ind w:left="0" w:firstLine="0"/>
        <w:jc w:val="both"/>
        <w:outlineLvl w:val="2"/>
        <w:rPr>
          <w:rFonts w:asciiTheme="majorHAnsi" w:hAnsiTheme="majorHAnsi" w:cstheme="majorHAnsi"/>
          <w:b/>
          <w:i/>
          <w:color w:val="5B9BD5" w:themeColor="accent1"/>
          <w:sz w:val="24"/>
          <w:szCs w:val="24"/>
          <w:lang w:val="ro-MD" w:eastAsia="ru-RU"/>
        </w:rPr>
      </w:pPr>
      <w:bookmarkStart w:id="14" w:name="_Toc47009714"/>
      <w:r w:rsidRPr="0024512C">
        <w:rPr>
          <w:rFonts w:asciiTheme="majorHAnsi" w:hAnsiTheme="majorHAnsi" w:cstheme="majorHAnsi"/>
          <w:b/>
          <w:i/>
          <w:color w:val="5B9BD5" w:themeColor="accent1"/>
          <w:sz w:val="24"/>
          <w:szCs w:val="24"/>
          <w:lang w:val="ro-MD" w:eastAsia="ru-RU"/>
        </w:rPr>
        <w:lastRenderedPageBreak/>
        <w:t>Mijloace</w:t>
      </w:r>
      <w:r w:rsidR="00435A29" w:rsidRPr="0024512C">
        <w:rPr>
          <w:rFonts w:asciiTheme="majorHAnsi" w:hAnsiTheme="majorHAnsi" w:cstheme="majorHAnsi"/>
          <w:b/>
          <w:i/>
          <w:color w:val="5B9BD5" w:themeColor="accent1"/>
          <w:sz w:val="24"/>
          <w:szCs w:val="24"/>
          <w:lang w:val="ro-MD" w:eastAsia="ru-RU"/>
        </w:rPr>
        <w:t>le</w:t>
      </w:r>
      <w:r w:rsidRPr="0024512C">
        <w:rPr>
          <w:rFonts w:asciiTheme="majorHAnsi" w:hAnsiTheme="majorHAnsi" w:cstheme="majorHAnsi"/>
          <w:b/>
          <w:i/>
          <w:color w:val="5B9BD5" w:themeColor="accent1"/>
          <w:sz w:val="24"/>
          <w:szCs w:val="24"/>
          <w:lang w:val="ro-MD" w:eastAsia="ru-RU"/>
        </w:rPr>
        <w:t xml:space="preserve"> acumulate din recreditarea secundară permit DLC să asigure c</w:t>
      </w:r>
      <w:r w:rsidR="00435A29" w:rsidRPr="0024512C">
        <w:rPr>
          <w:rFonts w:asciiTheme="majorHAnsi" w:hAnsiTheme="majorHAnsi" w:cstheme="majorHAnsi"/>
          <w:b/>
          <w:i/>
          <w:color w:val="5B9BD5" w:themeColor="accent1"/>
          <w:sz w:val="24"/>
          <w:szCs w:val="24"/>
          <w:lang w:val="ro-MD" w:eastAsia="ru-RU"/>
        </w:rPr>
        <w:t>ontinuitatea</w:t>
      </w:r>
      <w:r w:rsidR="00C15C23" w:rsidRPr="0024512C">
        <w:rPr>
          <w:rFonts w:asciiTheme="majorHAnsi" w:hAnsiTheme="majorHAnsi" w:cstheme="majorHAnsi"/>
          <w:b/>
          <w:i/>
          <w:color w:val="5B9BD5" w:themeColor="accent1"/>
          <w:sz w:val="24"/>
          <w:szCs w:val="24"/>
          <w:lang w:val="ro-MD" w:eastAsia="ru-RU"/>
        </w:rPr>
        <w:t xml:space="preserve"> operațiunilor de recreditare </w:t>
      </w:r>
      <w:r w:rsidR="00435A29" w:rsidRPr="0024512C">
        <w:rPr>
          <w:rFonts w:asciiTheme="majorHAnsi" w:hAnsiTheme="majorHAnsi" w:cstheme="majorHAnsi"/>
          <w:b/>
          <w:i/>
          <w:color w:val="5B9BD5" w:themeColor="accent1"/>
          <w:sz w:val="24"/>
          <w:szCs w:val="24"/>
          <w:lang w:val="ro-MD" w:eastAsia="ru-RU"/>
        </w:rPr>
        <w:t>a</w:t>
      </w:r>
      <w:r w:rsidR="00C15C23" w:rsidRPr="0024512C">
        <w:rPr>
          <w:rFonts w:asciiTheme="majorHAnsi" w:hAnsiTheme="majorHAnsi" w:cstheme="majorHAnsi"/>
          <w:b/>
          <w:i/>
          <w:color w:val="5B9BD5" w:themeColor="accent1"/>
          <w:sz w:val="24"/>
          <w:szCs w:val="24"/>
          <w:lang w:val="ro-MD" w:eastAsia="ru-RU"/>
        </w:rPr>
        <w:t xml:space="preserve"> sub-proiecte</w:t>
      </w:r>
      <w:r w:rsidR="00435A29" w:rsidRPr="0024512C">
        <w:rPr>
          <w:rFonts w:asciiTheme="majorHAnsi" w:hAnsiTheme="majorHAnsi" w:cstheme="majorHAnsi"/>
          <w:b/>
          <w:i/>
          <w:color w:val="5B9BD5" w:themeColor="accent1"/>
          <w:sz w:val="24"/>
          <w:szCs w:val="24"/>
          <w:lang w:val="ro-MD" w:eastAsia="ru-RU"/>
        </w:rPr>
        <w:t>lor</w:t>
      </w:r>
      <w:r w:rsidR="00C15C23" w:rsidRPr="0024512C">
        <w:rPr>
          <w:rFonts w:asciiTheme="majorHAnsi" w:hAnsiTheme="majorHAnsi" w:cstheme="majorHAnsi"/>
          <w:b/>
          <w:i/>
          <w:color w:val="5B9BD5" w:themeColor="accent1"/>
          <w:sz w:val="24"/>
          <w:szCs w:val="24"/>
          <w:lang w:val="ro-MD" w:eastAsia="ru-RU"/>
        </w:rPr>
        <w:t xml:space="preserve"> noi </w:t>
      </w:r>
      <w:r w:rsidRPr="0024512C">
        <w:rPr>
          <w:rFonts w:asciiTheme="majorHAnsi" w:hAnsiTheme="majorHAnsi" w:cstheme="majorHAnsi"/>
          <w:b/>
          <w:i/>
          <w:color w:val="5B9BD5" w:themeColor="accent1"/>
          <w:sz w:val="24"/>
          <w:szCs w:val="24"/>
          <w:lang w:val="ro-MD" w:eastAsia="ru-RU"/>
        </w:rPr>
        <w:t>viabile, să formeze fonduri necesare activității DLC și de acoperire a riscurilor creditare, precum și să finanțeze proiecte investiționale noi</w:t>
      </w:r>
      <w:bookmarkEnd w:id="14"/>
      <w:r w:rsidRPr="0024512C">
        <w:rPr>
          <w:rFonts w:asciiTheme="majorHAnsi" w:hAnsiTheme="majorHAnsi" w:cstheme="majorHAnsi"/>
          <w:b/>
          <w:i/>
          <w:color w:val="5B9BD5" w:themeColor="accent1"/>
          <w:sz w:val="24"/>
          <w:szCs w:val="24"/>
          <w:lang w:val="ro-MD" w:eastAsia="ru-RU"/>
        </w:rPr>
        <w:t xml:space="preserve"> </w:t>
      </w:r>
    </w:p>
    <w:p w:rsidR="00C5301D" w:rsidRPr="0024512C" w:rsidRDefault="0048672D" w:rsidP="001F601F">
      <w:pPr>
        <w:spacing w:line="276" w:lineRule="auto"/>
        <w:jc w:val="both"/>
        <w:rPr>
          <w:rFonts w:asciiTheme="majorHAnsi" w:hAnsiTheme="majorHAnsi" w:cstheme="majorHAnsi"/>
          <w:sz w:val="24"/>
          <w:szCs w:val="24"/>
          <w:lang w:val="ro-MD"/>
          <w14:glow w14:rad="0">
            <w14:schemeClr w14:val="tx1"/>
          </w14:glow>
        </w:rPr>
      </w:pPr>
      <w:r w:rsidRPr="0024512C">
        <w:rPr>
          <w:rFonts w:asciiTheme="majorHAnsi" w:hAnsiTheme="majorHAnsi" w:cstheme="majorHAnsi"/>
          <w:sz w:val="24"/>
          <w:szCs w:val="24"/>
          <w:lang w:val="ro-MD"/>
          <w14:glow w14:rad="0">
            <w14:schemeClr w14:val="tx1"/>
          </w14:glow>
        </w:rPr>
        <w:t>Conform prevederilor Hotărârii Guvernului nr.953 din 07.09.2001, DLC</w:t>
      </w:r>
      <w:r w:rsidR="00435A29" w:rsidRPr="0024512C">
        <w:rPr>
          <w:rFonts w:asciiTheme="majorHAnsi" w:hAnsiTheme="majorHAnsi" w:cstheme="majorHAnsi"/>
          <w:sz w:val="24"/>
          <w:szCs w:val="24"/>
          <w:lang w:val="ro-MD"/>
          <w14:glow w14:rad="0">
            <w14:schemeClr w14:val="tx1"/>
          </w14:glow>
        </w:rPr>
        <w:t xml:space="preserve"> a fost reorganizat inclusiv </w:t>
      </w:r>
      <w:r w:rsidRPr="0024512C">
        <w:rPr>
          <w:rFonts w:asciiTheme="majorHAnsi" w:hAnsiTheme="majorHAnsi" w:cstheme="majorHAnsi"/>
          <w:sz w:val="24"/>
          <w:szCs w:val="24"/>
          <w:lang w:val="ro-MD"/>
          <w14:glow w14:rad="0">
            <w14:schemeClr w14:val="tx1"/>
          </w14:glow>
        </w:rPr>
        <w:t>în scopul recreditării resurselor acumulate pentru finanțarea noilor proiecte viabile. De asemenea, Regulamentul DLC</w:t>
      </w:r>
      <w:r w:rsidR="00E513D7" w:rsidRPr="0024512C">
        <w:rPr>
          <w:rStyle w:val="FootnoteReference"/>
          <w:rFonts w:asciiTheme="majorHAnsi" w:hAnsiTheme="majorHAnsi" w:cstheme="majorHAnsi"/>
          <w:sz w:val="24"/>
          <w:szCs w:val="24"/>
          <w:lang w:val="ro-MD"/>
          <w14:glow w14:rad="0">
            <w14:schemeClr w14:val="tx1"/>
          </w14:glow>
        </w:rPr>
        <w:footnoteReference w:id="22"/>
      </w:r>
      <w:r w:rsidR="00435A29" w:rsidRPr="0024512C">
        <w:rPr>
          <w:rFonts w:asciiTheme="majorHAnsi" w:hAnsiTheme="majorHAnsi" w:cstheme="majorHAnsi"/>
          <w:sz w:val="24"/>
          <w:szCs w:val="24"/>
          <w:lang w:val="ro-MD"/>
          <w14:glow w14:rad="0">
            <w14:schemeClr w14:val="tx1"/>
          </w14:glow>
        </w:rPr>
        <w:t xml:space="preserve"> stabilește că</w:t>
      </w:r>
      <w:r w:rsidRPr="0024512C">
        <w:rPr>
          <w:rFonts w:asciiTheme="majorHAnsi" w:hAnsiTheme="majorHAnsi" w:cstheme="majorHAnsi"/>
          <w:sz w:val="24"/>
          <w:szCs w:val="24"/>
          <w:lang w:val="ro-MD"/>
          <w14:glow w14:rad="0">
            <w14:schemeClr w14:val="tx1"/>
          </w14:glow>
        </w:rPr>
        <w:t xml:space="preserve"> una din</w:t>
      </w:r>
      <w:r w:rsidR="00435A29" w:rsidRPr="005C74F5">
        <w:rPr>
          <w:rFonts w:asciiTheme="majorHAnsi" w:hAnsiTheme="majorHAnsi" w:cstheme="majorHAnsi"/>
          <w:sz w:val="24"/>
          <w:szCs w:val="24"/>
          <w:lang w:val="ro-MD"/>
          <w14:glow w14:rad="0">
            <w14:schemeClr w14:val="tx1"/>
          </w14:glow>
        </w:rPr>
        <w:t>tre</w:t>
      </w:r>
      <w:r w:rsidRPr="005C74F5">
        <w:rPr>
          <w:rFonts w:asciiTheme="majorHAnsi" w:hAnsiTheme="majorHAnsi" w:cstheme="majorHAnsi"/>
          <w:sz w:val="24"/>
          <w:szCs w:val="24"/>
          <w:lang w:val="ro-MD"/>
          <w14:glow w14:rad="0">
            <w14:schemeClr w14:val="tx1"/>
          </w14:glow>
        </w:rPr>
        <w:t xml:space="preserve"> funcțiile principale ale DLC este </w:t>
      </w:r>
      <w:r w:rsidR="00435A29" w:rsidRPr="005C74F5">
        <w:rPr>
          <w:rFonts w:asciiTheme="majorHAnsi" w:hAnsiTheme="majorHAnsi" w:cstheme="majorHAnsi"/>
          <w:sz w:val="24"/>
          <w:szCs w:val="24"/>
          <w:lang w:val="ro-MD"/>
          <w14:glow w14:rad="0">
            <w14:schemeClr w14:val="tx1"/>
          </w14:glow>
        </w:rPr>
        <w:t>cea</w:t>
      </w:r>
      <w:r w:rsidRPr="005C74F5">
        <w:rPr>
          <w:rFonts w:asciiTheme="majorHAnsi" w:hAnsiTheme="majorHAnsi" w:cstheme="majorHAnsi"/>
          <w:sz w:val="24"/>
          <w:szCs w:val="24"/>
          <w:lang w:val="ro-MD"/>
          <w14:glow w14:rad="0">
            <w14:schemeClr w14:val="tx1"/>
          </w14:glow>
        </w:rPr>
        <w:t xml:space="preserve"> de gestiune cotidiană a </w:t>
      </w:r>
      <w:r w:rsidR="00435A29" w:rsidRPr="005C74F5">
        <w:rPr>
          <w:rFonts w:asciiTheme="majorHAnsi" w:hAnsiTheme="majorHAnsi" w:cstheme="majorHAnsi"/>
          <w:sz w:val="24"/>
          <w:szCs w:val="24"/>
          <w:lang w:val="ro-MD"/>
          <w14:glow w14:rad="0">
            <w14:schemeClr w14:val="tx1"/>
          </w14:glow>
        </w:rPr>
        <w:t>L</w:t>
      </w:r>
      <w:r w:rsidRPr="005C74F5">
        <w:rPr>
          <w:rFonts w:asciiTheme="majorHAnsi" w:hAnsiTheme="majorHAnsi" w:cstheme="majorHAnsi"/>
          <w:sz w:val="24"/>
          <w:szCs w:val="24"/>
          <w:lang w:val="ro-MD"/>
          <w14:glow w14:rad="0">
            <w14:schemeClr w14:val="tx1"/>
          </w14:glow>
        </w:rPr>
        <w:t xml:space="preserve">iniilor de credit și </w:t>
      </w:r>
      <w:r w:rsidR="005C74F5">
        <w:rPr>
          <w:rFonts w:asciiTheme="majorHAnsi" w:hAnsiTheme="majorHAnsi" w:cstheme="majorHAnsi"/>
          <w:sz w:val="24"/>
          <w:szCs w:val="24"/>
          <w:lang w:val="ro-MD"/>
          <w14:glow w14:rad="0">
            <w14:schemeClr w14:val="tx1"/>
          </w14:glow>
        </w:rPr>
        <w:t xml:space="preserve">de </w:t>
      </w:r>
      <w:r w:rsidRPr="005C74F5">
        <w:rPr>
          <w:rFonts w:asciiTheme="majorHAnsi" w:hAnsiTheme="majorHAnsi" w:cstheme="majorHAnsi"/>
          <w:sz w:val="24"/>
          <w:szCs w:val="24"/>
          <w:lang w:val="ro-MD"/>
          <w14:glow w14:rad="0">
            <w14:schemeClr w14:val="tx1"/>
          </w14:glow>
        </w:rPr>
        <w:t>asigurare</w:t>
      </w:r>
      <w:r w:rsidR="005C74F5">
        <w:rPr>
          <w:rFonts w:asciiTheme="majorHAnsi" w:hAnsiTheme="majorHAnsi" w:cstheme="majorHAnsi"/>
          <w:sz w:val="24"/>
          <w:szCs w:val="24"/>
          <w:lang w:val="ro-MD"/>
          <w14:glow w14:rad="0">
            <w14:schemeClr w14:val="tx1"/>
          </w14:glow>
        </w:rPr>
        <w:t xml:space="preserve"> </w:t>
      </w:r>
      <w:r w:rsidRPr="005C74F5">
        <w:rPr>
          <w:rFonts w:asciiTheme="majorHAnsi" w:hAnsiTheme="majorHAnsi" w:cstheme="majorHAnsi"/>
          <w:sz w:val="24"/>
          <w:szCs w:val="24"/>
          <w:lang w:val="ro-MD"/>
          <w14:glow w14:rad="0">
            <w14:schemeClr w14:val="tx1"/>
          </w14:glow>
        </w:rPr>
        <w:t>a accesului intermediarilor la resursele ei pentru creditarea ulteri</w:t>
      </w:r>
      <w:r w:rsidRPr="0024512C">
        <w:rPr>
          <w:rFonts w:asciiTheme="majorHAnsi" w:hAnsiTheme="majorHAnsi" w:cstheme="majorHAnsi"/>
          <w:sz w:val="24"/>
          <w:szCs w:val="24"/>
          <w:lang w:val="ro-MD"/>
          <w14:glow w14:rad="0">
            <w14:schemeClr w14:val="tx1"/>
          </w14:glow>
        </w:rPr>
        <w:t xml:space="preserve">oară, inclusiv creditarea secundară.  </w:t>
      </w:r>
    </w:p>
    <w:p w:rsidR="00C5301D" w:rsidRPr="00321F59" w:rsidRDefault="00BD4E28" w:rsidP="001F601F">
      <w:pPr>
        <w:spacing w:line="276" w:lineRule="auto"/>
        <w:jc w:val="both"/>
        <w:rPr>
          <w:rFonts w:asciiTheme="majorHAnsi" w:hAnsiTheme="majorHAnsi" w:cstheme="majorHAns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t xml:space="preserve">Funcția de creditare secundară este confirmată și </w:t>
      </w:r>
      <w:r w:rsidR="00435A29" w:rsidRPr="00321F59">
        <w:rPr>
          <w:rFonts w:asciiTheme="majorHAnsi" w:hAnsiTheme="majorHAnsi" w:cstheme="majorHAnsi"/>
          <w:sz w:val="24"/>
          <w:szCs w:val="24"/>
          <w:lang w:val="ro-MD"/>
          <w14:glow w14:rad="0">
            <w14:schemeClr w14:val="tx1"/>
          </w14:glow>
        </w:rPr>
        <w:t>de ordinele</w:t>
      </w:r>
      <w:r w:rsidRPr="00321F59">
        <w:rPr>
          <w:rFonts w:asciiTheme="majorHAnsi" w:hAnsiTheme="majorHAnsi" w:cstheme="majorHAnsi"/>
          <w:sz w:val="24"/>
          <w:szCs w:val="24"/>
          <w:lang w:val="ro-MD"/>
          <w14:glow w14:rad="0">
            <w14:schemeClr w14:val="tx1"/>
          </w14:glow>
        </w:rPr>
        <w:t xml:space="preserve"> </w:t>
      </w:r>
      <w:r w:rsidR="00435A29" w:rsidRPr="00321F59">
        <w:rPr>
          <w:rFonts w:asciiTheme="majorHAnsi" w:hAnsiTheme="majorHAnsi" w:cstheme="majorHAnsi"/>
          <w:sz w:val="24"/>
          <w:szCs w:val="24"/>
          <w:lang w:val="ro-MD"/>
          <w14:glow w14:rad="0">
            <w14:schemeClr w14:val="tx1"/>
          </w14:glow>
        </w:rPr>
        <w:t>m</w:t>
      </w:r>
      <w:r w:rsidRPr="00321F59">
        <w:rPr>
          <w:rFonts w:asciiTheme="majorHAnsi" w:hAnsiTheme="majorHAnsi" w:cstheme="majorHAnsi"/>
          <w:sz w:val="24"/>
          <w:szCs w:val="24"/>
          <w:lang w:val="ro-MD"/>
          <w14:glow w14:rad="0">
            <w14:schemeClr w14:val="tx1"/>
          </w14:glow>
        </w:rPr>
        <w:t xml:space="preserve">inistrului </w:t>
      </w:r>
      <w:r w:rsidR="00435A29" w:rsidRPr="00321F59">
        <w:rPr>
          <w:rFonts w:asciiTheme="majorHAnsi" w:hAnsiTheme="majorHAnsi" w:cstheme="majorHAnsi"/>
          <w:sz w:val="24"/>
          <w:szCs w:val="24"/>
          <w:lang w:val="ro-MD"/>
          <w14:glow w14:rad="0">
            <w14:schemeClr w14:val="tx1"/>
          </w14:glow>
        </w:rPr>
        <w:t>F</w:t>
      </w:r>
      <w:r w:rsidRPr="00321F59">
        <w:rPr>
          <w:rFonts w:asciiTheme="majorHAnsi" w:hAnsiTheme="majorHAnsi" w:cstheme="majorHAnsi"/>
          <w:sz w:val="24"/>
          <w:szCs w:val="24"/>
          <w:lang w:val="ro-MD"/>
          <w14:glow w14:rad="0">
            <w14:schemeClr w14:val="tx1"/>
          </w14:glow>
        </w:rPr>
        <w:t>inanțelor emise pentru fiecare Proiect separat, conform cărora</w:t>
      </w:r>
      <w:r w:rsidR="00435A29" w:rsidRPr="00321F59">
        <w:rPr>
          <w:rFonts w:asciiTheme="majorHAnsi" w:hAnsiTheme="majorHAnsi" w:cstheme="majorHAnsi"/>
          <w:sz w:val="24"/>
          <w:szCs w:val="24"/>
          <w:lang w:val="ro-MD"/>
          <w14:glow w14:rad="0">
            <w14:schemeClr w14:val="tx1"/>
          </w14:glow>
        </w:rPr>
        <w:t>,</w:t>
      </w:r>
      <w:r w:rsidRPr="00321F59">
        <w:rPr>
          <w:rFonts w:asciiTheme="majorHAnsi" w:hAnsiTheme="majorHAnsi" w:cstheme="majorHAnsi"/>
          <w:sz w:val="24"/>
          <w:szCs w:val="24"/>
          <w:lang w:val="ro-MD"/>
          <w14:glow w14:rad="0">
            <w14:schemeClr w14:val="tx1"/>
          </w14:glow>
        </w:rPr>
        <w:t xml:space="preserve"> în scopul asigurării continuității Proiectului, DLC va utiliza mijloacele circulante ale Proiectului (cu excepția sumei principale și a dobânzii necesare MF pentru rambursarea împrumutului creditorului extern) pentru recreditarea sub-proiectelor beneficiarilor noi </w:t>
      </w:r>
      <w:r w:rsidR="00435A29" w:rsidRPr="00321F59">
        <w:rPr>
          <w:rFonts w:asciiTheme="majorHAnsi" w:hAnsiTheme="majorHAnsi" w:cstheme="majorHAnsi"/>
          <w:sz w:val="24"/>
          <w:szCs w:val="24"/>
          <w:lang w:val="ro-MD"/>
          <w14:glow w14:rad="0">
            <w14:schemeClr w14:val="tx1"/>
          </w14:glow>
        </w:rPr>
        <w:t>în condiții și termene</w:t>
      </w:r>
      <w:r w:rsidRPr="00321F59">
        <w:rPr>
          <w:rFonts w:asciiTheme="majorHAnsi" w:hAnsiTheme="majorHAnsi" w:cstheme="majorHAnsi"/>
          <w:sz w:val="24"/>
          <w:szCs w:val="24"/>
          <w:lang w:val="ro-MD"/>
          <w14:glow w14:rad="0">
            <w14:schemeClr w14:val="tx1"/>
          </w14:glow>
        </w:rPr>
        <w:t xml:space="preserve"> similare. </w:t>
      </w:r>
    </w:p>
    <w:p w:rsidR="001F601F" w:rsidRPr="00321F59" w:rsidRDefault="00BD4E28" w:rsidP="001F601F">
      <w:pPr>
        <w:spacing w:line="276" w:lineRule="auto"/>
        <w:jc w:val="both"/>
        <w:rPr>
          <w:rFonts w:asciiTheme="majorHAnsi" w:hAnsiTheme="majorHAnsi" w:cstheme="majorHAns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t xml:space="preserve">Recreditarea din mijloacele circulante ale DLC constituie circa 60% din volumul total al mijloacelor </w:t>
      </w:r>
      <w:proofErr w:type="spellStart"/>
      <w:r w:rsidRPr="00321F59">
        <w:rPr>
          <w:rFonts w:asciiTheme="majorHAnsi" w:hAnsiTheme="majorHAnsi" w:cstheme="majorHAnsi"/>
          <w:sz w:val="24"/>
          <w:szCs w:val="24"/>
          <w:lang w:val="ro-MD"/>
          <w14:glow w14:rad="0">
            <w14:schemeClr w14:val="tx1"/>
          </w14:glow>
        </w:rPr>
        <w:t>recreditate</w:t>
      </w:r>
      <w:proofErr w:type="spellEnd"/>
      <w:r w:rsidRPr="00321F59">
        <w:rPr>
          <w:rFonts w:asciiTheme="majorHAnsi" w:hAnsiTheme="majorHAnsi" w:cstheme="majorHAnsi"/>
          <w:sz w:val="24"/>
          <w:szCs w:val="24"/>
          <w:lang w:val="ro-MD"/>
          <w14:glow w14:rad="0">
            <w14:schemeClr w14:val="tx1"/>
          </w14:glow>
        </w:rPr>
        <w:t xml:space="preserve">. </w:t>
      </w:r>
      <w:r w:rsidR="001F601F" w:rsidRPr="00321F59">
        <w:rPr>
          <w:rFonts w:asciiTheme="majorHAnsi" w:hAnsiTheme="majorHAnsi" w:cstheme="majorHAnsi"/>
          <w:sz w:val="24"/>
          <w:szCs w:val="24"/>
          <w:lang w:val="ro-MD"/>
          <w14:glow w14:rad="0">
            <w14:schemeClr w14:val="tx1"/>
          </w14:glow>
        </w:rPr>
        <w:t xml:space="preserve">Astfel, din totalul sumelor </w:t>
      </w:r>
      <w:proofErr w:type="spellStart"/>
      <w:r w:rsidR="001F601F" w:rsidRPr="00321F59">
        <w:rPr>
          <w:rFonts w:asciiTheme="majorHAnsi" w:hAnsiTheme="majorHAnsi" w:cstheme="majorHAnsi"/>
          <w:sz w:val="24"/>
          <w:szCs w:val="24"/>
          <w:lang w:val="ro-MD"/>
          <w14:glow w14:rad="0">
            <w14:schemeClr w14:val="tx1"/>
          </w14:glow>
        </w:rPr>
        <w:t>recreditate</w:t>
      </w:r>
      <w:proofErr w:type="spellEnd"/>
      <w:r w:rsidR="00435A29" w:rsidRPr="00321F59">
        <w:rPr>
          <w:rFonts w:asciiTheme="majorHAnsi" w:hAnsiTheme="majorHAnsi" w:cstheme="majorHAnsi"/>
          <w:sz w:val="24"/>
          <w:szCs w:val="24"/>
          <w:lang w:val="ro-MD"/>
          <w14:glow w14:rad="0">
            <w14:schemeClr w14:val="tx1"/>
          </w14:glow>
        </w:rPr>
        <w:t>,</w:t>
      </w:r>
      <w:r w:rsidR="001F601F" w:rsidRPr="00321F59">
        <w:rPr>
          <w:rFonts w:asciiTheme="majorHAnsi" w:hAnsiTheme="majorHAnsi" w:cstheme="majorHAnsi"/>
          <w:sz w:val="24"/>
          <w:szCs w:val="24"/>
          <w:lang w:val="ro-MD"/>
          <w14:glow w14:rad="0">
            <w14:schemeClr w14:val="tx1"/>
          </w14:glow>
        </w:rPr>
        <w:t xml:space="preserve"> pe parcursul activității DLC (</w:t>
      </w:r>
      <w:r w:rsidR="00ED446E" w:rsidRPr="00321F59">
        <w:rPr>
          <w:rFonts w:asciiTheme="majorHAnsi" w:hAnsiTheme="majorHAnsi" w:cstheme="majorHAnsi"/>
          <w:sz w:val="24"/>
          <w:szCs w:val="24"/>
          <w:lang w:val="ro-MD"/>
          <w14:glow w14:rad="0">
            <w14:schemeClr w14:val="tx1"/>
          </w14:glow>
        </w:rPr>
        <w:t>10 045,6</w:t>
      </w:r>
      <w:r w:rsidR="001F601F" w:rsidRPr="00321F59">
        <w:rPr>
          <w:rFonts w:asciiTheme="majorHAnsi" w:hAnsiTheme="majorHAnsi" w:cstheme="majorHAnsi"/>
          <w:sz w:val="24"/>
          <w:szCs w:val="24"/>
          <w:lang w:val="ro-MD"/>
          <w14:glow w14:rad="0">
            <w14:schemeClr w14:val="tx1"/>
          </w14:glow>
        </w:rPr>
        <w:t xml:space="preserve"> mil.</w:t>
      </w:r>
      <w:r w:rsidR="00986550" w:rsidRPr="00321F59">
        <w:rPr>
          <w:rFonts w:asciiTheme="majorHAnsi" w:hAnsiTheme="majorHAnsi" w:cstheme="majorHAnsi"/>
          <w:sz w:val="24"/>
          <w:szCs w:val="24"/>
          <w:lang w:val="ro-MD"/>
          <w14:glow w14:rad="0">
            <w14:schemeClr w14:val="tx1"/>
          </w14:glow>
        </w:rPr>
        <w:t xml:space="preserve"> lei)</w:t>
      </w:r>
      <w:r w:rsidR="00A33B69">
        <w:rPr>
          <w:rFonts w:asciiTheme="majorHAnsi" w:hAnsiTheme="majorHAnsi" w:cstheme="majorHAnsi"/>
          <w:sz w:val="24"/>
          <w:szCs w:val="24"/>
          <w:lang w:val="ro-MD"/>
          <w14:glow w14:rad="0">
            <w14:schemeClr w14:val="tx1"/>
          </w14:glow>
        </w:rPr>
        <w:t>,</w:t>
      </w:r>
      <w:r w:rsidR="001F601F" w:rsidRPr="00321F59">
        <w:rPr>
          <w:rFonts w:asciiTheme="majorHAnsi" w:hAnsiTheme="majorHAnsi" w:cstheme="majorHAnsi"/>
          <w:sz w:val="24"/>
          <w:szCs w:val="24"/>
          <w:lang w:val="ro-MD"/>
          <w14:glow w14:rad="0">
            <w14:schemeClr w14:val="tx1"/>
          </w14:glow>
        </w:rPr>
        <w:t xml:space="preserve"> </w:t>
      </w:r>
      <w:r w:rsidR="00986550" w:rsidRPr="00321F59">
        <w:rPr>
          <w:rFonts w:asciiTheme="majorHAnsi" w:hAnsiTheme="majorHAnsi" w:cstheme="majorHAnsi"/>
          <w:sz w:val="24"/>
          <w:szCs w:val="24"/>
          <w:lang w:val="ro-MD"/>
          <w14:glow w14:rad="0">
            <w14:schemeClr w14:val="tx1"/>
          </w14:glow>
        </w:rPr>
        <w:t>6 068,5 mil. lei</w:t>
      </w:r>
      <w:r w:rsidR="00ED446E" w:rsidRPr="00321F59">
        <w:rPr>
          <w:rFonts w:asciiTheme="majorHAnsi" w:hAnsiTheme="majorHAnsi" w:cstheme="majorHAnsi"/>
          <w:sz w:val="24"/>
          <w:szCs w:val="24"/>
          <w:lang w:val="ro-MD"/>
          <w14:glow w14:rad="0">
            <w14:schemeClr w14:val="tx1"/>
          </w14:glow>
        </w:rPr>
        <w:t xml:space="preserve"> </w:t>
      </w:r>
      <w:r w:rsidR="001F601F" w:rsidRPr="00321F59">
        <w:rPr>
          <w:rFonts w:asciiTheme="majorHAnsi" w:hAnsiTheme="majorHAnsi" w:cstheme="majorHAnsi"/>
          <w:sz w:val="24"/>
          <w:szCs w:val="24"/>
          <w:lang w:val="ro-MD"/>
          <w14:glow w14:rad="0">
            <w14:schemeClr w14:val="tx1"/>
          </w14:glow>
        </w:rPr>
        <w:t xml:space="preserve">au fost </w:t>
      </w:r>
      <w:proofErr w:type="spellStart"/>
      <w:r w:rsidR="001F601F" w:rsidRPr="00321F59">
        <w:rPr>
          <w:rFonts w:asciiTheme="majorHAnsi" w:hAnsiTheme="majorHAnsi" w:cstheme="majorHAnsi"/>
          <w:sz w:val="24"/>
          <w:szCs w:val="24"/>
          <w:lang w:val="ro-MD"/>
          <w14:glow w14:rad="0">
            <w14:schemeClr w14:val="tx1"/>
          </w14:glow>
        </w:rPr>
        <w:t>recreditate</w:t>
      </w:r>
      <w:proofErr w:type="spellEnd"/>
      <w:r w:rsidR="001F601F" w:rsidRPr="00321F59">
        <w:rPr>
          <w:rFonts w:asciiTheme="majorHAnsi" w:hAnsiTheme="majorHAnsi" w:cstheme="majorHAnsi"/>
          <w:sz w:val="24"/>
          <w:szCs w:val="24"/>
          <w:lang w:val="ro-MD"/>
          <w14:glow w14:rad="0">
            <w14:schemeClr w14:val="tx1"/>
          </w14:glow>
        </w:rPr>
        <w:t xml:space="preserve"> din resursele circulante libere</w:t>
      </w:r>
      <w:r w:rsidR="00986550" w:rsidRPr="00321F59">
        <w:rPr>
          <w:rFonts w:asciiTheme="majorHAnsi" w:hAnsiTheme="majorHAnsi" w:cstheme="majorHAnsi"/>
          <w:sz w:val="24"/>
          <w:szCs w:val="24"/>
          <w:lang w:val="ro-MD"/>
          <w14:glow w14:rad="0">
            <w14:schemeClr w14:val="tx1"/>
          </w14:glow>
        </w:rPr>
        <w:t xml:space="preserve"> (60,4%) și 3 977,1 mil. lei</w:t>
      </w:r>
      <w:r w:rsidR="00435A29" w:rsidRPr="00321F59">
        <w:rPr>
          <w:rFonts w:asciiTheme="majorHAnsi" w:hAnsiTheme="majorHAnsi" w:cstheme="majorHAnsi"/>
          <w:sz w:val="24"/>
          <w:szCs w:val="24"/>
          <w:lang w:val="ro-MD"/>
          <w14:glow w14:rad="0">
            <w14:schemeClr w14:val="tx1"/>
          </w14:glow>
        </w:rPr>
        <w:t xml:space="preserve"> </w:t>
      </w:r>
      <w:r w:rsidR="00A33B69">
        <w:rPr>
          <w:rFonts w:asciiTheme="majorHAnsi" w:hAnsiTheme="majorHAnsi" w:cstheme="majorHAnsi"/>
          <w:sz w:val="24"/>
          <w:szCs w:val="24"/>
          <w:lang w:val="ro-MD"/>
          <w14:glow w14:rad="0">
            <w14:schemeClr w14:val="tx1"/>
          </w14:glow>
        </w:rPr>
        <w:t>–</w:t>
      </w:r>
      <w:r w:rsidR="00ED446E" w:rsidRPr="00321F59">
        <w:rPr>
          <w:rFonts w:asciiTheme="majorHAnsi" w:hAnsiTheme="majorHAnsi" w:cstheme="majorHAnsi"/>
          <w:sz w:val="24"/>
          <w:szCs w:val="24"/>
          <w:lang w:val="ro-MD"/>
          <w14:glow w14:rad="0">
            <w14:schemeClr w14:val="tx1"/>
          </w14:glow>
        </w:rPr>
        <w:t xml:space="preserve"> din contul resurselor directe finanțate din credite externe (39,6%)</w:t>
      </w:r>
      <w:r w:rsidR="001F601F" w:rsidRPr="00321F59">
        <w:rPr>
          <w:rFonts w:asciiTheme="majorHAnsi" w:hAnsiTheme="majorHAnsi" w:cstheme="majorHAnsi"/>
          <w:sz w:val="24"/>
          <w:szCs w:val="24"/>
          <w:lang w:val="ro-MD"/>
          <w14:glow w14:rad="0">
            <w14:schemeClr w14:val="tx1"/>
          </w14:glow>
        </w:rPr>
        <w:t>. Aceeași situație se observă și după numărul de sub-</w:t>
      </w:r>
      <w:r w:rsidR="00ED446E" w:rsidRPr="00321F59">
        <w:rPr>
          <w:rFonts w:asciiTheme="majorHAnsi" w:hAnsiTheme="majorHAnsi" w:cstheme="majorHAnsi"/>
          <w:sz w:val="24"/>
          <w:szCs w:val="24"/>
          <w:lang w:val="ro-MD"/>
          <w14:glow w14:rad="0">
            <w14:schemeClr w14:val="tx1"/>
          </w14:glow>
        </w:rPr>
        <w:t>împrumuturi</w:t>
      </w:r>
      <w:r w:rsidR="001F601F" w:rsidRPr="00321F59">
        <w:rPr>
          <w:rFonts w:asciiTheme="majorHAnsi" w:hAnsiTheme="majorHAnsi" w:cstheme="majorHAnsi"/>
          <w:sz w:val="24"/>
          <w:szCs w:val="24"/>
          <w:lang w:val="ro-MD"/>
          <w14:glow w14:rad="0">
            <w14:schemeClr w14:val="tx1"/>
          </w14:glow>
        </w:rPr>
        <w:t xml:space="preserve"> </w:t>
      </w:r>
      <w:proofErr w:type="spellStart"/>
      <w:r w:rsidR="001F601F" w:rsidRPr="00321F59">
        <w:rPr>
          <w:rFonts w:asciiTheme="majorHAnsi" w:hAnsiTheme="majorHAnsi" w:cstheme="majorHAnsi"/>
          <w:sz w:val="24"/>
          <w:szCs w:val="24"/>
          <w:lang w:val="ro-MD"/>
          <w14:glow w14:rad="0">
            <w14:schemeClr w14:val="tx1"/>
          </w14:glow>
        </w:rPr>
        <w:t>recreditate</w:t>
      </w:r>
      <w:proofErr w:type="spellEnd"/>
      <w:r w:rsidR="001F601F" w:rsidRPr="00321F59">
        <w:rPr>
          <w:rFonts w:asciiTheme="majorHAnsi" w:hAnsiTheme="majorHAnsi" w:cstheme="majorHAnsi"/>
          <w:sz w:val="24"/>
          <w:szCs w:val="24"/>
          <w:lang w:val="ro-MD"/>
          <w14:glow w14:rad="0">
            <w14:schemeClr w14:val="tx1"/>
          </w14:glow>
        </w:rPr>
        <w:t xml:space="preserve">. </w:t>
      </w:r>
      <w:r w:rsidR="00ED446E" w:rsidRPr="00321F59">
        <w:rPr>
          <w:rFonts w:asciiTheme="majorHAnsi" w:hAnsiTheme="majorHAnsi" w:cstheme="majorHAnsi"/>
          <w:sz w:val="24"/>
          <w:szCs w:val="24"/>
          <w:lang w:val="ro-MD"/>
          <w14:glow w14:rad="0">
            <w14:schemeClr w14:val="tx1"/>
          </w14:glow>
        </w:rPr>
        <w:t xml:space="preserve">Circa 54% din numărul total de beneficiari de sub-împrumuturi au fost </w:t>
      </w:r>
      <w:proofErr w:type="spellStart"/>
      <w:r w:rsidR="00ED446E" w:rsidRPr="00321F59">
        <w:rPr>
          <w:rFonts w:asciiTheme="majorHAnsi" w:hAnsiTheme="majorHAnsi" w:cstheme="majorHAnsi"/>
          <w:sz w:val="24"/>
          <w:szCs w:val="24"/>
          <w:lang w:val="ro-MD"/>
          <w14:glow w14:rad="0">
            <w14:schemeClr w14:val="tx1"/>
          </w14:glow>
        </w:rPr>
        <w:t>recreditați</w:t>
      </w:r>
      <w:proofErr w:type="spellEnd"/>
      <w:r w:rsidR="00ED446E" w:rsidRPr="00321F59">
        <w:rPr>
          <w:rFonts w:asciiTheme="majorHAnsi" w:hAnsiTheme="majorHAnsi" w:cstheme="majorHAnsi"/>
          <w:sz w:val="24"/>
          <w:szCs w:val="24"/>
          <w:lang w:val="ro-MD"/>
          <w14:glow w14:rad="0">
            <w14:schemeClr w14:val="tx1"/>
          </w14:glow>
        </w:rPr>
        <w:t xml:space="preserve"> din mijloace circulante și 46% </w:t>
      </w:r>
      <w:r w:rsidR="00A33B69">
        <w:rPr>
          <w:rFonts w:asciiTheme="majorHAnsi" w:hAnsiTheme="majorHAnsi" w:cstheme="majorHAnsi"/>
          <w:sz w:val="24"/>
          <w:szCs w:val="24"/>
          <w:lang w:val="ro-MD"/>
          <w14:glow w14:rad="0">
            <w14:schemeClr w14:val="tx1"/>
          </w14:glow>
        </w:rPr>
        <w:t>–</w:t>
      </w:r>
      <w:r w:rsidR="00435A29" w:rsidRPr="00321F59">
        <w:rPr>
          <w:rFonts w:asciiTheme="majorHAnsi" w:hAnsiTheme="majorHAnsi" w:cstheme="majorHAnsi"/>
          <w:sz w:val="24"/>
          <w:szCs w:val="24"/>
          <w:lang w:val="ro-MD"/>
          <w14:glow w14:rad="0">
            <w14:schemeClr w14:val="tx1"/>
          </w14:glow>
        </w:rPr>
        <w:t xml:space="preserve"> </w:t>
      </w:r>
      <w:r w:rsidR="00ED446E" w:rsidRPr="00321F59">
        <w:rPr>
          <w:rFonts w:asciiTheme="majorHAnsi" w:hAnsiTheme="majorHAnsi" w:cstheme="majorHAnsi"/>
          <w:sz w:val="24"/>
          <w:szCs w:val="24"/>
          <w:lang w:val="ro-MD"/>
          <w14:glow w14:rad="0">
            <w14:schemeClr w14:val="tx1"/>
          </w14:glow>
        </w:rPr>
        <w:t xml:space="preserve">din mijloace directe. </w:t>
      </w:r>
      <w:r w:rsidR="001F601F" w:rsidRPr="00321F59">
        <w:rPr>
          <w:rFonts w:asciiTheme="majorHAnsi" w:hAnsiTheme="majorHAnsi" w:cstheme="majorHAnsi"/>
          <w:i/>
          <w:sz w:val="24"/>
          <w:szCs w:val="24"/>
          <w:lang w:val="ro-MD"/>
          <w14:glow w14:rad="0">
            <w14:schemeClr w14:val="tx1"/>
          </w14:glow>
        </w:rPr>
        <w:t xml:space="preserve">Informația detaliată pe fiecare </w:t>
      </w:r>
      <w:r w:rsidR="00ED446E" w:rsidRPr="00321F59">
        <w:rPr>
          <w:rFonts w:asciiTheme="majorHAnsi" w:hAnsiTheme="majorHAnsi" w:cstheme="majorHAnsi"/>
          <w:i/>
          <w:sz w:val="24"/>
          <w:szCs w:val="24"/>
          <w:lang w:val="ro-MD"/>
          <w14:glow w14:rad="0">
            <w14:schemeClr w14:val="tx1"/>
          </w14:glow>
        </w:rPr>
        <w:t>P</w:t>
      </w:r>
      <w:r w:rsidR="001F601F" w:rsidRPr="00321F59">
        <w:rPr>
          <w:rFonts w:asciiTheme="majorHAnsi" w:hAnsiTheme="majorHAnsi" w:cstheme="majorHAnsi"/>
          <w:i/>
          <w:sz w:val="24"/>
          <w:szCs w:val="24"/>
          <w:lang w:val="ro-MD"/>
          <w14:glow w14:rad="0">
            <w14:schemeClr w14:val="tx1"/>
          </w14:glow>
        </w:rPr>
        <w:t xml:space="preserve">roiect investițional se prezintă în </w:t>
      </w:r>
      <w:r w:rsidR="009B4049" w:rsidRPr="00321F59">
        <w:rPr>
          <w:rFonts w:asciiTheme="majorHAnsi" w:hAnsiTheme="majorHAnsi" w:cstheme="majorHAnsi"/>
          <w:i/>
          <w:sz w:val="24"/>
          <w:szCs w:val="24"/>
          <w:lang w:val="ro-MD"/>
          <w14:glow w14:rad="0">
            <w14:schemeClr w14:val="tx1"/>
          </w14:glow>
        </w:rPr>
        <w:t>An</w:t>
      </w:r>
      <w:r w:rsidR="004F396C" w:rsidRPr="00321F59">
        <w:rPr>
          <w:rFonts w:asciiTheme="majorHAnsi" w:hAnsiTheme="majorHAnsi" w:cstheme="majorHAnsi"/>
          <w:i/>
          <w:sz w:val="24"/>
          <w:szCs w:val="24"/>
          <w:lang w:val="ro-MD"/>
          <w14:glow w14:rad="0">
            <w14:schemeClr w14:val="tx1"/>
          </w14:glow>
        </w:rPr>
        <w:t>exa nr. 5</w:t>
      </w:r>
      <w:r w:rsidR="009B4049" w:rsidRPr="00321F59">
        <w:rPr>
          <w:rFonts w:asciiTheme="majorHAnsi" w:hAnsiTheme="majorHAnsi" w:cstheme="majorHAnsi"/>
          <w:i/>
          <w:sz w:val="24"/>
          <w:szCs w:val="24"/>
          <w:lang w:val="ro-MD"/>
          <w14:glow w14:rad="0">
            <w14:schemeClr w14:val="tx1"/>
          </w14:glow>
        </w:rPr>
        <w:t xml:space="preserve"> la prezentul Raport de audit.</w:t>
      </w:r>
    </w:p>
    <w:p w:rsidR="00254CA7" w:rsidRPr="0024512C" w:rsidRDefault="00237AC2" w:rsidP="001F601F">
      <w:pPr>
        <w:spacing w:line="276" w:lineRule="auto"/>
        <w:jc w:val="both"/>
        <w:rPr>
          <w:rFonts w:asciiTheme="majorHAnsi" w:hAnsiTheme="majorHAnsi" w:cstheme="majorHAnsi"/>
          <w:sz w:val="24"/>
          <w:szCs w:val="24"/>
          <w:lang w:val="ro-MD"/>
          <w14:glow w14:rad="0">
            <w14:schemeClr w14:val="tx1"/>
          </w14:glow>
        </w:rPr>
      </w:pPr>
      <w:r w:rsidRPr="0024512C">
        <w:rPr>
          <w:rFonts w:asciiTheme="majorHAnsi" w:hAnsiTheme="majorHAnsi" w:cstheme="majorHAnsi"/>
          <w:sz w:val="24"/>
          <w:szCs w:val="24"/>
          <w:lang w:val="ro-MD"/>
          <w14:glow w14:rad="0">
            <w14:schemeClr w14:val="tx1"/>
          </w14:glow>
        </w:rPr>
        <w:t>Recreditarea din mijloace</w:t>
      </w:r>
      <w:r w:rsidR="00435A29" w:rsidRPr="005C74F5">
        <w:rPr>
          <w:rFonts w:asciiTheme="majorHAnsi" w:hAnsiTheme="majorHAnsi" w:cstheme="majorHAnsi"/>
          <w:sz w:val="24"/>
          <w:szCs w:val="24"/>
          <w:lang w:val="ro-MD"/>
          <w14:glow w14:rad="0">
            <w14:schemeClr w14:val="tx1"/>
          </w14:glow>
        </w:rPr>
        <w:t>le</w:t>
      </w:r>
      <w:r w:rsidRPr="005C74F5">
        <w:rPr>
          <w:rFonts w:asciiTheme="majorHAnsi" w:hAnsiTheme="majorHAnsi" w:cstheme="majorHAnsi"/>
          <w:sz w:val="24"/>
          <w:szCs w:val="24"/>
          <w:lang w:val="ro-MD"/>
          <w14:glow w14:rad="0">
            <w14:schemeClr w14:val="tx1"/>
          </w14:glow>
        </w:rPr>
        <w:t xml:space="preserve"> circulante acumulate a permis DLC nu doar să satisfacă la timp toate solicită</w:t>
      </w:r>
      <w:r w:rsidRPr="0024512C">
        <w:rPr>
          <w:rFonts w:asciiTheme="majorHAnsi" w:hAnsiTheme="majorHAnsi" w:cstheme="majorHAnsi"/>
          <w:sz w:val="24"/>
          <w:szCs w:val="24"/>
          <w:lang w:val="ro-MD"/>
          <w14:glow w14:rad="0">
            <w14:schemeClr w14:val="tx1"/>
          </w14:glow>
        </w:rPr>
        <w:t xml:space="preserve">rile MF de plată a părții principale și a dobânzilor </w:t>
      </w:r>
      <w:r w:rsidR="00AF7A14" w:rsidRPr="0024512C">
        <w:rPr>
          <w:rFonts w:asciiTheme="majorHAnsi" w:hAnsiTheme="majorHAnsi" w:cstheme="majorHAnsi"/>
          <w:sz w:val="24"/>
          <w:szCs w:val="24"/>
          <w:lang w:val="ro-MD"/>
          <w14:glow w14:rad="0">
            <w14:schemeClr w14:val="tx1"/>
          </w14:glow>
        </w:rPr>
        <w:t>datorate creditorilor</w:t>
      </w:r>
      <w:r w:rsidRPr="0024512C">
        <w:rPr>
          <w:rFonts w:asciiTheme="majorHAnsi" w:hAnsiTheme="majorHAnsi" w:cstheme="majorHAnsi"/>
          <w:sz w:val="24"/>
          <w:szCs w:val="24"/>
          <w:lang w:val="ro-MD"/>
          <w14:glow w14:rad="0">
            <w14:schemeClr w14:val="tx1"/>
          </w14:glow>
        </w:rPr>
        <w:t xml:space="preserve"> externi în sumă totală ec</w:t>
      </w:r>
      <w:r w:rsidR="00986550" w:rsidRPr="0024512C">
        <w:rPr>
          <w:rFonts w:asciiTheme="majorHAnsi" w:hAnsiTheme="majorHAnsi" w:cstheme="majorHAnsi"/>
          <w:sz w:val="24"/>
          <w:szCs w:val="24"/>
          <w:lang w:val="ro-MD"/>
          <w14:glow w14:rad="0">
            <w14:schemeClr w14:val="tx1"/>
          </w14:glow>
        </w:rPr>
        <w:t>hivalentă cu circa 883,6 mil. lei</w:t>
      </w:r>
      <w:r w:rsidR="00AF7A14" w:rsidRPr="0024512C">
        <w:rPr>
          <w:rFonts w:asciiTheme="majorHAnsi" w:hAnsiTheme="majorHAnsi" w:cstheme="majorHAnsi"/>
          <w:sz w:val="24"/>
          <w:szCs w:val="24"/>
          <w:lang w:val="ro-MD"/>
          <w14:glow w14:rad="0">
            <w14:schemeClr w14:val="tx1"/>
          </w14:glow>
        </w:rPr>
        <w:t>, dar și să transfere MF mijloace fin</w:t>
      </w:r>
      <w:r w:rsidR="00986550" w:rsidRPr="0024512C">
        <w:rPr>
          <w:rFonts w:asciiTheme="majorHAnsi" w:hAnsiTheme="majorHAnsi" w:cstheme="majorHAnsi"/>
          <w:sz w:val="24"/>
          <w:szCs w:val="24"/>
          <w:lang w:val="ro-MD"/>
          <w14:glow w14:rad="0">
            <w14:schemeClr w14:val="tx1"/>
          </w14:glow>
        </w:rPr>
        <w:t>anciare în sumă de 273,2 mil. lei, inclusiv 130,6 mil. lei</w:t>
      </w:r>
      <w:r w:rsidR="00AF7A14" w:rsidRPr="0024512C">
        <w:rPr>
          <w:rFonts w:asciiTheme="majorHAnsi" w:hAnsiTheme="majorHAnsi" w:cstheme="majorHAnsi"/>
          <w:sz w:val="24"/>
          <w:szCs w:val="24"/>
          <w:lang w:val="ro-MD"/>
          <w14:glow w14:rad="0">
            <w14:schemeClr w14:val="tx1"/>
          </w14:glow>
        </w:rPr>
        <w:t xml:space="preserve"> pe</w:t>
      </w:r>
      <w:r w:rsidR="00E05D25" w:rsidRPr="0024512C">
        <w:rPr>
          <w:rFonts w:asciiTheme="majorHAnsi" w:hAnsiTheme="majorHAnsi" w:cstheme="majorHAnsi"/>
          <w:sz w:val="24"/>
          <w:szCs w:val="24"/>
          <w:lang w:val="ro-MD"/>
          <w14:glow w14:rad="0">
            <w14:schemeClr w14:val="tx1"/>
          </w14:glow>
        </w:rPr>
        <w:t>ntru formarea fondului de risc</w:t>
      </w:r>
      <w:r w:rsidR="00435A29" w:rsidRPr="0024512C">
        <w:rPr>
          <w:rFonts w:asciiTheme="majorHAnsi" w:hAnsiTheme="majorHAnsi" w:cstheme="majorHAnsi"/>
          <w:sz w:val="24"/>
          <w:szCs w:val="24"/>
          <w:lang w:val="ro-MD"/>
          <w14:glow w14:rad="0">
            <w14:schemeClr w14:val="tx1"/>
          </w14:glow>
        </w:rPr>
        <w:t>,</w:t>
      </w:r>
      <w:r w:rsidR="00E05D25" w:rsidRPr="0024512C">
        <w:rPr>
          <w:rFonts w:asciiTheme="majorHAnsi" w:hAnsiTheme="majorHAnsi" w:cstheme="majorHAnsi"/>
          <w:sz w:val="24"/>
          <w:szCs w:val="24"/>
          <w:lang w:val="ro-MD"/>
          <w14:glow w14:rad="0">
            <w14:schemeClr w14:val="tx1"/>
          </w14:glow>
        </w:rPr>
        <w:t xml:space="preserve"> </w:t>
      </w:r>
      <w:r w:rsidR="00AF7A14" w:rsidRPr="0024512C">
        <w:rPr>
          <w:rFonts w:asciiTheme="majorHAnsi" w:hAnsiTheme="majorHAnsi" w:cstheme="majorHAnsi"/>
          <w:sz w:val="24"/>
          <w:szCs w:val="24"/>
          <w:lang w:val="ro-MD"/>
          <w14:glow w14:rad="0">
            <w14:schemeClr w14:val="tx1"/>
          </w14:glow>
        </w:rPr>
        <w:t>care până în anul 2017 era g</w:t>
      </w:r>
      <w:r w:rsidR="00E05D25" w:rsidRPr="0024512C">
        <w:rPr>
          <w:rFonts w:asciiTheme="majorHAnsi" w:hAnsiTheme="majorHAnsi" w:cstheme="majorHAnsi"/>
          <w:sz w:val="24"/>
          <w:szCs w:val="24"/>
          <w:lang w:val="ro-MD"/>
          <w14:glow w14:rad="0">
            <w14:schemeClr w14:val="tx1"/>
          </w14:glow>
        </w:rPr>
        <w:t>estionat de MF</w:t>
      </w:r>
      <w:r w:rsidR="00254CA7" w:rsidRPr="0024512C">
        <w:rPr>
          <w:rFonts w:asciiTheme="majorHAnsi" w:hAnsiTheme="majorHAnsi" w:cstheme="majorHAnsi"/>
          <w:sz w:val="24"/>
          <w:szCs w:val="24"/>
          <w:lang w:val="ro-MD"/>
          <w14:glow w14:rad="0">
            <w14:schemeClr w14:val="tx1"/>
          </w14:glow>
        </w:rPr>
        <w:t xml:space="preserve">. </w:t>
      </w:r>
    </w:p>
    <w:p w:rsidR="001F601F" w:rsidRPr="0024512C" w:rsidRDefault="00254CA7" w:rsidP="001F601F">
      <w:pPr>
        <w:spacing w:line="276" w:lineRule="auto"/>
        <w:jc w:val="both"/>
        <w:rPr>
          <w:rFonts w:asciiTheme="majorHAnsi" w:hAnsiTheme="majorHAnsi" w:cstheme="majorHAnsi"/>
          <w:sz w:val="24"/>
          <w:szCs w:val="24"/>
          <w:lang w:val="ro-MD"/>
          <w14:glow w14:rad="0">
            <w14:schemeClr w14:val="tx1"/>
          </w14:glow>
        </w:rPr>
      </w:pPr>
      <w:r w:rsidRPr="0024512C">
        <w:rPr>
          <w:rFonts w:asciiTheme="majorHAnsi" w:hAnsiTheme="majorHAnsi" w:cstheme="majorHAnsi"/>
          <w:sz w:val="24"/>
          <w:szCs w:val="24"/>
          <w:lang w:val="ro-MD"/>
          <w14:glow w14:rad="0">
            <w14:schemeClr w14:val="tx1"/>
          </w14:glow>
        </w:rPr>
        <w:t xml:space="preserve">De asemenea, </w:t>
      </w:r>
      <w:r w:rsidR="009E4981" w:rsidRPr="0024512C">
        <w:rPr>
          <w:rFonts w:asciiTheme="majorHAnsi" w:hAnsiTheme="majorHAnsi" w:cstheme="majorHAnsi"/>
          <w:sz w:val="24"/>
          <w:szCs w:val="24"/>
          <w:lang w:val="ro-MD"/>
          <w14:glow w14:rad="0">
            <w14:schemeClr w14:val="tx1"/>
          </w14:glow>
        </w:rPr>
        <w:t xml:space="preserve">în cadrul procesului de recreditare, inclusiv </w:t>
      </w:r>
      <w:r w:rsidRPr="0024512C">
        <w:rPr>
          <w:rFonts w:asciiTheme="majorHAnsi" w:hAnsiTheme="majorHAnsi" w:cstheme="majorHAnsi"/>
          <w:sz w:val="24"/>
          <w:szCs w:val="24"/>
          <w:lang w:val="ro-MD"/>
          <w14:glow w14:rad="0">
            <w14:schemeClr w14:val="tx1"/>
          </w14:glow>
        </w:rPr>
        <w:t xml:space="preserve">datorită recreditării secundare: </w:t>
      </w:r>
      <w:r w:rsidRPr="0024512C">
        <w:rPr>
          <w:rFonts w:asciiTheme="majorHAnsi" w:hAnsiTheme="majorHAnsi" w:cstheme="majorHAnsi"/>
          <w:b/>
          <w:i/>
          <w:sz w:val="24"/>
          <w:szCs w:val="24"/>
          <w:lang w:val="ro-MD"/>
          <w14:glow w14:rad="0">
            <w14:schemeClr w14:val="tx1"/>
          </w14:glow>
        </w:rPr>
        <w:t>(i)</w:t>
      </w:r>
      <w:r w:rsidRPr="0024512C">
        <w:rPr>
          <w:rFonts w:asciiTheme="majorHAnsi" w:hAnsiTheme="majorHAnsi" w:cstheme="majorHAnsi"/>
          <w:sz w:val="24"/>
          <w:szCs w:val="24"/>
          <w:lang w:val="ro-MD"/>
          <w14:glow w14:rad="0">
            <w14:schemeClr w14:val="tx1"/>
          </w14:glow>
        </w:rPr>
        <w:t xml:space="preserve"> de către DLC au fost formate rezervele pentru acoperirea riscurilor legate de operațiunile de recreditare, inclusiv de schimb valutar, care la 31.12.2019 au constituit 39,86 mil.</w:t>
      </w:r>
      <w:r w:rsidR="00E05D25" w:rsidRPr="0024512C">
        <w:rPr>
          <w:rFonts w:asciiTheme="majorHAnsi" w:hAnsiTheme="majorHAnsi" w:cstheme="majorHAnsi"/>
          <w:sz w:val="24"/>
          <w:szCs w:val="24"/>
          <w:lang w:val="ro-MD"/>
          <w14:glow w14:rad="0">
            <w14:schemeClr w14:val="tx1"/>
          </w14:glow>
        </w:rPr>
        <w:t xml:space="preserve"> lei</w:t>
      </w:r>
      <w:r w:rsidRPr="0024512C">
        <w:rPr>
          <w:rFonts w:asciiTheme="majorHAnsi" w:hAnsiTheme="majorHAnsi" w:cstheme="majorHAnsi"/>
          <w:sz w:val="24"/>
          <w:szCs w:val="24"/>
          <w:lang w:val="ro-MD"/>
          <w14:glow w14:rad="0">
            <w14:schemeClr w14:val="tx1"/>
          </w14:glow>
        </w:rPr>
        <w:t xml:space="preserve">, </w:t>
      </w:r>
      <w:r w:rsidRPr="0024512C">
        <w:rPr>
          <w:rFonts w:asciiTheme="majorHAnsi" w:hAnsiTheme="majorHAnsi" w:cstheme="majorHAnsi"/>
          <w:b/>
          <w:i/>
          <w:sz w:val="24"/>
          <w:szCs w:val="24"/>
          <w:lang w:val="ro-MD"/>
          <w14:glow w14:rad="0">
            <w14:schemeClr w14:val="tx1"/>
          </w14:glow>
        </w:rPr>
        <w:t>(ii)</w:t>
      </w:r>
      <w:r w:rsidRPr="0024512C">
        <w:rPr>
          <w:rFonts w:asciiTheme="majorHAnsi" w:hAnsiTheme="majorHAnsi" w:cstheme="majorHAnsi"/>
          <w:sz w:val="24"/>
          <w:szCs w:val="24"/>
          <w:lang w:val="ro-MD"/>
          <w14:glow w14:rad="0">
            <w14:schemeClr w14:val="tx1"/>
          </w14:glow>
        </w:rPr>
        <w:t xml:space="preserve"> de către DLC a fost format fondul de autofinanțare în mărime de </w:t>
      </w:r>
      <w:r w:rsidR="009E4981" w:rsidRPr="0024512C">
        <w:rPr>
          <w:rFonts w:asciiTheme="majorHAnsi" w:hAnsiTheme="majorHAnsi" w:cstheme="majorHAnsi"/>
          <w:sz w:val="24"/>
          <w:szCs w:val="24"/>
          <w:lang w:val="ro-MD"/>
          <w14:glow w14:rad="0">
            <w14:schemeClr w14:val="tx1"/>
          </w14:glow>
        </w:rPr>
        <w:t>78,6</w:t>
      </w:r>
      <w:r w:rsidRPr="0024512C">
        <w:rPr>
          <w:rFonts w:asciiTheme="majorHAnsi" w:hAnsiTheme="majorHAnsi" w:cstheme="majorHAnsi"/>
          <w:sz w:val="24"/>
          <w:szCs w:val="24"/>
          <w:lang w:val="ro-MD"/>
          <w14:glow w14:rad="0">
            <w14:schemeClr w14:val="tx1"/>
          </w14:glow>
        </w:rPr>
        <w:t xml:space="preserve"> mil.</w:t>
      </w:r>
      <w:r w:rsidR="00E05D25" w:rsidRPr="0024512C">
        <w:rPr>
          <w:rFonts w:asciiTheme="majorHAnsi" w:hAnsiTheme="majorHAnsi" w:cstheme="majorHAnsi"/>
          <w:sz w:val="24"/>
          <w:szCs w:val="24"/>
          <w:lang w:val="ro-MD"/>
          <w14:glow w14:rad="0">
            <w14:schemeClr w14:val="tx1"/>
          </w14:glow>
        </w:rPr>
        <w:t xml:space="preserve"> lei</w:t>
      </w:r>
      <w:r w:rsidR="00A33B69">
        <w:rPr>
          <w:rFonts w:asciiTheme="majorHAnsi" w:hAnsiTheme="majorHAnsi" w:cstheme="majorHAnsi"/>
          <w:sz w:val="24"/>
          <w:szCs w:val="24"/>
          <w:lang w:val="ro-MD"/>
          <w14:glow w14:rad="0">
            <w14:schemeClr w14:val="tx1"/>
          </w14:glow>
        </w:rPr>
        <w:t>,</w:t>
      </w:r>
      <w:r w:rsidRPr="00A33B69">
        <w:rPr>
          <w:rFonts w:asciiTheme="majorHAnsi" w:hAnsiTheme="majorHAnsi" w:cstheme="majorHAnsi"/>
          <w:sz w:val="24"/>
          <w:szCs w:val="24"/>
          <w:lang w:val="ro-MD"/>
          <w14:glow w14:rad="0">
            <w14:schemeClr w14:val="tx1"/>
          </w14:glow>
        </w:rPr>
        <w:t xml:space="preserve"> la situația din 31.12.</w:t>
      </w:r>
      <w:r w:rsidR="00DF4935" w:rsidRPr="00A33B69">
        <w:rPr>
          <w:rFonts w:asciiTheme="majorHAnsi" w:hAnsiTheme="majorHAnsi" w:cstheme="majorHAnsi"/>
          <w:sz w:val="24"/>
          <w:szCs w:val="24"/>
          <w:lang w:val="ro-MD"/>
          <w14:glow w14:rad="0">
            <w14:schemeClr w14:val="tx1"/>
          </w14:glow>
        </w:rPr>
        <w:t xml:space="preserve">2019, </w:t>
      </w:r>
      <w:r w:rsidR="00DF4935" w:rsidRPr="0024512C">
        <w:rPr>
          <w:rFonts w:asciiTheme="majorHAnsi" w:hAnsiTheme="majorHAnsi" w:cstheme="majorHAnsi"/>
          <w:b/>
          <w:i/>
          <w:sz w:val="24"/>
          <w:szCs w:val="24"/>
          <w:lang w:val="ro-MD"/>
          <w14:glow w14:rad="0">
            <w14:schemeClr w14:val="tx1"/>
          </w14:glow>
        </w:rPr>
        <w:t>(iii)</w:t>
      </w:r>
      <w:r w:rsidR="00DF4935" w:rsidRPr="0024512C">
        <w:rPr>
          <w:rFonts w:asciiTheme="majorHAnsi" w:hAnsiTheme="majorHAnsi" w:cstheme="majorHAnsi"/>
          <w:sz w:val="24"/>
          <w:szCs w:val="24"/>
          <w:lang w:val="ro-MD"/>
          <w14:glow w14:rad="0">
            <w14:schemeClr w14:val="tx1"/>
          </w14:glow>
        </w:rPr>
        <w:t xml:space="preserve"> au fost formate fonduri libere pentru asimilare în componentele Liniilor de credit </w:t>
      </w:r>
      <w:proofErr w:type="spellStart"/>
      <w:r w:rsidR="00DF4935" w:rsidRPr="0024512C">
        <w:rPr>
          <w:rFonts w:asciiTheme="majorHAnsi" w:hAnsiTheme="majorHAnsi" w:cstheme="majorHAnsi"/>
          <w:sz w:val="24"/>
          <w:szCs w:val="24"/>
          <w:lang w:val="ro-MD"/>
          <w14:glow w14:rad="0">
            <w14:schemeClr w14:val="tx1"/>
          </w14:glow>
        </w:rPr>
        <w:t>recreditate</w:t>
      </w:r>
      <w:proofErr w:type="spellEnd"/>
      <w:r w:rsidR="00DF4935" w:rsidRPr="0024512C">
        <w:rPr>
          <w:rFonts w:asciiTheme="majorHAnsi" w:hAnsiTheme="majorHAnsi" w:cstheme="majorHAnsi"/>
          <w:sz w:val="24"/>
          <w:szCs w:val="24"/>
          <w:lang w:val="ro-MD"/>
          <w14:glow w14:rad="0">
            <w14:schemeClr w14:val="tx1"/>
          </w14:glow>
        </w:rPr>
        <w:t xml:space="preserve"> prin IFP în v</w:t>
      </w:r>
      <w:r w:rsidR="00E05D25" w:rsidRPr="0024512C">
        <w:rPr>
          <w:rFonts w:asciiTheme="majorHAnsi" w:hAnsiTheme="majorHAnsi" w:cstheme="majorHAnsi"/>
          <w:sz w:val="24"/>
          <w:szCs w:val="24"/>
          <w:lang w:val="ro-MD"/>
          <w14:glow w14:rad="0">
            <w14:schemeClr w14:val="tx1"/>
          </w14:glow>
        </w:rPr>
        <w:t>olum echivalent cu 966,4 mil. lei</w:t>
      </w:r>
      <w:r w:rsidR="00DF4935" w:rsidRPr="0024512C">
        <w:rPr>
          <w:rFonts w:asciiTheme="majorHAnsi" w:hAnsiTheme="majorHAnsi" w:cstheme="majorHAnsi"/>
          <w:sz w:val="24"/>
          <w:szCs w:val="24"/>
          <w:lang w:val="ro-MD"/>
          <w14:glow w14:rad="0">
            <w14:schemeClr w14:val="tx1"/>
          </w14:glow>
        </w:rPr>
        <w:t xml:space="preserve"> (fondurile libere din mijloacele dire</w:t>
      </w:r>
      <w:r w:rsidR="00E05D25" w:rsidRPr="0024512C">
        <w:rPr>
          <w:rFonts w:asciiTheme="majorHAnsi" w:hAnsiTheme="majorHAnsi" w:cstheme="majorHAnsi"/>
          <w:sz w:val="24"/>
          <w:szCs w:val="24"/>
          <w:lang w:val="ro-MD"/>
          <w14:glow w14:rad="0">
            <w14:schemeClr w14:val="tx1"/>
          </w14:glow>
        </w:rPr>
        <w:t>cte constituie 1 009,0 mil. lei</w:t>
      </w:r>
      <w:r w:rsidR="00DF4935" w:rsidRPr="0024512C">
        <w:rPr>
          <w:rFonts w:asciiTheme="majorHAnsi" w:hAnsiTheme="majorHAnsi" w:cstheme="majorHAnsi"/>
          <w:sz w:val="24"/>
          <w:szCs w:val="24"/>
          <w:lang w:val="ro-MD"/>
          <w14:glow w14:rad="0">
            <w14:schemeClr w14:val="tx1"/>
          </w14:glow>
        </w:rPr>
        <w:t>).</w:t>
      </w:r>
    </w:p>
    <w:p w:rsidR="001F601F" w:rsidRPr="0024512C" w:rsidRDefault="00DF4935" w:rsidP="00883250">
      <w:pPr>
        <w:spacing w:line="276" w:lineRule="auto"/>
        <w:jc w:val="both"/>
        <w:rPr>
          <w:rFonts w:asciiTheme="majorHAnsi" w:hAnsiTheme="majorHAnsi" w:cstheme="majorHAnsi"/>
          <w:i/>
          <w:sz w:val="24"/>
          <w:szCs w:val="24"/>
          <w:lang w:val="ro-MD"/>
          <w14:glow w14:rad="0">
            <w14:schemeClr w14:val="tx1"/>
          </w14:glow>
        </w:rPr>
      </w:pPr>
      <w:r w:rsidRPr="0024512C">
        <w:rPr>
          <w:rFonts w:asciiTheme="majorHAnsi" w:hAnsiTheme="majorHAnsi" w:cstheme="majorHAnsi"/>
          <w:sz w:val="24"/>
          <w:szCs w:val="24"/>
          <w:lang w:val="ro-MD"/>
          <w14:glow w14:rad="0">
            <w14:schemeClr w14:val="tx1"/>
          </w14:glow>
        </w:rPr>
        <w:t>Totodată</w:t>
      </w:r>
      <w:r w:rsidR="001F601F" w:rsidRPr="0024512C">
        <w:rPr>
          <w:rFonts w:asciiTheme="majorHAnsi" w:hAnsiTheme="majorHAnsi" w:cstheme="majorHAnsi"/>
          <w:sz w:val="24"/>
          <w:szCs w:val="24"/>
          <w:lang w:val="ro-MD"/>
          <w14:glow w14:rad="0">
            <w14:schemeClr w14:val="tx1"/>
          </w14:glow>
        </w:rPr>
        <w:t>, verificările auditului au stabilit că</w:t>
      </w:r>
      <w:r w:rsidR="00435A29" w:rsidRPr="0024512C">
        <w:rPr>
          <w:rFonts w:asciiTheme="majorHAnsi" w:hAnsiTheme="majorHAnsi" w:cstheme="majorHAnsi"/>
          <w:sz w:val="24"/>
          <w:szCs w:val="24"/>
          <w:lang w:val="ro-MD"/>
          <w14:glow w14:rad="0">
            <w14:schemeClr w14:val="tx1"/>
          </w14:glow>
        </w:rPr>
        <w:t>,</w:t>
      </w:r>
      <w:r w:rsidR="001F601F" w:rsidRPr="0024512C">
        <w:rPr>
          <w:rFonts w:asciiTheme="majorHAnsi" w:hAnsiTheme="majorHAnsi" w:cstheme="majorHAnsi"/>
          <w:sz w:val="24"/>
          <w:szCs w:val="24"/>
          <w:lang w:val="ro-MD"/>
          <w14:glow w14:rad="0">
            <w14:schemeClr w14:val="tx1"/>
          </w14:glow>
        </w:rPr>
        <w:t xml:space="preserve"> din contul mijl</w:t>
      </w:r>
      <w:r w:rsidR="006B6F26" w:rsidRPr="0024512C">
        <w:rPr>
          <w:rFonts w:asciiTheme="majorHAnsi" w:hAnsiTheme="majorHAnsi" w:cstheme="majorHAnsi"/>
          <w:sz w:val="24"/>
          <w:szCs w:val="24"/>
          <w:lang w:val="ro-MD"/>
          <w14:glow w14:rad="0">
            <w14:schemeClr w14:val="tx1"/>
          </w14:glow>
        </w:rPr>
        <w:t>oacelor circulante acumulate, a fost implementat</w:t>
      </w:r>
      <w:r w:rsidR="001F601F" w:rsidRPr="0024512C">
        <w:rPr>
          <w:rFonts w:asciiTheme="majorHAnsi" w:hAnsiTheme="majorHAnsi" w:cstheme="majorHAnsi"/>
          <w:sz w:val="24"/>
          <w:szCs w:val="24"/>
          <w:lang w:val="ro-MD"/>
          <w14:glow w14:rad="0">
            <w14:schemeClr w14:val="tx1"/>
          </w14:glow>
        </w:rPr>
        <w:t xml:space="preserve"> </w:t>
      </w:r>
      <w:r w:rsidR="006B6F26" w:rsidRPr="0024512C">
        <w:rPr>
          <w:rFonts w:asciiTheme="majorHAnsi" w:hAnsiTheme="majorHAnsi" w:cstheme="majorHAnsi"/>
          <w:sz w:val="24"/>
          <w:szCs w:val="24"/>
          <w:lang w:val="ro-MD"/>
          <w14:glow w14:rad="0">
            <w14:schemeClr w14:val="tx1"/>
          </w14:glow>
        </w:rPr>
        <w:t>un proiect investițional nou</w:t>
      </w:r>
      <w:r w:rsidR="00A33B69">
        <w:rPr>
          <w:rFonts w:asciiTheme="majorHAnsi" w:hAnsiTheme="majorHAnsi" w:cstheme="majorHAnsi"/>
          <w:sz w:val="24"/>
          <w:szCs w:val="24"/>
          <w:lang w:val="ro-MD"/>
          <w14:glow w14:rad="0">
            <w14:schemeClr w14:val="tx1"/>
          </w14:glow>
        </w:rPr>
        <w:t>,</w:t>
      </w:r>
      <w:r w:rsidR="006B6F26" w:rsidRPr="00A33B69">
        <w:rPr>
          <w:rFonts w:asciiTheme="majorHAnsi" w:hAnsiTheme="majorHAnsi" w:cstheme="majorHAnsi"/>
          <w:sz w:val="24"/>
          <w:szCs w:val="24"/>
          <w:lang w:val="ro-MD"/>
          <w14:glow w14:rad="0">
            <w14:schemeClr w14:val="tx1"/>
          </w14:glow>
        </w:rPr>
        <w:t xml:space="preserve"> menit</w:t>
      </w:r>
      <w:r w:rsidR="001F601F" w:rsidRPr="00A33B69">
        <w:rPr>
          <w:rFonts w:asciiTheme="majorHAnsi" w:hAnsiTheme="majorHAnsi" w:cstheme="majorHAnsi"/>
          <w:sz w:val="24"/>
          <w:szCs w:val="24"/>
          <w:lang w:val="ro-MD"/>
          <w14:glow w14:rad="0">
            <w14:schemeClr w14:val="tx1"/>
          </w14:glow>
        </w:rPr>
        <w:t xml:space="preserve"> să promoveze și să încurajeze tinerii antreprenori</w:t>
      </w:r>
      <w:r w:rsidR="00986550" w:rsidRPr="00A33B69">
        <w:rPr>
          <w:rFonts w:asciiTheme="majorHAnsi" w:hAnsiTheme="majorHAnsi" w:cstheme="majorHAnsi"/>
          <w:sz w:val="24"/>
          <w:szCs w:val="24"/>
          <w:lang w:val="ro-MD"/>
          <w14:glow w14:rad="0">
            <w14:schemeClr w14:val="tx1"/>
          </w14:glow>
        </w:rPr>
        <w:t xml:space="preserve"> </w:t>
      </w:r>
      <w:r w:rsidR="00A33B69">
        <w:rPr>
          <w:rFonts w:asciiTheme="majorHAnsi" w:hAnsiTheme="majorHAnsi" w:cstheme="majorHAnsi"/>
          <w:sz w:val="24"/>
          <w:szCs w:val="24"/>
          <w:lang w:val="ro-MD"/>
          <w14:glow w14:rad="0">
            <w14:schemeClr w14:val="tx1"/>
          </w14:glow>
        </w:rPr>
        <w:t>–</w:t>
      </w:r>
      <w:r w:rsidR="00A33B69" w:rsidRPr="00A33B69">
        <w:rPr>
          <w:rFonts w:asciiTheme="majorHAnsi" w:hAnsiTheme="majorHAnsi" w:cstheme="majorHAnsi"/>
          <w:sz w:val="24"/>
          <w:szCs w:val="24"/>
          <w:lang w:val="ro-MD"/>
          <w14:glow w14:rad="0">
            <w14:schemeClr w14:val="tx1"/>
          </w14:glow>
        </w:rPr>
        <w:t xml:space="preserve"> </w:t>
      </w:r>
      <w:r w:rsidR="00986550" w:rsidRPr="00A33B69">
        <w:rPr>
          <w:rFonts w:asciiTheme="majorHAnsi" w:hAnsiTheme="majorHAnsi" w:cstheme="majorHAnsi"/>
          <w:sz w:val="24"/>
          <w:szCs w:val="24"/>
          <w:lang w:val="ro-MD"/>
          <w14:glow w14:rad="0">
            <w14:schemeClr w14:val="tx1"/>
          </w14:glow>
        </w:rPr>
        <w:t>„</w:t>
      </w:r>
      <w:r w:rsidR="00D11510" w:rsidRPr="00A33B69">
        <w:rPr>
          <w:rFonts w:asciiTheme="majorHAnsi" w:hAnsiTheme="majorHAnsi" w:cstheme="majorHAnsi"/>
          <w:sz w:val="24"/>
          <w:szCs w:val="24"/>
          <w:lang w:val="ro-MD"/>
          <w14:glow w14:rad="0">
            <w14:schemeClr w14:val="tx1"/>
          </w14:glow>
        </w:rPr>
        <w:t>Programul național de abilitare economică a tinerilor</w:t>
      </w:r>
      <w:r w:rsidR="00986550" w:rsidRPr="00A33B69">
        <w:rPr>
          <w:rFonts w:asciiTheme="majorHAnsi" w:hAnsiTheme="majorHAnsi" w:cstheme="majorHAnsi"/>
          <w:sz w:val="24"/>
          <w:szCs w:val="24"/>
          <w:lang w:val="ro-MD"/>
          <w14:glow w14:rad="0">
            <w14:schemeClr w14:val="tx1"/>
          </w14:glow>
        </w:rPr>
        <w:t xml:space="preserve">”, </w:t>
      </w:r>
      <w:r w:rsidR="00986550" w:rsidRPr="00A33B69">
        <w:rPr>
          <w:rFonts w:asciiTheme="majorHAnsi" w:hAnsiTheme="majorHAnsi" w:cstheme="majorHAnsi"/>
          <w:i/>
          <w:sz w:val="24"/>
          <w:szCs w:val="24"/>
          <w:lang w:val="ro-MD"/>
          <w14:glow w14:rad="0">
            <w14:schemeClr w14:val="tx1"/>
          </w14:glow>
        </w:rPr>
        <w:t>care este</w:t>
      </w:r>
      <w:r w:rsidR="00D11510" w:rsidRPr="00A33B69">
        <w:rPr>
          <w:rFonts w:asciiTheme="majorHAnsi" w:hAnsiTheme="majorHAnsi" w:cstheme="majorHAnsi"/>
          <w:i/>
          <w:sz w:val="24"/>
          <w:szCs w:val="24"/>
          <w:lang w:val="ro-MD"/>
          <w14:glow w14:rad="0">
            <w14:schemeClr w14:val="tx1"/>
          </w14:glow>
        </w:rPr>
        <w:t xml:space="preserve"> descris </w:t>
      </w:r>
      <w:r w:rsidR="00435A29" w:rsidRPr="00A33B69">
        <w:rPr>
          <w:rFonts w:asciiTheme="majorHAnsi" w:hAnsiTheme="majorHAnsi" w:cstheme="majorHAnsi"/>
          <w:i/>
          <w:sz w:val="24"/>
          <w:szCs w:val="24"/>
          <w:lang w:val="ro-MD"/>
          <w14:glow w14:rad="0">
            <w14:schemeClr w14:val="tx1"/>
          </w14:glow>
        </w:rPr>
        <w:t xml:space="preserve">detaliat </w:t>
      </w:r>
      <w:r w:rsidR="00D11510" w:rsidRPr="00A33B69">
        <w:rPr>
          <w:rFonts w:asciiTheme="majorHAnsi" w:hAnsiTheme="majorHAnsi" w:cstheme="majorHAnsi"/>
          <w:i/>
          <w:sz w:val="24"/>
          <w:szCs w:val="24"/>
          <w:lang w:val="ro-MD"/>
          <w14:glow w14:rad="0">
            <w14:schemeClr w14:val="tx1"/>
          </w14:glow>
        </w:rPr>
        <w:t>în cap.</w:t>
      </w:r>
      <w:r w:rsidR="003A39CA" w:rsidRPr="00A33B69">
        <w:rPr>
          <w:rFonts w:asciiTheme="majorHAnsi" w:hAnsiTheme="majorHAnsi" w:cstheme="majorHAnsi"/>
          <w:i/>
          <w:sz w:val="24"/>
          <w:szCs w:val="24"/>
          <w:lang w:val="ro-MD"/>
          <w14:glow w14:rad="0">
            <w14:schemeClr w14:val="tx1"/>
          </w14:glow>
        </w:rPr>
        <w:t xml:space="preserve"> </w:t>
      </w:r>
      <w:r w:rsidR="00D11510" w:rsidRPr="002437F6">
        <w:rPr>
          <w:rFonts w:asciiTheme="majorHAnsi" w:hAnsiTheme="majorHAnsi" w:cstheme="majorHAnsi"/>
          <w:i/>
          <w:sz w:val="24"/>
          <w:szCs w:val="24"/>
          <w:lang w:val="ro-MD"/>
          <w14:glow w14:rad="0">
            <w14:schemeClr w14:val="tx1"/>
          </w14:glow>
        </w:rPr>
        <w:t>4.2.</w:t>
      </w:r>
      <w:r w:rsidR="003A39CA" w:rsidRPr="002437F6">
        <w:rPr>
          <w:rFonts w:asciiTheme="majorHAnsi" w:hAnsiTheme="majorHAnsi" w:cstheme="majorHAnsi"/>
          <w:i/>
          <w:sz w:val="24"/>
          <w:szCs w:val="24"/>
          <w:lang w:val="ro-MD"/>
          <w14:glow w14:rad="0">
            <w14:schemeClr w14:val="tx1"/>
          </w14:glow>
        </w:rPr>
        <w:t>7</w:t>
      </w:r>
      <w:r w:rsidR="00986550" w:rsidRPr="002437F6">
        <w:rPr>
          <w:rFonts w:asciiTheme="majorHAnsi" w:hAnsiTheme="majorHAnsi" w:cstheme="majorHAnsi"/>
          <w:i/>
          <w:sz w:val="24"/>
          <w:szCs w:val="24"/>
          <w:lang w:val="ro-MD"/>
          <w14:glow w14:rad="0">
            <w14:schemeClr w14:val="tx1"/>
          </w14:glow>
        </w:rPr>
        <w:t xml:space="preserve"> a</w:t>
      </w:r>
      <w:r w:rsidR="00435A29" w:rsidRPr="002437F6">
        <w:rPr>
          <w:rFonts w:asciiTheme="majorHAnsi" w:hAnsiTheme="majorHAnsi" w:cstheme="majorHAnsi"/>
          <w:i/>
          <w:sz w:val="24"/>
          <w:szCs w:val="24"/>
          <w:lang w:val="ro-MD"/>
          <w14:glow w14:rad="0">
            <w14:schemeClr w14:val="tx1"/>
          </w14:glow>
        </w:rPr>
        <w:t>l</w:t>
      </w:r>
      <w:r w:rsidR="00986550" w:rsidRPr="002437F6">
        <w:rPr>
          <w:rFonts w:asciiTheme="majorHAnsi" w:hAnsiTheme="majorHAnsi" w:cstheme="majorHAnsi"/>
          <w:i/>
          <w:sz w:val="24"/>
          <w:szCs w:val="24"/>
          <w:lang w:val="ro-MD"/>
          <w14:glow w14:rad="0">
            <w14:schemeClr w14:val="tx1"/>
          </w14:glow>
        </w:rPr>
        <w:t xml:space="preserve"> prezentului Raport de audit</w:t>
      </w:r>
      <w:r w:rsidR="001F601F" w:rsidRPr="0024512C">
        <w:rPr>
          <w:rFonts w:asciiTheme="majorHAnsi" w:hAnsiTheme="majorHAnsi" w:cstheme="majorHAnsi"/>
          <w:i/>
          <w:sz w:val="24"/>
          <w:szCs w:val="24"/>
          <w:lang w:val="ro-MD"/>
          <w14:glow w14:rad="0">
            <w14:schemeClr w14:val="tx1"/>
          </w14:glow>
        </w:rPr>
        <w:t xml:space="preserve">. </w:t>
      </w:r>
    </w:p>
    <w:p w:rsidR="00C15C23" w:rsidRPr="0024512C" w:rsidRDefault="00E05D25" w:rsidP="00805CC0">
      <w:pPr>
        <w:pStyle w:val="ListParagraph"/>
        <w:numPr>
          <w:ilvl w:val="2"/>
          <w:numId w:val="2"/>
        </w:numPr>
        <w:spacing w:line="276" w:lineRule="auto"/>
        <w:ind w:left="0" w:firstLine="0"/>
        <w:jc w:val="both"/>
        <w:outlineLvl w:val="2"/>
        <w:rPr>
          <w:rFonts w:asciiTheme="majorHAnsi" w:hAnsiTheme="majorHAnsi" w:cstheme="majorHAnsi"/>
          <w:b/>
          <w:i/>
          <w:color w:val="5B9BD5" w:themeColor="accent1"/>
          <w:sz w:val="24"/>
          <w:szCs w:val="24"/>
          <w:lang w:val="ro-MD" w:eastAsia="ru-RU"/>
        </w:rPr>
      </w:pPr>
      <w:bookmarkStart w:id="15" w:name="_Toc47009715"/>
      <w:r w:rsidRPr="0024512C">
        <w:rPr>
          <w:rFonts w:asciiTheme="majorHAnsi" w:hAnsiTheme="majorHAnsi" w:cstheme="majorHAnsi"/>
          <w:b/>
          <w:i/>
          <w:color w:val="5B9BD5" w:themeColor="accent1"/>
          <w:sz w:val="24"/>
          <w:szCs w:val="24"/>
          <w:lang w:val="ro-MD" w:eastAsia="ru-RU"/>
        </w:rPr>
        <w:lastRenderedPageBreak/>
        <w:t>DLC a asigurat colectarea și remiterea în termen și în volum deplin a</w:t>
      </w:r>
      <w:r w:rsidR="00C15C23" w:rsidRPr="0024512C">
        <w:rPr>
          <w:rFonts w:asciiTheme="majorHAnsi" w:hAnsiTheme="majorHAnsi" w:cstheme="majorHAnsi"/>
          <w:b/>
          <w:i/>
          <w:color w:val="5B9BD5" w:themeColor="accent1"/>
          <w:sz w:val="24"/>
          <w:szCs w:val="24"/>
          <w:lang w:val="ro-MD" w:eastAsia="ru-RU"/>
        </w:rPr>
        <w:t xml:space="preserve"> sumelor datorate către MF pentru </w:t>
      </w:r>
      <w:r w:rsidRPr="0024512C">
        <w:rPr>
          <w:rFonts w:asciiTheme="majorHAnsi" w:hAnsiTheme="majorHAnsi" w:cstheme="majorHAnsi"/>
          <w:b/>
          <w:i/>
          <w:color w:val="5B9BD5" w:themeColor="accent1"/>
          <w:sz w:val="24"/>
          <w:szCs w:val="24"/>
          <w:lang w:val="ro-MD" w:eastAsia="ru-RU"/>
        </w:rPr>
        <w:t>rambursarea</w:t>
      </w:r>
      <w:r w:rsidR="00C15C23" w:rsidRPr="0024512C">
        <w:rPr>
          <w:rFonts w:asciiTheme="majorHAnsi" w:hAnsiTheme="majorHAnsi" w:cstheme="majorHAnsi"/>
          <w:b/>
          <w:i/>
          <w:color w:val="5B9BD5" w:themeColor="accent1"/>
          <w:sz w:val="24"/>
          <w:szCs w:val="24"/>
          <w:lang w:val="ro-MD" w:eastAsia="ru-RU"/>
        </w:rPr>
        <w:t xml:space="preserve"> sumelor principale și a dobânzilor datorate creditorilor e</w:t>
      </w:r>
      <w:r w:rsidR="005E1DFB" w:rsidRPr="0024512C">
        <w:rPr>
          <w:rFonts w:asciiTheme="majorHAnsi" w:hAnsiTheme="majorHAnsi" w:cstheme="majorHAnsi"/>
          <w:b/>
          <w:i/>
          <w:color w:val="5B9BD5" w:themeColor="accent1"/>
          <w:sz w:val="24"/>
          <w:szCs w:val="24"/>
          <w:lang w:val="ro-MD" w:eastAsia="ru-RU"/>
        </w:rPr>
        <w:t>x</w:t>
      </w:r>
      <w:r w:rsidR="00C15C23" w:rsidRPr="0024512C">
        <w:rPr>
          <w:rFonts w:asciiTheme="majorHAnsi" w:hAnsiTheme="majorHAnsi" w:cstheme="majorHAnsi"/>
          <w:b/>
          <w:i/>
          <w:color w:val="5B9BD5" w:themeColor="accent1"/>
          <w:sz w:val="24"/>
          <w:szCs w:val="24"/>
          <w:lang w:val="ro-MD" w:eastAsia="ru-RU"/>
        </w:rPr>
        <w:t>terni</w:t>
      </w:r>
      <w:bookmarkEnd w:id="15"/>
    </w:p>
    <w:p w:rsidR="00A95B24" w:rsidRPr="0024512C" w:rsidRDefault="00A95B24" w:rsidP="00A95B24">
      <w:pPr>
        <w:spacing w:line="276" w:lineRule="auto"/>
        <w:jc w:val="both"/>
        <w:rPr>
          <w:rFonts w:asciiTheme="majorHAnsi" w:eastAsia="Times New Roman" w:hAnsiTheme="majorHAnsi" w:cstheme="majorHAnsi"/>
          <w:bCs/>
          <w:color w:val="000000"/>
          <w:sz w:val="24"/>
          <w:szCs w:val="24"/>
          <w:lang w:val="ro-MD" w:eastAsia="ru-RU"/>
        </w:rPr>
      </w:pPr>
      <w:r w:rsidRPr="0024512C">
        <w:rPr>
          <w:rFonts w:asciiTheme="majorHAnsi" w:eastAsia="Times New Roman" w:hAnsiTheme="majorHAnsi" w:cstheme="majorHAnsi"/>
          <w:bCs/>
          <w:color w:val="000000"/>
          <w:sz w:val="24"/>
          <w:szCs w:val="24"/>
          <w:lang w:val="ro-MD" w:eastAsia="ru-RU"/>
        </w:rPr>
        <w:t xml:space="preserve">Una dintre sarcinile principale ale DLC este colectarea plăților de achitare a sub-împrumuturilor </w:t>
      </w:r>
      <w:r w:rsidR="008854DD" w:rsidRPr="0024512C">
        <w:rPr>
          <w:rFonts w:asciiTheme="majorHAnsi" w:eastAsia="Times New Roman" w:hAnsiTheme="majorHAnsi" w:cstheme="majorHAnsi"/>
          <w:bCs/>
          <w:color w:val="000000"/>
          <w:sz w:val="24"/>
          <w:szCs w:val="24"/>
          <w:lang w:val="ro-MD" w:eastAsia="ru-RU"/>
        </w:rPr>
        <w:t>pentru a fi rambursate MF</w:t>
      </w:r>
      <w:r w:rsidRPr="0024512C">
        <w:rPr>
          <w:rFonts w:asciiTheme="majorHAnsi" w:eastAsia="Times New Roman" w:hAnsiTheme="majorHAnsi" w:cstheme="majorHAnsi"/>
          <w:bCs/>
          <w:color w:val="000000"/>
          <w:sz w:val="24"/>
          <w:szCs w:val="24"/>
          <w:lang w:val="ro-MD" w:eastAsia="ru-RU"/>
        </w:rPr>
        <w:t xml:space="preserve">. Rambursările în termen și </w:t>
      </w:r>
      <w:r w:rsidR="00435A29" w:rsidRPr="0024512C">
        <w:rPr>
          <w:rFonts w:asciiTheme="majorHAnsi" w:eastAsia="Times New Roman" w:hAnsiTheme="majorHAnsi" w:cstheme="majorHAnsi"/>
          <w:bCs/>
          <w:color w:val="000000"/>
          <w:sz w:val="24"/>
          <w:szCs w:val="24"/>
          <w:lang w:val="ro-MD" w:eastAsia="ru-RU"/>
        </w:rPr>
        <w:t xml:space="preserve">în </w:t>
      </w:r>
      <w:r w:rsidRPr="0024512C">
        <w:rPr>
          <w:rFonts w:asciiTheme="majorHAnsi" w:eastAsia="Times New Roman" w:hAnsiTheme="majorHAnsi" w:cstheme="majorHAnsi"/>
          <w:bCs/>
          <w:color w:val="000000"/>
          <w:sz w:val="24"/>
          <w:szCs w:val="24"/>
          <w:lang w:val="ro-MD" w:eastAsia="ru-RU"/>
        </w:rPr>
        <w:t xml:space="preserve">volum deplin permit acumularea fondurilor necesare </w:t>
      </w:r>
      <w:r w:rsidR="00B876E1" w:rsidRPr="0024512C">
        <w:rPr>
          <w:rFonts w:asciiTheme="majorHAnsi" w:eastAsia="Times New Roman" w:hAnsiTheme="majorHAnsi" w:cstheme="majorHAnsi"/>
          <w:bCs/>
          <w:color w:val="000000"/>
          <w:sz w:val="24"/>
          <w:szCs w:val="24"/>
          <w:lang w:val="ro-MD" w:eastAsia="ru-RU"/>
        </w:rPr>
        <w:t xml:space="preserve">pentru a fi rambursate de către MF creditorilor externi. </w:t>
      </w:r>
    </w:p>
    <w:p w:rsidR="00B876E1" w:rsidRPr="00A33B69" w:rsidRDefault="00B876E1" w:rsidP="00A95B24">
      <w:pPr>
        <w:spacing w:line="276" w:lineRule="auto"/>
        <w:jc w:val="both"/>
        <w:rPr>
          <w:rFonts w:asciiTheme="majorHAnsi" w:eastAsia="Times New Roman" w:hAnsiTheme="majorHAnsi" w:cstheme="majorHAnsi"/>
          <w:bCs/>
          <w:color w:val="000000"/>
          <w:sz w:val="24"/>
          <w:szCs w:val="24"/>
          <w:lang w:val="ro-MD" w:eastAsia="ru-RU"/>
        </w:rPr>
      </w:pPr>
      <w:r w:rsidRPr="0024512C">
        <w:rPr>
          <w:rFonts w:asciiTheme="majorHAnsi" w:eastAsia="Times New Roman" w:hAnsiTheme="majorHAnsi" w:cstheme="majorHAnsi"/>
          <w:bCs/>
          <w:color w:val="000000"/>
          <w:sz w:val="24"/>
          <w:szCs w:val="24"/>
          <w:lang w:val="ro-MD" w:eastAsia="ru-RU"/>
        </w:rPr>
        <w:t xml:space="preserve">Astfel, MF primește </w:t>
      </w:r>
      <w:proofErr w:type="spellStart"/>
      <w:r w:rsidRPr="0024512C">
        <w:rPr>
          <w:rFonts w:asciiTheme="majorHAnsi" w:eastAsia="Times New Roman" w:hAnsiTheme="majorHAnsi" w:cstheme="majorHAnsi"/>
          <w:bCs/>
          <w:color w:val="000000"/>
          <w:sz w:val="24"/>
          <w:szCs w:val="24"/>
          <w:lang w:val="ro-MD" w:eastAsia="ru-RU"/>
        </w:rPr>
        <w:t>invoiuce-ul</w:t>
      </w:r>
      <w:proofErr w:type="spellEnd"/>
      <w:r w:rsidR="00814193" w:rsidRPr="0024512C">
        <w:rPr>
          <w:rFonts w:asciiTheme="majorHAnsi" w:eastAsia="Times New Roman" w:hAnsiTheme="majorHAnsi" w:cstheme="majorHAnsi"/>
          <w:bCs/>
          <w:color w:val="000000"/>
          <w:sz w:val="24"/>
          <w:szCs w:val="24"/>
          <w:lang w:val="ro-MD" w:eastAsia="ru-RU"/>
        </w:rPr>
        <w:t xml:space="preserve"> din partea creditorului extern</w:t>
      </w:r>
      <w:r w:rsidRPr="0024512C">
        <w:rPr>
          <w:rFonts w:asciiTheme="majorHAnsi" w:eastAsia="Times New Roman" w:hAnsiTheme="majorHAnsi" w:cstheme="majorHAnsi"/>
          <w:bCs/>
          <w:color w:val="000000"/>
          <w:sz w:val="24"/>
          <w:szCs w:val="24"/>
          <w:lang w:val="ro-MD" w:eastAsia="ru-RU"/>
        </w:rPr>
        <w:t xml:space="preserve"> privind necesitatea achitării unei plăți la scadență</w:t>
      </w:r>
      <w:r w:rsidR="00A33B69">
        <w:rPr>
          <w:rFonts w:asciiTheme="majorHAnsi" w:eastAsia="Times New Roman" w:hAnsiTheme="majorHAnsi" w:cstheme="majorHAnsi"/>
          <w:bCs/>
          <w:color w:val="000000"/>
          <w:sz w:val="24"/>
          <w:szCs w:val="24"/>
          <w:lang w:val="ro-MD" w:eastAsia="ru-RU"/>
        </w:rPr>
        <w:t>,</w:t>
      </w:r>
      <w:r w:rsidRPr="00A33B69">
        <w:rPr>
          <w:rFonts w:asciiTheme="majorHAnsi" w:eastAsia="Times New Roman" w:hAnsiTheme="majorHAnsi" w:cstheme="majorHAnsi"/>
          <w:bCs/>
          <w:color w:val="000000"/>
          <w:sz w:val="24"/>
          <w:szCs w:val="24"/>
          <w:lang w:val="ro-MD" w:eastAsia="ru-RU"/>
        </w:rPr>
        <w:t xml:space="preserve"> în baza căruia se întocmește solicitarea de plată </w:t>
      </w:r>
      <w:r w:rsidR="00814193" w:rsidRPr="00A33B69">
        <w:rPr>
          <w:rFonts w:asciiTheme="majorHAnsi" w:eastAsia="Times New Roman" w:hAnsiTheme="majorHAnsi" w:cstheme="majorHAnsi"/>
          <w:bCs/>
          <w:color w:val="000000"/>
          <w:sz w:val="24"/>
          <w:szCs w:val="24"/>
          <w:lang w:val="ro-MD" w:eastAsia="ru-RU"/>
        </w:rPr>
        <w:t>transmisă</w:t>
      </w:r>
      <w:r w:rsidRPr="00A33B69">
        <w:rPr>
          <w:rFonts w:asciiTheme="majorHAnsi" w:eastAsia="Times New Roman" w:hAnsiTheme="majorHAnsi" w:cstheme="majorHAnsi"/>
          <w:bCs/>
          <w:color w:val="000000"/>
          <w:sz w:val="24"/>
          <w:szCs w:val="24"/>
          <w:lang w:val="ro-MD" w:eastAsia="ru-RU"/>
        </w:rPr>
        <w:t xml:space="preserve"> DLC pentru a transfera către MF mijloacele necesare. </w:t>
      </w:r>
    </w:p>
    <w:p w:rsidR="00B876E1" w:rsidRPr="0024512C" w:rsidRDefault="00B876E1" w:rsidP="00A95B24">
      <w:pPr>
        <w:spacing w:line="276" w:lineRule="auto"/>
        <w:jc w:val="both"/>
        <w:rPr>
          <w:rFonts w:asciiTheme="majorHAnsi" w:eastAsia="Times New Roman" w:hAnsiTheme="majorHAnsi" w:cstheme="majorHAnsi"/>
          <w:bCs/>
          <w:color w:val="000000"/>
          <w:sz w:val="24"/>
          <w:szCs w:val="24"/>
          <w:lang w:val="ro-MD" w:eastAsia="ru-RU"/>
        </w:rPr>
      </w:pPr>
      <w:r w:rsidRPr="0024512C">
        <w:rPr>
          <w:rFonts w:asciiTheme="majorHAnsi" w:eastAsia="Times New Roman" w:hAnsiTheme="majorHAnsi" w:cstheme="majorHAnsi"/>
          <w:bCs/>
          <w:color w:val="000000"/>
          <w:sz w:val="24"/>
          <w:szCs w:val="24"/>
          <w:lang w:val="ro-MD" w:eastAsia="ru-RU"/>
        </w:rPr>
        <w:t>În baza solicitărilor de plată primite de la MF, pe parcursul anului 2019, pentru onorarea plăților față de cre</w:t>
      </w:r>
      <w:r w:rsidR="00712335" w:rsidRPr="0024512C">
        <w:rPr>
          <w:rFonts w:asciiTheme="majorHAnsi" w:eastAsia="Times New Roman" w:hAnsiTheme="majorHAnsi" w:cstheme="majorHAnsi"/>
          <w:bCs/>
          <w:color w:val="000000"/>
          <w:sz w:val="24"/>
          <w:szCs w:val="24"/>
          <w:lang w:val="ro-MD" w:eastAsia="ru-RU"/>
        </w:rPr>
        <w:t>ditorii externi, DLC a transferat către MF mijloace în sumă totală de 0,2 mil.</w:t>
      </w:r>
      <w:r w:rsidR="00E05D25" w:rsidRPr="0024512C">
        <w:rPr>
          <w:rFonts w:asciiTheme="majorHAnsi" w:eastAsia="Times New Roman" w:hAnsiTheme="majorHAnsi" w:cstheme="majorHAnsi"/>
          <w:bCs/>
          <w:color w:val="000000"/>
          <w:sz w:val="24"/>
          <w:szCs w:val="24"/>
          <w:lang w:val="ro-MD" w:eastAsia="ru-RU"/>
        </w:rPr>
        <w:t xml:space="preserve"> lei</w:t>
      </w:r>
      <w:r w:rsidR="00712335" w:rsidRPr="0024512C">
        <w:rPr>
          <w:rFonts w:asciiTheme="majorHAnsi" w:eastAsia="Times New Roman" w:hAnsiTheme="majorHAnsi" w:cstheme="majorHAnsi"/>
          <w:bCs/>
          <w:color w:val="000000"/>
          <w:sz w:val="24"/>
          <w:szCs w:val="24"/>
          <w:lang w:val="ro-MD" w:eastAsia="ru-RU"/>
        </w:rPr>
        <w:t>, 3,64 mil</w:t>
      </w:r>
      <w:r w:rsidR="00E05D25" w:rsidRPr="0024512C">
        <w:rPr>
          <w:rFonts w:asciiTheme="majorHAnsi" w:eastAsia="Times New Roman" w:hAnsiTheme="majorHAnsi" w:cstheme="majorHAnsi"/>
          <w:bCs/>
          <w:color w:val="000000"/>
          <w:sz w:val="24"/>
          <w:szCs w:val="24"/>
          <w:lang w:val="ro-MD" w:eastAsia="ru-RU"/>
        </w:rPr>
        <w:t xml:space="preserve">. </w:t>
      </w:r>
      <w:r w:rsidR="00712335" w:rsidRPr="0024512C">
        <w:rPr>
          <w:rFonts w:asciiTheme="majorHAnsi" w:eastAsia="Times New Roman" w:hAnsiTheme="majorHAnsi" w:cstheme="majorHAnsi"/>
          <w:bCs/>
          <w:color w:val="000000"/>
          <w:sz w:val="24"/>
          <w:szCs w:val="24"/>
          <w:lang w:val="ro-MD" w:eastAsia="ru-RU"/>
        </w:rPr>
        <w:t>dol.</w:t>
      </w:r>
      <w:r w:rsidR="00435A29" w:rsidRPr="0024512C">
        <w:rPr>
          <w:rFonts w:asciiTheme="majorHAnsi" w:eastAsia="Times New Roman" w:hAnsiTheme="majorHAnsi" w:cstheme="majorHAnsi"/>
          <w:bCs/>
          <w:color w:val="000000"/>
          <w:sz w:val="24"/>
          <w:szCs w:val="24"/>
          <w:lang w:val="ro-MD" w:eastAsia="ru-RU"/>
        </w:rPr>
        <w:t xml:space="preserve"> </w:t>
      </w:r>
      <w:r w:rsidR="00712335" w:rsidRPr="0024512C">
        <w:rPr>
          <w:rFonts w:asciiTheme="majorHAnsi" w:eastAsia="Times New Roman" w:hAnsiTheme="majorHAnsi" w:cstheme="majorHAnsi"/>
          <w:bCs/>
          <w:color w:val="000000"/>
          <w:sz w:val="24"/>
          <w:szCs w:val="24"/>
          <w:lang w:val="ro-MD" w:eastAsia="ru-RU"/>
        </w:rPr>
        <w:t>SUA și 4,13 mil.</w:t>
      </w:r>
      <w:r w:rsidR="00E05D25" w:rsidRPr="0024512C">
        <w:rPr>
          <w:rFonts w:asciiTheme="majorHAnsi" w:eastAsia="Times New Roman" w:hAnsiTheme="majorHAnsi" w:cstheme="majorHAnsi"/>
          <w:bCs/>
          <w:color w:val="000000"/>
          <w:sz w:val="24"/>
          <w:szCs w:val="24"/>
          <w:lang w:val="ro-MD" w:eastAsia="ru-RU"/>
        </w:rPr>
        <w:t xml:space="preserve"> euro (</w:t>
      </w:r>
      <w:r w:rsidR="00435A29" w:rsidRPr="0024512C">
        <w:rPr>
          <w:rFonts w:asciiTheme="majorHAnsi" w:eastAsia="Times New Roman" w:hAnsiTheme="majorHAnsi" w:cstheme="majorHAnsi"/>
          <w:bCs/>
          <w:color w:val="000000"/>
          <w:sz w:val="24"/>
          <w:szCs w:val="24"/>
          <w:lang w:val="ro-MD" w:eastAsia="ru-RU"/>
        </w:rPr>
        <w:t>total echivalent a</w:t>
      </w:r>
      <w:r w:rsidR="00712335" w:rsidRPr="0024512C">
        <w:rPr>
          <w:rFonts w:asciiTheme="majorHAnsi" w:eastAsia="Times New Roman" w:hAnsiTheme="majorHAnsi" w:cstheme="majorHAnsi"/>
          <w:bCs/>
          <w:color w:val="000000"/>
          <w:sz w:val="24"/>
          <w:szCs w:val="24"/>
          <w:lang w:val="ro-MD" w:eastAsia="ru-RU"/>
        </w:rPr>
        <w:t xml:space="preserve"> 142,4 mil.</w:t>
      </w:r>
      <w:r w:rsidR="00E05D25" w:rsidRPr="0024512C">
        <w:rPr>
          <w:rFonts w:asciiTheme="majorHAnsi" w:eastAsia="Times New Roman" w:hAnsiTheme="majorHAnsi" w:cstheme="majorHAnsi"/>
          <w:bCs/>
          <w:color w:val="000000"/>
          <w:sz w:val="24"/>
          <w:szCs w:val="24"/>
          <w:lang w:val="ro-MD" w:eastAsia="ru-RU"/>
        </w:rPr>
        <w:t xml:space="preserve"> lei)</w:t>
      </w:r>
      <w:r w:rsidR="00712335" w:rsidRPr="0024512C">
        <w:rPr>
          <w:rFonts w:asciiTheme="majorHAnsi" w:eastAsia="Times New Roman" w:hAnsiTheme="majorHAnsi" w:cstheme="majorHAnsi"/>
          <w:bCs/>
          <w:color w:val="000000"/>
          <w:sz w:val="24"/>
          <w:szCs w:val="24"/>
          <w:lang w:val="ro-MD" w:eastAsia="ru-RU"/>
        </w:rPr>
        <w:t>. De la începutul activității, de către DLC au fost transferate către MF plăți pentru rambursarea sumelor principale, a dobânzilor, precum și alte pl</w:t>
      </w:r>
      <w:r w:rsidR="00062319" w:rsidRPr="0024512C">
        <w:rPr>
          <w:rFonts w:asciiTheme="majorHAnsi" w:eastAsia="Times New Roman" w:hAnsiTheme="majorHAnsi" w:cstheme="majorHAnsi"/>
          <w:bCs/>
          <w:color w:val="000000"/>
          <w:sz w:val="24"/>
          <w:szCs w:val="24"/>
          <w:lang w:val="ro-MD" w:eastAsia="ru-RU"/>
        </w:rPr>
        <w:t>ăți în sumă totală de 36,8 mil.</w:t>
      </w:r>
      <w:r w:rsidR="00E05D25" w:rsidRPr="0024512C">
        <w:rPr>
          <w:rFonts w:asciiTheme="majorHAnsi" w:eastAsia="Times New Roman" w:hAnsiTheme="majorHAnsi" w:cstheme="majorHAnsi"/>
          <w:bCs/>
          <w:color w:val="000000"/>
          <w:sz w:val="24"/>
          <w:szCs w:val="24"/>
          <w:lang w:val="ro-MD" w:eastAsia="ru-RU"/>
        </w:rPr>
        <w:t xml:space="preserve"> lei</w:t>
      </w:r>
      <w:r w:rsidR="00712335" w:rsidRPr="0024512C">
        <w:rPr>
          <w:rFonts w:asciiTheme="majorHAnsi" w:eastAsia="Times New Roman" w:hAnsiTheme="majorHAnsi" w:cstheme="majorHAnsi"/>
          <w:bCs/>
          <w:color w:val="000000"/>
          <w:sz w:val="24"/>
          <w:szCs w:val="24"/>
          <w:lang w:val="ro-MD" w:eastAsia="ru-RU"/>
        </w:rPr>
        <w:t>, 39,9 mil.</w:t>
      </w:r>
      <w:r w:rsidR="00E05D25" w:rsidRPr="0024512C">
        <w:rPr>
          <w:rFonts w:asciiTheme="majorHAnsi" w:eastAsia="Times New Roman" w:hAnsiTheme="majorHAnsi" w:cstheme="majorHAnsi"/>
          <w:bCs/>
          <w:color w:val="000000"/>
          <w:sz w:val="24"/>
          <w:szCs w:val="24"/>
          <w:lang w:val="ro-MD" w:eastAsia="ru-RU"/>
        </w:rPr>
        <w:t xml:space="preserve"> </w:t>
      </w:r>
      <w:r w:rsidR="00712335" w:rsidRPr="0024512C">
        <w:rPr>
          <w:rFonts w:asciiTheme="majorHAnsi" w:eastAsia="Times New Roman" w:hAnsiTheme="majorHAnsi" w:cstheme="majorHAnsi"/>
          <w:bCs/>
          <w:color w:val="000000"/>
          <w:sz w:val="24"/>
          <w:szCs w:val="24"/>
          <w:lang w:val="ro-MD" w:eastAsia="ru-RU"/>
        </w:rPr>
        <w:t>dol.</w:t>
      </w:r>
      <w:r w:rsidR="00435A29" w:rsidRPr="0024512C">
        <w:rPr>
          <w:rFonts w:asciiTheme="majorHAnsi" w:eastAsia="Times New Roman" w:hAnsiTheme="majorHAnsi" w:cstheme="majorHAnsi"/>
          <w:bCs/>
          <w:color w:val="000000"/>
          <w:sz w:val="24"/>
          <w:szCs w:val="24"/>
          <w:lang w:val="ro-MD" w:eastAsia="ru-RU"/>
        </w:rPr>
        <w:t xml:space="preserve"> SUA ș</w:t>
      </w:r>
      <w:r w:rsidR="00712335" w:rsidRPr="0024512C">
        <w:rPr>
          <w:rFonts w:asciiTheme="majorHAnsi" w:eastAsia="Times New Roman" w:hAnsiTheme="majorHAnsi" w:cstheme="majorHAnsi"/>
          <w:bCs/>
          <w:color w:val="000000"/>
          <w:sz w:val="24"/>
          <w:szCs w:val="24"/>
          <w:lang w:val="ro-MD" w:eastAsia="ru-RU"/>
        </w:rPr>
        <w:t>i 15,7 mil.</w:t>
      </w:r>
      <w:r w:rsidR="00435A29" w:rsidRPr="0024512C">
        <w:rPr>
          <w:rFonts w:asciiTheme="majorHAnsi" w:eastAsia="Times New Roman" w:hAnsiTheme="majorHAnsi" w:cstheme="majorHAnsi"/>
          <w:bCs/>
          <w:color w:val="000000"/>
          <w:sz w:val="24"/>
          <w:szCs w:val="24"/>
          <w:lang w:val="ro-MD" w:eastAsia="ru-RU"/>
        </w:rPr>
        <w:t xml:space="preserve"> euro (echivalentul </w:t>
      </w:r>
      <w:r w:rsidR="00E05D25" w:rsidRPr="0024512C">
        <w:rPr>
          <w:rFonts w:asciiTheme="majorHAnsi" w:eastAsia="Times New Roman" w:hAnsiTheme="majorHAnsi" w:cstheme="majorHAnsi"/>
          <w:bCs/>
          <w:color w:val="000000"/>
          <w:sz w:val="24"/>
          <w:szCs w:val="24"/>
          <w:lang w:val="ro-MD" w:eastAsia="ru-RU"/>
        </w:rPr>
        <w:t>a 1 026,2 mil. lei)</w:t>
      </w:r>
      <w:r w:rsidR="00712335" w:rsidRPr="0024512C">
        <w:rPr>
          <w:rFonts w:asciiTheme="majorHAnsi" w:eastAsia="Times New Roman" w:hAnsiTheme="majorHAnsi" w:cstheme="majorHAnsi"/>
          <w:bCs/>
          <w:color w:val="000000"/>
          <w:sz w:val="24"/>
          <w:szCs w:val="24"/>
          <w:lang w:val="ro-MD" w:eastAsia="ru-RU"/>
        </w:rPr>
        <w:t xml:space="preserve">. </w:t>
      </w:r>
    </w:p>
    <w:p w:rsidR="00A95B24" w:rsidRPr="0024512C" w:rsidRDefault="00A95B24" w:rsidP="00A95B24">
      <w:pPr>
        <w:spacing w:line="276" w:lineRule="auto"/>
        <w:jc w:val="both"/>
        <w:rPr>
          <w:rFonts w:asciiTheme="majorHAnsi" w:eastAsia="Times New Roman" w:hAnsiTheme="majorHAnsi" w:cstheme="majorHAnsi"/>
          <w:bCs/>
          <w:color w:val="000000"/>
          <w:sz w:val="24"/>
          <w:szCs w:val="24"/>
          <w:lang w:val="ro-MD" w:eastAsia="ru-RU"/>
        </w:rPr>
      </w:pPr>
      <w:r w:rsidRPr="0024512C">
        <w:rPr>
          <w:rFonts w:asciiTheme="majorHAnsi" w:eastAsia="Times New Roman" w:hAnsiTheme="majorHAnsi" w:cstheme="majorHAnsi"/>
          <w:bCs/>
          <w:color w:val="000000"/>
          <w:sz w:val="24"/>
          <w:szCs w:val="24"/>
          <w:lang w:val="ro-MD" w:eastAsia="ru-RU"/>
        </w:rPr>
        <w:t>În vederea asigurării unui nivel necesar de securitate a operațiunilor de recreditare a fondurilor proiectelor investiționale și de deservire a dator</w:t>
      </w:r>
      <w:r w:rsidR="00613A9C" w:rsidRPr="0024512C">
        <w:rPr>
          <w:rFonts w:asciiTheme="majorHAnsi" w:eastAsia="Times New Roman" w:hAnsiTheme="majorHAnsi" w:cstheme="majorHAnsi"/>
          <w:bCs/>
          <w:color w:val="000000"/>
          <w:sz w:val="24"/>
          <w:szCs w:val="24"/>
          <w:lang w:val="ro-MD" w:eastAsia="ru-RU"/>
        </w:rPr>
        <w:t xml:space="preserve">iei de stat externe, precum și </w:t>
      </w:r>
      <w:r w:rsidRPr="0024512C">
        <w:rPr>
          <w:rFonts w:asciiTheme="majorHAnsi" w:eastAsia="Times New Roman" w:hAnsiTheme="majorHAnsi" w:cstheme="majorHAnsi"/>
          <w:bCs/>
          <w:color w:val="000000"/>
          <w:sz w:val="24"/>
          <w:szCs w:val="24"/>
          <w:lang w:val="ro-MD" w:eastAsia="ru-RU"/>
        </w:rPr>
        <w:t>protejării intereselor MF și al</w:t>
      </w:r>
      <w:r w:rsidR="00613A9C" w:rsidRPr="0024512C">
        <w:rPr>
          <w:rFonts w:asciiTheme="majorHAnsi" w:eastAsia="Times New Roman" w:hAnsiTheme="majorHAnsi" w:cstheme="majorHAnsi"/>
          <w:bCs/>
          <w:color w:val="000000"/>
          <w:sz w:val="24"/>
          <w:szCs w:val="24"/>
          <w:lang w:val="ro-MD" w:eastAsia="ru-RU"/>
        </w:rPr>
        <w:t>e</w:t>
      </w:r>
      <w:r w:rsidRPr="0024512C">
        <w:rPr>
          <w:rFonts w:asciiTheme="majorHAnsi" w:eastAsia="Times New Roman" w:hAnsiTheme="majorHAnsi" w:cstheme="majorHAnsi"/>
          <w:bCs/>
          <w:color w:val="000000"/>
          <w:sz w:val="24"/>
          <w:szCs w:val="24"/>
          <w:lang w:val="ro-MD" w:eastAsia="ru-RU"/>
        </w:rPr>
        <w:t xml:space="preserve"> DLC în procesul de recreditare a mijloacelor obținute din împrumuturile de stat externe, a fost format fondul de risc cu defalcarea periodică a mijloacelor acumulate din transferurile efectuate de IFP către DLC.</w:t>
      </w:r>
    </w:p>
    <w:p w:rsidR="00E91AA6" w:rsidRPr="0024512C" w:rsidRDefault="00A95B24" w:rsidP="00FD7A6D">
      <w:pPr>
        <w:spacing w:line="276" w:lineRule="auto"/>
        <w:jc w:val="both"/>
        <w:rPr>
          <w:rFonts w:asciiTheme="majorHAnsi" w:eastAsia="Times New Roman" w:hAnsiTheme="majorHAnsi" w:cstheme="majorHAnsi"/>
          <w:bCs/>
          <w:color w:val="000000"/>
          <w:sz w:val="24"/>
          <w:szCs w:val="24"/>
          <w:lang w:val="ro-MD" w:eastAsia="ru-RU"/>
        </w:rPr>
      </w:pPr>
      <w:r w:rsidRPr="0024512C">
        <w:rPr>
          <w:rFonts w:asciiTheme="majorHAnsi" w:eastAsia="Times New Roman" w:hAnsiTheme="majorHAnsi" w:cstheme="majorHAnsi"/>
          <w:bCs/>
          <w:color w:val="000000"/>
          <w:sz w:val="24"/>
          <w:szCs w:val="24"/>
          <w:lang w:val="ro-MD" w:eastAsia="ru-RU"/>
        </w:rPr>
        <w:t xml:space="preserve">Până în anul 2017, fondul de risc era </w:t>
      </w:r>
      <w:r w:rsidR="00712335" w:rsidRPr="0024512C">
        <w:rPr>
          <w:rFonts w:asciiTheme="majorHAnsi" w:eastAsia="Times New Roman" w:hAnsiTheme="majorHAnsi" w:cstheme="majorHAnsi"/>
          <w:bCs/>
          <w:color w:val="000000"/>
          <w:sz w:val="24"/>
          <w:szCs w:val="24"/>
          <w:lang w:val="ro-MD" w:eastAsia="ru-RU"/>
        </w:rPr>
        <w:t>format și gestionat de către</w:t>
      </w:r>
      <w:r w:rsidRPr="0024512C">
        <w:rPr>
          <w:rFonts w:asciiTheme="majorHAnsi" w:eastAsia="Times New Roman" w:hAnsiTheme="majorHAnsi" w:cstheme="majorHAnsi"/>
          <w:bCs/>
          <w:color w:val="000000"/>
          <w:sz w:val="24"/>
          <w:szCs w:val="24"/>
          <w:lang w:val="ro-MD" w:eastAsia="ru-RU"/>
        </w:rPr>
        <w:t xml:space="preserve"> MF. Sumele cumulative transferate MF de la începutul activității DLC pentru fondul de risc constituie echivalentul a 13</w:t>
      </w:r>
      <w:r w:rsidR="00712335" w:rsidRPr="0024512C">
        <w:rPr>
          <w:rFonts w:asciiTheme="majorHAnsi" w:eastAsia="Times New Roman" w:hAnsiTheme="majorHAnsi" w:cstheme="majorHAnsi"/>
          <w:bCs/>
          <w:color w:val="000000"/>
          <w:sz w:val="24"/>
          <w:szCs w:val="24"/>
          <w:lang w:val="ro-MD" w:eastAsia="ru-RU"/>
        </w:rPr>
        <w:t>0,6 mil.</w:t>
      </w:r>
      <w:r w:rsidR="00E05D25" w:rsidRPr="0024512C">
        <w:rPr>
          <w:rFonts w:asciiTheme="majorHAnsi" w:eastAsia="Times New Roman" w:hAnsiTheme="majorHAnsi" w:cstheme="majorHAnsi"/>
          <w:bCs/>
          <w:color w:val="000000"/>
          <w:sz w:val="24"/>
          <w:szCs w:val="24"/>
          <w:lang w:val="ro-MD" w:eastAsia="ru-RU"/>
        </w:rPr>
        <w:t xml:space="preserve"> lei</w:t>
      </w:r>
      <w:r w:rsidRPr="0024512C">
        <w:rPr>
          <w:rFonts w:asciiTheme="majorHAnsi" w:eastAsia="Times New Roman" w:hAnsiTheme="majorHAnsi" w:cstheme="majorHAnsi"/>
          <w:bCs/>
          <w:color w:val="000000"/>
          <w:sz w:val="24"/>
          <w:szCs w:val="24"/>
          <w:lang w:val="ro-MD" w:eastAsia="ru-RU"/>
        </w:rPr>
        <w:t xml:space="preserve">. </w:t>
      </w:r>
      <w:r w:rsidR="00E513D7" w:rsidRPr="0024512C">
        <w:rPr>
          <w:rFonts w:asciiTheme="majorHAnsi" w:eastAsia="Times New Roman" w:hAnsiTheme="majorHAnsi" w:cstheme="majorHAnsi"/>
          <w:bCs/>
          <w:color w:val="000000"/>
          <w:sz w:val="24"/>
          <w:szCs w:val="24"/>
          <w:lang w:val="ro-MD" w:eastAsia="ru-RU"/>
        </w:rPr>
        <w:t>Prin decizia Consiliul DLC</w:t>
      </w:r>
      <w:r w:rsidR="00E513D7" w:rsidRPr="0024512C">
        <w:rPr>
          <w:rStyle w:val="FootnoteReference"/>
          <w:rFonts w:asciiTheme="majorHAnsi" w:eastAsia="Times New Roman" w:hAnsiTheme="majorHAnsi" w:cstheme="majorHAnsi"/>
          <w:bCs/>
          <w:color w:val="000000"/>
          <w:sz w:val="24"/>
          <w:szCs w:val="24"/>
          <w:lang w:val="ro-MD" w:eastAsia="ru-RU"/>
        </w:rPr>
        <w:footnoteReference w:id="23"/>
      </w:r>
      <w:r w:rsidR="00E513D7" w:rsidRPr="0024512C">
        <w:rPr>
          <w:rFonts w:asciiTheme="majorHAnsi" w:eastAsia="Times New Roman" w:hAnsiTheme="majorHAnsi" w:cstheme="majorHAnsi"/>
          <w:bCs/>
          <w:color w:val="000000"/>
          <w:sz w:val="24"/>
          <w:szCs w:val="24"/>
          <w:lang w:val="ro-MD" w:eastAsia="ru-RU"/>
        </w:rPr>
        <w:t xml:space="preserve"> s-</w:t>
      </w:r>
      <w:r w:rsidRPr="0024512C">
        <w:rPr>
          <w:rFonts w:asciiTheme="majorHAnsi" w:eastAsia="Times New Roman" w:hAnsiTheme="majorHAnsi" w:cstheme="majorHAnsi"/>
          <w:bCs/>
          <w:color w:val="000000"/>
          <w:sz w:val="24"/>
          <w:szCs w:val="24"/>
          <w:lang w:val="ro-MD" w:eastAsia="ru-RU"/>
        </w:rPr>
        <w:t>a stabilit că</w:t>
      </w:r>
      <w:r w:rsidR="00613A9C" w:rsidRPr="0024512C">
        <w:rPr>
          <w:rFonts w:asciiTheme="majorHAnsi" w:eastAsia="Times New Roman" w:hAnsiTheme="majorHAnsi" w:cstheme="majorHAnsi"/>
          <w:bCs/>
          <w:color w:val="000000"/>
          <w:sz w:val="24"/>
          <w:szCs w:val="24"/>
          <w:lang w:val="ro-MD" w:eastAsia="ru-RU"/>
        </w:rPr>
        <w:t>,</w:t>
      </w:r>
      <w:r w:rsidRPr="005C74F5">
        <w:rPr>
          <w:rFonts w:asciiTheme="majorHAnsi" w:eastAsia="Times New Roman" w:hAnsiTheme="majorHAnsi" w:cstheme="majorHAnsi"/>
          <w:bCs/>
          <w:color w:val="000000"/>
          <w:sz w:val="24"/>
          <w:szCs w:val="24"/>
          <w:lang w:val="ro-MD" w:eastAsia="ru-RU"/>
        </w:rPr>
        <w:t xml:space="preserve"> începând cu anul 2017, </w:t>
      </w:r>
      <w:r w:rsidRPr="00321F59">
        <w:rPr>
          <w:rFonts w:asciiTheme="majorHAnsi" w:eastAsia="Times New Roman" w:hAnsiTheme="majorHAnsi" w:cstheme="majorHAnsi"/>
          <w:bCs/>
          <w:color w:val="000000"/>
          <w:sz w:val="24"/>
          <w:szCs w:val="24"/>
          <w:lang w:val="ro-MD" w:eastAsia="ru-RU"/>
        </w:rPr>
        <w:t xml:space="preserve">sumele acumulate de DLC de la IFP </w:t>
      </w:r>
      <w:r w:rsidR="006853AD" w:rsidRPr="00321F59">
        <w:rPr>
          <w:rFonts w:asciiTheme="majorHAnsi" w:eastAsia="Times New Roman" w:hAnsiTheme="majorHAnsi" w:cstheme="majorHAnsi"/>
          <w:bCs/>
          <w:color w:val="000000"/>
          <w:sz w:val="24"/>
          <w:szCs w:val="24"/>
          <w:lang w:val="ro-MD" w:eastAsia="ru-RU"/>
        </w:rPr>
        <w:t xml:space="preserve">din </w:t>
      </w:r>
      <w:r w:rsidRPr="00321F59">
        <w:rPr>
          <w:rFonts w:asciiTheme="majorHAnsi" w:eastAsia="Times New Roman" w:hAnsiTheme="majorHAnsi" w:cstheme="majorHAnsi"/>
          <w:bCs/>
          <w:color w:val="000000"/>
          <w:sz w:val="24"/>
          <w:szCs w:val="24"/>
          <w:lang w:val="ro-MD" w:eastAsia="ru-RU"/>
        </w:rPr>
        <w:t>marj</w:t>
      </w:r>
      <w:r w:rsidR="006853AD" w:rsidRPr="00321F59">
        <w:rPr>
          <w:rFonts w:asciiTheme="majorHAnsi" w:eastAsia="Times New Roman" w:hAnsiTheme="majorHAnsi" w:cstheme="majorHAnsi"/>
          <w:bCs/>
          <w:color w:val="000000"/>
          <w:sz w:val="24"/>
          <w:szCs w:val="24"/>
          <w:lang w:val="ro-MD" w:eastAsia="ru-RU"/>
        </w:rPr>
        <w:t>a</w:t>
      </w:r>
      <w:r w:rsidRPr="00321F59">
        <w:rPr>
          <w:rFonts w:asciiTheme="majorHAnsi" w:eastAsia="Times New Roman" w:hAnsiTheme="majorHAnsi" w:cstheme="majorHAnsi"/>
          <w:bCs/>
          <w:color w:val="000000"/>
          <w:sz w:val="24"/>
          <w:szCs w:val="24"/>
          <w:lang w:val="ro-MD" w:eastAsia="ru-RU"/>
        </w:rPr>
        <w:t xml:space="preserve"> pentr</w:t>
      </w:r>
      <w:r w:rsidRPr="005C74F5">
        <w:rPr>
          <w:rFonts w:asciiTheme="majorHAnsi" w:eastAsia="Times New Roman" w:hAnsiTheme="majorHAnsi" w:cstheme="majorHAnsi"/>
          <w:bCs/>
          <w:color w:val="000000"/>
          <w:sz w:val="24"/>
          <w:szCs w:val="24"/>
          <w:lang w:val="ro-MD" w:eastAsia="ru-RU"/>
        </w:rPr>
        <w:t xml:space="preserve">u acoperirea riscurilor de schimb valutar pentru deservirea împrumuturilor se vor păstra în contul liniilor de credit respective ale DLC la BNM, care vor servi drept sursă de plată de facto pentru acoperirea eventualelor riscuri de schimb valutar în cadrul plăților achitate de DLC la solicitarea MF a datoriilor către creditorii externi. </w:t>
      </w:r>
      <w:r w:rsidR="002437F6">
        <w:rPr>
          <w:rFonts w:asciiTheme="majorHAnsi" w:eastAsia="Times New Roman" w:hAnsiTheme="majorHAnsi" w:cstheme="majorHAnsi"/>
          <w:bCs/>
          <w:color w:val="000000"/>
          <w:sz w:val="24"/>
          <w:szCs w:val="24"/>
          <w:lang w:val="ro-MD" w:eastAsia="ru-RU"/>
        </w:rPr>
        <w:t xml:space="preserve">Totodată, </w:t>
      </w:r>
      <w:r w:rsidRPr="005C74F5">
        <w:rPr>
          <w:rFonts w:asciiTheme="majorHAnsi" w:eastAsia="Times New Roman" w:hAnsiTheme="majorHAnsi" w:cstheme="majorHAnsi"/>
          <w:bCs/>
          <w:color w:val="000000"/>
          <w:sz w:val="24"/>
          <w:szCs w:val="24"/>
          <w:lang w:val="ro-MD" w:eastAsia="ru-RU"/>
        </w:rPr>
        <w:t>DLC va asigura evidența separată și raportarea</w:t>
      </w:r>
      <w:r w:rsidR="00613A9C" w:rsidRPr="002437F6">
        <w:rPr>
          <w:rFonts w:asciiTheme="majorHAnsi" w:eastAsia="Times New Roman" w:hAnsiTheme="majorHAnsi" w:cstheme="majorHAnsi"/>
          <w:bCs/>
          <w:color w:val="000000"/>
          <w:sz w:val="24"/>
          <w:szCs w:val="24"/>
          <w:lang w:val="ro-MD" w:eastAsia="ru-RU"/>
        </w:rPr>
        <w:t xml:space="preserve"> privind mijloacele acumulate.</w:t>
      </w:r>
      <w:r w:rsidR="00814193" w:rsidRPr="002437F6">
        <w:rPr>
          <w:rFonts w:asciiTheme="majorHAnsi" w:eastAsia="Times New Roman" w:hAnsiTheme="majorHAnsi" w:cstheme="majorHAnsi"/>
          <w:bCs/>
          <w:color w:val="000000"/>
          <w:sz w:val="24"/>
          <w:szCs w:val="24"/>
          <w:lang w:val="ro-MD" w:eastAsia="ru-RU"/>
        </w:rPr>
        <w:t xml:space="preserve"> </w:t>
      </w:r>
      <w:r w:rsidRPr="002437F6">
        <w:rPr>
          <w:rFonts w:asciiTheme="majorHAnsi" w:eastAsia="Times New Roman" w:hAnsiTheme="majorHAnsi" w:cstheme="majorHAnsi"/>
          <w:bCs/>
          <w:color w:val="000000"/>
          <w:sz w:val="24"/>
          <w:szCs w:val="24"/>
          <w:lang w:val="ro-MD" w:eastAsia="ru-RU"/>
        </w:rPr>
        <w:t>P</w:t>
      </w:r>
      <w:r w:rsidR="00FD7A6D" w:rsidRPr="002437F6">
        <w:rPr>
          <w:rFonts w:asciiTheme="majorHAnsi" w:eastAsia="Times New Roman" w:hAnsiTheme="majorHAnsi" w:cstheme="majorHAnsi"/>
          <w:bCs/>
          <w:color w:val="000000"/>
          <w:sz w:val="24"/>
          <w:szCs w:val="24"/>
          <w:lang w:val="ro-MD" w:eastAsia="ru-RU"/>
        </w:rPr>
        <w:t>e parcursul anului 2019</w:t>
      </w:r>
      <w:r w:rsidR="00613A9C" w:rsidRPr="002437F6">
        <w:rPr>
          <w:rFonts w:asciiTheme="majorHAnsi" w:eastAsia="Times New Roman" w:hAnsiTheme="majorHAnsi" w:cstheme="majorHAnsi"/>
          <w:bCs/>
          <w:color w:val="000000"/>
          <w:sz w:val="24"/>
          <w:szCs w:val="24"/>
          <w:lang w:val="ro-MD" w:eastAsia="ru-RU"/>
        </w:rPr>
        <w:t>,</w:t>
      </w:r>
      <w:r w:rsidRPr="002437F6">
        <w:rPr>
          <w:rFonts w:asciiTheme="majorHAnsi" w:eastAsia="Times New Roman" w:hAnsiTheme="majorHAnsi" w:cstheme="majorHAnsi"/>
          <w:bCs/>
          <w:color w:val="000000"/>
          <w:sz w:val="24"/>
          <w:szCs w:val="24"/>
          <w:lang w:val="ro-MD" w:eastAsia="ru-RU"/>
        </w:rPr>
        <w:t xml:space="preserve"> defalcările în fondul de risc au con</w:t>
      </w:r>
      <w:r w:rsidR="00FD7A6D" w:rsidRPr="0024512C">
        <w:rPr>
          <w:rFonts w:asciiTheme="majorHAnsi" w:eastAsia="Times New Roman" w:hAnsiTheme="majorHAnsi" w:cstheme="majorHAnsi"/>
          <w:bCs/>
          <w:color w:val="000000"/>
          <w:sz w:val="24"/>
          <w:szCs w:val="24"/>
          <w:lang w:val="ro-MD" w:eastAsia="ru-RU"/>
        </w:rPr>
        <w:t xml:space="preserve">stituit echivalentul a </w:t>
      </w:r>
      <w:r w:rsidR="00F54082" w:rsidRPr="0024512C">
        <w:rPr>
          <w:rFonts w:asciiTheme="majorHAnsi" w:eastAsia="Times New Roman" w:hAnsiTheme="majorHAnsi" w:cstheme="majorHAnsi"/>
          <w:bCs/>
          <w:color w:val="000000"/>
          <w:sz w:val="24"/>
          <w:szCs w:val="24"/>
          <w:lang w:val="ro-MD" w:eastAsia="ru-RU"/>
        </w:rPr>
        <w:t>5,77</w:t>
      </w:r>
      <w:r w:rsidR="00FD7A6D" w:rsidRPr="0024512C">
        <w:rPr>
          <w:rFonts w:asciiTheme="majorHAnsi" w:eastAsia="Times New Roman" w:hAnsiTheme="majorHAnsi" w:cstheme="majorHAnsi"/>
          <w:bCs/>
          <w:color w:val="000000"/>
          <w:sz w:val="24"/>
          <w:szCs w:val="24"/>
          <w:lang w:val="ro-MD" w:eastAsia="ru-RU"/>
        </w:rPr>
        <w:t xml:space="preserve"> mil.</w:t>
      </w:r>
      <w:r w:rsidR="00E05D25" w:rsidRPr="0024512C">
        <w:rPr>
          <w:rFonts w:asciiTheme="majorHAnsi" w:eastAsia="Times New Roman" w:hAnsiTheme="majorHAnsi" w:cstheme="majorHAnsi"/>
          <w:bCs/>
          <w:color w:val="000000"/>
          <w:sz w:val="24"/>
          <w:szCs w:val="24"/>
          <w:lang w:val="ro-MD" w:eastAsia="ru-RU"/>
        </w:rPr>
        <w:t xml:space="preserve"> lei</w:t>
      </w:r>
      <w:r w:rsidRPr="0024512C">
        <w:rPr>
          <w:rFonts w:asciiTheme="majorHAnsi" w:eastAsia="Times New Roman" w:hAnsiTheme="majorHAnsi" w:cstheme="majorHAnsi"/>
          <w:bCs/>
          <w:color w:val="000000"/>
          <w:sz w:val="24"/>
          <w:szCs w:val="24"/>
          <w:lang w:val="ro-MD" w:eastAsia="ru-RU"/>
        </w:rPr>
        <w:t>. Sumele totale acumulate în fondul de risc din 2017 până în prezen</w:t>
      </w:r>
      <w:r w:rsidR="00FD7A6D" w:rsidRPr="0024512C">
        <w:rPr>
          <w:rFonts w:asciiTheme="majorHAnsi" w:eastAsia="Times New Roman" w:hAnsiTheme="majorHAnsi" w:cstheme="majorHAnsi"/>
          <w:bCs/>
          <w:color w:val="000000"/>
          <w:sz w:val="24"/>
          <w:szCs w:val="24"/>
          <w:lang w:val="ro-MD" w:eastAsia="ru-RU"/>
        </w:rPr>
        <w:t>t însumează echivalentul a 39</w:t>
      </w:r>
      <w:r w:rsidRPr="0024512C">
        <w:rPr>
          <w:rFonts w:asciiTheme="majorHAnsi" w:eastAsia="Times New Roman" w:hAnsiTheme="majorHAnsi" w:cstheme="majorHAnsi"/>
          <w:bCs/>
          <w:color w:val="000000"/>
          <w:sz w:val="24"/>
          <w:szCs w:val="24"/>
          <w:lang w:val="ro-MD" w:eastAsia="ru-RU"/>
        </w:rPr>
        <w:t>,8</w:t>
      </w:r>
      <w:r w:rsidR="00E05D25" w:rsidRPr="0024512C">
        <w:rPr>
          <w:rFonts w:asciiTheme="majorHAnsi" w:eastAsia="Times New Roman" w:hAnsiTheme="majorHAnsi" w:cstheme="majorHAnsi"/>
          <w:bCs/>
          <w:color w:val="000000"/>
          <w:sz w:val="24"/>
          <w:szCs w:val="24"/>
          <w:lang w:val="ro-MD" w:eastAsia="ru-RU"/>
        </w:rPr>
        <w:t>6 mil. lei</w:t>
      </w:r>
      <w:r w:rsidR="00FD7A6D" w:rsidRPr="0024512C">
        <w:rPr>
          <w:rFonts w:asciiTheme="majorHAnsi" w:eastAsia="Times New Roman" w:hAnsiTheme="majorHAnsi" w:cstheme="majorHAnsi"/>
          <w:bCs/>
          <w:color w:val="000000"/>
          <w:sz w:val="24"/>
          <w:szCs w:val="24"/>
          <w:lang w:val="ro-MD" w:eastAsia="ru-RU"/>
        </w:rPr>
        <w:t xml:space="preserve">. </w:t>
      </w:r>
    </w:p>
    <w:p w:rsidR="0008293E" w:rsidRPr="002437F6" w:rsidRDefault="000977E0" w:rsidP="0008293E">
      <w:pPr>
        <w:spacing w:line="276" w:lineRule="auto"/>
        <w:jc w:val="both"/>
        <w:rPr>
          <w:rFonts w:asciiTheme="majorHAnsi" w:eastAsia="Times New Roman" w:hAnsiTheme="majorHAnsi" w:cstheme="majorHAnsi"/>
          <w:bCs/>
          <w:color w:val="000000"/>
          <w:sz w:val="24"/>
          <w:szCs w:val="24"/>
          <w:lang w:val="ro-MD" w:eastAsia="ru-RU"/>
        </w:rPr>
      </w:pPr>
      <w:r w:rsidRPr="0024512C">
        <w:rPr>
          <w:rFonts w:asciiTheme="majorHAnsi" w:eastAsia="Times New Roman" w:hAnsiTheme="majorHAnsi" w:cstheme="majorHAnsi"/>
          <w:bCs/>
          <w:color w:val="000000"/>
          <w:sz w:val="24"/>
          <w:szCs w:val="24"/>
          <w:lang w:val="ro-MD" w:eastAsia="ru-RU"/>
        </w:rPr>
        <w:t xml:space="preserve">În vederea acumulării și raportării de către MF a situației </w:t>
      </w:r>
      <w:r w:rsidR="002437F6">
        <w:rPr>
          <w:rFonts w:asciiTheme="majorHAnsi" w:eastAsia="Times New Roman" w:hAnsiTheme="majorHAnsi" w:cstheme="majorHAnsi"/>
          <w:bCs/>
          <w:color w:val="000000"/>
          <w:sz w:val="24"/>
          <w:szCs w:val="24"/>
          <w:lang w:val="ro-MD" w:eastAsia="ru-RU"/>
        </w:rPr>
        <w:t>generale</w:t>
      </w:r>
      <w:r w:rsidR="002437F6" w:rsidRPr="002437F6">
        <w:rPr>
          <w:rFonts w:asciiTheme="majorHAnsi" w:eastAsia="Times New Roman" w:hAnsiTheme="majorHAnsi" w:cstheme="majorHAnsi"/>
          <w:bCs/>
          <w:color w:val="000000"/>
          <w:sz w:val="24"/>
          <w:szCs w:val="24"/>
          <w:lang w:val="ro-MD" w:eastAsia="ru-RU"/>
        </w:rPr>
        <w:t xml:space="preserve"> </w:t>
      </w:r>
      <w:r w:rsidRPr="002437F6">
        <w:rPr>
          <w:rFonts w:asciiTheme="majorHAnsi" w:eastAsia="Times New Roman" w:hAnsiTheme="majorHAnsi" w:cstheme="majorHAnsi"/>
          <w:bCs/>
          <w:color w:val="000000"/>
          <w:sz w:val="24"/>
          <w:szCs w:val="24"/>
          <w:lang w:val="ro-MD" w:eastAsia="ru-RU"/>
        </w:rPr>
        <w:t xml:space="preserve">asupra recreditării de stat, DLC prezintă trimestrial MF Informația privind activitatea de recreditare a fondurilor Liniilor de credit investiționale prin intermediul IFP, care ulterior este inclusă în Raportul MF privind situația în domeniul datoriei sectorului public, garanțiilor de stat și recreditării de stat. </w:t>
      </w:r>
    </w:p>
    <w:p w:rsidR="0008293E" w:rsidRPr="002437F6" w:rsidRDefault="0008293E" w:rsidP="0008293E">
      <w:pPr>
        <w:spacing w:line="276" w:lineRule="auto"/>
        <w:jc w:val="both"/>
        <w:rPr>
          <w:rFonts w:asciiTheme="majorHAnsi" w:eastAsia="Times New Roman" w:hAnsiTheme="majorHAnsi" w:cstheme="majorHAnsi"/>
          <w:bCs/>
          <w:color w:val="000000"/>
          <w:sz w:val="24"/>
          <w:szCs w:val="24"/>
          <w:lang w:val="ro-MD" w:eastAsia="ru-RU"/>
        </w:rPr>
      </w:pPr>
      <w:r w:rsidRPr="0024512C">
        <w:rPr>
          <w:rFonts w:ascii="Calibri Light" w:eastAsia="Calibri" w:hAnsi="Calibri Light" w:cs="Calibri Light"/>
          <w:bCs/>
          <w:sz w:val="24"/>
          <w:szCs w:val="24"/>
          <w:lang w:val="ro-MD"/>
        </w:rPr>
        <w:t>În temeiul rezultatelor activităților de audit, se confirmă că datele din Informația privind activitatea de recreditare a fondurilor Liniilor de credit investiționale prin intermediul Instituțiilor Financiare Participante pentru anul 2019</w:t>
      </w:r>
      <w:r w:rsidR="002437F6">
        <w:rPr>
          <w:rFonts w:ascii="Calibri Light" w:eastAsia="Calibri" w:hAnsi="Calibri Light" w:cs="Calibri Light"/>
          <w:bCs/>
          <w:sz w:val="24"/>
          <w:szCs w:val="24"/>
          <w:lang w:val="ro-MD"/>
        </w:rPr>
        <w:t>,</w:t>
      </w:r>
      <w:r w:rsidRPr="002437F6">
        <w:rPr>
          <w:rFonts w:ascii="Calibri Light" w:eastAsia="Calibri" w:hAnsi="Calibri Light" w:cs="Calibri Light"/>
          <w:sz w:val="24"/>
          <w:szCs w:val="24"/>
          <w:lang w:val="ro-MD"/>
        </w:rPr>
        <w:t xml:space="preserve"> prezentată Ministerului Finanțelor în vederea includerii în </w:t>
      </w:r>
      <w:r w:rsidRPr="002437F6">
        <w:rPr>
          <w:rFonts w:ascii="Calibri Light" w:eastAsia="Calibri" w:hAnsi="Calibri Light" w:cs="Calibri Light"/>
          <w:bCs/>
          <w:sz w:val="24"/>
          <w:szCs w:val="24"/>
          <w:lang w:val="ro-MD"/>
        </w:rPr>
        <w:t xml:space="preserve">Raportul </w:t>
      </w:r>
      <w:r w:rsidRPr="002437F6">
        <w:rPr>
          <w:rFonts w:ascii="Calibri Light" w:eastAsia="Calibri" w:hAnsi="Calibri Light" w:cs="Calibri Light"/>
          <w:bCs/>
          <w:sz w:val="24"/>
          <w:szCs w:val="24"/>
          <w:lang w:val="ro-MD"/>
        </w:rPr>
        <w:lastRenderedPageBreak/>
        <w:t>privind situația în domeniul datoriei sectorului public, garanțiilor de stat și recreditării de stat pe anul 2019</w:t>
      </w:r>
      <w:r w:rsidR="002437F6">
        <w:rPr>
          <w:rFonts w:ascii="Calibri Light" w:eastAsia="Calibri" w:hAnsi="Calibri Light" w:cs="Calibri Light"/>
          <w:bCs/>
          <w:sz w:val="24"/>
          <w:szCs w:val="24"/>
          <w:lang w:val="ro-MD"/>
        </w:rPr>
        <w:t>,</w:t>
      </w:r>
      <w:r w:rsidRPr="002437F6">
        <w:rPr>
          <w:rFonts w:ascii="Calibri Light" w:eastAsia="Calibri" w:hAnsi="Calibri Light" w:cs="Calibri Light"/>
          <w:bCs/>
          <w:sz w:val="24"/>
          <w:szCs w:val="24"/>
          <w:lang w:val="ro-MD"/>
        </w:rPr>
        <w:t xml:space="preserve"> corespunde evidenței contabile a</w:t>
      </w:r>
      <w:r w:rsidRPr="002437F6">
        <w:rPr>
          <w:rFonts w:ascii="Calibri Light" w:eastAsia="Calibri" w:hAnsi="Calibri Light" w:cs="Calibri Light"/>
          <w:sz w:val="24"/>
          <w:szCs w:val="24"/>
          <w:lang w:val="ro-MD"/>
        </w:rPr>
        <w:t xml:space="preserve"> Directoratului Liniei de Credit.</w:t>
      </w:r>
    </w:p>
    <w:p w:rsidR="00E05D25" w:rsidRPr="0024512C" w:rsidRDefault="00F72F4F" w:rsidP="00FD7A6D">
      <w:pPr>
        <w:spacing w:line="276" w:lineRule="auto"/>
        <w:jc w:val="both"/>
        <w:rPr>
          <w:rFonts w:asciiTheme="majorHAnsi" w:eastAsia="Times New Roman" w:hAnsiTheme="majorHAnsi" w:cstheme="majorHAnsi"/>
          <w:bCs/>
          <w:color w:val="000000"/>
          <w:sz w:val="24"/>
          <w:szCs w:val="24"/>
          <w:lang w:val="ro-MD" w:eastAsia="ru-RU"/>
        </w:rPr>
      </w:pPr>
      <w:r w:rsidRPr="002437F6">
        <w:rPr>
          <w:rFonts w:asciiTheme="majorHAnsi" w:eastAsia="Times New Roman" w:hAnsiTheme="majorHAnsi" w:cstheme="majorHAnsi"/>
          <w:bCs/>
          <w:color w:val="000000"/>
          <w:sz w:val="24"/>
          <w:szCs w:val="24"/>
          <w:lang w:val="ro-MD" w:eastAsia="ru-RU"/>
        </w:rPr>
        <w:t>Pe parcursul anului 2019 a fost înregistrată o s</w:t>
      </w:r>
      <w:r w:rsidR="00613A9C" w:rsidRPr="002437F6">
        <w:rPr>
          <w:rFonts w:asciiTheme="majorHAnsi" w:eastAsia="Times New Roman" w:hAnsiTheme="majorHAnsi" w:cstheme="majorHAnsi"/>
          <w:bCs/>
          <w:color w:val="000000"/>
          <w:sz w:val="24"/>
          <w:szCs w:val="24"/>
          <w:lang w:val="ro-MD" w:eastAsia="ru-RU"/>
        </w:rPr>
        <w:t xml:space="preserve">ituație stringentă </w:t>
      </w:r>
      <w:r w:rsidR="002437F6">
        <w:rPr>
          <w:rFonts w:asciiTheme="majorHAnsi" w:eastAsia="Times New Roman" w:hAnsiTheme="majorHAnsi" w:cstheme="majorHAnsi"/>
          <w:bCs/>
          <w:color w:val="000000"/>
          <w:sz w:val="24"/>
          <w:szCs w:val="24"/>
          <w:lang w:val="ro-MD" w:eastAsia="ru-RU"/>
        </w:rPr>
        <w:t>privind</w:t>
      </w:r>
      <w:r w:rsidR="002437F6" w:rsidRPr="002437F6">
        <w:rPr>
          <w:rFonts w:asciiTheme="majorHAnsi" w:eastAsia="Times New Roman" w:hAnsiTheme="majorHAnsi" w:cstheme="majorHAnsi"/>
          <w:bCs/>
          <w:color w:val="000000"/>
          <w:sz w:val="24"/>
          <w:szCs w:val="24"/>
          <w:lang w:val="ro-MD" w:eastAsia="ru-RU"/>
        </w:rPr>
        <w:t xml:space="preserve"> </w:t>
      </w:r>
      <w:r w:rsidR="00613A9C" w:rsidRPr="002437F6">
        <w:rPr>
          <w:rFonts w:asciiTheme="majorHAnsi" w:eastAsia="Times New Roman" w:hAnsiTheme="majorHAnsi" w:cstheme="majorHAnsi"/>
          <w:bCs/>
          <w:color w:val="000000"/>
          <w:sz w:val="24"/>
          <w:szCs w:val="24"/>
          <w:lang w:val="ro-MD" w:eastAsia="ru-RU"/>
        </w:rPr>
        <w:t>efectuare</w:t>
      </w:r>
      <w:r w:rsidRPr="002437F6">
        <w:rPr>
          <w:rFonts w:asciiTheme="majorHAnsi" w:eastAsia="Times New Roman" w:hAnsiTheme="majorHAnsi" w:cstheme="majorHAnsi"/>
          <w:bCs/>
          <w:color w:val="000000"/>
          <w:sz w:val="24"/>
          <w:szCs w:val="24"/>
          <w:lang w:val="ro-MD" w:eastAsia="ru-RU"/>
        </w:rPr>
        <w:t xml:space="preserve">a unor plăți de către MF fără a avea acoperire financiară pentru efectuarea acestora. Astfel, </w:t>
      </w:r>
      <w:r w:rsidR="00613A9C" w:rsidRPr="002437F6">
        <w:rPr>
          <w:rFonts w:asciiTheme="majorHAnsi" w:eastAsia="Times New Roman" w:hAnsiTheme="majorHAnsi" w:cstheme="majorHAnsi"/>
          <w:bCs/>
          <w:color w:val="000000"/>
          <w:sz w:val="24"/>
          <w:szCs w:val="24"/>
          <w:lang w:val="ro-MD" w:eastAsia="ru-RU"/>
        </w:rPr>
        <w:t xml:space="preserve">MF </w:t>
      </w:r>
      <w:r w:rsidRPr="002437F6">
        <w:rPr>
          <w:rFonts w:asciiTheme="majorHAnsi" w:eastAsia="Times New Roman" w:hAnsiTheme="majorHAnsi" w:cstheme="majorHAnsi"/>
          <w:bCs/>
          <w:color w:val="000000"/>
          <w:sz w:val="24"/>
          <w:szCs w:val="24"/>
          <w:lang w:val="ro-MD" w:eastAsia="ru-RU"/>
        </w:rPr>
        <w:t xml:space="preserve">a decis contractarea </w:t>
      </w:r>
      <w:r w:rsidR="002437F6" w:rsidRPr="002437F6">
        <w:rPr>
          <w:rFonts w:asciiTheme="majorHAnsi" w:eastAsia="Times New Roman" w:hAnsiTheme="majorHAnsi" w:cstheme="majorHAnsi"/>
          <w:bCs/>
          <w:color w:val="000000"/>
          <w:sz w:val="24"/>
          <w:szCs w:val="24"/>
          <w:lang w:val="ro-MD" w:eastAsia="ru-RU"/>
        </w:rPr>
        <w:t xml:space="preserve">de la DLC </w:t>
      </w:r>
      <w:r w:rsidR="002437F6">
        <w:rPr>
          <w:rFonts w:asciiTheme="majorHAnsi" w:eastAsia="Times New Roman" w:hAnsiTheme="majorHAnsi" w:cstheme="majorHAnsi"/>
          <w:bCs/>
          <w:color w:val="000000"/>
          <w:sz w:val="24"/>
          <w:szCs w:val="24"/>
          <w:lang w:val="ro-MD" w:eastAsia="ru-RU"/>
        </w:rPr>
        <w:t xml:space="preserve">a </w:t>
      </w:r>
      <w:r w:rsidRPr="002437F6">
        <w:rPr>
          <w:rFonts w:asciiTheme="majorHAnsi" w:eastAsia="Times New Roman" w:hAnsiTheme="majorHAnsi" w:cstheme="majorHAnsi"/>
          <w:bCs/>
          <w:color w:val="000000"/>
          <w:sz w:val="24"/>
          <w:szCs w:val="24"/>
          <w:lang w:val="ro-MD" w:eastAsia="ru-RU"/>
        </w:rPr>
        <w:t>unui împrumut intern, în sumă totală de 1 900,0 mil. lei, pe un termen nelimitat și fără rată a dobânzii. Transferarea mijloacelor necesare M</w:t>
      </w:r>
      <w:r w:rsidR="00613A9C" w:rsidRPr="002437F6">
        <w:rPr>
          <w:rFonts w:asciiTheme="majorHAnsi" w:eastAsia="Times New Roman" w:hAnsiTheme="majorHAnsi" w:cstheme="majorHAnsi"/>
          <w:bCs/>
          <w:color w:val="000000"/>
          <w:sz w:val="24"/>
          <w:szCs w:val="24"/>
          <w:lang w:val="ro-MD" w:eastAsia="ru-RU"/>
        </w:rPr>
        <w:t xml:space="preserve">F a fost aprobată de Consiliul DLC prin procesul-verbal </w:t>
      </w:r>
      <w:r w:rsidRPr="002437F6">
        <w:rPr>
          <w:rFonts w:asciiTheme="majorHAnsi" w:eastAsia="Times New Roman" w:hAnsiTheme="majorHAnsi" w:cstheme="majorHAnsi"/>
          <w:bCs/>
          <w:color w:val="000000"/>
          <w:sz w:val="24"/>
          <w:szCs w:val="24"/>
          <w:lang w:val="ro-MD" w:eastAsia="ru-RU"/>
        </w:rPr>
        <w:t>nr.1 din 11.02.2019</w:t>
      </w:r>
      <w:r w:rsidR="00613A9C" w:rsidRPr="002437F6">
        <w:rPr>
          <w:rFonts w:asciiTheme="majorHAnsi" w:eastAsia="Times New Roman" w:hAnsiTheme="majorHAnsi" w:cstheme="majorHAnsi"/>
          <w:bCs/>
          <w:color w:val="000000"/>
          <w:sz w:val="24"/>
          <w:szCs w:val="24"/>
          <w:lang w:val="ro-MD" w:eastAsia="ru-RU"/>
        </w:rPr>
        <w:t>,</w:t>
      </w:r>
      <w:r w:rsidRPr="002437F6">
        <w:rPr>
          <w:rFonts w:asciiTheme="majorHAnsi" w:eastAsia="Times New Roman" w:hAnsiTheme="majorHAnsi" w:cstheme="majorHAnsi"/>
          <w:bCs/>
          <w:color w:val="000000"/>
          <w:sz w:val="24"/>
          <w:szCs w:val="24"/>
          <w:lang w:val="ro-MD" w:eastAsia="ru-RU"/>
        </w:rPr>
        <w:t xml:space="preserve"> din contul mijloacelor circulante disponibile ale lini</w:t>
      </w:r>
      <w:r w:rsidR="00D90D7A" w:rsidRPr="0024512C">
        <w:rPr>
          <w:rFonts w:asciiTheme="majorHAnsi" w:eastAsia="Times New Roman" w:hAnsiTheme="majorHAnsi" w:cstheme="majorHAnsi"/>
          <w:bCs/>
          <w:color w:val="000000"/>
          <w:sz w:val="24"/>
          <w:szCs w:val="24"/>
          <w:lang w:val="ro-MD" w:eastAsia="ru-RU"/>
        </w:rPr>
        <w:t>ilor de credit RISP 1, PFR, FIDA I</w:t>
      </w:r>
      <w:r w:rsidRPr="0024512C">
        <w:rPr>
          <w:rFonts w:asciiTheme="majorHAnsi" w:eastAsia="Times New Roman" w:hAnsiTheme="majorHAnsi" w:cstheme="majorHAnsi"/>
          <w:bCs/>
          <w:color w:val="000000"/>
          <w:sz w:val="24"/>
          <w:szCs w:val="24"/>
          <w:lang w:val="ro-MD" w:eastAsia="ru-RU"/>
        </w:rPr>
        <w:t>, FIDA</w:t>
      </w:r>
      <w:r w:rsidR="00D90D7A" w:rsidRPr="0024512C">
        <w:rPr>
          <w:rFonts w:asciiTheme="majorHAnsi" w:eastAsia="Times New Roman" w:hAnsiTheme="majorHAnsi" w:cstheme="majorHAnsi"/>
          <w:bCs/>
          <w:color w:val="000000"/>
          <w:sz w:val="24"/>
          <w:szCs w:val="24"/>
          <w:lang w:val="ro-MD" w:eastAsia="ru-RU"/>
        </w:rPr>
        <w:t xml:space="preserve"> II</w:t>
      </w:r>
      <w:r w:rsidRPr="0024512C">
        <w:rPr>
          <w:rFonts w:asciiTheme="majorHAnsi" w:eastAsia="Times New Roman" w:hAnsiTheme="majorHAnsi" w:cstheme="majorHAnsi"/>
          <w:bCs/>
          <w:color w:val="000000"/>
          <w:sz w:val="24"/>
          <w:szCs w:val="24"/>
          <w:lang w:val="ro-MD" w:eastAsia="ru-RU"/>
        </w:rPr>
        <w:t>, FIDA</w:t>
      </w:r>
      <w:r w:rsidR="00D90D7A" w:rsidRPr="0024512C">
        <w:rPr>
          <w:rFonts w:asciiTheme="majorHAnsi" w:eastAsia="Times New Roman" w:hAnsiTheme="majorHAnsi" w:cstheme="majorHAnsi"/>
          <w:bCs/>
          <w:color w:val="000000"/>
          <w:sz w:val="24"/>
          <w:szCs w:val="24"/>
          <w:lang w:val="ro-MD" w:eastAsia="ru-RU"/>
        </w:rPr>
        <w:t xml:space="preserve"> III</w:t>
      </w:r>
      <w:r w:rsidRPr="0024512C">
        <w:rPr>
          <w:rFonts w:asciiTheme="majorHAnsi" w:eastAsia="Times New Roman" w:hAnsiTheme="majorHAnsi" w:cstheme="majorHAnsi"/>
          <w:bCs/>
          <w:color w:val="000000"/>
          <w:sz w:val="24"/>
          <w:szCs w:val="24"/>
          <w:lang w:val="ro-MD" w:eastAsia="ru-RU"/>
        </w:rPr>
        <w:t>, FIDA</w:t>
      </w:r>
      <w:r w:rsidR="00D90D7A" w:rsidRPr="0024512C">
        <w:rPr>
          <w:rFonts w:asciiTheme="majorHAnsi" w:eastAsia="Times New Roman" w:hAnsiTheme="majorHAnsi" w:cstheme="majorHAnsi"/>
          <w:bCs/>
          <w:color w:val="000000"/>
          <w:sz w:val="24"/>
          <w:szCs w:val="24"/>
          <w:lang w:val="ro-MD" w:eastAsia="ru-RU"/>
        </w:rPr>
        <w:t xml:space="preserve"> IV</w:t>
      </w:r>
      <w:r w:rsidRPr="0024512C">
        <w:rPr>
          <w:rFonts w:asciiTheme="majorHAnsi" w:eastAsia="Times New Roman" w:hAnsiTheme="majorHAnsi" w:cstheme="majorHAnsi"/>
          <w:bCs/>
          <w:color w:val="000000"/>
          <w:sz w:val="24"/>
          <w:szCs w:val="24"/>
          <w:lang w:val="ro-MD" w:eastAsia="ru-RU"/>
        </w:rPr>
        <w:t>, PAC</w:t>
      </w:r>
      <w:r w:rsidR="00D90D7A" w:rsidRPr="0024512C">
        <w:rPr>
          <w:rFonts w:asciiTheme="majorHAnsi" w:eastAsia="Times New Roman" w:hAnsiTheme="majorHAnsi" w:cstheme="majorHAnsi"/>
          <w:bCs/>
          <w:color w:val="000000"/>
          <w:sz w:val="24"/>
          <w:szCs w:val="24"/>
          <w:lang w:val="ro-MD" w:eastAsia="ru-RU"/>
        </w:rPr>
        <w:t xml:space="preserve"> </w:t>
      </w:r>
      <w:r w:rsidRPr="0024512C">
        <w:rPr>
          <w:rFonts w:asciiTheme="majorHAnsi" w:eastAsia="Times New Roman" w:hAnsiTheme="majorHAnsi" w:cstheme="majorHAnsi"/>
          <w:bCs/>
          <w:color w:val="000000"/>
          <w:sz w:val="24"/>
          <w:szCs w:val="24"/>
          <w:lang w:val="ro-MD" w:eastAsia="ru-RU"/>
        </w:rPr>
        <w:t>1.</w:t>
      </w:r>
    </w:p>
    <w:p w:rsidR="000977E0" w:rsidRPr="0024512C" w:rsidRDefault="00CA2A66" w:rsidP="00FD7A6D">
      <w:pPr>
        <w:spacing w:line="276" w:lineRule="auto"/>
        <w:jc w:val="both"/>
        <w:rPr>
          <w:rFonts w:asciiTheme="majorHAnsi" w:eastAsia="Times New Roman" w:hAnsiTheme="majorHAnsi" w:cstheme="majorHAnsi"/>
          <w:bCs/>
          <w:color w:val="000000"/>
          <w:sz w:val="24"/>
          <w:szCs w:val="24"/>
          <w:lang w:val="ro-MD" w:eastAsia="ru-RU"/>
        </w:rPr>
      </w:pPr>
      <w:r w:rsidRPr="0024512C">
        <w:rPr>
          <w:rFonts w:asciiTheme="majorHAnsi" w:eastAsia="Times New Roman" w:hAnsiTheme="majorHAnsi" w:cstheme="majorHAnsi"/>
          <w:bCs/>
          <w:color w:val="000000"/>
          <w:sz w:val="24"/>
          <w:szCs w:val="24"/>
          <w:lang w:val="ro-MD" w:eastAsia="ru-RU"/>
        </w:rPr>
        <w:t>În perioada 12.02.2019</w:t>
      </w:r>
      <w:r w:rsidR="00613A9C" w:rsidRPr="0024512C">
        <w:rPr>
          <w:rFonts w:asciiTheme="majorHAnsi" w:eastAsia="Times New Roman" w:hAnsiTheme="majorHAnsi" w:cstheme="majorHAnsi"/>
          <w:bCs/>
          <w:color w:val="000000"/>
          <w:sz w:val="24"/>
          <w:szCs w:val="24"/>
          <w:lang w:val="ro-MD" w:eastAsia="ru-RU"/>
        </w:rPr>
        <w:t xml:space="preserve"> </w:t>
      </w:r>
      <w:r w:rsidRPr="0024512C">
        <w:rPr>
          <w:rFonts w:asciiTheme="majorHAnsi" w:eastAsia="Times New Roman" w:hAnsiTheme="majorHAnsi" w:cstheme="majorHAnsi"/>
          <w:bCs/>
          <w:color w:val="000000"/>
          <w:sz w:val="24"/>
          <w:szCs w:val="24"/>
          <w:lang w:val="ro-MD" w:eastAsia="ru-RU"/>
        </w:rPr>
        <w:t>-</w:t>
      </w:r>
      <w:r w:rsidR="00613A9C" w:rsidRPr="0024512C">
        <w:rPr>
          <w:rFonts w:asciiTheme="majorHAnsi" w:eastAsia="Times New Roman" w:hAnsiTheme="majorHAnsi" w:cstheme="majorHAnsi"/>
          <w:bCs/>
          <w:color w:val="000000"/>
          <w:sz w:val="24"/>
          <w:szCs w:val="24"/>
          <w:lang w:val="ro-MD" w:eastAsia="ru-RU"/>
        </w:rPr>
        <w:t xml:space="preserve"> </w:t>
      </w:r>
      <w:r w:rsidRPr="0024512C">
        <w:rPr>
          <w:rFonts w:asciiTheme="majorHAnsi" w:eastAsia="Times New Roman" w:hAnsiTheme="majorHAnsi" w:cstheme="majorHAnsi"/>
          <w:bCs/>
          <w:color w:val="000000"/>
          <w:sz w:val="24"/>
          <w:szCs w:val="24"/>
          <w:lang w:val="ro-MD" w:eastAsia="ru-RU"/>
        </w:rPr>
        <w:t>03.06.2019, DLC a transferat î</w:t>
      </w:r>
      <w:r w:rsidR="00613A9C" w:rsidRPr="0024512C">
        <w:rPr>
          <w:rFonts w:asciiTheme="majorHAnsi" w:eastAsia="Times New Roman" w:hAnsiTheme="majorHAnsi" w:cstheme="majorHAnsi"/>
          <w:bCs/>
          <w:color w:val="000000"/>
          <w:sz w:val="24"/>
          <w:szCs w:val="24"/>
          <w:lang w:val="ro-MD" w:eastAsia="ru-RU"/>
        </w:rPr>
        <w:t>n tranșe mijloacele necesare MF</w:t>
      </w:r>
      <w:r w:rsidR="002437F6">
        <w:rPr>
          <w:rFonts w:asciiTheme="majorHAnsi" w:eastAsia="Times New Roman" w:hAnsiTheme="majorHAnsi" w:cstheme="majorHAnsi"/>
          <w:bCs/>
          <w:color w:val="000000"/>
          <w:sz w:val="24"/>
          <w:szCs w:val="24"/>
          <w:lang w:val="ro-MD" w:eastAsia="ru-RU"/>
        </w:rPr>
        <w:t>,</w:t>
      </w:r>
      <w:r w:rsidRPr="002437F6">
        <w:rPr>
          <w:rFonts w:asciiTheme="majorHAnsi" w:eastAsia="Times New Roman" w:hAnsiTheme="majorHAnsi" w:cstheme="majorHAnsi"/>
          <w:bCs/>
          <w:color w:val="000000"/>
          <w:sz w:val="24"/>
          <w:szCs w:val="24"/>
          <w:lang w:val="ro-MD" w:eastAsia="ru-RU"/>
        </w:rPr>
        <w:t xml:space="preserve"> în baza a 6 solicitări pr</w:t>
      </w:r>
      <w:r w:rsidRPr="0024512C">
        <w:rPr>
          <w:rFonts w:asciiTheme="majorHAnsi" w:eastAsia="Times New Roman" w:hAnsiTheme="majorHAnsi" w:cstheme="majorHAnsi"/>
          <w:bCs/>
          <w:color w:val="000000"/>
          <w:sz w:val="24"/>
          <w:szCs w:val="24"/>
          <w:lang w:val="ro-MD" w:eastAsia="ru-RU"/>
        </w:rPr>
        <w:t xml:space="preserve">imite de la MF. </w:t>
      </w:r>
      <w:r w:rsidR="00115277" w:rsidRPr="0024512C">
        <w:rPr>
          <w:rFonts w:asciiTheme="majorHAnsi" w:eastAsia="Times New Roman" w:hAnsiTheme="majorHAnsi" w:cstheme="majorHAnsi"/>
          <w:bCs/>
          <w:color w:val="000000"/>
          <w:sz w:val="24"/>
          <w:szCs w:val="24"/>
          <w:lang w:val="ro-MD" w:eastAsia="ru-RU"/>
        </w:rPr>
        <w:t xml:space="preserve">Conform explicațiilor primite de la MF, încasările din mijloacele transferate de către DLC au fost utilizate pentru achitarea plăților prioritare, în conformitate cu art.67 al Legii finanțelor publice și responsabilității bugetar-fiscale nr.181 din 25.07.2014. </w:t>
      </w:r>
      <w:r w:rsidR="00B904C7" w:rsidRPr="0024512C">
        <w:rPr>
          <w:rFonts w:asciiTheme="majorHAnsi" w:eastAsia="Times New Roman" w:hAnsiTheme="majorHAnsi" w:cstheme="majorHAnsi"/>
          <w:bCs/>
          <w:color w:val="000000"/>
          <w:sz w:val="24"/>
          <w:szCs w:val="24"/>
          <w:lang w:val="ro-MD" w:eastAsia="ru-RU"/>
        </w:rPr>
        <w:t xml:space="preserve">Rambursarea mijloacelor </w:t>
      </w:r>
      <w:r w:rsidRPr="0024512C">
        <w:rPr>
          <w:rFonts w:asciiTheme="majorHAnsi" w:eastAsia="Times New Roman" w:hAnsiTheme="majorHAnsi" w:cstheme="majorHAnsi"/>
          <w:bCs/>
          <w:color w:val="000000"/>
          <w:sz w:val="24"/>
          <w:szCs w:val="24"/>
          <w:lang w:val="ro-MD" w:eastAsia="ru-RU"/>
        </w:rPr>
        <w:t>contractate de la</w:t>
      </w:r>
      <w:r w:rsidR="00B904C7" w:rsidRPr="0024512C">
        <w:rPr>
          <w:rFonts w:asciiTheme="majorHAnsi" w:eastAsia="Times New Roman" w:hAnsiTheme="majorHAnsi" w:cstheme="majorHAnsi"/>
          <w:bCs/>
          <w:color w:val="000000"/>
          <w:sz w:val="24"/>
          <w:szCs w:val="24"/>
          <w:lang w:val="ro-MD" w:eastAsia="ru-RU"/>
        </w:rPr>
        <w:t xml:space="preserve"> DLC s-a efectuat de către MF pe parcursul perioadei 25.02.2019</w:t>
      </w:r>
      <w:r w:rsidR="00613A9C" w:rsidRPr="0024512C">
        <w:rPr>
          <w:rFonts w:asciiTheme="majorHAnsi" w:eastAsia="Times New Roman" w:hAnsiTheme="majorHAnsi" w:cstheme="majorHAnsi"/>
          <w:bCs/>
          <w:color w:val="000000"/>
          <w:sz w:val="24"/>
          <w:szCs w:val="24"/>
          <w:lang w:val="ro-MD" w:eastAsia="ru-RU"/>
        </w:rPr>
        <w:t xml:space="preserve"> </w:t>
      </w:r>
      <w:r w:rsidR="00B904C7" w:rsidRPr="0024512C">
        <w:rPr>
          <w:rFonts w:asciiTheme="majorHAnsi" w:eastAsia="Times New Roman" w:hAnsiTheme="majorHAnsi" w:cstheme="majorHAnsi"/>
          <w:bCs/>
          <w:color w:val="000000"/>
          <w:sz w:val="24"/>
          <w:szCs w:val="24"/>
          <w:lang w:val="ro-MD" w:eastAsia="ru-RU"/>
        </w:rPr>
        <w:t>-</w:t>
      </w:r>
      <w:r w:rsidR="00613A9C" w:rsidRPr="0024512C">
        <w:rPr>
          <w:rFonts w:asciiTheme="majorHAnsi" w:eastAsia="Times New Roman" w:hAnsiTheme="majorHAnsi" w:cstheme="majorHAnsi"/>
          <w:bCs/>
          <w:color w:val="000000"/>
          <w:sz w:val="24"/>
          <w:szCs w:val="24"/>
          <w:lang w:val="ro-MD" w:eastAsia="ru-RU"/>
        </w:rPr>
        <w:t xml:space="preserve"> </w:t>
      </w:r>
      <w:r w:rsidR="00B904C7" w:rsidRPr="0024512C">
        <w:rPr>
          <w:rFonts w:asciiTheme="majorHAnsi" w:eastAsia="Times New Roman" w:hAnsiTheme="majorHAnsi" w:cstheme="majorHAnsi"/>
          <w:bCs/>
          <w:color w:val="000000"/>
          <w:sz w:val="24"/>
          <w:szCs w:val="24"/>
          <w:lang w:val="ro-MD" w:eastAsia="ru-RU"/>
        </w:rPr>
        <w:t>10.06.2019</w:t>
      </w:r>
      <w:r w:rsidR="007B0EC8" w:rsidRPr="0024512C">
        <w:rPr>
          <w:rFonts w:asciiTheme="majorHAnsi" w:eastAsia="Times New Roman" w:hAnsiTheme="majorHAnsi" w:cstheme="majorHAnsi"/>
          <w:bCs/>
          <w:color w:val="000000"/>
          <w:sz w:val="24"/>
          <w:szCs w:val="24"/>
          <w:lang w:val="ro-MD" w:eastAsia="ru-RU"/>
        </w:rPr>
        <w:t xml:space="preserve">, sau în decurs de 7-21 </w:t>
      </w:r>
      <w:r w:rsidR="00613A9C" w:rsidRPr="0024512C">
        <w:rPr>
          <w:rFonts w:asciiTheme="majorHAnsi" w:eastAsia="Times New Roman" w:hAnsiTheme="majorHAnsi" w:cstheme="majorHAnsi"/>
          <w:bCs/>
          <w:color w:val="000000"/>
          <w:sz w:val="24"/>
          <w:szCs w:val="24"/>
          <w:lang w:val="ro-MD" w:eastAsia="ru-RU"/>
        </w:rPr>
        <w:t xml:space="preserve">de </w:t>
      </w:r>
      <w:r w:rsidR="007B0EC8" w:rsidRPr="0024512C">
        <w:rPr>
          <w:rFonts w:asciiTheme="majorHAnsi" w:eastAsia="Times New Roman" w:hAnsiTheme="majorHAnsi" w:cstheme="majorHAnsi"/>
          <w:bCs/>
          <w:color w:val="000000"/>
          <w:sz w:val="24"/>
          <w:szCs w:val="24"/>
          <w:lang w:val="ro-MD" w:eastAsia="ru-RU"/>
        </w:rPr>
        <w:t>zile după contractare</w:t>
      </w:r>
      <w:r w:rsidR="00B904C7" w:rsidRPr="0024512C">
        <w:rPr>
          <w:rFonts w:asciiTheme="majorHAnsi" w:eastAsia="Times New Roman" w:hAnsiTheme="majorHAnsi" w:cstheme="majorHAnsi"/>
          <w:bCs/>
          <w:color w:val="000000"/>
          <w:sz w:val="24"/>
          <w:szCs w:val="24"/>
          <w:lang w:val="ro-MD" w:eastAsia="ru-RU"/>
        </w:rPr>
        <w:t>.</w:t>
      </w:r>
      <w:r w:rsidR="003C31DC" w:rsidRPr="0024512C">
        <w:rPr>
          <w:rFonts w:asciiTheme="majorHAnsi" w:eastAsia="Times New Roman" w:hAnsiTheme="majorHAnsi" w:cstheme="majorHAnsi"/>
          <w:bCs/>
          <w:color w:val="000000"/>
          <w:sz w:val="24"/>
          <w:szCs w:val="24"/>
          <w:lang w:val="ro-MD" w:eastAsia="ru-RU"/>
        </w:rPr>
        <w:t xml:space="preserve"> </w:t>
      </w:r>
      <w:r w:rsidRPr="0024512C">
        <w:rPr>
          <w:rFonts w:asciiTheme="majorHAnsi" w:eastAsia="Times New Roman" w:hAnsiTheme="majorHAnsi" w:cstheme="majorHAnsi"/>
          <w:bCs/>
          <w:color w:val="000000"/>
          <w:sz w:val="24"/>
          <w:szCs w:val="24"/>
          <w:lang w:val="ro-MD" w:eastAsia="ru-RU"/>
        </w:rPr>
        <w:t xml:space="preserve">Astfel, MF a </w:t>
      </w:r>
      <w:r w:rsidR="00613A9C" w:rsidRPr="0024512C">
        <w:rPr>
          <w:rFonts w:asciiTheme="majorHAnsi" w:eastAsia="Times New Roman" w:hAnsiTheme="majorHAnsi" w:cstheme="majorHAnsi"/>
          <w:bCs/>
          <w:color w:val="000000"/>
          <w:sz w:val="24"/>
          <w:szCs w:val="24"/>
          <w:lang w:val="ro-MD" w:eastAsia="ru-RU"/>
        </w:rPr>
        <w:t>găsit</w:t>
      </w:r>
      <w:r w:rsidRPr="0024512C">
        <w:rPr>
          <w:rFonts w:asciiTheme="majorHAnsi" w:eastAsia="Times New Roman" w:hAnsiTheme="majorHAnsi" w:cstheme="majorHAnsi"/>
          <w:bCs/>
          <w:color w:val="000000"/>
          <w:sz w:val="24"/>
          <w:szCs w:val="24"/>
          <w:lang w:val="ro-MD" w:eastAsia="ru-RU"/>
        </w:rPr>
        <w:t xml:space="preserve"> modalitatea de asigurare a necesităților financiare ale bugetului de stat </w:t>
      </w:r>
      <w:r w:rsidR="006853AD">
        <w:rPr>
          <w:rFonts w:asciiTheme="majorHAnsi" w:eastAsia="Times New Roman" w:hAnsiTheme="majorHAnsi" w:cstheme="majorHAnsi"/>
          <w:bCs/>
          <w:color w:val="000000"/>
          <w:sz w:val="24"/>
          <w:szCs w:val="24"/>
          <w:lang w:val="ro-MD" w:eastAsia="ru-RU"/>
        </w:rPr>
        <w:t xml:space="preserve">la </w:t>
      </w:r>
      <w:r w:rsidRPr="002437F6">
        <w:rPr>
          <w:rFonts w:asciiTheme="majorHAnsi" w:eastAsia="Times New Roman" w:hAnsiTheme="majorHAnsi" w:cstheme="majorHAnsi"/>
          <w:bCs/>
          <w:color w:val="000000"/>
          <w:sz w:val="24"/>
          <w:szCs w:val="24"/>
          <w:lang w:val="ro-MD" w:eastAsia="ru-RU"/>
        </w:rPr>
        <w:t xml:space="preserve">cel mai acceptabil </w:t>
      </w:r>
      <w:r w:rsidR="004A2FF7" w:rsidRPr="0024512C">
        <w:rPr>
          <w:rFonts w:asciiTheme="majorHAnsi" w:eastAsia="Times New Roman" w:hAnsiTheme="majorHAnsi" w:cstheme="majorHAnsi"/>
          <w:bCs/>
          <w:color w:val="000000"/>
          <w:sz w:val="24"/>
          <w:szCs w:val="24"/>
          <w:lang w:val="ro-MD" w:eastAsia="ru-RU"/>
        </w:rPr>
        <w:t>nivel de cheltuieli și de risc</w:t>
      </w:r>
      <w:r w:rsidR="00994844" w:rsidRPr="0024512C">
        <w:rPr>
          <w:rFonts w:asciiTheme="majorHAnsi" w:eastAsia="Times New Roman" w:hAnsiTheme="majorHAnsi" w:cstheme="majorHAnsi"/>
          <w:bCs/>
          <w:color w:val="000000"/>
          <w:sz w:val="24"/>
          <w:szCs w:val="24"/>
          <w:lang w:val="ro-MD" w:eastAsia="ru-RU"/>
        </w:rPr>
        <w:t>.</w:t>
      </w:r>
    </w:p>
    <w:p w:rsidR="009E4B49" w:rsidRPr="0024512C" w:rsidRDefault="00B72B71" w:rsidP="00805CC0">
      <w:pPr>
        <w:pStyle w:val="ListParagraph"/>
        <w:numPr>
          <w:ilvl w:val="2"/>
          <w:numId w:val="2"/>
        </w:numPr>
        <w:autoSpaceDE w:val="0"/>
        <w:autoSpaceDN w:val="0"/>
        <w:adjustRightInd w:val="0"/>
        <w:spacing w:line="240" w:lineRule="auto"/>
        <w:ind w:left="0" w:firstLine="0"/>
        <w:jc w:val="both"/>
        <w:outlineLvl w:val="1"/>
        <w:rPr>
          <w:rFonts w:asciiTheme="majorHAnsi" w:eastAsia="Times New Roman" w:hAnsiTheme="majorHAnsi" w:cstheme="majorHAnsi"/>
          <w:b/>
          <w:bCs/>
          <w:i/>
          <w:color w:val="5B9BD5" w:themeColor="accent1"/>
          <w:sz w:val="24"/>
          <w:szCs w:val="24"/>
          <w:lang w:val="ro-MD" w:eastAsia="ru-RU"/>
        </w:rPr>
      </w:pPr>
      <w:bookmarkStart w:id="16" w:name="_Toc47009716"/>
      <w:r w:rsidRPr="0024512C">
        <w:rPr>
          <w:rFonts w:asciiTheme="majorHAnsi" w:eastAsia="Times New Roman" w:hAnsiTheme="majorHAnsi" w:cstheme="majorHAnsi"/>
          <w:b/>
          <w:bCs/>
          <w:i/>
          <w:color w:val="5B9BD5" w:themeColor="accent1"/>
          <w:sz w:val="24"/>
          <w:szCs w:val="24"/>
          <w:lang w:val="ro-MD" w:eastAsia="ru-RU"/>
        </w:rPr>
        <w:t>G</w:t>
      </w:r>
      <w:r w:rsidR="009E4B49" w:rsidRPr="0024512C">
        <w:rPr>
          <w:rFonts w:asciiTheme="majorHAnsi" w:eastAsia="Times New Roman" w:hAnsiTheme="majorHAnsi" w:cstheme="majorHAnsi"/>
          <w:b/>
          <w:bCs/>
          <w:i/>
          <w:color w:val="5B9BD5" w:themeColor="accent1"/>
          <w:sz w:val="24"/>
          <w:szCs w:val="24"/>
          <w:lang w:val="ro-MD" w:eastAsia="ru-RU"/>
        </w:rPr>
        <w:t>es</w:t>
      </w:r>
      <w:r w:rsidR="00613A9C" w:rsidRPr="0024512C">
        <w:rPr>
          <w:rFonts w:asciiTheme="majorHAnsi" w:eastAsia="Times New Roman" w:hAnsiTheme="majorHAnsi" w:cstheme="majorHAnsi"/>
          <w:b/>
          <w:bCs/>
          <w:i/>
          <w:color w:val="5B9BD5" w:themeColor="accent1"/>
          <w:sz w:val="24"/>
          <w:szCs w:val="24"/>
          <w:lang w:val="ro-MD" w:eastAsia="ru-RU"/>
        </w:rPr>
        <w:t>tionarea Liniilor de credit</w:t>
      </w:r>
      <w:r w:rsidR="00633332" w:rsidRPr="0024512C">
        <w:rPr>
          <w:rFonts w:asciiTheme="majorHAnsi" w:eastAsia="Times New Roman" w:hAnsiTheme="majorHAnsi" w:cstheme="majorHAnsi"/>
          <w:b/>
          <w:bCs/>
          <w:i/>
          <w:color w:val="5B9BD5" w:themeColor="accent1"/>
          <w:sz w:val="24"/>
          <w:szCs w:val="24"/>
          <w:lang w:val="ro-MD" w:eastAsia="ru-RU"/>
        </w:rPr>
        <w:t xml:space="preserve"> și a Proiectelor</w:t>
      </w:r>
      <w:r w:rsidRPr="0024512C">
        <w:rPr>
          <w:rFonts w:asciiTheme="majorHAnsi" w:eastAsia="Times New Roman" w:hAnsiTheme="majorHAnsi" w:cstheme="majorHAnsi"/>
          <w:b/>
          <w:bCs/>
          <w:i/>
          <w:color w:val="5B9BD5" w:themeColor="accent1"/>
          <w:sz w:val="24"/>
          <w:szCs w:val="24"/>
          <w:lang w:val="ro-MD" w:eastAsia="ru-RU"/>
        </w:rPr>
        <w:t xml:space="preserve"> s-a realizat în conformitate cu funcțiile și sarcinile atribuite DLC</w:t>
      </w:r>
      <w:bookmarkEnd w:id="16"/>
    </w:p>
    <w:p w:rsidR="00497FE6" w:rsidRPr="00F40E62" w:rsidRDefault="00497FE6" w:rsidP="00A01A32">
      <w:pPr>
        <w:spacing w:line="276" w:lineRule="auto"/>
        <w:jc w:val="both"/>
        <w:rPr>
          <w:rFonts w:ascii="Calibri Light" w:hAnsi="Calibri Light" w:cs="Calibri Light"/>
          <w:bCs/>
          <w:sz w:val="24"/>
          <w:szCs w:val="24"/>
          <w:lang w:val="ro-MD"/>
        </w:rPr>
      </w:pPr>
      <w:r w:rsidRPr="0024512C">
        <w:rPr>
          <w:rFonts w:asciiTheme="majorHAnsi" w:eastAsia="Times New Roman" w:hAnsiTheme="majorHAnsi" w:cstheme="majorHAnsi"/>
          <w:bCs/>
          <w:color w:val="000000"/>
          <w:sz w:val="24"/>
          <w:szCs w:val="24"/>
          <w:lang w:val="ro-MD" w:eastAsia="ru-RU"/>
        </w:rPr>
        <w:t xml:space="preserve">La situația din 31 decembrie 2019, </w:t>
      </w:r>
      <w:r w:rsidR="00613A9C" w:rsidRPr="0024512C">
        <w:rPr>
          <w:rFonts w:asciiTheme="majorHAnsi" w:eastAsia="Times New Roman" w:hAnsiTheme="majorHAnsi" w:cstheme="majorHAnsi"/>
          <w:bCs/>
          <w:color w:val="000000"/>
          <w:sz w:val="24"/>
          <w:szCs w:val="24"/>
          <w:lang w:val="ro-MD" w:eastAsia="ru-RU"/>
        </w:rPr>
        <w:t>DLC gestion</w:t>
      </w:r>
      <w:r w:rsidR="002437F6">
        <w:rPr>
          <w:rFonts w:asciiTheme="majorHAnsi" w:eastAsia="Times New Roman" w:hAnsiTheme="majorHAnsi" w:cstheme="majorHAnsi"/>
          <w:bCs/>
          <w:color w:val="000000"/>
          <w:sz w:val="24"/>
          <w:szCs w:val="24"/>
          <w:lang w:val="ro-MD" w:eastAsia="ru-RU"/>
        </w:rPr>
        <w:t>a</w:t>
      </w:r>
      <w:r w:rsidRPr="002437F6">
        <w:rPr>
          <w:rFonts w:asciiTheme="majorHAnsi" w:eastAsia="Times New Roman" w:hAnsiTheme="majorHAnsi" w:cstheme="majorHAnsi"/>
          <w:bCs/>
          <w:color w:val="000000"/>
          <w:sz w:val="24"/>
          <w:szCs w:val="24"/>
          <w:lang w:val="ro-MD" w:eastAsia="ru-RU"/>
        </w:rPr>
        <w:t xml:space="preserve"> 21 de Proiecte și Linii de credit.</w:t>
      </w:r>
      <w:r w:rsidR="008854DD" w:rsidRPr="002437F6">
        <w:rPr>
          <w:rFonts w:asciiTheme="majorHAnsi" w:eastAsia="Times New Roman" w:hAnsiTheme="majorHAnsi" w:cstheme="majorHAnsi"/>
          <w:bCs/>
          <w:color w:val="000000"/>
          <w:sz w:val="24"/>
          <w:szCs w:val="24"/>
          <w:lang w:val="ro-MD" w:eastAsia="ru-RU"/>
        </w:rPr>
        <w:t xml:space="preserve"> În cadrul unor Proiecte și Linii de credit, DLC deține responsabilități depline de implementare și realizare,</w:t>
      </w:r>
      <w:r w:rsidR="00814193" w:rsidRPr="002437F6">
        <w:rPr>
          <w:rFonts w:asciiTheme="majorHAnsi" w:eastAsia="Times New Roman" w:hAnsiTheme="majorHAnsi" w:cstheme="majorHAnsi"/>
          <w:bCs/>
          <w:color w:val="000000"/>
          <w:sz w:val="24"/>
          <w:szCs w:val="24"/>
          <w:lang w:val="ro-MD" w:eastAsia="ru-RU"/>
        </w:rPr>
        <w:t xml:space="preserve"> pe când</w:t>
      </w:r>
      <w:r w:rsidR="008854DD" w:rsidRPr="002437F6">
        <w:rPr>
          <w:rFonts w:asciiTheme="majorHAnsi" w:eastAsia="Times New Roman" w:hAnsiTheme="majorHAnsi" w:cstheme="majorHAnsi"/>
          <w:bCs/>
          <w:color w:val="000000"/>
          <w:sz w:val="24"/>
          <w:szCs w:val="24"/>
          <w:lang w:val="ro-MD" w:eastAsia="ru-RU"/>
        </w:rPr>
        <w:t xml:space="preserve"> în cadrul </w:t>
      </w:r>
      <w:r w:rsidR="00613A9C" w:rsidRPr="002437F6">
        <w:rPr>
          <w:rFonts w:asciiTheme="majorHAnsi" w:eastAsia="Times New Roman" w:hAnsiTheme="majorHAnsi" w:cstheme="majorHAnsi"/>
          <w:bCs/>
          <w:color w:val="000000"/>
          <w:sz w:val="24"/>
          <w:szCs w:val="24"/>
          <w:lang w:val="ro-MD" w:eastAsia="ru-RU"/>
        </w:rPr>
        <w:t>altor</w:t>
      </w:r>
      <w:r w:rsidR="00F40E62">
        <w:rPr>
          <w:rFonts w:asciiTheme="majorHAnsi" w:eastAsia="Times New Roman" w:hAnsiTheme="majorHAnsi" w:cstheme="majorHAnsi"/>
          <w:bCs/>
          <w:color w:val="000000"/>
          <w:sz w:val="24"/>
          <w:szCs w:val="24"/>
          <w:lang w:val="ro-MD" w:eastAsia="ru-RU"/>
        </w:rPr>
        <w:t>a –</w:t>
      </w:r>
      <w:r w:rsidR="008854DD" w:rsidRPr="002437F6">
        <w:rPr>
          <w:rFonts w:asciiTheme="majorHAnsi" w:eastAsia="Times New Roman" w:hAnsiTheme="majorHAnsi" w:cstheme="majorHAnsi"/>
          <w:bCs/>
          <w:color w:val="000000"/>
          <w:sz w:val="24"/>
          <w:szCs w:val="24"/>
          <w:lang w:val="ro-MD" w:eastAsia="ru-RU"/>
        </w:rPr>
        <w:t xml:space="preserve"> doar funcția de </w:t>
      </w:r>
      <w:r w:rsidR="008854DD" w:rsidRPr="002437F6">
        <w:rPr>
          <w:rFonts w:ascii="Calibri Light" w:hAnsi="Calibri Light" w:cs="Calibri Light"/>
          <w:bCs/>
          <w:sz w:val="24"/>
          <w:szCs w:val="24"/>
          <w:lang w:val="ro-MD"/>
        </w:rPr>
        <w:t>monitorizare și colectare a plăților de deservire asupra sub</w:t>
      </w:r>
      <w:r w:rsidR="008854DD" w:rsidRPr="00F40E62">
        <w:rPr>
          <w:rFonts w:ascii="Calibri Light" w:hAnsi="Calibri Light" w:cs="Calibri Light"/>
          <w:bCs/>
          <w:sz w:val="24"/>
          <w:szCs w:val="24"/>
          <w:lang w:val="ro-MD"/>
        </w:rPr>
        <w:t xml:space="preserve">-împrumuturilor acordate de către Unitățile responsabile de implementarea Proiectelor sau de către MF. Responsabilitățile DLC sunt stabilite </w:t>
      </w:r>
      <w:r w:rsidR="00A01A32" w:rsidRPr="00F40E62">
        <w:rPr>
          <w:rFonts w:ascii="Calibri Light" w:hAnsi="Calibri Light" w:cs="Calibri Light"/>
          <w:bCs/>
          <w:sz w:val="24"/>
          <w:szCs w:val="24"/>
          <w:lang w:val="ro-MD"/>
        </w:rPr>
        <w:t xml:space="preserve">în Acordurile de finanțare semnate între Republica Moldova și creditorii externi, Manualele operaționale ale Proiectelor sau Ordinile MF de transmitere a unor sarcini către DLC. </w:t>
      </w:r>
    </w:p>
    <w:p w:rsidR="00A01A32" w:rsidRPr="0024512C" w:rsidRDefault="00A01A32" w:rsidP="00A01A32">
      <w:pPr>
        <w:spacing w:line="276" w:lineRule="auto"/>
        <w:jc w:val="both"/>
        <w:rPr>
          <w:rFonts w:asciiTheme="majorHAnsi" w:eastAsia="Times New Roman" w:hAnsiTheme="majorHAnsi" w:cstheme="majorHAnsi"/>
          <w:bCs/>
          <w:i/>
          <w:color w:val="000000"/>
          <w:sz w:val="24"/>
          <w:szCs w:val="24"/>
          <w:lang w:val="ro-MD" w:eastAsia="ru-RU"/>
        </w:rPr>
      </w:pPr>
      <w:r w:rsidRPr="00F40E62">
        <w:rPr>
          <w:rFonts w:ascii="Calibri Light" w:hAnsi="Calibri Light" w:cs="Calibri Light"/>
          <w:bCs/>
          <w:sz w:val="24"/>
          <w:szCs w:val="24"/>
          <w:lang w:val="ro-MD"/>
        </w:rPr>
        <w:t>Verificările auditului s-au axat atât pe Proiecte</w:t>
      </w:r>
      <w:r w:rsidR="00F40E62">
        <w:rPr>
          <w:rFonts w:ascii="Calibri Light" w:hAnsi="Calibri Light" w:cs="Calibri Light"/>
          <w:bCs/>
          <w:sz w:val="24"/>
          <w:szCs w:val="24"/>
          <w:lang w:val="ro-MD"/>
        </w:rPr>
        <w:t>le</w:t>
      </w:r>
      <w:r w:rsidRPr="00F40E62">
        <w:rPr>
          <w:rFonts w:ascii="Calibri Light" w:hAnsi="Calibri Light" w:cs="Calibri Light"/>
          <w:bCs/>
          <w:sz w:val="24"/>
          <w:szCs w:val="24"/>
          <w:lang w:val="ro-MD"/>
        </w:rPr>
        <w:t xml:space="preserve"> și Linii</w:t>
      </w:r>
      <w:r w:rsidR="00F40E62">
        <w:rPr>
          <w:rFonts w:ascii="Calibri Light" w:hAnsi="Calibri Light" w:cs="Calibri Light"/>
          <w:bCs/>
          <w:sz w:val="24"/>
          <w:szCs w:val="24"/>
          <w:lang w:val="ro-MD"/>
        </w:rPr>
        <w:t>le</w:t>
      </w:r>
      <w:r w:rsidRPr="00F40E62">
        <w:rPr>
          <w:rFonts w:ascii="Calibri Light" w:hAnsi="Calibri Light" w:cs="Calibri Light"/>
          <w:bCs/>
          <w:sz w:val="24"/>
          <w:szCs w:val="24"/>
          <w:lang w:val="ro-MD"/>
        </w:rPr>
        <w:t xml:space="preserve"> de credit gestionate în totalitate de către DLC, cât și pe Proiecte</w:t>
      </w:r>
      <w:r w:rsidR="00613A9C" w:rsidRPr="0024512C">
        <w:rPr>
          <w:rFonts w:ascii="Calibri Light" w:hAnsi="Calibri Light" w:cs="Calibri Light"/>
          <w:bCs/>
          <w:sz w:val="24"/>
          <w:szCs w:val="24"/>
          <w:lang w:val="ro-MD"/>
        </w:rPr>
        <w:t>le</w:t>
      </w:r>
      <w:r w:rsidRPr="0024512C">
        <w:rPr>
          <w:rFonts w:ascii="Calibri Light" w:hAnsi="Calibri Light" w:cs="Calibri Light"/>
          <w:bCs/>
          <w:sz w:val="24"/>
          <w:szCs w:val="24"/>
          <w:lang w:val="ro-MD"/>
        </w:rPr>
        <w:t xml:space="preserve"> în care DLC deține doar sarcini de colectare a plăților, în totalitate fiind analizate 16 Proiecte investiționale și Linii de credit.</w:t>
      </w:r>
      <w:r w:rsidR="0067212B" w:rsidRPr="0024512C">
        <w:rPr>
          <w:rFonts w:ascii="Calibri Light" w:hAnsi="Calibri Light" w:cs="Calibri Light"/>
          <w:bCs/>
          <w:sz w:val="24"/>
          <w:szCs w:val="24"/>
          <w:lang w:val="ro-MD"/>
        </w:rPr>
        <w:t xml:space="preserve"> </w:t>
      </w:r>
      <w:r w:rsidR="0067212B" w:rsidRPr="0024512C">
        <w:rPr>
          <w:rFonts w:ascii="Calibri Light" w:hAnsi="Calibri Light" w:cs="Calibri Light"/>
          <w:bCs/>
          <w:i/>
          <w:sz w:val="24"/>
          <w:szCs w:val="24"/>
          <w:lang w:val="ro-MD"/>
        </w:rPr>
        <w:t>Informația detaliată cu descrierea Proiectelor se prezintă în Anexa nr.</w:t>
      </w:r>
      <w:r w:rsidR="004F396C" w:rsidRPr="0024512C">
        <w:rPr>
          <w:rFonts w:ascii="Calibri Light" w:hAnsi="Calibri Light" w:cs="Calibri Light"/>
          <w:bCs/>
          <w:i/>
          <w:sz w:val="24"/>
          <w:szCs w:val="24"/>
          <w:lang w:val="ro-MD"/>
        </w:rPr>
        <w:t xml:space="preserve"> 6</w:t>
      </w:r>
      <w:r w:rsidR="0067212B" w:rsidRPr="0024512C">
        <w:rPr>
          <w:rFonts w:ascii="Calibri Light" w:hAnsi="Calibri Light" w:cs="Calibri Light"/>
          <w:bCs/>
          <w:i/>
          <w:sz w:val="24"/>
          <w:szCs w:val="24"/>
          <w:lang w:val="ro-MD"/>
        </w:rPr>
        <w:t xml:space="preserve"> la prezentul Raport de audit.</w:t>
      </w:r>
    </w:p>
    <w:p w:rsidR="009E446D" w:rsidRPr="00E53929" w:rsidRDefault="00CB1B4D" w:rsidP="008854DD">
      <w:pPr>
        <w:pStyle w:val="ListParagraph"/>
        <w:spacing w:line="276" w:lineRule="auto"/>
        <w:ind w:left="0"/>
        <w:jc w:val="both"/>
        <w:rPr>
          <w:rFonts w:ascii="Calibri Light" w:hAnsi="Calibri Light" w:cs="Calibri Light"/>
          <w:sz w:val="24"/>
          <w:szCs w:val="24"/>
          <w:lang w:val="ro-MD"/>
        </w:rPr>
      </w:pPr>
      <w:r w:rsidRPr="00321F59">
        <w:rPr>
          <w:rFonts w:ascii="Calibri Light" w:hAnsi="Calibri Light" w:cs="Calibri Light"/>
          <w:b/>
          <w:sz w:val="24"/>
          <w:szCs w:val="24"/>
          <w:lang w:val="ro-MD"/>
        </w:rPr>
        <w:t>Fondul Internațional p</w:t>
      </w:r>
      <w:r w:rsidR="00D57E93" w:rsidRPr="00321F59">
        <w:rPr>
          <w:rFonts w:ascii="Calibri Light" w:hAnsi="Calibri Light" w:cs="Calibri Light"/>
          <w:b/>
          <w:sz w:val="24"/>
          <w:szCs w:val="24"/>
          <w:lang w:val="ro-MD"/>
        </w:rPr>
        <w:t>entru Dezvoltarea Agricolă (FIDA</w:t>
      </w:r>
      <w:r w:rsidRPr="00321F59">
        <w:rPr>
          <w:rFonts w:ascii="Calibri Light" w:hAnsi="Calibri Light" w:cs="Calibri Light"/>
          <w:b/>
          <w:sz w:val="24"/>
          <w:szCs w:val="24"/>
          <w:lang w:val="ro-MD"/>
        </w:rPr>
        <w:t>)</w:t>
      </w:r>
      <w:r w:rsidRPr="00321F59">
        <w:rPr>
          <w:rFonts w:ascii="Calibri Light" w:hAnsi="Calibri Light" w:cs="Calibri Light"/>
          <w:sz w:val="24"/>
          <w:szCs w:val="24"/>
          <w:lang w:val="ro-MD"/>
        </w:rPr>
        <w:t xml:space="preserve"> pe parcursul anilor 2000 – 2017 a acordat Republicii Moldova 7 împrumuturi și granturi în vederea finanțării și implementării a 7 Proiecte investiționale</w:t>
      </w:r>
      <w:r w:rsidR="00487F33" w:rsidRPr="00321F59">
        <w:rPr>
          <w:rFonts w:ascii="Calibri Light" w:hAnsi="Calibri Light" w:cs="Calibri Light"/>
          <w:sz w:val="24"/>
          <w:szCs w:val="24"/>
          <w:lang w:val="ro-MD"/>
        </w:rPr>
        <w:t xml:space="preserve"> destinate combaterii</w:t>
      </w:r>
      <w:r w:rsidRPr="00321F59">
        <w:rPr>
          <w:rFonts w:ascii="Calibri Light" w:hAnsi="Calibri Light" w:cs="Calibri Light"/>
          <w:sz w:val="24"/>
          <w:szCs w:val="24"/>
          <w:lang w:val="ro-MD"/>
        </w:rPr>
        <w:t xml:space="preserve"> </w:t>
      </w:r>
      <w:r w:rsidR="00487F33" w:rsidRPr="0024512C">
        <w:rPr>
          <w:rFonts w:ascii="Calibri Light" w:hAnsi="Calibri Light" w:cs="Calibri Light"/>
          <w:sz w:val="24"/>
          <w:szCs w:val="24"/>
          <w:lang w:val="ro-MD"/>
        </w:rPr>
        <w:t xml:space="preserve">sărăciei în spațiul rural </w:t>
      </w:r>
      <w:r w:rsidR="009E446D" w:rsidRPr="0024512C">
        <w:rPr>
          <w:rFonts w:ascii="Calibri Light" w:hAnsi="Calibri Light" w:cs="Calibri Light"/>
          <w:sz w:val="24"/>
          <w:szCs w:val="24"/>
          <w:lang w:val="ro-MD"/>
        </w:rPr>
        <w:t>ș</w:t>
      </w:r>
      <w:r w:rsidR="009E446D" w:rsidRPr="005C74F5">
        <w:rPr>
          <w:rFonts w:ascii="Calibri Light" w:hAnsi="Calibri Light" w:cs="Calibri Light"/>
          <w:sz w:val="24"/>
          <w:szCs w:val="24"/>
          <w:lang w:val="ro-MD"/>
        </w:rPr>
        <w:t xml:space="preserve">i </w:t>
      </w:r>
      <w:r w:rsidR="00613A9C" w:rsidRPr="005C74F5">
        <w:rPr>
          <w:rFonts w:ascii="Calibri Light" w:hAnsi="Calibri Light" w:cs="Calibri Light"/>
          <w:bCs/>
          <w:sz w:val="24"/>
          <w:szCs w:val="24"/>
          <w:lang w:val="ro-MD"/>
        </w:rPr>
        <w:t>asigurării</w:t>
      </w:r>
      <w:r w:rsidR="009E446D" w:rsidRPr="005C74F5">
        <w:rPr>
          <w:rFonts w:ascii="Calibri Light" w:hAnsi="Calibri Light" w:cs="Calibri Light"/>
          <w:bCs/>
          <w:sz w:val="24"/>
          <w:szCs w:val="24"/>
          <w:lang w:val="ro-MD"/>
        </w:rPr>
        <w:t xml:space="preserve"> unei creșteri durabile a veniturilor persoanelor sărace </w:t>
      </w:r>
      <w:r w:rsidR="00487F33" w:rsidRPr="005C74F5">
        <w:rPr>
          <w:rFonts w:ascii="Calibri Light" w:hAnsi="Calibri Light" w:cs="Calibri Light"/>
          <w:sz w:val="24"/>
          <w:szCs w:val="24"/>
          <w:lang w:val="ro-MD"/>
        </w:rPr>
        <w:t>prin revitalizarea agriculturii.</w:t>
      </w:r>
      <w:r w:rsidR="00613A9C" w:rsidRPr="00E53929">
        <w:rPr>
          <w:rFonts w:ascii="Calibri Light" w:hAnsi="Calibri Light" w:cs="Calibri Light"/>
          <w:bCs/>
          <w:sz w:val="24"/>
          <w:szCs w:val="24"/>
          <w:lang w:val="ro-MD"/>
        </w:rPr>
        <w:t xml:space="preserve"> </w:t>
      </w:r>
      <w:r w:rsidR="009E446D" w:rsidRPr="00E53929">
        <w:rPr>
          <w:rFonts w:ascii="Calibri Light" w:hAnsi="Calibri Light" w:cs="Calibri Light"/>
          <w:bCs/>
          <w:sz w:val="24"/>
          <w:szCs w:val="24"/>
          <w:lang w:val="ro-MD"/>
        </w:rPr>
        <w:t>Proiectele au avut un caracter național, fiind implementat</w:t>
      </w:r>
      <w:r w:rsidR="00814193" w:rsidRPr="0024512C">
        <w:rPr>
          <w:rFonts w:ascii="Calibri Light" w:hAnsi="Calibri Light" w:cs="Calibri Light"/>
          <w:bCs/>
          <w:sz w:val="24"/>
          <w:szCs w:val="24"/>
          <w:lang w:val="ro-MD"/>
        </w:rPr>
        <w:t>e</w:t>
      </w:r>
      <w:r w:rsidR="009E446D" w:rsidRPr="0024512C">
        <w:rPr>
          <w:rFonts w:ascii="Calibri Light" w:hAnsi="Calibri Light" w:cs="Calibri Light"/>
          <w:bCs/>
          <w:sz w:val="24"/>
          <w:szCs w:val="24"/>
          <w:lang w:val="ro-MD"/>
        </w:rPr>
        <w:t xml:space="preserve"> în toate localitățile Republicii Moldova, cu excepția mun.</w:t>
      </w:r>
      <w:r w:rsidR="00CB4132" w:rsidRPr="0024512C">
        <w:rPr>
          <w:rFonts w:ascii="Calibri Light" w:hAnsi="Calibri Light" w:cs="Calibri Light"/>
          <w:bCs/>
          <w:sz w:val="24"/>
          <w:szCs w:val="24"/>
          <w:lang w:val="ro-MD"/>
        </w:rPr>
        <w:t xml:space="preserve"> Chișinău</w:t>
      </w:r>
      <w:r w:rsidR="009E446D" w:rsidRPr="0024512C">
        <w:rPr>
          <w:rFonts w:ascii="Calibri Light" w:hAnsi="Calibri Light" w:cs="Calibri Light"/>
          <w:bCs/>
          <w:sz w:val="24"/>
          <w:szCs w:val="24"/>
          <w:lang w:val="ro-MD"/>
        </w:rPr>
        <w:t>, mun.</w:t>
      </w:r>
      <w:r w:rsidR="00CB4132" w:rsidRPr="0024512C">
        <w:rPr>
          <w:rFonts w:ascii="Calibri Light" w:hAnsi="Calibri Light" w:cs="Calibri Light"/>
          <w:bCs/>
          <w:sz w:val="24"/>
          <w:szCs w:val="24"/>
          <w:lang w:val="ro-MD"/>
        </w:rPr>
        <w:t xml:space="preserve"> Bălți</w:t>
      </w:r>
      <w:r w:rsidR="009E446D" w:rsidRPr="0024512C">
        <w:rPr>
          <w:rFonts w:ascii="Calibri Light" w:hAnsi="Calibri Light" w:cs="Calibri Light"/>
          <w:bCs/>
          <w:sz w:val="24"/>
          <w:szCs w:val="24"/>
          <w:lang w:val="ro-MD"/>
        </w:rPr>
        <w:t xml:space="preserve"> și a </w:t>
      </w:r>
      <w:r w:rsidR="00E53929">
        <w:rPr>
          <w:rFonts w:ascii="Calibri Light" w:hAnsi="Calibri Light" w:cs="Calibri Light"/>
          <w:bCs/>
          <w:sz w:val="24"/>
          <w:szCs w:val="24"/>
          <w:lang w:val="ro-MD"/>
        </w:rPr>
        <w:t>u</w:t>
      </w:r>
      <w:r w:rsidR="009E446D" w:rsidRPr="00E53929">
        <w:rPr>
          <w:rFonts w:ascii="Calibri Light" w:hAnsi="Calibri Light" w:cs="Calibri Light"/>
          <w:bCs/>
          <w:sz w:val="24"/>
          <w:szCs w:val="24"/>
          <w:lang w:val="ro-MD"/>
        </w:rPr>
        <w:t xml:space="preserve">nităților </w:t>
      </w:r>
      <w:r w:rsidR="00E53929">
        <w:rPr>
          <w:rFonts w:ascii="Calibri Light" w:hAnsi="Calibri Light" w:cs="Calibri Light"/>
          <w:bCs/>
          <w:sz w:val="24"/>
          <w:szCs w:val="24"/>
          <w:lang w:val="ro-MD"/>
        </w:rPr>
        <w:t>a</w:t>
      </w:r>
      <w:r w:rsidR="009E446D" w:rsidRPr="00E53929">
        <w:rPr>
          <w:rFonts w:ascii="Calibri Light" w:hAnsi="Calibri Light" w:cs="Calibri Light"/>
          <w:bCs/>
          <w:sz w:val="24"/>
          <w:szCs w:val="24"/>
          <w:lang w:val="ro-MD"/>
        </w:rPr>
        <w:t>dministrativ-</w:t>
      </w:r>
      <w:r w:rsidR="00E53929">
        <w:rPr>
          <w:rFonts w:ascii="Calibri Light" w:hAnsi="Calibri Light" w:cs="Calibri Light"/>
          <w:bCs/>
          <w:sz w:val="24"/>
          <w:szCs w:val="24"/>
          <w:lang w:val="ro-MD"/>
        </w:rPr>
        <w:t>t</w:t>
      </w:r>
      <w:r w:rsidR="009E446D" w:rsidRPr="00E53929">
        <w:rPr>
          <w:rFonts w:ascii="Calibri Light" w:hAnsi="Calibri Light" w:cs="Calibri Light"/>
          <w:bCs/>
          <w:sz w:val="24"/>
          <w:szCs w:val="24"/>
          <w:lang w:val="ro-MD"/>
        </w:rPr>
        <w:t xml:space="preserve">eritoriale din </w:t>
      </w:r>
      <w:r w:rsidR="00E53929">
        <w:rPr>
          <w:rFonts w:ascii="Calibri Light" w:hAnsi="Calibri Light" w:cs="Calibri Light"/>
          <w:bCs/>
          <w:sz w:val="24"/>
          <w:szCs w:val="24"/>
          <w:lang w:val="ro-MD"/>
        </w:rPr>
        <w:t>s</w:t>
      </w:r>
      <w:r w:rsidR="009E446D" w:rsidRPr="00E53929">
        <w:rPr>
          <w:rFonts w:ascii="Calibri Light" w:hAnsi="Calibri Light" w:cs="Calibri Light"/>
          <w:bCs/>
          <w:sz w:val="24"/>
          <w:szCs w:val="24"/>
          <w:lang w:val="ro-MD"/>
        </w:rPr>
        <w:t>tânga Nistrului.</w:t>
      </w:r>
    </w:p>
    <w:p w:rsidR="00CB4132" w:rsidRPr="0024512C" w:rsidRDefault="00C16F09" w:rsidP="008854DD">
      <w:pPr>
        <w:spacing w:line="276" w:lineRule="auto"/>
        <w:jc w:val="both"/>
        <w:rPr>
          <w:rFonts w:ascii="Calibri Light" w:hAnsi="Calibri Light" w:cs="Calibri Light"/>
          <w:sz w:val="24"/>
          <w:szCs w:val="24"/>
          <w:lang w:val="ro-MD"/>
        </w:rPr>
      </w:pPr>
      <w:r w:rsidRPr="0024512C">
        <w:rPr>
          <w:rFonts w:ascii="Calibri Light" w:hAnsi="Calibri Light" w:cs="Calibri Light"/>
          <w:sz w:val="24"/>
          <w:szCs w:val="24"/>
          <w:lang w:val="ro-MD"/>
        </w:rPr>
        <w:t>Odată cu lansarea Primului Proiect FIDA în Moldova, prin Hotărârea Guvernului nr.980 din 25.09.2000</w:t>
      </w:r>
      <w:r w:rsidRPr="0024512C">
        <w:rPr>
          <w:rStyle w:val="FootnoteReference"/>
          <w:rFonts w:ascii="Calibri Light" w:hAnsi="Calibri Light" w:cs="Calibri Light"/>
          <w:sz w:val="24"/>
          <w:szCs w:val="24"/>
          <w:lang w:val="ro-MD"/>
        </w:rPr>
        <w:footnoteReference w:id="24"/>
      </w:r>
      <w:r w:rsidRPr="0024512C">
        <w:rPr>
          <w:rFonts w:ascii="Calibri Light" w:hAnsi="Calibri Light" w:cs="Calibri Light"/>
          <w:sz w:val="24"/>
          <w:szCs w:val="24"/>
          <w:lang w:val="ro-MD"/>
        </w:rPr>
        <w:t xml:space="preserve"> a fost creată </w:t>
      </w:r>
      <w:r w:rsidR="001E2498" w:rsidRPr="0024512C">
        <w:rPr>
          <w:rFonts w:asciiTheme="majorHAnsi" w:hAnsiTheme="majorHAnsi" w:cstheme="majorHAnsi"/>
          <w:sz w:val="24"/>
          <w:szCs w:val="24"/>
          <w:lang w:val="ro-MD"/>
        </w:rPr>
        <w:t>Unitatea Consolidată pentr</w:t>
      </w:r>
      <w:r w:rsidR="00814193" w:rsidRPr="0024512C">
        <w:rPr>
          <w:rFonts w:asciiTheme="majorHAnsi" w:hAnsiTheme="majorHAnsi" w:cstheme="majorHAnsi"/>
          <w:sz w:val="24"/>
          <w:szCs w:val="24"/>
          <w:lang w:val="ro-MD"/>
        </w:rPr>
        <w:t>u Implementarea Programelor</w:t>
      </w:r>
      <w:r w:rsidR="001E2498" w:rsidRPr="005C74F5">
        <w:rPr>
          <w:rFonts w:asciiTheme="majorHAnsi" w:hAnsiTheme="majorHAnsi" w:cstheme="majorHAnsi"/>
          <w:sz w:val="24"/>
          <w:szCs w:val="24"/>
          <w:lang w:val="ro-MD"/>
        </w:rPr>
        <w:t xml:space="preserve"> </w:t>
      </w:r>
      <w:r w:rsidR="00E53929">
        <w:rPr>
          <w:rFonts w:asciiTheme="majorHAnsi" w:hAnsiTheme="majorHAnsi" w:cstheme="majorHAnsi"/>
          <w:sz w:val="24"/>
          <w:szCs w:val="24"/>
          <w:lang w:val="ro-MD"/>
        </w:rPr>
        <w:t>F</w:t>
      </w:r>
      <w:r w:rsidRPr="005C74F5">
        <w:rPr>
          <w:rFonts w:asciiTheme="majorHAnsi" w:hAnsiTheme="majorHAnsi" w:cstheme="majorHAnsi"/>
          <w:sz w:val="24"/>
          <w:szCs w:val="24"/>
          <w:lang w:val="ro-MD"/>
        </w:rPr>
        <w:t xml:space="preserve">inanțate din </w:t>
      </w:r>
      <w:r w:rsidRPr="005C74F5">
        <w:rPr>
          <w:rFonts w:asciiTheme="majorHAnsi" w:hAnsiTheme="majorHAnsi" w:cstheme="majorHAnsi"/>
          <w:sz w:val="24"/>
          <w:szCs w:val="24"/>
          <w:lang w:val="ro-MD"/>
        </w:rPr>
        <w:lastRenderedPageBreak/>
        <w:t xml:space="preserve">Fondul Internațional pentru Dezvoltarea Agricolă </w:t>
      </w:r>
      <w:r w:rsidR="001E2498" w:rsidRPr="00E53929">
        <w:rPr>
          <w:rFonts w:asciiTheme="majorHAnsi" w:hAnsiTheme="majorHAnsi" w:cstheme="majorHAnsi"/>
          <w:sz w:val="24"/>
          <w:szCs w:val="24"/>
          <w:lang w:val="ro-MD"/>
        </w:rPr>
        <w:t>în Moldova</w:t>
      </w:r>
      <w:r w:rsidR="001E2498" w:rsidRPr="00E53929">
        <w:rPr>
          <w:rFonts w:ascii="Calibri Light" w:hAnsi="Calibri Light" w:cs="Calibri Light"/>
          <w:sz w:val="24"/>
          <w:szCs w:val="24"/>
          <w:lang w:val="ro-MD"/>
        </w:rPr>
        <w:t xml:space="preserve"> </w:t>
      </w:r>
      <w:r w:rsidRPr="00E53929">
        <w:rPr>
          <w:rFonts w:ascii="Calibri Light" w:hAnsi="Calibri Light" w:cs="Calibri Light"/>
          <w:sz w:val="24"/>
          <w:szCs w:val="24"/>
          <w:lang w:val="ro-MD"/>
        </w:rPr>
        <w:t>(U</w:t>
      </w:r>
      <w:r w:rsidR="001E2498" w:rsidRPr="00E53929">
        <w:rPr>
          <w:rFonts w:ascii="Calibri Light" w:hAnsi="Calibri Light" w:cs="Calibri Light"/>
          <w:sz w:val="24"/>
          <w:szCs w:val="24"/>
          <w:lang w:val="ro-MD"/>
        </w:rPr>
        <w:t>C</w:t>
      </w:r>
      <w:r w:rsidRPr="00E53929">
        <w:rPr>
          <w:rFonts w:ascii="Calibri Light" w:hAnsi="Calibri Light" w:cs="Calibri Light"/>
          <w:sz w:val="24"/>
          <w:szCs w:val="24"/>
          <w:lang w:val="ro-MD"/>
        </w:rPr>
        <w:t>IP</w:t>
      </w:r>
      <w:r w:rsidR="001E2498" w:rsidRPr="00E53929">
        <w:rPr>
          <w:rFonts w:ascii="Calibri Light" w:hAnsi="Calibri Light" w:cs="Calibri Light"/>
          <w:sz w:val="24"/>
          <w:szCs w:val="24"/>
          <w:lang w:val="ro-MD"/>
        </w:rPr>
        <w:t xml:space="preserve"> - IFAD</w:t>
      </w:r>
      <w:r w:rsidRPr="00E53929">
        <w:rPr>
          <w:rFonts w:ascii="Calibri Light" w:hAnsi="Calibri Light" w:cs="Calibri Light"/>
          <w:sz w:val="24"/>
          <w:szCs w:val="24"/>
          <w:lang w:val="ro-MD"/>
        </w:rPr>
        <w:t>)</w:t>
      </w:r>
      <w:r w:rsidR="00613A9C" w:rsidRPr="00E53929">
        <w:rPr>
          <w:rFonts w:ascii="Calibri Light" w:hAnsi="Calibri Light" w:cs="Calibri Light"/>
          <w:sz w:val="24"/>
          <w:szCs w:val="24"/>
          <w:lang w:val="ro-MD"/>
        </w:rPr>
        <w:t>,</w:t>
      </w:r>
      <w:r w:rsidRPr="00E53929">
        <w:rPr>
          <w:rFonts w:ascii="Calibri Light" w:hAnsi="Calibri Light" w:cs="Calibri Light"/>
          <w:sz w:val="24"/>
          <w:szCs w:val="24"/>
          <w:lang w:val="ro-MD"/>
        </w:rPr>
        <w:t xml:space="preserve"> care a fost împuternicită </w:t>
      </w:r>
      <w:r w:rsidRPr="0024512C">
        <w:rPr>
          <w:rFonts w:ascii="Calibri Light" w:hAnsi="Calibri Light" w:cs="Calibri Light"/>
          <w:sz w:val="24"/>
          <w:szCs w:val="24"/>
          <w:lang w:val="ro-MD"/>
        </w:rPr>
        <w:t xml:space="preserve">cu autoritatea deplină asupra administrării și coordonării acestor Proiecte. </w:t>
      </w:r>
    </w:p>
    <w:p w:rsidR="00230611" w:rsidRPr="0024512C" w:rsidRDefault="00C16F09" w:rsidP="008854DD">
      <w:pPr>
        <w:spacing w:line="276" w:lineRule="auto"/>
        <w:jc w:val="both"/>
        <w:rPr>
          <w:rFonts w:ascii="Calibri Light" w:hAnsi="Calibri Light" w:cs="Calibri Light"/>
          <w:bCs/>
          <w:sz w:val="24"/>
          <w:szCs w:val="24"/>
          <w:lang w:val="ro-MD"/>
        </w:rPr>
      </w:pPr>
      <w:r w:rsidRPr="0024512C">
        <w:rPr>
          <w:rFonts w:ascii="Calibri Light" w:hAnsi="Calibri Light" w:cs="Calibri Light"/>
          <w:sz w:val="24"/>
          <w:szCs w:val="24"/>
          <w:lang w:val="ro-MD"/>
        </w:rPr>
        <w:t>În baza Acordurilor de finanțare și a Manualelor operaționale întocmite, pentru fiecare Proiect era prevăzut</w:t>
      </w:r>
      <w:r w:rsidR="00E53929">
        <w:rPr>
          <w:rFonts w:ascii="Calibri Light" w:hAnsi="Calibri Light" w:cs="Calibri Light"/>
          <w:sz w:val="24"/>
          <w:szCs w:val="24"/>
          <w:lang w:val="ro-MD"/>
        </w:rPr>
        <w:t>ă</w:t>
      </w:r>
      <w:r w:rsidRPr="00E53929">
        <w:rPr>
          <w:rFonts w:ascii="Calibri Light" w:hAnsi="Calibri Light" w:cs="Calibri Light"/>
          <w:sz w:val="24"/>
          <w:szCs w:val="24"/>
          <w:lang w:val="ro-MD"/>
        </w:rPr>
        <w:t xml:space="preserve"> componenta ce avea drept scop finanțarea întreprinderilor mici și mijlocii prin intermediul băncilor comerciale</w:t>
      </w:r>
      <w:r w:rsidR="00BD5D9D" w:rsidRPr="0024512C">
        <w:rPr>
          <w:rFonts w:ascii="Calibri Light" w:hAnsi="Calibri Light" w:cs="Calibri Light"/>
          <w:sz w:val="24"/>
          <w:szCs w:val="24"/>
          <w:lang w:val="ro-MD"/>
        </w:rPr>
        <w:t xml:space="preserve"> (L</w:t>
      </w:r>
      <w:r w:rsidR="00517096" w:rsidRPr="0024512C">
        <w:rPr>
          <w:rFonts w:ascii="Calibri Light" w:hAnsi="Calibri Light" w:cs="Calibri Light"/>
          <w:sz w:val="24"/>
          <w:szCs w:val="24"/>
          <w:lang w:val="ro-MD"/>
        </w:rPr>
        <w:t xml:space="preserve">inia de credit). Toată responsabilitatea privind implementarea acestor componente, inclusiv selectarea IFP, selectarea beneficiarilor de resurse </w:t>
      </w:r>
      <w:proofErr w:type="spellStart"/>
      <w:r w:rsidR="00517096" w:rsidRPr="0024512C">
        <w:rPr>
          <w:rFonts w:ascii="Calibri Light" w:hAnsi="Calibri Light" w:cs="Calibri Light"/>
          <w:sz w:val="24"/>
          <w:szCs w:val="24"/>
          <w:lang w:val="ro-MD"/>
        </w:rPr>
        <w:t>recreditate</w:t>
      </w:r>
      <w:proofErr w:type="spellEnd"/>
      <w:r w:rsidR="00517096" w:rsidRPr="0024512C">
        <w:rPr>
          <w:rFonts w:ascii="Calibri Light" w:hAnsi="Calibri Light" w:cs="Calibri Light"/>
          <w:sz w:val="24"/>
          <w:szCs w:val="24"/>
          <w:lang w:val="ro-MD"/>
        </w:rPr>
        <w:t xml:space="preserve">, monitorizarea și colectarea plăților în cadrul primelor șase Proiecte i-a revenit </w:t>
      </w:r>
      <w:r w:rsidR="001E2498" w:rsidRPr="0024512C">
        <w:rPr>
          <w:rFonts w:ascii="Calibri Light" w:hAnsi="Calibri Light" w:cs="Calibri Light"/>
          <w:sz w:val="24"/>
          <w:szCs w:val="24"/>
          <w:lang w:val="ro-MD"/>
        </w:rPr>
        <w:t>UCIP-IFAD</w:t>
      </w:r>
      <w:r w:rsidR="00517096" w:rsidRPr="0024512C">
        <w:rPr>
          <w:rFonts w:ascii="Calibri Light" w:hAnsi="Calibri Light" w:cs="Calibri Light"/>
          <w:sz w:val="24"/>
          <w:szCs w:val="24"/>
          <w:lang w:val="ro-MD"/>
        </w:rPr>
        <w:t>. Ulterior, în baza ordinelor MF emise pentru fiecare Proiect în parte, precum și în baza Memorandurilor de înțelegere încheiate în</w:t>
      </w:r>
      <w:r w:rsidR="00613A9C" w:rsidRPr="0024512C">
        <w:rPr>
          <w:rFonts w:ascii="Calibri Light" w:hAnsi="Calibri Light" w:cs="Calibri Light"/>
          <w:sz w:val="24"/>
          <w:szCs w:val="24"/>
          <w:lang w:val="ro-MD"/>
        </w:rPr>
        <w:t>tre</w:t>
      </w:r>
      <w:r w:rsidR="00517096" w:rsidRPr="0024512C">
        <w:rPr>
          <w:rFonts w:ascii="Calibri Light" w:hAnsi="Calibri Light" w:cs="Calibri Light"/>
          <w:sz w:val="24"/>
          <w:szCs w:val="24"/>
          <w:lang w:val="ro-MD"/>
        </w:rPr>
        <w:t xml:space="preserve"> DLC și </w:t>
      </w:r>
      <w:r w:rsidR="004949D1" w:rsidRPr="0024512C">
        <w:rPr>
          <w:rFonts w:ascii="Calibri Light" w:hAnsi="Calibri Light" w:cs="Calibri Light"/>
          <w:sz w:val="24"/>
          <w:szCs w:val="24"/>
          <w:lang w:val="ro-MD"/>
        </w:rPr>
        <w:t>UCIP-IFAD</w:t>
      </w:r>
      <w:r w:rsidR="00517096" w:rsidRPr="0024512C">
        <w:rPr>
          <w:rFonts w:ascii="Calibri Light" w:hAnsi="Calibri Light" w:cs="Calibri Light"/>
          <w:sz w:val="24"/>
          <w:szCs w:val="24"/>
          <w:lang w:val="ro-MD"/>
        </w:rPr>
        <w:t xml:space="preserve">, </w:t>
      </w:r>
      <w:r w:rsidR="00517096" w:rsidRPr="0024512C">
        <w:rPr>
          <w:rFonts w:ascii="Calibri Light" w:hAnsi="Calibri Light" w:cs="Calibri Light"/>
          <w:bCs/>
          <w:sz w:val="24"/>
          <w:szCs w:val="24"/>
          <w:lang w:val="ro-MD"/>
        </w:rPr>
        <w:t>DLC i-au fost transmise funcțiile de monitorizare a creditelor alocate și colectarea plăților de deservire asupra sub-împrumuturilor acordate din conturile Liniilor de credit a</w:t>
      </w:r>
      <w:r w:rsidR="00E53929">
        <w:rPr>
          <w:rFonts w:ascii="Calibri Light" w:hAnsi="Calibri Light" w:cs="Calibri Light"/>
          <w:bCs/>
          <w:sz w:val="24"/>
          <w:szCs w:val="24"/>
          <w:lang w:val="ro-MD"/>
        </w:rPr>
        <w:t>le</w:t>
      </w:r>
      <w:r w:rsidR="00517096" w:rsidRPr="00E53929">
        <w:rPr>
          <w:rFonts w:ascii="Calibri Light" w:hAnsi="Calibri Light" w:cs="Calibri Light"/>
          <w:bCs/>
          <w:sz w:val="24"/>
          <w:szCs w:val="24"/>
          <w:lang w:val="ro-MD"/>
        </w:rPr>
        <w:t xml:space="preserve"> Proiectelor FIDA I – FIDA VI. În cadrul ultimului Proiect FIDA</w:t>
      </w:r>
      <w:r w:rsidR="00E53929">
        <w:rPr>
          <w:rFonts w:ascii="Calibri Light" w:hAnsi="Calibri Light" w:cs="Calibri Light"/>
          <w:bCs/>
          <w:sz w:val="24"/>
          <w:szCs w:val="24"/>
          <w:lang w:val="ro-MD"/>
        </w:rPr>
        <w:t>,</w:t>
      </w:r>
      <w:r w:rsidR="00517096" w:rsidRPr="00E53929">
        <w:rPr>
          <w:rFonts w:ascii="Calibri Light" w:hAnsi="Calibri Light" w:cs="Calibri Light"/>
          <w:bCs/>
          <w:sz w:val="24"/>
          <w:szCs w:val="24"/>
          <w:lang w:val="ro-MD"/>
        </w:rPr>
        <w:t xml:space="preserve"> implementat în anul 2017, </w:t>
      </w:r>
      <w:r w:rsidR="00994844" w:rsidRPr="0024512C">
        <w:rPr>
          <w:rFonts w:ascii="Calibri Light" w:hAnsi="Calibri Light" w:cs="Calibri Light"/>
          <w:bCs/>
          <w:sz w:val="24"/>
          <w:szCs w:val="24"/>
          <w:lang w:val="ro-MD"/>
        </w:rPr>
        <w:t xml:space="preserve">în vederea unei gestionări mai eficiente a mijloacelor Liniei de credit, </w:t>
      </w:r>
      <w:r w:rsidR="00517096" w:rsidRPr="0024512C">
        <w:rPr>
          <w:rFonts w:ascii="Calibri Light" w:hAnsi="Calibri Light" w:cs="Calibri Light"/>
          <w:bCs/>
          <w:sz w:val="24"/>
          <w:szCs w:val="24"/>
          <w:lang w:val="ro-MD"/>
        </w:rPr>
        <w:t xml:space="preserve">în Acordul de finanțare au fost revăzute funcțiile </w:t>
      </w:r>
      <w:r w:rsidR="004949D1" w:rsidRPr="0024512C">
        <w:rPr>
          <w:rFonts w:ascii="Calibri Light" w:hAnsi="Calibri Light" w:cs="Calibri Light"/>
          <w:sz w:val="24"/>
          <w:szCs w:val="24"/>
          <w:lang w:val="ro-MD"/>
        </w:rPr>
        <w:t>UCIP-IFAD</w:t>
      </w:r>
      <w:r w:rsidR="00613A9C" w:rsidRPr="0024512C">
        <w:rPr>
          <w:rFonts w:ascii="Calibri Light" w:hAnsi="Calibri Light" w:cs="Calibri Light"/>
          <w:sz w:val="24"/>
          <w:szCs w:val="24"/>
          <w:lang w:val="ro-MD"/>
        </w:rPr>
        <w:t>,</w:t>
      </w:r>
      <w:r w:rsidR="00517096" w:rsidRPr="0024512C">
        <w:rPr>
          <w:rFonts w:ascii="Calibri Light" w:hAnsi="Calibri Light" w:cs="Calibri Light"/>
          <w:bCs/>
          <w:sz w:val="24"/>
          <w:szCs w:val="24"/>
          <w:lang w:val="ro-MD"/>
        </w:rPr>
        <w:t xml:space="preserve"> cu includerea DLC în procesul de selectare a IFP și de aprobare a beneficiarilor de sub-împrumuturi. De asemenea, DLC</w:t>
      </w:r>
      <w:r w:rsidR="00BD5D9D" w:rsidRPr="0024512C">
        <w:rPr>
          <w:rFonts w:ascii="Calibri Light" w:hAnsi="Calibri Light" w:cs="Calibri Light"/>
          <w:bCs/>
          <w:sz w:val="24"/>
          <w:szCs w:val="24"/>
          <w:lang w:val="ro-MD"/>
        </w:rPr>
        <w:t xml:space="preserve"> din start</w:t>
      </w:r>
      <w:r w:rsidR="00517096" w:rsidRPr="0024512C">
        <w:rPr>
          <w:rFonts w:ascii="Calibri Light" w:hAnsi="Calibri Light" w:cs="Calibri Light"/>
          <w:bCs/>
          <w:sz w:val="24"/>
          <w:szCs w:val="24"/>
          <w:lang w:val="ro-MD"/>
        </w:rPr>
        <w:t xml:space="preserve"> i-au fost atribuite funcțiile de monitorizare și colectare a plăților</w:t>
      </w:r>
      <w:r w:rsidR="00AE7915" w:rsidRPr="0024512C">
        <w:rPr>
          <w:rFonts w:ascii="Calibri Light" w:hAnsi="Calibri Light" w:cs="Calibri Light"/>
          <w:bCs/>
          <w:sz w:val="24"/>
          <w:szCs w:val="24"/>
          <w:lang w:val="ro-MD"/>
        </w:rPr>
        <w:t xml:space="preserve">. </w:t>
      </w:r>
    </w:p>
    <w:p w:rsidR="00151374" w:rsidRPr="00321F59" w:rsidRDefault="00CB4132" w:rsidP="008854DD">
      <w:pPr>
        <w:spacing w:line="276" w:lineRule="auto"/>
        <w:jc w:val="both"/>
        <w:rPr>
          <w:rFonts w:ascii="Calibri Light" w:hAnsi="Calibri Light" w:cs="Calibri Light"/>
          <w:i/>
          <w:sz w:val="24"/>
          <w:szCs w:val="24"/>
          <w:lang w:val="ro-MD"/>
        </w:rPr>
      </w:pPr>
      <w:r w:rsidRPr="0024512C">
        <w:rPr>
          <w:rFonts w:ascii="Calibri Light" w:hAnsi="Calibri Light" w:cs="Calibri Light"/>
          <w:bCs/>
          <w:sz w:val="24"/>
          <w:szCs w:val="24"/>
          <w:lang w:val="ro-MD"/>
        </w:rPr>
        <w:t xml:space="preserve">În cadrul analizei </w:t>
      </w:r>
      <w:r w:rsidR="00AE7915" w:rsidRPr="00321F59">
        <w:rPr>
          <w:rFonts w:ascii="Calibri Light" w:hAnsi="Calibri Light" w:cs="Calibri Light"/>
          <w:b/>
          <w:i/>
          <w:sz w:val="24"/>
          <w:szCs w:val="24"/>
          <w:lang w:val="ro-MD"/>
        </w:rPr>
        <w:t>Proiectul</w:t>
      </w:r>
      <w:r w:rsidRPr="00321F59">
        <w:rPr>
          <w:rFonts w:ascii="Calibri Light" w:hAnsi="Calibri Light" w:cs="Calibri Light"/>
          <w:b/>
          <w:i/>
          <w:sz w:val="24"/>
          <w:szCs w:val="24"/>
          <w:lang w:val="ro-MD"/>
        </w:rPr>
        <w:t>ui</w:t>
      </w:r>
      <w:r w:rsidR="00AE7915" w:rsidRPr="00321F59">
        <w:rPr>
          <w:rFonts w:ascii="Calibri Light" w:hAnsi="Calibri Light" w:cs="Calibri Light"/>
          <w:b/>
          <w:i/>
          <w:sz w:val="24"/>
          <w:szCs w:val="24"/>
          <w:lang w:val="ro-MD"/>
        </w:rPr>
        <w:t xml:space="preserve"> de Finanțare Rurală și Dezvoltare a Întreprinderilor Mici (FIDA I)</w:t>
      </w:r>
      <w:r w:rsidR="00497FE6" w:rsidRPr="00321F59">
        <w:rPr>
          <w:rFonts w:ascii="Calibri Light" w:hAnsi="Calibri Light" w:cs="Calibri Light"/>
          <w:sz w:val="24"/>
          <w:szCs w:val="24"/>
          <w:lang w:val="ro-MD"/>
        </w:rPr>
        <w:t xml:space="preserve">, </w:t>
      </w:r>
      <w:r w:rsidRPr="00321F59">
        <w:rPr>
          <w:rFonts w:ascii="Calibri Light" w:hAnsi="Calibri Light" w:cs="Calibri Light"/>
          <w:sz w:val="24"/>
          <w:szCs w:val="24"/>
          <w:lang w:val="ro-MD"/>
        </w:rPr>
        <w:t xml:space="preserve">s-a observat o variație semnificativă a numărului beneficiarilor </w:t>
      </w:r>
      <w:proofErr w:type="spellStart"/>
      <w:r w:rsidRPr="00321F59">
        <w:rPr>
          <w:rFonts w:ascii="Calibri Light" w:hAnsi="Calibri Light" w:cs="Calibri Light"/>
          <w:sz w:val="24"/>
          <w:szCs w:val="24"/>
          <w:lang w:val="ro-MD"/>
        </w:rPr>
        <w:t>recreditați</w:t>
      </w:r>
      <w:proofErr w:type="spellEnd"/>
      <w:r w:rsidRPr="00321F59">
        <w:rPr>
          <w:rFonts w:ascii="Calibri Light" w:hAnsi="Calibri Light" w:cs="Calibri Light"/>
          <w:sz w:val="24"/>
          <w:szCs w:val="24"/>
          <w:lang w:val="ro-MD"/>
        </w:rPr>
        <w:t xml:space="preserve"> de către DLC din contul mijloacelor circulante acumulate. </w:t>
      </w:r>
      <w:r w:rsidR="00497FE6" w:rsidRPr="0024512C">
        <w:rPr>
          <w:rFonts w:ascii="Calibri Light" w:hAnsi="Calibri Light" w:cs="Calibri Light"/>
          <w:bCs/>
          <w:i/>
          <w:sz w:val="24"/>
          <w:szCs w:val="24"/>
          <w:lang w:val="ro-MD"/>
        </w:rPr>
        <w:t xml:space="preserve">Distribuirea beneficiarilor </w:t>
      </w:r>
      <w:proofErr w:type="spellStart"/>
      <w:r w:rsidR="00AE7915" w:rsidRPr="0024512C">
        <w:rPr>
          <w:rFonts w:ascii="Calibri Light" w:hAnsi="Calibri Light" w:cs="Calibri Light"/>
          <w:bCs/>
          <w:i/>
          <w:sz w:val="24"/>
          <w:szCs w:val="24"/>
          <w:lang w:val="ro-MD"/>
        </w:rPr>
        <w:t>recreditați</w:t>
      </w:r>
      <w:proofErr w:type="spellEnd"/>
      <w:r w:rsidR="00E53929">
        <w:rPr>
          <w:rFonts w:ascii="Calibri Light" w:hAnsi="Calibri Light" w:cs="Calibri Light"/>
          <w:bCs/>
          <w:i/>
          <w:sz w:val="24"/>
          <w:szCs w:val="24"/>
          <w:lang w:val="ro-MD"/>
        </w:rPr>
        <w:t>,</w:t>
      </w:r>
      <w:r w:rsidR="00AE7915" w:rsidRPr="0024512C">
        <w:rPr>
          <w:rFonts w:ascii="Calibri Light" w:hAnsi="Calibri Light" w:cs="Calibri Light"/>
          <w:bCs/>
          <w:i/>
          <w:sz w:val="24"/>
          <w:szCs w:val="24"/>
          <w:lang w:val="ro-MD"/>
        </w:rPr>
        <w:t xml:space="preserve"> </w:t>
      </w:r>
      <w:r w:rsidRPr="0024512C">
        <w:rPr>
          <w:rFonts w:ascii="Calibri Light" w:hAnsi="Calibri Light" w:cs="Calibri Light"/>
          <w:bCs/>
          <w:i/>
          <w:sz w:val="24"/>
          <w:szCs w:val="24"/>
          <w:lang w:val="ro-MD"/>
        </w:rPr>
        <w:t>începând cu inițierea procesului de recreditare din mijloace</w:t>
      </w:r>
      <w:r w:rsidR="00642BEC">
        <w:rPr>
          <w:rFonts w:ascii="Calibri Light" w:hAnsi="Calibri Light" w:cs="Calibri Light"/>
          <w:bCs/>
          <w:i/>
          <w:sz w:val="24"/>
          <w:szCs w:val="24"/>
          <w:lang w:val="ro-MD"/>
        </w:rPr>
        <w:t>le</w:t>
      </w:r>
      <w:r w:rsidRPr="0024512C">
        <w:rPr>
          <w:rFonts w:ascii="Calibri Light" w:hAnsi="Calibri Light" w:cs="Calibri Light"/>
          <w:bCs/>
          <w:i/>
          <w:sz w:val="24"/>
          <w:szCs w:val="24"/>
          <w:lang w:val="ro-MD"/>
        </w:rPr>
        <w:t xml:space="preserve"> </w:t>
      </w:r>
      <w:proofErr w:type="spellStart"/>
      <w:r w:rsidRPr="0024512C">
        <w:rPr>
          <w:rFonts w:ascii="Calibri Light" w:hAnsi="Calibri Light" w:cs="Calibri Light"/>
          <w:bCs/>
          <w:i/>
          <w:sz w:val="24"/>
          <w:szCs w:val="24"/>
          <w:lang w:val="ro-MD"/>
        </w:rPr>
        <w:t>revolving</w:t>
      </w:r>
      <w:proofErr w:type="spellEnd"/>
      <w:r w:rsidR="00642BEC">
        <w:rPr>
          <w:rFonts w:ascii="Calibri Light" w:hAnsi="Calibri Light" w:cs="Calibri Light"/>
          <w:bCs/>
          <w:i/>
          <w:sz w:val="24"/>
          <w:szCs w:val="24"/>
          <w:lang w:val="ro-MD"/>
        </w:rPr>
        <w:t>,</w:t>
      </w:r>
      <w:r w:rsidRPr="0024512C">
        <w:rPr>
          <w:rFonts w:ascii="Calibri Light" w:hAnsi="Calibri Light" w:cs="Calibri Light"/>
          <w:bCs/>
          <w:i/>
          <w:sz w:val="24"/>
          <w:szCs w:val="24"/>
          <w:lang w:val="ro-MD"/>
        </w:rPr>
        <w:t xml:space="preserve"> </w:t>
      </w:r>
      <w:r w:rsidR="00062319" w:rsidRPr="005C74F5">
        <w:rPr>
          <w:rFonts w:ascii="Calibri Light" w:hAnsi="Calibri Light" w:cs="Calibri Light"/>
          <w:bCs/>
          <w:i/>
          <w:sz w:val="24"/>
          <w:szCs w:val="24"/>
          <w:lang w:val="ro-MD"/>
        </w:rPr>
        <w:t>se redă în Figura nr.</w:t>
      </w:r>
      <w:r w:rsidRPr="005C74F5">
        <w:rPr>
          <w:rFonts w:ascii="Calibri Light" w:hAnsi="Calibri Light" w:cs="Calibri Light"/>
          <w:bCs/>
          <w:i/>
          <w:sz w:val="24"/>
          <w:szCs w:val="24"/>
          <w:lang w:val="ro-MD"/>
        </w:rPr>
        <w:t xml:space="preserve"> </w:t>
      </w:r>
      <w:r w:rsidR="00C46CD1" w:rsidRPr="005C74F5">
        <w:rPr>
          <w:rFonts w:ascii="Calibri Light" w:hAnsi="Calibri Light" w:cs="Calibri Light"/>
          <w:bCs/>
          <w:i/>
          <w:sz w:val="24"/>
          <w:szCs w:val="24"/>
          <w:lang w:val="ro-MD"/>
        </w:rPr>
        <w:t>3</w:t>
      </w:r>
      <w:r w:rsidR="00497FE6" w:rsidRPr="005C74F5">
        <w:rPr>
          <w:rFonts w:ascii="Calibri Light" w:hAnsi="Calibri Light" w:cs="Calibri Light"/>
          <w:bCs/>
          <w:i/>
          <w:sz w:val="24"/>
          <w:szCs w:val="24"/>
          <w:lang w:val="ro-MD"/>
        </w:rPr>
        <w:t>.</w:t>
      </w:r>
    </w:p>
    <w:p w:rsidR="00497FE6" w:rsidRPr="0024512C" w:rsidRDefault="00151374" w:rsidP="00151374">
      <w:pPr>
        <w:jc w:val="right"/>
        <w:rPr>
          <w:rFonts w:ascii="Calibri Light" w:hAnsi="Calibri Light" w:cs="Calibri Light"/>
          <w:bCs/>
          <w:i/>
          <w:sz w:val="24"/>
          <w:szCs w:val="24"/>
          <w:lang w:val="ro-MD"/>
        </w:rPr>
      </w:pPr>
      <w:r w:rsidRPr="00C85965">
        <w:rPr>
          <w:rFonts w:ascii="Calibri Light" w:hAnsi="Calibri Light" w:cs="Calibri Light"/>
          <w:b/>
          <w:bCs/>
          <w:i/>
          <w:noProof/>
          <w:color w:val="5B9BD5" w:themeColor="accent1"/>
          <w:sz w:val="24"/>
          <w:szCs w:val="24"/>
        </w:rPr>
        <w:drawing>
          <wp:anchor distT="0" distB="0" distL="114300" distR="114300" simplePos="0" relativeHeight="251672576" behindDoc="0" locked="0" layoutInCell="1" allowOverlap="1" wp14:anchorId="0C409340" wp14:editId="245DA3B7">
            <wp:simplePos x="0" y="0"/>
            <wp:positionH relativeFrom="margin">
              <wp:align>left</wp:align>
            </wp:positionH>
            <wp:positionV relativeFrom="paragraph">
              <wp:posOffset>214630</wp:posOffset>
            </wp:positionV>
            <wp:extent cx="5928360" cy="2331720"/>
            <wp:effectExtent l="0" t="0" r="15240" b="11430"/>
            <wp:wrapTopAndBottom/>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CB4132" w:rsidRPr="0024512C">
        <w:rPr>
          <w:rFonts w:ascii="Calibri Light" w:hAnsi="Calibri Light" w:cs="Calibri Light"/>
          <w:b/>
          <w:bCs/>
          <w:i/>
          <w:color w:val="5B9BD5" w:themeColor="accent1"/>
          <w:sz w:val="24"/>
          <w:szCs w:val="24"/>
          <w:lang w:val="ro-MD"/>
        </w:rPr>
        <w:t>Figura nr.</w:t>
      </w:r>
      <w:r w:rsidR="00C46CD1" w:rsidRPr="0024512C">
        <w:rPr>
          <w:rFonts w:ascii="Calibri Light" w:hAnsi="Calibri Light" w:cs="Calibri Light"/>
          <w:b/>
          <w:bCs/>
          <w:i/>
          <w:color w:val="5B9BD5" w:themeColor="accent1"/>
          <w:sz w:val="24"/>
          <w:szCs w:val="24"/>
          <w:lang w:val="ro-MD"/>
        </w:rPr>
        <w:t xml:space="preserve"> 3</w:t>
      </w:r>
    </w:p>
    <w:p w:rsidR="00497FE6" w:rsidRPr="005C74F5" w:rsidRDefault="00CB4132" w:rsidP="00497FE6">
      <w:pPr>
        <w:jc w:val="both"/>
        <w:rPr>
          <w:rFonts w:ascii="Calibri Light" w:hAnsi="Calibri Light" w:cs="Calibri Light"/>
          <w:bCs/>
          <w:i/>
          <w:sz w:val="20"/>
          <w:szCs w:val="20"/>
          <w:lang w:val="ro-MD"/>
        </w:rPr>
      </w:pPr>
      <w:r w:rsidRPr="005C74F5">
        <w:rPr>
          <w:rFonts w:ascii="Calibri Light" w:hAnsi="Calibri Light" w:cs="Calibri Light"/>
          <w:b/>
          <w:bCs/>
          <w:i/>
          <w:sz w:val="20"/>
          <w:szCs w:val="20"/>
          <w:lang w:val="ro-MD"/>
        </w:rPr>
        <w:t>Sursa:</w:t>
      </w:r>
      <w:r w:rsidRPr="005C74F5">
        <w:rPr>
          <w:rFonts w:ascii="Calibri Light" w:hAnsi="Calibri Light" w:cs="Calibri Light"/>
          <w:bCs/>
          <w:i/>
          <w:sz w:val="20"/>
          <w:szCs w:val="20"/>
          <w:lang w:val="ro-MD"/>
        </w:rPr>
        <w:t xml:space="preserve"> Informația DLC privind numărul beneficiarilor </w:t>
      </w:r>
      <w:proofErr w:type="spellStart"/>
      <w:r w:rsidRPr="005C74F5">
        <w:rPr>
          <w:rFonts w:ascii="Calibri Light" w:hAnsi="Calibri Light" w:cs="Calibri Light"/>
          <w:bCs/>
          <w:i/>
          <w:sz w:val="20"/>
          <w:szCs w:val="20"/>
          <w:lang w:val="ro-MD"/>
        </w:rPr>
        <w:t>recreditați</w:t>
      </w:r>
      <w:proofErr w:type="spellEnd"/>
      <w:r w:rsidRPr="005C74F5">
        <w:rPr>
          <w:rFonts w:ascii="Calibri Light" w:hAnsi="Calibri Light" w:cs="Calibri Light"/>
          <w:bCs/>
          <w:i/>
          <w:sz w:val="20"/>
          <w:szCs w:val="20"/>
          <w:lang w:val="ro-MD"/>
        </w:rPr>
        <w:t xml:space="preserve"> din mijloacele circulante ale Proiectului FIDA I.</w:t>
      </w:r>
    </w:p>
    <w:p w:rsidR="003A39CA" w:rsidRPr="0024512C" w:rsidRDefault="00D57E93" w:rsidP="008854DD">
      <w:pPr>
        <w:spacing w:line="276" w:lineRule="auto"/>
        <w:jc w:val="both"/>
        <w:rPr>
          <w:rFonts w:ascii="Calibri Light" w:hAnsi="Calibri Light" w:cs="Calibri Light"/>
          <w:bCs/>
          <w:i/>
          <w:sz w:val="24"/>
          <w:szCs w:val="24"/>
          <w:lang w:val="ro-MD"/>
        </w:rPr>
      </w:pPr>
      <w:r w:rsidRPr="00642BEC">
        <w:rPr>
          <w:rFonts w:ascii="Calibri Light" w:hAnsi="Calibri Light" w:cs="Calibri Light"/>
          <w:bCs/>
          <w:sz w:val="24"/>
          <w:szCs w:val="24"/>
          <w:lang w:val="ro-MD"/>
        </w:rPr>
        <w:t>Astfel, se</w:t>
      </w:r>
      <w:r w:rsidR="00497FE6" w:rsidRPr="00642BEC">
        <w:rPr>
          <w:rFonts w:ascii="Calibri Light" w:hAnsi="Calibri Light" w:cs="Calibri Light"/>
          <w:bCs/>
          <w:sz w:val="24"/>
          <w:szCs w:val="24"/>
          <w:lang w:val="ro-MD"/>
        </w:rPr>
        <w:t xml:space="preserve"> denotă </w:t>
      </w:r>
      <w:r w:rsidR="00151374" w:rsidRPr="00642BEC">
        <w:rPr>
          <w:rFonts w:ascii="Calibri Light" w:hAnsi="Calibri Light" w:cs="Calibri Light"/>
          <w:bCs/>
          <w:sz w:val="24"/>
          <w:szCs w:val="24"/>
          <w:lang w:val="ro-MD"/>
        </w:rPr>
        <w:t xml:space="preserve">o scădere bruscă a numărului de beneficiari </w:t>
      </w:r>
      <w:proofErr w:type="spellStart"/>
      <w:r w:rsidR="00151374" w:rsidRPr="00642BEC">
        <w:rPr>
          <w:rFonts w:ascii="Calibri Light" w:hAnsi="Calibri Light" w:cs="Calibri Light"/>
          <w:bCs/>
          <w:sz w:val="24"/>
          <w:szCs w:val="24"/>
          <w:lang w:val="ro-MD"/>
        </w:rPr>
        <w:t>recreditați</w:t>
      </w:r>
      <w:proofErr w:type="spellEnd"/>
      <w:r w:rsidR="00151374" w:rsidRPr="00642BEC">
        <w:rPr>
          <w:rFonts w:ascii="Calibri Light" w:hAnsi="Calibri Light" w:cs="Calibri Light"/>
          <w:bCs/>
          <w:sz w:val="24"/>
          <w:szCs w:val="24"/>
          <w:lang w:val="ro-MD"/>
        </w:rPr>
        <w:t xml:space="preserve"> în anul 2017 (pe parcursul anului au fost </w:t>
      </w:r>
      <w:proofErr w:type="spellStart"/>
      <w:r w:rsidR="00151374" w:rsidRPr="00642BEC">
        <w:rPr>
          <w:rFonts w:ascii="Calibri Light" w:hAnsi="Calibri Light" w:cs="Calibri Light"/>
          <w:bCs/>
          <w:sz w:val="24"/>
          <w:szCs w:val="24"/>
          <w:lang w:val="ro-MD"/>
        </w:rPr>
        <w:t>recreditați</w:t>
      </w:r>
      <w:proofErr w:type="spellEnd"/>
      <w:r w:rsidR="00151374" w:rsidRPr="00642BEC">
        <w:rPr>
          <w:rFonts w:ascii="Calibri Light" w:hAnsi="Calibri Light" w:cs="Calibri Light"/>
          <w:bCs/>
          <w:sz w:val="24"/>
          <w:szCs w:val="24"/>
          <w:lang w:val="ro-MD"/>
        </w:rPr>
        <w:t xml:space="preserve"> doar 7 beneficiari). Conform explicațiilor conducerii DLC, reducerea beneficiarilor </w:t>
      </w:r>
      <w:r w:rsidR="006853AD">
        <w:rPr>
          <w:rFonts w:ascii="Calibri Light" w:hAnsi="Calibri Light" w:cs="Calibri Light"/>
          <w:bCs/>
          <w:sz w:val="24"/>
          <w:szCs w:val="24"/>
          <w:lang w:val="ro-MD"/>
        </w:rPr>
        <w:t>este cauzată de</w:t>
      </w:r>
      <w:r w:rsidR="00151374" w:rsidRPr="00642BEC">
        <w:rPr>
          <w:rFonts w:ascii="Calibri Light" w:hAnsi="Calibri Light" w:cs="Calibri Light"/>
          <w:bCs/>
          <w:sz w:val="24"/>
          <w:szCs w:val="24"/>
          <w:lang w:val="ro-MD"/>
        </w:rPr>
        <w:t xml:space="preserve"> sist</w:t>
      </w:r>
      <w:r w:rsidR="006853AD">
        <w:rPr>
          <w:rFonts w:ascii="Calibri Light" w:hAnsi="Calibri Light" w:cs="Calibri Light"/>
          <w:bCs/>
          <w:sz w:val="24"/>
          <w:szCs w:val="24"/>
          <w:lang w:val="ro-MD"/>
        </w:rPr>
        <w:t>area</w:t>
      </w:r>
      <w:r w:rsidR="00151374" w:rsidRPr="00642BEC">
        <w:rPr>
          <w:rFonts w:ascii="Calibri Light" w:hAnsi="Calibri Light" w:cs="Calibri Light"/>
          <w:bCs/>
          <w:sz w:val="24"/>
          <w:szCs w:val="24"/>
          <w:lang w:val="ro-MD"/>
        </w:rPr>
        <w:t xml:space="preserve"> temporar</w:t>
      </w:r>
      <w:r w:rsidR="006853AD">
        <w:rPr>
          <w:rFonts w:ascii="Calibri Light" w:hAnsi="Calibri Light" w:cs="Calibri Light"/>
          <w:bCs/>
          <w:sz w:val="24"/>
          <w:szCs w:val="24"/>
          <w:lang w:val="ro-MD"/>
        </w:rPr>
        <w:t>ă</w:t>
      </w:r>
      <w:r w:rsidR="00151374" w:rsidRPr="00642BEC">
        <w:rPr>
          <w:rFonts w:ascii="Calibri Light" w:hAnsi="Calibri Light" w:cs="Calibri Light"/>
          <w:bCs/>
          <w:sz w:val="24"/>
          <w:szCs w:val="24"/>
          <w:lang w:val="ro-MD"/>
        </w:rPr>
        <w:t xml:space="preserve"> a operațiu</w:t>
      </w:r>
      <w:r w:rsidR="0005555B" w:rsidRPr="00642BEC">
        <w:rPr>
          <w:rFonts w:ascii="Calibri Light" w:hAnsi="Calibri Light" w:cs="Calibri Light"/>
          <w:bCs/>
          <w:sz w:val="24"/>
          <w:szCs w:val="24"/>
          <w:lang w:val="ro-MD"/>
        </w:rPr>
        <w:t xml:space="preserve">nilor DLC de recreditare în </w:t>
      </w:r>
      <w:r w:rsidRPr="00642BEC">
        <w:rPr>
          <w:rFonts w:ascii="Calibri Light" w:hAnsi="Calibri Light" w:cs="Calibri Light"/>
          <w:bCs/>
          <w:sz w:val="24"/>
          <w:szCs w:val="24"/>
          <w:lang w:val="ro-MD"/>
        </w:rPr>
        <w:t>lei</w:t>
      </w:r>
      <w:r w:rsidR="003A39CA" w:rsidRPr="00642BEC">
        <w:rPr>
          <w:rFonts w:ascii="Calibri Light" w:hAnsi="Calibri Light" w:cs="Calibri Light"/>
          <w:bCs/>
          <w:sz w:val="24"/>
          <w:szCs w:val="24"/>
          <w:lang w:val="ro-MD"/>
        </w:rPr>
        <w:t xml:space="preserve">. </w:t>
      </w:r>
      <w:r w:rsidR="003A39CA" w:rsidRPr="00642BEC">
        <w:rPr>
          <w:rFonts w:ascii="Calibri Light" w:hAnsi="Calibri Light" w:cs="Calibri Light"/>
          <w:bCs/>
          <w:i/>
          <w:sz w:val="24"/>
          <w:szCs w:val="24"/>
          <w:lang w:val="ro-MD"/>
        </w:rPr>
        <w:t>Informația detaliată se pr</w:t>
      </w:r>
      <w:r w:rsidR="00613A9C" w:rsidRPr="0024512C">
        <w:rPr>
          <w:rFonts w:ascii="Calibri Light" w:hAnsi="Calibri Light" w:cs="Calibri Light"/>
          <w:bCs/>
          <w:i/>
          <w:sz w:val="24"/>
          <w:szCs w:val="24"/>
          <w:lang w:val="ro-MD"/>
        </w:rPr>
        <w:t>ezintă în</w:t>
      </w:r>
      <w:r w:rsidR="003A39CA" w:rsidRPr="0024512C">
        <w:rPr>
          <w:rFonts w:ascii="Calibri Light" w:hAnsi="Calibri Light" w:cs="Calibri Light"/>
          <w:bCs/>
          <w:i/>
          <w:sz w:val="24"/>
          <w:szCs w:val="24"/>
          <w:lang w:val="ro-MD"/>
        </w:rPr>
        <w:t xml:space="preserve"> cap. 4.2.3 din prezentul Raport de audit.</w:t>
      </w:r>
      <w:r w:rsidR="0005555B" w:rsidRPr="0024512C">
        <w:rPr>
          <w:rFonts w:ascii="Calibri Light" w:hAnsi="Calibri Light" w:cs="Calibri Light"/>
          <w:bCs/>
          <w:i/>
          <w:sz w:val="24"/>
          <w:szCs w:val="24"/>
          <w:lang w:val="ro-MD"/>
        </w:rPr>
        <w:t xml:space="preserve"> </w:t>
      </w:r>
    </w:p>
    <w:p w:rsidR="000F5AE2" w:rsidRPr="0024512C" w:rsidRDefault="004C3414" w:rsidP="008854DD">
      <w:pPr>
        <w:spacing w:line="276" w:lineRule="auto"/>
        <w:jc w:val="both"/>
        <w:rPr>
          <w:rFonts w:ascii="Calibri Light" w:hAnsi="Calibri Light" w:cs="Calibri Light"/>
          <w:bCs/>
          <w:sz w:val="24"/>
          <w:szCs w:val="24"/>
          <w:lang w:val="ro-MD"/>
        </w:rPr>
      </w:pPr>
      <w:r w:rsidRPr="0024512C">
        <w:rPr>
          <w:rFonts w:ascii="Calibri Light" w:hAnsi="Calibri Light" w:cs="Calibri Light"/>
          <w:bCs/>
          <w:sz w:val="24"/>
          <w:szCs w:val="24"/>
          <w:lang w:val="ro-MD"/>
        </w:rPr>
        <w:t>Totodată, din datele din figură se observă că</w:t>
      </w:r>
      <w:r w:rsidR="00642BEC">
        <w:rPr>
          <w:rFonts w:ascii="Calibri Light" w:hAnsi="Calibri Light" w:cs="Calibri Light"/>
          <w:bCs/>
          <w:sz w:val="24"/>
          <w:szCs w:val="24"/>
          <w:lang w:val="ro-MD"/>
        </w:rPr>
        <w:t>,</w:t>
      </w:r>
      <w:r w:rsidRPr="00642BEC">
        <w:rPr>
          <w:rFonts w:ascii="Calibri Light" w:hAnsi="Calibri Light" w:cs="Calibri Light"/>
          <w:bCs/>
          <w:sz w:val="24"/>
          <w:szCs w:val="24"/>
          <w:lang w:val="ro-MD"/>
        </w:rPr>
        <w:t xml:space="preserve"> </w:t>
      </w:r>
      <w:r w:rsidR="00497FE6" w:rsidRPr="00642BEC">
        <w:rPr>
          <w:rFonts w:ascii="Calibri Light" w:hAnsi="Calibri Light" w:cs="Calibri Light"/>
          <w:bCs/>
          <w:sz w:val="24"/>
          <w:szCs w:val="24"/>
          <w:lang w:val="ro-MD"/>
        </w:rPr>
        <w:t>pe parcursul anului 2019</w:t>
      </w:r>
      <w:r w:rsidR="00642BEC">
        <w:rPr>
          <w:rFonts w:ascii="Calibri Light" w:hAnsi="Calibri Light" w:cs="Calibri Light"/>
          <w:bCs/>
          <w:sz w:val="24"/>
          <w:szCs w:val="24"/>
          <w:lang w:val="ro-MD"/>
        </w:rPr>
        <w:t>,</w:t>
      </w:r>
      <w:r w:rsidR="00497FE6" w:rsidRPr="00642BEC">
        <w:rPr>
          <w:rFonts w:ascii="Calibri Light" w:hAnsi="Calibri Light" w:cs="Calibri Light"/>
          <w:bCs/>
          <w:sz w:val="24"/>
          <w:szCs w:val="24"/>
          <w:lang w:val="ro-MD"/>
        </w:rPr>
        <w:t xml:space="preserve"> a avut loc o creștere semnifica</w:t>
      </w:r>
      <w:r w:rsidR="00D57E93" w:rsidRPr="0024512C">
        <w:rPr>
          <w:rFonts w:ascii="Calibri Light" w:hAnsi="Calibri Light" w:cs="Calibri Light"/>
          <w:bCs/>
          <w:sz w:val="24"/>
          <w:szCs w:val="24"/>
          <w:lang w:val="ro-MD"/>
        </w:rPr>
        <w:t xml:space="preserve">tivă a numărului de beneficiari, </w:t>
      </w:r>
      <w:r w:rsidR="00497FE6" w:rsidRPr="0024512C">
        <w:rPr>
          <w:rFonts w:ascii="Calibri Light" w:hAnsi="Calibri Light" w:cs="Calibri Light"/>
          <w:bCs/>
          <w:sz w:val="24"/>
          <w:szCs w:val="24"/>
          <w:lang w:val="ro-MD"/>
        </w:rPr>
        <w:t xml:space="preserve">fapt </w:t>
      </w:r>
      <w:r w:rsidR="00613A9C" w:rsidRPr="0024512C">
        <w:rPr>
          <w:rFonts w:ascii="Calibri Light" w:hAnsi="Calibri Light" w:cs="Calibri Light"/>
          <w:bCs/>
          <w:sz w:val="24"/>
          <w:szCs w:val="24"/>
          <w:lang w:val="ro-MD"/>
        </w:rPr>
        <w:t>c</w:t>
      </w:r>
      <w:r w:rsidR="00D57E93" w:rsidRPr="0024512C">
        <w:rPr>
          <w:rFonts w:ascii="Calibri Light" w:hAnsi="Calibri Light" w:cs="Calibri Light"/>
          <w:bCs/>
          <w:sz w:val="24"/>
          <w:szCs w:val="24"/>
          <w:lang w:val="ro-MD"/>
        </w:rPr>
        <w:t xml:space="preserve">e </w:t>
      </w:r>
      <w:r w:rsidR="00497FE6" w:rsidRPr="0024512C">
        <w:rPr>
          <w:rFonts w:ascii="Calibri Light" w:hAnsi="Calibri Light" w:cs="Calibri Light"/>
          <w:bCs/>
          <w:sz w:val="24"/>
          <w:szCs w:val="24"/>
          <w:lang w:val="ro-MD"/>
        </w:rPr>
        <w:t xml:space="preserve">se explică prin stabilirea unei rate promoționale de recreditare a IFP pentru sub-împrumuturile noi </w:t>
      </w:r>
      <w:proofErr w:type="spellStart"/>
      <w:r w:rsidR="00497FE6" w:rsidRPr="0024512C">
        <w:rPr>
          <w:rFonts w:ascii="Calibri Light" w:hAnsi="Calibri Light" w:cs="Calibri Light"/>
          <w:bCs/>
          <w:sz w:val="24"/>
          <w:szCs w:val="24"/>
          <w:lang w:val="ro-MD"/>
        </w:rPr>
        <w:t>recreditate</w:t>
      </w:r>
      <w:proofErr w:type="spellEnd"/>
      <w:r w:rsidR="00497FE6" w:rsidRPr="0024512C">
        <w:rPr>
          <w:rFonts w:ascii="Calibri Light" w:hAnsi="Calibri Light" w:cs="Calibri Light"/>
          <w:bCs/>
          <w:sz w:val="24"/>
          <w:szCs w:val="24"/>
          <w:lang w:val="ro-MD"/>
        </w:rPr>
        <w:t xml:space="preserve"> tinerilor antreprenori în cadrul Liniilor de credit, mijloace circulante </w:t>
      </w:r>
      <w:proofErr w:type="spellStart"/>
      <w:r w:rsidR="00497FE6" w:rsidRPr="0024512C">
        <w:rPr>
          <w:rFonts w:ascii="Calibri Light" w:hAnsi="Calibri Light" w:cs="Calibri Light"/>
          <w:bCs/>
          <w:sz w:val="24"/>
          <w:szCs w:val="24"/>
          <w:lang w:val="ro-MD"/>
        </w:rPr>
        <w:t>revolving</w:t>
      </w:r>
      <w:proofErr w:type="spellEnd"/>
      <w:r w:rsidR="00497FE6" w:rsidRPr="0024512C">
        <w:rPr>
          <w:rFonts w:ascii="Calibri Light" w:hAnsi="Calibri Light" w:cs="Calibri Light"/>
          <w:bCs/>
          <w:sz w:val="24"/>
          <w:szCs w:val="24"/>
          <w:lang w:val="ro-MD"/>
        </w:rPr>
        <w:t>, administrate de DLC</w:t>
      </w:r>
      <w:r w:rsidR="003A39CA" w:rsidRPr="0024512C">
        <w:rPr>
          <w:rFonts w:ascii="Calibri Light" w:hAnsi="Calibri Light" w:cs="Calibri Light"/>
          <w:bCs/>
          <w:sz w:val="24"/>
          <w:szCs w:val="24"/>
          <w:lang w:val="ro-MD"/>
        </w:rPr>
        <w:t xml:space="preserve">. </w:t>
      </w:r>
      <w:r w:rsidR="003A39CA" w:rsidRPr="0024512C">
        <w:rPr>
          <w:rFonts w:ascii="Calibri Light" w:hAnsi="Calibri Light" w:cs="Calibri Light"/>
          <w:bCs/>
          <w:i/>
          <w:sz w:val="24"/>
          <w:szCs w:val="24"/>
          <w:lang w:val="ro-MD"/>
        </w:rPr>
        <w:t xml:space="preserve">Informația detaliată se </w:t>
      </w:r>
      <w:r w:rsidR="00613A9C" w:rsidRPr="0024512C">
        <w:rPr>
          <w:rFonts w:ascii="Calibri Light" w:hAnsi="Calibri Light" w:cs="Calibri Light"/>
          <w:bCs/>
          <w:i/>
          <w:sz w:val="24"/>
          <w:szCs w:val="24"/>
          <w:lang w:val="ro-MD"/>
        </w:rPr>
        <w:lastRenderedPageBreak/>
        <w:t>prezintă în</w:t>
      </w:r>
      <w:r w:rsidR="003A39CA" w:rsidRPr="0024512C">
        <w:rPr>
          <w:rFonts w:ascii="Calibri Light" w:hAnsi="Calibri Light" w:cs="Calibri Light"/>
          <w:bCs/>
          <w:i/>
          <w:sz w:val="24"/>
          <w:szCs w:val="24"/>
          <w:lang w:val="ro-MD"/>
        </w:rPr>
        <w:t xml:space="preserve"> cap. 4.2.7</w:t>
      </w:r>
      <w:r w:rsidR="00613A9C" w:rsidRPr="0024512C">
        <w:rPr>
          <w:rFonts w:ascii="Calibri Light" w:hAnsi="Calibri Light" w:cs="Calibri Light"/>
          <w:bCs/>
          <w:i/>
          <w:sz w:val="24"/>
          <w:szCs w:val="24"/>
          <w:lang w:val="ro-MD"/>
        </w:rPr>
        <w:t>,</w:t>
      </w:r>
      <w:r w:rsidR="003A39CA" w:rsidRPr="0024512C">
        <w:rPr>
          <w:rFonts w:ascii="Calibri Light" w:hAnsi="Calibri Light" w:cs="Calibri Light"/>
          <w:bCs/>
          <w:i/>
          <w:sz w:val="24"/>
          <w:szCs w:val="24"/>
          <w:lang w:val="ro-MD"/>
        </w:rPr>
        <w:t xml:space="preserve"> la descrierea Proiectului Facilitatea de Creditare pentru Tineret din prezentul Raport de audit.</w:t>
      </w:r>
      <w:r w:rsidR="005857CF" w:rsidRPr="0024512C">
        <w:rPr>
          <w:rFonts w:ascii="Calibri Light" w:hAnsi="Calibri Light" w:cs="Calibri Light"/>
          <w:bCs/>
          <w:sz w:val="24"/>
          <w:szCs w:val="24"/>
          <w:lang w:val="ro-MD"/>
        </w:rPr>
        <w:t xml:space="preserve"> </w:t>
      </w:r>
    </w:p>
    <w:p w:rsidR="00642BEC" w:rsidRDefault="00D57E93" w:rsidP="007A17AA">
      <w:pPr>
        <w:spacing w:line="276" w:lineRule="auto"/>
        <w:jc w:val="both"/>
        <w:rPr>
          <w:rFonts w:ascii="Calibri Light" w:hAnsi="Calibri Light" w:cs="Calibri Light"/>
          <w:bCs/>
          <w:sz w:val="24"/>
          <w:szCs w:val="24"/>
          <w:lang w:val="ro-MD"/>
        </w:rPr>
      </w:pPr>
      <w:r w:rsidRPr="0024512C">
        <w:rPr>
          <w:rFonts w:ascii="Calibri Light" w:hAnsi="Calibri Light" w:cs="Calibri Light"/>
          <w:sz w:val="24"/>
          <w:szCs w:val="24"/>
          <w:lang w:val="ro-MD"/>
        </w:rPr>
        <w:t>Î</w:t>
      </w:r>
      <w:r w:rsidR="000F5AE2" w:rsidRPr="00321F59">
        <w:rPr>
          <w:rFonts w:ascii="Calibri Light" w:hAnsi="Calibri Light" w:cs="Calibri Light"/>
          <w:sz w:val="24"/>
          <w:szCs w:val="24"/>
          <w:lang w:val="ro-MD"/>
        </w:rPr>
        <w:t xml:space="preserve">n scopul finanțării </w:t>
      </w:r>
      <w:r w:rsidR="000F5AE2" w:rsidRPr="0024512C">
        <w:rPr>
          <w:rFonts w:ascii="Calibri Light" w:hAnsi="Calibri Light" w:cs="Calibri Light"/>
          <w:b/>
          <w:bCs/>
          <w:i/>
          <w:sz w:val="24"/>
          <w:szCs w:val="24"/>
          <w:lang w:val="ro-MD"/>
        </w:rPr>
        <w:t xml:space="preserve">Programului Rural de Reziliență </w:t>
      </w:r>
      <w:proofErr w:type="spellStart"/>
      <w:r w:rsidR="000F5AE2" w:rsidRPr="0024512C">
        <w:rPr>
          <w:rFonts w:ascii="Calibri Light" w:hAnsi="Calibri Light" w:cs="Calibri Light"/>
          <w:b/>
          <w:bCs/>
          <w:i/>
          <w:sz w:val="24"/>
          <w:szCs w:val="24"/>
          <w:lang w:val="ro-MD"/>
        </w:rPr>
        <w:t>Economico</w:t>
      </w:r>
      <w:proofErr w:type="spellEnd"/>
      <w:r w:rsidR="000F5AE2" w:rsidRPr="0024512C">
        <w:rPr>
          <w:rFonts w:ascii="Calibri Light" w:hAnsi="Calibri Light" w:cs="Calibri Light"/>
          <w:b/>
          <w:bCs/>
          <w:i/>
          <w:sz w:val="24"/>
          <w:szCs w:val="24"/>
          <w:lang w:val="ro-MD"/>
        </w:rPr>
        <w:t>-Climatică Incluzivă</w:t>
      </w:r>
      <w:r w:rsidRPr="0024512C">
        <w:rPr>
          <w:rFonts w:ascii="Calibri Light" w:hAnsi="Calibri Light" w:cs="Calibri Light"/>
          <w:b/>
          <w:bCs/>
          <w:i/>
          <w:sz w:val="24"/>
          <w:szCs w:val="24"/>
          <w:lang w:val="ro-MD"/>
        </w:rPr>
        <w:t xml:space="preserve"> (FIDA VI)</w:t>
      </w:r>
      <w:r w:rsidRPr="00321F59">
        <w:rPr>
          <w:rFonts w:ascii="Calibri Light" w:hAnsi="Calibri Light" w:cs="Calibri Light"/>
          <w:sz w:val="24"/>
          <w:szCs w:val="24"/>
          <w:lang w:val="ro-MD"/>
        </w:rPr>
        <w:t>, alături de FIDA</w:t>
      </w:r>
      <w:r w:rsidRPr="0024512C">
        <w:rPr>
          <w:rFonts w:ascii="Calibri Light" w:hAnsi="Calibri Light" w:cs="Calibri Light"/>
          <w:bCs/>
          <w:sz w:val="24"/>
          <w:szCs w:val="24"/>
          <w:lang w:val="ro-MD"/>
        </w:rPr>
        <w:t>,</w:t>
      </w:r>
      <w:r w:rsidRPr="0024512C">
        <w:rPr>
          <w:rFonts w:ascii="Calibri Light" w:hAnsi="Calibri Light" w:cs="Calibri Light"/>
          <w:b/>
          <w:bCs/>
          <w:sz w:val="24"/>
          <w:szCs w:val="24"/>
          <w:lang w:val="ro-MD"/>
        </w:rPr>
        <w:t xml:space="preserve"> </w:t>
      </w:r>
      <w:r w:rsidR="00994844" w:rsidRPr="00321F59">
        <w:rPr>
          <w:rFonts w:ascii="Calibri Light" w:hAnsi="Calibri Light" w:cs="Calibri Light"/>
          <w:sz w:val="24"/>
          <w:szCs w:val="24"/>
          <w:lang w:val="ro-MD"/>
        </w:rPr>
        <w:t>G</w:t>
      </w:r>
      <w:r w:rsidR="000F5AE2" w:rsidRPr="00321F59">
        <w:rPr>
          <w:rFonts w:ascii="Calibri Light" w:hAnsi="Calibri Light" w:cs="Calibri Light"/>
          <w:sz w:val="24"/>
          <w:szCs w:val="24"/>
          <w:lang w:val="ro-MD"/>
        </w:rPr>
        <w:t xml:space="preserve">uvernul Regatului Danemarcei a acceptat </w:t>
      </w:r>
      <w:r w:rsidRPr="0024512C">
        <w:rPr>
          <w:rFonts w:ascii="Calibri Light" w:hAnsi="Calibri Light" w:cs="Calibri Light"/>
          <w:sz w:val="24"/>
          <w:szCs w:val="24"/>
          <w:lang w:val="ro-MD"/>
        </w:rPr>
        <w:t>să pună la dispoziție</w:t>
      </w:r>
      <w:r w:rsidR="000F5AE2" w:rsidRPr="0024512C">
        <w:rPr>
          <w:rFonts w:ascii="Calibri Light" w:hAnsi="Calibri Light" w:cs="Calibri Light"/>
          <w:sz w:val="24"/>
          <w:szCs w:val="24"/>
          <w:lang w:val="ro-MD"/>
        </w:rPr>
        <w:t xml:space="preserve"> </w:t>
      </w:r>
      <w:r w:rsidRPr="005C74F5">
        <w:rPr>
          <w:rFonts w:ascii="Calibri Light" w:hAnsi="Calibri Light" w:cs="Calibri Light"/>
          <w:sz w:val="24"/>
          <w:szCs w:val="24"/>
          <w:lang w:val="ro-MD"/>
        </w:rPr>
        <w:t xml:space="preserve">un grant în mărime </w:t>
      </w:r>
      <w:r w:rsidR="00AA02F7" w:rsidRPr="005C74F5">
        <w:rPr>
          <w:rFonts w:ascii="Calibri Light" w:hAnsi="Calibri Light" w:cs="Calibri Light"/>
          <w:sz w:val="24"/>
          <w:szCs w:val="24"/>
          <w:lang w:val="ro-MD"/>
        </w:rPr>
        <w:t xml:space="preserve">de </w:t>
      </w:r>
      <w:r w:rsidRPr="0024512C">
        <w:rPr>
          <w:rFonts w:ascii="Calibri Light" w:hAnsi="Calibri Light" w:cs="Calibri Light"/>
          <w:sz w:val="24"/>
          <w:szCs w:val="24"/>
          <w:lang w:val="ro-MD"/>
        </w:rPr>
        <w:t>28 571,4 mii coroane daneze (DKK)</w:t>
      </w:r>
      <w:r w:rsidR="00AA02F7" w:rsidRPr="0024512C">
        <w:rPr>
          <w:rFonts w:ascii="Calibri Light" w:hAnsi="Calibri Light" w:cs="Calibri Light"/>
          <w:sz w:val="24"/>
          <w:szCs w:val="24"/>
          <w:lang w:val="ro-MD"/>
        </w:rPr>
        <w:t xml:space="preserve"> (echivalentul </w:t>
      </w:r>
      <w:r w:rsidRPr="0024512C">
        <w:rPr>
          <w:rFonts w:ascii="Calibri Light" w:hAnsi="Calibri Light" w:cs="Calibri Light"/>
          <w:sz w:val="24"/>
          <w:szCs w:val="24"/>
          <w:lang w:val="ro-MD"/>
        </w:rPr>
        <w:t xml:space="preserve">a </w:t>
      </w:r>
      <w:r w:rsidRPr="0024512C">
        <w:rPr>
          <w:rFonts w:ascii="Calibri Light" w:hAnsi="Calibri Light" w:cs="Calibri Light"/>
          <w:bCs/>
          <w:sz w:val="24"/>
          <w:szCs w:val="24"/>
          <w:lang w:val="ro-MD"/>
        </w:rPr>
        <w:t>5,22 mil. dol.</w:t>
      </w:r>
      <w:r w:rsidR="00AA02F7" w:rsidRPr="0024512C">
        <w:rPr>
          <w:rFonts w:ascii="Calibri Light" w:hAnsi="Calibri Light" w:cs="Calibri Light"/>
          <w:bCs/>
          <w:sz w:val="24"/>
          <w:szCs w:val="24"/>
          <w:lang w:val="ro-MD"/>
        </w:rPr>
        <w:t xml:space="preserve"> </w:t>
      </w:r>
      <w:r w:rsidRPr="0024512C">
        <w:rPr>
          <w:rFonts w:ascii="Calibri Light" w:hAnsi="Calibri Light" w:cs="Calibri Light"/>
          <w:bCs/>
          <w:sz w:val="24"/>
          <w:szCs w:val="24"/>
          <w:lang w:val="ro-MD"/>
        </w:rPr>
        <w:t>SUA)</w:t>
      </w:r>
      <w:r w:rsidR="00AA02F7" w:rsidRPr="0024512C">
        <w:rPr>
          <w:rFonts w:ascii="Calibri Light" w:hAnsi="Calibri Light" w:cs="Calibri Light"/>
          <w:bCs/>
          <w:sz w:val="24"/>
          <w:szCs w:val="24"/>
          <w:lang w:val="ro-MD"/>
        </w:rPr>
        <w:t>,</w:t>
      </w:r>
      <w:r w:rsidR="000F5AE2" w:rsidRPr="0024512C">
        <w:rPr>
          <w:rFonts w:ascii="Calibri Light" w:hAnsi="Calibri Light" w:cs="Calibri Light"/>
          <w:sz w:val="24"/>
          <w:szCs w:val="24"/>
          <w:lang w:val="ro-MD"/>
        </w:rPr>
        <w:t xml:space="preserve"> cu scopul de a asigura finanțare</w:t>
      </w:r>
      <w:r w:rsidR="00AA02F7" w:rsidRPr="0024512C">
        <w:rPr>
          <w:rFonts w:ascii="Calibri Light" w:hAnsi="Calibri Light" w:cs="Calibri Light"/>
          <w:sz w:val="24"/>
          <w:szCs w:val="24"/>
          <w:lang w:val="ro-MD"/>
        </w:rPr>
        <w:t>a</w:t>
      </w:r>
      <w:r w:rsidR="000F5AE2" w:rsidRPr="0024512C">
        <w:rPr>
          <w:rFonts w:ascii="Calibri Light" w:hAnsi="Calibri Light" w:cs="Calibri Light"/>
          <w:sz w:val="24"/>
          <w:szCs w:val="24"/>
          <w:lang w:val="ro-MD"/>
        </w:rPr>
        <w:t xml:space="preserve"> suplimentară </w:t>
      </w:r>
      <w:r w:rsidR="00AA02F7" w:rsidRPr="0024512C">
        <w:rPr>
          <w:rFonts w:ascii="Calibri Light" w:hAnsi="Calibri Light" w:cs="Calibri Light"/>
          <w:sz w:val="24"/>
          <w:szCs w:val="24"/>
          <w:lang w:val="ro-MD"/>
        </w:rPr>
        <w:t>a</w:t>
      </w:r>
      <w:r w:rsidR="000F5AE2" w:rsidRPr="0024512C">
        <w:rPr>
          <w:rFonts w:ascii="Calibri Light" w:hAnsi="Calibri Light" w:cs="Calibri Light"/>
          <w:sz w:val="24"/>
          <w:szCs w:val="24"/>
          <w:lang w:val="ro-MD"/>
        </w:rPr>
        <w:t xml:space="preserve"> </w:t>
      </w:r>
      <w:r w:rsidR="00AA02F7" w:rsidRPr="0024512C">
        <w:rPr>
          <w:rFonts w:ascii="Calibri Light" w:hAnsi="Calibri Light" w:cs="Calibri Light"/>
          <w:sz w:val="24"/>
          <w:szCs w:val="24"/>
          <w:lang w:val="ro-MD"/>
        </w:rPr>
        <w:t>componentei a</w:t>
      </w:r>
      <w:r w:rsidRPr="0024512C">
        <w:rPr>
          <w:rFonts w:ascii="Calibri Light" w:hAnsi="Calibri Light" w:cs="Calibri Light"/>
          <w:sz w:val="24"/>
          <w:szCs w:val="24"/>
          <w:lang w:val="ro-MD"/>
        </w:rPr>
        <w:t xml:space="preserve"> II</w:t>
      </w:r>
      <w:r w:rsidR="00AA02F7" w:rsidRPr="0024512C">
        <w:rPr>
          <w:rFonts w:ascii="Calibri Light" w:hAnsi="Calibri Light" w:cs="Calibri Light"/>
          <w:sz w:val="24"/>
          <w:szCs w:val="24"/>
          <w:lang w:val="ro-MD"/>
        </w:rPr>
        <w:t>-a</w:t>
      </w:r>
      <w:r w:rsidR="007A72F7" w:rsidRPr="0024512C">
        <w:rPr>
          <w:rFonts w:ascii="Calibri Light" w:hAnsi="Calibri Light" w:cs="Calibri Light"/>
          <w:sz w:val="24"/>
          <w:szCs w:val="24"/>
          <w:lang w:val="ro-MD"/>
        </w:rPr>
        <w:t xml:space="preserve"> a Programului</w:t>
      </w:r>
      <w:r w:rsidRPr="0024512C">
        <w:rPr>
          <w:rFonts w:ascii="Calibri Light" w:hAnsi="Calibri Light" w:cs="Calibri Light"/>
          <w:sz w:val="24"/>
          <w:szCs w:val="24"/>
          <w:lang w:val="ro-MD"/>
        </w:rPr>
        <w:t xml:space="preserve">. </w:t>
      </w:r>
      <w:r w:rsidR="000F5AE2" w:rsidRPr="0024512C">
        <w:rPr>
          <w:rFonts w:ascii="Calibri Light" w:hAnsi="Calibri Light" w:cs="Calibri Light"/>
          <w:bCs/>
          <w:sz w:val="24"/>
          <w:szCs w:val="24"/>
          <w:lang w:val="ro-MD"/>
        </w:rPr>
        <w:t>Grantul danez</w:t>
      </w:r>
      <w:r w:rsidR="00A9537A" w:rsidRPr="0024512C">
        <w:rPr>
          <w:rFonts w:ascii="Calibri Light" w:hAnsi="Calibri Light" w:cs="Calibri Light"/>
          <w:bCs/>
          <w:sz w:val="24"/>
          <w:szCs w:val="24"/>
          <w:lang w:val="ro-MD"/>
        </w:rPr>
        <w:t xml:space="preserve"> </w:t>
      </w:r>
      <w:r w:rsidR="000F5AE2" w:rsidRPr="0024512C">
        <w:rPr>
          <w:rFonts w:ascii="Calibri Light" w:hAnsi="Calibri Light" w:cs="Calibri Light"/>
          <w:bCs/>
          <w:sz w:val="24"/>
          <w:szCs w:val="24"/>
          <w:lang w:val="ro-MD"/>
        </w:rPr>
        <w:t xml:space="preserve">urma </w:t>
      </w:r>
      <w:r w:rsidR="00AA02F7" w:rsidRPr="0024512C">
        <w:rPr>
          <w:rFonts w:ascii="Calibri Light" w:hAnsi="Calibri Light" w:cs="Calibri Light"/>
          <w:bCs/>
          <w:sz w:val="24"/>
          <w:szCs w:val="24"/>
          <w:lang w:val="ro-MD"/>
        </w:rPr>
        <w:t>să</w:t>
      </w:r>
      <w:r w:rsidR="000F5AE2" w:rsidRPr="0024512C">
        <w:rPr>
          <w:rFonts w:ascii="Calibri Light" w:hAnsi="Calibri Light" w:cs="Calibri Light"/>
          <w:bCs/>
          <w:sz w:val="24"/>
          <w:szCs w:val="24"/>
          <w:lang w:val="ro-MD"/>
        </w:rPr>
        <w:t xml:space="preserve"> fi</w:t>
      </w:r>
      <w:r w:rsidR="00AA02F7" w:rsidRPr="0024512C">
        <w:rPr>
          <w:rFonts w:ascii="Calibri Light" w:hAnsi="Calibri Light" w:cs="Calibri Light"/>
          <w:bCs/>
          <w:sz w:val="24"/>
          <w:szCs w:val="24"/>
          <w:lang w:val="ro-MD"/>
        </w:rPr>
        <w:t>e</w:t>
      </w:r>
      <w:r w:rsidR="000F5AE2" w:rsidRPr="0024512C">
        <w:rPr>
          <w:rFonts w:ascii="Calibri Light" w:hAnsi="Calibri Light" w:cs="Calibri Light"/>
          <w:bCs/>
          <w:sz w:val="24"/>
          <w:szCs w:val="24"/>
          <w:lang w:val="ro-MD"/>
        </w:rPr>
        <w:t xml:space="preserve"> utilizat pentru oferi</w:t>
      </w:r>
      <w:r w:rsidR="00AA02F7" w:rsidRPr="0024512C">
        <w:rPr>
          <w:rFonts w:ascii="Calibri Light" w:hAnsi="Calibri Light" w:cs="Calibri Light"/>
          <w:bCs/>
          <w:sz w:val="24"/>
          <w:szCs w:val="24"/>
          <w:lang w:val="ro-MD"/>
        </w:rPr>
        <w:t>rea</w:t>
      </w:r>
      <w:r w:rsidR="000F5AE2" w:rsidRPr="0024512C">
        <w:rPr>
          <w:rFonts w:ascii="Calibri Light" w:hAnsi="Calibri Light" w:cs="Calibri Light"/>
          <w:bCs/>
          <w:sz w:val="24"/>
          <w:szCs w:val="24"/>
          <w:lang w:val="ro-MD"/>
        </w:rPr>
        <w:t xml:space="preserve"> suport</w:t>
      </w:r>
      <w:r w:rsidR="00AA02F7" w:rsidRPr="0024512C">
        <w:rPr>
          <w:rFonts w:ascii="Calibri Light" w:hAnsi="Calibri Light" w:cs="Calibri Light"/>
          <w:bCs/>
          <w:sz w:val="24"/>
          <w:szCs w:val="24"/>
          <w:lang w:val="ro-MD"/>
        </w:rPr>
        <w:t>ului</w:t>
      </w:r>
      <w:r w:rsidR="000F5AE2" w:rsidRPr="0024512C">
        <w:rPr>
          <w:rFonts w:ascii="Calibri Light" w:hAnsi="Calibri Light" w:cs="Calibri Light"/>
          <w:bCs/>
          <w:sz w:val="24"/>
          <w:szCs w:val="24"/>
          <w:lang w:val="ro-MD"/>
        </w:rPr>
        <w:t xml:space="preserve"> financiar la lansarea și dezvoltarea afacerilor de către tinerii antreprenori și a acoperit elementul de grant din pachetul de finanțare pentru beneficiari. </w:t>
      </w:r>
    </w:p>
    <w:p w:rsidR="007A17AA" w:rsidRPr="0024512C" w:rsidRDefault="000F5AE2" w:rsidP="007A17AA">
      <w:pPr>
        <w:spacing w:line="276" w:lineRule="auto"/>
        <w:jc w:val="both"/>
        <w:rPr>
          <w:rFonts w:ascii="Calibri Light" w:hAnsi="Calibri Light" w:cs="Calibri Light"/>
          <w:bCs/>
          <w:sz w:val="24"/>
          <w:szCs w:val="24"/>
          <w:lang w:val="ro-MD"/>
        </w:rPr>
      </w:pPr>
      <w:r w:rsidRPr="00642BEC">
        <w:rPr>
          <w:rFonts w:ascii="Calibri Light" w:hAnsi="Calibri Light" w:cs="Calibri Light"/>
          <w:bCs/>
          <w:sz w:val="24"/>
          <w:szCs w:val="24"/>
          <w:lang w:val="ro-MD"/>
        </w:rPr>
        <w:t xml:space="preserve">Conform </w:t>
      </w:r>
      <w:r w:rsidR="00AA02F7" w:rsidRPr="00642BEC">
        <w:rPr>
          <w:rFonts w:ascii="Calibri Light" w:hAnsi="Calibri Light" w:cs="Calibri Light"/>
          <w:bCs/>
          <w:sz w:val="24"/>
          <w:szCs w:val="24"/>
          <w:lang w:val="ro-MD"/>
        </w:rPr>
        <w:t>M</w:t>
      </w:r>
      <w:r w:rsidRPr="00642BEC">
        <w:rPr>
          <w:rFonts w:ascii="Calibri Light" w:hAnsi="Calibri Light" w:cs="Calibri Light"/>
          <w:bCs/>
          <w:sz w:val="24"/>
          <w:szCs w:val="24"/>
          <w:lang w:val="ro-MD"/>
        </w:rPr>
        <w:t>anualului de implementare al Programului, porțiunea de credit</w:t>
      </w:r>
      <w:r w:rsidR="00D57E93" w:rsidRPr="00642BEC">
        <w:rPr>
          <w:rFonts w:ascii="Calibri Light" w:hAnsi="Calibri Light" w:cs="Calibri Light"/>
          <w:bCs/>
          <w:sz w:val="24"/>
          <w:szCs w:val="24"/>
          <w:lang w:val="ro-MD"/>
        </w:rPr>
        <w:t xml:space="preserve"> din pachetul dat de</w:t>
      </w:r>
      <w:r w:rsidRPr="00642BEC">
        <w:rPr>
          <w:rFonts w:ascii="Calibri Light" w:hAnsi="Calibri Light" w:cs="Calibri Light"/>
          <w:bCs/>
          <w:sz w:val="24"/>
          <w:szCs w:val="24"/>
          <w:lang w:val="ro-MD"/>
        </w:rPr>
        <w:t xml:space="preserve"> finanțare urma a fi acoperită de către Guvernul RM. Astfel, în vederea asimilării grantului oferit, </w:t>
      </w:r>
      <w:r w:rsidR="00AA02F7" w:rsidRPr="0024512C">
        <w:rPr>
          <w:rFonts w:ascii="Calibri Light" w:hAnsi="Calibri Light" w:cs="Calibri Light"/>
          <w:bCs/>
          <w:sz w:val="24"/>
          <w:szCs w:val="24"/>
          <w:lang w:val="ro-MD"/>
        </w:rPr>
        <w:t xml:space="preserve">s-a </w:t>
      </w:r>
      <w:r w:rsidRPr="0024512C">
        <w:rPr>
          <w:rFonts w:ascii="Calibri Light" w:hAnsi="Calibri Light" w:cs="Calibri Light"/>
          <w:bCs/>
          <w:sz w:val="24"/>
          <w:szCs w:val="24"/>
          <w:lang w:val="ro-MD"/>
        </w:rPr>
        <w:t xml:space="preserve">decis ca porțiunea de credit să fie acoperită din mijloacele </w:t>
      </w:r>
      <w:r w:rsidR="00D57E93" w:rsidRPr="0024512C">
        <w:rPr>
          <w:rFonts w:ascii="Calibri Light" w:hAnsi="Calibri Light" w:cs="Calibri Light"/>
          <w:bCs/>
          <w:sz w:val="24"/>
          <w:szCs w:val="24"/>
          <w:lang w:val="ro-MD"/>
        </w:rPr>
        <w:t xml:space="preserve">circulante acumulate </w:t>
      </w:r>
      <w:r w:rsidR="007A72F7" w:rsidRPr="0024512C">
        <w:rPr>
          <w:rFonts w:ascii="Calibri Light" w:hAnsi="Calibri Light" w:cs="Calibri Light"/>
          <w:bCs/>
          <w:sz w:val="24"/>
          <w:szCs w:val="24"/>
          <w:lang w:val="ro-MD"/>
        </w:rPr>
        <w:t xml:space="preserve">de DLC </w:t>
      </w:r>
      <w:r w:rsidR="00D57E93" w:rsidRPr="0024512C">
        <w:rPr>
          <w:rFonts w:ascii="Calibri Light" w:hAnsi="Calibri Light" w:cs="Calibri Light"/>
          <w:bCs/>
          <w:sz w:val="24"/>
          <w:szCs w:val="24"/>
          <w:lang w:val="ro-MD"/>
        </w:rPr>
        <w:t xml:space="preserve">în cadrul </w:t>
      </w:r>
      <w:r w:rsidR="007A72F7" w:rsidRPr="0024512C">
        <w:rPr>
          <w:rFonts w:ascii="Calibri Light" w:hAnsi="Calibri Light" w:cs="Calibri Light"/>
          <w:bCs/>
          <w:sz w:val="24"/>
          <w:szCs w:val="24"/>
          <w:lang w:val="ro-MD"/>
        </w:rPr>
        <w:t xml:space="preserve">administrării </w:t>
      </w:r>
      <w:r w:rsidR="00D57E93" w:rsidRPr="0024512C">
        <w:rPr>
          <w:rFonts w:ascii="Calibri Light" w:hAnsi="Calibri Light" w:cs="Calibri Light"/>
          <w:bCs/>
          <w:sz w:val="24"/>
          <w:szCs w:val="24"/>
          <w:lang w:val="ro-MD"/>
        </w:rPr>
        <w:t>Proiectelor FIDA</w:t>
      </w:r>
      <w:r w:rsidR="007A72F7" w:rsidRPr="0024512C">
        <w:rPr>
          <w:rFonts w:ascii="Calibri Light" w:hAnsi="Calibri Light" w:cs="Calibri Light"/>
          <w:bCs/>
          <w:sz w:val="24"/>
          <w:szCs w:val="24"/>
          <w:lang w:val="ro-MD"/>
        </w:rPr>
        <w:t xml:space="preserve"> I-VI</w:t>
      </w:r>
      <w:r w:rsidR="00D57E93" w:rsidRPr="0024512C">
        <w:rPr>
          <w:rFonts w:ascii="Calibri Light" w:hAnsi="Calibri Light" w:cs="Calibri Light"/>
          <w:bCs/>
          <w:sz w:val="24"/>
          <w:szCs w:val="24"/>
          <w:lang w:val="ro-MD"/>
        </w:rPr>
        <w:t xml:space="preserve">. </w:t>
      </w:r>
      <w:r w:rsidR="007A72F7" w:rsidRPr="0024512C">
        <w:rPr>
          <w:rFonts w:ascii="Calibri Light" w:hAnsi="Calibri Light" w:cs="Calibri Light"/>
          <w:bCs/>
          <w:sz w:val="24"/>
          <w:szCs w:val="24"/>
          <w:lang w:val="ro-MD"/>
        </w:rPr>
        <w:t xml:space="preserve">În baza Memorandumului de înțelegere încheiat între </w:t>
      </w:r>
      <w:r w:rsidR="007A72F7" w:rsidRPr="0024512C">
        <w:rPr>
          <w:rFonts w:ascii="Calibri Light" w:hAnsi="Calibri Light" w:cs="Calibri Light"/>
          <w:sz w:val="24"/>
          <w:szCs w:val="24"/>
          <w:lang w:val="ro-MD"/>
        </w:rPr>
        <w:t>UCIP-IFAD</w:t>
      </w:r>
      <w:r w:rsidR="007A72F7" w:rsidRPr="0024512C">
        <w:rPr>
          <w:rFonts w:ascii="Calibri Light" w:hAnsi="Calibri Light" w:cs="Calibri Light"/>
          <w:bCs/>
          <w:sz w:val="24"/>
          <w:szCs w:val="24"/>
          <w:lang w:val="ro-MD"/>
        </w:rPr>
        <w:t xml:space="preserve"> și DLC l</w:t>
      </w:r>
      <w:r w:rsidRPr="0024512C">
        <w:rPr>
          <w:rFonts w:ascii="Calibri Light" w:hAnsi="Calibri Light" w:cs="Calibri Light"/>
          <w:bCs/>
          <w:sz w:val="24"/>
          <w:szCs w:val="24"/>
          <w:lang w:val="ro-MD"/>
        </w:rPr>
        <w:t>a 30.05.2014,</w:t>
      </w:r>
      <w:r w:rsidR="007A72F7" w:rsidRPr="0024512C">
        <w:rPr>
          <w:rFonts w:ascii="Calibri Light" w:hAnsi="Calibri Light" w:cs="Calibri Light"/>
          <w:bCs/>
          <w:sz w:val="24"/>
          <w:szCs w:val="24"/>
          <w:lang w:val="ro-MD"/>
        </w:rPr>
        <w:t xml:space="preserve"> precum și a </w:t>
      </w:r>
      <w:r w:rsidR="00AA02F7" w:rsidRPr="0024512C">
        <w:rPr>
          <w:rFonts w:ascii="Calibri Light" w:hAnsi="Calibri Light" w:cs="Calibri Light"/>
          <w:bCs/>
          <w:sz w:val="24"/>
          <w:szCs w:val="24"/>
          <w:lang w:val="ro-MD"/>
        </w:rPr>
        <w:t>O</w:t>
      </w:r>
      <w:r w:rsidR="007A72F7" w:rsidRPr="0024512C">
        <w:rPr>
          <w:rFonts w:ascii="Calibri Light" w:hAnsi="Calibri Light" w:cs="Calibri Light"/>
          <w:bCs/>
          <w:sz w:val="24"/>
          <w:szCs w:val="24"/>
          <w:lang w:val="ro-MD"/>
        </w:rPr>
        <w:t xml:space="preserve">rdinului </w:t>
      </w:r>
      <w:r w:rsidR="00AA02F7" w:rsidRPr="0024512C">
        <w:rPr>
          <w:rFonts w:ascii="Calibri Light" w:hAnsi="Calibri Light" w:cs="Calibri Light"/>
          <w:bCs/>
          <w:sz w:val="24"/>
          <w:szCs w:val="24"/>
          <w:lang w:val="ro-MD"/>
        </w:rPr>
        <w:t>m</w:t>
      </w:r>
      <w:r w:rsidR="007A72F7" w:rsidRPr="0024512C">
        <w:rPr>
          <w:rFonts w:ascii="Calibri Light" w:hAnsi="Calibri Light" w:cs="Calibri Light"/>
          <w:bCs/>
          <w:sz w:val="24"/>
          <w:szCs w:val="24"/>
          <w:lang w:val="ro-MD"/>
        </w:rPr>
        <w:t xml:space="preserve">inistrului </w:t>
      </w:r>
      <w:r w:rsidR="00AA02F7" w:rsidRPr="0024512C">
        <w:rPr>
          <w:rFonts w:ascii="Calibri Light" w:hAnsi="Calibri Light" w:cs="Calibri Light"/>
          <w:bCs/>
          <w:sz w:val="24"/>
          <w:szCs w:val="24"/>
          <w:lang w:val="ro-MD"/>
        </w:rPr>
        <w:t>Finanțelor nr.</w:t>
      </w:r>
      <w:r w:rsidR="007A72F7" w:rsidRPr="0024512C">
        <w:rPr>
          <w:rFonts w:ascii="Calibri Light" w:hAnsi="Calibri Light" w:cs="Calibri Light"/>
          <w:bCs/>
          <w:sz w:val="24"/>
          <w:szCs w:val="24"/>
          <w:lang w:val="ro-MD"/>
        </w:rPr>
        <w:t xml:space="preserve">112 din 29.07.2015, s-a stabilit că </w:t>
      </w:r>
      <w:r w:rsidRPr="0024512C">
        <w:rPr>
          <w:rFonts w:ascii="Calibri Light" w:hAnsi="Calibri Light" w:cs="Calibri Light"/>
          <w:bCs/>
          <w:sz w:val="24"/>
          <w:szCs w:val="24"/>
          <w:lang w:val="ro-MD"/>
        </w:rPr>
        <w:t xml:space="preserve">DLC urma să </w:t>
      </w:r>
      <w:r w:rsidR="007A72F7" w:rsidRPr="0024512C">
        <w:rPr>
          <w:rFonts w:ascii="Calibri Light" w:hAnsi="Calibri Light" w:cs="Calibri Light"/>
          <w:bCs/>
          <w:sz w:val="24"/>
          <w:szCs w:val="24"/>
          <w:lang w:val="ro-MD"/>
        </w:rPr>
        <w:t xml:space="preserve">pună la dispoziție o sumă totală echivalentă </w:t>
      </w:r>
      <w:r w:rsidR="00642BEC">
        <w:rPr>
          <w:rFonts w:ascii="Calibri Light" w:hAnsi="Calibri Light" w:cs="Calibri Light"/>
          <w:bCs/>
          <w:sz w:val="24"/>
          <w:szCs w:val="24"/>
          <w:lang w:val="ro-MD"/>
        </w:rPr>
        <w:t>cu</w:t>
      </w:r>
      <w:r w:rsidR="00642BEC" w:rsidRPr="00642BEC">
        <w:rPr>
          <w:rFonts w:ascii="Calibri Light" w:hAnsi="Calibri Light" w:cs="Calibri Light"/>
          <w:bCs/>
          <w:sz w:val="24"/>
          <w:szCs w:val="24"/>
          <w:lang w:val="ro-MD"/>
        </w:rPr>
        <w:t xml:space="preserve"> </w:t>
      </w:r>
      <w:r w:rsidRPr="00642BEC">
        <w:rPr>
          <w:rFonts w:ascii="Calibri Light" w:hAnsi="Calibri Light" w:cs="Calibri Light"/>
          <w:bCs/>
          <w:sz w:val="24"/>
          <w:szCs w:val="24"/>
          <w:lang w:val="ro-MD"/>
        </w:rPr>
        <w:t>circa 7,52 mil.</w:t>
      </w:r>
      <w:r w:rsidR="00D57E93" w:rsidRPr="00642BEC">
        <w:rPr>
          <w:rFonts w:ascii="Calibri Light" w:hAnsi="Calibri Light" w:cs="Calibri Light"/>
          <w:bCs/>
          <w:sz w:val="24"/>
          <w:szCs w:val="24"/>
          <w:lang w:val="ro-MD"/>
        </w:rPr>
        <w:t xml:space="preserve"> </w:t>
      </w:r>
      <w:r w:rsidRPr="00642BEC">
        <w:rPr>
          <w:rFonts w:ascii="Calibri Light" w:hAnsi="Calibri Light" w:cs="Calibri Light"/>
          <w:bCs/>
          <w:sz w:val="24"/>
          <w:szCs w:val="24"/>
          <w:lang w:val="ro-MD"/>
        </w:rPr>
        <w:t>dol.</w:t>
      </w:r>
      <w:r w:rsidR="00AA02F7" w:rsidRPr="00642BEC">
        <w:rPr>
          <w:rFonts w:ascii="Calibri Light" w:hAnsi="Calibri Light" w:cs="Calibri Light"/>
          <w:bCs/>
          <w:sz w:val="24"/>
          <w:szCs w:val="24"/>
          <w:lang w:val="ro-MD"/>
        </w:rPr>
        <w:t xml:space="preserve"> </w:t>
      </w:r>
      <w:r w:rsidRPr="00642BEC">
        <w:rPr>
          <w:rFonts w:ascii="Calibri Light" w:hAnsi="Calibri Light" w:cs="Calibri Light"/>
          <w:bCs/>
          <w:sz w:val="24"/>
          <w:szCs w:val="24"/>
          <w:lang w:val="ro-MD"/>
        </w:rPr>
        <w:t xml:space="preserve">SUA pentru finanțarea creditelor investiționale gestionate de tinerii antreprenori. </w:t>
      </w:r>
      <w:r w:rsidR="004E7550" w:rsidRPr="00642BEC">
        <w:rPr>
          <w:rFonts w:ascii="Calibri Light" w:hAnsi="Calibri Light" w:cs="Calibri Light"/>
          <w:bCs/>
          <w:sz w:val="24"/>
          <w:szCs w:val="24"/>
          <w:lang w:val="ro-MD"/>
        </w:rPr>
        <w:t xml:space="preserve">Valoarea efectivă decontată de către DLC pentru realizarea prevederilor Memorandumului, la situația din 31.12.2019, a constituit </w:t>
      </w:r>
      <w:r w:rsidRPr="0024512C">
        <w:rPr>
          <w:rFonts w:ascii="Calibri Light" w:hAnsi="Calibri Light" w:cs="Calibri Light"/>
          <w:bCs/>
          <w:sz w:val="24"/>
          <w:szCs w:val="24"/>
          <w:lang w:val="ro-MD"/>
        </w:rPr>
        <w:t>43,69 mil.</w:t>
      </w:r>
      <w:r w:rsidR="00D57E93" w:rsidRPr="0024512C">
        <w:rPr>
          <w:rFonts w:ascii="Calibri Light" w:hAnsi="Calibri Light" w:cs="Calibri Light"/>
          <w:bCs/>
          <w:sz w:val="24"/>
          <w:szCs w:val="24"/>
          <w:lang w:val="ro-MD"/>
        </w:rPr>
        <w:t xml:space="preserve"> lei</w:t>
      </w:r>
      <w:r w:rsidRPr="0024512C">
        <w:rPr>
          <w:rFonts w:ascii="Calibri Light" w:hAnsi="Calibri Light" w:cs="Calibri Light"/>
          <w:bCs/>
          <w:sz w:val="24"/>
          <w:szCs w:val="24"/>
          <w:lang w:val="ro-MD"/>
        </w:rPr>
        <w:t xml:space="preserve">. </w:t>
      </w:r>
    </w:p>
    <w:p w:rsidR="007A17AA" w:rsidRPr="00642BEC" w:rsidRDefault="002F2EC9" w:rsidP="007A17AA">
      <w:pPr>
        <w:spacing w:line="276" w:lineRule="auto"/>
        <w:jc w:val="both"/>
        <w:rPr>
          <w:rFonts w:ascii="Calibri Light" w:hAnsi="Calibri Light" w:cs="Calibri Light"/>
          <w:bCs/>
          <w:sz w:val="24"/>
          <w:szCs w:val="24"/>
          <w:lang w:val="ro-MD"/>
        </w:rPr>
      </w:pPr>
      <w:r w:rsidRPr="0024512C">
        <w:rPr>
          <w:rFonts w:asciiTheme="majorHAnsi" w:hAnsiTheme="majorHAnsi" w:cstheme="majorHAnsi"/>
          <w:b/>
          <w:sz w:val="24"/>
          <w:szCs w:val="24"/>
          <w:lang w:val="ro-MD"/>
        </w:rPr>
        <w:t>Asociația Internațională de Dezvoltare</w:t>
      </w:r>
      <w:r w:rsidRPr="0024512C">
        <w:rPr>
          <w:rFonts w:asciiTheme="majorHAnsi" w:hAnsiTheme="majorHAnsi" w:cstheme="majorHAnsi"/>
          <w:sz w:val="24"/>
          <w:szCs w:val="24"/>
          <w:lang w:val="ro-MD"/>
        </w:rPr>
        <w:t xml:space="preserve"> </w:t>
      </w:r>
      <w:r w:rsidR="00AA02F7" w:rsidRPr="0024512C">
        <w:rPr>
          <w:rFonts w:asciiTheme="majorHAnsi" w:hAnsiTheme="majorHAnsi" w:cstheme="majorHAnsi"/>
          <w:sz w:val="24"/>
          <w:szCs w:val="24"/>
          <w:lang w:val="ro-MD"/>
        </w:rPr>
        <w:t>a finanțat două Proiecte</w:t>
      </w:r>
      <w:r w:rsidRPr="0024512C">
        <w:rPr>
          <w:rFonts w:asciiTheme="majorHAnsi" w:hAnsiTheme="majorHAnsi" w:cstheme="majorHAnsi"/>
          <w:sz w:val="24"/>
          <w:szCs w:val="24"/>
          <w:lang w:val="ro-MD"/>
        </w:rPr>
        <w:t xml:space="preserve"> </w:t>
      </w:r>
      <w:r w:rsidR="00AA02F7" w:rsidRPr="0024512C">
        <w:rPr>
          <w:rFonts w:asciiTheme="majorHAnsi" w:hAnsiTheme="majorHAnsi" w:cstheme="majorHAnsi"/>
          <w:sz w:val="24"/>
          <w:szCs w:val="24"/>
          <w:lang w:val="ro-MD"/>
        </w:rPr>
        <w:t>ale căror componente</w:t>
      </w:r>
      <w:r w:rsidRPr="0024512C">
        <w:rPr>
          <w:rFonts w:asciiTheme="majorHAnsi" w:hAnsiTheme="majorHAnsi" w:cstheme="majorHAnsi"/>
          <w:sz w:val="24"/>
          <w:szCs w:val="24"/>
          <w:lang w:val="ro-MD"/>
        </w:rPr>
        <w:t xml:space="preserve"> ce țin de liniile de credit au fost gestionate de DLC. </w:t>
      </w:r>
      <w:r w:rsidR="007A17AA" w:rsidRPr="0024512C">
        <w:rPr>
          <w:rFonts w:asciiTheme="majorHAnsi" w:hAnsiTheme="majorHAnsi" w:cstheme="majorHAnsi"/>
          <w:sz w:val="24"/>
          <w:szCs w:val="24"/>
          <w:lang w:val="ro-MD"/>
        </w:rPr>
        <w:t xml:space="preserve">În cadrul verificării </w:t>
      </w:r>
      <w:r w:rsidR="00AA02F7" w:rsidRPr="0024512C">
        <w:rPr>
          <w:rFonts w:asciiTheme="majorHAnsi" w:hAnsiTheme="majorHAnsi" w:cstheme="majorHAnsi"/>
          <w:sz w:val="24"/>
          <w:szCs w:val="24"/>
          <w:lang w:val="ro-MD"/>
        </w:rPr>
        <w:t>modului de exercitare a atribuțiilor de către</w:t>
      </w:r>
      <w:r w:rsidR="00994844" w:rsidRPr="0024512C">
        <w:rPr>
          <w:rFonts w:asciiTheme="majorHAnsi" w:hAnsiTheme="majorHAnsi" w:cstheme="majorHAnsi"/>
          <w:sz w:val="24"/>
          <w:szCs w:val="24"/>
          <w:lang w:val="ro-MD"/>
        </w:rPr>
        <w:t xml:space="preserve"> DLC în gestionarea</w:t>
      </w:r>
      <w:r w:rsidR="007A17AA" w:rsidRPr="0024512C">
        <w:rPr>
          <w:rFonts w:asciiTheme="majorHAnsi" w:hAnsiTheme="majorHAnsi" w:cstheme="majorHAnsi"/>
          <w:sz w:val="24"/>
          <w:szCs w:val="24"/>
          <w:lang w:val="ro-MD"/>
        </w:rPr>
        <w:t xml:space="preserve"> </w:t>
      </w:r>
      <w:r w:rsidR="007A17AA" w:rsidRPr="0024512C">
        <w:rPr>
          <w:rFonts w:ascii="Calibri Light" w:hAnsi="Calibri Light" w:cs="Calibri Light"/>
          <w:b/>
          <w:bCs/>
          <w:i/>
          <w:sz w:val="24"/>
          <w:szCs w:val="24"/>
          <w:lang w:val="ro-MD"/>
        </w:rPr>
        <w:t>Proiectului de Ameliorare a Competitivității</w:t>
      </w:r>
      <w:r w:rsidR="00AA02F7" w:rsidRPr="0024512C">
        <w:rPr>
          <w:rFonts w:ascii="Calibri Light" w:hAnsi="Calibri Light" w:cs="Calibri Light"/>
          <w:b/>
          <w:bCs/>
          <w:i/>
          <w:sz w:val="24"/>
          <w:szCs w:val="24"/>
          <w:lang w:val="ro-MD"/>
        </w:rPr>
        <w:t>,</w:t>
      </w:r>
      <w:r w:rsidR="007A17AA" w:rsidRPr="0024512C">
        <w:rPr>
          <w:rFonts w:ascii="Calibri Light" w:hAnsi="Calibri Light" w:cs="Calibri Light"/>
          <w:b/>
          <w:bCs/>
          <w:i/>
          <w:sz w:val="24"/>
          <w:szCs w:val="24"/>
          <w:lang w:val="ro-MD"/>
        </w:rPr>
        <w:t xml:space="preserve"> faza </w:t>
      </w:r>
      <w:r w:rsidR="00AA02F7" w:rsidRPr="0024512C">
        <w:rPr>
          <w:rFonts w:ascii="Calibri Light" w:hAnsi="Calibri Light" w:cs="Calibri Light"/>
          <w:b/>
          <w:bCs/>
          <w:i/>
          <w:sz w:val="24"/>
          <w:szCs w:val="24"/>
          <w:lang w:val="ro-MD"/>
        </w:rPr>
        <w:t xml:space="preserve">a </w:t>
      </w:r>
      <w:r w:rsidR="007A17AA" w:rsidRPr="0024512C">
        <w:rPr>
          <w:rFonts w:ascii="Calibri Light" w:hAnsi="Calibri Light" w:cs="Calibri Light"/>
          <w:b/>
          <w:bCs/>
          <w:i/>
          <w:sz w:val="24"/>
          <w:szCs w:val="24"/>
          <w:lang w:val="ro-MD"/>
        </w:rPr>
        <w:t>II</w:t>
      </w:r>
      <w:r w:rsidR="00AA02F7" w:rsidRPr="0024512C">
        <w:rPr>
          <w:rFonts w:ascii="Calibri Light" w:hAnsi="Calibri Light" w:cs="Calibri Light"/>
          <w:b/>
          <w:bCs/>
          <w:i/>
          <w:sz w:val="24"/>
          <w:szCs w:val="24"/>
          <w:lang w:val="ro-MD"/>
        </w:rPr>
        <w:t>-a</w:t>
      </w:r>
      <w:r w:rsidR="00AA02F7" w:rsidRPr="0024512C">
        <w:rPr>
          <w:rFonts w:ascii="Calibri Light" w:hAnsi="Calibri Light" w:cs="Calibri Light"/>
          <w:bCs/>
          <w:sz w:val="24"/>
          <w:szCs w:val="24"/>
          <w:lang w:val="ro-MD"/>
        </w:rPr>
        <w:t xml:space="preserve">, s-a stabilit că </w:t>
      </w:r>
      <w:r w:rsidR="007A17AA" w:rsidRPr="0024512C">
        <w:rPr>
          <w:rFonts w:ascii="Calibri Light" w:hAnsi="Calibri Light" w:cs="Calibri Light"/>
          <w:bCs/>
          <w:sz w:val="24"/>
          <w:szCs w:val="24"/>
          <w:lang w:val="ro-MD"/>
        </w:rPr>
        <w:t xml:space="preserve">DLC a </w:t>
      </w:r>
      <w:r w:rsidR="00AA02F7" w:rsidRPr="0024512C">
        <w:rPr>
          <w:rFonts w:ascii="Calibri Light" w:hAnsi="Calibri Light" w:cs="Calibri Light"/>
          <w:bCs/>
          <w:sz w:val="24"/>
          <w:szCs w:val="24"/>
          <w:lang w:val="ro-MD"/>
        </w:rPr>
        <w:t>depășit</w:t>
      </w:r>
      <w:r w:rsidR="007A17AA" w:rsidRPr="0024512C">
        <w:rPr>
          <w:rFonts w:ascii="Calibri Light" w:hAnsi="Calibri Light" w:cs="Calibri Light"/>
          <w:bCs/>
          <w:sz w:val="24"/>
          <w:szCs w:val="24"/>
          <w:lang w:val="ro-MD"/>
        </w:rPr>
        <w:t xml:space="preserve"> limita de recreditare a exportatorilor indirecți din mijloace</w:t>
      </w:r>
      <w:r w:rsidR="00AA02F7" w:rsidRPr="0024512C">
        <w:rPr>
          <w:rFonts w:ascii="Calibri Light" w:hAnsi="Calibri Light" w:cs="Calibri Light"/>
          <w:bCs/>
          <w:sz w:val="24"/>
          <w:szCs w:val="24"/>
          <w:lang w:val="ro-MD"/>
        </w:rPr>
        <w:t>le</w:t>
      </w:r>
      <w:r w:rsidR="007A17AA" w:rsidRPr="0024512C">
        <w:rPr>
          <w:rFonts w:ascii="Calibri Light" w:hAnsi="Calibri Light" w:cs="Calibri Light"/>
          <w:bCs/>
          <w:sz w:val="24"/>
          <w:szCs w:val="24"/>
          <w:lang w:val="ro-MD"/>
        </w:rPr>
        <w:t xml:space="preserve"> circulante, care</w:t>
      </w:r>
      <w:r w:rsidR="00642BEC">
        <w:rPr>
          <w:rFonts w:ascii="Calibri Light" w:hAnsi="Calibri Light" w:cs="Calibri Light"/>
          <w:bCs/>
          <w:sz w:val="24"/>
          <w:szCs w:val="24"/>
          <w:lang w:val="ro-MD"/>
        </w:rPr>
        <w:t>,</w:t>
      </w:r>
      <w:r w:rsidR="007A17AA" w:rsidRPr="00642BEC">
        <w:rPr>
          <w:rFonts w:ascii="Calibri Light" w:hAnsi="Calibri Light" w:cs="Calibri Light"/>
          <w:bCs/>
          <w:sz w:val="24"/>
          <w:szCs w:val="24"/>
          <w:lang w:val="ro-MD"/>
        </w:rPr>
        <w:t xml:space="preserve"> conform Manualului operațional al Proiectului</w:t>
      </w:r>
      <w:r w:rsidR="00642BEC">
        <w:rPr>
          <w:rFonts w:ascii="Calibri Light" w:hAnsi="Calibri Light" w:cs="Calibri Light"/>
          <w:bCs/>
          <w:sz w:val="24"/>
          <w:szCs w:val="24"/>
          <w:lang w:val="ro-MD"/>
        </w:rPr>
        <w:t>,</w:t>
      </w:r>
      <w:r w:rsidR="007A17AA" w:rsidRPr="00642BEC">
        <w:rPr>
          <w:rFonts w:ascii="Calibri Light" w:hAnsi="Calibri Light" w:cs="Calibri Light"/>
          <w:bCs/>
          <w:sz w:val="24"/>
          <w:szCs w:val="24"/>
          <w:lang w:val="ro-MD"/>
        </w:rPr>
        <w:t xml:space="preserve"> nu </w:t>
      </w:r>
      <w:r w:rsidR="00642BEC">
        <w:rPr>
          <w:rFonts w:ascii="Calibri Light" w:hAnsi="Calibri Light" w:cs="Calibri Light"/>
          <w:bCs/>
          <w:sz w:val="24"/>
          <w:szCs w:val="24"/>
          <w:lang w:val="ro-MD"/>
        </w:rPr>
        <w:t>trebuie să</w:t>
      </w:r>
      <w:r w:rsidR="007A17AA" w:rsidRPr="00642BEC">
        <w:rPr>
          <w:rFonts w:ascii="Calibri Light" w:hAnsi="Calibri Light" w:cs="Calibri Light"/>
          <w:bCs/>
          <w:sz w:val="24"/>
          <w:szCs w:val="24"/>
          <w:lang w:val="ro-MD"/>
        </w:rPr>
        <w:t xml:space="preserve"> depăș</w:t>
      </w:r>
      <w:r w:rsidR="00642BEC">
        <w:rPr>
          <w:rFonts w:ascii="Calibri Light" w:hAnsi="Calibri Light" w:cs="Calibri Light"/>
          <w:bCs/>
          <w:sz w:val="24"/>
          <w:szCs w:val="24"/>
          <w:lang w:val="ro-MD"/>
        </w:rPr>
        <w:t>ească</w:t>
      </w:r>
      <w:r w:rsidR="007A17AA" w:rsidRPr="00642BEC">
        <w:rPr>
          <w:rFonts w:ascii="Calibri Light" w:hAnsi="Calibri Light" w:cs="Calibri Light"/>
          <w:bCs/>
          <w:sz w:val="24"/>
          <w:szCs w:val="24"/>
          <w:lang w:val="ro-MD"/>
        </w:rPr>
        <w:t xml:space="preserve"> 30% din totalul beneficiarilor </w:t>
      </w:r>
      <w:proofErr w:type="spellStart"/>
      <w:r w:rsidR="007A17AA" w:rsidRPr="00642BEC">
        <w:rPr>
          <w:rFonts w:ascii="Calibri Light" w:hAnsi="Calibri Light" w:cs="Calibri Light"/>
          <w:bCs/>
          <w:sz w:val="24"/>
          <w:szCs w:val="24"/>
          <w:lang w:val="ro-MD"/>
        </w:rPr>
        <w:t>recreditați</w:t>
      </w:r>
      <w:proofErr w:type="spellEnd"/>
      <w:r w:rsidR="007A17AA" w:rsidRPr="00642BEC">
        <w:rPr>
          <w:rFonts w:ascii="Calibri Light" w:hAnsi="Calibri Light" w:cs="Calibri Light"/>
          <w:bCs/>
          <w:sz w:val="24"/>
          <w:szCs w:val="24"/>
          <w:lang w:val="ro-MD"/>
        </w:rPr>
        <w:t xml:space="preserve">. </w:t>
      </w:r>
      <w:r w:rsidR="007A17AA" w:rsidRPr="00642BEC">
        <w:rPr>
          <w:rFonts w:asciiTheme="majorHAnsi" w:eastAsia="Times New Roman" w:hAnsiTheme="majorHAnsi" w:cstheme="majorHAnsi"/>
          <w:bCs/>
          <w:sz w:val="24"/>
          <w:szCs w:val="24"/>
          <w:lang w:val="ro-MD" w:eastAsia="ru-RU"/>
        </w:rPr>
        <w:t>L</w:t>
      </w:r>
      <w:r w:rsidR="00BA1C87" w:rsidRPr="00642BEC">
        <w:rPr>
          <w:rFonts w:asciiTheme="majorHAnsi" w:eastAsia="Times New Roman" w:hAnsiTheme="majorHAnsi" w:cstheme="majorHAnsi"/>
          <w:bCs/>
          <w:sz w:val="24"/>
          <w:szCs w:val="24"/>
          <w:lang w:val="ro-MD" w:eastAsia="ru-RU"/>
        </w:rPr>
        <w:t xml:space="preserve">a situația din </w:t>
      </w:r>
      <w:r w:rsidR="00616293" w:rsidRPr="00642BEC">
        <w:rPr>
          <w:rFonts w:asciiTheme="majorHAnsi" w:eastAsia="Times New Roman" w:hAnsiTheme="majorHAnsi" w:cstheme="majorHAnsi"/>
          <w:bCs/>
          <w:sz w:val="24"/>
          <w:szCs w:val="24"/>
          <w:lang w:val="ro-MD" w:eastAsia="ru-RU"/>
        </w:rPr>
        <w:t>31.12</w:t>
      </w:r>
      <w:r w:rsidR="00BA1C87" w:rsidRPr="00642BEC">
        <w:rPr>
          <w:rFonts w:asciiTheme="majorHAnsi" w:eastAsia="Times New Roman" w:hAnsiTheme="majorHAnsi" w:cstheme="majorHAnsi"/>
          <w:bCs/>
          <w:sz w:val="24"/>
          <w:szCs w:val="24"/>
          <w:lang w:val="ro-MD" w:eastAsia="ru-RU"/>
        </w:rPr>
        <w:t xml:space="preserve">.2019, cota </w:t>
      </w:r>
      <w:proofErr w:type="spellStart"/>
      <w:r w:rsidR="00BA1C87" w:rsidRPr="00642BEC">
        <w:rPr>
          <w:rFonts w:asciiTheme="majorHAnsi" w:eastAsia="Times New Roman" w:hAnsiTheme="majorHAnsi" w:cstheme="majorHAnsi"/>
          <w:bCs/>
          <w:sz w:val="24"/>
          <w:szCs w:val="24"/>
          <w:lang w:val="ro-MD" w:eastAsia="ru-RU"/>
        </w:rPr>
        <w:t>recreditată</w:t>
      </w:r>
      <w:proofErr w:type="spellEnd"/>
      <w:r w:rsidR="00BA1C87" w:rsidRPr="00642BEC">
        <w:rPr>
          <w:rFonts w:asciiTheme="majorHAnsi" w:eastAsia="Times New Roman" w:hAnsiTheme="majorHAnsi" w:cstheme="majorHAnsi"/>
          <w:bCs/>
          <w:sz w:val="24"/>
          <w:szCs w:val="24"/>
          <w:lang w:val="ro-MD" w:eastAsia="ru-RU"/>
        </w:rPr>
        <w:t xml:space="preserve"> e</w:t>
      </w:r>
      <w:r w:rsidR="00AA02F7" w:rsidRPr="00642BEC">
        <w:rPr>
          <w:rFonts w:asciiTheme="majorHAnsi" w:eastAsia="Times New Roman" w:hAnsiTheme="majorHAnsi" w:cstheme="majorHAnsi"/>
          <w:bCs/>
          <w:sz w:val="24"/>
          <w:szCs w:val="24"/>
          <w:lang w:val="ro-MD" w:eastAsia="ru-RU"/>
        </w:rPr>
        <w:t>xportatorilor direcți constituia</w:t>
      </w:r>
      <w:r w:rsidR="00BA1C87" w:rsidRPr="0024512C">
        <w:rPr>
          <w:rFonts w:asciiTheme="majorHAnsi" w:eastAsia="Times New Roman" w:hAnsiTheme="majorHAnsi" w:cstheme="majorHAnsi"/>
          <w:bCs/>
          <w:sz w:val="24"/>
          <w:szCs w:val="24"/>
          <w:lang w:val="ro-MD" w:eastAsia="ru-RU"/>
        </w:rPr>
        <w:t xml:space="preserve"> </w:t>
      </w:r>
      <w:r w:rsidR="00616293" w:rsidRPr="0024512C">
        <w:rPr>
          <w:rFonts w:asciiTheme="majorHAnsi" w:eastAsia="Times New Roman" w:hAnsiTheme="majorHAnsi" w:cstheme="majorHAnsi"/>
          <w:bCs/>
          <w:sz w:val="24"/>
          <w:szCs w:val="24"/>
          <w:lang w:val="ro-MD" w:eastAsia="ru-RU"/>
        </w:rPr>
        <w:t>65,13</w:t>
      </w:r>
      <w:r w:rsidR="00BA1C87" w:rsidRPr="0024512C">
        <w:rPr>
          <w:rFonts w:asciiTheme="majorHAnsi" w:eastAsia="Times New Roman" w:hAnsiTheme="majorHAnsi" w:cstheme="majorHAnsi"/>
          <w:bCs/>
          <w:sz w:val="24"/>
          <w:szCs w:val="24"/>
          <w:lang w:val="ro-MD" w:eastAsia="ru-RU"/>
        </w:rPr>
        <w:t>%</w:t>
      </w:r>
      <w:r w:rsidR="00AA02F7" w:rsidRPr="0024512C">
        <w:rPr>
          <w:rFonts w:asciiTheme="majorHAnsi" w:eastAsia="Times New Roman" w:hAnsiTheme="majorHAnsi" w:cstheme="majorHAnsi"/>
          <w:bCs/>
          <w:sz w:val="24"/>
          <w:szCs w:val="24"/>
          <w:lang w:val="ro-MD" w:eastAsia="ru-RU"/>
        </w:rPr>
        <w:t xml:space="preserve">, iar a </w:t>
      </w:r>
      <w:r w:rsidR="00BA1C87" w:rsidRPr="0024512C">
        <w:rPr>
          <w:rFonts w:asciiTheme="majorHAnsi" w:eastAsia="Times New Roman" w:hAnsiTheme="majorHAnsi" w:cstheme="majorHAnsi"/>
          <w:bCs/>
          <w:sz w:val="24"/>
          <w:szCs w:val="24"/>
          <w:lang w:val="ro-MD" w:eastAsia="ru-RU"/>
        </w:rPr>
        <w:t xml:space="preserve">exportatorilor indirecți – </w:t>
      </w:r>
      <w:r w:rsidR="00616293" w:rsidRPr="0024512C">
        <w:rPr>
          <w:rFonts w:asciiTheme="majorHAnsi" w:eastAsia="Times New Roman" w:hAnsiTheme="majorHAnsi" w:cstheme="majorHAnsi"/>
          <w:bCs/>
          <w:sz w:val="24"/>
          <w:szCs w:val="24"/>
          <w:lang w:val="ro-MD" w:eastAsia="ru-RU"/>
        </w:rPr>
        <w:t>34,87</w:t>
      </w:r>
      <w:r w:rsidR="00BA1C87" w:rsidRPr="0024512C">
        <w:rPr>
          <w:rFonts w:asciiTheme="majorHAnsi" w:eastAsia="Times New Roman" w:hAnsiTheme="majorHAnsi" w:cstheme="majorHAnsi"/>
          <w:bCs/>
          <w:sz w:val="24"/>
          <w:szCs w:val="24"/>
          <w:lang w:val="ro-MD" w:eastAsia="ru-RU"/>
        </w:rPr>
        <w:t xml:space="preserve">%, sau cu </w:t>
      </w:r>
      <w:r w:rsidR="00616293" w:rsidRPr="0024512C">
        <w:rPr>
          <w:rFonts w:asciiTheme="majorHAnsi" w:eastAsia="Times New Roman" w:hAnsiTheme="majorHAnsi" w:cstheme="majorHAnsi"/>
          <w:bCs/>
          <w:sz w:val="24"/>
          <w:szCs w:val="24"/>
          <w:lang w:val="ro-MD" w:eastAsia="ru-RU"/>
        </w:rPr>
        <w:t>4,87</w:t>
      </w:r>
      <w:r w:rsidR="00BA1C87" w:rsidRPr="0024512C">
        <w:rPr>
          <w:rFonts w:asciiTheme="majorHAnsi" w:eastAsia="Times New Roman" w:hAnsiTheme="majorHAnsi" w:cstheme="majorHAnsi"/>
          <w:bCs/>
          <w:sz w:val="24"/>
          <w:szCs w:val="24"/>
          <w:lang w:val="ro-MD" w:eastAsia="ru-RU"/>
        </w:rPr>
        <w:t xml:space="preserve">% mai mult decât limita stabilită. Această observație a fost făcută și de către </w:t>
      </w:r>
      <w:r w:rsidR="00E513D7" w:rsidRPr="0024512C">
        <w:rPr>
          <w:rFonts w:asciiTheme="majorHAnsi" w:eastAsia="Times New Roman" w:hAnsiTheme="majorHAnsi" w:cstheme="majorHAnsi"/>
          <w:bCs/>
          <w:sz w:val="24"/>
          <w:szCs w:val="24"/>
          <w:lang w:val="ro-MD" w:eastAsia="ru-RU"/>
        </w:rPr>
        <w:t>BM</w:t>
      </w:r>
      <w:r w:rsidR="00BA1C87" w:rsidRPr="0024512C">
        <w:rPr>
          <w:rFonts w:asciiTheme="majorHAnsi" w:eastAsia="Times New Roman" w:hAnsiTheme="majorHAnsi" w:cstheme="majorHAnsi"/>
          <w:bCs/>
          <w:sz w:val="24"/>
          <w:szCs w:val="24"/>
          <w:lang w:val="ro-MD" w:eastAsia="ru-RU"/>
        </w:rPr>
        <w:t xml:space="preserve"> în cadrul vizitei </w:t>
      </w:r>
      <w:r w:rsidR="00642BEC">
        <w:rPr>
          <w:rFonts w:asciiTheme="majorHAnsi" w:eastAsia="Times New Roman" w:hAnsiTheme="majorHAnsi" w:cstheme="majorHAnsi"/>
          <w:bCs/>
          <w:sz w:val="24"/>
          <w:szCs w:val="24"/>
          <w:lang w:val="ro-MD" w:eastAsia="ru-RU"/>
        </w:rPr>
        <w:t>reprezentantului său</w:t>
      </w:r>
      <w:r w:rsidR="00BA1C87" w:rsidRPr="00642BEC">
        <w:rPr>
          <w:rFonts w:asciiTheme="majorHAnsi" w:eastAsia="Times New Roman" w:hAnsiTheme="majorHAnsi" w:cstheme="majorHAnsi"/>
          <w:bCs/>
          <w:sz w:val="24"/>
          <w:szCs w:val="24"/>
          <w:lang w:val="ro-MD" w:eastAsia="ru-RU"/>
        </w:rPr>
        <w:t xml:space="preserve"> din octombrie 2019, solicitând ca DLC să</w:t>
      </w:r>
      <w:r w:rsidR="00642BEC">
        <w:rPr>
          <w:rFonts w:asciiTheme="majorHAnsi" w:eastAsia="Times New Roman" w:hAnsiTheme="majorHAnsi" w:cstheme="majorHAnsi"/>
          <w:bCs/>
          <w:sz w:val="24"/>
          <w:szCs w:val="24"/>
          <w:lang w:val="ro-MD" w:eastAsia="ru-RU"/>
        </w:rPr>
        <w:t>-</w:t>
      </w:r>
      <w:r w:rsidR="00BA1C87" w:rsidRPr="00642BEC">
        <w:rPr>
          <w:rFonts w:asciiTheme="majorHAnsi" w:eastAsia="Times New Roman" w:hAnsiTheme="majorHAnsi" w:cstheme="majorHAnsi"/>
          <w:bCs/>
          <w:sz w:val="24"/>
          <w:szCs w:val="24"/>
          <w:lang w:val="ro-MD" w:eastAsia="ru-RU"/>
        </w:rPr>
        <w:t>și concentreze eforturile asupra recreditării exportatorilor direcți</w:t>
      </w:r>
      <w:r w:rsidR="00AA02F7" w:rsidRPr="00642BEC">
        <w:rPr>
          <w:rFonts w:asciiTheme="majorHAnsi" w:eastAsia="Times New Roman" w:hAnsiTheme="majorHAnsi" w:cstheme="majorHAnsi"/>
          <w:bCs/>
          <w:sz w:val="24"/>
          <w:szCs w:val="24"/>
          <w:lang w:val="ro-MD" w:eastAsia="ru-RU"/>
        </w:rPr>
        <w:t>,</w:t>
      </w:r>
      <w:r w:rsidR="00BA1C87" w:rsidRPr="00642BEC">
        <w:rPr>
          <w:rFonts w:asciiTheme="majorHAnsi" w:eastAsia="Times New Roman" w:hAnsiTheme="majorHAnsi" w:cstheme="majorHAnsi"/>
          <w:bCs/>
          <w:sz w:val="24"/>
          <w:szCs w:val="24"/>
          <w:lang w:val="ro-MD" w:eastAsia="ru-RU"/>
        </w:rPr>
        <w:t xml:space="preserve"> în vederea micșorării până la limita stabilită a cotei </w:t>
      </w:r>
      <w:proofErr w:type="spellStart"/>
      <w:r w:rsidR="00BA1C87" w:rsidRPr="00642BEC">
        <w:rPr>
          <w:rFonts w:asciiTheme="majorHAnsi" w:eastAsia="Times New Roman" w:hAnsiTheme="majorHAnsi" w:cstheme="majorHAnsi"/>
          <w:bCs/>
          <w:sz w:val="24"/>
          <w:szCs w:val="24"/>
          <w:lang w:val="ro-MD" w:eastAsia="ru-RU"/>
        </w:rPr>
        <w:t>recreditate</w:t>
      </w:r>
      <w:proofErr w:type="spellEnd"/>
      <w:r w:rsidR="00BA1C87" w:rsidRPr="00642BEC">
        <w:rPr>
          <w:rFonts w:asciiTheme="majorHAnsi" w:eastAsia="Times New Roman" w:hAnsiTheme="majorHAnsi" w:cstheme="majorHAnsi"/>
          <w:bCs/>
          <w:sz w:val="24"/>
          <w:szCs w:val="24"/>
          <w:lang w:val="ro-MD" w:eastAsia="ru-RU"/>
        </w:rPr>
        <w:t xml:space="preserve"> exportatorilor indirecți.</w:t>
      </w:r>
    </w:p>
    <w:p w:rsidR="00687956" w:rsidRPr="0024512C" w:rsidRDefault="0064375F" w:rsidP="007A17AA">
      <w:pPr>
        <w:spacing w:line="276" w:lineRule="auto"/>
        <w:jc w:val="both"/>
        <w:rPr>
          <w:rFonts w:ascii="Calibri Light" w:hAnsi="Calibri Light" w:cs="Calibri Light"/>
          <w:bCs/>
          <w:sz w:val="24"/>
          <w:szCs w:val="24"/>
          <w:lang w:val="ro-MD"/>
        </w:rPr>
      </w:pPr>
      <w:r w:rsidRPr="0024512C">
        <w:rPr>
          <w:rFonts w:asciiTheme="majorHAnsi" w:hAnsiTheme="majorHAnsi" w:cstheme="majorHAnsi"/>
          <w:sz w:val="24"/>
          <w:szCs w:val="24"/>
          <w:lang w:val="ro-MD" w:eastAsia="ru-RU"/>
        </w:rPr>
        <w:t xml:space="preserve">Începând cu anul 2010 </w:t>
      </w:r>
      <w:r w:rsidR="002B41D4" w:rsidRPr="0024512C">
        <w:rPr>
          <w:rFonts w:asciiTheme="majorHAnsi" w:hAnsiTheme="majorHAnsi" w:cstheme="majorHAnsi"/>
          <w:sz w:val="24"/>
          <w:szCs w:val="24"/>
          <w:lang w:val="ro-MD" w:eastAsia="ru-RU"/>
        </w:rPr>
        <w:t xml:space="preserve">și </w:t>
      </w:r>
      <w:r w:rsidRPr="0024512C">
        <w:rPr>
          <w:rFonts w:asciiTheme="majorHAnsi" w:hAnsiTheme="majorHAnsi" w:cstheme="majorHAnsi"/>
          <w:sz w:val="24"/>
          <w:szCs w:val="24"/>
          <w:lang w:val="ro-MD" w:eastAsia="ru-RU"/>
        </w:rPr>
        <w:t xml:space="preserve">până în prezent, </w:t>
      </w:r>
      <w:r w:rsidRPr="0024512C">
        <w:rPr>
          <w:rFonts w:asciiTheme="majorHAnsi" w:hAnsiTheme="majorHAnsi" w:cstheme="majorHAnsi"/>
          <w:b/>
          <w:sz w:val="24"/>
          <w:szCs w:val="24"/>
          <w:lang w:val="ro-MD" w:eastAsia="ru-RU"/>
        </w:rPr>
        <w:t>B</w:t>
      </w:r>
      <w:r w:rsidR="007A17AA" w:rsidRPr="0024512C">
        <w:rPr>
          <w:rFonts w:asciiTheme="majorHAnsi" w:hAnsiTheme="majorHAnsi" w:cstheme="majorHAnsi"/>
          <w:b/>
          <w:sz w:val="24"/>
          <w:szCs w:val="24"/>
          <w:lang w:val="ro-MD" w:eastAsia="ru-RU"/>
        </w:rPr>
        <w:t xml:space="preserve">anca </w:t>
      </w:r>
      <w:r w:rsidRPr="0024512C">
        <w:rPr>
          <w:rFonts w:asciiTheme="majorHAnsi" w:hAnsiTheme="majorHAnsi" w:cstheme="majorHAnsi"/>
          <w:b/>
          <w:sz w:val="24"/>
          <w:szCs w:val="24"/>
          <w:lang w:val="ro-MD" w:eastAsia="ru-RU"/>
        </w:rPr>
        <w:t>E</w:t>
      </w:r>
      <w:r w:rsidR="007A17AA" w:rsidRPr="0024512C">
        <w:rPr>
          <w:rFonts w:asciiTheme="majorHAnsi" w:hAnsiTheme="majorHAnsi" w:cstheme="majorHAnsi"/>
          <w:b/>
          <w:sz w:val="24"/>
          <w:szCs w:val="24"/>
          <w:lang w:val="ro-MD" w:eastAsia="ru-RU"/>
        </w:rPr>
        <w:t xml:space="preserve">uropeană de </w:t>
      </w:r>
      <w:r w:rsidRPr="0024512C">
        <w:rPr>
          <w:rFonts w:asciiTheme="majorHAnsi" w:hAnsiTheme="majorHAnsi" w:cstheme="majorHAnsi"/>
          <w:b/>
          <w:sz w:val="24"/>
          <w:szCs w:val="24"/>
          <w:lang w:val="ro-MD" w:eastAsia="ru-RU"/>
        </w:rPr>
        <w:t>I</w:t>
      </w:r>
      <w:r w:rsidR="007A17AA" w:rsidRPr="0024512C">
        <w:rPr>
          <w:rFonts w:asciiTheme="majorHAnsi" w:hAnsiTheme="majorHAnsi" w:cstheme="majorHAnsi"/>
          <w:b/>
          <w:sz w:val="24"/>
          <w:szCs w:val="24"/>
          <w:lang w:val="ro-MD" w:eastAsia="ru-RU"/>
        </w:rPr>
        <w:t>nvestiții</w:t>
      </w:r>
      <w:r w:rsidRPr="0024512C">
        <w:rPr>
          <w:rFonts w:asciiTheme="majorHAnsi" w:hAnsiTheme="majorHAnsi" w:cstheme="majorHAnsi"/>
          <w:sz w:val="24"/>
          <w:szCs w:val="24"/>
          <w:lang w:val="ro-MD" w:eastAsia="ru-RU"/>
        </w:rPr>
        <w:t xml:space="preserve"> a finanțat 2 proiecte investiționale în sumă totală de 195 mil.</w:t>
      </w:r>
      <w:r w:rsidR="007A17AA" w:rsidRPr="0024512C">
        <w:rPr>
          <w:rFonts w:asciiTheme="majorHAnsi" w:hAnsiTheme="majorHAnsi" w:cstheme="majorHAnsi"/>
          <w:sz w:val="24"/>
          <w:szCs w:val="24"/>
          <w:lang w:val="ro-MD" w:eastAsia="ru-RU"/>
        </w:rPr>
        <w:t xml:space="preserve"> </w:t>
      </w:r>
      <w:r w:rsidRPr="0024512C">
        <w:rPr>
          <w:rFonts w:asciiTheme="majorHAnsi" w:hAnsiTheme="majorHAnsi" w:cstheme="majorHAnsi"/>
          <w:sz w:val="24"/>
          <w:szCs w:val="24"/>
          <w:lang w:val="ro-MD" w:eastAsia="ru-RU"/>
        </w:rPr>
        <w:t>euro.</w:t>
      </w:r>
      <w:r w:rsidR="007A17AA" w:rsidRPr="0024512C">
        <w:rPr>
          <w:rFonts w:asciiTheme="majorHAnsi" w:hAnsiTheme="majorHAnsi" w:cstheme="majorHAnsi"/>
          <w:sz w:val="24"/>
          <w:szCs w:val="24"/>
          <w:lang w:val="ro-MD" w:eastAsia="ru-RU"/>
        </w:rPr>
        <w:t xml:space="preserve"> În cadrul </w:t>
      </w:r>
      <w:r w:rsidRPr="0024512C">
        <w:rPr>
          <w:rFonts w:ascii="Calibri Light" w:hAnsi="Calibri Light" w:cs="Calibri Light"/>
          <w:b/>
          <w:bCs/>
          <w:i/>
          <w:sz w:val="24"/>
          <w:szCs w:val="24"/>
          <w:lang w:val="ro-MD"/>
        </w:rPr>
        <w:t>Programului de restructurare a sectorului vitivinicol</w:t>
      </w:r>
      <w:r w:rsidR="00207A6C" w:rsidRPr="0024512C">
        <w:rPr>
          <w:rFonts w:ascii="Calibri Light" w:hAnsi="Calibri Light" w:cs="Calibri Light"/>
          <w:b/>
          <w:bCs/>
          <w:i/>
          <w:sz w:val="24"/>
          <w:szCs w:val="24"/>
          <w:lang w:val="ro-MD"/>
        </w:rPr>
        <w:t xml:space="preserve"> (Filiera Vinului)</w:t>
      </w:r>
      <w:r w:rsidR="002B41D4" w:rsidRPr="0024512C">
        <w:rPr>
          <w:rFonts w:ascii="Calibri Light" w:hAnsi="Calibri Light" w:cs="Calibri Light"/>
          <w:b/>
          <w:bCs/>
          <w:i/>
          <w:sz w:val="24"/>
          <w:szCs w:val="24"/>
          <w:lang w:val="ro-MD"/>
        </w:rPr>
        <w:t>,</w:t>
      </w:r>
      <w:r w:rsidRPr="0024512C">
        <w:rPr>
          <w:rFonts w:ascii="Calibri Light" w:hAnsi="Calibri Light" w:cs="Calibri Light"/>
          <w:bCs/>
          <w:sz w:val="24"/>
          <w:szCs w:val="24"/>
          <w:lang w:val="ro-MD"/>
        </w:rPr>
        <w:t xml:space="preserve"> </w:t>
      </w:r>
      <w:r w:rsidR="00F14633" w:rsidRPr="0024512C">
        <w:rPr>
          <w:rFonts w:asciiTheme="majorHAnsi" w:eastAsia="Times New Roman" w:hAnsiTheme="majorHAnsi" w:cstheme="majorHAnsi"/>
          <w:bCs/>
          <w:sz w:val="24"/>
          <w:szCs w:val="24"/>
          <w:lang w:val="ro-MD" w:eastAsia="ru-RU"/>
        </w:rPr>
        <w:t>M</w:t>
      </w:r>
      <w:r w:rsidR="002B41D4" w:rsidRPr="0024512C">
        <w:rPr>
          <w:rFonts w:asciiTheme="majorHAnsi" w:eastAsia="Times New Roman" w:hAnsiTheme="majorHAnsi" w:cstheme="majorHAnsi"/>
          <w:bCs/>
          <w:sz w:val="24"/>
          <w:szCs w:val="24"/>
          <w:lang w:val="ro-MD" w:eastAsia="ru-RU"/>
        </w:rPr>
        <w:t xml:space="preserve">inisterul </w:t>
      </w:r>
      <w:r w:rsidR="00F14633" w:rsidRPr="0024512C">
        <w:rPr>
          <w:rFonts w:asciiTheme="majorHAnsi" w:eastAsia="Times New Roman" w:hAnsiTheme="majorHAnsi" w:cstheme="majorHAnsi"/>
          <w:bCs/>
          <w:sz w:val="24"/>
          <w:szCs w:val="24"/>
          <w:lang w:val="ro-MD" w:eastAsia="ru-RU"/>
        </w:rPr>
        <w:t>F</w:t>
      </w:r>
      <w:r w:rsidR="002B41D4" w:rsidRPr="0024512C">
        <w:rPr>
          <w:rFonts w:asciiTheme="majorHAnsi" w:eastAsia="Times New Roman" w:hAnsiTheme="majorHAnsi" w:cstheme="majorHAnsi"/>
          <w:bCs/>
          <w:sz w:val="24"/>
          <w:szCs w:val="24"/>
          <w:lang w:val="ro-MD" w:eastAsia="ru-RU"/>
        </w:rPr>
        <w:t>inanțelor</w:t>
      </w:r>
      <w:r w:rsidR="00F14633" w:rsidRPr="0024512C">
        <w:rPr>
          <w:rFonts w:asciiTheme="majorHAnsi" w:eastAsia="Times New Roman" w:hAnsiTheme="majorHAnsi" w:cstheme="majorHAnsi"/>
          <w:bCs/>
          <w:sz w:val="24"/>
          <w:szCs w:val="24"/>
          <w:lang w:val="ro-MD" w:eastAsia="ru-RU"/>
        </w:rPr>
        <w:t xml:space="preserve"> și Ministerul Agricu</w:t>
      </w:r>
      <w:r w:rsidR="002B41D4" w:rsidRPr="0024512C">
        <w:rPr>
          <w:rFonts w:asciiTheme="majorHAnsi" w:eastAsia="Times New Roman" w:hAnsiTheme="majorHAnsi" w:cstheme="majorHAnsi"/>
          <w:bCs/>
          <w:sz w:val="24"/>
          <w:szCs w:val="24"/>
          <w:lang w:val="ro-MD" w:eastAsia="ru-RU"/>
        </w:rPr>
        <w:t>lturii și Industriei Alimentare</w:t>
      </w:r>
      <w:r w:rsidR="00F14633" w:rsidRPr="0024512C">
        <w:rPr>
          <w:rFonts w:asciiTheme="majorHAnsi" w:eastAsia="Times New Roman" w:hAnsiTheme="majorHAnsi" w:cstheme="majorHAnsi"/>
          <w:bCs/>
          <w:sz w:val="24"/>
          <w:szCs w:val="24"/>
          <w:lang w:val="ro-MD" w:eastAsia="ru-RU"/>
        </w:rPr>
        <w:t xml:space="preserve"> a</w:t>
      </w:r>
      <w:r w:rsidR="002B41D4" w:rsidRPr="0024512C">
        <w:rPr>
          <w:rFonts w:asciiTheme="majorHAnsi" w:eastAsia="Times New Roman" w:hAnsiTheme="majorHAnsi" w:cstheme="majorHAnsi"/>
          <w:bCs/>
          <w:sz w:val="24"/>
          <w:szCs w:val="24"/>
          <w:lang w:val="ro-MD" w:eastAsia="ru-RU"/>
        </w:rPr>
        <w:t>u</w:t>
      </w:r>
      <w:r w:rsidR="00F14633" w:rsidRPr="0024512C">
        <w:rPr>
          <w:rFonts w:asciiTheme="majorHAnsi" w:eastAsia="Times New Roman" w:hAnsiTheme="majorHAnsi" w:cstheme="majorHAnsi"/>
          <w:bCs/>
          <w:sz w:val="24"/>
          <w:szCs w:val="24"/>
          <w:lang w:val="ro-MD" w:eastAsia="ru-RU"/>
        </w:rPr>
        <w:t xml:space="preserve"> </w:t>
      </w:r>
      <w:r w:rsidR="002B41D4" w:rsidRPr="0024512C">
        <w:rPr>
          <w:rFonts w:asciiTheme="majorHAnsi" w:eastAsia="Times New Roman" w:hAnsiTheme="majorHAnsi" w:cstheme="majorHAnsi"/>
          <w:bCs/>
          <w:sz w:val="24"/>
          <w:szCs w:val="24"/>
          <w:lang w:val="ro-MD" w:eastAsia="ru-RU"/>
        </w:rPr>
        <w:t>înaintat</w:t>
      </w:r>
      <w:r w:rsidR="00F14633" w:rsidRPr="0024512C">
        <w:rPr>
          <w:rFonts w:asciiTheme="majorHAnsi" w:eastAsia="Times New Roman" w:hAnsiTheme="majorHAnsi" w:cstheme="majorHAnsi"/>
          <w:bCs/>
          <w:sz w:val="24"/>
          <w:szCs w:val="24"/>
          <w:lang w:val="ro-MD" w:eastAsia="ru-RU"/>
        </w:rPr>
        <w:t xml:space="preserve"> o solicitare către BEI privind alocarea a 10 mil.</w:t>
      </w:r>
      <w:r w:rsidR="007A17AA" w:rsidRPr="0024512C">
        <w:rPr>
          <w:rFonts w:asciiTheme="majorHAnsi" w:eastAsia="Times New Roman" w:hAnsiTheme="majorHAnsi" w:cstheme="majorHAnsi"/>
          <w:bCs/>
          <w:sz w:val="24"/>
          <w:szCs w:val="24"/>
          <w:lang w:val="ro-MD" w:eastAsia="ru-RU"/>
        </w:rPr>
        <w:t xml:space="preserve"> </w:t>
      </w:r>
      <w:r w:rsidR="00F14633" w:rsidRPr="0024512C">
        <w:rPr>
          <w:rFonts w:asciiTheme="majorHAnsi" w:eastAsia="Times New Roman" w:hAnsiTheme="majorHAnsi" w:cstheme="majorHAnsi"/>
          <w:bCs/>
          <w:sz w:val="24"/>
          <w:szCs w:val="24"/>
          <w:lang w:val="ro-MD" w:eastAsia="ru-RU"/>
        </w:rPr>
        <w:t xml:space="preserve">euro din cadrul componentei Linia de credit pentru finanțarea directă de către MF a vinificatorilor în scopul achiziționării strugurilor. </w:t>
      </w:r>
      <w:r w:rsidR="003627FD" w:rsidRPr="0024512C">
        <w:rPr>
          <w:rFonts w:asciiTheme="majorHAnsi" w:eastAsia="Times New Roman" w:hAnsiTheme="majorHAnsi" w:cstheme="majorHAnsi"/>
          <w:bCs/>
          <w:sz w:val="24"/>
          <w:szCs w:val="24"/>
          <w:lang w:val="ro-MD" w:eastAsia="ru-RU"/>
        </w:rPr>
        <w:t>Eligibilitatea finanțării achiziționării strugurilor din sursele creditului a fost aprobată de BEI la 13.10.2014</w:t>
      </w:r>
      <w:r w:rsidR="00AD4B10" w:rsidRPr="0024512C">
        <w:rPr>
          <w:rFonts w:asciiTheme="majorHAnsi" w:eastAsia="Times New Roman" w:hAnsiTheme="majorHAnsi" w:cstheme="majorHAnsi"/>
          <w:bCs/>
          <w:sz w:val="24"/>
          <w:szCs w:val="24"/>
          <w:lang w:val="ro-MD" w:eastAsia="ru-RU"/>
        </w:rPr>
        <w:t>, de către MF fiind finanțați 18</w:t>
      </w:r>
      <w:r w:rsidR="003627FD" w:rsidRPr="0024512C">
        <w:rPr>
          <w:rFonts w:asciiTheme="majorHAnsi" w:eastAsia="Times New Roman" w:hAnsiTheme="majorHAnsi" w:cstheme="majorHAnsi"/>
          <w:bCs/>
          <w:sz w:val="24"/>
          <w:szCs w:val="24"/>
          <w:lang w:val="ro-MD" w:eastAsia="ru-RU"/>
        </w:rPr>
        <w:t xml:space="preserve"> beneficiari în sumă totală de 6,93 mil.</w:t>
      </w:r>
      <w:r w:rsidR="007A17AA" w:rsidRPr="0024512C">
        <w:rPr>
          <w:rFonts w:asciiTheme="majorHAnsi" w:eastAsia="Times New Roman" w:hAnsiTheme="majorHAnsi" w:cstheme="majorHAnsi"/>
          <w:bCs/>
          <w:sz w:val="24"/>
          <w:szCs w:val="24"/>
          <w:lang w:val="ro-MD" w:eastAsia="ru-RU"/>
        </w:rPr>
        <w:t xml:space="preserve"> </w:t>
      </w:r>
      <w:r w:rsidR="003627FD" w:rsidRPr="0024512C">
        <w:rPr>
          <w:rFonts w:asciiTheme="majorHAnsi" w:eastAsia="Times New Roman" w:hAnsiTheme="majorHAnsi" w:cstheme="majorHAnsi"/>
          <w:bCs/>
          <w:sz w:val="24"/>
          <w:szCs w:val="24"/>
          <w:lang w:val="ro-MD" w:eastAsia="ru-RU"/>
        </w:rPr>
        <w:t>euro. Conform Contractelor de recreditare încheiate între MF și beneficiari, a fost stabilit că toate plățile vor fi rambursate de către beneficiar</w:t>
      </w:r>
      <w:r w:rsidR="008F1319" w:rsidRPr="0024512C">
        <w:rPr>
          <w:rFonts w:asciiTheme="majorHAnsi" w:eastAsia="Times New Roman" w:hAnsiTheme="majorHAnsi" w:cstheme="majorHAnsi"/>
          <w:bCs/>
          <w:sz w:val="24"/>
          <w:szCs w:val="24"/>
          <w:lang w:val="ro-MD" w:eastAsia="ru-RU"/>
        </w:rPr>
        <w:t>i</w:t>
      </w:r>
      <w:r w:rsidR="003627FD" w:rsidRPr="0024512C">
        <w:rPr>
          <w:rFonts w:asciiTheme="majorHAnsi" w:eastAsia="Times New Roman" w:hAnsiTheme="majorHAnsi" w:cstheme="majorHAnsi"/>
          <w:bCs/>
          <w:sz w:val="24"/>
          <w:szCs w:val="24"/>
          <w:lang w:val="ro-MD" w:eastAsia="ru-RU"/>
        </w:rPr>
        <w:t xml:space="preserve"> în conturile indicate ale DLC</w:t>
      </w:r>
      <w:r w:rsidR="00687956" w:rsidRPr="0024512C">
        <w:rPr>
          <w:rFonts w:asciiTheme="majorHAnsi" w:eastAsia="Times New Roman" w:hAnsiTheme="majorHAnsi" w:cstheme="majorHAnsi"/>
          <w:bCs/>
          <w:sz w:val="24"/>
          <w:szCs w:val="24"/>
          <w:lang w:val="ro-MD" w:eastAsia="ru-RU"/>
        </w:rPr>
        <w:t xml:space="preserve">, </w:t>
      </w:r>
      <w:r w:rsidR="007A17AA" w:rsidRPr="0024512C">
        <w:rPr>
          <w:rFonts w:asciiTheme="majorHAnsi" w:eastAsia="Times New Roman" w:hAnsiTheme="majorHAnsi" w:cstheme="majorHAnsi"/>
          <w:bCs/>
          <w:sz w:val="24"/>
          <w:szCs w:val="24"/>
          <w:lang w:val="ro-MD" w:eastAsia="ru-RU"/>
        </w:rPr>
        <w:t>care va fi</w:t>
      </w:r>
      <w:r w:rsidR="00687956" w:rsidRPr="0024512C">
        <w:rPr>
          <w:rFonts w:asciiTheme="majorHAnsi" w:eastAsia="Times New Roman" w:hAnsiTheme="majorHAnsi" w:cstheme="majorHAnsi"/>
          <w:bCs/>
          <w:sz w:val="24"/>
          <w:szCs w:val="24"/>
          <w:lang w:val="ro-MD" w:eastAsia="ru-RU"/>
        </w:rPr>
        <w:t xml:space="preserve"> responsabil de colectarea plăților de rambursare a sumelor datorate. </w:t>
      </w:r>
      <w:r w:rsidR="007A17AA" w:rsidRPr="0024512C">
        <w:rPr>
          <w:rFonts w:asciiTheme="majorHAnsi" w:eastAsia="Times New Roman" w:hAnsiTheme="majorHAnsi" w:cstheme="majorHAnsi"/>
          <w:bCs/>
          <w:sz w:val="24"/>
          <w:szCs w:val="24"/>
          <w:lang w:val="ro-MD" w:eastAsia="ru-RU"/>
        </w:rPr>
        <w:t>În acest context, DLC a preluat la deservire</w:t>
      </w:r>
      <w:r w:rsidR="002B41D4" w:rsidRPr="0024512C">
        <w:rPr>
          <w:rFonts w:asciiTheme="majorHAnsi" w:eastAsia="Times New Roman" w:hAnsiTheme="majorHAnsi" w:cstheme="majorHAnsi"/>
          <w:bCs/>
          <w:sz w:val="24"/>
          <w:szCs w:val="24"/>
          <w:lang w:val="ro-MD" w:eastAsia="ru-RU"/>
        </w:rPr>
        <w:t xml:space="preserve"> datoriile </w:t>
      </w:r>
      <w:r w:rsidR="00817386" w:rsidRPr="0024512C">
        <w:rPr>
          <w:rFonts w:asciiTheme="majorHAnsi" w:eastAsia="Times New Roman" w:hAnsiTheme="majorHAnsi" w:cstheme="majorHAnsi"/>
          <w:bCs/>
          <w:sz w:val="24"/>
          <w:szCs w:val="24"/>
          <w:lang w:val="ro-MD" w:eastAsia="ru-RU"/>
        </w:rPr>
        <w:t>a 19 entități vitivinicole finanțate în direct de către MF.</w:t>
      </w:r>
    </w:p>
    <w:p w:rsidR="00687956" w:rsidRPr="0024512C" w:rsidRDefault="007A17AA" w:rsidP="008854DD">
      <w:pPr>
        <w:autoSpaceDE w:val="0"/>
        <w:autoSpaceDN w:val="0"/>
        <w:adjustRightInd w:val="0"/>
        <w:spacing w:line="276" w:lineRule="auto"/>
        <w:jc w:val="both"/>
        <w:rPr>
          <w:rFonts w:asciiTheme="majorHAnsi" w:eastAsia="Times New Roman" w:hAnsiTheme="majorHAnsi" w:cstheme="majorHAnsi"/>
          <w:bCs/>
          <w:i/>
          <w:sz w:val="24"/>
          <w:szCs w:val="24"/>
          <w:lang w:val="ro-MD" w:eastAsia="ru-RU"/>
        </w:rPr>
      </w:pPr>
      <w:r w:rsidRPr="0024512C">
        <w:rPr>
          <w:rFonts w:asciiTheme="majorHAnsi" w:eastAsia="Times New Roman" w:hAnsiTheme="majorHAnsi" w:cstheme="majorHAnsi"/>
          <w:bCs/>
          <w:sz w:val="24"/>
          <w:szCs w:val="24"/>
          <w:lang w:val="ro-MD" w:eastAsia="ru-RU"/>
        </w:rPr>
        <w:t>C</w:t>
      </w:r>
      <w:r w:rsidR="00687956" w:rsidRPr="0024512C">
        <w:rPr>
          <w:rFonts w:asciiTheme="majorHAnsi" w:eastAsia="Times New Roman" w:hAnsiTheme="majorHAnsi" w:cstheme="majorHAnsi"/>
          <w:bCs/>
          <w:sz w:val="24"/>
          <w:szCs w:val="24"/>
          <w:lang w:val="ro-MD" w:eastAsia="ru-RU"/>
        </w:rPr>
        <w:t xml:space="preserve">onform datelor raportate la 31.12.2019, soldul </w:t>
      </w:r>
      <w:r w:rsidR="002B41D4" w:rsidRPr="0024512C">
        <w:rPr>
          <w:rFonts w:asciiTheme="majorHAnsi" w:eastAsia="Times New Roman" w:hAnsiTheme="majorHAnsi" w:cstheme="majorHAnsi"/>
          <w:bCs/>
          <w:sz w:val="24"/>
          <w:szCs w:val="24"/>
          <w:lang w:val="ro-MD" w:eastAsia="ru-RU"/>
        </w:rPr>
        <w:t>datoriilor acestor</w:t>
      </w:r>
      <w:r w:rsidR="00817386" w:rsidRPr="0024512C">
        <w:rPr>
          <w:rFonts w:asciiTheme="majorHAnsi" w:eastAsia="Times New Roman" w:hAnsiTheme="majorHAnsi" w:cstheme="majorHAnsi"/>
          <w:bCs/>
          <w:sz w:val="24"/>
          <w:szCs w:val="24"/>
          <w:lang w:val="ro-MD" w:eastAsia="ru-RU"/>
        </w:rPr>
        <w:t xml:space="preserve"> </w:t>
      </w:r>
      <w:r w:rsidR="00687956" w:rsidRPr="0024512C">
        <w:rPr>
          <w:rFonts w:asciiTheme="majorHAnsi" w:eastAsia="Times New Roman" w:hAnsiTheme="majorHAnsi" w:cstheme="majorHAnsi"/>
          <w:bCs/>
          <w:sz w:val="24"/>
          <w:szCs w:val="24"/>
          <w:lang w:val="ro-MD" w:eastAsia="ru-RU"/>
        </w:rPr>
        <w:t xml:space="preserve">beneficiari </w:t>
      </w:r>
      <w:proofErr w:type="spellStart"/>
      <w:r w:rsidR="00687956" w:rsidRPr="0024512C">
        <w:rPr>
          <w:rFonts w:asciiTheme="majorHAnsi" w:eastAsia="Times New Roman" w:hAnsiTheme="majorHAnsi" w:cstheme="majorHAnsi"/>
          <w:bCs/>
          <w:sz w:val="24"/>
          <w:szCs w:val="24"/>
          <w:lang w:val="ro-MD" w:eastAsia="ru-RU"/>
        </w:rPr>
        <w:t>recreditați</w:t>
      </w:r>
      <w:proofErr w:type="spellEnd"/>
      <w:r w:rsidR="00687956" w:rsidRPr="0024512C">
        <w:rPr>
          <w:rFonts w:asciiTheme="majorHAnsi" w:eastAsia="Times New Roman" w:hAnsiTheme="majorHAnsi" w:cstheme="majorHAnsi"/>
          <w:bCs/>
          <w:sz w:val="24"/>
          <w:szCs w:val="24"/>
          <w:lang w:val="ro-MD" w:eastAsia="ru-RU"/>
        </w:rPr>
        <w:t xml:space="preserve"> consti</w:t>
      </w:r>
      <w:r w:rsidR="00CB6362" w:rsidRPr="0024512C">
        <w:rPr>
          <w:rFonts w:asciiTheme="majorHAnsi" w:eastAsia="Times New Roman" w:hAnsiTheme="majorHAnsi" w:cstheme="majorHAnsi"/>
          <w:bCs/>
          <w:sz w:val="24"/>
          <w:szCs w:val="24"/>
          <w:lang w:val="ro-MD" w:eastAsia="ru-RU"/>
        </w:rPr>
        <w:t>tuie 2,17</w:t>
      </w:r>
      <w:r w:rsidR="00687956" w:rsidRPr="0024512C">
        <w:rPr>
          <w:rFonts w:asciiTheme="majorHAnsi" w:eastAsia="Times New Roman" w:hAnsiTheme="majorHAnsi" w:cstheme="majorHAnsi"/>
          <w:bCs/>
          <w:sz w:val="24"/>
          <w:szCs w:val="24"/>
          <w:lang w:val="ro-MD" w:eastAsia="ru-RU"/>
        </w:rPr>
        <w:t xml:space="preserve"> mil.</w:t>
      </w:r>
      <w:r w:rsidRPr="0024512C">
        <w:rPr>
          <w:rFonts w:asciiTheme="majorHAnsi" w:eastAsia="Times New Roman" w:hAnsiTheme="majorHAnsi" w:cstheme="majorHAnsi"/>
          <w:bCs/>
          <w:sz w:val="24"/>
          <w:szCs w:val="24"/>
          <w:lang w:val="ro-MD" w:eastAsia="ru-RU"/>
        </w:rPr>
        <w:t xml:space="preserve"> </w:t>
      </w:r>
      <w:r w:rsidR="00687956" w:rsidRPr="0024512C">
        <w:rPr>
          <w:rFonts w:asciiTheme="majorHAnsi" w:eastAsia="Times New Roman" w:hAnsiTheme="majorHAnsi" w:cstheme="majorHAnsi"/>
          <w:bCs/>
          <w:sz w:val="24"/>
          <w:szCs w:val="24"/>
          <w:lang w:val="ro-MD" w:eastAsia="ru-RU"/>
        </w:rPr>
        <w:t xml:space="preserve">euro, dintre care </w:t>
      </w:r>
      <w:r w:rsidR="009D0FCA" w:rsidRPr="0024512C">
        <w:rPr>
          <w:rFonts w:asciiTheme="majorHAnsi" w:eastAsia="Times New Roman" w:hAnsiTheme="majorHAnsi" w:cstheme="majorHAnsi"/>
          <w:bCs/>
          <w:sz w:val="24"/>
          <w:szCs w:val="24"/>
          <w:lang w:val="ro-MD" w:eastAsia="ru-RU"/>
        </w:rPr>
        <w:t>0,6 mil.</w:t>
      </w:r>
      <w:r w:rsidRPr="0024512C">
        <w:rPr>
          <w:rFonts w:asciiTheme="majorHAnsi" w:eastAsia="Times New Roman" w:hAnsiTheme="majorHAnsi" w:cstheme="majorHAnsi"/>
          <w:bCs/>
          <w:sz w:val="24"/>
          <w:szCs w:val="24"/>
          <w:lang w:val="ro-MD" w:eastAsia="ru-RU"/>
        </w:rPr>
        <w:t xml:space="preserve"> </w:t>
      </w:r>
      <w:r w:rsidR="009D0FCA" w:rsidRPr="0024512C">
        <w:rPr>
          <w:rFonts w:asciiTheme="majorHAnsi" w:eastAsia="Times New Roman" w:hAnsiTheme="majorHAnsi" w:cstheme="majorHAnsi"/>
          <w:bCs/>
          <w:sz w:val="24"/>
          <w:szCs w:val="24"/>
          <w:lang w:val="ro-MD" w:eastAsia="ru-RU"/>
        </w:rPr>
        <w:t>euro este datori</w:t>
      </w:r>
      <w:r w:rsidR="00CB6362" w:rsidRPr="0024512C">
        <w:rPr>
          <w:rFonts w:asciiTheme="majorHAnsi" w:eastAsia="Times New Roman" w:hAnsiTheme="majorHAnsi" w:cstheme="majorHAnsi"/>
          <w:bCs/>
          <w:sz w:val="24"/>
          <w:szCs w:val="24"/>
          <w:lang w:val="ro-MD" w:eastAsia="ru-RU"/>
        </w:rPr>
        <w:t xml:space="preserve">a cu termen de achitare expirat înregistrată </w:t>
      </w:r>
      <w:r w:rsidR="00CB6362" w:rsidRPr="0024512C">
        <w:rPr>
          <w:rFonts w:asciiTheme="majorHAnsi" w:eastAsia="Times New Roman" w:hAnsiTheme="majorHAnsi" w:cstheme="majorHAnsi"/>
          <w:bCs/>
          <w:sz w:val="24"/>
          <w:szCs w:val="24"/>
          <w:lang w:val="ro-MD" w:eastAsia="ru-RU"/>
        </w:rPr>
        <w:lastRenderedPageBreak/>
        <w:t>după 10 beneficiari care au depășit graficul de achitare a sumelor principale și a dobânzilor de la 9 până la 810 zile.</w:t>
      </w:r>
      <w:r w:rsidR="009D0FCA" w:rsidRPr="0024512C">
        <w:rPr>
          <w:rFonts w:asciiTheme="majorHAnsi" w:eastAsia="Times New Roman" w:hAnsiTheme="majorHAnsi" w:cstheme="majorHAnsi"/>
          <w:bCs/>
          <w:sz w:val="24"/>
          <w:szCs w:val="24"/>
          <w:lang w:val="ro-MD" w:eastAsia="ru-RU"/>
        </w:rPr>
        <w:t xml:space="preserve"> </w:t>
      </w:r>
      <w:r w:rsidR="00574340" w:rsidRPr="0024512C">
        <w:rPr>
          <w:rFonts w:asciiTheme="majorHAnsi" w:eastAsia="Times New Roman" w:hAnsiTheme="majorHAnsi" w:cstheme="majorHAnsi"/>
          <w:bCs/>
          <w:i/>
          <w:sz w:val="24"/>
          <w:szCs w:val="24"/>
          <w:lang w:val="ro-MD" w:eastAsia="ru-RU"/>
        </w:rPr>
        <w:t xml:space="preserve">Informația privind sumele împrumuturilor acordate beneficiarilor </w:t>
      </w:r>
      <w:proofErr w:type="spellStart"/>
      <w:r w:rsidR="00574340" w:rsidRPr="0024512C">
        <w:rPr>
          <w:rFonts w:asciiTheme="majorHAnsi" w:eastAsia="Times New Roman" w:hAnsiTheme="majorHAnsi" w:cstheme="majorHAnsi"/>
          <w:bCs/>
          <w:i/>
          <w:sz w:val="24"/>
          <w:szCs w:val="24"/>
          <w:lang w:val="ro-MD" w:eastAsia="ru-RU"/>
        </w:rPr>
        <w:t>recreditați</w:t>
      </w:r>
      <w:proofErr w:type="spellEnd"/>
      <w:r w:rsidR="00574340" w:rsidRPr="0024512C">
        <w:rPr>
          <w:rFonts w:asciiTheme="majorHAnsi" w:eastAsia="Times New Roman" w:hAnsiTheme="majorHAnsi" w:cstheme="majorHAnsi"/>
          <w:bCs/>
          <w:i/>
          <w:sz w:val="24"/>
          <w:szCs w:val="24"/>
          <w:lang w:val="ro-MD" w:eastAsia="ru-RU"/>
        </w:rPr>
        <w:t xml:space="preserve"> și soldurile datoriilor se prezintă în Anexa nr.</w:t>
      </w:r>
      <w:r w:rsidR="004F396C" w:rsidRPr="0024512C">
        <w:rPr>
          <w:rFonts w:asciiTheme="majorHAnsi" w:eastAsia="Times New Roman" w:hAnsiTheme="majorHAnsi" w:cstheme="majorHAnsi"/>
          <w:bCs/>
          <w:i/>
          <w:sz w:val="24"/>
          <w:szCs w:val="24"/>
          <w:lang w:val="ro-MD" w:eastAsia="ru-RU"/>
        </w:rPr>
        <w:t xml:space="preserve"> 7</w:t>
      </w:r>
      <w:r w:rsidR="00574340" w:rsidRPr="0024512C">
        <w:rPr>
          <w:rFonts w:asciiTheme="majorHAnsi" w:eastAsia="Times New Roman" w:hAnsiTheme="majorHAnsi" w:cstheme="majorHAnsi"/>
          <w:bCs/>
          <w:i/>
          <w:sz w:val="24"/>
          <w:szCs w:val="24"/>
          <w:lang w:val="ro-MD" w:eastAsia="ru-RU"/>
        </w:rPr>
        <w:t xml:space="preserve"> la prezentul Raport de audit.</w:t>
      </w:r>
    </w:p>
    <w:p w:rsidR="00C10AE5" w:rsidRPr="0024512C" w:rsidRDefault="00687956" w:rsidP="008854DD">
      <w:pPr>
        <w:spacing w:line="276" w:lineRule="auto"/>
        <w:jc w:val="both"/>
        <w:rPr>
          <w:rFonts w:asciiTheme="majorHAnsi" w:hAnsiTheme="majorHAnsi" w:cstheme="majorHAnsi"/>
          <w:i/>
          <w:sz w:val="24"/>
          <w:szCs w:val="24"/>
          <w:lang w:val="ro-MD" w:eastAsia="ru-RU"/>
        </w:rPr>
      </w:pPr>
      <w:r w:rsidRPr="0024512C">
        <w:rPr>
          <w:rFonts w:asciiTheme="majorHAnsi" w:hAnsiTheme="majorHAnsi" w:cstheme="majorHAnsi"/>
          <w:sz w:val="24"/>
          <w:szCs w:val="24"/>
          <w:lang w:val="ro-MD" w:eastAsia="ru-RU"/>
        </w:rPr>
        <w:t xml:space="preserve">DLC prezintă către MF rapoarte periodice privind soldurile sumei principale </w:t>
      </w:r>
      <w:proofErr w:type="spellStart"/>
      <w:r w:rsidRPr="0024512C">
        <w:rPr>
          <w:rFonts w:asciiTheme="majorHAnsi" w:hAnsiTheme="majorHAnsi" w:cstheme="majorHAnsi"/>
          <w:sz w:val="24"/>
          <w:szCs w:val="24"/>
          <w:lang w:val="ro-MD" w:eastAsia="ru-RU"/>
        </w:rPr>
        <w:t>recreditate</w:t>
      </w:r>
      <w:proofErr w:type="spellEnd"/>
      <w:r w:rsidRPr="0024512C">
        <w:rPr>
          <w:rFonts w:asciiTheme="majorHAnsi" w:hAnsiTheme="majorHAnsi" w:cstheme="majorHAnsi"/>
          <w:sz w:val="24"/>
          <w:szCs w:val="24"/>
          <w:lang w:val="ro-MD" w:eastAsia="ru-RU"/>
        </w:rPr>
        <w:t>, inclusiv sumele plăților expirate ale benefi</w:t>
      </w:r>
      <w:r w:rsidR="00817386" w:rsidRPr="0024512C">
        <w:rPr>
          <w:rFonts w:asciiTheme="majorHAnsi" w:hAnsiTheme="majorHAnsi" w:cstheme="majorHAnsi"/>
          <w:sz w:val="24"/>
          <w:szCs w:val="24"/>
          <w:lang w:val="ro-MD" w:eastAsia="ru-RU"/>
        </w:rPr>
        <w:t>ciarilor. MF, prin intermediul Serviciului</w:t>
      </w:r>
      <w:r w:rsidRPr="0024512C">
        <w:rPr>
          <w:rFonts w:asciiTheme="majorHAnsi" w:hAnsiTheme="majorHAnsi" w:cstheme="majorHAnsi"/>
          <w:sz w:val="24"/>
          <w:szCs w:val="24"/>
          <w:lang w:val="ro-MD" w:eastAsia="ru-RU"/>
        </w:rPr>
        <w:t xml:space="preserve"> Fiscal de Stat, efectuează debitarea forțată a datoriilor expirate, astfel asigurând colectarea mijloacelor pentru de</w:t>
      </w:r>
      <w:r w:rsidR="00390B72" w:rsidRPr="0024512C">
        <w:rPr>
          <w:rFonts w:asciiTheme="majorHAnsi" w:hAnsiTheme="majorHAnsi" w:cstheme="majorHAnsi"/>
          <w:sz w:val="24"/>
          <w:szCs w:val="24"/>
          <w:lang w:val="ro-MD" w:eastAsia="ru-RU"/>
        </w:rPr>
        <w:t xml:space="preserve">servirea datoriei externe. </w:t>
      </w:r>
      <w:r w:rsidR="002B41D4" w:rsidRPr="0024512C">
        <w:rPr>
          <w:rFonts w:asciiTheme="majorHAnsi" w:hAnsiTheme="majorHAnsi" w:cstheme="majorHAnsi"/>
          <w:sz w:val="24"/>
          <w:szCs w:val="24"/>
          <w:lang w:val="ro-MD" w:eastAsia="ru-RU"/>
        </w:rPr>
        <w:t xml:space="preserve">Deși </w:t>
      </w:r>
      <w:r w:rsidR="00390B72" w:rsidRPr="0024512C">
        <w:rPr>
          <w:rFonts w:asciiTheme="majorHAnsi" w:hAnsiTheme="majorHAnsi" w:cstheme="majorHAnsi"/>
          <w:sz w:val="24"/>
          <w:szCs w:val="24"/>
          <w:lang w:val="ro-MD" w:eastAsia="ru-RU"/>
        </w:rPr>
        <w:t>Consiliul DLC</w:t>
      </w:r>
      <w:r w:rsidR="00E513D7" w:rsidRPr="0024512C">
        <w:rPr>
          <w:rStyle w:val="FootnoteReference"/>
          <w:rFonts w:asciiTheme="majorHAnsi" w:hAnsiTheme="majorHAnsi" w:cstheme="majorHAnsi"/>
          <w:sz w:val="24"/>
          <w:szCs w:val="24"/>
          <w:lang w:val="ro-MD" w:eastAsia="ru-RU"/>
        </w:rPr>
        <w:footnoteReference w:id="25"/>
      </w:r>
      <w:r w:rsidR="002B41D4" w:rsidRPr="0024512C">
        <w:rPr>
          <w:rFonts w:asciiTheme="majorHAnsi" w:hAnsiTheme="majorHAnsi" w:cstheme="majorHAnsi"/>
          <w:sz w:val="24"/>
          <w:szCs w:val="24"/>
          <w:lang w:val="ro-MD" w:eastAsia="ru-RU"/>
        </w:rPr>
        <w:t xml:space="preserve"> </w:t>
      </w:r>
      <w:r w:rsidR="00390B72" w:rsidRPr="0024512C">
        <w:rPr>
          <w:rFonts w:asciiTheme="majorHAnsi" w:hAnsiTheme="majorHAnsi" w:cstheme="majorHAnsi"/>
          <w:sz w:val="24"/>
          <w:szCs w:val="24"/>
          <w:lang w:val="ro-MD" w:eastAsia="ru-RU"/>
        </w:rPr>
        <w:t xml:space="preserve">a </w:t>
      </w:r>
      <w:r w:rsidR="00390B72" w:rsidRPr="005C74F5">
        <w:rPr>
          <w:rFonts w:asciiTheme="majorHAnsi" w:hAnsiTheme="majorHAnsi" w:cstheme="majorHAnsi"/>
          <w:sz w:val="24"/>
          <w:szCs w:val="24"/>
          <w:lang w:val="ro-MD" w:eastAsia="ru-RU"/>
        </w:rPr>
        <w:t xml:space="preserve">stabilit că sumele datoriilor expirate încasate forțat de MF de la beneficiarii </w:t>
      </w:r>
      <w:proofErr w:type="spellStart"/>
      <w:r w:rsidR="00390B72" w:rsidRPr="005C74F5">
        <w:rPr>
          <w:rFonts w:asciiTheme="majorHAnsi" w:hAnsiTheme="majorHAnsi" w:cstheme="majorHAnsi"/>
          <w:sz w:val="24"/>
          <w:szCs w:val="24"/>
          <w:lang w:val="ro-MD" w:eastAsia="ru-RU"/>
        </w:rPr>
        <w:t>recreditați</w:t>
      </w:r>
      <w:proofErr w:type="spellEnd"/>
      <w:r w:rsidR="00390B72" w:rsidRPr="005C74F5">
        <w:rPr>
          <w:rFonts w:asciiTheme="majorHAnsi" w:hAnsiTheme="majorHAnsi" w:cstheme="majorHAnsi"/>
          <w:sz w:val="24"/>
          <w:szCs w:val="24"/>
          <w:lang w:val="ro-MD" w:eastAsia="ru-RU"/>
        </w:rPr>
        <w:t xml:space="preserve"> vor fi îndreptate de MF în conturile DLC ale Liniilor de credit deservite la BNM, astfel asigurând acumularea fondurilor sustenabile pentru rambursarea la scadență a împrumuturilor externe d</w:t>
      </w:r>
      <w:r w:rsidR="00390B72" w:rsidRPr="00263854">
        <w:rPr>
          <w:rFonts w:asciiTheme="majorHAnsi" w:hAnsiTheme="majorHAnsi" w:cstheme="majorHAnsi"/>
          <w:sz w:val="24"/>
          <w:szCs w:val="24"/>
          <w:lang w:val="ro-MD" w:eastAsia="ru-RU"/>
        </w:rPr>
        <w:t>in care au fost finanțate Liniile de credit respective, DLC s-a confruntat cu transferare</w:t>
      </w:r>
      <w:r w:rsidR="00263854">
        <w:rPr>
          <w:rFonts w:asciiTheme="majorHAnsi" w:hAnsiTheme="majorHAnsi" w:cstheme="majorHAnsi"/>
          <w:sz w:val="24"/>
          <w:szCs w:val="24"/>
          <w:lang w:val="ro-MD" w:eastAsia="ru-RU"/>
        </w:rPr>
        <w:t>a</w:t>
      </w:r>
      <w:r w:rsidR="00390B72" w:rsidRPr="00263854">
        <w:rPr>
          <w:rFonts w:asciiTheme="majorHAnsi" w:hAnsiTheme="majorHAnsi" w:cstheme="majorHAnsi"/>
          <w:sz w:val="24"/>
          <w:szCs w:val="24"/>
          <w:lang w:val="ro-MD" w:eastAsia="ru-RU"/>
        </w:rPr>
        <w:t xml:space="preserve"> întârziată a sumelor încasate de că</w:t>
      </w:r>
      <w:r w:rsidR="00CF1949" w:rsidRPr="00263854">
        <w:rPr>
          <w:rFonts w:asciiTheme="majorHAnsi" w:hAnsiTheme="majorHAnsi" w:cstheme="majorHAnsi"/>
          <w:sz w:val="24"/>
          <w:szCs w:val="24"/>
          <w:lang w:val="ro-MD" w:eastAsia="ru-RU"/>
        </w:rPr>
        <w:t>tre Trezoreria de Stat. U</w:t>
      </w:r>
      <w:r w:rsidR="002B41D4" w:rsidRPr="00263854">
        <w:rPr>
          <w:rFonts w:asciiTheme="majorHAnsi" w:hAnsiTheme="majorHAnsi" w:cstheme="majorHAnsi"/>
          <w:sz w:val="24"/>
          <w:szCs w:val="24"/>
          <w:lang w:val="ro-MD" w:eastAsia="ru-RU"/>
        </w:rPr>
        <w:t>ltimul transfer către DLC</w:t>
      </w:r>
      <w:r w:rsidR="00390B72" w:rsidRPr="0024512C">
        <w:rPr>
          <w:rFonts w:asciiTheme="majorHAnsi" w:hAnsiTheme="majorHAnsi" w:cstheme="majorHAnsi"/>
          <w:sz w:val="24"/>
          <w:szCs w:val="24"/>
          <w:lang w:val="ro-MD" w:eastAsia="ru-RU"/>
        </w:rPr>
        <w:t xml:space="preserve"> al sumelor încasate a fo</w:t>
      </w:r>
      <w:r w:rsidR="00CF1949" w:rsidRPr="0024512C">
        <w:rPr>
          <w:rFonts w:asciiTheme="majorHAnsi" w:hAnsiTheme="majorHAnsi" w:cstheme="majorHAnsi"/>
          <w:sz w:val="24"/>
          <w:szCs w:val="24"/>
          <w:lang w:val="ro-MD" w:eastAsia="ru-RU"/>
        </w:rPr>
        <w:t>s</w:t>
      </w:r>
      <w:r w:rsidR="00390B72" w:rsidRPr="0024512C">
        <w:rPr>
          <w:rFonts w:asciiTheme="majorHAnsi" w:hAnsiTheme="majorHAnsi" w:cstheme="majorHAnsi"/>
          <w:sz w:val="24"/>
          <w:szCs w:val="24"/>
          <w:lang w:val="ro-MD" w:eastAsia="ru-RU"/>
        </w:rPr>
        <w:t>t efectuat de către Trezoreria de Stat la 19.11.2019</w:t>
      </w:r>
      <w:r w:rsidR="002B41D4" w:rsidRPr="0024512C">
        <w:rPr>
          <w:rFonts w:asciiTheme="majorHAnsi" w:hAnsiTheme="majorHAnsi" w:cstheme="majorHAnsi"/>
          <w:sz w:val="24"/>
          <w:szCs w:val="24"/>
          <w:lang w:val="ro-MD" w:eastAsia="ru-RU"/>
        </w:rPr>
        <w:t>,</w:t>
      </w:r>
      <w:r w:rsidR="00817386" w:rsidRPr="0024512C">
        <w:rPr>
          <w:rFonts w:asciiTheme="majorHAnsi" w:hAnsiTheme="majorHAnsi" w:cstheme="majorHAnsi"/>
          <w:sz w:val="24"/>
          <w:szCs w:val="24"/>
          <w:lang w:val="ro-MD" w:eastAsia="ru-RU"/>
        </w:rPr>
        <w:t xml:space="preserve"> în sumă de 100,22 mii lei</w:t>
      </w:r>
      <w:r w:rsidR="002B41D4" w:rsidRPr="0024512C">
        <w:rPr>
          <w:rFonts w:asciiTheme="majorHAnsi" w:hAnsiTheme="majorHAnsi" w:cstheme="majorHAnsi"/>
          <w:sz w:val="24"/>
          <w:szCs w:val="24"/>
          <w:lang w:val="ro-MD" w:eastAsia="ru-RU"/>
        </w:rPr>
        <w:t>,</w:t>
      </w:r>
      <w:r w:rsidR="00817386" w:rsidRPr="0024512C">
        <w:rPr>
          <w:rFonts w:asciiTheme="majorHAnsi" w:hAnsiTheme="majorHAnsi" w:cstheme="majorHAnsi"/>
          <w:sz w:val="24"/>
          <w:szCs w:val="24"/>
          <w:lang w:val="ro-MD" w:eastAsia="ru-RU"/>
        </w:rPr>
        <w:t xml:space="preserve"> dintre care 76,3 mii lei</w:t>
      </w:r>
      <w:r w:rsidR="00390B72" w:rsidRPr="0024512C">
        <w:rPr>
          <w:rFonts w:asciiTheme="majorHAnsi" w:hAnsiTheme="majorHAnsi" w:cstheme="majorHAnsi"/>
          <w:sz w:val="24"/>
          <w:szCs w:val="24"/>
          <w:lang w:val="ro-MD" w:eastAsia="ru-RU"/>
        </w:rPr>
        <w:t xml:space="preserve"> au fost încasate la Trezorerie în</w:t>
      </w:r>
      <w:r w:rsidR="00817386" w:rsidRPr="0024512C">
        <w:rPr>
          <w:rFonts w:asciiTheme="majorHAnsi" w:hAnsiTheme="majorHAnsi" w:cstheme="majorHAnsi"/>
          <w:sz w:val="24"/>
          <w:szCs w:val="24"/>
          <w:lang w:val="ro-MD" w:eastAsia="ru-RU"/>
        </w:rPr>
        <w:t xml:space="preserve"> noiembrie 2018 și 23,92 mii lei</w:t>
      </w:r>
      <w:r w:rsidR="00390B72" w:rsidRPr="0024512C">
        <w:rPr>
          <w:rFonts w:asciiTheme="majorHAnsi" w:hAnsiTheme="majorHAnsi" w:cstheme="majorHAnsi"/>
          <w:sz w:val="24"/>
          <w:szCs w:val="24"/>
          <w:lang w:val="ro-MD" w:eastAsia="ru-RU"/>
        </w:rPr>
        <w:t xml:space="preserve"> – în ianuarie 2019.</w:t>
      </w:r>
      <w:r w:rsidR="00CF1949" w:rsidRPr="0024512C">
        <w:rPr>
          <w:rFonts w:asciiTheme="majorHAnsi" w:hAnsiTheme="majorHAnsi" w:cstheme="majorHAnsi"/>
          <w:sz w:val="24"/>
          <w:szCs w:val="24"/>
          <w:lang w:val="ro-MD" w:eastAsia="ru-RU"/>
        </w:rPr>
        <w:t xml:space="preserve"> Astfel, verificările auditului au stabilit că Trezoreria de Stat a reținut în conturile sale mijloacele transferate de către debitorii cu datorii expirate de la o zi până la 357</w:t>
      </w:r>
      <w:r w:rsidR="001442FC" w:rsidRPr="0024512C">
        <w:rPr>
          <w:rFonts w:asciiTheme="majorHAnsi" w:hAnsiTheme="majorHAnsi" w:cstheme="majorHAnsi"/>
          <w:sz w:val="24"/>
          <w:szCs w:val="24"/>
          <w:lang w:val="ro-MD" w:eastAsia="ru-RU"/>
        </w:rPr>
        <w:t xml:space="preserve"> de zile</w:t>
      </w:r>
      <w:r w:rsidR="00CF1949" w:rsidRPr="0024512C">
        <w:rPr>
          <w:rFonts w:asciiTheme="majorHAnsi" w:hAnsiTheme="majorHAnsi" w:cstheme="majorHAnsi"/>
          <w:sz w:val="24"/>
          <w:szCs w:val="24"/>
          <w:lang w:val="ro-MD" w:eastAsia="ru-RU"/>
        </w:rPr>
        <w:t>.</w:t>
      </w:r>
      <w:r w:rsidR="00390B72" w:rsidRPr="0024512C">
        <w:rPr>
          <w:rFonts w:asciiTheme="majorHAnsi" w:hAnsiTheme="majorHAnsi" w:cstheme="majorHAnsi"/>
          <w:sz w:val="24"/>
          <w:szCs w:val="24"/>
          <w:lang w:val="ro-MD" w:eastAsia="ru-RU"/>
        </w:rPr>
        <w:t xml:space="preserve"> </w:t>
      </w:r>
      <w:r w:rsidR="00390B72" w:rsidRPr="0024512C">
        <w:rPr>
          <w:rFonts w:asciiTheme="majorHAnsi" w:hAnsiTheme="majorHAnsi" w:cstheme="majorHAnsi"/>
          <w:i/>
          <w:sz w:val="24"/>
          <w:szCs w:val="24"/>
          <w:lang w:val="ro-MD" w:eastAsia="ru-RU"/>
        </w:rPr>
        <w:t>Informația detaliată privind încasările sumelor datorate de către Trezoreria de Stat și transferarea acestora către DLC se prezintă în Tabelul nr.</w:t>
      </w:r>
      <w:r w:rsidR="00817386" w:rsidRPr="0024512C">
        <w:rPr>
          <w:rFonts w:asciiTheme="majorHAnsi" w:hAnsiTheme="majorHAnsi" w:cstheme="majorHAnsi"/>
          <w:i/>
          <w:sz w:val="24"/>
          <w:szCs w:val="24"/>
          <w:lang w:val="ro-MD" w:eastAsia="ru-RU"/>
        </w:rPr>
        <w:t xml:space="preserve"> </w:t>
      </w:r>
      <w:r w:rsidR="00C46CD1" w:rsidRPr="0024512C">
        <w:rPr>
          <w:rFonts w:asciiTheme="majorHAnsi" w:hAnsiTheme="majorHAnsi" w:cstheme="majorHAnsi"/>
          <w:i/>
          <w:sz w:val="24"/>
          <w:szCs w:val="24"/>
          <w:lang w:val="ro-MD" w:eastAsia="ru-RU"/>
        </w:rPr>
        <w:t>6</w:t>
      </w:r>
      <w:r w:rsidR="00062319" w:rsidRPr="0024512C">
        <w:rPr>
          <w:rFonts w:asciiTheme="majorHAnsi" w:hAnsiTheme="majorHAnsi" w:cstheme="majorHAnsi"/>
          <w:i/>
          <w:sz w:val="24"/>
          <w:szCs w:val="24"/>
          <w:lang w:val="ro-MD" w:eastAsia="ru-RU"/>
        </w:rPr>
        <w:t>.</w:t>
      </w:r>
    </w:p>
    <w:p w:rsidR="00390B72" w:rsidRPr="0024512C" w:rsidRDefault="00817386" w:rsidP="00062319">
      <w:pPr>
        <w:spacing w:after="0" w:line="276" w:lineRule="auto"/>
        <w:jc w:val="right"/>
        <w:rPr>
          <w:rFonts w:asciiTheme="majorHAnsi" w:hAnsiTheme="majorHAnsi" w:cstheme="majorHAnsi"/>
          <w:b/>
          <w:i/>
          <w:color w:val="5B9BD5" w:themeColor="accent1"/>
          <w:sz w:val="24"/>
          <w:szCs w:val="24"/>
          <w:lang w:val="ro-MD" w:eastAsia="ru-RU"/>
        </w:rPr>
      </w:pPr>
      <w:r w:rsidRPr="0024512C">
        <w:rPr>
          <w:rFonts w:asciiTheme="majorHAnsi" w:hAnsiTheme="majorHAnsi" w:cstheme="majorHAnsi"/>
          <w:b/>
          <w:i/>
          <w:color w:val="5B9BD5" w:themeColor="accent1"/>
          <w:sz w:val="24"/>
          <w:szCs w:val="24"/>
          <w:lang w:val="ro-MD" w:eastAsia="ru-RU"/>
        </w:rPr>
        <w:t xml:space="preserve">Tabelul nr. </w:t>
      </w:r>
      <w:r w:rsidR="00C46CD1" w:rsidRPr="0024512C">
        <w:rPr>
          <w:rFonts w:asciiTheme="majorHAnsi" w:hAnsiTheme="majorHAnsi" w:cstheme="majorHAnsi"/>
          <w:b/>
          <w:i/>
          <w:color w:val="5B9BD5" w:themeColor="accent1"/>
          <w:sz w:val="24"/>
          <w:szCs w:val="24"/>
          <w:lang w:val="ro-MD" w:eastAsia="ru-RU"/>
        </w:rPr>
        <w:t>6</w:t>
      </w:r>
      <w:r w:rsidRPr="0024512C">
        <w:rPr>
          <w:rFonts w:asciiTheme="majorHAnsi" w:hAnsiTheme="majorHAnsi" w:cstheme="majorHAnsi"/>
          <w:b/>
          <w:i/>
          <w:color w:val="5B9BD5" w:themeColor="accent1"/>
          <w:sz w:val="24"/>
          <w:szCs w:val="24"/>
          <w:lang w:val="ro-MD" w:eastAsia="ru-RU"/>
        </w:rPr>
        <w:t>, lei</w:t>
      </w:r>
    </w:p>
    <w:tbl>
      <w:tblPr>
        <w:tblStyle w:val="TableGrid"/>
        <w:tblW w:w="0" w:type="auto"/>
        <w:tblLook w:val="04A0" w:firstRow="1" w:lastRow="0" w:firstColumn="1" w:lastColumn="0" w:noHBand="0" w:noVBand="1"/>
      </w:tblPr>
      <w:tblGrid>
        <w:gridCol w:w="1570"/>
        <w:gridCol w:w="1588"/>
        <w:gridCol w:w="1621"/>
        <w:gridCol w:w="1616"/>
        <w:gridCol w:w="1630"/>
        <w:gridCol w:w="1320"/>
      </w:tblGrid>
      <w:tr w:rsidR="00664C24" w:rsidRPr="0024512C" w:rsidTr="00664C24">
        <w:tc>
          <w:tcPr>
            <w:tcW w:w="1570" w:type="dxa"/>
            <w:shd w:val="clear" w:color="auto" w:fill="DEEAF6" w:themeFill="accent1" w:themeFillTint="33"/>
            <w:vAlign w:val="center"/>
          </w:tcPr>
          <w:p w:rsidR="00664C24" w:rsidRPr="0024512C" w:rsidRDefault="00664C24" w:rsidP="00FD32A9">
            <w:pPr>
              <w:spacing w:line="276" w:lineRule="auto"/>
              <w:jc w:val="center"/>
              <w:rPr>
                <w:rFonts w:asciiTheme="majorHAnsi" w:hAnsiTheme="majorHAnsi" w:cstheme="majorHAnsi"/>
                <w:b/>
                <w:sz w:val="20"/>
                <w:szCs w:val="20"/>
                <w:lang w:val="ro-MD" w:eastAsia="ru-RU"/>
              </w:rPr>
            </w:pPr>
            <w:r w:rsidRPr="0024512C">
              <w:rPr>
                <w:rFonts w:asciiTheme="majorHAnsi" w:hAnsiTheme="majorHAnsi" w:cstheme="majorHAnsi"/>
                <w:b/>
                <w:sz w:val="20"/>
                <w:szCs w:val="20"/>
                <w:lang w:val="ro-MD" w:eastAsia="ru-RU"/>
              </w:rPr>
              <w:t>Debitorul cu datorii expirate</w:t>
            </w:r>
          </w:p>
        </w:tc>
        <w:tc>
          <w:tcPr>
            <w:tcW w:w="1588" w:type="dxa"/>
            <w:shd w:val="clear" w:color="auto" w:fill="DEEAF6" w:themeFill="accent1" w:themeFillTint="33"/>
            <w:vAlign w:val="center"/>
          </w:tcPr>
          <w:p w:rsidR="00664C24" w:rsidRPr="0024512C" w:rsidRDefault="00664C24" w:rsidP="00FD32A9">
            <w:pPr>
              <w:spacing w:line="276" w:lineRule="auto"/>
              <w:jc w:val="center"/>
              <w:rPr>
                <w:rFonts w:asciiTheme="majorHAnsi" w:hAnsiTheme="majorHAnsi" w:cstheme="majorHAnsi"/>
                <w:b/>
                <w:sz w:val="20"/>
                <w:szCs w:val="20"/>
                <w:lang w:val="ro-MD" w:eastAsia="ru-RU"/>
              </w:rPr>
            </w:pPr>
            <w:r w:rsidRPr="0024512C">
              <w:rPr>
                <w:rFonts w:asciiTheme="majorHAnsi" w:hAnsiTheme="majorHAnsi" w:cstheme="majorHAnsi"/>
                <w:b/>
                <w:sz w:val="20"/>
                <w:szCs w:val="20"/>
                <w:lang w:val="ro-MD" w:eastAsia="ru-RU"/>
              </w:rPr>
              <w:t>Suma încasată de MF conform dispoziției incaso</w:t>
            </w:r>
          </w:p>
        </w:tc>
        <w:tc>
          <w:tcPr>
            <w:tcW w:w="1621" w:type="dxa"/>
            <w:shd w:val="clear" w:color="auto" w:fill="DEEAF6" w:themeFill="accent1" w:themeFillTint="33"/>
            <w:vAlign w:val="center"/>
          </w:tcPr>
          <w:p w:rsidR="00664C24" w:rsidRPr="0024512C" w:rsidRDefault="00664C24" w:rsidP="00FD32A9">
            <w:pPr>
              <w:spacing w:line="276" w:lineRule="auto"/>
              <w:jc w:val="center"/>
              <w:rPr>
                <w:rFonts w:asciiTheme="majorHAnsi" w:hAnsiTheme="majorHAnsi" w:cstheme="majorHAnsi"/>
                <w:b/>
                <w:sz w:val="20"/>
                <w:szCs w:val="20"/>
                <w:lang w:val="ro-MD" w:eastAsia="ru-RU"/>
              </w:rPr>
            </w:pPr>
            <w:r w:rsidRPr="0024512C">
              <w:rPr>
                <w:rFonts w:asciiTheme="majorHAnsi" w:hAnsiTheme="majorHAnsi" w:cstheme="majorHAnsi"/>
                <w:b/>
                <w:sz w:val="20"/>
                <w:szCs w:val="20"/>
                <w:lang w:val="ro-MD" w:eastAsia="ru-RU"/>
              </w:rPr>
              <w:t>Data încasării de către Trezoreria de Stat</w:t>
            </w:r>
          </w:p>
        </w:tc>
        <w:tc>
          <w:tcPr>
            <w:tcW w:w="1616" w:type="dxa"/>
            <w:shd w:val="clear" w:color="auto" w:fill="DEEAF6" w:themeFill="accent1" w:themeFillTint="33"/>
            <w:vAlign w:val="center"/>
          </w:tcPr>
          <w:p w:rsidR="00664C24" w:rsidRPr="0024512C" w:rsidRDefault="00664C24" w:rsidP="00FD32A9">
            <w:pPr>
              <w:spacing w:line="276" w:lineRule="auto"/>
              <w:jc w:val="center"/>
              <w:rPr>
                <w:rFonts w:asciiTheme="majorHAnsi" w:hAnsiTheme="majorHAnsi" w:cstheme="majorHAnsi"/>
                <w:b/>
                <w:sz w:val="20"/>
                <w:szCs w:val="20"/>
                <w:lang w:val="ro-MD" w:eastAsia="ru-RU"/>
              </w:rPr>
            </w:pPr>
            <w:r w:rsidRPr="0024512C">
              <w:rPr>
                <w:rFonts w:asciiTheme="majorHAnsi" w:hAnsiTheme="majorHAnsi" w:cstheme="majorHAnsi"/>
                <w:b/>
                <w:sz w:val="20"/>
                <w:szCs w:val="20"/>
                <w:lang w:val="ro-MD" w:eastAsia="ru-RU"/>
              </w:rPr>
              <w:t>Suma transferată către DLC</w:t>
            </w:r>
          </w:p>
        </w:tc>
        <w:tc>
          <w:tcPr>
            <w:tcW w:w="1630" w:type="dxa"/>
            <w:shd w:val="clear" w:color="auto" w:fill="DEEAF6" w:themeFill="accent1" w:themeFillTint="33"/>
            <w:vAlign w:val="center"/>
          </w:tcPr>
          <w:p w:rsidR="00664C24" w:rsidRPr="0024512C" w:rsidRDefault="00664C24" w:rsidP="00FD32A9">
            <w:pPr>
              <w:spacing w:line="276" w:lineRule="auto"/>
              <w:jc w:val="center"/>
              <w:rPr>
                <w:rFonts w:asciiTheme="majorHAnsi" w:hAnsiTheme="majorHAnsi" w:cstheme="majorHAnsi"/>
                <w:b/>
                <w:sz w:val="20"/>
                <w:szCs w:val="20"/>
                <w:lang w:val="ro-MD" w:eastAsia="ru-RU"/>
              </w:rPr>
            </w:pPr>
            <w:r w:rsidRPr="0024512C">
              <w:rPr>
                <w:rFonts w:asciiTheme="majorHAnsi" w:hAnsiTheme="majorHAnsi" w:cstheme="majorHAnsi"/>
                <w:b/>
                <w:sz w:val="20"/>
                <w:szCs w:val="20"/>
                <w:lang w:val="ro-MD" w:eastAsia="ru-RU"/>
              </w:rPr>
              <w:t>Data transferului la DLC</w:t>
            </w:r>
          </w:p>
        </w:tc>
        <w:tc>
          <w:tcPr>
            <w:tcW w:w="1320" w:type="dxa"/>
            <w:shd w:val="clear" w:color="auto" w:fill="DEEAF6" w:themeFill="accent1" w:themeFillTint="33"/>
            <w:vAlign w:val="center"/>
          </w:tcPr>
          <w:p w:rsidR="00664C24" w:rsidRPr="0024512C" w:rsidRDefault="00664C24" w:rsidP="00FD32A9">
            <w:pPr>
              <w:spacing w:line="276" w:lineRule="auto"/>
              <w:jc w:val="center"/>
              <w:rPr>
                <w:rFonts w:asciiTheme="majorHAnsi" w:hAnsiTheme="majorHAnsi" w:cstheme="majorHAnsi"/>
                <w:b/>
                <w:sz w:val="20"/>
                <w:szCs w:val="20"/>
                <w:lang w:val="ro-MD" w:eastAsia="ru-RU"/>
              </w:rPr>
            </w:pPr>
            <w:r w:rsidRPr="0024512C">
              <w:rPr>
                <w:rFonts w:asciiTheme="majorHAnsi" w:hAnsiTheme="majorHAnsi" w:cstheme="majorHAnsi"/>
                <w:b/>
                <w:sz w:val="20"/>
                <w:szCs w:val="20"/>
                <w:lang w:val="ro-MD" w:eastAsia="ru-RU"/>
              </w:rPr>
              <w:t>Diferența de zile</w:t>
            </w:r>
          </w:p>
        </w:tc>
      </w:tr>
      <w:tr w:rsidR="00664C24" w:rsidRPr="0024512C" w:rsidTr="00664C24">
        <w:tc>
          <w:tcPr>
            <w:tcW w:w="1570" w:type="dxa"/>
            <w:vMerge w:val="restart"/>
          </w:tcPr>
          <w:p w:rsidR="00664C24" w:rsidRPr="005C74F5" w:rsidRDefault="00664C24" w:rsidP="00390B72">
            <w:pPr>
              <w:spacing w:line="276" w:lineRule="auto"/>
              <w:jc w:val="both"/>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 xml:space="preserve">SRL </w:t>
            </w:r>
            <w:r w:rsidR="002B41D4" w:rsidRPr="0024512C">
              <w:rPr>
                <w:rFonts w:asciiTheme="majorHAnsi" w:hAnsiTheme="majorHAnsi" w:cstheme="majorHAnsi"/>
                <w:sz w:val="20"/>
                <w:szCs w:val="20"/>
                <w:lang w:val="ro-MD" w:eastAsia="ru-RU"/>
              </w:rPr>
              <w:t>„</w:t>
            </w:r>
            <w:proofErr w:type="spellStart"/>
            <w:r w:rsidRPr="005C74F5">
              <w:rPr>
                <w:rFonts w:asciiTheme="majorHAnsi" w:hAnsiTheme="majorHAnsi" w:cstheme="majorHAnsi"/>
                <w:sz w:val="20"/>
                <w:szCs w:val="20"/>
                <w:lang w:val="ro-MD" w:eastAsia="ru-RU"/>
              </w:rPr>
              <w:t>Vindicum</w:t>
            </w:r>
            <w:proofErr w:type="spellEnd"/>
            <w:r w:rsidR="002B41D4" w:rsidRPr="005C74F5">
              <w:rPr>
                <w:rFonts w:asciiTheme="majorHAnsi" w:hAnsiTheme="majorHAnsi" w:cstheme="majorHAnsi"/>
                <w:sz w:val="20"/>
                <w:szCs w:val="20"/>
                <w:lang w:val="ro-MD" w:eastAsia="ru-RU"/>
              </w:rPr>
              <w:t>”</w:t>
            </w:r>
          </w:p>
        </w:tc>
        <w:tc>
          <w:tcPr>
            <w:tcW w:w="1588" w:type="dxa"/>
          </w:tcPr>
          <w:p w:rsidR="00664C24" w:rsidRPr="0024512C" w:rsidRDefault="00664C24" w:rsidP="00FD32A9">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58 333,0</w:t>
            </w:r>
          </w:p>
        </w:tc>
        <w:tc>
          <w:tcPr>
            <w:tcW w:w="1621" w:type="dxa"/>
          </w:tcPr>
          <w:p w:rsidR="00664C24" w:rsidRPr="0024512C" w:rsidRDefault="00664C24" w:rsidP="00390B72">
            <w:pPr>
              <w:spacing w:line="276" w:lineRule="auto"/>
              <w:jc w:val="both"/>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29.06.2018</w:t>
            </w:r>
          </w:p>
        </w:tc>
        <w:tc>
          <w:tcPr>
            <w:tcW w:w="1616" w:type="dxa"/>
            <w:vMerge w:val="restart"/>
          </w:tcPr>
          <w:p w:rsidR="00664C24" w:rsidRPr="0024512C" w:rsidRDefault="00664C24" w:rsidP="00FD32A9">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253 922,29</w:t>
            </w:r>
          </w:p>
        </w:tc>
        <w:tc>
          <w:tcPr>
            <w:tcW w:w="1630" w:type="dxa"/>
            <w:vMerge w:val="restart"/>
          </w:tcPr>
          <w:p w:rsidR="00664C24" w:rsidRPr="0024512C" w:rsidRDefault="00664C24" w:rsidP="00390B72">
            <w:pPr>
              <w:spacing w:line="276" w:lineRule="auto"/>
              <w:jc w:val="both"/>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01.11.2018</w:t>
            </w:r>
          </w:p>
        </w:tc>
        <w:tc>
          <w:tcPr>
            <w:tcW w:w="1320" w:type="dxa"/>
          </w:tcPr>
          <w:p w:rsidR="00664C24" w:rsidRPr="0024512C" w:rsidRDefault="00664C24" w:rsidP="00664C24">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125</w:t>
            </w:r>
          </w:p>
        </w:tc>
      </w:tr>
      <w:tr w:rsidR="00664C24" w:rsidRPr="0024512C" w:rsidTr="00664C24">
        <w:tc>
          <w:tcPr>
            <w:tcW w:w="1570" w:type="dxa"/>
            <w:vMerge/>
          </w:tcPr>
          <w:p w:rsidR="00664C24" w:rsidRPr="0024512C" w:rsidRDefault="00664C24" w:rsidP="00390B72">
            <w:pPr>
              <w:spacing w:line="276" w:lineRule="auto"/>
              <w:jc w:val="both"/>
              <w:rPr>
                <w:rFonts w:asciiTheme="majorHAnsi" w:hAnsiTheme="majorHAnsi" w:cstheme="majorHAnsi"/>
                <w:sz w:val="20"/>
                <w:szCs w:val="20"/>
                <w:lang w:val="ro-MD" w:eastAsia="ru-RU"/>
              </w:rPr>
            </w:pPr>
          </w:p>
        </w:tc>
        <w:tc>
          <w:tcPr>
            <w:tcW w:w="1588" w:type="dxa"/>
          </w:tcPr>
          <w:p w:rsidR="00664C24" w:rsidRPr="0024512C" w:rsidRDefault="00664C24" w:rsidP="00FD32A9">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6 999,59</w:t>
            </w:r>
          </w:p>
        </w:tc>
        <w:tc>
          <w:tcPr>
            <w:tcW w:w="1621" w:type="dxa"/>
          </w:tcPr>
          <w:p w:rsidR="00664C24" w:rsidRPr="0024512C" w:rsidRDefault="00664C24" w:rsidP="00390B72">
            <w:pPr>
              <w:spacing w:line="276" w:lineRule="auto"/>
              <w:jc w:val="both"/>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02-23.07.2018</w:t>
            </w:r>
          </w:p>
        </w:tc>
        <w:tc>
          <w:tcPr>
            <w:tcW w:w="1616" w:type="dxa"/>
            <w:vMerge/>
          </w:tcPr>
          <w:p w:rsidR="00664C24" w:rsidRPr="0024512C" w:rsidRDefault="00664C24" w:rsidP="00FD32A9">
            <w:pPr>
              <w:spacing w:line="276" w:lineRule="auto"/>
              <w:jc w:val="center"/>
              <w:rPr>
                <w:rFonts w:asciiTheme="majorHAnsi" w:hAnsiTheme="majorHAnsi" w:cstheme="majorHAnsi"/>
                <w:sz w:val="20"/>
                <w:szCs w:val="20"/>
                <w:lang w:val="ro-MD" w:eastAsia="ru-RU"/>
              </w:rPr>
            </w:pPr>
          </w:p>
        </w:tc>
        <w:tc>
          <w:tcPr>
            <w:tcW w:w="1630" w:type="dxa"/>
            <w:vMerge/>
          </w:tcPr>
          <w:p w:rsidR="00664C24" w:rsidRPr="0024512C" w:rsidRDefault="00664C24" w:rsidP="00390B72">
            <w:pPr>
              <w:spacing w:line="276" w:lineRule="auto"/>
              <w:jc w:val="both"/>
              <w:rPr>
                <w:rFonts w:asciiTheme="majorHAnsi" w:hAnsiTheme="majorHAnsi" w:cstheme="majorHAnsi"/>
                <w:sz w:val="20"/>
                <w:szCs w:val="20"/>
                <w:lang w:val="ro-MD" w:eastAsia="ru-RU"/>
              </w:rPr>
            </w:pPr>
          </w:p>
        </w:tc>
        <w:tc>
          <w:tcPr>
            <w:tcW w:w="1320" w:type="dxa"/>
          </w:tcPr>
          <w:p w:rsidR="00664C24" w:rsidRPr="0024512C" w:rsidRDefault="00664C24" w:rsidP="00664C24">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101-122</w:t>
            </w:r>
          </w:p>
        </w:tc>
      </w:tr>
      <w:tr w:rsidR="00664C24" w:rsidRPr="0024512C" w:rsidTr="00664C24">
        <w:tc>
          <w:tcPr>
            <w:tcW w:w="1570" w:type="dxa"/>
            <w:vMerge/>
          </w:tcPr>
          <w:p w:rsidR="00664C24" w:rsidRPr="0024512C" w:rsidRDefault="00664C24" w:rsidP="00390B72">
            <w:pPr>
              <w:spacing w:line="276" w:lineRule="auto"/>
              <w:jc w:val="both"/>
              <w:rPr>
                <w:rFonts w:asciiTheme="majorHAnsi" w:hAnsiTheme="majorHAnsi" w:cstheme="majorHAnsi"/>
                <w:sz w:val="20"/>
                <w:szCs w:val="20"/>
                <w:lang w:val="ro-MD" w:eastAsia="ru-RU"/>
              </w:rPr>
            </w:pPr>
          </w:p>
        </w:tc>
        <w:tc>
          <w:tcPr>
            <w:tcW w:w="1588" w:type="dxa"/>
          </w:tcPr>
          <w:p w:rsidR="00664C24" w:rsidRPr="0024512C" w:rsidRDefault="00664C24" w:rsidP="00FD32A9">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1 787,11</w:t>
            </w:r>
          </w:p>
        </w:tc>
        <w:tc>
          <w:tcPr>
            <w:tcW w:w="1621" w:type="dxa"/>
          </w:tcPr>
          <w:p w:rsidR="00664C24" w:rsidRPr="0024512C" w:rsidRDefault="00664C24" w:rsidP="00390B72">
            <w:pPr>
              <w:spacing w:line="276" w:lineRule="auto"/>
              <w:jc w:val="both"/>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06-23.08.2018</w:t>
            </w:r>
          </w:p>
        </w:tc>
        <w:tc>
          <w:tcPr>
            <w:tcW w:w="1616" w:type="dxa"/>
            <w:vMerge/>
          </w:tcPr>
          <w:p w:rsidR="00664C24" w:rsidRPr="0024512C" w:rsidRDefault="00664C24" w:rsidP="00FD32A9">
            <w:pPr>
              <w:spacing w:line="276" w:lineRule="auto"/>
              <w:jc w:val="center"/>
              <w:rPr>
                <w:rFonts w:asciiTheme="majorHAnsi" w:hAnsiTheme="majorHAnsi" w:cstheme="majorHAnsi"/>
                <w:sz w:val="20"/>
                <w:szCs w:val="20"/>
                <w:lang w:val="ro-MD" w:eastAsia="ru-RU"/>
              </w:rPr>
            </w:pPr>
          </w:p>
        </w:tc>
        <w:tc>
          <w:tcPr>
            <w:tcW w:w="1630" w:type="dxa"/>
            <w:vMerge/>
          </w:tcPr>
          <w:p w:rsidR="00664C24" w:rsidRPr="0024512C" w:rsidRDefault="00664C24" w:rsidP="00390B72">
            <w:pPr>
              <w:spacing w:line="276" w:lineRule="auto"/>
              <w:jc w:val="both"/>
              <w:rPr>
                <w:rFonts w:asciiTheme="majorHAnsi" w:hAnsiTheme="majorHAnsi" w:cstheme="majorHAnsi"/>
                <w:sz w:val="20"/>
                <w:szCs w:val="20"/>
                <w:lang w:val="ro-MD" w:eastAsia="ru-RU"/>
              </w:rPr>
            </w:pPr>
          </w:p>
        </w:tc>
        <w:tc>
          <w:tcPr>
            <w:tcW w:w="1320" w:type="dxa"/>
          </w:tcPr>
          <w:p w:rsidR="00664C24" w:rsidRPr="0024512C" w:rsidRDefault="00664C24" w:rsidP="00664C24">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70-87</w:t>
            </w:r>
          </w:p>
        </w:tc>
      </w:tr>
      <w:tr w:rsidR="00664C24" w:rsidRPr="0024512C" w:rsidTr="00664C24">
        <w:tc>
          <w:tcPr>
            <w:tcW w:w="1570" w:type="dxa"/>
            <w:vMerge/>
          </w:tcPr>
          <w:p w:rsidR="00664C24" w:rsidRPr="0024512C" w:rsidRDefault="00664C24" w:rsidP="00390B72">
            <w:pPr>
              <w:spacing w:line="276" w:lineRule="auto"/>
              <w:jc w:val="both"/>
              <w:rPr>
                <w:rFonts w:asciiTheme="majorHAnsi" w:hAnsiTheme="majorHAnsi" w:cstheme="majorHAnsi"/>
                <w:sz w:val="20"/>
                <w:szCs w:val="20"/>
                <w:lang w:val="ro-MD" w:eastAsia="ru-RU"/>
              </w:rPr>
            </w:pPr>
          </w:p>
        </w:tc>
        <w:tc>
          <w:tcPr>
            <w:tcW w:w="1588" w:type="dxa"/>
          </w:tcPr>
          <w:p w:rsidR="00664C24" w:rsidRPr="0024512C" w:rsidRDefault="00664C24" w:rsidP="00FD32A9">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259,4</w:t>
            </w:r>
          </w:p>
        </w:tc>
        <w:tc>
          <w:tcPr>
            <w:tcW w:w="1621" w:type="dxa"/>
          </w:tcPr>
          <w:p w:rsidR="00664C24" w:rsidRPr="0024512C" w:rsidRDefault="00664C24" w:rsidP="00390B72">
            <w:pPr>
              <w:spacing w:line="276" w:lineRule="auto"/>
              <w:jc w:val="both"/>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05.09.2018</w:t>
            </w:r>
          </w:p>
        </w:tc>
        <w:tc>
          <w:tcPr>
            <w:tcW w:w="1616" w:type="dxa"/>
            <w:vMerge/>
          </w:tcPr>
          <w:p w:rsidR="00664C24" w:rsidRPr="0024512C" w:rsidRDefault="00664C24" w:rsidP="00FD32A9">
            <w:pPr>
              <w:spacing w:line="276" w:lineRule="auto"/>
              <w:jc w:val="center"/>
              <w:rPr>
                <w:rFonts w:asciiTheme="majorHAnsi" w:hAnsiTheme="majorHAnsi" w:cstheme="majorHAnsi"/>
                <w:sz w:val="20"/>
                <w:szCs w:val="20"/>
                <w:lang w:val="ro-MD" w:eastAsia="ru-RU"/>
              </w:rPr>
            </w:pPr>
          </w:p>
        </w:tc>
        <w:tc>
          <w:tcPr>
            <w:tcW w:w="1630" w:type="dxa"/>
            <w:vMerge/>
          </w:tcPr>
          <w:p w:rsidR="00664C24" w:rsidRPr="0024512C" w:rsidRDefault="00664C24" w:rsidP="00390B72">
            <w:pPr>
              <w:spacing w:line="276" w:lineRule="auto"/>
              <w:jc w:val="both"/>
              <w:rPr>
                <w:rFonts w:asciiTheme="majorHAnsi" w:hAnsiTheme="majorHAnsi" w:cstheme="majorHAnsi"/>
                <w:sz w:val="20"/>
                <w:szCs w:val="20"/>
                <w:lang w:val="ro-MD" w:eastAsia="ru-RU"/>
              </w:rPr>
            </w:pPr>
          </w:p>
        </w:tc>
        <w:tc>
          <w:tcPr>
            <w:tcW w:w="1320" w:type="dxa"/>
          </w:tcPr>
          <w:p w:rsidR="00664C24" w:rsidRPr="0024512C" w:rsidRDefault="00CF1949" w:rsidP="00664C24">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56</w:t>
            </w:r>
          </w:p>
        </w:tc>
      </w:tr>
      <w:tr w:rsidR="00664C24" w:rsidRPr="0024512C" w:rsidTr="00664C24">
        <w:tc>
          <w:tcPr>
            <w:tcW w:w="1570" w:type="dxa"/>
            <w:vMerge/>
          </w:tcPr>
          <w:p w:rsidR="00664C24" w:rsidRPr="0024512C" w:rsidRDefault="00664C24" w:rsidP="00390B72">
            <w:pPr>
              <w:spacing w:line="276" w:lineRule="auto"/>
              <w:jc w:val="both"/>
              <w:rPr>
                <w:rFonts w:asciiTheme="majorHAnsi" w:hAnsiTheme="majorHAnsi" w:cstheme="majorHAnsi"/>
                <w:sz w:val="20"/>
                <w:szCs w:val="20"/>
                <w:lang w:val="ro-MD" w:eastAsia="ru-RU"/>
              </w:rPr>
            </w:pPr>
          </w:p>
        </w:tc>
        <w:tc>
          <w:tcPr>
            <w:tcW w:w="1588" w:type="dxa"/>
          </w:tcPr>
          <w:p w:rsidR="00664C24" w:rsidRPr="0024512C" w:rsidRDefault="00664C24" w:rsidP="00FD32A9">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186 543,19</w:t>
            </w:r>
          </w:p>
        </w:tc>
        <w:tc>
          <w:tcPr>
            <w:tcW w:w="1621" w:type="dxa"/>
          </w:tcPr>
          <w:p w:rsidR="00664C24" w:rsidRPr="0024512C" w:rsidRDefault="00664C24" w:rsidP="00390B72">
            <w:pPr>
              <w:spacing w:line="276" w:lineRule="auto"/>
              <w:jc w:val="both"/>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03-31.10.2018</w:t>
            </w:r>
          </w:p>
        </w:tc>
        <w:tc>
          <w:tcPr>
            <w:tcW w:w="1616" w:type="dxa"/>
            <w:vMerge/>
          </w:tcPr>
          <w:p w:rsidR="00664C24" w:rsidRPr="0024512C" w:rsidRDefault="00664C24" w:rsidP="00FD32A9">
            <w:pPr>
              <w:spacing w:line="276" w:lineRule="auto"/>
              <w:jc w:val="center"/>
              <w:rPr>
                <w:rFonts w:asciiTheme="majorHAnsi" w:hAnsiTheme="majorHAnsi" w:cstheme="majorHAnsi"/>
                <w:sz w:val="20"/>
                <w:szCs w:val="20"/>
                <w:lang w:val="ro-MD" w:eastAsia="ru-RU"/>
              </w:rPr>
            </w:pPr>
          </w:p>
        </w:tc>
        <w:tc>
          <w:tcPr>
            <w:tcW w:w="1630" w:type="dxa"/>
            <w:vMerge/>
          </w:tcPr>
          <w:p w:rsidR="00664C24" w:rsidRPr="0024512C" w:rsidRDefault="00664C24" w:rsidP="00390B72">
            <w:pPr>
              <w:spacing w:line="276" w:lineRule="auto"/>
              <w:jc w:val="both"/>
              <w:rPr>
                <w:rFonts w:asciiTheme="majorHAnsi" w:hAnsiTheme="majorHAnsi" w:cstheme="majorHAnsi"/>
                <w:sz w:val="20"/>
                <w:szCs w:val="20"/>
                <w:lang w:val="ro-MD" w:eastAsia="ru-RU"/>
              </w:rPr>
            </w:pPr>
          </w:p>
        </w:tc>
        <w:tc>
          <w:tcPr>
            <w:tcW w:w="1320" w:type="dxa"/>
          </w:tcPr>
          <w:p w:rsidR="00664C24" w:rsidRPr="0024512C" w:rsidRDefault="00CF1949" w:rsidP="00664C24">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1-28</w:t>
            </w:r>
          </w:p>
        </w:tc>
      </w:tr>
      <w:tr w:rsidR="00664C24" w:rsidRPr="0024512C" w:rsidTr="00664C24">
        <w:tc>
          <w:tcPr>
            <w:tcW w:w="1570" w:type="dxa"/>
            <w:vMerge/>
          </w:tcPr>
          <w:p w:rsidR="00664C24" w:rsidRPr="0024512C" w:rsidRDefault="00664C24" w:rsidP="00390B72">
            <w:pPr>
              <w:spacing w:line="276" w:lineRule="auto"/>
              <w:jc w:val="both"/>
              <w:rPr>
                <w:rFonts w:asciiTheme="majorHAnsi" w:hAnsiTheme="majorHAnsi" w:cstheme="majorHAnsi"/>
                <w:sz w:val="20"/>
                <w:szCs w:val="20"/>
                <w:lang w:val="ro-MD" w:eastAsia="ru-RU"/>
              </w:rPr>
            </w:pPr>
          </w:p>
        </w:tc>
        <w:tc>
          <w:tcPr>
            <w:tcW w:w="1588" w:type="dxa"/>
          </w:tcPr>
          <w:p w:rsidR="00664C24" w:rsidRPr="0024512C" w:rsidRDefault="00664C24" w:rsidP="00FD32A9">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1 338,82</w:t>
            </w:r>
          </w:p>
        </w:tc>
        <w:tc>
          <w:tcPr>
            <w:tcW w:w="1621" w:type="dxa"/>
          </w:tcPr>
          <w:p w:rsidR="00664C24" w:rsidRPr="0024512C" w:rsidRDefault="00664C24" w:rsidP="00390B72">
            <w:pPr>
              <w:spacing w:line="276" w:lineRule="auto"/>
              <w:jc w:val="both"/>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12.11.2018</w:t>
            </w:r>
          </w:p>
        </w:tc>
        <w:tc>
          <w:tcPr>
            <w:tcW w:w="1616" w:type="dxa"/>
            <w:vMerge w:val="restart"/>
          </w:tcPr>
          <w:p w:rsidR="00664C24" w:rsidRPr="0024512C" w:rsidRDefault="00664C24" w:rsidP="00FD32A9">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25 220,7</w:t>
            </w:r>
          </w:p>
        </w:tc>
        <w:tc>
          <w:tcPr>
            <w:tcW w:w="1630" w:type="dxa"/>
            <w:vMerge w:val="restart"/>
          </w:tcPr>
          <w:p w:rsidR="00664C24" w:rsidRPr="0024512C" w:rsidRDefault="00664C24" w:rsidP="00390B72">
            <w:pPr>
              <w:spacing w:line="276" w:lineRule="auto"/>
              <w:jc w:val="both"/>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19.11.2019</w:t>
            </w:r>
          </w:p>
        </w:tc>
        <w:tc>
          <w:tcPr>
            <w:tcW w:w="1320" w:type="dxa"/>
          </w:tcPr>
          <w:p w:rsidR="00664C24" w:rsidRPr="0024512C" w:rsidRDefault="00CF1949" w:rsidP="00664C24">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371</w:t>
            </w:r>
          </w:p>
        </w:tc>
      </w:tr>
      <w:tr w:rsidR="00664C24" w:rsidRPr="0024512C" w:rsidTr="00664C24">
        <w:tc>
          <w:tcPr>
            <w:tcW w:w="1570" w:type="dxa"/>
            <w:vMerge/>
          </w:tcPr>
          <w:p w:rsidR="00664C24" w:rsidRPr="0024512C" w:rsidRDefault="00664C24" w:rsidP="00390B72">
            <w:pPr>
              <w:spacing w:line="276" w:lineRule="auto"/>
              <w:jc w:val="both"/>
              <w:rPr>
                <w:rFonts w:asciiTheme="majorHAnsi" w:hAnsiTheme="majorHAnsi" w:cstheme="majorHAnsi"/>
                <w:sz w:val="20"/>
                <w:szCs w:val="20"/>
                <w:lang w:val="ro-MD" w:eastAsia="ru-RU"/>
              </w:rPr>
            </w:pPr>
          </w:p>
        </w:tc>
        <w:tc>
          <w:tcPr>
            <w:tcW w:w="1588" w:type="dxa"/>
          </w:tcPr>
          <w:p w:rsidR="00664C24" w:rsidRPr="0024512C" w:rsidRDefault="00664C24" w:rsidP="00FD32A9">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23 881,88</w:t>
            </w:r>
          </w:p>
        </w:tc>
        <w:tc>
          <w:tcPr>
            <w:tcW w:w="1621" w:type="dxa"/>
          </w:tcPr>
          <w:p w:rsidR="00664C24" w:rsidRPr="0024512C" w:rsidRDefault="00664C24" w:rsidP="00390B72">
            <w:pPr>
              <w:spacing w:line="276" w:lineRule="auto"/>
              <w:jc w:val="both"/>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10-18.01.2019</w:t>
            </w:r>
          </w:p>
        </w:tc>
        <w:tc>
          <w:tcPr>
            <w:tcW w:w="1616" w:type="dxa"/>
            <w:vMerge/>
          </w:tcPr>
          <w:p w:rsidR="00664C24" w:rsidRPr="0024512C" w:rsidRDefault="00664C24" w:rsidP="00FD32A9">
            <w:pPr>
              <w:spacing w:line="276" w:lineRule="auto"/>
              <w:jc w:val="center"/>
              <w:rPr>
                <w:rFonts w:asciiTheme="majorHAnsi" w:hAnsiTheme="majorHAnsi" w:cstheme="majorHAnsi"/>
                <w:sz w:val="20"/>
                <w:szCs w:val="20"/>
                <w:lang w:val="ro-MD" w:eastAsia="ru-RU"/>
              </w:rPr>
            </w:pPr>
          </w:p>
        </w:tc>
        <w:tc>
          <w:tcPr>
            <w:tcW w:w="1630" w:type="dxa"/>
            <w:vMerge/>
          </w:tcPr>
          <w:p w:rsidR="00664C24" w:rsidRPr="0024512C" w:rsidRDefault="00664C24" w:rsidP="00390B72">
            <w:pPr>
              <w:spacing w:line="276" w:lineRule="auto"/>
              <w:jc w:val="both"/>
              <w:rPr>
                <w:rFonts w:asciiTheme="majorHAnsi" w:hAnsiTheme="majorHAnsi" w:cstheme="majorHAnsi"/>
                <w:sz w:val="20"/>
                <w:szCs w:val="20"/>
                <w:lang w:val="ro-MD" w:eastAsia="ru-RU"/>
              </w:rPr>
            </w:pPr>
          </w:p>
        </w:tc>
        <w:tc>
          <w:tcPr>
            <w:tcW w:w="1320" w:type="dxa"/>
          </w:tcPr>
          <w:p w:rsidR="00664C24" w:rsidRPr="0024512C" w:rsidRDefault="00CF1949" w:rsidP="00664C24">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304-312</w:t>
            </w:r>
          </w:p>
        </w:tc>
      </w:tr>
      <w:tr w:rsidR="00664C24" w:rsidRPr="0024512C" w:rsidTr="00664C24">
        <w:tc>
          <w:tcPr>
            <w:tcW w:w="1570" w:type="dxa"/>
          </w:tcPr>
          <w:p w:rsidR="00664C24" w:rsidRPr="005C74F5" w:rsidRDefault="002B41D4" w:rsidP="00390B72">
            <w:pPr>
              <w:spacing w:line="276" w:lineRule="auto"/>
              <w:jc w:val="both"/>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w:t>
            </w:r>
            <w:proofErr w:type="spellStart"/>
            <w:r w:rsidR="00664C24" w:rsidRPr="0024512C">
              <w:rPr>
                <w:rFonts w:asciiTheme="majorHAnsi" w:hAnsiTheme="majorHAnsi" w:cstheme="majorHAnsi"/>
                <w:sz w:val="20"/>
                <w:szCs w:val="20"/>
                <w:lang w:val="ro-MD" w:eastAsia="ru-RU"/>
              </w:rPr>
              <w:t>Vinia</w:t>
            </w:r>
            <w:proofErr w:type="spellEnd"/>
            <w:r w:rsidR="00664C24" w:rsidRPr="0024512C">
              <w:rPr>
                <w:rFonts w:asciiTheme="majorHAnsi" w:hAnsiTheme="majorHAnsi" w:cstheme="majorHAnsi"/>
                <w:sz w:val="20"/>
                <w:szCs w:val="20"/>
                <w:lang w:val="ro-MD" w:eastAsia="ru-RU"/>
              </w:rPr>
              <w:t xml:space="preserve"> </w:t>
            </w:r>
            <w:proofErr w:type="spellStart"/>
            <w:r w:rsidR="00664C24" w:rsidRPr="0024512C">
              <w:rPr>
                <w:rFonts w:asciiTheme="majorHAnsi" w:hAnsiTheme="majorHAnsi" w:cstheme="majorHAnsi"/>
                <w:sz w:val="20"/>
                <w:szCs w:val="20"/>
                <w:lang w:val="ro-MD" w:eastAsia="ru-RU"/>
              </w:rPr>
              <w:t>Denovi</w:t>
            </w:r>
            <w:proofErr w:type="spellEnd"/>
            <w:r w:rsidRPr="005C74F5">
              <w:rPr>
                <w:rFonts w:asciiTheme="majorHAnsi" w:hAnsiTheme="majorHAnsi" w:cstheme="majorHAnsi"/>
                <w:sz w:val="20"/>
                <w:szCs w:val="20"/>
                <w:lang w:val="ro-MD" w:eastAsia="ru-RU"/>
              </w:rPr>
              <w:t>”</w:t>
            </w:r>
            <w:r w:rsidR="00664C24" w:rsidRPr="005C74F5">
              <w:rPr>
                <w:rFonts w:asciiTheme="majorHAnsi" w:hAnsiTheme="majorHAnsi" w:cstheme="majorHAnsi"/>
                <w:sz w:val="20"/>
                <w:szCs w:val="20"/>
                <w:lang w:val="ro-MD" w:eastAsia="ru-RU"/>
              </w:rPr>
              <w:t xml:space="preserve"> SRL</w:t>
            </w:r>
          </w:p>
        </w:tc>
        <w:tc>
          <w:tcPr>
            <w:tcW w:w="1588" w:type="dxa"/>
          </w:tcPr>
          <w:p w:rsidR="00664C24" w:rsidRPr="0024512C" w:rsidRDefault="00664C24" w:rsidP="00FD32A9">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2 163 533,44</w:t>
            </w:r>
          </w:p>
        </w:tc>
        <w:tc>
          <w:tcPr>
            <w:tcW w:w="1621" w:type="dxa"/>
          </w:tcPr>
          <w:p w:rsidR="00664C24" w:rsidRPr="0024512C" w:rsidRDefault="00664C24" w:rsidP="00390B72">
            <w:pPr>
              <w:spacing w:line="276" w:lineRule="auto"/>
              <w:jc w:val="both"/>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04.06.2018</w:t>
            </w:r>
          </w:p>
        </w:tc>
        <w:tc>
          <w:tcPr>
            <w:tcW w:w="1616" w:type="dxa"/>
          </w:tcPr>
          <w:p w:rsidR="00664C24" w:rsidRPr="0024512C" w:rsidRDefault="00664C24" w:rsidP="00FD32A9">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2 163 533,44</w:t>
            </w:r>
          </w:p>
        </w:tc>
        <w:tc>
          <w:tcPr>
            <w:tcW w:w="1630" w:type="dxa"/>
          </w:tcPr>
          <w:p w:rsidR="00664C24" w:rsidRPr="0024512C" w:rsidRDefault="00664C24" w:rsidP="00390B72">
            <w:pPr>
              <w:spacing w:line="276" w:lineRule="auto"/>
              <w:jc w:val="both"/>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01.11.2018</w:t>
            </w:r>
          </w:p>
        </w:tc>
        <w:tc>
          <w:tcPr>
            <w:tcW w:w="1320" w:type="dxa"/>
          </w:tcPr>
          <w:p w:rsidR="00664C24" w:rsidRPr="0024512C" w:rsidRDefault="00CF1949" w:rsidP="00664C24">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149</w:t>
            </w:r>
          </w:p>
        </w:tc>
      </w:tr>
      <w:tr w:rsidR="00664C24" w:rsidRPr="0024512C" w:rsidTr="00664C24">
        <w:tc>
          <w:tcPr>
            <w:tcW w:w="1570" w:type="dxa"/>
          </w:tcPr>
          <w:p w:rsidR="00664C24" w:rsidRPr="005C74F5" w:rsidRDefault="002B41D4" w:rsidP="00390B72">
            <w:pPr>
              <w:spacing w:line="276" w:lineRule="auto"/>
              <w:jc w:val="both"/>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w:t>
            </w:r>
            <w:r w:rsidR="00664C24" w:rsidRPr="0024512C">
              <w:rPr>
                <w:rFonts w:asciiTheme="majorHAnsi" w:hAnsiTheme="majorHAnsi" w:cstheme="majorHAnsi"/>
                <w:sz w:val="20"/>
                <w:szCs w:val="20"/>
                <w:lang w:val="ro-MD" w:eastAsia="ru-RU"/>
              </w:rPr>
              <w:t>Vinăria Țiganca</w:t>
            </w:r>
            <w:r w:rsidRPr="005C74F5">
              <w:rPr>
                <w:rFonts w:asciiTheme="majorHAnsi" w:hAnsiTheme="majorHAnsi" w:cstheme="majorHAnsi"/>
                <w:sz w:val="20"/>
                <w:szCs w:val="20"/>
                <w:lang w:val="ro-MD" w:eastAsia="ru-RU"/>
              </w:rPr>
              <w:t>”</w:t>
            </w:r>
            <w:r w:rsidR="00664C24" w:rsidRPr="005C74F5">
              <w:rPr>
                <w:rFonts w:asciiTheme="majorHAnsi" w:hAnsiTheme="majorHAnsi" w:cstheme="majorHAnsi"/>
                <w:sz w:val="20"/>
                <w:szCs w:val="20"/>
                <w:lang w:val="ro-MD" w:eastAsia="ru-RU"/>
              </w:rPr>
              <w:t xml:space="preserve"> SRL</w:t>
            </w:r>
          </w:p>
        </w:tc>
        <w:tc>
          <w:tcPr>
            <w:tcW w:w="1588" w:type="dxa"/>
          </w:tcPr>
          <w:p w:rsidR="00664C24" w:rsidRPr="0024512C" w:rsidRDefault="00664C24" w:rsidP="00FD32A9">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75 000,0</w:t>
            </w:r>
          </w:p>
        </w:tc>
        <w:tc>
          <w:tcPr>
            <w:tcW w:w="1621" w:type="dxa"/>
          </w:tcPr>
          <w:p w:rsidR="00664C24" w:rsidRPr="0024512C" w:rsidRDefault="00664C24" w:rsidP="00390B72">
            <w:pPr>
              <w:spacing w:line="276" w:lineRule="auto"/>
              <w:jc w:val="both"/>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26.11.2018</w:t>
            </w:r>
          </w:p>
        </w:tc>
        <w:tc>
          <w:tcPr>
            <w:tcW w:w="1616" w:type="dxa"/>
          </w:tcPr>
          <w:p w:rsidR="00664C24" w:rsidRPr="0024512C" w:rsidRDefault="00664C24" w:rsidP="00FD32A9">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75 000,0</w:t>
            </w:r>
          </w:p>
        </w:tc>
        <w:tc>
          <w:tcPr>
            <w:tcW w:w="1630" w:type="dxa"/>
          </w:tcPr>
          <w:p w:rsidR="00664C24" w:rsidRPr="0024512C" w:rsidRDefault="00664C24" w:rsidP="00390B72">
            <w:pPr>
              <w:spacing w:line="276" w:lineRule="auto"/>
              <w:jc w:val="both"/>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19.11.2019</w:t>
            </w:r>
          </w:p>
        </w:tc>
        <w:tc>
          <w:tcPr>
            <w:tcW w:w="1320" w:type="dxa"/>
          </w:tcPr>
          <w:p w:rsidR="00664C24" w:rsidRPr="0024512C" w:rsidRDefault="00CF1949" w:rsidP="00664C24">
            <w:pPr>
              <w:spacing w:line="276" w:lineRule="auto"/>
              <w:jc w:val="center"/>
              <w:rPr>
                <w:rFonts w:asciiTheme="majorHAnsi" w:hAnsiTheme="majorHAnsi" w:cstheme="majorHAnsi"/>
                <w:sz w:val="20"/>
                <w:szCs w:val="20"/>
                <w:lang w:val="ro-MD" w:eastAsia="ru-RU"/>
              </w:rPr>
            </w:pPr>
            <w:r w:rsidRPr="0024512C">
              <w:rPr>
                <w:rFonts w:asciiTheme="majorHAnsi" w:hAnsiTheme="majorHAnsi" w:cstheme="majorHAnsi"/>
                <w:sz w:val="20"/>
                <w:szCs w:val="20"/>
                <w:lang w:val="ro-MD" w:eastAsia="ru-RU"/>
              </w:rPr>
              <w:t>357</w:t>
            </w:r>
          </w:p>
        </w:tc>
      </w:tr>
      <w:tr w:rsidR="00664C24" w:rsidRPr="0024512C" w:rsidTr="00664C24">
        <w:tc>
          <w:tcPr>
            <w:tcW w:w="1570" w:type="dxa"/>
          </w:tcPr>
          <w:p w:rsidR="00664C24" w:rsidRPr="0024512C" w:rsidRDefault="00664C24" w:rsidP="00390B72">
            <w:pPr>
              <w:spacing w:line="276" w:lineRule="auto"/>
              <w:jc w:val="both"/>
              <w:rPr>
                <w:rFonts w:asciiTheme="majorHAnsi" w:hAnsiTheme="majorHAnsi" w:cstheme="majorHAnsi"/>
                <w:b/>
                <w:sz w:val="20"/>
                <w:szCs w:val="20"/>
                <w:lang w:val="ro-MD" w:eastAsia="ru-RU"/>
              </w:rPr>
            </w:pPr>
            <w:r w:rsidRPr="0024512C">
              <w:rPr>
                <w:rFonts w:asciiTheme="majorHAnsi" w:hAnsiTheme="majorHAnsi" w:cstheme="majorHAnsi"/>
                <w:b/>
                <w:sz w:val="20"/>
                <w:szCs w:val="20"/>
                <w:lang w:val="ro-MD" w:eastAsia="ru-RU"/>
              </w:rPr>
              <w:t>Total</w:t>
            </w:r>
          </w:p>
        </w:tc>
        <w:tc>
          <w:tcPr>
            <w:tcW w:w="1588" w:type="dxa"/>
          </w:tcPr>
          <w:p w:rsidR="00664C24" w:rsidRPr="005C74F5" w:rsidRDefault="00664C24" w:rsidP="00FD32A9">
            <w:pPr>
              <w:spacing w:line="276" w:lineRule="auto"/>
              <w:jc w:val="center"/>
              <w:rPr>
                <w:rFonts w:asciiTheme="majorHAnsi" w:hAnsiTheme="majorHAnsi" w:cstheme="majorHAnsi"/>
                <w:b/>
                <w:sz w:val="20"/>
                <w:szCs w:val="20"/>
                <w:lang w:val="ro-MD" w:eastAsia="ru-RU"/>
              </w:rPr>
            </w:pPr>
            <w:r w:rsidRPr="005C74F5">
              <w:rPr>
                <w:rFonts w:asciiTheme="majorHAnsi" w:hAnsiTheme="majorHAnsi" w:cstheme="majorHAnsi"/>
                <w:b/>
                <w:sz w:val="20"/>
                <w:szCs w:val="20"/>
                <w:lang w:val="ro-MD" w:eastAsia="ru-RU"/>
              </w:rPr>
              <w:t>2 517 676,43</w:t>
            </w:r>
          </w:p>
        </w:tc>
        <w:tc>
          <w:tcPr>
            <w:tcW w:w="1621" w:type="dxa"/>
          </w:tcPr>
          <w:p w:rsidR="00664C24" w:rsidRPr="0024512C" w:rsidRDefault="00664C24" w:rsidP="00390B72">
            <w:pPr>
              <w:spacing w:line="276" w:lineRule="auto"/>
              <w:jc w:val="both"/>
              <w:rPr>
                <w:rFonts w:asciiTheme="majorHAnsi" w:hAnsiTheme="majorHAnsi" w:cstheme="majorHAnsi"/>
                <w:b/>
                <w:sz w:val="20"/>
                <w:szCs w:val="20"/>
                <w:lang w:val="ro-MD" w:eastAsia="ru-RU"/>
              </w:rPr>
            </w:pPr>
          </w:p>
        </w:tc>
        <w:tc>
          <w:tcPr>
            <w:tcW w:w="1616" w:type="dxa"/>
          </w:tcPr>
          <w:p w:rsidR="00664C24" w:rsidRPr="0024512C" w:rsidRDefault="00664C24" w:rsidP="00FD32A9">
            <w:pPr>
              <w:spacing w:line="276" w:lineRule="auto"/>
              <w:jc w:val="center"/>
              <w:rPr>
                <w:rFonts w:asciiTheme="majorHAnsi" w:hAnsiTheme="majorHAnsi" w:cstheme="majorHAnsi"/>
                <w:b/>
                <w:sz w:val="20"/>
                <w:szCs w:val="20"/>
                <w:lang w:val="ro-MD" w:eastAsia="ru-RU"/>
              </w:rPr>
            </w:pPr>
            <w:r w:rsidRPr="0024512C">
              <w:rPr>
                <w:rFonts w:asciiTheme="majorHAnsi" w:hAnsiTheme="majorHAnsi" w:cstheme="majorHAnsi"/>
                <w:b/>
                <w:sz w:val="20"/>
                <w:szCs w:val="20"/>
                <w:lang w:val="ro-MD" w:eastAsia="ru-RU"/>
              </w:rPr>
              <w:t>2 517 676,43</w:t>
            </w:r>
          </w:p>
        </w:tc>
        <w:tc>
          <w:tcPr>
            <w:tcW w:w="1630" w:type="dxa"/>
          </w:tcPr>
          <w:p w:rsidR="00664C24" w:rsidRPr="0024512C" w:rsidRDefault="00664C24" w:rsidP="00390B72">
            <w:pPr>
              <w:spacing w:line="276" w:lineRule="auto"/>
              <w:jc w:val="both"/>
              <w:rPr>
                <w:rFonts w:asciiTheme="majorHAnsi" w:hAnsiTheme="majorHAnsi" w:cstheme="majorHAnsi"/>
                <w:b/>
                <w:sz w:val="20"/>
                <w:szCs w:val="20"/>
                <w:lang w:val="ro-MD" w:eastAsia="ru-RU"/>
              </w:rPr>
            </w:pPr>
          </w:p>
        </w:tc>
        <w:tc>
          <w:tcPr>
            <w:tcW w:w="1320" w:type="dxa"/>
          </w:tcPr>
          <w:p w:rsidR="00664C24" w:rsidRPr="0024512C" w:rsidRDefault="00664C24" w:rsidP="00390B72">
            <w:pPr>
              <w:spacing w:line="276" w:lineRule="auto"/>
              <w:jc w:val="both"/>
              <w:rPr>
                <w:rFonts w:asciiTheme="majorHAnsi" w:hAnsiTheme="majorHAnsi" w:cstheme="majorHAnsi"/>
                <w:b/>
                <w:sz w:val="20"/>
                <w:szCs w:val="20"/>
                <w:lang w:val="ro-MD" w:eastAsia="ru-RU"/>
              </w:rPr>
            </w:pPr>
          </w:p>
        </w:tc>
      </w:tr>
    </w:tbl>
    <w:p w:rsidR="001442FC" w:rsidRPr="005C74F5" w:rsidRDefault="001442FC" w:rsidP="001442FC">
      <w:pPr>
        <w:spacing w:line="276" w:lineRule="auto"/>
        <w:jc w:val="both"/>
        <w:rPr>
          <w:rFonts w:asciiTheme="majorHAnsi" w:hAnsiTheme="majorHAnsi" w:cstheme="majorHAnsi"/>
          <w:i/>
          <w:sz w:val="20"/>
          <w:szCs w:val="20"/>
          <w:lang w:val="ro-MD" w:eastAsia="ru-RU"/>
        </w:rPr>
      </w:pPr>
      <w:r w:rsidRPr="0024512C">
        <w:rPr>
          <w:rFonts w:asciiTheme="majorHAnsi" w:hAnsiTheme="majorHAnsi" w:cstheme="majorHAnsi"/>
          <w:b/>
          <w:i/>
          <w:sz w:val="20"/>
          <w:szCs w:val="20"/>
          <w:lang w:val="ro-MD" w:eastAsia="ru-RU"/>
        </w:rPr>
        <w:t>Sursa:</w:t>
      </w:r>
      <w:r w:rsidRPr="0024512C">
        <w:rPr>
          <w:rFonts w:asciiTheme="majorHAnsi" w:hAnsiTheme="majorHAnsi" w:cstheme="majorHAnsi"/>
          <w:i/>
          <w:sz w:val="20"/>
          <w:szCs w:val="20"/>
          <w:lang w:val="ro-MD" w:eastAsia="ru-RU"/>
        </w:rPr>
        <w:t xml:space="preserve"> Raportul DLC referitor la sumele încasate de la Trezoreria de Stat conform dispozițiilor Incaso pe beneficiarii Filiera de Vin – Struguri și transferate la DLC</w:t>
      </w:r>
      <w:r w:rsidR="00263854">
        <w:rPr>
          <w:rFonts w:asciiTheme="majorHAnsi" w:hAnsiTheme="majorHAnsi" w:cstheme="majorHAnsi"/>
          <w:i/>
          <w:sz w:val="20"/>
          <w:szCs w:val="20"/>
          <w:lang w:val="ro-MD" w:eastAsia="ru-RU"/>
        </w:rPr>
        <w:t>,</w:t>
      </w:r>
      <w:r w:rsidRPr="0024512C">
        <w:rPr>
          <w:rFonts w:asciiTheme="majorHAnsi" w:hAnsiTheme="majorHAnsi" w:cstheme="majorHAnsi"/>
          <w:i/>
          <w:sz w:val="20"/>
          <w:szCs w:val="20"/>
          <w:lang w:val="ro-MD" w:eastAsia="ru-RU"/>
        </w:rPr>
        <w:t xml:space="preserve"> la situația din 31.12.2019.</w:t>
      </w:r>
    </w:p>
    <w:p w:rsidR="00D53877" w:rsidRPr="0024512C" w:rsidRDefault="00EA5FC1" w:rsidP="00442187">
      <w:pPr>
        <w:spacing w:line="276" w:lineRule="auto"/>
        <w:jc w:val="both"/>
        <w:rPr>
          <w:rFonts w:ascii="Calibri Light" w:hAnsi="Calibri Light" w:cs="Calibri Light"/>
          <w:bCs/>
          <w:sz w:val="24"/>
          <w:szCs w:val="24"/>
          <w:lang w:val="ro-MD"/>
        </w:rPr>
      </w:pPr>
      <w:r w:rsidRPr="005C74F5">
        <w:rPr>
          <w:rFonts w:asciiTheme="majorHAnsi" w:hAnsiTheme="majorHAnsi" w:cstheme="majorHAnsi"/>
          <w:sz w:val="24"/>
          <w:szCs w:val="24"/>
          <w:lang w:val="ro-MD" w:eastAsia="ru-RU"/>
        </w:rPr>
        <w:t>Î</w:t>
      </w:r>
      <w:r w:rsidR="00D53877" w:rsidRPr="00642BEC">
        <w:rPr>
          <w:rFonts w:asciiTheme="majorHAnsi" w:hAnsiTheme="majorHAnsi" w:cstheme="majorHAnsi"/>
          <w:sz w:val="24"/>
          <w:szCs w:val="24"/>
          <w:lang w:val="ro-MD" w:eastAsia="ru-RU"/>
        </w:rPr>
        <w:t xml:space="preserve">n </w:t>
      </w:r>
      <w:r w:rsidRPr="00642BEC">
        <w:rPr>
          <w:rFonts w:asciiTheme="majorHAnsi" w:hAnsiTheme="majorHAnsi" w:cstheme="majorHAnsi"/>
          <w:sz w:val="24"/>
          <w:szCs w:val="24"/>
          <w:lang w:val="ro-MD" w:eastAsia="ru-RU"/>
        </w:rPr>
        <w:t>Componentele</w:t>
      </w:r>
      <w:r w:rsidR="00D53877" w:rsidRPr="00263854">
        <w:rPr>
          <w:rFonts w:asciiTheme="majorHAnsi" w:hAnsiTheme="majorHAnsi" w:cstheme="majorHAnsi"/>
          <w:sz w:val="24"/>
          <w:szCs w:val="24"/>
          <w:lang w:val="ro-MD" w:eastAsia="ru-RU"/>
        </w:rPr>
        <w:t xml:space="preserve"> </w:t>
      </w:r>
      <w:r w:rsidRPr="00263854">
        <w:rPr>
          <w:rFonts w:asciiTheme="majorHAnsi" w:hAnsiTheme="majorHAnsi" w:cstheme="majorHAnsi"/>
          <w:sz w:val="24"/>
          <w:szCs w:val="24"/>
          <w:lang w:val="ro-MD" w:eastAsia="ru-RU"/>
        </w:rPr>
        <w:t>„Leasing”</w:t>
      </w:r>
      <w:r w:rsidR="00D53877" w:rsidRPr="00263854">
        <w:rPr>
          <w:rFonts w:asciiTheme="majorHAnsi" w:hAnsiTheme="majorHAnsi" w:cstheme="majorHAnsi"/>
          <w:sz w:val="24"/>
          <w:szCs w:val="24"/>
          <w:lang w:val="ro-MD" w:eastAsia="ru-RU"/>
        </w:rPr>
        <w:t xml:space="preserve"> </w:t>
      </w:r>
      <w:r w:rsidRPr="00263854">
        <w:rPr>
          <w:rFonts w:asciiTheme="majorHAnsi" w:hAnsiTheme="majorHAnsi" w:cstheme="majorHAnsi"/>
          <w:sz w:val="24"/>
          <w:szCs w:val="24"/>
          <w:lang w:val="ro-MD" w:eastAsia="ru-RU"/>
        </w:rPr>
        <w:t xml:space="preserve">din cadrul </w:t>
      </w:r>
      <w:r w:rsidRPr="00263854">
        <w:rPr>
          <w:rFonts w:ascii="Calibri Light" w:hAnsi="Calibri Light" w:cs="Calibri Light"/>
          <w:bCs/>
          <w:sz w:val="24"/>
          <w:szCs w:val="24"/>
          <w:lang w:val="ro-MD"/>
        </w:rPr>
        <w:t>Programului de restructurare a sectorului vitivinicol</w:t>
      </w:r>
      <w:r w:rsidR="00442187" w:rsidRPr="00263854">
        <w:rPr>
          <w:rFonts w:asciiTheme="majorHAnsi" w:hAnsiTheme="majorHAnsi" w:cstheme="majorHAnsi"/>
          <w:sz w:val="24"/>
          <w:szCs w:val="24"/>
          <w:lang w:val="ro-MD" w:eastAsia="ru-RU"/>
        </w:rPr>
        <w:t xml:space="preserve"> și  </w:t>
      </w:r>
      <w:r w:rsidRPr="00263854">
        <w:rPr>
          <w:rFonts w:asciiTheme="majorHAnsi" w:hAnsiTheme="majorHAnsi" w:cstheme="majorHAnsi"/>
          <w:sz w:val="24"/>
          <w:szCs w:val="24"/>
          <w:lang w:val="ro-MD" w:eastAsia="ru-RU"/>
        </w:rPr>
        <w:t xml:space="preserve"> </w:t>
      </w:r>
      <w:r w:rsidR="00442187" w:rsidRPr="0024512C">
        <w:rPr>
          <w:rFonts w:ascii="Calibri Light" w:hAnsi="Calibri Light" w:cs="Calibri Light"/>
          <w:bCs/>
          <w:sz w:val="24"/>
          <w:szCs w:val="24"/>
          <w:lang w:val="ro-MD"/>
        </w:rPr>
        <w:t>Proiectului „Livada Moldovei”</w:t>
      </w:r>
      <w:r w:rsidR="00442187" w:rsidRPr="0024512C">
        <w:rPr>
          <w:rFonts w:asciiTheme="majorHAnsi" w:hAnsiTheme="majorHAnsi" w:cstheme="majorHAnsi"/>
          <w:sz w:val="24"/>
          <w:szCs w:val="24"/>
          <w:lang w:val="ro-MD" w:eastAsia="ru-RU"/>
        </w:rPr>
        <w:t xml:space="preserve"> </w:t>
      </w:r>
      <w:r w:rsidR="00D53877" w:rsidRPr="0024512C">
        <w:rPr>
          <w:rFonts w:asciiTheme="majorHAnsi" w:hAnsiTheme="majorHAnsi" w:cstheme="majorHAnsi"/>
          <w:sz w:val="24"/>
          <w:szCs w:val="24"/>
          <w:lang w:val="ro-MD" w:eastAsia="ru-RU"/>
        </w:rPr>
        <w:t>au fost finanțați 5 beneficiari</w:t>
      </w:r>
      <w:r w:rsidR="002B41D4" w:rsidRPr="0024512C">
        <w:rPr>
          <w:rFonts w:asciiTheme="majorHAnsi" w:hAnsiTheme="majorHAnsi" w:cstheme="majorHAnsi"/>
          <w:sz w:val="24"/>
          <w:szCs w:val="24"/>
          <w:lang w:val="ro-MD" w:eastAsia="ru-RU"/>
        </w:rPr>
        <w:t>,</w:t>
      </w:r>
      <w:r w:rsidR="00D53877" w:rsidRPr="0024512C">
        <w:rPr>
          <w:rFonts w:asciiTheme="majorHAnsi" w:hAnsiTheme="majorHAnsi" w:cstheme="majorHAnsi"/>
          <w:sz w:val="24"/>
          <w:szCs w:val="24"/>
          <w:lang w:val="ro-MD" w:eastAsia="ru-RU"/>
        </w:rPr>
        <w:t xml:space="preserve"> în sumă de 1,2 mil.</w:t>
      </w:r>
      <w:r w:rsidRPr="0024512C">
        <w:rPr>
          <w:rFonts w:asciiTheme="majorHAnsi" w:hAnsiTheme="majorHAnsi" w:cstheme="majorHAnsi"/>
          <w:sz w:val="24"/>
          <w:szCs w:val="24"/>
          <w:lang w:val="ro-MD" w:eastAsia="ru-RU"/>
        </w:rPr>
        <w:t xml:space="preserve"> </w:t>
      </w:r>
      <w:r w:rsidR="00442187" w:rsidRPr="0024512C">
        <w:rPr>
          <w:rFonts w:asciiTheme="majorHAnsi" w:hAnsiTheme="majorHAnsi" w:cstheme="majorHAnsi"/>
          <w:sz w:val="24"/>
          <w:szCs w:val="24"/>
          <w:lang w:val="ro-MD" w:eastAsia="ru-RU"/>
        </w:rPr>
        <w:t>euro și, respectiv 3 beneficiari</w:t>
      </w:r>
      <w:r w:rsidR="002B41D4" w:rsidRPr="0024512C">
        <w:rPr>
          <w:rFonts w:asciiTheme="majorHAnsi" w:hAnsiTheme="majorHAnsi" w:cstheme="majorHAnsi"/>
          <w:sz w:val="24"/>
          <w:szCs w:val="24"/>
          <w:lang w:val="ro-MD" w:eastAsia="ru-RU"/>
        </w:rPr>
        <w:t>,</w:t>
      </w:r>
      <w:r w:rsidR="00442187" w:rsidRPr="0024512C">
        <w:rPr>
          <w:rFonts w:asciiTheme="majorHAnsi" w:hAnsiTheme="majorHAnsi" w:cstheme="majorHAnsi"/>
          <w:sz w:val="24"/>
          <w:szCs w:val="24"/>
          <w:lang w:val="ro-MD" w:eastAsia="ru-RU"/>
        </w:rPr>
        <w:t xml:space="preserve"> în sumă de 1,15 mil. euro.</w:t>
      </w:r>
      <w:r w:rsidR="00D53877" w:rsidRPr="0024512C">
        <w:rPr>
          <w:rFonts w:asciiTheme="majorHAnsi" w:hAnsiTheme="majorHAnsi" w:cstheme="majorHAnsi"/>
          <w:sz w:val="24"/>
          <w:szCs w:val="24"/>
          <w:lang w:val="ro-MD" w:eastAsia="ru-RU"/>
        </w:rPr>
        <w:t xml:space="preserve"> </w:t>
      </w:r>
      <w:r w:rsidRPr="0024512C">
        <w:rPr>
          <w:rFonts w:asciiTheme="majorHAnsi" w:hAnsiTheme="majorHAnsi" w:cstheme="majorHAnsi"/>
          <w:sz w:val="24"/>
          <w:szCs w:val="24"/>
          <w:lang w:val="ro-MD" w:eastAsia="ru-RU"/>
        </w:rPr>
        <w:t>Verificările auditului au stabilit că p</w:t>
      </w:r>
      <w:r w:rsidR="00D53877" w:rsidRPr="0024512C">
        <w:rPr>
          <w:rFonts w:asciiTheme="majorHAnsi" w:hAnsiTheme="majorHAnsi" w:cstheme="majorHAnsi"/>
          <w:sz w:val="24"/>
          <w:szCs w:val="24"/>
          <w:lang w:val="ro-MD" w:eastAsia="ru-RU"/>
        </w:rPr>
        <w:t xml:space="preserve">rocesul de monitorizare a plăților și a rambursărilor </w:t>
      </w:r>
      <w:r w:rsidR="00442187" w:rsidRPr="0024512C">
        <w:rPr>
          <w:rFonts w:asciiTheme="majorHAnsi" w:hAnsiTheme="majorHAnsi" w:cstheme="majorHAnsi"/>
          <w:sz w:val="24"/>
          <w:szCs w:val="24"/>
          <w:lang w:val="ro-MD" w:eastAsia="ru-RU"/>
        </w:rPr>
        <w:t xml:space="preserve">pentru acești beneficiari </w:t>
      </w:r>
      <w:r w:rsidR="00D53877" w:rsidRPr="0024512C">
        <w:rPr>
          <w:rFonts w:asciiTheme="majorHAnsi" w:hAnsiTheme="majorHAnsi" w:cstheme="majorHAnsi"/>
          <w:sz w:val="24"/>
          <w:szCs w:val="24"/>
          <w:lang w:val="ro-MD" w:eastAsia="ru-RU"/>
        </w:rPr>
        <w:t xml:space="preserve">a fost transferat de către MF în responsabilitatea DLC. Astfel, conform situației din 31.12.2019, soldul datoriei beneficiarilor </w:t>
      </w:r>
      <w:r w:rsidR="00442187" w:rsidRPr="0024512C">
        <w:rPr>
          <w:rFonts w:ascii="Calibri Light" w:hAnsi="Calibri Light" w:cs="Calibri Light"/>
          <w:bCs/>
          <w:sz w:val="24"/>
          <w:szCs w:val="24"/>
          <w:lang w:val="ro-MD"/>
        </w:rPr>
        <w:t>Programului de restructurare a sectorului vitivinicol</w:t>
      </w:r>
      <w:r w:rsidR="00442187" w:rsidRPr="0024512C">
        <w:rPr>
          <w:rFonts w:asciiTheme="majorHAnsi" w:hAnsiTheme="majorHAnsi" w:cstheme="majorHAnsi"/>
          <w:sz w:val="24"/>
          <w:szCs w:val="24"/>
          <w:lang w:val="ro-MD" w:eastAsia="ru-RU"/>
        </w:rPr>
        <w:t xml:space="preserve"> </w:t>
      </w:r>
      <w:r w:rsidR="002B41D4" w:rsidRPr="0024512C">
        <w:rPr>
          <w:rFonts w:asciiTheme="majorHAnsi" w:hAnsiTheme="majorHAnsi" w:cstheme="majorHAnsi"/>
          <w:sz w:val="24"/>
          <w:szCs w:val="24"/>
          <w:lang w:val="ro-MD" w:eastAsia="ru-RU"/>
        </w:rPr>
        <w:t>constituia</w:t>
      </w:r>
      <w:r w:rsidR="00032AE3" w:rsidRPr="0024512C">
        <w:rPr>
          <w:rFonts w:asciiTheme="majorHAnsi" w:hAnsiTheme="majorHAnsi" w:cstheme="majorHAnsi"/>
          <w:sz w:val="24"/>
          <w:szCs w:val="24"/>
          <w:lang w:val="ro-MD" w:eastAsia="ru-RU"/>
        </w:rPr>
        <w:t xml:space="preserve"> 0,14</w:t>
      </w:r>
      <w:r w:rsidR="00D53877" w:rsidRPr="0024512C">
        <w:rPr>
          <w:rFonts w:asciiTheme="majorHAnsi" w:hAnsiTheme="majorHAnsi" w:cstheme="majorHAnsi"/>
          <w:sz w:val="24"/>
          <w:szCs w:val="24"/>
          <w:lang w:val="ro-MD" w:eastAsia="ru-RU"/>
        </w:rPr>
        <w:t xml:space="preserve"> mil.</w:t>
      </w:r>
      <w:r w:rsidRPr="0024512C">
        <w:rPr>
          <w:rFonts w:asciiTheme="majorHAnsi" w:hAnsiTheme="majorHAnsi" w:cstheme="majorHAnsi"/>
          <w:sz w:val="24"/>
          <w:szCs w:val="24"/>
          <w:lang w:val="ro-MD" w:eastAsia="ru-RU"/>
        </w:rPr>
        <w:t xml:space="preserve"> </w:t>
      </w:r>
      <w:r w:rsidR="00442187" w:rsidRPr="0024512C">
        <w:rPr>
          <w:rFonts w:asciiTheme="majorHAnsi" w:hAnsiTheme="majorHAnsi" w:cstheme="majorHAnsi"/>
          <w:sz w:val="24"/>
          <w:szCs w:val="24"/>
          <w:lang w:val="ro-MD" w:eastAsia="ru-RU"/>
        </w:rPr>
        <w:t xml:space="preserve">euro și a beneficiarilor </w:t>
      </w:r>
      <w:r w:rsidR="00442187" w:rsidRPr="0024512C">
        <w:rPr>
          <w:rFonts w:ascii="Calibri Light" w:hAnsi="Calibri Light" w:cs="Calibri Light"/>
          <w:bCs/>
          <w:sz w:val="24"/>
          <w:szCs w:val="24"/>
          <w:lang w:val="ro-MD"/>
        </w:rPr>
        <w:t>Proiectului „Livada Moldovei” – 973,5 mii euro.</w:t>
      </w:r>
    </w:p>
    <w:p w:rsidR="00415DC7" w:rsidRPr="0024512C" w:rsidRDefault="006F70FB" w:rsidP="00805CC0">
      <w:pPr>
        <w:pStyle w:val="ListParagraph"/>
        <w:numPr>
          <w:ilvl w:val="2"/>
          <w:numId w:val="2"/>
        </w:numPr>
        <w:tabs>
          <w:tab w:val="left" w:pos="0"/>
        </w:tabs>
        <w:ind w:left="0" w:right="74" w:firstLine="0"/>
        <w:jc w:val="both"/>
        <w:outlineLvl w:val="2"/>
        <w:rPr>
          <w:rFonts w:ascii="Calibri Light" w:hAnsi="Calibri Light" w:cs="Calibri Light"/>
          <w:b/>
          <w:bCs/>
          <w:i/>
          <w:color w:val="5B9BD5" w:themeColor="accent1"/>
          <w:sz w:val="24"/>
          <w:szCs w:val="24"/>
          <w:lang w:val="ro-MD"/>
        </w:rPr>
      </w:pPr>
      <w:bookmarkStart w:id="17" w:name="_Toc47009717"/>
      <w:r w:rsidRPr="0024512C">
        <w:rPr>
          <w:rFonts w:ascii="Calibri Light" w:hAnsi="Calibri Light" w:cs="Calibri Light"/>
          <w:b/>
          <w:bCs/>
          <w:i/>
          <w:color w:val="5B9BD5" w:themeColor="accent1"/>
          <w:sz w:val="24"/>
          <w:szCs w:val="24"/>
          <w:lang w:val="ro-MD"/>
        </w:rPr>
        <w:lastRenderedPageBreak/>
        <w:t>D</w:t>
      </w:r>
      <w:r w:rsidR="00D11510" w:rsidRPr="0024512C">
        <w:rPr>
          <w:rFonts w:ascii="Calibri Light" w:hAnsi="Calibri Light" w:cs="Calibri Light"/>
          <w:b/>
          <w:bCs/>
          <w:i/>
          <w:color w:val="5B9BD5" w:themeColor="accent1"/>
          <w:sz w:val="24"/>
          <w:szCs w:val="24"/>
          <w:lang w:val="ro-MD"/>
        </w:rPr>
        <w:t xml:space="preserve">in contul mijloacelor circulante acumulate de către DLC </w:t>
      </w:r>
      <w:r w:rsidRPr="0024512C">
        <w:rPr>
          <w:rFonts w:ascii="Calibri Light" w:hAnsi="Calibri Light" w:cs="Calibri Light"/>
          <w:b/>
          <w:bCs/>
          <w:i/>
          <w:color w:val="5B9BD5" w:themeColor="accent1"/>
          <w:sz w:val="24"/>
          <w:szCs w:val="24"/>
          <w:lang w:val="ro-MD"/>
        </w:rPr>
        <w:t>au fost realizate și finanțate două proiecte pentru tinerii antreprenori din Republica Moldova</w:t>
      </w:r>
      <w:bookmarkEnd w:id="17"/>
    </w:p>
    <w:p w:rsidR="00415DC7" w:rsidRPr="0024512C" w:rsidRDefault="00A311CE" w:rsidP="00415DC7">
      <w:pPr>
        <w:spacing w:line="276" w:lineRule="auto"/>
        <w:jc w:val="both"/>
        <w:rPr>
          <w:rFonts w:asciiTheme="majorHAnsi" w:hAnsiTheme="majorHAnsi" w:cstheme="majorHAnsi"/>
          <w:sz w:val="24"/>
          <w:szCs w:val="24"/>
          <w:lang w:val="ro-MD" w:eastAsia="ru-RU"/>
        </w:rPr>
      </w:pPr>
      <w:r w:rsidRPr="0024512C">
        <w:rPr>
          <w:rFonts w:asciiTheme="majorHAnsi" w:hAnsiTheme="majorHAnsi" w:cstheme="majorHAnsi"/>
          <w:sz w:val="24"/>
          <w:szCs w:val="24"/>
          <w:lang w:val="ro-MD" w:eastAsia="ru-RU"/>
        </w:rPr>
        <w:t>În vederea susținerii și promovării tinerilor antreprenori din RM prin facilitarea accesului la resurse</w:t>
      </w:r>
      <w:r w:rsidR="002B41D4" w:rsidRPr="0024512C">
        <w:rPr>
          <w:rFonts w:asciiTheme="majorHAnsi" w:hAnsiTheme="majorHAnsi" w:cstheme="majorHAnsi"/>
          <w:sz w:val="24"/>
          <w:szCs w:val="24"/>
          <w:lang w:val="ro-MD" w:eastAsia="ru-RU"/>
        </w:rPr>
        <w:t>le</w:t>
      </w:r>
      <w:r w:rsidRPr="0024512C">
        <w:rPr>
          <w:rFonts w:asciiTheme="majorHAnsi" w:hAnsiTheme="majorHAnsi" w:cstheme="majorHAnsi"/>
          <w:sz w:val="24"/>
          <w:szCs w:val="24"/>
          <w:lang w:val="ro-MD" w:eastAsia="ru-RU"/>
        </w:rPr>
        <w:t xml:space="preserve"> financiare necesare afacerilor</w:t>
      </w:r>
      <w:r w:rsidR="002B41D4" w:rsidRPr="0024512C">
        <w:rPr>
          <w:rFonts w:asciiTheme="majorHAnsi" w:hAnsiTheme="majorHAnsi" w:cstheme="majorHAnsi"/>
          <w:sz w:val="24"/>
          <w:szCs w:val="24"/>
          <w:lang w:val="ro-MD" w:eastAsia="ru-RU"/>
        </w:rPr>
        <w:t>,</w:t>
      </w:r>
      <w:r w:rsidRPr="0024512C">
        <w:rPr>
          <w:rFonts w:asciiTheme="majorHAnsi" w:hAnsiTheme="majorHAnsi" w:cstheme="majorHAnsi"/>
          <w:sz w:val="24"/>
          <w:szCs w:val="24"/>
          <w:lang w:val="ro-MD" w:eastAsia="ru-RU"/>
        </w:rPr>
        <w:t xml:space="preserve"> a fost luată decizia de inițiere și implementare a două proiecte noi finanțate din contul mijloacelor circulante acumulate de către DLC în activitatea de recreditare. </w:t>
      </w:r>
    </w:p>
    <w:p w:rsidR="00407A9A" w:rsidRPr="0024512C" w:rsidRDefault="00A311CE" w:rsidP="00A311CE">
      <w:pPr>
        <w:spacing w:line="276" w:lineRule="auto"/>
        <w:jc w:val="both"/>
        <w:rPr>
          <w:rFonts w:asciiTheme="majorHAnsi" w:hAnsiTheme="majorHAnsi" w:cstheme="majorHAnsi"/>
          <w:sz w:val="24"/>
          <w:szCs w:val="24"/>
          <w:lang w:val="ro-MD"/>
          <w14:glow w14:rad="0">
            <w14:schemeClr w14:val="tx1"/>
          </w14:glow>
        </w:rPr>
      </w:pPr>
      <w:r w:rsidRPr="0024512C">
        <w:rPr>
          <w:rFonts w:asciiTheme="majorHAnsi" w:hAnsiTheme="majorHAnsi" w:cstheme="majorHAnsi"/>
          <w:sz w:val="24"/>
          <w:szCs w:val="24"/>
          <w:lang w:val="ro-MD" w:eastAsia="ru-RU"/>
        </w:rPr>
        <w:t xml:space="preserve">Astfel, </w:t>
      </w:r>
      <w:r w:rsidRPr="0024512C">
        <w:rPr>
          <w:rFonts w:asciiTheme="majorHAnsi" w:hAnsiTheme="majorHAnsi" w:cstheme="majorHAnsi"/>
          <w:sz w:val="24"/>
          <w:szCs w:val="24"/>
          <w:lang w:val="ro-MD"/>
          <w14:glow w14:rad="0">
            <w14:schemeClr w14:val="tx1"/>
          </w14:glow>
        </w:rPr>
        <w:t>î</w:t>
      </w:r>
      <w:r w:rsidR="00173227" w:rsidRPr="0024512C">
        <w:rPr>
          <w:rFonts w:asciiTheme="majorHAnsi" w:hAnsiTheme="majorHAnsi" w:cstheme="majorHAnsi"/>
          <w:sz w:val="24"/>
          <w:szCs w:val="24"/>
          <w:lang w:val="ro-MD"/>
          <w14:glow w14:rad="0">
            <w14:schemeClr w14:val="tx1"/>
          </w14:glow>
        </w:rPr>
        <w:t>n baza Hotărârii Guvernului nr.</w:t>
      </w:r>
      <w:r w:rsidR="00D11510" w:rsidRPr="0024512C">
        <w:rPr>
          <w:rFonts w:asciiTheme="majorHAnsi" w:hAnsiTheme="majorHAnsi" w:cstheme="majorHAnsi"/>
          <w:sz w:val="24"/>
          <w:szCs w:val="24"/>
          <w:lang w:val="ro-MD"/>
          <w14:glow w14:rad="0">
            <w14:schemeClr w14:val="tx1"/>
          </w14:glow>
        </w:rPr>
        <w:t>664 din 03.06.2008</w:t>
      </w:r>
      <w:r w:rsidR="00D11510" w:rsidRPr="0024512C">
        <w:rPr>
          <w:rStyle w:val="FootnoteReference"/>
          <w:rFonts w:asciiTheme="majorHAnsi" w:hAnsiTheme="majorHAnsi" w:cstheme="majorHAnsi"/>
          <w:sz w:val="24"/>
          <w:szCs w:val="24"/>
          <w:lang w:val="ro-MD"/>
          <w14:glow w14:rad="0">
            <w14:schemeClr w14:val="tx1"/>
          </w14:glow>
        </w:rPr>
        <w:footnoteReference w:id="26"/>
      </w:r>
      <w:r w:rsidR="002B41D4" w:rsidRPr="0024512C">
        <w:rPr>
          <w:rFonts w:asciiTheme="majorHAnsi" w:hAnsiTheme="majorHAnsi" w:cstheme="majorHAnsi"/>
          <w:sz w:val="24"/>
          <w:szCs w:val="24"/>
          <w:lang w:val="ro-MD"/>
          <w14:glow w14:rad="0">
            <w14:schemeClr w14:val="tx1"/>
          </w14:glow>
        </w:rPr>
        <w:t>,</w:t>
      </w:r>
      <w:r w:rsidR="00D11510" w:rsidRPr="005C74F5">
        <w:rPr>
          <w:rFonts w:asciiTheme="majorHAnsi" w:hAnsiTheme="majorHAnsi" w:cstheme="majorHAnsi"/>
          <w:sz w:val="24"/>
          <w:szCs w:val="24"/>
          <w:lang w:val="ro-MD"/>
          <w14:glow w14:rad="0">
            <w14:schemeClr w14:val="tx1"/>
          </w14:glow>
        </w:rPr>
        <w:t xml:space="preserve"> a fost aprobată realizarea </w:t>
      </w:r>
      <w:r w:rsidR="00D11510" w:rsidRPr="00BF38FA">
        <w:rPr>
          <w:rFonts w:asciiTheme="majorHAnsi" w:hAnsiTheme="majorHAnsi" w:cstheme="majorHAnsi"/>
          <w:b/>
          <w:i/>
          <w:sz w:val="24"/>
          <w:szCs w:val="24"/>
          <w:lang w:val="ro-MD"/>
          <w14:glow w14:rad="0">
            <w14:schemeClr w14:val="tx1"/>
          </w14:glow>
        </w:rPr>
        <w:t>Programului național de abilitare economică a tinerilor</w:t>
      </w:r>
      <w:r w:rsidR="002B41D4" w:rsidRPr="00BF38FA">
        <w:rPr>
          <w:rFonts w:asciiTheme="majorHAnsi" w:hAnsiTheme="majorHAnsi" w:cstheme="majorHAnsi"/>
          <w:sz w:val="24"/>
          <w:szCs w:val="24"/>
          <w:lang w:val="ro-MD"/>
          <w14:glow w14:rad="0">
            <w14:schemeClr w14:val="tx1"/>
          </w14:glow>
        </w:rPr>
        <w:t>,</w:t>
      </w:r>
      <w:r w:rsidR="00D11510" w:rsidRPr="00BF38FA">
        <w:rPr>
          <w:rFonts w:asciiTheme="majorHAnsi" w:hAnsiTheme="majorHAnsi" w:cstheme="majorHAnsi"/>
          <w:sz w:val="24"/>
          <w:szCs w:val="24"/>
          <w:lang w:val="ro-MD"/>
          <w14:glow w14:rad="0">
            <w14:schemeClr w14:val="tx1"/>
          </w14:glow>
        </w:rPr>
        <w:t xml:space="preserve"> asigurat din resursele circulante de recreditare ale Proiectului de Investiții și Servicii Rurale (RISP 1), finanțat de Banca Mondială, și </w:t>
      </w:r>
      <w:r w:rsidR="002B41D4" w:rsidRPr="0024512C">
        <w:rPr>
          <w:rFonts w:asciiTheme="majorHAnsi" w:hAnsiTheme="majorHAnsi" w:cstheme="majorHAnsi"/>
          <w:sz w:val="24"/>
          <w:szCs w:val="24"/>
          <w:lang w:val="ro-MD"/>
          <w14:glow w14:rad="0">
            <w14:schemeClr w14:val="tx1"/>
          </w14:glow>
        </w:rPr>
        <w:t xml:space="preserve">din </w:t>
      </w:r>
      <w:r w:rsidR="00D11510" w:rsidRPr="0024512C">
        <w:rPr>
          <w:rFonts w:asciiTheme="majorHAnsi" w:hAnsiTheme="majorHAnsi" w:cstheme="majorHAnsi"/>
          <w:sz w:val="24"/>
          <w:szCs w:val="24"/>
          <w:lang w:val="ro-MD"/>
          <w14:glow w14:rad="0">
            <w14:schemeClr w14:val="tx1"/>
          </w14:glow>
        </w:rPr>
        <w:t>resursele disponibile ale Proiectului de Finanțare Rurală și Dezvoltare</w:t>
      </w:r>
      <w:r w:rsidR="00181418" w:rsidRPr="0024512C">
        <w:rPr>
          <w:rFonts w:asciiTheme="majorHAnsi" w:hAnsiTheme="majorHAnsi" w:cstheme="majorHAnsi"/>
          <w:sz w:val="24"/>
          <w:szCs w:val="24"/>
          <w:lang w:val="ro-MD"/>
          <w14:glow w14:rad="0">
            <w14:schemeClr w14:val="tx1"/>
          </w14:glow>
        </w:rPr>
        <w:t xml:space="preserve"> a Întreprinderilor Mici (FIDA</w:t>
      </w:r>
      <w:r w:rsidR="00DB5F78" w:rsidRPr="0024512C">
        <w:rPr>
          <w:rFonts w:asciiTheme="majorHAnsi" w:hAnsiTheme="majorHAnsi" w:cstheme="majorHAnsi"/>
          <w:sz w:val="24"/>
          <w:szCs w:val="24"/>
          <w:lang w:val="ro-MD"/>
          <w14:glow w14:rad="0">
            <w14:schemeClr w14:val="tx1"/>
          </w14:glow>
        </w:rPr>
        <w:t xml:space="preserve"> I</w:t>
      </w:r>
      <w:r w:rsidR="00D11510" w:rsidRPr="0024512C">
        <w:rPr>
          <w:rFonts w:asciiTheme="majorHAnsi" w:hAnsiTheme="majorHAnsi" w:cstheme="majorHAnsi"/>
          <w:sz w:val="24"/>
          <w:szCs w:val="24"/>
          <w:lang w:val="ro-MD"/>
          <w14:glow w14:rad="0">
            <w14:schemeClr w14:val="tx1"/>
          </w14:glow>
        </w:rPr>
        <w:t xml:space="preserve">), finanțat de </w:t>
      </w:r>
      <w:r w:rsidR="00181418" w:rsidRPr="0024512C">
        <w:rPr>
          <w:rFonts w:asciiTheme="majorHAnsi" w:hAnsiTheme="majorHAnsi" w:cstheme="majorHAnsi"/>
          <w:sz w:val="24"/>
          <w:szCs w:val="24"/>
          <w:lang w:val="ro-MD"/>
          <w14:glow w14:rad="0">
            <w14:schemeClr w14:val="tx1"/>
          </w14:glow>
        </w:rPr>
        <w:t>IFAD</w:t>
      </w:r>
      <w:r w:rsidR="00D11510" w:rsidRPr="0024512C">
        <w:rPr>
          <w:rFonts w:asciiTheme="majorHAnsi" w:hAnsiTheme="majorHAnsi" w:cstheme="majorHAnsi"/>
          <w:sz w:val="24"/>
          <w:szCs w:val="24"/>
          <w:lang w:val="ro-MD"/>
          <w14:glow w14:rad="0">
            <w14:schemeClr w14:val="tx1"/>
          </w14:glow>
        </w:rPr>
        <w:t xml:space="preserve">, precum și din alte mijloace atrase de la partenerii de dezvoltare. </w:t>
      </w:r>
    </w:p>
    <w:p w:rsidR="00407A9A" w:rsidRPr="00BF38FA" w:rsidRDefault="00D11510" w:rsidP="008854DD">
      <w:pPr>
        <w:spacing w:line="276" w:lineRule="auto"/>
        <w:jc w:val="both"/>
        <w:rPr>
          <w:rFonts w:asciiTheme="majorHAnsi" w:hAnsiTheme="majorHAnsi" w:cstheme="majorHAnsi"/>
          <w:sz w:val="24"/>
          <w:szCs w:val="24"/>
          <w:lang w:val="ro-MD"/>
          <w14:glow w14:rad="0">
            <w14:schemeClr w14:val="tx1"/>
          </w14:glow>
        </w:rPr>
      </w:pPr>
      <w:r w:rsidRPr="0024512C">
        <w:rPr>
          <w:rFonts w:asciiTheme="majorHAnsi" w:hAnsiTheme="majorHAnsi" w:cstheme="majorHAnsi"/>
          <w:sz w:val="24"/>
          <w:szCs w:val="24"/>
          <w:lang w:val="ro-MD"/>
          <w14:glow w14:rad="0">
            <w14:schemeClr w14:val="tx1"/>
          </w14:glow>
        </w:rPr>
        <w:t xml:space="preserve">Scopul Programului a fost promovarea și facilitarea implicării tinerilor din Republica Moldova în activitatea antreprenorială. </w:t>
      </w:r>
      <w:r w:rsidR="00407A9A" w:rsidRPr="0024512C">
        <w:rPr>
          <w:rFonts w:asciiTheme="majorHAnsi" w:hAnsiTheme="majorHAnsi" w:cstheme="majorHAnsi"/>
          <w:bCs/>
          <w:sz w:val="24"/>
          <w:szCs w:val="24"/>
          <w:lang w:val="ro-MD"/>
          <w14:glow w14:rad="0">
            <w14:schemeClr w14:val="tx1"/>
          </w14:glow>
        </w:rPr>
        <w:t xml:space="preserve">Obiectivele Programului au fost: </w:t>
      </w:r>
      <w:r w:rsidR="00407A9A" w:rsidRPr="0024512C">
        <w:rPr>
          <w:rFonts w:asciiTheme="majorHAnsi" w:hAnsiTheme="majorHAnsi" w:cstheme="majorHAnsi"/>
          <w:sz w:val="24"/>
          <w:szCs w:val="24"/>
          <w:lang w:val="ro-MD"/>
          <w14:glow w14:rad="0">
            <w14:schemeClr w14:val="tx1"/>
          </w14:glow>
        </w:rPr>
        <w:t>dezvoltarea aptitudinilor antreprenoriale ale tinerilor bazate pe cunoașterea și gestionarea optimă a resurselor (financiare, umane, materiale, de timp etc.), facilitarea accesului tinerilor antreprenori la resurse</w:t>
      </w:r>
      <w:r w:rsidR="00BF38FA">
        <w:rPr>
          <w:rFonts w:asciiTheme="majorHAnsi" w:hAnsiTheme="majorHAnsi" w:cstheme="majorHAnsi"/>
          <w:sz w:val="24"/>
          <w:szCs w:val="24"/>
          <w:lang w:val="ro-MD"/>
          <w14:glow w14:rad="0">
            <w14:schemeClr w14:val="tx1"/>
          </w14:glow>
        </w:rPr>
        <w:t>le</w:t>
      </w:r>
      <w:r w:rsidR="00407A9A" w:rsidRPr="00BF38FA">
        <w:rPr>
          <w:rFonts w:asciiTheme="majorHAnsi" w:hAnsiTheme="majorHAnsi" w:cstheme="majorHAnsi"/>
          <w:sz w:val="24"/>
          <w:szCs w:val="24"/>
          <w:lang w:val="ro-MD"/>
          <w14:glow w14:rad="0">
            <w14:schemeClr w14:val="tx1"/>
          </w14:glow>
        </w:rPr>
        <w:t xml:space="preserve"> financiare necesare inițierii și dezvol</w:t>
      </w:r>
      <w:r w:rsidR="00407A9A" w:rsidRPr="0024512C">
        <w:rPr>
          <w:rFonts w:asciiTheme="majorHAnsi" w:hAnsiTheme="majorHAnsi" w:cstheme="majorHAnsi"/>
          <w:sz w:val="24"/>
          <w:szCs w:val="24"/>
          <w:lang w:val="ro-MD"/>
          <w14:glow w14:rad="0">
            <w14:schemeClr w14:val="tx1"/>
          </w14:glow>
        </w:rPr>
        <w:t xml:space="preserve">tării unei afaceri proprii și stimularea creării și dezvoltării de către </w:t>
      </w:r>
      <w:r w:rsidR="00BF38FA">
        <w:rPr>
          <w:rFonts w:asciiTheme="majorHAnsi" w:hAnsiTheme="majorHAnsi" w:cstheme="majorHAnsi"/>
          <w:sz w:val="24"/>
          <w:szCs w:val="24"/>
          <w:lang w:val="ro-MD"/>
          <w14:glow w14:rad="0">
            <w14:schemeClr w14:val="tx1"/>
          </w14:glow>
        </w:rPr>
        <w:t>aceștia</w:t>
      </w:r>
      <w:r w:rsidR="00BF38FA" w:rsidRPr="00BF38FA">
        <w:rPr>
          <w:rFonts w:asciiTheme="majorHAnsi" w:hAnsiTheme="majorHAnsi" w:cstheme="majorHAnsi"/>
          <w:sz w:val="24"/>
          <w:szCs w:val="24"/>
          <w:lang w:val="ro-MD"/>
          <w14:glow w14:rad="0">
            <w14:schemeClr w14:val="tx1"/>
          </w14:glow>
        </w:rPr>
        <w:t xml:space="preserve"> </w:t>
      </w:r>
      <w:r w:rsidR="00407A9A" w:rsidRPr="00BF38FA">
        <w:rPr>
          <w:rFonts w:asciiTheme="majorHAnsi" w:hAnsiTheme="majorHAnsi" w:cstheme="majorHAnsi"/>
          <w:sz w:val="24"/>
          <w:szCs w:val="24"/>
          <w:lang w:val="ro-MD"/>
          <w14:glow w14:rad="0">
            <w14:schemeClr w14:val="tx1"/>
          </w14:glow>
        </w:rPr>
        <w:t>a noilor întreprinderi.</w:t>
      </w:r>
    </w:p>
    <w:p w:rsidR="00407A9A" w:rsidRPr="0024512C" w:rsidRDefault="00407A9A" w:rsidP="008854DD">
      <w:pPr>
        <w:spacing w:line="276" w:lineRule="auto"/>
        <w:jc w:val="both"/>
        <w:rPr>
          <w:rFonts w:asciiTheme="majorHAnsi" w:hAnsiTheme="majorHAnsi" w:cstheme="majorHAnsi"/>
          <w:sz w:val="24"/>
          <w:szCs w:val="24"/>
          <w:lang w:val="ro-MD"/>
          <w14:glow w14:rad="0">
            <w14:schemeClr w14:val="tx1"/>
          </w14:glow>
        </w:rPr>
      </w:pPr>
      <w:r w:rsidRPr="0024512C">
        <w:rPr>
          <w:rFonts w:asciiTheme="majorHAnsi" w:hAnsiTheme="majorHAnsi" w:cstheme="majorHAnsi"/>
          <w:sz w:val="24"/>
          <w:szCs w:val="24"/>
          <w:lang w:val="ro-MD"/>
          <w14:glow w14:rad="0">
            <w14:schemeClr w14:val="tx1"/>
          </w14:glow>
        </w:rPr>
        <w:t xml:space="preserve">Programul a fost implementat pe parcursul anilor 2008-2017 și a fost format din 3 componente de bază: </w:t>
      </w:r>
      <w:r w:rsidR="00643879" w:rsidRPr="0024512C">
        <w:rPr>
          <w:rFonts w:asciiTheme="majorHAnsi" w:hAnsiTheme="majorHAnsi" w:cstheme="majorHAnsi"/>
          <w:i/>
          <w:sz w:val="24"/>
          <w:szCs w:val="24"/>
          <w:lang w:val="ro-MD"/>
          <w14:glow w14:rad="0">
            <w14:schemeClr w14:val="tx1"/>
          </w14:glow>
        </w:rPr>
        <w:t>(i) instruire și consultanț</w:t>
      </w:r>
      <w:r w:rsidR="00BF38FA">
        <w:rPr>
          <w:rFonts w:asciiTheme="majorHAnsi" w:hAnsiTheme="majorHAnsi" w:cstheme="majorHAnsi"/>
          <w:i/>
          <w:sz w:val="24"/>
          <w:szCs w:val="24"/>
          <w:lang w:val="ro-MD"/>
          <w14:glow w14:rad="0">
            <w14:schemeClr w14:val="tx1"/>
          </w14:glow>
        </w:rPr>
        <w:t>ă</w:t>
      </w:r>
      <w:r w:rsidRPr="00BF38FA">
        <w:rPr>
          <w:rFonts w:asciiTheme="majorHAnsi" w:hAnsiTheme="majorHAnsi" w:cstheme="majorHAnsi"/>
          <w:i/>
          <w:sz w:val="24"/>
          <w:szCs w:val="24"/>
          <w:lang w:val="ro-MD"/>
          <w14:glow w14:rad="0">
            <w14:schemeClr w14:val="tx1"/>
          </w14:glow>
        </w:rPr>
        <w:t xml:space="preserve"> antreprenorială; (ii) </w:t>
      </w:r>
      <w:r w:rsidR="00643879" w:rsidRPr="00BF38FA">
        <w:rPr>
          <w:rFonts w:asciiTheme="majorHAnsi" w:hAnsiTheme="majorHAnsi" w:cstheme="majorHAnsi"/>
          <w:i/>
          <w:sz w:val="24"/>
          <w:szCs w:val="24"/>
          <w:lang w:val="ro-MD"/>
          <w14:glow w14:rad="0">
            <w14:schemeClr w14:val="tx1"/>
          </w14:glow>
        </w:rPr>
        <w:t>f</w:t>
      </w:r>
      <w:r w:rsidRPr="00BF38FA">
        <w:rPr>
          <w:rFonts w:asciiTheme="majorHAnsi" w:hAnsiTheme="majorHAnsi" w:cstheme="majorHAnsi"/>
          <w:i/>
          <w:sz w:val="24"/>
          <w:szCs w:val="24"/>
          <w:lang w:val="ro-MD"/>
          <w14:glow w14:rad="0">
            <w14:schemeClr w14:val="tx1"/>
          </w14:glow>
        </w:rPr>
        <w:t xml:space="preserve">inanțarea proiectelor investiționale rurale prin acordarea de împrumuturi comerciale rambursabile, cu porțiune de grant, precum și finanțarea contractelor de leasing </w:t>
      </w:r>
      <w:r w:rsidRPr="0024512C">
        <w:rPr>
          <w:rFonts w:asciiTheme="majorHAnsi" w:hAnsiTheme="majorHAnsi" w:cstheme="majorHAnsi"/>
          <w:sz w:val="24"/>
          <w:szCs w:val="24"/>
          <w:lang w:val="ro-MD"/>
          <w14:glow w14:rad="0">
            <w14:schemeClr w14:val="tx1"/>
          </w14:glow>
        </w:rPr>
        <w:t>și</w:t>
      </w:r>
      <w:r w:rsidRPr="0024512C">
        <w:rPr>
          <w:rFonts w:asciiTheme="majorHAnsi" w:hAnsiTheme="majorHAnsi" w:cstheme="majorHAnsi"/>
          <w:i/>
          <w:sz w:val="24"/>
          <w:szCs w:val="24"/>
          <w:lang w:val="ro-MD"/>
          <w14:glow w14:rad="0">
            <w14:schemeClr w14:val="tx1"/>
          </w14:glow>
        </w:rPr>
        <w:t xml:space="preserve"> (iii) </w:t>
      </w:r>
      <w:r w:rsidR="00643879" w:rsidRPr="0024512C">
        <w:rPr>
          <w:rFonts w:asciiTheme="majorHAnsi" w:hAnsiTheme="majorHAnsi" w:cstheme="majorHAnsi"/>
          <w:i/>
          <w:sz w:val="24"/>
          <w:szCs w:val="24"/>
          <w:lang w:val="ro-MD"/>
          <w14:glow w14:rad="0">
            <w14:schemeClr w14:val="tx1"/>
          </w14:glow>
        </w:rPr>
        <w:t>monitorizare post-</w:t>
      </w:r>
      <w:r w:rsidRPr="0024512C">
        <w:rPr>
          <w:rFonts w:asciiTheme="majorHAnsi" w:hAnsiTheme="majorHAnsi" w:cstheme="majorHAnsi"/>
          <w:i/>
          <w:sz w:val="24"/>
          <w:szCs w:val="24"/>
          <w:lang w:val="ro-MD"/>
          <w14:glow w14:rad="0">
            <w14:schemeClr w14:val="tx1"/>
          </w14:glow>
        </w:rPr>
        <w:t>finanțare</w:t>
      </w:r>
      <w:r w:rsidRPr="0024512C">
        <w:rPr>
          <w:rFonts w:asciiTheme="majorHAnsi" w:hAnsiTheme="majorHAnsi" w:cstheme="majorHAnsi"/>
          <w:sz w:val="24"/>
          <w:szCs w:val="24"/>
          <w:lang w:val="ro-MD"/>
          <w14:glow w14:rad="0">
            <w14:schemeClr w14:val="tx1"/>
          </w14:glow>
        </w:rPr>
        <w:t xml:space="preserve">. </w:t>
      </w:r>
    </w:p>
    <w:p w:rsidR="00407A9A" w:rsidRPr="0024512C" w:rsidRDefault="00407A9A" w:rsidP="008854DD">
      <w:pPr>
        <w:spacing w:line="276" w:lineRule="auto"/>
        <w:jc w:val="both"/>
        <w:rPr>
          <w:rFonts w:asciiTheme="majorHAnsi" w:hAnsiTheme="majorHAnsi" w:cstheme="majorHAnsi"/>
          <w:sz w:val="24"/>
          <w:szCs w:val="24"/>
          <w:lang w:val="ro-MD"/>
          <w14:glow w14:rad="0">
            <w14:schemeClr w14:val="tx1"/>
          </w14:glow>
        </w:rPr>
      </w:pPr>
      <w:r w:rsidRPr="0024512C">
        <w:rPr>
          <w:rFonts w:asciiTheme="majorHAnsi" w:hAnsiTheme="majorHAnsi" w:cstheme="majorHAnsi"/>
          <w:sz w:val="24"/>
          <w:szCs w:val="24"/>
          <w:lang w:val="ro-MD"/>
          <w14:glow w14:rad="0">
            <w14:schemeClr w14:val="tx1"/>
          </w14:glow>
        </w:rPr>
        <w:t>Responsabili de implementarea Programului au fost stabiliți Organizația pentru Dezvoltarea Sectorului Întreprinderilor Mici și Mijlocii pe lângă Ministerul Economiei (pentru Componenta I) și DLC (pentru Componentele II și III).</w:t>
      </w:r>
    </w:p>
    <w:p w:rsidR="00D11510" w:rsidRPr="0024512C" w:rsidRDefault="00407A9A" w:rsidP="008854DD">
      <w:pPr>
        <w:spacing w:line="276" w:lineRule="auto"/>
        <w:jc w:val="both"/>
        <w:rPr>
          <w:rFonts w:asciiTheme="majorHAnsi" w:hAnsiTheme="majorHAnsi" w:cstheme="majorHAnsi"/>
          <w:sz w:val="24"/>
          <w:szCs w:val="24"/>
          <w:lang w:val="ro-MD"/>
          <w14:glow w14:rad="0">
            <w14:schemeClr w14:val="tx1"/>
          </w14:glow>
        </w:rPr>
      </w:pPr>
      <w:r w:rsidRPr="0024512C">
        <w:rPr>
          <w:rFonts w:asciiTheme="majorHAnsi" w:hAnsiTheme="majorHAnsi" w:cstheme="majorHAnsi"/>
          <w:sz w:val="24"/>
          <w:szCs w:val="24"/>
          <w:lang w:val="ro-MD"/>
          <w14:glow w14:rad="0">
            <w14:schemeClr w14:val="tx1"/>
          </w14:glow>
        </w:rPr>
        <w:t>Astfel, î</w:t>
      </w:r>
      <w:r w:rsidR="00D11510" w:rsidRPr="0024512C">
        <w:rPr>
          <w:rFonts w:asciiTheme="majorHAnsi" w:hAnsiTheme="majorHAnsi" w:cstheme="majorHAnsi"/>
          <w:sz w:val="24"/>
          <w:szCs w:val="24"/>
          <w:lang w:val="ro-MD"/>
          <w14:glow w14:rad="0">
            <w14:schemeClr w14:val="tx1"/>
          </w14:glow>
        </w:rPr>
        <w:t>n cadrul acestui Program</w:t>
      </w:r>
      <w:r w:rsidRPr="0024512C">
        <w:rPr>
          <w:rFonts w:asciiTheme="majorHAnsi" w:hAnsiTheme="majorHAnsi" w:cstheme="majorHAnsi"/>
          <w:sz w:val="24"/>
          <w:szCs w:val="24"/>
          <w:lang w:val="ro-MD"/>
          <w14:glow w14:rad="0">
            <w14:schemeClr w14:val="tx1"/>
          </w14:glow>
        </w:rPr>
        <w:t>,</w:t>
      </w:r>
      <w:r w:rsidR="00D11510" w:rsidRPr="0024512C">
        <w:rPr>
          <w:rFonts w:asciiTheme="majorHAnsi" w:hAnsiTheme="majorHAnsi" w:cstheme="majorHAnsi"/>
          <w:sz w:val="24"/>
          <w:szCs w:val="24"/>
          <w:lang w:val="ro-MD"/>
          <w14:glow w14:rad="0">
            <w14:schemeClr w14:val="tx1"/>
          </w14:glow>
        </w:rPr>
        <w:t xml:space="preserve"> </w:t>
      </w:r>
      <w:r w:rsidR="00643879" w:rsidRPr="0024512C">
        <w:rPr>
          <w:rFonts w:asciiTheme="majorHAnsi" w:hAnsiTheme="majorHAnsi" w:cstheme="majorHAnsi"/>
          <w:sz w:val="24"/>
          <w:szCs w:val="24"/>
          <w:lang w:val="ro-MD"/>
          <w14:glow w14:rad="0">
            <w14:schemeClr w14:val="tx1"/>
          </w14:glow>
        </w:rPr>
        <w:t>DLC</w:t>
      </w:r>
      <w:r w:rsidRPr="0024512C">
        <w:rPr>
          <w:rFonts w:asciiTheme="majorHAnsi" w:hAnsiTheme="majorHAnsi" w:cstheme="majorHAnsi"/>
          <w:sz w:val="24"/>
          <w:szCs w:val="24"/>
          <w:lang w:val="ro-MD"/>
          <w14:glow w14:rad="0">
            <w14:schemeClr w14:val="tx1"/>
          </w14:glow>
        </w:rPr>
        <w:t xml:space="preserve"> </w:t>
      </w:r>
      <w:r w:rsidR="00643879" w:rsidRPr="0024512C">
        <w:rPr>
          <w:rFonts w:asciiTheme="majorHAnsi" w:hAnsiTheme="majorHAnsi" w:cstheme="majorHAnsi"/>
          <w:sz w:val="24"/>
          <w:szCs w:val="24"/>
          <w:lang w:val="ro-MD"/>
          <w14:glow w14:rad="0">
            <w14:schemeClr w14:val="tx1"/>
          </w14:glow>
        </w:rPr>
        <w:t xml:space="preserve">a </w:t>
      </w:r>
      <w:proofErr w:type="spellStart"/>
      <w:r w:rsidR="00643879" w:rsidRPr="0024512C">
        <w:rPr>
          <w:rFonts w:asciiTheme="majorHAnsi" w:hAnsiTheme="majorHAnsi" w:cstheme="majorHAnsi"/>
          <w:sz w:val="24"/>
          <w:szCs w:val="24"/>
          <w:lang w:val="ro-MD"/>
          <w14:glow w14:rad="0">
            <w14:schemeClr w14:val="tx1"/>
          </w14:glow>
        </w:rPr>
        <w:t>recreditat</w:t>
      </w:r>
      <w:proofErr w:type="spellEnd"/>
      <w:r w:rsidR="00D11510" w:rsidRPr="0024512C">
        <w:rPr>
          <w:rFonts w:asciiTheme="majorHAnsi" w:hAnsiTheme="majorHAnsi" w:cstheme="majorHAnsi"/>
          <w:sz w:val="24"/>
          <w:szCs w:val="24"/>
          <w:lang w:val="ro-MD"/>
          <w14:glow w14:rad="0">
            <w14:schemeClr w14:val="tx1"/>
          </w14:glow>
        </w:rPr>
        <w:t xml:space="preserve"> mijloace financiare</w:t>
      </w:r>
      <w:r w:rsidR="00A61D68" w:rsidRPr="0024512C">
        <w:rPr>
          <w:rFonts w:asciiTheme="majorHAnsi" w:hAnsiTheme="majorHAnsi" w:cstheme="majorHAnsi"/>
          <w:sz w:val="24"/>
          <w:szCs w:val="24"/>
          <w:lang w:val="ro-MD"/>
          <w14:glow w14:rad="0">
            <w14:schemeClr w14:val="tx1"/>
          </w14:glow>
        </w:rPr>
        <w:t xml:space="preserve"> în sumă totală de 532,4 mil.</w:t>
      </w:r>
      <w:r w:rsidR="00A92139" w:rsidRPr="0024512C">
        <w:rPr>
          <w:rFonts w:asciiTheme="majorHAnsi" w:hAnsiTheme="majorHAnsi" w:cstheme="majorHAnsi"/>
          <w:sz w:val="24"/>
          <w:szCs w:val="24"/>
          <w:lang w:val="ro-MD"/>
          <w14:glow w14:rad="0">
            <w14:schemeClr w14:val="tx1"/>
          </w14:glow>
        </w:rPr>
        <w:t xml:space="preserve"> lei</w:t>
      </w:r>
      <w:r w:rsidR="00D11510" w:rsidRPr="0024512C">
        <w:rPr>
          <w:rFonts w:asciiTheme="majorHAnsi" w:hAnsiTheme="majorHAnsi" w:cstheme="majorHAnsi"/>
          <w:sz w:val="24"/>
          <w:szCs w:val="24"/>
          <w:lang w:val="ro-MD"/>
          <w14:glow w14:rad="0">
            <w14:schemeClr w14:val="tx1"/>
          </w14:glow>
        </w:rPr>
        <w:t xml:space="preserve"> pentru finanțarea a 1</w:t>
      </w:r>
      <w:r w:rsidR="00643879" w:rsidRPr="0024512C">
        <w:rPr>
          <w:rFonts w:asciiTheme="majorHAnsi" w:hAnsiTheme="majorHAnsi" w:cstheme="majorHAnsi"/>
          <w:sz w:val="24"/>
          <w:szCs w:val="24"/>
          <w:lang w:val="ro-MD"/>
          <w14:glow w14:rad="0">
            <w14:schemeClr w14:val="tx1"/>
          </w14:glow>
        </w:rPr>
        <w:t xml:space="preserve"> </w:t>
      </w:r>
      <w:r w:rsidR="00D11510" w:rsidRPr="0024512C">
        <w:rPr>
          <w:rFonts w:asciiTheme="majorHAnsi" w:hAnsiTheme="majorHAnsi" w:cstheme="majorHAnsi"/>
          <w:sz w:val="24"/>
          <w:szCs w:val="24"/>
          <w:lang w:val="ro-MD"/>
          <w14:glow w14:rad="0">
            <w14:schemeClr w14:val="tx1"/>
          </w14:glow>
        </w:rPr>
        <w:t>851 de sub-proiecte. La moment</w:t>
      </w:r>
      <w:r w:rsidR="00643879" w:rsidRPr="0024512C">
        <w:rPr>
          <w:rFonts w:asciiTheme="majorHAnsi" w:hAnsiTheme="majorHAnsi" w:cstheme="majorHAnsi"/>
          <w:sz w:val="24"/>
          <w:szCs w:val="24"/>
          <w:lang w:val="ro-MD"/>
          <w14:glow w14:rad="0">
            <w14:schemeClr w14:val="tx1"/>
          </w14:glow>
        </w:rPr>
        <w:t>,</w:t>
      </w:r>
      <w:r w:rsidR="00D11510" w:rsidRPr="0024512C">
        <w:rPr>
          <w:rFonts w:asciiTheme="majorHAnsi" w:hAnsiTheme="majorHAnsi" w:cstheme="majorHAnsi"/>
          <w:sz w:val="24"/>
          <w:szCs w:val="24"/>
          <w:lang w:val="ro-MD"/>
          <w14:glow w14:rad="0">
            <w14:schemeClr w14:val="tx1"/>
          </w14:glow>
        </w:rPr>
        <w:t xml:space="preserve"> Proi</w:t>
      </w:r>
      <w:r w:rsidR="00CB1F27" w:rsidRPr="0024512C">
        <w:rPr>
          <w:rFonts w:asciiTheme="majorHAnsi" w:hAnsiTheme="majorHAnsi" w:cstheme="majorHAnsi"/>
          <w:sz w:val="24"/>
          <w:szCs w:val="24"/>
          <w:lang w:val="ro-MD"/>
          <w14:glow w14:rad="0">
            <w14:schemeClr w14:val="tx1"/>
          </w14:glow>
        </w:rPr>
        <w:t>ectul este asimilat și încheiat, DLC atingând performanța de recuperare a tuturor datoriilor.</w:t>
      </w:r>
    </w:p>
    <w:p w:rsidR="005857CF" w:rsidRPr="0024512C" w:rsidRDefault="00A311CE" w:rsidP="00A311CE">
      <w:pPr>
        <w:spacing w:line="276" w:lineRule="auto"/>
        <w:jc w:val="both"/>
        <w:rPr>
          <w:rFonts w:ascii="Calibri Light" w:hAnsi="Calibri Light" w:cs="Calibri Light"/>
          <w:bCs/>
          <w:sz w:val="24"/>
          <w:szCs w:val="24"/>
          <w:lang w:val="ro-MD"/>
        </w:rPr>
      </w:pPr>
      <w:r w:rsidRPr="0024512C">
        <w:rPr>
          <w:rFonts w:ascii="Calibri Light" w:hAnsi="Calibri Light" w:cs="Calibri Light"/>
          <w:bCs/>
          <w:sz w:val="24"/>
          <w:szCs w:val="24"/>
          <w:lang w:val="ro-MD"/>
        </w:rPr>
        <w:t>La fel, î</w:t>
      </w:r>
      <w:r w:rsidR="005857CF" w:rsidRPr="0024512C">
        <w:rPr>
          <w:rFonts w:ascii="Calibri Light" w:hAnsi="Calibri Light" w:cs="Calibri Light"/>
          <w:bCs/>
          <w:sz w:val="24"/>
          <w:szCs w:val="24"/>
          <w:lang w:val="ro-MD"/>
        </w:rPr>
        <w:t xml:space="preserve">n scopul promovării și încurajării tinerilor antreprenori, creării </w:t>
      </w:r>
      <w:r w:rsidR="00643879" w:rsidRPr="0024512C">
        <w:rPr>
          <w:rFonts w:ascii="Calibri Light" w:hAnsi="Calibri Light" w:cs="Calibri Light"/>
          <w:bCs/>
          <w:sz w:val="24"/>
          <w:szCs w:val="24"/>
          <w:lang w:val="ro-MD"/>
        </w:rPr>
        <w:t>de</w:t>
      </w:r>
      <w:r w:rsidR="005857CF" w:rsidRPr="0024512C">
        <w:rPr>
          <w:rFonts w:ascii="Calibri Light" w:hAnsi="Calibri Light" w:cs="Calibri Light"/>
          <w:bCs/>
          <w:sz w:val="24"/>
          <w:szCs w:val="24"/>
          <w:lang w:val="ro-MD"/>
        </w:rPr>
        <w:t xml:space="preserve"> noi locuri de muncă și acordării sprijinului suplimentar tinerilor prin reducerea dobânzilor la creditele investiționale contractate în cadrul Liniilor de credit administrate de DLC prin IFP, s-a propus de a reduce cu 2% rata MF/DLC de recreditare pentru IFP intermediare pentru tineri</w:t>
      </w:r>
      <w:r w:rsidR="00643879" w:rsidRPr="0024512C">
        <w:rPr>
          <w:rFonts w:ascii="Calibri Light" w:hAnsi="Calibri Light" w:cs="Calibri Light"/>
          <w:bCs/>
          <w:sz w:val="24"/>
          <w:szCs w:val="24"/>
          <w:lang w:val="ro-MD"/>
        </w:rPr>
        <w:t>,</w:t>
      </w:r>
      <w:r w:rsidR="005857CF" w:rsidRPr="0024512C">
        <w:rPr>
          <w:rFonts w:ascii="Calibri Light" w:hAnsi="Calibri Light" w:cs="Calibri Light"/>
          <w:bCs/>
          <w:sz w:val="24"/>
          <w:szCs w:val="24"/>
          <w:lang w:val="ro-MD"/>
        </w:rPr>
        <w:t xml:space="preserve"> în raport cu rata de referință calculată</w:t>
      </w:r>
      <w:r w:rsidR="002D2DE1" w:rsidRPr="0024512C">
        <w:rPr>
          <w:rFonts w:ascii="Calibri Light" w:hAnsi="Calibri Light" w:cs="Calibri Light"/>
          <w:bCs/>
          <w:sz w:val="24"/>
          <w:szCs w:val="24"/>
          <w:lang w:val="ro-MD"/>
        </w:rPr>
        <w:t xml:space="preserve"> și anunțată de MF/DLC pentru lei</w:t>
      </w:r>
      <w:r w:rsidR="005857CF" w:rsidRPr="0024512C">
        <w:rPr>
          <w:rFonts w:ascii="Calibri Light" w:hAnsi="Calibri Light" w:cs="Calibri Light"/>
          <w:bCs/>
          <w:sz w:val="24"/>
          <w:szCs w:val="24"/>
          <w:lang w:val="ro-MD"/>
        </w:rPr>
        <w:t xml:space="preserve"> semi-anual</w:t>
      </w:r>
      <w:r w:rsidR="00643879" w:rsidRPr="0024512C">
        <w:rPr>
          <w:rFonts w:ascii="Calibri Light" w:hAnsi="Calibri Light" w:cs="Calibri Light"/>
          <w:bCs/>
          <w:sz w:val="24"/>
          <w:szCs w:val="24"/>
          <w:lang w:val="ro-MD"/>
        </w:rPr>
        <w:t>,</w:t>
      </w:r>
      <w:r w:rsidR="005857CF" w:rsidRPr="0024512C">
        <w:rPr>
          <w:rFonts w:ascii="Calibri Light" w:hAnsi="Calibri Light" w:cs="Calibri Light"/>
          <w:bCs/>
          <w:sz w:val="24"/>
          <w:szCs w:val="24"/>
          <w:lang w:val="ro-MD"/>
        </w:rPr>
        <w:t xml:space="preserve"> conform condițiilor generale ale Contractelor de recreditare în vigoare semnate cu IFP</w:t>
      </w:r>
      <w:r w:rsidRPr="0024512C">
        <w:rPr>
          <w:rFonts w:ascii="Calibri Light" w:hAnsi="Calibri Light" w:cs="Calibri Light"/>
          <w:bCs/>
          <w:sz w:val="24"/>
          <w:szCs w:val="24"/>
          <w:lang w:val="ro-MD"/>
        </w:rPr>
        <w:t xml:space="preserve">, proiect denumit </w:t>
      </w:r>
      <w:r w:rsidRPr="0024512C">
        <w:rPr>
          <w:rFonts w:ascii="Calibri Light" w:hAnsi="Calibri Light" w:cs="Calibri Light"/>
          <w:b/>
          <w:bCs/>
          <w:i/>
          <w:sz w:val="24"/>
          <w:szCs w:val="24"/>
          <w:lang w:val="ro-MD"/>
        </w:rPr>
        <w:t>Facilitatea de Creditare pentru Tineri</w:t>
      </w:r>
      <w:r w:rsidR="005857CF" w:rsidRPr="0024512C">
        <w:rPr>
          <w:rFonts w:ascii="Calibri Light" w:hAnsi="Calibri Light" w:cs="Calibri Light"/>
          <w:b/>
          <w:bCs/>
          <w:i/>
          <w:sz w:val="24"/>
          <w:szCs w:val="24"/>
          <w:lang w:val="ro-MD"/>
        </w:rPr>
        <w:t>.</w:t>
      </w:r>
      <w:r w:rsidR="005857CF" w:rsidRPr="0024512C">
        <w:rPr>
          <w:rFonts w:ascii="Calibri Light" w:hAnsi="Calibri Light" w:cs="Calibri Light"/>
          <w:bCs/>
          <w:sz w:val="24"/>
          <w:szCs w:val="24"/>
          <w:lang w:val="ro-MD"/>
        </w:rPr>
        <w:t xml:space="preserve"> Propunerea a fost susținută prin faptul că ratele pentru beneficiarii finali ai Liniilor de credit ar putea deveni mai scumpe decât ratele medii din sistemul bancar, fapt care ar stopa semnificativ creditarea în </w:t>
      </w:r>
      <w:r w:rsidRPr="0024512C">
        <w:rPr>
          <w:rFonts w:ascii="Calibri Light" w:hAnsi="Calibri Light" w:cs="Calibri Light"/>
          <w:bCs/>
          <w:sz w:val="24"/>
          <w:szCs w:val="24"/>
          <w:lang w:val="ro-MD"/>
        </w:rPr>
        <w:t>lei</w:t>
      </w:r>
      <w:r w:rsidR="005857CF" w:rsidRPr="0024512C">
        <w:rPr>
          <w:rFonts w:ascii="Calibri Light" w:hAnsi="Calibri Light" w:cs="Calibri Light"/>
          <w:bCs/>
          <w:sz w:val="24"/>
          <w:szCs w:val="24"/>
          <w:lang w:val="ro-MD"/>
        </w:rPr>
        <w:t xml:space="preserve"> și nu ar permite asimilarea fondurilor disponibile pentru sectorul real. Necesitatea diminuării ratelor de recreditare a fondurilor a fost impusă și prin faptul că</w:t>
      </w:r>
      <w:r w:rsidR="00BF38FA">
        <w:rPr>
          <w:rFonts w:ascii="Calibri Light" w:hAnsi="Calibri Light" w:cs="Calibri Light"/>
          <w:bCs/>
          <w:sz w:val="24"/>
          <w:szCs w:val="24"/>
          <w:lang w:val="ro-MD"/>
        </w:rPr>
        <w:t>,</w:t>
      </w:r>
      <w:r w:rsidR="005857CF" w:rsidRPr="00BF38FA">
        <w:rPr>
          <w:rFonts w:ascii="Calibri Light" w:hAnsi="Calibri Light" w:cs="Calibri Light"/>
          <w:bCs/>
          <w:sz w:val="24"/>
          <w:szCs w:val="24"/>
          <w:lang w:val="ro-MD"/>
        </w:rPr>
        <w:t xml:space="preserve"> odată cu implementarea formulei noi de calcul a ratei în baza ratelor bonurilor de trezorerie de stat, </w:t>
      </w:r>
      <w:r w:rsidR="005857CF" w:rsidRPr="00BF38FA">
        <w:rPr>
          <w:rFonts w:ascii="Calibri Light" w:hAnsi="Calibri Light" w:cs="Calibri Light"/>
          <w:bCs/>
          <w:sz w:val="24"/>
          <w:szCs w:val="24"/>
          <w:lang w:val="ro-MD"/>
        </w:rPr>
        <w:lastRenderedPageBreak/>
        <w:t>resursele Liniilor de</w:t>
      </w:r>
      <w:r w:rsidR="005857CF" w:rsidRPr="0024512C">
        <w:rPr>
          <w:rFonts w:ascii="Calibri Light" w:hAnsi="Calibri Light" w:cs="Calibri Light"/>
          <w:bCs/>
          <w:sz w:val="24"/>
          <w:szCs w:val="24"/>
          <w:lang w:val="ro-MD"/>
        </w:rPr>
        <w:t xml:space="preserve"> credit au devenit mai scumpe decât resursele de creditare în sectorul bancar, devenind necompetitive și cauzând micșorarea considerabilă a volumelor de împrumuturi </w:t>
      </w:r>
      <w:proofErr w:type="spellStart"/>
      <w:r w:rsidR="005857CF" w:rsidRPr="0024512C">
        <w:rPr>
          <w:rFonts w:ascii="Calibri Light" w:hAnsi="Calibri Light" w:cs="Calibri Light"/>
          <w:bCs/>
          <w:sz w:val="24"/>
          <w:szCs w:val="24"/>
          <w:lang w:val="ro-MD"/>
        </w:rPr>
        <w:t>recreditate</w:t>
      </w:r>
      <w:proofErr w:type="spellEnd"/>
      <w:r w:rsidR="005857CF" w:rsidRPr="0024512C">
        <w:rPr>
          <w:rFonts w:ascii="Calibri Light" w:hAnsi="Calibri Light" w:cs="Calibri Light"/>
          <w:bCs/>
          <w:sz w:val="24"/>
          <w:szCs w:val="24"/>
          <w:lang w:val="ro-MD"/>
        </w:rPr>
        <w:t xml:space="preserve">. </w:t>
      </w:r>
    </w:p>
    <w:p w:rsidR="003273CB" w:rsidRPr="00BF38FA" w:rsidRDefault="005857CF" w:rsidP="003273CB">
      <w:pPr>
        <w:spacing w:line="276" w:lineRule="auto"/>
        <w:jc w:val="both"/>
        <w:rPr>
          <w:rFonts w:ascii="Calibri Light" w:hAnsi="Calibri Light" w:cs="Calibri Light"/>
          <w:bCs/>
          <w:sz w:val="24"/>
          <w:szCs w:val="24"/>
          <w:lang w:val="ro-MD"/>
        </w:rPr>
      </w:pPr>
      <w:r w:rsidRPr="0024512C">
        <w:rPr>
          <w:rFonts w:ascii="Calibri Light" w:hAnsi="Calibri Light" w:cs="Calibri Light"/>
          <w:bCs/>
          <w:sz w:val="24"/>
          <w:szCs w:val="24"/>
          <w:lang w:val="ro-MD"/>
        </w:rPr>
        <w:t>Implementarea inițiativei privind ratele promoționale diminuate pentru tineri</w:t>
      </w:r>
      <w:r w:rsidR="00643879" w:rsidRPr="0024512C">
        <w:rPr>
          <w:rFonts w:ascii="Calibri Light" w:hAnsi="Calibri Light" w:cs="Calibri Light"/>
          <w:bCs/>
          <w:sz w:val="24"/>
          <w:szCs w:val="24"/>
          <w:lang w:val="ro-MD"/>
        </w:rPr>
        <w:t>i</w:t>
      </w:r>
      <w:r w:rsidRPr="0024512C">
        <w:rPr>
          <w:rFonts w:ascii="Calibri Light" w:hAnsi="Calibri Light" w:cs="Calibri Light"/>
          <w:bCs/>
          <w:sz w:val="24"/>
          <w:szCs w:val="24"/>
          <w:lang w:val="ro-MD"/>
        </w:rPr>
        <w:t xml:space="preserve"> antreprenori a fost votată în ședința Consiliului DLC din 18.12.2018, urmând a fi începută d</w:t>
      </w:r>
      <w:r w:rsidR="003273CB" w:rsidRPr="0024512C">
        <w:rPr>
          <w:rFonts w:ascii="Calibri Light" w:hAnsi="Calibri Light" w:cs="Calibri Light"/>
          <w:bCs/>
          <w:sz w:val="24"/>
          <w:szCs w:val="24"/>
          <w:lang w:val="ro-MD"/>
        </w:rPr>
        <w:t xml:space="preserve">in 01 ianuarie 2019. În cadrul </w:t>
      </w:r>
      <w:r w:rsidR="00A311CE" w:rsidRPr="0024512C">
        <w:rPr>
          <w:rFonts w:ascii="Calibri Light" w:hAnsi="Calibri Light" w:cs="Calibri Light"/>
          <w:bCs/>
          <w:sz w:val="24"/>
          <w:szCs w:val="24"/>
          <w:lang w:val="ro-MD"/>
        </w:rPr>
        <w:t>F</w:t>
      </w:r>
      <w:r w:rsidR="009E2C8E" w:rsidRPr="0024512C">
        <w:rPr>
          <w:rFonts w:ascii="Calibri Light" w:hAnsi="Calibri Light" w:cs="Calibri Light"/>
          <w:bCs/>
          <w:sz w:val="24"/>
          <w:szCs w:val="24"/>
          <w:lang w:val="ro-MD"/>
        </w:rPr>
        <w:t xml:space="preserve">acilității de </w:t>
      </w:r>
      <w:r w:rsidR="00A311CE" w:rsidRPr="0024512C">
        <w:rPr>
          <w:rFonts w:ascii="Calibri Light" w:hAnsi="Calibri Light" w:cs="Calibri Light"/>
          <w:bCs/>
          <w:sz w:val="24"/>
          <w:szCs w:val="24"/>
          <w:lang w:val="ro-MD"/>
        </w:rPr>
        <w:t>C</w:t>
      </w:r>
      <w:r w:rsidR="009E2C8E" w:rsidRPr="0024512C">
        <w:rPr>
          <w:rFonts w:ascii="Calibri Light" w:hAnsi="Calibri Light" w:cs="Calibri Light"/>
          <w:bCs/>
          <w:sz w:val="24"/>
          <w:szCs w:val="24"/>
          <w:lang w:val="ro-MD"/>
        </w:rPr>
        <w:t xml:space="preserve">reditare pentru </w:t>
      </w:r>
      <w:r w:rsidR="00A311CE" w:rsidRPr="0024512C">
        <w:rPr>
          <w:rFonts w:ascii="Calibri Light" w:hAnsi="Calibri Light" w:cs="Calibri Light"/>
          <w:bCs/>
          <w:sz w:val="24"/>
          <w:szCs w:val="24"/>
          <w:lang w:val="ro-MD"/>
        </w:rPr>
        <w:t>T</w:t>
      </w:r>
      <w:r w:rsidR="009E2C8E" w:rsidRPr="0024512C">
        <w:rPr>
          <w:rFonts w:ascii="Calibri Light" w:hAnsi="Calibri Light" w:cs="Calibri Light"/>
          <w:bCs/>
          <w:sz w:val="24"/>
          <w:szCs w:val="24"/>
          <w:lang w:val="ro-MD"/>
        </w:rPr>
        <w:t>ineri</w:t>
      </w:r>
      <w:r w:rsidRPr="0024512C">
        <w:rPr>
          <w:rFonts w:ascii="Calibri Light" w:hAnsi="Calibri Light" w:cs="Calibri Light"/>
          <w:bCs/>
          <w:sz w:val="24"/>
          <w:szCs w:val="24"/>
          <w:lang w:val="ro-MD"/>
        </w:rPr>
        <w:t xml:space="preserve"> au fost propuse unele condiții suplimentare de eligibilitate pentru beneficiarii potențiali</w:t>
      </w:r>
      <w:r w:rsidR="00643879" w:rsidRPr="0024512C">
        <w:rPr>
          <w:rFonts w:ascii="Calibri Light" w:hAnsi="Calibri Light" w:cs="Calibri Light"/>
          <w:bCs/>
          <w:sz w:val="24"/>
          <w:szCs w:val="24"/>
          <w:lang w:val="ro-MD"/>
        </w:rPr>
        <w:t>,</w:t>
      </w:r>
      <w:r w:rsidRPr="0024512C">
        <w:rPr>
          <w:rFonts w:ascii="Calibri Light" w:hAnsi="Calibri Light" w:cs="Calibri Light"/>
          <w:bCs/>
          <w:sz w:val="24"/>
          <w:szCs w:val="24"/>
          <w:lang w:val="ro-MD"/>
        </w:rPr>
        <w:t xml:space="preserve"> cum ar fi: </w:t>
      </w:r>
      <w:r w:rsidR="00643879" w:rsidRPr="0024512C">
        <w:rPr>
          <w:rFonts w:ascii="Calibri Light" w:hAnsi="Calibri Light" w:cs="Calibri Light"/>
          <w:bCs/>
          <w:sz w:val="24"/>
          <w:szCs w:val="24"/>
          <w:lang w:val="ro-MD"/>
        </w:rPr>
        <w:t xml:space="preserve">beneficiarii să aibă vârsta cuprinsă între 18 și </w:t>
      </w:r>
      <w:r w:rsidRPr="0024512C">
        <w:rPr>
          <w:rFonts w:ascii="Calibri Light" w:hAnsi="Calibri Light" w:cs="Calibri Light"/>
          <w:bCs/>
          <w:sz w:val="24"/>
          <w:szCs w:val="24"/>
          <w:lang w:val="ro-MD"/>
        </w:rPr>
        <w:t xml:space="preserve">35 </w:t>
      </w:r>
      <w:r w:rsidR="00643879" w:rsidRPr="0024512C">
        <w:rPr>
          <w:rFonts w:ascii="Calibri Light" w:hAnsi="Calibri Light" w:cs="Calibri Light"/>
          <w:bCs/>
          <w:sz w:val="24"/>
          <w:szCs w:val="24"/>
          <w:lang w:val="ro-MD"/>
        </w:rPr>
        <w:t xml:space="preserve">de </w:t>
      </w:r>
      <w:r w:rsidRPr="0024512C">
        <w:rPr>
          <w:rFonts w:ascii="Calibri Light" w:hAnsi="Calibri Light" w:cs="Calibri Light"/>
          <w:bCs/>
          <w:sz w:val="24"/>
          <w:szCs w:val="24"/>
          <w:lang w:val="ro-MD"/>
        </w:rPr>
        <w:t xml:space="preserve">ani, suma maximă a unui </w:t>
      </w:r>
      <w:r w:rsidR="009E2C8E" w:rsidRPr="0024512C">
        <w:rPr>
          <w:rFonts w:ascii="Calibri Light" w:hAnsi="Calibri Light" w:cs="Calibri Light"/>
          <w:bCs/>
          <w:sz w:val="24"/>
          <w:szCs w:val="24"/>
          <w:lang w:val="ro-MD"/>
        </w:rPr>
        <w:t xml:space="preserve">sub-împrumut </w:t>
      </w:r>
      <w:r w:rsidR="00643879" w:rsidRPr="0024512C">
        <w:rPr>
          <w:rFonts w:ascii="Calibri Light" w:hAnsi="Calibri Light" w:cs="Calibri Light"/>
          <w:bCs/>
          <w:sz w:val="24"/>
          <w:szCs w:val="24"/>
          <w:lang w:val="ro-MD"/>
        </w:rPr>
        <w:t xml:space="preserve">să fie </w:t>
      </w:r>
      <w:r w:rsidR="009E2C8E" w:rsidRPr="0024512C">
        <w:rPr>
          <w:rFonts w:ascii="Calibri Light" w:hAnsi="Calibri Light" w:cs="Calibri Light"/>
          <w:bCs/>
          <w:sz w:val="24"/>
          <w:szCs w:val="24"/>
          <w:lang w:val="ro-MD"/>
        </w:rPr>
        <w:t>până la 1,5 mil. lei</w:t>
      </w:r>
      <w:r w:rsidRPr="0024512C">
        <w:rPr>
          <w:rFonts w:ascii="Calibri Light" w:hAnsi="Calibri Light" w:cs="Calibri Light"/>
          <w:bCs/>
          <w:sz w:val="24"/>
          <w:szCs w:val="24"/>
          <w:lang w:val="ro-MD"/>
        </w:rPr>
        <w:t xml:space="preserve">, fondatorii întreprinderii să fie cetățeni ai Republicii Moldova și să dețină cel puțin 75% din proprietatea întreprinderii, beneficiarii </w:t>
      </w:r>
      <w:r w:rsidR="00BF38FA">
        <w:rPr>
          <w:rFonts w:ascii="Calibri Light" w:hAnsi="Calibri Light" w:cs="Calibri Light"/>
          <w:bCs/>
          <w:sz w:val="24"/>
          <w:szCs w:val="24"/>
          <w:lang w:val="ro-MD"/>
        </w:rPr>
        <w:t>să</w:t>
      </w:r>
      <w:r w:rsidR="00BF38FA" w:rsidRPr="00BF38FA">
        <w:rPr>
          <w:rFonts w:ascii="Calibri Light" w:hAnsi="Calibri Light" w:cs="Calibri Light"/>
          <w:bCs/>
          <w:sz w:val="24"/>
          <w:szCs w:val="24"/>
          <w:lang w:val="ro-MD"/>
        </w:rPr>
        <w:t xml:space="preserve"> </w:t>
      </w:r>
      <w:r w:rsidRPr="00BF38FA">
        <w:rPr>
          <w:rFonts w:ascii="Calibri Light" w:hAnsi="Calibri Light" w:cs="Calibri Light"/>
          <w:bCs/>
          <w:sz w:val="24"/>
          <w:szCs w:val="24"/>
          <w:lang w:val="ro-MD"/>
        </w:rPr>
        <w:t>fi</w:t>
      </w:r>
      <w:r w:rsidR="00BF38FA">
        <w:rPr>
          <w:rFonts w:ascii="Calibri Light" w:hAnsi="Calibri Light" w:cs="Calibri Light"/>
          <w:bCs/>
          <w:sz w:val="24"/>
          <w:szCs w:val="24"/>
          <w:lang w:val="ro-MD"/>
        </w:rPr>
        <w:t>e</w:t>
      </w:r>
      <w:r w:rsidRPr="00BF38FA">
        <w:rPr>
          <w:rFonts w:ascii="Calibri Light" w:hAnsi="Calibri Light" w:cs="Calibri Light"/>
          <w:bCs/>
          <w:sz w:val="24"/>
          <w:szCs w:val="24"/>
          <w:lang w:val="ro-MD"/>
        </w:rPr>
        <w:t xml:space="preserve"> persoane fizice și juridice înregistrate p</w:t>
      </w:r>
      <w:r w:rsidR="00643879" w:rsidRPr="00BF38FA">
        <w:rPr>
          <w:rFonts w:ascii="Calibri Light" w:hAnsi="Calibri Light" w:cs="Calibri Light"/>
          <w:bCs/>
          <w:sz w:val="24"/>
          <w:szCs w:val="24"/>
          <w:lang w:val="ro-MD"/>
        </w:rPr>
        <w:t>e teritoriul Republicii Moldova</w:t>
      </w:r>
      <w:r w:rsidRPr="00BF38FA">
        <w:rPr>
          <w:rFonts w:ascii="Calibri Light" w:hAnsi="Calibri Light" w:cs="Calibri Light"/>
          <w:bCs/>
          <w:sz w:val="24"/>
          <w:szCs w:val="24"/>
          <w:lang w:val="ro-MD"/>
        </w:rPr>
        <w:t xml:space="preserve"> etc. </w:t>
      </w:r>
    </w:p>
    <w:p w:rsidR="007E0E92" w:rsidRPr="0024512C" w:rsidRDefault="005857CF" w:rsidP="002F6B88">
      <w:pPr>
        <w:spacing w:line="276" w:lineRule="auto"/>
        <w:jc w:val="both"/>
        <w:rPr>
          <w:rFonts w:ascii="Calibri Light" w:hAnsi="Calibri Light" w:cs="Calibri Light"/>
          <w:bCs/>
          <w:sz w:val="24"/>
          <w:szCs w:val="24"/>
          <w:lang w:val="ro-MD"/>
        </w:rPr>
      </w:pPr>
      <w:r w:rsidRPr="0024512C">
        <w:rPr>
          <w:rFonts w:ascii="Calibri Light" w:hAnsi="Calibri Light" w:cs="Calibri Light"/>
          <w:bCs/>
          <w:sz w:val="24"/>
          <w:szCs w:val="24"/>
          <w:lang w:val="ro-MD"/>
        </w:rPr>
        <w:t>Astfel, la situația din 31.12.2019, din contul</w:t>
      </w:r>
      <w:r w:rsidR="003273CB" w:rsidRPr="0024512C">
        <w:rPr>
          <w:rFonts w:ascii="Calibri Light" w:hAnsi="Calibri Light" w:cs="Calibri Light"/>
          <w:bCs/>
          <w:sz w:val="24"/>
          <w:szCs w:val="24"/>
          <w:lang w:val="ro-MD"/>
        </w:rPr>
        <w:t xml:space="preserve"> mijloacelor circulante FIDA I,</w:t>
      </w:r>
      <w:r w:rsidRPr="0024512C">
        <w:rPr>
          <w:rFonts w:ascii="Calibri Light" w:hAnsi="Calibri Light" w:cs="Calibri Light"/>
          <w:bCs/>
          <w:sz w:val="24"/>
          <w:szCs w:val="24"/>
          <w:lang w:val="ro-MD"/>
        </w:rPr>
        <w:t xml:space="preserve"> din numărul total de beneficiari</w:t>
      </w:r>
      <w:r w:rsidR="00643879" w:rsidRPr="0024512C">
        <w:rPr>
          <w:rFonts w:ascii="Calibri Light" w:hAnsi="Calibri Light" w:cs="Calibri Light"/>
          <w:bCs/>
          <w:sz w:val="24"/>
          <w:szCs w:val="24"/>
          <w:lang w:val="ro-MD"/>
        </w:rPr>
        <w:t xml:space="preserve"> înregistrați</w:t>
      </w:r>
      <w:r w:rsidRPr="0024512C">
        <w:rPr>
          <w:rFonts w:ascii="Calibri Light" w:hAnsi="Calibri Light" w:cs="Calibri Light"/>
          <w:bCs/>
          <w:sz w:val="24"/>
          <w:szCs w:val="24"/>
          <w:lang w:val="ro-MD"/>
        </w:rPr>
        <w:t xml:space="preserve"> în anul 2019 (233 de beneficiari), au fost acordate împrumuturi către 142</w:t>
      </w:r>
      <w:r w:rsidR="00643879" w:rsidRPr="0024512C">
        <w:rPr>
          <w:rFonts w:ascii="Calibri Light" w:hAnsi="Calibri Light" w:cs="Calibri Light"/>
          <w:bCs/>
          <w:sz w:val="24"/>
          <w:szCs w:val="24"/>
          <w:lang w:val="ro-MD"/>
        </w:rPr>
        <w:t xml:space="preserve"> de</w:t>
      </w:r>
      <w:r w:rsidRPr="0024512C">
        <w:rPr>
          <w:rFonts w:ascii="Calibri Light" w:hAnsi="Calibri Light" w:cs="Calibri Light"/>
          <w:bCs/>
          <w:sz w:val="24"/>
          <w:szCs w:val="24"/>
          <w:lang w:val="ro-MD"/>
        </w:rPr>
        <w:t xml:space="preserve"> beneficiari la rate promoționale diminuate </w:t>
      </w:r>
      <w:r w:rsidR="003273CB" w:rsidRPr="0024512C">
        <w:rPr>
          <w:rFonts w:ascii="Calibri Light" w:hAnsi="Calibri Light" w:cs="Calibri Light"/>
          <w:bCs/>
          <w:sz w:val="24"/>
          <w:szCs w:val="24"/>
          <w:lang w:val="ro-MD"/>
        </w:rPr>
        <w:t>în sumă totală de 90,24 mil.</w:t>
      </w:r>
      <w:r w:rsidR="009E2C8E" w:rsidRPr="0024512C">
        <w:rPr>
          <w:rFonts w:ascii="Calibri Light" w:hAnsi="Calibri Light" w:cs="Calibri Light"/>
          <w:bCs/>
          <w:sz w:val="24"/>
          <w:szCs w:val="24"/>
          <w:lang w:val="ro-MD"/>
        </w:rPr>
        <w:t xml:space="preserve"> lei</w:t>
      </w:r>
      <w:r w:rsidR="003273CB" w:rsidRPr="0024512C">
        <w:rPr>
          <w:rFonts w:ascii="Calibri Light" w:hAnsi="Calibri Light" w:cs="Calibri Light"/>
          <w:bCs/>
          <w:sz w:val="24"/>
          <w:szCs w:val="24"/>
          <w:lang w:val="ro-MD"/>
        </w:rPr>
        <w:t xml:space="preserve"> și din contul mijloacelor circulante FIDA V, din numărul total de beneficiari înregistrați în anul 2019 (241 de beneficiari), au beneficiat de Facilitatea de Creditare pentru Tineri 6 beneficiari</w:t>
      </w:r>
      <w:r w:rsidR="00643879" w:rsidRPr="0024512C">
        <w:rPr>
          <w:rFonts w:ascii="Calibri Light" w:hAnsi="Calibri Light" w:cs="Calibri Light"/>
          <w:bCs/>
          <w:sz w:val="24"/>
          <w:szCs w:val="24"/>
          <w:lang w:val="ro-MD"/>
        </w:rPr>
        <w:t>,</w:t>
      </w:r>
      <w:r w:rsidR="003273CB" w:rsidRPr="0024512C">
        <w:rPr>
          <w:rFonts w:ascii="Calibri Light" w:hAnsi="Calibri Light" w:cs="Calibri Light"/>
          <w:bCs/>
          <w:sz w:val="24"/>
          <w:szCs w:val="24"/>
          <w:lang w:val="ro-MD"/>
        </w:rPr>
        <w:t xml:space="preserve"> în sumă de </w:t>
      </w:r>
      <w:r w:rsidR="0010469B" w:rsidRPr="0024512C">
        <w:rPr>
          <w:rFonts w:ascii="Calibri Light" w:hAnsi="Calibri Light" w:cs="Calibri Light"/>
          <w:bCs/>
          <w:sz w:val="24"/>
          <w:szCs w:val="24"/>
          <w:lang w:val="ro-MD"/>
        </w:rPr>
        <w:t>5,51 mil.</w:t>
      </w:r>
      <w:r w:rsidR="009E2C8E" w:rsidRPr="0024512C">
        <w:rPr>
          <w:rFonts w:ascii="Calibri Light" w:hAnsi="Calibri Light" w:cs="Calibri Light"/>
          <w:bCs/>
          <w:sz w:val="24"/>
          <w:szCs w:val="24"/>
          <w:lang w:val="ro-MD"/>
        </w:rPr>
        <w:t xml:space="preserve"> lei</w:t>
      </w:r>
      <w:r w:rsidR="0010469B" w:rsidRPr="0024512C">
        <w:rPr>
          <w:rFonts w:ascii="Calibri Light" w:hAnsi="Calibri Light" w:cs="Calibri Light"/>
          <w:bCs/>
          <w:sz w:val="24"/>
          <w:szCs w:val="24"/>
          <w:lang w:val="ro-MD"/>
        </w:rPr>
        <w:t>.</w:t>
      </w:r>
    </w:p>
    <w:p w:rsidR="00AE7636" w:rsidRPr="0024512C" w:rsidRDefault="00E66D5C" w:rsidP="0085508D">
      <w:pPr>
        <w:pStyle w:val="ListParagraph"/>
        <w:numPr>
          <w:ilvl w:val="1"/>
          <w:numId w:val="2"/>
        </w:numPr>
        <w:autoSpaceDE w:val="0"/>
        <w:autoSpaceDN w:val="0"/>
        <w:adjustRightInd w:val="0"/>
        <w:spacing w:line="240" w:lineRule="auto"/>
        <w:ind w:left="0" w:firstLine="0"/>
        <w:jc w:val="both"/>
        <w:outlineLvl w:val="1"/>
        <w:rPr>
          <w:rFonts w:asciiTheme="majorHAnsi" w:eastAsia="Times New Roman" w:hAnsiTheme="majorHAnsi" w:cstheme="majorHAnsi"/>
          <w:b/>
          <w:bCs/>
          <w:color w:val="5B9BD5" w:themeColor="accent1"/>
          <w:sz w:val="26"/>
          <w:szCs w:val="26"/>
          <w:lang w:val="ro-MD" w:eastAsia="ru-RU"/>
        </w:rPr>
      </w:pPr>
      <w:bookmarkStart w:id="18" w:name="_Toc47009718"/>
      <w:r w:rsidRPr="0024512C">
        <w:rPr>
          <w:rFonts w:asciiTheme="majorHAnsi" w:eastAsia="Times New Roman" w:hAnsiTheme="majorHAnsi" w:cstheme="majorHAnsi"/>
          <w:b/>
          <w:bCs/>
          <w:color w:val="5B9BD5" w:themeColor="accent1"/>
          <w:sz w:val="26"/>
          <w:szCs w:val="26"/>
          <w:lang w:val="ro-MD" w:eastAsia="ru-RU"/>
        </w:rPr>
        <w:t>În anul 2020,</w:t>
      </w:r>
      <w:r w:rsidR="00D1683A" w:rsidRPr="0024512C">
        <w:rPr>
          <w:rFonts w:asciiTheme="majorHAnsi" w:eastAsia="Times New Roman" w:hAnsiTheme="majorHAnsi" w:cstheme="majorHAnsi"/>
          <w:b/>
          <w:bCs/>
          <w:color w:val="5B9BD5" w:themeColor="accent1"/>
          <w:sz w:val="26"/>
          <w:szCs w:val="26"/>
          <w:lang w:val="ro-MD" w:eastAsia="ru-RU"/>
        </w:rPr>
        <w:t xml:space="preserve"> Directoratul Lin</w:t>
      </w:r>
      <w:r w:rsidR="0085508D" w:rsidRPr="0024512C">
        <w:rPr>
          <w:rFonts w:asciiTheme="majorHAnsi" w:eastAsia="Times New Roman" w:hAnsiTheme="majorHAnsi" w:cstheme="majorHAnsi"/>
          <w:b/>
          <w:bCs/>
          <w:color w:val="5B9BD5" w:themeColor="accent1"/>
          <w:sz w:val="26"/>
          <w:szCs w:val="26"/>
          <w:lang w:val="ro-MD" w:eastAsia="ru-RU"/>
        </w:rPr>
        <w:t>iei de Credit a fost restructurat</w:t>
      </w:r>
      <w:r w:rsidR="00D1683A" w:rsidRPr="0024512C">
        <w:rPr>
          <w:rFonts w:asciiTheme="majorHAnsi" w:eastAsia="Times New Roman" w:hAnsiTheme="majorHAnsi" w:cstheme="majorHAnsi"/>
          <w:b/>
          <w:bCs/>
          <w:color w:val="5B9BD5" w:themeColor="accent1"/>
          <w:sz w:val="26"/>
          <w:szCs w:val="26"/>
          <w:lang w:val="ro-MD" w:eastAsia="ru-RU"/>
        </w:rPr>
        <w:t xml:space="preserve"> în Instituția Publică „Oficiul de Gestionare a Programelor de Asistență Externă”</w:t>
      </w:r>
      <w:bookmarkEnd w:id="18"/>
    </w:p>
    <w:p w:rsidR="00AE7636" w:rsidRPr="00321F59" w:rsidRDefault="00AE7636" w:rsidP="002F6B88">
      <w:pPr>
        <w:spacing w:line="276" w:lineRule="auto"/>
        <w:jc w:val="both"/>
        <w:rPr>
          <w:rFonts w:asciiTheme="majorHAnsi" w:hAnsiTheme="majorHAnsi" w:cstheme="majorHAnsi"/>
          <w:sz w:val="24"/>
          <w:lang w:val="ro-MD"/>
        </w:rPr>
      </w:pPr>
      <w:r w:rsidRPr="00321F59">
        <w:rPr>
          <w:rFonts w:asciiTheme="majorHAnsi" w:hAnsiTheme="majorHAnsi" w:cstheme="majorHAnsi"/>
          <w:sz w:val="24"/>
          <w:lang w:val="ro-MD"/>
        </w:rPr>
        <w:t xml:space="preserve">Pe parcursul executării misiunii de audit, DLC a fost </w:t>
      </w:r>
      <w:r w:rsidR="0085508D" w:rsidRPr="00321F59">
        <w:rPr>
          <w:rFonts w:asciiTheme="majorHAnsi" w:hAnsiTheme="majorHAnsi" w:cstheme="majorHAnsi"/>
          <w:sz w:val="24"/>
          <w:lang w:val="ro-MD"/>
        </w:rPr>
        <w:t>supus procesului de restructurare</w:t>
      </w:r>
      <w:r w:rsidRPr="00321F59">
        <w:rPr>
          <w:rFonts w:asciiTheme="majorHAnsi" w:hAnsiTheme="majorHAnsi" w:cstheme="majorHAnsi"/>
          <w:sz w:val="24"/>
          <w:lang w:val="ro-MD"/>
        </w:rPr>
        <w:t>. În baza Hotărârii Guvernului nr.338 din 03.06.2020</w:t>
      </w:r>
      <w:r w:rsidR="00643879" w:rsidRPr="00321F59">
        <w:rPr>
          <w:rFonts w:asciiTheme="majorHAnsi" w:hAnsiTheme="majorHAnsi" w:cstheme="majorHAnsi"/>
          <w:sz w:val="24"/>
          <w:lang w:val="ro-MD"/>
        </w:rPr>
        <w:t xml:space="preserve">, a fost aprobată modificarea denumirii </w:t>
      </w:r>
      <w:r w:rsidRPr="00321F59">
        <w:rPr>
          <w:rFonts w:asciiTheme="majorHAnsi" w:hAnsiTheme="majorHAnsi" w:cstheme="majorHAnsi"/>
          <w:sz w:val="24"/>
          <w:lang w:val="ro-MD"/>
        </w:rPr>
        <w:t xml:space="preserve">Instituției Publice „Directoratul Liniei de Credit” în Instituția Publică „Oficiul de Gestionare a Programelor de Asistență Externă” (în continuare – OGPAE) și statutul instituției. </w:t>
      </w:r>
    </w:p>
    <w:p w:rsidR="00AE7636" w:rsidRPr="00321F59" w:rsidRDefault="00AE7636" w:rsidP="002F6B88">
      <w:pPr>
        <w:spacing w:line="276" w:lineRule="auto"/>
        <w:jc w:val="both"/>
        <w:rPr>
          <w:rFonts w:asciiTheme="majorHAnsi" w:hAnsiTheme="majorHAnsi" w:cstheme="majorHAnsi"/>
          <w:sz w:val="24"/>
          <w:lang w:val="ro-MD"/>
        </w:rPr>
      </w:pPr>
      <w:r w:rsidRPr="00321F59">
        <w:rPr>
          <w:rFonts w:asciiTheme="majorHAnsi" w:hAnsiTheme="majorHAnsi" w:cstheme="majorHAnsi"/>
          <w:sz w:val="24"/>
          <w:lang w:val="ro-MD"/>
        </w:rPr>
        <w:t xml:space="preserve">Conform Statutului </w:t>
      </w:r>
      <w:r w:rsidR="000E4CDF">
        <w:rPr>
          <w:rFonts w:asciiTheme="majorHAnsi" w:hAnsiTheme="majorHAnsi" w:cstheme="majorHAnsi"/>
          <w:sz w:val="24"/>
          <w:lang w:val="ro-MD"/>
        </w:rPr>
        <w:t>său</w:t>
      </w:r>
      <w:r w:rsidR="007B1A03" w:rsidRPr="00321F59">
        <w:rPr>
          <w:rFonts w:asciiTheme="majorHAnsi" w:hAnsiTheme="majorHAnsi" w:cstheme="majorHAnsi"/>
          <w:sz w:val="24"/>
          <w:lang w:val="ro-MD"/>
        </w:rPr>
        <w:t>, OGPAE</w:t>
      </w:r>
      <w:r w:rsidRPr="00321F59">
        <w:rPr>
          <w:rFonts w:asciiTheme="majorHAnsi" w:hAnsiTheme="majorHAnsi" w:cstheme="majorHAnsi"/>
          <w:sz w:val="24"/>
          <w:lang w:val="ro-MD"/>
        </w:rPr>
        <w:t xml:space="preserve"> este o instituție publică, în care </w:t>
      </w:r>
      <w:r w:rsidR="007B1A03" w:rsidRPr="00321F59">
        <w:rPr>
          <w:rFonts w:asciiTheme="majorHAnsi" w:hAnsiTheme="majorHAnsi" w:cstheme="majorHAnsi"/>
          <w:sz w:val="24"/>
          <w:lang w:val="ro-MD"/>
        </w:rPr>
        <w:t>MF</w:t>
      </w:r>
      <w:r w:rsidRPr="00321F59">
        <w:rPr>
          <w:rFonts w:asciiTheme="majorHAnsi" w:hAnsiTheme="majorHAnsi" w:cstheme="majorHAnsi"/>
          <w:sz w:val="24"/>
          <w:lang w:val="ro-MD"/>
        </w:rPr>
        <w:t xml:space="preserve"> exercită funcția de fondator, dispune de ștampilă cu Stema de Stat a Republicii Moldova și denumire în limba de stat, are autonomie financiară și deține conturi în contul unic </w:t>
      </w:r>
      <w:proofErr w:type="spellStart"/>
      <w:r w:rsidRPr="00321F59">
        <w:rPr>
          <w:rFonts w:asciiTheme="majorHAnsi" w:hAnsiTheme="majorHAnsi" w:cstheme="majorHAnsi"/>
          <w:sz w:val="24"/>
          <w:lang w:val="ro-MD"/>
        </w:rPr>
        <w:t>trezorerial</w:t>
      </w:r>
      <w:proofErr w:type="spellEnd"/>
      <w:r w:rsidRPr="00321F59">
        <w:rPr>
          <w:rFonts w:asciiTheme="majorHAnsi" w:hAnsiTheme="majorHAnsi" w:cstheme="majorHAnsi"/>
          <w:sz w:val="24"/>
          <w:lang w:val="ro-MD"/>
        </w:rPr>
        <w:t xml:space="preserve"> al </w:t>
      </w:r>
      <w:r w:rsidR="007B1A03" w:rsidRPr="00321F59">
        <w:rPr>
          <w:rFonts w:asciiTheme="majorHAnsi" w:hAnsiTheme="majorHAnsi" w:cstheme="majorHAnsi"/>
          <w:sz w:val="24"/>
          <w:lang w:val="ro-MD"/>
        </w:rPr>
        <w:t>MF</w:t>
      </w:r>
      <w:r w:rsidRPr="00321F59">
        <w:rPr>
          <w:rFonts w:asciiTheme="majorHAnsi" w:hAnsiTheme="majorHAnsi" w:cstheme="majorHAnsi"/>
          <w:sz w:val="24"/>
          <w:lang w:val="ro-MD"/>
        </w:rPr>
        <w:t>.</w:t>
      </w:r>
    </w:p>
    <w:p w:rsidR="007B1A03" w:rsidRPr="00321F59" w:rsidRDefault="007B1A03" w:rsidP="002F6B88">
      <w:pPr>
        <w:spacing w:line="276" w:lineRule="auto"/>
        <w:jc w:val="both"/>
        <w:rPr>
          <w:rFonts w:asciiTheme="majorHAnsi" w:hAnsiTheme="majorHAnsi" w:cstheme="majorHAnsi"/>
          <w:sz w:val="24"/>
          <w:lang w:val="ro-MD"/>
        </w:rPr>
      </w:pPr>
      <w:r w:rsidRPr="00321F59">
        <w:rPr>
          <w:rFonts w:asciiTheme="majorHAnsi" w:hAnsiTheme="majorHAnsi" w:cstheme="majorHAnsi"/>
          <w:sz w:val="24"/>
          <w:lang w:val="ro-MD"/>
        </w:rPr>
        <w:t xml:space="preserve">Domeniile de competență </w:t>
      </w:r>
      <w:r w:rsidR="00F64FE1" w:rsidRPr="00321F59">
        <w:rPr>
          <w:rFonts w:asciiTheme="majorHAnsi" w:hAnsiTheme="majorHAnsi" w:cstheme="majorHAnsi"/>
          <w:sz w:val="24"/>
          <w:lang w:val="ro-MD"/>
        </w:rPr>
        <w:t>atribuite</w:t>
      </w:r>
      <w:r w:rsidRPr="00321F59">
        <w:rPr>
          <w:rFonts w:asciiTheme="majorHAnsi" w:hAnsiTheme="majorHAnsi" w:cstheme="majorHAnsi"/>
          <w:sz w:val="24"/>
          <w:lang w:val="ro-MD"/>
        </w:rPr>
        <w:t xml:space="preserve"> OGPAE</w:t>
      </w:r>
      <w:r w:rsidR="00643879" w:rsidRPr="00321F59">
        <w:rPr>
          <w:rFonts w:asciiTheme="majorHAnsi" w:hAnsiTheme="majorHAnsi" w:cstheme="majorHAnsi"/>
          <w:sz w:val="24"/>
          <w:lang w:val="ro-MD"/>
        </w:rPr>
        <w:t xml:space="preserve"> sunt</w:t>
      </w:r>
      <w:r w:rsidRPr="00321F59">
        <w:rPr>
          <w:rFonts w:asciiTheme="majorHAnsi" w:hAnsiTheme="majorHAnsi" w:cstheme="majorHAnsi"/>
          <w:sz w:val="24"/>
          <w:lang w:val="ro-MD"/>
        </w:rPr>
        <w:t xml:space="preserve">: </w:t>
      </w:r>
      <w:r w:rsidRPr="00321F59">
        <w:rPr>
          <w:rFonts w:asciiTheme="majorHAnsi" w:hAnsiTheme="majorHAnsi" w:cstheme="majorHAnsi"/>
          <w:i/>
          <w:sz w:val="24"/>
          <w:lang w:val="ro-MD"/>
        </w:rPr>
        <w:t>(1)</w:t>
      </w:r>
      <w:r w:rsidRPr="00321F59">
        <w:rPr>
          <w:rFonts w:asciiTheme="majorHAnsi" w:hAnsiTheme="majorHAnsi" w:cstheme="majorHAnsi"/>
          <w:sz w:val="24"/>
          <w:lang w:val="ro-MD"/>
        </w:rPr>
        <w:t xml:space="preserve"> contribuirea, pe baza experienței relevante, la formularea propunerilor în procesul de programare aferent programelor de cooperare transfrontalieră și transnațională; </w:t>
      </w:r>
      <w:r w:rsidRPr="00321F59">
        <w:rPr>
          <w:rFonts w:asciiTheme="majorHAnsi" w:hAnsiTheme="majorHAnsi" w:cstheme="majorHAnsi"/>
          <w:i/>
          <w:sz w:val="24"/>
          <w:lang w:val="ro-MD"/>
        </w:rPr>
        <w:t>(2)</w:t>
      </w:r>
      <w:r w:rsidRPr="00321F59">
        <w:rPr>
          <w:rFonts w:asciiTheme="majorHAnsi" w:hAnsiTheme="majorHAnsi" w:cstheme="majorHAnsi"/>
          <w:sz w:val="24"/>
          <w:lang w:val="ro-MD"/>
        </w:rPr>
        <w:t xml:space="preserve"> asigurarea suportului instituțiilor naționale în întreprinderea acțiunilor necesare pentru desemnarea și punerea în aplicare, la toate etapele, a sistemului național de management și control aferent programelor de cooperare transfrontalieră și transnațională; </w:t>
      </w:r>
      <w:r w:rsidRPr="00321F59">
        <w:rPr>
          <w:rFonts w:asciiTheme="majorHAnsi" w:hAnsiTheme="majorHAnsi" w:cstheme="majorHAnsi"/>
          <w:i/>
          <w:sz w:val="24"/>
          <w:lang w:val="ro-MD"/>
        </w:rPr>
        <w:t>(3)</w:t>
      </w:r>
      <w:r w:rsidRPr="00321F59">
        <w:rPr>
          <w:rFonts w:asciiTheme="majorHAnsi" w:hAnsiTheme="majorHAnsi" w:cstheme="majorHAnsi"/>
          <w:sz w:val="24"/>
          <w:lang w:val="ro-MD"/>
        </w:rPr>
        <w:t xml:space="preserve"> asigurarea suportului beneficiarilor naționali în procesul de depunere a cererii de finanțare în cadrul apelurilor de proiecte din programele de cooperare transfrontalieră și transnațională, dar și la etapa de implementare și monitorizare; </w:t>
      </w:r>
      <w:r w:rsidRPr="00321F59">
        <w:rPr>
          <w:rFonts w:asciiTheme="majorHAnsi" w:hAnsiTheme="majorHAnsi" w:cstheme="majorHAnsi"/>
          <w:i/>
          <w:sz w:val="24"/>
          <w:lang w:val="ro-MD"/>
        </w:rPr>
        <w:t>(4)</w:t>
      </w:r>
      <w:r w:rsidRPr="00321F59">
        <w:rPr>
          <w:rFonts w:asciiTheme="majorHAnsi" w:hAnsiTheme="majorHAnsi" w:cstheme="majorHAnsi"/>
          <w:sz w:val="24"/>
          <w:lang w:val="ro-MD"/>
        </w:rPr>
        <w:t xml:space="preserve"> contribuirea la asigurarea vizibilității programelor de cooperare transfrontalieră și transnațională eligibile pentru Republica Moldova; </w:t>
      </w:r>
      <w:r w:rsidRPr="00321F59">
        <w:rPr>
          <w:rFonts w:asciiTheme="majorHAnsi" w:hAnsiTheme="majorHAnsi" w:cstheme="majorHAnsi"/>
          <w:i/>
          <w:sz w:val="24"/>
          <w:lang w:val="ro-MD"/>
        </w:rPr>
        <w:t>(5)</w:t>
      </w:r>
      <w:r w:rsidRPr="00321F59">
        <w:rPr>
          <w:rFonts w:asciiTheme="majorHAnsi" w:hAnsiTheme="majorHAnsi" w:cstheme="majorHAnsi"/>
          <w:sz w:val="24"/>
          <w:lang w:val="ro-MD"/>
        </w:rPr>
        <w:t xml:space="preserve"> asigurarea organizării instruirilor pentru beneficiari, auditori/controlori și instituțiile naționale privind regulile programelor de cooperare transfrontalieră și transnațională; </w:t>
      </w:r>
      <w:r w:rsidRPr="00321F59">
        <w:rPr>
          <w:rFonts w:asciiTheme="majorHAnsi" w:hAnsiTheme="majorHAnsi" w:cstheme="majorHAnsi"/>
          <w:i/>
          <w:sz w:val="24"/>
          <w:lang w:val="ro-MD"/>
        </w:rPr>
        <w:t>(6)</w:t>
      </w:r>
      <w:r w:rsidRPr="00321F59">
        <w:rPr>
          <w:rFonts w:asciiTheme="majorHAnsi" w:hAnsiTheme="majorHAnsi" w:cstheme="majorHAnsi"/>
          <w:sz w:val="24"/>
          <w:lang w:val="ro-MD"/>
        </w:rPr>
        <w:t xml:space="preserve"> participarea activă, după caz, în cadrul procesului de evaluare a propunerilor de proiecte depuse în cadrul apelurilor lansate în programele de cooperare transfrontalieră și transnațională; </w:t>
      </w:r>
      <w:r w:rsidRPr="00321F59">
        <w:rPr>
          <w:rFonts w:asciiTheme="majorHAnsi" w:hAnsiTheme="majorHAnsi" w:cstheme="majorHAnsi"/>
          <w:i/>
          <w:sz w:val="24"/>
          <w:lang w:val="ro-MD"/>
        </w:rPr>
        <w:t>(7)</w:t>
      </w:r>
      <w:r w:rsidRPr="00321F59">
        <w:rPr>
          <w:rFonts w:asciiTheme="majorHAnsi" w:hAnsiTheme="majorHAnsi" w:cstheme="majorHAnsi"/>
          <w:sz w:val="24"/>
          <w:lang w:val="ro-MD"/>
        </w:rPr>
        <w:t xml:space="preserve"> recreditarea și administrarea resurselor liniilor de credit investiționale pentru dezvoltare prin intermediul instituțiilor financiare participante eligibile, finanțate din împrumuturile externe de </w:t>
      </w:r>
      <w:r w:rsidRPr="00321F59">
        <w:rPr>
          <w:rFonts w:asciiTheme="majorHAnsi" w:hAnsiTheme="majorHAnsi" w:cstheme="majorHAnsi"/>
          <w:sz w:val="24"/>
          <w:lang w:val="ro-MD"/>
        </w:rPr>
        <w:lastRenderedPageBreak/>
        <w:t xml:space="preserve">stat și/sau alte fonduri și granturi acordate OGPAE în gestiune și evidență; </w:t>
      </w:r>
      <w:r w:rsidRPr="00321F59">
        <w:rPr>
          <w:rFonts w:asciiTheme="majorHAnsi" w:hAnsiTheme="majorHAnsi" w:cstheme="majorHAnsi"/>
          <w:i/>
          <w:sz w:val="24"/>
          <w:lang w:val="ro-MD"/>
        </w:rPr>
        <w:t>(8)</w:t>
      </w:r>
      <w:r w:rsidRPr="00321F59">
        <w:rPr>
          <w:rFonts w:asciiTheme="majorHAnsi" w:hAnsiTheme="majorHAnsi" w:cstheme="majorHAnsi"/>
          <w:sz w:val="24"/>
          <w:lang w:val="ro-MD"/>
        </w:rPr>
        <w:t xml:space="preserve"> implementarea proiectelor/programelor de asistență externă conform prevederilor actelor normative sau acordurilor de asistență externă încheiate cu partenerii externi de dezvoltare; </w:t>
      </w:r>
      <w:r w:rsidRPr="00321F59">
        <w:rPr>
          <w:rFonts w:asciiTheme="majorHAnsi" w:hAnsiTheme="majorHAnsi" w:cstheme="majorHAnsi"/>
          <w:i/>
          <w:sz w:val="24"/>
          <w:lang w:val="ro-MD"/>
        </w:rPr>
        <w:t>(9)</w:t>
      </w:r>
      <w:r w:rsidRPr="00321F59">
        <w:rPr>
          <w:rFonts w:asciiTheme="majorHAnsi" w:hAnsiTheme="majorHAnsi" w:cstheme="majorHAnsi"/>
          <w:sz w:val="24"/>
          <w:lang w:val="ro-MD"/>
        </w:rPr>
        <w:t xml:space="preserve"> alte domenii atribuite prin acte normative, inclusiv ale fondatorului, în competența OGPAE.</w:t>
      </w:r>
    </w:p>
    <w:p w:rsidR="007B1A03" w:rsidRPr="00321F59" w:rsidRDefault="007B1A03" w:rsidP="002F6B88">
      <w:pPr>
        <w:spacing w:line="276" w:lineRule="auto"/>
        <w:jc w:val="both"/>
        <w:rPr>
          <w:rFonts w:asciiTheme="majorHAnsi" w:hAnsiTheme="majorHAnsi" w:cstheme="majorHAnsi"/>
          <w:sz w:val="24"/>
          <w:lang w:val="ro-MD"/>
        </w:rPr>
      </w:pPr>
      <w:r w:rsidRPr="00321F59">
        <w:rPr>
          <w:rFonts w:asciiTheme="majorHAnsi" w:hAnsiTheme="majorHAnsi" w:cstheme="majorHAnsi"/>
          <w:sz w:val="24"/>
          <w:lang w:val="ro-MD"/>
        </w:rPr>
        <w:t>Conform cadrului legal, Consiliul de supraveghere și directorul executiv au fost stabilite ca organe de conducere ale OGPAE</w:t>
      </w:r>
      <w:r w:rsidR="00C60F12" w:rsidRPr="00321F59">
        <w:rPr>
          <w:rFonts w:asciiTheme="majorHAnsi" w:hAnsiTheme="majorHAnsi" w:cstheme="majorHAnsi"/>
          <w:sz w:val="24"/>
          <w:lang w:val="ro-MD"/>
        </w:rPr>
        <w:t xml:space="preserve">, iar mijloacele de finanțare a activității OGPAE vor fi: </w:t>
      </w:r>
      <w:r w:rsidR="00C60F12" w:rsidRPr="00321F59">
        <w:rPr>
          <w:rFonts w:asciiTheme="majorHAnsi" w:hAnsiTheme="majorHAnsi" w:cstheme="majorHAnsi"/>
          <w:i/>
          <w:sz w:val="24"/>
          <w:lang w:val="ro-MD"/>
        </w:rPr>
        <w:t>(i)</w:t>
      </w:r>
      <w:r w:rsidRPr="00321F59">
        <w:rPr>
          <w:rFonts w:asciiTheme="majorHAnsi" w:hAnsiTheme="majorHAnsi" w:cstheme="majorHAnsi"/>
          <w:sz w:val="24"/>
          <w:lang w:val="ro-MD"/>
        </w:rPr>
        <w:t xml:space="preserve"> asistența tehnică a programelor, fondu</w:t>
      </w:r>
      <w:r w:rsidR="00C60F12" w:rsidRPr="00321F59">
        <w:rPr>
          <w:rFonts w:asciiTheme="majorHAnsi" w:hAnsiTheme="majorHAnsi" w:cstheme="majorHAnsi"/>
          <w:sz w:val="24"/>
          <w:lang w:val="ro-MD"/>
        </w:rPr>
        <w:t xml:space="preserve">rile instituțiilor donatoare; </w:t>
      </w:r>
      <w:r w:rsidR="00C60F12" w:rsidRPr="00321F59">
        <w:rPr>
          <w:rFonts w:asciiTheme="majorHAnsi" w:hAnsiTheme="majorHAnsi" w:cstheme="majorHAnsi"/>
          <w:i/>
          <w:sz w:val="24"/>
          <w:lang w:val="ro-MD"/>
        </w:rPr>
        <w:t>(ii)</w:t>
      </w:r>
      <w:r w:rsidRPr="00321F59">
        <w:rPr>
          <w:rFonts w:asciiTheme="majorHAnsi" w:hAnsiTheme="majorHAnsi" w:cstheme="majorHAnsi"/>
          <w:sz w:val="24"/>
          <w:lang w:val="ro-MD"/>
        </w:rPr>
        <w:t xml:space="preserve"> mijloacele fina</w:t>
      </w:r>
      <w:r w:rsidR="00C60F12" w:rsidRPr="00321F59">
        <w:rPr>
          <w:rFonts w:asciiTheme="majorHAnsi" w:hAnsiTheme="majorHAnsi" w:cstheme="majorHAnsi"/>
          <w:sz w:val="24"/>
          <w:lang w:val="ro-MD"/>
        </w:rPr>
        <w:t xml:space="preserve">nciare de la bugetul de stat; </w:t>
      </w:r>
      <w:r w:rsidR="00C60F12" w:rsidRPr="00321F59">
        <w:rPr>
          <w:rFonts w:asciiTheme="majorHAnsi" w:hAnsiTheme="majorHAnsi" w:cstheme="majorHAnsi"/>
          <w:i/>
          <w:sz w:val="24"/>
          <w:lang w:val="ro-MD"/>
        </w:rPr>
        <w:t>(iii)</w:t>
      </w:r>
      <w:r w:rsidRPr="00321F59">
        <w:rPr>
          <w:rFonts w:asciiTheme="majorHAnsi" w:hAnsiTheme="majorHAnsi" w:cstheme="majorHAnsi"/>
          <w:sz w:val="24"/>
          <w:lang w:val="ro-MD"/>
        </w:rPr>
        <w:t xml:space="preserve"> veniturile din marja de dobândă obținută din operațiunile de recreditare a fondurilor lin</w:t>
      </w:r>
      <w:r w:rsidR="00C60F12" w:rsidRPr="00321F59">
        <w:rPr>
          <w:rFonts w:asciiTheme="majorHAnsi" w:hAnsiTheme="majorHAnsi" w:cstheme="majorHAnsi"/>
          <w:sz w:val="24"/>
          <w:lang w:val="ro-MD"/>
        </w:rPr>
        <w:t xml:space="preserve">iilor de credit administrate; </w:t>
      </w:r>
      <w:r w:rsidR="00C60F12" w:rsidRPr="00321F59">
        <w:rPr>
          <w:rFonts w:asciiTheme="majorHAnsi" w:hAnsiTheme="majorHAnsi" w:cstheme="majorHAnsi"/>
          <w:i/>
          <w:sz w:val="24"/>
          <w:lang w:val="ro-MD"/>
        </w:rPr>
        <w:t>(iv)</w:t>
      </w:r>
      <w:r w:rsidRPr="00321F59">
        <w:rPr>
          <w:rFonts w:asciiTheme="majorHAnsi" w:hAnsiTheme="majorHAnsi" w:cstheme="majorHAnsi"/>
          <w:sz w:val="24"/>
          <w:lang w:val="ro-MD"/>
        </w:rPr>
        <w:t xml:space="preserve"> alte surse legale. Mijloacele financ</w:t>
      </w:r>
      <w:r w:rsidR="00C60F12" w:rsidRPr="00321F59">
        <w:rPr>
          <w:rFonts w:asciiTheme="majorHAnsi" w:hAnsiTheme="majorHAnsi" w:cstheme="majorHAnsi"/>
          <w:sz w:val="24"/>
          <w:lang w:val="ro-MD"/>
        </w:rPr>
        <w:t>iare neutilizate de către OGPAE</w:t>
      </w:r>
      <w:r w:rsidR="00643879" w:rsidRPr="00321F59">
        <w:rPr>
          <w:rFonts w:asciiTheme="majorHAnsi" w:hAnsiTheme="majorHAnsi" w:cstheme="majorHAnsi"/>
          <w:sz w:val="24"/>
          <w:lang w:val="ro-MD"/>
        </w:rPr>
        <w:t xml:space="preserve"> pe parcursul anului curent</w:t>
      </w:r>
      <w:r w:rsidRPr="00321F59">
        <w:rPr>
          <w:rFonts w:asciiTheme="majorHAnsi" w:hAnsiTheme="majorHAnsi" w:cstheme="majorHAnsi"/>
          <w:sz w:val="24"/>
          <w:lang w:val="ro-MD"/>
        </w:rPr>
        <w:t xml:space="preserve"> (soldul în cont) </w:t>
      </w:r>
      <w:r w:rsidR="00C60F12" w:rsidRPr="00321F59">
        <w:rPr>
          <w:rFonts w:asciiTheme="majorHAnsi" w:hAnsiTheme="majorHAnsi" w:cstheme="majorHAnsi"/>
          <w:sz w:val="24"/>
          <w:lang w:val="ro-MD"/>
        </w:rPr>
        <w:t>se vor transfera</w:t>
      </w:r>
      <w:r w:rsidRPr="00321F59">
        <w:rPr>
          <w:rFonts w:asciiTheme="majorHAnsi" w:hAnsiTheme="majorHAnsi" w:cstheme="majorHAnsi"/>
          <w:sz w:val="24"/>
          <w:lang w:val="ro-MD"/>
        </w:rPr>
        <w:t xml:space="preserve"> spre utilizare în anul următor, cu excepția cazului în care Consiliul </w:t>
      </w:r>
      <w:r w:rsidR="000E4CDF" w:rsidRPr="00662223">
        <w:rPr>
          <w:rFonts w:asciiTheme="majorHAnsi" w:hAnsiTheme="majorHAnsi" w:cstheme="majorHAnsi"/>
          <w:sz w:val="24"/>
          <w:lang w:val="ro-MD"/>
        </w:rPr>
        <w:t xml:space="preserve">de supraveghere </w:t>
      </w:r>
      <w:r w:rsidRPr="00321F59">
        <w:rPr>
          <w:rFonts w:asciiTheme="majorHAnsi" w:hAnsiTheme="majorHAnsi" w:cstheme="majorHAnsi"/>
          <w:sz w:val="24"/>
          <w:lang w:val="ro-MD"/>
        </w:rPr>
        <w:t>decide virarea unei părți din venituri la bugetul de stat</w:t>
      </w:r>
      <w:r w:rsidR="008A1FEF" w:rsidRPr="00321F59">
        <w:rPr>
          <w:rFonts w:asciiTheme="majorHAnsi" w:hAnsiTheme="majorHAnsi" w:cstheme="majorHAnsi"/>
          <w:sz w:val="24"/>
          <w:lang w:val="ro-MD"/>
        </w:rPr>
        <w:t xml:space="preserve"> (prevedere cu derogare de la Legea finanțelor publice și responsabilității bugetar-fiscale</w:t>
      </w:r>
      <w:r w:rsidR="008A1FEF" w:rsidRPr="00321F59">
        <w:rPr>
          <w:rStyle w:val="FootnoteReference"/>
          <w:rFonts w:asciiTheme="majorHAnsi" w:hAnsiTheme="majorHAnsi" w:cstheme="majorHAnsi"/>
          <w:sz w:val="24"/>
          <w:lang w:val="ro-MD"/>
        </w:rPr>
        <w:footnoteReference w:id="27"/>
      </w:r>
      <w:r w:rsidR="008A1FEF" w:rsidRPr="00321F59">
        <w:rPr>
          <w:rFonts w:asciiTheme="majorHAnsi" w:hAnsiTheme="majorHAnsi" w:cstheme="majorHAnsi"/>
          <w:sz w:val="24"/>
          <w:lang w:val="ro-MD"/>
        </w:rPr>
        <w:t xml:space="preserve"> având o abordare neuniformă față de alte instituții).</w:t>
      </w:r>
    </w:p>
    <w:p w:rsidR="009E4B49" w:rsidRPr="005C74F5" w:rsidRDefault="00A07D82" w:rsidP="00805CC0">
      <w:pPr>
        <w:pStyle w:val="ListParagraph"/>
        <w:numPr>
          <w:ilvl w:val="0"/>
          <w:numId w:val="1"/>
        </w:numPr>
        <w:autoSpaceDE w:val="0"/>
        <w:autoSpaceDN w:val="0"/>
        <w:adjustRightInd w:val="0"/>
        <w:spacing w:line="240" w:lineRule="auto"/>
        <w:outlineLvl w:val="0"/>
        <w:rPr>
          <w:rFonts w:asciiTheme="majorHAnsi" w:eastAsia="Times New Roman" w:hAnsiTheme="majorHAnsi" w:cstheme="majorHAnsi"/>
          <w:b/>
          <w:bCs/>
          <w:color w:val="5B9BD5" w:themeColor="accent1"/>
          <w:sz w:val="26"/>
          <w:szCs w:val="26"/>
          <w:lang w:val="ro-MD" w:eastAsia="ru-RU"/>
        </w:rPr>
      </w:pPr>
      <w:bookmarkStart w:id="19" w:name="_Toc47009719"/>
      <w:r w:rsidRPr="0024512C">
        <w:rPr>
          <w:rFonts w:asciiTheme="majorHAnsi" w:eastAsia="Times New Roman" w:hAnsiTheme="majorHAnsi" w:cstheme="majorHAnsi"/>
          <w:b/>
          <w:bCs/>
          <w:color w:val="5B9BD5" w:themeColor="accent1"/>
          <w:sz w:val="26"/>
          <w:szCs w:val="26"/>
          <w:lang w:val="ro-MD" w:eastAsia="ru-RU"/>
        </w:rPr>
        <w:t>CONCLUZIA GENERALĂ</w:t>
      </w:r>
      <w:bookmarkEnd w:id="19"/>
    </w:p>
    <w:p w:rsidR="00681CE4" w:rsidRPr="0024512C" w:rsidRDefault="00681CE4" w:rsidP="00EE46E9">
      <w:pPr>
        <w:spacing w:line="276" w:lineRule="auto"/>
        <w:jc w:val="both"/>
        <w:rPr>
          <w:rFonts w:asciiTheme="majorHAnsi" w:hAnsiTheme="majorHAnsi" w:cstheme="majorHAnsi"/>
          <w:sz w:val="24"/>
          <w:szCs w:val="24"/>
          <w:lang w:val="ro-MD" w:eastAsia="ru-RU"/>
        </w:rPr>
      </w:pPr>
      <w:r w:rsidRPr="0024512C">
        <w:rPr>
          <w:rFonts w:asciiTheme="majorHAnsi" w:hAnsiTheme="majorHAnsi" w:cstheme="majorHAnsi"/>
          <w:sz w:val="24"/>
          <w:szCs w:val="24"/>
          <w:lang w:val="ro-MD" w:eastAsia="ru-RU"/>
        </w:rPr>
        <w:t>DLC este o instituție publică fondată de MF căreia i-au fost atribuite funcțiile de gestionare și implementare a Componentelor ce țin de Liniile de credit din cadrul Proiectelor investiționale finanțate din surse externe. În a</w:t>
      </w:r>
      <w:r w:rsidR="0085508D" w:rsidRPr="0024512C">
        <w:rPr>
          <w:rFonts w:asciiTheme="majorHAnsi" w:hAnsiTheme="majorHAnsi" w:cstheme="majorHAnsi"/>
          <w:sz w:val="24"/>
          <w:szCs w:val="24"/>
          <w:lang w:val="ro-MD" w:eastAsia="ru-RU"/>
        </w:rPr>
        <w:t>nul 2020, DLC a fost restructurat</w:t>
      </w:r>
      <w:r w:rsidRPr="0024512C">
        <w:rPr>
          <w:rFonts w:asciiTheme="majorHAnsi" w:hAnsiTheme="majorHAnsi" w:cstheme="majorHAnsi"/>
          <w:sz w:val="24"/>
          <w:szCs w:val="24"/>
          <w:lang w:val="ro-MD" w:eastAsia="ru-RU"/>
        </w:rPr>
        <w:t xml:space="preserve"> în </w:t>
      </w:r>
      <w:r w:rsidRPr="00321F59">
        <w:rPr>
          <w:rFonts w:asciiTheme="majorHAnsi" w:hAnsiTheme="majorHAnsi" w:cstheme="majorHAnsi"/>
          <w:sz w:val="24"/>
          <w:lang w:val="ro-MD"/>
        </w:rPr>
        <w:t>Instituția Publică „Oficiul de Gestionare a Programelor de Asistență Externă”</w:t>
      </w:r>
      <w:r w:rsidR="0085508D" w:rsidRPr="00321F59">
        <w:rPr>
          <w:rFonts w:asciiTheme="majorHAnsi" w:hAnsiTheme="majorHAnsi" w:cstheme="majorHAnsi"/>
          <w:sz w:val="24"/>
          <w:lang w:val="ro-MD"/>
        </w:rPr>
        <w:t>, instituției restructurate</w:t>
      </w:r>
      <w:r w:rsidRPr="00321F59">
        <w:rPr>
          <w:rFonts w:asciiTheme="majorHAnsi" w:hAnsiTheme="majorHAnsi" w:cstheme="majorHAnsi"/>
          <w:sz w:val="24"/>
          <w:lang w:val="ro-MD"/>
        </w:rPr>
        <w:t xml:space="preserve"> fiindu-i atribuite și alte funcții </w:t>
      </w:r>
      <w:r w:rsidRPr="00321F59">
        <w:rPr>
          <w:rFonts w:ascii="Calibri Light" w:hAnsi="Calibri Light" w:cs="Calibri Light"/>
          <w:bCs/>
          <w:sz w:val="24"/>
          <w:szCs w:val="24"/>
          <w:lang w:val="ro-MD"/>
        </w:rPr>
        <w:t>vaste</w:t>
      </w:r>
      <w:r w:rsidRPr="00321F59">
        <w:rPr>
          <w:rFonts w:asciiTheme="majorHAnsi" w:hAnsiTheme="majorHAnsi" w:cstheme="majorHAnsi"/>
          <w:sz w:val="24"/>
          <w:lang w:val="ro-MD"/>
        </w:rPr>
        <w:t xml:space="preserve"> ce țin de </w:t>
      </w:r>
      <w:r w:rsidRPr="00321F59">
        <w:rPr>
          <w:rFonts w:ascii="Calibri Light" w:hAnsi="Calibri Light" w:cs="Calibri Light"/>
          <w:bCs/>
          <w:sz w:val="24"/>
          <w:szCs w:val="24"/>
          <w:lang w:val="ro-MD"/>
        </w:rPr>
        <w:t>programele de cooperare transfrontalieră și transnațională. Verificările auditului s-au axat pe activit</w:t>
      </w:r>
      <w:r w:rsidR="0085508D" w:rsidRPr="00321F59">
        <w:rPr>
          <w:rFonts w:ascii="Calibri Light" w:hAnsi="Calibri Light" w:cs="Calibri Light"/>
          <w:bCs/>
          <w:sz w:val="24"/>
          <w:szCs w:val="24"/>
          <w:lang w:val="ro-MD"/>
        </w:rPr>
        <w:t>atea DLC înainte de restructurare</w:t>
      </w:r>
      <w:r w:rsidRPr="00321F59">
        <w:rPr>
          <w:rFonts w:ascii="Calibri Light" w:hAnsi="Calibri Light" w:cs="Calibri Light"/>
          <w:bCs/>
          <w:sz w:val="24"/>
          <w:szCs w:val="24"/>
          <w:lang w:val="ro-MD"/>
        </w:rPr>
        <w:t>, astfel în prezentul Raport de audit a fost utilizată „DLC” ca denumirea instituției și a fost analizată performanța activității DLC realizat</w:t>
      </w:r>
      <w:r w:rsidR="000E4CDF">
        <w:rPr>
          <w:rFonts w:ascii="Calibri Light" w:hAnsi="Calibri Light" w:cs="Calibri Light"/>
          <w:bCs/>
          <w:sz w:val="24"/>
          <w:szCs w:val="24"/>
          <w:lang w:val="ro-MD"/>
        </w:rPr>
        <w:t>e</w:t>
      </w:r>
      <w:r w:rsidRPr="00321F59">
        <w:rPr>
          <w:rFonts w:ascii="Calibri Light" w:hAnsi="Calibri Light" w:cs="Calibri Light"/>
          <w:bCs/>
          <w:sz w:val="24"/>
          <w:szCs w:val="24"/>
          <w:lang w:val="ro-MD"/>
        </w:rPr>
        <w:t xml:space="preserve"> până la 31.12.2019.</w:t>
      </w:r>
    </w:p>
    <w:p w:rsidR="00681CE4" w:rsidRPr="0024512C" w:rsidRDefault="00681CE4" w:rsidP="00EE46E9">
      <w:pPr>
        <w:spacing w:line="276" w:lineRule="auto"/>
        <w:jc w:val="both"/>
        <w:rPr>
          <w:rFonts w:asciiTheme="majorHAnsi" w:hAnsiTheme="majorHAnsi" w:cstheme="majorHAnsi"/>
          <w:sz w:val="24"/>
          <w:szCs w:val="24"/>
          <w:lang w:val="ro-MD" w:eastAsia="ru-RU"/>
        </w:rPr>
      </w:pPr>
      <w:r w:rsidRPr="005C74F5">
        <w:rPr>
          <w:rFonts w:asciiTheme="majorHAnsi" w:hAnsiTheme="majorHAnsi" w:cstheme="majorHAnsi"/>
          <w:sz w:val="24"/>
          <w:szCs w:val="24"/>
          <w:lang w:val="ro-MD" w:eastAsia="ru-RU"/>
        </w:rPr>
        <w:t xml:space="preserve">Activitățile operaționale ale DLC au fost îndreptate spre </w:t>
      </w:r>
      <w:r w:rsidR="00643879" w:rsidRPr="005C74F5">
        <w:rPr>
          <w:rFonts w:asciiTheme="majorHAnsi" w:hAnsiTheme="majorHAnsi" w:cstheme="majorHAnsi"/>
          <w:sz w:val="24"/>
          <w:szCs w:val="24"/>
          <w:lang w:val="ro-MD" w:eastAsia="ru-RU"/>
        </w:rPr>
        <w:t>atingerea unei economicități</w:t>
      </w:r>
      <w:r w:rsidRPr="005C74F5">
        <w:rPr>
          <w:rFonts w:asciiTheme="majorHAnsi" w:hAnsiTheme="majorHAnsi" w:cstheme="majorHAnsi"/>
          <w:sz w:val="24"/>
          <w:szCs w:val="24"/>
          <w:lang w:val="ro-MD" w:eastAsia="ru-RU"/>
        </w:rPr>
        <w:t xml:space="preserve"> a cheltuielilor</w:t>
      </w:r>
      <w:r w:rsidR="00643879" w:rsidRPr="0024512C">
        <w:rPr>
          <w:rFonts w:asciiTheme="majorHAnsi" w:hAnsiTheme="majorHAnsi" w:cstheme="majorHAnsi"/>
          <w:sz w:val="24"/>
          <w:szCs w:val="24"/>
          <w:lang w:val="ro-MD" w:eastAsia="ru-RU"/>
        </w:rPr>
        <w:t>,</w:t>
      </w:r>
      <w:r w:rsidRPr="0024512C">
        <w:rPr>
          <w:rFonts w:asciiTheme="majorHAnsi" w:hAnsiTheme="majorHAnsi" w:cstheme="majorHAnsi"/>
          <w:sz w:val="24"/>
          <w:szCs w:val="24"/>
          <w:lang w:val="ro-MD" w:eastAsia="ru-RU"/>
        </w:rPr>
        <w:t xml:space="preserve"> care se exprimă prin menținerea pe parcursul ultimilor 5 ani a </w:t>
      </w:r>
      <w:r w:rsidR="006718DC" w:rsidRPr="0024512C">
        <w:rPr>
          <w:rFonts w:asciiTheme="majorHAnsi" w:hAnsiTheme="majorHAnsi" w:cstheme="majorHAnsi"/>
          <w:sz w:val="24"/>
          <w:szCs w:val="24"/>
          <w:lang w:val="ro-MD" w:eastAsia="ru-RU"/>
        </w:rPr>
        <w:t>unui nivel practic neschimbat de cheltuieli, precum și spre diversificarea instrumentelor de sporire a veniturilor</w:t>
      </w:r>
      <w:r w:rsidR="00643879" w:rsidRPr="0024512C">
        <w:rPr>
          <w:rFonts w:asciiTheme="majorHAnsi" w:hAnsiTheme="majorHAnsi" w:cstheme="majorHAnsi"/>
          <w:sz w:val="24"/>
          <w:szCs w:val="24"/>
          <w:lang w:val="ro-MD" w:eastAsia="ru-RU"/>
        </w:rPr>
        <w:t xml:space="preserve">, </w:t>
      </w:r>
      <w:r w:rsidR="006718DC" w:rsidRPr="0024512C">
        <w:rPr>
          <w:rFonts w:asciiTheme="majorHAnsi" w:hAnsiTheme="majorHAnsi" w:cstheme="majorHAnsi"/>
          <w:sz w:val="24"/>
          <w:szCs w:val="24"/>
          <w:lang w:val="ro-MD" w:eastAsia="ru-RU"/>
        </w:rPr>
        <w:t>prin plasarea mijloacelor fondului de autofinanțare în conturi de depozit bancar.</w:t>
      </w:r>
      <w:r w:rsidR="00BD09CC" w:rsidRPr="0024512C">
        <w:rPr>
          <w:rFonts w:asciiTheme="majorHAnsi" w:hAnsiTheme="majorHAnsi" w:cstheme="majorHAnsi"/>
          <w:sz w:val="24"/>
          <w:szCs w:val="24"/>
          <w:lang w:val="ro-MD" w:eastAsia="ru-RU"/>
        </w:rPr>
        <w:t xml:space="preserve"> În același timp</w:t>
      </w:r>
      <w:r w:rsidR="00643879" w:rsidRPr="0024512C">
        <w:rPr>
          <w:rFonts w:asciiTheme="majorHAnsi" w:hAnsiTheme="majorHAnsi" w:cstheme="majorHAnsi"/>
          <w:sz w:val="24"/>
          <w:szCs w:val="24"/>
          <w:lang w:val="ro-MD" w:eastAsia="ru-RU"/>
        </w:rPr>
        <w:t>,</w:t>
      </w:r>
      <w:r w:rsidR="00BD09CC" w:rsidRPr="0024512C">
        <w:rPr>
          <w:rFonts w:asciiTheme="majorHAnsi" w:hAnsiTheme="majorHAnsi" w:cstheme="majorHAnsi"/>
          <w:sz w:val="24"/>
          <w:szCs w:val="24"/>
          <w:lang w:val="ro-MD" w:eastAsia="ru-RU"/>
        </w:rPr>
        <w:t xml:space="preserve"> s-a identificat lipsa criteriilor legale pentru stabilirea cheltuielilor operaționale și a salariului angajaților DLC</w:t>
      </w:r>
      <w:r w:rsidR="00752979" w:rsidRPr="0024512C">
        <w:rPr>
          <w:rFonts w:asciiTheme="majorHAnsi" w:hAnsiTheme="majorHAnsi" w:cstheme="majorHAnsi"/>
          <w:sz w:val="24"/>
          <w:szCs w:val="24"/>
          <w:lang w:val="ro-MD" w:eastAsia="ru-RU"/>
        </w:rPr>
        <w:t xml:space="preserve">, precum și luarea unor decizii ce țin de </w:t>
      </w:r>
      <w:r w:rsidR="00A64E90" w:rsidRPr="0024512C">
        <w:rPr>
          <w:rFonts w:asciiTheme="majorHAnsi" w:hAnsiTheme="majorHAnsi" w:cstheme="majorHAnsi"/>
          <w:sz w:val="24"/>
          <w:szCs w:val="24"/>
          <w:lang w:val="ro-MD" w:eastAsia="ru-RU"/>
        </w:rPr>
        <w:t xml:space="preserve">gestionarea </w:t>
      </w:r>
      <w:r w:rsidR="00752979" w:rsidRPr="0024512C">
        <w:rPr>
          <w:rFonts w:asciiTheme="majorHAnsi" w:hAnsiTheme="majorHAnsi" w:cstheme="majorHAnsi"/>
          <w:sz w:val="24"/>
          <w:szCs w:val="24"/>
          <w:lang w:val="ro-MD" w:eastAsia="ru-RU"/>
        </w:rPr>
        <w:t>fondul</w:t>
      </w:r>
      <w:r w:rsidR="00A64E90" w:rsidRPr="0024512C">
        <w:rPr>
          <w:rFonts w:asciiTheme="majorHAnsi" w:hAnsiTheme="majorHAnsi" w:cstheme="majorHAnsi"/>
          <w:sz w:val="24"/>
          <w:szCs w:val="24"/>
          <w:lang w:val="ro-MD" w:eastAsia="ru-RU"/>
        </w:rPr>
        <w:t>ui</w:t>
      </w:r>
      <w:r w:rsidR="00752979" w:rsidRPr="0024512C">
        <w:rPr>
          <w:rFonts w:asciiTheme="majorHAnsi" w:hAnsiTheme="majorHAnsi" w:cstheme="majorHAnsi"/>
          <w:sz w:val="24"/>
          <w:szCs w:val="24"/>
          <w:lang w:val="ro-MD" w:eastAsia="ru-RU"/>
        </w:rPr>
        <w:t xml:space="preserve"> de autofinanțare fără înștiințarea </w:t>
      </w:r>
      <w:r w:rsidR="001E290C" w:rsidRPr="0024512C">
        <w:rPr>
          <w:rFonts w:asciiTheme="majorHAnsi" w:hAnsiTheme="majorHAnsi" w:cstheme="majorHAnsi"/>
          <w:sz w:val="24"/>
          <w:szCs w:val="24"/>
          <w:lang w:val="ro-MD" w:eastAsia="ru-RU"/>
        </w:rPr>
        <w:t xml:space="preserve">directă a </w:t>
      </w:r>
      <w:r w:rsidR="00752979" w:rsidRPr="0024512C">
        <w:rPr>
          <w:rFonts w:asciiTheme="majorHAnsi" w:hAnsiTheme="majorHAnsi" w:cstheme="majorHAnsi"/>
          <w:sz w:val="24"/>
          <w:szCs w:val="24"/>
          <w:lang w:val="ro-MD" w:eastAsia="ru-RU"/>
        </w:rPr>
        <w:t xml:space="preserve">MF, în calitate de fondator, și a Consiliului DLC. </w:t>
      </w:r>
    </w:p>
    <w:p w:rsidR="001E290C" w:rsidRPr="005C74F5" w:rsidRDefault="001E290C" w:rsidP="001E290C">
      <w:pPr>
        <w:spacing w:line="276" w:lineRule="auto"/>
        <w:jc w:val="both"/>
        <w:rPr>
          <w:rFonts w:asciiTheme="majorHAnsi" w:hAnsiTheme="majorHAnsi" w:cstheme="majorHAnsi"/>
          <w:sz w:val="24"/>
          <w:szCs w:val="24"/>
          <w:lang w:val="ro-MD" w:eastAsia="ru-RU"/>
        </w:rPr>
      </w:pPr>
      <w:r w:rsidRPr="0024512C">
        <w:rPr>
          <w:rFonts w:asciiTheme="majorHAnsi" w:hAnsiTheme="majorHAnsi" w:cstheme="majorHAnsi"/>
          <w:b/>
          <w:i/>
          <w:sz w:val="24"/>
          <w:szCs w:val="24"/>
          <w:lang w:val="ro-MD" w:eastAsia="ru-RU"/>
        </w:rPr>
        <w:t>Notă:</w:t>
      </w:r>
      <w:r w:rsidRPr="0024512C">
        <w:rPr>
          <w:rFonts w:asciiTheme="majorHAnsi" w:hAnsiTheme="majorHAnsi" w:cstheme="majorHAnsi"/>
          <w:sz w:val="24"/>
          <w:szCs w:val="24"/>
          <w:lang w:val="ro-MD" w:eastAsia="ru-RU"/>
        </w:rPr>
        <w:t xml:space="preserve"> În </w:t>
      </w:r>
      <w:r w:rsidR="00643879" w:rsidRPr="0024512C">
        <w:rPr>
          <w:rFonts w:asciiTheme="majorHAnsi" w:hAnsiTheme="majorHAnsi" w:cstheme="majorHAnsi"/>
          <w:sz w:val="24"/>
          <w:szCs w:val="24"/>
          <w:lang w:val="ro-MD" w:eastAsia="ru-RU"/>
        </w:rPr>
        <w:t>urma</w:t>
      </w:r>
      <w:r w:rsidRPr="0024512C">
        <w:rPr>
          <w:rFonts w:asciiTheme="majorHAnsi" w:hAnsiTheme="majorHAnsi" w:cstheme="majorHAnsi"/>
          <w:sz w:val="24"/>
          <w:szCs w:val="24"/>
          <w:lang w:val="ro-MD" w:eastAsia="ru-RU"/>
        </w:rPr>
        <w:t xml:space="preserve"> restructurării, Instituția Publică „Oficiul de Gestionare a Programelor de Asistență Externă” urmează să asigure transferarea soldurilor mijloacelor financiare în conturile deschise în </w:t>
      </w:r>
      <w:r w:rsidRPr="00321F59">
        <w:rPr>
          <w:rFonts w:asciiTheme="majorHAnsi" w:hAnsiTheme="majorHAnsi" w:cstheme="majorHAnsi"/>
          <w:sz w:val="24"/>
          <w:szCs w:val="24"/>
          <w:lang w:val="ro-MD" w:eastAsia="ru-RU"/>
        </w:rPr>
        <w:t xml:space="preserve">Contul Unic </w:t>
      </w:r>
      <w:proofErr w:type="spellStart"/>
      <w:r w:rsidRPr="00321F59">
        <w:rPr>
          <w:rFonts w:asciiTheme="majorHAnsi" w:hAnsiTheme="majorHAnsi" w:cstheme="majorHAnsi"/>
          <w:sz w:val="24"/>
          <w:szCs w:val="24"/>
          <w:lang w:val="ro-MD" w:eastAsia="ru-RU"/>
        </w:rPr>
        <w:t>Trezorerial</w:t>
      </w:r>
      <w:proofErr w:type="spellEnd"/>
      <w:r w:rsidRPr="00321F59">
        <w:rPr>
          <w:rFonts w:asciiTheme="majorHAnsi" w:hAnsiTheme="majorHAnsi" w:cstheme="majorHAnsi"/>
          <w:sz w:val="24"/>
          <w:szCs w:val="24"/>
          <w:lang w:val="ro-MD" w:eastAsia="ru-RU"/>
        </w:rPr>
        <w:t xml:space="preserve"> al MF și să utilizeze în activitatea sa aceste conturi, precum și stabilirea salariilor angajaților </w:t>
      </w:r>
      <w:r w:rsidRPr="00321F59">
        <w:rPr>
          <w:rFonts w:asciiTheme="majorHAnsi" w:hAnsiTheme="majorHAnsi" w:cstheme="majorHAnsi"/>
          <w:sz w:val="24"/>
          <w:szCs w:val="24"/>
          <w:lang w:val="ro-MD"/>
          <w14:glow w14:rad="0">
            <w14:schemeClr w14:val="tx1"/>
          </w14:glow>
        </w:rPr>
        <w:t xml:space="preserve">în baza </w:t>
      </w:r>
      <w:r w:rsidRPr="0024512C">
        <w:rPr>
          <w:rFonts w:asciiTheme="majorHAnsi" w:hAnsiTheme="majorHAnsi" w:cstheme="majorHAnsi"/>
          <w:sz w:val="24"/>
          <w:szCs w:val="24"/>
          <w:lang w:val="ro-MD"/>
          <w14:glow w14:rad="0">
            <w14:schemeClr w14:val="tx1"/>
          </w14:glow>
        </w:rPr>
        <w:t>Hotărârii</w:t>
      </w:r>
      <w:r w:rsidR="00643879" w:rsidRPr="005C74F5">
        <w:rPr>
          <w:rFonts w:asciiTheme="majorHAnsi" w:hAnsiTheme="majorHAnsi" w:cstheme="majorHAnsi"/>
          <w:sz w:val="24"/>
          <w:szCs w:val="24"/>
          <w:lang w:val="ro-MD"/>
          <w14:glow w14:rad="0">
            <w14:schemeClr w14:val="tx1"/>
          </w14:glow>
        </w:rPr>
        <w:t xml:space="preserve"> Guvernului nr.</w:t>
      </w:r>
      <w:r w:rsidRPr="005C74F5">
        <w:rPr>
          <w:rFonts w:asciiTheme="majorHAnsi" w:hAnsiTheme="majorHAnsi" w:cstheme="majorHAnsi"/>
          <w:sz w:val="24"/>
          <w:szCs w:val="24"/>
          <w:lang w:val="ro-MD"/>
          <w14:glow w14:rad="0">
            <w14:schemeClr w14:val="tx1"/>
          </w14:glow>
        </w:rPr>
        <w:t>743 din 11.06.2002.</w:t>
      </w:r>
    </w:p>
    <w:p w:rsidR="00F4165C" w:rsidRPr="0024512C" w:rsidRDefault="006718DC" w:rsidP="00EE46E9">
      <w:pPr>
        <w:spacing w:line="276" w:lineRule="auto"/>
        <w:jc w:val="both"/>
        <w:rPr>
          <w:rFonts w:asciiTheme="majorHAnsi" w:hAnsiTheme="majorHAnsi" w:cstheme="majorHAnsi"/>
          <w:sz w:val="24"/>
          <w:szCs w:val="24"/>
          <w:lang w:val="ro-MD" w:eastAsia="ru-RU"/>
        </w:rPr>
      </w:pPr>
      <w:r w:rsidRPr="0024512C">
        <w:rPr>
          <w:rFonts w:asciiTheme="majorHAnsi" w:hAnsiTheme="majorHAnsi" w:cstheme="majorHAnsi"/>
          <w:sz w:val="24"/>
          <w:szCs w:val="24"/>
          <w:lang w:val="ro-MD" w:eastAsia="ru-RU"/>
        </w:rPr>
        <w:t xml:space="preserve">Performanțele atinse de DLC în procesul de gestionare și monitorizare a </w:t>
      </w:r>
      <w:r w:rsidR="00643879" w:rsidRPr="0024512C">
        <w:rPr>
          <w:rFonts w:asciiTheme="majorHAnsi" w:hAnsiTheme="majorHAnsi" w:cstheme="majorHAnsi"/>
          <w:sz w:val="24"/>
          <w:szCs w:val="24"/>
          <w:lang w:val="ro-MD" w:eastAsia="ru-RU"/>
        </w:rPr>
        <w:t>P</w:t>
      </w:r>
      <w:r w:rsidRPr="0024512C">
        <w:rPr>
          <w:rFonts w:asciiTheme="majorHAnsi" w:hAnsiTheme="majorHAnsi" w:cstheme="majorHAnsi"/>
          <w:sz w:val="24"/>
          <w:szCs w:val="24"/>
          <w:lang w:val="ro-MD" w:eastAsia="ru-RU"/>
        </w:rPr>
        <w:t>roiectelor și Liniilor de credit finanțate din contul împrumuturilor externe a</w:t>
      </w:r>
      <w:r w:rsidR="00643879" w:rsidRPr="0024512C">
        <w:rPr>
          <w:rFonts w:asciiTheme="majorHAnsi" w:hAnsiTheme="majorHAnsi" w:cstheme="majorHAnsi"/>
          <w:sz w:val="24"/>
          <w:szCs w:val="24"/>
          <w:lang w:val="ro-MD" w:eastAsia="ru-RU"/>
        </w:rPr>
        <w:t>u</w:t>
      </w:r>
      <w:r w:rsidRPr="0024512C">
        <w:rPr>
          <w:rFonts w:asciiTheme="majorHAnsi" w:hAnsiTheme="majorHAnsi" w:cstheme="majorHAnsi"/>
          <w:sz w:val="24"/>
          <w:szCs w:val="24"/>
          <w:lang w:val="ro-MD" w:eastAsia="ru-RU"/>
        </w:rPr>
        <w:t xml:space="preserve"> permis</w:t>
      </w:r>
      <w:r w:rsidR="00643879" w:rsidRPr="0024512C">
        <w:rPr>
          <w:rFonts w:asciiTheme="majorHAnsi" w:hAnsiTheme="majorHAnsi" w:cstheme="majorHAnsi"/>
          <w:sz w:val="24"/>
          <w:szCs w:val="24"/>
          <w:lang w:val="ro-MD" w:eastAsia="ru-RU"/>
        </w:rPr>
        <w:t>,</w:t>
      </w:r>
      <w:r w:rsidRPr="0024512C">
        <w:rPr>
          <w:rFonts w:asciiTheme="majorHAnsi" w:hAnsiTheme="majorHAnsi" w:cstheme="majorHAnsi"/>
          <w:sz w:val="24"/>
          <w:szCs w:val="24"/>
          <w:lang w:val="ro-MD" w:eastAsia="ru-RU"/>
        </w:rPr>
        <w:t xml:space="preserve"> </w:t>
      </w:r>
      <w:r w:rsidR="00BA3CC4" w:rsidRPr="0024512C">
        <w:rPr>
          <w:rFonts w:asciiTheme="majorHAnsi" w:hAnsiTheme="majorHAnsi" w:cstheme="majorHAnsi"/>
          <w:sz w:val="24"/>
          <w:szCs w:val="24"/>
          <w:lang w:val="ro-MD" w:eastAsia="ru-RU"/>
        </w:rPr>
        <w:t>în primul rând</w:t>
      </w:r>
      <w:r w:rsidR="00643879" w:rsidRPr="0024512C">
        <w:rPr>
          <w:rFonts w:asciiTheme="majorHAnsi" w:hAnsiTheme="majorHAnsi" w:cstheme="majorHAnsi"/>
          <w:sz w:val="24"/>
          <w:szCs w:val="24"/>
          <w:lang w:val="ro-MD" w:eastAsia="ru-RU"/>
        </w:rPr>
        <w:t>,</w:t>
      </w:r>
      <w:r w:rsidR="00BA3CC4" w:rsidRPr="0024512C">
        <w:rPr>
          <w:rFonts w:asciiTheme="majorHAnsi" w:hAnsiTheme="majorHAnsi" w:cstheme="majorHAnsi"/>
          <w:sz w:val="24"/>
          <w:szCs w:val="24"/>
          <w:lang w:val="ro-MD" w:eastAsia="ru-RU"/>
        </w:rPr>
        <w:t xml:space="preserve"> </w:t>
      </w:r>
      <w:r w:rsidRPr="0024512C">
        <w:rPr>
          <w:rFonts w:asciiTheme="majorHAnsi" w:hAnsiTheme="majorHAnsi" w:cstheme="majorHAnsi"/>
          <w:sz w:val="24"/>
          <w:szCs w:val="24"/>
          <w:lang w:val="ro-MD" w:eastAsia="ru-RU"/>
        </w:rPr>
        <w:t>asigurarea rambursării în termen a sumelor datorate creditorilor externi</w:t>
      </w:r>
      <w:r w:rsidR="00F4165C" w:rsidRPr="0024512C">
        <w:rPr>
          <w:rFonts w:asciiTheme="majorHAnsi" w:hAnsiTheme="majorHAnsi" w:cstheme="majorHAnsi"/>
          <w:sz w:val="24"/>
          <w:szCs w:val="24"/>
          <w:lang w:val="ro-MD" w:eastAsia="ru-RU"/>
        </w:rPr>
        <w:t>, precum și</w:t>
      </w:r>
      <w:r w:rsidR="00BA3CC4" w:rsidRPr="0024512C">
        <w:rPr>
          <w:rFonts w:asciiTheme="majorHAnsi" w:hAnsiTheme="majorHAnsi" w:cstheme="majorHAnsi"/>
          <w:sz w:val="24"/>
          <w:szCs w:val="24"/>
          <w:lang w:val="ro-MD" w:eastAsia="ru-RU"/>
        </w:rPr>
        <w:t xml:space="preserve"> </w:t>
      </w:r>
      <w:r w:rsidR="00F4165C" w:rsidRPr="0024512C">
        <w:rPr>
          <w:rFonts w:ascii="Calibri Light" w:eastAsia="Times New Roman" w:hAnsi="Calibri Light" w:cs="Calibri Light"/>
          <w:bCs/>
          <w:color w:val="000000"/>
          <w:sz w:val="24"/>
          <w:szCs w:val="24"/>
          <w:lang w:val="ro-MD"/>
        </w:rPr>
        <w:t>sporirea atractivității proiectelor implementate prin intermediul Liniilor de credit, în special prin reducerea ratelor de dobândă pentru beneficiarii finali de sub-proiecte.</w:t>
      </w:r>
      <w:r w:rsidR="00F4165C" w:rsidRPr="0024512C">
        <w:rPr>
          <w:rFonts w:asciiTheme="majorHAnsi" w:hAnsiTheme="majorHAnsi" w:cstheme="majorHAnsi"/>
          <w:sz w:val="24"/>
          <w:szCs w:val="24"/>
          <w:lang w:val="ro-MD" w:eastAsia="ru-RU"/>
        </w:rPr>
        <w:t xml:space="preserve"> </w:t>
      </w:r>
      <w:r w:rsidR="00A66BEB" w:rsidRPr="0024512C">
        <w:rPr>
          <w:rFonts w:asciiTheme="majorHAnsi" w:hAnsiTheme="majorHAnsi" w:cstheme="majorHAnsi"/>
          <w:sz w:val="24"/>
          <w:szCs w:val="24"/>
          <w:lang w:val="ro-MD" w:eastAsia="ru-RU"/>
        </w:rPr>
        <w:t>Totodată, c</w:t>
      </w:r>
      <w:r w:rsidR="00BA3CC4" w:rsidRPr="0024512C">
        <w:rPr>
          <w:rFonts w:asciiTheme="majorHAnsi" w:hAnsiTheme="majorHAnsi" w:cstheme="majorHAnsi"/>
          <w:sz w:val="24"/>
          <w:szCs w:val="24"/>
          <w:lang w:val="ro-MD" w:eastAsia="ru-RU"/>
        </w:rPr>
        <w:t xml:space="preserve">reșterea numărului </w:t>
      </w:r>
      <w:r w:rsidR="00D003FC" w:rsidRPr="0024512C">
        <w:rPr>
          <w:rFonts w:asciiTheme="majorHAnsi" w:hAnsiTheme="majorHAnsi" w:cstheme="majorHAnsi"/>
          <w:sz w:val="24"/>
          <w:szCs w:val="24"/>
          <w:lang w:val="ro-MD" w:eastAsia="ru-RU"/>
        </w:rPr>
        <w:t xml:space="preserve">Proiectelor și a </w:t>
      </w:r>
      <w:r w:rsidR="00D003FC" w:rsidRPr="0024512C">
        <w:rPr>
          <w:rFonts w:asciiTheme="majorHAnsi" w:hAnsiTheme="majorHAnsi" w:cstheme="majorHAnsi"/>
          <w:sz w:val="24"/>
          <w:szCs w:val="24"/>
          <w:lang w:val="ro-MD" w:eastAsia="ru-RU"/>
        </w:rPr>
        <w:lastRenderedPageBreak/>
        <w:t xml:space="preserve">Liniilor de credit </w:t>
      </w:r>
      <w:r w:rsidR="00BA3CC4" w:rsidRPr="0024512C">
        <w:rPr>
          <w:rFonts w:asciiTheme="majorHAnsi" w:hAnsiTheme="majorHAnsi" w:cstheme="majorHAnsi"/>
          <w:sz w:val="24"/>
          <w:szCs w:val="24"/>
          <w:lang w:val="ro-MD" w:eastAsia="ru-RU"/>
        </w:rPr>
        <w:t xml:space="preserve">denotă </w:t>
      </w:r>
      <w:r w:rsidR="00643879" w:rsidRPr="0024512C">
        <w:rPr>
          <w:rFonts w:asciiTheme="majorHAnsi" w:hAnsiTheme="majorHAnsi" w:cstheme="majorHAnsi"/>
          <w:sz w:val="24"/>
          <w:szCs w:val="24"/>
          <w:lang w:val="ro-MD" w:eastAsia="ru-RU"/>
        </w:rPr>
        <w:t xml:space="preserve">o </w:t>
      </w:r>
      <w:r w:rsidR="00BA3CC4" w:rsidRPr="0024512C">
        <w:rPr>
          <w:rFonts w:asciiTheme="majorHAnsi" w:hAnsiTheme="majorHAnsi" w:cstheme="majorHAnsi"/>
          <w:sz w:val="24"/>
          <w:szCs w:val="24"/>
          <w:lang w:val="ro-MD" w:eastAsia="ru-RU"/>
        </w:rPr>
        <w:t>contribuție la dezvoltarea întreprinderilor mici și mijlocii</w:t>
      </w:r>
      <w:r w:rsidR="00FA5C4C" w:rsidRPr="0024512C">
        <w:rPr>
          <w:rFonts w:asciiTheme="majorHAnsi" w:hAnsiTheme="majorHAnsi" w:cstheme="majorHAnsi"/>
          <w:sz w:val="24"/>
          <w:szCs w:val="24"/>
          <w:lang w:val="ro-MD" w:eastAsia="ru-RU"/>
        </w:rPr>
        <w:t xml:space="preserve">, iar implementarea unor proiecte noi </w:t>
      </w:r>
      <w:r w:rsidR="00643879" w:rsidRPr="0024512C">
        <w:rPr>
          <w:rFonts w:asciiTheme="majorHAnsi" w:hAnsiTheme="majorHAnsi" w:cstheme="majorHAnsi"/>
          <w:sz w:val="24"/>
          <w:szCs w:val="24"/>
          <w:lang w:val="ro-MD" w:eastAsia="ru-RU"/>
        </w:rPr>
        <w:t xml:space="preserve">din contul mijloacelor circulante acumulate, </w:t>
      </w:r>
      <w:r w:rsidR="00A66BEB" w:rsidRPr="0024512C">
        <w:rPr>
          <w:rFonts w:asciiTheme="majorHAnsi" w:hAnsiTheme="majorHAnsi" w:cstheme="majorHAnsi"/>
          <w:sz w:val="24"/>
          <w:szCs w:val="24"/>
          <w:lang w:val="ro-MD" w:eastAsia="ru-RU"/>
        </w:rPr>
        <w:t xml:space="preserve">destinate în special </w:t>
      </w:r>
      <w:r w:rsidR="00643879" w:rsidRPr="0024512C">
        <w:rPr>
          <w:rFonts w:asciiTheme="majorHAnsi" w:hAnsiTheme="majorHAnsi" w:cstheme="majorHAnsi"/>
          <w:sz w:val="24"/>
          <w:szCs w:val="24"/>
          <w:lang w:val="ro-MD" w:eastAsia="ru-RU"/>
        </w:rPr>
        <w:t xml:space="preserve">persoanelor </w:t>
      </w:r>
      <w:r w:rsidR="00A66BEB" w:rsidRPr="0024512C">
        <w:rPr>
          <w:rFonts w:asciiTheme="majorHAnsi" w:hAnsiTheme="majorHAnsi" w:cstheme="majorHAnsi"/>
          <w:sz w:val="24"/>
          <w:szCs w:val="24"/>
          <w:lang w:val="ro-MD" w:eastAsia="ru-RU"/>
        </w:rPr>
        <w:t>tinere</w:t>
      </w:r>
      <w:r w:rsidR="00643879" w:rsidRPr="0024512C">
        <w:rPr>
          <w:rFonts w:asciiTheme="majorHAnsi" w:hAnsiTheme="majorHAnsi" w:cstheme="majorHAnsi"/>
          <w:sz w:val="24"/>
          <w:szCs w:val="24"/>
          <w:lang w:val="ro-MD" w:eastAsia="ru-RU"/>
        </w:rPr>
        <w:t>,</w:t>
      </w:r>
      <w:r w:rsidR="00A66BEB" w:rsidRPr="0024512C">
        <w:rPr>
          <w:rFonts w:asciiTheme="majorHAnsi" w:hAnsiTheme="majorHAnsi" w:cstheme="majorHAnsi"/>
          <w:sz w:val="24"/>
          <w:szCs w:val="24"/>
          <w:lang w:val="ro-MD" w:eastAsia="ru-RU"/>
        </w:rPr>
        <w:t xml:space="preserve"> indică </w:t>
      </w:r>
      <w:r w:rsidR="00643879" w:rsidRPr="0024512C">
        <w:rPr>
          <w:rFonts w:asciiTheme="majorHAnsi" w:hAnsiTheme="majorHAnsi" w:cstheme="majorHAnsi"/>
          <w:sz w:val="24"/>
          <w:szCs w:val="24"/>
          <w:lang w:val="ro-MD" w:eastAsia="ru-RU"/>
        </w:rPr>
        <w:t>asupra susținerii și promovării</w:t>
      </w:r>
      <w:r w:rsidRPr="0024512C">
        <w:rPr>
          <w:rFonts w:asciiTheme="majorHAnsi" w:hAnsiTheme="majorHAnsi" w:cstheme="majorHAnsi"/>
          <w:sz w:val="24"/>
          <w:szCs w:val="24"/>
          <w:lang w:val="ro-MD" w:eastAsia="ru-RU"/>
        </w:rPr>
        <w:t xml:space="preserve"> tinerilor antreprenori</w:t>
      </w:r>
      <w:r w:rsidR="00A66BEB" w:rsidRPr="0024512C">
        <w:rPr>
          <w:rFonts w:asciiTheme="majorHAnsi" w:hAnsiTheme="majorHAnsi" w:cstheme="majorHAnsi"/>
          <w:sz w:val="24"/>
          <w:szCs w:val="24"/>
          <w:lang w:val="ro-MD" w:eastAsia="ru-RU"/>
        </w:rPr>
        <w:t>.</w:t>
      </w:r>
    </w:p>
    <w:p w:rsidR="006718DC" w:rsidRPr="000E4CDF" w:rsidRDefault="00A66BEB" w:rsidP="00EE46E9">
      <w:pPr>
        <w:spacing w:line="276" w:lineRule="auto"/>
        <w:jc w:val="both"/>
        <w:rPr>
          <w:rFonts w:ascii="Calibri Light" w:hAnsi="Calibri Light" w:cs="Calibri Light"/>
          <w:bCs/>
          <w:sz w:val="24"/>
          <w:szCs w:val="24"/>
          <w:lang w:val="ro-MD"/>
        </w:rPr>
      </w:pPr>
      <w:r w:rsidRPr="0024512C">
        <w:rPr>
          <w:rFonts w:asciiTheme="majorHAnsi" w:hAnsiTheme="majorHAnsi" w:cstheme="majorHAnsi"/>
          <w:sz w:val="24"/>
          <w:szCs w:val="24"/>
          <w:lang w:val="ro-MD" w:eastAsia="ru-RU"/>
        </w:rPr>
        <w:t xml:space="preserve">Gestionarea Liniilor de credit denotă și unele neconformități în aspectul plenitudinii dosarelor prezentate de către beneficiarii de sub-împrumuturi și </w:t>
      </w:r>
      <w:r w:rsidR="00643879" w:rsidRPr="0024512C">
        <w:rPr>
          <w:rFonts w:asciiTheme="majorHAnsi" w:hAnsiTheme="majorHAnsi" w:cstheme="majorHAnsi"/>
          <w:sz w:val="24"/>
          <w:szCs w:val="24"/>
          <w:lang w:val="ro-MD" w:eastAsia="ru-RU"/>
        </w:rPr>
        <w:t>întrunirii</w:t>
      </w:r>
      <w:r w:rsidRPr="0024512C">
        <w:rPr>
          <w:rFonts w:asciiTheme="majorHAnsi" w:hAnsiTheme="majorHAnsi" w:cstheme="majorHAnsi"/>
          <w:sz w:val="24"/>
          <w:szCs w:val="24"/>
          <w:lang w:val="ro-MD" w:eastAsia="ru-RU"/>
        </w:rPr>
        <w:t xml:space="preserve"> criteriilor de eligibilitate </w:t>
      </w:r>
      <w:r w:rsidR="00643879" w:rsidRPr="0024512C">
        <w:rPr>
          <w:rFonts w:asciiTheme="majorHAnsi" w:hAnsiTheme="majorHAnsi" w:cstheme="majorHAnsi"/>
          <w:sz w:val="24"/>
          <w:szCs w:val="24"/>
          <w:lang w:val="ro-MD" w:eastAsia="ru-RU"/>
        </w:rPr>
        <w:t>de către beneficiarii</w:t>
      </w:r>
      <w:r w:rsidRPr="0024512C">
        <w:rPr>
          <w:rFonts w:asciiTheme="majorHAnsi" w:hAnsiTheme="majorHAnsi" w:cstheme="majorHAnsi"/>
          <w:sz w:val="24"/>
          <w:szCs w:val="24"/>
          <w:lang w:val="ro-MD" w:eastAsia="ru-RU"/>
        </w:rPr>
        <w:t xml:space="preserve"> </w:t>
      </w:r>
      <w:proofErr w:type="spellStart"/>
      <w:r w:rsidRPr="0024512C">
        <w:rPr>
          <w:rFonts w:asciiTheme="majorHAnsi" w:hAnsiTheme="majorHAnsi" w:cstheme="majorHAnsi"/>
          <w:sz w:val="24"/>
          <w:szCs w:val="24"/>
          <w:lang w:val="ro-MD" w:eastAsia="ru-RU"/>
        </w:rPr>
        <w:t>recreditați</w:t>
      </w:r>
      <w:proofErr w:type="spellEnd"/>
      <w:r w:rsidRPr="0024512C">
        <w:rPr>
          <w:rFonts w:asciiTheme="majorHAnsi" w:hAnsiTheme="majorHAnsi" w:cstheme="majorHAnsi"/>
          <w:sz w:val="24"/>
          <w:szCs w:val="24"/>
          <w:lang w:val="ro-MD" w:eastAsia="ru-RU"/>
        </w:rPr>
        <w:t xml:space="preserve">, care </w:t>
      </w:r>
      <w:r w:rsidR="008820F8" w:rsidRPr="0024512C">
        <w:rPr>
          <w:rFonts w:asciiTheme="majorHAnsi" w:hAnsiTheme="majorHAnsi" w:cstheme="majorHAnsi"/>
          <w:sz w:val="24"/>
          <w:szCs w:val="24"/>
          <w:lang w:val="ro-MD" w:eastAsia="ru-RU"/>
        </w:rPr>
        <w:t xml:space="preserve">însă </w:t>
      </w:r>
      <w:r w:rsidRPr="0024512C">
        <w:rPr>
          <w:rFonts w:asciiTheme="majorHAnsi" w:hAnsiTheme="majorHAnsi" w:cstheme="majorHAnsi"/>
          <w:sz w:val="24"/>
          <w:szCs w:val="24"/>
          <w:lang w:val="ro-MD" w:eastAsia="ru-RU"/>
        </w:rPr>
        <w:t xml:space="preserve">nu implică riscuri pentru activitatea de recreditare a DLC </w:t>
      </w:r>
      <w:r w:rsidR="008820F8" w:rsidRPr="0024512C">
        <w:rPr>
          <w:rFonts w:ascii="Calibri Light" w:hAnsi="Calibri Light" w:cs="Calibri Light"/>
          <w:bCs/>
          <w:sz w:val="24"/>
          <w:szCs w:val="24"/>
          <w:lang w:val="ro-MD"/>
        </w:rPr>
        <w:t>în condițiile în care toate riscurile de creditare sunt puse pe seama IFP, acestea având obligația de a rambursa sub-împrumuturile acordate</w:t>
      </w:r>
      <w:r w:rsidR="000E4CDF">
        <w:rPr>
          <w:rFonts w:ascii="Calibri Light" w:hAnsi="Calibri Light" w:cs="Calibri Light"/>
          <w:bCs/>
          <w:sz w:val="24"/>
          <w:szCs w:val="24"/>
          <w:lang w:val="ro-MD"/>
        </w:rPr>
        <w:t>,</w:t>
      </w:r>
      <w:r w:rsidR="008820F8" w:rsidRPr="000E4CDF">
        <w:rPr>
          <w:rFonts w:ascii="Calibri Light" w:hAnsi="Calibri Light" w:cs="Calibri Light"/>
          <w:bCs/>
          <w:sz w:val="24"/>
          <w:szCs w:val="24"/>
          <w:lang w:val="ro-MD"/>
        </w:rPr>
        <w:t xml:space="preserve"> indiferent de plățile efectuate de către beneficiari.</w:t>
      </w:r>
    </w:p>
    <w:p w:rsidR="005D2757" w:rsidRPr="0024512C" w:rsidRDefault="00F4165C" w:rsidP="005D2757">
      <w:pPr>
        <w:spacing w:line="276" w:lineRule="auto"/>
        <w:jc w:val="both"/>
        <w:rPr>
          <w:rFonts w:ascii="Calibri Light" w:hAnsi="Calibri Light" w:cs="Calibri Light"/>
          <w:sz w:val="24"/>
          <w:szCs w:val="24"/>
          <w:lang w:val="ro-MD"/>
        </w:rPr>
      </w:pPr>
      <w:r w:rsidRPr="0024512C">
        <w:rPr>
          <w:rFonts w:ascii="Calibri Light" w:hAnsi="Calibri Light" w:cs="Calibri Light"/>
          <w:bCs/>
          <w:sz w:val="24"/>
          <w:szCs w:val="24"/>
          <w:lang w:val="ro-MD"/>
        </w:rPr>
        <w:t xml:space="preserve">Astfel, se menționează necesitatea asigurării unei monitorizări prudente </w:t>
      </w:r>
      <w:r w:rsidRPr="0024512C">
        <w:rPr>
          <w:rFonts w:ascii="Calibri Light" w:eastAsia="Calibri" w:hAnsi="Calibri Light" w:cs="Calibri Light"/>
          <w:sz w:val="24"/>
          <w:szCs w:val="24"/>
          <w:lang w:val="ro-MD"/>
        </w:rPr>
        <w:t>a fondurilor pe care le gestionează DLC</w:t>
      </w:r>
      <w:r w:rsidR="00326FA9" w:rsidRPr="0024512C">
        <w:rPr>
          <w:rFonts w:ascii="Calibri Light" w:eastAsia="Calibri" w:hAnsi="Calibri Light" w:cs="Calibri Light"/>
          <w:sz w:val="24"/>
          <w:szCs w:val="24"/>
          <w:lang w:val="ro-MD"/>
        </w:rPr>
        <w:t>,</w:t>
      </w:r>
      <w:r w:rsidRPr="0024512C">
        <w:rPr>
          <w:rFonts w:ascii="Calibri Light" w:eastAsia="Calibri" w:hAnsi="Calibri Light" w:cs="Calibri Light"/>
          <w:sz w:val="24"/>
          <w:szCs w:val="24"/>
          <w:lang w:val="ro-MD"/>
        </w:rPr>
        <w:t xml:space="preserve"> în vederea </w:t>
      </w:r>
      <w:r w:rsidRPr="0024512C">
        <w:rPr>
          <w:rFonts w:ascii="Calibri Light" w:hAnsi="Calibri Light" w:cs="Calibri Light"/>
          <w:sz w:val="24"/>
          <w:szCs w:val="24"/>
          <w:lang w:val="ro-MD"/>
        </w:rPr>
        <w:t xml:space="preserve">respectării </w:t>
      </w:r>
      <w:r w:rsidR="00034350" w:rsidRPr="0024512C">
        <w:rPr>
          <w:rFonts w:ascii="Calibri Light" w:hAnsi="Calibri Light" w:cs="Calibri Light"/>
          <w:sz w:val="24"/>
          <w:szCs w:val="24"/>
          <w:lang w:val="ro-MD"/>
        </w:rPr>
        <w:t xml:space="preserve">continue a </w:t>
      </w:r>
      <w:r w:rsidRPr="0024512C">
        <w:rPr>
          <w:rFonts w:ascii="Calibri Light" w:hAnsi="Calibri Light" w:cs="Calibri Light"/>
          <w:sz w:val="24"/>
          <w:szCs w:val="24"/>
          <w:lang w:val="ro-MD"/>
        </w:rPr>
        <w:t xml:space="preserve">obligațiilor </w:t>
      </w:r>
      <w:r w:rsidR="00034350" w:rsidRPr="0024512C">
        <w:rPr>
          <w:rFonts w:ascii="Calibri Light" w:hAnsi="Calibri Light" w:cs="Calibri Light"/>
          <w:sz w:val="24"/>
          <w:szCs w:val="24"/>
          <w:lang w:val="ro-MD"/>
        </w:rPr>
        <w:t>de</w:t>
      </w:r>
      <w:r w:rsidRPr="0024512C">
        <w:rPr>
          <w:rFonts w:ascii="Calibri Light" w:hAnsi="Calibri Light" w:cs="Calibri Light"/>
          <w:sz w:val="24"/>
          <w:szCs w:val="24"/>
          <w:lang w:val="ro-MD"/>
        </w:rPr>
        <w:t xml:space="preserve"> rambursare</w:t>
      </w:r>
      <w:r w:rsidR="00034350" w:rsidRPr="0024512C">
        <w:rPr>
          <w:rFonts w:ascii="Calibri Light" w:hAnsi="Calibri Light" w:cs="Calibri Light"/>
          <w:sz w:val="24"/>
          <w:szCs w:val="24"/>
          <w:lang w:val="ro-MD"/>
        </w:rPr>
        <w:t xml:space="preserve"> </w:t>
      </w:r>
      <w:r w:rsidRPr="0024512C">
        <w:rPr>
          <w:rFonts w:ascii="Calibri Light" w:hAnsi="Calibri Light" w:cs="Calibri Light"/>
          <w:sz w:val="24"/>
          <w:szCs w:val="24"/>
          <w:lang w:val="ro-MD"/>
        </w:rPr>
        <w:t>a sumelor împrumuturilor externe de stat din cadrul cărora au fost finanțate Liniile de credit</w:t>
      </w:r>
      <w:r w:rsidR="00034350" w:rsidRPr="0024512C">
        <w:rPr>
          <w:rFonts w:ascii="Calibri Light" w:hAnsi="Calibri Light" w:cs="Calibri Light"/>
          <w:sz w:val="24"/>
          <w:szCs w:val="24"/>
          <w:lang w:val="ro-MD"/>
        </w:rPr>
        <w:t>, precum întreprinderea acțiunilor necesare în vederea îmbunătățirii activității DLC.</w:t>
      </w:r>
    </w:p>
    <w:p w:rsidR="005D2757" w:rsidRPr="000E4CDF" w:rsidRDefault="005D2757" w:rsidP="005D2757">
      <w:pPr>
        <w:spacing w:line="276" w:lineRule="auto"/>
        <w:jc w:val="both"/>
        <w:rPr>
          <w:rFonts w:ascii="Calibri Light" w:hAnsi="Calibri Light" w:cs="Calibri Light"/>
          <w:sz w:val="24"/>
          <w:szCs w:val="24"/>
          <w:lang w:val="ro-MD"/>
        </w:rPr>
      </w:pPr>
      <w:r w:rsidRPr="0024512C">
        <w:rPr>
          <w:rFonts w:ascii="Calibri Light" w:eastAsia="Calibri" w:hAnsi="Calibri Light" w:cs="Calibri Light"/>
          <w:bCs/>
          <w:sz w:val="24"/>
          <w:szCs w:val="24"/>
          <w:lang w:val="ro-MD"/>
        </w:rPr>
        <w:t>Totodată, în temeiul rezultatelor activităților de audit, se confirmă că datele din Informația privind activitatea de recreditare a fondurilor Liniilor de credit investiționale prin intermediul Instituțiilor Financiare Participante pentru anul 2019</w:t>
      </w:r>
      <w:r w:rsidR="000E4CDF">
        <w:rPr>
          <w:rFonts w:ascii="Calibri Light" w:eastAsia="Calibri" w:hAnsi="Calibri Light" w:cs="Calibri Light"/>
          <w:bCs/>
          <w:sz w:val="24"/>
          <w:szCs w:val="24"/>
          <w:lang w:val="ro-MD"/>
        </w:rPr>
        <w:t>,</w:t>
      </w:r>
      <w:r w:rsidRPr="000E4CDF">
        <w:rPr>
          <w:rFonts w:ascii="Calibri Light" w:eastAsia="Calibri" w:hAnsi="Calibri Light" w:cs="Calibri Light"/>
          <w:sz w:val="24"/>
          <w:szCs w:val="24"/>
          <w:lang w:val="ro-MD"/>
        </w:rPr>
        <w:t xml:space="preserve"> prezentată Ministerului Finanțelor în vederea includerii în </w:t>
      </w:r>
      <w:r w:rsidRPr="000E4CDF">
        <w:rPr>
          <w:rFonts w:ascii="Calibri Light" w:eastAsia="Calibri" w:hAnsi="Calibri Light" w:cs="Calibri Light"/>
          <w:bCs/>
          <w:sz w:val="24"/>
          <w:szCs w:val="24"/>
          <w:lang w:val="ro-MD"/>
        </w:rPr>
        <w:t>Raportul privind situația în domeniul datoriei sectorului public, garanțiilor de stat și recreditării de stat pe anul 2019</w:t>
      </w:r>
      <w:r w:rsidR="000E4CDF">
        <w:rPr>
          <w:rFonts w:ascii="Calibri Light" w:eastAsia="Calibri" w:hAnsi="Calibri Light" w:cs="Calibri Light"/>
          <w:bCs/>
          <w:sz w:val="24"/>
          <w:szCs w:val="24"/>
          <w:lang w:val="ro-MD"/>
        </w:rPr>
        <w:t>,</w:t>
      </w:r>
      <w:r w:rsidRPr="000E4CDF">
        <w:rPr>
          <w:rFonts w:ascii="Calibri Light" w:eastAsia="Calibri" w:hAnsi="Calibri Light" w:cs="Calibri Light"/>
          <w:bCs/>
          <w:sz w:val="24"/>
          <w:szCs w:val="24"/>
          <w:lang w:val="ro-MD"/>
        </w:rPr>
        <w:t xml:space="preserve"> </w:t>
      </w:r>
      <w:r w:rsidR="004418E4">
        <w:rPr>
          <w:rFonts w:ascii="Calibri Light" w:eastAsia="Calibri" w:hAnsi="Calibri Light" w:cs="Calibri Light"/>
          <w:bCs/>
          <w:sz w:val="24"/>
          <w:szCs w:val="24"/>
          <w:lang w:val="ro-MD"/>
        </w:rPr>
        <w:t>corespund</w:t>
      </w:r>
      <w:r w:rsidRPr="000E4CDF">
        <w:rPr>
          <w:rFonts w:ascii="Calibri Light" w:eastAsia="Calibri" w:hAnsi="Calibri Light" w:cs="Calibri Light"/>
          <w:bCs/>
          <w:sz w:val="24"/>
          <w:szCs w:val="24"/>
          <w:lang w:val="ro-MD"/>
        </w:rPr>
        <w:t xml:space="preserve"> evidenței contabile a</w:t>
      </w:r>
      <w:r w:rsidRPr="000E4CDF">
        <w:rPr>
          <w:rFonts w:ascii="Calibri Light" w:eastAsia="Calibri" w:hAnsi="Calibri Light" w:cs="Calibri Light"/>
          <w:sz w:val="24"/>
          <w:szCs w:val="24"/>
          <w:lang w:val="ro-MD"/>
        </w:rPr>
        <w:t xml:space="preserve"> Directoratului Liniei de Credit.</w:t>
      </w:r>
    </w:p>
    <w:p w:rsidR="000C6853" w:rsidRPr="0024512C" w:rsidRDefault="00A07D82" w:rsidP="00805CC0">
      <w:pPr>
        <w:pStyle w:val="ListParagraph"/>
        <w:numPr>
          <w:ilvl w:val="0"/>
          <w:numId w:val="1"/>
        </w:numPr>
        <w:autoSpaceDE w:val="0"/>
        <w:autoSpaceDN w:val="0"/>
        <w:adjustRightInd w:val="0"/>
        <w:spacing w:line="240" w:lineRule="auto"/>
        <w:outlineLvl w:val="0"/>
        <w:rPr>
          <w:rFonts w:asciiTheme="majorHAnsi" w:eastAsia="Times New Roman" w:hAnsiTheme="majorHAnsi" w:cstheme="majorHAnsi"/>
          <w:b/>
          <w:bCs/>
          <w:color w:val="5B9BD5" w:themeColor="accent1"/>
          <w:sz w:val="26"/>
          <w:szCs w:val="26"/>
          <w:lang w:val="ro-MD" w:eastAsia="ru-RU"/>
        </w:rPr>
      </w:pPr>
      <w:bookmarkStart w:id="20" w:name="_Toc47009720"/>
      <w:r w:rsidRPr="0024512C">
        <w:rPr>
          <w:rFonts w:asciiTheme="majorHAnsi" w:eastAsia="Times New Roman" w:hAnsiTheme="majorHAnsi" w:cstheme="majorHAnsi"/>
          <w:b/>
          <w:bCs/>
          <w:color w:val="5B9BD5" w:themeColor="accent1"/>
          <w:sz w:val="26"/>
          <w:szCs w:val="26"/>
          <w:lang w:val="ro-MD" w:eastAsia="ru-RU"/>
        </w:rPr>
        <w:t>RECOMANDĂRI</w:t>
      </w:r>
      <w:r w:rsidR="00326FA9" w:rsidRPr="0024512C">
        <w:rPr>
          <w:rFonts w:asciiTheme="majorHAnsi" w:eastAsia="Times New Roman" w:hAnsiTheme="majorHAnsi" w:cstheme="majorHAnsi"/>
          <w:b/>
          <w:bCs/>
          <w:color w:val="5B9BD5" w:themeColor="accent1"/>
          <w:sz w:val="26"/>
          <w:szCs w:val="26"/>
          <w:lang w:val="ro-MD" w:eastAsia="ru-RU"/>
        </w:rPr>
        <w:t xml:space="preserve"> </w:t>
      </w:r>
      <w:r w:rsidR="00032AE3" w:rsidRPr="0024512C">
        <w:rPr>
          <w:rFonts w:asciiTheme="majorHAnsi" w:eastAsia="Times New Roman" w:hAnsiTheme="majorHAnsi" w:cstheme="majorHAnsi"/>
          <w:b/>
          <w:bCs/>
          <w:color w:val="5B9BD5" w:themeColor="accent1"/>
          <w:sz w:val="26"/>
          <w:szCs w:val="26"/>
          <w:lang w:val="ro-MD" w:eastAsia="ru-RU"/>
        </w:rPr>
        <w:t xml:space="preserve">SUCCESORULUI </w:t>
      </w:r>
      <w:r w:rsidR="00326FA9" w:rsidRPr="0024512C">
        <w:rPr>
          <w:rFonts w:asciiTheme="majorHAnsi" w:eastAsia="Times New Roman" w:hAnsiTheme="majorHAnsi" w:cstheme="majorHAnsi"/>
          <w:b/>
          <w:bCs/>
          <w:color w:val="5B9BD5" w:themeColor="accent1"/>
          <w:sz w:val="26"/>
          <w:szCs w:val="26"/>
          <w:lang w:val="ro-MD" w:eastAsia="ru-RU"/>
        </w:rPr>
        <w:t>DIRECTORATULUI LINIEI DE CREDIT:</w:t>
      </w:r>
      <w:bookmarkEnd w:id="20"/>
    </w:p>
    <w:p w:rsidR="00373076" w:rsidRPr="0024512C" w:rsidRDefault="004A254B" w:rsidP="008A1FEF">
      <w:pPr>
        <w:pStyle w:val="ListParagraph"/>
        <w:numPr>
          <w:ilvl w:val="0"/>
          <w:numId w:val="8"/>
        </w:numPr>
        <w:ind w:left="0" w:firstLine="360"/>
        <w:jc w:val="both"/>
        <w:rPr>
          <w:rFonts w:ascii="Calibri Light" w:hAnsi="Calibri Light" w:cs="Calibri Light"/>
          <w:sz w:val="24"/>
          <w:szCs w:val="24"/>
          <w:lang w:val="ro-MD" w:eastAsia="ru-RU"/>
        </w:rPr>
      </w:pPr>
      <w:r w:rsidRPr="0024512C">
        <w:rPr>
          <w:rFonts w:ascii="Calibri Light" w:hAnsi="Calibri Light" w:cs="Calibri Light"/>
          <w:sz w:val="24"/>
          <w:szCs w:val="24"/>
          <w:lang w:val="ro-MD" w:eastAsia="ru-RU"/>
        </w:rPr>
        <w:t>S</w:t>
      </w:r>
      <w:r w:rsidR="002803B0" w:rsidRPr="0024512C">
        <w:rPr>
          <w:rFonts w:ascii="Calibri Light" w:hAnsi="Calibri Light" w:cs="Calibri Light"/>
          <w:sz w:val="24"/>
          <w:szCs w:val="24"/>
          <w:lang w:val="ro-MD" w:eastAsia="ru-RU"/>
        </w:rPr>
        <w:t xml:space="preserve">ă asigure </w:t>
      </w:r>
      <w:r w:rsidR="008A1FEF" w:rsidRPr="0024512C">
        <w:rPr>
          <w:rFonts w:ascii="Calibri Light" w:hAnsi="Calibri Light" w:cs="Calibri Light"/>
          <w:sz w:val="24"/>
          <w:szCs w:val="24"/>
          <w:lang w:val="ro-MD" w:eastAsia="ru-RU"/>
        </w:rPr>
        <w:t>stabilirea criteriilor legale pentru determinarea cheltuielilor operaționale cu încadrarea strictă a acestora în principiile și resp</w:t>
      </w:r>
      <w:r w:rsidR="00326FA9" w:rsidRPr="0024512C">
        <w:rPr>
          <w:rFonts w:ascii="Calibri Light" w:hAnsi="Calibri Light" w:cs="Calibri Light"/>
          <w:sz w:val="24"/>
          <w:szCs w:val="24"/>
          <w:lang w:val="ro-MD" w:eastAsia="ru-RU"/>
        </w:rPr>
        <w:t>onsabilitățile bugetar-fiscale;</w:t>
      </w:r>
    </w:p>
    <w:p w:rsidR="00E60B88" w:rsidRPr="000D7A72" w:rsidRDefault="004A254B" w:rsidP="00805CC0">
      <w:pPr>
        <w:pStyle w:val="ListParagraph"/>
        <w:numPr>
          <w:ilvl w:val="0"/>
          <w:numId w:val="8"/>
        </w:numPr>
        <w:ind w:left="0" w:firstLine="360"/>
        <w:jc w:val="both"/>
        <w:rPr>
          <w:rFonts w:ascii="Calibri Light" w:hAnsi="Calibri Light" w:cs="Calibri Light"/>
          <w:sz w:val="24"/>
          <w:szCs w:val="24"/>
          <w:lang w:val="ro-MD" w:eastAsia="ru-RU"/>
        </w:rPr>
      </w:pPr>
      <w:r w:rsidRPr="0024512C">
        <w:rPr>
          <w:rFonts w:ascii="Calibri Light" w:hAnsi="Calibri Light" w:cs="Calibri Light"/>
          <w:sz w:val="24"/>
          <w:szCs w:val="24"/>
          <w:lang w:val="ro-MD" w:eastAsia="ru-RU"/>
        </w:rPr>
        <w:t>S</w:t>
      </w:r>
      <w:r w:rsidR="00E60B88" w:rsidRPr="0024512C">
        <w:rPr>
          <w:rFonts w:ascii="Calibri Light" w:hAnsi="Calibri Light" w:cs="Calibri Light"/>
          <w:sz w:val="24"/>
          <w:szCs w:val="24"/>
          <w:lang w:val="ro-MD" w:eastAsia="ru-RU"/>
        </w:rPr>
        <w:t xml:space="preserve">ă asigure plenitudinea documentelor din dosarele prezentate de solicitanții noi de împrumuturi </w:t>
      </w:r>
      <w:proofErr w:type="spellStart"/>
      <w:r w:rsidR="00E60B88" w:rsidRPr="0024512C">
        <w:rPr>
          <w:rFonts w:ascii="Calibri Light" w:hAnsi="Calibri Light" w:cs="Calibri Light"/>
          <w:sz w:val="24"/>
          <w:szCs w:val="24"/>
          <w:lang w:val="ro-MD" w:eastAsia="ru-RU"/>
        </w:rPr>
        <w:t>recreditate</w:t>
      </w:r>
      <w:proofErr w:type="spellEnd"/>
      <w:r w:rsidR="00E60B88" w:rsidRPr="0024512C">
        <w:rPr>
          <w:rFonts w:ascii="Calibri Light" w:hAnsi="Calibri Light" w:cs="Calibri Light"/>
          <w:sz w:val="24"/>
          <w:szCs w:val="24"/>
          <w:lang w:val="ro-MD" w:eastAsia="ru-RU"/>
        </w:rPr>
        <w:t xml:space="preserve">, în vederea efectuării unei evaluări corecte </w:t>
      </w:r>
      <w:r w:rsidR="00326FA9" w:rsidRPr="0024512C">
        <w:rPr>
          <w:rFonts w:ascii="Calibri Light" w:hAnsi="Calibri Light" w:cs="Calibri Light"/>
          <w:sz w:val="24"/>
          <w:szCs w:val="24"/>
          <w:lang w:val="ro-MD" w:eastAsia="ru-RU"/>
        </w:rPr>
        <w:t xml:space="preserve">a eligibilității </w:t>
      </w:r>
      <w:r w:rsidR="000D7A72">
        <w:rPr>
          <w:rFonts w:ascii="Calibri Light" w:hAnsi="Calibri Light" w:cs="Calibri Light"/>
          <w:sz w:val="24"/>
          <w:szCs w:val="24"/>
          <w:lang w:val="ro-MD" w:eastAsia="ru-RU"/>
        </w:rPr>
        <w:t>acestora</w:t>
      </w:r>
      <w:r w:rsidR="00326FA9" w:rsidRPr="000D7A72">
        <w:rPr>
          <w:rFonts w:ascii="Calibri Light" w:hAnsi="Calibri Light" w:cs="Calibri Light"/>
          <w:sz w:val="24"/>
          <w:szCs w:val="24"/>
          <w:lang w:val="ro-MD" w:eastAsia="ru-RU"/>
        </w:rPr>
        <w:t>;</w:t>
      </w:r>
    </w:p>
    <w:p w:rsidR="00961459" w:rsidRPr="0024512C" w:rsidRDefault="001E290C" w:rsidP="00805CC0">
      <w:pPr>
        <w:pStyle w:val="ListParagraph"/>
        <w:numPr>
          <w:ilvl w:val="0"/>
          <w:numId w:val="8"/>
        </w:numPr>
        <w:ind w:left="0" w:firstLine="360"/>
        <w:jc w:val="both"/>
        <w:rPr>
          <w:rFonts w:ascii="Calibri Light" w:hAnsi="Calibri Light" w:cs="Calibri Light"/>
          <w:sz w:val="24"/>
          <w:szCs w:val="24"/>
          <w:lang w:val="ro-MD" w:eastAsia="ru-RU"/>
        </w:rPr>
      </w:pPr>
      <w:r w:rsidRPr="0024512C">
        <w:rPr>
          <w:rFonts w:ascii="Calibri Light" w:hAnsi="Calibri Light" w:cs="Calibri Light"/>
          <w:sz w:val="24"/>
          <w:szCs w:val="24"/>
          <w:lang w:val="ro-MD" w:eastAsia="ru-RU"/>
        </w:rPr>
        <w:t>În comun cu Ministerul Finanțelor, s</w:t>
      </w:r>
      <w:r w:rsidR="00961459" w:rsidRPr="0024512C">
        <w:rPr>
          <w:rFonts w:ascii="Calibri Light" w:hAnsi="Calibri Light" w:cs="Calibri Light"/>
          <w:sz w:val="24"/>
          <w:szCs w:val="24"/>
          <w:lang w:val="ro-MD" w:eastAsia="ru-RU"/>
        </w:rPr>
        <w:t xml:space="preserve">ă asigure monitorizarea continuă a beneficiarilor </w:t>
      </w:r>
      <w:proofErr w:type="spellStart"/>
      <w:r w:rsidR="00961459" w:rsidRPr="0024512C">
        <w:rPr>
          <w:rFonts w:ascii="Calibri Light" w:hAnsi="Calibri Light" w:cs="Calibri Light"/>
          <w:sz w:val="24"/>
          <w:szCs w:val="24"/>
          <w:lang w:val="ro-MD" w:eastAsia="ru-RU"/>
        </w:rPr>
        <w:t>recreditați</w:t>
      </w:r>
      <w:proofErr w:type="spellEnd"/>
      <w:r w:rsidR="00961459" w:rsidRPr="0024512C">
        <w:rPr>
          <w:rFonts w:ascii="Calibri Light" w:hAnsi="Calibri Light" w:cs="Calibri Light"/>
          <w:sz w:val="24"/>
          <w:szCs w:val="24"/>
          <w:lang w:val="ro-MD" w:eastAsia="ru-RU"/>
        </w:rPr>
        <w:t xml:space="preserve"> direct de către </w:t>
      </w:r>
      <w:r w:rsidR="00326FA9" w:rsidRPr="0024512C">
        <w:rPr>
          <w:rFonts w:ascii="Calibri Light" w:hAnsi="Calibri Light" w:cs="Calibri Light"/>
          <w:sz w:val="24"/>
          <w:szCs w:val="24"/>
          <w:lang w:val="ro-MD" w:eastAsia="ru-RU"/>
        </w:rPr>
        <w:t>Minister,</w:t>
      </w:r>
      <w:r w:rsidR="00961459" w:rsidRPr="0024512C">
        <w:rPr>
          <w:rFonts w:ascii="Calibri Light" w:hAnsi="Calibri Light" w:cs="Calibri Light"/>
          <w:sz w:val="24"/>
          <w:szCs w:val="24"/>
          <w:lang w:val="ro-MD" w:eastAsia="ru-RU"/>
        </w:rPr>
        <w:t xml:space="preserve"> în vederea rambursării depline a su</w:t>
      </w:r>
      <w:r w:rsidR="00326FA9" w:rsidRPr="0024512C">
        <w:rPr>
          <w:rFonts w:ascii="Calibri Light" w:hAnsi="Calibri Light" w:cs="Calibri Light"/>
          <w:sz w:val="24"/>
          <w:szCs w:val="24"/>
          <w:lang w:val="ro-MD" w:eastAsia="ru-RU"/>
        </w:rPr>
        <w:t>melor datorate de către aceștia;</w:t>
      </w:r>
    </w:p>
    <w:p w:rsidR="00023B4C" w:rsidRPr="0024512C" w:rsidRDefault="0094466A" w:rsidP="00C60073">
      <w:pPr>
        <w:pStyle w:val="ListParagraph"/>
        <w:numPr>
          <w:ilvl w:val="0"/>
          <w:numId w:val="8"/>
        </w:numPr>
        <w:ind w:left="0" w:firstLine="360"/>
        <w:jc w:val="both"/>
        <w:rPr>
          <w:rFonts w:ascii="Calibri Light" w:hAnsi="Calibri Light" w:cs="Calibri Light"/>
          <w:sz w:val="24"/>
          <w:szCs w:val="24"/>
          <w:lang w:val="ro-MD" w:eastAsia="ru-RU"/>
        </w:rPr>
      </w:pPr>
      <w:r w:rsidRPr="0024512C">
        <w:rPr>
          <w:rFonts w:ascii="Calibri Light" w:hAnsi="Calibri Light" w:cs="Calibri Light"/>
          <w:sz w:val="24"/>
          <w:szCs w:val="24"/>
          <w:lang w:val="ro-MD" w:eastAsia="ru-RU"/>
        </w:rPr>
        <w:t>În comun cu Ministerul Finanțelor, să asigure</w:t>
      </w:r>
      <w:r w:rsidR="00AD24B9" w:rsidRPr="0024512C">
        <w:rPr>
          <w:rFonts w:ascii="Calibri Light" w:hAnsi="Calibri Light" w:cs="Calibri Light"/>
          <w:sz w:val="24"/>
          <w:szCs w:val="24"/>
          <w:lang w:val="ro-MD" w:eastAsia="ru-RU"/>
        </w:rPr>
        <w:t xml:space="preserve"> stabilirea unor mecanisme de transferare</w:t>
      </w:r>
      <w:r w:rsidR="001E290C" w:rsidRPr="0024512C">
        <w:rPr>
          <w:rFonts w:ascii="Calibri Light" w:hAnsi="Calibri Light" w:cs="Calibri Light"/>
          <w:sz w:val="24"/>
          <w:szCs w:val="24"/>
          <w:lang w:val="ro-MD" w:eastAsia="ru-RU"/>
        </w:rPr>
        <w:t xml:space="preserve"> promptă</w:t>
      </w:r>
      <w:r w:rsidR="00AD24B9" w:rsidRPr="0024512C">
        <w:rPr>
          <w:rFonts w:ascii="Calibri Light" w:hAnsi="Calibri Light" w:cs="Calibri Light"/>
          <w:sz w:val="24"/>
          <w:szCs w:val="24"/>
          <w:lang w:val="ro-MD" w:eastAsia="ru-RU"/>
        </w:rPr>
        <w:t xml:space="preserve"> a sumelor încasate prin</w:t>
      </w:r>
      <w:r w:rsidR="00326FA9" w:rsidRPr="0024512C">
        <w:rPr>
          <w:rFonts w:ascii="Calibri Light" w:hAnsi="Calibri Light" w:cs="Calibri Light"/>
          <w:sz w:val="24"/>
          <w:szCs w:val="24"/>
          <w:lang w:val="ro-MD" w:eastAsia="ru-RU"/>
        </w:rPr>
        <w:t xml:space="preserve"> intermediul</w:t>
      </w:r>
      <w:r w:rsidR="00AD24B9" w:rsidRPr="0024512C">
        <w:rPr>
          <w:rFonts w:ascii="Calibri Light" w:hAnsi="Calibri Light" w:cs="Calibri Light"/>
          <w:sz w:val="24"/>
          <w:szCs w:val="24"/>
          <w:lang w:val="ro-MD" w:eastAsia="ru-RU"/>
        </w:rPr>
        <w:t xml:space="preserve"> Serviciul</w:t>
      </w:r>
      <w:r w:rsidR="00326FA9" w:rsidRPr="0024512C">
        <w:rPr>
          <w:rFonts w:ascii="Calibri Light" w:hAnsi="Calibri Light" w:cs="Calibri Light"/>
          <w:sz w:val="24"/>
          <w:szCs w:val="24"/>
          <w:lang w:val="ro-MD" w:eastAsia="ru-RU"/>
        </w:rPr>
        <w:t>ui</w:t>
      </w:r>
      <w:r w:rsidR="00AD24B9" w:rsidRPr="0024512C">
        <w:rPr>
          <w:rFonts w:ascii="Calibri Light" w:hAnsi="Calibri Light" w:cs="Calibri Light"/>
          <w:sz w:val="24"/>
          <w:szCs w:val="24"/>
          <w:lang w:val="ro-MD" w:eastAsia="ru-RU"/>
        </w:rPr>
        <w:t xml:space="preserve"> Fiscal de Stat din debitarea forțată a datoriilor expirate, pentru </w:t>
      </w:r>
      <w:r w:rsidR="00BD09CC" w:rsidRPr="0024512C">
        <w:rPr>
          <w:rFonts w:ascii="Calibri Light" w:hAnsi="Calibri Light" w:cs="Calibri Light"/>
          <w:sz w:val="24"/>
          <w:szCs w:val="24"/>
          <w:lang w:val="ro-MD" w:eastAsia="ru-RU"/>
        </w:rPr>
        <w:t>a utiliza mijloacele conform destinației și</w:t>
      </w:r>
      <w:r w:rsidR="00AD24B9" w:rsidRPr="0024512C">
        <w:rPr>
          <w:rFonts w:ascii="Calibri Light" w:hAnsi="Calibri Light" w:cs="Calibri Light"/>
          <w:sz w:val="24"/>
          <w:szCs w:val="24"/>
          <w:lang w:val="ro-MD" w:eastAsia="ru-RU"/>
        </w:rPr>
        <w:t xml:space="preserve"> nu </w:t>
      </w:r>
      <w:r w:rsidR="00BD09CC" w:rsidRPr="0024512C">
        <w:rPr>
          <w:rFonts w:ascii="Calibri Light" w:hAnsi="Calibri Light" w:cs="Calibri Light"/>
          <w:sz w:val="24"/>
          <w:szCs w:val="24"/>
          <w:lang w:val="ro-MD" w:eastAsia="ru-RU"/>
        </w:rPr>
        <w:t xml:space="preserve">a </w:t>
      </w:r>
      <w:r w:rsidR="00AD24B9" w:rsidRPr="0024512C">
        <w:rPr>
          <w:rFonts w:ascii="Calibri Light" w:hAnsi="Calibri Light" w:cs="Calibri Light"/>
          <w:sz w:val="24"/>
          <w:szCs w:val="24"/>
          <w:lang w:val="ro-MD" w:eastAsia="ru-RU"/>
        </w:rPr>
        <w:t xml:space="preserve">admite reținerea îndelungată a </w:t>
      </w:r>
      <w:r w:rsidR="00CF4DB7" w:rsidRPr="0024512C">
        <w:rPr>
          <w:rFonts w:ascii="Calibri Light" w:hAnsi="Calibri Light" w:cs="Calibri Light"/>
          <w:sz w:val="24"/>
          <w:szCs w:val="24"/>
          <w:lang w:val="ro-MD" w:eastAsia="ru-RU"/>
        </w:rPr>
        <w:t>acestora</w:t>
      </w:r>
      <w:r w:rsidR="00AD24B9" w:rsidRPr="0024512C">
        <w:rPr>
          <w:rFonts w:ascii="Calibri Light" w:hAnsi="Calibri Light" w:cs="Calibri Light"/>
          <w:sz w:val="24"/>
          <w:szCs w:val="24"/>
          <w:lang w:val="ro-MD" w:eastAsia="ru-RU"/>
        </w:rPr>
        <w:t xml:space="preserve"> la</w:t>
      </w:r>
      <w:r w:rsidR="00B63DC4" w:rsidRPr="0024512C">
        <w:rPr>
          <w:rFonts w:ascii="Calibri Light" w:hAnsi="Calibri Light" w:cs="Calibri Light"/>
          <w:sz w:val="24"/>
          <w:szCs w:val="24"/>
          <w:lang w:val="ro-MD" w:eastAsia="ru-RU"/>
        </w:rPr>
        <w:t xml:space="preserve"> Trezoreria de Stat.</w:t>
      </w:r>
      <w:r w:rsidR="00AD24B9" w:rsidRPr="0024512C">
        <w:rPr>
          <w:rFonts w:ascii="Calibri Light" w:hAnsi="Calibri Light" w:cs="Calibri Light"/>
          <w:sz w:val="24"/>
          <w:szCs w:val="24"/>
          <w:lang w:val="ro-MD" w:eastAsia="ru-RU"/>
        </w:rPr>
        <w:t xml:space="preserve"> </w:t>
      </w:r>
    </w:p>
    <w:p w:rsidR="00AB71E8" w:rsidRDefault="00AB71E8" w:rsidP="002E6CCB">
      <w:pPr>
        <w:spacing w:after="0"/>
        <w:jc w:val="both"/>
        <w:rPr>
          <w:rFonts w:asciiTheme="majorHAnsi" w:hAnsiTheme="majorHAnsi" w:cstheme="majorHAnsi"/>
          <w:b/>
          <w:sz w:val="24"/>
          <w:szCs w:val="24"/>
          <w:lang w:val="ro-MD" w:eastAsia="ru-RU"/>
        </w:rPr>
      </w:pPr>
    </w:p>
    <w:p w:rsidR="002E6CCB" w:rsidRPr="00321F59" w:rsidRDefault="002E6CCB" w:rsidP="002E6CCB">
      <w:pPr>
        <w:spacing w:after="0"/>
        <w:jc w:val="both"/>
        <w:rPr>
          <w:rFonts w:asciiTheme="majorHAnsi" w:hAnsiTheme="majorHAnsi" w:cstheme="majorHAnsi"/>
          <w:b/>
          <w:sz w:val="24"/>
          <w:szCs w:val="24"/>
          <w:lang w:val="ro-MD" w:eastAsia="ru-RU"/>
        </w:rPr>
      </w:pPr>
      <w:r w:rsidRPr="00321F59">
        <w:rPr>
          <w:rFonts w:asciiTheme="majorHAnsi" w:hAnsiTheme="majorHAnsi" w:cstheme="majorHAnsi"/>
          <w:b/>
          <w:sz w:val="24"/>
          <w:szCs w:val="24"/>
          <w:lang w:val="ro-MD" w:eastAsia="ru-RU"/>
        </w:rPr>
        <w:t>Semnăturile echipei de audit</w:t>
      </w:r>
    </w:p>
    <w:p w:rsidR="00AB71E8" w:rsidRDefault="00AB71E8" w:rsidP="002E6CCB">
      <w:pPr>
        <w:spacing w:after="0"/>
        <w:jc w:val="both"/>
        <w:rPr>
          <w:rFonts w:asciiTheme="majorHAnsi" w:hAnsiTheme="majorHAnsi" w:cstheme="majorHAnsi"/>
          <w:b/>
          <w:sz w:val="24"/>
          <w:szCs w:val="24"/>
          <w:lang w:val="ro-MD" w:eastAsia="ru-RU"/>
        </w:rPr>
      </w:pPr>
    </w:p>
    <w:p w:rsidR="002E6CCB" w:rsidRPr="00321F59" w:rsidRDefault="002E6CCB" w:rsidP="002E6CCB">
      <w:pPr>
        <w:spacing w:after="0"/>
        <w:jc w:val="both"/>
        <w:rPr>
          <w:rFonts w:asciiTheme="majorHAnsi" w:hAnsiTheme="majorHAnsi" w:cstheme="majorHAnsi"/>
          <w:b/>
          <w:sz w:val="24"/>
          <w:szCs w:val="24"/>
          <w:lang w:val="ro-MD" w:eastAsia="ru-RU"/>
        </w:rPr>
      </w:pPr>
      <w:r w:rsidRPr="00321F59">
        <w:rPr>
          <w:rFonts w:asciiTheme="majorHAnsi" w:hAnsiTheme="majorHAnsi" w:cstheme="majorHAnsi"/>
          <w:b/>
          <w:sz w:val="24"/>
          <w:szCs w:val="24"/>
          <w:lang w:val="ro-MD" w:eastAsia="ru-RU"/>
        </w:rPr>
        <w:t>Șeful echipei de audit,</w:t>
      </w:r>
    </w:p>
    <w:p w:rsidR="002E6CCB" w:rsidRPr="00321F59" w:rsidRDefault="002E6CCB" w:rsidP="002E6CCB">
      <w:pPr>
        <w:jc w:val="both"/>
        <w:rPr>
          <w:rFonts w:asciiTheme="majorHAnsi" w:hAnsiTheme="majorHAnsi" w:cstheme="majorHAnsi"/>
          <w:sz w:val="24"/>
          <w:szCs w:val="24"/>
          <w:lang w:val="ro-MD" w:eastAsia="ru-RU"/>
        </w:rPr>
      </w:pPr>
      <w:r w:rsidRPr="00321F59">
        <w:rPr>
          <w:rFonts w:asciiTheme="majorHAnsi" w:hAnsiTheme="majorHAnsi" w:cstheme="majorHAnsi"/>
          <w:i/>
          <w:sz w:val="24"/>
          <w:szCs w:val="24"/>
          <w:lang w:val="ro-MD" w:eastAsia="ru-RU"/>
        </w:rPr>
        <w:t>auditor public principal</w:t>
      </w:r>
      <w:r w:rsidRPr="00321F59">
        <w:rPr>
          <w:rFonts w:asciiTheme="majorHAnsi" w:hAnsiTheme="majorHAnsi" w:cstheme="majorHAnsi"/>
          <w:sz w:val="24"/>
          <w:szCs w:val="24"/>
          <w:lang w:val="ro-MD" w:eastAsia="ru-RU"/>
        </w:rPr>
        <w:t xml:space="preserve">,                                                                                </w:t>
      </w:r>
      <w:r w:rsidRPr="00321F59">
        <w:rPr>
          <w:rFonts w:asciiTheme="majorHAnsi" w:hAnsiTheme="majorHAnsi" w:cstheme="majorHAnsi"/>
          <w:b/>
          <w:i/>
          <w:sz w:val="24"/>
          <w:szCs w:val="24"/>
          <w:lang w:val="ro-MD" w:eastAsia="ru-RU"/>
        </w:rPr>
        <w:t>Irina Postolachi</w:t>
      </w:r>
    </w:p>
    <w:p w:rsidR="002E6CCB" w:rsidRPr="00321F59" w:rsidRDefault="002E6CCB" w:rsidP="002E6CCB">
      <w:pPr>
        <w:jc w:val="both"/>
        <w:rPr>
          <w:rFonts w:asciiTheme="majorHAnsi" w:hAnsiTheme="majorHAnsi" w:cstheme="majorHAnsi"/>
          <w:b/>
          <w:i/>
          <w:sz w:val="24"/>
          <w:szCs w:val="24"/>
          <w:lang w:val="ro-MD" w:eastAsia="ru-RU"/>
        </w:rPr>
      </w:pPr>
      <w:r w:rsidRPr="00321F59">
        <w:rPr>
          <w:rFonts w:asciiTheme="majorHAnsi" w:hAnsiTheme="majorHAnsi" w:cstheme="majorHAnsi"/>
          <w:i/>
          <w:sz w:val="24"/>
          <w:szCs w:val="24"/>
          <w:lang w:val="ro-MD" w:eastAsia="ru-RU"/>
        </w:rPr>
        <w:t>Auditor public superior</w:t>
      </w:r>
      <w:r w:rsidRPr="00321F59">
        <w:rPr>
          <w:rFonts w:asciiTheme="majorHAnsi" w:hAnsiTheme="majorHAnsi" w:cstheme="majorHAnsi"/>
          <w:sz w:val="24"/>
          <w:szCs w:val="24"/>
          <w:lang w:val="ro-MD" w:eastAsia="ru-RU"/>
        </w:rPr>
        <w:t xml:space="preserve">,                                                                                </w:t>
      </w:r>
      <w:r w:rsidRPr="00321F59">
        <w:rPr>
          <w:rFonts w:asciiTheme="majorHAnsi" w:hAnsiTheme="majorHAnsi" w:cstheme="majorHAnsi"/>
          <w:b/>
          <w:i/>
          <w:sz w:val="24"/>
          <w:szCs w:val="24"/>
          <w:lang w:val="ro-MD" w:eastAsia="ru-RU"/>
        </w:rPr>
        <w:t>Oxana Popescu</w:t>
      </w:r>
    </w:p>
    <w:p w:rsidR="00AB71E8" w:rsidRDefault="00AB71E8" w:rsidP="002E6CCB">
      <w:pPr>
        <w:spacing w:after="0"/>
        <w:jc w:val="both"/>
        <w:rPr>
          <w:rFonts w:asciiTheme="majorHAnsi" w:hAnsiTheme="majorHAnsi" w:cstheme="majorHAnsi"/>
          <w:b/>
          <w:sz w:val="24"/>
          <w:szCs w:val="24"/>
          <w:lang w:val="ro-MD" w:eastAsia="ru-RU"/>
        </w:rPr>
      </w:pPr>
    </w:p>
    <w:p w:rsidR="002E6CCB" w:rsidRPr="00321F59" w:rsidRDefault="002E6CCB" w:rsidP="002E6CCB">
      <w:pPr>
        <w:spacing w:after="0"/>
        <w:jc w:val="both"/>
        <w:rPr>
          <w:rFonts w:asciiTheme="majorHAnsi" w:hAnsiTheme="majorHAnsi" w:cstheme="majorHAnsi"/>
          <w:b/>
          <w:sz w:val="24"/>
          <w:szCs w:val="24"/>
          <w:lang w:val="ro-MD" w:eastAsia="ru-RU"/>
        </w:rPr>
      </w:pPr>
      <w:r w:rsidRPr="00321F59">
        <w:rPr>
          <w:rFonts w:asciiTheme="majorHAnsi" w:hAnsiTheme="majorHAnsi" w:cstheme="majorHAnsi"/>
          <w:b/>
          <w:sz w:val="24"/>
          <w:szCs w:val="24"/>
          <w:lang w:val="ro-MD" w:eastAsia="ru-RU"/>
        </w:rPr>
        <w:t>Responsabil de audit:</w:t>
      </w:r>
    </w:p>
    <w:p w:rsidR="002E6CCB" w:rsidRDefault="002E6CCB" w:rsidP="002E6CCB">
      <w:pPr>
        <w:jc w:val="both"/>
        <w:rPr>
          <w:rFonts w:asciiTheme="majorHAnsi" w:hAnsiTheme="majorHAnsi" w:cstheme="majorHAnsi"/>
          <w:b/>
          <w:i/>
          <w:sz w:val="24"/>
          <w:szCs w:val="24"/>
          <w:lang w:val="ro-MD" w:eastAsia="ru-RU"/>
        </w:rPr>
      </w:pPr>
      <w:r w:rsidRPr="00321F59">
        <w:rPr>
          <w:rFonts w:asciiTheme="majorHAnsi" w:hAnsiTheme="majorHAnsi" w:cstheme="majorHAnsi"/>
          <w:i/>
          <w:sz w:val="24"/>
          <w:szCs w:val="24"/>
          <w:lang w:val="ro-MD" w:eastAsia="ru-RU"/>
        </w:rPr>
        <w:t>Șeful Direcției generale de audit I,</w:t>
      </w:r>
      <w:r w:rsidRPr="00321F59">
        <w:rPr>
          <w:rFonts w:asciiTheme="majorHAnsi" w:hAnsiTheme="majorHAnsi" w:cstheme="majorHAnsi"/>
          <w:sz w:val="24"/>
          <w:szCs w:val="24"/>
          <w:lang w:val="ro-MD" w:eastAsia="ru-RU"/>
        </w:rPr>
        <w:t xml:space="preserve">                                                              </w:t>
      </w:r>
      <w:r w:rsidRPr="00321F59">
        <w:rPr>
          <w:rFonts w:asciiTheme="majorHAnsi" w:hAnsiTheme="majorHAnsi" w:cstheme="majorHAnsi"/>
          <w:b/>
          <w:i/>
          <w:sz w:val="24"/>
          <w:szCs w:val="24"/>
          <w:lang w:val="ro-MD" w:eastAsia="ru-RU"/>
        </w:rPr>
        <w:t>Natalia Trofim</w:t>
      </w:r>
    </w:p>
    <w:p w:rsidR="00321F59" w:rsidRDefault="00321F59" w:rsidP="002E6CCB">
      <w:pPr>
        <w:jc w:val="both"/>
        <w:rPr>
          <w:rFonts w:asciiTheme="majorHAnsi" w:hAnsiTheme="majorHAnsi" w:cstheme="majorHAnsi"/>
          <w:b/>
          <w:i/>
          <w:sz w:val="24"/>
          <w:szCs w:val="24"/>
          <w:lang w:val="ro-MD" w:eastAsia="ru-RU"/>
        </w:rPr>
      </w:pPr>
    </w:p>
    <w:p w:rsidR="00321F59" w:rsidRPr="00321F59" w:rsidRDefault="00321F59" w:rsidP="002E6CCB">
      <w:pPr>
        <w:jc w:val="both"/>
        <w:rPr>
          <w:rFonts w:asciiTheme="majorHAnsi" w:hAnsiTheme="majorHAnsi" w:cstheme="majorHAnsi"/>
          <w:b/>
          <w:i/>
          <w:sz w:val="24"/>
          <w:szCs w:val="24"/>
          <w:lang w:val="ro-MD" w:eastAsia="ru-RU"/>
        </w:rPr>
      </w:pPr>
    </w:p>
    <w:p w:rsidR="003F1007" w:rsidRPr="005C74F5" w:rsidRDefault="00A07D82" w:rsidP="00961459">
      <w:pPr>
        <w:pStyle w:val="Heading1"/>
        <w:jc w:val="right"/>
        <w:rPr>
          <w:rFonts w:eastAsia="Times New Roman" w:cstheme="majorHAnsi"/>
          <w:b/>
          <w:bCs/>
          <w:color w:val="5B9BD5" w:themeColor="accent1"/>
          <w:sz w:val="26"/>
          <w:szCs w:val="26"/>
          <w:lang w:val="ro-MD" w:eastAsia="ru-RU"/>
        </w:rPr>
      </w:pPr>
      <w:bookmarkStart w:id="21" w:name="_Toc47009721"/>
      <w:r w:rsidRPr="0024512C">
        <w:rPr>
          <w:rFonts w:eastAsia="Times New Roman" w:cstheme="majorHAnsi"/>
          <w:b/>
          <w:bCs/>
          <w:color w:val="5B9BD5" w:themeColor="accent1"/>
          <w:sz w:val="26"/>
          <w:szCs w:val="26"/>
          <w:lang w:val="ro-MD" w:eastAsia="ru-RU"/>
        </w:rPr>
        <w:lastRenderedPageBreak/>
        <w:t>ANEXE</w:t>
      </w:r>
      <w:bookmarkEnd w:id="21"/>
    </w:p>
    <w:p w:rsidR="00ED446E" w:rsidRPr="00321F59" w:rsidRDefault="00CE5B35" w:rsidP="00ED446E">
      <w:pPr>
        <w:spacing w:after="0" w:line="276" w:lineRule="auto"/>
        <w:jc w:val="right"/>
        <w:rPr>
          <w:rFonts w:asciiTheme="majorHAnsi" w:hAnsiTheme="majorHAnsi" w:cstheme="majorHAnsi"/>
          <w:b/>
          <w:i/>
          <w:color w:val="5B9BD5" w:themeColor="accent1"/>
          <w:sz w:val="24"/>
          <w:szCs w:val="24"/>
          <w:lang w:val="ro-MD"/>
          <w14:glow w14:rad="0">
            <w14:schemeClr w14:val="tx1"/>
          </w14:glow>
        </w:rPr>
      </w:pPr>
      <w:r w:rsidRPr="00321F59">
        <w:rPr>
          <w:rFonts w:asciiTheme="majorHAnsi" w:hAnsiTheme="majorHAnsi" w:cstheme="majorHAnsi"/>
          <w:b/>
          <w:i/>
          <w:color w:val="5B9BD5" w:themeColor="accent1"/>
          <w:sz w:val="24"/>
          <w:szCs w:val="24"/>
          <w:lang w:val="ro-MD"/>
          <w14:glow w14:rad="0">
            <w14:schemeClr w14:val="tx1"/>
          </w14:glow>
        </w:rPr>
        <w:t>Anexa nr.1</w:t>
      </w:r>
    </w:p>
    <w:p w:rsidR="00CE5B35" w:rsidRPr="00321F59" w:rsidRDefault="00CE5B35" w:rsidP="00633332">
      <w:pPr>
        <w:spacing w:after="0" w:line="276" w:lineRule="auto"/>
        <w:jc w:val="center"/>
        <w:rPr>
          <w:rFonts w:asciiTheme="majorHAnsi" w:hAnsiTheme="majorHAnsi" w:cstheme="majorHAnsi"/>
          <w:b/>
          <w:i/>
          <w:sz w:val="24"/>
          <w:szCs w:val="24"/>
          <w:lang w:val="ro-MD"/>
          <w14:glow w14:rad="0">
            <w14:schemeClr w14:val="tx1"/>
          </w14:glow>
        </w:rPr>
      </w:pPr>
      <w:r w:rsidRPr="00321F59">
        <w:rPr>
          <w:rFonts w:asciiTheme="majorHAnsi" w:hAnsiTheme="majorHAnsi" w:cstheme="majorHAnsi"/>
          <w:b/>
          <w:i/>
          <w:sz w:val="24"/>
          <w:szCs w:val="24"/>
          <w:lang w:val="ro-MD"/>
          <w14:glow w14:rad="0">
            <w14:schemeClr w14:val="tx1"/>
          </w14:glow>
        </w:rPr>
        <w:t>Domeniul de aplicare și metodologia auditului</w:t>
      </w:r>
    </w:p>
    <w:p w:rsidR="00CE5B35" w:rsidRPr="00321F59" w:rsidRDefault="00CE5B35" w:rsidP="00CE5B35">
      <w:pPr>
        <w:spacing w:line="276" w:lineRule="auto"/>
        <w:jc w:val="both"/>
        <w:rPr>
          <w:rFonts w:asciiTheme="majorHAnsi" w:hAnsiTheme="majorHAnsi" w:cstheme="majorHAnsi"/>
          <w:b/>
          <w:sz w:val="24"/>
          <w:szCs w:val="24"/>
          <w:lang w:val="ro-MD"/>
          <w14:glow w14:rad="0">
            <w14:schemeClr w14:val="tx1"/>
          </w14:glow>
        </w:rPr>
      </w:pPr>
      <w:r w:rsidRPr="00321F59">
        <w:rPr>
          <w:rFonts w:asciiTheme="majorHAnsi" w:hAnsiTheme="majorHAnsi" w:cstheme="majorHAnsi"/>
          <w:b/>
          <w:sz w:val="24"/>
          <w:szCs w:val="24"/>
          <w:lang w:val="ro-MD"/>
          <w14:glow w14:rad="0">
            <w14:schemeClr w14:val="tx1"/>
          </w14:glow>
        </w:rPr>
        <w:t>Domeniul de aplicare</w:t>
      </w:r>
    </w:p>
    <w:p w:rsidR="00CE5B35" w:rsidRPr="00321F59" w:rsidRDefault="00CE5B35" w:rsidP="00CE5B35">
      <w:pPr>
        <w:spacing w:line="276" w:lineRule="auto"/>
        <w:jc w:val="both"/>
        <w:rPr>
          <w:rFonts w:asciiTheme="majorHAnsi" w:hAnsiTheme="majorHAnsi" w:cstheme="majorHAns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t xml:space="preserve">Curea de Conturi a Republicii Moldova, în conformitate cu Programul activității de audit pe anul 2019, aprobat prin Hotărârea nr.100 din 21.12.2018 </w:t>
      </w:r>
      <w:r w:rsidRPr="00321F59">
        <w:rPr>
          <w:rFonts w:asciiTheme="majorHAnsi" w:hAnsiTheme="majorHAnsi" w:cstheme="majorHAnsi"/>
          <w:i/>
          <w:sz w:val="24"/>
          <w:szCs w:val="24"/>
          <w:lang w:val="ro-MD"/>
          <w14:glow w14:rad="0">
            <w14:schemeClr w14:val="tx1"/>
          </w14:glow>
        </w:rPr>
        <w:t>(cu modificările și completările ulterioare)</w:t>
      </w:r>
      <w:r w:rsidRPr="00321F59">
        <w:rPr>
          <w:rFonts w:asciiTheme="majorHAnsi" w:hAnsiTheme="majorHAnsi" w:cstheme="majorHAnsi"/>
          <w:sz w:val="24"/>
          <w:szCs w:val="24"/>
          <w:lang w:val="ro-MD"/>
          <w14:glow w14:rad="0">
            <w14:schemeClr w14:val="tx1"/>
          </w14:glow>
        </w:rPr>
        <w:t xml:space="preserve">, a inițiat auditul performanței privind activitatea Instituției Publice </w:t>
      </w:r>
      <w:r w:rsidR="00326FA9" w:rsidRPr="00321F59">
        <w:rPr>
          <w:rFonts w:asciiTheme="majorHAnsi" w:hAnsiTheme="majorHAnsi" w:cstheme="majorHAnsi"/>
          <w:sz w:val="24"/>
          <w:szCs w:val="24"/>
          <w:lang w:val="ro-MD"/>
          <w14:glow w14:rad="0">
            <w14:schemeClr w14:val="tx1"/>
          </w14:glow>
        </w:rPr>
        <w:t>„</w:t>
      </w:r>
      <w:r w:rsidRPr="00321F59">
        <w:rPr>
          <w:rFonts w:asciiTheme="majorHAnsi" w:hAnsiTheme="majorHAnsi" w:cstheme="majorHAnsi"/>
          <w:sz w:val="24"/>
          <w:szCs w:val="24"/>
          <w:lang w:val="ro-MD"/>
          <w14:glow w14:rad="0">
            <w14:schemeClr w14:val="tx1"/>
          </w14:glow>
        </w:rPr>
        <w:t>Directoratul Liniei de Credit</w:t>
      </w:r>
      <w:r w:rsidR="00326FA9" w:rsidRPr="00321F59">
        <w:rPr>
          <w:rFonts w:asciiTheme="majorHAnsi" w:hAnsiTheme="majorHAnsi" w:cstheme="majorHAnsi"/>
          <w:sz w:val="24"/>
          <w:szCs w:val="24"/>
          <w:lang w:val="ro-MD"/>
          <w14:glow w14:rad="0">
            <w14:schemeClr w14:val="tx1"/>
          </w14:glow>
        </w:rPr>
        <w:t>”</w:t>
      </w:r>
      <w:r w:rsidRPr="00321F59">
        <w:rPr>
          <w:rFonts w:asciiTheme="majorHAnsi" w:hAnsiTheme="majorHAnsi" w:cstheme="majorHAnsi"/>
          <w:sz w:val="24"/>
          <w:szCs w:val="24"/>
          <w:lang w:val="ro-MD"/>
          <w14:glow w14:rad="0">
            <w14:schemeClr w14:val="tx1"/>
          </w14:glow>
        </w:rPr>
        <w:t xml:space="preserve">, în care Ministerul Finanțelor are calitatea de fondator, în scopul </w:t>
      </w:r>
      <w:r w:rsidR="00875261" w:rsidRPr="00321F59">
        <w:rPr>
          <w:rFonts w:asciiTheme="majorHAnsi" w:hAnsiTheme="majorHAnsi" w:cstheme="majorHAnsi"/>
          <w:sz w:val="24"/>
          <w:szCs w:val="24"/>
          <w:lang w:val="ro-MD"/>
          <w14:glow w14:rad="0">
            <w14:schemeClr w14:val="tx1"/>
          </w14:glow>
        </w:rPr>
        <w:t xml:space="preserve">evaluării performanțelor atinse de către Directoratul Liniei de Credit în administrarea Liniilor de credit și a Proiectelor transmise în gestionare de către Ministerul Finanțelor. </w:t>
      </w:r>
    </w:p>
    <w:p w:rsidR="00875261" w:rsidRPr="00321F59" w:rsidRDefault="00875261" w:rsidP="00CE5B35">
      <w:pPr>
        <w:spacing w:line="276" w:lineRule="auto"/>
        <w:jc w:val="both"/>
        <w:rPr>
          <w:rFonts w:asciiTheme="majorHAnsi" w:hAnsiTheme="majorHAnsi" w:cstheme="majorHAnsi"/>
          <w:sz w:val="24"/>
          <w:szCs w:val="24"/>
          <w:lang w:val="ro-MD"/>
          <w14:glow w14:rad="0">
            <w14:schemeClr w14:val="tx1"/>
          </w14:glow>
        </w:rPr>
      </w:pPr>
      <w:r w:rsidRPr="00321F59">
        <w:rPr>
          <w:rFonts w:asciiTheme="majorHAnsi" w:hAnsiTheme="majorHAnsi" w:cstheme="majorHAnsi"/>
          <w:sz w:val="24"/>
          <w:szCs w:val="24"/>
          <w:lang w:val="ro-MD"/>
          <w14:glow w14:rad="0">
            <w14:schemeClr w14:val="tx1"/>
          </w14:glow>
        </w:rPr>
        <w:t xml:space="preserve">Auditul a fost efectuat la Instituția Publică </w:t>
      </w:r>
      <w:r w:rsidR="00326FA9" w:rsidRPr="00321F59">
        <w:rPr>
          <w:rFonts w:asciiTheme="majorHAnsi" w:hAnsiTheme="majorHAnsi" w:cstheme="majorHAnsi"/>
          <w:sz w:val="24"/>
          <w:szCs w:val="24"/>
          <w:lang w:val="ro-MD"/>
          <w14:glow w14:rad="0">
            <w14:schemeClr w14:val="tx1"/>
          </w14:glow>
        </w:rPr>
        <w:t>„</w:t>
      </w:r>
      <w:r w:rsidRPr="00321F59">
        <w:rPr>
          <w:rFonts w:asciiTheme="majorHAnsi" w:hAnsiTheme="majorHAnsi" w:cstheme="majorHAnsi"/>
          <w:sz w:val="24"/>
          <w:szCs w:val="24"/>
          <w:lang w:val="ro-MD"/>
          <w14:glow w14:rad="0">
            <w14:schemeClr w14:val="tx1"/>
          </w14:glow>
        </w:rPr>
        <w:t>Directoratul Liniei de Credit</w:t>
      </w:r>
      <w:r w:rsidR="00326FA9" w:rsidRPr="00321F59">
        <w:rPr>
          <w:rFonts w:asciiTheme="majorHAnsi" w:hAnsiTheme="majorHAnsi" w:cstheme="majorHAnsi"/>
          <w:sz w:val="24"/>
          <w:szCs w:val="24"/>
          <w:lang w:val="ro-MD"/>
          <w14:glow w14:rad="0">
            <w14:schemeClr w14:val="tx1"/>
          </w14:glow>
        </w:rPr>
        <w:t>”</w:t>
      </w:r>
      <w:r w:rsidR="0008293E" w:rsidRPr="00321F59">
        <w:rPr>
          <w:rFonts w:asciiTheme="majorHAnsi" w:hAnsiTheme="majorHAnsi" w:cstheme="majorHAnsi"/>
          <w:sz w:val="24"/>
          <w:szCs w:val="24"/>
          <w:lang w:val="ro-MD"/>
          <w14:glow w14:rad="0">
            <w14:schemeClr w14:val="tx1"/>
          </w14:glow>
        </w:rPr>
        <w:t xml:space="preserve">, care, </w:t>
      </w:r>
      <w:r w:rsidR="0008293E" w:rsidRPr="0024512C">
        <w:rPr>
          <w:rFonts w:asciiTheme="majorHAnsi" w:hAnsiTheme="majorHAnsi" w:cstheme="majorHAnsi"/>
          <w:sz w:val="24"/>
          <w:szCs w:val="24"/>
          <w:lang w:val="ro-MD" w:eastAsia="ru-RU"/>
        </w:rPr>
        <w:t xml:space="preserve">în anul 2020, a fost restructurată în </w:t>
      </w:r>
      <w:r w:rsidR="0008293E" w:rsidRPr="00321F59">
        <w:rPr>
          <w:rFonts w:asciiTheme="majorHAnsi" w:hAnsiTheme="majorHAnsi" w:cstheme="majorHAnsi"/>
          <w:sz w:val="24"/>
          <w:lang w:val="ro-MD"/>
        </w:rPr>
        <w:t>Instituția Publică „Oficiul de Gestionare a Programelor de Asistență Externă”</w:t>
      </w:r>
      <w:r w:rsidRPr="00321F59">
        <w:rPr>
          <w:rFonts w:asciiTheme="majorHAnsi" w:hAnsiTheme="majorHAnsi" w:cstheme="majorHAnsi"/>
          <w:sz w:val="24"/>
          <w:szCs w:val="24"/>
          <w:lang w:val="ro-MD"/>
          <w14:glow w14:rad="0">
            <w14:schemeClr w14:val="tx1"/>
          </w14:glow>
        </w:rPr>
        <w:t>.</w:t>
      </w:r>
    </w:p>
    <w:p w:rsidR="00875261" w:rsidRPr="00263854" w:rsidRDefault="00102C50" w:rsidP="00CE5B35">
      <w:pPr>
        <w:spacing w:line="276" w:lineRule="auto"/>
        <w:jc w:val="both"/>
        <w:rPr>
          <w:rFonts w:asciiTheme="majorHAnsi" w:hAnsiTheme="majorHAnsi" w:cstheme="majorHAnsi"/>
          <w:sz w:val="24"/>
          <w:szCs w:val="24"/>
          <w:lang w:val="ro-MD"/>
          <w14:glow w14:rad="0">
            <w14:schemeClr w14:val="tx1"/>
          </w14:glow>
        </w:rPr>
      </w:pPr>
      <w:r w:rsidRPr="0024512C">
        <w:rPr>
          <w:rFonts w:asciiTheme="majorHAnsi" w:hAnsiTheme="majorHAnsi" w:cstheme="majorHAnsi"/>
          <w:sz w:val="24"/>
          <w:szCs w:val="24"/>
          <w:lang w:val="ro-MD"/>
          <w14:glow w14:rad="0">
            <w14:schemeClr w14:val="tx1"/>
          </w14:glow>
        </w:rPr>
        <w:t xml:space="preserve">Pentru obținerea unor probe suficiente și adecvate, care să susțină concluziile și credibilitatea constatărilor expuse în Raportul de audit, echipa de audit a utilizat mai multe proceduri de audit, cum ar fi: </w:t>
      </w:r>
      <w:r w:rsidR="00326FA9" w:rsidRPr="005C74F5">
        <w:rPr>
          <w:rFonts w:asciiTheme="majorHAnsi" w:hAnsiTheme="majorHAnsi" w:cstheme="majorHAnsi"/>
          <w:sz w:val="24"/>
          <w:szCs w:val="24"/>
          <w:lang w:val="ro-MD"/>
          <w14:glow w14:rad="0">
            <w14:schemeClr w14:val="tx1"/>
          </w14:glow>
        </w:rPr>
        <w:t>e</w:t>
      </w:r>
      <w:r w:rsidRPr="00FC3955">
        <w:rPr>
          <w:rFonts w:asciiTheme="majorHAnsi" w:hAnsiTheme="majorHAnsi" w:cstheme="majorHAnsi"/>
          <w:sz w:val="24"/>
          <w:szCs w:val="24"/>
          <w:lang w:val="ro-MD"/>
          <w14:glow w14:rad="0">
            <w14:schemeClr w14:val="tx1"/>
          </w14:glow>
        </w:rPr>
        <w:t>xaminarea documentelor</w:t>
      </w:r>
      <w:r w:rsidR="00326FA9" w:rsidRPr="00A33B69">
        <w:rPr>
          <w:rFonts w:asciiTheme="majorHAnsi" w:hAnsiTheme="majorHAnsi" w:cstheme="majorHAnsi"/>
          <w:sz w:val="24"/>
          <w:szCs w:val="24"/>
          <w:lang w:val="ro-MD"/>
          <w14:glow w14:rad="0">
            <w14:schemeClr w14:val="tx1"/>
          </w14:glow>
        </w:rPr>
        <w:t xml:space="preserve"> și a rapoartelor, chestionarea, calcularea și compararea</w:t>
      </w:r>
      <w:r w:rsidRPr="00A33B69">
        <w:rPr>
          <w:rFonts w:asciiTheme="majorHAnsi" w:hAnsiTheme="majorHAnsi" w:cstheme="majorHAnsi"/>
          <w:sz w:val="24"/>
          <w:szCs w:val="24"/>
          <w:lang w:val="ro-MD"/>
          <w14:glow w14:rad="0">
            <w14:schemeClr w14:val="tx1"/>
          </w14:glow>
        </w:rPr>
        <w:t xml:space="preserve"> etc.</w:t>
      </w:r>
    </w:p>
    <w:p w:rsidR="00207DAD" w:rsidRPr="0024512C" w:rsidRDefault="00102C50" w:rsidP="00CE5B35">
      <w:pPr>
        <w:spacing w:line="276" w:lineRule="auto"/>
        <w:jc w:val="both"/>
        <w:rPr>
          <w:rFonts w:asciiTheme="majorHAnsi" w:hAnsiTheme="majorHAnsi" w:cstheme="majorHAnsi"/>
          <w:sz w:val="24"/>
          <w:szCs w:val="24"/>
          <w:lang w:val="ro-MD"/>
          <w14:glow w14:rad="0">
            <w14:schemeClr w14:val="tx1"/>
          </w14:glow>
        </w:rPr>
      </w:pPr>
      <w:r w:rsidRPr="0024512C">
        <w:rPr>
          <w:rFonts w:asciiTheme="majorHAnsi" w:hAnsiTheme="majorHAnsi" w:cstheme="majorHAnsi"/>
          <w:sz w:val="24"/>
          <w:szCs w:val="24"/>
          <w:lang w:val="ro-MD"/>
          <w14:glow w14:rad="0">
            <w14:schemeClr w14:val="tx1"/>
          </w14:glow>
        </w:rPr>
        <w:t xml:space="preserve">Pe parcursul misiunii de audit, la efectuarea activităților aferente, echipa de audit a Curții de Conturi s-a ghidat de: </w:t>
      </w:r>
    </w:p>
    <w:p w:rsidR="00207DAD" w:rsidRPr="0024512C" w:rsidRDefault="00207DAD" w:rsidP="00805CC0">
      <w:pPr>
        <w:pStyle w:val="ListParagraph"/>
        <w:numPr>
          <w:ilvl w:val="0"/>
          <w:numId w:val="4"/>
        </w:numPr>
        <w:spacing w:line="276" w:lineRule="auto"/>
        <w:jc w:val="both"/>
        <w:rPr>
          <w:rFonts w:asciiTheme="majorHAnsi" w:hAnsiTheme="majorHAnsi" w:cstheme="majorHAnsi"/>
          <w:sz w:val="24"/>
          <w:szCs w:val="24"/>
          <w:lang w:val="ro-MD"/>
          <w14:glow w14:rad="0">
            <w14:schemeClr w14:val="tx1"/>
          </w14:glow>
        </w:rPr>
      </w:pPr>
      <w:r w:rsidRPr="0024512C">
        <w:rPr>
          <w:rFonts w:asciiTheme="majorHAnsi" w:hAnsiTheme="majorHAnsi" w:cstheme="majorHAnsi"/>
          <w:sz w:val="24"/>
          <w:szCs w:val="24"/>
          <w:lang w:val="ro-MD"/>
          <w14:glow w14:rad="0">
            <w14:schemeClr w14:val="tx1"/>
          </w14:glow>
        </w:rPr>
        <w:t>ISSAI 100 „Principii fundamentale pentru auditul sectorului public”;</w:t>
      </w:r>
    </w:p>
    <w:p w:rsidR="00207DAD" w:rsidRPr="0024512C" w:rsidRDefault="00207DAD" w:rsidP="00805CC0">
      <w:pPr>
        <w:pStyle w:val="ListParagraph"/>
        <w:numPr>
          <w:ilvl w:val="0"/>
          <w:numId w:val="4"/>
        </w:numPr>
        <w:spacing w:line="276" w:lineRule="auto"/>
        <w:jc w:val="both"/>
        <w:rPr>
          <w:rFonts w:asciiTheme="majorHAnsi" w:hAnsiTheme="majorHAnsi" w:cstheme="majorHAnsi"/>
          <w:sz w:val="24"/>
          <w:szCs w:val="24"/>
          <w:lang w:val="ro-MD"/>
          <w14:glow w14:rad="0">
            <w14:schemeClr w14:val="tx1"/>
          </w14:glow>
        </w:rPr>
      </w:pPr>
      <w:r w:rsidRPr="0024512C">
        <w:rPr>
          <w:rFonts w:asciiTheme="majorHAnsi" w:hAnsiTheme="majorHAnsi" w:cstheme="majorHAnsi"/>
          <w:sz w:val="24"/>
          <w:szCs w:val="24"/>
          <w:lang w:val="ro-MD"/>
          <w14:glow w14:rad="0">
            <w14:schemeClr w14:val="tx1"/>
          </w14:glow>
        </w:rPr>
        <w:t>ISSAI 300 „Principiile fundamentale ale auditului performanței”;</w:t>
      </w:r>
    </w:p>
    <w:p w:rsidR="00207DAD" w:rsidRPr="0024512C" w:rsidRDefault="00207DAD" w:rsidP="00805CC0">
      <w:pPr>
        <w:pStyle w:val="ListParagraph"/>
        <w:numPr>
          <w:ilvl w:val="0"/>
          <w:numId w:val="4"/>
        </w:numPr>
        <w:spacing w:line="276" w:lineRule="auto"/>
        <w:jc w:val="both"/>
        <w:rPr>
          <w:rFonts w:asciiTheme="majorHAnsi" w:hAnsiTheme="majorHAnsi" w:cstheme="majorHAnsi"/>
          <w:sz w:val="24"/>
          <w:szCs w:val="24"/>
          <w:lang w:val="ro-MD"/>
          <w14:glow w14:rad="0">
            <w14:schemeClr w14:val="tx1"/>
          </w14:glow>
        </w:rPr>
      </w:pPr>
      <w:r w:rsidRPr="0024512C">
        <w:rPr>
          <w:rFonts w:asciiTheme="majorHAnsi" w:hAnsiTheme="majorHAnsi" w:cstheme="majorHAnsi"/>
          <w:sz w:val="24"/>
          <w:szCs w:val="24"/>
          <w:lang w:val="ro-MD"/>
          <w14:glow w14:rad="0">
            <w14:schemeClr w14:val="tx1"/>
          </w14:glow>
        </w:rPr>
        <w:t>ISSAI 3000 „Standarde ale auditului de performanță”;</w:t>
      </w:r>
    </w:p>
    <w:p w:rsidR="0008293E" w:rsidRPr="00756965" w:rsidRDefault="00207DAD" w:rsidP="00756965">
      <w:pPr>
        <w:pStyle w:val="ListParagraph"/>
        <w:numPr>
          <w:ilvl w:val="0"/>
          <w:numId w:val="4"/>
        </w:numPr>
        <w:spacing w:line="276" w:lineRule="auto"/>
        <w:jc w:val="both"/>
        <w:rPr>
          <w:rFonts w:asciiTheme="majorHAnsi" w:hAnsiTheme="majorHAnsi" w:cstheme="majorHAnsi"/>
          <w:sz w:val="24"/>
          <w:szCs w:val="24"/>
          <w:lang w:val="ro-MD"/>
          <w14:glow w14:rad="0">
            <w14:schemeClr w14:val="tx1"/>
          </w14:glow>
        </w:rPr>
      </w:pPr>
      <w:r w:rsidRPr="0024512C">
        <w:rPr>
          <w:rFonts w:asciiTheme="majorHAnsi" w:hAnsiTheme="majorHAnsi" w:cstheme="majorHAnsi"/>
          <w:sz w:val="24"/>
          <w:szCs w:val="24"/>
          <w:lang w:val="ro-MD"/>
          <w14:glow w14:rad="0">
            <w14:schemeClr w14:val="tx1"/>
          </w14:glow>
        </w:rPr>
        <w:t>Liniile directoare INTOSAI privind auditul performanței (GUID 3910 „Concepte de bază privind auditul performanței” și GUID 3920 „Procesul de audit al performanței”);</w:t>
      </w:r>
    </w:p>
    <w:p w:rsidR="00207DAD" w:rsidRPr="0024512C" w:rsidRDefault="00207DAD" w:rsidP="00805CC0">
      <w:pPr>
        <w:pStyle w:val="ListParagraph"/>
        <w:numPr>
          <w:ilvl w:val="0"/>
          <w:numId w:val="4"/>
        </w:numPr>
        <w:spacing w:line="276" w:lineRule="auto"/>
        <w:jc w:val="both"/>
        <w:rPr>
          <w:rFonts w:asciiTheme="majorHAnsi" w:hAnsiTheme="majorHAnsi" w:cstheme="majorHAnsi"/>
          <w:sz w:val="24"/>
          <w:szCs w:val="24"/>
          <w:lang w:val="ro-MD"/>
          <w14:glow w14:rad="0">
            <w14:schemeClr w14:val="tx1"/>
          </w14:glow>
        </w:rPr>
      </w:pPr>
      <w:r w:rsidRPr="0024512C">
        <w:rPr>
          <w:rFonts w:asciiTheme="majorHAnsi" w:hAnsiTheme="majorHAnsi" w:cstheme="majorHAnsi"/>
          <w:sz w:val="24"/>
          <w:szCs w:val="24"/>
          <w:lang w:val="ro-MD"/>
          <w14:glow w14:rad="0">
            <w14:schemeClr w14:val="tx1"/>
          </w14:glow>
        </w:rPr>
        <w:t>Manualul de audit al performanței;</w:t>
      </w:r>
    </w:p>
    <w:p w:rsidR="00207DAD" w:rsidRDefault="00207DAD" w:rsidP="00805CC0">
      <w:pPr>
        <w:pStyle w:val="ListParagraph"/>
        <w:numPr>
          <w:ilvl w:val="0"/>
          <w:numId w:val="4"/>
        </w:numPr>
        <w:spacing w:line="276" w:lineRule="auto"/>
        <w:jc w:val="both"/>
        <w:rPr>
          <w:rFonts w:asciiTheme="majorHAnsi" w:hAnsiTheme="majorHAnsi" w:cstheme="majorHAnsi"/>
          <w:sz w:val="24"/>
          <w:szCs w:val="24"/>
          <w:lang w:val="ro-MD"/>
          <w14:glow w14:rad="0">
            <w14:schemeClr w14:val="tx1"/>
          </w14:glow>
        </w:rPr>
      </w:pPr>
      <w:r w:rsidRPr="0024512C">
        <w:rPr>
          <w:rFonts w:asciiTheme="majorHAnsi" w:hAnsiTheme="majorHAnsi" w:cstheme="majorHAnsi"/>
          <w:sz w:val="24"/>
          <w:szCs w:val="24"/>
          <w:lang w:val="ro-MD"/>
          <w14:glow w14:rad="0">
            <w14:schemeClr w14:val="tx1"/>
          </w14:glow>
        </w:rPr>
        <w:t>Actele legislative și normat</w:t>
      </w:r>
      <w:r w:rsidR="00756965">
        <w:rPr>
          <w:rFonts w:asciiTheme="majorHAnsi" w:hAnsiTheme="majorHAnsi" w:cstheme="majorHAnsi"/>
          <w:sz w:val="24"/>
          <w:szCs w:val="24"/>
          <w:lang w:val="ro-MD"/>
          <w14:glow w14:rad="0">
            <w14:schemeClr w14:val="tx1"/>
          </w14:glow>
        </w:rPr>
        <w:t>ive aferente domeniului auditat</w:t>
      </w:r>
      <w:r w:rsidRPr="0024512C">
        <w:rPr>
          <w:rFonts w:asciiTheme="majorHAnsi" w:hAnsiTheme="majorHAnsi" w:cstheme="majorHAnsi"/>
          <w:sz w:val="24"/>
          <w:szCs w:val="24"/>
          <w:lang w:val="ro-MD"/>
          <w14:glow w14:rad="0">
            <w14:schemeClr w14:val="tx1"/>
          </w14:glow>
        </w:rPr>
        <w:t xml:space="preserve"> etc.</w:t>
      </w:r>
    </w:p>
    <w:p w:rsidR="00756965" w:rsidRPr="0024512C" w:rsidRDefault="00756965" w:rsidP="00756965">
      <w:pPr>
        <w:pStyle w:val="ListParagraph"/>
        <w:spacing w:line="276" w:lineRule="auto"/>
        <w:ind w:left="450"/>
        <w:jc w:val="both"/>
        <w:rPr>
          <w:rFonts w:asciiTheme="majorHAnsi" w:hAnsiTheme="majorHAnsi" w:cstheme="majorHAnsi"/>
          <w:sz w:val="24"/>
          <w:szCs w:val="24"/>
          <w:lang w:val="ro-MD"/>
          <w14:glow w14:rad="0">
            <w14:schemeClr w14:val="tx1"/>
          </w14:glow>
        </w:rPr>
      </w:pPr>
      <w:r w:rsidRPr="00AB71E8">
        <w:rPr>
          <w:rFonts w:asciiTheme="majorHAnsi" w:hAnsiTheme="majorHAnsi" w:cstheme="majorHAnsi"/>
          <w:b/>
          <w:sz w:val="24"/>
          <w:szCs w:val="24"/>
          <w:lang w:val="ro-MD"/>
          <w14:glow w14:rad="0">
            <w14:schemeClr w14:val="tx1"/>
          </w14:glow>
        </w:rPr>
        <w:t>*</w:t>
      </w:r>
      <w:r w:rsidRPr="00756965">
        <w:rPr>
          <w:rFonts w:asciiTheme="majorHAnsi" w:hAnsiTheme="majorHAnsi" w:cstheme="majorHAnsi"/>
          <w:sz w:val="24"/>
          <w:szCs w:val="24"/>
          <w:lang w:val="ro-MD"/>
          <w14:glow w14:rad="0">
            <w14:schemeClr w14:val="tx1"/>
          </w14:glow>
        </w:rPr>
        <w:t>Totodată, echipa de audit a consultat și s-a ghidat de prevederile incluse în Proiectul de GUID 5250 „Ghidul asupra auditului datoriei publice”, care este în proces de lucru și testare de către țările membre a Grupului de lucru privind datoria publică INTOSAI.</w:t>
      </w:r>
    </w:p>
    <w:p w:rsidR="00207DAD" w:rsidRPr="0024512C" w:rsidRDefault="00207DAD" w:rsidP="00207DAD">
      <w:pPr>
        <w:spacing w:line="276" w:lineRule="auto"/>
        <w:jc w:val="both"/>
        <w:rPr>
          <w:rFonts w:asciiTheme="majorHAnsi" w:hAnsiTheme="majorHAnsi" w:cstheme="majorHAnsi"/>
          <w:b/>
          <w:sz w:val="24"/>
          <w:szCs w:val="24"/>
          <w:lang w:val="ro-MD"/>
          <w14:glow w14:rad="0">
            <w14:schemeClr w14:val="tx1"/>
          </w14:glow>
        </w:rPr>
      </w:pPr>
      <w:r w:rsidRPr="0024512C">
        <w:rPr>
          <w:rFonts w:asciiTheme="majorHAnsi" w:hAnsiTheme="majorHAnsi" w:cstheme="majorHAnsi"/>
          <w:b/>
          <w:sz w:val="24"/>
          <w:szCs w:val="24"/>
          <w:lang w:val="ro-MD"/>
          <w14:glow w14:rad="0">
            <w14:schemeClr w14:val="tx1"/>
          </w14:glow>
        </w:rPr>
        <w:t>Metodologia auditului</w:t>
      </w:r>
    </w:p>
    <w:p w:rsidR="00207DAD" w:rsidRPr="0024512C" w:rsidRDefault="00207DAD" w:rsidP="00207DAD">
      <w:pPr>
        <w:spacing w:line="276" w:lineRule="auto"/>
        <w:jc w:val="both"/>
        <w:rPr>
          <w:rFonts w:asciiTheme="majorHAnsi" w:hAnsiTheme="majorHAnsi" w:cstheme="majorHAnsi"/>
          <w:sz w:val="24"/>
          <w:szCs w:val="24"/>
          <w:lang w:val="ro-MD"/>
          <w14:glow w14:rad="0">
            <w14:schemeClr w14:val="tx1"/>
          </w14:glow>
        </w:rPr>
      </w:pPr>
      <w:r w:rsidRPr="0024512C">
        <w:rPr>
          <w:rFonts w:asciiTheme="majorHAnsi" w:hAnsiTheme="majorHAnsi" w:cstheme="majorHAnsi"/>
          <w:sz w:val="24"/>
          <w:szCs w:val="24"/>
          <w:lang w:val="ro-MD"/>
          <w14:glow w14:rad="0">
            <w14:schemeClr w14:val="tx1"/>
          </w14:glow>
        </w:rPr>
        <w:t>Pentru obținerea unor probe suficiente și adecvate, care să susțină concluziile și credibilitatea constatărilor expuse în Raportul de audit, echipa de audit a utilizat următoarele proceduri de audit:</w:t>
      </w:r>
    </w:p>
    <w:p w:rsidR="00207DAD" w:rsidRPr="00321F59" w:rsidRDefault="00207DAD" w:rsidP="00207DAD">
      <w:pPr>
        <w:spacing w:line="276" w:lineRule="auto"/>
        <w:jc w:val="both"/>
        <w:rPr>
          <w:rFonts w:asciiTheme="majorHAnsi" w:hAnsiTheme="majorHAnsi" w:cstheme="majorHAnsi"/>
          <w:sz w:val="24"/>
          <w:szCs w:val="24"/>
          <w:lang w:val="ro-MD"/>
        </w:rPr>
      </w:pPr>
      <w:r w:rsidRPr="0024512C">
        <w:rPr>
          <w:rFonts w:asciiTheme="majorHAnsi" w:hAnsiTheme="majorHAnsi" w:cstheme="majorHAnsi"/>
          <w:i/>
          <w:sz w:val="24"/>
          <w:szCs w:val="24"/>
          <w:lang w:val="ro-MD"/>
          <w14:glow w14:rad="0">
            <w14:schemeClr w14:val="tx1"/>
          </w14:glow>
        </w:rPr>
        <w:t xml:space="preserve">Obiectivul I. </w:t>
      </w:r>
      <w:r w:rsidRPr="00321F59">
        <w:rPr>
          <w:rFonts w:asciiTheme="majorHAnsi" w:hAnsiTheme="majorHAnsi" w:cstheme="majorHAnsi"/>
          <w:i/>
          <w:sz w:val="24"/>
          <w:szCs w:val="24"/>
          <w:lang w:val="ro-MD"/>
        </w:rPr>
        <w:t>Evaluarea economicității activităților operaționale ale DLC în corespundere cu principiile și practicile administrative rezonabile</w:t>
      </w:r>
      <w:r w:rsidRPr="00321F59">
        <w:rPr>
          <w:rFonts w:asciiTheme="majorHAnsi" w:hAnsiTheme="majorHAnsi" w:cstheme="majorHAnsi"/>
          <w:sz w:val="24"/>
          <w:szCs w:val="24"/>
          <w:lang w:val="ro-MD"/>
        </w:rPr>
        <w:t xml:space="preserve"> – au fost aplicate următoarele tehnici, metodologii și proceduri de audit: </w:t>
      </w:r>
    </w:p>
    <w:p w:rsidR="0074429A" w:rsidRPr="00321F59" w:rsidRDefault="00326FA9" w:rsidP="00805CC0">
      <w:pPr>
        <w:pStyle w:val="ListParagraph"/>
        <w:numPr>
          <w:ilvl w:val="0"/>
          <w:numId w:val="6"/>
        </w:numPr>
        <w:spacing w:line="276"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t>a</w:t>
      </w:r>
      <w:r w:rsidR="0074429A" w:rsidRPr="00321F59">
        <w:rPr>
          <w:rFonts w:asciiTheme="majorHAnsi" w:hAnsiTheme="majorHAnsi" w:cstheme="majorHAnsi"/>
          <w:sz w:val="24"/>
          <w:szCs w:val="24"/>
          <w:lang w:val="ro-MD"/>
        </w:rPr>
        <w:t>u fost analizate Rapoa</w:t>
      </w:r>
      <w:r w:rsidRPr="00321F59">
        <w:rPr>
          <w:rFonts w:asciiTheme="majorHAnsi" w:hAnsiTheme="majorHAnsi" w:cstheme="majorHAnsi"/>
          <w:sz w:val="24"/>
          <w:szCs w:val="24"/>
          <w:lang w:val="ro-MD"/>
        </w:rPr>
        <w:t>rtele financiare ale DLC pe anii</w:t>
      </w:r>
      <w:r w:rsidR="0074429A" w:rsidRPr="00321F59">
        <w:rPr>
          <w:rFonts w:asciiTheme="majorHAnsi" w:hAnsiTheme="majorHAnsi" w:cstheme="majorHAnsi"/>
          <w:sz w:val="24"/>
          <w:szCs w:val="24"/>
          <w:lang w:val="ro-MD"/>
        </w:rPr>
        <w:t xml:space="preserve"> 2018 și 2019;</w:t>
      </w:r>
    </w:p>
    <w:p w:rsidR="0074429A" w:rsidRPr="00321F59" w:rsidRDefault="00326FA9" w:rsidP="00805CC0">
      <w:pPr>
        <w:pStyle w:val="ListParagraph"/>
        <w:numPr>
          <w:ilvl w:val="0"/>
          <w:numId w:val="6"/>
        </w:numPr>
        <w:spacing w:line="276"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t>a</w:t>
      </w:r>
      <w:r w:rsidR="0074429A" w:rsidRPr="00321F59">
        <w:rPr>
          <w:rFonts w:asciiTheme="majorHAnsi" w:hAnsiTheme="majorHAnsi" w:cstheme="majorHAnsi"/>
          <w:sz w:val="24"/>
          <w:szCs w:val="24"/>
          <w:lang w:val="ro-MD"/>
        </w:rPr>
        <w:t>u fost analizate Bugetele de venituri și cheltuieli ale DLC aprobate pentru anii 2018 și 2019;</w:t>
      </w:r>
    </w:p>
    <w:p w:rsidR="0074429A" w:rsidRPr="00321F59" w:rsidRDefault="00326FA9" w:rsidP="00805CC0">
      <w:pPr>
        <w:pStyle w:val="ListParagraph"/>
        <w:numPr>
          <w:ilvl w:val="0"/>
          <w:numId w:val="6"/>
        </w:numPr>
        <w:spacing w:line="276"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t>a</w:t>
      </w:r>
      <w:r w:rsidR="0074429A" w:rsidRPr="00321F59">
        <w:rPr>
          <w:rFonts w:asciiTheme="majorHAnsi" w:hAnsiTheme="majorHAnsi" w:cstheme="majorHAnsi"/>
          <w:sz w:val="24"/>
          <w:szCs w:val="24"/>
          <w:lang w:val="ro-MD"/>
        </w:rPr>
        <w:t xml:space="preserve"> fost analizată executarea efectivă a bugetului pentru anul 2019;</w:t>
      </w:r>
    </w:p>
    <w:p w:rsidR="0074429A" w:rsidRPr="00321F59" w:rsidRDefault="00326FA9" w:rsidP="00805CC0">
      <w:pPr>
        <w:pStyle w:val="ListParagraph"/>
        <w:numPr>
          <w:ilvl w:val="0"/>
          <w:numId w:val="6"/>
        </w:numPr>
        <w:spacing w:line="276"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lastRenderedPageBreak/>
        <w:t>a</w:t>
      </w:r>
      <w:r w:rsidR="0074429A" w:rsidRPr="00321F59">
        <w:rPr>
          <w:rFonts w:asciiTheme="majorHAnsi" w:hAnsiTheme="majorHAnsi" w:cstheme="majorHAnsi"/>
          <w:sz w:val="24"/>
          <w:szCs w:val="24"/>
          <w:lang w:val="ro-MD"/>
        </w:rPr>
        <w:t xml:space="preserve"> fost studiată documentația contabilă primară referitor la cheltuielile efectuate pe parcursul anului 2019</w:t>
      </w:r>
      <w:r w:rsidR="00F57333" w:rsidRPr="00321F59">
        <w:rPr>
          <w:rFonts w:asciiTheme="majorHAnsi" w:hAnsiTheme="majorHAnsi" w:cstheme="majorHAnsi"/>
          <w:sz w:val="24"/>
          <w:szCs w:val="24"/>
          <w:lang w:val="ro-MD"/>
        </w:rPr>
        <w:t xml:space="preserve"> cu recalcularea plăților efectuate pe unele poziții de cheltuieli</w:t>
      </w:r>
      <w:r w:rsidR="0074429A" w:rsidRPr="00321F59">
        <w:rPr>
          <w:rFonts w:asciiTheme="majorHAnsi" w:hAnsiTheme="majorHAnsi" w:cstheme="majorHAnsi"/>
          <w:sz w:val="24"/>
          <w:szCs w:val="24"/>
          <w:lang w:val="ro-MD"/>
        </w:rPr>
        <w:t>;</w:t>
      </w:r>
    </w:p>
    <w:p w:rsidR="0074429A" w:rsidRPr="00321F59" w:rsidRDefault="00326FA9" w:rsidP="00805CC0">
      <w:pPr>
        <w:pStyle w:val="ListParagraph"/>
        <w:numPr>
          <w:ilvl w:val="0"/>
          <w:numId w:val="6"/>
        </w:numPr>
        <w:spacing w:line="276"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t>a</w:t>
      </w:r>
      <w:r w:rsidR="00F57333" w:rsidRPr="00321F59">
        <w:rPr>
          <w:rFonts w:asciiTheme="majorHAnsi" w:hAnsiTheme="majorHAnsi" w:cstheme="majorHAnsi"/>
          <w:sz w:val="24"/>
          <w:szCs w:val="24"/>
          <w:lang w:val="ro-MD"/>
        </w:rPr>
        <w:t>u fost recalculate plățile salariale achitate în anul 2019 pentru 4 din numărul total de 8 angajați care au activat în perioada analizată la DLC;</w:t>
      </w:r>
    </w:p>
    <w:p w:rsidR="00F57333" w:rsidRPr="00321F59" w:rsidRDefault="00326FA9" w:rsidP="00805CC0">
      <w:pPr>
        <w:pStyle w:val="ListParagraph"/>
        <w:numPr>
          <w:ilvl w:val="0"/>
          <w:numId w:val="6"/>
        </w:numPr>
        <w:spacing w:line="276" w:lineRule="auto"/>
        <w:jc w:val="both"/>
        <w:rPr>
          <w:rFonts w:asciiTheme="majorHAnsi" w:hAnsiTheme="majorHAnsi" w:cstheme="majorHAnsi"/>
          <w:sz w:val="24"/>
          <w:szCs w:val="24"/>
          <w:lang w:val="ro-MD"/>
        </w:rPr>
      </w:pPr>
      <w:r w:rsidRPr="00321F59">
        <w:rPr>
          <w:rFonts w:asciiTheme="majorHAnsi" w:hAnsiTheme="majorHAnsi" w:cstheme="majorHAnsi"/>
          <w:sz w:val="24"/>
          <w:szCs w:val="24"/>
          <w:lang w:val="ro-MD"/>
        </w:rPr>
        <w:t>a</w:t>
      </w:r>
      <w:r w:rsidR="00AA02B4" w:rsidRPr="00321F59">
        <w:rPr>
          <w:rFonts w:asciiTheme="majorHAnsi" w:hAnsiTheme="majorHAnsi" w:cstheme="majorHAnsi"/>
          <w:sz w:val="24"/>
          <w:szCs w:val="24"/>
          <w:lang w:val="ro-MD"/>
        </w:rPr>
        <w:t>u fost analizate siste</w:t>
      </w:r>
      <w:r w:rsidR="000976F2" w:rsidRPr="00321F59">
        <w:rPr>
          <w:rFonts w:asciiTheme="majorHAnsi" w:hAnsiTheme="majorHAnsi" w:cstheme="majorHAnsi"/>
          <w:sz w:val="24"/>
          <w:szCs w:val="24"/>
          <w:lang w:val="ro-MD"/>
        </w:rPr>
        <w:t>mele informaționale utilizate pentru ținerea evidenței contabile a DLC.</w:t>
      </w:r>
    </w:p>
    <w:p w:rsidR="00207DAD" w:rsidRPr="00321F59" w:rsidRDefault="00207DAD" w:rsidP="00207DAD">
      <w:pPr>
        <w:spacing w:line="276" w:lineRule="auto"/>
        <w:jc w:val="both"/>
        <w:rPr>
          <w:rFonts w:asciiTheme="majorHAnsi" w:hAnsiTheme="majorHAnsi" w:cstheme="majorHAnsi"/>
          <w:sz w:val="24"/>
          <w:lang w:val="ro-MD"/>
        </w:rPr>
      </w:pPr>
      <w:r w:rsidRPr="00321F59">
        <w:rPr>
          <w:rFonts w:asciiTheme="majorHAnsi" w:hAnsiTheme="majorHAnsi" w:cstheme="majorHAnsi"/>
          <w:i/>
          <w:sz w:val="24"/>
          <w:szCs w:val="24"/>
          <w:lang w:val="ro-MD"/>
        </w:rPr>
        <w:t xml:space="preserve">Obiectivul II. </w:t>
      </w:r>
      <w:r w:rsidRPr="00321F59">
        <w:rPr>
          <w:rFonts w:asciiTheme="majorHAnsi" w:hAnsiTheme="majorHAnsi" w:cstheme="majorHAnsi"/>
          <w:i/>
          <w:sz w:val="24"/>
          <w:lang w:val="ro-MD"/>
        </w:rPr>
        <w:t>Evaluarea eficienței gestionării și monitorizării Proiectelor investiționale și a Liniilor de credit care au fost încredințate DLC</w:t>
      </w:r>
      <w:r w:rsidRPr="00321F59">
        <w:rPr>
          <w:rFonts w:asciiTheme="majorHAnsi" w:hAnsiTheme="majorHAnsi" w:cstheme="majorHAnsi"/>
          <w:sz w:val="24"/>
          <w:lang w:val="ro-MD"/>
        </w:rPr>
        <w:t xml:space="preserve"> – au fost aplicate următoarele tehnici, metodologii și proceduri de audit:</w:t>
      </w:r>
    </w:p>
    <w:p w:rsidR="00CC1C22" w:rsidRPr="0024512C" w:rsidRDefault="00326FA9" w:rsidP="00805CC0">
      <w:pPr>
        <w:pStyle w:val="ListParagraph"/>
        <w:numPr>
          <w:ilvl w:val="0"/>
          <w:numId w:val="5"/>
        </w:numPr>
        <w:spacing w:line="276" w:lineRule="auto"/>
        <w:ind w:left="0" w:firstLine="360"/>
        <w:jc w:val="both"/>
        <w:rPr>
          <w:rFonts w:asciiTheme="majorHAnsi" w:hAnsiTheme="majorHAnsi" w:cstheme="majorHAnsi"/>
          <w:sz w:val="24"/>
          <w:lang w:val="ro-MD"/>
        </w:rPr>
      </w:pPr>
      <w:r w:rsidRPr="00321F59">
        <w:rPr>
          <w:rFonts w:asciiTheme="majorHAnsi" w:hAnsiTheme="majorHAnsi" w:cstheme="majorHAnsi"/>
          <w:sz w:val="24"/>
          <w:lang w:val="ro-MD"/>
        </w:rPr>
        <w:t>a</w:t>
      </w:r>
      <w:r w:rsidR="00CC1C22" w:rsidRPr="00321F59">
        <w:rPr>
          <w:rFonts w:asciiTheme="majorHAnsi" w:hAnsiTheme="majorHAnsi" w:cstheme="majorHAnsi"/>
          <w:sz w:val="24"/>
          <w:lang w:val="ro-MD"/>
        </w:rPr>
        <w:t xml:space="preserve">u </w:t>
      </w:r>
      <w:r w:rsidR="00CC1C22" w:rsidRPr="0024512C">
        <w:rPr>
          <w:rFonts w:asciiTheme="majorHAnsi" w:hAnsiTheme="majorHAnsi" w:cstheme="majorHAnsi"/>
          <w:sz w:val="24"/>
          <w:lang w:val="ro-MD"/>
        </w:rPr>
        <w:t>fost examinat</w:t>
      </w:r>
      <w:r w:rsidRPr="005C74F5">
        <w:rPr>
          <w:rFonts w:asciiTheme="majorHAnsi" w:hAnsiTheme="majorHAnsi" w:cstheme="majorHAnsi"/>
          <w:sz w:val="24"/>
          <w:lang w:val="ro-MD"/>
        </w:rPr>
        <w:t>e Contractele,</w:t>
      </w:r>
      <w:r w:rsidR="00CC1C22" w:rsidRPr="002437F6">
        <w:rPr>
          <w:rFonts w:asciiTheme="majorHAnsi" w:hAnsiTheme="majorHAnsi" w:cstheme="majorHAnsi"/>
          <w:sz w:val="24"/>
          <w:lang w:val="ro-MD"/>
        </w:rPr>
        <w:t xml:space="preserve"> Acordurile de finanțare și Manualele Operaționale pentru 15 Linii de credit și Proiecte gestionate de DLC</w:t>
      </w:r>
      <w:r w:rsidRPr="0024512C">
        <w:rPr>
          <w:rFonts w:asciiTheme="majorHAnsi" w:hAnsiTheme="majorHAnsi" w:cstheme="majorHAnsi"/>
          <w:sz w:val="24"/>
          <w:lang w:val="ro-MD"/>
        </w:rPr>
        <w:t>,</w:t>
      </w:r>
      <w:r w:rsidR="00CC1C22" w:rsidRPr="0024512C">
        <w:rPr>
          <w:rFonts w:asciiTheme="majorHAnsi" w:hAnsiTheme="majorHAnsi" w:cstheme="majorHAnsi"/>
          <w:sz w:val="24"/>
          <w:lang w:val="ro-MD"/>
        </w:rPr>
        <w:t xml:space="preserve"> în vederea stabilirii funcțiilor DLC și a criteriilor de eligibilitate a IFP și a beneficiarilor finali; </w:t>
      </w:r>
    </w:p>
    <w:p w:rsidR="00CC1C22" w:rsidRPr="0024512C" w:rsidRDefault="00326FA9" w:rsidP="00805CC0">
      <w:pPr>
        <w:pStyle w:val="ListParagraph"/>
        <w:numPr>
          <w:ilvl w:val="0"/>
          <w:numId w:val="5"/>
        </w:numPr>
        <w:spacing w:line="276" w:lineRule="auto"/>
        <w:ind w:left="0" w:firstLine="360"/>
        <w:jc w:val="both"/>
        <w:rPr>
          <w:rFonts w:asciiTheme="majorHAnsi" w:hAnsiTheme="majorHAnsi" w:cstheme="majorHAnsi"/>
          <w:sz w:val="24"/>
          <w:lang w:val="ro-MD"/>
        </w:rPr>
      </w:pPr>
      <w:r w:rsidRPr="0024512C">
        <w:rPr>
          <w:rFonts w:asciiTheme="majorHAnsi" w:hAnsiTheme="majorHAnsi" w:cstheme="majorHAnsi"/>
          <w:sz w:val="24"/>
          <w:lang w:val="ro-MD"/>
        </w:rPr>
        <w:t>a</w:t>
      </w:r>
      <w:r w:rsidR="00CC1C22" w:rsidRPr="0024512C">
        <w:rPr>
          <w:rFonts w:asciiTheme="majorHAnsi" w:hAnsiTheme="majorHAnsi" w:cstheme="majorHAnsi"/>
          <w:sz w:val="24"/>
          <w:lang w:val="ro-MD"/>
        </w:rPr>
        <w:t>u fost examinate</w:t>
      </w:r>
      <w:r w:rsidR="002608F5" w:rsidRPr="0024512C">
        <w:rPr>
          <w:rFonts w:asciiTheme="majorHAnsi" w:hAnsiTheme="majorHAnsi" w:cstheme="majorHAnsi"/>
          <w:sz w:val="24"/>
          <w:lang w:val="ro-MD"/>
        </w:rPr>
        <w:t xml:space="preserve"> 13</w:t>
      </w:r>
      <w:r w:rsidR="00CC1C22" w:rsidRPr="0024512C">
        <w:rPr>
          <w:rFonts w:asciiTheme="majorHAnsi" w:hAnsiTheme="majorHAnsi" w:cstheme="majorHAnsi"/>
          <w:sz w:val="24"/>
          <w:lang w:val="ro-MD"/>
        </w:rPr>
        <w:t xml:space="preserve"> O</w:t>
      </w:r>
      <w:r w:rsidR="002608F5" w:rsidRPr="0024512C">
        <w:rPr>
          <w:rFonts w:asciiTheme="majorHAnsi" w:hAnsiTheme="majorHAnsi" w:cstheme="majorHAnsi"/>
          <w:sz w:val="24"/>
          <w:lang w:val="ro-MD"/>
        </w:rPr>
        <w:t>rdine a</w:t>
      </w:r>
      <w:r w:rsidRPr="0024512C">
        <w:rPr>
          <w:rFonts w:asciiTheme="majorHAnsi" w:hAnsiTheme="majorHAnsi" w:cstheme="majorHAnsi"/>
          <w:sz w:val="24"/>
          <w:lang w:val="ro-MD"/>
        </w:rPr>
        <w:t>le ministrului F</w:t>
      </w:r>
      <w:r w:rsidR="00CC1C22" w:rsidRPr="0024512C">
        <w:rPr>
          <w:rFonts w:asciiTheme="majorHAnsi" w:hAnsiTheme="majorHAnsi" w:cstheme="majorHAnsi"/>
          <w:sz w:val="24"/>
          <w:lang w:val="ro-MD"/>
        </w:rPr>
        <w:t xml:space="preserve">inanțelor </w:t>
      </w:r>
      <w:r w:rsidR="002608F5" w:rsidRPr="0024512C">
        <w:rPr>
          <w:rFonts w:asciiTheme="majorHAnsi" w:hAnsiTheme="majorHAnsi" w:cstheme="majorHAnsi"/>
          <w:sz w:val="24"/>
          <w:lang w:val="ro-MD"/>
        </w:rPr>
        <w:t xml:space="preserve">emise </w:t>
      </w:r>
      <w:r w:rsidRPr="0024512C">
        <w:rPr>
          <w:rFonts w:asciiTheme="majorHAnsi" w:hAnsiTheme="majorHAnsi" w:cstheme="majorHAnsi"/>
          <w:sz w:val="24"/>
          <w:lang w:val="ro-MD"/>
        </w:rPr>
        <w:t>pe parcursul anilor 2003 – 2019</w:t>
      </w:r>
      <w:r w:rsidR="002608F5" w:rsidRPr="0024512C">
        <w:rPr>
          <w:rFonts w:asciiTheme="majorHAnsi" w:hAnsiTheme="majorHAnsi" w:cstheme="majorHAnsi"/>
          <w:sz w:val="24"/>
          <w:lang w:val="ro-MD"/>
        </w:rPr>
        <w:t xml:space="preserve"> </w:t>
      </w:r>
      <w:r w:rsidR="00CC1C22" w:rsidRPr="0024512C">
        <w:rPr>
          <w:rFonts w:asciiTheme="majorHAnsi" w:hAnsiTheme="majorHAnsi" w:cstheme="majorHAnsi"/>
          <w:sz w:val="24"/>
          <w:lang w:val="ro-MD"/>
        </w:rPr>
        <w:t xml:space="preserve">privind delegarea unor sarcini suplimentare DLC, precum și de </w:t>
      </w:r>
      <w:r w:rsidRPr="0024512C">
        <w:rPr>
          <w:rFonts w:asciiTheme="majorHAnsi" w:hAnsiTheme="majorHAnsi" w:cstheme="majorHAnsi"/>
          <w:sz w:val="24"/>
          <w:lang w:val="ro-MD"/>
        </w:rPr>
        <w:t>abilitare</w:t>
      </w:r>
      <w:r w:rsidR="00CC1C22" w:rsidRPr="0024512C">
        <w:rPr>
          <w:rFonts w:asciiTheme="majorHAnsi" w:hAnsiTheme="majorHAnsi" w:cstheme="majorHAnsi"/>
          <w:sz w:val="24"/>
          <w:lang w:val="ro-MD"/>
        </w:rPr>
        <w:t xml:space="preserve"> a acestuia cu funcția de acumulare a mijloacelor circulante și de recreditare din cadrul acestora a proiectelor noi;</w:t>
      </w:r>
    </w:p>
    <w:p w:rsidR="002608F5" w:rsidRPr="0024512C" w:rsidRDefault="00326FA9" w:rsidP="00805CC0">
      <w:pPr>
        <w:pStyle w:val="ListParagraph"/>
        <w:numPr>
          <w:ilvl w:val="0"/>
          <w:numId w:val="5"/>
        </w:numPr>
        <w:spacing w:line="276" w:lineRule="auto"/>
        <w:ind w:left="0" w:firstLine="360"/>
        <w:jc w:val="both"/>
        <w:rPr>
          <w:rFonts w:asciiTheme="majorHAnsi" w:hAnsiTheme="majorHAnsi" w:cstheme="majorHAnsi"/>
          <w:sz w:val="24"/>
          <w:lang w:val="ro-MD"/>
        </w:rPr>
      </w:pPr>
      <w:r w:rsidRPr="0024512C">
        <w:rPr>
          <w:rFonts w:asciiTheme="majorHAnsi" w:hAnsiTheme="majorHAnsi" w:cstheme="majorHAnsi"/>
          <w:sz w:val="24"/>
          <w:lang w:val="ro-MD"/>
        </w:rPr>
        <w:t>a</w:t>
      </w:r>
      <w:r w:rsidR="002608F5" w:rsidRPr="0024512C">
        <w:rPr>
          <w:rFonts w:asciiTheme="majorHAnsi" w:hAnsiTheme="majorHAnsi" w:cstheme="majorHAnsi"/>
          <w:sz w:val="24"/>
          <w:lang w:val="ro-MD"/>
        </w:rPr>
        <w:t xml:space="preserve">u fost examinate 3 Memorandumuri de înțelegere încheiate între DLC și </w:t>
      </w:r>
      <w:r w:rsidR="002608F5" w:rsidRPr="0024512C">
        <w:rPr>
          <w:rFonts w:ascii="Calibri Light" w:hAnsi="Calibri Light" w:cs="Calibri Light"/>
          <w:bCs/>
          <w:sz w:val="24"/>
          <w:szCs w:val="24"/>
          <w:lang w:val="ro-MD"/>
        </w:rPr>
        <w:t xml:space="preserve">UCIP-IFAD (în cadrul Proiectelor FIDA I, FIDA V și FIDA VI) în baza cărora s-a convenit că DLC va prelua de la </w:t>
      </w:r>
      <w:r w:rsidR="002608F5" w:rsidRPr="0024512C">
        <w:rPr>
          <w:rFonts w:ascii="Calibri Light" w:hAnsi="Calibri Light" w:cs="Calibri Light"/>
          <w:sz w:val="24"/>
          <w:szCs w:val="24"/>
          <w:lang w:val="ro-MD"/>
        </w:rPr>
        <w:t>UCIP-IFAD</w:t>
      </w:r>
      <w:r w:rsidR="002608F5" w:rsidRPr="0024512C">
        <w:rPr>
          <w:rFonts w:ascii="Calibri Light" w:hAnsi="Calibri Light" w:cs="Calibri Light"/>
          <w:bCs/>
          <w:sz w:val="24"/>
          <w:szCs w:val="24"/>
          <w:lang w:val="ro-MD"/>
        </w:rPr>
        <w:t xml:space="preserve"> gestionarea și monitorizarea portofoliului de sub-împrumuturi </w:t>
      </w:r>
      <w:proofErr w:type="spellStart"/>
      <w:r w:rsidR="002608F5" w:rsidRPr="0024512C">
        <w:rPr>
          <w:rFonts w:ascii="Calibri Light" w:hAnsi="Calibri Light" w:cs="Calibri Light"/>
          <w:bCs/>
          <w:sz w:val="24"/>
          <w:szCs w:val="24"/>
          <w:lang w:val="ro-MD"/>
        </w:rPr>
        <w:t>recreditate</w:t>
      </w:r>
      <w:proofErr w:type="spellEnd"/>
      <w:r w:rsidR="002608F5" w:rsidRPr="0024512C">
        <w:rPr>
          <w:rFonts w:ascii="Calibri Light" w:hAnsi="Calibri Light" w:cs="Calibri Light"/>
          <w:bCs/>
          <w:sz w:val="24"/>
          <w:szCs w:val="24"/>
          <w:lang w:val="ro-MD"/>
        </w:rPr>
        <w:t xml:space="preserve"> din fondurile directe a</w:t>
      </w:r>
      <w:r w:rsidRPr="0024512C">
        <w:rPr>
          <w:rFonts w:ascii="Calibri Light" w:hAnsi="Calibri Light" w:cs="Calibri Light"/>
          <w:bCs/>
          <w:sz w:val="24"/>
          <w:szCs w:val="24"/>
          <w:lang w:val="ro-MD"/>
        </w:rPr>
        <w:t>le</w:t>
      </w:r>
      <w:r w:rsidR="002608F5" w:rsidRPr="0024512C">
        <w:rPr>
          <w:rFonts w:ascii="Calibri Light" w:hAnsi="Calibri Light" w:cs="Calibri Light"/>
          <w:bCs/>
          <w:sz w:val="24"/>
          <w:szCs w:val="24"/>
          <w:lang w:val="ro-MD"/>
        </w:rPr>
        <w:t xml:space="preserve"> Proiectului;</w:t>
      </w:r>
    </w:p>
    <w:p w:rsidR="002608F5" w:rsidRPr="0024512C" w:rsidRDefault="00326FA9" w:rsidP="00805CC0">
      <w:pPr>
        <w:pStyle w:val="ListParagraph"/>
        <w:numPr>
          <w:ilvl w:val="0"/>
          <w:numId w:val="5"/>
        </w:numPr>
        <w:spacing w:line="276" w:lineRule="auto"/>
        <w:ind w:left="0" w:firstLine="360"/>
        <w:jc w:val="both"/>
        <w:rPr>
          <w:rFonts w:asciiTheme="majorHAnsi" w:hAnsiTheme="majorHAnsi" w:cstheme="majorHAnsi"/>
          <w:sz w:val="24"/>
          <w:lang w:val="ro-MD"/>
        </w:rPr>
      </w:pPr>
      <w:r w:rsidRPr="0024512C">
        <w:rPr>
          <w:rFonts w:asciiTheme="majorHAnsi" w:hAnsiTheme="majorHAnsi" w:cstheme="majorHAnsi"/>
          <w:sz w:val="24"/>
          <w:lang w:val="ro-MD"/>
        </w:rPr>
        <w:t>a</w:t>
      </w:r>
      <w:r w:rsidR="002608F5" w:rsidRPr="0024512C">
        <w:rPr>
          <w:rFonts w:asciiTheme="majorHAnsi" w:hAnsiTheme="majorHAnsi" w:cstheme="majorHAnsi"/>
          <w:sz w:val="24"/>
          <w:lang w:val="ro-MD"/>
        </w:rPr>
        <w:t>u fost analizate Rapoartele trimestriale privind evaluarea IFP, precum și procesul de aprobare a acestora de către creditorii externi și Consiliul DLC;</w:t>
      </w:r>
    </w:p>
    <w:p w:rsidR="002608F5" w:rsidRPr="0024512C" w:rsidRDefault="00326FA9" w:rsidP="00805CC0">
      <w:pPr>
        <w:pStyle w:val="ListParagraph"/>
        <w:numPr>
          <w:ilvl w:val="0"/>
          <w:numId w:val="5"/>
        </w:numPr>
        <w:spacing w:line="276" w:lineRule="auto"/>
        <w:ind w:left="0" w:firstLine="360"/>
        <w:jc w:val="both"/>
        <w:rPr>
          <w:rFonts w:asciiTheme="majorHAnsi" w:hAnsiTheme="majorHAnsi" w:cstheme="majorHAnsi"/>
          <w:sz w:val="24"/>
          <w:lang w:val="ro-MD"/>
        </w:rPr>
      </w:pPr>
      <w:r w:rsidRPr="0024512C">
        <w:rPr>
          <w:rFonts w:ascii="Calibri Light" w:hAnsi="Calibri Light" w:cs="Calibri Light"/>
          <w:bCs/>
          <w:sz w:val="24"/>
          <w:szCs w:val="24"/>
          <w:lang w:val="ro-MD"/>
        </w:rPr>
        <w:t>a</w:t>
      </w:r>
      <w:r w:rsidR="002608F5" w:rsidRPr="0024512C">
        <w:rPr>
          <w:rFonts w:ascii="Calibri Light" w:hAnsi="Calibri Light" w:cs="Calibri Light"/>
          <w:bCs/>
          <w:sz w:val="24"/>
          <w:szCs w:val="24"/>
          <w:lang w:val="ro-MD"/>
        </w:rPr>
        <w:t>u fost examinate Acordurile de recreditare încheiate cu IFP;</w:t>
      </w:r>
    </w:p>
    <w:p w:rsidR="00B27DCA" w:rsidRPr="0024512C" w:rsidRDefault="00326FA9" w:rsidP="00805CC0">
      <w:pPr>
        <w:pStyle w:val="ListParagraph"/>
        <w:numPr>
          <w:ilvl w:val="0"/>
          <w:numId w:val="5"/>
        </w:numPr>
        <w:spacing w:line="276" w:lineRule="auto"/>
        <w:ind w:left="0" w:firstLine="360"/>
        <w:jc w:val="both"/>
        <w:rPr>
          <w:rFonts w:asciiTheme="majorHAnsi" w:hAnsiTheme="majorHAnsi" w:cstheme="majorHAnsi"/>
          <w:sz w:val="24"/>
          <w:lang w:val="ro-MD"/>
        </w:rPr>
      </w:pPr>
      <w:r w:rsidRPr="0024512C">
        <w:rPr>
          <w:rFonts w:ascii="Calibri Light" w:hAnsi="Calibri Light" w:cs="Calibri Light"/>
          <w:bCs/>
          <w:sz w:val="24"/>
          <w:szCs w:val="24"/>
          <w:lang w:val="ro-MD"/>
        </w:rPr>
        <w:t>a</w:t>
      </w:r>
      <w:r w:rsidR="00B27DCA" w:rsidRPr="0024512C">
        <w:rPr>
          <w:rFonts w:ascii="Calibri Light" w:hAnsi="Calibri Light" w:cs="Calibri Light"/>
          <w:bCs/>
          <w:sz w:val="24"/>
          <w:szCs w:val="24"/>
          <w:lang w:val="ro-MD"/>
        </w:rPr>
        <w:t xml:space="preserve"> fost analizată evoluția numărului beneficiarilor în cadrul Proiectelor și Liniilor de credit analizate de către echipa de audit;</w:t>
      </w:r>
    </w:p>
    <w:p w:rsidR="002608F5" w:rsidRPr="0024512C" w:rsidRDefault="00326FA9" w:rsidP="00805CC0">
      <w:pPr>
        <w:pStyle w:val="ListParagraph"/>
        <w:numPr>
          <w:ilvl w:val="0"/>
          <w:numId w:val="5"/>
        </w:numPr>
        <w:spacing w:line="276" w:lineRule="auto"/>
        <w:ind w:left="0" w:firstLine="360"/>
        <w:jc w:val="both"/>
        <w:rPr>
          <w:rFonts w:asciiTheme="majorHAnsi" w:hAnsiTheme="majorHAnsi" w:cstheme="majorHAnsi"/>
          <w:sz w:val="24"/>
          <w:lang w:val="ro-MD"/>
        </w:rPr>
      </w:pPr>
      <w:r w:rsidRPr="0024512C">
        <w:rPr>
          <w:rFonts w:ascii="Calibri Light" w:hAnsi="Calibri Light" w:cs="Calibri Light"/>
          <w:bCs/>
          <w:sz w:val="24"/>
          <w:szCs w:val="24"/>
          <w:lang w:val="ro-MD"/>
        </w:rPr>
        <w:t>a</w:t>
      </w:r>
      <w:r w:rsidR="002608F5" w:rsidRPr="0024512C">
        <w:rPr>
          <w:rFonts w:ascii="Calibri Light" w:hAnsi="Calibri Light" w:cs="Calibri Light"/>
          <w:bCs/>
          <w:sz w:val="24"/>
          <w:szCs w:val="24"/>
          <w:lang w:val="ro-MD"/>
        </w:rPr>
        <w:t>u fost analizate selectiv unele dosare a</w:t>
      </w:r>
      <w:r w:rsidRPr="0024512C">
        <w:rPr>
          <w:rFonts w:ascii="Calibri Light" w:hAnsi="Calibri Light" w:cs="Calibri Light"/>
          <w:bCs/>
          <w:sz w:val="24"/>
          <w:szCs w:val="24"/>
          <w:lang w:val="ro-MD"/>
        </w:rPr>
        <w:t>le</w:t>
      </w:r>
      <w:r w:rsidR="002608F5" w:rsidRPr="0024512C">
        <w:rPr>
          <w:rFonts w:ascii="Calibri Light" w:hAnsi="Calibri Light" w:cs="Calibri Light"/>
          <w:bCs/>
          <w:sz w:val="24"/>
          <w:szCs w:val="24"/>
          <w:lang w:val="ro-MD"/>
        </w:rPr>
        <w:t xml:space="preserve"> beneficiarilor de sub-împrumuturi </w:t>
      </w:r>
      <w:r w:rsidR="00B27DCA" w:rsidRPr="0024512C">
        <w:rPr>
          <w:rFonts w:ascii="Calibri Light" w:hAnsi="Calibri Light" w:cs="Calibri Light"/>
          <w:bCs/>
          <w:sz w:val="24"/>
          <w:szCs w:val="24"/>
          <w:lang w:val="ro-MD"/>
        </w:rPr>
        <w:t>din cadrul Proiectelor și Liniilor de credit analizate de către echipa de audit;</w:t>
      </w:r>
    </w:p>
    <w:p w:rsidR="00B27DCA" w:rsidRPr="0024512C" w:rsidRDefault="00326FA9" w:rsidP="00805CC0">
      <w:pPr>
        <w:pStyle w:val="ListParagraph"/>
        <w:numPr>
          <w:ilvl w:val="0"/>
          <w:numId w:val="5"/>
        </w:numPr>
        <w:spacing w:line="276" w:lineRule="auto"/>
        <w:ind w:left="0" w:firstLine="360"/>
        <w:jc w:val="both"/>
        <w:rPr>
          <w:rFonts w:asciiTheme="majorHAnsi" w:hAnsiTheme="majorHAnsi" w:cstheme="majorHAnsi"/>
          <w:sz w:val="24"/>
          <w:lang w:val="ro-MD"/>
        </w:rPr>
      </w:pPr>
      <w:r w:rsidRPr="0024512C">
        <w:rPr>
          <w:rFonts w:ascii="Calibri Light" w:hAnsi="Calibri Light" w:cs="Calibri Light"/>
          <w:bCs/>
          <w:sz w:val="24"/>
          <w:szCs w:val="24"/>
          <w:lang w:val="ro-MD"/>
        </w:rPr>
        <w:t>a</w:t>
      </w:r>
      <w:r w:rsidR="00B27DCA" w:rsidRPr="0024512C">
        <w:rPr>
          <w:rFonts w:ascii="Calibri Light" w:hAnsi="Calibri Light" w:cs="Calibri Light"/>
          <w:bCs/>
          <w:sz w:val="24"/>
          <w:szCs w:val="24"/>
          <w:lang w:val="ro-MD"/>
        </w:rPr>
        <w:t xml:space="preserve">u fost analizate informațiile trimestriale privind statutul Liniilor de credit </w:t>
      </w:r>
      <w:proofErr w:type="spellStart"/>
      <w:r w:rsidR="00B27DCA" w:rsidRPr="0024512C">
        <w:rPr>
          <w:rFonts w:ascii="Calibri Light" w:hAnsi="Calibri Light" w:cs="Calibri Light"/>
          <w:bCs/>
          <w:sz w:val="24"/>
          <w:szCs w:val="24"/>
          <w:lang w:val="ro-MD"/>
        </w:rPr>
        <w:t>recreditate</w:t>
      </w:r>
      <w:proofErr w:type="spellEnd"/>
      <w:r w:rsidR="00B27DCA" w:rsidRPr="0024512C">
        <w:rPr>
          <w:rFonts w:ascii="Calibri Light" w:hAnsi="Calibri Light" w:cs="Calibri Light"/>
          <w:bCs/>
          <w:sz w:val="24"/>
          <w:szCs w:val="24"/>
          <w:lang w:val="ro-MD"/>
        </w:rPr>
        <w:t xml:space="preserve"> de Ministerul Finanțelor prin Unități</w:t>
      </w:r>
      <w:r w:rsidRPr="0024512C">
        <w:rPr>
          <w:rFonts w:ascii="Calibri Light" w:hAnsi="Calibri Light" w:cs="Calibri Light"/>
          <w:bCs/>
          <w:sz w:val="24"/>
          <w:szCs w:val="24"/>
          <w:lang w:val="ro-MD"/>
        </w:rPr>
        <w:t>le</w:t>
      </w:r>
      <w:r w:rsidR="00B27DCA" w:rsidRPr="0024512C">
        <w:rPr>
          <w:rFonts w:ascii="Calibri Light" w:hAnsi="Calibri Light" w:cs="Calibri Light"/>
          <w:bCs/>
          <w:sz w:val="24"/>
          <w:szCs w:val="24"/>
          <w:lang w:val="ro-MD"/>
        </w:rPr>
        <w:t xml:space="preserve"> de implementare speciale și Directoratul Liniei de Credit;</w:t>
      </w:r>
    </w:p>
    <w:p w:rsidR="00B27DCA" w:rsidRPr="0024512C" w:rsidRDefault="00326FA9" w:rsidP="00805CC0">
      <w:pPr>
        <w:pStyle w:val="ListParagraph"/>
        <w:numPr>
          <w:ilvl w:val="0"/>
          <w:numId w:val="5"/>
        </w:numPr>
        <w:spacing w:line="276" w:lineRule="auto"/>
        <w:ind w:left="0" w:firstLine="360"/>
        <w:jc w:val="both"/>
        <w:rPr>
          <w:rFonts w:asciiTheme="majorHAnsi" w:hAnsiTheme="majorHAnsi" w:cstheme="majorHAnsi"/>
          <w:sz w:val="24"/>
          <w:lang w:val="ro-MD"/>
        </w:rPr>
      </w:pPr>
      <w:r w:rsidRPr="0024512C">
        <w:rPr>
          <w:rFonts w:ascii="Calibri Light" w:hAnsi="Calibri Light" w:cs="Calibri Light"/>
          <w:bCs/>
          <w:sz w:val="24"/>
          <w:szCs w:val="24"/>
          <w:lang w:val="ro-MD"/>
        </w:rPr>
        <w:t>a</w:t>
      </w:r>
      <w:r w:rsidR="00B27DCA" w:rsidRPr="0024512C">
        <w:rPr>
          <w:rFonts w:ascii="Calibri Light" w:hAnsi="Calibri Light" w:cs="Calibri Light"/>
          <w:bCs/>
          <w:sz w:val="24"/>
          <w:szCs w:val="24"/>
          <w:lang w:val="ro-MD"/>
        </w:rPr>
        <w:t>u fost studiate Notele Informative privind activitatea de recreditare a fondurilor Liniilor de credit investiționale prin intermediul Instituțiilor Financiare Participante</w:t>
      </w:r>
      <w:r w:rsidRPr="0024512C">
        <w:rPr>
          <w:rFonts w:ascii="Calibri Light" w:hAnsi="Calibri Light" w:cs="Calibri Light"/>
          <w:bCs/>
          <w:sz w:val="24"/>
          <w:szCs w:val="24"/>
          <w:lang w:val="ro-MD"/>
        </w:rPr>
        <w:t>,</w:t>
      </w:r>
      <w:r w:rsidR="00B27DCA" w:rsidRPr="0024512C">
        <w:rPr>
          <w:rFonts w:ascii="Calibri Light" w:hAnsi="Calibri Light" w:cs="Calibri Light"/>
          <w:bCs/>
          <w:sz w:val="24"/>
          <w:szCs w:val="24"/>
          <w:lang w:val="ro-MD"/>
        </w:rPr>
        <w:t xml:space="preserve"> elaborate trimestrial de către DLC;</w:t>
      </w:r>
    </w:p>
    <w:p w:rsidR="000976F2" w:rsidRPr="0024512C" w:rsidRDefault="00326FA9" w:rsidP="00805CC0">
      <w:pPr>
        <w:pStyle w:val="ListParagraph"/>
        <w:numPr>
          <w:ilvl w:val="0"/>
          <w:numId w:val="5"/>
        </w:numPr>
        <w:spacing w:line="276" w:lineRule="auto"/>
        <w:ind w:left="0" w:firstLine="360"/>
        <w:jc w:val="both"/>
        <w:rPr>
          <w:rFonts w:asciiTheme="majorHAnsi" w:hAnsiTheme="majorHAnsi" w:cstheme="majorHAnsi"/>
          <w:sz w:val="24"/>
          <w:lang w:val="ro-MD"/>
        </w:rPr>
      </w:pPr>
      <w:r w:rsidRPr="00321F59">
        <w:rPr>
          <w:rFonts w:asciiTheme="majorHAnsi" w:hAnsiTheme="majorHAnsi" w:cstheme="majorHAnsi"/>
          <w:sz w:val="24"/>
          <w:szCs w:val="24"/>
          <w:lang w:val="ro-MD"/>
        </w:rPr>
        <w:t>a</w:t>
      </w:r>
      <w:r w:rsidR="000976F2" w:rsidRPr="00321F59">
        <w:rPr>
          <w:rFonts w:asciiTheme="majorHAnsi" w:hAnsiTheme="majorHAnsi" w:cstheme="majorHAnsi"/>
          <w:sz w:val="24"/>
          <w:szCs w:val="24"/>
          <w:lang w:val="ro-MD"/>
        </w:rPr>
        <w:t xml:space="preserve">u fost analizate sistemele informaționale utilizate pentru ținerea evidenței decontărilor, rambursărilor și soldurilor sub-împrumuturilor </w:t>
      </w:r>
      <w:proofErr w:type="spellStart"/>
      <w:r w:rsidR="000976F2" w:rsidRPr="00321F59">
        <w:rPr>
          <w:rFonts w:asciiTheme="majorHAnsi" w:hAnsiTheme="majorHAnsi" w:cstheme="majorHAnsi"/>
          <w:sz w:val="24"/>
          <w:szCs w:val="24"/>
          <w:lang w:val="ro-MD"/>
        </w:rPr>
        <w:t>recreditate</w:t>
      </w:r>
      <w:proofErr w:type="spellEnd"/>
      <w:r w:rsidR="000976F2" w:rsidRPr="00321F59">
        <w:rPr>
          <w:rFonts w:asciiTheme="majorHAnsi" w:hAnsiTheme="majorHAnsi" w:cstheme="majorHAnsi"/>
          <w:sz w:val="24"/>
          <w:szCs w:val="24"/>
          <w:lang w:val="ro-MD"/>
        </w:rPr>
        <w:t xml:space="preserve"> în cadrul Proiectelor și Liniilor de credit gestionate de DLC;</w:t>
      </w:r>
    </w:p>
    <w:p w:rsidR="007E0E92" w:rsidRPr="000D7A72" w:rsidRDefault="00326FA9" w:rsidP="00B5156A">
      <w:pPr>
        <w:pStyle w:val="ListParagraph"/>
        <w:numPr>
          <w:ilvl w:val="0"/>
          <w:numId w:val="5"/>
        </w:numPr>
        <w:spacing w:line="276" w:lineRule="auto"/>
        <w:ind w:left="0" w:firstLine="360"/>
        <w:jc w:val="both"/>
        <w:rPr>
          <w:rFonts w:asciiTheme="majorHAnsi" w:hAnsiTheme="majorHAnsi" w:cstheme="majorHAnsi"/>
          <w:sz w:val="24"/>
          <w:lang w:val="ro-MD"/>
        </w:rPr>
      </w:pPr>
      <w:r w:rsidRPr="005C74F5">
        <w:rPr>
          <w:rFonts w:ascii="Calibri Light" w:hAnsi="Calibri Light" w:cs="Calibri Light"/>
          <w:bCs/>
          <w:sz w:val="24"/>
          <w:szCs w:val="24"/>
          <w:lang w:val="ro-MD"/>
        </w:rPr>
        <w:t>a</w:t>
      </w:r>
      <w:r w:rsidR="00B27DCA" w:rsidRPr="002437F6">
        <w:rPr>
          <w:rFonts w:ascii="Calibri Light" w:hAnsi="Calibri Light" w:cs="Calibri Light"/>
          <w:bCs/>
          <w:sz w:val="24"/>
          <w:szCs w:val="24"/>
          <w:lang w:val="ro-MD"/>
        </w:rPr>
        <w:t>u fost analizate alte informații relevante auditului.</w:t>
      </w:r>
    </w:p>
    <w:p w:rsidR="00DB680B" w:rsidRPr="0024512C" w:rsidRDefault="00DB680B" w:rsidP="00704604">
      <w:pPr>
        <w:spacing w:line="276" w:lineRule="auto"/>
        <w:jc w:val="right"/>
        <w:rPr>
          <w:rFonts w:asciiTheme="majorHAnsi" w:hAnsiTheme="majorHAnsi" w:cstheme="majorHAnsi"/>
          <w:b/>
          <w:i/>
          <w:color w:val="5B9BD5" w:themeColor="accent1"/>
          <w:sz w:val="24"/>
          <w:szCs w:val="24"/>
          <w:lang w:val="ro-MD"/>
          <w14:glow w14:rad="0">
            <w14:schemeClr w14:val="tx1"/>
          </w14:glow>
        </w:rPr>
      </w:pPr>
    </w:p>
    <w:p w:rsidR="00DB680B" w:rsidRDefault="00DB680B" w:rsidP="0008293E">
      <w:pPr>
        <w:spacing w:line="276" w:lineRule="auto"/>
        <w:rPr>
          <w:rFonts w:asciiTheme="majorHAnsi" w:hAnsiTheme="majorHAnsi" w:cstheme="majorHAnsi"/>
          <w:b/>
          <w:i/>
          <w:color w:val="5B9BD5" w:themeColor="accent1"/>
          <w:sz w:val="24"/>
          <w:szCs w:val="24"/>
          <w:lang w:val="ro-MD"/>
          <w14:glow w14:rad="0">
            <w14:schemeClr w14:val="tx1"/>
          </w14:glow>
        </w:rPr>
      </w:pPr>
    </w:p>
    <w:p w:rsidR="00756965" w:rsidRPr="0024512C" w:rsidRDefault="00756965" w:rsidP="0008293E">
      <w:pPr>
        <w:spacing w:line="276" w:lineRule="auto"/>
        <w:rPr>
          <w:rFonts w:asciiTheme="majorHAnsi" w:hAnsiTheme="majorHAnsi" w:cstheme="majorHAnsi"/>
          <w:b/>
          <w:i/>
          <w:color w:val="5B9BD5" w:themeColor="accent1"/>
          <w:sz w:val="24"/>
          <w:szCs w:val="24"/>
          <w:lang w:val="ro-MD"/>
          <w14:glow w14:rad="0">
            <w14:schemeClr w14:val="tx1"/>
          </w14:glow>
        </w:rPr>
      </w:pPr>
    </w:p>
    <w:p w:rsidR="0008293E" w:rsidRPr="0024512C" w:rsidRDefault="0008293E" w:rsidP="0008293E">
      <w:pPr>
        <w:spacing w:line="276" w:lineRule="auto"/>
        <w:rPr>
          <w:rFonts w:asciiTheme="majorHAnsi" w:hAnsiTheme="majorHAnsi" w:cstheme="majorHAnsi"/>
          <w:b/>
          <w:i/>
          <w:color w:val="5B9BD5" w:themeColor="accent1"/>
          <w:sz w:val="24"/>
          <w:szCs w:val="24"/>
          <w:lang w:val="ro-MD"/>
          <w14:glow w14:rad="0">
            <w14:schemeClr w14:val="tx1"/>
          </w14:glow>
        </w:rPr>
      </w:pPr>
    </w:p>
    <w:p w:rsidR="00704604" w:rsidRPr="0024512C" w:rsidRDefault="00704604" w:rsidP="00704604">
      <w:pPr>
        <w:spacing w:line="276" w:lineRule="auto"/>
        <w:jc w:val="right"/>
        <w:rPr>
          <w:rFonts w:asciiTheme="majorHAnsi" w:hAnsiTheme="majorHAnsi" w:cstheme="majorHAnsi"/>
          <w:b/>
          <w:i/>
          <w:color w:val="5B9BD5" w:themeColor="accent1"/>
          <w:sz w:val="24"/>
          <w:szCs w:val="24"/>
          <w:lang w:val="ro-MD"/>
          <w14:glow w14:rad="0">
            <w14:schemeClr w14:val="tx1"/>
          </w14:glow>
        </w:rPr>
      </w:pPr>
      <w:r w:rsidRPr="0024512C">
        <w:rPr>
          <w:rFonts w:asciiTheme="majorHAnsi" w:hAnsiTheme="majorHAnsi" w:cstheme="majorHAnsi"/>
          <w:b/>
          <w:i/>
          <w:color w:val="5B9BD5" w:themeColor="accent1"/>
          <w:sz w:val="24"/>
          <w:szCs w:val="24"/>
          <w:lang w:val="ro-MD"/>
          <w14:glow w14:rad="0">
            <w14:schemeClr w14:val="tx1"/>
          </w14:glow>
        </w:rPr>
        <w:lastRenderedPageBreak/>
        <w:t>Anexa nr. 2</w:t>
      </w:r>
    </w:p>
    <w:p w:rsidR="00704604" w:rsidRPr="0024512C" w:rsidRDefault="00515B24" w:rsidP="00515B24">
      <w:pPr>
        <w:spacing w:line="276" w:lineRule="auto"/>
        <w:jc w:val="center"/>
        <w:rPr>
          <w:rFonts w:asciiTheme="majorHAnsi" w:hAnsiTheme="majorHAnsi" w:cstheme="majorHAnsi"/>
          <w:b/>
          <w:i/>
          <w:sz w:val="24"/>
          <w:szCs w:val="24"/>
          <w:lang w:val="ro-MD"/>
          <w14:glow w14:rad="0">
            <w14:schemeClr w14:val="tx1"/>
          </w14:glow>
        </w:rPr>
      </w:pPr>
      <w:r w:rsidRPr="0024512C">
        <w:rPr>
          <w:rFonts w:asciiTheme="majorHAnsi" w:hAnsiTheme="majorHAnsi" w:cstheme="majorHAnsi"/>
          <w:b/>
          <w:i/>
          <w:sz w:val="24"/>
          <w:szCs w:val="24"/>
          <w:lang w:val="ro-MD"/>
          <w14:glow w14:rad="0">
            <w14:schemeClr w14:val="tx1"/>
          </w14:glow>
        </w:rPr>
        <w:t>Situațiile financiare ale DLC pentru perioada 01.01.2019</w:t>
      </w:r>
      <w:r w:rsidR="000E05E0" w:rsidRPr="0024512C">
        <w:rPr>
          <w:rFonts w:asciiTheme="majorHAnsi" w:hAnsiTheme="majorHAnsi" w:cstheme="majorHAnsi"/>
          <w:b/>
          <w:i/>
          <w:sz w:val="24"/>
          <w:szCs w:val="24"/>
          <w:lang w:val="ro-MD"/>
          <w14:glow w14:rad="0">
            <w14:schemeClr w14:val="tx1"/>
          </w14:glow>
        </w:rPr>
        <w:t xml:space="preserve"> </w:t>
      </w:r>
      <w:r w:rsidRPr="0024512C">
        <w:rPr>
          <w:rFonts w:asciiTheme="majorHAnsi" w:hAnsiTheme="majorHAnsi" w:cstheme="majorHAnsi"/>
          <w:b/>
          <w:i/>
          <w:sz w:val="24"/>
          <w:szCs w:val="24"/>
          <w:lang w:val="ro-MD"/>
          <w14:glow w14:rad="0">
            <w14:schemeClr w14:val="tx1"/>
          </w14:glow>
        </w:rPr>
        <w:t>-</w:t>
      </w:r>
      <w:r w:rsidR="000E05E0" w:rsidRPr="0024512C">
        <w:rPr>
          <w:rFonts w:asciiTheme="majorHAnsi" w:hAnsiTheme="majorHAnsi" w:cstheme="majorHAnsi"/>
          <w:b/>
          <w:i/>
          <w:sz w:val="24"/>
          <w:szCs w:val="24"/>
          <w:lang w:val="ro-MD"/>
          <w14:glow w14:rad="0">
            <w14:schemeClr w14:val="tx1"/>
          </w14:glow>
        </w:rPr>
        <w:t xml:space="preserve"> </w:t>
      </w:r>
      <w:r w:rsidRPr="0024512C">
        <w:rPr>
          <w:rFonts w:asciiTheme="majorHAnsi" w:hAnsiTheme="majorHAnsi" w:cstheme="majorHAnsi"/>
          <w:b/>
          <w:i/>
          <w:sz w:val="24"/>
          <w:szCs w:val="24"/>
          <w:lang w:val="ro-MD"/>
          <w14:glow w14:rad="0">
            <w14:schemeClr w14:val="tx1"/>
          </w14:glow>
        </w:rPr>
        <w:t>31.12.2019, mil. lei</w:t>
      </w:r>
    </w:p>
    <w:tbl>
      <w:tblPr>
        <w:tblStyle w:val="TableGrid"/>
        <w:tblW w:w="9382" w:type="dxa"/>
        <w:tblLook w:val="04A0" w:firstRow="1" w:lastRow="0" w:firstColumn="1" w:lastColumn="0" w:noHBand="0" w:noVBand="1"/>
      </w:tblPr>
      <w:tblGrid>
        <w:gridCol w:w="3055"/>
        <w:gridCol w:w="720"/>
        <w:gridCol w:w="1869"/>
        <w:gridCol w:w="1869"/>
        <w:gridCol w:w="1869"/>
      </w:tblGrid>
      <w:tr w:rsidR="00704604" w:rsidRPr="0024512C" w:rsidTr="00AB693B">
        <w:tc>
          <w:tcPr>
            <w:tcW w:w="3055" w:type="dxa"/>
            <w:shd w:val="clear" w:color="auto" w:fill="DEEAF6" w:themeFill="accent1" w:themeFillTint="33"/>
            <w:vAlign w:val="center"/>
          </w:tcPr>
          <w:p w:rsidR="00704604" w:rsidRPr="0024512C" w:rsidRDefault="00704604" w:rsidP="00AB693B">
            <w:pPr>
              <w:spacing w:line="276" w:lineRule="auto"/>
              <w:jc w:val="center"/>
              <w:rPr>
                <w:rFonts w:asciiTheme="majorHAnsi" w:hAnsiTheme="majorHAnsi" w:cstheme="majorHAnsi"/>
                <w:b/>
                <w:sz w:val="20"/>
                <w:szCs w:val="20"/>
                <w:lang w:val="ro-MD"/>
                <w14:glow w14:rad="0">
                  <w14:schemeClr w14:val="tx1"/>
                </w14:glow>
              </w:rPr>
            </w:pPr>
            <w:r w:rsidRPr="0024512C">
              <w:rPr>
                <w:rFonts w:asciiTheme="majorHAnsi" w:hAnsiTheme="majorHAnsi" w:cstheme="majorHAnsi"/>
                <w:b/>
                <w:sz w:val="20"/>
                <w:szCs w:val="20"/>
                <w:lang w:val="ro-MD"/>
                <w14:glow w14:rad="0">
                  <w14:schemeClr w14:val="tx1"/>
                </w14:glow>
              </w:rPr>
              <w:t>Element bilanțier</w:t>
            </w:r>
          </w:p>
        </w:tc>
        <w:tc>
          <w:tcPr>
            <w:tcW w:w="720" w:type="dxa"/>
            <w:shd w:val="clear" w:color="auto" w:fill="DEEAF6" w:themeFill="accent1" w:themeFillTint="33"/>
            <w:vAlign w:val="center"/>
          </w:tcPr>
          <w:p w:rsidR="00704604" w:rsidRPr="0024512C" w:rsidRDefault="00704604" w:rsidP="00AB693B">
            <w:pPr>
              <w:spacing w:line="276" w:lineRule="auto"/>
              <w:jc w:val="center"/>
              <w:rPr>
                <w:rFonts w:asciiTheme="majorHAnsi" w:hAnsiTheme="majorHAnsi" w:cstheme="majorHAnsi"/>
                <w:b/>
                <w:sz w:val="20"/>
                <w:szCs w:val="20"/>
                <w:lang w:val="ro-MD"/>
                <w14:glow w14:rad="0">
                  <w14:schemeClr w14:val="tx1"/>
                </w14:glow>
              </w:rPr>
            </w:pPr>
            <w:r w:rsidRPr="0024512C">
              <w:rPr>
                <w:rFonts w:asciiTheme="majorHAnsi" w:hAnsiTheme="majorHAnsi" w:cstheme="majorHAnsi"/>
                <w:b/>
                <w:sz w:val="20"/>
                <w:szCs w:val="20"/>
                <w:lang w:val="ro-MD"/>
                <w14:glow w14:rad="0">
                  <w14:schemeClr w14:val="tx1"/>
                </w14:glow>
              </w:rPr>
              <w:t>Cod rând</w:t>
            </w:r>
          </w:p>
        </w:tc>
        <w:tc>
          <w:tcPr>
            <w:tcW w:w="1869" w:type="dxa"/>
            <w:shd w:val="clear" w:color="auto" w:fill="DEEAF6" w:themeFill="accent1" w:themeFillTint="33"/>
            <w:vAlign w:val="center"/>
          </w:tcPr>
          <w:p w:rsidR="00704604" w:rsidRPr="0024512C" w:rsidRDefault="00704604" w:rsidP="00AB693B">
            <w:pPr>
              <w:spacing w:line="276" w:lineRule="auto"/>
              <w:jc w:val="center"/>
              <w:rPr>
                <w:rFonts w:asciiTheme="majorHAnsi" w:hAnsiTheme="majorHAnsi" w:cstheme="majorHAnsi"/>
                <w:b/>
                <w:sz w:val="20"/>
                <w:szCs w:val="20"/>
                <w:lang w:val="ro-MD"/>
                <w14:glow w14:rad="0">
                  <w14:schemeClr w14:val="tx1"/>
                </w14:glow>
              </w:rPr>
            </w:pPr>
            <w:r w:rsidRPr="0024512C">
              <w:rPr>
                <w:rFonts w:asciiTheme="majorHAnsi" w:hAnsiTheme="majorHAnsi" w:cstheme="majorHAnsi"/>
                <w:b/>
                <w:sz w:val="20"/>
                <w:szCs w:val="20"/>
                <w:lang w:val="ro-MD"/>
                <w14:glow w14:rad="0">
                  <w14:schemeClr w14:val="tx1"/>
                </w14:glow>
              </w:rPr>
              <w:t>Sold la 31.12.2018</w:t>
            </w:r>
          </w:p>
        </w:tc>
        <w:tc>
          <w:tcPr>
            <w:tcW w:w="1869" w:type="dxa"/>
            <w:shd w:val="clear" w:color="auto" w:fill="DEEAF6" w:themeFill="accent1" w:themeFillTint="33"/>
            <w:vAlign w:val="center"/>
          </w:tcPr>
          <w:p w:rsidR="00704604" w:rsidRPr="0024512C" w:rsidRDefault="00704604" w:rsidP="00AB693B">
            <w:pPr>
              <w:spacing w:line="276" w:lineRule="auto"/>
              <w:jc w:val="center"/>
              <w:rPr>
                <w:rFonts w:asciiTheme="majorHAnsi" w:hAnsiTheme="majorHAnsi" w:cstheme="majorHAnsi"/>
                <w:b/>
                <w:sz w:val="20"/>
                <w:szCs w:val="20"/>
                <w:lang w:val="ro-MD"/>
                <w14:glow w14:rad="0">
                  <w14:schemeClr w14:val="tx1"/>
                </w14:glow>
              </w:rPr>
            </w:pPr>
            <w:r w:rsidRPr="0024512C">
              <w:rPr>
                <w:rFonts w:asciiTheme="majorHAnsi" w:hAnsiTheme="majorHAnsi" w:cstheme="majorHAnsi"/>
                <w:b/>
                <w:sz w:val="20"/>
                <w:szCs w:val="20"/>
                <w:lang w:val="ro-MD"/>
                <w14:glow w14:rad="0">
                  <w14:schemeClr w14:val="tx1"/>
                </w14:glow>
              </w:rPr>
              <w:t>Sold la 31.12.2019</w:t>
            </w:r>
          </w:p>
        </w:tc>
        <w:tc>
          <w:tcPr>
            <w:tcW w:w="1869" w:type="dxa"/>
            <w:shd w:val="clear" w:color="auto" w:fill="DEEAF6" w:themeFill="accent1" w:themeFillTint="33"/>
            <w:vAlign w:val="center"/>
          </w:tcPr>
          <w:p w:rsidR="00704604" w:rsidRPr="0024512C" w:rsidRDefault="00704604" w:rsidP="00AB693B">
            <w:pPr>
              <w:spacing w:line="276" w:lineRule="auto"/>
              <w:jc w:val="center"/>
              <w:rPr>
                <w:rFonts w:asciiTheme="majorHAnsi" w:hAnsiTheme="majorHAnsi" w:cstheme="majorHAnsi"/>
                <w:b/>
                <w:sz w:val="20"/>
                <w:szCs w:val="20"/>
                <w:lang w:val="ro-MD"/>
                <w14:glow w14:rad="0">
                  <w14:schemeClr w14:val="tx1"/>
                </w14:glow>
              </w:rPr>
            </w:pPr>
            <w:r w:rsidRPr="0024512C">
              <w:rPr>
                <w:rFonts w:asciiTheme="majorHAnsi" w:hAnsiTheme="majorHAnsi" w:cstheme="majorHAnsi"/>
                <w:b/>
                <w:sz w:val="20"/>
                <w:szCs w:val="20"/>
                <w:lang w:val="ro-MD"/>
                <w14:glow w14:rad="0">
                  <w14:schemeClr w14:val="tx1"/>
                </w14:glow>
              </w:rPr>
              <w:t>Diferența</w:t>
            </w:r>
          </w:p>
        </w:tc>
      </w:tr>
      <w:tr w:rsidR="00704604" w:rsidRPr="0024512C" w:rsidTr="00AB693B">
        <w:tc>
          <w:tcPr>
            <w:tcW w:w="9382" w:type="dxa"/>
            <w:gridSpan w:val="5"/>
            <w:shd w:val="clear" w:color="auto" w:fill="FFFFFF" w:themeFill="background1"/>
          </w:tcPr>
          <w:p w:rsidR="00704604" w:rsidRPr="005C74F5" w:rsidRDefault="00704604" w:rsidP="00AB693B">
            <w:pPr>
              <w:spacing w:line="276" w:lineRule="auto"/>
              <w:jc w:val="center"/>
              <w:rPr>
                <w:rFonts w:asciiTheme="majorHAnsi" w:hAnsiTheme="majorHAnsi" w:cstheme="majorHAnsi"/>
                <w:b/>
                <w:sz w:val="20"/>
                <w:szCs w:val="20"/>
                <w:lang w:val="ro-MD"/>
                <w14:glow w14:rad="0">
                  <w14:schemeClr w14:val="tx1"/>
                </w14:glow>
              </w:rPr>
            </w:pPr>
            <w:r w:rsidRPr="0024512C">
              <w:rPr>
                <w:rFonts w:asciiTheme="majorHAnsi" w:hAnsiTheme="majorHAnsi" w:cstheme="majorHAnsi"/>
                <w:b/>
                <w:sz w:val="20"/>
                <w:szCs w:val="20"/>
                <w:lang w:val="ro-MD"/>
                <w14:glow w14:rad="0">
                  <w14:schemeClr w14:val="tx1"/>
                </w14:glow>
              </w:rPr>
              <w:t>ACTIV</w:t>
            </w:r>
          </w:p>
        </w:tc>
      </w:tr>
      <w:tr w:rsidR="00704604" w:rsidRPr="0024512C" w:rsidTr="00AB693B">
        <w:tc>
          <w:tcPr>
            <w:tcW w:w="3055" w:type="dxa"/>
          </w:tcPr>
          <w:p w:rsidR="00704604" w:rsidRPr="005C74F5" w:rsidRDefault="00704604" w:rsidP="00AB693B">
            <w:pPr>
              <w:spacing w:line="276" w:lineRule="auto"/>
              <w:jc w:val="both"/>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A</w:t>
            </w:r>
            <w:r w:rsidRPr="005C74F5">
              <w:rPr>
                <w:rFonts w:asciiTheme="majorHAnsi" w:hAnsiTheme="majorHAnsi" w:cstheme="majorHAnsi"/>
                <w:b/>
                <w:i/>
                <w:sz w:val="20"/>
                <w:szCs w:val="20"/>
                <w:lang w:val="ro-MD"/>
                <w14:glow w14:rad="0">
                  <w14:schemeClr w14:val="tx1"/>
                </w14:glow>
              </w:rPr>
              <w:t>ctive imobilizate</w:t>
            </w:r>
          </w:p>
        </w:tc>
        <w:tc>
          <w:tcPr>
            <w:tcW w:w="720" w:type="dxa"/>
          </w:tcPr>
          <w:p w:rsidR="00704604" w:rsidRPr="0024512C" w:rsidRDefault="00704604" w:rsidP="00AB693B">
            <w:pPr>
              <w:spacing w:line="276" w:lineRule="auto"/>
              <w:jc w:val="both"/>
              <w:rPr>
                <w:rFonts w:asciiTheme="majorHAnsi" w:hAnsiTheme="majorHAnsi" w:cstheme="majorHAnsi"/>
                <w:sz w:val="20"/>
                <w:szCs w:val="20"/>
                <w:lang w:val="ro-MD"/>
                <w14:glow w14:rad="0">
                  <w14:schemeClr w14:val="tx1"/>
                </w14:glow>
              </w:rPr>
            </w:pPr>
          </w:p>
        </w:tc>
        <w:tc>
          <w:tcPr>
            <w:tcW w:w="1869" w:type="dxa"/>
          </w:tcPr>
          <w:p w:rsidR="00704604" w:rsidRPr="0024512C" w:rsidRDefault="00704604" w:rsidP="00AB693B">
            <w:pPr>
              <w:spacing w:line="276" w:lineRule="auto"/>
              <w:jc w:val="both"/>
              <w:rPr>
                <w:rFonts w:asciiTheme="majorHAnsi" w:hAnsiTheme="majorHAnsi" w:cstheme="majorHAnsi"/>
                <w:sz w:val="20"/>
                <w:szCs w:val="20"/>
                <w:lang w:val="ro-MD"/>
                <w14:glow w14:rad="0">
                  <w14:schemeClr w14:val="tx1"/>
                </w14:glow>
              </w:rPr>
            </w:pPr>
          </w:p>
        </w:tc>
        <w:tc>
          <w:tcPr>
            <w:tcW w:w="1869" w:type="dxa"/>
          </w:tcPr>
          <w:p w:rsidR="00704604" w:rsidRPr="0024512C" w:rsidRDefault="00704604" w:rsidP="00AB693B">
            <w:pPr>
              <w:spacing w:line="276" w:lineRule="auto"/>
              <w:jc w:val="both"/>
              <w:rPr>
                <w:rFonts w:asciiTheme="majorHAnsi" w:hAnsiTheme="majorHAnsi" w:cstheme="majorHAnsi"/>
                <w:sz w:val="20"/>
                <w:szCs w:val="20"/>
                <w:lang w:val="ro-MD"/>
                <w14:glow w14:rad="0">
                  <w14:schemeClr w14:val="tx1"/>
                </w14:glow>
              </w:rPr>
            </w:pPr>
          </w:p>
        </w:tc>
        <w:tc>
          <w:tcPr>
            <w:tcW w:w="1869" w:type="dxa"/>
          </w:tcPr>
          <w:p w:rsidR="00704604" w:rsidRPr="0024512C" w:rsidRDefault="00704604" w:rsidP="00AB693B">
            <w:pPr>
              <w:spacing w:line="276" w:lineRule="auto"/>
              <w:jc w:val="both"/>
              <w:rPr>
                <w:rFonts w:asciiTheme="majorHAnsi" w:hAnsiTheme="majorHAnsi" w:cstheme="majorHAnsi"/>
                <w:sz w:val="20"/>
                <w:szCs w:val="20"/>
                <w:lang w:val="ro-MD"/>
                <w14:glow w14:rad="0">
                  <w14:schemeClr w14:val="tx1"/>
                </w14:glow>
              </w:rPr>
            </w:pPr>
          </w:p>
        </w:tc>
      </w:tr>
      <w:tr w:rsidR="00704604" w:rsidRPr="0024512C" w:rsidTr="00AB693B">
        <w:tc>
          <w:tcPr>
            <w:tcW w:w="3055" w:type="dxa"/>
          </w:tcPr>
          <w:p w:rsidR="00704604" w:rsidRPr="005C74F5" w:rsidRDefault="00704604" w:rsidP="00AB693B">
            <w:pPr>
              <w:spacing w:line="276" w:lineRule="auto"/>
              <w:jc w:val="both"/>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Imobilizări necorporale</w:t>
            </w:r>
          </w:p>
        </w:tc>
        <w:tc>
          <w:tcPr>
            <w:tcW w:w="720"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010</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0,26</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0,31</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+0,05</w:t>
            </w:r>
          </w:p>
        </w:tc>
      </w:tr>
      <w:tr w:rsidR="00704604" w:rsidRPr="0024512C" w:rsidTr="00AB693B">
        <w:tc>
          <w:tcPr>
            <w:tcW w:w="3055" w:type="dxa"/>
          </w:tcPr>
          <w:p w:rsidR="00704604" w:rsidRPr="005C74F5" w:rsidRDefault="00704604" w:rsidP="00AB693B">
            <w:pPr>
              <w:spacing w:line="276" w:lineRule="auto"/>
              <w:jc w:val="both"/>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Mijloace fixe</w:t>
            </w:r>
          </w:p>
        </w:tc>
        <w:tc>
          <w:tcPr>
            <w:tcW w:w="720"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040</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0,15</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0,11</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-0,04</w:t>
            </w:r>
          </w:p>
        </w:tc>
      </w:tr>
      <w:tr w:rsidR="00704604" w:rsidRPr="0024512C" w:rsidTr="00AB693B">
        <w:tc>
          <w:tcPr>
            <w:tcW w:w="3055" w:type="dxa"/>
          </w:tcPr>
          <w:p w:rsidR="00704604" w:rsidRPr="005C74F5" w:rsidRDefault="00704604" w:rsidP="00AB693B">
            <w:pPr>
              <w:spacing w:line="276" w:lineRule="auto"/>
              <w:jc w:val="both"/>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 xml:space="preserve">Investiții financiare pe </w:t>
            </w:r>
            <w:r w:rsidRPr="005C74F5">
              <w:rPr>
                <w:rFonts w:asciiTheme="majorHAnsi" w:hAnsiTheme="majorHAnsi" w:cstheme="majorHAnsi"/>
                <w:sz w:val="20"/>
                <w:szCs w:val="20"/>
                <w:lang w:val="ro-MD"/>
                <w14:glow w14:rad="0">
                  <w14:schemeClr w14:val="tx1"/>
                </w14:glow>
              </w:rPr>
              <w:t>termen lung în părți neafiliate</w:t>
            </w:r>
          </w:p>
        </w:tc>
        <w:tc>
          <w:tcPr>
            <w:tcW w:w="720"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070</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1 781,19</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1 870,40</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+89,21</w:t>
            </w:r>
          </w:p>
        </w:tc>
      </w:tr>
      <w:tr w:rsidR="00704604" w:rsidRPr="0024512C" w:rsidTr="00AB693B">
        <w:tc>
          <w:tcPr>
            <w:tcW w:w="3055" w:type="dxa"/>
          </w:tcPr>
          <w:p w:rsidR="00704604" w:rsidRPr="005C74F5" w:rsidRDefault="00704604" w:rsidP="00AB693B">
            <w:pPr>
              <w:spacing w:line="276" w:lineRule="auto"/>
              <w:jc w:val="both"/>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Total active imobilizate</w:t>
            </w:r>
          </w:p>
        </w:tc>
        <w:tc>
          <w:tcPr>
            <w:tcW w:w="720" w:type="dxa"/>
          </w:tcPr>
          <w:p w:rsidR="00704604" w:rsidRPr="0024512C" w:rsidRDefault="00704604" w:rsidP="00AB693B">
            <w:pPr>
              <w:spacing w:line="276" w:lineRule="auto"/>
              <w:jc w:val="center"/>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130</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1 781,60</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1 870,82</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+89,22</w:t>
            </w:r>
          </w:p>
        </w:tc>
      </w:tr>
      <w:tr w:rsidR="00704604" w:rsidRPr="0024512C" w:rsidTr="00AB693B">
        <w:tc>
          <w:tcPr>
            <w:tcW w:w="3055" w:type="dxa"/>
          </w:tcPr>
          <w:p w:rsidR="00704604" w:rsidRPr="005C74F5" w:rsidRDefault="00704604" w:rsidP="00AB693B">
            <w:pPr>
              <w:spacing w:line="276" w:lineRule="auto"/>
              <w:jc w:val="both"/>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Active circulante</w:t>
            </w:r>
          </w:p>
        </w:tc>
        <w:tc>
          <w:tcPr>
            <w:tcW w:w="720"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p>
        </w:tc>
      </w:tr>
      <w:tr w:rsidR="00704604" w:rsidRPr="0024512C" w:rsidTr="00AB693B">
        <w:tc>
          <w:tcPr>
            <w:tcW w:w="3055" w:type="dxa"/>
          </w:tcPr>
          <w:p w:rsidR="00704604" w:rsidRPr="005C74F5" w:rsidRDefault="00704604" w:rsidP="00AB693B">
            <w:pPr>
              <w:spacing w:line="276" w:lineRule="auto"/>
              <w:jc w:val="both"/>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Obiecte de mică valoare și scurtă durată</w:t>
            </w:r>
          </w:p>
        </w:tc>
        <w:tc>
          <w:tcPr>
            <w:tcW w:w="720"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160</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0,03</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0,03</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w:t>
            </w:r>
          </w:p>
        </w:tc>
      </w:tr>
      <w:tr w:rsidR="00704604" w:rsidRPr="0024512C" w:rsidTr="00AB693B">
        <w:tc>
          <w:tcPr>
            <w:tcW w:w="3055" w:type="dxa"/>
          </w:tcPr>
          <w:p w:rsidR="00704604" w:rsidRPr="005C74F5" w:rsidRDefault="00704604" w:rsidP="00AB693B">
            <w:pPr>
              <w:spacing w:line="276" w:lineRule="auto"/>
              <w:jc w:val="both"/>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Creanțe comerciale</w:t>
            </w:r>
          </w:p>
        </w:tc>
        <w:tc>
          <w:tcPr>
            <w:tcW w:w="720"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190</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0</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0,05</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+0,05</w:t>
            </w:r>
          </w:p>
        </w:tc>
      </w:tr>
      <w:tr w:rsidR="00704604" w:rsidRPr="0024512C" w:rsidTr="00AB693B">
        <w:tc>
          <w:tcPr>
            <w:tcW w:w="3055" w:type="dxa"/>
          </w:tcPr>
          <w:p w:rsidR="00704604" w:rsidRPr="005C74F5" w:rsidRDefault="00704604" w:rsidP="00AB693B">
            <w:pPr>
              <w:spacing w:line="276" w:lineRule="auto"/>
              <w:jc w:val="both"/>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Alte creanțe curente</w:t>
            </w:r>
          </w:p>
        </w:tc>
        <w:tc>
          <w:tcPr>
            <w:tcW w:w="720"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240</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46,55</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17,18</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-29,37</w:t>
            </w:r>
          </w:p>
        </w:tc>
      </w:tr>
      <w:tr w:rsidR="00704604" w:rsidRPr="0024512C" w:rsidTr="00AB693B">
        <w:tc>
          <w:tcPr>
            <w:tcW w:w="3055" w:type="dxa"/>
          </w:tcPr>
          <w:p w:rsidR="00704604" w:rsidRPr="005C74F5" w:rsidRDefault="00704604" w:rsidP="00AB693B">
            <w:pPr>
              <w:spacing w:line="276" w:lineRule="auto"/>
              <w:jc w:val="both"/>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Numerar în casierie și la conturi curente</w:t>
            </w:r>
          </w:p>
        </w:tc>
        <w:tc>
          <w:tcPr>
            <w:tcW w:w="720"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250</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1 895,63</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2 010,72</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+115,09</w:t>
            </w:r>
          </w:p>
        </w:tc>
      </w:tr>
      <w:tr w:rsidR="00704604" w:rsidRPr="0024512C" w:rsidTr="00AB693B">
        <w:tc>
          <w:tcPr>
            <w:tcW w:w="3055" w:type="dxa"/>
          </w:tcPr>
          <w:p w:rsidR="00704604" w:rsidRPr="005C74F5" w:rsidRDefault="00704604" w:rsidP="00AB693B">
            <w:pPr>
              <w:spacing w:line="276" w:lineRule="auto"/>
              <w:jc w:val="both"/>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Investiții financiare curente în părți neafiliate</w:t>
            </w:r>
          </w:p>
        </w:tc>
        <w:tc>
          <w:tcPr>
            <w:tcW w:w="720"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270</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60,60</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53,64</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-6,96</w:t>
            </w:r>
          </w:p>
        </w:tc>
      </w:tr>
      <w:tr w:rsidR="00704604" w:rsidRPr="0024512C" w:rsidTr="00AB693B">
        <w:tc>
          <w:tcPr>
            <w:tcW w:w="3055" w:type="dxa"/>
          </w:tcPr>
          <w:p w:rsidR="00704604" w:rsidRPr="005C74F5" w:rsidRDefault="00704604" w:rsidP="00AB693B">
            <w:pPr>
              <w:spacing w:line="276" w:lineRule="auto"/>
              <w:jc w:val="both"/>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Alte active circulante</w:t>
            </w:r>
          </w:p>
        </w:tc>
        <w:tc>
          <w:tcPr>
            <w:tcW w:w="720"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290</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0,03</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0,02</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-0,01</w:t>
            </w:r>
          </w:p>
        </w:tc>
      </w:tr>
      <w:tr w:rsidR="00704604" w:rsidRPr="0024512C" w:rsidTr="00AB693B">
        <w:tc>
          <w:tcPr>
            <w:tcW w:w="3055" w:type="dxa"/>
          </w:tcPr>
          <w:p w:rsidR="00704604" w:rsidRPr="005C74F5" w:rsidRDefault="00704604" w:rsidP="00AB693B">
            <w:pPr>
              <w:spacing w:line="276" w:lineRule="auto"/>
              <w:jc w:val="both"/>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Total active circulante</w:t>
            </w:r>
          </w:p>
        </w:tc>
        <w:tc>
          <w:tcPr>
            <w:tcW w:w="720" w:type="dxa"/>
          </w:tcPr>
          <w:p w:rsidR="00704604" w:rsidRPr="0024512C" w:rsidRDefault="00704604" w:rsidP="00AB693B">
            <w:pPr>
              <w:spacing w:line="276" w:lineRule="auto"/>
              <w:jc w:val="center"/>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300</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2 002,84</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2 081,64</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+78,80</w:t>
            </w:r>
          </w:p>
        </w:tc>
      </w:tr>
      <w:tr w:rsidR="00704604" w:rsidRPr="0024512C" w:rsidTr="00AB693B">
        <w:tc>
          <w:tcPr>
            <w:tcW w:w="3055" w:type="dxa"/>
            <w:shd w:val="clear" w:color="auto" w:fill="DEEAF6" w:themeFill="accent1" w:themeFillTint="33"/>
          </w:tcPr>
          <w:p w:rsidR="00704604" w:rsidRPr="005C74F5" w:rsidRDefault="00704604" w:rsidP="00AB693B">
            <w:pPr>
              <w:spacing w:line="276" w:lineRule="auto"/>
              <w:jc w:val="both"/>
              <w:rPr>
                <w:rFonts w:asciiTheme="majorHAnsi" w:hAnsiTheme="majorHAnsi" w:cstheme="majorHAnsi"/>
                <w:b/>
                <w:sz w:val="20"/>
                <w:szCs w:val="20"/>
                <w:lang w:val="ro-MD"/>
                <w14:glow w14:rad="0">
                  <w14:schemeClr w14:val="tx1"/>
                </w14:glow>
              </w:rPr>
            </w:pPr>
            <w:r w:rsidRPr="0024512C">
              <w:rPr>
                <w:rFonts w:asciiTheme="majorHAnsi" w:hAnsiTheme="majorHAnsi" w:cstheme="majorHAnsi"/>
                <w:b/>
                <w:sz w:val="20"/>
                <w:szCs w:val="20"/>
                <w:lang w:val="ro-MD"/>
                <w14:glow w14:rad="0">
                  <w14:schemeClr w14:val="tx1"/>
                </w14:glow>
              </w:rPr>
              <w:t>TOTAL ACTIV</w:t>
            </w:r>
          </w:p>
        </w:tc>
        <w:tc>
          <w:tcPr>
            <w:tcW w:w="720" w:type="dxa"/>
            <w:shd w:val="clear" w:color="auto" w:fill="DEEAF6" w:themeFill="accent1" w:themeFillTint="33"/>
          </w:tcPr>
          <w:p w:rsidR="00704604" w:rsidRPr="0024512C" w:rsidRDefault="00704604" w:rsidP="00AB693B">
            <w:pPr>
              <w:spacing w:line="276" w:lineRule="auto"/>
              <w:jc w:val="center"/>
              <w:rPr>
                <w:rFonts w:asciiTheme="majorHAnsi" w:hAnsiTheme="majorHAnsi" w:cstheme="majorHAnsi"/>
                <w:b/>
                <w:sz w:val="20"/>
                <w:szCs w:val="20"/>
                <w:lang w:val="ro-MD"/>
                <w14:glow w14:rad="0">
                  <w14:schemeClr w14:val="tx1"/>
                </w14:glow>
              </w:rPr>
            </w:pPr>
            <w:r w:rsidRPr="0024512C">
              <w:rPr>
                <w:rFonts w:asciiTheme="majorHAnsi" w:hAnsiTheme="majorHAnsi" w:cstheme="majorHAnsi"/>
                <w:b/>
                <w:sz w:val="20"/>
                <w:szCs w:val="20"/>
                <w:lang w:val="ro-MD"/>
                <w14:glow w14:rad="0">
                  <w14:schemeClr w14:val="tx1"/>
                </w14:glow>
              </w:rPr>
              <w:t>310</w:t>
            </w:r>
          </w:p>
        </w:tc>
        <w:tc>
          <w:tcPr>
            <w:tcW w:w="1869" w:type="dxa"/>
            <w:shd w:val="clear" w:color="auto" w:fill="DEEAF6" w:themeFill="accent1" w:themeFillTint="33"/>
          </w:tcPr>
          <w:p w:rsidR="00704604" w:rsidRPr="0024512C" w:rsidRDefault="00704604" w:rsidP="00AB693B">
            <w:pPr>
              <w:spacing w:line="276" w:lineRule="auto"/>
              <w:jc w:val="center"/>
              <w:rPr>
                <w:rFonts w:asciiTheme="majorHAnsi" w:hAnsiTheme="majorHAnsi" w:cstheme="majorHAnsi"/>
                <w:b/>
                <w:sz w:val="20"/>
                <w:szCs w:val="20"/>
                <w:lang w:val="ro-MD"/>
                <w14:glow w14:rad="0">
                  <w14:schemeClr w14:val="tx1"/>
                </w14:glow>
              </w:rPr>
            </w:pPr>
            <w:r w:rsidRPr="0024512C">
              <w:rPr>
                <w:rFonts w:asciiTheme="majorHAnsi" w:hAnsiTheme="majorHAnsi" w:cstheme="majorHAnsi"/>
                <w:b/>
                <w:sz w:val="20"/>
                <w:szCs w:val="20"/>
                <w:lang w:val="ro-MD"/>
                <w14:glow w14:rad="0">
                  <w14:schemeClr w14:val="tx1"/>
                </w14:glow>
              </w:rPr>
              <w:t>3 784,44</w:t>
            </w:r>
          </w:p>
        </w:tc>
        <w:tc>
          <w:tcPr>
            <w:tcW w:w="1869" w:type="dxa"/>
            <w:shd w:val="clear" w:color="auto" w:fill="DEEAF6" w:themeFill="accent1" w:themeFillTint="33"/>
          </w:tcPr>
          <w:p w:rsidR="00704604" w:rsidRPr="0024512C" w:rsidRDefault="00704604" w:rsidP="00AB693B">
            <w:pPr>
              <w:spacing w:line="276" w:lineRule="auto"/>
              <w:jc w:val="center"/>
              <w:rPr>
                <w:rFonts w:asciiTheme="majorHAnsi" w:hAnsiTheme="majorHAnsi" w:cstheme="majorHAnsi"/>
                <w:b/>
                <w:sz w:val="20"/>
                <w:szCs w:val="20"/>
                <w:lang w:val="ro-MD"/>
                <w14:glow w14:rad="0">
                  <w14:schemeClr w14:val="tx1"/>
                </w14:glow>
              </w:rPr>
            </w:pPr>
            <w:r w:rsidRPr="0024512C">
              <w:rPr>
                <w:rFonts w:asciiTheme="majorHAnsi" w:hAnsiTheme="majorHAnsi" w:cstheme="majorHAnsi"/>
                <w:b/>
                <w:sz w:val="20"/>
                <w:szCs w:val="20"/>
                <w:lang w:val="ro-MD"/>
                <w14:glow w14:rad="0">
                  <w14:schemeClr w14:val="tx1"/>
                </w14:glow>
              </w:rPr>
              <w:t>3 952,46</w:t>
            </w:r>
          </w:p>
        </w:tc>
        <w:tc>
          <w:tcPr>
            <w:tcW w:w="1869" w:type="dxa"/>
            <w:shd w:val="clear" w:color="auto" w:fill="DEEAF6" w:themeFill="accent1" w:themeFillTint="33"/>
          </w:tcPr>
          <w:p w:rsidR="00704604" w:rsidRPr="0024512C" w:rsidRDefault="00704604" w:rsidP="00AB693B">
            <w:pPr>
              <w:spacing w:line="276" w:lineRule="auto"/>
              <w:jc w:val="center"/>
              <w:rPr>
                <w:rFonts w:asciiTheme="majorHAnsi" w:hAnsiTheme="majorHAnsi" w:cstheme="majorHAnsi"/>
                <w:b/>
                <w:sz w:val="20"/>
                <w:szCs w:val="20"/>
                <w:lang w:val="ro-MD"/>
                <w14:glow w14:rad="0">
                  <w14:schemeClr w14:val="tx1"/>
                </w14:glow>
              </w:rPr>
            </w:pPr>
            <w:r w:rsidRPr="0024512C">
              <w:rPr>
                <w:rFonts w:asciiTheme="majorHAnsi" w:hAnsiTheme="majorHAnsi" w:cstheme="majorHAnsi"/>
                <w:b/>
                <w:sz w:val="20"/>
                <w:szCs w:val="20"/>
                <w:lang w:val="ro-MD"/>
                <w14:glow w14:rad="0">
                  <w14:schemeClr w14:val="tx1"/>
                </w14:glow>
              </w:rPr>
              <w:t>+168,02</w:t>
            </w:r>
          </w:p>
        </w:tc>
      </w:tr>
      <w:tr w:rsidR="00704604" w:rsidRPr="0024512C" w:rsidTr="00AB693B">
        <w:tc>
          <w:tcPr>
            <w:tcW w:w="9382" w:type="dxa"/>
            <w:gridSpan w:val="5"/>
            <w:shd w:val="clear" w:color="auto" w:fill="FFFFFF" w:themeFill="background1"/>
          </w:tcPr>
          <w:p w:rsidR="00704604" w:rsidRPr="005C74F5" w:rsidRDefault="00704604" w:rsidP="00AB693B">
            <w:pPr>
              <w:spacing w:line="276" w:lineRule="auto"/>
              <w:jc w:val="center"/>
              <w:rPr>
                <w:rFonts w:asciiTheme="majorHAnsi" w:hAnsiTheme="majorHAnsi" w:cstheme="majorHAnsi"/>
                <w:b/>
                <w:sz w:val="20"/>
                <w:szCs w:val="20"/>
                <w:lang w:val="ro-MD"/>
                <w14:glow w14:rad="0">
                  <w14:schemeClr w14:val="tx1"/>
                </w14:glow>
              </w:rPr>
            </w:pPr>
            <w:r w:rsidRPr="0024512C">
              <w:rPr>
                <w:rFonts w:asciiTheme="majorHAnsi" w:hAnsiTheme="majorHAnsi" w:cstheme="majorHAnsi"/>
                <w:b/>
                <w:sz w:val="20"/>
                <w:szCs w:val="20"/>
                <w:lang w:val="ro-MD"/>
                <w14:glow w14:rad="0">
                  <w14:schemeClr w14:val="tx1"/>
                </w14:glow>
              </w:rPr>
              <w:t>PASIV</w:t>
            </w:r>
          </w:p>
        </w:tc>
      </w:tr>
      <w:tr w:rsidR="00704604" w:rsidRPr="0024512C" w:rsidTr="00AB693B">
        <w:tc>
          <w:tcPr>
            <w:tcW w:w="3055" w:type="dxa"/>
          </w:tcPr>
          <w:p w:rsidR="00704604" w:rsidRPr="005C74F5" w:rsidRDefault="00704604" w:rsidP="00AB693B">
            <w:pPr>
              <w:spacing w:line="276" w:lineRule="auto"/>
              <w:jc w:val="both"/>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Capital propriu</w:t>
            </w:r>
          </w:p>
        </w:tc>
        <w:tc>
          <w:tcPr>
            <w:tcW w:w="720" w:type="dxa"/>
          </w:tcPr>
          <w:p w:rsidR="00704604" w:rsidRPr="0024512C" w:rsidRDefault="00704604" w:rsidP="00AB693B">
            <w:pPr>
              <w:spacing w:line="276" w:lineRule="auto"/>
              <w:jc w:val="both"/>
              <w:rPr>
                <w:rFonts w:asciiTheme="majorHAnsi" w:hAnsiTheme="majorHAnsi" w:cstheme="majorHAnsi"/>
                <w:sz w:val="20"/>
                <w:szCs w:val="20"/>
                <w:lang w:val="ro-MD"/>
                <w14:glow w14:rad="0">
                  <w14:schemeClr w14:val="tx1"/>
                </w14:glow>
              </w:rPr>
            </w:pPr>
          </w:p>
        </w:tc>
        <w:tc>
          <w:tcPr>
            <w:tcW w:w="1869" w:type="dxa"/>
          </w:tcPr>
          <w:p w:rsidR="00704604" w:rsidRPr="0024512C" w:rsidRDefault="00704604" w:rsidP="00AB693B">
            <w:pPr>
              <w:spacing w:line="276" w:lineRule="auto"/>
              <w:jc w:val="both"/>
              <w:rPr>
                <w:rFonts w:asciiTheme="majorHAnsi" w:hAnsiTheme="majorHAnsi" w:cstheme="majorHAnsi"/>
                <w:sz w:val="20"/>
                <w:szCs w:val="20"/>
                <w:lang w:val="ro-MD"/>
                <w14:glow w14:rad="0">
                  <w14:schemeClr w14:val="tx1"/>
                </w14:glow>
              </w:rPr>
            </w:pPr>
          </w:p>
        </w:tc>
        <w:tc>
          <w:tcPr>
            <w:tcW w:w="1869" w:type="dxa"/>
          </w:tcPr>
          <w:p w:rsidR="00704604" w:rsidRPr="0024512C" w:rsidRDefault="00704604" w:rsidP="00AB693B">
            <w:pPr>
              <w:spacing w:line="276" w:lineRule="auto"/>
              <w:jc w:val="both"/>
              <w:rPr>
                <w:rFonts w:asciiTheme="majorHAnsi" w:hAnsiTheme="majorHAnsi" w:cstheme="majorHAnsi"/>
                <w:sz w:val="20"/>
                <w:szCs w:val="20"/>
                <w:lang w:val="ro-MD"/>
                <w14:glow w14:rad="0">
                  <w14:schemeClr w14:val="tx1"/>
                </w14:glow>
              </w:rPr>
            </w:pPr>
          </w:p>
        </w:tc>
        <w:tc>
          <w:tcPr>
            <w:tcW w:w="1869" w:type="dxa"/>
          </w:tcPr>
          <w:p w:rsidR="00704604" w:rsidRPr="0024512C" w:rsidRDefault="00704604" w:rsidP="00AB693B">
            <w:pPr>
              <w:spacing w:line="276" w:lineRule="auto"/>
              <w:jc w:val="both"/>
              <w:rPr>
                <w:rFonts w:asciiTheme="majorHAnsi" w:hAnsiTheme="majorHAnsi" w:cstheme="majorHAnsi"/>
                <w:sz w:val="20"/>
                <w:szCs w:val="20"/>
                <w:lang w:val="ro-MD"/>
                <w14:glow w14:rad="0">
                  <w14:schemeClr w14:val="tx1"/>
                </w14:glow>
              </w:rPr>
            </w:pPr>
          </w:p>
        </w:tc>
      </w:tr>
      <w:tr w:rsidR="00704604" w:rsidRPr="0024512C" w:rsidTr="00AB693B">
        <w:tc>
          <w:tcPr>
            <w:tcW w:w="3055" w:type="dxa"/>
          </w:tcPr>
          <w:p w:rsidR="00704604" w:rsidRPr="005C74F5" w:rsidRDefault="00704604" w:rsidP="00AB693B">
            <w:pPr>
              <w:spacing w:line="276" w:lineRule="auto"/>
              <w:jc w:val="both"/>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Alte elemente de capital propriu</w:t>
            </w:r>
          </w:p>
        </w:tc>
        <w:tc>
          <w:tcPr>
            <w:tcW w:w="720"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380</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73,19</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78,61</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+5,42</w:t>
            </w:r>
          </w:p>
        </w:tc>
      </w:tr>
      <w:tr w:rsidR="00704604" w:rsidRPr="0024512C" w:rsidTr="00AB693B">
        <w:tc>
          <w:tcPr>
            <w:tcW w:w="3055" w:type="dxa"/>
          </w:tcPr>
          <w:p w:rsidR="00704604" w:rsidRPr="005C74F5" w:rsidRDefault="00704604" w:rsidP="00AB693B">
            <w:pPr>
              <w:spacing w:line="276" w:lineRule="auto"/>
              <w:jc w:val="both"/>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Total capital propriu</w:t>
            </w:r>
          </w:p>
        </w:tc>
        <w:tc>
          <w:tcPr>
            <w:tcW w:w="720" w:type="dxa"/>
          </w:tcPr>
          <w:p w:rsidR="00704604" w:rsidRPr="0024512C" w:rsidRDefault="00704604" w:rsidP="00AB693B">
            <w:pPr>
              <w:spacing w:line="276" w:lineRule="auto"/>
              <w:jc w:val="center"/>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390</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73,19</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78,61</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+5,42</w:t>
            </w:r>
          </w:p>
        </w:tc>
      </w:tr>
      <w:tr w:rsidR="00704604" w:rsidRPr="0024512C" w:rsidTr="00AB693B">
        <w:tc>
          <w:tcPr>
            <w:tcW w:w="3055" w:type="dxa"/>
          </w:tcPr>
          <w:p w:rsidR="00704604" w:rsidRPr="005C74F5" w:rsidRDefault="00704604" w:rsidP="00AB693B">
            <w:pPr>
              <w:spacing w:line="276" w:lineRule="auto"/>
              <w:jc w:val="both"/>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Datorii pe termen lung</w:t>
            </w:r>
          </w:p>
        </w:tc>
        <w:tc>
          <w:tcPr>
            <w:tcW w:w="720"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p>
        </w:tc>
      </w:tr>
      <w:tr w:rsidR="00704604" w:rsidRPr="0024512C" w:rsidTr="00AB693B">
        <w:tc>
          <w:tcPr>
            <w:tcW w:w="3055" w:type="dxa"/>
          </w:tcPr>
          <w:p w:rsidR="00704604" w:rsidRPr="005C74F5" w:rsidRDefault="00704604" w:rsidP="00AB693B">
            <w:pPr>
              <w:spacing w:line="276" w:lineRule="auto"/>
              <w:jc w:val="both"/>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Alte datorii pe termen lung</w:t>
            </w:r>
          </w:p>
        </w:tc>
        <w:tc>
          <w:tcPr>
            <w:tcW w:w="720"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430</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3 664,76</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3 873,33</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+208,57</w:t>
            </w:r>
          </w:p>
        </w:tc>
      </w:tr>
      <w:tr w:rsidR="00704604" w:rsidRPr="0024512C" w:rsidTr="00AB693B">
        <w:tc>
          <w:tcPr>
            <w:tcW w:w="3055" w:type="dxa"/>
          </w:tcPr>
          <w:p w:rsidR="00704604" w:rsidRPr="005C74F5" w:rsidRDefault="00704604" w:rsidP="00AB693B">
            <w:pPr>
              <w:spacing w:line="276" w:lineRule="auto"/>
              <w:jc w:val="both"/>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Total datorii pe termen lung</w:t>
            </w:r>
          </w:p>
        </w:tc>
        <w:tc>
          <w:tcPr>
            <w:tcW w:w="720" w:type="dxa"/>
          </w:tcPr>
          <w:p w:rsidR="00704604" w:rsidRPr="0024512C" w:rsidRDefault="00704604" w:rsidP="00AB693B">
            <w:pPr>
              <w:spacing w:line="276" w:lineRule="auto"/>
              <w:jc w:val="center"/>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440</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3 664,76</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3 873,33</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+208,57</w:t>
            </w:r>
          </w:p>
        </w:tc>
      </w:tr>
      <w:tr w:rsidR="00704604" w:rsidRPr="0024512C" w:rsidTr="00AB693B">
        <w:tc>
          <w:tcPr>
            <w:tcW w:w="3055" w:type="dxa"/>
          </w:tcPr>
          <w:p w:rsidR="00704604" w:rsidRPr="005C74F5" w:rsidRDefault="00704604" w:rsidP="00AB693B">
            <w:pPr>
              <w:spacing w:line="276" w:lineRule="auto"/>
              <w:jc w:val="both"/>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Datorii curente</w:t>
            </w:r>
          </w:p>
        </w:tc>
        <w:tc>
          <w:tcPr>
            <w:tcW w:w="720"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p>
        </w:tc>
      </w:tr>
      <w:tr w:rsidR="00704604" w:rsidRPr="0024512C" w:rsidTr="00AB693B">
        <w:tc>
          <w:tcPr>
            <w:tcW w:w="3055" w:type="dxa"/>
          </w:tcPr>
          <w:p w:rsidR="00704604" w:rsidRPr="005C74F5" w:rsidRDefault="00704604" w:rsidP="00AB693B">
            <w:pPr>
              <w:spacing w:line="276" w:lineRule="auto"/>
              <w:jc w:val="both"/>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Alte datorii curente</w:t>
            </w:r>
          </w:p>
        </w:tc>
        <w:tc>
          <w:tcPr>
            <w:tcW w:w="720"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570</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46,49</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0,52</w:t>
            </w:r>
          </w:p>
        </w:tc>
        <w:tc>
          <w:tcPr>
            <w:tcW w:w="1869" w:type="dxa"/>
          </w:tcPr>
          <w:p w:rsidR="00704604" w:rsidRPr="0024512C" w:rsidRDefault="00704604" w:rsidP="00AB693B">
            <w:pPr>
              <w:spacing w:line="276" w:lineRule="auto"/>
              <w:jc w:val="center"/>
              <w:rPr>
                <w:rFonts w:asciiTheme="majorHAnsi" w:hAnsiTheme="majorHAnsi" w:cstheme="majorHAnsi"/>
                <w:sz w:val="20"/>
                <w:szCs w:val="20"/>
                <w:lang w:val="ro-MD"/>
                <w14:glow w14:rad="0">
                  <w14:schemeClr w14:val="tx1"/>
                </w14:glow>
              </w:rPr>
            </w:pPr>
            <w:r w:rsidRPr="0024512C">
              <w:rPr>
                <w:rFonts w:asciiTheme="majorHAnsi" w:hAnsiTheme="majorHAnsi" w:cstheme="majorHAnsi"/>
                <w:sz w:val="20"/>
                <w:szCs w:val="20"/>
                <w:lang w:val="ro-MD"/>
                <w14:glow w14:rad="0">
                  <w14:schemeClr w14:val="tx1"/>
                </w14:glow>
              </w:rPr>
              <w:t>-45,97</w:t>
            </w:r>
          </w:p>
        </w:tc>
      </w:tr>
      <w:tr w:rsidR="00704604" w:rsidRPr="0024512C" w:rsidTr="00AB693B">
        <w:tc>
          <w:tcPr>
            <w:tcW w:w="3055" w:type="dxa"/>
          </w:tcPr>
          <w:p w:rsidR="00704604" w:rsidRPr="005C74F5" w:rsidRDefault="00704604" w:rsidP="00AB693B">
            <w:pPr>
              <w:spacing w:line="276" w:lineRule="auto"/>
              <w:jc w:val="both"/>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Total datorii curente</w:t>
            </w:r>
          </w:p>
        </w:tc>
        <w:tc>
          <w:tcPr>
            <w:tcW w:w="720" w:type="dxa"/>
          </w:tcPr>
          <w:p w:rsidR="00704604" w:rsidRPr="0024512C" w:rsidRDefault="00704604" w:rsidP="00AB693B">
            <w:pPr>
              <w:spacing w:line="276" w:lineRule="auto"/>
              <w:jc w:val="center"/>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580</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46,49</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0,52</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-45,97</w:t>
            </w:r>
          </w:p>
        </w:tc>
      </w:tr>
      <w:tr w:rsidR="00704604" w:rsidRPr="0024512C" w:rsidTr="00AB693B">
        <w:tc>
          <w:tcPr>
            <w:tcW w:w="3055" w:type="dxa"/>
            <w:shd w:val="clear" w:color="auto" w:fill="DEEAF6" w:themeFill="accent1" w:themeFillTint="33"/>
          </w:tcPr>
          <w:p w:rsidR="00704604" w:rsidRPr="005C74F5" w:rsidRDefault="00704604" w:rsidP="00AB693B">
            <w:pPr>
              <w:spacing w:line="276" w:lineRule="auto"/>
              <w:jc w:val="both"/>
              <w:rPr>
                <w:rFonts w:asciiTheme="majorHAnsi" w:hAnsiTheme="majorHAnsi" w:cstheme="majorHAnsi"/>
                <w:b/>
                <w:sz w:val="20"/>
                <w:szCs w:val="20"/>
                <w:lang w:val="ro-MD"/>
                <w14:glow w14:rad="0">
                  <w14:schemeClr w14:val="tx1"/>
                </w14:glow>
              </w:rPr>
            </w:pPr>
            <w:r w:rsidRPr="0024512C">
              <w:rPr>
                <w:rFonts w:asciiTheme="majorHAnsi" w:hAnsiTheme="majorHAnsi" w:cstheme="majorHAnsi"/>
                <w:b/>
                <w:sz w:val="20"/>
                <w:szCs w:val="20"/>
                <w:lang w:val="ro-MD"/>
                <w14:glow w14:rad="0">
                  <w14:schemeClr w14:val="tx1"/>
                </w14:glow>
              </w:rPr>
              <w:t>TOTAL PASIV</w:t>
            </w:r>
          </w:p>
        </w:tc>
        <w:tc>
          <w:tcPr>
            <w:tcW w:w="720" w:type="dxa"/>
            <w:shd w:val="clear" w:color="auto" w:fill="DEEAF6" w:themeFill="accent1" w:themeFillTint="33"/>
          </w:tcPr>
          <w:p w:rsidR="00704604" w:rsidRPr="0024512C" w:rsidRDefault="00704604" w:rsidP="00AB693B">
            <w:pPr>
              <w:spacing w:line="276" w:lineRule="auto"/>
              <w:jc w:val="center"/>
              <w:rPr>
                <w:rFonts w:asciiTheme="majorHAnsi" w:hAnsiTheme="majorHAnsi" w:cstheme="majorHAnsi"/>
                <w:b/>
                <w:sz w:val="20"/>
                <w:szCs w:val="20"/>
                <w:lang w:val="ro-MD"/>
                <w14:glow w14:rad="0">
                  <w14:schemeClr w14:val="tx1"/>
                </w14:glow>
              </w:rPr>
            </w:pPr>
            <w:r w:rsidRPr="0024512C">
              <w:rPr>
                <w:rFonts w:asciiTheme="majorHAnsi" w:hAnsiTheme="majorHAnsi" w:cstheme="majorHAnsi"/>
                <w:b/>
                <w:sz w:val="20"/>
                <w:szCs w:val="20"/>
                <w:lang w:val="ro-MD"/>
                <w14:glow w14:rad="0">
                  <w14:schemeClr w14:val="tx1"/>
                </w14:glow>
              </w:rPr>
              <w:t>590</w:t>
            </w:r>
          </w:p>
        </w:tc>
        <w:tc>
          <w:tcPr>
            <w:tcW w:w="1869" w:type="dxa"/>
            <w:shd w:val="clear" w:color="auto" w:fill="DEEAF6" w:themeFill="accent1" w:themeFillTint="33"/>
          </w:tcPr>
          <w:p w:rsidR="00704604" w:rsidRPr="0024512C" w:rsidRDefault="00704604" w:rsidP="00AB693B">
            <w:pPr>
              <w:spacing w:line="276" w:lineRule="auto"/>
              <w:jc w:val="center"/>
              <w:rPr>
                <w:rFonts w:asciiTheme="majorHAnsi" w:hAnsiTheme="majorHAnsi" w:cstheme="majorHAnsi"/>
                <w:b/>
                <w:sz w:val="20"/>
                <w:szCs w:val="20"/>
                <w:lang w:val="ro-MD"/>
                <w14:glow w14:rad="0">
                  <w14:schemeClr w14:val="tx1"/>
                </w14:glow>
              </w:rPr>
            </w:pPr>
            <w:r w:rsidRPr="0024512C">
              <w:rPr>
                <w:rFonts w:asciiTheme="majorHAnsi" w:hAnsiTheme="majorHAnsi" w:cstheme="majorHAnsi"/>
                <w:b/>
                <w:sz w:val="20"/>
                <w:szCs w:val="20"/>
                <w:lang w:val="ro-MD"/>
                <w14:glow w14:rad="0">
                  <w14:schemeClr w14:val="tx1"/>
                </w14:glow>
              </w:rPr>
              <w:t>3 784,44</w:t>
            </w:r>
          </w:p>
        </w:tc>
        <w:tc>
          <w:tcPr>
            <w:tcW w:w="1869" w:type="dxa"/>
            <w:shd w:val="clear" w:color="auto" w:fill="DEEAF6" w:themeFill="accent1" w:themeFillTint="33"/>
          </w:tcPr>
          <w:p w:rsidR="00704604" w:rsidRPr="0024512C" w:rsidRDefault="00704604" w:rsidP="00AB693B">
            <w:pPr>
              <w:spacing w:line="276" w:lineRule="auto"/>
              <w:jc w:val="center"/>
              <w:rPr>
                <w:rFonts w:asciiTheme="majorHAnsi" w:hAnsiTheme="majorHAnsi" w:cstheme="majorHAnsi"/>
                <w:b/>
                <w:sz w:val="20"/>
                <w:szCs w:val="20"/>
                <w:lang w:val="ro-MD"/>
                <w14:glow w14:rad="0">
                  <w14:schemeClr w14:val="tx1"/>
                </w14:glow>
              </w:rPr>
            </w:pPr>
            <w:r w:rsidRPr="0024512C">
              <w:rPr>
                <w:rFonts w:asciiTheme="majorHAnsi" w:hAnsiTheme="majorHAnsi" w:cstheme="majorHAnsi"/>
                <w:b/>
                <w:sz w:val="20"/>
                <w:szCs w:val="20"/>
                <w:lang w:val="ro-MD"/>
                <w14:glow w14:rad="0">
                  <w14:schemeClr w14:val="tx1"/>
                </w14:glow>
              </w:rPr>
              <w:t>3 952,46</w:t>
            </w:r>
          </w:p>
        </w:tc>
        <w:tc>
          <w:tcPr>
            <w:tcW w:w="1869" w:type="dxa"/>
            <w:shd w:val="clear" w:color="auto" w:fill="DEEAF6" w:themeFill="accent1" w:themeFillTint="33"/>
          </w:tcPr>
          <w:p w:rsidR="00704604" w:rsidRPr="0024512C" w:rsidRDefault="00704604" w:rsidP="00AB693B">
            <w:pPr>
              <w:spacing w:line="276" w:lineRule="auto"/>
              <w:jc w:val="center"/>
              <w:rPr>
                <w:rFonts w:asciiTheme="majorHAnsi" w:hAnsiTheme="majorHAnsi" w:cstheme="majorHAnsi"/>
                <w:b/>
                <w:sz w:val="20"/>
                <w:szCs w:val="20"/>
                <w:lang w:val="ro-MD"/>
                <w14:glow w14:rad="0">
                  <w14:schemeClr w14:val="tx1"/>
                </w14:glow>
              </w:rPr>
            </w:pPr>
            <w:r w:rsidRPr="0024512C">
              <w:rPr>
                <w:rFonts w:asciiTheme="majorHAnsi" w:hAnsiTheme="majorHAnsi" w:cstheme="majorHAnsi"/>
                <w:b/>
                <w:sz w:val="20"/>
                <w:szCs w:val="20"/>
                <w:lang w:val="ro-MD"/>
                <w14:glow w14:rad="0">
                  <w14:schemeClr w14:val="tx1"/>
                </w14:glow>
              </w:rPr>
              <w:t>+168,02</w:t>
            </w:r>
          </w:p>
        </w:tc>
      </w:tr>
    </w:tbl>
    <w:p w:rsidR="00704604" w:rsidRPr="0024512C" w:rsidRDefault="00704604" w:rsidP="00704604">
      <w:pPr>
        <w:spacing w:line="276" w:lineRule="auto"/>
        <w:jc w:val="both"/>
        <w:rPr>
          <w:rFonts w:asciiTheme="majorHAnsi" w:hAnsiTheme="majorHAnsi" w:cstheme="majorHAns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Sursa:</w:t>
      </w:r>
      <w:r w:rsidRPr="005C74F5">
        <w:rPr>
          <w:rFonts w:asciiTheme="majorHAnsi" w:hAnsiTheme="majorHAnsi" w:cstheme="majorHAnsi"/>
          <w:sz w:val="20"/>
          <w:szCs w:val="20"/>
          <w:lang w:val="ro-MD"/>
          <w14:glow w14:rad="0">
            <w14:schemeClr w14:val="tx1"/>
          </w14:glow>
        </w:rPr>
        <w:t xml:space="preserve"> </w:t>
      </w:r>
      <w:r w:rsidRPr="002437F6">
        <w:rPr>
          <w:rFonts w:asciiTheme="majorHAnsi" w:hAnsiTheme="majorHAnsi" w:cstheme="majorHAnsi"/>
          <w:i/>
          <w:sz w:val="20"/>
          <w:szCs w:val="20"/>
          <w:lang w:val="ro-MD"/>
          <w14:glow w14:rad="0">
            <w14:schemeClr w14:val="tx1"/>
          </w14:glow>
        </w:rPr>
        <w:t>Situațiile financiare ale DLC pentru perioada 01.01.2019</w:t>
      </w:r>
      <w:r w:rsidR="000E05E0" w:rsidRPr="00E53929">
        <w:rPr>
          <w:rFonts w:asciiTheme="majorHAnsi" w:hAnsiTheme="majorHAnsi" w:cstheme="majorHAnsi"/>
          <w:i/>
          <w:sz w:val="20"/>
          <w:szCs w:val="20"/>
          <w:lang w:val="ro-MD"/>
          <w14:glow w14:rad="0">
            <w14:schemeClr w14:val="tx1"/>
          </w14:glow>
        </w:rPr>
        <w:t xml:space="preserve"> </w:t>
      </w:r>
      <w:r w:rsidRPr="000D7A72">
        <w:rPr>
          <w:rFonts w:asciiTheme="majorHAnsi" w:hAnsiTheme="majorHAnsi" w:cstheme="majorHAnsi"/>
          <w:i/>
          <w:sz w:val="20"/>
          <w:szCs w:val="20"/>
          <w:lang w:val="ro-MD"/>
          <w14:glow w14:rad="0">
            <w14:schemeClr w14:val="tx1"/>
          </w14:glow>
        </w:rPr>
        <w:t>-</w:t>
      </w:r>
      <w:r w:rsidR="000E05E0" w:rsidRPr="0024512C">
        <w:rPr>
          <w:rFonts w:asciiTheme="majorHAnsi" w:hAnsiTheme="majorHAnsi" w:cstheme="majorHAnsi"/>
          <w:i/>
          <w:sz w:val="20"/>
          <w:szCs w:val="20"/>
          <w:lang w:val="ro-MD"/>
          <w14:glow w14:rad="0">
            <w14:schemeClr w14:val="tx1"/>
          </w14:glow>
        </w:rPr>
        <w:t xml:space="preserve"> </w:t>
      </w:r>
      <w:r w:rsidRPr="0024512C">
        <w:rPr>
          <w:rFonts w:asciiTheme="majorHAnsi" w:hAnsiTheme="majorHAnsi" w:cstheme="majorHAnsi"/>
          <w:i/>
          <w:sz w:val="20"/>
          <w:szCs w:val="20"/>
          <w:lang w:val="ro-MD"/>
          <w14:glow w14:rad="0">
            <w14:schemeClr w14:val="tx1"/>
          </w14:glow>
        </w:rPr>
        <w:t>31.12.2019.</w:t>
      </w:r>
    </w:p>
    <w:p w:rsidR="00704604" w:rsidRPr="0024512C" w:rsidRDefault="00704604" w:rsidP="00ED446E">
      <w:pPr>
        <w:spacing w:after="0" w:line="276" w:lineRule="auto"/>
        <w:jc w:val="right"/>
        <w:rPr>
          <w:rFonts w:asciiTheme="majorHAnsi" w:hAnsiTheme="majorHAnsi" w:cstheme="majorHAnsi"/>
          <w:b/>
          <w:i/>
          <w:color w:val="5B9BD5" w:themeColor="accent1"/>
          <w:sz w:val="24"/>
          <w:szCs w:val="24"/>
          <w:lang w:val="ro-MD"/>
          <w14:glow w14:rad="0">
            <w14:schemeClr w14:val="tx1"/>
          </w14:glow>
        </w:rPr>
      </w:pPr>
    </w:p>
    <w:p w:rsidR="00DB680B" w:rsidRPr="00321F59" w:rsidRDefault="00DB680B" w:rsidP="00ED446E">
      <w:pPr>
        <w:spacing w:after="0" w:line="276" w:lineRule="auto"/>
        <w:jc w:val="right"/>
        <w:rPr>
          <w:rFonts w:asciiTheme="majorHAnsi" w:hAnsiTheme="majorHAnsi" w:cstheme="majorHAnsi"/>
          <w:b/>
          <w:i/>
          <w:color w:val="5B9BD5" w:themeColor="accent1"/>
          <w:sz w:val="24"/>
          <w:szCs w:val="24"/>
          <w:lang w:val="ro-MD"/>
          <w14:glow w14:rad="0">
            <w14:schemeClr w14:val="tx1"/>
          </w14:glow>
        </w:rPr>
      </w:pPr>
    </w:p>
    <w:p w:rsidR="00DB680B" w:rsidRPr="00321F59" w:rsidRDefault="00DB680B" w:rsidP="00ED446E">
      <w:pPr>
        <w:spacing w:after="0" w:line="276" w:lineRule="auto"/>
        <w:jc w:val="right"/>
        <w:rPr>
          <w:rFonts w:asciiTheme="majorHAnsi" w:hAnsiTheme="majorHAnsi" w:cstheme="majorHAnsi"/>
          <w:b/>
          <w:i/>
          <w:color w:val="5B9BD5" w:themeColor="accent1"/>
          <w:sz w:val="24"/>
          <w:szCs w:val="24"/>
          <w:lang w:val="ro-MD"/>
          <w14:glow w14:rad="0">
            <w14:schemeClr w14:val="tx1"/>
          </w14:glow>
        </w:rPr>
      </w:pPr>
    </w:p>
    <w:p w:rsidR="00DB680B" w:rsidRPr="00321F59" w:rsidRDefault="00DB680B" w:rsidP="00ED446E">
      <w:pPr>
        <w:spacing w:after="0" w:line="276" w:lineRule="auto"/>
        <w:jc w:val="right"/>
        <w:rPr>
          <w:rFonts w:asciiTheme="majorHAnsi" w:hAnsiTheme="majorHAnsi" w:cstheme="majorHAnsi"/>
          <w:b/>
          <w:i/>
          <w:color w:val="5B9BD5" w:themeColor="accent1"/>
          <w:sz w:val="24"/>
          <w:szCs w:val="24"/>
          <w:lang w:val="ro-MD"/>
          <w14:glow w14:rad="0">
            <w14:schemeClr w14:val="tx1"/>
          </w14:glow>
        </w:rPr>
      </w:pPr>
    </w:p>
    <w:p w:rsidR="00DB680B" w:rsidRPr="00321F59" w:rsidRDefault="00DB680B" w:rsidP="00ED446E">
      <w:pPr>
        <w:spacing w:after="0" w:line="276" w:lineRule="auto"/>
        <w:jc w:val="right"/>
        <w:rPr>
          <w:rFonts w:asciiTheme="majorHAnsi" w:hAnsiTheme="majorHAnsi" w:cstheme="majorHAnsi"/>
          <w:b/>
          <w:i/>
          <w:color w:val="5B9BD5" w:themeColor="accent1"/>
          <w:sz w:val="24"/>
          <w:szCs w:val="24"/>
          <w:lang w:val="ro-MD"/>
          <w14:glow w14:rad="0">
            <w14:schemeClr w14:val="tx1"/>
          </w14:glow>
        </w:rPr>
      </w:pPr>
    </w:p>
    <w:p w:rsidR="00DB680B" w:rsidRPr="00321F59" w:rsidRDefault="00DB680B" w:rsidP="00ED446E">
      <w:pPr>
        <w:spacing w:after="0" w:line="276" w:lineRule="auto"/>
        <w:jc w:val="right"/>
        <w:rPr>
          <w:rFonts w:asciiTheme="majorHAnsi" w:hAnsiTheme="majorHAnsi" w:cstheme="majorHAnsi"/>
          <w:b/>
          <w:i/>
          <w:color w:val="5B9BD5" w:themeColor="accent1"/>
          <w:sz w:val="24"/>
          <w:szCs w:val="24"/>
          <w:lang w:val="ro-MD"/>
          <w14:glow w14:rad="0">
            <w14:schemeClr w14:val="tx1"/>
          </w14:glow>
        </w:rPr>
      </w:pPr>
    </w:p>
    <w:p w:rsidR="00DB680B" w:rsidRPr="00321F59" w:rsidRDefault="00DB680B" w:rsidP="00ED446E">
      <w:pPr>
        <w:spacing w:after="0" w:line="276" w:lineRule="auto"/>
        <w:jc w:val="right"/>
        <w:rPr>
          <w:rFonts w:asciiTheme="majorHAnsi" w:hAnsiTheme="majorHAnsi" w:cstheme="majorHAnsi"/>
          <w:b/>
          <w:i/>
          <w:color w:val="5B9BD5" w:themeColor="accent1"/>
          <w:sz w:val="24"/>
          <w:szCs w:val="24"/>
          <w:lang w:val="ro-MD"/>
          <w14:glow w14:rad="0">
            <w14:schemeClr w14:val="tx1"/>
          </w14:glow>
        </w:rPr>
      </w:pPr>
    </w:p>
    <w:p w:rsidR="00DB680B" w:rsidRPr="00321F59" w:rsidRDefault="00DB680B" w:rsidP="00ED446E">
      <w:pPr>
        <w:spacing w:after="0" w:line="276" w:lineRule="auto"/>
        <w:jc w:val="right"/>
        <w:rPr>
          <w:rFonts w:asciiTheme="majorHAnsi" w:hAnsiTheme="majorHAnsi" w:cstheme="majorHAnsi"/>
          <w:b/>
          <w:i/>
          <w:color w:val="5B9BD5" w:themeColor="accent1"/>
          <w:sz w:val="24"/>
          <w:szCs w:val="24"/>
          <w:lang w:val="ro-MD"/>
          <w14:glow w14:rad="0">
            <w14:schemeClr w14:val="tx1"/>
          </w14:glow>
        </w:rPr>
      </w:pPr>
    </w:p>
    <w:p w:rsidR="00DB680B" w:rsidRPr="00321F59" w:rsidRDefault="00DB680B" w:rsidP="00ED446E">
      <w:pPr>
        <w:spacing w:after="0" w:line="276" w:lineRule="auto"/>
        <w:jc w:val="right"/>
        <w:rPr>
          <w:rFonts w:asciiTheme="majorHAnsi" w:hAnsiTheme="majorHAnsi" w:cstheme="majorHAnsi"/>
          <w:b/>
          <w:i/>
          <w:color w:val="5B9BD5" w:themeColor="accent1"/>
          <w:sz w:val="24"/>
          <w:szCs w:val="24"/>
          <w:lang w:val="ro-MD"/>
          <w14:glow w14:rad="0">
            <w14:schemeClr w14:val="tx1"/>
          </w14:glow>
        </w:rPr>
      </w:pPr>
    </w:p>
    <w:p w:rsidR="00DB680B" w:rsidRPr="00321F59" w:rsidRDefault="00DB680B" w:rsidP="00ED446E">
      <w:pPr>
        <w:spacing w:after="0" w:line="276" w:lineRule="auto"/>
        <w:jc w:val="right"/>
        <w:rPr>
          <w:rFonts w:asciiTheme="majorHAnsi" w:hAnsiTheme="majorHAnsi" w:cstheme="majorHAnsi"/>
          <w:b/>
          <w:i/>
          <w:color w:val="5B9BD5" w:themeColor="accent1"/>
          <w:sz w:val="24"/>
          <w:szCs w:val="24"/>
          <w:lang w:val="ro-MD"/>
          <w14:glow w14:rad="0">
            <w14:schemeClr w14:val="tx1"/>
          </w14:glow>
        </w:rPr>
      </w:pPr>
    </w:p>
    <w:p w:rsidR="00DB680B" w:rsidRPr="00321F59" w:rsidRDefault="00DB680B" w:rsidP="00ED446E">
      <w:pPr>
        <w:spacing w:after="0" w:line="276" w:lineRule="auto"/>
        <w:jc w:val="right"/>
        <w:rPr>
          <w:rFonts w:asciiTheme="majorHAnsi" w:hAnsiTheme="majorHAnsi" w:cstheme="majorHAnsi"/>
          <w:b/>
          <w:i/>
          <w:color w:val="5B9BD5" w:themeColor="accent1"/>
          <w:sz w:val="24"/>
          <w:szCs w:val="24"/>
          <w:lang w:val="ro-MD"/>
          <w14:glow w14:rad="0">
            <w14:schemeClr w14:val="tx1"/>
          </w14:glow>
        </w:rPr>
      </w:pPr>
    </w:p>
    <w:p w:rsidR="00ED446E" w:rsidRPr="00321F59" w:rsidRDefault="000D348F" w:rsidP="00ED446E">
      <w:pPr>
        <w:spacing w:after="0" w:line="276" w:lineRule="auto"/>
        <w:jc w:val="right"/>
        <w:rPr>
          <w:rFonts w:asciiTheme="majorHAnsi" w:hAnsiTheme="majorHAnsi" w:cstheme="majorHAnsi"/>
          <w:b/>
          <w:i/>
          <w:sz w:val="24"/>
          <w:szCs w:val="24"/>
          <w:lang w:val="ro-MD"/>
          <w14:glow w14:rad="0">
            <w14:schemeClr w14:val="tx1"/>
          </w14:glow>
        </w:rPr>
      </w:pPr>
      <w:r w:rsidRPr="00321F59">
        <w:rPr>
          <w:rFonts w:asciiTheme="majorHAnsi" w:hAnsiTheme="majorHAnsi" w:cstheme="majorHAnsi"/>
          <w:b/>
          <w:i/>
          <w:color w:val="5B9BD5" w:themeColor="accent1"/>
          <w:sz w:val="24"/>
          <w:szCs w:val="24"/>
          <w:lang w:val="ro-MD"/>
          <w14:glow w14:rad="0">
            <w14:schemeClr w14:val="tx1"/>
          </w14:glow>
        </w:rPr>
        <w:lastRenderedPageBreak/>
        <w:t>Anexa nr.3</w:t>
      </w:r>
      <w:r w:rsidR="005166FA" w:rsidRPr="00321F59">
        <w:rPr>
          <w:rFonts w:asciiTheme="majorHAnsi" w:hAnsiTheme="majorHAnsi" w:cstheme="majorHAnsi"/>
          <w:b/>
          <w:i/>
          <w:sz w:val="24"/>
          <w:szCs w:val="24"/>
          <w:lang w:val="ro-MD"/>
          <w14:glow w14:rad="0">
            <w14:schemeClr w14:val="tx1"/>
          </w14:glow>
        </w:rPr>
        <w:t xml:space="preserve"> </w:t>
      </w:r>
    </w:p>
    <w:p w:rsidR="00B7047E" w:rsidRPr="00321F59" w:rsidRDefault="00B7047E" w:rsidP="00B7047E">
      <w:pPr>
        <w:spacing w:after="0" w:line="276" w:lineRule="auto"/>
        <w:jc w:val="center"/>
        <w:rPr>
          <w:rFonts w:asciiTheme="majorHAnsi" w:hAnsiTheme="majorHAnsi" w:cstheme="majorHAnsi"/>
          <w:b/>
          <w:i/>
          <w:sz w:val="24"/>
          <w:szCs w:val="24"/>
          <w:lang w:val="ro-MD"/>
          <w14:glow w14:rad="0">
            <w14:schemeClr w14:val="tx1"/>
          </w14:glow>
        </w:rPr>
      </w:pPr>
      <w:r w:rsidRPr="00321F59">
        <w:rPr>
          <w:rFonts w:asciiTheme="majorHAnsi" w:hAnsiTheme="majorHAnsi" w:cstheme="majorHAnsi"/>
          <w:b/>
          <w:i/>
          <w:sz w:val="24"/>
          <w:szCs w:val="24"/>
          <w:lang w:val="ro-MD"/>
          <w14:glow w14:rad="0">
            <w14:schemeClr w14:val="tx1"/>
          </w14:glow>
        </w:rPr>
        <w:t>Informația privind activitatea de recreditare efectuată de către DLC la situația din 31.12.2019 (echivalentul î</w:t>
      </w:r>
      <w:r w:rsidR="00D842AD" w:rsidRPr="00321F59">
        <w:rPr>
          <w:rFonts w:asciiTheme="majorHAnsi" w:hAnsiTheme="majorHAnsi" w:cstheme="majorHAnsi"/>
          <w:b/>
          <w:i/>
          <w:sz w:val="24"/>
          <w:szCs w:val="24"/>
          <w:lang w:val="ro-MD"/>
          <w14:glow w14:rad="0">
            <w14:schemeClr w14:val="tx1"/>
          </w14:glow>
        </w:rPr>
        <w:t>n mil.</w:t>
      </w:r>
      <w:r w:rsidR="000D348F" w:rsidRPr="00321F59">
        <w:rPr>
          <w:rFonts w:asciiTheme="majorHAnsi" w:hAnsiTheme="majorHAnsi" w:cstheme="majorHAnsi"/>
          <w:b/>
          <w:i/>
          <w:sz w:val="24"/>
          <w:szCs w:val="24"/>
          <w:lang w:val="ro-MD"/>
          <w14:glow w14:rad="0">
            <w14:schemeClr w14:val="tx1"/>
          </w14:glow>
        </w:rPr>
        <w:t xml:space="preserve"> lei</w:t>
      </w:r>
      <w:r w:rsidRPr="00321F59">
        <w:rPr>
          <w:rFonts w:asciiTheme="majorHAnsi" w:hAnsiTheme="majorHAnsi" w:cstheme="majorHAnsi"/>
          <w:b/>
          <w:i/>
          <w:sz w:val="24"/>
          <w:szCs w:val="24"/>
          <w:lang w:val="ro-MD"/>
          <w14:glow w14:rad="0">
            <w14:schemeClr w14:val="tx1"/>
          </w14:glow>
        </w:rPr>
        <w:t>)</w:t>
      </w:r>
    </w:p>
    <w:tbl>
      <w:tblPr>
        <w:tblStyle w:val="TableGrid"/>
        <w:tblW w:w="9357" w:type="dxa"/>
        <w:tblLook w:val="04A0" w:firstRow="1" w:lastRow="0" w:firstColumn="1" w:lastColumn="0" w:noHBand="0" w:noVBand="1"/>
      </w:tblPr>
      <w:tblGrid>
        <w:gridCol w:w="4945"/>
        <w:gridCol w:w="1439"/>
        <w:gridCol w:w="1533"/>
        <w:gridCol w:w="1440"/>
      </w:tblGrid>
      <w:tr w:rsidR="00B7047E" w:rsidRPr="0024512C" w:rsidTr="0055165A">
        <w:tc>
          <w:tcPr>
            <w:tcW w:w="4945" w:type="dxa"/>
            <w:shd w:val="clear" w:color="auto" w:fill="DEEAF6" w:themeFill="accent1" w:themeFillTint="33"/>
          </w:tcPr>
          <w:p w:rsidR="00B7047E" w:rsidRPr="00321F59" w:rsidRDefault="00B7047E" w:rsidP="00B7047E">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Proiectul</w:t>
            </w:r>
          </w:p>
        </w:tc>
        <w:tc>
          <w:tcPr>
            <w:tcW w:w="1439" w:type="dxa"/>
            <w:shd w:val="clear" w:color="auto" w:fill="DEEAF6" w:themeFill="accent1" w:themeFillTint="33"/>
          </w:tcPr>
          <w:p w:rsidR="00B7047E" w:rsidRPr="00321F59" w:rsidRDefault="00B7047E" w:rsidP="00B7047E">
            <w:pPr>
              <w:spacing w:line="276" w:lineRule="auto"/>
              <w:jc w:val="center"/>
              <w:rPr>
                <w:rFonts w:asciiTheme="majorHAnsi" w:hAnsiTheme="majorHAnsi" w:cstheme="majorHAnsi"/>
                <w:b/>
                <w:sz w:val="20"/>
                <w:szCs w:val="20"/>
                <w:lang w:val="ro-MD"/>
                <w14:glow w14:rad="0">
                  <w14:schemeClr w14:val="tx1"/>
                </w14:glow>
              </w:rPr>
            </w:pPr>
            <w:proofErr w:type="spellStart"/>
            <w:r w:rsidRPr="00321F59">
              <w:rPr>
                <w:rFonts w:asciiTheme="majorHAnsi" w:hAnsiTheme="majorHAnsi" w:cstheme="majorHAnsi"/>
                <w:b/>
                <w:sz w:val="20"/>
                <w:szCs w:val="20"/>
                <w:lang w:val="ro-MD"/>
                <w14:glow w14:rad="0">
                  <w14:schemeClr w14:val="tx1"/>
                </w14:glow>
              </w:rPr>
              <w:t>Recreditat</w:t>
            </w:r>
            <w:proofErr w:type="spellEnd"/>
          </w:p>
        </w:tc>
        <w:tc>
          <w:tcPr>
            <w:tcW w:w="1533" w:type="dxa"/>
            <w:shd w:val="clear" w:color="auto" w:fill="DEEAF6" w:themeFill="accent1" w:themeFillTint="33"/>
          </w:tcPr>
          <w:p w:rsidR="00B7047E" w:rsidRPr="00321F59" w:rsidRDefault="00B7047E" w:rsidP="00B7047E">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Rambursat</w:t>
            </w:r>
          </w:p>
        </w:tc>
        <w:tc>
          <w:tcPr>
            <w:tcW w:w="1440" w:type="dxa"/>
            <w:shd w:val="clear" w:color="auto" w:fill="DEEAF6" w:themeFill="accent1" w:themeFillTint="33"/>
          </w:tcPr>
          <w:p w:rsidR="00B7047E" w:rsidRPr="00321F59" w:rsidRDefault="00B7047E" w:rsidP="00B7047E">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Sold</w:t>
            </w:r>
            <w:r w:rsidR="00233906" w:rsidRPr="00321F59">
              <w:rPr>
                <w:rFonts w:asciiTheme="majorHAnsi" w:hAnsiTheme="majorHAnsi" w:cstheme="majorHAnsi"/>
                <w:b/>
                <w:sz w:val="20"/>
                <w:szCs w:val="20"/>
                <w:lang w:val="ro-MD"/>
                <w14:glow w14:rad="0">
                  <w14:schemeClr w14:val="tx1"/>
                </w14:glow>
              </w:rPr>
              <w:t>ul sumei principale</w:t>
            </w:r>
          </w:p>
        </w:tc>
      </w:tr>
      <w:tr w:rsidR="00BD0744" w:rsidRPr="0024512C" w:rsidTr="0055165A">
        <w:tc>
          <w:tcPr>
            <w:tcW w:w="4945" w:type="dxa"/>
          </w:tcPr>
          <w:p w:rsidR="00BD0744" w:rsidRPr="00321F59" w:rsidRDefault="00BD0744" w:rsidP="00BD0744">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Primul Proiect de Dezvoltare a Sectorului Privat (PDSP I)</w:t>
            </w:r>
          </w:p>
        </w:tc>
        <w:tc>
          <w:tcPr>
            <w:tcW w:w="1439" w:type="dxa"/>
          </w:tcPr>
          <w:p w:rsidR="00BD0744" w:rsidRPr="00321F59" w:rsidRDefault="00D842AD" w:rsidP="00D842AD">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1 128,</w:t>
            </w:r>
            <w:r w:rsidR="00BD0744" w:rsidRPr="00321F59">
              <w:rPr>
                <w:rFonts w:asciiTheme="majorHAnsi" w:hAnsiTheme="majorHAnsi" w:cstheme="majorHAnsi"/>
                <w:bCs/>
                <w:sz w:val="20"/>
                <w:szCs w:val="20"/>
                <w:lang w:val="ro-MD"/>
              </w:rPr>
              <w:t>2</w:t>
            </w:r>
            <w:r w:rsidRPr="00321F59">
              <w:rPr>
                <w:rFonts w:asciiTheme="majorHAnsi" w:hAnsiTheme="majorHAnsi" w:cstheme="majorHAnsi"/>
                <w:bCs/>
                <w:sz w:val="20"/>
                <w:szCs w:val="20"/>
                <w:lang w:val="ro-MD"/>
              </w:rPr>
              <w:t>7</w:t>
            </w:r>
          </w:p>
        </w:tc>
        <w:tc>
          <w:tcPr>
            <w:tcW w:w="1533" w:type="dxa"/>
          </w:tcPr>
          <w:p w:rsidR="00BD0744" w:rsidRPr="00321F59" w:rsidRDefault="0055165A" w:rsidP="00226E06">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1</w:t>
            </w:r>
            <w:r w:rsidR="00226E06" w:rsidRPr="00321F59">
              <w:rPr>
                <w:rFonts w:asciiTheme="majorHAnsi" w:hAnsiTheme="majorHAnsi" w:cstheme="majorHAnsi"/>
                <w:bCs/>
                <w:sz w:val="20"/>
                <w:szCs w:val="20"/>
                <w:lang w:val="ro-MD"/>
                <w14:glow w14:rad="0">
                  <w14:schemeClr w14:val="tx1"/>
                </w14:glow>
              </w:rPr>
              <w:t xml:space="preserve"> 128,</w:t>
            </w:r>
            <w:r w:rsidRPr="00321F59">
              <w:rPr>
                <w:rFonts w:asciiTheme="majorHAnsi" w:hAnsiTheme="majorHAnsi" w:cstheme="majorHAnsi"/>
                <w:bCs/>
                <w:sz w:val="20"/>
                <w:szCs w:val="20"/>
                <w:lang w:val="ro-MD"/>
                <w14:glow w14:rad="0">
                  <w14:schemeClr w14:val="tx1"/>
                </w14:glow>
              </w:rPr>
              <w:t>2</w:t>
            </w:r>
            <w:r w:rsidR="00226E06" w:rsidRPr="00321F59">
              <w:rPr>
                <w:rFonts w:asciiTheme="majorHAnsi" w:hAnsiTheme="majorHAnsi" w:cstheme="majorHAnsi"/>
                <w:bCs/>
                <w:sz w:val="20"/>
                <w:szCs w:val="20"/>
                <w:lang w:val="ro-MD"/>
                <w14:glow w14:rad="0">
                  <w14:schemeClr w14:val="tx1"/>
                </w14:glow>
              </w:rPr>
              <w:t>7</w:t>
            </w:r>
          </w:p>
        </w:tc>
        <w:tc>
          <w:tcPr>
            <w:tcW w:w="1440" w:type="dxa"/>
          </w:tcPr>
          <w:p w:rsidR="00BD0744" w:rsidRPr="00321F59" w:rsidRDefault="006E6EE9" w:rsidP="0055165A">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0,0</w:t>
            </w:r>
          </w:p>
        </w:tc>
      </w:tr>
      <w:tr w:rsidR="00BD0744" w:rsidRPr="0024512C" w:rsidTr="0055165A">
        <w:tc>
          <w:tcPr>
            <w:tcW w:w="4945" w:type="dxa"/>
          </w:tcPr>
          <w:p w:rsidR="00BD0744" w:rsidRPr="00321F59" w:rsidRDefault="00BD0744" w:rsidP="00BD0744">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Investiții și Servicii Rurale (RISP I)</w:t>
            </w:r>
          </w:p>
        </w:tc>
        <w:tc>
          <w:tcPr>
            <w:tcW w:w="1439" w:type="dxa"/>
          </w:tcPr>
          <w:p w:rsidR="00BD0744" w:rsidRPr="00321F59" w:rsidRDefault="00D842AD" w:rsidP="00D842AD">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900,4</w:t>
            </w:r>
          </w:p>
        </w:tc>
        <w:tc>
          <w:tcPr>
            <w:tcW w:w="1533" w:type="dxa"/>
          </w:tcPr>
          <w:p w:rsidR="00BD0744" w:rsidRPr="00321F59" w:rsidRDefault="0055165A" w:rsidP="00226E06">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7</w:t>
            </w:r>
            <w:r w:rsidR="00226E06" w:rsidRPr="00321F59">
              <w:rPr>
                <w:rFonts w:asciiTheme="majorHAnsi" w:hAnsiTheme="majorHAnsi" w:cstheme="majorHAnsi"/>
                <w:bCs/>
                <w:sz w:val="20"/>
                <w:szCs w:val="20"/>
                <w:lang w:val="ro-MD"/>
                <w14:glow w14:rad="0">
                  <w14:schemeClr w14:val="tx1"/>
                </w14:glow>
              </w:rPr>
              <w:t>30,</w:t>
            </w:r>
            <w:r w:rsidRPr="00321F59">
              <w:rPr>
                <w:rFonts w:asciiTheme="majorHAnsi" w:hAnsiTheme="majorHAnsi" w:cstheme="majorHAnsi"/>
                <w:bCs/>
                <w:sz w:val="20"/>
                <w:szCs w:val="20"/>
                <w:lang w:val="ro-MD"/>
                <w14:glow w14:rad="0">
                  <w14:schemeClr w14:val="tx1"/>
                </w14:glow>
              </w:rPr>
              <w:t>2</w:t>
            </w:r>
            <w:r w:rsidR="00226E06" w:rsidRPr="00321F59">
              <w:rPr>
                <w:rFonts w:asciiTheme="majorHAnsi" w:hAnsiTheme="majorHAnsi" w:cstheme="majorHAnsi"/>
                <w:bCs/>
                <w:sz w:val="20"/>
                <w:szCs w:val="20"/>
                <w:lang w:val="ro-MD"/>
                <w14:glow w14:rad="0">
                  <w14:schemeClr w14:val="tx1"/>
                </w14:glow>
              </w:rPr>
              <w:t>4</w:t>
            </w:r>
          </w:p>
        </w:tc>
        <w:tc>
          <w:tcPr>
            <w:tcW w:w="1440" w:type="dxa"/>
          </w:tcPr>
          <w:p w:rsidR="00BD0744" w:rsidRPr="00321F59" w:rsidRDefault="0055165A" w:rsidP="00226E06">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1</w:t>
            </w:r>
            <w:r w:rsidR="00226E06" w:rsidRPr="00321F59">
              <w:rPr>
                <w:rFonts w:asciiTheme="majorHAnsi" w:hAnsiTheme="majorHAnsi" w:cstheme="majorHAnsi"/>
                <w:bCs/>
                <w:sz w:val="20"/>
                <w:szCs w:val="20"/>
                <w:lang w:val="ro-MD"/>
                <w14:glow w14:rad="0">
                  <w14:schemeClr w14:val="tx1"/>
                </w14:glow>
              </w:rPr>
              <w:t>70,</w:t>
            </w:r>
            <w:r w:rsidRPr="00321F59">
              <w:rPr>
                <w:rFonts w:asciiTheme="majorHAnsi" w:hAnsiTheme="majorHAnsi" w:cstheme="majorHAnsi"/>
                <w:bCs/>
                <w:sz w:val="20"/>
                <w:szCs w:val="20"/>
                <w:lang w:val="ro-MD"/>
                <w14:glow w14:rad="0">
                  <w14:schemeClr w14:val="tx1"/>
                </w14:glow>
              </w:rPr>
              <w:t>16</w:t>
            </w:r>
          </w:p>
        </w:tc>
      </w:tr>
      <w:tr w:rsidR="00BD0744" w:rsidRPr="0024512C" w:rsidTr="0055165A">
        <w:tc>
          <w:tcPr>
            <w:tcW w:w="4945" w:type="dxa"/>
          </w:tcPr>
          <w:p w:rsidR="00BD0744" w:rsidRPr="00321F59" w:rsidRDefault="00BD0744" w:rsidP="00BD0744">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Investiții și Servicii Rurale, faza II (RISP II)</w:t>
            </w:r>
          </w:p>
        </w:tc>
        <w:tc>
          <w:tcPr>
            <w:tcW w:w="1439" w:type="dxa"/>
          </w:tcPr>
          <w:p w:rsidR="00BD0744" w:rsidRPr="00321F59" w:rsidRDefault="00D842AD" w:rsidP="00D842AD">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887,</w:t>
            </w:r>
            <w:r w:rsidR="00BD0744" w:rsidRPr="00321F59">
              <w:rPr>
                <w:rFonts w:asciiTheme="majorHAnsi" w:hAnsiTheme="majorHAnsi" w:cstheme="majorHAnsi"/>
                <w:bCs/>
                <w:sz w:val="20"/>
                <w:szCs w:val="20"/>
                <w:lang w:val="ro-MD"/>
              </w:rPr>
              <w:t>4</w:t>
            </w:r>
            <w:r w:rsidRPr="00321F59">
              <w:rPr>
                <w:rFonts w:asciiTheme="majorHAnsi" w:hAnsiTheme="majorHAnsi" w:cstheme="majorHAnsi"/>
                <w:bCs/>
                <w:sz w:val="20"/>
                <w:szCs w:val="20"/>
                <w:lang w:val="ro-MD"/>
              </w:rPr>
              <w:t>3</w:t>
            </w:r>
          </w:p>
        </w:tc>
        <w:tc>
          <w:tcPr>
            <w:tcW w:w="1533" w:type="dxa"/>
          </w:tcPr>
          <w:p w:rsidR="00BD0744" w:rsidRPr="00321F59" w:rsidRDefault="0055165A" w:rsidP="00226E06">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7</w:t>
            </w:r>
            <w:r w:rsidR="00226E06" w:rsidRPr="00321F59">
              <w:rPr>
                <w:rFonts w:asciiTheme="majorHAnsi" w:hAnsiTheme="majorHAnsi" w:cstheme="majorHAnsi"/>
                <w:bCs/>
                <w:sz w:val="20"/>
                <w:szCs w:val="20"/>
                <w:lang w:val="ro-MD"/>
                <w14:glow w14:rad="0">
                  <w14:schemeClr w14:val="tx1"/>
                </w14:glow>
              </w:rPr>
              <w:t>49,</w:t>
            </w:r>
            <w:r w:rsidRPr="00321F59">
              <w:rPr>
                <w:rFonts w:asciiTheme="majorHAnsi" w:hAnsiTheme="majorHAnsi" w:cstheme="majorHAnsi"/>
                <w:bCs/>
                <w:sz w:val="20"/>
                <w:szCs w:val="20"/>
                <w:lang w:val="ro-MD"/>
                <w14:glow w14:rad="0">
                  <w14:schemeClr w14:val="tx1"/>
                </w14:glow>
              </w:rPr>
              <w:t>86</w:t>
            </w:r>
          </w:p>
        </w:tc>
        <w:tc>
          <w:tcPr>
            <w:tcW w:w="1440" w:type="dxa"/>
          </w:tcPr>
          <w:p w:rsidR="00BD0744" w:rsidRPr="00321F59" w:rsidRDefault="0055165A" w:rsidP="00226E06">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1</w:t>
            </w:r>
            <w:r w:rsidR="00226E06" w:rsidRPr="00321F59">
              <w:rPr>
                <w:rFonts w:asciiTheme="majorHAnsi" w:hAnsiTheme="majorHAnsi" w:cstheme="majorHAnsi"/>
                <w:bCs/>
                <w:sz w:val="20"/>
                <w:szCs w:val="20"/>
                <w:lang w:val="ro-MD"/>
                <w14:glow w14:rad="0">
                  <w14:schemeClr w14:val="tx1"/>
                </w14:glow>
              </w:rPr>
              <w:t>37,</w:t>
            </w:r>
            <w:r w:rsidRPr="00321F59">
              <w:rPr>
                <w:rFonts w:asciiTheme="majorHAnsi" w:hAnsiTheme="majorHAnsi" w:cstheme="majorHAnsi"/>
                <w:bCs/>
                <w:sz w:val="20"/>
                <w:szCs w:val="20"/>
                <w:lang w:val="ro-MD"/>
                <w14:glow w14:rad="0">
                  <w14:schemeClr w14:val="tx1"/>
                </w14:glow>
              </w:rPr>
              <w:t>5</w:t>
            </w:r>
            <w:r w:rsidR="00226E06" w:rsidRPr="00321F59">
              <w:rPr>
                <w:rFonts w:asciiTheme="majorHAnsi" w:hAnsiTheme="majorHAnsi" w:cstheme="majorHAnsi"/>
                <w:bCs/>
                <w:sz w:val="20"/>
                <w:szCs w:val="20"/>
                <w:lang w:val="ro-MD"/>
                <w14:glow w14:rad="0">
                  <w14:schemeClr w14:val="tx1"/>
                </w14:glow>
              </w:rPr>
              <w:t>7</w:t>
            </w:r>
          </w:p>
        </w:tc>
      </w:tr>
      <w:tr w:rsidR="00BD0744" w:rsidRPr="0024512C" w:rsidTr="0055165A">
        <w:tc>
          <w:tcPr>
            <w:tcW w:w="4945" w:type="dxa"/>
          </w:tcPr>
          <w:p w:rsidR="00BD0744" w:rsidRPr="00321F59" w:rsidRDefault="00BD0744" w:rsidP="00BD0744">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Ameliorare a Competitivității (PAC 1)</w:t>
            </w:r>
          </w:p>
        </w:tc>
        <w:tc>
          <w:tcPr>
            <w:tcW w:w="1439" w:type="dxa"/>
          </w:tcPr>
          <w:p w:rsidR="00BD0744" w:rsidRPr="00321F59" w:rsidRDefault="00D842AD" w:rsidP="00D842AD">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951,</w:t>
            </w:r>
            <w:r w:rsidR="00BD0744" w:rsidRPr="00321F59">
              <w:rPr>
                <w:rFonts w:asciiTheme="majorHAnsi" w:hAnsiTheme="majorHAnsi" w:cstheme="majorHAnsi"/>
                <w:bCs/>
                <w:sz w:val="20"/>
                <w:szCs w:val="20"/>
                <w:lang w:val="ro-MD"/>
              </w:rPr>
              <w:t>08</w:t>
            </w:r>
          </w:p>
        </w:tc>
        <w:tc>
          <w:tcPr>
            <w:tcW w:w="1533" w:type="dxa"/>
          </w:tcPr>
          <w:p w:rsidR="00BD0744" w:rsidRPr="00321F59" w:rsidRDefault="0055165A" w:rsidP="00226E06">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8</w:t>
            </w:r>
            <w:r w:rsidR="00226E06" w:rsidRPr="00321F59">
              <w:rPr>
                <w:rFonts w:asciiTheme="majorHAnsi" w:hAnsiTheme="majorHAnsi" w:cstheme="majorHAnsi"/>
                <w:bCs/>
                <w:sz w:val="20"/>
                <w:szCs w:val="20"/>
                <w:lang w:val="ro-MD"/>
                <w14:glow w14:rad="0">
                  <w14:schemeClr w14:val="tx1"/>
                </w14:glow>
              </w:rPr>
              <w:t>62,</w:t>
            </w:r>
            <w:r w:rsidRPr="00321F59">
              <w:rPr>
                <w:rFonts w:asciiTheme="majorHAnsi" w:hAnsiTheme="majorHAnsi" w:cstheme="majorHAnsi"/>
                <w:bCs/>
                <w:sz w:val="20"/>
                <w:szCs w:val="20"/>
                <w:lang w:val="ro-MD"/>
                <w14:glow w14:rad="0">
                  <w14:schemeClr w14:val="tx1"/>
                </w14:glow>
              </w:rPr>
              <w:t>8</w:t>
            </w:r>
            <w:r w:rsidR="00226E06" w:rsidRPr="00321F59">
              <w:rPr>
                <w:rFonts w:asciiTheme="majorHAnsi" w:hAnsiTheme="majorHAnsi" w:cstheme="majorHAnsi"/>
                <w:bCs/>
                <w:sz w:val="20"/>
                <w:szCs w:val="20"/>
                <w:lang w:val="ro-MD"/>
                <w14:glow w14:rad="0">
                  <w14:schemeClr w14:val="tx1"/>
                </w14:glow>
              </w:rPr>
              <w:t>5</w:t>
            </w:r>
          </w:p>
        </w:tc>
        <w:tc>
          <w:tcPr>
            <w:tcW w:w="1440" w:type="dxa"/>
          </w:tcPr>
          <w:p w:rsidR="00BD0744" w:rsidRPr="00321F59" w:rsidRDefault="0055165A" w:rsidP="00226E06">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8</w:t>
            </w:r>
            <w:r w:rsidR="00226E06" w:rsidRPr="00321F59">
              <w:rPr>
                <w:rFonts w:asciiTheme="majorHAnsi" w:hAnsiTheme="majorHAnsi" w:cstheme="majorHAnsi"/>
                <w:bCs/>
                <w:sz w:val="20"/>
                <w:szCs w:val="20"/>
                <w:lang w:val="ro-MD"/>
                <w14:glow w14:rad="0">
                  <w14:schemeClr w14:val="tx1"/>
                </w14:glow>
              </w:rPr>
              <w:t>8,</w:t>
            </w:r>
            <w:r w:rsidRPr="00321F59">
              <w:rPr>
                <w:rFonts w:asciiTheme="majorHAnsi" w:hAnsiTheme="majorHAnsi" w:cstheme="majorHAnsi"/>
                <w:bCs/>
                <w:sz w:val="20"/>
                <w:szCs w:val="20"/>
                <w:lang w:val="ro-MD"/>
                <w14:glow w14:rad="0">
                  <w14:schemeClr w14:val="tx1"/>
                </w14:glow>
              </w:rPr>
              <w:t>23</w:t>
            </w:r>
          </w:p>
        </w:tc>
      </w:tr>
      <w:tr w:rsidR="00BD0744" w:rsidRPr="0024512C" w:rsidTr="0055165A">
        <w:tc>
          <w:tcPr>
            <w:tcW w:w="4945" w:type="dxa"/>
          </w:tcPr>
          <w:p w:rsidR="00BD0744" w:rsidRPr="00321F59" w:rsidRDefault="00BD0744" w:rsidP="00BD0744">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Ameliorare a Competitivității, faza II (PAC 2)</w:t>
            </w:r>
          </w:p>
        </w:tc>
        <w:tc>
          <w:tcPr>
            <w:tcW w:w="1439" w:type="dxa"/>
          </w:tcPr>
          <w:p w:rsidR="00BD0744" w:rsidRPr="00321F59" w:rsidRDefault="00D842AD" w:rsidP="00D842AD">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514,</w:t>
            </w:r>
            <w:r w:rsidR="00BD0744" w:rsidRPr="00321F59">
              <w:rPr>
                <w:rFonts w:asciiTheme="majorHAnsi" w:hAnsiTheme="majorHAnsi" w:cstheme="majorHAnsi"/>
                <w:bCs/>
                <w:sz w:val="20"/>
                <w:szCs w:val="20"/>
                <w:lang w:val="ro-MD"/>
              </w:rPr>
              <w:t>16</w:t>
            </w:r>
          </w:p>
        </w:tc>
        <w:tc>
          <w:tcPr>
            <w:tcW w:w="1533" w:type="dxa"/>
          </w:tcPr>
          <w:p w:rsidR="00BD0744" w:rsidRPr="00321F59" w:rsidRDefault="0055165A" w:rsidP="00226E06">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296</w:t>
            </w:r>
            <w:r w:rsidR="00226E06" w:rsidRPr="00321F59">
              <w:rPr>
                <w:rFonts w:asciiTheme="majorHAnsi" w:hAnsiTheme="majorHAnsi" w:cstheme="majorHAnsi"/>
                <w:bCs/>
                <w:sz w:val="20"/>
                <w:szCs w:val="20"/>
                <w:lang w:val="ro-MD"/>
                <w14:glow w14:rad="0">
                  <w14:schemeClr w14:val="tx1"/>
                </w14:glow>
              </w:rPr>
              <w:t>,</w:t>
            </w:r>
            <w:r w:rsidRPr="00321F59">
              <w:rPr>
                <w:rFonts w:asciiTheme="majorHAnsi" w:hAnsiTheme="majorHAnsi" w:cstheme="majorHAnsi"/>
                <w:bCs/>
                <w:sz w:val="20"/>
                <w:szCs w:val="20"/>
                <w:lang w:val="ro-MD"/>
                <w14:glow w14:rad="0">
                  <w14:schemeClr w14:val="tx1"/>
                </w14:glow>
              </w:rPr>
              <w:t>3</w:t>
            </w:r>
            <w:r w:rsidR="00226E06" w:rsidRPr="00321F59">
              <w:rPr>
                <w:rFonts w:asciiTheme="majorHAnsi" w:hAnsiTheme="majorHAnsi" w:cstheme="majorHAnsi"/>
                <w:bCs/>
                <w:sz w:val="20"/>
                <w:szCs w:val="20"/>
                <w:lang w:val="ro-MD"/>
                <w14:glow w14:rad="0">
                  <w14:schemeClr w14:val="tx1"/>
                </w14:glow>
              </w:rPr>
              <w:t>8</w:t>
            </w:r>
          </w:p>
        </w:tc>
        <w:tc>
          <w:tcPr>
            <w:tcW w:w="1440" w:type="dxa"/>
          </w:tcPr>
          <w:p w:rsidR="00BD0744" w:rsidRPr="00321F59" w:rsidRDefault="0055165A" w:rsidP="00226E06">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2</w:t>
            </w:r>
            <w:r w:rsidR="00226E06" w:rsidRPr="00321F59">
              <w:rPr>
                <w:rFonts w:asciiTheme="majorHAnsi" w:hAnsiTheme="majorHAnsi" w:cstheme="majorHAnsi"/>
                <w:bCs/>
                <w:sz w:val="20"/>
                <w:szCs w:val="20"/>
                <w:lang w:val="ro-MD"/>
                <w14:glow w14:rad="0">
                  <w14:schemeClr w14:val="tx1"/>
                </w14:glow>
              </w:rPr>
              <w:t>17,</w:t>
            </w:r>
            <w:r w:rsidRPr="00321F59">
              <w:rPr>
                <w:rFonts w:asciiTheme="majorHAnsi" w:hAnsiTheme="majorHAnsi" w:cstheme="majorHAnsi"/>
                <w:bCs/>
                <w:sz w:val="20"/>
                <w:szCs w:val="20"/>
                <w:lang w:val="ro-MD"/>
                <w14:glow w14:rad="0">
                  <w14:schemeClr w14:val="tx1"/>
                </w14:glow>
              </w:rPr>
              <w:t>78</w:t>
            </w:r>
          </w:p>
        </w:tc>
      </w:tr>
      <w:tr w:rsidR="00BD0744" w:rsidRPr="0024512C" w:rsidTr="0055165A">
        <w:tc>
          <w:tcPr>
            <w:tcW w:w="4945" w:type="dxa"/>
          </w:tcPr>
          <w:p w:rsidR="00BD0744" w:rsidRPr="00321F59" w:rsidRDefault="00BD0744" w:rsidP="00BD0744">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Finanțare Rurală și Dezvoltare a Întreprinderilor Mici (FIDA I)</w:t>
            </w:r>
          </w:p>
        </w:tc>
        <w:tc>
          <w:tcPr>
            <w:tcW w:w="1439" w:type="dxa"/>
          </w:tcPr>
          <w:p w:rsidR="00BD0744" w:rsidRPr="00321F59" w:rsidRDefault="00D842AD" w:rsidP="00D842AD">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1 205,</w:t>
            </w:r>
            <w:r w:rsidR="00BD0744" w:rsidRPr="00321F59">
              <w:rPr>
                <w:rFonts w:asciiTheme="majorHAnsi" w:hAnsiTheme="majorHAnsi" w:cstheme="majorHAnsi"/>
                <w:bCs/>
                <w:sz w:val="20"/>
                <w:szCs w:val="20"/>
                <w:lang w:val="ro-MD"/>
              </w:rPr>
              <w:t>99</w:t>
            </w:r>
          </w:p>
        </w:tc>
        <w:tc>
          <w:tcPr>
            <w:tcW w:w="1533" w:type="dxa"/>
          </w:tcPr>
          <w:p w:rsidR="0055165A" w:rsidRPr="00321F59" w:rsidRDefault="0055165A" w:rsidP="0055165A">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9</w:t>
            </w:r>
            <w:r w:rsidR="00226E06" w:rsidRPr="00321F59">
              <w:rPr>
                <w:rFonts w:asciiTheme="majorHAnsi" w:hAnsiTheme="majorHAnsi" w:cstheme="majorHAnsi"/>
                <w:bCs/>
                <w:sz w:val="20"/>
                <w:szCs w:val="20"/>
                <w:lang w:val="ro-MD"/>
                <w14:glow w14:rad="0">
                  <w14:schemeClr w14:val="tx1"/>
                </w14:glow>
              </w:rPr>
              <w:t>48,</w:t>
            </w:r>
            <w:r w:rsidRPr="00321F59">
              <w:rPr>
                <w:rFonts w:asciiTheme="majorHAnsi" w:hAnsiTheme="majorHAnsi" w:cstheme="majorHAnsi"/>
                <w:bCs/>
                <w:sz w:val="20"/>
                <w:szCs w:val="20"/>
                <w:lang w:val="ro-MD"/>
                <w14:glow w14:rad="0">
                  <w14:schemeClr w14:val="tx1"/>
                </w14:glow>
              </w:rPr>
              <w:t>75</w:t>
            </w:r>
          </w:p>
          <w:p w:rsidR="00BD0744" w:rsidRPr="00321F59" w:rsidRDefault="00BD0744" w:rsidP="0055165A">
            <w:pPr>
              <w:spacing w:line="276" w:lineRule="auto"/>
              <w:jc w:val="center"/>
              <w:rPr>
                <w:rFonts w:asciiTheme="majorHAnsi" w:hAnsiTheme="majorHAnsi" w:cstheme="majorHAnsi"/>
                <w:sz w:val="20"/>
                <w:szCs w:val="20"/>
                <w:lang w:val="ro-MD"/>
                <w14:glow w14:rad="0">
                  <w14:schemeClr w14:val="tx1"/>
                </w14:glow>
              </w:rPr>
            </w:pPr>
          </w:p>
        </w:tc>
        <w:tc>
          <w:tcPr>
            <w:tcW w:w="1440" w:type="dxa"/>
          </w:tcPr>
          <w:p w:rsidR="0055165A" w:rsidRPr="00321F59" w:rsidRDefault="00226E06" w:rsidP="0055165A">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257,</w:t>
            </w:r>
            <w:r w:rsidR="0055165A" w:rsidRPr="00321F59">
              <w:rPr>
                <w:rFonts w:asciiTheme="majorHAnsi" w:hAnsiTheme="majorHAnsi" w:cstheme="majorHAnsi"/>
                <w:bCs/>
                <w:sz w:val="20"/>
                <w:szCs w:val="20"/>
                <w:lang w:val="ro-MD"/>
                <w14:glow w14:rad="0">
                  <w14:schemeClr w14:val="tx1"/>
                </w14:glow>
              </w:rPr>
              <w:t>2</w:t>
            </w:r>
            <w:r w:rsidRPr="00321F59">
              <w:rPr>
                <w:rFonts w:asciiTheme="majorHAnsi" w:hAnsiTheme="majorHAnsi" w:cstheme="majorHAnsi"/>
                <w:bCs/>
                <w:sz w:val="20"/>
                <w:szCs w:val="20"/>
                <w:lang w:val="ro-MD"/>
                <w14:glow w14:rad="0">
                  <w14:schemeClr w14:val="tx1"/>
                </w14:glow>
              </w:rPr>
              <w:t>4</w:t>
            </w:r>
          </w:p>
          <w:p w:rsidR="00BD0744" w:rsidRPr="00321F59" w:rsidRDefault="00BD0744" w:rsidP="0055165A">
            <w:pPr>
              <w:spacing w:line="276" w:lineRule="auto"/>
              <w:jc w:val="center"/>
              <w:rPr>
                <w:rFonts w:asciiTheme="majorHAnsi" w:hAnsiTheme="majorHAnsi" w:cstheme="majorHAnsi"/>
                <w:sz w:val="20"/>
                <w:szCs w:val="20"/>
                <w:lang w:val="ro-MD"/>
                <w14:glow w14:rad="0">
                  <w14:schemeClr w14:val="tx1"/>
                </w14:glow>
              </w:rPr>
            </w:pPr>
          </w:p>
        </w:tc>
      </w:tr>
      <w:tr w:rsidR="00BD0744" w:rsidRPr="0024512C" w:rsidTr="0055165A">
        <w:tc>
          <w:tcPr>
            <w:tcW w:w="4945" w:type="dxa"/>
          </w:tcPr>
          <w:p w:rsidR="00BD0744" w:rsidRPr="00321F59" w:rsidRDefault="00BD0744" w:rsidP="00BD0744">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Revizuire a Agriculturii (FIDA II)</w:t>
            </w:r>
          </w:p>
        </w:tc>
        <w:tc>
          <w:tcPr>
            <w:tcW w:w="1439" w:type="dxa"/>
          </w:tcPr>
          <w:p w:rsidR="00BD0744" w:rsidRPr="00321F59" w:rsidRDefault="00D842AD" w:rsidP="00D842AD">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653,</w:t>
            </w:r>
            <w:r w:rsidR="00BD0744" w:rsidRPr="00321F59">
              <w:rPr>
                <w:rFonts w:asciiTheme="majorHAnsi" w:hAnsiTheme="majorHAnsi" w:cstheme="majorHAnsi"/>
                <w:bCs/>
                <w:sz w:val="20"/>
                <w:szCs w:val="20"/>
                <w:lang w:val="ro-MD"/>
              </w:rPr>
              <w:t>59</w:t>
            </w:r>
          </w:p>
        </w:tc>
        <w:tc>
          <w:tcPr>
            <w:tcW w:w="1533" w:type="dxa"/>
          </w:tcPr>
          <w:p w:rsidR="00BD0744" w:rsidRPr="00321F59" w:rsidRDefault="0055165A" w:rsidP="00226E06">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5</w:t>
            </w:r>
            <w:r w:rsidR="00226E06" w:rsidRPr="00321F59">
              <w:rPr>
                <w:rFonts w:asciiTheme="majorHAnsi" w:hAnsiTheme="majorHAnsi" w:cstheme="majorHAnsi"/>
                <w:bCs/>
                <w:sz w:val="20"/>
                <w:szCs w:val="20"/>
                <w:lang w:val="ro-MD"/>
                <w14:glow w14:rad="0">
                  <w14:schemeClr w14:val="tx1"/>
                </w14:glow>
              </w:rPr>
              <w:t>74,</w:t>
            </w:r>
            <w:r w:rsidRPr="00321F59">
              <w:rPr>
                <w:rFonts w:asciiTheme="majorHAnsi" w:hAnsiTheme="majorHAnsi" w:cstheme="majorHAnsi"/>
                <w:bCs/>
                <w:sz w:val="20"/>
                <w:szCs w:val="20"/>
                <w:lang w:val="ro-MD"/>
                <w14:glow w14:rad="0">
                  <w14:schemeClr w14:val="tx1"/>
                </w14:glow>
              </w:rPr>
              <w:t>55</w:t>
            </w:r>
          </w:p>
        </w:tc>
        <w:tc>
          <w:tcPr>
            <w:tcW w:w="1440" w:type="dxa"/>
          </w:tcPr>
          <w:p w:rsidR="00BD0744" w:rsidRPr="00321F59" w:rsidRDefault="0055165A" w:rsidP="00226E06">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7</w:t>
            </w:r>
            <w:r w:rsidR="00226E06" w:rsidRPr="00321F59">
              <w:rPr>
                <w:rFonts w:asciiTheme="majorHAnsi" w:hAnsiTheme="majorHAnsi" w:cstheme="majorHAnsi"/>
                <w:bCs/>
                <w:sz w:val="20"/>
                <w:szCs w:val="20"/>
                <w:lang w:val="ro-MD"/>
                <w14:glow w14:rad="0">
                  <w14:schemeClr w14:val="tx1"/>
                </w14:glow>
              </w:rPr>
              <w:t>9,04</w:t>
            </w:r>
          </w:p>
        </w:tc>
      </w:tr>
      <w:tr w:rsidR="00BD0744" w:rsidRPr="0024512C" w:rsidTr="0055165A">
        <w:tc>
          <w:tcPr>
            <w:tcW w:w="4945" w:type="dxa"/>
          </w:tcPr>
          <w:p w:rsidR="00BD0744" w:rsidRPr="00321F59" w:rsidRDefault="00BD0744" w:rsidP="00BD0744">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Programul de Dezvoltare a Afacerilor Rurale (FIDA III)</w:t>
            </w:r>
          </w:p>
        </w:tc>
        <w:tc>
          <w:tcPr>
            <w:tcW w:w="1439" w:type="dxa"/>
          </w:tcPr>
          <w:p w:rsidR="00BD0744" w:rsidRPr="00321F59" w:rsidRDefault="00D842AD" w:rsidP="00D842AD">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506,</w:t>
            </w:r>
            <w:r w:rsidR="00BD0744" w:rsidRPr="00321F59">
              <w:rPr>
                <w:rFonts w:asciiTheme="majorHAnsi" w:hAnsiTheme="majorHAnsi" w:cstheme="majorHAnsi"/>
                <w:bCs/>
                <w:sz w:val="20"/>
                <w:szCs w:val="20"/>
                <w:lang w:val="ro-MD"/>
              </w:rPr>
              <w:t>4</w:t>
            </w:r>
            <w:r w:rsidRPr="00321F59">
              <w:rPr>
                <w:rFonts w:asciiTheme="majorHAnsi" w:hAnsiTheme="majorHAnsi" w:cstheme="majorHAnsi"/>
                <w:bCs/>
                <w:sz w:val="20"/>
                <w:szCs w:val="20"/>
                <w:lang w:val="ro-MD"/>
              </w:rPr>
              <w:t>9</w:t>
            </w:r>
          </w:p>
        </w:tc>
        <w:tc>
          <w:tcPr>
            <w:tcW w:w="1533" w:type="dxa"/>
          </w:tcPr>
          <w:p w:rsidR="00BD0744" w:rsidRPr="00321F59" w:rsidRDefault="0055165A" w:rsidP="00226E06">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4</w:t>
            </w:r>
            <w:r w:rsidR="00226E06" w:rsidRPr="00321F59">
              <w:rPr>
                <w:rFonts w:asciiTheme="majorHAnsi" w:hAnsiTheme="majorHAnsi" w:cstheme="majorHAnsi"/>
                <w:bCs/>
                <w:sz w:val="20"/>
                <w:szCs w:val="20"/>
                <w:lang w:val="ro-MD"/>
                <w14:glow w14:rad="0">
                  <w14:schemeClr w14:val="tx1"/>
                </w14:glow>
              </w:rPr>
              <w:t>65,</w:t>
            </w:r>
            <w:r w:rsidRPr="00321F59">
              <w:rPr>
                <w:rFonts w:asciiTheme="majorHAnsi" w:hAnsiTheme="majorHAnsi" w:cstheme="majorHAnsi"/>
                <w:bCs/>
                <w:sz w:val="20"/>
                <w:szCs w:val="20"/>
                <w:lang w:val="ro-MD"/>
                <w14:glow w14:rad="0">
                  <w14:schemeClr w14:val="tx1"/>
                </w14:glow>
              </w:rPr>
              <w:t>40</w:t>
            </w:r>
          </w:p>
        </w:tc>
        <w:tc>
          <w:tcPr>
            <w:tcW w:w="1440" w:type="dxa"/>
          </w:tcPr>
          <w:p w:rsidR="00BD0744" w:rsidRPr="00321F59" w:rsidRDefault="0055165A" w:rsidP="00226E06">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4</w:t>
            </w:r>
            <w:r w:rsidR="00226E06" w:rsidRPr="00321F59">
              <w:rPr>
                <w:rFonts w:asciiTheme="majorHAnsi" w:hAnsiTheme="majorHAnsi" w:cstheme="majorHAnsi"/>
                <w:bCs/>
                <w:sz w:val="20"/>
                <w:szCs w:val="20"/>
                <w:lang w:val="ro-MD"/>
                <w14:glow w14:rad="0">
                  <w14:schemeClr w14:val="tx1"/>
                </w14:glow>
              </w:rPr>
              <w:t>1,</w:t>
            </w:r>
            <w:r w:rsidRPr="00321F59">
              <w:rPr>
                <w:rFonts w:asciiTheme="majorHAnsi" w:hAnsiTheme="majorHAnsi" w:cstheme="majorHAnsi"/>
                <w:bCs/>
                <w:sz w:val="20"/>
                <w:szCs w:val="20"/>
                <w:lang w:val="ro-MD"/>
                <w14:glow w14:rad="0">
                  <w14:schemeClr w14:val="tx1"/>
                </w14:glow>
              </w:rPr>
              <w:t>0</w:t>
            </w:r>
            <w:r w:rsidR="00226E06" w:rsidRPr="00321F59">
              <w:rPr>
                <w:rFonts w:asciiTheme="majorHAnsi" w:hAnsiTheme="majorHAnsi" w:cstheme="majorHAnsi"/>
                <w:bCs/>
                <w:sz w:val="20"/>
                <w:szCs w:val="20"/>
                <w:lang w:val="ro-MD"/>
                <w14:glow w14:rad="0">
                  <w14:schemeClr w14:val="tx1"/>
                </w14:glow>
              </w:rPr>
              <w:t>9</w:t>
            </w:r>
          </w:p>
        </w:tc>
      </w:tr>
      <w:tr w:rsidR="00BD0744" w:rsidRPr="0024512C" w:rsidTr="0055165A">
        <w:tc>
          <w:tcPr>
            <w:tcW w:w="4945" w:type="dxa"/>
          </w:tcPr>
          <w:p w:rsidR="00BD0744" w:rsidRPr="00321F59" w:rsidRDefault="00BD0744" w:rsidP="00BD0744">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Programul de Servicii Financiare Rurale și Marketing (FIDA IV)</w:t>
            </w:r>
          </w:p>
        </w:tc>
        <w:tc>
          <w:tcPr>
            <w:tcW w:w="1439" w:type="dxa"/>
          </w:tcPr>
          <w:p w:rsidR="00BD0744" w:rsidRPr="00321F59" w:rsidRDefault="00D842AD" w:rsidP="00D842AD">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247,</w:t>
            </w:r>
            <w:r w:rsidR="00BD0744" w:rsidRPr="00321F59">
              <w:rPr>
                <w:rFonts w:asciiTheme="majorHAnsi" w:hAnsiTheme="majorHAnsi" w:cstheme="majorHAnsi"/>
                <w:bCs/>
                <w:sz w:val="20"/>
                <w:szCs w:val="20"/>
                <w:lang w:val="ro-MD"/>
              </w:rPr>
              <w:t>0</w:t>
            </w:r>
            <w:r w:rsidRPr="00321F59">
              <w:rPr>
                <w:rFonts w:asciiTheme="majorHAnsi" w:hAnsiTheme="majorHAnsi" w:cstheme="majorHAnsi"/>
                <w:bCs/>
                <w:sz w:val="20"/>
                <w:szCs w:val="20"/>
                <w:lang w:val="ro-MD"/>
              </w:rPr>
              <w:t>1</w:t>
            </w:r>
          </w:p>
        </w:tc>
        <w:tc>
          <w:tcPr>
            <w:tcW w:w="1533" w:type="dxa"/>
          </w:tcPr>
          <w:p w:rsidR="0055165A" w:rsidRPr="00321F59" w:rsidRDefault="0055165A" w:rsidP="0055165A">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2</w:t>
            </w:r>
            <w:r w:rsidR="00226E06" w:rsidRPr="00321F59">
              <w:rPr>
                <w:rFonts w:asciiTheme="majorHAnsi" w:hAnsiTheme="majorHAnsi" w:cstheme="majorHAnsi"/>
                <w:bCs/>
                <w:sz w:val="20"/>
                <w:szCs w:val="20"/>
                <w:lang w:val="ro-MD"/>
                <w14:glow w14:rad="0">
                  <w14:schemeClr w14:val="tx1"/>
                </w14:glow>
              </w:rPr>
              <w:t>25,</w:t>
            </w:r>
            <w:r w:rsidRPr="00321F59">
              <w:rPr>
                <w:rFonts w:asciiTheme="majorHAnsi" w:hAnsiTheme="majorHAnsi" w:cstheme="majorHAnsi"/>
                <w:bCs/>
                <w:sz w:val="20"/>
                <w:szCs w:val="20"/>
                <w:lang w:val="ro-MD"/>
                <w14:glow w14:rad="0">
                  <w14:schemeClr w14:val="tx1"/>
                </w14:glow>
              </w:rPr>
              <w:t>0</w:t>
            </w:r>
            <w:r w:rsidR="00226E06" w:rsidRPr="00321F59">
              <w:rPr>
                <w:rFonts w:asciiTheme="majorHAnsi" w:hAnsiTheme="majorHAnsi" w:cstheme="majorHAnsi"/>
                <w:bCs/>
                <w:sz w:val="20"/>
                <w:szCs w:val="20"/>
                <w:lang w:val="ro-MD"/>
                <w14:glow w14:rad="0">
                  <w14:schemeClr w14:val="tx1"/>
                </w14:glow>
              </w:rPr>
              <w:t>9</w:t>
            </w:r>
          </w:p>
          <w:p w:rsidR="00BD0744" w:rsidRPr="00321F59" w:rsidRDefault="00BD0744" w:rsidP="0055165A">
            <w:pPr>
              <w:spacing w:line="276" w:lineRule="auto"/>
              <w:jc w:val="center"/>
              <w:rPr>
                <w:rFonts w:asciiTheme="majorHAnsi" w:hAnsiTheme="majorHAnsi" w:cstheme="majorHAnsi"/>
                <w:sz w:val="20"/>
                <w:szCs w:val="20"/>
                <w:lang w:val="ro-MD"/>
                <w14:glow w14:rad="0">
                  <w14:schemeClr w14:val="tx1"/>
                </w14:glow>
              </w:rPr>
            </w:pPr>
          </w:p>
        </w:tc>
        <w:tc>
          <w:tcPr>
            <w:tcW w:w="1440" w:type="dxa"/>
          </w:tcPr>
          <w:p w:rsidR="0055165A" w:rsidRPr="00321F59" w:rsidRDefault="00226E06" w:rsidP="0055165A">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21,</w:t>
            </w:r>
            <w:r w:rsidR="0055165A" w:rsidRPr="00321F59">
              <w:rPr>
                <w:rFonts w:asciiTheme="majorHAnsi" w:hAnsiTheme="majorHAnsi" w:cstheme="majorHAnsi"/>
                <w:bCs/>
                <w:sz w:val="20"/>
                <w:szCs w:val="20"/>
                <w:lang w:val="ro-MD"/>
                <w14:glow w14:rad="0">
                  <w14:schemeClr w14:val="tx1"/>
                </w14:glow>
              </w:rPr>
              <w:t>9</w:t>
            </w:r>
            <w:r w:rsidRPr="00321F59">
              <w:rPr>
                <w:rFonts w:asciiTheme="majorHAnsi" w:hAnsiTheme="majorHAnsi" w:cstheme="majorHAnsi"/>
                <w:bCs/>
                <w:sz w:val="20"/>
                <w:szCs w:val="20"/>
                <w:lang w:val="ro-MD"/>
                <w14:glow w14:rad="0">
                  <w14:schemeClr w14:val="tx1"/>
                </w14:glow>
              </w:rPr>
              <w:t>2</w:t>
            </w:r>
          </w:p>
          <w:p w:rsidR="00BD0744" w:rsidRPr="00321F59" w:rsidRDefault="00BD0744" w:rsidP="0055165A">
            <w:pPr>
              <w:spacing w:line="276" w:lineRule="auto"/>
              <w:jc w:val="center"/>
              <w:rPr>
                <w:rFonts w:asciiTheme="majorHAnsi" w:hAnsiTheme="majorHAnsi" w:cstheme="majorHAnsi"/>
                <w:sz w:val="20"/>
                <w:szCs w:val="20"/>
                <w:lang w:val="ro-MD"/>
                <w14:glow w14:rad="0">
                  <w14:schemeClr w14:val="tx1"/>
                </w14:glow>
              </w:rPr>
            </w:pPr>
          </w:p>
        </w:tc>
      </w:tr>
      <w:tr w:rsidR="00BD0744" w:rsidRPr="0024512C" w:rsidTr="0055165A">
        <w:tc>
          <w:tcPr>
            <w:tcW w:w="4945" w:type="dxa"/>
          </w:tcPr>
          <w:p w:rsidR="00BD0744" w:rsidRPr="00321F59" w:rsidRDefault="00BD0744" w:rsidP="00BD0744">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Servicii Financiare Rurale și Dezvoltare a Businessului Agricol (FIDA V)</w:t>
            </w:r>
          </w:p>
        </w:tc>
        <w:tc>
          <w:tcPr>
            <w:tcW w:w="1439" w:type="dxa"/>
          </w:tcPr>
          <w:p w:rsidR="00BD0744" w:rsidRPr="00321F59" w:rsidRDefault="00D842AD" w:rsidP="00D842AD">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432,</w:t>
            </w:r>
            <w:r w:rsidR="00BD0744" w:rsidRPr="00321F59">
              <w:rPr>
                <w:rFonts w:asciiTheme="majorHAnsi" w:hAnsiTheme="majorHAnsi" w:cstheme="majorHAnsi"/>
                <w:bCs/>
                <w:sz w:val="20"/>
                <w:szCs w:val="20"/>
                <w:lang w:val="ro-MD"/>
              </w:rPr>
              <w:t>92</w:t>
            </w:r>
          </w:p>
        </w:tc>
        <w:tc>
          <w:tcPr>
            <w:tcW w:w="1533" w:type="dxa"/>
          </w:tcPr>
          <w:p w:rsidR="0055165A" w:rsidRPr="00321F59" w:rsidRDefault="0055165A" w:rsidP="0055165A">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3</w:t>
            </w:r>
            <w:r w:rsidR="00226E06" w:rsidRPr="00321F59">
              <w:rPr>
                <w:rFonts w:asciiTheme="majorHAnsi" w:hAnsiTheme="majorHAnsi" w:cstheme="majorHAnsi"/>
                <w:bCs/>
                <w:sz w:val="20"/>
                <w:szCs w:val="20"/>
                <w:lang w:val="ro-MD"/>
                <w14:glow w14:rad="0">
                  <w14:schemeClr w14:val="tx1"/>
                </w14:glow>
              </w:rPr>
              <w:t>46,</w:t>
            </w:r>
            <w:r w:rsidRPr="00321F59">
              <w:rPr>
                <w:rFonts w:asciiTheme="majorHAnsi" w:hAnsiTheme="majorHAnsi" w:cstheme="majorHAnsi"/>
                <w:bCs/>
                <w:sz w:val="20"/>
                <w:szCs w:val="20"/>
                <w:lang w:val="ro-MD"/>
                <w14:glow w14:rad="0">
                  <w14:schemeClr w14:val="tx1"/>
                </w14:glow>
              </w:rPr>
              <w:t>00</w:t>
            </w:r>
          </w:p>
          <w:p w:rsidR="00BD0744" w:rsidRPr="00321F59" w:rsidRDefault="00BD0744" w:rsidP="0055165A">
            <w:pPr>
              <w:spacing w:line="276" w:lineRule="auto"/>
              <w:jc w:val="center"/>
              <w:rPr>
                <w:rFonts w:asciiTheme="majorHAnsi" w:hAnsiTheme="majorHAnsi" w:cstheme="majorHAnsi"/>
                <w:sz w:val="20"/>
                <w:szCs w:val="20"/>
                <w:lang w:val="ro-MD"/>
                <w14:glow w14:rad="0">
                  <w14:schemeClr w14:val="tx1"/>
                </w14:glow>
              </w:rPr>
            </w:pPr>
          </w:p>
        </w:tc>
        <w:tc>
          <w:tcPr>
            <w:tcW w:w="1440" w:type="dxa"/>
          </w:tcPr>
          <w:p w:rsidR="0055165A" w:rsidRPr="00321F59" w:rsidRDefault="00226E06" w:rsidP="0055165A">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86,</w:t>
            </w:r>
            <w:r w:rsidR="0055165A" w:rsidRPr="00321F59">
              <w:rPr>
                <w:rFonts w:asciiTheme="majorHAnsi" w:hAnsiTheme="majorHAnsi" w:cstheme="majorHAnsi"/>
                <w:bCs/>
                <w:sz w:val="20"/>
                <w:szCs w:val="20"/>
                <w:lang w:val="ro-MD"/>
                <w14:glow w14:rad="0">
                  <w14:schemeClr w14:val="tx1"/>
                </w14:glow>
              </w:rPr>
              <w:t>92</w:t>
            </w:r>
          </w:p>
          <w:p w:rsidR="00BD0744" w:rsidRPr="00321F59" w:rsidRDefault="00BD0744" w:rsidP="0055165A">
            <w:pPr>
              <w:spacing w:line="276" w:lineRule="auto"/>
              <w:jc w:val="center"/>
              <w:rPr>
                <w:rFonts w:asciiTheme="majorHAnsi" w:hAnsiTheme="majorHAnsi" w:cstheme="majorHAnsi"/>
                <w:sz w:val="20"/>
                <w:szCs w:val="20"/>
                <w:lang w:val="ro-MD"/>
                <w14:glow w14:rad="0">
                  <w14:schemeClr w14:val="tx1"/>
                </w14:glow>
              </w:rPr>
            </w:pPr>
          </w:p>
        </w:tc>
      </w:tr>
      <w:tr w:rsidR="00BD0744" w:rsidRPr="0024512C" w:rsidTr="0055165A">
        <w:tc>
          <w:tcPr>
            <w:tcW w:w="4945" w:type="dxa"/>
          </w:tcPr>
          <w:p w:rsidR="00BD0744" w:rsidRPr="00321F59" w:rsidRDefault="00BD0744" w:rsidP="00BD0744">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Servicii Financiare Rurale și Dezvoltarea Agriculturii (FIDA VI)</w:t>
            </w:r>
          </w:p>
        </w:tc>
        <w:tc>
          <w:tcPr>
            <w:tcW w:w="1439" w:type="dxa"/>
          </w:tcPr>
          <w:p w:rsidR="00BD0744" w:rsidRPr="00321F59" w:rsidRDefault="00D842AD" w:rsidP="00D842AD">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293,</w:t>
            </w:r>
            <w:r w:rsidR="00BD0744" w:rsidRPr="00321F59">
              <w:rPr>
                <w:rFonts w:asciiTheme="majorHAnsi" w:hAnsiTheme="majorHAnsi" w:cstheme="majorHAnsi"/>
                <w:bCs/>
                <w:sz w:val="20"/>
                <w:szCs w:val="20"/>
                <w:lang w:val="ro-MD"/>
              </w:rPr>
              <w:t>6</w:t>
            </w:r>
            <w:r w:rsidRPr="00321F59">
              <w:rPr>
                <w:rFonts w:asciiTheme="majorHAnsi" w:hAnsiTheme="majorHAnsi" w:cstheme="majorHAnsi"/>
                <w:bCs/>
                <w:sz w:val="20"/>
                <w:szCs w:val="20"/>
                <w:lang w:val="ro-MD"/>
              </w:rPr>
              <w:t>2</w:t>
            </w:r>
          </w:p>
        </w:tc>
        <w:tc>
          <w:tcPr>
            <w:tcW w:w="1533" w:type="dxa"/>
          </w:tcPr>
          <w:p w:rsidR="0055165A" w:rsidRPr="00321F59" w:rsidRDefault="0055165A" w:rsidP="0055165A">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1</w:t>
            </w:r>
            <w:r w:rsidR="00226E06" w:rsidRPr="00321F59">
              <w:rPr>
                <w:rFonts w:asciiTheme="majorHAnsi" w:hAnsiTheme="majorHAnsi" w:cstheme="majorHAnsi"/>
                <w:bCs/>
                <w:sz w:val="20"/>
                <w:szCs w:val="20"/>
                <w:lang w:val="ro-MD"/>
                <w14:glow w14:rad="0">
                  <w14:schemeClr w14:val="tx1"/>
                </w14:glow>
              </w:rPr>
              <w:t>09,</w:t>
            </w:r>
            <w:r w:rsidRPr="00321F59">
              <w:rPr>
                <w:rFonts w:asciiTheme="majorHAnsi" w:hAnsiTheme="majorHAnsi" w:cstheme="majorHAnsi"/>
                <w:bCs/>
                <w:sz w:val="20"/>
                <w:szCs w:val="20"/>
                <w:lang w:val="ro-MD"/>
                <w14:glow w14:rad="0">
                  <w14:schemeClr w14:val="tx1"/>
                </w14:glow>
              </w:rPr>
              <w:t>3</w:t>
            </w:r>
            <w:r w:rsidR="00226E06" w:rsidRPr="00321F59">
              <w:rPr>
                <w:rFonts w:asciiTheme="majorHAnsi" w:hAnsiTheme="majorHAnsi" w:cstheme="majorHAnsi"/>
                <w:bCs/>
                <w:sz w:val="20"/>
                <w:szCs w:val="20"/>
                <w:lang w:val="ro-MD"/>
                <w14:glow w14:rad="0">
                  <w14:schemeClr w14:val="tx1"/>
                </w14:glow>
              </w:rPr>
              <w:t>8</w:t>
            </w:r>
          </w:p>
          <w:p w:rsidR="00BD0744" w:rsidRPr="00321F59" w:rsidRDefault="00BD0744" w:rsidP="0055165A">
            <w:pPr>
              <w:spacing w:line="276" w:lineRule="auto"/>
              <w:jc w:val="center"/>
              <w:rPr>
                <w:rFonts w:asciiTheme="majorHAnsi" w:hAnsiTheme="majorHAnsi" w:cstheme="majorHAnsi"/>
                <w:sz w:val="20"/>
                <w:szCs w:val="20"/>
                <w:lang w:val="ro-MD"/>
                <w14:glow w14:rad="0">
                  <w14:schemeClr w14:val="tx1"/>
                </w14:glow>
              </w:rPr>
            </w:pPr>
          </w:p>
        </w:tc>
        <w:tc>
          <w:tcPr>
            <w:tcW w:w="1440" w:type="dxa"/>
          </w:tcPr>
          <w:p w:rsidR="0055165A" w:rsidRPr="00321F59" w:rsidRDefault="00226E06" w:rsidP="0055165A">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184,</w:t>
            </w:r>
            <w:r w:rsidR="0055165A" w:rsidRPr="00321F59">
              <w:rPr>
                <w:rFonts w:asciiTheme="majorHAnsi" w:hAnsiTheme="majorHAnsi" w:cstheme="majorHAnsi"/>
                <w:bCs/>
                <w:sz w:val="20"/>
                <w:szCs w:val="20"/>
                <w:lang w:val="ro-MD"/>
                <w14:glow w14:rad="0">
                  <w14:schemeClr w14:val="tx1"/>
                </w14:glow>
              </w:rPr>
              <w:t>24</w:t>
            </w:r>
          </w:p>
          <w:p w:rsidR="00BD0744" w:rsidRPr="00321F59" w:rsidRDefault="00BD0744" w:rsidP="0055165A">
            <w:pPr>
              <w:spacing w:line="276" w:lineRule="auto"/>
              <w:jc w:val="center"/>
              <w:rPr>
                <w:rFonts w:asciiTheme="majorHAnsi" w:hAnsiTheme="majorHAnsi" w:cstheme="majorHAnsi"/>
                <w:sz w:val="20"/>
                <w:szCs w:val="20"/>
                <w:lang w:val="ro-MD"/>
                <w14:glow w14:rad="0">
                  <w14:schemeClr w14:val="tx1"/>
                </w14:glow>
              </w:rPr>
            </w:pPr>
          </w:p>
        </w:tc>
      </w:tr>
      <w:tr w:rsidR="00BD0744" w:rsidRPr="0024512C" w:rsidTr="0055165A">
        <w:tc>
          <w:tcPr>
            <w:tcW w:w="4945" w:type="dxa"/>
          </w:tcPr>
          <w:p w:rsidR="00BD0744" w:rsidRPr="00321F59" w:rsidRDefault="00BD0744" w:rsidP="00BD0744">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Reziliență Rurală (FIDA VII)</w:t>
            </w:r>
          </w:p>
        </w:tc>
        <w:tc>
          <w:tcPr>
            <w:tcW w:w="1439" w:type="dxa"/>
          </w:tcPr>
          <w:p w:rsidR="00BD0744" w:rsidRPr="00321F59" w:rsidRDefault="00D842AD" w:rsidP="00D842AD">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47,</w:t>
            </w:r>
            <w:r w:rsidR="00BD0744" w:rsidRPr="00321F59">
              <w:rPr>
                <w:rFonts w:asciiTheme="majorHAnsi" w:hAnsiTheme="majorHAnsi" w:cstheme="majorHAnsi"/>
                <w:bCs/>
                <w:sz w:val="20"/>
                <w:szCs w:val="20"/>
                <w:lang w:val="ro-MD"/>
              </w:rPr>
              <w:t>89</w:t>
            </w:r>
          </w:p>
        </w:tc>
        <w:tc>
          <w:tcPr>
            <w:tcW w:w="1533" w:type="dxa"/>
          </w:tcPr>
          <w:p w:rsidR="00BD0744" w:rsidRPr="00321F59" w:rsidRDefault="00226E06" w:rsidP="00226E06">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0,01</w:t>
            </w:r>
          </w:p>
        </w:tc>
        <w:tc>
          <w:tcPr>
            <w:tcW w:w="1440" w:type="dxa"/>
          </w:tcPr>
          <w:p w:rsidR="00BD0744" w:rsidRPr="00321F59" w:rsidRDefault="0055165A" w:rsidP="00226E06">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4</w:t>
            </w:r>
            <w:r w:rsidR="00226E06" w:rsidRPr="00321F59">
              <w:rPr>
                <w:rFonts w:asciiTheme="majorHAnsi" w:hAnsiTheme="majorHAnsi" w:cstheme="majorHAnsi"/>
                <w:bCs/>
                <w:sz w:val="20"/>
                <w:szCs w:val="20"/>
                <w:lang w:val="ro-MD"/>
                <w14:glow w14:rad="0">
                  <w14:schemeClr w14:val="tx1"/>
                </w14:glow>
              </w:rPr>
              <w:t>7,</w:t>
            </w:r>
            <w:r w:rsidRPr="00321F59">
              <w:rPr>
                <w:rFonts w:asciiTheme="majorHAnsi" w:hAnsiTheme="majorHAnsi" w:cstheme="majorHAnsi"/>
                <w:bCs/>
                <w:sz w:val="20"/>
                <w:szCs w:val="20"/>
                <w:lang w:val="ro-MD"/>
                <w14:glow w14:rad="0">
                  <w14:schemeClr w14:val="tx1"/>
                </w14:glow>
              </w:rPr>
              <w:t>8</w:t>
            </w:r>
            <w:r w:rsidR="00226E06" w:rsidRPr="00321F59">
              <w:rPr>
                <w:rFonts w:asciiTheme="majorHAnsi" w:hAnsiTheme="majorHAnsi" w:cstheme="majorHAnsi"/>
                <w:bCs/>
                <w:sz w:val="20"/>
                <w:szCs w:val="20"/>
                <w:lang w:val="ro-MD"/>
                <w14:glow w14:rad="0">
                  <w14:schemeClr w14:val="tx1"/>
                </w14:glow>
              </w:rPr>
              <w:t>8</w:t>
            </w:r>
          </w:p>
        </w:tc>
      </w:tr>
      <w:tr w:rsidR="00BD0744" w:rsidRPr="0024512C" w:rsidTr="0055165A">
        <w:tc>
          <w:tcPr>
            <w:tcW w:w="4945" w:type="dxa"/>
          </w:tcPr>
          <w:p w:rsidR="00BD0744" w:rsidRPr="00321F59" w:rsidRDefault="00BD0744" w:rsidP="00BD0744">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Finanțare Rurală (PFR)</w:t>
            </w:r>
          </w:p>
        </w:tc>
        <w:tc>
          <w:tcPr>
            <w:tcW w:w="1439" w:type="dxa"/>
          </w:tcPr>
          <w:p w:rsidR="00BD0744" w:rsidRPr="00321F59" w:rsidRDefault="00D842AD" w:rsidP="00D842AD">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82,</w:t>
            </w:r>
            <w:r w:rsidR="00BD0744" w:rsidRPr="00321F59">
              <w:rPr>
                <w:rFonts w:asciiTheme="majorHAnsi" w:hAnsiTheme="majorHAnsi" w:cstheme="majorHAnsi"/>
                <w:bCs/>
                <w:sz w:val="20"/>
                <w:szCs w:val="20"/>
                <w:lang w:val="ro-MD"/>
              </w:rPr>
              <w:t>0</w:t>
            </w:r>
            <w:r w:rsidRPr="00321F59">
              <w:rPr>
                <w:rFonts w:asciiTheme="majorHAnsi" w:hAnsiTheme="majorHAnsi" w:cstheme="majorHAnsi"/>
                <w:bCs/>
                <w:sz w:val="20"/>
                <w:szCs w:val="20"/>
                <w:lang w:val="ro-MD"/>
              </w:rPr>
              <w:t>9</w:t>
            </w:r>
          </w:p>
        </w:tc>
        <w:tc>
          <w:tcPr>
            <w:tcW w:w="1533" w:type="dxa"/>
          </w:tcPr>
          <w:p w:rsidR="00BD0744" w:rsidRPr="00321F59" w:rsidRDefault="0055165A" w:rsidP="00226E06">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69</w:t>
            </w:r>
            <w:r w:rsidR="00226E06" w:rsidRPr="00321F59">
              <w:rPr>
                <w:rFonts w:asciiTheme="majorHAnsi" w:hAnsiTheme="majorHAnsi" w:cstheme="majorHAnsi"/>
                <w:bCs/>
                <w:sz w:val="20"/>
                <w:szCs w:val="20"/>
                <w:lang w:val="ro-MD"/>
                <w14:glow w14:rad="0">
                  <w14:schemeClr w14:val="tx1"/>
                </w14:glow>
              </w:rPr>
              <w:t>,</w:t>
            </w:r>
            <w:r w:rsidRPr="00321F59">
              <w:rPr>
                <w:rFonts w:asciiTheme="majorHAnsi" w:hAnsiTheme="majorHAnsi" w:cstheme="majorHAnsi"/>
                <w:bCs/>
                <w:sz w:val="20"/>
                <w:szCs w:val="20"/>
                <w:lang w:val="ro-MD"/>
                <w14:glow w14:rad="0">
                  <w14:schemeClr w14:val="tx1"/>
                </w14:glow>
              </w:rPr>
              <w:t>72</w:t>
            </w:r>
          </w:p>
        </w:tc>
        <w:tc>
          <w:tcPr>
            <w:tcW w:w="1440" w:type="dxa"/>
          </w:tcPr>
          <w:p w:rsidR="00BD0744" w:rsidRPr="00321F59" w:rsidRDefault="0055165A" w:rsidP="00226E06">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1</w:t>
            </w:r>
            <w:r w:rsidR="00226E06" w:rsidRPr="00321F59">
              <w:rPr>
                <w:rFonts w:asciiTheme="majorHAnsi" w:hAnsiTheme="majorHAnsi" w:cstheme="majorHAnsi"/>
                <w:bCs/>
                <w:sz w:val="20"/>
                <w:szCs w:val="20"/>
                <w:lang w:val="ro-MD"/>
                <w14:glow w14:rad="0">
                  <w14:schemeClr w14:val="tx1"/>
                </w14:glow>
              </w:rPr>
              <w:t>2,</w:t>
            </w:r>
            <w:r w:rsidRPr="00321F59">
              <w:rPr>
                <w:rFonts w:asciiTheme="majorHAnsi" w:hAnsiTheme="majorHAnsi" w:cstheme="majorHAnsi"/>
                <w:bCs/>
                <w:sz w:val="20"/>
                <w:szCs w:val="20"/>
                <w:lang w:val="ro-MD"/>
                <w14:glow w14:rad="0">
                  <w14:schemeClr w14:val="tx1"/>
                </w14:glow>
              </w:rPr>
              <w:t>3</w:t>
            </w:r>
            <w:r w:rsidR="00233906" w:rsidRPr="00321F59">
              <w:rPr>
                <w:rFonts w:asciiTheme="majorHAnsi" w:hAnsiTheme="majorHAnsi" w:cstheme="majorHAnsi"/>
                <w:bCs/>
                <w:sz w:val="20"/>
                <w:szCs w:val="20"/>
                <w:lang w:val="ro-MD"/>
                <w14:glow w14:rad="0">
                  <w14:schemeClr w14:val="tx1"/>
                </w14:glow>
              </w:rPr>
              <w:t>7</w:t>
            </w:r>
          </w:p>
        </w:tc>
      </w:tr>
      <w:tr w:rsidR="00BD0744" w:rsidRPr="0024512C" w:rsidTr="0055165A">
        <w:tc>
          <w:tcPr>
            <w:tcW w:w="4945" w:type="dxa"/>
          </w:tcPr>
          <w:p w:rsidR="00BD0744" w:rsidRPr="00321F59" w:rsidRDefault="00BD0744" w:rsidP="00BD0744">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 xml:space="preserve">Împrumutul </w:t>
            </w:r>
            <w:proofErr w:type="spellStart"/>
            <w:r w:rsidRPr="00321F59">
              <w:rPr>
                <w:rFonts w:asciiTheme="majorHAnsi" w:hAnsiTheme="majorHAnsi" w:cstheme="majorHAnsi"/>
                <w:sz w:val="20"/>
                <w:szCs w:val="20"/>
                <w:lang w:val="ro-MD"/>
                <w14:glow w14:rad="0">
                  <w14:schemeClr w14:val="tx1"/>
                </w14:glow>
              </w:rPr>
              <w:t>Kreditanstalt</w:t>
            </w:r>
            <w:proofErr w:type="spellEnd"/>
            <w:r w:rsidRPr="00321F59">
              <w:rPr>
                <w:rFonts w:asciiTheme="majorHAnsi" w:hAnsiTheme="majorHAnsi" w:cstheme="majorHAnsi"/>
                <w:sz w:val="20"/>
                <w:szCs w:val="20"/>
                <w:lang w:val="ro-MD"/>
                <w14:glow w14:rad="0">
                  <w14:schemeClr w14:val="tx1"/>
                </w14:glow>
              </w:rPr>
              <w:t xml:space="preserve"> fur </w:t>
            </w:r>
            <w:proofErr w:type="spellStart"/>
            <w:r w:rsidRPr="00321F59">
              <w:rPr>
                <w:rFonts w:asciiTheme="majorHAnsi" w:hAnsiTheme="majorHAnsi" w:cstheme="majorHAnsi"/>
                <w:sz w:val="20"/>
                <w:szCs w:val="20"/>
                <w:lang w:val="ro-MD"/>
                <w14:glow w14:rad="0">
                  <w14:schemeClr w14:val="tx1"/>
                </w14:glow>
              </w:rPr>
              <w:t>Wiederaufbau</w:t>
            </w:r>
            <w:proofErr w:type="spellEnd"/>
            <w:r w:rsidRPr="00321F59">
              <w:rPr>
                <w:rFonts w:asciiTheme="majorHAnsi" w:hAnsiTheme="majorHAnsi" w:cstheme="majorHAnsi"/>
                <w:sz w:val="20"/>
                <w:szCs w:val="20"/>
                <w:lang w:val="ro-MD"/>
                <w14:glow w14:rad="0">
                  <w14:schemeClr w14:val="tx1"/>
                </w14:glow>
              </w:rPr>
              <w:t xml:space="preserve"> (</w:t>
            </w:r>
            <w:proofErr w:type="spellStart"/>
            <w:r w:rsidRPr="00321F59">
              <w:rPr>
                <w:rFonts w:asciiTheme="majorHAnsi" w:hAnsiTheme="majorHAnsi" w:cstheme="majorHAnsi"/>
                <w:sz w:val="20"/>
                <w:szCs w:val="20"/>
                <w:lang w:val="ro-MD"/>
                <w14:glow w14:rad="0">
                  <w14:schemeClr w14:val="tx1"/>
                </w14:glow>
              </w:rPr>
              <w:t>KfW</w:t>
            </w:r>
            <w:proofErr w:type="spellEnd"/>
            <w:r w:rsidRPr="00321F59">
              <w:rPr>
                <w:rFonts w:asciiTheme="majorHAnsi" w:hAnsiTheme="majorHAnsi" w:cstheme="majorHAnsi"/>
                <w:sz w:val="20"/>
                <w:szCs w:val="20"/>
                <w:lang w:val="ro-MD"/>
                <w14:glow w14:rad="0">
                  <w14:schemeClr w14:val="tx1"/>
                </w14:glow>
              </w:rPr>
              <w:t>)</w:t>
            </w:r>
          </w:p>
        </w:tc>
        <w:tc>
          <w:tcPr>
            <w:tcW w:w="1439" w:type="dxa"/>
          </w:tcPr>
          <w:p w:rsidR="00BD0744" w:rsidRPr="00321F59" w:rsidRDefault="00D842AD" w:rsidP="00D842AD">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299,</w:t>
            </w:r>
            <w:r w:rsidR="00BD0744" w:rsidRPr="00321F59">
              <w:rPr>
                <w:rFonts w:asciiTheme="majorHAnsi" w:hAnsiTheme="majorHAnsi" w:cstheme="majorHAnsi"/>
                <w:bCs/>
                <w:sz w:val="20"/>
                <w:szCs w:val="20"/>
                <w:lang w:val="ro-MD"/>
              </w:rPr>
              <w:t>39</w:t>
            </w:r>
          </w:p>
        </w:tc>
        <w:tc>
          <w:tcPr>
            <w:tcW w:w="1533" w:type="dxa"/>
          </w:tcPr>
          <w:p w:rsidR="00BD0744" w:rsidRPr="00321F59" w:rsidRDefault="0055165A" w:rsidP="00226E06">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2</w:t>
            </w:r>
            <w:r w:rsidR="00226E06" w:rsidRPr="00321F59">
              <w:rPr>
                <w:rFonts w:asciiTheme="majorHAnsi" w:hAnsiTheme="majorHAnsi" w:cstheme="majorHAnsi"/>
                <w:bCs/>
                <w:sz w:val="20"/>
                <w:szCs w:val="20"/>
                <w:lang w:val="ro-MD"/>
                <w14:glow w14:rad="0">
                  <w14:schemeClr w14:val="tx1"/>
                </w14:glow>
              </w:rPr>
              <w:t>32,</w:t>
            </w:r>
            <w:r w:rsidRPr="00321F59">
              <w:rPr>
                <w:rFonts w:asciiTheme="majorHAnsi" w:hAnsiTheme="majorHAnsi" w:cstheme="majorHAnsi"/>
                <w:bCs/>
                <w:sz w:val="20"/>
                <w:szCs w:val="20"/>
                <w:lang w:val="ro-MD"/>
                <w14:glow w14:rad="0">
                  <w14:schemeClr w14:val="tx1"/>
                </w14:glow>
              </w:rPr>
              <w:t>02</w:t>
            </w:r>
          </w:p>
        </w:tc>
        <w:tc>
          <w:tcPr>
            <w:tcW w:w="1440" w:type="dxa"/>
          </w:tcPr>
          <w:p w:rsidR="00BD0744" w:rsidRPr="00321F59" w:rsidRDefault="0055165A" w:rsidP="00226E06">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6</w:t>
            </w:r>
            <w:r w:rsidR="00226E06" w:rsidRPr="00321F59">
              <w:rPr>
                <w:rFonts w:asciiTheme="majorHAnsi" w:hAnsiTheme="majorHAnsi" w:cstheme="majorHAnsi"/>
                <w:bCs/>
                <w:sz w:val="20"/>
                <w:szCs w:val="20"/>
                <w:lang w:val="ro-MD"/>
                <w14:glow w14:rad="0">
                  <w14:schemeClr w14:val="tx1"/>
                </w14:glow>
              </w:rPr>
              <w:t>7,</w:t>
            </w:r>
            <w:r w:rsidRPr="00321F59">
              <w:rPr>
                <w:rFonts w:asciiTheme="majorHAnsi" w:hAnsiTheme="majorHAnsi" w:cstheme="majorHAnsi"/>
                <w:bCs/>
                <w:sz w:val="20"/>
                <w:szCs w:val="20"/>
                <w:lang w:val="ro-MD"/>
                <w14:glow w14:rad="0">
                  <w14:schemeClr w14:val="tx1"/>
                </w14:glow>
              </w:rPr>
              <w:t>37</w:t>
            </w:r>
          </w:p>
        </w:tc>
      </w:tr>
      <w:tr w:rsidR="00BD0744" w:rsidRPr="0024512C" w:rsidTr="0055165A">
        <w:tc>
          <w:tcPr>
            <w:tcW w:w="4945" w:type="dxa"/>
          </w:tcPr>
          <w:p w:rsidR="00BD0744" w:rsidRPr="00321F59" w:rsidRDefault="00BD0744" w:rsidP="00BD0744">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Programul Național de Abilitare Economică a Tinerilor (PNAET)</w:t>
            </w:r>
          </w:p>
        </w:tc>
        <w:tc>
          <w:tcPr>
            <w:tcW w:w="1439" w:type="dxa"/>
          </w:tcPr>
          <w:p w:rsidR="00BD0744" w:rsidRPr="00321F59" w:rsidRDefault="00D842AD" w:rsidP="00D842AD">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532,</w:t>
            </w:r>
            <w:r w:rsidR="00BD0744" w:rsidRPr="00321F59">
              <w:rPr>
                <w:rFonts w:asciiTheme="majorHAnsi" w:hAnsiTheme="majorHAnsi" w:cstheme="majorHAnsi"/>
                <w:bCs/>
                <w:sz w:val="20"/>
                <w:szCs w:val="20"/>
                <w:lang w:val="ro-MD"/>
              </w:rPr>
              <w:t>37</w:t>
            </w:r>
          </w:p>
        </w:tc>
        <w:tc>
          <w:tcPr>
            <w:tcW w:w="1533" w:type="dxa"/>
          </w:tcPr>
          <w:p w:rsidR="0055165A" w:rsidRPr="00321F59" w:rsidRDefault="0055165A" w:rsidP="0055165A">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5</w:t>
            </w:r>
            <w:r w:rsidR="00233906" w:rsidRPr="00321F59">
              <w:rPr>
                <w:rFonts w:asciiTheme="majorHAnsi" w:hAnsiTheme="majorHAnsi" w:cstheme="majorHAnsi"/>
                <w:bCs/>
                <w:sz w:val="20"/>
                <w:szCs w:val="20"/>
                <w:lang w:val="ro-MD"/>
                <w14:glow w14:rad="0">
                  <w14:schemeClr w14:val="tx1"/>
                </w14:glow>
              </w:rPr>
              <w:t>01,38</w:t>
            </w:r>
          </w:p>
          <w:p w:rsidR="00BD0744" w:rsidRPr="00321F59" w:rsidRDefault="00BD0744" w:rsidP="0055165A">
            <w:pPr>
              <w:spacing w:line="276" w:lineRule="auto"/>
              <w:jc w:val="center"/>
              <w:rPr>
                <w:rFonts w:asciiTheme="majorHAnsi" w:hAnsiTheme="majorHAnsi" w:cstheme="majorHAnsi"/>
                <w:sz w:val="20"/>
                <w:szCs w:val="20"/>
                <w:lang w:val="ro-MD"/>
                <w14:glow w14:rad="0">
                  <w14:schemeClr w14:val="tx1"/>
                </w14:glow>
              </w:rPr>
            </w:pPr>
          </w:p>
        </w:tc>
        <w:tc>
          <w:tcPr>
            <w:tcW w:w="1440" w:type="dxa"/>
          </w:tcPr>
          <w:p w:rsidR="0055165A" w:rsidRPr="00321F59" w:rsidRDefault="00233906" w:rsidP="0055165A">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30,99</w:t>
            </w:r>
          </w:p>
          <w:p w:rsidR="00BD0744" w:rsidRPr="00321F59" w:rsidRDefault="00BD0744" w:rsidP="0055165A">
            <w:pPr>
              <w:spacing w:line="276" w:lineRule="auto"/>
              <w:jc w:val="center"/>
              <w:rPr>
                <w:rFonts w:asciiTheme="majorHAnsi" w:hAnsiTheme="majorHAnsi" w:cstheme="majorHAnsi"/>
                <w:sz w:val="20"/>
                <w:szCs w:val="20"/>
                <w:lang w:val="ro-MD"/>
                <w14:glow w14:rad="0">
                  <w14:schemeClr w14:val="tx1"/>
                </w14:glow>
              </w:rPr>
            </w:pPr>
          </w:p>
        </w:tc>
      </w:tr>
      <w:tr w:rsidR="00EB60D5" w:rsidRPr="0024512C" w:rsidTr="0055165A">
        <w:tc>
          <w:tcPr>
            <w:tcW w:w="4945" w:type="dxa"/>
          </w:tcPr>
          <w:p w:rsidR="00EB60D5" w:rsidRPr="00321F59" w:rsidRDefault="00EB60D5" w:rsidP="00EB60D5">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 xml:space="preserve">Proiectul Abilitatea </w:t>
            </w:r>
            <w:proofErr w:type="spellStart"/>
            <w:r w:rsidRPr="00321F59">
              <w:rPr>
                <w:rFonts w:asciiTheme="majorHAnsi" w:hAnsiTheme="majorHAnsi" w:cstheme="majorHAnsi"/>
                <w:sz w:val="20"/>
                <w:szCs w:val="20"/>
                <w:lang w:val="ro-MD"/>
                <w14:glow w14:rad="0">
                  <w14:schemeClr w14:val="tx1"/>
                </w14:glow>
              </w:rPr>
              <w:t>Socio</w:t>
            </w:r>
            <w:proofErr w:type="spellEnd"/>
            <w:r w:rsidRPr="00321F59">
              <w:rPr>
                <w:rFonts w:asciiTheme="majorHAnsi" w:hAnsiTheme="majorHAnsi" w:cstheme="majorHAnsi"/>
                <w:sz w:val="20"/>
                <w:szCs w:val="20"/>
                <w:lang w:val="ro-MD"/>
                <w14:glow w14:rad="0">
                  <w14:schemeClr w14:val="tx1"/>
                </w14:glow>
              </w:rPr>
              <w:t>-Economică a Tineretului (PASET)</w:t>
            </w:r>
          </w:p>
        </w:tc>
        <w:tc>
          <w:tcPr>
            <w:tcW w:w="1439" w:type="dxa"/>
          </w:tcPr>
          <w:p w:rsidR="00EB60D5" w:rsidRPr="00321F59" w:rsidRDefault="00D842AD" w:rsidP="00D842AD">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6,</w:t>
            </w:r>
            <w:r w:rsidR="00EB60D5" w:rsidRPr="00321F59">
              <w:rPr>
                <w:rFonts w:asciiTheme="majorHAnsi" w:hAnsiTheme="majorHAnsi" w:cstheme="majorHAnsi"/>
                <w:bCs/>
                <w:sz w:val="20"/>
                <w:szCs w:val="20"/>
                <w:lang w:val="ro-MD"/>
              </w:rPr>
              <w:t>56</w:t>
            </w:r>
          </w:p>
        </w:tc>
        <w:tc>
          <w:tcPr>
            <w:tcW w:w="1533" w:type="dxa"/>
          </w:tcPr>
          <w:p w:rsidR="00EB60D5" w:rsidRPr="00321F59" w:rsidRDefault="00EB60D5" w:rsidP="00226E06">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6</w:t>
            </w:r>
            <w:r w:rsidR="00226E06" w:rsidRPr="00321F59">
              <w:rPr>
                <w:rFonts w:asciiTheme="majorHAnsi" w:hAnsiTheme="majorHAnsi" w:cstheme="majorHAnsi"/>
                <w:bCs/>
                <w:sz w:val="20"/>
                <w:szCs w:val="20"/>
                <w:lang w:val="ro-MD"/>
                <w14:glow w14:rad="0">
                  <w14:schemeClr w14:val="tx1"/>
                </w14:glow>
              </w:rPr>
              <w:t>,</w:t>
            </w:r>
            <w:r w:rsidRPr="00321F59">
              <w:rPr>
                <w:rFonts w:asciiTheme="majorHAnsi" w:hAnsiTheme="majorHAnsi" w:cstheme="majorHAnsi"/>
                <w:bCs/>
                <w:sz w:val="20"/>
                <w:szCs w:val="20"/>
                <w:lang w:val="ro-MD"/>
                <w14:glow w14:rad="0">
                  <w14:schemeClr w14:val="tx1"/>
                </w14:glow>
              </w:rPr>
              <w:t>5</w:t>
            </w:r>
            <w:r w:rsidR="00342C88" w:rsidRPr="00321F59">
              <w:rPr>
                <w:rFonts w:asciiTheme="majorHAnsi" w:hAnsiTheme="majorHAnsi" w:cstheme="majorHAnsi"/>
                <w:bCs/>
                <w:sz w:val="20"/>
                <w:szCs w:val="20"/>
                <w:lang w:val="ro-MD"/>
                <w14:glow w14:rad="0">
                  <w14:schemeClr w14:val="tx1"/>
                </w14:glow>
              </w:rPr>
              <w:t>6</w:t>
            </w:r>
          </w:p>
        </w:tc>
        <w:tc>
          <w:tcPr>
            <w:tcW w:w="1440" w:type="dxa"/>
          </w:tcPr>
          <w:p w:rsidR="00EB60D5" w:rsidRPr="00321F59" w:rsidRDefault="00EB60D5" w:rsidP="00EB60D5">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0,0</w:t>
            </w:r>
          </w:p>
        </w:tc>
      </w:tr>
      <w:tr w:rsidR="00BD0744" w:rsidRPr="0024512C" w:rsidTr="0055165A">
        <w:tc>
          <w:tcPr>
            <w:tcW w:w="4945" w:type="dxa"/>
          </w:tcPr>
          <w:p w:rsidR="00BD0744" w:rsidRPr="00321F59" w:rsidRDefault="00BD0744" w:rsidP="00BD0744">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Creditul Polonez</w:t>
            </w:r>
          </w:p>
        </w:tc>
        <w:tc>
          <w:tcPr>
            <w:tcW w:w="1439" w:type="dxa"/>
          </w:tcPr>
          <w:p w:rsidR="00BD0744" w:rsidRPr="00321F59" w:rsidRDefault="00D842AD" w:rsidP="00D842AD">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8,</w:t>
            </w:r>
            <w:r w:rsidR="00BD0744" w:rsidRPr="00321F59">
              <w:rPr>
                <w:rFonts w:asciiTheme="majorHAnsi" w:hAnsiTheme="majorHAnsi" w:cstheme="majorHAnsi"/>
                <w:bCs/>
                <w:sz w:val="20"/>
                <w:szCs w:val="20"/>
                <w:lang w:val="ro-MD"/>
              </w:rPr>
              <w:t>3</w:t>
            </w:r>
            <w:r w:rsidRPr="00321F59">
              <w:rPr>
                <w:rFonts w:asciiTheme="majorHAnsi" w:hAnsiTheme="majorHAnsi" w:cstheme="majorHAnsi"/>
                <w:bCs/>
                <w:sz w:val="20"/>
                <w:szCs w:val="20"/>
                <w:lang w:val="ro-MD"/>
              </w:rPr>
              <w:t>9</w:t>
            </w:r>
          </w:p>
        </w:tc>
        <w:tc>
          <w:tcPr>
            <w:tcW w:w="1533" w:type="dxa"/>
          </w:tcPr>
          <w:p w:rsidR="00BD0744" w:rsidRPr="00321F59" w:rsidRDefault="00226E06" w:rsidP="00226E06">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0,</w:t>
            </w:r>
            <w:r w:rsidR="00342C88" w:rsidRPr="00321F59">
              <w:rPr>
                <w:rFonts w:asciiTheme="majorHAnsi" w:hAnsiTheme="majorHAnsi" w:cstheme="majorHAnsi"/>
                <w:sz w:val="20"/>
                <w:szCs w:val="20"/>
                <w:lang w:val="ro-MD"/>
                <w14:glow w14:rad="0">
                  <w14:schemeClr w14:val="tx1"/>
                </w14:glow>
              </w:rPr>
              <w:t>94</w:t>
            </w:r>
          </w:p>
        </w:tc>
        <w:tc>
          <w:tcPr>
            <w:tcW w:w="1440" w:type="dxa"/>
          </w:tcPr>
          <w:p w:rsidR="00BD0744" w:rsidRPr="00321F59" w:rsidRDefault="00342C88" w:rsidP="00342C88">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7,</w:t>
            </w:r>
            <w:r w:rsidR="0055165A" w:rsidRPr="00321F59">
              <w:rPr>
                <w:rFonts w:asciiTheme="majorHAnsi" w:hAnsiTheme="majorHAnsi" w:cstheme="majorHAnsi"/>
                <w:sz w:val="20"/>
                <w:szCs w:val="20"/>
                <w:lang w:val="ro-MD"/>
                <w14:glow w14:rad="0">
                  <w14:schemeClr w14:val="tx1"/>
                </w14:glow>
              </w:rPr>
              <w:t>45</w:t>
            </w:r>
          </w:p>
        </w:tc>
      </w:tr>
      <w:tr w:rsidR="00BD0744" w:rsidRPr="0024512C" w:rsidTr="0055165A">
        <w:tc>
          <w:tcPr>
            <w:tcW w:w="4945" w:type="dxa"/>
          </w:tcPr>
          <w:p w:rsidR="00BD0744" w:rsidRPr="00321F59" w:rsidRDefault="00BD0744" w:rsidP="00BD0744">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Filiera Vinului</w:t>
            </w:r>
          </w:p>
        </w:tc>
        <w:tc>
          <w:tcPr>
            <w:tcW w:w="1439" w:type="dxa"/>
          </w:tcPr>
          <w:p w:rsidR="00BD0744" w:rsidRPr="00321F59" w:rsidRDefault="00D842AD" w:rsidP="00D842AD">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849,</w:t>
            </w:r>
            <w:r w:rsidR="00BD0744" w:rsidRPr="00321F59">
              <w:rPr>
                <w:rFonts w:asciiTheme="majorHAnsi" w:hAnsiTheme="majorHAnsi" w:cstheme="majorHAnsi"/>
                <w:bCs/>
                <w:sz w:val="20"/>
                <w:szCs w:val="20"/>
                <w:lang w:val="ro-MD"/>
              </w:rPr>
              <w:t>9</w:t>
            </w:r>
            <w:r w:rsidRPr="00321F59">
              <w:rPr>
                <w:rFonts w:asciiTheme="majorHAnsi" w:hAnsiTheme="majorHAnsi" w:cstheme="majorHAnsi"/>
                <w:bCs/>
                <w:sz w:val="20"/>
                <w:szCs w:val="20"/>
                <w:lang w:val="ro-MD"/>
              </w:rPr>
              <w:t>6</w:t>
            </w:r>
          </w:p>
        </w:tc>
        <w:tc>
          <w:tcPr>
            <w:tcW w:w="1533" w:type="dxa"/>
          </w:tcPr>
          <w:p w:rsidR="00BD0744" w:rsidRPr="00321F59" w:rsidRDefault="0055165A" w:rsidP="00226E06">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5</w:t>
            </w:r>
            <w:r w:rsidR="00226E06" w:rsidRPr="00321F59">
              <w:rPr>
                <w:rFonts w:asciiTheme="majorHAnsi" w:hAnsiTheme="majorHAnsi" w:cstheme="majorHAnsi"/>
                <w:bCs/>
                <w:sz w:val="20"/>
                <w:szCs w:val="20"/>
                <w:lang w:val="ro-MD"/>
                <w14:glow w14:rad="0">
                  <w14:schemeClr w14:val="tx1"/>
                </w14:glow>
              </w:rPr>
              <w:t>43,</w:t>
            </w:r>
            <w:r w:rsidRPr="00321F59">
              <w:rPr>
                <w:rFonts w:asciiTheme="majorHAnsi" w:hAnsiTheme="majorHAnsi" w:cstheme="majorHAnsi"/>
                <w:bCs/>
                <w:sz w:val="20"/>
                <w:szCs w:val="20"/>
                <w:lang w:val="ro-MD"/>
                <w14:glow w14:rad="0">
                  <w14:schemeClr w14:val="tx1"/>
                </w14:glow>
              </w:rPr>
              <w:t>94</w:t>
            </w:r>
          </w:p>
        </w:tc>
        <w:tc>
          <w:tcPr>
            <w:tcW w:w="1440" w:type="dxa"/>
          </w:tcPr>
          <w:p w:rsidR="00BD0744" w:rsidRPr="00321F59" w:rsidRDefault="00342C88" w:rsidP="00342C88">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306,</w:t>
            </w:r>
            <w:r w:rsidR="0055165A" w:rsidRPr="00321F59">
              <w:rPr>
                <w:rFonts w:asciiTheme="majorHAnsi" w:hAnsiTheme="majorHAnsi" w:cstheme="majorHAnsi"/>
                <w:bCs/>
                <w:sz w:val="20"/>
                <w:szCs w:val="20"/>
                <w:lang w:val="ro-MD"/>
                <w14:glow w14:rad="0">
                  <w14:schemeClr w14:val="tx1"/>
                </w14:glow>
              </w:rPr>
              <w:t>0</w:t>
            </w:r>
            <w:r w:rsidRPr="00321F59">
              <w:rPr>
                <w:rFonts w:asciiTheme="majorHAnsi" w:hAnsiTheme="majorHAnsi" w:cstheme="majorHAnsi"/>
                <w:bCs/>
                <w:sz w:val="20"/>
                <w:szCs w:val="20"/>
                <w:lang w:val="ro-MD"/>
                <w14:glow w14:rad="0">
                  <w14:schemeClr w14:val="tx1"/>
                </w14:glow>
              </w:rPr>
              <w:t>2</w:t>
            </w:r>
          </w:p>
        </w:tc>
      </w:tr>
      <w:tr w:rsidR="00BD0744" w:rsidRPr="0024512C" w:rsidTr="0055165A">
        <w:tc>
          <w:tcPr>
            <w:tcW w:w="4945" w:type="dxa"/>
          </w:tcPr>
          <w:p w:rsidR="00BD0744" w:rsidRPr="00321F59" w:rsidRDefault="00BD0744" w:rsidP="00BD0744">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Filiera Vinului-Struguri</w:t>
            </w:r>
          </w:p>
        </w:tc>
        <w:tc>
          <w:tcPr>
            <w:tcW w:w="1439" w:type="dxa"/>
          </w:tcPr>
          <w:p w:rsidR="00BD0744" w:rsidRPr="00321F59" w:rsidRDefault="00D842AD" w:rsidP="00D842AD">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133,5</w:t>
            </w:r>
          </w:p>
        </w:tc>
        <w:tc>
          <w:tcPr>
            <w:tcW w:w="1533" w:type="dxa"/>
          </w:tcPr>
          <w:p w:rsidR="00BD0744" w:rsidRPr="00321F59" w:rsidRDefault="0055165A" w:rsidP="00226E06">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9</w:t>
            </w:r>
            <w:r w:rsidR="00226E06" w:rsidRPr="00321F59">
              <w:rPr>
                <w:rFonts w:asciiTheme="majorHAnsi" w:hAnsiTheme="majorHAnsi" w:cstheme="majorHAnsi"/>
                <w:sz w:val="20"/>
                <w:szCs w:val="20"/>
                <w:lang w:val="ro-MD"/>
                <w14:glow w14:rad="0">
                  <w14:schemeClr w14:val="tx1"/>
                </w14:glow>
              </w:rPr>
              <w:t>2,</w:t>
            </w:r>
            <w:r w:rsidRPr="00321F59">
              <w:rPr>
                <w:rFonts w:asciiTheme="majorHAnsi" w:hAnsiTheme="majorHAnsi" w:cstheme="majorHAnsi"/>
                <w:sz w:val="20"/>
                <w:szCs w:val="20"/>
                <w:lang w:val="ro-MD"/>
                <w14:glow w14:rad="0">
                  <w14:schemeClr w14:val="tx1"/>
                </w14:glow>
              </w:rPr>
              <w:t>35</w:t>
            </w:r>
          </w:p>
        </w:tc>
        <w:tc>
          <w:tcPr>
            <w:tcW w:w="1440" w:type="dxa"/>
          </w:tcPr>
          <w:p w:rsidR="00BD0744" w:rsidRPr="00321F59" w:rsidRDefault="00342C88" w:rsidP="00342C88">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41,</w:t>
            </w:r>
            <w:r w:rsidR="0055165A" w:rsidRPr="00321F59">
              <w:rPr>
                <w:rFonts w:asciiTheme="majorHAnsi" w:hAnsiTheme="majorHAnsi" w:cstheme="majorHAnsi"/>
                <w:sz w:val="20"/>
                <w:szCs w:val="20"/>
                <w:lang w:val="ro-MD"/>
                <w14:glow w14:rad="0">
                  <w14:schemeClr w14:val="tx1"/>
                </w14:glow>
              </w:rPr>
              <w:t>1</w:t>
            </w:r>
            <w:r w:rsidR="00233906" w:rsidRPr="00321F59">
              <w:rPr>
                <w:rFonts w:asciiTheme="majorHAnsi" w:hAnsiTheme="majorHAnsi" w:cstheme="majorHAnsi"/>
                <w:sz w:val="20"/>
                <w:szCs w:val="20"/>
                <w:lang w:val="ro-MD"/>
                <w14:glow w14:rad="0">
                  <w14:schemeClr w14:val="tx1"/>
                </w14:glow>
              </w:rPr>
              <w:t>5</w:t>
            </w:r>
          </w:p>
        </w:tc>
      </w:tr>
      <w:tr w:rsidR="00BD0744" w:rsidRPr="0024512C" w:rsidTr="0055165A">
        <w:tc>
          <w:tcPr>
            <w:tcW w:w="4945" w:type="dxa"/>
          </w:tcPr>
          <w:p w:rsidR="00BD0744" w:rsidRPr="00321F59" w:rsidRDefault="00BD0744" w:rsidP="00BD0744">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Filiera Vinului-Leasing</w:t>
            </w:r>
          </w:p>
        </w:tc>
        <w:tc>
          <w:tcPr>
            <w:tcW w:w="1439" w:type="dxa"/>
          </w:tcPr>
          <w:p w:rsidR="00BD0744" w:rsidRPr="00321F59" w:rsidRDefault="00D842AD" w:rsidP="00D842AD">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23,</w:t>
            </w:r>
            <w:r w:rsidR="00BD0744" w:rsidRPr="00321F59">
              <w:rPr>
                <w:rFonts w:asciiTheme="majorHAnsi" w:hAnsiTheme="majorHAnsi" w:cstheme="majorHAnsi"/>
                <w:bCs/>
                <w:sz w:val="20"/>
                <w:szCs w:val="20"/>
                <w:lang w:val="ro-MD"/>
              </w:rPr>
              <w:t>8</w:t>
            </w:r>
            <w:r w:rsidRPr="00321F59">
              <w:rPr>
                <w:rFonts w:asciiTheme="majorHAnsi" w:hAnsiTheme="majorHAnsi" w:cstheme="majorHAnsi"/>
                <w:bCs/>
                <w:sz w:val="20"/>
                <w:szCs w:val="20"/>
                <w:lang w:val="ro-MD"/>
              </w:rPr>
              <w:t>1</w:t>
            </w:r>
          </w:p>
        </w:tc>
        <w:tc>
          <w:tcPr>
            <w:tcW w:w="1533" w:type="dxa"/>
          </w:tcPr>
          <w:p w:rsidR="00BD0744" w:rsidRPr="00321F59" w:rsidRDefault="0055165A" w:rsidP="00226E06">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w:t>
            </w:r>
            <w:r w:rsidR="00226E06" w:rsidRPr="00321F59">
              <w:rPr>
                <w:rFonts w:asciiTheme="majorHAnsi" w:hAnsiTheme="majorHAnsi" w:cstheme="majorHAnsi"/>
                <w:sz w:val="20"/>
                <w:szCs w:val="20"/>
                <w:lang w:val="ro-MD"/>
                <w14:glow w14:rad="0">
                  <w14:schemeClr w14:val="tx1"/>
                </w14:glow>
              </w:rPr>
              <w:t>1,</w:t>
            </w:r>
            <w:r w:rsidRPr="00321F59">
              <w:rPr>
                <w:rFonts w:asciiTheme="majorHAnsi" w:hAnsiTheme="majorHAnsi" w:cstheme="majorHAnsi"/>
                <w:sz w:val="20"/>
                <w:szCs w:val="20"/>
                <w:lang w:val="ro-MD"/>
                <w14:glow w14:rad="0">
                  <w14:schemeClr w14:val="tx1"/>
                </w14:glow>
              </w:rPr>
              <w:t>1</w:t>
            </w:r>
            <w:r w:rsidR="00226E06" w:rsidRPr="00321F59">
              <w:rPr>
                <w:rFonts w:asciiTheme="majorHAnsi" w:hAnsiTheme="majorHAnsi" w:cstheme="majorHAnsi"/>
                <w:sz w:val="20"/>
                <w:szCs w:val="20"/>
                <w:lang w:val="ro-MD"/>
                <w14:glow w14:rad="0">
                  <w14:schemeClr w14:val="tx1"/>
                </w14:glow>
              </w:rPr>
              <w:t>9</w:t>
            </w:r>
          </w:p>
        </w:tc>
        <w:tc>
          <w:tcPr>
            <w:tcW w:w="1440" w:type="dxa"/>
          </w:tcPr>
          <w:p w:rsidR="00BD0744" w:rsidRPr="00321F59" w:rsidRDefault="00342C88" w:rsidP="00342C88">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w:t>
            </w:r>
            <w:r w:rsidR="0055165A" w:rsidRPr="00321F59">
              <w:rPr>
                <w:rFonts w:asciiTheme="majorHAnsi" w:hAnsiTheme="majorHAnsi" w:cstheme="majorHAnsi"/>
                <w:sz w:val="20"/>
                <w:szCs w:val="20"/>
                <w:lang w:val="ro-MD"/>
                <w14:glow w14:rad="0">
                  <w14:schemeClr w14:val="tx1"/>
                </w14:glow>
              </w:rPr>
              <w:t>62</w:t>
            </w:r>
          </w:p>
        </w:tc>
      </w:tr>
      <w:tr w:rsidR="00BD0744" w:rsidRPr="0024512C" w:rsidTr="0055165A">
        <w:tc>
          <w:tcPr>
            <w:tcW w:w="4945" w:type="dxa"/>
          </w:tcPr>
          <w:p w:rsidR="00BD0744" w:rsidRPr="00321F59" w:rsidRDefault="00BD0744" w:rsidP="00BD0744">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Livada Moldovei</w:t>
            </w:r>
          </w:p>
        </w:tc>
        <w:tc>
          <w:tcPr>
            <w:tcW w:w="1439" w:type="dxa"/>
          </w:tcPr>
          <w:p w:rsidR="00BD0744" w:rsidRPr="00321F59" w:rsidRDefault="00D842AD" w:rsidP="00D842AD">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318,</w:t>
            </w:r>
            <w:r w:rsidR="00BD0744" w:rsidRPr="00321F59">
              <w:rPr>
                <w:rFonts w:asciiTheme="majorHAnsi" w:hAnsiTheme="majorHAnsi" w:cstheme="majorHAnsi"/>
                <w:bCs/>
                <w:sz w:val="20"/>
                <w:szCs w:val="20"/>
                <w:lang w:val="ro-MD"/>
              </w:rPr>
              <w:t>50</w:t>
            </w:r>
          </w:p>
        </w:tc>
        <w:tc>
          <w:tcPr>
            <w:tcW w:w="1533" w:type="dxa"/>
          </w:tcPr>
          <w:p w:rsidR="00BD0744" w:rsidRPr="00321F59" w:rsidRDefault="0055165A" w:rsidP="00226E06">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4</w:t>
            </w:r>
            <w:r w:rsidR="00226E06" w:rsidRPr="00321F59">
              <w:rPr>
                <w:rFonts w:asciiTheme="majorHAnsi" w:hAnsiTheme="majorHAnsi" w:cstheme="majorHAnsi"/>
                <w:bCs/>
                <w:sz w:val="20"/>
                <w:szCs w:val="20"/>
                <w:lang w:val="ro-MD"/>
                <w14:glow w14:rad="0">
                  <w14:schemeClr w14:val="tx1"/>
                </w14:glow>
              </w:rPr>
              <w:t>6,</w:t>
            </w:r>
            <w:r w:rsidRPr="00321F59">
              <w:rPr>
                <w:rFonts w:asciiTheme="majorHAnsi" w:hAnsiTheme="majorHAnsi" w:cstheme="majorHAnsi"/>
                <w:bCs/>
                <w:sz w:val="20"/>
                <w:szCs w:val="20"/>
                <w:lang w:val="ro-MD"/>
                <w14:glow w14:rad="0">
                  <w14:schemeClr w14:val="tx1"/>
                </w14:glow>
              </w:rPr>
              <w:t>44</w:t>
            </w:r>
          </w:p>
        </w:tc>
        <w:tc>
          <w:tcPr>
            <w:tcW w:w="1440" w:type="dxa"/>
          </w:tcPr>
          <w:p w:rsidR="00BD0744" w:rsidRPr="00321F59" w:rsidRDefault="00342C88" w:rsidP="00342C88">
            <w:pPr>
              <w:spacing w:line="276" w:lineRule="auto"/>
              <w:jc w:val="center"/>
              <w:rPr>
                <w:rFonts w:asciiTheme="majorHAnsi" w:hAnsiTheme="majorHAnsi" w:cstheme="majorHAnsi"/>
                <w:bCs/>
                <w:sz w:val="20"/>
                <w:szCs w:val="20"/>
                <w:lang w:val="ro-MD"/>
                <w14:glow w14:rad="0">
                  <w14:schemeClr w14:val="tx1"/>
                </w14:glow>
              </w:rPr>
            </w:pPr>
            <w:r w:rsidRPr="00321F59">
              <w:rPr>
                <w:rFonts w:asciiTheme="majorHAnsi" w:hAnsiTheme="majorHAnsi" w:cstheme="majorHAnsi"/>
                <w:bCs/>
                <w:sz w:val="20"/>
                <w:szCs w:val="20"/>
                <w:lang w:val="ro-MD"/>
                <w14:glow w14:rad="0">
                  <w14:schemeClr w14:val="tx1"/>
                </w14:glow>
              </w:rPr>
              <w:t>272,</w:t>
            </w:r>
            <w:r w:rsidR="0055165A" w:rsidRPr="00321F59">
              <w:rPr>
                <w:rFonts w:asciiTheme="majorHAnsi" w:hAnsiTheme="majorHAnsi" w:cstheme="majorHAnsi"/>
                <w:bCs/>
                <w:sz w:val="20"/>
                <w:szCs w:val="20"/>
                <w:lang w:val="ro-MD"/>
                <w14:glow w14:rad="0">
                  <w14:schemeClr w14:val="tx1"/>
                </w14:glow>
              </w:rPr>
              <w:t>0</w:t>
            </w:r>
            <w:r w:rsidRPr="00321F59">
              <w:rPr>
                <w:rFonts w:asciiTheme="majorHAnsi" w:hAnsiTheme="majorHAnsi" w:cstheme="majorHAnsi"/>
                <w:bCs/>
                <w:sz w:val="20"/>
                <w:szCs w:val="20"/>
                <w:lang w:val="ro-MD"/>
                <w14:glow w14:rad="0">
                  <w14:schemeClr w14:val="tx1"/>
                </w14:glow>
              </w:rPr>
              <w:t>6</w:t>
            </w:r>
          </w:p>
        </w:tc>
      </w:tr>
      <w:tr w:rsidR="00BD0744" w:rsidRPr="0024512C" w:rsidTr="0055165A">
        <w:tc>
          <w:tcPr>
            <w:tcW w:w="4945" w:type="dxa"/>
          </w:tcPr>
          <w:p w:rsidR="00BD0744" w:rsidRPr="00321F59" w:rsidRDefault="00BD0744" w:rsidP="00BD0744">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Livada Moldovei -Leasing</w:t>
            </w:r>
          </w:p>
        </w:tc>
        <w:tc>
          <w:tcPr>
            <w:tcW w:w="1439" w:type="dxa"/>
          </w:tcPr>
          <w:p w:rsidR="00BD0744" w:rsidRPr="00321F59" w:rsidRDefault="00D842AD" w:rsidP="00D842AD">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22,</w:t>
            </w:r>
            <w:r w:rsidR="00BD0744" w:rsidRPr="00321F59">
              <w:rPr>
                <w:rFonts w:asciiTheme="majorHAnsi" w:hAnsiTheme="majorHAnsi" w:cstheme="majorHAnsi"/>
                <w:bCs/>
                <w:sz w:val="20"/>
                <w:szCs w:val="20"/>
                <w:lang w:val="ro-MD"/>
              </w:rPr>
              <w:t>1</w:t>
            </w:r>
            <w:r w:rsidRPr="00321F59">
              <w:rPr>
                <w:rFonts w:asciiTheme="majorHAnsi" w:hAnsiTheme="majorHAnsi" w:cstheme="majorHAnsi"/>
                <w:bCs/>
                <w:sz w:val="20"/>
                <w:szCs w:val="20"/>
                <w:lang w:val="ro-MD"/>
              </w:rPr>
              <w:t>6</w:t>
            </w:r>
          </w:p>
        </w:tc>
        <w:tc>
          <w:tcPr>
            <w:tcW w:w="1533" w:type="dxa"/>
          </w:tcPr>
          <w:p w:rsidR="00BD0744" w:rsidRPr="00321F59" w:rsidRDefault="0055165A" w:rsidP="00226E06">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4</w:t>
            </w:r>
            <w:r w:rsidR="00226E06" w:rsidRPr="00321F59">
              <w:rPr>
                <w:rFonts w:asciiTheme="majorHAnsi" w:hAnsiTheme="majorHAnsi" w:cstheme="majorHAnsi"/>
                <w:sz w:val="20"/>
                <w:szCs w:val="20"/>
                <w:lang w:val="ro-MD"/>
                <w14:glow w14:rad="0">
                  <w14:schemeClr w14:val="tx1"/>
                </w14:glow>
              </w:rPr>
              <w:t>,</w:t>
            </w:r>
            <w:r w:rsidRPr="00321F59">
              <w:rPr>
                <w:rFonts w:asciiTheme="majorHAnsi" w:hAnsiTheme="majorHAnsi" w:cstheme="majorHAnsi"/>
                <w:sz w:val="20"/>
                <w:szCs w:val="20"/>
                <w:lang w:val="ro-MD"/>
                <w14:glow w14:rad="0">
                  <w14:schemeClr w14:val="tx1"/>
                </w14:glow>
              </w:rPr>
              <w:t>55</w:t>
            </w:r>
          </w:p>
        </w:tc>
        <w:tc>
          <w:tcPr>
            <w:tcW w:w="1440" w:type="dxa"/>
          </w:tcPr>
          <w:p w:rsidR="00BD0744" w:rsidRPr="00321F59" w:rsidRDefault="00342C88" w:rsidP="00342C88">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17,</w:t>
            </w:r>
            <w:r w:rsidR="0055165A" w:rsidRPr="00321F59">
              <w:rPr>
                <w:rFonts w:asciiTheme="majorHAnsi" w:hAnsiTheme="majorHAnsi" w:cstheme="majorHAnsi"/>
                <w:sz w:val="20"/>
                <w:szCs w:val="20"/>
                <w:lang w:val="ro-MD"/>
                <w14:glow w14:rad="0">
                  <w14:schemeClr w14:val="tx1"/>
                </w14:glow>
              </w:rPr>
              <w:t>6</w:t>
            </w:r>
            <w:r w:rsidRPr="00321F59">
              <w:rPr>
                <w:rFonts w:asciiTheme="majorHAnsi" w:hAnsiTheme="majorHAnsi" w:cstheme="majorHAnsi"/>
                <w:sz w:val="20"/>
                <w:szCs w:val="20"/>
                <w:lang w:val="ro-MD"/>
                <w14:glow w14:rad="0">
                  <w14:schemeClr w14:val="tx1"/>
                </w14:glow>
              </w:rPr>
              <w:t>1</w:t>
            </w:r>
          </w:p>
        </w:tc>
      </w:tr>
      <w:tr w:rsidR="00BD0744" w:rsidRPr="0024512C" w:rsidTr="0055165A">
        <w:tc>
          <w:tcPr>
            <w:tcW w:w="4945" w:type="dxa"/>
          </w:tcPr>
          <w:p w:rsidR="00BD0744" w:rsidRPr="00321F59" w:rsidRDefault="00BD0744" w:rsidP="00BD0744">
            <w:pPr>
              <w:spacing w:line="276" w:lineRule="auto"/>
              <w:jc w:val="both"/>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Total</w:t>
            </w:r>
          </w:p>
        </w:tc>
        <w:tc>
          <w:tcPr>
            <w:tcW w:w="1439" w:type="dxa"/>
          </w:tcPr>
          <w:p w:rsidR="00BD0744" w:rsidRPr="00321F59" w:rsidRDefault="00D842AD" w:rsidP="00D842AD">
            <w:pPr>
              <w:jc w:val="center"/>
              <w:rPr>
                <w:rFonts w:asciiTheme="majorHAnsi" w:hAnsiTheme="majorHAnsi" w:cstheme="majorHAnsi"/>
                <w:b/>
                <w:bCs/>
                <w:color w:val="000000"/>
                <w:sz w:val="20"/>
                <w:szCs w:val="20"/>
                <w:lang w:val="ro-MD"/>
              </w:rPr>
            </w:pPr>
            <w:r w:rsidRPr="00321F59">
              <w:rPr>
                <w:rFonts w:asciiTheme="majorHAnsi" w:hAnsiTheme="majorHAnsi" w:cstheme="majorHAnsi"/>
                <w:b/>
                <w:bCs/>
                <w:color w:val="000000"/>
                <w:sz w:val="20"/>
                <w:szCs w:val="20"/>
                <w:lang w:val="ro-MD"/>
              </w:rPr>
              <w:t>10 045,</w:t>
            </w:r>
            <w:r w:rsidR="00BD0744" w:rsidRPr="00321F59">
              <w:rPr>
                <w:rFonts w:asciiTheme="majorHAnsi" w:hAnsiTheme="majorHAnsi" w:cstheme="majorHAnsi"/>
                <w:b/>
                <w:bCs/>
                <w:color w:val="000000"/>
                <w:sz w:val="20"/>
                <w:szCs w:val="20"/>
                <w:lang w:val="ro-MD"/>
              </w:rPr>
              <w:t>58</w:t>
            </w:r>
          </w:p>
        </w:tc>
        <w:tc>
          <w:tcPr>
            <w:tcW w:w="1533" w:type="dxa"/>
          </w:tcPr>
          <w:p w:rsidR="00BD0744" w:rsidRPr="00321F59" w:rsidRDefault="0055165A" w:rsidP="00226E06">
            <w:pPr>
              <w:spacing w:line="276" w:lineRule="auto"/>
              <w:jc w:val="center"/>
              <w:rPr>
                <w:rFonts w:asciiTheme="majorHAnsi" w:hAnsiTheme="majorHAnsi" w:cstheme="majorHAnsi"/>
                <w:b/>
                <w:bCs/>
                <w:sz w:val="20"/>
                <w:szCs w:val="20"/>
                <w:lang w:val="ro-MD"/>
                <w14:glow w14:rad="0">
                  <w14:schemeClr w14:val="tx1"/>
                </w14:glow>
              </w:rPr>
            </w:pPr>
            <w:r w:rsidRPr="00321F59">
              <w:rPr>
                <w:rFonts w:asciiTheme="majorHAnsi" w:hAnsiTheme="majorHAnsi" w:cstheme="majorHAnsi"/>
                <w:b/>
                <w:bCs/>
                <w:sz w:val="20"/>
                <w:szCs w:val="20"/>
                <w:lang w:val="ro-MD"/>
                <w14:glow w14:rad="0">
                  <w14:schemeClr w14:val="tx1"/>
                </w14:glow>
              </w:rPr>
              <w:t>7</w:t>
            </w:r>
            <w:r w:rsidR="00AB2499" w:rsidRPr="00321F59">
              <w:rPr>
                <w:rFonts w:asciiTheme="majorHAnsi" w:hAnsiTheme="majorHAnsi" w:cstheme="majorHAnsi"/>
                <w:b/>
                <w:bCs/>
                <w:sz w:val="20"/>
                <w:szCs w:val="20"/>
                <w:lang w:val="ro-MD"/>
                <w14:glow w14:rad="0">
                  <w14:schemeClr w14:val="tx1"/>
                </w14:glow>
              </w:rPr>
              <w:t xml:space="preserve"> 955,87</w:t>
            </w:r>
          </w:p>
        </w:tc>
        <w:tc>
          <w:tcPr>
            <w:tcW w:w="1440" w:type="dxa"/>
          </w:tcPr>
          <w:p w:rsidR="00BD0744" w:rsidRPr="00321F59" w:rsidRDefault="00AB2499" w:rsidP="00342C88">
            <w:pPr>
              <w:spacing w:line="276" w:lineRule="auto"/>
              <w:jc w:val="center"/>
              <w:rPr>
                <w:rFonts w:asciiTheme="majorHAnsi" w:hAnsiTheme="majorHAnsi" w:cstheme="majorHAnsi"/>
                <w:b/>
                <w:bCs/>
                <w:sz w:val="20"/>
                <w:szCs w:val="20"/>
                <w:lang w:val="ro-MD"/>
                <w14:glow w14:rad="0">
                  <w14:schemeClr w14:val="tx1"/>
                </w14:glow>
              </w:rPr>
            </w:pPr>
            <w:r w:rsidRPr="00321F59">
              <w:rPr>
                <w:rFonts w:asciiTheme="majorHAnsi" w:hAnsiTheme="majorHAnsi" w:cstheme="majorHAnsi"/>
                <w:b/>
                <w:bCs/>
                <w:sz w:val="20"/>
                <w:szCs w:val="20"/>
                <w:lang w:val="ro-MD"/>
                <w14:glow w14:rad="0">
                  <w14:schemeClr w14:val="tx1"/>
                </w14:glow>
              </w:rPr>
              <w:t>2 089,71</w:t>
            </w:r>
          </w:p>
        </w:tc>
      </w:tr>
    </w:tbl>
    <w:p w:rsidR="00515B24" w:rsidRPr="005C74F5" w:rsidRDefault="00515B24" w:rsidP="00515B24">
      <w:pPr>
        <w:spacing w:after="0" w:line="276" w:lineRule="auto"/>
        <w:jc w:val="both"/>
        <w:rPr>
          <w:rFonts w:asciiTheme="majorHAnsi" w:hAnsiTheme="majorHAnsi" w:cstheme="majorHAnsi"/>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Sursa:</w:t>
      </w:r>
      <w:r w:rsidRPr="005C74F5">
        <w:rPr>
          <w:rFonts w:asciiTheme="majorHAnsi" w:hAnsiTheme="majorHAnsi" w:cstheme="majorHAnsi"/>
          <w:i/>
          <w:sz w:val="20"/>
          <w:szCs w:val="20"/>
          <w:lang w:val="ro-MD"/>
          <w14:glow w14:rad="0">
            <w14:schemeClr w14:val="tx1"/>
          </w14:glow>
        </w:rPr>
        <w:t xml:space="preserve"> Raportul DLC privind activitatea de recreditare la data de 31.12.2019.</w:t>
      </w:r>
    </w:p>
    <w:p w:rsidR="00DB680B" w:rsidRPr="00321F59" w:rsidRDefault="00DB680B" w:rsidP="00B83C96">
      <w:pPr>
        <w:spacing w:after="0" w:line="276" w:lineRule="auto"/>
        <w:jc w:val="right"/>
        <w:rPr>
          <w:rFonts w:asciiTheme="majorHAnsi" w:hAnsiTheme="majorHAnsi" w:cstheme="majorHAnsi"/>
          <w:b/>
          <w:i/>
          <w:color w:val="5B9BD5" w:themeColor="accent1"/>
          <w:sz w:val="24"/>
          <w:szCs w:val="24"/>
          <w:lang w:val="ro-MD"/>
          <w14:glow w14:rad="0">
            <w14:schemeClr w14:val="tx1"/>
          </w14:glow>
        </w:rPr>
      </w:pPr>
    </w:p>
    <w:p w:rsidR="00B83C96" w:rsidRPr="00321F59" w:rsidRDefault="00B83C96" w:rsidP="00B83C96">
      <w:pPr>
        <w:spacing w:after="0" w:line="276" w:lineRule="auto"/>
        <w:jc w:val="right"/>
        <w:rPr>
          <w:rFonts w:asciiTheme="majorHAnsi" w:hAnsiTheme="majorHAnsi" w:cstheme="majorHAnsi"/>
          <w:b/>
          <w:i/>
          <w:color w:val="5B9BD5" w:themeColor="accent1"/>
          <w:sz w:val="24"/>
          <w:szCs w:val="24"/>
          <w:lang w:val="ro-MD"/>
          <w14:glow w14:rad="0">
            <w14:schemeClr w14:val="tx1"/>
          </w14:glow>
        </w:rPr>
      </w:pPr>
      <w:r w:rsidRPr="00321F59">
        <w:rPr>
          <w:rFonts w:asciiTheme="majorHAnsi" w:hAnsiTheme="majorHAnsi" w:cstheme="majorHAnsi"/>
          <w:b/>
          <w:i/>
          <w:color w:val="5B9BD5" w:themeColor="accent1"/>
          <w:sz w:val="24"/>
          <w:szCs w:val="24"/>
          <w:lang w:val="ro-MD"/>
          <w14:glow w14:rad="0">
            <w14:schemeClr w14:val="tx1"/>
          </w14:glow>
        </w:rPr>
        <w:t>A</w:t>
      </w:r>
      <w:r w:rsidR="004F396C" w:rsidRPr="00321F59">
        <w:rPr>
          <w:rFonts w:asciiTheme="majorHAnsi" w:hAnsiTheme="majorHAnsi" w:cstheme="majorHAnsi"/>
          <w:b/>
          <w:i/>
          <w:color w:val="5B9BD5" w:themeColor="accent1"/>
          <w:sz w:val="24"/>
          <w:szCs w:val="24"/>
          <w:lang w:val="ro-MD"/>
          <w14:glow w14:rad="0">
            <w14:schemeClr w14:val="tx1"/>
          </w14:glow>
        </w:rPr>
        <w:t>nexa nr.4</w:t>
      </w:r>
    </w:p>
    <w:p w:rsidR="002C3461" w:rsidRPr="00321F59" w:rsidRDefault="00B83C96" w:rsidP="00B83C96">
      <w:pPr>
        <w:spacing w:after="0" w:line="276" w:lineRule="auto"/>
        <w:jc w:val="center"/>
        <w:rPr>
          <w:rFonts w:asciiTheme="majorHAnsi" w:hAnsiTheme="majorHAnsi" w:cstheme="majorHAnsi"/>
          <w:b/>
          <w:i/>
          <w:sz w:val="24"/>
          <w:szCs w:val="24"/>
          <w:lang w:val="ro-MD"/>
          <w14:glow w14:rad="0">
            <w14:schemeClr w14:val="tx1"/>
          </w14:glow>
        </w:rPr>
      </w:pPr>
      <w:r w:rsidRPr="00321F59">
        <w:rPr>
          <w:rFonts w:asciiTheme="majorHAnsi" w:hAnsiTheme="majorHAnsi" w:cstheme="majorHAnsi"/>
          <w:b/>
          <w:i/>
          <w:sz w:val="24"/>
          <w:szCs w:val="24"/>
          <w:lang w:val="ro-MD"/>
          <w14:glow w14:rad="0">
            <w14:schemeClr w14:val="tx1"/>
          </w14:glow>
        </w:rPr>
        <w:t xml:space="preserve">Sursele disponibile </w:t>
      </w:r>
      <w:r w:rsidR="002C3461" w:rsidRPr="00321F59">
        <w:rPr>
          <w:rFonts w:asciiTheme="majorHAnsi" w:hAnsiTheme="majorHAnsi" w:cstheme="majorHAnsi"/>
          <w:b/>
          <w:i/>
          <w:sz w:val="24"/>
          <w:szCs w:val="24"/>
          <w:lang w:val="ro-MD"/>
          <w14:glow w14:rad="0">
            <w14:schemeClr w14:val="tx1"/>
          </w14:glow>
        </w:rPr>
        <w:t>din mijloace</w:t>
      </w:r>
      <w:r w:rsidR="000E05E0" w:rsidRPr="00321F59">
        <w:rPr>
          <w:rFonts w:asciiTheme="majorHAnsi" w:hAnsiTheme="majorHAnsi" w:cstheme="majorHAnsi"/>
          <w:b/>
          <w:i/>
          <w:sz w:val="24"/>
          <w:szCs w:val="24"/>
          <w:lang w:val="ro-MD"/>
          <w14:glow w14:rad="0">
            <w14:schemeClr w14:val="tx1"/>
          </w14:glow>
        </w:rPr>
        <w:t>le</w:t>
      </w:r>
      <w:r w:rsidR="002C3461" w:rsidRPr="00321F59">
        <w:rPr>
          <w:rFonts w:asciiTheme="majorHAnsi" w:hAnsiTheme="majorHAnsi" w:cstheme="majorHAnsi"/>
          <w:b/>
          <w:i/>
          <w:sz w:val="24"/>
          <w:szCs w:val="24"/>
          <w:lang w:val="ro-MD"/>
          <w14:glow w14:rad="0">
            <w14:schemeClr w14:val="tx1"/>
          </w14:glow>
        </w:rPr>
        <w:t xml:space="preserve"> circulante </w:t>
      </w:r>
      <w:r w:rsidRPr="00321F59">
        <w:rPr>
          <w:rFonts w:asciiTheme="majorHAnsi" w:hAnsiTheme="majorHAnsi" w:cstheme="majorHAnsi"/>
          <w:b/>
          <w:i/>
          <w:sz w:val="24"/>
          <w:szCs w:val="24"/>
          <w:lang w:val="ro-MD"/>
          <w14:glow w14:rad="0">
            <w14:schemeClr w14:val="tx1"/>
          </w14:glow>
        </w:rPr>
        <w:t>pentru recreditare în conturile Liniilor de credit</w:t>
      </w:r>
    </w:p>
    <w:p w:rsidR="00B83C96" w:rsidRPr="00321F59" w:rsidRDefault="00B83C96" w:rsidP="00B83C96">
      <w:pPr>
        <w:spacing w:after="0" w:line="276" w:lineRule="auto"/>
        <w:jc w:val="center"/>
        <w:rPr>
          <w:rFonts w:asciiTheme="majorHAnsi" w:hAnsiTheme="majorHAnsi" w:cstheme="majorHAnsi"/>
          <w:b/>
          <w:i/>
          <w:sz w:val="24"/>
          <w:szCs w:val="24"/>
          <w:lang w:val="ro-MD"/>
          <w14:glow w14:rad="0">
            <w14:schemeClr w14:val="tx1"/>
          </w14:glow>
        </w:rPr>
      </w:pPr>
      <w:r w:rsidRPr="00321F59">
        <w:rPr>
          <w:rFonts w:asciiTheme="majorHAnsi" w:hAnsiTheme="majorHAnsi" w:cstheme="majorHAnsi"/>
          <w:b/>
          <w:i/>
          <w:sz w:val="24"/>
          <w:szCs w:val="24"/>
          <w:lang w:val="ro-MD"/>
          <w14:glow w14:rad="0">
            <w14:schemeClr w14:val="tx1"/>
          </w14:glow>
        </w:rPr>
        <w:t xml:space="preserve"> la BNM</w:t>
      </w:r>
      <w:r w:rsidR="000E05E0" w:rsidRPr="00321F59">
        <w:rPr>
          <w:rFonts w:asciiTheme="majorHAnsi" w:hAnsiTheme="majorHAnsi" w:cstheme="majorHAnsi"/>
          <w:b/>
          <w:i/>
          <w:sz w:val="24"/>
          <w:szCs w:val="24"/>
          <w:lang w:val="ro-MD"/>
          <w14:glow w14:rad="0">
            <w14:schemeClr w14:val="tx1"/>
          </w14:glow>
        </w:rPr>
        <w:t>,</w:t>
      </w:r>
      <w:r w:rsidRPr="00321F59">
        <w:rPr>
          <w:rFonts w:asciiTheme="majorHAnsi" w:hAnsiTheme="majorHAnsi" w:cstheme="majorHAnsi"/>
          <w:b/>
          <w:i/>
          <w:sz w:val="24"/>
          <w:szCs w:val="24"/>
          <w:lang w:val="ro-MD"/>
          <w14:glow w14:rad="0">
            <w14:schemeClr w14:val="tx1"/>
          </w14:glow>
        </w:rPr>
        <w:t xml:space="preserve"> la situația din 31.</w:t>
      </w:r>
      <w:r w:rsidR="000D348F" w:rsidRPr="00321F59">
        <w:rPr>
          <w:rFonts w:asciiTheme="majorHAnsi" w:hAnsiTheme="majorHAnsi" w:cstheme="majorHAnsi"/>
          <w:b/>
          <w:i/>
          <w:sz w:val="24"/>
          <w:szCs w:val="24"/>
          <w:lang w:val="ro-MD"/>
          <w14:glow w14:rad="0">
            <w14:schemeClr w14:val="tx1"/>
          </w14:glow>
        </w:rPr>
        <w:t>12.2019 (echivalentul în mil. lei</w:t>
      </w:r>
      <w:r w:rsidRPr="00321F59">
        <w:rPr>
          <w:rFonts w:asciiTheme="majorHAnsi" w:hAnsiTheme="majorHAnsi" w:cstheme="majorHAnsi"/>
          <w:b/>
          <w:i/>
          <w:sz w:val="24"/>
          <w:szCs w:val="24"/>
          <w:lang w:val="ro-MD"/>
          <w14:glow w14:rad="0">
            <w14:schemeClr w14:val="tx1"/>
          </w14:glow>
        </w:rPr>
        <w:t>)</w:t>
      </w:r>
    </w:p>
    <w:tbl>
      <w:tblPr>
        <w:tblStyle w:val="TableGrid"/>
        <w:tblW w:w="9445" w:type="dxa"/>
        <w:tblLook w:val="04A0" w:firstRow="1" w:lastRow="0" w:firstColumn="1" w:lastColumn="0" w:noHBand="0" w:noVBand="1"/>
      </w:tblPr>
      <w:tblGrid>
        <w:gridCol w:w="7465"/>
        <w:gridCol w:w="1980"/>
      </w:tblGrid>
      <w:tr w:rsidR="00B83C96" w:rsidRPr="0024512C" w:rsidTr="00B83C96">
        <w:tc>
          <w:tcPr>
            <w:tcW w:w="7465" w:type="dxa"/>
            <w:shd w:val="clear" w:color="auto" w:fill="DEEAF6" w:themeFill="accent1" w:themeFillTint="33"/>
          </w:tcPr>
          <w:p w:rsidR="00B83C96" w:rsidRPr="00321F59" w:rsidRDefault="00B83C96" w:rsidP="00F04539">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Proiectul</w:t>
            </w:r>
          </w:p>
        </w:tc>
        <w:tc>
          <w:tcPr>
            <w:tcW w:w="1980" w:type="dxa"/>
            <w:shd w:val="clear" w:color="auto" w:fill="DEEAF6" w:themeFill="accent1" w:themeFillTint="33"/>
          </w:tcPr>
          <w:p w:rsidR="00B83C96" w:rsidRPr="00321F59" w:rsidRDefault="00B83C96" w:rsidP="00F04539">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Suma</w:t>
            </w:r>
          </w:p>
        </w:tc>
      </w:tr>
      <w:tr w:rsidR="00923C87" w:rsidRPr="0024512C" w:rsidTr="00B83C96">
        <w:tc>
          <w:tcPr>
            <w:tcW w:w="7465" w:type="dxa"/>
          </w:tcPr>
          <w:p w:rsidR="00923C87" w:rsidRPr="00321F59" w:rsidRDefault="00923C87" w:rsidP="00923C87">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Investiții și Servicii Rurale (RISP I)</w:t>
            </w:r>
          </w:p>
        </w:tc>
        <w:tc>
          <w:tcPr>
            <w:tcW w:w="1980" w:type="dxa"/>
          </w:tcPr>
          <w:p w:rsidR="00923C87" w:rsidRPr="00321F59" w:rsidRDefault="00923C87" w:rsidP="00923C87">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223,87</w:t>
            </w:r>
          </w:p>
        </w:tc>
      </w:tr>
      <w:tr w:rsidR="00923C87" w:rsidRPr="0024512C" w:rsidTr="00B83C96">
        <w:tc>
          <w:tcPr>
            <w:tcW w:w="7465" w:type="dxa"/>
          </w:tcPr>
          <w:p w:rsidR="00923C87" w:rsidRPr="00321F59" w:rsidRDefault="00923C87" w:rsidP="00923C87">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Investiții și Servicii Rurale, faza II (RISP II)</w:t>
            </w:r>
          </w:p>
        </w:tc>
        <w:tc>
          <w:tcPr>
            <w:tcW w:w="1980" w:type="dxa"/>
          </w:tcPr>
          <w:p w:rsidR="00923C87" w:rsidRPr="00321F59" w:rsidRDefault="00923C87" w:rsidP="00923C87">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323,54</w:t>
            </w:r>
          </w:p>
        </w:tc>
      </w:tr>
      <w:tr w:rsidR="00923C87" w:rsidRPr="0024512C" w:rsidTr="00B83C96">
        <w:tc>
          <w:tcPr>
            <w:tcW w:w="7465" w:type="dxa"/>
          </w:tcPr>
          <w:p w:rsidR="00923C87" w:rsidRPr="00321F59" w:rsidRDefault="00923C87" w:rsidP="00923C87">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Ameliorare a Competitivității (PAC 1)</w:t>
            </w:r>
          </w:p>
        </w:tc>
        <w:tc>
          <w:tcPr>
            <w:tcW w:w="1980" w:type="dxa"/>
          </w:tcPr>
          <w:p w:rsidR="00923C87" w:rsidRPr="00321F59" w:rsidRDefault="00923C87" w:rsidP="00923C87">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250,38</w:t>
            </w:r>
          </w:p>
        </w:tc>
      </w:tr>
      <w:tr w:rsidR="00923C87" w:rsidRPr="0024512C" w:rsidTr="00B83C96">
        <w:tc>
          <w:tcPr>
            <w:tcW w:w="7465" w:type="dxa"/>
          </w:tcPr>
          <w:p w:rsidR="00923C87" w:rsidRPr="00321F59" w:rsidRDefault="00923C87" w:rsidP="00923C87">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Ameliorare a Competitivității, faza II (PAC 2)</w:t>
            </w:r>
          </w:p>
        </w:tc>
        <w:tc>
          <w:tcPr>
            <w:tcW w:w="1980" w:type="dxa"/>
          </w:tcPr>
          <w:p w:rsidR="00923C87" w:rsidRPr="00321F59" w:rsidRDefault="00923C87" w:rsidP="00923C87">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215,85</w:t>
            </w:r>
          </w:p>
        </w:tc>
      </w:tr>
      <w:tr w:rsidR="00923C87" w:rsidRPr="0024512C" w:rsidTr="00B83C96">
        <w:tc>
          <w:tcPr>
            <w:tcW w:w="7465" w:type="dxa"/>
          </w:tcPr>
          <w:p w:rsidR="00923C87" w:rsidRPr="00321F59" w:rsidRDefault="00923C87" w:rsidP="00923C87">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Finanțare Rurală și Dezvoltare a Întreprinderilor Mici (FIDA I)</w:t>
            </w:r>
          </w:p>
        </w:tc>
        <w:tc>
          <w:tcPr>
            <w:tcW w:w="1980" w:type="dxa"/>
          </w:tcPr>
          <w:p w:rsidR="00923C87" w:rsidRPr="00321F59" w:rsidRDefault="00923C87" w:rsidP="00923C87">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46,44</w:t>
            </w:r>
          </w:p>
        </w:tc>
      </w:tr>
      <w:tr w:rsidR="00923C87" w:rsidRPr="0024512C" w:rsidTr="00B83C96">
        <w:tc>
          <w:tcPr>
            <w:tcW w:w="7465" w:type="dxa"/>
          </w:tcPr>
          <w:p w:rsidR="00923C87" w:rsidRPr="00321F59" w:rsidRDefault="00923C87" w:rsidP="00923C87">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Revizuire a Agriculturii (FIDA II)</w:t>
            </w:r>
          </w:p>
        </w:tc>
        <w:tc>
          <w:tcPr>
            <w:tcW w:w="1980" w:type="dxa"/>
          </w:tcPr>
          <w:p w:rsidR="00923C87" w:rsidRPr="00321F59" w:rsidRDefault="00923C87" w:rsidP="00923C87">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117,62</w:t>
            </w:r>
          </w:p>
        </w:tc>
      </w:tr>
      <w:tr w:rsidR="00923C87" w:rsidRPr="0024512C" w:rsidTr="00B83C96">
        <w:tc>
          <w:tcPr>
            <w:tcW w:w="7465" w:type="dxa"/>
          </w:tcPr>
          <w:p w:rsidR="00923C87" w:rsidRPr="00321F59" w:rsidRDefault="00923C87" w:rsidP="00923C87">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Programul de Dezvoltare a Afacerilor Rurale (FIDA III)</w:t>
            </w:r>
          </w:p>
        </w:tc>
        <w:tc>
          <w:tcPr>
            <w:tcW w:w="1980" w:type="dxa"/>
          </w:tcPr>
          <w:p w:rsidR="00923C87" w:rsidRPr="00321F59" w:rsidRDefault="00923C87" w:rsidP="00923C87">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126,78</w:t>
            </w:r>
          </w:p>
        </w:tc>
      </w:tr>
      <w:tr w:rsidR="00923C87" w:rsidRPr="0024512C" w:rsidTr="00B83C96">
        <w:tc>
          <w:tcPr>
            <w:tcW w:w="7465" w:type="dxa"/>
          </w:tcPr>
          <w:p w:rsidR="00923C87" w:rsidRPr="00321F59" w:rsidRDefault="00923C87" w:rsidP="00923C87">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Programul de Servicii Financiare Rurale și Marketing (FIDA IV)</w:t>
            </w:r>
          </w:p>
        </w:tc>
        <w:tc>
          <w:tcPr>
            <w:tcW w:w="1980" w:type="dxa"/>
          </w:tcPr>
          <w:p w:rsidR="00923C87" w:rsidRPr="00321F59" w:rsidRDefault="00923C87" w:rsidP="00923C87">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98,42</w:t>
            </w:r>
          </w:p>
        </w:tc>
      </w:tr>
      <w:tr w:rsidR="00923C87" w:rsidRPr="0024512C" w:rsidTr="00B83C96">
        <w:tc>
          <w:tcPr>
            <w:tcW w:w="7465" w:type="dxa"/>
          </w:tcPr>
          <w:p w:rsidR="00923C87" w:rsidRPr="00321F59" w:rsidRDefault="00923C87" w:rsidP="00923C87">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Servicii Financiare Rurale și Dezvoltare a Businessului Agricol (FIDA V)</w:t>
            </w:r>
          </w:p>
        </w:tc>
        <w:tc>
          <w:tcPr>
            <w:tcW w:w="1980" w:type="dxa"/>
          </w:tcPr>
          <w:p w:rsidR="00923C87" w:rsidRPr="00321F59" w:rsidRDefault="00923C87" w:rsidP="00923C87">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139,32</w:t>
            </w:r>
          </w:p>
        </w:tc>
      </w:tr>
      <w:tr w:rsidR="00923C87" w:rsidRPr="0024512C" w:rsidTr="00B83C96">
        <w:tc>
          <w:tcPr>
            <w:tcW w:w="7465" w:type="dxa"/>
          </w:tcPr>
          <w:p w:rsidR="00923C87" w:rsidRPr="00321F59" w:rsidRDefault="00923C87" w:rsidP="00923C87">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Servicii Financiare Rurale și Dezvoltarea Agriculturii (FIDA VI)</w:t>
            </w:r>
          </w:p>
        </w:tc>
        <w:tc>
          <w:tcPr>
            <w:tcW w:w="1980" w:type="dxa"/>
          </w:tcPr>
          <w:p w:rsidR="00923C87" w:rsidRPr="00321F59" w:rsidRDefault="00923C87" w:rsidP="00923C87">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24,08</w:t>
            </w:r>
          </w:p>
        </w:tc>
      </w:tr>
      <w:tr w:rsidR="00923C87" w:rsidRPr="0024512C" w:rsidTr="00B83C96">
        <w:tc>
          <w:tcPr>
            <w:tcW w:w="7465" w:type="dxa"/>
          </w:tcPr>
          <w:p w:rsidR="00923C87" w:rsidRPr="00321F59" w:rsidRDefault="00923C87" w:rsidP="00923C87">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Reziliență Rurală (FIDA VII)</w:t>
            </w:r>
          </w:p>
        </w:tc>
        <w:tc>
          <w:tcPr>
            <w:tcW w:w="1980" w:type="dxa"/>
          </w:tcPr>
          <w:p w:rsidR="00923C87" w:rsidRPr="00321F59" w:rsidRDefault="00923C87" w:rsidP="00923C87">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0,04</w:t>
            </w:r>
          </w:p>
        </w:tc>
      </w:tr>
      <w:tr w:rsidR="00923C87" w:rsidRPr="0024512C" w:rsidTr="00B83C96">
        <w:tc>
          <w:tcPr>
            <w:tcW w:w="7465" w:type="dxa"/>
          </w:tcPr>
          <w:p w:rsidR="00923C87" w:rsidRPr="00321F59" w:rsidRDefault="00923C87" w:rsidP="00923C87">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lastRenderedPageBreak/>
              <w:t xml:space="preserve">Împrumutul </w:t>
            </w:r>
            <w:proofErr w:type="spellStart"/>
            <w:r w:rsidRPr="00321F59">
              <w:rPr>
                <w:rFonts w:asciiTheme="majorHAnsi" w:hAnsiTheme="majorHAnsi" w:cstheme="majorHAnsi"/>
                <w:sz w:val="20"/>
                <w:szCs w:val="20"/>
                <w:lang w:val="ro-MD"/>
                <w14:glow w14:rad="0">
                  <w14:schemeClr w14:val="tx1"/>
                </w14:glow>
              </w:rPr>
              <w:t>Kreditanstalt</w:t>
            </w:r>
            <w:proofErr w:type="spellEnd"/>
            <w:r w:rsidRPr="00321F59">
              <w:rPr>
                <w:rFonts w:asciiTheme="majorHAnsi" w:hAnsiTheme="majorHAnsi" w:cstheme="majorHAnsi"/>
                <w:sz w:val="20"/>
                <w:szCs w:val="20"/>
                <w:lang w:val="ro-MD"/>
                <w14:glow w14:rad="0">
                  <w14:schemeClr w14:val="tx1"/>
                </w14:glow>
              </w:rPr>
              <w:t xml:space="preserve"> fur </w:t>
            </w:r>
            <w:proofErr w:type="spellStart"/>
            <w:r w:rsidRPr="00321F59">
              <w:rPr>
                <w:rFonts w:asciiTheme="majorHAnsi" w:hAnsiTheme="majorHAnsi" w:cstheme="majorHAnsi"/>
                <w:sz w:val="20"/>
                <w:szCs w:val="20"/>
                <w:lang w:val="ro-MD"/>
                <w14:glow w14:rad="0">
                  <w14:schemeClr w14:val="tx1"/>
                </w14:glow>
              </w:rPr>
              <w:t>Wiederaufbau</w:t>
            </w:r>
            <w:proofErr w:type="spellEnd"/>
            <w:r w:rsidRPr="00321F59">
              <w:rPr>
                <w:rFonts w:asciiTheme="majorHAnsi" w:hAnsiTheme="majorHAnsi" w:cstheme="majorHAnsi"/>
                <w:sz w:val="20"/>
                <w:szCs w:val="20"/>
                <w:lang w:val="ro-MD"/>
                <w14:glow w14:rad="0">
                  <w14:schemeClr w14:val="tx1"/>
                </w14:glow>
              </w:rPr>
              <w:t xml:space="preserve"> (</w:t>
            </w:r>
            <w:proofErr w:type="spellStart"/>
            <w:r w:rsidRPr="00321F59">
              <w:rPr>
                <w:rFonts w:asciiTheme="majorHAnsi" w:hAnsiTheme="majorHAnsi" w:cstheme="majorHAnsi"/>
                <w:sz w:val="20"/>
                <w:szCs w:val="20"/>
                <w:lang w:val="ro-MD"/>
                <w14:glow w14:rad="0">
                  <w14:schemeClr w14:val="tx1"/>
                </w14:glow>
              </w:rPr>
              <w:t>KfW</w:t>
            </w:r>
            <w:proofErr w:type="spellEnd"/>
            <w:r w:rsidRPr="00321F59">
              <w:rPr>
                <w:rFonts w:asciiTheme="majorHAnsi" w:hAnsiTheme="majorHAnsi" w:cstheme="majorHAnsi"/>
                <w:sz w:val="20"/>
                <w:szCs w:val="20"/>
                <w:lang w:val="ro-MD"/>
                <w14:glow w14:rad="0">
                  <w14:schemeClr w14:val="tx1"/>
                </w14:glow>
              </w:rPr>
              <w:t>)</w:t>
            </w:r>
          </w:p>
        </w:tc>
        <w:tc>
          <w:tcPr>
            <w:tcW w:w="1980" w:type="dxa"/>
          </w:tcPr>
          <w:p w:rsidR="00923C87" w:rsidRPr="00321F59" w:rsidRDefault="00923C87" w:rsidP="00923C87">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35,29</w:t>
            </w:r>
          </w:p>
        </w:tc>
      </w:tr>
      <w:tr w:rsidR="00923C87" w:rsidRPr="0024512C" w:rsidTr="00B83C96">
        <w:tc>
          <w:tcPr>
            <w:tcW w:w="7465" w:type="dxa"/>
          </w:tcPr>
          <w:p w:rsidR="00923C87" w:rsidRPr="00321F59" w:rsidRDefault="00923C87" w:rsidP="00923C87">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Filiera Vinului</w:t>
            </w:r>
          </w:p>
        </w:tc>
        <w:tc>
          <w:tcPr>
            <w:tcW w:w="1980" w:type="dxa"/>
          </w:tcPr>
          <w:p w:rsidR="00923C87" w:rsidRPr="00321F59" w:rsidRDefault="00923C87" w:rsidP="00923C87">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289,24</w:t>
            </w:r>
          </w:p>
        </w:tc>
      </w:tr>
      <w:tr w:rsidR="00923C87" w:rsidRPr="0024512C" w:rsidTr="00B83C96">
        <w:tc>
          <w:tcPr>
            <w:tcW w:w="7465" w:type="dxa"/>
          </w:tcPr>
          <w:p w:rsidR="00923C87" w:rsidRPr="00321F59" w:rsidRDefault="00923C87" w:rsidP="00923C87">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Livada Moldovei</w:t>
            </w:r>
          </w:p>
        </w:tc>
        <w:tc>
          <w:tcPr>
            <w:tcW w:w="1980" w:type="dxa"/>
          </w:tcPr>
          <w:p w:rsidR="00923C87" w:rsidRPr="00321F59" w:rsidRDefault="00923C87" w:rsidP="00923C87">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51,39</w:t>
            </w:r>
          </w:p>
        </w:tc>
      </w:tr>
      <w:tr w:rsidR="00923C87" w:rsidRPr="0024512C" w:rsidTr="00B83C96">
        <w:tc>
          <w:tcPr>
            <w:tcW w:w="7465" w:type="dxa"/>
          </w:tcPr>
          <w:p w:rsidR="00923C87" w:rsidRPr="00321F59" w:rsidRDefault="00923C87" w:rsidP="00923C87">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Finanțare Rurală</w:t>
            </w:r>
          </w:p>
        </w:tc>
        <w:tc>
          <w:tcPr>
            <w:tcW w:w="1980" w:type="dxa"/>
          </w:tcPr>
          <w:p w:rsidR="00923C87" w:rsidRPr="00321F59" w:rsidRDefault="00923C87" w:rsidP="00923C87">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3,37</w:t>
            </w:r>
          </w:p>
        </w:tc>
      </w:tr>
      <w:tr w:rsidR="00923C87" w:rsidRPr="0024512C" w:rsidTr="00B83C96">
        <w:tc>
          <w:tcPr>
            <w:tcW w:w="7465" w:type="dxa"/>
          </w:tcPr>
          <w:p w:rsidR="00923C87" w:rsidRPr="00321F59" w:rsidRDefault="00923C87" w:rsidP="00923C87">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Creditul Polonez</w:t>
            </w:r>
          </w:p>
        </w:tc>
        <w:tc>
          <w:tcPr>
            <w:tcW w:w="1980" w:type="dxa"/>
          </w:tcPr>
          <w:p w:rsidR="00923C87" w:rsidRPr="00321F59" w:rsidRDefault="00923C87" w:rsidP="00923C87">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0,93</w:t>
            </w:r>
          </w:p>
        </w:tc>
      </w:tr>
      <w:tr w:rsidR="00923C87" w:rsidRPr="0024512C" w:rsidTr="00B83C96">
        <w:tc>
          <w:tcPr>
            <w:tcW w:w="7465" w:type="dxa"/>
          </w:tcPr>
          <w:p w:rsidR="00923C87" w:rsidRPr="00321F59" w:rsidRDefault="00923C87" w:rsidP="00923C87">
            <w:pPr>
              <w:spacing w:line="276" w:lineRule="auto"/>
              <w:jc w:val="both"/>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Total</w:t>
            </w:r>
          </w:p>
        </w:tc>
        <w:tc>
          <w:tcPr>
            <w:tcW w:w="1980" w:type="dxa"/>
          </w:tcPr>
          <w:p w:rsidR="00923C87" w:rsidRPr="00321F59" w:rsidRDefault="00923C87" w:rsidP="00923C87">
            <w:pPr>
              <w:jc w:val="center"/>
              <w:rPr>
                <w:rFonts w:asciiTheme="majorHAnsi" w:hAnsiTheme="majorHAnsi" w:cstheme="majorHAnsi"/>
                <w:b/>
                <w:bCs/>
                <w:color w:val="000000"/>
                <w:sz w:val="20"/>
                <w:szCs w:val="20"/>
                <w:lang w:val="ro-MD"/>
              </w:rPr>
            </w:pPr>
            <w:r w:rsidRPr="00321F59">
              <w:rPr>
                <w:rFonts w:asciiTheme="majorHAnsi" w:hAnsiTheme="majorHAnsi" w:cstheme="majorHAnsi"/>
                <w:b/>
                <w:bCs/>
                <w:color w:val="000000"/>
                <w:sz w:val="20"/>
                <w:szCs w:val="20"/>
                <w:lang w:val="ro-MD"/>
              </w:rPr>
              <w:t>1 946,56</w:t>
            </w:r>
          </w:p>
        </w:tc>
      </w:tr>
    </w:tbl>
    <w:p w:rsidR="005166FA" w:rsidRPr="0024512C" w:rsidRDefault="00515B24" w:rsidP="00CB65B2">
      <w:pPr>
        <w:spacing w:after="0" w:line="276" w:lineRule="auto"/>
        <w:jc w:val="both"/>
        <w:rPr>
          <w:rFonts w:asciiTheme="majorHAnsi" w:hAnsiTheme="majorHAnsi" w:cstheme="majorHAnsi"/>
          <w:i/>
          <w:sz w:val="20"/>
          <w:szCs w:val="20"/>
          <w:lang w:val="ro-MD"/>
          <w14:glow w14:rad="0">
            <w14:schemeClr w14:val="tx1"/>
          </w14:glow>
        </w:rPr>
      </w:pPr>
      <w:r w:rsidRPr="0024512C">
        <w:rPr>
          <w:rFonts w:asciiTheme="majorHAnsi" w:hAnsiTheme="majorHAnsi" w:cstheme="majorHAnsi"/>
          <w:b/>
          <w:i/>
          <w:sz w:val="20"/>
          <w:szCs w:val="20"/>
          <w:lang w:val="ro-MD"/>
          <w14:glow w14:rad="0">
            <w14:schemeClr w14:val="tx1"/>
          </w14:glow>
        </w:rPr>
        <w:t>Sursa:</w:t>
      </w:r>
      <w:r w:rsidRPr="005C74F5">
        <w:rPr>
          <w:rFonts w:asciiTheme="majorHAnsi" w:hAnsiTheme="majorHAnsi" w:cstheme="majorHAnsi"/>
          <w:i/>
          <w:sz w:val="20"/>
          <w:szCs w:val="20"/>
          <w:lang w:val="ro-MD"/>
          <w14:glow w14:rad="0">
            <w14:schemeClr w14:val="tx1"/>
          </w14:glow>
        </w:rPr>
        <w:t xml:space="preserve"> Informația DLC privind sursele disponibile pentru recreditare în conturile liniilor de credit la BNM la situația din 31.12.2019.</w:t>
      </w:r>
    </w:p>
    <w:p w:rsidR="009B4049" w:rsidRPr="00321F59" w:rsidRDefault="004F396C" w:rsidP="00ED446E">
      <w:pPr>
        <w:spacing w:after="0" w:line="276" w:lineRule="auto"/>
        <w:jc w:val="right"/>
        <w:rPr>
          <w:rFonts w:asciiTheme="majorHAnsi" w:hAnsiTheme="majorHAnsi" w:cstheme="majorHAnsi"/>
          <w:b/>
          <w:i/>
          <w:sz w:val="24"/>
          <w:szCs w:val="24"/>
          <w:lang w:val="ro-MD"/>
          <w14:glow w14:rad="0">
            <w14:schemeClr w14:val="tx1"/>
          </w14:glow>
        </w:rPr>
      </w:pPr>
      <w:r w:rsidRPr="00321F59">
        <w:rPr>
          <w:rFonts w:asciiTheme="majorHAnsi" w:hAnsiTheme="majorHAnsi" w:cstheme="majorHAnsi"/>
          <w:b/>
          <w:i/>
          <w:color w:val="5B9BD5" w:themeColor="accent1"/>
          <w:sz w:val="24"/>
          <w:szCs w:val="24"/>
          <w:lang w:val="ro-MD"/>
          <w14:glow w14:rad="0">
            <w14:schemeClr w14:val="tx1"/>
          </w14:glow>
        </w:rPr>
        <w:t>Anexa nr.5</w:t>
      </w:r>
    </w:p>
    <w:p w:rsidR="00395E02" w:rsidRPr="00321F59" w:rsidRDefault="00395E02" w:rsidP="00395E02">
      <w:pPr>
        <w:spacing w:after="0" w:line="276" w:lineRule="auto"/>
        <w:jc w:val="center"/>
        <w:rPr>
          <w:rFonts w:asciiTheme="majorHAnsi" w:hAnsiTheme="majorHAnsi" w:cstheme="majorHAnsi"/>
          <w:b/>
          <w:i/>
          <w:sz w:val="24"/>
          <w:szCs w:val="24"/>
          <w:lang w:val="ro-MD"/>
          <w14:glow w14:rad="0">
            <w14:schemeClr w14:val="tx1"/>
          </w14:glow>
        </w:rPr>
      </w:pPr>
      <w:r w:rsidRPr="00321F59">
        <w:rPr>
          <w:rFonts w:asciiTheme="majorHAnsi" w:hAnsiTheme="majorHAnsi" w:cstheme="majorHAnsi"/>
          <w:b/>
          <w:i/>
          <w:sz w:val="24"/>
          <w:szCs w:val="24"/>
          <w:lang w:val="ro-MD"/>
          <w14:glow w14:rad="0">
            <w14:schemeClr w14:val="tx1"/>
          </w14:glow>
        </w:rPr>
        <w:t xml:space="preserve">Informația privind recreditarea efectuată din surse directe și din mijloace circulante </w:t>
      </w:r>
    </w:p>
    <w:p w:rsidR="00ED446E" w:rsidRPr="00321F59" w:rsidRDefault="00395E02" w:rsidP="00395E02">
      <w:pPr>
        <w:spacing w:after="0" w:line="276" w:lineRule="auto"/>
        <w:jc w:val="center"/>
        <w:rPr>
          <w:rFonts w:asciiTheme="majorHAnsi" w:hAnsiTheme="majorHAnsi" w:cstheme="majorHAnsi"/>
          <w:b/>
          <w:i/>
          <w:sz w:val="24"/>
          <w:szCs w:val="24"/>
          <w:lang w:val="ro-MD"/>
          <w14:glow w14:rad="0">
            <w14:schemeClr w14:val="tx1"/>
          </w14:glow>
        </w:rPr>
      </w:pPr>
      <w:r w:rsidRPr="00321F59">
        <w:rPr>
          <w:rFonts w:asciiTheme="majorHAnsi" w:hAnsiTheme="majorHAnsi" w:cstheme="majorHAnsi"/>
          <w:b/>
          <w:i/>
          <w:sz w:val="24"/>
          <w:szCs w:val="24"/>
          <w:lang w:val="ro-MD"/>
          <w14:glow w14:rad="0">
            <w14:schemeClr w14:val="tx1"/>
          </w14:glow>
        </w:rPr>
        <w:t>(e</w:t>
      </w:r>
      <w:r w:rsidR="00CC7E40" w:rsidRPr="00321F59">
        <w:rPr>
          <w:rFonts w:asciiTheme="majorHAnsi" w:hAnsiTheme="majorHAnsi" w:cstheme="majorHAnsi"/>
          <w:b/>
          <w:i/>
          <w:sz w:val="24"/>
          <w:szCs w:val="24"/>
          <w:lang w:val="ro-MD"/>
          <w14:glow w14:rad="0">
            <w14:schemeClr w14:val="tx1"/>
          </w14:glow>
        </w:rPr>
        <w:t>chivalent</w:t>
      </w:r>
      <w:r w:rsidR="000E05E0" w:rsidRPr="00321F59">
        <w:rPr>
          <w:rFonts w:asciiTheme="majorHAnsi" w:hAnsiTheme="majorHAnsi" w:cstheme="majorHAnsi"/>
          <w:b/>
          <w:i/>
          <w:sz w:val="24"/>
          <w:szCs w:val="24"/>
          <w:lang w:val="ro-MD"/>
          <w14:glow w14:rad="0">
            <w14:schemeClr w14:val="tx1"/>
          </w14:glow>
        </w:rPr>
        <w:t>ul</w:t>
      </w:r>
      <w:r w:rsidR="00CC7E40" w:rsidRPr="00321F59">
        <w:rPr>
          <w:rFonts w:asciiTheme="majorHAnsi" w:hAnsiTheme="majorHAnsi" w:cstheme="majorHAnsi"/>
          <w:b/>
          <w:i/>
          <w:sz w:val="24"/>
          <w:szCs w:val="24"/>
          <w:lang w:val="ro-MD"/>
          <w14:glow w14:rad="0">
            <w14:schemeClr w14:val="tx1"/>
          </w14:glow>
        </w:rPr>
        <w:t xml:space="preserve"> în mil.</w:t>
      </w:r>
      <w:r w:rsidR="000D348F" w:rsidRPr="00321F59">
        <w:rPr>
          <w:rFonts w:asciiTheme="majorHAnsi" w:hAnsiTheme="majorHAnsi" w:cstheme="majorHAnsi"/>
          <w:b/>
          <w:i/>
          <w:sz w:val="24"/>
          <w:szCs w:val="24"/>
          <w:lang w:val="ro-MD"/>
          <w14:glow w14:rad="0">
            <w14:schemeClr w14:val="tx1"/>
          </w14:glow>
        </w:rPr>
        <w:t xml:space="preserve"> lei</w:t>
      </w:r>
      <w:r w:rsidRPr="00321F59">
        <w:rPr>
          <w:rFonts w:asciiTheme="majorHAnsi" w:hAnsiTheme="majorHAnsi" w:cstheme="majorHAnsi"/>
          <w:b/>
          <w:i/>
          <w:sz w:val="24"/>
          <w:szCs w:val="24"/>
          <w:lang w:val="ro-MD"/>
          <w14:glow w14:rad="0">
            <w14:schemeClr w14:val="tx1"/>
          </w14:glow>
        </w:rPr>
        <w:t>)</w:t>
      </w:r>
    </w:p>
    <w:tbl>
      <w:tblPr>
        <w:tblStyle w:val="TableGrid"/>
        <w:tblW w:w="9485" w:type="dxa"/>
        <w:tblLook w:val="04A0" w:firstRow="1" w:lastRow="0" w:firstColumn="1" w:lastColumn="0" w:noHBand="0" w:noVBand="1"/>
      </w:tblPr>
      <w:tblGrid>
        <w:gridCol w:w="3505"/>
        <w:gridCol w:w="1080"/>
        <w:gridCol w:w="1080"/>
        <w:gridCol w:w="1080"/>
        <w:gridCol w:w="931"/>
        <w:gridCol w:w="855"/>
        <w:gridCol w:w="954"/>
      </w:tblGrid>
      <w:tr w:rsidR="00ED446E" w:rsidRPr="0024512C" w:rsidTr="00FA0306">
        <w:tc>
          <w:tcPr>
            <w:tcW w:w="3505" w:type="dxa"/>
            <w:vMerge w:val="restart"/>
            <w:shd w:val="clear" w:color="auto" w:fill="DEEAF6" w:themeFill="accent1" w:themeFillTint="33"/>
            <w:vAlign w:val="center"/>
          </w:tcPr>
          <w:p w:rsidR="00ED446E" w:rsidRPr="00321F59" w:rsidRDefault="00ED446E" w:rsidP="00254CA7">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Proiectul</w:t>
            </w:r>
          </w:p>
        </w:tc>
        <w:tc>
          <w:tcPr>
            <w:tcW w:w="3240" w:type="dxa"/>
            <w:gridSpan w:val="3"/>
            <w:shd w:val="clear" w:color="auto" w:fill="DEEAF6" w:themeFill="accent1" w:themeFillTint="33"/>
            <w:vAlign w:val="center"/>
          </w:tcPr>
          <w:p w:rsidR="00ED446E" w:rsidRPr="0024512C" w:rsidRDefault="00ED446E" w:rsidP="00254CA7">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 xml:space="preserve">Suma împrumuturilor </w:t>
            </w:r>
            <w:proofErr w:type="spellStart"/>
            <w:r w:rsidRPr="00321F59">
              <w:rPr>
                <w:rFonts w:asciiTheme="majorHAnsi" w:hAnsiTheme="majorHAnsi" w:cstheme="majorHAnsi"/>
                <w:b/>
                <w:sz w:val="20"/>
                <w:szCs w:val="20"/>
                <w:lang w:val="ro-MD"/>
                <w14:glow w14:rad="0">
                  <w14:schemeClr w14:val="tx1"/>
                </w14:glow>
              </w:rPr>
              <w:t>recreditate</w:t>
            </w:r>
            <w:proofErr w:type="spellEnd"/>
          </w:p>
        </w:tc>
        <w:tc>
          <w:tcPr>
            <w:tcW w:w="2740" w:type="dxa"/>
            <w:gridSpan w:val="3"/>
            <w:shd w:val="clear" w:color="auto" w:fill="DEEAF6" w:themeFill="accent1" w:themeFillTint="33"/>
            <w:vAlign w:val="center"/>
          </w:tcPr>
          <w:p w:rsidR="00ED446E" w:rsidRPr="00321F59" w:rsidRDefault="00ED446E" w:rsidP="00254CA7">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 xml:space="preserve">Numărul de sub-proiecte </w:t>
            </w:r>
            <w:proofErr w:type="spellStart"/>
            <w:r w:rsidRPr="00321F59">
              <w:rPr>
                <w:rFonts w:asciiTheme="majorHAnsi" w:hAnsiTheme="majorHAnsi" w:cstheme="majorHAnsi"/>
                <w:b/>
                <w:sz w:val="20"/>
                <w:szCs w:val="20"/>
                <w:lang w:val="ro-MD"/>
                <w14:glow w14:rad="0">
                  <w14:schemeClr w14:val="tx1"/>
                </w14:glow>
              </w:rPr>
              <w:t>recreditate</w:t>
            </w:r>
            <w:proofErr w:type="spellEnd"/>
          </w:p>
        </w:tc>
      </w:tr>
      <w:tr w:rsidR="00ED446E" w:rsidRPr="0024512C" w:rsidTr="00FA0306">
        <w:tc>
          <w:tcPr>
            <w:tcW w:w="3505" w:type="dxa"/>
            <w:vMerge/>
            <w:shd w:val="clear" w:color="auto" w:fill="DEEAF6" w:themeFill="accent1" w:themeFillTint="33"/>
            <w:vAlign w:val="center"/>
          </w:tcPr>
          <w:p w:rsidR="00ED446E" w:rsidRPr="00321F59" w:rsidRDefault="00ED446E" w:rsidP="00254CA7">
            <w:pPr>
              <w:spacing w:line="276" w:lineRule="auto"/>
              <w:jc w:val="center"/>
              <w:rPr>
                <w:rFonts w:asciiTheme="majorHAnsi" w:hAnsiTheme="majorHAnsi" w:cstheme="majorHAnsi"/>
                <w:b/>
                <w:sz w:val="20"/>
                <w:szCs w:val="20"/>
                <w:lang w:val="ro-MD"/>
                <w14:glow w14:rad="0">
                  <w14:schemeClr w14:val="tx1"/>
                </w14:glow>
              </w:rPr>
            </w:pPr>
          </w:p>
        </w:tc>
        <w:tc>
          <w:tcPr>
            <w:tcW w:w="1080" w:type="dxa"/>
            <w:shd w:val="clear" w:color="auto" w:fill="DEEAF6" w:themeFill="accent1" w:themeFillTint="33"/>
            <w:vAlign w:val="center"/>
          </w:tcPr>
          <w:p w:rsidR="00ED446E" w:rsidRPr="00321F59" w:rsidRDefault="00ED446E" w:rsidP="00254CA7">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Total</w:t>
            </w:r>
          </w:p>
        </w:tc>
        <w:tc>
          <w:tcPr>
            <w:tcW w:w="1080" w:type="dxa"/>
            <w:shd w:val="clear" w:color="auto" w:fill="DEEAF6" w:themeFill="accent1" w:themeFillTint="33"/>
            <w:vAlign w:val="center"/>
          </w:tcPr>
          <w:p w:rsidR="00ED446E" w:rsidRPr="00321F59" w:rsidRDefault="000E05E0" w:rsidP="00254CA7">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l</w:t>
            </w:r>
            <w:r w:rsidR="00ED446E" w:rsidRPr="00321F59">
              <w:rPr>
                <w:rFonts w:asciiTheme="majorHAnsi" w:hAnsiTheme="majorHAnsi" w:cstheme="majorHAnsi"/>
                <w:b/>
                <w:sz w:val="20"/>
                <w:szCs w:val="20"/>
                <w:lang w:val="ro-MD"/>
                <w14:glow w14:rad="0">
                  <w14:schemeClr w14:val="tx1"/>
                </w14:glow>
              </w:rPr>
              <w:t>inia de credit</w:t>
            </w:r>
          </w:p>
        </w:tc>
        <w:tc>
          <w:tcPr>
            <w:tcW w:w="1080" w:type="dxa"/>
            <w:shd w:val="clear" w:color="auto" w:fill="DEEAF6" w:themeFill="accent1" w:themeFillTint="33"/>
            <w:vAlign w:val="center"/>
          </w:tcPr>
          <w:p w:rsidR="00ED446E" w:rsidRPr="00321F59" w:rsidRDefault="000E05E0" w:rsidP="00254CA7">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r</w:t>
            </w:r>
            <w:r w:rsidR="00ED446E" w:rsidRPr="00321F59">
              <w:rPr>
                <w:rFonts w:asciiTheme="majorHAnsi" w:hAnsiTheme="majorHAnsi" w:cstheme="majorHAnsi"/>
                <w:b/>
                <w:sz w:val="20"/>
                <w:szCs w:val="20"/>
                <w:lang w:val="ro-MD"/>
                <w14:glow w14:rad="0">
                  <w14:schemeClr w14:val="tx1"/>
                </w14:glow>
              </w:rPr>
              <w:t xml:space="preserve">esurse </w:t>
            </w:r>
            <w:proofErr w:type="spellStart"/>
            <w:r w:rsidR="00ED446E" w:rsidRPr="00321F59">
              <w:rPr>
                <w:rFonts w:asciiTheme="majorHAnsi" w:hAnsiTheme="majorHAnsi" w:cstheme="majorHAnsi"/>
                <w:b/>
                <w:sz w:val="20"/>
                <w:szCs w:val="20"/>
                <w:lang w:val="ro-MD"/>
                <w14:glow w14:rad="0">
                  <w14:schemeClr w14:val="tx1"/>
                </w14:glow>
              </w:rPr>
              <w:t>revolving</w:t>
            </w:r>
            <w:proofErr w:type="spellEnd"/>
          </w:p>
        </w:tc>
        <w:tc>
          <w:tcPr>
            <w:tcW w:w="931" w:type="dxa"/>
            <w:shd w:val="clear" w:color="auto" w:fill="DEEAF6" w:themeFill="accent1" w:themeFillTint="33"/>
            <w:vAlign w:val="center"/>
          </w:tcPr>
          <w:p w:rsidR="00ED446E" w:rsidRPr="00321F59" w:rsidRDefault="00ED446E" w:rsidP="00254CA7">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Total</w:t>
            </w:r>
          </w:p>
        </w:tc>
        <w:tc>
          <w:tcPr>
            <w:tcW w:w="855" w:type="dxa"/>
            <w:shd w:val="clear" w:color="auto" w:fill="DEEAF6" w:themeFill="accent1" w:themeFillTint="33"/>
            <w:vAlign w:val="center"/>
          </w:tcPr>
          <w:p w:rsidR="00ED446E" w:rsidRPr="00321F59" w:rsidRDefault="000E05E0" w:rsidP="00254CA7">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l</w:t>
            </w:r>
            <w:r w:rsidR="00ED446E" w:rsidRPr="00321F59">
              <w:rPr>
                <w:rFonts w:asciiTheme="majorHAnsi" w:hAnsiTheme="majorHAnsi" w:cstheme="majorHAnsi"/>
                <w:b/>
                <w:sz w:val="20"/>
                <w:szCs w:val="20"/>
                <w:lang w:val="ro-MD"/>
                <w14:glow w14:rad="0">
                  <w14:schemeClr w14:val="tx1"/>
                </w14:glow>
              </w:rPr>
              <w:t>inia de credit</w:t>
            </w:r>
          </w:p>
        </w:tc>
        <w:tc>
          <w:tcPr>
            <w:tcW w:w="954" w:type="dxa"/>
            <w:shd w:val="clear" w:color="auto" w:fill="DEEAF6" w:themeFill="accent1" w:themeFillTint="33"/>
            <w:vAlign w:val="center"/>
          </w:tcPr>
          <w:p w:rsidR="00ED446E" w:rsidRPr="00321F59" w:rsidRDefault="000E05E0" w:rsidP="00254CA7">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r</w:t>
            </w:r>
            <w:r w:rsidR="00ED446E" w:rsidRPr="00321F59">
              <w:rPr>
                <w:rFonts w:asciiTheme="majorHAnsi" w:hAnsiTheme="majorHAnsi" w:cstheme="majorHAnsi"/>
                <w:b/>
                <w:sz w:val="20"/>
                <w:szCs w:val="20"/>
                <w:lang w:val="ro-MD"/>
                <w14:glow w14:rad="0">
                  <w14:schemeClr w14:val="tx1"/>
                </w14:glow>
              </w:rPr>
              <w:t xml:space="preserve">esurse </w:t>
            </w:r>
            <w:proofErr w:type="spellStart"/>
            <w:r w:rsidR="00ED446E" w:rsidRPr="00321F59">
              <w:rPr>
                <w:rFonts w:asciiTheme="majorHAnsi" w:hAnsiTheme="majorHAnsi" w:cstheme="majorHAnsi"/>
                <w:b/>
                <w:sz w:val="20"/>
                <w:szCs w:val="20"/>
                <w:lang w:val="ro-MD"/>
                <w14:glow w14:rad="0">
                  <w14:schemeClr w14:val="tx1"/>
                </w14:glow>
              </w:rPr>
              <w:t>revolving</w:t>
            </w:r>
            <w:proofErr w:type="spellEnd"/>
          </w:p>
        </w:tc>
      </w:tr>
      <w:tr w:rsidR="00CC7E40" w:rsidRPr="0024512C" w:rsidTr="00FA0306">
        <w:tc>
          <w:tcPr>
            <w:tcW w:w="3505" w:type="dxa"/>
          </w:tcPr>
          <w:p w:rsidR="00CC7E40" w:rsidRPr="00321F59" w:rsidRDefault="00CC7E40" w:rsidP="00CC7E40">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Primul Proiect de Dezvoltare a Sectorului Privat (PDSP I)</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1 128,27</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415,39</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712,88</w:t>
            </w:r>
          </w:p>
        </w:tc>
        <w:tc>
          <w:tcPr>
            <w:tcW w:w="931"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306</w:t>
            </w:r>
          </w:p>
        </w:tc>
        <w:tc>
          <w:tcPr>
            <w:tcW w:w="855"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101</w:t>
            </w:r>
          </w:p>
        </w:tc>
        <w:tc>
          <w:tcPr>
            <w:tcW w:w="954"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205</w:t>
            </w:r>
          </w:p>
        </w:tc>
      </w:tr>
      <w:tr w:rsidR="00CC7E40" w:rsidRPr="0024512C" w:rsidTr="00FA0306">
        <w:tc>
          <w:tcPr>
            <w:tcW w:w="3505" w:type="dxa"/>
          </w:tcPr>
          <w:p w:rsidR="00CC7E40" w:rsidRPr="00321F59" w:rsidRDefault="00CC7E40" w:rsidP="00CC7E40">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Investiții și Servicii Rurale (RISP I)</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900,4</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196,75</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703,65</w:t>
            </w:r>
          </w:p>
        </w:tc>
        <w:tc>
          <w:tcPr>
            <w:tcW w:w="931"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2 044</w:t>
            </w:r>
          </w:p>
        </w:tc>
        <w:tc>
          <w:tcPr>
            <w:tcW w:w="855"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1 389</w:t>
            </w:r>
          </w:p>
        </w:tc>
        <w:tc>
          <w:tcPr>
            <w:tcW w:w="954"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655</w:t>
            </w:r>
          </w:p>
        </w:tc>
      </w:tr>
      <w:tr w:rsidR="00CC7E40" w:rsidRPr="0024512C" w:rsidTr="00FA0306">
        <w:tc>
          <w:tcPr>
            <w:tcW w:w="3505" w:type="dxa"/>
          </w:tcPr>
          <w:p w:rsidR="00CC7E40" w:rsidRPr="00321F59" w:rsidRDefault="00CC7E40" w:rsidP="00CC7E40">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Investiții și Servicii Rurale, faza II (RISP II)</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887,43</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341,77</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545,66</w:t>
            </w:r>
          </w:p>
        </w:tc>
        <w:tc>
          <w:tcPr>
            <w:tcW w:w="931"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913</w:t>
            </w:r>
          </w:p>
        </w:tc>
        <w:tc>
          <w:tcPr>
            <w:tcW w:w="855"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471</w:t>
            </w:r>
          </w:p>
        </w:tc>
        <w:tc>
          <w:tcPr>
            <w:tcW w:w="954"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442</w:t>
            </w:r>
          </w:p>
        </w:tc>
      </w:tr>
      <w:tr w:rsidR="00CC7E40" w:rsidRPr="0024512C" w:rsidTr="00FA0306">
        <w:tc>
          <w:tcPr>
            <w:tcW w:w="3505" w:type="dxa"/>
          </w:tcPr>
          <w:p w:rsidR="00CC7E40" w:rsidRPr="00321F59" w:rsidRDefault="00CC7E40" w:rsidP="00CC7E40">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Ameliorare a Competitivității (PAC 1)</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951,08</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326,17</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624,91</w:t>
            </w:r>
          </w:p>
        </w:tc>
        <w:tc>
          <w:tcPr>
            <w:tcW w:w="931"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206</w:t>
            </w:r>
          </w:p>
        </w:tc>
        <w:tc>
          <w:tcPr>
            <w:tcW w:w="855"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60</w:t>
            </w:r>
          </w:p>
        </w:tc>
        <w:tc>
          <w:tcPr>
            <w:tcW w:w="954"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146</w:t>
            </w:r>
          </w:p>
        </w:tc>
      </w:tr>
      <w:tr w:rsidR="00CC7E40" w:rsidRPr="0024512C" w:rsidTr="00FA0306">
        <w:tc>
          <w:tcPr>
            <w:tcW w:w="3505" w:type="dxa"/>
          </w:tcPr>
          <w:p w:rsidR="00CC7E40" w:rsidRPr="00321F59" w:rsidRDefault="00CC7E40" w:rsidP="00CC7E40">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Ameliorare a Competitivității, faza II (PAC 2)</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514,16</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435,69</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78,47</w:t>
            </w:r>
          </w:p>
        </w:tc>
        <w:tc>
          <w:tcPr>
            <w:tcW w:w="931"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160</w:t>
            </w:r>
          </w:p>
        </w:tc>
        <w:tc>
          <w:tcPr>
            <w:tcW w:w="855"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142</w:t>
            </w:r>
          </w:p>
        </w:tc>
        <w:tc>
          <w:tcPr>
            <w:tcW w:w="954"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18</w:t>
            </w:r>
          </w:p>
        </w:tc>
      </w:tr>
      <w:tr w:rsidR="00CC7E40" w:rsidRPr="0024512C" w:rsidTr="00FA0306">
        <w:tc>
          <w:tcPr>
            <w:tcW w:w="3505" w:type="dxa"/>
          </w:tcPr>
          <w:p w:rsidR="00CC7E40" w:rsidRPr="00321F59" w:rsidRDefault="00CC7E40" w:rsidP="00CC7E40">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Finanțare Rurală și Dezvoltare a Întreprinderilor Mici (FIDA I)</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1 205,99</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128,71</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1 077,28</w:t>
            </w:r>
          </w:p>
        </w:tc>
        <w:tc>
          <w:tcPr>
            <w:tcW w:w="931"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1 582</w:t>
            </w:r>
          </w:p>
        </w:tc>
        <w:tc>
          <w:tcPr>
            <w:tcW w:w="855"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411</w:t>
            </w:r>
          </w:p>
        </w:tc>
        <w:tc>
          <w:tcPr>
            <w:tcW w:w="954"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1 171</w:t>
            </w:r>
          </w:p>
        </w:tc>
      </w:tr>
      <w:tr w:rsidR="00CC7E40" w:rsidRPr="0024512C" w:rsidTr="00FA0306">
        <w:tc>
          <w:tcPr>
            <w:tcW w:w="3505" w:type="dxa"/>
          </w:tcPr>
          <w:p w:rsidR="00CC7E40" w:rsidRPr="00321F59" w:rsidRDefault="00CC7E40" w:rsidP="00CC7E40">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Revizuire a Agriculturii (FIDA II)</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653,59</w:t>
            </w:r>
          </w:p>
        </w:tc>
        <w:tc>
          <w:tcPr>
            <w:tcW w:w="1080" w:type="dxa"/>
          </w:tcPr>
          <w:p w:rsidR="00CC7E40" w:rsidRPr="00321F59" w:rsidRDefault="00897E3F" w:rsidP="00897E3F">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186,</w:t>
            </w:r>
            <w:r w:rsidR="00CC7E40" w:rsidRPr="00321F59">
              <w:rPr>
                <w:rFonts w:asciiTheme="majorHAnsi" w:hAnsiTheme="majorHAnsi" w:cstheme="majorHAnsi"/>
                <w:bCs/>
                <w:sz w:val="20"/>
                <w:szCs w:val="20"/>
                <w:lang w:val="ro-MD"/>
              </w:rPr>
              <w:t>9</w:t>
            </w:r>
            <w:r w:rsidR="00FA0306" w:rsidRPr="00321F59">
              <w:rPr>
                <w:rFonts w:asciiTheme="majorHAnsi" w:hAnsiTheme="majorHAnsi" w:cstheme="majorHAnsi"/>
                <w:bCs/>
                <w:sz w:val="20"/>
                <w:szCs w:val="20"/>
                <w:lang w:val="ro-MD"/>
              </w:rPr>
              <w:t>8</w:t>
            </w:r>
          </w:p>
        </w:tc>
        <w:tc>
          <w:tcPr>
            <w:tcW w:w="1080" w:type="dxa"/>
          </w:tcPr>
          <w:p w:rsidR="00CC7E40" w:rsidRPr="00321F59" w:rsidRDefault="00CC7E40" w:rsidP="00897E3F">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4</w:t>
            </w:r>
            <w:r w:rsidR="00897E3F" w:rsidRPr="00321F59">
              <w:rPr>
                <w:rFonts w:asciiTheme="majorHAnsi" w:hAnsiTheme="majorHAnsi" w:cstheme="majorHAnsi"/>
                <w:bCs/>
                <w:sz w:val="20"/>
                <w:szCs w:val="20"/>
                <w:lang w:val="ro-MD"/>
              </w:rPr>
              <w:t>66,</w:t>
            </w:r>
            <w:r w:rsidR="00FA0306" w:rsidRPr="00321F59">
              <w:rPr>
                <w:rFonts w:asciiTheme="majorHAnsi" w:hAnsiTheme="majorHAnsi" w:cstheme="majorHAnsi"/>
                <w:bCs/>
                <w:sz w:val="20"/>
                <w:szCs w:val="20"/>
                <w:lang w:val="ro-MD"/>
              </w:rPr>
              <w:t>61</w:t>
            </w:r>
          </w:p>
        </w:tc>
        <w:tc>
          <w:tcPr>
            <w:tcW w:w="931"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616</w:t>
            </w:r>
          </w:p>
        </w:tc>
        <w:tc>
          <w:tcPr>
            <w:tcW w:w="855"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220</w:t>
            </w:r>
          </w:p>
        </w:tc>
        <w:tc>
          <w:tcPr>
            <w:tcW w:w="954"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396</w:t>
            </w:r>
          </w:p>
        </w:tc>
      </w:tr>
      <w:tr w:rsidR="00CC7E40" w:rsidRPr="0024512C" w:rsidTr="00FA0306">
        <w:tc>
          <w:tcPr>
            <w:tcW w:w="3505" w:type="dxa"/>
          </w:tcPr>
          <w:p w:rsidR="00CC7E40" w:rsidRPr="00321F59" w:rsidRDefault="00CC7E40" w:rsidP="00CC7E40">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Programul de Dezvoltare a Afacerilor Rurale (FIDA III)</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506,49</w:t>
            </w:r>
          </w:p>
        </w:tc>
        <w:tc>
          <w:tcPr>
            <w:tcW w:w="1080" w:type="dxa"/>
          </w:tcPr>
          <w:p w:rsidR="00CC7E40" w:rsidRPr="00321F59" w:rsidRDefault="00897E3F" w:rsidP="00897E3F">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143,</w:t>
            </w:r>
            <w:r w:rsidR="00CC7E40" w:rsidRPr="00321F59">
              <w:rPr>
                <w:rFonts w:asciiTheme="majorHAnsi" w:hAnsiTheme="majorHAnsi" w:cstheme="majorHAnsi"/>
                <w:bCs/>
                <w:sz w:val="20"/>
                <w:szCs w:val="20"/>
                <w:lang w:val="ro-MD"/>
              </w:rPr>
              <w:t>0</w:t>
            </w:r>
            <w:r w:rsidRPr="00321F59">
              <w:rPr>
                <w:rFonts w:asciiTheme="majorHAnsi" w:hAnsiTheme="majorHAnsi" w:cstheme="majorHAnsi"/>
                <w:bCs/>
                <w:sz w:val="20"/>
                <w:szCs w:val="20"/>
                <w:lang w:val="ro-MD"/>
              </w:rPr>
              <w:t>2</w:t>
            </w:r>
          </w:p>
        </w:tc>
        <w:tc>
          <w:tcPr>
            <w:tcW w:w="1080" w:type="dxa"/>
          </w:tcPr>
          <w:p w:rsidR="00CC7E40" w:rsidRPr="00321F59" w:rsidRDefault="00CC7E40" w:rsidP="00897E3F">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3</w:t>
            </w:r>
            <w:r w:rsidR="00897E3F" w:rsidRPr="00321F59">
              <w:rPr>
                <w:rFonts w:asciiTheme="majorHAnsi" w:hAnsiTheme="majorHAnsi" w:cstheme="majorHAnsi"/>
                <w:bCs/>
                <w:sz w:val="20"/>
                <w:szCs w:val="20"/>
                <w:lang w:val="ro-MD"/>
              </w:rPr>
              <w:t>63,</w:t>
            </w:r>
            <w:r w:rsidRPr="00321F59">
              <w:rPr>
                <w:rFonts w:asciiTheme="majorHAnsi" w:hAnsiTheme="majorHAnsi" w:cstheme="majorHAnsi"/>
                <w:bCs/>
                <w:sz w:val="20"/>
                <w:szCs w:val="20"/>
                <w:lang w:val="ro-MD"/>
              </w:rPr>
              <w:t>4</w:t>
            </w:r>
            <w:r w:rsidR="00897E3F" w:rsidRPr="00321F59">
              <w:rPr>
                <w:rFonts w:asciiTheme="majorHAnsi" w:hAnsiTheme="majorHAnsi" w:cstheme="majorHAnsi"/>
                <w:bCs/>
                <w:sz w:val="20"/>
                <w:szCs w:val="20"/>
                <w:lang w:val="ro-MD"/>
              </w:rPr>
              <w:t>7</w:t>
            </w:r>
          </w:p>
        </w:tc>
        <w:tc>
          <w:tcPr>
            <w:tcW w:w="931"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505</w:t>
            </w:r>
          </w:p>
        </w:tc>
        <w:tc>
          <w:tcPr>
            <w:tcW w:w="855"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138</w:t>
            </w:r>
          </w:p>
        </w:tc>
        <w:tc>
          <w:tcPr>
            <w:tcW w:w="954"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367</w:t>
            </w:r>
          </w:p>
        </w:tc>
      </w:tr>
      <w:tr w:rsidR="00CC7E40" w:rsidRPr="0024512C" w:rsidTr="00FA0306">
        <w:tc>
          <w:tcPr>
            <w:tcW w:w="3505" w:type="dxa"/>
          </w:tcPr>
          <w:p w:rsidR="00CC7E40" w:rsidRPr="00321F59" w:rsidRDefault="00CC7E40" w:rsidP="00CC7E40">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Programul de Servicii Financiare Rurale și Marketing (FIDA IV)</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247,01</w:t>
            </w:r>
          </w:p>
        </w:tc>
        <w:tc>
          <w:tcPr>
            <w:tcW w:w="1080" w:type="dxa"/>
          </w:tcPr>
          <w:p w:rsidR="00CC7E40" w:rsidRPr="00321F59" w:rsidRDefault="00897E3F" w:rsidP="00897E3F">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116,</w:t>
            </w:r>
            <w:r w:rsidR="00CC7E40" w:rsidRPr="00321F59">
              <w:rPr>
                <w:rFonts w:asciiTheme="majorHAnsi" w:hAnsiTheme="majorHAnsi" w:cstheme="majorHAnsi"/>
                <w:bCs/>
                <w:sz w:val="20"/>
                <w:szCs w:val="20"/>
                <w:lang w:val="ro-MD"/>
              </w:rPr>
              <w:t>9</w:t>
            </w:r>
            <w:r w:rsidRPr="00321F59">
              <w:rPr>
                <w:rFonts w:asciiTheme="majorHAnsi" w:hAnsiTheme="majorHAnsi" w:cstheme="majorHAnsi"/>
                <w:bCs/>
                <w:sz w:val="20"/>
                <w:szCs w:val="20"/>
                <w:lang w:val="ro-MD"/>
              </w:rPr>
              <w:t>7</w:t>
            </w:r>
          </w:p>
        </w:tc>
        <w:tc>
          <w:tcPr>
            <w:tcW w:w="1080" w:type="dxa"/>
          </w:tcPr>
          <w:p w:rsidR="00CC7E40" w:rsidRPr="00321F59" w:rsidRDefault="00CC7E40" w:rsidP="00897E3F">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1</w:t>
            </w:r>
            <w:r w:rsidR="00897E3F" w:rsidRPr="00321F59">
              <w:rPr>
                <w:rFonts w:asciiTheme="majorHAnsi" w:hAnsiTheme="majorHAnsi" w:cstheme="majorHAnsi"/>
                <w:bCs/>
                <w:sz w:val="20"/>
                <w:szCs w:val="20"/>
                <w:lang w:val="ro-MD"/>
              </w:rPr>
              <w:t>30,</w:t>
            </w:r>
            <w:r w:rsidRPr="00321F59">
              <w:rPr>
                <w:rFonts w:asciiTheme="majorHAnsi" w:hAnsiTheme="majorHAnsi" w:cstheme="majorHAnsi"/>
                <w:bCs/>
                <w:sz w:val="20"/>
                <w:szCs w:val="20"/>
                <w:lang w:val="ro-MD"/>
              </w:rPr>
              <w:t>0</w:t>
            </w:r>
            <w:r w:rsidR="00897E3F" w:rsidRPr="00321F59">
              <w:rPr>
                <w:rFonts w:asciiTheme="majorHAnsi" w:hAnsiTheme="majorHAnsi" w:cstheme="majorHAnsi"/>
                <w:bCs/>
                <w:sz w:val="20"/>
                <w:szCs w:val="20"/>
                <w:lang w:val="ro-MD"/>
              </w:rPr>
              <w:t>4</w:t>
            </w:r>
          </w:p>
        </w:tc>
        <w:tc>
          <w:tcPr>
            <w:tcW w:w="931"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807</w:t>
            </w:r>
          </w:p>
        </w:tc>
        <w:tc>
          <w:tcPr>
            <w:tcW w:w="855"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651</w:t>
            </w:r>
          </w:p>
        </w:tc>
        <w:tc>
          <w:tcPr>
            <w:tcW w:w="954"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156</w:t>
            </w:r>
          </w:p>
        </w:tc>
      </w:tr>
      <w:tr w:rsidR="00CC7E40" w:rsidRPr="0024512C" w:rsidTr="00FA0306">
        <w:tc>
          <w:tcPr>
            <w:tcW w:w="3505" w:type="dxa"/>
          </w:tcPr>
          <w:p w:rsidR="00CC7E40" w:rsidRPr="00321F59" w:rsidRDefault="00CC7E40" w:rsidP="00CC7E40">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Servicii Financiare Rurale și Dezvoltare a Businessului Agricol (FIDA V)</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432,92</w:t>
            </w:r>
          </w:p>
        </w:tc>
        <w:tc>
          <w:tcPr>
            <w:tcW w:w="1080" w:type="dxa"/>
          </w:tcPr>
          <w:p w:rsidR="00CC7E40" w:rsidRPr="00321F59" w:rsidRDefault="00897E3F" w:rsidP="00897E3F">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252,</w:t>
            </w:r>
            <w:r w:rsidR="00CC7E40" w:rsidRPr="00321F59">
              <w:rPr>
                <w:rFonts w:asciiTheme="majorHAnsi" w:hAnsiTheme="majorHAnsi" w:cstheme="majorHAnsi"/>
                <w:bCs/>
                <w:sz w:val="20"/>
                <w:szCs w:val="20"/>
                <w:lang w:val="ro-MD"/>
              </w:rPr>
              <w:t>50</w:t>
            </w:r>
          </w:p>
        </w:tc>
        <w:tc>
          <w:tcPr>
            <w:tcW w:w="1080" w:type="dxa"/>
          </w:tcPr>
          <w:p w:rsidR="00CC7E40" w:rsidRPr="00321F59" w:rsidRDefault="00CC7E40" w:rsidP="00897E3F">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1</w:t>
            </w:r>
            <w:r w:rsidR="00897E3F" w:rsidRPr="00321F59">
              <w:rPr>
                <w:rFonts w:asciiTheme="majorHAnsi" w:hAnsiTheme="majorHAnsi" w:cstheme="majorHAnsi"/>
                <w:bCs/>
                <w:sz w:val="20"/>
                <w:szCs w:val="20"/>
                <w:lang w:val="ro-MD"/>
              </w:rPr>
              <w:t>80,</w:t>
            </w:r>
            <w:r w:rsidRPr="00321F59">
              <w:rPr>
                <w:rFonts w:asciiTheme="majorHAnsi" w:hAnsiTheme="majorHAnsi" w:cstheme="majorHAnsi"/>
                <w:bCs/>
                <w:sz w:val="20"/>
                <w:szCs w:val="20"/>
                <w:lang w:val="ro-MD"/>
              </w:rPr>
              <w:t>4</w:t>
            </w:r>
            <w:r w:rsidR="00897E3F" w:rsidRPr="00321F59">
              <w:rPr>
                <w:rFonts w:asciiTheme="majorHAnsi" w:hAnsiTheme="majorHAnsi" w:cstheme="majorHAnsi"/>
                <w:bCs/>
                <w:sz w:val="20"/>
                <w:szCs w:val="20"/>
                <w:lang w:val="ro-MD"/>
              </w:rPr>
              <w:t>2</w:t>
            </w:r>
          </w:p>
        </w:tc>
        <w:tc>
          <w:tcPr>
            <w:tcW w:w="931"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972</w:t>
            </w:r>
          </w:p>
        </w:tc>
        <w:tc>
          <w:tcPr>
            <w:tcW w:w="855"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731</w:t>
            </w:r>
          </w:p>
        </w:tc>
        <w:tc>
          <w:tcPr>
            <w:tcW w:w="954"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241</w:t>
            </w:r>
          </w:p>
        </w:tc>
      </w:tr>
      <w:tr w:rsidR="00CC7E40" w:rsidRPr="0024512C" w:rsidTr="00FA0306">
        <w:tc>
          <w:tcPr>
            <w:tcW w:w="3505" w:type="dxa"/>
          </w:tcPr>
          <w:p w:rsidR="00CC7E40" w:rsidRPr="00321F59" w:rsidRDefault="00CC7E40" w:rsidP="00CC7E40">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Servicii Financiare Rurale și Dezvoltarea Agriculturii (FIDA VI)</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293,62</w:t>
            </w:r>
          </w:p>
        </w:tc>
        <w:tc>
          <w:tcPr>
            <w:tcW w:w="1080" w:type="dxa"/>
          </w:tcPr>
          <w:p w:rsidR="00CC7E40" w:rsidRPr="00321F59" w:rsidRDefault="00897E3F" w:rsidP="00897E3F">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205,</w:t>
            </w:r>
            <w:r w:rsidR="00CC7E40" w:rsidRPr="00321F59">
              <w:rPr>
                <w:rFonts w:asciiTheme="majorHAnsi" w:hAnsiTheme="majorHAnsi" w:cstheme="majorHAnsi"/>
                <w:bCs/>
                <w:sz w:val="20"/>
                <w:szCs w:val="20"/>
                <w:lang w:val="ro-MD"/>
              </w:rPr>
              <w:t>70</w:t>
            </w:r>
          </w:p>
        </w:tc>
        <w:tc>
          <w:tcPr>
            <w:tcW w:w="1080" w:type="dxa"/>
          </w:tcPr>
          <w:p w:rsidR="00CC7E40" w:rsidRPr="00321F59" w:rsidRDefault="00CC7E40" w:rsidP="00897E3F">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8</w:t>
            </w:r>
            <w:r w:rsidR="00897E3F" w:rsidRPr="00321F59">
              <w:rPr>
                <w:rFonts w:asciiTheme="majorHAnsi" w:hAnsiTheme="majorHAnsi" w:cstheme="majorHAnsi"/>
                <w:bCs/>
                <w:sz w:val="20"/>
                <w:szCs w:val="20"/>
                <w:lang w:val="ro-MD"/>
              </w:rPr>
              <w:t>7,</w:t>
            </w:r>
            <w:r w:rsidRPr="00321F59">
              <w:rPr>
                <w:rFonts w:asciiTheme="majorHAnsi" w:hAnsiTheme="majorHAnsi" w:cstheme="majorHAnsi"/>
                <w:bCs/>
                <w:sz w:val="20"/>
                <w:szCs w:val="20"/>
                <w:lang w:val="ro-MD"/>
              </w:rPr>
              <w:t>9</w:t>
            </w:r>
            <w:r w:rsidR="00897E3F" w:rsidRPr="00321F59">
              <w:rPr>
                <w:rFonts w:asciiTheme="majorHAnsi" w:hAnsiTheme="majorHAnsi" w:cstheme="majorHAnsi"/>
                <w:bCs/>
                <w:sz w:val="20"/>
                <w:szCs w:val="20"/>
                <w:lang w:val="ro-MD"/>
              </w:rPr>
              <w:t>2</w:t>
            </w:r>
          </w:p>
        </w:tc>
        <w:tc>
          <w:tcPr>
            <w:tcW w:w="931"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576</w:t>
            </w:r>
          </w:p>
        </w:tc>
        <w:tc>
          <w:tcPr>
            <w:tcW w:w="855"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316</w:t>
            </w:r>
          </w:p>
        </w:tc>
        <w:tc>
          <w:tcPr>
            <w:tcW w:w="954"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260</w:t>
            </w:r>
          </w:p>
        </w:tc>
      </w:tr>
      <w:tr w:rsidR="00CC7E40" w:rsidRPr="0024512C" w:rsidTr="00FA0306">
        <w:tc>
          <w:tcPr>
            <w:tcW w:w="3505" w:type="dxa"/>
          </w:tcPr>
          <w:p w:rsidR="00CC7E40" w:rsidRPr="00321F59" w:rsidRDefault="00CC7E40" w:rsidP="00CC7E40">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Reziliență Rurală (FIDA VII)</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47,89</w:t>
            </w:r>
          </w:p>
        </w:tc>
        <w:tc>
          <w:tcPr>
            <w:tcW w:w="1080" w:type="dxa"/>
          </w:tcPr>
          <w:p w:rsidR="00CC7E40" w:rsidRPr="00321F59" w:rsidRDefault="00897E3F" w:rsidP="00897E3F">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47,</w:t>
            </w:r>
            <w:r w:rsidR="00CC7E40" w:rsidRPr="00321F59">
              <w:rPr>
                <w:rFonts w:asciiTheme="majorHAnsi" w:hAnsiTheme="majorHAnsi" w:cstheme="majorHAnsi"/>
                <w:bCs/>
                <w:sz w:val="20"/>
                <w:szCs w:val="20"/>
                <w:lang w:val="ro-MD"/>
              </w:rPr>
              <w:t>89</w:t>
            </w:r>
          </w:p>
        </w:tc>
        <w:tc>
          <w:tcPr>
            <w:tcW w:w="1080"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c>
          <w:tcPr>
            <w:tcW w:w="931"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28</w:t>
            </w:r>
          </w:p>
        </w:tc>
        <w:tc>
          <w:tcPr>
            <w:tcW w:w="855"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28</w:t>
            </w:r>
          </w:p>
        </w:tc>
        <w:tc>
          <w:tcPr>
            <w:tcW w:w="954"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r>
      <w:tr w:rsidR="00CC7E40" w:rsidRPr="0024512C" w:rsidTr="00FA0306">
        <w:tc>
          <w:tcPr>
            <w:tcW w:w="3505" w:type="dxa"/>
          </w:tcPr>
          <w:p w:rsidR="00CC7E40" w:rsidRPr="00321F59" w:rsidRDefault="00CC7E40" w:rsidP="00CC7E40">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de Finanțare Rurală (PFR)</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82,09</w:t>
            </w:r>
          </w:p>
        </w:tc>
        <w:tc>
          <w:tcPr>
            <w:tcW w:w="1080" w:type="dxa"/>
          </w:tcPr>
          <w:p w:rsidR="00CC7E40" w:rsidRPr="00321F59" w:rsidRDefault="00897E3F" w:rsidP="00897E3F">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53,</w:t>
            </w:r>
            <w:r w:rsidR="00CC7E40" w:rsidRPr="00321F59">
              <w:rPr>
                <w:rFonts w:asciiTheme="majorHAnsi" w:hAnsiTheme="majorHAnsi" w:cstheme="majorHAnsi"/>
                <w:bCs/>
                <w:sz w:val="20"/>
                <w:szCs w:val="20"/>
                <w:lang w:val="ro-MD"/>
              </w:rPr>
              <w:t>2</w:t>
            </w:r>
            <w:r w:rsidRPr="00321F59">
              <w:rPr>
                <w:rFonts w:asciiTheme="majorHAnsi" w:hAnsiTheme="majorHAnsi" w:cstheme="majorHAnsi"/>
                <w:bCs/>
                <w:sz w:val="20"/>
                <w:szCs w:val="20"/>
                <w:lang w:val="ro-MD"/>
              </w:rPr>
              <w:t>8</w:t>
            </w:r>
          </w:p>
        </w:tc>
        <w:tc>
          <w:tcPr>
            <w:tcW w:w="1080" w:type="dxa"/>
          </w:tcPr>
          <w:p w:rsidR="00CC7E40" w:rsidRPr="00321F59" w:rsidRDefault="00CC7E40" w:rsidP="00897E3F">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2</w:t>
            </w:r>
            <w:r w:rsidR="00897E3F" w:rsidRPr="00321F59">
              <w:rPr>
                <w:rFonts w:asciiTheme="majorHAnsi" w:hAnsiTheme="majorHAnsi" w:cstheme="majorHAnsi"/>
                <w:bCs/>
                <w:sz w:val="20"/>
                <w:szCs w:val="20"/>
                <w:lang w:val="ro-MD"/>
              </w:rPr>
              <w:t>8,</w:t>
            </w:r>
            <w:r w:rsidRPr="00321F59">
              <w:rPr>
                <w:rFonts w:asciiTheme="majorHAnsi" w:hAnsiTheme="majorHAnsi" w:cstheme="majorHAnsi"/>
                <w:bCs/>
                <w:sz w:val="20"/>
                <w:szCs w:val="20"/>
                <w:lang w:val="ro-MD"/>
              </w:rPr>
              <w:t>8</w:t>
            </w:r>
            <w:r w:rsidR="00897E3F" w:rsidRPr="00321F59">
              <w:rPr>
                <w:rFonts w:asciiTheme="majorHAnsi" w:hAnsiTheme="majorHAnsi" w:cstheme="majorHAnsi"/>
                <w:bCs/>
                <w:sz w:val="20"/>
                <w:szCs w:val="20"/>
                <w:lang w:val="ro-MD"/>
              </w:rPr>
              <w:t>1</w:t>
            </w:r>
          </w:p>
        </w:tc>
        <w:tc>
          <w:tcPr>
            <w:tcW w:w="931"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714</w:t>
            </w:r>
          </w:p>
        </w:tc>
        <w:tc>
          <w:tcPr>
            <w:tcW w:w="855"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601</w:t>
            </w:r>
          </w:p>
        </w:tc>
        <w:tc>
          <w:tcPr>
            <w:tcW w:w="954"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113</w:t>
            </w:r>
          </w:p>
        </w:tc>
      </w:tr>
      <w:tr w:rsidR="00CC7E40" w:rsidRPr="0024512C" w:rsidTr="00FA0306">
        <w:tc>
          <w:tcPr>
            <w:tcW w:w="3505" w:type="dxa"/>
          </w:tcPr>
          <w:p w:rsidR="00CC7E40" w:rsidRPr="00321F59" w:rsidRDefault="00CC7E40" w:rsidP="00CC7E40">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 xml:space="preserve">Împrumutul </w:t>
            </w:r>
            <w:proofErr w:type="spellStart"/>
            <w:r w:rsidRPr="00321F59">
              <w:rPr>
                <w:rFonts w:asciiTheme="majorHAnsi" w:hAnsiTheme="majorHAnsi" w:cstheme="majorHAnsi"/>
                <w:sz w:val="20"/>
                <w:szCs w:val="20"/>
                <w:lang w:val="ro-MD"/>
                <w14:glow w14:rad="0">
                  <w14:schemeClr w14:val="tx1"/>
                </w14:glow>
              </w:rPr>
              <w:t>Kreditanstalt</w:t>
            </w:r>
            <w:proofErr w:type="spellEnd"/>
            <w:r w:rsidRPr="00321F59">
              <w:rPr>
                <w:rFonts w:asciiTheme="majorHAnsi" w:hAnsiTheme="majorHAnsi" w:cstheme="majorHAnsi"/>
                <w:sz w:val="20"/>
                <w:szCs w:val="20"/>
                <w:lang w:val="ro-MD"/>
                <w14:glow w14:rad="0">
                  <w14:schemeClr w14:val="tx1"/>
                </w14:glow>
              </w:rPr>
              <w:t xml:space="preserve"> fur </w:t>
            </w:r>
            <w:proofErr w:type="spellStart"/>
            <w:r w:rsidRPr="00321F59">
              <w:rPr>
                <w:rFonts w:asciiTheme="majorHAnsi" w:hAnsiTheme="majorHAnsi" w:cstheme="majorHAnsi"/>
                <w:sz w:val="20"/>
                <w:szCs w:val="20"/>
                <w:lang w:val="ro-MD"/>
                <w14:glow w14:rad="0">
                  <w14:schemeClr w14:val="tx1"/>
                </w14:glow>
              </w:rPr>
              <w:t>Wiederaufbau</w:t>
            </w:r>
            <w:proofErr w:type="spellEnd"/>
            <w:r w:rsidRPr="00321F59">
              <w:rPr>
                <w:rFonts w:asciiTheme="majorHAnsi" w:hAnsiTheme="majorHAnsi" w:cstheme="majorHAnsi"/>
                <w:sz w:val="20"/>
                <w:szCs w:val="20"/>
                <w:lang w:val="ro-MD"/>
                <w14:glow w14:rad="0">
                  <w14:schemeClr w14:val="tx1"/>
                </w14:glow>
              </w:rPr>
              <w:t xml:space="preserve"> (</w:t>
            </w:r>
            <w:proofErr w:type="spellStart"/>
            <w:r w:rsidRPr="00321F59">
              <w:rPr>
                <w:rFonts w:asciiTheme="majorHAnsi" w:hAnsiTheme="majorHAnsi" w:cstheme="majorHAnsi"/>
                <w:sz w:val="20"/>
                <w:szCs w:val="20"/>
                <w:lang w:val="ro-MD"/>
                <w14:glow w14:rad="0">
                  <w14:schemeClr w14:val="tx1"/>
                </w14:glow>
              </w:rPr>
              <w:t>KfW</w:t>
            </w:r>
            <w:proofErr w:type="spellEnd"/>
            <w:r w:rsidRPr="00321F59">
              <w:rPr>
                <w:rFonts w:asciiTheme="majorHAnsi" w:hAnsiTheme="majorHAnsi" w:cstheme="majorHAnsi"/>
                <w:sz w:val="20"/>
                <w:szCs w:val="20"/>
                <w:lang w:val="ro-MD"/>
                <w14:glow w14:rad="0">
                  <w14:schemeClr w14:val="tx1"/>
                </w14:glow>
              </w:rPr>
              <w:t>)</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299,39</w:t>
            </w:r>
          </w:p>
        </w:tc>
        <w:tc>
          <w:tcPr>
            <w:tcW w:w="1080"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c>
          <w:tcPr>
            <w:tcW w:w="1080" w:type="dxa"/>
          </w:tcPr>
          <w:p w:rsidR="00CC7E40" w:rsidRPr="00321F59" w:rsidRDefault="00897E3F" w:rsidP="00897E3F">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299,</w:t>
            </w:r>
            <w:r w:rsidR="00CC7E40" w:rsidRPr="00321F59">
              <w:rPr>
                <w:rFonts w:asciiTheme="majorHAnsi" w:hAnsiTheme="majorHAnsi" w:cstheme="majorHAnsi"/>
                <w:bCs/>
                <w:sz w:val="20"/>
                <w:szCs w:val="20"/>
                <w:lang w:val="ro-MD"/>
              </w:rPr>
              <w:t>39</w:t>
            </w:r>
          </w:p>
        </w:tc>
        <w:tc>
          <w:tcPr>
            <w:tcW w:w="931"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228</w:t>
            </w:r>
          </w:p>
        </w:tc>
        <w:tc>
          <w:tcPr>
            <w:tcW w:w="855"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c>
          <w:tcPr>
            <w:tcW w:w="954"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228</w:t>
            </w:r>
          </w:p>
        </w:tc>
      </w:tr>
      <w:tr w:rsidR="00CC7E40" w:rsidRPr="0024512C" w:rsidTr="00FA0306">
        <w:tc>
          <w:tcPr>
            <w:tcW w:w="3505" w:type="dxa"/>
          </w:tcPr>
          <w:p w:rsidR="00CC7E40" w:rsidRPr="00321F59" w:rsidRDefault="00CC7E40" w:rsidP="00CC7E40">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Programul Național de Abilitare Economică a Tinerilor (PNAET)</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532,37</w:t>
            </w:r>
          </w:p>
        </w:tc>
        <w:tc>
          <w:tcPr>
            <w:tcW w:w="1080"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c>
          <w:tcPr>
            <w:tcW w:w="1080" w:type="dxa"/>
          </w:tcPr>
          <w:p w:rsidR="00CC7E40" w:rsidRPr="00321F59" w:rsidRDefault="00897E3F" w:rsidP="00897E3F">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532,</w:t>
            </w:r>
            <w:r w:rsidR="00CC7E40" w:rsidRPr="00321F59">
              <w:rPr>
                <w:rFonts w:asciiTheme="majorHAnsi" w:hAnsiTheme="majorHAnsi" w:cstheme="majorHAnsi"/>
                <w:bCs/>
                <w:sz w:val="20"/>
                <w:szCs w:val="20"/>
                <w:lang w:val="ro-MD"/>
              </w:rPr>
              <w:t>37</w:t>
            </w:r>
          </w:p>
        </w:tc>
        <w:tc>
          <w:tcPr>
            <w:tcW w:w="931"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1851</w:t>
            </w:r>
          </w:p>
        </w:tc>
        <w:tc>
          <w:tcPr>
            <w:tcW w:w="855"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c>
          <w:tcPr>
            <w:tcW w:w="954"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1851</w:t>
            </w:r>
          </w:p>
        </w:tc>
      </w:tr>
      <w:tr w:rsidR="00CC7E40" w:rsidRPr="0024512C" w:rsidTr="00FA0306">
        <w:tc>
          <w:tcPr>
            <w:tcW w:w="3505" w:type="dxa"/>
          </w:tcPr>
          <w:p w:rsidR="00CC7E40" w:rsidRPr="00321F59" w:rsidRDefault="00CC7E40" w:rsidP="00CC7E40">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 xml:space="preserve">Proiectul Abilitatea </w:t>
            </w:r>
            <w:proofErr w:type="spellStart"/>
            <w:r w:rsidRPr="00321F59">
              <w:rPr>
                <w:rFonts w:asciiTheme="majorHAnsi" w:hAnsiTheme="majorHAnsi" w:cstheme="majorHAnsi"/>
                <w:sz w:val="20"/>
                <w:szCs w:val="20"/>
                <w:lang w:val="ro-MD"/>
                <w14:glow w14:rad="0">
                  <w14:schemeClr w14:val="tx1"/>
                </w14:glow>
              </w:rPr>
              <w:t>Socio</w:t>
            </w:r>
            <w:proofErr w:type="spellEnd"/>
            <w:r w:rsidRPr="00321F59">
              <w:rPr>
                <w:rFonts w:asciiTheme="majorHAnsi" w:hAnsiTheme="majorHAnsi" w:cstheme="majorHAnsi"/>
                <w:sz w:val="20"/>
                <w:szCs w:val="20"/>
                <w:lang w:val="ro-MD"/>
                <w14:glow w14:rad="0">
                  <w14:schemeClr w14:val="tx1"/>
                </w14:glow>
              </w:rPr>
              <w:t>-Economică a Tineretului (PASET)</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6,56</w:t>
            </w:r>
          </w:p>
        </w:tc>
        <w:tc>
          <w:tcPr>
            <w:tcW w:w="1080"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c>
          <w:tcPr>
            <w:tcW w:w="1080" w:type="dxa"/>
          </w:tcPr>
          <w:p w:rsidR="00CC7E40" w:rsidRPr="00321F59" w:rsidRDefault="00897E3F" w:rsidP="00897E3F">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6,</w:t>
            </w:r>
            <w:r w:rsidR="00CC7E40" w:rsidRPr="00321F59">
              <w:rPr>
                <w:rFonts w:asciiTheme="majorHAnsi" w:hAnsiTheme="majorHAnsi" w:cstheme="majorHAnsi"/>
                <w:bCs/>
                <w:sz w:val="20"/>
                <w:szCs w:val="20"/>
                <w:lang w:val="ro-MD"/>
              </w:rPr>
              <w:t>56</w:t>
            </w:r>
          </w:p>
        </w:tc>
        <w:tc>
          <w:tcPr>
            <w:tcW w:w="931"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70</w:t>
            </w:r>
          </w:p>
        </w:tc>
        <w:tc>
          <w:tcPr>
            <w:tcW w:w="855"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c>
          <w:tcPr>
            <w:tcW w:w="954"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70</w:t>
            </w:r>
          </w:p>
        </w:tc>
      </w:tr>
      <w:tr w:rsidR="00CC7E40" w:rsidRPr="0024512C" w:rsidTr="00FA0306">
        <w:tc>
          <w:tcPr>
            <w:tcW w:w="3505" w:type="dxa"/>
          </w:tcPr>
          <w:p w:rsidR="00CC7E40" w:rsidRPr="00321F59" w:rsidRDefault="00CC7E40" w:rsidP="00CC7E40">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Creditul Polonez</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8,39</w:t>
            </w:r>
          </w:p>
        </w:tc>
        <w:tc>
          <w:tcPr>
            <w:tcW w:w="1080" w:type="dxa"/>
          </w:tcPr>
          <w:p w:rsidR="00CC7E40" w:rsidRPr="00321F59" w:rsidRDefault="00897E3F" w:rsidP="00897E3F">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8,</w:t>
            </w:r>
            <w:r w:rsidR="00CC7E40" w:rsidRPr="00321F59">
              <w:rPr>
                <w:rFonts w:asciiTheme="majorHAnsi" w:hAnsiTheme="majorHAnsi" w:cstheme="majorHAnsi"/>
                <w:bCs/>
                <w:sz w:val="20"/>
                <w:szCs w:val="20"/>
                <w:lang w:val="ro-MD"/>
              </w:rPr>
              <w:t>3</w:t>
            </w:r>
            <w:r w:rsidRPr="00321F59">
              <w:rPr>
                <w:rFonts w:asciiTheme="majorHAnsi" w:hAnsiTheme="majorHAnsi" w:cstheme="majorHAnsi"/>
                <w:bCs/>
                <w:sz w:val="20"/>
                <w:szCs w:val="20"/>
                <w:lang w:val="ro-MD"/>
              </w:rPr>
              <w:t>9</w:t>
            </w:r>
          </w:p>
        </w:tc>
        <w:tc>
          <w:tcPr>
            <w:tcW w:w="1080"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c>
          <w:tcPr>
            <w:tcW w:w="931"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w:t>
            </w:r>
          </w:p>
        </w:tc>
        <w:tc>
          <w:tcPr>
            <w:tcW w:w="855"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w:t>
            </w:r>
          </w:p>
        </w:tc>
        <w:tc>
          <w:tcPr>
            <w:tcW w:w="954"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r>
      <w:tr w:rsidR="00CC7E40" w:rsidRPr="0024512C" w:rsidTr="00FA0306">
        <w:tc>
          <w:tcPr>
            <w:tcW w:w="3505" w:type="dxa"/>
          </w:tcPr>
          <w:p w:rsidR="00CC7E40" w:rsidRPr="00321F59" w:rsidRDefault="00CC7E40" w:rsidP="00CC7E40">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Filiera Vinului</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849,96</w:t>
            </w:r>
          </w:p>
        </w:tc>
        <w:tc>
          <w:tcPr>
            <w:tcW w:w="1080" w:type="dxa"/>
          </w:tcPr>
          <w:p w:rsidR="00CC7E40" w:rsidRPr="00321F59" w:rsidRDefault="00897E3F" w:rsidP="00897E3F">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619,</w:t>
            </w:r>
            <w:r w:rsidR="00CC7E40" w:rsidRPr="00321F59">
              <w:rPr>
                <w:rFonts w:asciiTheme="majorHAnsi" w:hAnsiTheme="majorHAnsi" w:cstheme="majorHAnsi"/>
                <w:bCs/>
                <w:sz w:val="20"/>
                <w:szCs w:val="20"/>
                <w:lang w:val="ro-MD"/>
              </w:rPr>
              <w:t>8</w:t>
            </w:r>
            <w:r w:rsidRPr="00321F59">
              <w:rPr>
                <w:rFonts w:asciiTheme="majorHAnsi" w:hAnsiTheme="majorHAnsi" w:cstheme="majorHAnsi"/>
                <w:bCs/>
                <w:sz w:val="20"/>
                <w:szCs w:val="20"/>
                <w:lang w:val="ro-MD"/>
              </w:rPr>
              <w:t>8</w:t>
            </w:r>
          </w:p>
        </w:tc>
        <w:tc>
          <w:tcPr>
            <w:tcW w:w="1080" w:type="dxa"/>
          </w:tcPr>
          <w:p w:rsidR="00CC7E40" w:rsidRPr="00321F59" w:rsidRDefault="00CC7E40" w:rsidP="00897E3F">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2</w:t>
            </w:r>
            <w:r w:rsidR="00897E3F" w:rsidRPr="00321F59">
              <w:rPr>
                <w:rFonts w:asciiTheme="majorHAnsi" w:hAnsiTheme="majorHAnsi" w:cstheme="majorHAnsi"/>
                <w:bCs/>
                <w:sz w:val="20"/>
                <w:szCs w:val="20"/>
                <w:lang w:val="ro-MD"/>
              </w:rPr>
              <w:t>30,</w:t>
            </w:r>
            <w:r w:rsidRPr="00321F59">
              <w:rPr>
                <w:rFonts w:asciiTheme="majorHAnsi" w:hAnsiTheme="majorHAnsi" w:cstheme="majorHAnsi"/>
                <w:bCs/>
                <w:sz w:val="20"/>
                <w:szCs w:val="20"/>
                <w:lang w:val="ro-MD"/>
              </w:rPr>
              <w:t>0</w:t>
            </w:r>
            <w:r w:rsidR="00897E3F" w:rsidRPr="00321F59">
              <w:rPr>
                <w:rFonts w:asciiTheme="majorHAnsi" w:hAnsiTheme="majorHAnsi" w:cstheme="majorHAnsi"/>
                <w:bCs/>
                <w:sz w:val="20"/>
                <w:szCs w:val="20"/>
                <w:lang w:val="ro-MD"/>
              </w:rPr>
              <w:t>8</w:t>
            </w:r>
          </w:p>
        </w:tc>
        <w:tc>
          <w:tcPr>
            <w:tcW w:w="931"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132</w:t>
            </w:r>
          </w:p>
        </w:tc>
        <w:tc>
          <w:tcPr>
            <w:tcW w:w="855"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46</w:t>
            </w:r>
          </w:p>
        </w:tc>
        <w:tc>
          <w:tcPr>
            <w:tcW w:w="954"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86</w:t>
            </w:r>
          </w:p>
        </w:tc>
      </w:tr>
      <w:tr w:rsidR="00CC7E40" w:rsidRPr="0024512C" w:rsidTr="00FA0306">
        <w:tc>
          <w:tcPr>
            <w:tcW w:w="3505" w:type="dxa"/>
          </w:tcPr>
          <w:p w:rsidR="00CC7E40" w:rsidRPr="00321F59" w:rsidRDefault="00CC7E40" w:rsidP="00CC7E40">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Filiera Vinului-Struguri</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133,5</w:t>
            </w:r>
          </w:p>
        </w:tc>
        <w:tc>
          <w:tcPr>
            <w:tcW w:w="1080" w:type="dxa"/>
          </w:tcPr>
          <w:p w:rsidR="00CC7E40" w:rsidRPr="00321F59" w:rsidRDefault="00897E3F" w:rsidP="00897E3F">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133,5</w:t>
            </w:r>
          </w:p>
        </w:tc>
        <w:tc>
          <w:tcPr>
            <w:tcW w:w="1080"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c>
          <w:tcPr>
            <w:tcW w:w="931"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19</w:t>
            </w:r>
          </w:p>
        </w:tc>
        <w:tc>
          <w:tcPr>
            <w:tcW w:w="855"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19</w:t>
            </w:r>
          </w:p>
        </w:tc>
        <w:tc>
          <w:tcPr>
            <w:tcW w:w="954"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r>
      <w:tr w:rsidR="00CC7E40" w:rsidRPr="0024512C" w:rsidTr="00FA0306">
        <w:tc>
          <w:tcPr>
            <w:tcW w:w="3505" w:type="dxa"/>
          </w:tcPr>
          <w:p w:rsidR="00CC7E40" w:rsidRPr="00321F59" w:rsidRDefault="00CC7E40" w:rsidP="00CC7E40">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Filiera Vinului-Leasing</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23,81</w:t>
            </w:r>
          </w:p>
        </w:tc>
        <w:tc>
          <w:tcPr>
            <w:tcW w:w="1080" w:type="dxa"/>
          </w:tcPr>
          <w:p w:rsidR="00CC7E40" w:rsidRPr="00321F59" w:rsidRDefault="00897E3F" w:rsidP="00897E3F">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23,</w:t>
            </w:r>
            <w:r w:rsidR="00CC7E40" w:rsidRPr="00321F59">
              <w:rPr>
                <w:rFonts w:asciiTheme="majorHAnsi" w:hAnsiTheme="majorHAnsi" w:cstheme="majorHAnsi"/>
                <w:bCs/>
                <w:sz w:val="20"/>
                <w:szCs w:val="20"/>
                <w:lang w:val="ro-MD"/>
              </w:rPr>
              <w:t>8</w:t>
            </w:r>
            <w:r w:rsidRPr="00321F59">
              <w:rPr>
                <w:rFonts w:asciiTheme="majorHAnsi" w:hAnsiTheme="majorHAnsi" w:cstheme="majorHAnsi"/>
                <w:bCs/>
                <w:sz w:val="20"/>
                <w:szCs w:val="20"/>
                <w:lang w:val="ro-MD"/>
              </w:rPr>
              <w:t>1</w:t>
            </w:r>
          </w:p>
        </w:tc>
        <w:tc>
          <w:tcPr>
            <w:tcW w:w="1080"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c>
          <w:tcPr>
            <w:tcW w:w="931"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5</w:t>
            </w:r>
          </w:p>
        </w:tc>
        <w:tc>
          <w:tcPr>
            <w:tcW w:w="855"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5</w:t>
            </w:r>
          </w:p>
        </w:tc>
        <w:tc>
          <w:tcPr>
            <w:tcW w:w="954"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r>
      <w:tr w:rsidR="00CC7E40" w:rsidRPr="0024512C" w:rsidTr="00FA0306">
        <w:tc>
          <w:tcPr>
            <w:tcW w:w="3505" w:type="dxa"/>
          </w:tcPr>
          <w:p w:rsidR="00CC7E40" w:rsidRPr="00321F59" w:rsidRDefault="00CC7E40" w:rsidP="00CC7E40">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Livada Moldovei</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318,50</w:t>
            </w:r>
          </w:p>
        </w:tc>
        <w:tc>
          <w:tcPr>
            <w:tcW w:w="1080" w:type="dxa"/>
          </w:tcPr>
          <w:p w:rsidR="00CC7E40" w:rsidRPr="00321F59" w:rsidRDefault="00897E3F" w:rsidP="00897E3F">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318,</w:t>
            </w:r>
            <w:r w:rsidR="00CC7E40" w:rsidRPr="00321F59">
              <w:rPr>
                <w:rFonts w:asciiTheme="majorHAnsi" w:hAnsiTheme="majorHAnsi" w:cstheme="majorHAnsi"/>
                <w:bCs/>
                <w:sz w:val="20"/>
                <w:szCs w:val="20"/>
                <w:lang w:val="ro-MD"/>
              </w:rPr>
              <w:t>50</w:t>
            </w:r>
          </w:p>
        </w:tc>
        <w:tc>
          <w:tcPr>
            <w:tcW w:w="1080"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c>
          <w:tcPr>
            <w:tcW w:w="931"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84</w:t>
            </w:r>
          </w:p>
        </w:tc>
        <w:tc>
          <w:tcPr>
            <w:tcW w:w="855"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84</w:t>
            </w:r>
          </w:p>
        </w:tc>
        <w:tc>
          <w:tcPr>
            <w:tcW w:w="954"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r>
      <w:tr w:rsidR="00CC7E40" w:rsidRPr="0024512C" w:rsidTr="00FA0306">
        <w:tc>
          <w:tcPr>
            <w:tcW w:w="3505" w:type="dxa"/>
          </w:tcPr>
          <w:p w:rsidR="00CC7E40" w:rsidRPr="00321F59" w:rsidRDefault="00CC7E40" w:rsidP="00CC7E40">
            <w:pPr>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Proiectul Livada Moldovei -Leasing</w:t>
            </w:r>
          </w:p>
        </w:tc>
        <w:tc>
          <w:tcPr>
            <w:tcW w:w="1080" w:type="dxa"/>
          </w:tcPr>
          <w:p w:rsidR="00CC7E40" w:rsidRPr="00321F59" w:rsidRDefault="00CC7E40" w:rsidP="00CC7E40">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22,16</w:t>
            </w:r>
          </w:p>
        </w:tc>
        <w:tc>
          <w:tcPr>
            <w:tcW w:w="1080" w:type="dxa"/>
          </w:tcPr>
          <w:p w:rsidR="00CC7E40" w:rsidRPr="00321F59" w:rsidRDefault="00897E3F" w:rsidP="00897E3F">
            <w:pPr>
              <w:jc w:val="center"/>
              <w:rPr>
                <w:rFonts w:asciiTheme="majorHAnsi" w:hAnsiTheme="majorHAnsi" w:cstheme="majorHAnsi"/>
                <w:bCs/>
                <w:sz w:val="20"/>
                <w:szCs w:val="20"/>
                <w:lang w:val="ro-MD"/>
              </w:rPr>
            </w:pPr>
            <w:r w:rsidRPr="00321F59">
              <w:rPr>
                <w:rFonts w:asciiTheme="majorHAnsi" w:hAnsiTheme="majorHAnsi" w:cstheme="majorHAnsi"/>
                <w:bCs/>
                <w:sz w:val="20"/>
                <w:szCs w:val="20"/>
                <w:lang w:val="ro-MD"/>
              </w:rPr>
              <w:t>22,</w:t>
            </w:r>
            <w:r w:rsidR="00CC7E40" w:rsidRPr="00321F59">
              <w:rPr>
                <w:rFonts w:asciiTheme="majorHAnsi" w:hAnsiTheme="majorHAnsi" w:cstheme="majorHAnsi"/>
                <w:bCs/>
                <w:sz w:val="20"/>
                <w:szCs w:val="20"/>
                <w:lang w:val="ro-MD"/>
              </w:rPr>
              <w:t>1</w:t>
            </w:r>
            <w:r w:rsidRPr="00321F59">
              <w:rPr>
                <w:rFonts w:asciiTheme="majorHAnsi" w:hAnsiTheme="majorHAnsi" w:cstheme="majorHAnsi"/>
                <w:bCs/>
                <w:sz w:val="20"/>
                <w:szCs w:val="20"/>
                <w:lang w:val="ro-MD"/>
              </w:rPr>
              <w:t>6</w:t>
            </w:r>
          </w:p>
        </w:tc>
        <w:tc>
          <w:tcPr>
            <w:tcW w:w="1080"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c>
          <w:tcPr>
            <w:tcW w:w="931"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w:t>
            </w:r>
          </w:p>
        </w:tc>
        <w:tc>
          <w:tcPr>
            <w:tcW w:w="855"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w:t>
            </w:r>
          </w:p>
        </w:tc>
        <w:tc>
          <w:tcPr>
            <w:tcW w:w="954" w:type="dxa"/>
          </w:tcPr>
          <w:p w:rsidR="00CC7E40" w:rsidRPr="00321F59" w:rsidRDefault="00CC7E40" w:rsidP="00CC7E40">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r>
      <w:tr w:rsidR="00CC7E40" w:rsidRPr="0024512C" w:rsidTr="00FA0306">
        <w:tc>
          <w:tcPr>
            <w:tcW w:w="3505" w:type="dxa"/>
          </w:tcPr>
          <w:p w:rsidR="00CC7E40" w:rsidRPr="00321F59" w:rsidRDefault="00CC7E40" w:rsidP="00CC7E40">
            <w:pPr>
              <w:spacing w:line="276" w:lineRule="auto"/>
              <w:jc w:val="both"/>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Total</w:t>
            </w:r>
          </w:p>
        </w:tc>
        <w:tc>
          <w:tcPr>
            <w:tcW w:w="1080" w:type="dxa"/>
          </w:tcPr>
          <w:p w:rsidR="00CC7E40" w:rsidRPr="00321F59" w:rsidRDefault="00CC7E40" w:rsidP="00CC7E40">
            <w:pPr>
              <w:jc w:val="center"/>
              <w:rPr>
                <w:rFonts w:asciiTheme="majorHAnsi" w:hAnsiTheme="majorHAnsi" w:cstheme="majorHAnsi"/>
                <w:b/>
                <w:bCs/>
                <w:color w:val="000000"/>
                <w:sz w:val="20"/>
                <w:szCs w:val="20"/>
                <w:lang w:val="ro-MD"/>
              </w:rPr>
            </w:pPr>
            <w:r w:rsidRPr="00321F59">
              <w:rPr>
                <w:rFonts w:asciiTheme="majorHAnsi" w:hAnsiTheme="majorHAnsi" w:cstheme="majorHAnsi"/>
                <w:b/>
                <w:bCs/>
                <w:color w:val="000000"/>
                <w:sz w:val="20"/>
                <w:szCs w:val="20"/>
                <w:lang w:val="ro-MD"/>
              </w:rPr>
              <w:t>10 045,58</w:t>
            </w:r>
          </w:p>
        </w:tc>
        <w:tc>
          <w:tcPr>
            <w:tcW w:w="1080" w:type="dxa"/>
          </w:tcPr>
          <w:p w:rsidR="00CC7E40" w:rsidRPr="00321F59" w:rsidRDefault="00FA0306" w:rsidP="00FA0306">
            <w:pPr>
              <w:jc w:val="center"/>
              <w:rPr>
                <w:rFonts w:asciiTheme="majorHAnsi" w:hAnsiTheme="majorHAnsi" w:cstheme="majorHAnsi"/>
                <w:b/>
                <w:bCs/>
                <w:color w:val="000000"/>
                <w:sz w:val="20"/>
                <w:szCs w:val="20"/>
                <w:lang w:val="ro-MD"/>
              </w:rPr>
            </w:pPr>
            <w:r w:rsidRPr="00321F59">
              <w:rPr>
                <w:rFonts w:asciiTheme="majorHAnsi" w:hAnsiTheme="majorHAnsi" w:cstheme="majorHAnsi"/>
                <w:b/>
                <w:bCs/>
                <w:color w:val="000000"/>
                <w:sz w:val="20"/>
                <w:szCs w:val="20"/>
                <w:lang w:val="ro-MD"/>
              </w:rPr>
              <w:t>3 977,</w:t>
            </w:r>
            <w:r w:rsidR="00CC7E40" w:rsidRPr="00321F59">
              <w:rPr>
                <w:rFonts w:asciiTheme="majorHAnsi" w:hAnsiTheme="majorHAnsi" w:cstheme="majorHAnsi"/>
                <w:b/>
                <w:bCs/>
                <w:color w:val="000000"/>
                <w:sz w:val="20"/>
                <w:szCs w:val="20"/>
                <w:lang w:val="ro-MD"/>
              </w:rPr>
              <w:t>0</w:t>
            </w:r>
            <w:r w:rsidRPr="00321F59">
              <w:rPr>
                <w:rFonts w:asciiTheme="majorHAnsi" w:hAnsiTheme="majorHAnsi" w:cstheme="majorHAnsi"/>
                <w:b/>
                <w:bCs/>
                <w:color w:val="000000"/>
                <w:sz w:val="20"/>
                <w:szCs w:val="20"/>
                <w:lang w:val="ro-MD"/>
              </w:rPr>
              <w:t>6</w:t>
            </w:r>
          </w:p>
        </w:tc>
        <w:tc>
          <w:tcPr>
            <w:tcW w:w="1080" w:type="dxa"/>
          </w:tcPr>
          <w:p w:rsidR="00CC7E40" w:rsidRPr="00321F59" w:rsidRDefault="00CC7E40" w:rsidP="00FA0306">
            <w:pPr>
              <w:jc w:val="center"/>
              <w:rPr>
                <w:rFonts w:asciiTheme="majorHAnsi" w:hAnsiTheme="majorHAnsi" w:cstheme="majorHAnsi"/>
                <w:b/>
                <w:bCs/>
                <w:color w:val="000000"/>
                <w:sz w:val="20"/>
                <w:szCs w:val="20"/>
                <w:lang w:val="ro-MD"/>
              </w:rPr>
            </w:pPr>
            <w:r w:rsidRPr="00321F59">
              <w:rPr>
                <w:rFonts w:asciiTheme="majorHAnsi" w:hAnsiTheme="majorHAnsi" w:cstheme="majorHAnsi"/>
                <w:b/>
                <w:bCs/>
                <w:color w:val="000000"/>
                <w:sz w:val="20"/>
                <w:szCs w:val="20"/>
                <w:lang w:val="ro-MD"/>
              </w:rPr>
              <w:t>6</w:t>
            </w:r>
            <w:r w:rsidR="00FA0306" w:rsidRPr="00321F59">
              <w:rPr>
                <w:rFonts w:asciiTheme="majorHAnsi" w:hAnsiTheme="majorHAnsi" w:cstheme="majorHAnsi"/>
                <w:b/>
                <w:bCs/>
                <w:color w:val="000000"/>
                <w:sz w:val="20"/>
                <w:szCs w:val="20"/>
                <w:lang w:val="ro-MD"/>
              </w:rPr>
              <w:t xml:space="preserve"> 068,</w:t>
            </w:r>
            <w:r w:rsidRPr="00321F59">
              <w:rPr>
                <w:rFonts w:asciiTheme="majorHAnsi" w:hAnsiTheme="majorHAnsi" w:cstheme="majorHAnsi"/>
                <w:b/>
                <w:bCs/>
                <w:color w:val="000000"/>
                <w:sz w:val="20"/>
                <w:szCs w:val="20"/>
                <w:lang w:val="ro-MD"/>
              </w:rPr>
              <w:t>52</w:t>
            </w:r>
          </w:p>
        </w:tc>
        <w:tc>
          <w:tcPr>
            <w:tcW w:w="931" w:type="dxa"/>
          </w:tcPr>
          <w:p w:rsidR="00CC7E40" w:rsidRPr="00321F59" w:rsidRDefault="00CC7E40" w:rsidP="00CC7E40">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11 822</w:t>
            </w:r>
          </w:p>
        </w:tc>
        <w:tc>
          <w:tcPr>
            <w:tcW w:w="855" w:type="dxa"/>
          </w:tcPr>
          <w:p w:rsidR="00CC7E40" w:rsidRPr="00321F59" w:rsidRDefault="00CC7E40" w:rsidP="00CC7E40">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5 417</w:t>
            </w:r>
          </w:p>
        </w:tc>
        <w:tc>
          <w:tcPr>
            <w:tcW w:w="954" w:type="dxa"/>
          </w:tcPr>
          <w:p w:rsidR="00CC7E40" w:rsidRPr="00321F59" w:rsidRDefault="00CC7E40" w:rsidP="00CC7E40">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6 405</w:t>
            </w:r>
          </w:p>
        </w:tc>
      </w:tr>
      <w:tr w:rsidR="00D4670A" w:rsidRPr="0024512C" w:rsidTr="00FA0306">
        <w:tc>
          <w:tcPr>
            <w:tcW w:w="3505" w:type="dxa"/>
          </w:tcPr>
          <w:p w:rsidR="00D4670A" w:rsidRPr="00321F59" w:rsidRDefault="00D4670A" w:rsidP="00D4670A">
            <w:pPr>
              <w:spacing w:line="276" w:lineRule="auto"/>
              <w:jc w:val="both"/>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w:t>
            </w:r>
          </w:p>
        </w:tc>
        <w:tc>
          <w:tcPr>
            <w:tcW w:w="1080" w:type="dxa"/>
          </w:tcPr>
          <w:p w:rsidR="00D4670A" w:rsidRPr="00321F59" w:rsidRDefault="00D4670A" w:rsidP="00D4670A">
            <w:pPr>
              <w:jc w:val="center"/>
              <w:rPr>
                <w:rFonts w:asciiTheme="majorHAnsi" w:hAnsiTheme="majorHAnsi" w:cstheme="majorHAnsi"/>
                <w:b/>
                <w:bCs/>
                <w:color w:val="000000"/>
                <w:sz w:val="20"/>
                <w:szCs w:val="20"/>
                <w:lang w:val="ro-MD"/>
              </w:rPr>
            </w:pPr>
            <w:r w:rsidRPr="00321F59">
              <w:rPr>
                <w:rFonts w:asciiTheme="majorHAnsi" w:hAnsiTheme="majorHAnsi" w:cstheme="majorHAnsi"/>
                <w:b/>
                <w:bCs/>
                <w:color w:val="000000"/>
                <w:sz w:val="20"/>
                <w:szCs w:val="20"/>
                <w:lang w:val="ro-MD"/>
              </w:rPr>
              <w:t>100</w:t>
            </w:r>
          </w:p>
        </w:tc>
        <w:tc>
          <w:tcPr>
            <w:tcW w:w="1080" w:type="dxa"/>
          </w:tcPr>
          <w:p w:rsidR="00D4670A" w:rsidRPr="00321F59" w:rsidRDefault="00D4670A" w:rsidP="00D4670A">
            <w:pPr>
              <w:jc w:val="center"/>
              <w:rPr>
                <w:rFonts w:asciiTheme="majorHAnsi" w:hAnsiTheme="majorHAnsi" w:cstheme="majorHAnsi"/>
                <w:b/>
                <w:bCs/>
                <w:color w:val="000000"/>
                <w:sz w:val="20"/>
                <w:szCs w:val="20"/>
                <w:lang w:val="ro-MD"/>
              </w:rPr>
            </w:pPr>
            <w:r w:rsidRPr="00321F59">
              <w:rPr>
                <w:rFonts w:asciiTheme="majorHAnsi" w:hAnsiTheme="majorHAnsi" w:cstheme="majorHAnsi"/>
                <w:b/>
                <w:bCs/>
                <w:color w:val="000000"/>
                <w:sz w:val="20"/>
                <w:szCs w:val="20"/>
                <w:lang w:val="ro-MD"/>
              </w:rPr>
              <w:t>39,6</w:t>
            </w:r>
          </w:p>
        </w:tc>
        <w:tc>
          <w:tcPr>
            <w:tcW w:w="1080" w:type="dxa"/>
          </w:tcPr>
          <w:p w:rsidR="00D4670A" w:rsidRPr="00321F59" w:rsidRDefault="00D4670A" w:rsidP="00D4670A">
            <w:pPr>
              <w:jc w:val="center"/>
              <w:rPr>
                <w:rFonts w:asciiTheme="majorHAnsi" w:hAnsiTheme="majorHAnsi" w:cstheme="majorHAnsi"/>
                <w:b/>
                <w:bCs/>
                <w:color w:val="000000"/>
                <w:sz w:val="20"/>
                <w:szCs w:val="20"/>
                <w:lang w:val="ro-MD"/>
              </w:rPr>
            </w:pPr>
            <w:r w:rsidRPr="00321F59">
              <w:rPr>
                <w:rFonts w:asciiTheme="majorHAnsi" w:hAnsiTheme="majorHAnsi" w:cstheme="majorHAnsi"/>
                <w:b/>
                <w:bCs/>
                <w:color w:val="000000"/>
                <w:sz w:val="20"/>
                <w:szCs w:val="20"/>
                <w:lang w:val="ro-MD"/>
              </w:rPr>
              <w:t>60,4</w:t>
            </w:r>
          </w:p>
        </w:tc>
        <w:tc>
          <w:tcPr>
            <w:tcW w:w="931" w:type="dxa"/>
          </w:tcPr>
          <w:p w:rsidR="00D4670A" w:rsidRPr="00321F59" w:rsidRDefault="00D4670A" w:rsidP="00D4670A">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100</w:t>
            </w:r>
          </w:p>
        </w:tc>
        <w:tc>
          <w:tcPr>
            <w:tcW w:w="855" w:type="dxa"/>
          </w:tcPr>
          <w:p w:rsidR="00D4670A" w:rsidRPr="00321F59" w:rsidRDefault="00D4670A" w:rsidP="00D4670A">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45,8</w:t>
            </w:r>
          </w:p>
        </w:tc>
        <w:tc>
          <w:tcPr>
            <w:tcW w:w="954" w:type="dxa"/>
          </w:tcPr>
          <w:p w:rsidR="00D4670A" w:rsidRPr="00321F59" w:rsidRDefault="00D4670A" w:rsidP="00D4670A">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54,2</w:t>
            </w:r>
          </w:p>
        </w:tc>
      </w:tr>
    </w:tbl>
    <w:p w:rsidR="004326B1" w:rsidRPr="0024512C" w:rsidRDefault="00515B24" w:rsidP="00CB65B2">
      <w:pPr>
        <w:spacing w:after="0" w:line="276" w:lineRule="auto"/>
        <w:jc w:val="both"/>
        <w:rPr>
          <w:rFonts w:asciiTheme="majorHAnsi" w:hAnsiTheme="majorHAnsi" w:cstheme="majorHAnsi"/>
          <w:i/>
          <w:sz w:val="20"/>
          <w:szCs w:val="20"/>
          <w:lang w:val="ro-MD"/>
          <w14:glow w14:rad="0">
            <w14:schemeClr w14:val="tx1"/>
          </w14:glow>
        </w:rPr>
        <w:sectPr w:rsidR="004326B1" w:rsidRPr="0024512C" w:rsidSect="00C8693D">
          <w:footerReference w:type="default" r:id="rId13"/>
          <w:pgSz w:w="11906" w:h="16838" w:code="9"/>
          <w:pgMar w:top="1138" w:right="850" w:bottom="1138" w:left="1701" w:header="720" w:footer="720" w:gutter="0"/>
          <w:cols w:space="720"/>
          <w:docGrid w:linePitch="360"/>
        </w:sectPr>
      </w:pPr>
      <w:r w:rsidRPr="0024512C">
        <w:rPr>
          <w:rFonts w:asciiTheme="majorHAnsi" w:hAnsiTheme="majorHAnsi" w:cstheme="majorHAnsi"/>
          <w:b/>
          <w:i/>
          <w:sz w:val="20"/>
          <w:szCs w:val="20"/>
          <w:lang w:val="ro-MD"/>
          <w14:glow w14:rad="0">
            <w14:schemeClr w14:val="tx1"/>
          </w14:glow>
        </w:rPr>
        <w:t>Sursa:</w:t>
      </w:r>
      <w:r w:rsidRPr="005C74F5">
        <w:rPr>
          <w:rFonts w:asciiTheme="majorHAnsi" w:hAnsiTheme="majorHAnsi" w:cstheme="majorHAnsi"/>
          <w:i/>
          <w:sz w:val="20"/>
          <w:szCs w:val="20"/>
          <w:lang w:val="ro-MD"/>
          <w14:glow w14:rad="0">
            <w14:schemeClr w14:val="tx1"/>
          </w14:glow>
        </w:rPr>
        <w:t xml:space="preserve"> Raportul DLC privind activitatea de recreditare la data de 31.12.2019.</w:t>
      </w:r>
    </w:p>
    <w:p w:rsidR="004326B1" w:rsidRPr="0024512C" w:rsidRDefault="004326B1" w:rsidP="004326B1">
      <w:pPr>
        <w:jc w:val="right"/>
        <w:rPr>
          <w:rFonts w:asciiTheme="majorHAnsi" w:hAnsiTheme="majorHAnsi" w:cstheme="majorHAnsi"/>
          <w:b/>
          <w:i/>
          <w:color w:val="5B9BD5" w:themeColor="accent1"/>
          <w:sz w:val="24"/>
          <w:szCs w:val="24"/>
          <w:lang w:val="ro-MD"/>
        </w:rPr>
      </w:pPr>
      <w:r w:rsidRPr="0024512C">
        <w:rPr>
          <w:rFonts w:asciiTheme="majorHAnsi" w:hAnsiTheme="majorHAnsi" w:cstheme="majorHAnsi"/>
          <w:b/>
          <w:i/>
          <w:color w:val="5B9BD5" w:themeColor="accent1"/>
          <w:sz w:val="24"/>
          <w:szCs w:val="24"/>
          <w:lang w:val="ro-MD"/>
        </w:rPr>
        <w:lastRenderedPageBreak/>
        <w:t>Anexa</w:t>
      </w:r>
      <w:r w:rsidR="00241F9F" w:rsidRPr="0024512C">
        <w:rPr>
          <w:rFonts w:asciiTheme="majorHAnsi" w:hAnsiTheme="majorHAnsi" w:cstheme="majorHAnsi"/>
          <w:b/>
          <w:i/>
          <w:color w:val="5B9BD5" w:themeColor="accent1"/>
          <w:sz w:val="24"/>
          <w:szCs w:val="24"/>
          <w:lang w:val="ro-MD"/>
        </w:rPr>
        <w:t xml:space="preserve"> nr.</w:t>
      </w:r>
      <w:r w:rsidR="004F396C" w:rsidRPr="0024512C">
        <w:rPr>
          <w:rFonts w:asciiTheme="majorHAnsi" w:hAnsiTheme="majorHAnsi" w:cstheme="majorHAnsi"/>
          <w:b/>
          <w:i/>
          <w:color w:val="5B9BD5" w:themeColor="accent1"/>
          <w:sz w:val="24"/>
          <w:szCs w:val="24"/>
          <w:lang w:val="ro-MD"/>
        </w:rPr>
        <w:t xml:space="preserve"> 6</w:t>
      </w:r>
    </w:p>
    <w:p w:rsidR="004321F6" w:rsidRPr="0024512C" w:rsidRDefault="004321F6" w:rsidP="004321F6">
      <w:pPr>
        <w:jc w:val="center"/>
        <w:rPr>
          <w:rFonts w:asciiTheme="majorHAnsi" w:hAnsiTheme="majorHAnsi" w:cstheme="majorHAnsi"/>
          <w:b/>
          <w:i/>
          <w:sz w:val="24"/>
          <w:szCs w:val="24"/>
          <w:lang w:val="ro-MD"/>
        </w:rPr>
      </w:pPr>
      <w:r w:rsidRPr="0024512C">
        <w:rPr>
          <w:rFonts w:asciiTheme="majorHAnsi" w:hAnsiTheme="majorHAnsi" w:cstheme="majorHAnsi"/>
          <w:b/>
          <w:i/>
          <w:sz w:val="24"/>
          <w:szCs w:val="24"/>
          <w:lang w:val="ro-MD"/>
        </w:rPr>
        <w:t>Descrierea</w:t>
      </w:r>
      <w:r w:rsidR="000E05E0" w:rsidRPr="0024512C">
        <w:rPr>
          <w:rFonts w:asciiTheme="majorHAnsi" w:hAnsiTheme="majorHAnsi" w:cstheme="majorHAnsi"/>
          <w:b/>
          <w:i/>
          <w:sz w:val="24"/>
          <w:szCs w:val="24"/>
          <w:lang w:val="ro-MD"/>
        </w:rPr>
        <w:t xml:space="preserve"> Proiectelor gestionate de</w:t>
      </w:r>
      <w:r w:rsidRPr="0024512C">
        <w:rPr>
          <w:rFonts w:asciiTheme="majorHAnsi" w:hAnsiTheme="majorHAnsi" w:cstheme="majorHAnsi"/>
          <w:b/>
          <w:i/>
          <w:sz w:val="24"/>
          <w:szCs w:val="24"/>
          <w:lang w:val="ro-MD"/>
        </w:rPr>
        <w:t xml:space="preserve"> D</w:t>
      </w:r>
      <w:r w:rsidR="000E05E0" w:rsidRPr="0024512C">
        <w:rPr>
          <w:rFonts w:asciiTheme="majorHAnsi" w:hAnsiTheme="majorHAnsi" w:cstheme="majorHAnsi"/>
          <w:b/>
          <w:i/>
          <w:sz w:val="24"/>
          <w:szCs w:val="24"/>
          <w:lang w:val="ro-MD"/>
        </w:rPr>
        <w:t xml:space="preserve">irectoratul </w:t>
      </w:r>
      <w:r w:rsidRPr="0024512C">
        <w:rPr>
          <w:rFonts w:asciiTheme="majorHAnsi" w:hAnsiTheme="majorHAnsi" w:cstheme="majorHAnsi"/>
          <w:b/>
          <w:i/>
          <w:sz w:val="24"/>
          <w:szCs w:val="24"/>
          <w:lang w:val="ro-MD"/>
        </w:rPr>
        <w:t>L</w:t>
      </w:r>
      <w:r w:rsidR="000E05E0" w:rsidRPr="0024512C">
        <w:rPr>
          <w:rFonts w:asciiTheme="majorHAnsi" w:hAnsiTheme="majorHAnsi" w:cstheme="majorHAnsi"/>
          <w:b/>
          <w:i/>
          <w:sz w:val="24"/>
          <w:szCs w:val="24"/>
          <w:lang w:val="ro-MD"/>
        </w:rPr>
        <w:t xml:space="preserve">iniei de </w:t>
      </w:r>
      <w:r w:rsidRPr="0024512C">
        <w:rPr>
          <w:rFonts w:asciiTheme="majorHAnsi" w:hAnsiTheme="majorHAnsi" w:cstheme="majorHAnsi"/>
          <w:b/>
          <w:i/>
          <w:sz w:val="24"/>
          <w:szCs w:val="24"/>
          <w:lang w:val="ro-MD"/>
        </w:rPr>
        <w:t>C</w:t>
      </w:r>
      <w:r w:rsidR="000E05E0" w:rsidRPr="0024512C">
        <w:rPr>
          <w:rFonts w:asciiTheme="majorHAnsi" w:hAnsiTheme="majorHAnsi" w:cstheme="majorHAnsi"/>
          <w:b/>
          <w:i/>
          <w:sz w:val="24"/>
          <w:szCs w:val="24"/>
          <w:lang w:val="ro-MD"/>
        </w:rPr>
        <w:t>redit</w:t>
      </w:r>
    </w:p>
    <w:tbl>
      <w:tblPr>
        <w:tblStyle w:val="TableGrid2"/>
        <w:tblW w:w="15547" w:type="dxa"/>
        <w:tblInd w:w="-365" w:type="dxa"/>
        <w:tblLayout w:type="fixed"/>
        <w:tblLook w:val="04A0" w:firstRow="1" w:lastRow="0" w:firstColumn="1" w:lastColumn="0" w:noHBand="0" w:noVBand="1"/>
      </w:tblPr>
      <w:tblGrid>
        <w:gridCol w:w="1429"/>
        <w:gridCol w:w="1562"/>
        <w:gridCol w:w="1398"/>
        <w:gridCol w:w="1550"/>
        <w:gridCol w:w="1453"/>
        <w:gridCol w:w="1685"/>
        <w:gridCol w:w="3150"/>
        <w:gridCol w:w="1710"/>
        <w:gridCol w:w="1603"/>
        <w:gridCol w:w="7"/>
      </w:tblGrid>
      <w:tr w:rsidR="004326B1" w:rsidRPr="0024512C" w:rsidTr="00854459">
        <w:trPr>
          <w:gridAfter w:val="1"/>
          <w:wAfter w:w="7" w:type="dxa"/>
        </w:trPr>
        <w:tc>
          <w:tcPr>
            <w:tcW w:w="1429" w:type="dxa"/>
            <w:shd w:val="clear" w:color="auto" w:fill="DEEAF6" w:themeFill="accent1" w:themeFillTint="33"/>
            <w:vAlign w:val="center"/>
          </w:tcPr>
          <w:p w:rsidR="004326B1" w:rsidRPr="0024512C" w:rsidRDefault="004326B1" w:rsidP="004326B1">
            <w:pPr>
              <w:jc w:val="center"/>
              <w:rPr>
                <w:rFonts w:asciiTheme="majorHAnsi" w:hAnsiTheme="majorHAnsi" w:cstheme="majorHAnsi"/>
                <w:b/>
                <w:sz w:val="20"/>
                <w:szCs w:val="20"/>
                <w:lang w:val="ro-MD"/>
              </w:rPr>
            </w:pPr>
            <w:r w:rsidRPr="0024512C">
              <w:rPr>
                <w:rFonts w:asciiTheme="majorHAnsi" w:hAnsiTheme="majorHAnsi" w:cstheme="majorHAnsi"/>
                <w:b/>
                <w:sz w:val="20"/>
                <w:szCs w:val="20"/>
                <w:lang w:val="ro-MD"/>
              </w:rPr>
              <w:t>Denumirea Proiectului investițional</w:t>
            </w:r>
          </w:p>
        </w:tc>
        <w:tc>
          <w:tcPr>
            <w:tcW w:w="1562" w:type="dxa"/>
            <w:shd w:val="clear" w:color="auto" w:fill="DEEAF6" w:themeFill="accent1" w:themeFillTint="33"/>
            <w:vAlign w:val="center"/>
          </w:tcPr>
          <w:p w:rsidR="004326B1" w:rsidRPr="0024512C" w:rsidRDefault="004326B1" w:rsidP="004326B1">
            <w:pPr>
              <w:jc w:val="center"/>
              <w:rPr>
                <w:rFonts w:asciiTheme="majorHAnsi" w:hAnsiTheme="majorHAnsi" w:cstheme="majorHAnsi"/>
                <w:b/>
                <w:sz w:val="20"/>
                <w:szCs w:val="20"/>
                <w:lang w:val="ro-MD"/>
              </w:rPr>
            </w:pPr>
            <w:r w:rsidRPr="0024512C">
              <w:rPr>
                <w:rFonts w:asciiTheme="majorHAnsi" w:hAnsiTheme="majorHAnsi" w:cstheme="majorHAnsi"/>
                <w:b/>
                <w:sz w:val="20"/>
                <w:szCs w:val="20"/>
                <w:lang w:val="ro-MD"/>
              </w:rPr>
              <w:t>Acordul de împrumut</w:t>
            </w:r>
          </w:p>
        </w:tc>
        <w:tc>
          <w:tcPr>
            <w:tcW w:w="1398" w:type="dxa"/>
            <w:shd w:val="clear" w:color="auto" w:fill="DEEAF6" w:themeFill="accent1" w:themeFillTint="33"/>
            <w:vAlign w:val="center"/>
          </w:tcPr>
          <w:p w:rsidR="004326B1" w:rsidRPr="0024512C" w:rsidRDefault="004326B1" w:rsidP="004326B1">
            <w:pPr>
              <w:jc w:val="center"/>
              <w:rPr>
                <w:rFonts w:asciiTheme="majorHAnsi" w:hAnsiTheme="majorHAnsi" w:cstheme="majorHAnsi"/>
                <w:b/>
                <w:sz w:val="20"/>
                <w:szCs w:val="20"/>
                <w:lang w:val="ro-MD"/>
              </w:rPr>
            </w:pPr>
            <w:r w:rsidRPr="0024512C">
              <w:rPr>
                <w:rFonts w:asciiTheme="majorHAnsi" w:hAnsiTheme="majorHAnsi" w:cstheme="majorHAnsi"/>
                <w:b/>
                <w:sz w:val="20"/>
                <w:szCs w:val="20"/>
                <w:lang w:val="ro-MD"/>
              </w:rPr>
              <w:t>Suma</w:t>
            </w:r>
          </w:p>
        </w:tc>
        <w:tc>
          <w:tcPr>
            <w:tcW w:w="1550" w:type="dxa"/>
            <w:shd w:val="clear" w:color="auto" w:fill="DEEAF6" w:themeFill="accent1" w:themeFillTint="33"/>
            <w:vAlign w:val="center"/>
          </w:tcPr>
          <w:p w:rsidR="004326B1" w:rsidRPr="0024512C" w:rsidRDefault="004326B1" w:rsidP="004326B1">
            <w:pPr>
              <w:jc w:val="center"/>
              <w:rPr>
                <w:rFonts w:asciiTheme="majorHAnsi" w:hAnsiTheme="majorHAnsi" w:cstheme="majorHAnsi"/>
                <w:b/>
                <w:sz w:val="20"/>
                <w:szCs w:val="20"/>
                <w:lang w:val="ro-MD"/>
              </w:rPr>
            </w:pPr>
            <w:r w:rsidRPr="0024512C">
              <w:rPr>
                <w:rFonts w:asciiTheme="majorHAnsi" w:hAnsiTheme="majorHAnsi" w:cstheme="majorHAnsi"/>
                <w:b/>
                <w:sz w:val="20"/>
                <w:szCs w:val="20"/>
                <w:lang w:val="ro-MD"/>
              </w:rPr>
              <w:t>Perioada de implementare</w:t>
            </w:r>
          </w:p>
        </w:tc>
        <w:tc>
          <w:tcPr>
            <w:tcW w:w="1453" w:type="dxa"/>
            <w:shd w:val="clear" w:color="auto" w:fill="DEEAF6" w:themeFill="accent1" w:themeFillTint="33"/>
            <w:vAlign w:val="center"/>
          </w:tcPr>
          <w:p w:rsidR="004326B1" w:rsidRPr="0024512C" w:rsidRDefault="004326B1" w:rsidP="004326B1">
            <w:pPr>
              <w:jc w:val="center"/>
              <w:rPr>
                <w:rFonts w:asciiTheme="majorHAnsi" w:hAnsiTheme="majorHAnsi" w:cstheme="majorHAnsi"/>
                <w:b/>
                <w:sz w:val="20"/>
                <w:szCs w:val="20"/>
                <w:lang w:val="ro-MD"/>
              </w:rPr>
            </w:pPr>
            <w:r w:rsidRPr="0024512C">
              <w:rPr>
                <w:rFonts w:asciiTheme="majorHAnsi" w:hAnsiTheme="majorHAnsi" w:cstheme="majorHAnsi"/>
                <w:b/>
                <w:sz w:val="20"/>
                <w:szCs w:val="20"/>
                <w:lang w:val="ro-MD"/>
              </w:rPr>
              <w:t>Scopul Proiectului</w:t>
            </w:r>
          </w:p>
        </w:tc>
        <w:tc>
          <w:tcPr>
            <w:tcW w:w="1685" w:type="dxa"/>
            <w:shd w:val="clear" w:color="auto" w:fill="DEEAF6" w:themeFill="accent1" w:themeFillTint="33"/>
            <w:vAlign w:val="center"/>
          </w:tcPr>
          <w:p w:rsidR="004326B1" w:rsidRPr="0024512C" w:rsidRDefault="004326B1" w:rsidP="004326B1">
            <w:pPr>
              <w:jc w:val="center"/>
              <w:rPr>
                <w:rFonts w:asciiTheme="majorHAnsi" w:hAnsiTheme="majorHAnsi" w:cstheme="majorHAnsi"/>
                <w:b/>
                <w:sz w:val="20"/>
                <w:szCs w:val="20"/>
                <w:lang w:val="ro-MD"/>
              </w:rPr>
            </w:pPr>
            <w:r w:rsidRPr="0024512C">
              <w:rPr>
                <w:rFonts w:asciiTheme="majorHAnsi" w:hAnsiTheme="majorHAnsi" w:cstheme="majorHAnsi"/>
                <w:b/>
                <w:sz w:val="20"/>
                <w:szCs w:val="20"/>
                <w:lang w:val="ro-MD"/>
              </w:rPr>
              <w:t>Componentele Proiectului</w:t>
            </w:r>
          </w:p>
        </w:tc>
        <w:tc>
          <w:tcPr>
            <w:tcW w:w="3150" w:type="dxa"/>
            <w:shd w:val="clear" w:color="auto" w:fill="DEEAF6" w:themeFill="accent1" w:themeFillTint="33"/>
            <w:vAlign w:val="center"/>
          </w:tcPr>
          <w:p w:rsidR="004326B1" w:rsidRPr="0024512C" w:rsidRDefault="004326B1" w:rsidP="004326B1">
            <w:pPr>
              <w:jc w:val="center"/>
              <w:rPr>
                <w:rFonts w:asciiTheme="majorHAnsi" w:hAnsiTheme="majorHAnsi" w:cstheme="majorHAnsi"/>
                <w:b/>
                <w:sz w:val="20"/>
                <w:szCs w:val="20"/>
                <w:lang w:val="ro-MD"/>
              </w:rPr>
            </w:pPr>
            <w:r w:rsidRPr="0024512C">
              <w:rPr>
                <w:rFonts w:asciiTheme="majorHAnsi" w:hAnsiTheme="majorHAnsi" w:cstheme="majorHAnsi"/>
                <w:b/>
                <w:sz w:val="20"/>
                <w:szCs w:val="20"/>
                <w:lang w:val="ro-MD"/>
              </w:rPr>
              <w:t>Funcțiile DLC în cadrul Proiectului</w:t>
            </w:r>
          </w:p>
        </w:tc>
        <w:tc>
          <w:tcPr>
            <w:tcW w:w="1710" w:type="dxa"/>
            <w:shd w:val="clear" w:color="auto" w:fill="DEEAF6" w:themeFill="accent1" w:themeFillTint="33"/>
            <w:vAlign w:val="center"/>
          </w:tcPr>
          <w:p w:rsidR="004326B1" w:rsidRPr="0024512C" w:rsidRDefault="004326B1" w:rsidP="004326B1">
            <w:pPr>
              <w:jc w:val="center"/>
              <w:rPr>
                <w:rFonts w:asciiTheme="majorHAnsi" w:hAnsiTheme="majorHAnsi" w:cstheme="majorHAnsi"/>
                <w:b/>
                <w:sz w:val="20"/>
                <w:szCs w:val="20"/>
                <w:lang w:val="ro-MD"/>
              </w:rPr>
            </w:pPr>
            <w:r w:rsidRPr="0024512C">
              <w:rPr>
                <w:rFonts w:asciiTheme="majorHAnsi" w:hAnsiTheme="majorHAnsi" w:cstheme="majorHAnsi"/>
                <w:b/>
                <w:sz w:val="20"/>
                <w:szCs w:val="20"/>
                <w:lang w:val="ro-MD"/>
              </w:rPr>
              <w:t>Recreditarea directă</w:t>
            </w:r>
          </w:p>
        </w:tc>
        <w:tc>
          <w:tcPr>
            <w:tcW w:w="1603" w:type="dxa"/>
            <w:shd w:val="clear" w:color="auto" w:fill="DEEAF6" w:themeFill="accent1" w:themeFillTint="33"/>
            <w:vAlign w:val="center"/>
          </w:tcPr>
          <w:p w:rsidR="004326B1" w:rsidRPr="0024512C" w:rsidRDefault="004326B1" w:rsidP="004326B1">
            <w:pPr>
              <w:jc w:val="center"/>
              <w:rPr>
                <w:rFonts w:asciiTheme="majorHAnsi" w:hAnsiTheme="majorHAnsi" w:cstheme="majorHAnsi"/>
                <w:b/>
                <w:sz w:val="20"/>
                <w:szCs w:val="20"/>
                <w:lang w:val="ro-MD"/>
              </w:rPr>
            </w:pPr>
            <w:r w:rsidRPr="0024512C">
              <w:rPr>
                <w:rFonts w:asciiTheme="majorHAnsi" w:hAnsiTheme="majorHAnsi" w:cstheme="majorHAnsi"/>
                <w:b/>
                <w:sz w:val="20"/>
                <w:szCs w:val="20"/>
                <w:lang w:val="ro-MD"/>
              </w:rPr>
              <w:t>Recreditarea secundară</w:t>
            </w:r>
          </w:p>
        </w:tc>
      </w:tr>
      <w:tr w:rsidR="004326B1" w:rsidRPr="0024512C" w:rsidTr="00241F9F">
        <w:tc>
          <w:tcPr>
            <w:tcW w:w="15547" w:type="dxa"/>
            <w:gridSpan w:val="10"/>
          </w:tcPr>
          <w:p w:rsidR="004326B1" w:rsidRPr="0024512C" w:rsidRDefault="004326B1" w:rsidP="004326B1">
            <w:pPr>
              <w:jc w:val="center"/>
              <w:rPr>
                <w:rFonts w:asciiTheme="majorHAnsi" w:hAnsiTheme="majorHAnsi" w:cstheme="majorHAnsi"/>
                <w:b/>
                <w:i/>
                <w:sz w:val="20"/>
                <w:szCs w:val="20"/>
                <w:lang w:val="ro-MD"/>
              </w:rPr>
            </w:pPr>
            <w:r w:rsidRPr="0024512C">
              <w:rPr>
                <w:rFonts w:asciiTheme="majorHAnsi" w:hAnsiTheme="majorHAnsi" w:cstheme="majorHAnsi"/>
                <w:b/>
                <w:i/>
                <w:sz w:val="20"/>
                <w:szCs w:val="20"/>
                <w:lang w:val="ro-MD"/>
              </w:rPr>
              <w:t xml:space="preserve">Proiecte finanțate de </w:t>
            </w:r>
            <w:r w:rsidRPr="00321F59">
              <w:rPr>
                <w:rFonts w:asciiTheme="majorHAnsi" w:hAnsiTheme="majorHAnsi" w:cstheme="majorHAnsi"/>
                <w:b/>
                <w:i/>
                <w:sz w:val="20"/>
                <w:szCs w:val="20"/>
                <w:lang w:val="ro-MD"/>
              </w:rPr>
              <w:t>Fondul Internațional pentru Dezvoltarea Agricolă</w:t>
            </w:r>
          </w:p>
        </w:tc>
      </w:tr>
      <w:tr w:rsidR="00854459" w:rsidRPr="0024512C" w:rsidTr="00854459">
        <w:trPr>
          <w:gridAfter w:val="1"/>
          <w:wAfter w:w="7" w:type="dxa"/>
        </w:trPr>
        <w:tc>
          <w:tcPr>
            <w:tcW w:w="1429" w:type="dxa"/>
          </w:tcPr>
          <w:p w:rsidR="00854459" w:rsidRPr="0024512C" w:rsidRDefault="00854459" w:rsidP="00854459">
            <w:pPr>
              <w:jc w:val="both"/>
              <w:rPr>
                <w:rFonts w:asciiTheme="majorHAnsi" w:hAnsiTheme="majorHAnsi" w:cstheme="majorHAnsi"/>
                <w:sz w:val="16"/>
                <w:szCs w:val="16"/>
                <w:lang w:val="ro-MD"/>
              </w:rPr>
            </w:pPr>
            <w:r w:rsidRPr="00321F59">
              <w:rPr>
                <w:rFonts w:asciiTheme="majorHAnsi" w:hAnsiTheme="majorHAnsi" w:cstheme="majorHAnsi"/>
                <w:b/>
                <w:i/>
                <w:sz w:val="16"/>
                <w:szCs w:val="16"/>
                <w:lang w:val="ro-MD"/>
              </w:rPr>
              <w:t>Proiectul de Finanțare Rurală și Dezvoltare a Întreprinderilor Mici (FIDA I)</w:t>
            </w:r>
          </w:p>
        </w:tc>
        <w:tc>
          <w:tcPr>
            <w:tcW w:w="1562" w:type="dxa"/>
          </w:tcPr>
          <w:p w:rsidR="00854459" w:rsidRPr="00321F59" w:rsidRDefault="00854459" w:rsidP="00854459">
            <w:pPr>
              <w:jc w:val="both"/>
              <w:rPr>
                <w:rFonts w:asciiTheme="majorHAnsi" w:hAnsiTheme="majorHAnsi" w:cstheme="majorHAnsi"/>
                <w:sz w:val="16"/>
                <w:szCs w:val="16"/>
                <w:lang w:val="ro-MD"/>
              </w:rPr>
            </w:pPr>
            <w:r w:rsidRPr="00321F59">
              <w:rPr>
                <w:rFonts w:asciiTheme="majorHAnsi" w:hAnsiTheme="majorHAnsi" w:cstheme="majorHAnsi"/>
                <w:sz w:val="16"/>
                <w:szCs w:val="16"/>
                <w:lang w:val="ro-MD"/>
              </w:rPr>
              <w:t>Acordul de Împrumut nr.527-MD din 31.01.2000</w:t>
            </w:r>
          </w:p>
        </w:tc>
        <w:tc>
          <w:tcPr>
            <w:tcW w:w="1398" w:type="dxa"/>
          </w:tcPr>
          <w:p w:rsidR="00854459" w:rsidRPr="0024512C" w:rsidRDefault="00854459" w:rsidP="00854459">
            <w:pPr>
              <w:jc w:val="both"/>
              <w:rPr>
                <w:rFonts w:asciiTheme="majorHAnsi" w:hAnsiTheme="majorHAnsi" w:cstheme="majorHAnsi"/>
                <w:sz w:val="16"/>
                <w:szCs w:val="16"/>
                <w:lang w:val="ro-MD"/>
              </w:rPr>
            </w:pPr>
            <w:r w:rsidRPr="00321F59">
              <w:rPr>
                <w:rFonts w:asciiTheme="majorHAnsi" w:hAnsiTheme="majorHAnsi" w:cstheme="majorHAnsi"/>
                <w:sz w:val="16"/>
                <w:szCs w:val="16"/>
                <w:lang w:val="ro-MD"/>
              </w:rPr>
              <w:t>Împrumut în valoare de 5,8</w:t>
            </w:r>
            <w:r w:rsidR="00A16E71" w:rsidRPr="00321F59">
              <w:rPr>
                <w:rFonts w:asciiTheme="majorHAnsi" w:hAnsiTheme="majorHAnsi" w:cstheme="majorHAnsi"/>
                <w:sz w:val="16"/>
                <w:szCs w:val="16"/>
                <w:lang w:val="ro-MD"/>
              </w:rPr>
              <w:t xml:space="preserve"> mil. DST, dintre care circa 5,05</w:t>
            </w:r>
            <w:r w:rsidRPr="00321F59">
              <w:rPr>
                <w:rFonts w:asciiTheme="majorHAnsi" w:hAnsiTheme="majorHAnsi" w:cstheme="majorHAnsi"/>
                <w:sz w:val="16"/>
                <w:szCs w:val="16"/>
                <w:lang w:val="ro-MD"/>
              </w:rPr>
              <w:t xml:space="preserve"> mil. DST au fost destinate pentru creditarea ÎMM</w:t>
            </w:r>
          </w:p>
        </w:tc>
        <w:tc>
          <w:tcPr>
            <w:tcW w:w="1550" w:type="dxa"/>
          </w:tcPr>
          <w:p w:rsidR="00854459" w:rsidRPr="0024512C" w:rsidRDefault="00854459" w:rsidP="00854459">
            <w:pPr>
              <w:jc w:val="both"/>
              <w:rPr>
                <w:rFonts w:asciiTheme="majorHAnsi" w:hAnsiTheme="majorHAnsi" w:cstheme="majorHAnsi"/>
                <w:sz w:val="16"/>
                <w:szCs w:val="16"/>
                <w:lang w:val="ro-MD"/>
              </w:rPr>
            </w:pPr>
            <w:r w:rsidRPr="005C74F5">
              <w:rPr>
                <w:rFonts w:asciiTheme="majorHAnsi" w:hAnsiTheme="majorHAnsi" w:cstheme="majorHAnsi"/>
                <w:bCs/>
                <w:sz w:val="16"/>
                <w:szCs w:val="16"/>
                <w:lang w:val="ro-MD"/>
              </w:rPr>
              <w:t>Lansat în anul 2001 cu o perioadă de implementare de 5 ani</w:t>
            </w:r>
          </w:p>
        </w:tc>
        <w:tc>
          <w:tcPr>
            <w:tcW w:w="1453"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De a genera venituri suplimentare prin facilitarea accesului întreprinderilor mici și mijlocii la credite pe termen mediu și lung</w:t>
            </w:r>
          </w:p>
        </w:tc>
        <w:tc>
          <w:tcPr>
            <w:tcW w:w="1685"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i/>
                <w:sz w:val="16"/>
                <w:szCs w:val="16"/>
                <w:lang w:val="ro-MD"/>
              </w:rPr>
              <w:t>(i) Suport instituțional (ii) Fondul pentru Dezvoltarea Întreprinderilor</w:t>
            </w:r>
          </w:p>
          <w:p w:rsidR="00854459" w:rsidRPr="0024512C" w:rsidRDefault="00854459" w:rsidP="00854459">
            <w:pPr>
              <w:jc w:val="both"/>
              <w:rPr>
                <w:rFonts w:asciiTheme="majorHAnsi" w:hAnsiTheme="majorHAnsi" w:cstheme="majorHAnsi"/>
                <w:sz w:val="16"/>
                <w:szCs w:val="16"/>
                <w:lang w:val="ro-MD"/>
              </w:rPr>
            </w:pPr>
          </w:p>
        </w:tc>
        <w:tc>
          <w:tcPr>
            <w:tcW w:w="3150"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Conform Ordinului MF nr. 37 din 21.06.2004, DLC i-au fost transmise funcțiile de monitorizare a creditelor alocate din conturile Liniilor de credit a Proiectului de Finanțare Rurală și Dezvoltare a Întreprinderilor Mici conform Acordurilor de Împrumut subsidiare încheiate cu IFP. De asemenea, la 28.12.2005, între </w:t>
            </w:r>
            <w:r w:rsidRPr="0024512C">
              <w:rPr>
                <w:rFonts w:asciiTheme="majorHAnsi" w:hAnsiTheme="majorHAnsi" w:cstheme="majorHAnsi"/>
                <w:sz w:val="16"/>
                <w:szCs w:val="16"/>
                <w:lang w:val="ro-MD"/>
              </w:rPr>
              <w:t>UCIP-IFAD</w:t>
            </w:r>
            <w:r w:rsidRPr="0024512C">
              <w:rPr>
                <w:rFonts w:asciiTheme="majorHAnsi" w:hAnsiTheme="majorHAnsi" w:cstheme="majorHAnsi"/>
                <w:bCs/>
                <w:sz w:val="16"/>
                <w:szCs w:val="16"/>
                <w:lang w:val="ro-MD"/>
              </w:rPr>
              <w:t xml:space="preserve"> și DLC a fost încheiat un memorandum de înțelegere conform căruia DLC a preluat monitorizarea și colectarea plăților de deservire asupra sub-împrumuturilor acordate și recreditarea fondurilor în cadrul Proiectului </w:t>
            </w:r>
          </w:p>
        </w:tc>
        <w:tc>
          <w:tcPr>
            <w:tcW w:w="1710" w:type="dxa"/>
          </w:tcPr>
          <w:p w:rsidR="00854459" w:rsidRPr="0024512C" w:rsidRDefault="00854459" w:rsidP="00854459">
            <w:pPr>
              <w:contextualSpacing/>
              <w:jc w:val="both"/>
              <w:rPr>
                <w:rFonts w:asciiTheme="majorHAnsi" w:hAnsiTheme="majorHAnsi" w:cstheme="majorHAnsi"/>
                <w:sz w:val="16"/>
                <w:szCs w:val="16"/>
                <w:lang w:val="ro-MD"/>
              </w:rPr>
            </w:pPr>
            <w:r w:rsidRPr="0024512C">
              <w:rPr>
                <w:rFonts w:asciiTheme="majorHAnsi" w:hAnsiTheme="majorHAnsi" w:cstheme="majorHAnsi"/>
                <w:bCs/>
                <w:sz w:val="16"/>
                <w:szCs w:val="16"/>
                <w:lang w:val="ro-MD"/>
              </w:rPr>
              <w:t xml:space="preserve">- 411 beneficiari cu valoarea împrumuturilor de 137,4 mil. lei și 486,8 mii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w:t>
            </w:r>
          </w:p>
          <w:p w:rsidR="00854459" w:rsidRPr="0024512C" w:rsidRDefault="00854459" w:rsidP="00854459">
            <w:pPr>
              <w:contextualSpacing/>
              <w:jc w:val="both"/>
              <w:rPr>
                <w:rFonts w:asciiTheme="majorHAnsi" w:hAnsiTheme="majorHAnsi" w:cstheme="majorHAnsi"/>
                <w:sz w:val="16"/>
                <w:szCs w:val="16"/>
                <w:lang w:val="ro-MD"/>
              </w:rPr>
            </w:pPr>
            <w:r w:rsidRPr="0024512C">
              <w:rPr>
                <w:rFonts w:asciiTheme="majorHAnsi" w:hAnsiTheme="majorHAnsi" w:cstheme="majorHAnsi"/>
                <w:bCs/>
                <w:sz w:val="16"/>
                <w:szCs w:val="16"/>
                <w:lang w:val="ro-MD"/>
              </w:rPr>
              <w:t>- soldul împrumuturilor a fost rambursat în totalitate</w:t>
            </w:r>
          </w:p>
        </w:tc>
        <w:tc>
          <w:tcPr>
            <w:tcW w:w="1603" w:type="dxa"/>
          </w:tcPr>
          <w:p w:rsidR="00854459" w:rsidRPr="0024512C" w:rsidRDefault="00854459" w:rsidP="00854459">
            <w:pPr>
              <w:contextualSpacing/>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 </w:t>
            </w:r>
            <w:r w:rsidR="00A16E71" w:rsidRPr="0024512C">
              <w:rPr>
                <w:rFonts w:asciiTheme="majorHAnsi" w:hAnsiTheme="majorHAnsi" w:cstheme="majorHAnsi"/>
                <w:bCs/>
                <w:sz w:val="16"/>
                <w:szCs w:val="16"/>
                <w:lang w:val="ro-MD"/>
              </w:rPr>
              <w:t>1 171</w:t>
            </w:r>
            <w:r w:rsidRPr="0024512C">
              <w:rPr>
                <w:rFonts w:asciiTheme="majorHAnsi" w:hAnsiTheme="majorHAnsi" w:cstheme="majorHAnsi"/>
                <w:bCs/>
                <w:sz w:val="16"/>
                <w:szCs w:val="16"/>
                <w:lang w:val="ro-MD"/>
              </w:rPr>
              <w:t xml:space="preserve"> de beneficiari, cu valoarea împrumuturilor în sumă totală de 896,2 mil. lei, 7,</w:t>
            </w:r>
            <w:r w:rsidR="00A16E71" w:rsidRPr="0024512C">
              <w:rPr>
                <w:rFonts w:asciiTheme="majorHAnsi" w:hAnsiTheme="majorHAnsi" w:cstheme="majorHAnsi"/>
                <w:bCs/>
                <w:sz w:val="16"/>
                <w:szCs w:val="16"/>
                <w:lang w:val="ro-MD"/>
              </w:rPr>
              <w:t>35</w:t>
            </w:r>
            <w:r w:rsidRPr="0024512C">
              <w:rPr>
                <w:rFonts w:asciiTheme="majorHAnsi" w:hAnsiTheme="majorHAnsi" w:cstheme="majorHAnsi"/>
                <w:bCs/>
                <w:sz w:val="16"/>
                <w:szCs w:val="16"/>
                <w:lang w:val="ro-MD"/>
              </w:rPr>
              <w:t xml:space="preserve">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 xml:space="preserve"> și 1,95 mil. euro;</w:t>
            </w:r>
          </w:p>
          <w:p w:rsidR="00854459" w:rsidRPr="0024512C" w:rsidRDefault="00854459" w:rsidP="00854459">
            <w:pPr>
              <w:ind w:right="-102"/>
              <w:contextualSpacing/>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 valoarea împrumuturilor rambursate constituie 652,4 mil. lei, 6,88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 xml:space="preserve"> și 1,67 mil. euro;</w:t>
            </w:r>
          </w:p>
          <w:p w:rsidR="00854459" w:rsidRPr="0024512C" w:rsidRDefault="00854459" w:rsidP="00854459">
            <w:pPr>
              <w:contextualSpacing/>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 soldul împrumuturilor este de 243,8 mil. lei, 0,46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 xml:space="preserve"> și 0,28 mil. euro</w:t>
            </w:r>
          </w:p>
        </w:tc>
      </w:tr>
      <w:tr w:rsidR="00854459" w:rsidRPr="0024512C" w:rsidTr="00854459">
        <w:trPr>
          <w:gridAfter w:val="1"/>
          <w:wAfter w:w="7" w:type="dxa"/>
        </w:trPr>
        <w:tc>
          <w:tcPr>
            <w:tcW w:w="1429" w:type="dxa"/>
          </w:tcPr>
          <w:p w:rsidR="00854459" w:rsidRPr="005C74F5" w:rsidRDefault="00854459" w:rsidP="00854459">
            <w:pPr>
              <w:jc w:val="both"/>
              <w:rPr>
                <w:rFonts w:asciiTheme="majorHAnsi" w:hAnsiTheme="majorHAnsi" w:cstheme="majorHAnsi"/>
                <w:sz w:val="16"/>
                <w:szCs w:val="16"/>
                <w:lang w:val="ro-MD"/>
              </w:rPr>
            </w:pPr>
            <w:r w:rsidRPr="0024512C">
              <w:rPr>
                <w:rFonts w:asciiTheme="majorHAnsi" w:hAnsiTheme="majorHAnsi" w:cstheme="majorHAnsi"/>
                <w:b/>
                <w:bCs/>
                <w:i/>
                <w:sz w:val="16"/>
                <w:szCs w:val="16"/>
                <w:lang w:val="ro-MD"/>
              </w:rPr>
              <w:t>Proiectul de Revitalizare a Agriculturii (FIDA II)</w:t>
            </w:r>
          </w:p>
        </w:tc>
        <w:tc>
          <w:tcPr>
            <w:tcW w:w="1562" w:type="dxa"/>
          </w:tcPr>
          <w:p w:rsidR="00854459" w:rsidRPr="0024512C" w:rsidRDefault="00854459" w:rsidP="00854459">
            <w:pPr>
              <w:jc w:val="both"/>
              <w:rPr>
                <w:rFonts w:asciiTheme="majorHAnsi" w:hAnsiTheme="majorHAnsi" w:cstheme="majorHAnsi"/>
                <w:sz w:val="16"/>
                <w:szCs w:val="16"/>
                <w:lang w:val="ro-MD"/>
              </w:rPr>
            </w:pPr>
            <w:r w:rsidRPr="00321F59">
              <w:rPr>
                <w:rFonts w:asciiTheme="majorHAnsi" w:hAnsiTheme="majorHAnsi" w:cstheme="majorHAnsi"/>
                <w:sz w:val="16"/>
                <w:szCs w:val="16"/>
                <w:lang w:val="ro-MD"/>
              </w:rPr>
              <w:t>Acordul de Împrumut nr.629-MD din 04.03.2004</w:t>
            </w:r>
          </w:p>
        </w:tc>
        <w:tc>
          <w:tcPr>
            <w:tcW w:w="1398" w:type="dxa"/>
          </w:tcPr>
          <w:p w:rsidR="00854459" w:rsidRPr="0024512C" w:rsidRDefault="00A16E71" w:rsidP="00854459">
            <w:pPr>
              <w:jc w:val="both"/>
              <w:rPr>
                <w:rFonts w:asciiTheme="majorHAnsi" w:hAnsiTheme="majorHAnsi" w:cstheme="majorHAnsi"/>
                <w:sz w:val="16"/>
                <w:szCs w:val="16"/>
                <w:lang w:val="ro-MD"/>
              </w:rPr>
            </w:pPr>
            <w:r w:rsidRPr="00321F59">
              <w:rPr>
                <w:rFonts w:asciiTheme="majorHAnsi" w:hAnsiTheme="majorHAnsi" w:cstheme="majorHAnsi"/>
                <w:sz w:val="16"/>
                <w:szCs w:val="16"/>
                <w:lang w:val="ro-MD"/>
              </w:rPr>
              <w:t>Împrumut în valoare de 10,17</w:t>
            </w:r>
            <w:r w:rsidR="00854459" w:rsidRPr="00321F59">
              <w:rPr>
                <w:rFonts w:asciiTheme="majorHAnsi" w:hAnsiTheme="majorHAnsi" w:cstheme="majorHAnsi"/>
                <w:sz w:val="16"/>
                <w:szCs w:val="16"/>
                <w:lang w:val="ro-MD"/>
              </w:rPr>
              <w:t xml:space="preserve"> mil. DST</w:t>
            </w:r>
            <w:r w:rsidRPr="00321F59">
              <w:rPr>
                <w:rFonts w:asciiTheme="majorHAnsi" w:hAnsiTheme="majorHAnsi" w:cstheme="majorHAnsi"/>
                <w:sz w:val="16"/>
                <w:szCs w:val="16"/>
                <w:lang w:val="ro-MD"/>
              </w:rPr>
              <w:t>, inclusiv Linia de credit – 8,3 mil. DST</w:t>
            </w:r>
          </w:p>
        </w:tc>
        <w:tc>
          <w:tcPr>
            <w:tcW w:w="1550" w:type="dxa"/>
          </w:tcPr>
          <w:p w:rsidR="00854459" w:rsidRPr="005C74F5" w:rsidRDefault="00854459" w:rsidP="00854459">
            <w:pPr>
              <w:jc w:val="both"/>
              <w:rPr>
                <w:rFonts w:asciiTheme="majorHAnsi" w:hAnsiTheme="majorHAnsi" w:cstheme="majorHAnsi"/>
                <w:sz w:val="16"/>
                <w:szCs w:val="16"/>
                <w:lang w:val="ro-MD"/>
              </w:rPr>
            </w:pPr>
            <w:r w:rsidRPr="005C74F5">
              <w:rPr>
                <w:rFonts w:asciiTheme="majorHAnsi" w:hAnsiTheme="majorHAnsi" w:cstheme="majorHAnsi"/>
                <w:sz w:val="16"/>
                <w:szCs w:val="16"/>
                <w:lang w:val="ro-MD"/>
              </w:rPr>
              <w:t>Lansat în ianuarie 2006 cu o perioadă de implementare de 86 luni (2006-2013)</w:t>
            </w:r>
          </w:p>
        </w:tc>
        <w:tc>
          <w:tcPr>
            <w:tcW w:w="1453" w:type="dxa"/>
          </w:tcPr>
          <w:p w:rsidR="00854459" w:rsidRPr="0024512C" w:rsidRDefault="00854459" w:rsidP="00854459">
            <w:pPr>
              <w:jc w:val="both"/>
              <w:rPr>
                <w:rFonts w:asciiTheme="majorHAnsi" w:hAnsiTheme="majorHAnsi" w:cstheme="majorHAnsi"/>
                <w:sz w:val="16"/>
                <w:szCs w:val="16"/>
                <w:lang w:val="ro-MD"/>
              </w:rPr>
            </w:pPr>
            <w:r w:rsidRPr="0024512C">
              <w:rPr>
                <w:rFonts w:asciiTheme="majorHAnsi" w:hAnsiTheme="majorHAnsi" w:cstheme="majorHAnsi"/>
                <w:bCs/>
                <w:sz w:val="16"/>
                <w:szCs w:val="16"/>
                <w:lang w:val="ro-MD"/>
              </w:rPr>
              <w:t>D</w:t>
            </w:r>
            <w:r w:rsidRPr="0024512C">
              <w:rPr>
                <w:rFonts w:asciiTheme="majorHAnsi" w:hAnsiTheme="majorHAnsi" w:cstheme="majorHAnsi"/>
                <w:sz w:val="16"/>
                <w:szCs w:val="16"/>
                <w:lang w:val="ro-MD"/>
              </w:rPr>
              <w:t>e a contribui la eradicarea sărăciei în spațiul rural prin revitalizarea agriculturii în sectorul agricol primar și a activităților aferente agriculturii, astfel creând locuri noi de muncă și generând venituri populației din spațiul rural</w:t>
            </w:r>
          </w:p>
        </w:tc>
        <w:tc>
          <w:tcPr>
            <w:tcW w:w="1685" w:type="dxa"/>
          </w:tcPr>
          <w:p w:rsidR="00854459" w:rsidRPr="0024512C" w:rsidRDefault="00854459" w:rsidP="00854459">
            <w:pPr>
              <w:numPr>
                <w:ilvl w:val="0"/>
                <w:numId w:val="9"/>
              </w:numPr>
              <w:ind w:left="90" w:hanging="42"/>
              <w:contextualSpacing/>
              <w:jc w:val="both"/>
              <w:rPr>
                <w:rFonts w:asciiTheme="majorHAnsi" w:hAnsiTheme="majorHAnsi" w:cstheme="majorHAnsi"/>
                <w:sz w:val="16"/>
                <w:szCs w:val="16"/>
                <w:lang w:val="ro-MD"/>
              </w:rPr>
            </w:pPr>
            <w:r w:rsidRPr="0024512C">
              <w:rPr>
                <w:rFonts w:asciiTheme="majorHAnsi" w:hAnsiTheme="majorHAnsi" w:cstheme="majorHAnsi"/>
                <w:i/>
                <w:sz w:val="16"/>
                <w:szCs w:val="16"/>
                <w:lang w:val="ro-MD"/>
              </w:rPr>
              <w:t>Dezvoltare Participativă a Comunităților</w:t>
            </w:r>
            <w:r w:rsidRPr="0024512C">
              <w:rPr>
                <w:rFonts w:asciiTheme="majorHAnsi" w:hAnsiTheme="majorHAnsi" w:cstheme="majorHAnsi"/>
                <w:sz w:val="16"/>
                <w:szCs w:val="16"/>
                <w:lang w:val="ro-MD"/>
              </w:rPr>
              <w:t xml:space="preserve">; </w:t>
            </w:r>
          </w:p>
          <w:p w:rsidR="00854459" w:rsidRPr="0024512C" w:rsidRDefault="00854459" w:rsidP="00854459">
            <w:pPr>
              <w:ind w:left="48"/>
              <w:jc w:val="both"/>
              <w:rPr>
                <w:rFonts w:asciiTheme="majorHAnsi" w:hAnsiTheme="majorHAnsi" w:cstheme="majorHAnsi"/>
                <w:sz w:val="16"/>
                <w:szCs w:val="16"/>
                <w:lang w:val="ro-MD"/>
              </w:rPr>
            </w:pPr>
            <w:r w:rsidRPr="0024512C">
              <w:rPr>
                <w:rFonts w:asciiTheme="majorHAnsi" w:hAnsiTheme="majorHAnsi" w:cstheme="majorHAnsi"/>
                <w:i/>
                <w:sz w:val="16"/>
                <w:szCs w:val="16"/>
                <w:lang w:val="ro-MD"/>
              </w:rPr>
              <w:t>(ii) Crearea capacităților instituționale</w:t>
            </w:r>
            <w:r w:rsidRPr="0024512C">
              <w:rPr>
                <w:rFonts w:asciiTheme="majorHAnsi" w:hAnsiTheme="majorHAnsi" w:cstheme="majorHAnsi"/>
                <w:sz w:val="16"/>
                <w:szCs w:val="16"/>
                <w:lang w:val="ro-MD"/>
              </w:rPr>
              <w:t xml:space="preserve">; </w:t>
            </w:r>
          </w:p>
          <w:p w:rsidR="00854459" w:rsidRPr="0024512C" w:rsidRDefault="00854459" w:rsidP="00854459">
            <w:pPr>
              <w:ind w:left="48"/>
              <w:jc w:val="both"/>
              <w:rPr>
                <w:rFonts w:asciiTheme="majorHAnsi" w:hAnsiTheme="majorHAnsi" w:cstheme="majorHAnsi"/>
                <w:sz w:val="16"/>
                <w:szCs w:val="16"/>
                <w:lang w:val="ro-MD"/>
              </w:rPr>
            </w:pPr>
            <w:r w:rsidRPr="0024512C">
              <w:rPr>
                <w:rFonts w:asciiTheme="majorHAnsi" w:hAnsiTheme="majorHAnsi" w:cstheme="majorHAnsi"/>
                <w:i/>
                <w:sz w:val="16"/>
                <w:szCs w:val="16"/>
                <w:lang w:val="ro-MD"/>
              </w:rPr>
              <w:t>(iii) Investiții economice în comunitate;</w:t>
            </w:r>
          </w:p>
          <w:p w:rsidR="00854459" w:rsidRPr="00321F59" w:rsidRDefault="00854459" w:rsidP="00854459">
            <w:pPr>
              <w:ind w:left="48"/>
              <w:jc w:val="both"/>
              <w:rPr>
                <w:rFonts w:asciiTheme="majorHAnsi" w:hAnsiTheme="majorHAnsi" w:cstheme="majorHAnsi"/>
                <w:sz w:val="16"/>
                <w:szCs w:val="16"/>
                <w:lang w:val="ro-MD"/>
              </w:rPr>
            </w:pPr>
            <w:r w:rsidRPr="0024512C">
              <w:rPr>
                <w:rFonts w:asciiTheme="majorHAnsi" w:hAnsiTheme="majorHAnsi" w:cstheme="majorHAnsi"/>
                <w:i/>
                <w:sz w:val="16"/>
                <w:szCs w:val="16"/>
                <w:lang w:val="ro-MD"/>
              </w:rPr>
              <w:t>(iv) Administrarea Proiectului</w:t>
            </w:r>
          </w:p>
        </w:tc>
        <w:tc>
          <w:tcPr>
            <w:tcW w:w="3150" w:type="dxa"/>
          </w:tcPr>
          <w:p w:rsidR="00854459" w:rsidRPr="0024512C" w:rsidRDefault="00854459" w:rsidP="00854459">
            <w:pPr>
              <w:jc w:val="both"/>
              <w:rPr>
                <w:rFonts w:asciiTheme="majorHAnsi" w:hAnsiTheme="majorHAnsi" w:cstheme="majorHAnsi"/>
                <w:sz w:val="16"/>
                <w:szCs w:val="16"/>
                <w:lang w:val="ro-MD"/>
              </w:rPr>
            </w:pPr>
            <w:r w:rsidRPr="0024512C">
              <w:rPr>
                <w:rFonts w:asciiTheme="majorHAnsi" w:hAnsiTheme="majorHAnsi" w:cstheme="majorHAnsi"/>
                <w:sz w:val="16"/>
                <w:szCs w:val="16"/>
                <w:lang w:val="ro-MD"/>
              </w:rPr>
              <w:t xml:space="preserve">În baza </w:t>
            </w:r>
            <w:r w:rsidRPr="005C74F5">
              <w:rPr>
                <w:rFonts w:asciiTheme="majorHAnsi" w:hAnsiTheme="majorHAnsi" w:cstheme="majorHAnsi"/>
                <w:sz w:val="16"/>
                <w:szCs w:val="16"/>
                <w:lang w:val="ro-MD"/>
              </w:rPr>
              <w:t>Ordinului MF nr.43 din 17.04.2006, DLC i-au fost delegate sarcinile de formare a Fondului de Revitalizare a Agriculturii la Sate (FRAS), finanțat din sursele colectate ale tuturor sumelor principale și dobânzi</w:t>
            </w:r>
            <w:r w:rsidRPr="00263854">
              <w:rPr>
                <w:rFonts w:asciiTheme="majorHAnsi" w:hAnsiTheme="majorHAnsi" w:cstheme="majorHAnsi"/>
                <w:sz w:val="16"/>
                <w:szCs w:val="16"/>
                <w:lang w:val="ro-MD"/>
              </w:rPr>
              <w:t>lor sub-împrumuturilor acordate beneficiarilor prin intermediul IFP în cadrul Proiectului. De asemenea, în baza aceluiași ordin a fost stabilit că, în scopul asigurării continuității Proiectului, DLC va utiliza mijloacele FRAS pentru recreditarea proiectel</w:t>
            </w:r>
            <w:r w:rsidRPr="0024512C">
              <w:rPr>
                <w:rFonts w:asciiTheme="majorHAnsi" w:hAnsiTheme="majorHAnsi" w:cstheme="majorHAnsi"/>
                <w:sz w:val="16"/>
                <w:szCs w:val="16"/>
                <w:lang w:val="ro-MD"/>
              </w:rPr>
              <w:t>or similare ale beneficiarilor la condițiile și termenele similare, precum și pentru acordarea finanțării sub formă de grant la condițiile stabilite în cadrul Proiectului</w:t>
            </w:r>
          </w:p>
        </w:tc>
        <w:tc>
          <w:tcPr>
            <w:tcW w:w="1710" w:type="dxa"/>
          </w:tcPr>
          <w:p w:rsidR="00854459" w:rsidRPr="0024512C" w:rsidRDefault="00854459" w:rsidP="00854459">
            <w:pPr>
              <w:contextualSpacing/>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- 220 beneficiari cu valoarea împrumuturilor de 115,8 mil. lei și 2,53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w:t>
            </w:r>
          </w:p>
          <w:p w:rsidR="00854459" w:rsidRPr="0024512C" w:rsidRDefault="00854459" w:rsidP="00854459">
            <w:pPr>
              <w:contextualSpacing/>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 valoarea împrumuturilor rambursate constituie 115,1 mil. lei și 2,5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w:t>
            </w:r>
          </w:p>
          <w:p w:rsidR="00854459" w:rsidRPr="0024512C" w:rsidRDefault="00854459" w:rsidP="00854459">
            <w:pPr>
              <w:contextualSpacing/>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 soldul împrumutului este de 0,7 mil. lei și 0,03 mil. </w:t>
            </w:r>
            <w:r w:rsidR="00DA2199" w:rsidRPr="0024512C">
              <w:rPr>
                <w:rFonts w:asciiTheme="majorHAnsi" w:hAnsiTheme="majorHAnsi" w:cstheme="majorHAnsi"/>
                <w:bCs/>
                <w:sz w:val="16"/>
                <w:szCs w:val="16"/>
                <w:lang w:val="ro-MD"/>
              </w:rPr>
              <w:t>dol. SUA</w:t>
            </w:r>
          </w:p>
        </w:tc>
        <w:tc>
          <w:tcPr>
            <w:tcW w:w="1603" w:type="dxa"/>
          </w:tcPr>
          <w:p w:rsidR="00854459" w:rsidRPr="0024512C" w:rsidRDefault="00854459" w:rsidP="00854459">
            <w:pPr>
              <w:contextualSpacing/>
              <w:jc w:val="both"/>
              <w:rPr>
                <w:rFonts w:asciiTheme="majorHAnsi" w:hAnsiTheme="majorHAnsi" w:cstheme="majorHAnsi"/>
                <w:sz w:val="16"/>
                <w:szCs w:val="16"/>
                <w:lang w:val="ro-MD"/>
              </w:rPr>
            </w:pPr>
            <w:r w:rsidRPr="0024512C">
              <w:rPr>
                <w:rFonts w:asciiTheme="majorHAnsi" w:hAnsiTheme="majorHAnsi" w:cstheme="majorHAnsi"/>
                <w:bCs/>
                <w:sz w:val="16"/>
                <w:szCs w:val="16"/>
                <w:lang w:val="ro-MD"/>
              </w:rPr>
              <w:t xml:space="preserve">-396 de beneficiari cu împrumuturi în sumă totală de 405,4 mil. lei, 2,6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 xml:space="preserve"> și 0,87 mil. euro;</w:t>
            </w:r>
          </w:p>
          <w:p w:rsidR="00854459" w:rsidRPr="0024512C" w:rsidRDefault="00854459" w:rsidP="00854459">
            <w:pPr>
              <w:ind w:right="-36"/>
              <w:contextualSpacing/>
              <w:jc w:val="both"/>
              <w:rPr>
                <w:rFonts w:asciiTheme="majorHAnsi" w:hAnsiTheme="majorHAnsi" w:cstheme="majorHAnsi"/>
                <w:sz w:val="16"/>
                <w:szCs w:val="16"/>
                <w:lang w:val="ro-MD"/>
              </w:rPr>
            </w:pPr>
            <w:r w:rsidRPr="0024512C">
              <w:rPr>
                <w:rFonts w:asciiTheme="majorHAnsi" w:hAnsiTheme="majorHAnsi" w:cstheme="majorHAnsi"/>
                <w:bCs/>
                <w:sz w:val="16"/>
                <w:szCs w:val="16"/>
                <w:lang w:val="ro-MD"/>
              </w:rPr>
              <w:t xml:space="preserve">- valoarea împrumuturilor rambursate constituie 328,6 mil. lei, 2,6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 xml:space="preserve"> și 0,82 mil. euro;</w:t>
            </w:r>
          </w:p>
          <w:p w:rsidR="00854459" w:rsidRPr="0024512C" w:rsidRDefault="00854459" w:rsidP="00854459">
            <w:pPr>
              <w:contextualSpacing/>
              <w:jc w:val="both"/>
              <w:rPr>
                <w:rFonts w:asciiTheme="majorHAnsi" w:hAnsiTheme="majorHAnsi" w:cstheme="majorHAnsi"/>
                <w:sz w:val="16"/>
                <w:szCs w:val="16"/>
                <w:lang w:val="ro-MD"/>
              </w:rPr>
            </w:pPr>
            <w:r w:rsidRPr="0024512C">
              <w:rPr>
                <w:rFonts w:asciiTheme="majorHAnsi" w:hAnsiTheme="majorHAnsi" w:cstheme="majorHAnsi"/>
                <w:bCs/>
                <w:sz w:val="16"/>
                <w:szCs w:val="16"/>
                <w:lang w:val="ro-MD"/>
              </w:rPr>
              <w:t>- soldul împrumuturilor este de 76,8 mil. lei și 0,05 mil. euro</w:t>
            </w:r>
          </w:p>
        </w:tc>
      </w:tr>
      <w:tr w:rsidR="00854459" w:rsidRPr="0024512C" w:rsidTr="00854459">
        <w:trPr>
          <w:gridAfter w:val="1"/>
          <w:wAfter w:w="7" w:type="dxa"/>
        </w:trPr>
        <w:tc>
          <w:tcPr>
            <w:tcW w:w="1429" w:type="dxa"/>
          </w:tcPr>
          <w:p w:rsidR="00854459" w:rsidRPr="0024512C" w:rsidRDefault="00854459" w:rsidP="00854459">
            <w:pPr>
              <w:jc w:val="both"/>
              <w:rPr>
                <w:rFonts w:asciiTheme="majorHAnsi" w:hAnsiTheme="majorHAnsi" w:cstheme="majorHAnsi"/>
                <w:sz w:val="16"/>
                <w:szCs w:val="16"/>
                <w:lang w:val="ro-MD"/>
              </w:rPr>
            </w:pPr>
            <w:r w:rsidRPr="00321F59">
              <w:rPr>
                <w:rFonts w:asciiTheme="majorHAnsi" w:hAnsiTheme="majorHAnsi" w:cstheme="majorHAnsi"/>
                <w:b/>
                <w:i/>
                <w:sz w:val="16"/>
                <w:szCs w:val="16"/>
                <w:lang w:val="ro-MD"/>
              </w:rPr>
              <w:t xml:space="preserve">Programul de Dezvoltare a </w:t>
            </w:r>
            <w:r w:rsidRPr="00321F59">
              <w:rPr>
                <w:rFonts w:asciiTheme="majorHAnsi" w:hAnsiTheme="majorHAnsi" w:cstheme="majorHAnsi"/>
                <w:b/>
                <w:i/>
                <w:sz w:val="16"/>
                <w:szCs w:val="16"/>
                <w:lang w:val="ro-MD"/>
              </w:rPr>
              <w:lastRenderedPageBreak/>
              <w:t>Afacerilor Rurale (FIDA III)</w:t>
            </w:r>
          </w:p>
        </w:tc>
        <w:tc>
          <w:tcPr>
            <w:tcW w:w="1562" w:type="dxa"/>
          </w:tcPr>
          <w:p w:rsidR="00854459" w:rsidRPr="0024512C" w:rsidRDefault="00854459" w:rsidP="00854459">
            <w:pPr>
              <w:jc w:val="both"/>
              <w:rPr>
                <w:rFonts w:asciiTheme="majorHAnsi" w:hAnsiTheme="majorHAnsi" w:cstheme="majorHAnsi"/>
                <w:sz w:val="16"/>
                <w:szCs w:val="16"/>
                <w:lang w:val="ro-MD"/>
              </w:rPr>
            </w:pPr>
            <w:r w:rsidRPr="00321F59">
              <w:rPr>
                <w:rFonts w:asciiTheme="majorHAnsi" w:hAnsiTheme="majorHAnsi" w:cstheme="majorHAnsi"/>
                <w:sz w:val="16"/>
                <w:szCs w:val="16"/>
                <w:lang w:val="ro-MD"/>
              </w:rPr>
              <w:lastRenderedPageBreak/>
              <w:t>Acordul de Împrumut nr.686-MD din 21.02.2006</w:t>
            </w:r>
          </w:p>
        </w:tc>
        <w:tc>
          <w:tcPr>
            <w:tcW w:w="1398" w:type="dxa"/>
          </w:tcPr>
          <w:p w:rsidR="00854459" w:rsidRPr="0024512C" w:rsidRDefault="00854459" w:rsidP="00854459">
            <w:pPr>
              <w:jc w:val="both"/>
              <w:rPr>
                <w:rFonts w:asciiTheme="majorHAnsi" w:hAnsiTheme="majorHAnsi" w:cstheme="majorHAnsi"/>
                <w:sz w:val="16"/>
                <w:szCs w:val="16"/>
                <w:lang w:val="ro-MD"/>
              </w:rPr>
            </w:pPr>
            <w:r w:rsidRPr="00321F59">
              <w:rPr>
                <w:rFonts w:asciiTheme="majorHAnsi" w:hAnsiTheme="majorHAnsi" w:cstheme="majorHAnsi"/>
                <w:sz w:val="16"/>
                <w:szCs w:val="16"/>
                <w:lang w:val="ro-MD"/>
              </w:rPr>
              <w:t xml:space="preserve">Împrumut în valoare de 9,1 mil. DST, dintre care </w:t>
            </w:r>
            <w:r w:rsidRPr="00321F59">
              <w:rPr>
                <w:rFonts w:asciiTheme="majorHAnsi" w:hAnsiTheme="majorHAnsi" w:cstheme="majorHAnsi"/>
                <w:sz w:val="16"/>
                <w:szCs w:val="16"/>
                <w:lang w:val="ro-MD"/>
              </w:rPr>
              <w:lastRenderedPageBreak/>
              <w:t xml:space="preserve">circa 5,6 mil. DST sunt destinate pentru recreditarea ÎMM </w:t>
            </w:r>
          </w:p>
        </w:tc>
        <w:tc>
          <w:tcPr>
            <w:tcW w:w="1550" w:type="dxa"/>
          </w:tcPr>
          <w:p w:rsidR="00854459" w:rsidRPr="005C74F5" w:rsidRDefault="00854459" w:rsidP="00854459">
            <w:pPr>
              <w:jc w:val="both"/>
              <w:rPr>
                <w:rFonts w:asciiTheme="majorHAnsi" w:hAnsiTheme="majorHAnsi" w:cstheme="majorHAnsi"/>
                <w:sz w:val="16"/>
                <w:szCs w:val="16"/>
                <w:lang w:val="ro-MD"/>
              </w:rPr>
            </w:pPr>
            <w:r w:rsidRPr="005C74F5">
              <w:rPr>
                <w:rFonts w:asciiTheme="majorHAnsi" w:hAnsiTheme="majorHAnsi" w:cstheme="majorHAnsi"/>
                <w:bCs/>
                <w:sz w:val="16"/>
                <w:szCs w:val="16"/>
                <w:lang w:val="ro-MD"/>
              </w:rPr>
              <w:lastRenderedPageBreak/>
              <w:t xml:space="preserve">Lansat în iulie 2006 cu o perioadă de implementare de 5 </w:t>
            </w:r>
            <w:r w:rsidRPr="005C74F5">
              <w:rPr>
                <w:rFonts w:asciiTheme="majorHAnsi" w:hAnsiTheme="majorHAnsi" w:cstheme="majorHAnsi"/>
                <w:bCs/>
                <w:sz w:val="16"/>
                <w:szCs w:val="16"/>
                <w:lang w:val="ro-MD"/>
              </w:rPr>
              <w:lastRenderedPageBreak/>
              <w:t>ani (iulie 2006 – septembrie 2011)</w:t>
            </w:r>
          </w:p>
        </w:tc>
        <w:tc>
          <w:tcPr>
            <w:tcW w:w="1453" w:type="dxa"/>
          </w:tcPr>
          <w:p w:rsidR="00854459" w:rsidRPr="0024512C" w:rsidRDefault="00854459" w:rsidP="00854459">
            <w:pPr>
              <w:jc w:val="both"/>
              <w:rPr>
                <w:rFonts w:asciiTheme="majorHAnsi" w:hAnsiTheme="majorHAnsi" w:cstheme="majorHAnsi"/>
                <w:sz w:val="16"/>
                <w:szCs w:val="16"/>
                <w:lang w:val="ro-MD"/>
              </w:rPr>
            </w:pPr>
            <w:r w:rsidRPr="0024512C">
              <w:rPr>
                <w:rFonts w:asciiTheme="majorHAnsi" w:hAnsiTheme="majorHAnsi" w:cstheme="majorHAnsi"/>
                <w:bCs/>
                <w:sz w:val="16"/>
                <w:szCs w:val="16"/>
                <w:lang w:val="ro-MD"/>
              </w:rPr>
              <w:lastRenderedPageBreak/>
              <w:t xml:space="preserve">Asigurarea unei creșteri durabile a veniturilor </w:t>
            </w:r>
            <w:r w:rsidRPr="0024512C">
              <w:rPr>
                <w:rFonts w:asciiTheme="majorHAnsi" w:hAnsiTheme="majorHAnsi" w:cstheme="majorHAnsi"/>
                <w:bCs/>
                <w:sz w:val="16"/>
                <w:szCs w:val="16"/>
                <w:lang w:val="ro-MD"/>
              </w:rPr>
              <w:lastRenderedPageBreak/>
              <w:t>persoanelor sărace din spațiul rural al Republicii Moldova</w:t>
            </w:r>
          </w:p>
        </w:tc>
        <w:tc>
          <w:tcPr>
            <w:tcW w:w="1685" w:type="dxa"/>
          </w:tcPr>
          <w:p w:rsidR="00854459" w:rsidRPr="0024512C" w:rsidRDefault="00854459" w:rsidP="00854459">
            <w:pPr>
              <w:numPr>
                <w:ilvl w:val="0"/>
                <w:numId w:val="10"/>
              </w:numPr>
              <w:ind w:left="78" w:hanging="30"/>
              <w:contextualSpacing/>
              <w:jc w:val="both"/>
              <w:rPr>
                <w:rFonts w:asciiTheme="majorHAnsi" w:hAnsiTheme="majorHAnsi" w:cstheme="majorHAnsi"/>
                <w:bCs/>
                <w:sz w:val="16"/>
                <w:szCs w:val="16"/>
                <w:lang w:val="ro-MD"/>
              </w:rPr>
            </w:pPr>
            <w:r w:rsidRPr="0024512C">
              <w:rPr>
                <w:rFonts w:asciiTheme="majorHAnsi" w:hAnsiTheme="majorHAnsi" w:cstheme="majorHAnsi"/>
                <w:bCs/>
                <w:i/>
                <w:sz w:val="16"/>
                <w:szCs w:val="16"/>
                <w:lang w:val="ro-MD"/>
              </w:rPr>
              <w:lastRenderedPageBreak/>
              <w:t>Servicii de intermediere în afacerile rurale</w:t>
            </w:r>
            <w:r w:rsidRPr="0024512C">
              <w:rPr>
                <w:rFonts w:asciiTheme="majorHAnsi" w:hAnsiTheme="majorHAnsi" w:cstheme="majorHAnsi"/>
                <w:bCs/>
                <w:sz w:val="16"/>
                <w:szCs w:val="16"/>
                <w:lang w:val="ro-MD"/>
              </w:rPr>
              <w:t xml:space="preserve">; </w:t>
            </w:r>
          </w:p>
          <w:p w:rsidR="00854459" w:rsidRPr="0024512C" w:rsidRDefault="00854459" w:rsidP="00854459">
            <w:pPr>
              <w:numPr>
                <w:ilvl w:val="0"/>
                <w:numId w:val="10"/>
              </w:numPr>
              <w:ind w:left="78" w:hanging="30"/>
              <w:contextualSpacing/>
              <w:jc w:val="both"/>
              <w:rPr>
                <w:rFonts w:asciiTheme="majorHAnsi" w:hAnsiTheme="majorHAnsi" w:cstheme="majorHAnsi"/>
                <w:bCs/>
                <w:i/>
                <w:sz w:val="16"/>
                <w:szCs w:val="16"/>
                <w:lang w:val="ro-MD"/>
              </w:rPr>
            </w:pPr>
            <w:r w:rsidRPr="0024512C">
              <w:rPr>
                <w:rFonts w:asciiTheme="majorHAnsi" w:hAnsiTheme="majorHAnsi" w:cstheme="majorHAnsi"/>
                <w:bCs/>
                <w:i/>
                <w:sz w:val="16"/>
                <w:szCs w:val="16"/>
                <w:lang w:val="ro-MD"/>
              </w:rPr>
              <w:lastRenderedPageBreak/>
              <w:t>Servicii financiare rurale;</w:t>
            </w:r>
          </w:p>
          <w:p w:rsidR="00854459" w:rsidRPr="0024512C" w:rsidRDefault="00854459" w:rsidP="00854459">
            <w:pPr>
              <w:numPr>
                <w:ilvl w:val="0"/>
                <w:numId w:val="10"/>
              </w:numPr>
              <w:ind w:left="78" w:hanging="30"/>
              <w:contextualSpacing/>
              <w:jc w:val="both"/>
              <w:rPr>
                <w:rFonts w:asciiTheme="majorHAnsi" w:hAnsiTheme="majorHAnsi" w:cstheme="majorHAnsi"/>
                <w:bCs/>
                <w:sz w:val="16"/>
                <w:szCs w:val="16"/>
                <w:lang w:val="ro-MD"/>
              </w:rPr>
            </w:pPr>
            <w:r w:rsidRPr="0024512C">
              <w:rPr>
                <w:rFonts w:asciiTheme="majorHAnsi" w:hAnsiTheme="majorHAnsi" w:cstheme="majorHAnsi"/>
                <w:bCs/>
                <w:i/>
                <w:sz w:val="16"/>
                <w:szCs w:val="16"/>
                <w:lang w:val="ro-MD"/>
              </w:rPr>
              <w:t>Investiții în infrastructura determinată de condițiile piețe</w:t>
            </w:r>
            <w:r w:rsidRPr="0024512C">
              <w:rPr>
                <w:rFonts w:asciiTheme="majorHAnsi" w:hAnsiTheme="majorHAnsi" w:cstheme="majorHAnsi"/>
                <w:bCs/>
                <w:sz w:val="16"/>
                <w:szCs w:val="16"/>
                <w:lang w:val="ro-MD"/>
              </w:rPr>
              <w:t>;</w:t>
            </w:r>
          </w:p>
          <w:p w:rsidR="00854459" w:rsidRPr="0024512C" w:rsidRDefault="00854459" w:rsidP="00854459">
            <w:pPr>
              <w:ind w:left="48"/>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 </w:t>
            </w:r>
            <w:r w:rsidRPr="0024512C">
              <w:rPr>
                <w:rFonts w:asciiTheme="majorHAnsi" w:hAnsiTheme="majorHAnsi" w:cstheme="majorHAnsi"/>
                <w:bCs/>
                <w:i/>
                <w:sz w:val="16"/>
                <w:szCs w:val="16"/>
                <w:lang w:val="ro-MD"/>
              </w:rPr>
              <w:t>(iv) Managementul Programului</w:t>
            </w:r>
          </w:p>
          <w:p w:rsidR="00854459" w:rsidRPr="0024512C" w:rsidRDefault="00854459" w:rsidP="00854459">
            <w:pPr>
              <w:jc w:val="both"/>
              <w:rPr>
                <w:rFonts w:asciiTheme="majorHAnsi" w:hAnsiTheme="majorHAnsi" w:cstheme="majorHAnsi"/>
                <w:sz w:val="16"/>
                <w:szCs w:val="16"/>
                <w:lang w:val="ro-MD"/>
              </w:rPr>
            </w:pPr>
          </w:p>
        </w:tc>
        <w:tc>
          <w:tcPr>
            <w:tcW w:w="3150"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lastRenderedPageBreak/>
              <w:t xml:space="preserve">În baza prevederilor acordului de împrumut, DLC va prelua gestionarea și monitorizarea portofoliului de refinanțare a împrumuturilor </w:t>
            </w:r>
            <w:r w:rsidRPr="0024512C">
              <w:rPr>
                <w:rFonts w:asciiTheme="majorHAnsi" w:hAnsiTheme="majorHAnsi" w:cstheme="majorHAnsi"/>
                <w:bCs/>
                <w:sz w:val="16"/>
                <w:szCs w:val="16"/>
                <w:lang w:val="ro-MD"/>
              </w:rPr>
              <w:lastRenderedPageBreak/>
              <w:t xml:space="preserve">după efectuarea plăților de către </w:t>
            </w:r>
            <w:r w:rsidRPr="0024512C">
              <w:rPr>
                <w:rFonts w:asciiTheme="majorHAnsi" w:hAnsiTheme="majorHAnsi" w:cstheme="majorHAnsi"/>
                <w:sz w:val="16"/>
                <w:szCs w:val="16"/>
                <w:lang w:val="ro-MD"/>
              </w:rPr>
              <w:t>UCIP-IFAD</w:t>
            </w:r>
            <w:r w:rsidRPr="0024512C">
              <w:rPr>
                <w:rFonts w:asciiTheme="majorHAnsi" w:hAnsiTheme="majorHAnsi" w:cstheme="majorHAnsi"/>
                <w:bCs/>
                <w:sz w:val="16"/>
                <w:szCs w:val="16"/>
                <w:lang w:val="ro-MD"/>
              </w:rPr>
              <w:t xml:space="preserve"> și va gestiona fondul de refinanțare circulant. </w:t>
            </w:r>
          </w:p>
          <w:p w:rsidR="00854459" w:rsidRPr="005C74F5" w:rsidRDefault="00854459" w:rsidP="00854459">
            <w:pPr>
              <w:jc w:val="both"/>
              <w:rPr>
                <w:rFonts w:asciiTheme="majorHAnsi" w:hAnsiTheme="majorHAnsi" w:cstheme="majorHAnsi"/>
                <w:sz w:val="16"/>
                <w:szCs w:val="16"/>
                <w:lang w:val="ro-MD"/>
              </w:rPr>
            </w:pPr>
            <w:r w:rsidRPr="0024512C">
              <w:rPr>
                <w:rFonts w:asciiTheme="majorHAnsi" w:hAnsiTheme="majorHAnsi" w:cstheme="majorHAnsi"/>
                <w:sz w:val="16"/>
                <w:szCs w:val="16"/>
                <w:lang w:val="ro-MD"/>
              </w:rPr>
              <w:t xml:space="preserve">În baza ordinului MF nr. 93 din 21.12.2006, DLC i-au fost delegate sarcinile de formare, gestionare și administrare a surselor acumulate în conturile Fondului de Recreditare al Împrumutului (FRÎ), care se va finanța din contul sumelor principale rambursate și a dobânzilor aferente plătite de către IFP pentru sub-împrumuturile acordate beneficiarilor în cadrul Programului. De asemenea, în baza aceluiași ordin a fost stabilit că în scopul asigurării continuității Programului, DLC va utiliza mijloacele FRÎ pentru re-creditarea proiectelor similare ale beneficiarilor </w:t>
            </w:r>
            <w:r w:rsidRPr="00321F59">
              <w:rPr>
                <w:rFonts w:asciiTheme="majorHAnsi" w:hAnsiTheme="majorHAnsi" w:cstheme="majorHAnsi"/>
                <w:sz w:val="16"/>
                <w:szCs w:val="16"/>
                <w:lang w:val="ro-MD"/>
              </w:rPr>
              <w:t>în</w:t>
            </w:r>
            <w:r w:rsidRPr="0024512C">
              <w:rPr>
                <w:rFonts w:asciiTheme="majorHAnsi" w:hAnsiTheme="majorHAnsi" w:cstheme="majorHAnsi"/>
                <w:sz w:val="16"/>
                <w:szCs w:val="16"/>
                <w:lang w:val="ro-MD"/>
              </w:rPr>
              <w:t xml:space="preserve"> condiții și termeni analogici </w:t>
            </w:r>
          </w:p>
        </w:tc>
        <w:tc>
          <w:tcPr>
            <w:tcW w:w="1710" w:type="dxa"/>
          </w:tcPr>
          <w:p w:rsidR="00854459" w:rsidRPr="0024512C" w:rsidRDefault="00854459" w:rsidP="00854459">
            <w:pPr>
              <w:ind w:left="-18"/>
              <w:contextualSpacing/>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lastRenderedPageBreak/>
              <w:t xml:space="preserve">- 138 de beneficiari cu valoarea împrumuturilor de 73,9 </w:t>
            </w:r>
            <w:r w:rsidRPr="0024512C">
              <w:rPr>
                <w:rFonts w:asciiTheme="majorHAnsi" w:hAnsiTheme="majorHAnsi" w:cstheme="majorHAnsi"/>
                <w:bCs/>
                <w:sz w:val="16"/>
                <w:szCs w:val="16"/>
                <w:lang w:val="ro-MD"/>
              </w:rPr>
              <w:lastRenderedPageBreak/>
              <w:t xml:space="preserve">mil. lei și 4,0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w:t>
            </w:r>
          </w:p>
          <w:p w:rsidR="00854459" w:rsidRPr="0024512C" w:rsidRDefault="00854459" w:rsidP="00854459">
            <w:pPr>
              <w:ind w:left="-18"/>
              <w:contextualSpacing/>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 valoarea împrumuturilor rambursate constituie 73,8 mil. lei și 4,0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w:t>
            </w:r>
          </w:p>
          <w:p w:rsidR="00854459" w:rsidRPr="0024512C" w:rsidRDefault="00854459" w:rsidP="00854459">
            <w:pPr>
              <w:ind w:left="-18"/>
              <w:contextualSpacing/>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 </w:t>
            </w:r>
            <w:r w:rsidR="00A16E71" w:rsidRPr="0024512C">
              <w:rPr>
                <w:rFonts w:asciiTheme="majorHAnsi" w:hAnsiTheme="majorHAnsi" w:cstheme="majorHAnsi"/>
                <w:bCs/>
                <w:sz w:val="16"/>
                <w:szCs w:val="16"/>
                <w:lang w:val="ro-MD"/>
              </w:rPr>
              <w:t>soldul împrumutului este de 0,15</w:t>
            </w:r>
            <w:r w:rsidRPr="0024512C">
              <w:rPr>
                <w:rFonts w:asciiTheme="majorHAnsi" w:hAnsiTheme="majorHAnsi" w:cstheme="majorHAnsi"/>
                <w:bCs/>
                <w:sz w:val="16"/>
                <w:szCs w:val="16"/>
                <w:lang w:val="ro-MD"/>
              </w:rPr>
              <w:t xml:space="preserve"> mil. lei</w:t>
            </w:r>
          </w:p>
        </w:tc>
        <w:tc>
          <w:tcPr>
            <w:tcW w:w="1603" w:type="dxa"/>
          </w:tcPr>
          <w:p w:rsidR="00854459" w:rsidRPr="0024512C" w:rsidRDefault="00854459" w:rsidP="00854459">
            <w:pPr>
              <w:contextualSpacing/>
              <w:jc w:val="both"/>
              <w:rPr>
                <w:rFonts w:asciiTheme="majorHAnsi" w:hAnsiTheme="majorHAnsi" w:cstheme="majorHAnsi"/>
                <w:sz w:val="16"/>
                <w:szCs w:val="16"/>
                <w:lang w:val="ro-MD"/>
              </w:rPr>
            </w:pPr>
            <w:r w:rsidRPr="0024512C">
              <w:rPr>
                <w:rFonts w:asciiTheme="majorHAnsi" w:hAnsiTheme="majorHAnsi" w:cstheme="majorHAnsi"/>
                <w:bCs/>
                <w:sz w:val="16"/>
                <w:szCs w:val="16"/>
                <w:lang w:val="ro-MD"/>
              </w:rPr>
              <w:lastRenderedPageBreak/>
              <w:t xml:space="preserve">- 367 de beneficiari cu împrumuturi în sumă totală de 270,1 </w:t>
            </w:r>
            <w:r w:rsidRPr="0024512C">
              <w:rPr>
                <w:rFonts w:asciiTheme="majorHAnsi" w:hAnsiTheme="majorHAnsi" w:cstheme="majorHAnsi"/>
                <w:bCs/>
                <w:sz w:val="16"/>
                <w:szCs w:val="16"/>
                <w:lang w:val="ro-MD"/>
              </w:rPr>
              <w:lastRenderedPageBreak/>
              <w:t xml:space="preserve">mil. lei, 4,54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 xml:space="preserve"> și 0,79 mil. euro;</w:t>
            </w:r>
            <w:r w:rsidRPr="0024512C" w:rsidDel="00737004">
              <w:rPr>
                <w:rFonts w:asciiTheme="majorHAnsi" w:hAnsiTheme="majorHAnsi" w:cstheme="majorHAnsi"/>
                <w:sz w:val="16"/>
                <w:szCs w:val="16"/>
                <w:lang w:val="ro-MD"/>
              </w:rPr>
              <w:t xml:space="preserve"> </w:t>
            </w:r>
            <w:r w:rsidRPr="0024512C">
              <w:rPr>
                <w:rFonts w:asciiTheme="majorHAnsi" w:hAnsiTheme="majorHAnsi" w:cstheme="majorHAnsi"/>
                <w:bCs/>
                <w:sz w:val="16"/>
                <w:szCs w:val="16"/>
                <w:lang w:val="ro-MD"/>
              </w:rPr>
              <w:t>- valoarea împrumutur</w:t>
            </w:r>
            <w:r w:rsidR="00A16E71" w:rsidRPr="0024512C">
              <w:rPr>
                <w:rFonts w:asciiTheme="majorHAnsi" w:hAnsiTheme="majorHAnsi" w:cstheme="majorHAnsi"/>
                <w:bCs/>
                <w:sz w:val="16"/>
                <w:szCs w:val="16"/>
                <w:lang w:val="ro-MD"/>
              </w:rPr>
              <w:t>ilor rambursate constituie 230,35</w:t>
            </w:r>
            <w:r w:rsidRPr="0024512C">
              <w:rPr>
                <w:rFonts w:asciiTheme="majorHAnsi" w:hAnsiTheme="majorHAnsi" w:cstheme="majorHAnsi"/>
                <w:bCs/>
                <w:sz w:val="16"/>
                <w:szCs w:val="16"/>
                <w:lang w:val="ro-MD"/>
              </w:rPr>
              <w:t xml:space="preserve"> mil. lei, 4,48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 xml:space="preserve"> și 0,78 mil. euro;</w:t>
            </w:r>
          </w:p>
          <w:p w:rsidR="00854459" w:rsidRPr="0024512C" w:rsidRDefault="00854459" w:rsidP="00854459">
            <w:pPr>
              <w:ind w:right="-36"/>
              <w:contextualSpacing/>
              <w:jc w:val="both"/>
              <w:rPr>
                <w:rFonts w:asciiTheme="majorHAnsi" w:hAnsiTheme="majorHAnsi" w:cstheme="majorHAnsi"/>
                <w:sz w:val="16"/>
                <w:szCs w:val="16"/>
                <w:lang w:val="ro-MD"/>
              </w:rPr>
            </w:pPr>
            <w:r w:rsidRPr="0024512C">
              <w:rPr>
                <w:rFonts w:asciiTheme="majorHAnsi" w:hAnsiTheme="majorHAnsi" w:cstheme="majorHAnsi"/>
                <w:bCs/>
                <w:sz w:val="16"/>
                <w:szCs w:val="16"/>
                <w:lang w:val="ro-MD"/>
              </w:rPr>
              <w:t xml:space="preserve">- soldul împrumuturilor este de 39,8 mil. lei, 0,06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 xml:space="preserve"> și 0,01 mil. euro</w:t>
            </w:r>
          </w:p>
        </w:tc>
      </w:tr>
      <w:tr w:rsidR="00854459" w:rsidRPr="0024512C" w:rsidTr="00854459">
        <w:trPr>
          <w:gridAfter w:val="1"/>
          <w:wAfter w:w="7" w:type="dxa"/>
        </w:trPr>
        <w:tc>
          <w:tcPr>
            <w:tcW w:w="1429" w:type="dxa"/>
          </w:tcPr>
          <w:p w:rsidR="00854459" w:rsidRPr="0024512C" w:rsidRDefault="00854459" w:rsidP="00854459">
            <w:pPr>
              <w:jc w:val="both"/>
              <w:rPr>
                <w:rFonts w:asciiTheme="majorHAnsi" w:hAnsiTheme="majorHAnsi" w:cstheme="majorHAnsi"/>
                <w:sz w:val="16"/>
                <w:szCs w:val="16"/>
                <w:lang w:val="ro-MD"/>
              </w:rPr>
            </w:pPr>
            <w:r w:rsidRPr="00321F59">
              <w:rPr>
                <w:rFonts w:asciiTheme="majorHAnsi" w:hAnsiTheme="majorHAnsi" w:cstheme="majorHAnsi"/>
                <w:b/>
                <w:i/>
                <w:sz w:val="16"/>
                <w:szCs w:val="16"/>
                <w:lang w:val="ro-MD"/>
              </w:rPr>
              <w:lastRenderedPageBreak/>
              <w:t>Programul de Servicii Financiare Rurale și Marketing (FIDA IV)</w:t>
            </w:r>
          </w:p>
        </w:tc>
        <w:tc>
          <w:tcPr>
            <w:tcW w:w="1562" w:type="dxa"/>
          </w:tcPr>
          <w:p w:rsidR="00854459" w:rsidRPr="0024512C" w:rsidRDefault="00854459" w:rsidP="00854459">
            <w:pPr>
              <w:jc w:val="both"/>
              <w:rPr>
                <w:rFonts w:asciiTheme="majorHAnsi" w:hAnsiTheme="majorHAnsi" w:cstheme="majorHAnsi"/>
                <w:sz w:val="16"/>
                <w:szCs w:val="16"/>
                <w:lang w:val="ro-MD"/>
              </w:rPr>
            </w:pPr>
            <w:r w:rsidRPr="00321F59">
              <w:rPr>
                <w:rFonts w:asciiTheme="majorHAnsi" w:hAnsiTheme="majorHAnsi" w:cstheme="majorHAnsi"/>
                <w:sz w:val="16"/>
                <w:szCs w:val="16"/>
                <w:lang w:val="ro-MD"/>
              </w:rPr>
              <w:t>Acordul de Împrumut nr.758-MD din 29.10.2008</w:t>
            </w:r>
          </w:p>
        </w:tc>
        <w:tc>
          <w:tcPr>
            <w:tcW w:w="1398" w:type="dxa"/>
          </w:tcPr>
          <w:p w:rsidR="00854459" w:rsidRPr="0024512C" w:rsidRDefault="00854459" w:rsidP="00854459">
            <w:pPr>
              <w:jc w:val="both"/>
              <w:rPr>
                <w:rFonts w:asciiTheme="majorHAnsi" w:hAnsiTheme="majorHAnsi" w:cstheme="majorHAnsi"/>
                <w:sz w:val="16"/>
                <w:szCs w:val="16"/>
                <w:lang w:val="ro-MD"/>
              </w:rPr>
            </w:pPr>
            <w:r w:rsidRPr="005C74F5">
              <w:rPr>
                <w:rFonts w:asciiTheme="majorHAnsi" w:hAnsiTheme="majorHAnsi" w:cstheme="majorHAnsi"/>
                <w:sz w:val="16"/>
                <w:szCs w:val="16"/>
                <w:lang w:val="ro-MD"/>
              </w:rPr>
              <w:t>Î</w:t>
            </w:r>
            <w:r w:rsidRPr="00321F59">
              <w:rPr>
                <w:rFonts w:asciiTheme="majorHAnsi" w:hAnsiTheme="majorHAnsi" w:cstheme="majorHAnsi"/>
                <w:sz w:val="16"/>
                <w:szCs w:val="16"/>
                <w:lang w:val="ro-MD"/>
              </w:rPr>
              <w:t xml:space="preserve">mprumut în valoare de 8,1 mil. DST și un grant în sumă de 340,0 mii DST, dintre care circa 5,0 mil. DST sunt destinate pentru recreditarea ÎMM </w:t>
            </w:r>
          </w:p>
        </w:tc>
        <w:tc>
          <w:tcPr>
            <w:tcW w:w="1550" w:type="dxa"/>
          </w:tcPr>
          <w:p w:rsidR="00854459" w:rsidRPr="00263854" w:rsidRDefault="00854459" w:rsidP="00854459">
            <w:pPr>
              <w:jc w:val="both"/>
              <w:rPr>
                <w:rFonts w:asciiTheme="majorHAnsi" w:hAnsiTheme="majorHAnsi" w:cstheme="majorHAnsi"/>
                <w:sz w:val="16"/>
                <w:szCs w:val="16"/>
                <w:lang w:val="ro-MD"/>
              </w:rPr>
            </w:pPr>
            <w:r w:rsidRPr="005C74F5">
              <w:rPr>
                <w:rFonts w:asciiTheme="majorHAnsi" w:hAnsiTheme="majorHAnsi" w:cstheme="majorHAnsi"/>
                <w:bCs/>
                <w:sz w:val="16"/>
                <w:szCs w:val="16"/>
                <w:lang w:val="ro-MD"/>
              </w:rPr>
              <w:t>Lansat în februarie 2009 cu o perioadă de implementare de 60 luni (februarie 2009 – martie 2014)</w:t>
            </w:r>
          </w:p>
        </w:tc>
        <w:tc>
          <w:tcPr>
            <w:tcW w:w="1453" w:type="dxa"/>
          </w:tcPr>
          <w:p w:rsidR="00854459" w:rsidRPr="00321F59" w:rsidRDefault="00854459" w:rsidP="00854459">
            <w:pPr>
              <w:jc w:val="both"/>
              <w:rPr>
                <w:rFonts w:asciiTheme="majorHAnsi" w:hAnsiTheme="majorHAnsi" w:cstheme="majorHAnsi"/>
                <w:sz w:val="16"/>
                <w:szCs w:val="16"/>
                <w:lang w:val="ro-MD"/>
              </w:rPr>
            </w:pPr>
            <w:r w:rsidRPr="0024512C">
              <w:rPr>
                <w:rFonts w:asciiTheme="majorHAnsi" w:hAnsiTheme="majorHAnsi" w:cstheme="majorHAnsi"/>
                <w:bCs/>
                <w:sz w:val="16"/>
                <w:szCs w:val="16"/>
                <w:lang w:val="ro-MD"/>
              </w:rPr>
              <w:t>De a reduce sărăcia în mediul rural din Republica Moldova, creând condiții favorabile pentru cei mai săraci membri ai societății rurale, în vederea creșterii veniturilor acestora prin acces sporit la piețe și locuri de muncă</w:t>
            </w:r>
          </w:p>
          <w:p w:rsidR="00854459" w:rsidRPr="00321F59" w:rsidRDefault="00854459" w:rsidP="00854459">
            <w:pPr>
              <w:jc w:val="both"/>
              <w:rPr>
                <w:rFonts w:asciiTheme="majorHAnsi" w:hAnsiTheme="majorHAnsi" w:cstheme="majorHAnsi"/>
                <w:sz w:val="16"/>
                <w:szCs w:val="16"/>
                <w:lang w:val="ro-MD"/>
              </w:rPr>
            </w:pPr>
          </w:p>
        </w:tc>
        <w:tc>
          <w:tcPr>
            <w:tcW w:w="1685" w:type="dxa"/>
          </w:tcPr>
          <w:p w:rsidR="00854459" w:rsidRPr="00263854" w:rsidRDefault="00854459" w:rsidP="00854459">
            <w:pPr>
              <w:numPr>
                <w:ilvl w:val="0"/>
                <w:numId w:val="11"/>
              </w:numPr>
              <w:ind w:left="78" w:hanging="30"/>
              <w:contextualSpacing/>
              <w:jc w:val="both"/>
              <w:rPr>
                <w:rFonts w:asciiTheme="majorHAnsi" w:hAnsiTheme="majorHAnsi" w:cstheme="majorHAnsi"/>
                <w:bCs/>
                <w:sz w:val="16"/>
                <w:szCs w:val="16"/>
                <w:lang w:val="ro-MD"/>
              </w:rPr>
            </w:pPr>
            <w:r w:rsidRPr="0024512C">
              <w:rPr>
                <w:rFonts w:asciiTheme="majorHAnsi" w:hAnsiTheme="majorHAnsi" w:cstheme="majorHAnsi"/>
                <w:bCs/>
                <w:i/>
                <w:sz w:val="16"/>
                <w:szCs w:val="16"/>
                <w:lang w:val="ro-MD"/>
              </w:rPr>
              <w:t>Dezvoltarea lanțului valoric pentru reducerea sărăci</w:t>
            </w:r>
            <w:r w:rsidRPr="005C74F5">
              <w:rPr>
                <w:rFonts w:asciiTheme="majorHAnsi" w:hAnsiTheme="majorHAnsi" w:cstheme="majorHAnsi"/>
                <w:bCs/>
                <w:i/>
                <w:sz w:val="16"/>
                <w:szCs w:val="16"/>
                <w:lang w:val="ro-MD"/>
              </w:rPr>
              <w:t>ei rurale</w:t>
            </w:r>
            <w:r w:rsidRPr="00263854">
              <w:rPr>
                <w:rFonts w:asciiTheme="majorHAnsi" w:hAnsiTheme="majorHAnsi" w:cstheme="majorHAnsi"/>
                <w:bCs/>
                <w:sz w:val="16"/>
                <w:szCs w:val="16"/>
                <w:lang w:val="ro-MD"/>
              </w:rPr>
              <w:t xml:space="preserve">; </w:t>
            </w:r>
          </w:p>
          <w:p w:rsidR="00854459" w:rsidRPr="0024512C" w:rsidRDefault="00854459" w:rsidP="00854459">
            <w:pPr>
              <w:numPr>
                <w:ilvl w:val="0"/>
                <w:numId w:val="11"/>
              </w:numPr>
              <w:ind w:left="78" w:hanging="30"/>
              <w:contextualSpacing/>
              <w:jc w:val="both"/>
              <w:rPr>
                <w:rFonts w:asciiTheme="majorHAnsi" w:hAnsiTheme="majorHAnsi" w:cstheme="majorHAnsi"/>
                <w:bCs/>
                <w:sz w:val="16"/>
                <w:szCs w:val="16"/>
                <w:lang w:val="ro-MD"/>
              </w:rPr>
            </w:pPr>
            <w:r w:rsidRPr="0024512C">
              <w:rPr>
                <w:rFonts w:asciiTheme="majorHAnsi" w:hAnsiTheme="majorHAnsi" w:cstheme="majorHAnsi"/>
                <w:bCs/>
                <w:i/>
                <w:sz w:val="16"/>
                <w:szCs w:val="16"/>
                <w:lang w:val="ro-MD"/>
              </w:rPr>
              <w:t>Servicii financiare rurale</w:t>
            </w:r>
            <w:r w:rsidRPr="0024512C">
              <w:rPr>
                <w:rFonts w:asciiTheme="majorHAnsi" w:hAnsiTheme="majorHAnsi" w:cstheme="majorHAnsi"/>
                <w:bCs/>
                <w:sz w:val="16"/>
                <w:szCs w:val="16"/>
                <w:lang w:val="ro-MD"/>
              </w:rPr>
              <w:t xml:space="preserve">; </w:t>
            </w:r>
          </w:p>
          <w:p w:rsidR="00854459" w:rsidRPr="0024512C" w:rsidRDefault="00854459" w:rsidP="00854459">
            <w:pPr>
              <w:numPr>
                <w:ilvl w:val="0"/>
                <w:numId w:val="11"/>
              </w:numPr>
              <w:ind w:left="78" w:hanging="30"/>
              <w:contextualSpacing/>
              <w:jc w:val="both"/>
              <w:rPr>
                <w:rFonts w:asciiTheme="majorHAnsi" w:hAnsiTheme="majorHAnsi" w:cstheme="majorHAnsi"/>
                <w:bCs/>
                <w:sz w:val="16"/>
                <w:szCs w:val="16"/>
                <w:lang w:val="ro-MD"/>
              </w:rPr>
            </w:pPr>
            <w:r w:rsidRPr="0024512C">
              <w:rPr>
                <w:rFonts w:asciiTheme="majorHAnsi" w:hAnsiTheme="majorHAnsi" w:cstheme="majorHAnsi"/>
                <w:bCs/>
                <w:i/>
                <w:sz w:val="16"/>
                <w:szCs w:val="16"/>
                <w:lang w:val="ro-MD"/>
              </w:rPr>
              <w:t>Dezvoltarea infrastructurii economice pentru a favoriza categoriile sociale mai sărace</w:t>
            </w:r>
            <w:r w:rsidRPr="0024512C">
              <w:rPr>
                <w:rFonts w:asciiTheme="majorHAnsi" w:hAnsiTheme="majorHAnsi" w:cstheme="majorHAnsi"/>
                <w:bCs/>
                <w:sz w:val="16"/>
                <w:szCs w:val="16"/>
                <w:lang w:val="ro-MD"/>
              </w:rPr>
              <w:t xml:space="preserve">; </w:t>
            </w:r>
          </w:p>
          <w:p w:rsidR="00854459" w:rsidRPr="0024512C" w:rsidRDefault="00854459" w:rsidP="00854459">
            <w:pPr>
              <w:ind w:left="78" w:hanging="30"/>
              <w:jc w:val="both"/>
              <w:rPr>
                <w:rFonts w:asciiTheme="majorHAnsi" w:hAnsiTheme="majorHAnsi" w:cstheme="majorHAnsi"/>
                <w:sz w:val="16"/>
                <w:szCs w:val="16"/>
                <w:lang w:val="ro-MD"/>
              </w:rPr>
            </w:pPr>
            <w:r w:rsidRPr="0024512C">
              <w:rPr>
                <w:rFonts w:asciiTheme="majorHAnsi" w:hAnsiTheme="majorHAnsi" w:cstheme="majorHAnsi"/>
                <w:bCs/>
                <w:i/>
                <w:sz w:val="16"/>
                <w:szCs w:val="16"/>
                <w:lang w:val="ro-MD"/>
              </w:rPr>
              <w:t>(iv) Managementul de Program</w:t>
            </w:r>
          </w:p>
        </w:tc>
        <w:tc>
          <w:tcPr>
            <w:tcW w:w="3150"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În baza prevederilor acordului de împrumut, DLC va prelua managementul și monitorizarea portofoliului de re-finanțare a împrumutului după debursarea de către </w:t>
            </w:r>
            <w:r w:rsidRPr="0024512C">
              <w:rPr>
                <w:rFonts w:asciiTheme="majorHAnsi" w:hAnsiTheme="majorHAnsi" w:cstheme="majorHAnsi"/>
                <w:sz w:val="16"/>
                <w:szCs w:val="16"/>
                <w:lang w:val="ro-MD"/>
              </w:rPr>
              <w:t>UCIP-IFAD</w:t>
            </w:r>
            <w:r w:rsidRPr="0024512C">
              <w:rPr>
                <w:rFonts w:asciiTheme="majorHAnsi" w:hAnsiTheme="majorHAnsi" w:cstheme="majorHAnsi"/>
                <w:bCs/>
                <w:sz w:val="16"/>
                <w:szCs w:val="16"/>
                <w:lang w:val="ro-MD"/>
              </w:rPr>
              <w:t xml:space="preserve"> și va gestiona finanțarea continuă din cadrul fondului circulant. </w:t>
            </w:r>
          </w:p>
          <w:p w:rsidR="00854459" w:rsidRPr="0024512C" w:rsidRDefault="00854459" w:rsidP="00854459">
            <w:pPr>
              <w:jc w:val="both"/>
              <w:rPr>
                <w:rFonts w:asciiTheme="majorHAnsi" w:hAnsiTheme="majorHAnsi" w:cstheme="majorHAnsi"/>
                <w:sz w:val="16"/>
                <w:szCs w:val="16"/>
                <w:lang w:val="ro-MD"/>
              </w:rPr>
            </w:pPr>
            <w:r w:rsidRPr="0024512C">
              <w:rPr>
                <w:rFonts w:asciiTheme="majorHAnsi" w:hAnsiTheme="majorHAnsi" w:cstheme="majorHAnsi"/>
                <w:sz w:val="16"/>
                <w:szCs w:val="16"/>
                <w:lang w:val="ro-MD"/>
              </w:rPr>
              <w:t xml:space="preserve">În baza ordinului MF nr. 73 din 08.06.2010, DLC i-au fost delegate sarcinile de acumulare, administrare și re-finanțare a mijloacelor circulante formate din sursele acumulate a sumelor principale și a dobânzilor sub-împrumuturilor acordate beneficiarilor prin intermediul IFP în cadrul Programului. De asemenea, în baza aceluiași ordin a fost stabilit că DLC va acumula și va utiliza mijloacele circulante ale programului la conturile deschise ale liniei de credit deservite la BNM ale proiectului FIDA IV pentru recreditarea de noi sub-proiecte private </w:t>
            </w:r>
          </w:p>
        </w:tc>
        <w:tc>
          <w:tcPr>
            <w:tcW w:w="1710"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- 651 de beneficiari cu valoarea împrumuturilor de 67,2 mil. lei și 2,6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w:t>
            </w:r>
          </w:p>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 valoarea împrumuturilor rambursate constituie 67,2 mil. lei și 2,4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w:t>
            </w:r>
          </w:p>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 soldul împrumutului este de 0,2 mil. </w:t>
            </w:r>
            <w:r w:rsidR="00DA2199" w:rsidRPr="0024512C">
              <w:rPr>
                <w:rFonts w:asciiTheme="majorHAnsi" w:hAnsiTheme="majorHAnsi" w:cstheme="majorHAnsi"/>
                <w:bCs/>
                <w:sz w:val="16"/>
                <w:szCs w:val="16"/>
                <w:lang w:val="ro-MD"/>
              </w:rPr>
              <w:t>dol. SUA</w:t>
            </w:r>
          </w:p>
        </w:tc>
        <w:tc>
          <w:tcPr>
            <w:tcW w:w="1603"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- 156 de beneficiari cu valoarea împrumuturilor în sumă totală de 112,09 mil. lei, 0,91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 xml:space="preserve"> și 0,35 mil. euro;</w:t>
            </w:r>
          </w:p>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 valoarea împrumuturilor rambursate constituie 95,93 mil. lei, 0,91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 xml:space="preserve"> și 0,23 mil. euro;</w:t>
            </w:r>
          </w:p>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soldul împrumuturilor este de 16,16 mil. lei și 0,12 mil. euro</w:t>
            </w:r>
          </w:p>
          <w:p w:rsidR="00854459" w:rsidRPr="0024512C" w:rsidRDefault="00854459" w:rsidP="00854459">
            <w:pPr>
              <w:jc w:val="both"/>
              <w:rPr>
                <w:rFonts w:asciiTheme="majorHAnsi" w:hAnsiTheme="majorHAnsi" w:cstheme="majorHAnsi"/>
                <w:sz w:val="16"/>
                <w:szCs w:val="16"/>
                <w:lang w:val="ro-MD"/>
              </w:rPr>
            </w:pPr>
          </w:p>
        </w:tc>
      </w:tr>
      <w:tr w:rsidR="00854459" w:rsidRPr="0024512C" w:rsidTr="00854459">
        <w:trPr>
          <w:gridAfter w:val="1"/>
          <w:wAfter w:w="7" w:type="dxa"/>
        </w:trPr>
        <w:tc>
          <w:tcPr>
            <w:tcW w:w="1429" w:type="dxa"/>
          </w:tcPr>
          <w:p w:rsidR="00854459" w:rsidRPr="005C74F5" w:rsidRDefault="00854459" w:rsidP="00854459">
            <w:pPr>
              <w:jc w:val="both"/>
              <w:rPr>
                <w:rFonts w:asciiTheme="majorHAnsi" w:hAnsiTheme="majorHAnsi" w:cstheme="majorHAnsi"/>
                <w:sz w:val="16"/>
                <w:szCs w:val="16"/>
                <w:lang w:val="ro-MD"/>
              </w:rPr>
            </w:pPr>
            <w:r w:rsidRPr="0024512C">
              <w:rPr>
                <w:rFonts w:asciiTheme="majorHAnsi" w:hAnsiTheme="majorHAnsi" w:cstheme="majorHAnsi"/>
                <w:b/>
                <w:bCs/>
                <w:i/>
                <w:sz w:val="16"/>
                <w:szCs w:val="16"/>
                <w:lang w:val="ro-MD"/>
              </w:rPr>
              <w:t>Programul de Servicii Financiare Rurale și Dezvoltare a Businessului Agricol (FIDA V)</w:t>
            </w:r>
          </w:p>
        </w:tc>
        <w:tc>
          <w:tcPr>
            <w:tcW w:w="1562" w:type="dxa"/>
          </w:tcPr>
          <w:p w:rsidR="00854459" w:rsidRPr="00321F59" w:rsidRDefault="00854459" w:rsidP="00854459">
            <w:pPr>
              <w:jc w:val="both"/>
              <w:rPr>
                <w:rFonts w:asciiTheme="majorHAnsi" w:hAnsiTheme="majorHAnsi" w:cstheme="majorHAnsi"/>
                <w:sz w:val="16"/>
                <w:szCs w:val="16"/>
                <w:lang w:val="ro-MD"/>
              </w:rPr>
            </w:pPr>
            <w:r w:rsidRPr="00321F59">
              <w:rPr>
                <w:rFonts w:asciiTheme="majorHAnsi" w:hAnsiTheme="majorHAnsi" w:cstheme="majorHAnsi"/>
                <w:sz w:val="16"/>
                <w:szCs w:val="16"/>
                <w:lang w:val="ro-MD"/>
              </w:rPr>
              <w:t>Acordul de Împrumut nr.832-MD din 21.02.2011</w:t>
            </w:r>
          </w:p>
          <w:p w:rsidR="00854459" w:rsidRPr="00321F59" w:rsidRDefault="00854459" w:rsidP="00854459">
            <w:pPr>
              <w:jc w:val="both"/>
              <w:rPr>
                <w:rFonts w:asciiTheme="majorHAnsi" w:hAnsiTheme="majorHAnsi" w:cstheme="majorHAnsi"/>
                <w:sz w:val="16"/>
                <w:szCs w:val="16"/>
                <w:lang w:val="ro-MD"/>
              </w:rPr>
            </w:pPr>
          </w:p>
          <w:p w:rsidR="00854459" w:rsidRPr="00321F59" w:rsidRDefault="00854459" w:rsidP="00854459">
            <w:pPr>
              <w:jc w:val="both"/>
              <w:rPr>
                <w:rFonts w:asciiTheme="majorHAnsi" w:hAnsiTheme="majorHAnsi" w:cstheme="majorHAnsi"/>
                <w:sz w:val="16"/>
                <w:szCs w:val="16"/>
                <w:lang w:val="ro-MD"/>
              </w:rPr>
            </w:pPr>
          </w:p>
          <w:p w:rsidR="00854459" w:rsidRPr="00321F59" w:rsidRDefault="00854459" w:rsidP="00854459">
            <w:pPr>
              <w:jc w:val="both"/>
              <w:rPr>
                <w:rFonts w:asciiTheme="majorHAnsi" w:hAnsiTheme="majorHAnsi" w:cstheme="majorHAnsi"/>
                <w:sz w:val="16"/>
                <w:szCs w:val="16"/>
                <w:lang w:val="ro-MD"/>
              </w:rPr>
            </w:pPr>
          </w:p>
          <w:p w:rsidR="00854459" w:rsidRPr="00321F59" w:rsidRDefault="00854459" w:rsidP="00854459">
            <w:pPr>
              <w:jc w:val="both"/>
              <w:rPr>
                <w:rFonts w:asciiTheme="majorHAnsi" w:hAnsiTheme="majorHAnsi" w:cstheme="majorHAnsi"/>
                <w:sz w:val="16"/>
                <w:szCs w:val="16"/>
                <w:lang w:val="ro-MD"/>
              </w:rPr>
            </w:pPr>
          </w:p>
          <w:p w:rsidR="00854459" w:rsidRPr="00321F59" w:rsidRDefault="00854459" w:rsidP="00854459">
            <w:pPr>
              <w:jc w:val="both"/>
              <w:rPr>
                <w:rFonts w:asciiTheme="majorHAnsi" w:hAnsiTheme="majorHAnsi" w:cstheme="majorHAnsi"/>
                <w:sz w:val="16"/>
                <w:szCs w:val="16"/>
                <w:lang w:val="ro-MD"/>
              </w:rPr>
            </w:pPr>
          </w:p>
          <w:p w:rsidR="00854459" w:rsidRPr="00321F59" w:rsidRDefault="00854459" w:rsidP="00854459">
            <w:pPr>
              <w:jc w:val="both"/>
              <w:rPr>
                <w:rFonts w:asciiTheme="majorHAnsi" w:hAnsiTheme="majorHAnsi" w:cstheme="majorHAnsi"/>
                <w:sz w:val="16"/>
                <w:szCs w:val="16"/>
                <w:lang w:val="ro-MD"/>
              </w:rPr>
            </w:pPr>
          </w:p>
          <w:p w:rsidR="00854459" w:rsidRPr="00321F59" w:rsidRDefault="00854459" w:rsidP="00854459">
            <w:pPr>
              <w:jc w:val="both"/>
              <w:rPr>
                <w:rFonts w:asciiTheme="majorHAnsi" w:hAnsiTheme="majorHAnsi" w:cstheme="majorHAnsi"/>
                <w:sz w:val="16"/>
                <w:szCs w:val="16"/>
                <w:lang w:val="ro-MD"/>
              </w:rPr>
            </w:pPr>
          </w:p>
          <w:p w:rsidR="00854459" w:rsidRPr="00321F59" w:rsidRDefault="00854459" w:rsidP="00854459">
            <w:pPr>
              <w:jc w:val="both"/>
              <w:rPr>
                <w:rFonts w:asciiTheme="majorHAnsi" w:hAnsiTheme="majorHAnsi" w:cstheme="majorHAnsi"/>
                <w:sz w:val="16"/>
                <w:szCs w:val="16"/>
                <w:lang w:val="ro-MD"/>
              </w:rPr>
            </w:pPr>
          </w:p>
          <w:p w:rsidR="00854459" w:rsidRPr="00321F59" w:rsidRDefault="00854459" w:rsidP="00854459">
            <w:pPr>
              <w:jc w:val="both"/>
              <w:rPr>
                <w:rFonts w:asciiTheme="majorHAnsi" w:hAnsiTheme="majorHAnsi" w:cstheme="majorHAnsi"/>
                <w:sz w:val="16"/>
                <w:szCs w:val="16"/>
                <w:lang w:val="ro-MD"/>
              </w:rPr>
            </w:pPr>
          </w:p>
          <w:p w:rsidR="00854459" w:rsidRPr="0024512C" w:rsidRDefault="00854459" w:rsidP="00854459">
            <w:pPr>
              <w:jc w:val="both"/>
              <w:rPr>
                <w:rFonts w:asciiTheme="majorHAnsi" w:hAnsiTheme="majorHAnsi" w:cstheme="majorHAnsi"/>
                <w:sz w:val="16"/>
                <w:szCs w:val="16"/>
                <w:lang w:val="ro-MD"/>
              </w:rPr>
            </w:pPr>
            <w:r w:rsidRPr="00321F59">
              <w:rPr>
                <w:rFonts w:asciiTheme="majorHAnsi" w:hAnsiTheme="majorHAnsi" w:cstheme="majorHAnsi"/>
                <w:sz w:val="16"/>
                <w:szCs w:val="16"/>
                <w:lang w:val="ro-MD"/>
              </w:rPr>
              <w:t>Acordul de finanțare/grant nr.C-DE-832-MD cu Regatul Danemarcei</w:t>
            </w:r>
          </w:p>
        </w:tc>
        <w:tc>
          <w:tcPr>
            <w:tcW w:w="1398" w:type="dxa"/>
          </w:tcPr>
          <w:p w:rsidR="00854459" w:rsidRPr="00321F59" w:rsidRDefault="00854459" w:rsidP="00854459">
            <w:pPr>
              <w:jc w:val="both"/>
              <w:rPr>
                <w:rFonts w:asciiTheme="majorHAnsi" w:hAnsiTheme="majorHAnsi" w:cstheme="majorHAnsi"/>
                <w:sz w:val="16"/>
                <w:szCs w:val="16"/>
                <w:lang w:val="ro-MD"/>
              </w:rPr>
            </w:pPr>
            <w:r w:rsidRPr="005C74F5">
              <w:rPr>
                <w:rFonts w:asciiTheme="majorHAnsi" w:hAnsiTheme="majorHAnsi" w:cstheme="majorHAnsi"/>
                <w:sz w:val="16"/>
                <w:szCs w:val="16"/>
                <w:lang w:val="ro-MD"/>
              </w:rPr>
              <w:lastRenderedPageBreak/>
              <w:t>Î</w:t>
            </w:r>
            <w:r w:rsidRPr="00321F59">
              <w:rPr>
                <w:rFonts w:asciiTheme="majorHAnsi" w:hAnsiTheme="majorHAnsi" w:cstheme="majorHAnsi"/>
                <w:sz w:val="16"/>
                <w:szCs w:val="16"/>
                <w:lang w:val="ro-MD"/>
              </w:rPr>
              <w:t>mprumut în valoare de 12,4 mil. DST și un grant în sumă de 320,0 mii DST, dintre care circa 5,09 mil. DST sunt destinate pentru finanțarea ÎMM;</w:t>
            </w:r>
          </w:p>
          <w:p w:rsidR="00854459" w:rsidRPr="00321F59" w:rsidRDefault="00854459" w:rsidP="00854459">
            <w:pPr>
              <w:jc w:val="both"/>
              <w:rPr>
                <w:rFonts w:asciiTheme="majorHAnsi" w:hAnsiTheme="majorHAnsi" w:cstheme="majorHAnsi"/>
                <w:sz w:val="16"/>
                <w:szCs w:val="16"/>
                <w:lang w:val="ro-MD"/>
              </w:rPr>
            </w:pPr>
          </w:p>
          <w:p w:rsidR="00854459" w:rsidRPr="00321F59" w:rsidRDefault="00854459" w:rsidP="00854459">
            <w:pPr>
              <w:jc w:val="both"/>
              <w:rPr>
                <w:rFonts w:asciiTheme="majorHAnsi" w:hAnsiTheme="majorHAnsi" w:cstheme="majorHAnsi"/>
                <w:sz w:val="16"/>
                <w:szCs w:val="16"/>
                <w:lang w:val="ro-MD"/>
              </w:rPr>
            </w:pPr>
            <w:r w:rsidRPr="00321F59">
              <w:rPr>
                <w:rFonts w:asciiTheme="majorHAnsi" w:hAnsiTheme="majorHAnsi" w:cstheme="majorHAnsi"/>
                <w:sz w:val="16"/>
                <w:szCs w:val="16"/>
                <w:lang w:val="ro-MD"/>
              </w:rPr>
              <w:lastRenderedPageBreak/>
              <w:t>Grant nerambursabil de 25,7 mil. coroane daneze (DKK)</w:t>
            </w:r>
          </w:p>
        </w:tc>
        <w:tc>
          <w:tcPr>
            <w:tcW w:w="1550" w:type="dxa"/>
          </w:tcPr>
          <w:p w:rsidR="00854459" w:rsidRPr="00263854" w:rsidRDefault="00854459" w:rsidP="00854459">
            <w:pPr>
              <w:jc w:val="both"/>
              <w:rPr>
                <w:rFonts w:asciiTheme="majorHAnsi" w:hAnsiTheme="majorHAnsi" w:cstheme="majorHAnsi"/>
                <w:sz w:val="16"/>
                <w:szCs w:val="16"/>
                <w:lang w:val="ro-MD"/>
              </w:rPr>
            </w:pPr>
            <w:r w:rsidRPr="00321F59">
              <w:rPr>
                <w:rFonts w:asciiTheme="majorHAnsi" w:hAnsiTheme="majorHAnsi" w:cstheme="majorHAnsi"/>
                <w:bCs/>
                <w:sz w:val="16"/>
                <w:szCs w:val="16"/>
                <w:lang w:val="ro-MD"/>
              </w:rPr>
              <w:lastRenderedPageBreak/>
              <w:t>L</w:t>
            </w:r>
            <w:r w:rsidRPr="0024512C">
              <w:rPr>
                <w:rFonts w:asciiTheme="majorHAnsi" w:hAnsiTheme="majorHAnsi" w:cstheme="majorHAnsi"/>
                <w:bCs/>
                <w:sz w:val="16"/>
                <w:szCs w:val="16"/>
                <w:lang w:val="ro-MD"/>
              </w:rPr>
              <w:t>ansat în iulie 2011 cu o perioadă de implementare de 60 luni (i</w:t>
            </w:r>
            <w:r w:rsidRPr="005C74F5">
              <w:rPr>
                <w:rFonts w:asciiTheme="majorHAnsi" w:hAnsiTheme="majorHAnsi" w:cstheme="majorHAnsi"/>
                <w:bCs/>
                <w:sz w:val="16"/>
                <w:szCs w:val="16"/>
                <w:lang w:val="ro-MD"/>
              </w:rPr>
              <w:t>ulie 2011 – iunie 2016)</w:t>
            </w:r>
          </w:p>
        </w:tc>
        <w:tc>
          <w:tcPr>
            <w:tcW w:w="1453" w:type="dxa"/>
          </w:tcPr>
          <w:p w:rsidR="00854459" w:rsidRPr="0024512C" w:rsidRDefault="00854459" w:rsidP="00854459">
            <w:pPr>
              <w:jc w:val="both"/>
              <w:rPr>
                <w:rFonts w:asciiTheme="majorHAnsi" w:hAnsiTheme="majorHAnsi" w:cstheme="majorHAnsi"/>
                <w:sz w:val="16"/>
                <w:szCs w:val="16"/>
                <w:lang w:val="ro-MD"/>
              </w:rPr>
            </w:pPr>
            <w:r w:rsidRPr="0024512C">
              <w:rPr>
                <w:rFonts w:asciiTheme="majorHAnsi" w:hAnsiTheme="majorHAnsi" w:cstheme="majorHAnsi"/>
                <w:bCs/>
                <w:sz w:val="16"/>
                <w:szCs w:val="16"/>
                <w:lang w:val="ro-MD"/>
              </w:rPr>
              <w:t xml:space="preserve">De a reduce sărăcia în mediul rural din Republica Moldova creând condiții favorabile pentru cei mai săraci membri ai societății rurale, în vederea creșterii veniturilor </w:t>
            </w:r>
            <w:r w:rsidRPr="0024512C">
              <w:rPr>
                <w:rFonts w:asciiTheme="majorHAnsi" w:hAnsiTheme="majorHAnsi" w:cstheme="majorHAnsi"/>
                <w:bCs/>
                <w:sz w:val="16"/>
                <w:szCs w:val="16"/>
                <w:lang w:val="ro-MD"/>
              </w:rPr>
              <w:lastRenderedPageBreak/>
              <w:t>acestora prin acces sporit la piețe și locuri de muncă</w:t>
            </w:r>
          </w:p>
        </w:tc>
        <w:tc>
          <w:tcPr>
            <w:tcW w:w="1685" w:type="dxa"/>
          </w:tcPr>
          <w:p w:rsidR="00854459" w:rsidRPr="0024512C" w:rsidRDefault="00854459" w:rsidP="00854459">
            <w:pPr>
              <w:numPr>
                <w:ilvl w:val="0"/>
                <w:numId w:val="12"/>
              </w:numPr>
              <w:ind w:left="30" w:firstLine="18"/>
              <w:contextualSpacing/>
              <w:jc w:val="both"/>
              <w:rPr>
                <w:rFonts w:asciiTheme="majorHAnsi" w:hAnsiTheme="majorHAnsi" w:cstheme="majorHAnsi"/>
                <w:bCs/>
                <w:i/>
                <w:sz w:val="16"/>
                <w:szCs w:val="16"/>
                <w:lang w:val="ro-MD"/>
              </w:rPr>
            </w:pPr>
            <w:r w:rsidRPr="0024512C">
              <w:rPr>
                <w:rFonts w:asciiTheme="majorHAnsi" w:hAnsiTheme="majorHAnsi" w:cstheme="majorHAnsi"/>
                <w:bCs/>
                <w:i/>
                <w:sz w:val="16"/>
                <w:szCs w:val="16"/>
                <w:lang w:val="ro-MD"/>
              </w:rPr>
              <w:lastRenderedPageBreak/>
              <w:t xml:space="preserve"> Dezvoltarea businessului agricol favorabil populației sărace;</w:t>
            </w:r>
          </w:p>
          <w:p w:rsidR="00854459" w:rsidRPr="0024512C" w:rsidRDefault="00854459" w:rsidP="00854459">
            <w:pPr>
              <w:numPr>
                <w:ilvl w:val="0"/>
                <w:numId w:val="12"/>
              </w:numPr>
              <w:ind w:left="30" w:firstLine="18"/>
              <w:contextualSpacing/>
              <w:jc w:val="both"/>
              <w:rPr>
                <w:rFonts w:asciiTheme="majorHAnsi" w:hAnsiTheme="majorHAnsi" w:cstheme="majorHAnsi"/>
                <w:bCs/>
                <w:i/>
                <w:sz w:val="16"/>
                <w:szCs w:val="16"/>
                <w:lang w:val="ro-MD"/>
              </w:rPr>
            </w:pPr>
            <w:r w:rsidRPr="0024512C">
              <w:rPr>
                <w:rFonts w:asciiTheme="majorHAnsi" w:hAnsiTheme="majorHAnsi" w:cstheme="majorHAnsi"/>
                <w:bCs/>
                <w:i/>
                <w:sz w:val="16"/>
                <w:szCs w:val="16"/>
                <w:lang w:val="ro-MD"/>
              </w:rPr>
              <w:t>Servicii financiare rurale;</w:t>
            </w:r>
          </w:p>
          <w:p w:rsidR="00854459" w:rsidRPr="0024512C" w:rsidRDefault="00854459" w:rsidP="00854459">
            <w:pPr>
              <w:ind w:left="30" w:firstLine="18"/>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 </w:t>
            </w:r>
            <w:r w:rsidRPr="0024512C">
              <w:rPr>
                <w:rFonts w:asciiTheme="majorHAnsi" w:hAnsiTheme="majorHAnsi" w:cstheme="majorHAnsi"/>
                <w:bCs/>
                <w:i/>
                <w:sz w:val="16"/>
                <w:szCs w:val="16"/>
                <w:lang w:val="ro-MD"/>
              </w:rPr>
              <w:t>(iii) Infrastructura rurală de scară mică</w:t>
            </w:r>
            <w:r w:rsidRPr="0024512C">
              <w:rPr>
                <w:rFonts w:asciiTheme="majorHAnsi" w:hAnsiTheme="majorHAnsi" w:cstheme="majorHAnsi"/>
                <w:bCs/>
                <w:sz w:val="16"/>
                <w:szCs w:val="16"/>
                <w:lang w:val="ro-MD"/>
              </w:rPr>
              <w:t xml:space="preserve">; </w:t>
            </w:r>
            <w:r w:rsidRPr="0024512C">
              <w:rPr>
                <w:rFonts w:asciiTheme="majorHAnsi" w:hAnsiTheme="majorHAnsi" w:cstheme="majorHAnsi"/>
                <w:bCs/>
                <w:i/>
                <w:sz w:val="16"/>
                <w:szCs w:val="16"/>
                <w:lang w:val="ro-MD"/>
              </w:rPr>
              <w:lastRenderedPageBreak/>
              <w:t>(iv) Managementul proiectului</w:t>
            </w:r>
          </w:p>
          <w:p w:rsidR="00854459" w:rsidRPr="0024512C" w:rsidRDefault="00854459" w:rsidP="00854459">
            <w:pPr>
              <w:jc w:val="both"/>
              <w:rPr>
                <w:rFonts w:asciiTheme="majorHAnsi" w:hAnsiTheme="majorHAnsi" w:cstheme="majorHAnsi"/>
                <w:sz w:val="16"/>
                <w:szCs w:val="16"/>
                <w:lang w:val="ro-MD"/>
              </w:rPr>
            </w:pPr>
          </w:p>
        </w:tc>
        <w:tc>
          <w:tcPr>
            <w:tcW w:w="3150"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lastRenderedPageBreak/>
              <w:t xml:space="preserve">Conform Acordului de împrumut, DLC va prelua managementul și monitorizarea portofoliului de re-finanțare a împrumutului după debursarea de către </w:t>
            </w:r>
            <w:r w:rsidRPr="0024512C">
              <w:rPr>
                <w:rFonts w:asciiTheme="majorHAnsi" w:hAnsiTheme="majorHAnsi" w:cstheme="majorHAnsi"/>
                <w:sz w:val="16"/>
                <w:szCs w:val="16"/>
                <w:lang w:val="ro-MD"/>
              </w:rPr>
              <w:t>UCIP-IFAD</w:t>
            </w:r>
            <w:r w:rsidRPr="0024512C">
              <w:rPr>
                <w:rFonts w:asciiTheme="majorHAnsi" w:hAnsiTheme="majorHAnsi" w:cstheme="majorHAnsi"/>
                <w:bCs/>
                <w:sz w:val="16"/>
                <w:szCs w:val="16"/>
                <w:lang w:val="ro-MD"/>
              </w:rPr>
              <w:t xml:space="preserve"> și va gestiona finanțarea continuă pentru investiții similare pentru cel puțin 10 ani după data finisării Proiectului. </w:t>
            </w:r>
          </w:p>
          <w:p w:rsidR="00854459" w:rsidRPr="0024512C" w:rsidRDefault="00854459" w:rsidP="00854459">
            <w:pPr>
              <w:jc w:val="both"/>
              <w:rPr>
                <w:rFonts w:asciiTheme="majorHAnsi" w:hAnsiTheme="majorHAnsi" w:cstheme="majorHAnsi"/>
                <w:sz w:val="16"/>
                <w:szCs w:val="16"/>
                <w:lang w:val="ro-MD"/>
              </w:rPr>
            </w:pPr>
            <w:r w:rsidRPr="0024512C">
              <w:rPr>
                <w:rFonts w:asciiTheme="majorHAnsi" w:hAnsiTheme="majorHAnsi" w:cstheme="majorHAnsi"/>
                <w:sz w:val="16"/>
                <w:szCs w:val="16"/>
                <w:lang w:val="ro-MD"/>
              </w:rPr>
              <w:t xml:space="preserve">În baza ordinului MF nr. 156 din 29.12.2011, DLC i-au fost delegate sarcinile de acumulare, administrare și recreditare a mijloacelor </w:t>
            </w:r>
            <w:r w:rsidRPr="0024512C">
              <w:rPr>
                <w:rFonts w:asciiTheme="majorHAnsi" w:hAnsiTheme="majorHAnsi" w:cstheme="majorHAnsi"/>
                <w:sz w:val="16"/>
                <w:szCs w:val="16"/>
                <w:lang w:val="ro-MD"/>
              </w:rPr>
              <w:lastRenderedPageBreak/>
              <w:t xml:space="preserve">circulante formate din sursele colectate a sumelor principale și a dobânzilor sub-împrumuturilor acordate beneficiarilor prin intermediul IFP în cadrul </w:t>
            </w:r>
            <w:r w:rsidRPr="0024512C">
              <w:rPr>
                <w:rFonts w:asciiTheme="majorHAnsi" w:hAnsiTheme="majorHAnsi" w:cstheme="majorHAnsi"/>
                <w:bCs/>
                <w:sz w:val="16"/>
                <w:szCs w:val="16"/>
                <w:lang w:val="ro-MD"/>
              </w:rPr>
              <w:t>Programului</w:t>
            </w:r>
            <w:r w:rsidRPr="0024512C">
              <w:rPr>
                <w:rFonts w:asciiTheme="majorHAnsi" w:hAnsiTheme="majorHAnsi" w:cstheme="majorHAnsi"/>
                <w:sz w:val="16"/>
                <w:szCs w:val="16"/>
                <w:lang w:val="ro-MD"/>
              </w:rPr>
              <w:t>. De asemenea, în baza aceluiași ordin a fost stabilit că DLC va acumula și va utiliza mijloacele circulante ale Programului în conturile deschise ale liniei de credit deservite la BNM pentru continuarea recreditării de noi sub-proiecte private eligibile.</w:t>
            </w:r>
          </w:p>
          <w:p w:rsidR="00854459" w:rsidRPr="0024512C" w:rsidRDefault="00854459" w:rsidP="00854459">
            <w:pPr>
              <w:jc w:val="both"/>
              <w:rPr>
                <w:rFonts w:asciiTheme="majorHAnsi" w:hAnsiTheme="majorHAnsi" w:cstheme="majorHAnsi"/>
                <w:sz w:val="16"/>
                <w:szCs w:val="16"/>
                <w:lang w:val="ro-MD"/>
              </w:rPr>
            </w:pPr>
            <w:r w:rsidRPr="0024512C">
              <w:rPr>
                <w:rFonts w:asciiTheme="majorHAnsi" w:hAnsiTheme="majorHAnsi" w:cstheme="majorHAnsi"/>
                <w:bCs/>
                <w:sz w:val="16"/>
                <w:szCs w:val="16"/>
                <w:lang w:val="ro-MD"/>
              </w:rPr>
              <w:t xml:space="preserve">Totodată, la 12.09.2017, între </w:t>
            </w:r>
            <w:r w:rsidRPr="0024512C">
              <w:rPr>
                <w:rFonts w:asciiTheme="majorHAnsi" w:hAnsiTheme="majorHAnsi" w:cstheme="majorHAnsi"/>
                <w:sz w:val="16"/>
                <w:szCs w:val="16"/>
                <w:lang w:val="ro-MD"/>
              </w:rPr>
              <w:t>UCIP-IFAD</w:t>
            </w:r>
            <w:r w:rsidRPr="0024512C">
              <w:rPr>
                <w:rFonts w:asciiTheme="majorHAnsi" w:hAnsiTheme="majorHAnsi" w:cstheme="majorHAnsi"/>
                <w:bCs/>
                <w:sz w:val="16"/>
                <w:szCs w:val="16"/>
                <w:lang w:val="ro-MD"/>
              </w:rPr>
              <w:t xml:space="preserve"> și DLC a fost încheiat un Memorandum de înțelegere în baza căruia s-a convenit că DLC va prelua de la </w:t>
            </w:r>
            <w:r w:rsidRPr="0024512C">
              <w:rPr>
                <w:rFonts w:asciiTheme="majorHAnsi" w:hAnsiTheme="majorHAnsi" w:cstheme="majorHAnsi"/>
                <w:sz w:val="16"/>
                <w:szCs w:val="16"/>
                <w:lang w:val="ro-MD"/>
              </w:rPr>
              <w:t>UCIP-IFAD</w:t>
            </w:r>
            <w:r w:rsidRPr="0024512C">
              <w:rPr>
                <w:rFonts w:asciiTheme="majorHAnsi" w:hAnsiTheme="majorHAnsi" w:cstheme="majorHAnsi"/>
                <w:bCs/>
                <w:sz w:val="16"/>
                <w:szCs w:val="16"/>
                <w:lang w:val="ro-MD"/>
              </w:rPr>
              <w:t xml:space="preserve"> gestionarea și monitorizarea portofoliului de sub-împrumuturi </w:t>
            </w:r>
            <w:proofErr w:type="spellStart"/>
            <w:r w:rsidRPr="0024512C">
              <w:rPr>
                <w:rFonts w:asciiTheme="majorHAnsi" w:hAnsiTheme="majorHAnsi" w:cstheme="majorHAnsi"/>
                <w:bCs/>
                <w:sz w:val="16"/>
                <w:szCs w:val="16"/>
                <w:lang w:val="ro-MD"/>
              </w:rPr>
              <w:t>recreditate</w:t>
            </w:r>
            <w:proofErr w:type="spellEnd"/>
            <w:r w:rsidRPr="0024512C">
              <w:rPr>
                <w:rFonts w:asciiTheme="majorHAnsi" w:hAnsiTheme="majorHAnsi" w:cstheme="majorHAnsi"/>
                <w:bCs/>
                <w:sz w:val="16"/>
                <w:szCs w:val="16"/>
                <w:lang w:val="ro-MD"/>
              </w:rPr>
              <w:t xml:space="preserve"> din fondurile directe ale PSFRDBA după perioada de implementare și efectuarea plăților către </w:t>
            </w:r>
            <w:r w:rsidRPr="0024512C">
              <w:rPr>
                <w:rFonts w:asciiTheme="majorHAnsi" w:hAnsiTheme="majorHAnsi" w:cstheme="majorHAnsi"/>
                <w:sz w:val="16"/>
                <w:szCs w:val="16"/>
                <w:lang w:val="ro-MD"/>
              </w:rPr>
              <w:t>UCIP-IFAD</w:t>
            </w:r>
            <w:r w:rsidRPr="0024512C">
              <w:rPr>
                <w:rFonts w:asciiTheme="majorHAnsi" w:hAnsiTheme="majorHAnsi" w:cstheme="majorHAnsi"/>
                <w:bCs/>
                <w:sz w:val="16"/>
                <w:szCs w:val="16"/>
                <w:lang w:val="ro-MD"/>
              </w:rPr>
              <w:t xml:space="preserve"> în perioada de implementare a Proiectului </w:t>
            </w:r>
          </w:p>
        </w:tc>
        <w:tc>
          <w:tcPr>
            <w:tcW w:w="1710"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lastRenderedPageBreak/>
              <w:t xml:space="preserve">- 731 de beneficiari cu valoarea împrumuturilor de 132,94 mil. lei, 2,34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 xml:space="preserve"> și 1,43 mil. euro;</w:t>
            </w:r>
          </w:p>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 valoarea împrumuturilor rambursate constituie 126,54 mil. lei, 1,94 </w:t>
            </w:r>
            <w:r w:rsidRPr="0024512C">
              <w:rPr>
                <w:rFonts w:asciiTheme="majorHAnsi" w:hAnsiTheme="majorHAnsi" w:cstheme="majorHAnsi"/>
                <w:bCs/>
                <w:sz w:val="16"/>
                <w:szCs w:val="16"/>
                <w:lang w:val="ro-MD"/>
              </w:rPr>
              <w:lastRenderedPageBreak/>
              <w:t xml:space="preserve">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 xml:space="preserve"> și 1,34 mil. euro;</w:t>
            </w:r>
          </w:p>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 soldul împrumutului este de 6,4 mil. lei, 0,4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 xml:space="preserve"> și 0,09 mil. euro</w:t>
            </w:r>
          </w:p>
          <w:p w:rsidR="00854459" w:rsidRPr="0024512C" w:rsidRDefault="00854459" w:rsidP="00854459">
            <w:pPr>
              <w:jc w:val="both"/>
              <w:rPr>
                <w:rFonts w:asciiTheme="majorHAnsi" w:hAnsiTheme="majorHAnsi" w:cstheme="majorHAnsi"/>
                <w:sz w:val="16"/>
                <w:szCs w:val="16"/>
                <w:lang w:val="ro-MD"/>
              </w:rPr>
            </w:pPr>
          </w:p>
        </w:tc>
        <w:tc>
          <w:tcPr>
            <w:tcW w:w="1603"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lastRenderedPageBreak/>
              <w:t>- 241 de beneficiari cu valoarea împrumuturilor în sumă totală de 167,37 mil. lei și 0,68 mil. euro;</w:t>
            </w:r>
          </w:p>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 valoarea împrumuturilor rambursate </w:t>
            </w:r>
            <w:r w:rsidRPr="0024512C">
              <w:rPr>
                <w:rFonts w:asciiTheme="majorHAnsi" w:hAnsiTheme="majorHAnsi" w:cstheme="majorHAnsi"/>
                <w:bCs/>
                <w:sz w:val="16"/>
                <w:szCs w:val="16"/>
                <w:lang w:val="ro-MD"/>
              </w:rPr>
              <w:lastRenderedPageBreak/>
              <w:t>constituie 104,25 mil. lei și 0,26 mil. euro;</w:t>
            </w:r>
          </w:p>
          <w:p w:rsidR="00854459" w:rsidRPr="0024512C" w:rsidRDefault="00854459" w:rsidP="00854459">
            <w:pPr>
              <w:jc w:val="both"/>
              <w:rPr>
                <w:rFonts w:asciiTheme="majorHAnsi" w:hAnsiTheme="majorHAnsi" w:cstheme="majorHAnsi"/>
                <w:sz w:val="16"/>
                <w:szCs w:val="16"/>
                <w:lang w:val="ro-MD"/>
              </w:rPr>
            </w:pPr>
            <w:r w:rsidRPr="0024512C">
              <w:rPr>
                <w:rFonts w:asciiTheme="majorHAnsi" w:hAnsiTheme="majorHAnsi" w:cstheme="majorHAnsi"/>
                <w:bCs/>
                <w:sz w:val="16"/>
                <w:szCs w:val="16"/>
                <w:lang w:val="ro-MD"/>
              </w:rPr>
              <w:t>- soldul împrumuturilor este de 63,12 mil. lei și 0,42 mil. euro</w:t>
            </w:r>
          </w:p>
        </w:tc>
      </w:tr>
      <w:tr w:rsidR="00854459" w:rsidRPr="0024512C" w:rsidTr="00854459">
        <w:trPr>
          <w:gridAfter w:val="1"/>
          <w:wAfter w:w="7" w:type="dxa"/>
        </w:trPr>
        <w:tc>
          <w:tcPr>
            <w:tcW w:w="1429" w:type="dxa"/>
          </w:tcPr>
          <w:p w:rsidR="00854459" w:rsidRPr="00263854" w:rsidRDefault="00854459" w:rsidP="00854459">
            <w:pPr>
              <w:jc w:val="both"/>
              <w:rPr>
                <w:rFonts w:asciiTheme="majorHAnsi" w:hAnsiTheme="majorHAnsi" w:cstheme="majorHAnsi"/>
                <w:sz w:val="16"/>
                <w:szCs w:val="16"/>
                <w:lang w:val="ro-MD"/>
              </w:rPr>
            </w:pPr>
            <w:r w:rsidRPr="0024512C">
              <w:rPr>
                <w:rFonts w:asciiTheme="majorHAnsi" w:hAnsiTheme="majorHAnsi" w:cstheme="majorHAnsi"/>
                <w:b/>
                <w:bCs/>
                <w:i/>
                <w:sz w:val="16"/>
                <w:szCs w:val="16"/>
                <w:lang w:val="ro-MD"/>
              </w:rPr>
              <w:lastRenderedPageBreak/>
              <w:t>Program</w:t>
            </w:r>
            <w:r w:rsidRPr="005C74F5">
              <w:rPr>
                <w:rFonts w:asciiTheme="majorHAnsi" w:hAnsiTheme="majorHAnsi" w:cstheme="majorHAnsi"/>
                <w:b/>
                <w:bCs/>
                <w:i/>
                <w:sz w:val="16"/>
                <w:szCs w:val="16"/>
                <w:lang w:val="ro-MD"/>
              </w:rPr>
              <w:t xml:space="preserve">ul Rural de Reziliență </w:t>
            </w:r>
            <w:proofErr w:type="spellStart"/>
            <w:r w:rsidRPr="005C74F5">
              <w:rPr>
                <w:rFonts w:asciiTheme="majorHAnsi" w:hAnsiTheme="majorHAnsi" w:cstheme="majorHAnsi"/>
                <w:b/>
                <w:bCs/>
                <w:i/>
                <w:sz w:val="16"/>
                <w:szCs w:val="16"/>
                <w:lang w:val="ro-MD"/>
              </w:rPr>
              <w:t>Economico</w:t>
            </w:r>
            <w:proofErr w:type="spellEnd"/>
            <w:r w:rsidRPr="005C74F5">
              <w:rPr>
                <w:rFonts w:asciiTheme="majorHAnsi" w:hAnsiTheme="majorHAnsi" w:cstheme="majorHAnsi"/>
                <w:b/>
                <w:bCs/>
                <w:i/>
                <w:sz w:val="16"/>
                <w:szCs w:val="16"/>
                <w:lang w:val="ro-MD"/>
              </w:rPr>
              <w:t>-Climatică Incluzivă (FIDA VI)</w:t>
            </w:r>
          </w:p>
        </w:tc>
        <w:tc>
          <w:tcPr>
            <w:tcW w:w="1562" w:type="dxa"/>
          </w:tcPr>
          <w:p w:rsidR="00854459" w:rsidRPr="00321F59" w:rsidRDefault="00854459" w:rsidP="00854459">
            <w:pPr>
              <w:jc w:val="both"/>
              <w:rPr>
                <w:rFonts w:asciiTheme="majorHAnsi" w:hAnsiTheme="majorHAnsi" w:cstheme="majorHAnsi"/>
                <w:sz w:val="16"/>
                <w:szCs w:val="16"/>
                <w:lang w:val="ro-MD"/>
              </w:rPr>
            </w:pPr>
            <w:r w:rsidRPr="0024512C">
              <w:rPr>
                <w:rFonts w:asciiTheme="majorHAnsi" w:hAnsiTheme="majorHAnsi" w:cstheme="majorHAnsi"/>
                <w:sz w:val="16"/>
                <w:szCs w:val="16"/>
                <w:lang w:val="ro-MD"/>
              </w:rPr>
              <w:t xml:space="preserve">Acordul de Finanțare pentru împrumut IFAD NR.2000000418, grant IFAD NR.2000000443 și grant GEF (Fondul Global de Mediu) NR.2000000452 </w:t>
            </w:r>
            <w:r w:rsidRPr="00321F59">
              <w:rPr>
                <w:rFonts w:asciiTheme="majorHAnsi" w:hAnsiTheme="majorHAnsi" w:cstheme="majorHAnsi"/>
                <w:sz w:val="16"/>
                <w:szCs w:val="16"/>
                <w:lang w:val="ro-MD"/>
              </w:rPr>
              <w:t>din 20.04.2012</w:t>
            </w:r>
          </w:p>
          <w:p w:rsidR="00854459" w:rsidRPr="00321F59" w:rsidRDefault="00854459" w:rsidP="00854459">
            <w:pPr>
              <w:jc w:val="both"/>
              <w:rPr>
                <w:rFonts w:asciiTheme="majorHAnsi" w:hAnsiTheme="majorHAnsi" w:cstheme="majorHAnsi"/>
                <w:sz w:val="16"/>
                <w:szCs w:val="16"/>
                <w:lang w:val="ro-MD"/>
              </w:rPr>
            </w:pPr>
          </w:p>
          <w:p w:rsidR="00854459" w:rsidRPr="005C74F5" w:rsidRDefault="00854459" w:rsidP="00854459">
            <w:pPr>
              <w:jc w:val="both"/>
              <w:rPr>
                <w:rFonts w:asciiTheme="majorHAnsi" w:hAnsiTheme="majorHAnsi" w:cstheme="majorHAnsi"/>
                <w:sz w:val="16"/>
                <w:szCs w:val="16"/>
                <w:lang w:val="ro-MD"/>
              </w:rPr>
            </w:pPr>
            <w:r w:rsidRPr="0024512C">
              <w:rPr>
                <w:rFonts w:asciiTheme="majorHAnsi" w:hAnsiTheme="majorHAnsi" w:cstheme="majorHAnsi"/>
                <w:sz w:val="16"/>
                <w:szCs w:val="16"/>
                <w:lang w:val="ro-MD"/>
              </w:rPr>
              <w:t xml:space="preserve">Acordul de finanțare nr. 2000000703 din </w:t>
            </w:r>
            <w:r w:rsidRPr="005C74F5">
              <w:rPr>
                <w:rFonts w:asciiTheme="majorHAnsi" w:hAnsiTheme="majorHAnsi" w:cstheme="majorHAnsi"/>
                <w:sz w:val="16"/>
                <w:szCs w:val="16"/>
                <w:lang w:val="ro-MD"/>
              </w:rPr>
              <w:t>22.09.2014 cu Regatul Danemarcei</w:t>
            </w:r>
          </w:p>
        </w:tc>
        <w:tc>
          <w:tcPr>
            <w:tcW w:w="1398" w:type="dxa"/>
          </w:tcPr>
          <w:p w:rsidR="00854459" w:rsidRPr="00263854" w:rsidRDefault="00854459" w:rsidP="00854459">
            <w:pPr>
              <w:jc w:val="both"/>
              <w:rPr>
                <w:rFonts w:asciiTheme="majorHAnsi" w:hAnsiTheme="majorHAnsi" w:cstheme="majorHAnsi"/>
                <w:sz w:val="16"/>
                <w:szCs w:val="16"/>
                <w:lang w:val="ro-MD"/>
              </w:rPr>
            </w:pPr>
            <w:r w:rsidRPr="00263854">
              <w:rPr>
                <w:rFonts w:asciiTheme="majorHAnsi" w:hAnsiTheme="majorHAnsi" w:cstheme="majorHAnsi"/>
                <w:sz w:val="16"/>
                <w:szCs w:val="16"/>
                <w:lang w:val="ro-MD"/>
              </w:rPr>
              <w:t>Î</w:t>
            </w:r>
            <w:r w:rsidRPr="00321F59">
              <w:rPr>
                <w:rFonts w:asciiTheme="majorHAnsi" w:hAnsiTheme="majorHAnsi" w:cstheme="majorHAnsi"/>
                <w:sz w:val="16"/>
                <w:szCs w:val="16"/>
                <w:lang w:val="ro-MD"/>
              </w:rPr>
              <w:t xml:space="preserve">mprumut FIDA în valoare de 10,5 mil. DST, un grant IFAD </w:t>
            </w:r>
            <w:r w:rsidRPr="0024512C">
              <w:rPr>
                <w:rFonts w:asciiTheme="majorHAnsi" w:hAnsiTheme="majorHAnsi" w:cstheme="majorHAnsi"/>
                <w:sz w:val="16"/>
                <w:szCs w:val="16"/>
                <w:lang w:val="ro-MD"/>
              </w:rPr>
              <w:t xml:space="preserve">în sumă de 325,0 mii DST și un grant GEF în valoare de 4,26 mil. </w:t>
            </w:r>
            <w:r w:rsidR="00DA2199" w:rsidRPr="005C74F5">
              <w:rPr>
                <w:rFonts w:asciiTheme="majorHAnsi" w:hAnsiTheme="majorHAnsi" w:cstheme="majorHAnsi"/>
                <w:sz w:val="16"/>
                <w:szCs w:val="16"/>
                <w:lang w:val="ro-MD"/>
              </w:rPr>
              <w:t>dol. SUA</w:t>
            </w:r>
          </w:p>
          <w:p w:rsidR="00854459" w:rsidRPr="0024512C" w:rsidRDefault="00854459" w:rsidP="00854459">
            <w:pPr>
              <w:jc w:val="both"/>
              <w:rPr>
                <w:rFonts w:asciiTheme="majorHAnsi" w:hAnsiTheme="majorHAnsi" w:cstheme="majorHAnsi"/>
                <w:sz w:val="16"/>
                <w:szCs w:val="16"/>
                <w:lang w:val="ro-MD"/>
              </w:rPr>
            </w:pPr>
          </w:p>
          <w:p w:rsidR="00854459" w:rsidRPr="0024512C" w:rsidRDefault="00854459" w:rsidP="00854459">
            <w:pPr>
              <w:jc w:val="both"/>
              <w:rPr>
                <w:rFonts w:asciiTheme="majorHAnsi" w:hAnsiTheme="majorHAnsi" w:cstheme="majorHAnsi"/>
                <w:sz w:val="16"/>
                <w:szCs w:val="16"/>
                <w:lang w:val="ro-MD"/>
              </w:rPr>
            </w:pPr>
          </w:p>
          <w:p w:rsidR="00854459" w:rsidRPr="0024512C" w:rsidRDefault="00854459" w:rsidP="00854459">
            <w:pPr>
              <w:jc w:val="both"/>
              <w:rPr>
                <w:rFonts w:asciiTheme="majorHAnsi" w:hAnsiTheme="majorHAnsi" w:cstheme="majorHAnsi"/>
                <w:sz w:val="16"/>
                <w:szCs w:val="16"/>
                <w:lang w:val="ro-MD"/>
              </w:rPr>
            </w:pPr>
            <w:r w:rsidRPr="0024512C">
              <w:rPr>
                <w:rFonts w:asciiTheme="majorHAnsi" w:hAnsiTheme="majorHAnsi" w:cstheme="majorHAnsi"/>
                <w:sz w:val="16"/>
                <w:szCs w:val="16"/>
                <w:lang w:val="ro-MD"/>
              </w:rPr>
              <w:t>Grant în mărime 28 571,4 mii coroane daneze (DKK)</w:t>
            </w:r>
          </w:p>
        </w:tc>
        <w:tc>
          <w:tcPr>
            <w:tcW w:w="1550" w:type="dxa"/>
          </w:tcPr>
          <w:p w:rsidR="00854459" w:rsidRPr="0024512C" w:rsidRDefault="00854459" w:rsidP="00854459">
            <w:pPr>
              <w:jc w:val="both"/>
              <w:rPr>
                <w:rFonts w:asciiTheme="majorHAnsi" w:hAnsiTheme="majorHAnsi" w:cstheme="majorHAnsi"/>
                <w:sz w:val="16"/>
                <w:szCs w:val="16"/>
                <w:lang w:val="ro-MD"/>
              </w:rPr>
            </w:pPr>
            <w:r w:rsidRPr="0024512C">
              <w:rPr>
                <w:rFonts w:asciiTheme="majorHAnsi" w:hAnsiTheme="majorHAnsi" w:cstheme="majorHAnsi"/>
                <w:bCs/>
                <w:sz w:val="16"/>
                <w:szCs w:val="16"/>
                <w:lang w:val="ro-MD"/>
              </w:rPr>
              <w:t>Lansat în 2014 și va fi implementat în Moldova până în anul 2020</w:t>
            </w:r>
          </w:p>
        </w:tc>
        <w:tc>
          <w:tcPr>
            <w:tcW w:w="1453" w:type="dxa"/>
          </w:tcPr>
          <w:p w:rsidR="00854459" w:rsidRPr="0024512C" w:rsidRDefault="00854459" w:rsidP="00854459">
            <w:pPr>
              <w:jc w:val="both"/>
              <w:rPr>
                <w:rFonts w:asciiTheme="majorHAnsi" w:hAnsiTheme="majorHAnsi" w:cstheme="majorHAnsi"/>
                <w:sz w:val="16"/>
                <w:szCs w:val="16"/>
                <w:lang w:val="ro-MD"/>
              </w:rPr>
            </w:pPr>
            <w:r w:rsidRPr="0024512C">
              <w:rPr>
                <w:rFonts w:asciiTheme="majorHAnsi" w:hAnsiTheme="majorHAnsi" w:cstheme="majorHAnsi"/>
                <w:sz w:val="16"/>
                <w:szCs w:val="16"/>
                <w:lang w:val="ro-MD"/>
              </w:rPr>
              <w:t xml:space="preserve">De a da posibilitate populației-țintă de a-și amplifica veniturile și să consolideze reziliența lor la modificările climatice </w:t>
            </w:r>
          </w:p>
        </w:tc>
        <w:tc>
          <w:tcPr>
            <w:tcW w:w="1685" w:type="dxa"/>
          </w:tcPr>
          <w:p w:rsidR="00854459" w:rsidRPr="0024512C" w:rsidRDefault="00854459" w:rsidP="00854459">
            <w:pPr>
              <w:numPr>
                <w:ilvl w:val="0"/>
                <w:numId w:val="13"/>
              </w:numPr>
              <w:ind w:left="42" w:firstLine="90"/>
              <w:contextualSpacing/>
              <w:jc w:val="both"/>
              <w:rPr>
                <w:rFonts w:asciiTheme="majorHAnsi" w:hAnsiTheme="majorHAnsi" w:cstheme="majorHAnsi"/>
                <w:i/>
                <w:sz w:val="16"/>
                <w:szCs w:val="16"/>
                <w:lang w:val="ro-MD"/>
              </w:rPr>
            </w:pPr>
            <w:r w:rsidRPr="0024512C">
              <w:rPr>
                <w:rFonts w:asciiTheme="majorHAnsi" w:hAnsiTheme="majorHAnsi" w:cstheme="majorHAnsi"/>
                <w:i/>
                <w:sz w:val="16"/>
                <w:szCs w:val="16"/>
                <w:lang w:val="ro-MD"/>
              </w:rPr>
              <w:t xml:space="preserve">Reziliența Schimbărilor Climatice </w:t>
            </w:r>
            <w:proofErr w:type="spellStart"/>
            <w:r w:rsidRPr="0024512C">
              <w:rPr>
                <w:rFonts w:asciiTheme="majorHAnsi" w:hAnsiTheme="majorHAnsi" w:cstheme="majorHAnsi"/>
                <w:i/>
                <w:sz w:val="16"/>
                <w:szCs w:val="16"/>
                <w:lang w:val="ro-MD"/>
              </w:rPr>
              <w:t>şi</w:t>
            </w:r>
            <w:proofErr w:type="spellEnd"/>
            <w:r w:rsidRPr="0024512C">
              <w:rPr>
                <w:rFonts w:asciiTheme="majorHAnsi" w:hAnsiTheme="majorHAnsi" w:cstheme="majorHAnsi"/>
                <w:i/>
                <w:sz w:val="16"/>
                <w:szCs w:val="16"/>
                <w:lang w:val="ro-MD"/>
              </w:rPr>
              <w:t xml:space="preserve"> Lanț Valoric Incluziv;</w:t>
            </w:r>
          </w:p>
          <w:p w:rsidR="00854459" w:rsidRPr="0024512C" w:rsidRDefault="00854459" w:rsidP="00854459">
            <w:pPr>
              <w:numPr>
                <w:ilvl w:val="0"/>
                <w:numId w:val="13"/>
              </w:numPr>
              <w:ind w:left="42" w:firstLine="90"/>
              <w:contextualSpacing/>
              <w:jc w:val="both"/>
              <w:rPr>
                <w:rFonts w:asciiTheme="majorHAnsi" w:hAnsiTheme="majorHAnsi" w:cstheme="majorHAnsi"/>
                <w:i/>
                <w:sz w:val="16"/>
                <w:szCs w:val="16"/>
                <w:lang w:val="ro-MD"/>
              </w:rPr>
            </w:pPr>
            <w:r w:rsidRPr="0024512C">
              <w:rPr>
                <w:rFonts w:asciiTheme="majorHAnsi" w:hAnsiTheme="majorHAnsi" w:cstheme="majorHAnsi"/>
                <w:i/>
                <w:sz w:val="16"/>
                <w:szCs w:val="16"/>
                <w:lang w:val="ro-MD"/>
              </w:rPr>
              <w:t xml:space="preserve">Finanțarea Rurală Incluzivă </w:t>
            </w:r>
            <w:proofErr w:type="spellStart"/>
            <w:r w:rsidRPr="0024512C">
              <w:rPr>
                <w:rFonts w:asciiTheme="majorHAnsi" w:hAnsiTheme="majorHAnsi" w:cstheme="majorHAnsi"/>
                <w:i/>
                <w:sz w:val="16"/>
                <w:szCs w:val="16"/>
                <w:lang w:val="ro-MD"/>
              </w:rPr>
              <w:t>şi</w:t>
            </w:r>
            <w:proofErr w:type="spellEnd"/>
            <w:r w:rsidRPr="0024512C">
              <w:rPr>
                <w:rFonts w:asciiTheme="majorHAnsi" w:hAnsiTheme="majorHAnsi" w:cstheme="majorHAnsi"/>
                <w:i/>
                <w:sz w:val="16"/>
                <w:szCs w:val="16"/>
                <w:lang w:val="ro-MD"/>
              </w:rPr>
              <w:t xml:space="preserve"> Dezvoltarea Capacităților;</w:t>
            </w:r>
          </w:p>
          <w:p w:rsidR="00854459" w:rsidRPr="0024512C" w:rsidRDefault="00854459" w:rsidP="00854459">
            <w:pPr>
              <w:numPr>
                <w:ilvl w:val="0"/>
                <w:numId w:val="13"/>
              </w:numPr>
              <w:ind w:left="42" w:firstLine="90"/>
              <w:contextualSpacing/>
              <w:jc w:val="both"/>
              <w:rPr>
                <w:rFonts w:asciiTheme="majorHAnsi" w:hAnsiTheme="majorHAnsi" w:cstheme="majorHAnsi"/>
                <w:i/>
                <w:sz w:val="16"/>
                <w:szCs w:val="16"/>
                <w:lang w:val="ro-MD"/>
              </w:rPr>
            </w:pPr>
            <w:r w:rsidRPr="0024512C">
              <w:rPr>
                <w:rFonts w:asciiTheme="majorHAnsi" w:hAnsiTheme="majorHAnsi" w:cstheme="majorHAnsi"/>
                <w:i/>
                <w:sz w:val="16"/>
                <w:szCs w:val="16"/>
                <w:lang w:val="ro-MD"/>
              </w:rPr>
              <w:t xml:space="preserve">Infrastructura pentru Reziliență Rurală </w:t>
            </w:r>
            <w:proofErr w:type="spellStart"/>
            <w:r w:rsidRPr="0024512C">
              <w:rPr>
                <w:rFonts w:asciiTheme="majorHAnsi" w:hAnsiTheme="majorHAnsi" w:cstheme="majorHAnsi"/>
                <w:i/>
                <w:sz w:val="16"/>
                <w:szCs w:val="16"/>
                <w:lang w:val="ro-MD"/>
              </w:rPr>
              <w:t>şi</w:t>
            </w:r>
            <w:proofErr w:type="spellEnd"/>
            <w:r w:rsidRPr="0024512C">
              <w:rPr>
                <w:rFonts w:asciiTheme="majorHAnsi" w:hAnsiTheme="majorHAnsi" w:cstheme="majorHAnsi"/>
                <w:i/>
                <w:sz w:val="16"/>
                <w:szCs w:val="16"/>
                <w:lang w:val="ro-MD"/>
              </w:rPr>
              <w:t xml:space="preserve"> Evoluție; </w:t>
            </w:r>
            <w:proofErr w:type="spellStart"/>
            <w:r w:rsidRPr="0024512C">
              <w:rPr>
                <w:rFonts w:asciiTheme="majorHAnsi" w:hAnsiTheme="majorHAnsi" w:cstheme="majorHAnsi"/>
                <w:i/>
                <w:sz w:val="16"/>
                <w:szCs w:val="16"/>
                <w:lang w:val="ro-MD"/>
              </w:rPr>
              <w:t>şi</w:t>
            </w:r>
            <w:proofErr w:type="spellEnd"/>
            <w:r w:rsidRPr="0024512C">
              <w:rPr>
                <w:rFonts w:asciiTheme="majorHAnsi" w:hAnsiTheme="majorHAnsi" w:cstheme="majorHAnsi"/>
                <w:i/>
                <w:sz w:val="16"/>
                <w:szCs w:val="16"/>
                <w:lang w:val="ro-MD"/>
              </w:rPr>
              <w:t xml:space="preserve"> </w:t>
            </w:r>
          </w:p>
          <w:p w:rsidR="00854459" w:rsidRPr="0024512C" w:rsidRDefault="00854459" w:rsidP="00854459">
            <w:pPr>
              <w:numPr>
                <w:ilvl w:val="0"/>
                <w:numId w:val="13"/>
              </w:numPr>
              <w:ind w:left="42" w:firstLine="90"/>
              <w:contextualSpacing/>
              <w:jc w:val="both"/>
              <w:rPr>
                <w:rFonts w:asciiTheme="majorHAnsi" w:hAnsiTheme="majorHAnsi" w:cstheme="majorHAnsi"/>
                <w:i/>
                <w:sz w:val="16"/>
                <w:szCs w:val="16"/>
                <w:lang w:val="ro-MD"/>
              </w:rPr>
            </w:pPr>
            <w:r w:rsidRPr="0024512C">
              <w:rPr>
                <w:rFonts w:asciiTheme="majorHAnsi" w:hAnsiTheme="majorHAnsi" w:cstheme="majorHAnsi"/>
                <w:i/>
                <w:sz w:val="16"/>
                <w:szCs w:val="16"/>
                <w:lang w:val="ro-MD"/>
              </w:rPr>
              <w:t>Managementul Programului</w:t>
            </w:r>
          </w:p>
          <w:p w:rsidR="00854459" w:rsidRPr="0024512C" w:rsidRDefault="00854459" w:rsidP="00854459">
            <w:pPr>
              <w:jc w:val="both"/>
              <w:rPr>
                <w:rFonts w:asciiTheme="majorHAnsi" w:hAnsiTheme="majorHAnsi" w:cstheme="majorHAnsi"/>
                <w:sz w:val="16"/>
                <w:szCs w:val="16"/>
                <w:lang w:val="ro-MD"/>
              </w:rPr>
            </w:pPr>
          </w:p>
        </w:tc>
        <w:tc>
          <w:tcPr>
            <w:tcW w:w="3150" w:type="dxa"/>
          </w:tcPr>
          <w:p w:rsidR="00854459" w:rsidRPr="0024512C" w:rsidRDefault="00854459" w:rsidP="00854459">
            <w:pPr>
              <w:jc w:val="both"/>
              <w:rPr>
                <w:rFonts w:asciiTheme="majorHAnsi" w:hAnsiTheme="majorHAnsi" w:cstheme="majorHAnsi"/>
                <w:sz w:val="16"/>
                <w:szCs w:val="16"/>
                <w:lang w:val="ro-MD"/>
              </w:rPr>
            </w:pPr>
            <w:r w:rsidRPr="0024512C">
              <w:rPr>
                <w:rFonts w:asciiTheme="majorHAnsi" w:hAnsiTheme="majorHAnsi" w:cstheme="majorHAnsi"/>
                <w:bCs/>
                <w:sz w:val="16"/>
                <w:szCs w:val="16"/>
                <w:lang w:val="ro-MD"/>
              </w:rPr>
              <w:t>În baza ordinului MF nr. 112 din 29.07.2015, DLC i-au fost delegate sarcinile de acumulare, administrare și recreditare a mijloacelor circulante formate din sursele colectate a sumelor principale și a dobânzilor sub-împrumuturilor acordate beneficiarilor prin intermediul IFP în cadrul Programului. De asemenea, în baza aceluiași ordin a fost stabilit că, în numele MF, DLC va acumula și va utiliza mijloacele circulante ale programului la conturile deschise ale liniei de credit deservite la BNM pentru continuarea recreditării de noi sub-proiecte private eligibile</w:t>
            </w:r>
          </w:p>
        </w:tc>
        <w:tc>
          <w:tcPr>
            <w:tcW w:w="1710"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- 316 de beneficiari cu valoarea împrumuturilor de 126,54 mil. lei și 0,38 mil. euro;</w:t>
            </w:r>
          </w:p>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valoarea împrumuturilor rambursate constituie 62,66 mil. lei și 0,15 mil. euro;</w:t>
            </w:r>
          </w:p>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soldul împrumutului este de 63,88 mil. lei și 0,23 mil. euro</w:t>
            </w:r>
          </w:p>
        </w:tc>
        <w:tc>
          <w:tcPr>
            <w:tcW w:w="1603"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- 260 de beneficiari cu valoarea împrumuturilor în sumă totală de 87,92 mil. lei;</w:t>
            </w:r>
          </w:p>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valoarea împrumuturilor rambursate constituie 28,73 mil. lei;</w:t>
            </w:r>
          </w:p>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soldul împrumuturilor este de 59,19 mil. lei</w:t>
            </w:r>
          </w:p>
          <w:p w:rsidR="00854459" w:rsidRPr="0024512C" w:rsidRDefault="00854459" w:rsidP="00854459">
            <w:pPr>
              <w:jc w:val="both"/>
              <w:rPr>
                <w:rFonts w:asciiTheme="majorHAnsi" w:hAnsiTheme="majorHAnsi" w:cstheme="majorHAnsi"/>
                <w:sz w:val="16"/>
                <w:szCs w:val="16"/>
                <w:lang w:val="ro-MD"/>
              </w:rPr>
            </w:pPr>
          </w:p>
          <w:p w:rsidR="00854459" w:rsidRPr="0024512C" w:rsidRDefault="00854459" w:rsidP="00854459">
            <w:pPr>
              <w:jc w:val="both"/>
              <w:rPr>
                <w:rFonts w:asciiTheme="majorHAnsi" w:hAnsiTheme="majorHAnsi" w:cstheme="majorHAnsi"/>
                <w:sz w:val="16"/>
                <w:szCs w:val="16"/>
                <w:lang w:val="ro-MD"/>
              </w:rPr>
            </w:pPr>
          </w:p>
        </w:tc>
      </w:tr>
      <w:tr w:rsidR="00854459" w:rsidRPr="0024512C" w:rsidTr="00854459">
        <w:trPr>
          <w:gridAfter w:val="1"/>
          <w:wAfter w:w="7" w:type="dxa"/>
        </w:trPr>
        <w:tc>
          <w:tcPr>
            <w:tcW w:w="1429" w:type="dxa"/>
          </w:tcPr>
          <w:p w:rsidR="00854459" w:rsidRPr="005C74F5" w:rsidRDefault="00854459" w:rsidP="00854459">
            <w:pPr>
              <w:jc w:val="both"/>
              <w:rPr>
                <w:rFonts w:asciiTheme="majorHAnsi" w:hAnsiTheme="majorHAnsi" w:cstheme="majorHAnsi"/>
                <w:sz w:val="16"/>
                <w:szCs w:val="16"/>
                <w:lang w:val="ro-MD"/>
              </w:rPr>
            </w:pPr>
            <w:r w:rsidRPr="0024512C">
              <w:rPr>
                <w:rFonts w:asciiTheme="majorHAnsi" w:hAnsiTheme="majorHAnsi" w:cstheme="majorHAnsi"/>
                <w:b/>
                <w:bCs/>
                <w:i/>
                <w:sz w:val="16"/>
                <w:szCs w:val="16"/>
                <w:lang w:val="ro-MD"/>
              </w:rPr>
              <w:t>Proiectul de Reziliență Rurală (FIDA VII)</w:t>
            </w:r>
          </w:p>
        </w:tc>
        <w:tc>
          <w:tcPr>
            <w:tcW w:w="1562" w:type="dxa"/>
          </w:tcPr>
          <w:p w:rsidR="00854459" w:rsidRPr="0024512C" w:rsidRDefault="00854459" w:rsidP="00854459">
            <w:pPr>
              <w:jc w:val="both"/>
              <w:rPr>
                <w:rFonts w:asciiTheme="majorHAnsi" w:hAnsiTheme="majorHAnsi" w:cstheme="majorHAnsi"/>
                <w:sz w:val="16"/>
                <w:szCs w:val="16"/>
                <w:lang w:val="ro-MD"/>
              </w:rPr>
            </w:pPr>
            <w:r w:rsidRPr="0024512C">
              <w:rPr>
                <w:rFonts w:asciiTheme="majorHAnsi" w:hAnsiTheme="majorHAnsi" w:cstheme="majorHAnsi"/>
                <w:sz w:val="16"/>
                <w:szCs w:val="16"/>
                <w:lang w:val="ro-MD"/>
              </w:rPr>
              <w:t>Acordul de Finanțare pentru împrumut IFAD NR.2000001702, grant IFAD NR.2000001703 și grant ASAP (</w:t>
            </w:r>
            <w:r w:rsidRPr="0024512C">
              <w:rPr>
                <w:rFonts w:asciiTheme="majorHAnsi" w:hAnsiTheme="majorHAnsi" w:cstheme="majorHAnsi"/>
                <w:bCs/>
                <w:sz w:val="16"/>
                <w:szCs w:val="16"/>
                <w:lang w:val="ro-MD"/>
              </w:rPr>
              <w:t xml:space="preserve">Adaptarea micilor producători la Programul Fondului fiduciar (Fondul </w:t>
            </w:r>
            <w:r w:rsidRPr="0024512C">
              <w:rPr>
                <w:rFonts w:asciiTheme="majorHAnsi" w:hAnsiTheme="majorHAnsi" w:cstheme="majorHAnsi"/>
                <w:bCs/>
                <w:sz w:val="16"/>
                <w:szCs w:val="16"/>
                <w:lang w:val="ro-MD"/>
              </w:rPr>
              <w:lastRenderedPageBreak/>
              <w:t>ASAP))</w:t>
            </w:r>
            <w:r w:rsidRPr="0024512C">
              <w:rPr>
                <w:rFonts w:asciiTheme="majorHAnsi" w:hAnsiTheme="majorHAnsi" w:cstheme="majorHAnsi"/>
                <w:sz w:val="16"/>
                <w:szCs w:val="16"/>
                <w:lang w:val="ro-MD"/>
              </w:rPr>
              <w:t xml:space="preserve"> NR.2000001701 </w:t>
            </w:r>
            <w:r w:rsidRPr="00321F59">
              <w:rPr>
                <w:rFonts w:asciiTheme="majorHAnsi" w:hAnsiTheme="majorHAnsi" w:cstheme="majorHAnsi"/>
                <w:sz w:val="16"/>
                <w:szCs w:val="16"/>
                <w:lang w:val="ro-MD"/>
              </w:rPr>
              <w:t>din 11.04.2017</w:t>
            </w:r>
          </w:p>
        </w:tc>
        <w:tc>
          <w:tcPr>
            <w:tcW w:w="1398" w:type="dxa"/>
          </w:tcPr>
          <w:p w:rsidR="00854459" w:rsidRPr="0024512C" w:rsidRDefault="00854459" w:rsidP="00854459">
            <w:pPr>
              <w:jc w:val="both"/>
              <w:rPr>
                <w:rFonts w:asciiTheme="majorHAnsi" w:hAnsiTheme="majorHAnsi" w:cstheme="majorHAnsi"/>
                <w:sz w:val="16"/>
                <w:szCs w:val="16"/>
                <w:lang w:val="ro-MD"/>
              </w:rPr>
            </w:pPr>
            <w:r w:rsidRPr="005C74F5">
              <w:rPr>
                <w:rFonts w:asciiTheme="majorHAnsi" w:hAnsiTheme="majorHAnsi" w:cstheme="majorHAnsi"/>
                <w:sz w:val="16"/>
                <w:szCs w:val="16"/>
                <w:lang w:val="ro-MD"/>
              </w:rPr>
              <w:lastRenderedPageBreak/>
              <w:t>Î</w:t>
            </w:r>
            <w:r w:rsidRPr="00321F59">
              <w:rPr>
                <w:rFonts w:asciiTheme="majorHAnsi" w:hAnsiTheme="majorHAnsi" w:cstheme="majorHAnsi"/>
                <w:sz w:val="16"/>
                <w:szCs w:val="16"/>
                <w:lang w:val="ro-MD"/>
              </w:rPr>
              <w:t xml:space="preserve">mprumut FIDA în valoare de 18,2 mil. </w:t>
            </w:r>
            <w:r w:rsidR="00DA2199" w:rsidRPr="00321F59">
              <w:rPr>
                <w:rFonts w:asciiTheme="majorHAnsi" w:hAnsiTheme="majorHAnsi" w:cstheme="majorHAnsi"/>
                <w:sz w:val="16"/>
                <w:szCs w:val="16"/>
                <w:lang w:val="ro-MD"/>
              </w:rPr>
              <w:t>dol. SUA</w:t>
            </w:r>
            <w:r w:rsidRPr="00321F59">
              <w:rPr>
                <w:rFonts w:asciiTheme="majorHAnsi" w:hAnsiTheme="majorHAnsi" w:cstheme="majorHAnsi"/>
                <w:sz w:val="16"/>
                <w:szCs w:val="16"/>
                <w:lang w:val="ro-MD"/>
              </w:rPr>
              <w:t xml:space="preserve">, un grant IFAD </w:t>
            </w:r>
            <w:r w:rsidRPr="0024512C">
              <w:rPr>
                <w:rFonts w:asciiTheme="majorHAnsi" w:hAnsiTheme="majorHAnsi" w:cstheme="majorHAnsi"/>
                <w:sz w:val="16"/>
                <w:szCs w:val="16"/>
                <w:lang w:val="ro-MD"/>
              </w:rPr>
              <w:t xml:space="preserve">în sumă de 0,5 mil. </w:t>
            </w:r>
            <w:r w:rsidR="00DA2199" w:rsidRPr="005C74F5">
              <w:rPr>
                <w:rFonts w:asciiTheme="majorHAnsi" w:hAnsiTheme="majorHAnsi" w:cstheme="majorHAnsi"/>
                <w:sz w:val="16"/>
                <w:szCs w:val="16"/>
                <w:lang w:val="ro-MD"/>
              </w:rPr>
              <w:t>dol. SUA</w:t>
            </w:r>
            <w:r w:rsidRPr="00263854">
              <w:rPr>
                <w:rFonts w:asciiTheme="majorHAnsi" w:hAnsiTheme="majorHAnsi" w:cstheme="majorHAnsi"/>
                <w:sz w:val="16"/>
                <w:szCs w:val="16"/>
                <w:lang w:val="ro-MD"/>
              </w:rPr>
              <w:t xml:space="preserve"> și un grant ASAP în valoare de 5,0 mil. </w:t>
            </w:r>
            <w:r w:rsidR="00DA2199" w:rsidRPr="0024512C">
              <w:rPr>
                <w:rFonts w:asciiTheme="majorHAnsi" w:hAnsiTheme="majorHAnsi" w:cstheme="majorHAnsi"/>
                <w:sz w:val="16"/>
                <w:szCs w:val="16"/>
                <w:lang w:val="ro-MD"/>
              </w:rPr>
              <w:t>dol. SUA</w:t>
            </w:r>
          </w:p>
        </w:tc>
        <w:tc>
          <w:tcPr>
            <w:tcW w:w="1550" w:type="dxa"/>
          </w:tcPr>
          <w:p w:rsidR="00854459" w:rsidRPr="0024512C" w:rsidRDefault="00854459" w:rsidP="00854459">
            <w:pPr>
              <w:jc w:val="both"/>
              <w:rPr>
                <w:rFonts w:asciiTheme="majorHAnsi" w:hAnsiTheme="majorHAnsi" w:cstheme="majorHAnsi"/>
                <w:sz w:val="16"/>
                <w:szCs w:val="16"/>
                <w:lang w:val="ro-MD"/>
              </w:rPr>
            </w:pPr>
            <w:r w:rsidRPr="0024512C">
              <w:rPr>
                <w:rFonts w:asciiTheme="majorHAnsi" w:hAnsiTheme="majorHAnsi" w:cstheme="majorHAnsi"/>
                <w:bCs/>
                <w:sz w:val="16"/>
                <w:szCs w:val="16"/>
                <w:lang w:val="ro-MD"/>
              </w:rPr>
              <w:t>Lansat în 2017 și are o durată de implementare de 6 ani</w:t>
            </w:r>
          </w:p>
        </w:tc>
        <w:tc>
          <w:tcPr>
            <w:tcW w:w="1453" w:type="dxa"/>
          </w:tcPr>
          <w:p w:rsidR="00854459" w:rsidRPr="0024512C" w:rsidRDefault="00854459" w:rsidP="00854459">
            <w:pPr>
              <w:jc w:val="both"/>
              <w:rPr>
                <w:rFonts w:asciiTheme="majorHAnsi" w:hAnsiTheme="majorHAnsi" w:cstheme="majorHAnsi"/>
                <w:sz w:val="16"/>
                <w:szCs w:val="16"/>
                <w:lang w:val="ro-MD"/>
              </w:rPr>
            </w:pPr>
            <w:r w:rsidRPr="0024512C">
              <w:rPr>
                <w:rFonts w:asciiTheme="majorHAnsi" w:hAnsiTheme="majorHAnsi" w:cstheme="majorHAnsi"/>
                <w:bCs/>
                <w:sz w:val="16"/>
                <w:szCs w:val="16"/>
                <w:lang w:val="ro-MD"/>
              </w:rPr>
              <w:t xml:space="preserve">De a îmbunătăți bunăstarea populației din zonele rurale din Moldova și de a contribui la reducerea sărăciei </w:t>
            </w:r>
          </w:p>
        </w:tc>
        <w:tc>
          <w:tcPr>
            <w:tcW w:w="1685" w:type="dxa"/>
          </w:tcPr>
          <w:p w:rsidR="00854459" w:rsidRPr="0024512C" w:rsidRDefault="00854459" w:rsidP="00854459">
            <w:pPr>
              <w:numPr>
                <w:ilvl w:val="0"/>
                <w:numId w:val="14"/>
              </w:numPr>
              <w:ind w:left="0" w:firstLine="42"/>
              <w:contextualSpacing/>
              <w:jc w:val="both"/>
              <w:rPr>
                <w:rFonts w:asciiTheme="majorHAnsi" w:hAnsiTheme="majorHAnsi" w:cstheme="majorHAnsi"/>
                <w:bCs/>
                <w:sz w:val="16"/>
                <w:szCs w:val="16"/>
                <w:lang w:val="ro-MD"/>
              </w:rPr>
            </w:pPr>
            <w:r w:rsidRPr="0024512C">
              <w:rPr>
                <w:rFonts w:asciiTheme="majorHAnsi" w:hAnsiTheme="majorHAnsi" w:cstheme="majorHAnsi"/>
                <w:bCs/>
                <w:i/>
                <w:sz w:val="16"/>
                <w:szCs w:val="16"/>
                <w:lang w:val="ro-MD"/>
              </w:rPr>
              <w:t xml:space="preserve">Îmbunătățirea capacităților de adaptare a fermierilor mici și a întreprinderilor agricole </w:t>
            </w:r>
            <w:r w:rsidRPr="0024512C">
              <w:rPr>
                <w:rFonts w:asciiTheme="majorHAnsi" w:hAnsiTheme="majorHAnsi" w:cstheme="majorHAnsi"/>
                <w:bCs/>
                <w:sz w:val="16"/>
                <w:szCs w:val="16"/>
                <w:lang w:val="ro-MD"/>
              </w:rPr>
              <w:t xml:space="preserve">și </w:t>
            </w:r>
          </w:p>
          <w:p w:rsidR="00854459" w:rsidRPr="0024512C" w:rsidRDefault="00854459" w:rsidP="00854459">
            <w:pPr>
              <w:ind w:left="42"/>
              <w:contextualSpacing/>
              <w:jc w:val="both"/>
              <w:rPr>
                <w:rFonts w:asciiTheme="majorHAnsi" w:hAnsiTheme="majorHAnsi" w:cstheme="majorHAnsi"/>
                <w:bCs/>
                <w:sz w:val="16"/>
                <w:szCs w:val="16"/>
                <w:lang w:val="ro-MD"/>
              </w:rPr>
            </w:pPr>
            <w:r w:rsidRPr="0024512C">
              <w:rPr>
                <w:rFonts w:asciiTheme="majorHAnsi" w:hAnsiTheme="majorHAnsi" w:cstheme="majorHAnsi"/>
                <w:bCs/>
                <w:i/>
                <w:sz w:val="16"/>
                <w:szCs w:val="16"/>
                <w:lang w:val="ro-MD"/>
              </w:rPr>
              <w:t>(ii) Suport pentru dezvoltarea businessului agricol</w:t>
            </w:r>
          </w:p>
          <w:p w:rsidR="00854459" w:rsidRPr="0024512C" w:rsidRDefault="00854459" w:rsidP="00854459">
            <w:pPr>
              <w:jc w:val="both"/>
              <w:rPr>
                <w:rFonts w:asciiTheme="majorHAnsi" w:hAnsiTheme="majorHAnsi" w:cstheme="majorHAnsi"/>
                <w:sz w:val="16"/>
                <w:szCs w:val="16"/>
                <w:lang w:val="ro-MD"/>
              </w:rPr>
            </w:pPr>
          </w:p>
        </w:tc>
        <w:tc>
          <w:tcPr>
            <w:tcW w:w="3150"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Conform prevederilor Acordului de împrumut, DLC autorizat de către MF deține unele responsabilități ce țin de implementarea primei sub-componente</w:t>
            </w:r>
            <w:r w:rsidRPr="0024512C">
              <w:rPr>
                <w:rFonts w:asciiTheme="majorHAnsi" w:hAnsiTheme="majorHAnsi" w:cstheme="majorHAnsi"/>
                <w:i/>
                <w:sz w:val="16"/>
                <w:szCs w:val="16"/>
                <w:lang w:val="ro-MD"/>
              </w:rPr>
              <w:t xml:space="preserve"> </w:t>
            </w:r>
            <w:r w:rsidRPr="0024512C">
              <w:rPr>
                <w:rFonts w:asciiTheme="majorHAnsi" w:hAnsiTheme="majorHAnsi" w:cstheme="majorHAnsi"/>
                <w:sz w:val="16"/>
                <w:szCs w:val="16"/>
                <w:lang w:val="ro-MD"/>
              </w:rPr>
              <w:t>(</w:t>
            </w:r>
            <w:r w:rsidRPr="0024512C">
              <w:rPr>
                <w:rFonts w:asciiTheme="majorHAnsi" w:hAnsiTheme="majorHAnsi" w:cstheme="majorHAnsi"/>
                <w:bCs/>
                <w:sz w:val="16"/>
                <w:szCs w:val="16"/>
                <w:lang w:val="ro-MD"/>
              </w:rPr>
              <w:t xml:space="preserve">Suport financiar ce va sprijini investițiile la termen pentru micro întreprinderi, întreprinderi mici și mijlocii din Moldova) din cadrul componentei II a Proiectului ce constau în: evaluarea și monitorizarea performanței și eligibilității IFP; menținerea evidenței sub-împrumuturilor debursate și a datoriilor IFP; calcularea și </w:t>
            </w:r>
            <w:r w:rsidRPr="0024512C">
              <w:rPr>
                <w:rFonts w:asciiTheme="majorHAnsi" w:hAnsiTheme="majorHAnsi" w:cstheme="majorHAnsi"/>
                <w:bCs/>
                <w:sz w:val="16"/>
                <w:szCs w:val="16"/>
                <w:lang w:val="ro-MD"/>
              </w:rPr>
              <w:lastRenderedPageBreak/>
              <w:t xml:space="preserve">colectarea sumelor principale și a dobânzilor aferente pentru împrumuturile subsidiare acordate IFP; alte responsabilități </w:t>
            </w:r>
          </w:p>
        </w:tc>
        <w:tc>
          <w:tcPr>
            <w:tcW w:w="1710"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lastRenderedPageBreak/>
              <w:t>- 28 de beneficiari cu valoarea împrumuturilor în sumă totală de 44,63 mil. lei și 0,17 mil. euro;</w:t>
            </w:r>
          </w:p>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rambursările au constituit 0,01 mil. lei;</w:t>
            </w:r>
          </w:p>
          <w:p w:rsidR="00854459" w:rsidRPr="0024512C" w:rsidRDefault="00854459" w:rsidP="00854459">
            <w:pPr>
              <w:jc w:val="both"/>
              <w:rPr>
                <w:rFonts w:asciiTheme="majorHAnsi" w:hAnsiTheme="majorHAnsi" w:cstheme="majorHAnsi"/>
                <w:sz w:val="16"/>
                <w:szCs w:val="16"/>
                <w:lang w:val="ro-MD"/>
              </w:rPr>
            </w:pPr>
            <w:r w:rsidRPr="0024512C">
              <w:rPr>
                <w:rFonts w:asciiTheme="majorHAnsi" w:hAnsiTheme="majorHAnsi" w:cstheme="majorHAnsi"/>
                <w:bCs/>
                <w:sz w:val="16"/>
                <w:szCs w:val="16"/>
                <w:lang w:val="ro-MD"/>
              </w:rPr>
              <w:t xml:space="preserve">- soldul datoriei este de 44,62 mil. lei și 0,17 mil. euro </w:t>
            </w:r>
          </w:p>
        </w:tc>
        <w:tc>
          <w:tcPr>
            <w:tcW w:w="1603" w:type="dxa"/>
          </w:tcPr>
          <w:p w:rsidR="00854459" w:rsidRPr="0024512C" w:rsidRDefault="00854459" w:rsidP="00854459">
            <w:pPr>
              <w:jc w:val="both"/>
              <w:rPr>
                <w:rFonts w:asciiTheme="majorHAnsi" w:hAnsiTheme="majorHAnsi" w:cstheme="majorHAnsi"/>
                <w:sz w:val="16"/>
                <w:szCs w:val="16"/>
                <w:lang w:val="ro-MD"/>
              </w:rPr>
            </w:pPr>
          </w:p>
        </w:tc>
      </w:tr>
      <w:tr w:rsidR="004326B1" w:rsidRPr="0024512C" w:rsidTr="00854459">
        <w:trPr>
          <w:gridAfter w:val="1"/>
          <w:wAfter w:w="7" w:type="dxa"/>
        </w:trPr>
        <w:tc>
          <w:tcPr>
            <w:tcW w:w="15540" w:type="dxa"/>
            <w:gridSpan w:val="9"/>
          </w:tcPr>
          <w:p w:rsidR="004326B1" w:rsidRPr="005C74F5" w:rsidRDefault="004326B1" w:rsidP="004326B1">
            <w:pPr>
              <w:jc w:val="center"/>
              <w:rPr>
                <w:rFonts w:asciiTheme="majorHAnsi" w:hAnsiTheme="majorHAnsi" w:cstheme="majorHAnsi"/>
                <w:sz w:val="20"/>
                <w:szCs w:val="20"/>
                <w:lang w:val="ro-MD"/>
              </w:rPr>
            </w:pPr>
            <w:r w:rsidRPr="0024512C">
              <w:rPr>
                <w:rFonts w:asciiTheme="majorHAnsi" w:hAnsiTheme="majorHAnsi" w:cstheme="majorHAnsi"/>
                <w:b/>
                <w:bCs/>
                <w:i/>
                <w:sz w:val="20"/>
                <w:szCs w:val="20"/>
                <w:lang w:val="ro-MD"/>
              </w:rPr>
              <w:t>Proiectele finanțate de către Asociația Internațională de Dezvoltare</w:t>
            </w:r>
          </w:p>
        </w:tc>
      </w:tr>
      <w:tr w:rsidR="00854459" w:rsidRPr="0024512C" w:rsidTr="00854459">
        <w:trPr>
          <w:gridAfter w:val="1"/>
          <w:wAfter w:w="7" w:type="dxa"/>
        </w:trPr>
        <w:tc>
          <w:tcPr>
            <w:tcW w:w="1429" w:type="dxa"/>
          </w:tcPr>
          <w:p w:rsidR="00854459" w:rsidRPr="005C74F5" w:rsidRDefault="00854459" w:rsidP="00854459">
            <w:pPr>
              <w:jc w:val="both"/>
              <w:rPr>
                <w:rFonts w:asciiTheme="majorHAnsi" w:hAnsiTheme="majorHAnsi" w:cstheme="majorHAnsi"/>
                <w:b/>
                <w:bCs/>
                <w:i/>
                <w:sz w:val="16"/>
                <w:szCs w:val="16"/>
                <w:lang w:val="ro-MD"/>
              </w:rPr>
            </w:pPr>
            <w:r w:rsidRPr="0024512C">
              <w:rPr>
                <w:rFonts w:asciiTheme="majorHAnsi" w:hAnsiTheme="majorHAnsi" w:cstheme="majorHAnsi"/>
                <w:b/>
                <w:bCs/>
                <w:i/>
                <w:sz w:val="16"/>
                <w:szCs w:val="16"/>
                <w:lang w:val="ro-MD"/>
              </w:rPr>
              <w:t>Proiectul de Ameliorare a Competitivității</w:t>
            </w:r>
          </w:p>
        </w:tc>
        <w:tc>
          <w:tcPr>
            <w:tcW w:w="1562" w:type="dxa"/>
          </w:tcPr>
          <w:p w:rsidR="00854459" w:rsidRPr="0024512C" w:rsidRDefault="00854459" w:rsidP="00854459">
            <w:pPr>
              <w:jc w:val="both"/>
              <w:rPr>
                <w:rFonts w:asciiTheme="majorHAnsi" w:hAnsiTheme="majorHAnsi" w:cstheme="majorHAnsi"/>
                <w:sz w:val="16"/>
                <w:szCs w:val="16"/>
                <w:lang w:val="ro-MD"/>
              </w:rPr>
            </w:pPr>
            <w:r w:rsidRPr="0024512C">
              <w:rPr>
                <w:rFonts w:asciiTheme="majorHAnsi" w:hAnsiTheme="majorHAnsi" w:cstheme="majorHAnsi"/>
                <w:bCs/>
                <w:sz w:val="16"/>
                <w:szCs w:val="16"/>
                <w:lang w:val="ro-MD"/>
              </w:rPr>
              <w:t>Acordul de finanțare nr.4655-MD din 17.11.2009</w:t>
            </w:r>
          </w:p>
        </w:tc>
        <w:tc>
          <w:tcPr>
            <w:tcW w:w="1398" w:type="dxa"/>
          </w:tcPr>
          <w:p w:rsidR="00854459" w:rsidRPr="0024512C" w:rsidRDefault="00854459" w:rsidP="00854459">
            <w:pPr>
              <w:jc w:val="both"/>
              <w:rPr>
                <w:rFonts w:asciiTheme="majorHAnsi" w:hAnsiTheme="majorHAnsi" w:cstheme="majorHAnsi"/>
                <w:sz w:val="16"/>
                <w:szCs w:val="16"/>
                <w:lang w:val="ro-MD"/>
              </w:rPr>
            </w:pPr>
            <w:r w:rsidRPr="0024512C">
              <w:rPr>
                <w:rFonts w:asciiTheme="majorHAnsi" w:hAnsiTheme="majorHAnsi" w:cstheme="majorHAnsi"/>
                <w:bCs/>
                <w:sz w:val="16"/>
                <w:szCs w:val="16"/>
                <w:lang w:val="ro-MD"/>
              </w:rPr>
              <w:t>Împrumut în valoare de 15,4 mil. DST</w:t>
            </w:r>
          </w:p>
        </w:tc>
        <w:tc>
          <w:tcPr>
            <w:tcW w:w="1550" w:type="dxa"/>
          </w:tcPr>
          <w:p w:rsidR="00854459" w:rsidRPr="0024512C" w:rsidRDefault="00A16E71" w:rsidP="00854459">
            <w:pPr>
              <w:jc w:val="both"/>
              <w:rPr>
                <w:rFonts w:asciiTheme="majorHAnsi" w:hAnsiTheme="majorHAnsi" w:cstheme="majorHAnsi"/>
                <w:bCs/>
                <w:sz w:val="16"/>
                <w:szCs w:val="16"/>
                <w:lang w:val="ro-MD"/>
              </w:rPr>
            </w:pPr>
            <w:r w:rsidRPr="00321F59">
              <w:rPr>
                <w:rFonts w:asciiTheme="majorHAnsi" w:hAnsiTheme="majorHAnsi" w:cstheme="majorHAnsi"/>
                <w:bCs/>
                <w:sz w:val="16"/>
                <w:szCs w:val="16"/>
                <w:lang w:val="ro-MD"/>
              </w:rPr>
              <w:t>Lansarea oficială a Proiectului a avut loc la data de 17.04.2010. Data de închidere a Proiectului este 30.06.2012</w:t>
            </w:r>
          </w:p>
        </w:tc>
        <w:tc>
          <w:tcPr>
            <w:tcW w:w="1453" w:type="dxa"/>
          </w:tcPr>
          <w:p w:rsidR="00854459" w:rsidRPr="0024512C" w:rsidRDefault="00854459" w:rsidP="00854459">
            <w:pPr>
              <w:jc w:val="both"/>
              <w:rPr>
                <w:rFonts w:asciiTheme="majorHAnsi" w:hAnsiTheme="majorHAnsi" w:cstheme="majorHAnsi"/>
                <w:bCs/>
                <w:sz w:val="16"/>
                <w:szCs w:val="16"/>
                <w:lang w:val="ro-MD"/>
              </w:rPr>
            </w:pPr>
            <w:r w:rsidRPr="005C74F5">
              <w:rPr>
                <w:rFonts w:asciiTheme="majorHAnsi" w:hAnsiTheme="majorHAnsi" w:cstheme="majorHAnsi"/>
                <w:bCs/>
                <w:sz w:val="16"/>
                <w:szCs w:val="16"/>
                <w:lang w:val="ro-MD"/>
              </w:rPr>
              <w:t>Menținerea și sporirea compe</w:t>
            </w:r>
            <w:r w:rsidRPr="0024512C">
              <w:rPr>
                <w:rFonts w:asciiTheme="majorHAnsi" w:hAnsiTheme="majorHAnsi" w:cstheme="majorHAnsi"/>
                <w:bCs/>
                <w:sz w:val="16"/>
                <w:szCs w:val="16"/>
                <w:lang w:val="ro-MD"/>
              </w:rPr>
              <w:t>titivității întreprinderilor din sectorul privat din Moldova</w:t>
            </w:r>
          </w:p>
        </w:tc>
        <w:tc>
          <w:tcPr>
            <w:tcW w:w="1685" w:type="dxa"/>
          </w:tcPr>
          <w:p w:rsidR="00854459" w:rsidRPr="0024512C" w:rsidRDefault="009417AB" w:rsidP="00854459">
            <w:pPr>
              <w:pStyle w:val="ListParagraph"/>
              <w:numPr>
                <w:ilvl w:val="0"/>
                <w:numId w:val="17"/>
              </w:numPr>
              <w:ind w:left="48" w:hanging="6"/>
              <w:jc w:val="both"/>
              <w:rPr>
                <w:rFonts w:asciiTheme="majorHAnsi" w:hAnsiTheme="majorHAnsi" w:cstheme="majorHAnsi"/>
                <w:bCs/>
                <w:i/>
                <w:sz w:val="16"/>
                <w:szCs w:val="16"/>
                <w:lang w:val="ro-MD"/>
              </w:rPr>
            </w:pPr>
            <w:r w:rsidRPr="0024512C">
              <w:rPr>
                <w:rFonts w:asciiTheme="majorHAnsi" w:hAnsiTheme="majorHAnsi" w:cstheme="majorHAnsi"/>
                <w:bCs/>
                <w:i/>
                <w:sz w:val="16"/>
                <w:szCs w:val="16"/>
                <w:lang w:val="ro-MD"/>
              </w:rPr>
              <w:t>Linia de credit (14,</w:t>
            </w:r>
            <w:r w:rsidR="00854459" w:rsidRPr="0024512C">
              <w:rPr>
                <w:rFonts w:asciiTheme="majorHAnsi" w:hAnsiTheme="majorHAnsi" w:cstheme="majorHAnsi"/>
                <w:bCs/>
                <w:i/>
                <w:sz w:val="16"/>
                <w:szCs w:val="16"/>
                <w:lang w:val="ro-MD"/>
              </w:rPr>
              <w:t xml:space="preserve">4 mil. DST) și </w:t>
            </w:r>
          </w:p>
          <w:p w:rsidR="00854459" w:rsidRPr="0024512C" w:rsidRDefault="009417AB" w:rsidP="00854459">
            <w:pPr>
              <w:ind w:left="42"/>
              <w:jc w:val="both"/>
              <w:rPr>
                <w:rFonts w:asciiTheme="majorHAnsi" w:hAnsiTheme="majorHAnsi" w:cstheme="majorHAnsi"/>
                <w:bCs/>
                <w:i/>
                <w:sz w:val="16"/>
                <w:szCs w:val="16"/>
                <w:lang w:val="ro-MD"/>
              </w:rPr>
            </w:pPr>
            <w:r w:rsidRPr="0024512C">
              <w:rPr>
                <w:rFonts w:asciiTheme="majorHAnsi" w:hAnsiTheme="majorHAnsi" w:cstheme="majorHAnsi"/>
                <w:bCs/>
                <w:i/>
                <w:sz w:val="16"/>
                <w:szCs w:val="16"/>
                <w:lang w:val="ro-MD"/>
              </w:rPr>
              <w:t>(ii) Facilitatea de granturi (1,</w:t>
            </w:r>
            <w:r w:rsidR="00854459" w:rsidRPr="0024512C">
              <w:rPr>
                <w:rFonts w:asciiTheme="majorHAnsi" w:hAnsiTheme="majorHAnsi" w:cstheme="majorHAnsi"/>
                <w:bCs/>
                <w:i/>
                <w:sz w:val="16"/>
                <w:szCs w:val="16"/>
                <w:lang w:val="ro-MD"/>
              </w:rPr>
              <w:t>0 mil. DST)</w:t>
            </w:r>
          </w:p>
        </w:tc>
        <w:tc>
          <w:tcPr>
            <w:tcW w:w="3150"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DLC a fost responsabil de implementarea Componentei I. Linia de credit, având următoarele responsabilități generale: acordarea asistenței, consultanței și sfaturilor pro-active pentru IFP și Sub-proiectelor referitor la toate aspectele Liniei de credit, inclusiv termenii și condițiile, debursările, procedurile de procurări și ecologice, aprobarea eligibilității beneficiarilor finali pentru toate sub-proiectele prezentate de IFP, inclusiv a procedurilor de procurări și controlului protecției mediului înconjurător, prezentarea la creditor a sub-proiectelor care necesită acceptul anterior al acestuia, prezentarea rapoartelor de progres corespunzătoare, rapoartelor referitor la sub-împrumuturile aprobate și nedecontate, plăți, încasări, datorii arierate în cadrul Liniei de credit etc.</w:t>
            </w:r>
          </w:p>
        </w:tc>
        <w:tc>
          <w:tcPr>
            <w:tcW w:w="1710"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- 60 de beneficiari cu valoarea sub-împrumuturilor în sumă totală de 27,49 mil. lei, 4,85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 xml:space="preserve"> și 11,17 mil. euro;</w:t>
            </w:r>
          </w:p>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sub-împrumuturile au fost rambursate integral</w:t>
            </w:r>
          </w:p>
          <w:p w:rsidR="00854459" w:rsidRPr="0024512C" w:rsidRDefault="00854459" w:rsidP="00854459">
            <w:pPr>
              <w:jc w:val="both"/>
              <w:rPr>
                <w:rFonts w:asciiTheme="majorHAnsi" w:hAnsiTheme="majorHAnsi" w:cstheme="majorHAnsi"/>
                <w:bCs/>
                <w:sz w:val="16"/>
                <w:szCs w:val="16"/>
                <w:lang w:val="ro-MD"/>
              </w:rPr>
            </w:pPr>
          </w:p>
        </w:tc>
        <w:tc>
          <w:tcPr>
            <w:tcW w:w="1603" w:type="dxa"/>
          </w:tcPr>
          <w:p w:rsidR="00854459" w:rsidRPr="0024512C" w:rsidRDefault="00854459" w:rsidP="00854459">
            <w:pPr>
              <w:rPr>
                <w:rFonts w:asciiTheme="majorHAnsi" w:hAnsiTheme="majorHAnsi" w:cstheme="majorHAnsi"/>
                <w:bCs/>
                <w:sz w:val="16"/>
                <w:szCs w:val="16"/>
                <w:lang w:val="ro-MD"/>
              </w:rPr>
            </w:pPr>
            <w:r w:rsidRPr="0024512C">
              <w:rPr>
                <w:rFonts w:asciiTheme="majorHAnsi" w:hAnsiTheme="majorHAnsi" w:cstheme="majorHAnsi"/>
                <w:bCs/>
                <w:sz w:val="16"/>
                <w:szCs w:val="16"/>
                <w:lang w:val="ro-MD"/>
              </w:rPr>
              <w:t>- 146 de beneficiari de sub-împrumuturi în sumă totală de 214,9</w:t>
            </w:r>
            <w:r w:rsidR="00A16E71" w:rsidRPr="0024512C">
              <w:rPr>
                <w:rFonts w:asciiTheme="majorHAnsi" w:hAnsiTheme="majorHAnsi" w:cstheme="majorHAnsi"/>
                <w:bCs/>
                <w:sz w:val="16"/>
                <w:szCs w:val="16"/>
                <w:lang w:val="ro-MD"/>
              </w:rPr>
              <w:t>4</w:t>
            </w:r>
            <w:r w:rsidRPr="0024512C">
              <w:rPr>
                <w:rFonts w:asciiTheme="majorHAnsi" w:hAnsiTheme="majorHAnsi" w:cstheme="majorHAnsi"/>
                <w:bCs/>
                <w:sz w:val="16"/>
                <w:szCs w:val="16"/>
                <w:lang w:val="ro-MD"/>
              </w:rPr>
              <w:t xml:space="preserve"> mil. lei, 6,48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 xml:space="preserve"> și 15,5 mil. euro;</w:t>
            </w:r>
          </w:p>
          <w:p w:rsidR="00854459" w:rsidRPr="0024512C" w:rsidRDefault="00854459" w:rsidP="00854459">
            <w:pPr>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 </w:t>
            </w:r>
            <w:r w:rsidR="00A16E71" w:rsidRPr="0024512C">
              <w:rPr>
                <w:rFonts w:asciiTheme="majorHAnsi" w:hAnsiTheme="majorHAnsi" w:cstheme="majorHAnsi"/>
                <w:bCs/>
                <w:sz w:val="16"/>
                <w:szCs w:val="16"/>
                <w:lang w:val="ro-MD"/>
              </w:rPr>
              <w:t>rambursările au însumat 199,62</w:t>
            </w:r>
            <w:r w:rsidRPr="0024512C">
              <w:rPr>
                <w:rFonts w:asciiTheme="majorHAnsi" w:hAnsiTheme="majorHAnsi" w:cstheme="majorHAnsi"/>
                <w:bCs/>
                <w:sz w:val="16"/>
                <w:szCs w:val="16"/>
                <w:lang w:val="ro-MD"/>
              </w:rPr>
              <w:t xml:space="preserve"> mil. lei, 6,16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 xml:space="preserve"> și 12,0 mil. euro;</w:t>
            </w:r>
          </w:p>
          <w:p w:rsidR="00854459" w:rsidRPr="0024512C" w:rsidRDefault="00854459" w:rsidP="00854459">
            <w:pPr>
              <w:rPr>
                <w:rFonts w:asciiTheme="majorHAnsi" w:hAnsiTheme="majorHAnsi" w:cstheme="majorHAnsi"/>
                <w:sz w:val="16"/>
                <w:szCs w:val="16"/>
                <w:lang w:val="ro-MD"/>
              </w:rPr>
            </w:pPr>
            <w:r w:rsidRPr="0024512C">
              <w:rPr>
                <w:rFonts w:asciiTheme="majorHAnsi" w:hAnsiTheme="majorHAnsi" w:cstheme="majorHAnsi"/>
                <w:bCs/>
                <w:sz w:val="16"/>
                <w:szCs w:val="16"/>
                <w:lang w:val="ro-MD"/>
              </w:rPr>
              <w:t xml:space="preserve">- soldul datoriei este de 15,32 mil. lei, 0,32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 xml:space="preserve"> și 3,5 mil. euro</w:t>
            </w:r>
          </w:p>
        </w:tc>
      </w:tr>
      <w:tr w:rsidR="00854459" w:rsidRPr="0024512C" w:rsidTr="00854459">
        <w:trPr>
          <w:gridAfter w:val="1"/>
          <w:wAfter w:w="7" w:type="dxa"/>
        </w:trPr>
        <w:tc>
          <w:tcPr>
            <w:tcW w:w="1429" w:type="dxa"/>
          </w:tcPr>
          <w:p w:rsidR="00854459" w:rsidRPr="0024512C" w:rsidRDefault="00854459" w:rsidP="00854459">
            <w:pPr>
              <w:jc w:val="both"/>
              <w:rPr>
                <w:rFonts w:asciiTheme="majorHAnsi" w:hAnsiTheme="majorHAnsi" w:cstheme="majorHAnsi"/>
                <w:b/>
                <w:bCs/>
                <w:i/>
                <w:sz w:val="16"/>
                <w:szCs w:val="16"/>
                <w:lang w:val="ro-MD"/>
              </w:rPr>
            </w:pPr>
            <w:r w:rsidRPr="0024512C">
              <w:rPr>
                <w:rFonts w:asciiTheme="majorHAnsi" w:hAnsiTheme="majorHAnsi" w:cstheme="majorHAnsi"/>
                <w:b/>
                <w:bCs/>
                <w:i/>
                <w:sz w:val="16"/>
                <w:szCs w:val="16"/>
                <w:lang w:val="ro-MD"/>
              </w:rPr>
              <w:t>Proiectul de Ameliorare a Competitivității</w:t>
            </w:r>
            <w:r w:rsidRPr="005C74F5">
              <w:rPr>
                <w:rFonts w:asciiTheme="majorHAnsi" w:hAnsiTheme="majorHAnsi" w:cstheme="majorHAnsi"/>
                <w:b/>
                <w:bCs/>
                <w:i/>
                <w:sz w:val="16"/>
                <w:szCs w:val="16"/>
                <w:lang w:val="ro-MD"/>
              </w:rPr>
              <w:t>,</w:t>
            </w:r>
            <w:r w:rsidR="00A16E71" w:rsidRPr="000E4CDF">
              <w:rPr>
                <w:rFonts w:asciiTheme="majorHAnsi" w:hAnsiTheme="majorHAnsi" w:cstheme="majorHAnsi"/>
                <w:b/>
                <w:bCs/>
                <w:i/>
                <w:sz w:val="16"/>
                <w:szCs w:val="16"/>
                <w:lang w:val="ro-MD"/>
              </w:rPr>
              <w:t xml:space="preserve"> </w:t>
            </w:r>
            <w:r w:rsidRPr="0024512C">
              <w:rPr>
                <w:rFonts w:asciiTheme="majorHAnsi" w:hAnsiTheme="majorHAnsi" w:cstheme="majorHAnsi"/>
                <w:b/>
                <w:bCs/>
                <w:i/>
                <w:sz w:val="16"/>
                <w:szCs w:val="16"/>
                <w:lang w:val="ro-MD"/>
              </w:rPr>
              <w:t>faza II</w:t>
            </w:r>
          </w:p>
        </w:tc>
        <w:tc>
          <w:tcPr>
            <w:tcW w:w="1562" w:type="dxa"/>
          </w:tcPr>
          <w:p w:rsidR="00854459" w:rsidRPr="0024512C" w:rsidRDefault="00A16E71"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Acordul de împrumut nr.</w:t>
            </w:r>
            <w:r w:rsidR="00854459" w:rsidRPr="0024512C">
              <w:rPr>
                <w:rFonts w:asciiTheme="majorHAnsi" w:hAnsiTheme="majorHAnsi" w:cstheme="majorHAnsi"/>
                <w:bCs/>
                <w:sz w:val="16"/>
                <w:szCs w:val="16"/>
                <w:lang w:val="ro-MD"/>
              </w:rPr>
              <w:t>8400-MD din 15.07.2014</w:t>
            </w:r>
          </w:p>
          <w:p w:rsidR="00A16E71" w:rsidRPr="0024512C" w:rsidRDefault="00A16E71" w:rsidP="00854459">
            <w:pPr>
              <w:jc w:val="both"/>
              <w:rPr>
                <w:rFonts w:asciiTheme="majorHAnsi" w:hAnsiTheme="majorHAnsi" w:cstheme="majorHAnsi"/>
                <w:bCs/>
                <w:sz w:val="16"/>
                <w:szCs w:val="16"/>
                <w:lang w:val="ro-MD"/>
              </w:rPr>
            </w:pPr>
          </w:p>
          <w:p w:rsidR="00A16E71" w:rsidRPr="0024512C" w:rsidRDefault="00A16E71" w:rsidP="00854459">
            <w:pPr>
              <w:jc w:val="both"/>
              <w:rPr>
                <w:rFonts w:asciiTheme="majorHAnsi" w:hAnsiTheme="majorHAnsi" w:cstheme="majorHAnsi"/>
                <w:bCs/>
                <w:sz w:val="16"/>
                <w:szCs w:val="16"/>
                <w:lang w:val="ro-MD"/>
              </w:rPr>
            </w:pPr>
          </w:p>
          <w:p w:rsidR="00A16E71" w:rsidRPr="0024512C" w:rsidRDefault="00A16E71" w:rsidP="00854459">
            <w:pPr>
              <w:jc w:val="both"/>
              <w:rPr>
                <w:rFonts w:asciiTheme="majorHAnsi" w:hAnsiTheme="majorHAnsi" w:cstheme="majorHAnsi"/>
                <w:bCs/>
                <w:sz w:val="16"/>
                <w:szCs w:val="16"/>
                <w:lang w:val="ro-MD"/>
              </w:rPr>
            </w:pPr>
          </w:p>
          <w:p w:rsidR="00A16E71" w:rsidRPr="0024512C" w:rsidRDefault="00A16E71" w:rsidP="00854459">
            <w:pPr>
              <w:jc w:val="both"/>
              <w:rPr>
                <w:rFonts w:asciiTheme="majorHAnsi" w:hAnsiTheme="majorHAnsi" w:cstheme="majorHAnsi"/>
                <w:sz w:val="16"/>
                <w:szCs w:val="16"/>
                <w:lang w:val="ro-MD"/>
              </w:rPr>
            </w:pPr>
            <w:r w:rsidRPr="0024512C">
              <w:rPr>
                <w:rFonts w:asciiTheme="majorHAnsi" w:hAnsiTheme="majorHAnsi" w:cstheme="majorHAnsi"/>
                <w:bCs/>
                <w:sz w:val="16"/>
                <w:szCs w:val="16"/>
                <w:lang w:val="ro-MD"/>
              </w:rPr>
              <w:t>Acordul de finanțare nr.5509-MD din 15.07.2014</w:t>
            </w:r>
          </w:p>
        </w:tc>
        <w:tc>
          <w:tcPr>
            <w:tcW w:w="1398" w:type="dxa"/>
          </w:tcPr>
          <w:p w:rsidR="00A16E71" w:rsidRPr="0024512C" w:rsidRDefault="00854459" w:rsidP="00A16E71">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Împrumut de 30,0 mil. </w:t>
            </w:r>
            <w:r w:rsidR="00DA2199" w:rsidRPr="0024512C">
              <w:rPr>
                <w:rFonts w:asciiTheme="majorHAnsi" w:hAnsiTheme="majorHAnsi" w:cstheme="majorHAnsi"/>
                <w:bCs/>
                <w:sz w:val="16"/>
                <w:szCs w:val="16"/>
                <w:lang w:val="ro-MD"/>
              </w:rPr>
              <w:t>dol. SUA</w:t>
            </w:r>
            <w:r w:rsidR="00A16E71" w:rsidRPr="0024512C">
              <w:rPr>
                <w:rFonts w:asciiTheme="majorHAnsi" w:hAnsiTheme="majorHAnsi" w:cstheme="majorHAnsi"/>
                <w:bCs/>
                <w:sz w:val="16"/>
                <w:szCs w:val="16"/>
                <w:lang w:val="ro-MD"/>
              </w:rPr>
              <w:t xml:space="preserve">, inclusiv Linia de credit 29,4 mil. dol. SUA. </w:t>
            </w:r>
          </w:p>
          <w:p w:rsidR="00A16E71" w:rsidRPr="0024512C" w:rsidRDefault="00A16E71" w:rsidP="00A16E71">
            <w:pPr>
              <w:jc w:val="both"/>
              <w:rPr>
                <w:rFonts w:asciiTheme="majorHAnsi" w:hAnsiTheme="majorHAnsi" w:cstheme="majorHAnsi"/>
                <w:bCs/>
                <w:sz w:val="16"/>
                <w:szCs w:val="16"/>
                <w:lang w:val="ro-MD"/>
              </w:rPr>
            </w:pPr>
          </w:p>
          <w:p w:rsidR="00A16E71" w:rsidRPr="0024512C" w:rsidRDefault="00A16E71" w:rsidP="00A16E71">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Împrumut 9,7 mil. DST.</w:t>
            </w:r>
          </w:p>
          <w:p w:rsidR="00854459" w:rsidRPr="0024512C" w:rsidRDefault="00854459" w:rsidP="00854459">
            <w:pPr>
              <w:jc w:val="both"/>
              <w:rPr>
                <w:rFonts w:asciiTheme="majorHAnsi" w:hAnsiTheme="majorHAnsi" w:cstheme="majorHAnsi"/>
                <w:sz w:val="16"/>
                <w:szCs w:val="16"/>
                <w:lang w:val="ro-MD"/>
              </w:rPr>
            </w:pPr>
          </w:p>
        </w:tc>
        <w:tc>
          <w:tcPr>
            <w:tcW w:w="1550" w:type="dxa"/>
          </w:tcPr>
          <w:p w:rsidR="00854459" w:rsidRPr="0024512C" w:rsidRDefault="00A16E71" w:rsidP="00854459">
            <w:pPr>
              <w:jc w:val="both"/>
              <w:rPr>
                <w:rFonts w:asciiTheme="majorHAnsi" w:hAnsiTheme="majorHAnsi" w:cstheme="majorHAnsi"/>
                <w:bCs/>
                <w:sz w:val="16"/>
                <w:szCs w:val="16"/>
                <w:lang w:val="ro-MD"/>
              </w:rPr>
            </w:pPr>
            <w:r w:rsidRPr="00321F59">
              <w:rPr>
                <w:rFonts w:asciiTheme="majorHAnsi" w:hAnsiTheme="majorHAnsi" w:cstheme="majorHAnsi"/>
                <w:bCs/>
                <w:sz w:val="16"/>
                <w:szCs w:val="16"/>
                <w:lang w:val="ro-MD"/>
              </w:rPr>
              <w:t>Lansarea oficială a Proiectului a avut loc la data de 01.10.2014. Data de închidere a Proiectului este 31.07.2021</w:t>
            </w:r>
          </w:p>
        </w:tc>
        <w:tc>
          <w:tcPr>
            <w:tcW w:w="1453" w:type="dxa"/>
          </w:tcPr>
          <w:p w:rsidR="00A16E71" w:rsidRPr="000E4CDF" w:rsidRDefault="00A16E71" w:rsidP="00A16E71">
            <w:pPr>
              <w:pStyle w:val="ListParagraph"/>
              <w:ind w:left="0" w:right="-6"/>
              <w:jc w:val="both"/>
              <w:rPr>
                <w:rFonts w:asciiTheme="majorHAnsi" w:hAnsiTheme="majorHAnsi" w:cstheme="majorHAnsi"/>
                <w:bCs/>
                <w:sz w:val="16"/>
                <w:szCs w:val="16"/>
                <w:lang w:val="ro-MD"/>
              </w:rPr>
            </w:pPr>
            <w:proofErr w:type="spellStart"/>
            <w:r w:rsidRPr="005C74F5">
              <w:rPr>
                <w:rFonts w:asciiTheme="majorHAnsi" w:hAnsiTheme="majorHAnsi" w:cstheme="majorHAnsi"/>
                <w:bCs/>
                <w:sz w:val="16"/>
                <w:szCs w:val="16"/>
                <w:lang w:val="ro-MD"/>
              </w:rPr>
              <w:t>I.Susținerea</w:t>
            </w:r>
            <w:proofErr w:type="spellEnd"/>
            <w:r w:rsidRPr="005C74F5">
              <w:rPr>
                <w:rFonts w:asciiTheme="majorHAnsi" w:hAnsiTheme="majorHAnsi" w:cstheme="majorHAnsi"/>
                <w:bCs/>
                <w:sz w:val="16"/>
                <w:szCs w:val="16"/>
                <w:lang w:val="ro-MD"/>
              </w:rPr>
              <w:t xml:space="preserve"> dezvoltării întreprinderilor export</w:t>
            </w:r>
            <w:r w:rsidRPr="000E4CDF">
              <w:rPr>
                <w:rFonts w:asciiTheme="majorHAnsi" w:hAnsiTheme="majorHAnsi" w:cstheme="majorHAnsi"/>
                <w:bCs/>
                <w:sz w:val="16"/>
                <w:szCs w:val="16"/>
                <w:lang w:val="ro-MD"/>
              </w:rPr>
              <w:t>atoare (exporturi directe și indirecte) prin intermediul IFP din  componenta Liniei de credit în suma 29,4 mil. dol. SUA</w:t>
            </w:r>
          </w:p>
          <w:p w:rsidR="00A16E71" w:rsidRPr="0024512C" w:rsidRDefault="00A16E71" w:rsidP="00A16E71">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II. Îmbunătățirea strategiilor de reformă privind reglementarea afacerilor si implementarea reformelor prioritare pentru îmbunătățirea competitivității</w:t>
            </w:r>
          </w:p>
          <w:p w:rsidR="00854459" w:rsidRPr="0024512C" w:rsidRDefault="00854459" w:rsidP="00854459">
            <w:pPr>
              <w:jc w:val="both"/>
              <w:rPr>
                <w:rFonts w:asciiTheme="majorHAnsi" w:hAnsiTheme="majorHAnsi" w:cstheme="majorHAnsi"/>
                <w:bCs/>
                <w:sz w:val="16"/>
                <w:szCs w:val="16"/>
                <w:lang w:val="ro-MD"/>
              </w:rPr>
            </w:pPr>
          </w:p>
        </w:tc>
        <w:tc>
          <w:tcPr>
            <w:tcW w:w="1685" w:type="dxa"/>
          </w:tcPr>
          <w:p w:rsidR="00A16E71" w:rsidRPr="0024512C" w:rsidRDefault="00A16E71" w:rsidP="00A16E71">
            <w:pPr>
              <w:numPr>
                <w:ilvl w:val="0"/>
                <w:numId w:val="21"/>
              </w:numPr>
              <w:ind w:left="60" w:hanging="18"/>
              <w:contextualSpacing/>
              <w:jc w:val="both"/>
              <w:rPr>
                <w:rFonts w:asciiTheme="majorHAnsi" w:hAnsiTheme="majorHAnsi" w:cstheme="majorHAnsi"/>
                <w:bCs/>
                <w:i/>
                <w:sz w:val="16"/>
                <w:szCs w:val="16"/>
                <w:lang w:val="ro-MD"/>
              </w:rPr>
            </w:pPr>
            <w:r w:rsidRPr="0024512C">
              <w:rPr>
                <w:rFonts w:asciiTheme="majorHAnsi" w:hAnsiTheme="majorHAnsi" w:cstheme="majorHAnsi"/>
                <w:bCs/>
                <w:i/>
                <w:sz w:val="16"/>
                <w:szCs w:val="16"/>
                <w:lang w:val="ro-MD"/>
              </w:rPr>
              <w:t xml:space="preserve">Linia de credit (29,4 mil. DST) și </w:t>
            </w:r>
          </w:p>
          <w:p w:rsidR="00854459" w:rsidRPr="0024512C" w:rsidRDefault="00A16E71" w:rsidP="00A16E71">
            <w:pPr>
              <w:ind w:left="42"/>
              <w:contextualSpacing/>
              <w:jc w:val="both"/>
              <w:rPr>
                <w:rFonts w:asciiTheme="majorHAnsi" w:hAnsiTheme="majorHAnsi" w:cstheme="majorHAnsi"/>
                <w:bCs/>
                <w:i/>
                <w:sz w:val="16"/>
                <w:szCs w:val="16"/>
                <w:lang w:val="ro-MD"/>
              </w:rPr>
            </w:pPr>
            <w:r w:rsidRPr="0024512C">
              <w:rPr>
                <w:rFonts w:asciiTheme="majorHAnsi" w:hAnsiTheme="majorHAnsi" w:cstheme="majorHAnsi"/>
                <w:bCs/>
                <w:i/>
                <w:sz w:val="16"/>
                <w:szCs w:val="16"/>
                <w:lang w:val="ro-MD"/>
              </w:rPr>
              <w:t>(ii) Mărfuri, servicii de consultanță, inclusiv audit (0,6 mil. DST)</w:t>
            </w:r>
          </w:p>
        </w:tc>
        <w:tc>
          <w:tcPr>
            <w:tcW w:w="3150"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Conform prevederilor Acordului de finanțare, fondurile Liniei de credit urmau să fie </w:t>
            </w:r>
            <w:proofErr w:type="spellStart"/>
            <w:r w:rsidRPr="0024512C">
              <w:rPr>
                <w:rFonts w:asciiTheme="majorHAnsi" w:hAnsiTheme="majorHAnsi" w:cstheme="majorHAnsi"/>
                <w:bCs/>
                <w:sz w:val="16"/>
                <w:szCs w:val="16"/>
                <w:lang w:val="ro-MD"/>
              </w:rPr>
              <w:t>recreditate</w:t>
            </w:r>
            <w:proofErr w:type="spellEnd"/>
            <w:r w:rsidRPr="0024512C">
              <w:rPr>
                <w:rFonts w:asciiTheme="majorHAnsi" w:hAnsiTheme="majorHAnsi" w:cstheme="majorHAnsi"/>
                <w:bCs/>
                <w:sz w:val="16"/>
                <w:szCs w:val="16"/>
                <w:lang w:val="ro-MD"/>
              </w:rPr>
              <w:t xml:space="preserve"> întreprinderilor din sectorul privat, de MF prin intermediul DLC și a IFP eligibile. Astfel, DLC a fost responsabil de managementul și implementarea zilnică a Liniei de credit a Proiectului. Funcțiile DLC includeau evaluarea conformării cu practicile de evaluare a sub-creditului, cu cerințele fiduciare și de salvgardare ale Proiectului, colectarea (rambursarea) fondurilor oferite IFP eligibile și monitorizarea condiției financiare a IFP eligibile și altor probleme ce țin de implementarea Liniei de credit.</w:t>
            </w:r>
          </w:p>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În baza ordinului MF nr.118 din 06.08.2015, au fost delegate DLC sarcinile de acumulare, administrare și recreditare a mijloacelor circulante, formate din sursele colectate a sumelor principale și a dobânzilor sub-împrumuturilor acordate beneficiarilor prin intermediul IFP în cadrul PAC 2. De asemenea, în baza aceluiași ordin a fost stabilit că DLC va </w:t>
            </w:r>
            <w:r w:rsidRPr="0024512C">
              <w:rPr>
                <w:rFonts w:asciiTheme="majorHAnsi" w:hAnsiTheme="majorHAnsi" w:cstheme="majorHAnsi"/>
                <w:bCs/>
                <w:sz w:val="16"/>
                <w:szCs w:val="16"/>
                <w:lang w:val="ro-MD"/>
              </w:rPr>
              <w:lastRenderedPageBreak/>
              <w:t>acumula și va utiliza mijloacele circulante ale Proiectului în conturile deschise ale liniei de credit deservite la BNM, pentru continuarea recreditării de noi sub-proiecte private eligibile</w:t>
            </w:r>
          </w:p>
        </w:tc>
        <w:tc>
          <w:tcPr>
            <w:tcW w:w="1710"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lastRenderedPageBreak/>
              <w:t xml:space="preserve">- 160 de beneficiari cu valoarea împrumuturilor în sumă totală de 279,1 mil. lei, 0,85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 xml:space="preserve"> și 7,37 mil. euro;</w:t>
            </w:r>
          </w:p>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 valoarea împrumuturilor rambursate constituie 180,2 mil. lei, 0,36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 xml:space="preserve"> și 2,37 mil. euro;</w:t>
            </w:r>
          </w:p>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 soldul împrumutului este de 98,9 mil. lei, 0,49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 xml:space="preserve"> și 5,0 mil. euro</w:t>
            </w:r>
          </w:p>
          <w:p w:rsidR="00854459" w:rsidRPr="0024512C" w:rsidRDefault="00854459" w:rsidP="00854459">
            <w:pPr>
              <w:jc w:val="both"/>
              <w:rPr>
                <w:rFonts w:asciiTheme="majorHAnsi" w:hAnsiTheme="majorHAnsi" w:cstheme="majorHAnsi"/>
                <w:bCs/>
                <w:sz w:val="16"/>
                <w:szCs w:val="16"/>
                <w:lang w:val="ro-MD"/>
              </w:rPr>
            </w:pPr>
          </w:p>
        </w:tc>
        <w:tc>
          <w:tcPr>
            <w:tcW w:w="1603" w:type="dxa"/>
          </w:tcPr>
          <w:p w:rsidR="00854459" w:rsidRPr="0024512C" w:rsidRDefault="00854459" w:rsidP="00854459">
            <w:pPr>
              <w:rPr>
                <w:rFonts w:asciiTheme="majorHAnsi" w:hAnsiTheme="majorHAnsi" w:cstheme="majorHAnsi"/>
                <w:bCs/>
                <w:sz w:val="16"/>
                <w:szCs w:val="16"/>
                <w:lang w:val="ro-MD"/>
              </w:rPr>
            </w:pPr>
            <w:r w:rsidRPr="0024512C">
              <w:rPr>
                <w:rFonts w:asciiTheme="majorHAnsi" w:hAnsiTheme="majorHAnsi" w:cstheme="majorHAnsi"/>
                <w:bCs/>
                <w:sz w:val="16"/>
                <w:szCs w:val="16"/>
                <w:lang w:val="ro-MD"/>
              </w:rPr>
              <w:t>- 18 beneficiari cu valoarea împrumuturilor în sumă totală de 68,47 mil. lei și 0,52 mil. euro;</w:t>
            </w:r>
          </w:p>
          <w:p w:rsidR="00854459" w:rsidRPr="0024512C" w:rsidRDefault="00854459" w:rsidP="00854459">
            <w:pPr>
              <w:rPr>
                <w:rFonts w:asciiTheme="majorHAnsi" w:hAnsiTheme="majorHAnsi" w:cstheme="majorHAnsi"/>
                <w:bCs/>
                <w:sz w:val="16"/>
                <w:szCs w:val="16"/>
                <w:lang w:val="ro-MD"/>
              </w:rPr>
            </w:pPr>
            <w:r w:rsidRPr="0024512C">
              <w:rPr>
                <w:rFonts w:asciiTheme="majorHAnsi" w:hAnsiTheme="majorHAnsi" w:cstheme="majorHAnsi"/>
                <w:bCs/>
                <w:sz w:val="16"/>
                <w:szCs w:val="16"/>
                <w:lang w:val="ro-MD"/>
              </w:rPr>
              <w:t>- soldul datoriilor este de 8,52 mil. lei și 0,26 mil. euro</w:t>
            </w:r>
          </w:p>
          <w:p w:rsidR="00854459" w:rsidRPr="0024512C" w:rsidRDefault="00854459" w:rsidP="00854459">
            <w:pPr>
              <w:rPr>
                <w:rFonts w:asciiTheme="majorHAnsi" w:hAnsiTheme="majorHAnsi" w:cstheme="majorHAnsi"/>
                <w:sz w:val="16"/>
                <w:szCs w:val="16"/>
                <w:lang w:val="ro-MD"/>
              </w:rPr>
            </w:pPr>
          </w:p>
        </w:tc>
      </w:tr>
      <w:tr w:rsidR="004326B1" w:rsidRPr="0024512C" w:rsidTr="00854459">
        <w:trPr>
          <w:gridAfter w:val="1"/>
          <w:wAfter w:w="7" w:type="dxa"/>
        </w:trPr>
        <w:tc>
          <w:tcPr>
            <w:tcW w:w="15540" w:type="dxa"/>
            <w:gridSpan w:val="9"/>
          </w:tcPr>
          <w:p w:rsidR="004326B1" w:rsidRPr="0024512C" w:rsidRDefault="004326B1" w:rsidP="004326B1">
            <w:pPr>
              <w:jc w:val="center"/>
              <w:rPr>
                <w:rFonts w:asciiTheme="majorHAnsi" w:hAnsiTheme="majorHAnsi" w:cstheme="majorHAnsi"/>
                <w:bCs/>
                <w:sz w:val="20"/>
                <w:szCs w:val="20"/>
                <w:lang w:val="ro-MD"/>
              </w:rPr>
            </w:pPr>
            <w:r w:rsidRPr="0024512C">
              <w:rPr>
                <w:rFonts w:asciiTheme="majorHAnsi" w:hAnsiTheme="majorHAnsi" w:cstheme="majorHAnsi"/>
                <w:b/>
                <w:bCs/>
                <w:i/>
                <w:sz w:val="20"/>
                <w:szCs w:val="20"/>
                <w:lang w:val="ro-MD"/>
              </w:rPr>
              <w:t xml:space="preserve">Proiecte </w:t>
            </w:r>
            <w:r w:rsidRPr="005C74F5">
              <w:rPr>
                <w:rFonts w:asciiTheme="majorHAnsi" w:hAnsiTheme="majorHAnsi" w:cstheme="majorHAnsi"/>
                <w:b/>
                <w:bCs/>
                <w:i/>
                <w:sz w:val="20"/>
                <w:szCs w:val="20"/>
                <w:lang w:val="ro-MD"/>
              </w:rPr>
              <w:t>finanțate de către Banca Europeană de Investi</w:t>
            </w:r>
            <w:r w:rsidRPr="000D7A72">
              <w:rPr>
                <w:rFonts w:asciiTheme="majorHAnsi" w:hAnsiTheme="majorHAnsi" w:cstheme="majorHAnsi"/>
                <w:b/>
                <w:bCs/>
                <w:i/>
                <w:sz w:val="20"/>
                <w:szCs w:val="20"/>
                <w:lang w:val="ro-MD"/>
              </w:rPr>
              <w:t>ț</w:t>
            </w:r>
            <w:r w:rsidRPr="0024512C">
              <w:rPr>
                <w:rFonts w:asciiTheme="majorHAnsi" w:hAnsiTheme="majorHAnsi" w:cstheme="majorHAnsi"/>
                <w:b/>
                <w:bCs/>
                <w:i/>
                <w:sz w:val="20"/>
                <w:szCs w:val="20"/>
                <w:lang w:val="ro-MD"/>
              </w:rPr>
              <w:t>ii</w:t>
            </w:r>
          </w:p>
        </w:tc>
      </w:tr>
      <w:tr w:rsidR="00854459" w:rsidRPr="0024512C" w:rsidTr="00854459">
        <w:trPr>
          <w:gridAfter w:val="1"/>
          <w:wAfter w:w="7" w:type="dxa"/>
        </w:trPr>
        <w:tc>
          <w:tcPr>
            <w:tcW w:w="1429" w:type="dxa"/>
          </w:tcPr>
          <w:p w:rsidR="00854459" w:rsidRPr="005C74F5" w:rsidRDefault="00854459" w:rsidP="00854459">
            <w:pPr>
              <w:jc w:val="both"/>
              <w:rPr>
                <w:rFonts w:asciiTheme="majorHAnsi" w:hAnsiTheme="majorHAnsi" w:cstheme="majorHAnsi"/>
                <w:b/>
                <w:bCs/>
                <w:i/>
                <w:sz w:val="16"/>
                <w:szCs w:val="16"/>
                <w:lang w:val="ro-MD"/>
              </w:rPr>
            </w:pPr>
            <w:r w:rsidRPr="0024512C">
              <w:rPr>
                <w:rFonts w:asciiTheme="majorHAnsi" w:hAnsiTheme="majorHAnsi" w:cstheme="majorHAnsi"/>
                <w:b/>
                <w:bCs/>
                <w:i/>
                <w:sz w:val="16"/>
                <w:szCs w:val="16"/>
                <w:lang w:val="ro-MD"/>
              </w:rPr>
              <w:t>Programul de restructurare a sectorului vitivinicol</w:t>
            </w:r>
          </w:p>
        </w:tc>
        <w:tc>
          <w:tcPr>
            <w:tcW w:w="1562"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C</w:t>
            </w:r>
            <w:r w:rsidR="009417AB" w:rsidRPr="0024512C">
              <w:rPr>
                <w:rFonts w:asciiTheme="majorHAnsi" w:hAnsiTheme="majorHAnsi" w:cstheme="majorHAnsi"/>
                <w:bCs/>
                <w:sz w:val="16"/>
                <w:szCs w:val="16"/>
                <w:lang w:val="ro-MD"/>
              </w:rPr>
              <w:t xml:space="preserve">ontract de finanțare FIN </w:t>
            </w:r>
            <w:proofErr w:type="spellStart"/>
            <w:r w:rsidR="009417AB" w:rsidRPr="0024512C">
              <w:rPr>
                <w:rFonts w:asciiTheme="majorHAnsi" w:hAnsiTheme="majorHAnsi" w:cstheme="majorHAnsi"/>
                <w:bCs/>
                <w:sz w:val="16"/>
                <w:szCs w:val="16"/>
                <w:lang w:val="ro-MD"/>
              </w:rPr>
              <w:t>Separis</w:t>
            </w:r>
            <w:proofErr w:type="spellEnd"/>
            <w:r w:rsidRPr="0024512C">
              <w:rPr>
                <w:rFonts w:asciiTheme="majorHAnsi" w:hAnsiTheme="majorHAnsi" w:cstheme="majorHAnsi"/>
                <w:bCs/>
                <w:sz w:val="16"/>
                <w:szCs w:val="16"/>
                <w:lang w:val="ro-MD"/>
              </w:rPr>
              <w:t xml:space="preserve"> nr.2010-0484 din 23.11.2010</w:t>
            </w:r>
          </w:p>
        </w:tc>
        <w:tc>
          <w:tcPr>
            <w:tcW w:w="1398"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Împrumut în valoare de 75,0 mil. euro</w:t>
            </w:r>
          </w:p>
        </w:tc>
        <w:tc>
          <w:tcPr>
            <w:tcW w:w="1550" w:type="dxa"/>
          </w:tcPr>
          <w:p w:rsidR="00854459" w:rsidRPr="0024512C" w:rsidRDefault="009417AB" w:rsidP="00854459">
            <w:pPr>
              <w:jc w:val="both"/>
              <w:rPr>
                <w:rFonts w:asciiTheme="majorHAnsi" w:hAnsiTheme="majorHAnsi" w:cstheme="majorHAnsi"/>
                <w:bCs/>
                <w:sz w:val="16"/>
                <w:szCs w:val="16"/>
                <w:lang w:val="ro-MD"/>
              </w:rPr>
            </w:pPr>
            <w:r w:rsidRPr="00321F59">
              <w:rPr>
                <w:rFonts w:asciiTheme="majorHAnsi" w:hAnsiTheme="majorHAnsi" w:cstheme="majorHAnsi"/>
                <w:bCs/>
                <w:sz w:val="16"/>
                <w:szCs w:val="16"/>
                <w:lang w:val="ro-MD"/>
              </w:rPr>
              <w:t>Lansarea oficială a Proiectului a avut loc la data de 31.10.2011. Data de închidere a Proiectului este 31.12.2019</w:t>
            </w:r>
          </w:p>
        </w:tc>
        <w:tc>
          <w:tcPr>
            <w:tcW w:w="1453" w:type="dxa"/>
          </w:tcPr>
          <w:p w:rsidR="00854459" w:rsidRPr="000D7A72" w:rsidRDefault="00854459" w:rsidP="00854459">
            <w:pPr>
              <w:jc w:val="both"/>
              <w:rPr>
                <w:rFonts w:asciiTheme="majorHAnsi" w:hAnsiTheme="majorHAnsi" w:cstheme="majorHAnsi"/>
                <w:bCs/>
                <w:sz w:val="16"/>
                <w:szCs w:val="16"/>
                <w:lang w:val="ro-MD"/>
              </w:rPr>
            </w:pPr>
            <w:r w:rsidRPr="005C74F5">
              <w:rPr>
                <w:rFonts w:asciiTheme="majorHAnsi" w:hAnsiTheme="majorHAnsi" w:cstheme="majorHAnsi"/>
                <w:bCs/>
                <w:sz w:val="16"/>
                <w:szCs w:val="16"/>
                <w:lang w:val="ro-MD"/>
              </w:rPr>
              <w:t>Dezvoltarea producerii de vinuri îmbuteliate prin restructurarea sectorului vitivinicol, constituit aproape exclusiv din ÎMM, îmbunătățirea calității și consistenței vinului produs în RM, de la calitatea podgoriilor până la ambalarea finală,</w:t>
            </w:r>
            <w:r w:rsidRPr="000D7A72">
              <w:rPr>
                <w:rFonts w:asciiTheme="majorHAnsi" w:hAnsiTheme="majorHAnsi" w:cstheme="majorHAnsi"/>
                <w:bCs/>
                <w:sz w:val="16"/>
                <w:szCs w:val="16"/>
                <w:lang w:val="ro-MD"/>
              </w:rPr>
              <w:t xml:space="preserve"> livrarea produselor, diversificarea piețelor de desfacere ale țării</w:t>
            </w:r>
          </w:p>
        </w:tc>
        <w:tc>
          <w:tcPr>
            <w:tcW w:w="1685" w:type="dxa"/>
          </w:tcPr>
          <w:p w:rsidR="00854459" w:rsidRPr="0024512C" w:rsidRDefault="00854459" w:rsidP="00854459">
            <w:pPr>
              <w:numPr>
                <w:ilvl w:val="0"/>
                <w:numId w:val="15"/>
              </w:numPr>
              <w:ind w:left="48" w:hanging="6"/>
              <w:contextualSpacing/>
              <w:jc w:val="both"/>
              <w:rPr>
                <w:rFonts w:asciiTheme="majorHAnsi" w:hAnsiTheme="majorHAnsi" w:cstheme="majorHAnsi"/>
                <w:bCs/>
                <w:i/>
                <w:sz w:val="16"/>
                <w:szCs w:val="16"/>
                <w:lang w:val="ro-MD"/>
              </w:rPr>
            </w:pPr>
            <w:r w:rsidRPr="0024512C">
              <w:rPr>
                <w:rFonts w:asciiTheme="majorHAnsi" w:hAnsiTheme="majorHAnsi" w:cstheme="majorHAnsi"/>
                <w:bCs/>
                <w:i/>
                <w:sz w:val="16"/>
                <w:szCs w:val="16"/>
                <w:lang w:val="ro-MD"/>
              </w:rPr>
              <w:t>Linia de credit;</w:t>
            </w:r>
          </w:p>
          <w:p w:rsidR="00854459" w:rsidRPr="0024512C" w:rsidRDefault="00854459" w:rsidP="00854459">
            <w:pPr>
              <w:numPr>
                <w:ilvl w:val="0"/>
                <w:numId w:val="15"/>
              </w:numPr>
              <w:ind w:left="48" w:hanging="6"/>
              <w:contextualSpacing/>
              <w:jc w:val="both"/>
              <w:rPr>
                <w:rFonts w:asciiTheme="majorHAnsi" w:hAnsiTheme="majorHAnsi" w:cstheme="majorHAnsi"/>
                <w:bCs/>
                <w:i/>
                <w:sz w:val="16"/>
                <w:szCs w:val="16"/>
                <w:lang w:val="ro-MD"/>
              </w:rPr>
            </w:pPr>
            <w:r w:rsidRPr="0024512C">
              <w:rPr>
                <w:rFonts w:asciiTheme="majorHAnsi" w:hAnsiTheme="majorHAnsi" w:cstheme="majorHAnsi"/>
                <w:bCs/>
                <w:i/>
                <w:sz w:val="16"/>
                <w:szCs w:val="16"/>
                <w:lang w:val="ro-MD"/>
              </w:rPr>
              <w:t xml:space="preserve">Investiții directe sau injectări de capital; </w:t>
            </w:r>
          </w:p>
          <w:p w:rsidR="00854459" w:rsidRPr="0024512C" w:rsidRDefault="00854459" w:rsidP="00854459">
            <w:pPr>
              <w:numPr>
                <w:ilvl w:val="0"/>
                <w:numId w:val="15"/>
              </w:numPr>
              <w:ind w:left="48" w:hanging="6"/>
              <w:contextualSpacing/>
              <w:jc w:val="both"/>
              <w:rPr>
                <w:rFonts w:asciiTheme="majorHAnsi" w:hAnsiTheme="majorHAnsi" w:cstheme="majorHAnsi"/>
                <w:bCs/>
                <w:i/>
                <w:sz w:val="16"/>
                <w:szCs w:val="16"/>
                <w:lang w:val="ro-MD"/>
              </w:rPr>
            </w:pPr>
            <w:r w:rsidRPr="0024512C">
              <w:rPr>
                <w:rFonts w:asciiTheme="majorHAnsi" w:hAnsiTheme="majorHAnsi" w:cstheme="majorHAnsi"/>
                <w:bCs/>
                <w:i/>
                <w:sz w:val="16"/>
                <w:szCs w:val="16"/>
                <w:lang w:val="ro-MD"/>
              </w:rPr>
              <w:t>Garanții pentru împrumuturi; și</w:t>
            </w:r>
          </w:p>
          <w:p w:rsidR="00854459" w:rsidRPr="0024512C" w:rsidRDefault="00854459" w:rsidP="00854459">
            <w:pPr>
              <w:numPr>
                <w:ilvl w:val="0"/>
                <w:numId w:val="15"/>
              </w:numPr>
              <w:ind w:left="48" w:hanging="6"/>
              <w:contextualSpacing/>
              <w:jc w:val="both"/>
              <w:rPr>
                <w:rFonts w:asciiTheme="majorHAnsi" w:hAnsiTheme="majorHAnsi" w:cstheme="majorHAnsi"/>
                <w:bCs/>
                <w:i/>
                <w:sz w:val="16"/>
                <w:szCs w:val="16"/>
                <w:lang w:val="ro-MD"/>
              </w:rPr>
            </w:pPr>
            <w:r w:rsidRPr="0024512C">
              <w:rPr>
                <w:rFonts w:asciiTheme="majorHAnsi" w:hAnsiTheme="majorHAnsi" w:cstheme="majorHAnsi"/>
                <w:bCs/>
                <w:i/>
                <w:sz w:val="16"/>
                <w:szCs w:val="16"/>
                <w:lang w:val="ro-MD"/>
              </w:rPr>
              <w:t>Operațiuni de leasing pentru echipamente</w:t>
            </w:r>
          </w:p>
          <w:p w:rsidR="00854459" w:rsidRPr="0024512C" w:rsidRDefault="00854459" w:rsidP="00854459">
            <w:pPr>
              <w:ind w:left="42"/>
              <w:contextualSpacing/>
              <w:jc w:val="both"/>
              <w:rPr>
                <w:rFonts w:asciiTheme="majorHAnsi" w:hAnsiTheme="majorHAnsi" w:cstheme="majorHAnsi"/>
                <w:bCs/>
                <w:i/>
                <w:sz w:val="16"/>
                <w:szCs w:val="16"/>
                <w:lang w:val="ro-MD"/>
              </w:rPr>
            </w:pPr>
          </w:p>
        </w:tc>
        <w:tc>
          <w:tcPr>
            <w:tcW w:w="3150"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Potrivit Contractului de finanțare, DLC este responsabil pentru operațiunile de recreditare în cadrul componentei Liniei de credit, având următoarele funcții principale: oferirea de consultanță generală IFP cu privire la toate aspectele legate de implementarea Componentei Liniei de credit, evaluarea, aprobarea și monitorizarea IFP intermediare acceptabile pentru BEI, monitorizarea respectării de către IFP a termenilor și condițiilor Acordurilor de recreditare și a Manualului operațional, aprobarea finală a sub-proiectelor, verificarea eligibilității sub-împrumuturilor finale, colectarea și consolidarea cererilor de tragere a fondurilor primite de la IFP, pregătirea și remiterea cererilor de debursare către UCIMPRSVV/MF/BEI, asigurându-se că fondurile sunt direcționate către IFP și ulterior către beneficiarii finali, ținerea registrelor contabile adecvate și a conturilor pentru a asigura evidența corespunzătoare a tuturor tranzacțiilor legate de recreditarea Liniei de credit, calcularea și colectarea plăților IFP de rambursare a sumelor principale și de achitare a dobânzilor pentru soldurile sub-împrumuturilor acordate, gestionarea fondurilor circulante rambursate acumulate din rambursări, care vor fi utilizate pentru continuarea operațiunilor de recreditare prin IFP și finanțarea noilor sub-împrumuturi care corespund obiectivelor Programului, asigurarea faptului că informațiile cu privire la toate tranzacțiile financiare legate de sub-împrumuturile </w:t>
            </w:r>
            <w:proofErr w:type="spellStart"/>
            <w:r w:rsidRPr="0024512C">
              <w:rPr>
                <w:rFonts w:asciiTheme="majorHAnsi" w:hAnsiTheme="majorHAnsi" w:cstheme="majorHAnsi"/>
                <w:bCs/>
                <w:sz w:val="16"/>
                <w:szCs w:val="16"/>
                <w:lang w:val="ro-MD"/>
              </w:rPr>
              <w:t>recreditate</w:t>
            </w:r>
            <w:proofErr w:type="spellEnd"/>
            <w:r w:rsidRPr="0024512C">
              <w:rPr>
                <w:rFonts w:asciiTheme="majorHAnsi" w:hAnsiTheme="majorHAnsi" w:cstheme="majorHAnsi"/>
                <w:bCs/>
                <w:sz w:val="16"/>
                <w:szCs w:val="16"/>
                <w:lang w:val="ro-MD"/>
              </w:rPr>
              <w:t xml:space="preserve"> IFP sunt prezentate și analizate în conformitate cu procedurile prevăzute de Manualul operațional și MF, conformitatea cu cerințele de audit, raportarea către UCIMPRSVV/MF/BEI a </w:t>
            </w:r>
            <w:r w:rsidRPr="0024512C">
              <w:rPr>
                <w:rFonts w:asciiTheme="majorHAnsi" w:hAnsiTheme="majorHAnsi" w:cstheme="majorHAnsi"/>
                <w:bCs/>
                <w:sz w:val="16"/>
                <w:szCs w:val="16"/>
                <w:lang w:val="ro-MD"/>
              </w:rPr>
              <w:lastRenderedPageBreak/>
              <w:t>oricărei informații privind activitățile sus-menționate în conformitate cu formularele și cerințele de raportare convenite, alte sarcini corespunzătoare relevante componentei Liniei de credit.</w:t>
            </w:r>
          </w:p>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Conform prevederilor Acordului de finanțare, MO, precum și Ordinului MF nr.130 din 11.09.2015, DLC gestionează fondurile circulante acumulate din rambursări, care sunt utilizate pentru continuarea operațiunilor de recreditare prin IFP și finanțarea noilor sub-împrumuturi care corespund obiectivelor Programului</w:t>
            </w:r>
          </w:p>
        </w:tc>
        <w:tc>
          <w:tcPr>
            <w:tcW w:w="1710"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lastRenderedPageBreak/>
              <w:t>- 46 de beneficiari cu valoarea împrumuturilor în sumă de 32,18 mil. euro;</w:t>
            </w:r>
          </w:p>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rambursate datorii în sumă de 19,28 mil. euro;</w:t>
            </w:r>
          </w:p>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soldul datoriei constituie 12,9 mil. euro</w:t>
            </w:r>
          </w:p>
          <w:p w:rsidR="00854459" w:rsidRPr="0024512C" w:rsidRDefault="00854459" w:rsidP="00854459">
            <w:pPr>
              <w:jc w:val="both"/>
              <w:rPr>
                <w:rFonts w:asciiTheme="majorHAnsi" w:hAnsiTheme="majorHAnsi" w:cstheme="majorHAnsi"/>
                <w:bCs/>
                <w:sz w:val="16"/>
                <w:szCs w:val="16"/>
                <w:lang w:val="ro-MD"/>
              </w:rPr>
            </w:pPr>
          </w:p>
        </w:tc>
        <w:tc>
          <w:tcPr>
            <w:tcW w:w="1603"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- 86 de beneficiari cu valoarea împrumuturilor</w:t>
            </w:r>
            <w:r w:rsidRPr="0024512C" w:rsidDel="00721163">
              <w:rPr>
                <w:rFonts w:asciiTheme="majorHAnsi" w:hAnsiTheme="majorHAnsi" w:cstheme="majorHAnsi"/>
                <w:bCs/>
                <w:sz w:val="16"/>
                <w:szCs w:val="16"/>
                <w:lang w:val="ro-MD"/>
              </w:rPr>
              <w:t xml:space="preserve"> </w:t>
            </w:r>
            <w:r w:rsidRPr="0024512C">
              <w:rPr>
                <w:rFonts w:asciiTheme="majorHAnsi" w:hAnsiTheme="majorHAnsi" w:cstheme="majorHAnsi"/>
                <w:bCs/>
                <w:sz w:val="16"/>
                <w:szCs w:val="16"/>
                <w:lang w:val="ro-MD"/>
              </w:rPr>
              <w:t>în sum</w:t>
            </w:r>
            <w:r w:rsidR="009417AB" w:rsidRPr="0024512C">
              <w:rPr>
                <w:rFonts w:asciiTheme="majorHAnsi" w:hAnsiTheme="majorHAnsi" w:cstheme="majorHAnsi"/>
                <w:bCs/>
                <w:sz w:val="16"/>
                <w:szCs w:val="16"/>
                <w:lang w:val="ro-MD"/>
              </w:rPr>
              <w:t>ă totală de 136,9 mil. lei, 4,59</w:t>
            </w:r>
            <w:r w:rsidRPr="0024512C">
              <w:rPr>
                <w:rFonts w:asciiTheme="majorHAnsi" w:hAnsiTheme="majorHAnsi" w:cstheme="majorHAnsi"/>
                <w:bCs/>
                <w:sz w:val="16"/>
                <w:szCs w:val="16"/>
                <w:lang w:val="ro-MD"/>
              </w:rPr>
              <w:t xml:space="preserve"> mil. euro și 0,28 mil. </w:t>
            </w:r>
            <w:r w:rsidR="00DA2199" w:rsidRPr="0024512C">
              <w:rPr>
                <w:rFonts w:asciiTheme="majorHAnsi" w:hAnsiTheme="majorHAnsi" w:cstheme="majorHAnsi"/>
                <w:bCs/>
                <w:sz w:val="16"/>
                <w:szCs w:val="16"/>
                <w:lang w:val="ro-MD"/>
              </w:rPr>
              <w:t>dol. SUA</w:t>
            </w:r>
            <w:r w:rsidRPr="0024512C">
              <w:rPr>
                <w:rFonts w:asciiTheme="majorHAnsi" w:hAnsiTheme="majorHAnsi" w:cstheme="majorHAnsi"/>
                <w:bCs/>
                <w:sz w:val="16"/>
                <w:szCs w:val="16"/>
                <w:lang w:val="ro-MD"/>
              </w:rPr>
              <w:t>;</w:t>
            </w:r>
          </w:p>
          <w:p w:rsidR="009417AB" w:rsidRPr="0024512C" w:rsidRDefault="009417AB"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-rambursate datorii în sumă de 108,38 mil. lei, 3,08 mil. euro și 0,28 mil. dol. SUA.</w:t>
            </w:r>
          </w:p>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soldul datoriilor constituie 28,5 mil. lei și 1,5 mil. euro</w:t>
            </w:r>
          </w:p>
        </w:tc>
      </w:tr>
      <w:tr w:rsidR="00854459" w:rsidRPr="0024512C" w:rsidTr="00854459">
        <w:trPr>
          <w:gridAfter w:val="1"/>
          <w:wAfter w:w="7" w:type="dxa"/>
        </w:trPr>
        <w:tc>
          <w:tcPr>
            <w:tcW w:w="1429" w:type="dxa"/>
          </w:tcPr>
          <w:p w:rsidR="00854459" w:rsidRPr="005C74F5" w:rsidRDefault="00854459" w:rsidP="00854459">
            <w:pPr>
              <w:jc w:val="both"/>
              <w:rPr>
                <w:rFonts w:asciiTheme="majorHAnsi" w:hAnsiTheme="majorHAnsi" w:cstheme="majorHAnsi"/>
                <w:b/>
                <w:bCs/>
                <w:i/>
                <w:sz w:val="16"/>
                <w:szCs w:val="16"/>
                <w:lang w:val="ro-MD"/>
              </w:rPr>
            </w:pPr>
            <w:r w:rsidRPr="0024512C">
              <w:rPr>
                <w:rFonts w:asciiTheme="majorHAnsi" w:hAnsiTheme="majorHAnsi" w:cstheme="majorHAnsi"/>
                <w:b/>
                <w:bCs/>
                <w:i/>
                <w:sz w:val="16"/>
                <w:szCs w:val="16"/>
                <w:lang w:val="ro-MD"/>
              </w:rPr>
              <w:t>Proiectul „Livada Moldovei”</w:t>
            </w:r>
          </w:p>
        </w:tc>
        <w:tc>
          <w:tcPr>
            <w:tcW w:w="1562"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 xml:space="preserve">Contractul de Finanțare FIN° 83.887 (MD) </w:t>
            </w:r>
            <w:proofErr w:type="spellStart"/>
            <w:r w:rsidRPr="0024512C">
              <w:rPr>
                <w:rFonts w:asciiTheme="majorHAnsi" w:hAnsiTheme="majorHAnsi" w:cstheme="majorHAnsi"/>
                <w:bCs/>
                <w:sz w:val="16"/>
                <w:szCs w:val="16"/>
                <w:lang w:val="ro-MD"/>
              </w:rPr>
              <w:t>Serapis</w:t>
            </w:r>
            <w:proofErr w:type="spellEnd"/>
            <w:r w:rsidRPr="0024512C">
              <w:rPr>
                <w:rFonts w:asciiTheme="majorHAnsi" w:hAnsiTheme="majorHAnsi" w:cstheme="majorHAnsi"/>
                <w:bCs/>
                <w:sz w:val="16"/>
                <w:szCs w:val="16"/>
                <w:lang w:val="ro-MD"/>
              </w:rPr>
              <w:t xml:space="preserve"> Nr.2014-0041 din 31.07.2014</w:t>
            </w:r>
          </w:p>
        </w:tc>
        <w:tc>
          <w:tcPr>
            <w:tcW w:w="1398" w:type="dxa"/>
          </w:tcPr>
          <w:p w:rsidR="00854459" w:rsidRPr="0024512C"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Împrumut în valoare de 120,0 mil. euro</w:t>
            </w:r>
          </w:p>
        </w:tc>
        <w:tc>
          <w:tcPr>
            <w:tcW w:w="1550" w:type="dxa"/>
          </w:tcPr>
          <w:p w:rsidR="00854459" w:rsidRPr="0024512C" w:rsidRDefault="00854459" w:rsidP="009417AB">
            <w:pPr>
              <w:jc w:val="both"/>
              <w:rPr>
                <w:rFonts w:asciiTheme="majorHAnsi" w:hAnsiTheme="majorHAnsi" w:cstheme="majorHAnsi"/>
                <w:bCs/>
                <w:sz w:val="16"/>
                <w:szCs w:val="16"/>
                <w:lang w:val="ro-MD"/>
              </w:rPr>
            </w:pPr>
            <w:r w:rsidRPr="00321F59">
              <w:rPr>
                <w:rFonts w:asciiTheme="majorHAnsi" w:hAnsiTheme="majorHAnsi" w:cstheme="majorHAnsi"/>
                <w:bCs/>
                <w:sz w:val="16"/>
                <w:szCs w:val="16"/>
                <w:lang w:val="ro-MD"/>
              </w:rPr>
              <w:t xml:space="preserve">Lansarea oficială a Proiectului a avut loc la data de </w:t>
            </w:r>
            <w:r w:rsidR="009417AB" w:rsidRPr="00321F59">
              <w:rPr>
                <w:rFonts w:asciiTheme="majorHAnsi" w:hAnsiTheme="majorHAnsi" w:cstheme="majorHAnsi"/>
                <w:bCs/>
                <w:sz w:val="16"/>
                <w:szCs w:val="16"/>
                <w:lang w:val="ro-MD"/>
              </w:rPr>
              <w:t>26.07.2014</w:t>
            </w:r>
            <w:r w:rsidRPr="00321F59">
              <w:rPr>
                <w:rFonts w:asciiTheme="majorHAnsi" w:hAnsiTheme="majorHAnsi" w:cstheme="majorHAnsi"/>
                <w:bCs/>
                <w:sz w:val="16"/>
                <w:szCs w:val="16"/>
                <w:lang w:val="ro-MD"/>
              </w:rPr>
              <w:t>. Data de în</w:t>
            </w:r>
            <w:r w:rsidR="009417AB" w:rsidRPr="00321F59">
              <w:rPr>
                <w:rFonts w:asciiTheme="majorHAnsi" w:hAnsiTheme="majorHAnsi" w:cstheme="majorHAnsi"/>
                <w:bCs/>
                <w:sz w:val="16"/>
                <w:szCs w:val="16"/>
                <w:lang w:val="ro-MD"/>
              </w:rPr>
              <w:t>chidere a Proiectului este 31.12</w:t>
            </w:r>
            <w:r w:rsidRPr="00321F59">
              <w:rPr>
                <w:rFonts w:asciiTheme="majorHAnsi" w:hAnsiTheme="majorHAnsi" w:cstheme="majorHAnsi"/>
                <w:bCs/>
                <w:sz w:val="16"/>
                <w:szCs w:val="16"/>
                <w:lang w:val="ro-MD"/>
              </w:rPr>
              <w:t>.2022</w:t>
            </w:r>
          </w:p>
        </w:tc>
        <w:tc>
          <w:tcPr>
            <w:tcW w:w="1453" w:type="dxa"/>
          </w:tcPr>
          <w:p w:rsidR="00854459" w:rsidRPr="000D7A72" w:rsidRDefault="00854459" w:rsidP="00854459">
            <w:pPr>
              <w:jc w:val="both"/>
              <w:rPr>
                <w:rFonts w:asciiTheme="majorHAnsi" w:hAnsiTheme="majorHAnsi" w:cstheme="majorHAnsi"/>
                <w:bCs/>
                <w:sz w:val="16"/>
                <w:szCs w:val="16"/>
                <w:lang w:val="ro-MD"/>
              </w:rPr>
            </w:pPr>
            <w:r w:rsidRPr="005C74F5">
              <w:rPr>
                <w:rFonts w:asciiTheme="majorHAnsi" w:hAnsiTheme="majorHAnsi" w:cstheme="majorHAnsi"/>
                <w:bCs/>
                <w:sz w:val="16"/>
                <w:szCs w:val="16"/>
                <w:lang w:val="ro-MD"/>
              </w:rPr>
              <w:t xml:space="preserve">De </w:t>
            </w:r>
            <w:r w:rsidRPr="000D7A72">
              <w:rPr>
                <w:rFonts w:asciiTheme="majorHAnsi" w:hAnsiTheme="majorHAnsi" w:cstheme="majorHAnsi"/>
                <w:bCs/>
                <w:sz w:val="16"/>
                <w:szCs w:val="16"/>
                <w:lang w:val="ro-MD"/>
              </w:rPr>
              <w:t>a consolida sectorul horticol din Moldova</w:t>
            </w:r>
          </w:p>
        </w:tc>
        <w:tc>
          <w:tcPr>
            <w:tcW w:w="1685" w:type="dxa"/>
          </w:tcPr>
          <w:p w:rsidR="00854459" w:rsidRPr="0024512C" w:rsidRDefault="00854459" w:rsidP="00854459">
            <w:pPr>
              <w:numPr>
                <w:ilvl w:val="0"/>
                <w:numId w:val="16"/>
              </w:numPr>
              <w:ind w:left="48"/>
              <w:contextualSpacing/>
              <w:jc w:val="both"/>
              <w:rPr>
                <w:rFonts w:asciiTheme="majorHAnsi" w:hAnsiTheme="majorHAnsi" w:cstheme="majorHAnsi"/>
                <w:bCs/>
                <w:i/>
                <w:sz w:val="16"/>
                <w:szCs w:val="16"/>
                <w:lang w:val="ro-MD"/>
              </w:rPr>
            </w:pPr>
            <w:r w:rsidRPr="00321F59">
              <w:rPr>
                <w:rFonts w:asciiTheme="majorHAnsi" w:hAnsiTheme="majorHAnsi" w:cstheme="majorHAnsi"/>
                <w:bCs/>
                <w:i/>
                <w:sz w:val="16"/>
                <w:szCs w:val="16"/>
                <w:lang w:val="ro-MD"/>
              </w:rPr>
              <w:t>(i) Linia de credit – credite investiționale;</w:t>
            </w:r>
          </w:p>
          <w:p w:rsidR="00854459" w:rsidRPr="0024512C" w:rsidRDefault="00854459" w:rsidP="00854459">
            <w:pPr>
              <w:pStyle w:val="ListParagraph"/>
              <w:numPr>
                <w:ilvl w:val="0"/>
                <w:numId w:val="16"/>
              </w:numPr>
              <w:ind w:left="0" w:firstLine="48"/>
              <w:jc w:val="both"/>
              <w:rPr>
                <w:rFonts w:asciiTheme="majorHAnsi" w:hAnsiTheme="majorHAnsi" w:cstheme="majorHAnsi"/>
                <w:bCs/>
                <w:i/>
                <w:sz w:val="16"/>
                <w:szCs w:val="16"/>
                <w:lang w:val="ro-MD"/>
              </w:rPr>
            </w:pPr>
            <w:r w:rsidRPr="00321F59">
              <w:rPr>
                <w:rFonts w:asciiTheme="majorHAnsi" w:hAnsiTheme="majorHAnsi" w:cstheme="majorHAnsi"/>
                <w:bCs/>
                <w:i/>
                <w:sz w:val="16"/>
                <w:szCs w:val="16"/>
                <w:lang w:val="ro-MD"/>
              </w:rPr>
              <w:t>Leasing;</w:t>
            </w:r>
          </w:p>
          <w:p w:rsidR="00854459" w:rsidRPr="0024512C" w:rsidRDefault="00854459" w:rsidP="00854459">
            <w:pPr>
              <w:pStyle w:val="ListParagraph"/>
              <w:numPr>
                <w:ilvl w:val="0"/>
                <w:numId w:val="16"/>
              </w:numPr>
              <w:ind w:left="48" w:firstLine="0"/>
              <w:jc w:val="both"/>
              <w:rPr>
                <w:rFonts w:asciiTheme="majorHAnsi" w:hAnsiTheme="majorHAnsi" w:cstheme="majorHAnsi"/>
                <w:bCs/>
                <w:i/>
                <w:sz w:val="16"/>
                <w:szCs w:val="16"/>
                <w:lang w:val="ro-MD"/>
              </w:rPr>
            </w:pPr>
            <w:r w:rsidRPr="00321F59">
              <w:rPr>
                <w:rFonts w:asciiTheme="majorHAnsi" w:hAnsiTheme="majorHAnsi" w:cstheme="majorHAnsi"/>
                <w:bCs/>
                <w:i/>
                <w:sz w:val="16"/>
                <w:szCs w:val="16"/>
                <w:lang w:val="ro-MD"/>
              </w:rPr>
              <w:t>Investiții în laboratoare, educație, formarea și dezvoltarea siguranței alimentelor</w:t>
            </w:r>
          </w:p>
        </w:tc>
        <w:tc>
          <w:tcPr>
            <w:tcW w:w="3150" w:type="dxa"/>
          </w:tcPr>
          <w:p w:rsidR="00854459" w:rsidRPr="00321F59" w:rsidRDefault="00854459" w:rsidP="00854459">
            <w:pPr>
              <w:jc w:val="both"/>
              <w:rPr>
                <w:rFonts w:asciiTheme="majorHAnsi" w:hAnsiTheme="majorHAnsi" w:cstheme="majorHAnsi"/>
                <w:bCs/>
                <w:sz w:val="16"/>
                <w:szCs w:val="16"/>
                <w:lang w:val="ro-MD"/>
              </w:rPr>
            </w:pPr>
            <w:r w:rsidRPr="00321F59">
              <w:rPr>
                <w:rFonts w:asciiTheme="majorHAnsi" w:hAnsiTheme="majorHAnsi" w:cstheme="majorHAnsi"/>
                <w:bCs/>
                <w:sz w:val="16"/>
                <w:szCs w:val="16"/>
                <w:lang w:val="ro-MD"/>
              </w:rPr>
              <w:t xml:space="preserve">DLC deține responsabilități, conform Acordului de împrumut, în cadrul componentei Liniei de credit. Astfel, DLC este responsabil de consolidarea cererilor de tragere a fondurilor primite de la IFP și Unitatea de Implementare a Proiectului, verificarea și aprobarea tragerilor fondurilor în cadrul Liniei de Credit, verificarea respectării de către IFP a termenelor și condițiilor Acordurilor de Recreditare semnate de acestea cu Ministerul Finanțelor, a condițiilor Manualelor Operaționale ale Liniei de Credit, evidența, calcularea </w:t>
            </w:r>
            <w:proofErr w:type="spellStart"/>
            <w:r w:rsidRPr="00321F59">
              <w:rPr>
                <w:rFonts w:asciiTheme="majorHAnsi" w:hAnsiTheme="majorHAnsi" w:cstheme="majorHAnsi"/>
                <w:bCs/>
                <w:sz w:val="16"/>
                <w:szCs w:val="16"/>
                <w:lang w:val="ro-MD"/>
              </w:rPr>
              <w:t>şi</w:t>
            </w:r>
            <w:proofErr w:type="spellEnd"/>
            <w:r w:rsidRPr="00321F59">
              <w:rPr>
                <w:rFonts w:asciiTheme="majorHAnsi" w:hAnsiTheme="majorHAnsi" w:cstheme="majorHAnsi"/>
                <w:bCs/>
                <w:sz w:val="16"/>
                <w:szCs w:val="16"/>
                <w:lang w:val="ro-MD"/>
              </w:rPr>
              <w:t xml:space="preserve"> colectarea </w:t>
            </w:r>
            <w:proofErr w:type="spellStart"/>
            <w:r w:rsidRPr="00321F59">
              <w:rPr>
                <w:rFonts w:asciiTheme="majorHAnsi" w:hAnsiTheme="majorHAnsi" w:cstheme="majorHAnsi"/>
                <w:bCs/>
                <w:sz w:val="16"/>
                <w:szCs w:val="16"/>
                <w:lang w:val="ro-MD"/>
              </w:rPr>
              <w:t>plăţilor</w:t>
            </w:r>
            <w:proofErr w:type="spellEnd"/>
            <w:r w:rsidRPr="00321F59">
              <w:rPr>
                <w:rFonts w:asciiTheme="majorHAnsi" w:hAnsiTheme="majorHAnsi" w:cstheme="majorHAnsi"/>
                <w:bCs/>
                <w:sz w:val="16"/>
                <w:szCs w:val="16"/>
                <w:lang w:val="ro-MD"/>
              </w:rPr>
              <w:t xml:space="preserve"> de la IFP de rambursare a sumelor principale </w:t>
            </w:r>
            <w:proofErr w:type="spellStart"/>
            <w:r w:rsidRPr="00321F59">
              <w:rPr>
                <w:rFonts w:asciiTheme="majorHAnsi" w:hAnsiTheme="majorHAnsi" w:cstheme="majorHAnsi"/>
                <w:bCs/>
                <w:sz w:val="16"/>
                <w:szCs w:val="16"/>
                <w:lang w:val="ro-MD"/>
              </w:rPr>
              <w:t>recreditate</w:t>
            </w:r>
            <w:proofErr w:type="spellEnd"/>
            <w:r w:rsidRPr="00321F59">
              <w:rPr>
                <w:rFonts w:asciiTheme="majorHAnsi" w:hAnsiTheme="majorHAnsi" w:cstheme="majorHAnsi"/>
                <w:bCs/>
                <w:sz w:val="16"/>
                <w:szCs w:val="16"/>
                <w:lang w:val="ro-MD"/>
              </w:rPr>
              <w:t xml:space="preserve"> </w:t>
            </w:r>
            <w:proofErr w:type="spellStart"/>
            <w:r w:rsidRPr="00321F59">
              <w:rPr>
                <w:rFonts w:asciiTheme="majorHAnsi" w:hAnsiTheme="majorHAnsi" w:cstheme="majorHAnsi"/>
                <w:bCs/>
                <w:sz w:val="16"/>
                <w:szCs w:val="16"/>
                <w:lang w:val="ro-MD"/>
              </w:rPr>
              <w:t>şi</w:t>
            </w:r>
            <w:proofErr w:type="spellEnd"/>
            <w:r w:rsidRPr="00321F59">
              <w:rPr>
                <w:rFonts w:asciiTheme="majorHAnsi" w:hAnsiTheme="majorHAnsi" w:cstheme="majorHAnsi"/>
                <w:bCs/>
                <w:sz w:val="16"/>
                <w:szCs w:val="16"/>
                <w:lang w:val="ro-MD"/>
              </w:rPr>
              <w:t xml:space="preserve"> de achitare a dobânzilor aferente.</w:t>
            </w:r>
          </w:p>
          <w:p w:rsidR="00854459" w:rsidRPr="000D7A72" w:rsidRDefault="00854459" w:rsidP="00854459">
            <w:pPr>
              <w:jc w:val="both"/>
              <w:rPr>
                <w:rFonts w:asciiTheme="majorHAnsi" w:hAnsiTheme="majorHAnsi" w:cstheme="majorHAnsi"/>
                <w:bCs/>
                <w:sz w:val="16"/>
                <w:szCs w:val="16"/>
                <w:lang w:val="ro-MD"/>
              </w:rPr>
            </w:pPr>
            <w:r w:rsidRPr="0024512C">
              <w:rPr>
                <w:rFonts w:asciiTheme="majorHAnsi" w:hAnsiTheme="majorHAnsi" w:cstheme="majorHAnsi"/>
                <w:bCs/>
                <w:sz w:val="16"/>
                <w:szCs w:val="16"/>
                <w:lang w:val="ro-MD"/>
              </w:rPr>
              <w:t>Conform Ordinului MF nr.43 din 04.03.2019, DLC va acumula și va continua recreditarea mijloacelor circulante ale Fond</w:t>
            </w:r>
            <w:r w:rsidRPr="005C74F5">
              <w:rPr>
                <w:rFonts w:asciiTheme="majorHAnsi" w:hAnsiTheme="majorHAnsi" w:cstheme="majorHAnsi"/>
                <w:bCs/>
                <w:sz w:val="16"/>
                <w:szCs w:val="16"/>
                <w:lang w:val="ro-MD"/>
              </w:rPr>
              <w:t xml:space="preserve">ului Circulant de Investiții prin intermediul IFP pentru finanțarea de noi </w:t>
            </w:r>
            <w:r w:rsidRPr="000D7A72">
              <w:rPr>
                <w:rFonts w:asciiTheme="majorHAnsi" w:hAnsiTheme="majorHAnsi" w:cstheme="majorHAnsi"/>
                <w:bCs/>
                <w:sz w:val="16"/>
                <w:szCs w:val="16"/>
                <w:lang w:val="ro-MD"/>
              </w:rPr>
              <w:t>sub-proiecte eligibile</w:t>
            </w:r>
          </w:p>
        </w:tc>
        <w:tc>
          <w:tcPr>
            <w:tcW w:w="1710" w:type="dxa"/>
          </w:tcPr>
          <w:p w:rsidR="00854459" w:rsidRPr="00321F59" w:rsidRDefault="00854459" w:rsidP="00854459">
            <w:pPr>
              <w:jc w:val="both"/>
              <w:rPr>
                <w:rFonts w:asciiTheme="majorHAnsi" w:hAnsiTheme="majorHAnsi" w:cstheme="majorHAnsi"/>
                <w:bCs/>
                <w:sz w:val="16"/>
                <w:szCs w:val="16"/>
                <w:lang w:val="ro-MD"/>
              </w:rPr>
            </w:pPr>
            <w:r w:rsidRPr="00321F59">
              <w:rPr>
                <w:rFonts w:asciiTheme="majorHAnsi" w:hAnsiTheme="majorHAnsi" w:cstheme="majorHAnsi"/>
                <w:bCs/>
                <w:sz w:val="16"/>
                <w:szCs w:val="16"/>
                <w:lang w:val="ro-MD"/>
              </w:rPr>
              <w:t xml:space="preserve">- 85 de beneficiari </w:t>
            </w:r>
            <w:r w:rsidRPr="0024512C">
              <w:rPr>
                <w:rFonts w:asciiTheme="majorHAnsi" w:hAnsiTheme="majorHAnsi" w:cstheme="majorHAnsi"/>
                <w:bCs/>
                <w:sz w:val="16"/>
                <w:szCs w:val="16"/>
                <w:lang w:val="ro-MD"/>
              </w:rPr>
              <w:t>cu valoarea împrumuturilor</w:t>
            </w:r>
            <w:r w:rsidRPr="00321F59">
              <w:rPr>
                <w:rFonts w:asciiTheme="majorHAnsi" w:hAnsiTheme="majorHAnsi" w:cstheme="majorHAnsi"/>
                <w:bCs/>
                <w:sz w:val="16"/>
                <w:szCs w:val="16"/>
                <w:lang w:val="ro-MD"/>
              </w:rPr>
              <w:t xml:space="preserve"> în valoare totală de 45,5 mil. lei și 14,2 mil. euro;</w:t>
            </w:r>
          </w:p>
          <w:p w:rsidR="00854459" w:rsidRPr="00321F59" w:rsidRDefault="00854459" w:rsidP="00854459">
            <w:pPr>
              <w:jc w:val="both"/>
              <w:rPr>
                <w:rFonts w:asciiTheme="majorHAnsi" w:hAnsiTheme="majorHAnsi" w:cstheme="majorHAnsi"/>
                <w:bCs/>
                <w:sz w:val="16"/>
                <w:szCs w:val="16"/>
                <w:lang w:val="ro-MD"/>
              </w:rPr>
            </w:pPr>
            <w:r w:rsidRPr="00321F59">
              <w:rPr>
                <w:rFonts w:asciiTheme="majorHAnsi" w:hAnsiTheme="majorHAnsi" w:cstheme="majorHAnsi"/>
                <w:bCs/>
                <w:sz w:val="16"/>
                <w:szCs w:val="16"/>
                <w:lang w:val="ro-MD"/>
              </w:rPr>
              <w:t>- soldul datoriilor este de 45,48 mil. lei și 11,76 mil. euro</w:t>
            </w:r>
          </w:p>
        </w:tc>
        <w:tc>
          <w:tcPr>
            <w:tcW w:w="1603" w:type="dxa"/>
          </w:tcPr>
          <w:p w:rsidR="00854459" w:rsidRPr="0024512C" w:rsidRDefault="00854459" w:rsidP="00854459">
            <w:pPr>
              <w:rPr>
                <w:rFonts w:asciiTheme="majorHAnsi" w:hAnsiTheme="majorHAnsi" w:cstheme="majorHAnsi"/>
                <w:bCs/>
                <w:sz w:val="16"/>
                <w:szCs w:val="16"/>
                <w:lang w:val="ro-MD"/>
              </w:rPr>
            </w:pPr>
          </w:p>
        </w:tc>
      </w:tr>
    </w:tbl>
    <w:p w:rsidR="004326B1" w:rsidRPr="0024512C" w:rsidRDefault="002D1CC5" w:rsidP="004326B1">
      <w:pPr>
        <w:jc w:val="both"/>
        <w:rPr>
          <w:rFonts w:asciiTheme="majorHAnsi" w:hAnsiTheme="majorHAnsi" w:cstheme="majorHAnsi"/>
          <w:i/>
          <w:sz w:val="20"/>
          <w:szCs w:val="20"/>
          <w:lang w:val="ro-MD"/>
        </w:rPr>
      </w:pPr>
      <w:r w:rsidRPr="0024512C">
        <w:rPr>
          <w:rFonts w:asciiTheme="majorHAnsi" w:hAnsiTheme="majorHAnsi" w:cstheme="majorHAnsi"/>
          <w:b/>
          <w:i/>
          <w:sz w:val="20"/>
          <w:szCs w:val="20"/>
          <w:lang w:val="ro-MD"/>
        </w:rPr>
        <w:t>Sursa:</w:t>
      </w:r>
      <w:r w:rsidRPr="005C74F5">
        <w:rPr>
          <w:rFonts w:asciiTheme="majorHAnsi" w:hAnsiTheme="majorHAnsi" w:cstheme="majorHAnsi"/>
          <w:i/>
          <w:sz w:val="20"/>
          <w:szCs w:val="20"/>
          <w:lang w:val="ro-MD"/>
        </w:rPr>
        <w:t xml:space="preserve"> Acordurile de finanțare, Manualele operaționale a Proiectelor</w:t>
      </w:r>
      <w:r w:rsidRPr="000D7A72">
        <w:rPr>
          <w:rFonts w:asciiTheme="majorHAnsi" w:hAnsiTheme="majorHAnsi" w:cstheme="majorHAnsi"/>
          <w:i/>
          <w:sz w:val="20"/>
          <w:szCs w:val="20"/>
          <w:lang w:val="ro-MD"/>
        </w:rPr>
        <w:t xml:space="preserve">, Rapoartele DLC referitor la sumele decontate și datoria IFP </w:t>
      </w:r>
      <w:r w:rsidR="00CC0160" w:rsidRPr="0024512C">
        <w:rPr>
          <w:rFonts w:asciiTheme="majorHAnsi" w:hAnsiTheme="majorHAnsi" w:cstheme="majorHAnsi"/>
          <w:i/>
          <w:sz w:val="20"/>
          <w:szCs w:val="20"/>
          <w:lang w:val="ro-MD"/>
        </w:rPr>
        <w:t xml:space="preserve">pe Proiecte </w:t>
      </w:r>
      <w:r w:rsidRPr="0024512C">
        <w:rPr>
          <w:rFonts w:asciiTheme="majorHAnsi" w:hAnsiTheme="majorHAnsi" w:cstheme="majorHAnsi"/>
          <w:i/>
          <w:sz w:val="20"/>
          <w:szCs w:val="20"/>
          <w:lang w:val="ro-MD"/>
        </w:rPr>
        <w:t>la situația din 31.12.2019.</w:t>
      </w:r>
    </w:p>
    <w:p w:rsidR="00B5156A" w:rsidRPr="0024512C" w:rsidRDefault="00B5156A" w:rsidP="00423ECB">
      <w:pPr>
        <w:rPr>
          <w:rFonts w:asciiTheme="majorHAnsi" w:hAnsiTheme="majorHAnsi" w:cstheme="majorHAnsi"/>
          <w:lang w:val="ro-MD"/>
        </w:rPr>
      </w:pPr>
    </w:p>
    <w:p w:rsidR="00B5156A" w:rsidRPr="0024512C" w:rsidRDefault="00B5156A" w:rsidP="00423ECB">
      <w:pPr>
        <w:rPr>
          <w:rFonts w:asciiTheme="majorHAnsi" w:hAnsiTheme="majorHAnsi" w:cstheme="majorHAnsi"/>
          <w:lang w:val="ro-MD"/>
        </w:rPr>
      </w:pPr>
    </w:p>
    <w:p w:rsidR="00B5156A" w:rsidRPr="0024512C" w:rsidRDefault="00B5156A" w:rsidP="00423ECB">
      <w:pPr>
        <w:rPr>
          <w:rFonts w:asciiTheme="majorHAnsi" w:hAnsiTheme="majorHAnsi" w:cstheme="majorHAnsi"/>
          <w:lang w:val="ro-MD"/>
        </w:rPr>
      </w:pPr>
    </w:p>
    <w:p w:rsidR="004321F6" w:rsidRPr="00321F59" w:rsidRDefault="004321F6" w:rsidP="004321F6">
      <w:pPr>
        <w:spacing w:after="0" w:line="276" w:lineRule="auto"/>
        <w:jc w:val="right"/>
        <w:rPr>
          <w:rFonts w:asciiTheme="majorHAnsi" w:hAnsiTheme="majorHAnsi" w:cstheme="majorHAnsi"/>
          <w:b/>
          <w:i/>
          <w:color w:val="5B9BD5" w:themeColor="accent1"/>
          <w:sz w:val="24"/>
          <w:szCs w:val="24"/>
          <w:lang w:val="ro-MD"/>
          <w14:glow w14:rad="0">
            <w14:schemeClr w14:val="tx1"/>
          </w14:glow>
        </w:rPr>
        <w:sectPr w:rsidR="004321F6" w:rsidRPr="00321F59" w:rsidSect="004326B1">
          <w:pgSz w:w="16838" w:h="11906" w:orient="landscape" w:code="9"/>
          <w:pgMar w:top="1699" w:right="1138" w:bottom="850" w:left="1138" w:header="720" w:footer="720" w:gutter="0"/>
          <w:cols w:space="720"/>
          <w:docGrid w:linePitch="360"/>
        </w:sectPr>
      </w:pPr>
    </w:p>
    <w:p w:rsidR="004321F6" w:rsidRPr="00321F59" w:rsidRDefault="004F396C" w:rsidP="004321F6">
      <w:pPr>
        <w:spacing w:after="0" w:line="276" w:lineRule="auto"/>
        <w:jc w:val="right"/>
        <w:rPr>
          <w:rFonts w:asciiTheme="majorHAnsi" w:hAnsiTheme="majorHAnsi" w:cstheme="majorHAnsi"/>
          <w:b/>
          <w:i/>
          <w:sz w:val="24"/>
          <w:szCs w:val="24"/>
          <w:lang w:val="ro-MD"/>
          <w14:glow w14:rad="0">
            <w14:schemeClr w14:val="tx1"/>
          </w14:glow>
        </w:rPr>
      </w:pPr>
      <w:r w:rsidRPr="00321F59">
        <w:rPr>
          <w:rFonts w:asciiTheme="majorHAnsi" w:hAnsiTheme="majorHAnsi" w:cstheme="majorHAnsi"/>
          <w:b/>
          <w:i/>
          <w:color w:val="5B9BD5" w:themeColor="accent1"/>
          <w:sz w:val="24"/>
          <w:szCs w:val="24"/>
          <w:lang w:val="ro-MD"/>
          <w14:glow w14:rad="0">
            <w14:schemeClr w14:val="tx1"/>
          </w14:glow>
        </w:rPr>
        <w:lastRenderedPageBreak/>
        <w:t>Anexa nr.7</w:t>
      </w:r>
    </w:p>
    <w:p w:rsidR="004321F6" w:rsidRPr="00321F59" w:rsidRDefault="004321F6" w:rsidP="004321F6">
      <w:pPr>
        <w:spacing w:after="0" w:line="276" w:lineRule="auto"/>
        <w:jc w:val="center"/>
        <w:rPr>
          <w:rFonts w:asciiTheme="majorHAnsi" w:hAnsiTheme="majorHAnsi" w:cstheme="majorHAnsi"/>
          <w:b/>
          <w:i/>
          <w:sz w:val="24"/>
          <w:szCs w:val="24"/>
          <w:lang w:val="ro-MD"/>
          <w14:glow w14:rad="0">
            <w14:schemeClr w14:val="tx1"/>
          </w14:glow>
        </w:rPr>
      </w:pPr>
      <w:r w:rsidRPr="00321F59">
        <w:rPr>
          <w:rFonts w:asciiTheme="majorHAnsi" w:hAnsiTheme="majorHAnsi" w:cstheme="majorHAnsi"/>
          <w:b/>
          <w:i/>
          <w:sz w:val="24"/>
          <w:szCs w:val="24"/>
          <w:lang w:val="ro-MD"/>
          <w14:glow w14:rad="0">
            <w14:schemeClr w14:val="tx1"/>
          </w14:glow>
        </w:rPr>
        <w:t xml:space="preserve">Informația privind beneficiarii </w:t>
      </w:r>
      <w:proofErr w:type="spellStart"/>
      <w:r w:rsidRPr="00321F59">
        <w:rPr>
          <w:rFonts w:asciiTheme="majorHAnsi" w:hAnsiTheme="majorHAnsi" w:cstheme="majorHAnsi"/>
          <w:b/>
          <w:i/>
          <w:sz w:val="24"/>
          <w:szCs w:val="24"/>
          <w:lang w:val="ro-MD"/>
          <w14:glow w14:rad="0">
            <w14:schemeClr w14:val="tx1"/>
          </w14:glow>
        </w:rPr>
        <w:t>recreditați</w:t>
      </w:r>
      <w:proofErr w:type="spellEnd"/>
      <w:r w:rsidRPr="00321F59">
        <w:rPr>
          <w:rFonts w:asciiTheme="majorHAnsi" w:hAnsiTheme="majorHAnsi" w:cstheme="majorHAnsi"/>
          <w:b/>
          <w:i/>
          <w:sz w:val="24"/>
          <w:szCs w:val="24"/>
          <w:lang w:val="ro-MD"/>
          <w14:glow w14:rad="0">
            <w14:schemeClr w14:val="tx1"/>
          </w14:glow>
        </w:rPr>
        <w:t xml:space="preserve"> și soldul datoriilor în cadrul componentei </w:t>
      </w:r>
      <w:r w:rsidR="00854459" w:rsidRPr="00321F59">
        <w:rPr>
          <w:rFonts w:asciiTheme="majorHAnsi" w:hAnsiTheme="majorHAnsi" w:cstheme="majorHAnsi"/>
          <w:b/>
          <w:i/>
          <w:sz w:val="24"/>
          <w:szCs w:val="24"/>
          <w:lang w:val="ro-MD"/>
          <w14:glow w14:rad="0">
            <w14:schemeClr w14:val="tx1"/>
          </w14:glow>
        </w:rPr>
        <w:t>„</w:t>
      </w:r>
      <w:r w:rsidRPr="00321F59">
        <w:rPr>
          <w:rFonts w:asciiTheme="majorHAnsi" w:hAnsiTheme="majorHAnsi" w:cstheme="majorHAnsi"/>
          <w:b/>
          <w:i/>
          <w:sz w:val="24"/>
          <w:szCs w:val="24"/>
          <w:lang w:val="ro-MD"/>
          <w14:glow w14:rad="0">
            <w14:schemeClr w14:val="tx1"/>
          </w14:glow>
        </w:rPr>
        <w:t>Struguri</w:t>
      </w:r>
      <w:r w:rsidR="00854459" w:rsidRPr="00321F59">
        <w:rPr>
          <w:rFonts w:asciiTheme="majorHAnsi" w:hAnsiTheme="majorHAnsi" w:cstheme="majorHAnsi"/>
          <w:b/>
          <w:i/>
          <w:sz w:val="24"/>
          <w:szCs w:val="24"/>
          <w:lang w:val="ro-MD"/>
          <w14:glow w14:rad="0">
            <w14:schemeClr w14:val="tx1"/>
          </w14:glow>
        </w:rPr>
        <w:t>”</w:t>
      </w:r>
      <w:r w:rsidRPr="00321F59">
        <w:rPr>
          <w:rFonts w:asciiTheme="majorHAnsi" w:hAnsiTheme="majorHAnsi" w:cstheme="majorHAnsi"/>
          <w:b/>
          <w:i/>
          <w:sz w:val="24"/>
          <w:szCs w:val="24"/>
          <w:lang w:val="ro-MD"/>
          <w14:glow w14:rad="0">
            <w14:schemeClr w14:val="tx1"/>
          </w14:glow>
        </w:rPr>
        <w:t xml:space="preserve"> a Proiectului Filiera Vinului (mii euro)</w:t>
      </w:r>
    </w:p>
    <w:tbl>
      <w:tblPr>
        <w:tblStyle w:val="TableGrid"/>
        <w:tblW w:w="0" w:type="auto"/>
        <w:tblLook w:val="04A0" w:firstRow="1" w:lastRow="0" w:firstColumn="1" w:lastColumn="0" w:noHBand="0" w:noVBand="1"/>
      </w:tblPr>
      <w:tblGrid>
        <w:gridCol w:w="2336"/>
        <w:gridCol w:w="2336"/>
        <w:gridCol w:w="2336"/>
        <w:gridCol w:w="2337"/>
      </w:tblGrid>
      <w:tr w:rsidR="004321F6" w:rsidRPr="0024512C" w:rsidTr="00192623">
        <w:tc>
          <w:tcPr>
            <w:tcW w:w="2336" w:type="dxa"/>
            <w:vMerge w:val="restart"/>
            <w:shd w:val="clear" w:color="auto" w:fill="DEEAF6" w:themeFill="accent1" w:themeFillTint="33"/>
            <w:vAlign w:val="center"/>
          </w:tcPr>
          <w:p w:rsidR="004321F6" w:rsidRPr="00321F59" w:rsidRDefault="004321F6" w:rsidP="00192623">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Beneficiarul</w:t>
            </w:r>
          </w:p>
        </w:tc>
        <w:tc>
          <w:tcPr>
            <w:tcW w:w="2336" w:type="dxa"/>
            <w:vMerge w:val="restart"/>
            <w:shd w:val="clear" w:color="auto" w:fill="DEEAF6" w:themeFill="accent1" w:themeFillTint="33"/>
            <w:vAlign w:val="center"/>
          </w:tcPr>
          <w:p w:rsidR="004321F6" w:rsidRPr="00321F59" w:rsidRDefault="004321F6" w:rsidP="00192623">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Suma împrumutului acordat</w:t>
            </w:r>
          </w:p>
        </w:tc>
        <w:tc>
          <w:tcPr>
            <w:tcW w:w="4673" w:type="dxa"/>
            <w:gridSpan w:val="2"/>
            <w:shd w:val="clear" w:color="auto" w:fill="DEEAF6" w:themeFill="accent1" w:themeFillTint="33"/>
            <w:vAlign w:val="center"/>
          </w:tcPr>
          <w:p w:rsidR="004321F6" w:rsidRPr="00321F59" w:rsidRDefault="004321F6" w:rsidP="00192623">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Soldul datoriei</w:t>
            </w:r>
          </w:p>
        </w:tc>
      </w:tr>
      <w:tr w:rsidR="004321F6" w:rsidRPr="0024512C" w:rsidTr="00192623">
        <w:tc>
          <w:tcPr>
            <w:tcW w:w="2336" w:type="dxa"/>
            <w:vMerge/>
            <w:shd w:val="clear" w:color="auto" w:fill="DEEAF6" w:themeFill="accent1" w:themeFillTint="33"/>
            <w:vAlign w:val="center"/>
          </w:tcPr>
          <w:p w:rsidR="004321F6" w:rsidRPr="00321F59" w:rsidRDefault="004321F6" w:rsidP="00192623">
            <w:pPr>
              <w:spacing w:line="276" w:lineRule="auto"/>
              <w:jc w:val="center"/>
              <w:rPr>
                <w:rFonts w:asciiTheme="majorHAnsi" w:hAnsiTheme="majorHAnsi" w:cstheme="majorHAnsi"/>
                <w:b/>
                <w:sz w:val="20"/>
                <w:szCs w:val="20"/>
                <w:lang w:val="ro-MD"/>
                <w14:glow w14:rad="0">
                  <w14:schemeClr w14:val="tx1"/>
                </w14:glow>
              </w:rPr>
            </w:pPr>
          </w:p>
        </w:tc>
        <w:tc>
          <w:tcPr>
            <w:tcW w:w="2336" w:type="dxa"/>
            <w:vMerge/>
            <w:shd w:val="clear" w:color="auto" w:fill="DEEAF6" w:themeFill="accent1" w:themeFillTint="33"/>
            <w:vAlign w:val="center"/>
          </w:tcPr>
          <w:p w:rsidR="004321F6" w:rsidRPr="00321F59" w:rsidRDefault="004321F6" w:rsidP="00192623">
            <w:pPr>
              <w:spacing w:line="276" w:lineRule="auto"/>
              <w:jc w:val="center"/>
              <w:rPr>
                <w:rFonts w:asciiTheme="majorHAnsi" w:hAnsiTheme="majorHAnsi" w:cstheme="majorHAnsi"/>
                <w:b/>
                <w:sz w:val="20"/>
                <w:szCs w:val="20"/>
                <w:lang w:val="ro-MD"/>
                <w14:glow w14:rad="0">
                  <w14:schemeClr w14:val="tx1"/>
                </w14:glow>
              </w:rPr>
            </w:pPr>
          </w:p>
        </w:tc>
        <w:tc>
          <w:tcPr>
            <w:tcW w:w="2336" w:type="dxa"/>
            <w:shd w:val="clear" w:color="auto" w:fill="DEEAF6" w:themeFill="accent1" w:themeFillTint="33"/>
            <w:vAlign w:val="center"/>
          </w:tcPr>
          <w:p w:rsidR="004321F6" w:rsidRPr="00321F59" w:rsidRDefault="004321F6" w:rsidP="00192623">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Total</w:t>
            </w:r>
          </w:p>
        </w:tc>
        <w:tc>
          <w:tcPr>
            <w:tcW w:w="2337" w:type="dxa"/>
            <w:shd w:val="clear" w:color="auto" w:fill="DEEAF6" w:themeFill="accent1" w:themeFillTint="33"/>
            <w:vAlign w:val="center"/>
          </w:tcPr>
          <w:p w:rsidR="004321F6" w:rsidRPr="00321F59" w:rsidRDefault="004321F6" w:rsidP="00192623">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Inclusiv expirată</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Migdal-P</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119,6</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27,43</w:t>
            </w:r>
          </w:p>
        </w:tc>
        <w:tc>
          <w:tcPr>
            <w:tcW w:w="2337"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7,5</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GRAPE VALLEY</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600,0</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99,9</w:t>
            </w:r>
          </w:p>
        </w:tc>
        <w:tc>
          <w:tcPr>
            <w:tcW w:w="2337"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KAZAYAK-VIN</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600,0</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c>
          <w:tcPr>
            <w:tcW w:w="2337"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NATURVINS</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250,0</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68,75</w:t>
            </w:r>
          </w:p>
        </w:tc>
        <w:tc>
          <w:tcPr>
            <w:tcW w:w="2337"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27,08</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Vinăria Țiganca</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300,0</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50,0</w:t>
            </w:r>
          </w:p>
        </w:tc>
        <w:tc>
          <w:tcPr>
            <w:tcW w:w="2337"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VINDICUM</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350,0</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119,65</w:t>
            </w:r>
          </w:p>
        </w:tc>
        <w:tc>
          <w:tcPr>
            <w:tcW w:w="2337"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61,32</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VOITIS DISTILLERY</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600,0</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282,66</w:t>
            </w:r>
          </w:p>
        </w:tc>
        <w:tc>
          <w:tcPr>
            <w:tcW w:w="2337"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182,66</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VINIA DENOVI</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600,0</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c>
          <w:tcPr>
            <w:tcW w:w="2337"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MAGNOLIA-94</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200,0</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218,51</w:t>
            </w:r>
          </w:p>
        </w:tc>
        <w:tc>
          <w:tcPr>
            <w:tcW w:w="2337"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185,17</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lang w:val="ro-MD"/>
                <w14:glow w14:rad="0">
                  <w14:schemeClr w14:val="tx1"/>
                </w14:glow>
              </w:rPr>
            </w:pPr>
            <w:proofErr w:type="spellStart"/>
            <w:r w:rsidRPr="00321F59">
              <w:rPr>
                <w:rFonts w:asciiTheme="majorHAnsi" w:hAnsiTheme="majorHAnsi" w:cstheme="majorHAnsi"/>
                <w:sz w:val="20"/>
                <w:szCs w:val="20"/>
                <w:lang w:val="ro-MD"/>
                <w14:glow w14:rad="0">
                  <w14:schemeClr w14:val="tx1"/>
                </w14:glow>
              </w:rPr>
              <w:t>Fautor</w:t>
            </w:r>
            <w:proofErr w:type="spellEnd"/>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150,0</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25,0</w:t>
            </w:r>
          </w:p>
        </w:tc>
        <w:tc>
          <w:tcPr>
            <w:tcW w:w="2337"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Basarabia-LWIN INVEST</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200,0</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33,39</w:t>
            </w:r>
          </w:p>
        </w:tc>
        <w:tc>
          <w:tcPr>
            <w:tcW w:w="2337"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0,05</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Vinăria Purcari SRL</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600,0</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99,94</w:t>
            </w:r>
          </w:p>
        </w:tc>
        <w:tc>
          <w:tcPr>
            <w:tcW w:w="2337"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lang w:val="ro-MD"/>
                <w14:glow w14:rad="0">
                  <w14:schemeClr w14:val="tx1"/>
                </w14:glow>
              </w:rPr>
            </w:pPr>
            <w:proofErr w:type="spellStart"/>
            <w:r w:rsidRPr="00321F59">
              <w:rPr>
                <w:rFonts w:asciiTheme="majorHAnsi" w:hAnsiTheme="majorHAnsi" w:cstheme="majorHAnsi"/>
                <w:sz w:val="20"/>
                <w:szCs w:val="20"/>
                <w:lang w:val="ro-MD"/>
                <w14:glow w14:rad="0">
                  <w14:schemeClr w14:val="tx1"/>
                </w14:glow>
              </w:rPr>
              <w:t>Vintage</w:t>
            </w:r>
            <w:proofErr w:type="spellEnd"/>
            <w:r w:rsidRPr="00321F59">
              <w:rPr>
                <w:rFonts w:asciiTheme="majorHAnsi" w:hAnsiTheme="majorHAnsi" w:cstheme="majorHAnsi"/>
                <w:sz w:val="20"/>
                <w:szCs w:val="20"/>
                <w:lang w:val="ro-MD"/>
                <w14:glow w14:rad="0">
                  <w14:schemeClr w14:val="tx1"/>
                </w14:glow>
              </w:rPr>
              <w:t xml:space="preserve"> </w:t>
            </w:r>
            <w:proofErr w:type="spellStart"/>
            <w:r w:rsidRPr="00321F59">
              <w:rPr>
                <w:rFonts w:asciiTheme="majorHAnsi" w:hAnsiTheme="majorHAnsi" w:cstheme="majorHAnsi"/>
                <w:sz w:val="20"/>
                <w:szCs w:val="20"/>
                <w:lang w:val="ro-MD"/>
                <w14:glow w14:rad="0">
                  <w14:schemeClr w14:val="tx1"/>
                </w14:glow>
              </w:rPr>
              <w:t>Avenue</w:t>
            </w:r>
            <w:proofErr w:type="spellEnd"/>
            <w:r w:rsidRPr="00321F59">
              <w:rPr>
                <w:rFonts w:asciiTheme="majorHAnsi" w:hAnsiTheme="majorHAnsi" w:cstheme="majorHAnsi"/>
                <w:sz w:val="20"/>
                <w:szCs w:val="20"/>
                <w:lang w:val="ro-MD"/>
                <w14:glow w14:rad="0">
                  <w14:schemeClr w14:val="tx1"/>
                </w14:glow>
              </w:rPr>
              <w:t xml:space="preserve"> SRL</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50,0</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17,09</w:t>
            </w:r>
          </w:p>
        </w:tc>
        <w:tc>
          <w:tcPr>
            <w:tcW w:w="2337"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8,76</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Univers-Vin SRL</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450,0</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229,88</w:t>
            </w:r>
          </w:p>
        </w:tc>
        <w:tc>
          <w:tcPr>
            <w:tcW w:w="2337"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79,88</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Vinăria Mileștii Mici</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200,0</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86,21</w:t>
            </w:r>
          </w:p>
        </w:tc>
        <w:tc>
          <w:tcPr>
            <w:tcW w:w="2337"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0,5</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Basarabia-LWIN INVEST</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250,0</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182,07</w:t>
            </w:r>
          </w:p>
        </w:tc>
        <w:tc>
          <w:tcPr>
            <w:tcW w:w="2337"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39,19</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Vinăria din Vale</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600,0</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257,22</w:t>
            </w:r>
          </w:p>
        </w:tc>
        <w:tc>
          <w:tcPr>
            <w:tcW w:w="2337"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Fabrica de vinuri Slobozia Mare</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211,5</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29,27</w:t>
            </w:r>
          </w:p>
        </w:tc>
        <w:tc>
          <w:tcPr>
            <w:tcW w:w="2337"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 xml:space="preserve">ÎM Vinăria </w:t>
            </w:r>
            <w:proofErr w:type="spellStart"/>
            <w:r w:rsidRPr="00321F59">
              <w:rPr>
                <w:rFonts w:asciiTheme="majorHAnsi" w:hAnsiTheme="majorHAnsi" w:cstheme="majorHAnsi"/>
                <w:sz w:val="20"/>
                <w:szCs w:val="20"/>
                <w:lang w:val="ro-MD"/>
                <w14:glow w14:rad="0">
                  <w14:schemeClr w14:val="tx1"/>
                </w14:glow>
              </w:rPr>
              <w:t>Bostovan</w:t>
            </w:r>
            <w:proofErr w:type="spellEnd"/>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600,0</w:t>
            </w:r>
          </w:p>
        </w:tc>
        <w:tc>
          <w:tcPr>
            <w:tcW w:w="2336"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342,85</w:t>
            </w:r>
          </w:p>
        </w:tc>
        <w:tc>
          <w:tcPr>
            <w:tcW w:w="2337" w:type="dxa"/>
          </w:tcPr>
          <w:p w:rsidR="004321F6" w:rsidRPr="00321F59" w:rsidRDefault="004321F6" w:rsidP="00192623">
            <w:pPr>
              <w:spacing w:line="276" w:lineRule="auto"/>
              <w:jc w:val="center"/>
              <w:rPr>
                <w:rFonts w:asciiTheme="majorHAnsi" w:hAnsiTheme="majorHAnsi" w:cstheme="majorHAnsi"/>
                <w:sz w:val="20"/>
                <w:szCs w:val="20"/>
                <w:lang w:val="ro-MD"/>
                <w14:glow w14:rad="0">
                  <w14:schemeClr w14:val="tx1"/>
                </w14:glow>
              </w:rPr>
            </w:pPr>
            <w:r w:rsidRPr="00321F59">
              <w:rPr>
                <w:rFonts w:asciiTheme="majorHAnsi" w:hAnsiTheme="majorHAnsi" w:cstheme="majorHAnsi"/>
                <w:sz w:val="20"/>
                <w:szCs w:val="20"/>
                <w:lang w:val="ro-MD"/>
                <w14:glow w14:rad="0">
                  <w14:schemeClr w14:val="tx1"/>
                </w14:glow>
              </w:rPr>
              <w:t>-</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Total</w:t>
            </w:r>
          </w:p>
        </w:tc>
        <w:tc>
          <w:tcPr>
            <w:tcW w:w="2336" w:type="dxa"/>
          </w:tcPr>
          <w:p w:rsidR="004321F6" w:rsidRPr="00321F59" w:rsidRDefault="004321F6" w:rsidP="00192623">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6 931,1</w:t>
            </w:r>
          </w:p>
        </w:tc>
        <w:tc>
          <w:tcPr>
            <w:tcW w:w="2336" w:type="dxa"/>
          </w:tcPr>
          <w:p w:rsidR="004321F6" w:rsidRPr="00321F59" w:rsidRDefault="004321F6" w:rsidP="00192623">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2 169,82</w:t>
            </w:r>
          </w:p>
        </w:tc>
        <w:tc>
          <w:tcPr>
            <w:tcW w:w="2337" w:type="dxa"/>
          </w:tcPr>
          <w:p w:rsidR="004321F6" w:rsidRPr="00321F59" w:rsidRDefault="004321F6" w:rsidP="00192623">
            <w:pPr>
              <w:spacing w:line="276" w:lineRule="auto"/>
              <w:jc w:val="center"/>
              <w:rPr>
                <w:rFonts w:asciiTheme="majorHAnsi" w:hAnsiTheme="majorHAnsi" w:cstheme="majorHAnsi"/>
                <w:b/>
                <w:sz w:val="20"/>
                <w:szCs w:val="20"/>
                <w:lang w:val="ro-MD"/>
                <w14:glow w14:rad="0">
                  <w14:schemeClr w14:val="tx1"/>
                </w14:glow>
              </w:rPr>
            </w:pPr>
            <w:r w:rsidRPr="00321F59">
              <w:rPr>
                <w:rFonts w:asciiTheme="majorHAnsi" w:hAnsiTheme="majorHAnsi" w:cstheme="majorHAnsi"/>
                <w:b/>
                <w:sz w:val="20"/>
                <w:szCs w:val="20"/>
                <w:lang w:val="ro-MD"/>
                <w14:glow w14:rad="0">
                  <w14:schemeClr w14:val="tx1"/>
                </w14:glow>
              </w:rPr>
              <w:t>592,11</w:t>
            </w:r>
          </w:p>
        </w:tc>
      </w:tr>
    </w:tbl>
    <w:p w:rsidR="004321F6" w:rsidRPr="0024512C" w:rsidRDefault="004321F6" w:rsidP="004321F6">
      <w:pPr>
        <w:spacing w:after="0" w:line="276" w:lineRule="auto"/>
        <w:jc w:val="both"/>
        <w:rPr>
          <w:rFonts w:asciiTheme="majorHAnsi" w:hAnsiTheme="majorHAnsi" w:cstheme="majorHAnsi"/>
          <w:i/>
          <w:sz w:val="20"/>
          <w:szCs w:val="20"/>
          <w:lang w:val="ro-MD"/>
          <w14:glow w14:rad="0">
            <w14:schemeClr w14:val="tx1"/>
          </w14:glow>
        </w:rPr>
        <w:sectPr w:rsidR="004321F6" w:rsidRPr="0024512C" w:rsidSect="004321F6">
          <w:pgSz w:w="11906" w:h="16838" w:code="9"/>
          <w:pgMar w:top="1138" w:right="850" w:bottom="1138" w:left="1699" w:header="720" w:footer="720" w:gutter="0"/>
          <w:cols w:space="720"/>
          <w:docGrid w:linePitch="360"/>
        </w:sectPr>
      </w:pPr>
      <w:r w:rsidRPr="0024512C">
        <w:rPr>
          <w:rFonts w:asciiTheme="majorHAnsi" w:hAnsiTheme="majorHAnsi" w:cstheme="majorHAnsi"/>
          <w:b/>
          <w:i/>
          <w:sz w:val="20"/>
          <w:szCs w:val="20"/>
          <w:lang w:val="ro-MD"/>
          <w14:glow w14:rad="0">
            <w14:schemeClr w14:val="tx1"/>
          </w14:glow>
        </w:rPr>
        <w:t>Sursa:</w:t>
      </w:r>
      <w:r w:rsidRPr="005C74F5">
        <w:rPr>
          <w:rFonts w:asciiTheme="majorHAnsi" w:hAnsiTheme="majorHAnsi" w:cstheme="majorHAnsi"/>
          <w:i/>
          <w:sz w:val="20"/>
          <w:szCs w:val="20"/>
          <w:lang w:val="ro-MD"/>
          <w14:glow w14:rad="0">
            <w14:schemeClr w14:val="tx1"/>
          </w14:glow>
        </w:rPr>
        <w:t xml:space="preserve"> Raportul DLC privind s</w:t>
      </w:r>
      <w:r w:rsidRPr="0024512C">
        <w:rPr>
          <w:rFonts w:asciiTheme="majorHAnsi" w:hAnsiTheme="majorHAnsi" w:cstheme="majorHAnsi"/>
          <w:i/>
          <w:sz w:val="20"/>
          <w:szCs w:val="20"/>
          <w:lang w:val="ro-MD"/>
          <w14:glow w14:rad="0">
            <w14:schemeClr w14:val="tx1"/>
          </w14:glow>
        </w:rPr>
        <w:t xml:space="preserve">oldul sumei principale a sub-împrumuturilor </w:t>
      </w:r>
      <w:proofErr w:type="spellStart"/>
      <w:r w:rsidRPr="0024512C">
        <w:rPr>
          <w:rFonts w:asciiTheme="majorHAnsi" w:hAnsiTheme="majorHAnsi" w:cstheme="majorHAnsi"/>
          <w:i/>
          <w:sz w:val="20"/>
          <w:szCs w:val="20"/>
          <w:lang w:val="ro-MD"/>
          <w14:glow w14:rad="0">
            <w14:schemeClr w14:val="tx1"/>
          </w14:glow>
        </w:rPr>
        <w:t>recreditate</w:t>
      </w:r>
      <w:proofErr w:type="spellEnd"/>
      <w:r w:rsidRPr="0024512C">
        <w:rPr>
          <w:rFonts w:asciiTheme="majorHAnsi" w:hAnsiTheme="majorHAnsi" w:cstheme="majorHAnsi"/>
          <w:i/>
          <w:sz w:val="20"/>
          <w:szCs w:val="20"/>
          <w:lang w:val="ro-MD"/>
          <w14:glow w14:rad="0">
            <w14:schemeClr w14:val="tx1"/>
          </w14:glow>
        </w:rPr>
        <w:t xml:space="preserve"> de MF în direct beneficiarilor, componenta „Struguri”, Proiectul Filie</w:t>
      </w:r>
      <w:r w:rsidR="00854459" w:rsidRPr="0024512C">
        <w:rPr>
          <w:rFonts w:asciiTheme="majorHAnsi" w:hAnsiTheme="majorHAnsi" w:cstheme="majorHAnsi"/>
          <w:i/>
          <w:sz w:val="20"/>
          <w:szCs w:val="20"/>
          <w:lang w:val="ro-MD"/>
          <w14:glow w14:rad="0">
            <w14:schemeClr w14:val="tx1"/>
          </w14:glow>
        </w:rPr>
        <w:t>ra Vinului,</w:t>
      </w:r>
      <w:r w:rsidR="00DB680B" w:rsidRPr="0024512C">
        <w:rPr>
          <w:rFonts w:asciiTheme="majorHAnsi" w:hAnsiTheme="majorHAnsi" w:cstheme="majorHAnsi"/>
          <w:i/>
          <w:sz w:val="20"/>
          <w:szCs w:val="20"/>
          <w:lang w:val="ro-MD"/>
          <w14:glow w14:rad="0">
            <w14:schemeClr w14:val="tx1"/>
          </w14:glow>
        </w:rPr>
        <w:t xml:space="preserve"> finanțat de</w:t>
      </w:r>
      <w:r w:rsidR="00321F59">
        <w:rPr>
          <w:rFonts w:asciiTheme="majorHAnsi" w:hAnsiTheme="majorHAnsi" w:cstheme="majorHAnsi"/>
          <w:i/>
          <w:sz w:val="20"/>
          <w:szCs w:val="20"/>
          <w:lang w:val="ro-MD"/>
          <w14:glow w14:rad="0">
            <w14:schemeClr w14:val="tx1"/>
          </w14:glow>
        </w:rPr>
        <w:t xml:space="preserve"> BEI la situația din 31.12.2019.</w:t>
      </w:r>
    </w:p>
    <w:p w:rsidR="00B5156A" w:rsidRPr="0024512C" w:rsidRDefault="00B5156A" w:rsidP="00423ECB">
      <w:pPr>
        <w:rPr>
          <w:rFonts w:asciiTheme="majorHAnsi" w:hAnsiTheme="majorHAnsi" w:cstheme="majorHAnsi"/>
          <w:lang w:val="ro-MD"/>
        </w:rPr>
      </w:pPr>
    </w:p>
    <w:sectPr w:rsidR="00B5156A" w:rsidRPr="0024512C" w:rsidSect="00DB680B">
      <w:pgSz w:w="11906" w:h="16838" w:code="9"/>
      <w:pgMar w:top="1138" w:right="850"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705" w:rsidRDefault="001C4705" w:rsidP="00C8468E">
      <w:pPr>
        <w:spacing w:after="0" w:line="240" w:lineRule="auto"/>
      </w:pPr>
      <w:r>
        <w:separator/>
      </w:r>
    </w:p>
  </w:endnote>
  <w:endnote w:type="continuationSeparator" w:id="0">
    <w:p w:rsidR="001C4705" w:rsidRDefault="001C4705" w:rsidP="00C8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213613"/>
      <w:docPartObj>
        <w:docPartGallery w:val="Page Numbers (Bottom of Page)"/>
        <w:docPartUnique/>
      </w:docPartObj>
    </w:sdtPr>
    <w:sdtEndPr>
      <w:rPr>
        <w:noProof/>
      </w:rPr>
    </w:sdtEndPr>
    <w:sdtContent>
      <w:p w:rsidR="00A2230D" w:rsidRDefault="00A2230D">
        <w:pPr>
          <w:pStyle w:val="Footer"/>
          <w:jc w:val="right"/>
        </w:pPr>
        <w:r>
          <w:fldChar w:fldCharType="begin"/>
        </w:r>
        <w:r>
          <w:instrText xml:space="preserve"> PAGE   \* MERGEFORMAT </w:instrText>
        </w:r>
        <w:r>
          <w:fldChar w:fldCharType="separate"/>
        </w:r>
        <w:r w:rsidR="003920EA">
          <w:rPr>
            <w:noProof/>
          </w:rPr>
          <w:t>21</w:t>
        </w:r>
        <w:r>
          <w:rPr>
            <w:noProof/>
          </w:rPr>
          <w:fldChar w:fldCharType="end"/>
        </w:r>
      </w:p>
    </w:sdtContent>
  </w:sdt>
  <w:p w:rsidR="00A2230D" w:rsidRDefault="00A22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705" w:rsidRDefault="001C4705" w:rsidP="00C8468E">
      <w:pPr>
        <w:spacing w:after="0" w:line="240" w:lineRule="auto"/>
      </w:pPr>
      <w:r>
        <w:separator/>
      </w:r>
    </w:p>
  </w:footnote>
  <w:footnote w:type="continuationSeparator" w:id="0">
    <w:p w:rsidR="001C4705" w:rsidRDefault="001C4705" w:rsidP="00C8468E">
      <w:pPr>
        <w:spacing w:after="0" w:line="240" w:lineRule="auto"/>
      </w:pPr>
      <w:r>
        <w:continuationSeparator/>
      </w:r>
    </w:p>
  </w:footnote>
  <w:footnote w:id="1">
    <w:p w:rsidR="00A2230D" w:rsidRPr="001B485C" w:rsidRDefault="00A2230D" w:rsidP="001B485C">
      <w:pPr>
        <w:pStyle w:val="FootnoteText"/>
        <w:jc w:val="both"/>
        <w:rPr>
          <w:rFonts w:asciiTheme="majorHAnsi" w:hAnsiTheme="majorHAnsi" w:cstheme="majorHAnsi"/>
          <w:sz w:val="16"/>
          <w:szCs w:val="16"/>
        </w:rPr>
      </w:pPr>
      <w:r w:rsidRPr="001B485C">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Restructurat</w:t>
      </w:r>
      <w:r w:rsidRPr="001B485C">
        <w:rPr>
          <w:rFonts w:asciiTheme="majorHAnsi" w:hAnsiTheme="majorHAnsi" w:cstheme="majorHAnsi"/>
          <w:sz w:val="16"/>
          <w:szCs w:val="16"/>
        </w:rPr>
        <w:t xml:space="preserve"> din Instituția Publică </w:t>
      </w:r>
      <w:r>
        <w:rPr>
          <w:rFonts w:asciiTheme="majorHAnsi" w:hAnsiTheme="majorHAnsi" w:cstheme="majorHAnsi"/>
          <w:sz w:val="16"/>
          <w:szCs w:val="16"/>
        </w:rPr>
        <w:t>„</w:t>
      </w:r>
      <w:r w:rsidRPr="001B485C">
        <w:rPr>
          <w:rFonts w:asciiTheme="majorHAnsi" w:hAnsiTheme="majorHAnsi" w:cstheme="majorHAnsi"/>
          <w:sz w:val="16"/>
          <w:szCs w:val="16"/>
        </w:rPr>
        <w:t>Directoratul Liniei de Credit</w:t>
      </w:r>
      <w:r>
        <w:rPr>
          <w:rFonts w:asciiTheme="majorHAnsi" w:hAnsiTheme="majorHAnsi" w:cstheme="majorHAnsi"/>
          <w:sz w:val="16"/>
          <w:szCs w:val="16"/>
        </w:rPr>
        <w:t>”</w:t>
      </w:r>
      <w:r w:rsidRPr="001B485C">
        <w:rPr>
          <w:rFonts w:asciiTheme="majorHAnsi" w:hAnsiTheme="majorHAnsi" w:cstheme="majorHAnsi"/>
          <w:sz w:val="16"/>
          <w:szCs w:val="16"/>
        </w:rPr>
        <w:t xml:space="preserve"> în Instituția Publică „Oficiul de Gestionare a Programelor de Asistență Externă”</w:t>
      </w:r>
      <w:r>
        <w:rPr>
          <w:rFonts w:asciiTheme="majorHAnsi" w:hAnsiTheme="majorHAnsi" w:cstheme="majorHAnsi"/>
          <w:sz w:val="16"/>
          <w:szCs w:val="16"/>
        </w:rPr>
        <w:t>,</w:t>
      </w:r>
      <w:r w:rsidRPr="001B485C">
        <w:rPr>
          <w:rFonts w:asciiTheme="majorHAnsi" w:hAnsiTheme="majorHAnsi" w:cstheme="majorHAnsi"/>
          <w:sz w:val="16"/>
          <w:szCs w:val="16"/>
        </w:rPr>
        <w:t xml:space="preserve"> c</w:t>
      </w:r>
      <w:r>
        <w:rPr>
          <w:rFonts w:asciiTheme="majorHAnsi" w:hAnsiTheme="majorHAnsi" w:cstheme="majorHAnsi"/>
          <w:sz w:val="16"/>
          <w:szCs w:val="16"/>
        </w:rPr>
        <w:t>onform Hotărârii Guvernului nr.</w:t>
      </w:r>
      <w:r w:rsidRPr="001B485C">
        <w:rPr>
          <w:rFonts w:asciiTheme="majorHAnsi" w:hAnsiTheme="majorHAnsi" w:cstheme="majorHAnsi"/>
          <w:sz w:val="16"/>
          <w:szCs w:val="16"/>
        </w:rPr>
        <w:t>338 din 03.06.2020 (în continuare – Directoratul Liniei de Credit)</w:t>
      </w:r>
      <w:r>
        <w:rPr>
          <w:rFonts w:asciiTheme="majorHAnsi" w:hAnsiTheme="majorHAnsi" w:cstheme="majorHAnsi"/>
          <w:sz w:val="16"/>
          <w:szCs w:val="16"/>
        </w:rPr>
        <w:t>.</w:t>
      </w:r>
    </w:p>
  </w:footnote>
  <w:footnote w:id="2">
    <w:p w:rsidR="00A2230D" w:rsidRPr="00EE5977" w:rsidRDefault="00A2230D" w:rsidP="000E4BB6">
      <w:pPr>
        <w:pStyle w:val="FootnoteText"/>
        <w:jc w:val="both"/>
        <w:rPr>
          <w:rFonts w:asciiTheme="majorHAnsi" w:hAnsiTheme="majorHAnsi" w:cstheme="majorHAnsi"/>
          <w:sz w:val="16"/>
          <w:szCs w:val="16"/>
        </w:rPr>
      </w:pPr>
      <w:r w:rsidRPr="00EE5977">
        <w:rPr>
          <w:rStyle w:val="FootnoteReference"/>
          <w:rFonts w:asciiTheme="majorHAnsi" w:hAnsiTheme="majorHAnsi" w:cstheme="majorHAnsi"/>
          <w:sz w:val="16"/>
          <w:szCs w:val="16"/>
        </w:rPr>
        <w:footnoteRef/>
      </w:r>
      <w:r w:rsidRPr="00EE5977">
        <w:rPr>
          <w:rFonts w:asciiTheme="majorHAnsi" w:hAnsiTheme="majorHAnsi" w:cstheme="majorHAnsi"/>
          <w:sz w:val="16"/>
          <w:szCs w:val="16"/>
        </w:rPr>
        <w:t xml:space="preserve"> Hotărârea Guvernului nr.953 din 07.09.2001 „Cu privire la reorganizarea Directoratului Liniei de Credit (Unității Tehnice) a Băncii Mondiale în Directoratul Liniei de Credit”</w:t>
      </w:r>
      <w:r>
        <w:rPr>
          <w:rFonts w:asciiTheme="majorHAnsi" w:hAnsiTheme="majorHAnsi" w:cstheme="majorHAnsi"/>
          <w:sz w:val="16"/>
          <w:szCs w:val="16"/>
        </w:rPr>
        <w:t xml:space="preserve"> (în continuare – </w:t>
      </w:r>
      <w:r w:rsidRPr="00EE5977">
        <w:rPr>
          <w:rFonts w:asciiTheme="majorHAnsi" w:hAnsiTheme="majorHAnsi" w:cstheme="majorHAnsi"/>
          <w:sz w:val="16"/>
          <w:szCs w:val="16"/>
        </w:rPr>
        <w:t>Hotărârea G</w:t>
      </w:r>
      <w:r>
        <w:rPr>
          <w:rFonts w:asciiTheme="majorHAnsi" w:hAnsiTheme="majorHAnsi" w:cstheme="majorHAnsi"/>
          <w:sz w:val="16"/>
          <w:szCs w:val="16"/>
        </w:rPr>
        <w:t>uvernului nr.953 din 07.09.2001)</w:t>
      </w:r>
      <w:r w:rsidRPr="00EE5977">
        <w:rPr>
          <w:rFonts w:asciiTheme="majorHAnsi" w:hAnsiTheme="majorHAnsi" w:cstheme="majorHAnsi"/>
          <w:sz w:val="16"/>
          <w:szCs w:val="16"/>
        </w:rPr>
        <w:t>.</w:t>
      </w:r>
    </w:p>
  </w:footnote>
  <w:footnote w:id="3">
    <w:p w:rsidR="00A2230D" w:rsidRPr="009955D4" w:rsidRDefault="00A2230D" w:rsidP="009955D4">
      <w:pPr>
        <w:pStyle w:val="FootnoteText"/>
        <w:jc w:val="both"/>
        <w:rPr>
          <w:rFonts w:asciiTheme="majorHAnsi" w:hAnsiTheme="majorHAnsi" w:cstheme="majorHAnsi"/>
          <w:sz w:val="16"/>
          <w:szCs w:val="16"/>
        </w:rPr>
      </w:pPr>
      <w:r w:rsidRPr="009955D4">
        <w:rPr>
          <w:rStyle w:val="FootnoteReference"/>
          <w:rFonts w:asciiTheme="majorHAnsi" w:hAnsiTheme="majorHAnsi" w:cstheme="majorHAnsi"/>
          <w:sz w:val="16"/>
          <w:szCs w:val="16"/>
        </w:rPr>
        <w:footnoteRef/>
      </w:r>
      <w:r w:rsidRPr="009955D4">
        <w:rPr>
          <w:rFonts w:asciiTheme="majorHAnsi" w:hAnsiTheme="majorHAnsi" w:cstheme="majorHAnsi"/>
          <w:sz w:val="16"/>
          <w:szCs w:val="16"/>
        </w:rPr>
        <w:t xml:space="preserve"> </w:t>
      </w:r>
      <w:r>
        <w:rPr>
          <w:rFonts w:asciiTheme="majorHAnsi" w:hAnsiTheme="majorHAnsi" w:cstheme="majorHAnsi"/>
          <w:sz w:val="16"/>
          <w:szCs w:val="16"/>
          <w:lang w:eastAsia="ru-RU"/>
        </w:rPr>
        <w:t>Hotărârea</w:t>
      </w:r>
      <w:r w:rsidRPr="009955D4">
        <w:rPr>
          <w:rFonts w:asciiTheme="majorHAnsi" w:hAnsiTheme="majorHAnsi" w:cstheme="majorHAnsi"/>
          <w:sz w:val="16"/>
          <w:szCs w:val="16"/>
          <w:lang w:eastAsia="ru-RU"/>
        </w:rPr>
        <w:t xml:space="preserve"> Guvernului nr.338 din 03.06.2020 „Cu privire la Oficiul de Gestionare a Programelor de Asistență Externă”</w:t>
      </w:r>
      <w:r>
        <w:rPr>
          <w:rFonts w:asciiTheme="majorHAnsi" w:hAnsiTheme="majorHAnsi" w:cstheme="majorHAnsi"/>
          <w:sz w:val="16"/>
          <w:szCs w:val="16"/>
          <w:lang w:eastAsia="ru-RU"/>
        </w:rPr>
        <w:t xml:space="preserve"> (în continuare – Hotărârea Guvernului nr.338 din 03.06.2020).</w:t>
      </w:r>
    </w:p>
  </w:footnote>
  <w:footnote w:id="4">
    <w:p w:rsidR="00A2230D" w:rsidRPr="00AD4B10" w:rsidRDefault="00A2230D" w:rsidP="00AD4B10">
      <w:pPr>
        <w:pStyle w:val="FootnoteText"/>
        <w:jc w:val="both"/>
        <w:rPr>
          <w:rFonts w:asciiTheme="majorHAnsi" w:hAnsiTheme="majorHAnsi" w:cstheme="majorHAnsi"/>
          <w:sz w:val="16"/>
          <w:szCs w:val="16"/>
        </w:rPr>
      </w:pPr>
      <w:r w:rsidRPr="00956223">
        <w:rPr>
          <w:rStyle w:val="FootnoteReference"/>
          <w:rFonts w:asciiTheme="majorHAnsi" w:hAnsiTheme="majorHAnsi" w:cstheme="majorHAnsi"/>
          <w:sz w:val="16"/>
          <w:szCs w:val="16"/>
        </w:rPr>
        <w:footnoteRef/>
      </w:r>
      <w:r w:rsidRPr="00956223">
        <w:rPr>
          <w:rFonts w:asciiTheme="majorHAnsi" w:hAnsiTheme="majorHAnsi" w:cstheme="majorHAnsi"/>
          <w:sz w:val="16"/>
          <w:szCs w:val="16"/>
        </w:rPr>
        <w:t xml:space="preserve"> În urma procesului de restructurare prin care a trecut DLC în anul 2020, toate mijloacele de pe conturile acestuia și patrimoniul din proprietatea lui au trecut la IP „OGPAE”.</w:t>
      </w:r>
    </w:p>
  </w:footnote>
  <w:footnote w:id="5">
    <w:p w:rsidR="00A2230D" w:rsidRPr="009F5C4D" w:rsidRDefault="00A2230D" w:rsidP="009F5C4D">
      <w:pPr>
        <w:pStyle w:val="FootnoteText"/>
        <w:jc w:val="both"/>
        <w:rPr>
          <w:rFonts w:asciiTheme="majorHAnsi" w:hAnsiTheme="majorHAnsi" w:cstheme="majorHAnsi"/>
          <w:sz w:val="16"/>
          <w:szCs w:val="16"/>
        </w:rPr>
      </w:pPr>
      <w:r w:rsidRPr="009F5C4D">
        <w:rPr>
          <w:rStyle w:val="FootnoteReference"/>
          <w:rFonts w:asciiTheme="majorHAnsi" w:hAnsiTheme="majorHAnsi" w:cstheme="majorHAnsi"/>
          <w:sz w:val="16"/>
          <w:szCs w:val="16"/>
        </w:rPr>
        <w:footnoteRef/>
      </w:r>
      <w:r w:rsidRPr="009F5C4D">
        <w:rPr>
          <w:rFonts w:asciiTheme="majorHAnsi" w:hAnsiTheme="majorHAnsi" w:cstheme="majorHAnsi"/>
          <w:sz w:val="16"/>
          <w:szCs w:val="16"/>
        </w:rPr>
        <w:t xml:space="preserve"> Regulamentul Directoratului Liniei de Credit</w:t>
      </w:r>
      <w:r>
        <w:rPr>
          <w:rFonts w:asciiTheme="majorHAnsi" w:hAnsiTheme="majorHAnsi" w:cstheme="majorHAnsi"/>
          <w:sz w:val="16"/>
          <w:szCs w:val="16"/>
        </w:rPr>
        <w:t>,</w:t>
      </w:r>
      <w:r w:rsidRPr="009F5C4D">
        <w:rPr>
          <w:rFonts w:asciiTheme="majorHAnsi" w:hAnsiTheme="majorHAnsi" w:cstheme="majorHAnsi"/>
          <w:sz w:val="16"/>
          <w:szCs w:val="16"/>
        </w:rPr>
        <w:t xml:space="preserve"> aprobat </w:t>
      </w:r>
      <w:r>
        <w:rPr>
          <w:rFonts w:asciiTheme="majorHAnsi" w:hAnsiTheme="majorHAnsi" w:cstheme="majorHAnsi"/>
          <w:sz w:val="16"/>
          <w:szCs w:val="16"/>
        </w:rPr>
        <w:t>prin Hotărârea Guvernului nr.</w:t>
      </w:r>
      <w:r w:rsidRPr="009F5C4D">
        <w:rPr>
          <w:rFonts w:asciiTheme="majorHAnsi" w:hAnsiTheme="majorHAnsi" w:cstheme="majorHAnsi"/>
          <w:sz w:val="16"/>
          <w:szCs w:val="16"/>
        </w:rPr>
        <w:t>953 din 07.09.2001</w:t>
      </w:r>
      <w:r>
        <w:rPr>
          <w:rFonts w:asciiTheme="majorHAnsi" w:hAnsiTheme="majorHAnsi" w:cstheme="majorHAnsi"/>
          <w:sz w:val="16"/>
          <w:szCs w:val="16"/>
        </w:rPr>
        <w:t xml:space="preserve"> (în continuare – Regulamentul DLC, aprobat</w:t>
      </w:r>
      <w:r w:rsidRPr="00192623">
        <w:rPr>
          <w:rFonts w:asciiTheme="majorHAnsi" w:hAnsiTheme="majorHAnsi" w:cstheme="majorHAnsi"/>
          <w:sz w:val="16"/>
          <w:szCs w:val="16"/>
        </w:rPr>
        <w:t xml:space="preserve"> </w:t>
      </w:r>
      <w:r w:rsidRPr="009F5C4D">
        <w:rPr>
          <w:rFonts w:asciiTheme="majorHAnsi" w:hAnsiTheme="majorHAnsi" w:cstheme="majorHAnsi"/>
          <w:sz w:val="16"/>
          <w:szCs w:val="16"/>
        </w:rPr>
        <w:t>prin Hotărârea Gu</w:t>
      </w:r>
      <w:r>
        <w:rPr>
          <w:rFonts w:asciiTheme="majorHAnsi" w:hAnsiTheme="majorHAnsi" w:cstheme="majorHAnsi"/>
          <w:sz w:val="16"/>
          <w:szCs w:val="16"/>
        </w:rPr>
        <w:t>vernului nr.953 din 07.09.2001)</w:t>
      </w:r>
      <w:r w:rsidRPr="009F5C4D">
        <w:rPr>
          <w:rFonts w:asciiTheme="majorHAnsi" w:hAnsiTheme="majorHAnsi" w:cstheme="majorHAnsi"/>
          <w:sz w:val="16"/>
          <w:szCs w:val="16"/>
        </w:rPr>
        <w:t>.</w:t>
      </w:r>
    </w:p>
  </w:footnote>
  <w:footnote w:id="6">
    <w:p w:rsidR="00A2230D" w:rsidRPr="00192623" w:rsidRDefault="00A2230D" w:rsidP="00192623">
      <w:pPr>
        <w:pStyle w:val="FootnoteText"/>
        <w:jc w:val="both"/>
        <w:rPr>
          <w:rFonts w:asciiTheme="majorHAnsi" w:hAnsiTheme="majorHAnsi" w:cstheme="majorHAnsi"/>
          <w:sz w:val="16"/>
          <w:szCs w:val="16"/>
        </w:rPr>
      </w:pPr>
      <w:r w:rsidRPr="00192623">
        <w:rPr>
          <w:rStyle w:val="FootnoteReference"/>
          <w:rFonts w:asciiTheme="majorHAnsi" w:hAnsiTheme="majorHAnsi" w:cstheme="majorHAnsi"/>
          <w:sz w:val="16"/>
          <w:szCs w:val="16"/>
        </w:rPr>
        <w:footnoteRef/>
      </w:r>
      <w:r w:rsidRPr="00192623">
        <w:rPr>
          <w:rFonts w:asciiTheme="majorHAnsi" w:hAnsiTheme="majorHAnsi" w:cstheme="majorHAnsi"/>
          <w:sz w:val="16"/>
          <w:szCs w:val="16"/>
        </w:rPr>
        <w:t xml:space="preserve"> </w:t>
      </w:r>
      <w:r w:rsidRPr="00192623">
        <w:rPr>
          <w:rFonts w:asciiTheme="majorHAnsi" w:hAnsiTheme="majorHAnsi" w:cstheme="majorHAnsi"/>
          <w:sz w:val="16"/>
          <w:szCs w:val="16"/>
          <w14:glow w14:rad="0">
            <w14:schemeClr w14:val="tx1"/>
          </w14:glow>
        </w:rPr>
        <w:t>Politicile contabile</w:t>
      </w:r>
      <w:r>
        <w:rPr>
          <w:rFonts w:asciiTheme="majorHAnsi" w:hAnsiTheme="majorHAnsi" w:cstheme="majorHAnsi"/>
          <w:sz w:val="16"/>
          <w:szCs w:val="16"/>
          <w14:glow w14:rad="0">
            <w14:schemeClr w14:val="tx1"/>
          </w14:glow>
        </w:rPr>
        <w:t>,</w:t>
      </w:r>
      <w:r w:rsidRPr="00192623">
        <w:rPr>
          <w:rFonts w:asciiTheme="majorHAnsi" w:hAnsiTheme="majorHAnsi" w:cstheme="majorHAnsi"/>
          <w:sz w:val="16"/>
          <w:szCs w:val="16"/>
          <w14:glow w14:rad="0">
            <w14:schemeClr w14:val="tx1"/>
          </w14:glow>
        </w:rPr>
        <w:t xml:space="preserve"> aprobate prin </w:t>
      </w:r>
      <w:r>
        <w:rPr>
          <w:rFonts w:asciiTheme="majorHAnsi" w:hAnsiTheme="majorHAnsi" w:cstheme="majorHAnsi"/>
          <w:sz w:val="16"/>
          <w:szCs w:val="16"/>
          <w14:glow w14:rad="0">
            <w14:schemeClr w14:val="tx1"/>
          </w14:glow>
        </w:rPr>
        <w:t>Ordinul șefului DLC nr.</w:t>
      </w:r>
      <w:r w:rsidRPr="00192623">
        <w:rPr>
          <w:rFonts w:asciiTheme="majorHAnsi" w:hAnsiTheme="majorHAnsi" w:cstheme="majorHAnsi"/>
          <w:sz w:val="16"/>
          <w:szCs w:val="16"/>
          <w14:glow w14:rad="0">
            <w14:schemeClr w14:val="tx1"/>
          </w14:glow>
        </w:rPr>
        <w:t>78s din 28.12.2018.</w:t>
      </w:r>
    </w:p>
  </w:footnote>
  <w:footnote w:id="7">
    <w:p w:rsidR="00A2230D" w:rsidRPr="00E713A1" w:rsidRDefault="00A2230D" w:rsidP="00192623">
      <w:pPr>
        <w:pStyle w:val="FootnoteText"/>
        <w:jc w:val="both"/>
        <w:rPr>
          <w:rFonts w:asciiTheme="majorHAnsi" w:hAnsiTheme="majorHAnsi" w:cstheme="majorHAnsi"/>
          <w:sz w:val="16"/>
          <w:szCs w:val="16"/>
        </w:rPr>
      </w:pPr>
      <w:r w:rsidRPr="00E713A1">
        <w:rPr>
          <w:rStyle w:val="FootnoteReference"/>
          <w:rFonts w:asciiTheme="majorHAnsi" w:hAnsiTheme="majorHAnsi" w:cstheme="majorHAnsi"/>
          <w:sz w:val="16"/>
          <w:szCs w:val="16"/>
        </w:rPr>
        <w:footnoteRef/>
      </w:r>
      <w:r w:rsidRPr="00E713A1">
        <w:rPr>
          <w:rFonts w:asciiTheme="majorHAnsi" w:hAnsiTheme="majorHAnsi" w:cstheme="majorHAnsi"/>
          <w:sz w:val="16"/>
          <w:szCs w:val="16"/>
        </w:rPr>
        <w:t xml:space="preserve"> Standardele Naționale de Contabilitate</w:t>
      </w:r>
      <w:r>
        <w:rPr>
          <w:rFonts w:asciiTheme="majorHAnsi" w:hAnsiTheme="majorHAnsi" w:cstheme="majorHAnsi"/>
          <w:sz w:val="16"/>
          <w:szCs w:val="16"/>
        </w:rPr>
        <w:t>,</w:t>
      </w:r>
      <w:r w:rsidRPr="00E713A1">
        <w:rPr>
          <w:rFonts w:asciiTheme="majorHAnsi" w:hAnsiTheme="majorHAnsi" w:cstheme="majorHAnsi"/>
          <w:sz w:val="16"/>
          <w:szCs w:val="16"/>
        </w:rPr>
        <w:t xml:space="preserve"> aprobate prin </w:t>
      </w:r>
      <w:r>
        <w:rPr>
          <w:rFonts w:asciiTheme="majorHAnsi" w:hAnsiTheme="majorHAnsi" w:cstheme="majorHAnsi"/>
          <w:sz w:val="16"/>
          <w:szCs w:val="16"/>
        </w:rPr>
        <w:t>O</w:t>
      </w:r>
      <w:r w:rsidRPr="00E713A1">
        <w:rPr>
          <w:rFonts w:asciiTheme="majorHAnsi" w:hAnsiTheme="majorHAnsi" w:cstheme="majorHAnsi"/>
          <w:sz w:val="16"/>
          <w:szCs w:val="16"/>
        </w:rPr>
        <w:t xml:space="preserve">rdinul </w:t>
      </w:r>
      <w:r>
        <w:rPr>
          <w:rFonts w:asciiTheme="majorHAnsi" w:hAnsiTheme="majorHAnsi" w:cstheme="majorHAnsi"/>
          <w:sz w:val="16"/>
          <w:szCs w:val="16"/>
        </w:rPr>
        <w:t>MF</w:t>
      </w:r>
      <w:r w:rsidRPr="00E713A1">
        <w:rPr>
          <w:rFonts w:asciiTheme="majorHAnsi" w:hAnsiTheme="majorHAnsi" w:cstheme="majorHAnsi"/>
          <w:sz w:val="16"/>
          <w:szCs w:val="16"/>
        </w:rPr>
        <w:t xml:space="preserve"> nr.118 din 06.08.2013.</w:t>
      </w:r>
    </w:p>
  </w:footnote>
  <w:footnote w:id="8">
    <w:p w:rsidR="00A2230D" w:rsidRPr="00EB3FC7" w:rsidRDefault="00A2230D" w:rsidP="00192623">
      <w:pPr>
        <w:pStyle w:val="FootnoteText"/>
        <w:jc w:val="both"/>
        <w:rPr>
          <w:rFonts w:asciiTheme="majorHAnsi" w:hAnsiTheme="majorHAnsi" w:cstheme="majorHAnsi"/>
          <w:sz w:val="16"/>
          <w:szCs w:val="16"/>
        </w:rPr>
      </w:pPr>
      <w:r w:rsidRPr="00EB3FC7">
        <w:rPr>
          <w:rStyle w:val="FootnoteReference"/>
          <w:rFonts w:asciiTheme="majorHAnsi" w:hAnsiTheme="majorHAnsi" w:cstheme="majorHAnsi"/>
          <w:sz w:val="16"/>
          <w:szCs w:val="16"/>
        </w:rPr>
        <w:footnoteRef/>
      </w:r>
      <w:r w:rsidRPr="00EB3FC7">
        <w:rPr>
          <w:rFonts w:asciiTheme="majorHAnsi" w:hAnsiTheme="majorHAnsi" w:cstheme="majorHAnsi"/>
          <w:sz w:val="16"/>
          <w:szCs w:val="16"/>
        </w:rPr>
        <w:t xml:space="preserve"> Planul general de c</w:t>
      </w:r>
      <w:r>
        <w:rPr>
          <w:rFonts w:asciiTheme="majorHAnsi" w:hAnsiTheme="majorHAnsi" w:cstheme="majorHAnsi"/>
          <w:sz w:val="16"/>
          <w:szCs w:val="16"/>
        </w:rPr>
        <w:t>onturi contabile, aprobat prin O</w:t>
      </w:r>
      <w:r w:rsidRPr="00EB3FC7">
        <w:rPr>
          <w:rFonts w:asciiTheme="majorHAnsi" w:hAnsiTheme="majorHAnsi" w:cstheme="majorHAnsi"/>
          <w:sz w:val="16"/>
          <w:szCs w:val="16"/>
        </w:rPr>
        <w:t xml:space="preserve">rdinul </w:t>
      </w:r>
      <w:r>
        <w:rPr>
          <w:rFonts w:asciiTheme="majorHAnsi" w:hAnsiTheme="majorHAnsi" w:cstheme="majorHAnsi"/>
          <w:sz w:val="16"/>
          <w:szCs w:val="16"/>
        </w:rPr>
        <w:t>MF</w:t>
      </w:r>
      <w:r w:rsidRPr="00EB3FC7">
        <w:rPr>
          <w:rFonts w:asciiTheme="majorHAnsi" w:hAnsiTheme="majorHAnsi" w:cstheme="majorHAnsi"/>
          <w:sz w:val="16"/>
          <w:szCs w:val="16"/>
        </w:rPr>
        <w:t xml:space="preserve"> nr.119 din 06.08.2013.</w:t>
      </w:r>
    </w:p>
  </w:footnote>
  <w:footnote w:id="9">
    <w:p w:rsidR="00A2230D" w:rsidRPr="00965E12" w:rsidRDefault="00A2230D" w:rsidP="00965E12">
      <w:pPr>
        <w:pStyle w:val="FootnoteText"/>
        <w:jc w:val="both"/>
        <w:rPr>
          <w:rFonts w:asciiTheme="majorHAnsi" w:hAnsiTheme="majorHAnsi" w:cstheme="majorHAnsi"/>
          <w:sz w:val="16"/>
          <w:szCs w:val="16"/>
        </w:rPr>
      </w:pPr>
      <w:r w:rsidRPr="00965E12">
        <w:rPr>
          <w:rStyle w:val="FootnoteReference"/>
          <w:rFonts w:asciiTheme="majorHAnsi" w:hAnsiTheme="majorHAnsi" w:cstheme="majorHAnsi"/>
          <w:sz w:val="16"/>
          <w:szCs w:val="16"/>
        </w:rPr>
        <w:footnoteRef/>
      </w:r>
      <w:r w:rsidRPr="00965E12">
        <w:rPr>
          <w:rFonts w:asciiTheme="majorHAnsi" w:hAnsiTheme="majorHAnsi" w:cstheme="majorHAnsi"/>
          <w:sz w:val="16"/>
          <w:szCs w:val="16"/>
        </w:rPr>
        <w:t xml:space="preserve"> Legea bugetul</w:t>
      </w:r>
      <w:r>
        <w:rPr>
          <w:rFonts w:asciiTheme="majorHAnsi" w:hAnsiTheme="majorHAnsi" w:cstheme="majorHAnsi"/>
          <w:sz w:val="16"/>
          <w:szCs w:val="16"/>
        </w:rPr>
        <w:t>ui de stat pentru anul 2019 nr.</w:t>
      </w:r>
      <w:r w:rsidRPr="00965E12">
        <w:rPr>
          <w:rFonts w:asciiTheme="majorHAnsi" w:hAnsiTheme="majorHAnsi" w:cstheme="majorHAnsi"/>
          <w:sz w:val="16"/>
          <w:szCs w:val="16"/>
        </w:rPr>
        <w:t>303 din 30.11.2018.</w:t>
      </w:r>
    </w:p>
  </w:footnote>
  <w:footnote w:id="10">
    <w:p w:rsidR="00A2230D" w:rsidRPr="00737D32" w:rsidRDefault="00A2230D" w:rsidP="00737D32">
      <w:pPr>
        <w:pStyle w:val="FootnoteText"/>
        <w:jc w:val="both"/>
        <w:rPr>
          <w:rFonts w:asciiTheme="majorHAnsi" w:hAnsiTheme="majorHAnsi" w:cstheme="majorHAnsi"/>
          <w:sz w:val="16"/>
          <w:szCs w:val="16"/>
        </w:rPr>
      </w:pPr>
      <w:r w:rsidRPr="00737D32">
        <w:rPr>
          <w:rStyle w:val="FootnoteReference"/>
          <w:rFonts w:asciiTheme="majorHAnsi" w:hAnsiTheme="majorHAnsi" w:cstheme="majorHAnsi"/>
          <w:sz w:val="16"/>
          <w:szCs w:val="16"/>
        </w:rPr>
        <w:footnoteRef/>
      </w:r>
      <w:r w:rsidRPr="00737D32">
        <w:rPr>
          <w:rFonts w:asciiTheme="majorHAnsi" w:hAnsiTheme="majorHAnsi" w:cstheme="majorHAnsi"/>
          <w:sz w:val="16"/>
          <w:szCs w:val="16"/>
        </w:rPr>
        <w:t xml:space="preserve"> Regulamentul DLC</w:t>
      </w:r>
      <w:r>
        <w:rPr>
          <w:rFonts w:asciiTheme="majorHAnsi" w:hAnsiTheme="majorHAnsi" w:cstheme="majorHAnsi"/>
          <w:sz w:val="16"/>
          <w:szCs w:val="16"/>
        </w:rPr>
        <w:t>,</w:t>
      </w:r>
      <w:r w:rsidRPr="00737D32">
        <w:rPr>
          <w:rFonts w:asciiTheme="majorHAnsi" w:hAnsiTheme="majorHAnsi" w:cstheme="majorHAnsi"/>
          <w:sz w:val="16"/>
          <w:szCs w:val="16"/>
        </w:rPr>
        <w:t xml:space="preserve"> aprobat prin Hotărârea Gu</w:t>
      </w:r>
      <w:r>
        <w:rPr>
          <w:rFonts w:asciiTheme="majorHAnsi" w:hAnsiTheme="majorHAnsi" w:cstheme="majorHAnsi"/>
          <w:sz w:val="16"/>
          <w:szCs w:val="16"/>
        </w:rPr>
        <w:t>vernului nr.953 din 07.09.2001.</w:t>
      </w:r>
    </w:p>
  </w:footnote>
  <w:footnote w:id="11">
    <w:p w:rsidR="00A2230D" w:rsidRPr="008F0F6B" w:rsidRDefault="00A2230D" w:rsidP="008F0F6B">
      <w:pPr>
        <w:pStyle w:val="FootnoteText"/>
        <w:jc w:val="both"/>
        <w:rPr>
          <w:rFonts w:asciiTheme="majorHAnsi" w:hAnsiTheme="majorHAnsi" w:cstheme="majorHAnsi"/>
          <w:sz w:val="16"/>
          <w:szCs w:val="16"/>
        </w:rPr>
      </w:pPr>
      <w:r w:rsidRPr="008F0F6B">
        <w:rPr>
          <w:rStyle w:val="FootnoteReference"/>
          <w:rFonts w:asciiTheme="majorHAnsi" w:hAnsiTheme="majorHAnsi" w:cstheme="majorHAnsi"/>
          <w:sz w:val="16"/>
          <w:szCs w:val="16"/>
        </w:rPr>
        <w:footnoteRef/>
      </w:r>
      <w:r w:rsidRPr="008F0F6B">
        <w:rPr>
          <w:rFonts w:asciiTheme="majorHAnsi" w:hAnsiTheme="majorHAnsi" w:cstheme="majorHAnsi"/>
          <w:sz w:val="16"/>
          <w:szCs w:val="16"/>
        </w:rPr>
        <w:t xml:space="preserve"> </w:t>
      </w:r>
      <w:r>
        <w:rPr>
          <w:rFonts w:asciiTheme="majorHAnsi" w:hAnsiTheme="majorHAnsi" w:cstheme="majorHAnsi"/>
          <w:sz w:val="16"/>
          <w:szCs w:val="16"/>
        </w:rPr>
        <w:t xml:space="preserve">Pct. 16 lit. a) din </w:t>
      </w:r>
      <w:r w:rsidRPr="008F0F6B">
        <w:rPr>
          <w:rFonts w:asciiTheme="majorHAnsi" w:hAnsiTheme="majorHAnsi" w:cstheme="majorHAnsi"/>
          <w:sz w:val="16"/>
          <w:szCs w:val="16"/>
        </w:rPr>
        <w:t>Regulamentul DLC</w:t>
      </w:r>
      <w:r>
        <w:rPr>
          <w:rFonts w:asciiTheme="majorHAnsi" w:hAnsiTheme="majorHAnsi" w:cstheme="majorHAnsi"/>
          <w:sz w:val="16"/>
          <w:szCs w:val="16"/>
        </w:rPr>
        <w:t>,</w:t>
      </w:r>
      <w:r w:rsidRPr="008F0F6B">
        <w:rPr>
          <w:rFonts w:asciiTheme="majorHAnsi" w:hAnsiTheme="majorHAnsi" w:cstheme="majorHAnsi"/>
          <w:sz w:val="16"/>
          <w:szCs w:val="16"/>
        </w:rPr>
        <w:t xml:space="preserve"> aproba</w:t>
      </w:r>
      <w:r>
        <w:rPr>
          <w:rFonts w:asciiTheme="majorHAnsi" w:hAnsiTheme="majorHAnsi" w:cstheme="majorHAnsi"/>
          <w:sz w:val="16"/>
          <w:szCs w:val="16"/>
        </w:rPr>
        <w:t>t prin Hotărârea Guvernului nr.</w:t>
      </w:r>
      <w:r w:rsidRPr="008F0F6B">
        <w:rPr>
          <w:rFonts w:asciiTheme="majorHAnsi" w:hAnsiTheme="majorHAnsi" w:cstheme="majorHAnsi"/>
          <w:sz w:val="16"/>
          <w:szCs w:val="16"/>
        </w:rPr>
        <w:t>953 din 07.09.2001.</w:t>
      </w:r>
    </w:p>
  </w:footnote>
  <w:footnote w:id="12">
    <w:p w:rsidR="00A2230D" w:rsidRPr="008F0F6B" w:rsidRDefault="00A2230D" w:rsidP="008F0F6B">
      <w:pPr>
        <w:pStyle w:val="FootnoteText"/>
        <w:jc w:val="both"/>
        <w:rPr>
          <w:rFonts w:asciiTheme="majorHAnsi" w:hAnsiTheme="majorHAnsi" w:cstheme="majorHAnsi"/>
          <w:sz w:val="16"/>
          <w:szCs w:val="16"/>
        </w:rPr>
      </w:pPr>
      <w:r w:rsidRPr="008F0F6B">
        <w:rPr>
          <w:rStyle w:val="FootnoteReference"/>
          <w:rFonts w:asciiTheme="majorHAnsi" w:hAnsiTheme="majorHAnsi" w:cstheme="majorHAnsi"/>
          <w:sz w:val="16"/>
          <w:szCs w:val="16"/>
        </w:rPr>
        <w:footnoteRef/>
      </w:r>
      <w:r w:rsidRPr="008F0F6B">
        <w:rPr>
          <w:rFonts w:asciiTheme="majorHAnsi" w:hAnsiTheme="majorHAnsi" w:cstheme="majorHAnsi"/>
          <w:sz w:val="16"/>
          <w:szCs w:val="16"/>
        </w:rPr>
        <w:t xml:space="preserve"> </w:t>
      </w:r>
      <w:r w:rsidRPr="008F0F6B">
        <w:rPr>
          <w:rFonts w:asciiTheme="majorHAnsi" w:hAnsiTheme="majorHAnsi" w:cstheme="majorHAnsi"/>
          <w:sz w:val="16"/>
          <w:szCs w:val="16"/>
          <w14:glow w14:rad="0">
            <w14:schemeClr w14:val="tx1"/>
          </w14:glow>
        </w:rPr>
        <w:t>Procesul</w:t>
      </w:r>
      <w:r>
        <w:rPr>
          <w:rFonts w:asciiTheme="majorHAnsi" w:hAnsiTheme="majorHAnsi" w:cstheme="majorHAnsi"/>
          <w:sz w:val="16"/>
          <w:szCs w:val="16"/>
          <w14:glow w14:rad="0">
            <w14:schemeClr w14:val="tx1"/>
          </w14:glow>
        </w:rPr>
        <w:t>-verbal nr.</w:t>
      </w:r>
      <w:r w:rsidRPr="008F0F6B">
        <w:rPr>
          <w:rFonts w:asciiTheme="majorHAnsi" w:hAnsiTheme="majorHAnsi" w:cstheme="majorHAnsi"/>
          <w:sz w:val="16"/>
          <w:szCs w:val="16"/>
          <w14:glow w14:rad="0">
            <w14:schemeClr w14:val="tx1"/>
          </w14:glow>
        </w:rPr>
        <w:t>4 din 26.09.2014 al Consiliului DLC.</w:t>
      </w:r>
    </w:p>
  </w:footnote>
  <w:footnote w:id="13">
    <w:p w:rsidR="00A2230D" w:rsidRPr="00551E2C" w:rsidRDefault="00A2230D" w:rsidP="00551E2C">
      <w:pPr>
        <w:spacing w:line="276" w:lineRule="auto"/>
        <w:jc w:val="both"/>
        <w:rPr>
          <w:rFonts w:asciiTheme="majorHAnsi" w:hAnsiTheme="majorHAnsi" w:cstheme="majorHAnsi"/>
          <w:sz w:val="16"/>
          <w:szCs w:val="16"/>
          <w:lang w:val="ro-MD"/>
          <w14:glow w14:rad="0">
            <w14:schemeClr w14:val="tx1"/>
          </w14:glow>
        </w:rPr>
      </w:pPr>
      <w:r w:rsidRPr="00551E2C">
        <w:rPr>
          <w:rStyle w:val="FootnoteReference"/>
          <w:rFonts w:asciiTheme="majorHAnsi" w:hAnsiTheme="majorHAnsi" w:cstheme="majorHAnsi"/>
          <w:sz w:val="16"/>
          <w:szCs w:val="16"/>
        </w:rPr>
        <w:footnoteRef/>
      </w:r>
      <w:r w:rsidRPr="00551E2C">
        <w:rPr>
          <w:rFonts w:asciiTheme="majorHAnsi" w:hAnsiTheme="majorHAnsi" w:cstheme="majorHAnsi"/>
          <w:sz w:val="16"/>
          <w:szCs w:val="16"/>
        </w:rPr>
        <w:t xml:space="preserve"> </w:t>
      </w:r>
      <w:r w:rsidRPr="00551E2C">
        <w:rPr>
          <w:rFonts w:asciiTheme="majorHAnsi" w:hAnsiTheme="majorHAnsi" w:cstheme="majorHAnsi"/>
          <w:sz w:val="16"/>
          <w:szCs w:val="16"/>
          <w:lang w:val="ro-MD"/>
          <w14:glow w14:rad="0">
            <w14:schemeClr w14:val="tx1"/>
          </w14:glow>
        </w:rPr>
        <w:t xml:space="preserve">BC </w:t>
      </w:r>
      <w:r>
        <w:rPr>
          <w:rFonts w:asciiTheme="majorHAnsi" w:hAnsiTheme="majorHAnsi" w:cstheme="majorHAnsi"/>
          <w:sz w:val="16"/>
          <w:szCs w:val="16"/>
          <w:lang w:val="ro-MD"/>
          <w14:glow w14:rad="0">
            <w14:schemeClr w14:val="tx1"/>
          </w14:glow>
        </w:rPr>
        <w:t>„</w:t>
      </w:r>
      <w:proofErr w:type="spellStart"/>
      <w:r w:rsidRPr="00551E2C">
        <w:rPr>
          <w:rFonts w:asciiTheme="majorHAnsi" w:hAnsiTheme="majorHAnsi" w:cstheme="majorHAnsi"/>
          <w:sz w:val="16"/>
          <w:szCs w:val="16"/>
          <w:lang w:val="ro-MD"/>
          <w14:glow w14:rad="0">
            <w14:schemeClr w14:val="tx1"/>
          </w14:glow>
        </w:rPr>
        <w:t>Mobiasb</w:t>
      </w:r>
      <w:r>
        <w:rPr>
          <w:rFonts w:asciiTheme="majorHAnsi" w:hAnsiTheme="majorHAnsi" w:cstheme="majorHAnsi"/>
          <w:sz w:val="16"/>
          <w:szCs w:val="16"/>
          <w:lang w:val="ro-MD"/>
          <w14:glow w14:rad="0">
            <w14:schemeClr w14:val="tx1"/>
          </w14:glow>
        </w:rPr>
        <w:t>a</w:t>
      </w:r>
      <w:r w:rsidRPr="00551E2C">
        <w:rPr>
          <w:rFonts w:asciiTheme="majorHAnsi" w:hAnsiTheme="majorHAnsi" w:cstheme="majorHAnsi"/>
          <w:sz w:val="16"/>
          <w:szCs w:val="16"/>
          <w:lang w:val="ro-MD"/>
          <w14:glow w14:rad="0">
            <w14:schemeClr w14:val="tx1"/>
          </w14:glow>
        </w:rPr>
        <w:t>nca</w:t>
      </w:r>
      <w:proofErr w:type="spellEnd"/>
      <w:r>
        <w:rPr>
          <w:rFonts w:asciiTheme="majorHAnsi" w:hAnsiTheme="majorHAnsi" w:cstheme="majorHAnsi"/>
          <w:sz w:val="16"/>
          <w:szCs w:val="16"/>
          <w:lang w:val="ro-MD"/>
          <w14:glow w14:rad="0">
            <w14:schemeClr w14:val="tx1"/>
          </w14:glow>
        </w:rPr>
        <w:t>”</w:t>
      </w:r>
      <w:r w:rsidRPr="00551E2C">
        <w:rPr>
          <w:rFonts w:asciiTheme="majorHAnsi" w:hAnsiTheme="majorHAnsi" w:cstheme="majorHAnsi"/>
          <w:sz w:val="16"/>
          <w:szCs w:val="16"/>
          <w:lang w:val="ro-MD"/>
          <w14:glow w14:rad="0">
            <w14:schemeClr w14:val="tx1"/>
          </w14:glow>
        </w:rPr>
        <w:t xml:space="preserve"> SA – 24,0 mil. lei, BC </w:t>
      </w:r>
      <w:r>
        <w:rPr>
          <w:rFonts w:asciiTheme="majorHAnsi" w:hAnsiTheme="majorHAnsi" w:cstheme="majorHAnsi"/>
          <w:sz w:val="16"/>
          <w:szCs w:val="16"/>
          <w:lang w:val="ro-MD"/>
          <w14:glow w14:rad="0">
            <w14:schemeClr w14:val="tx1"/>
          </w14:glow>
        </w:rPr>
        <w:t>„</w:t>
      </w:r>
      <w:r w:rsidRPr="00551E2C">
        <w:rPr>
          <w:rFonts w:asciiTheme="majorHAnsi" w:hAnsiTheme="majorHAnsi" w:cstheme="majorHAnsi"/>
          <w:sz w:val="16"/>
          <w:szCs w:val="16"/>
          <w:lang w:val="ro-MD"/>
          <w14:glow w14:rad="0">
            <w14:schemeClr w14:val="tx1"/>
          </w14:glow>
        </w:rPr>
        <w:t>Moldova-</w:t>
      </w:r>
      <w:proofErr w:type="spellStart"/>
      <w:r w:rsidRPr="00551E2C">
        <w:rPr>
          <w:rFonts w:asciiTheme="majorHAnsi" w:hAnsiTheme="majorHAnsi" w:cstheme="majorHAnsi"/>
          <w:sz w:val="16"/>
          <w:szCs w:val="16"/>
          <w:lang w:val="ro-MD"/>
          <w14:glow w14:rad="0">
            <w14:schemeClr w14:val="tx1"/>
          </w14:glow>
        </w:rPr>
        <w:t>Agroindbank</w:t>
      </w:r>
      <w:proofErr w:type="spellEnd"/>
      <w:r>
        <w:rPr>
          <w:rFonts w:asciiTheme="majorHAnsi" w:hAnsiTheme="majorHAnsi" w:cstheme="majorHAnsi"/>
          <w:sz w:val="16"/>
          <w:szCs w:val="16"/>
          <w:lang w:val="ro-MD"/>
          <w14:glow w14:rad="0">
            <w14:schemeClr w14:val="tx1"/>
          </w14:glow>
        </w:rPr>
        <w:t>”</w:t>
      </w:r>
      <w:r w:rsidRPr="00551E2C">
        <w:rPr>
          <w:rFonts w:asciiTheme="majorHAnsi" w:hAnsiTheme="majorHAnsi" w:cstheme="majorHAnsi"/>
          <w:sz w:val="16"/>
          <w:szCs w:val="16"/>
          <w:lang w:val="ro-MD"/>
          <w14:glow w14:rad="0">
            <w14:schemeClr w14:val="tx1"/>
          </w14:glow>
        </w:rPr>
        <w:t xml:space="preserve"> SA – 29,6 mil. lei.</w:t>
      </w:r>
    </w:p>
  </w:footnote>
  <w:footnote w:id="14">
    <w:p w:rsidR="00A2230D" w:rsidRPr="00DB6E4D" w:rsidRDefault="00A2230D" w:rsidP="00DB6E4D">
      <w:pPr>
        <w:pStyle w:val="FootnoteText"/>
        <w:jc w:val="both"/>
        <w:rPr>
          <w:rFonts w:asciiTheme="majorHAnsi" w:hAnsiTheme="majorHAnsi" w:cstheme="majorHAnsi"/>
          <w:sz w:val="16"/>
          <w:szCs w:val="16"/>
        </w:rPr>
      </w:pPr>
      <w:r w:rsidRPr="00DB6E4D">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Legea nr.270 din 23.11.2018 p</w:t>
      </w:r>
      <w:r w:rsidRPr="00DB6E4D">
        <w:rPr>
          <w:rFonts w:asciiTheme="majorHAnsi" w:hAnsiTheme="majorHAnsi" w:cstheme="majorHAnsi"/>
          <w:sz w:val="16"/>
          <w:szCs w:val="16"/>
        </w:rPr>
        <w:t>rivind sistemul unitar de salarizare în sectorul bugetar.</w:t>
      </w:r>
    </w:p>
  </w:footnote>
  <w:footnote w:id="15">
    <w:p w:rsidR="00A2230D" w:rsidRPr="00DB6E4D" w:rsidRDefault="00A2230D" w:rsidP="00DB6E4D">
      <w:pPr>
        <w:pStyle w:val="FootnoteText"/>
        <w:jc w:val="both"/>
        <w:rPr>
          <w:rFonts w:asciiTheme="majorHAnsi" w:hAnsiTheme="majorHAnsi" w:cstheme="majorHAnsi"/>
          <w:sz w:val="16"/>
          <w:szCs w:val="16"/>
        </w:rPr>
      </w:pPr>
      <w:r w:rsidRPr="00DB6E4D">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Hotărârea Guvernului nr.</w:t>
      </w:r>
      <w:r w:rsidRPr="00DB6E4D">
        <w:rPr>
          <w:rFonts w:asciiTheme="majorHAnsi" w:hAnsiTheme="majorHAnsi" w:cstheme="majorHAnsi"/>
          <w:sz w:val="16"/>
          <w:szCs w:val="16"/>
        </w:rPr>
        <w:t>743 din 11.06.2002 „Cu privire la salarizarea angajaților din unitățile cu autonomie financiară”</w:t>
      </w:r>
      <w:r>
        <w:rPr>
          <w:rFonts w:asciiTheme="majorHAnsi" w:hAnsiTheme="majorHAnsi" w:cstheme="majorHAnsi"/>
          <w:sz w:val="16"/>
          <w:szCs w:val="16"/>
        </w:rPr>
        <w:t xml:space="preserve"> (în continuare – Hotărârea Guvernului nr.</w:t>
      </w:r>
      <w:r w:rsidRPr="00DB6E4D">
        <w:rPr>
          <w:rFonts w:asciiTheme="majorHAnsi" w:hAnsiTheme="majorHAnsi" w:cstheme="majorHAnsi"/>
          <w:sz w:val="16"/>
          <w:szCs w:val="16"/>
        </w:rPr>
        <w:t>743 din 11.06.2002</w:t>
      </w:r>
      <w:r>
        <w:rPr>
          <w:rFonts w:asciiTheme="majorHAnsi" w:hAnsiTheme="majorHAnsi" w:cstheme="majorHAnsi"/>
          <w:sz w:val="16"/>
          <w:szCs w:val="16"/>
        </w:rPr>
        <w:t>)</w:t>
      </w:r>
      <w:r w:rsidRPr="00DB6E4D">
        <w:rPr>
          <w:rFonts w:asciiTheme="majorHAnsi" w:hAnsiTheme="majorHAnsi" w:cstheme="majorHAnsi"/>
          <w:sz w:val="16"/>
          <w:szCs w:val="16"/>
        </w:rPr>
        <w:t>.</w:t>
      </w:r>
    </w:p>
  </w:footnote>
  <w:footnote w:id="16">
    <w:p w:rsidR="00A2230D" w:rsidRPr="002B0F13" w:rsidRDefault="00A2230D" w:rsidP="002B0F13">
      <w:pPr>
        <w:pStyle w:val="FootnoteText"/>
        <w:jc w:val="both"/>
        <w:rPr>
          <w:rFonts w:asciiTheme="majorHAnsi" w:hAnsiTheme="majorHAnsi" w:cstheme="majorHAnsi"/>
          <w:sz w:val="16"/>
          <w:szCs w:val="16"/>
        </w:rPr>
      </w:pPr>
      <w:r w:rsidRPr="002B0F13">
        <w:rPr>
          <w:rStyle w:val="FootnoteReference"/>
          <w:rFonts w:asciiTheme="majorHAnsi" w:hAnsiTheme="majorHAnsi" w:cstheme="majorHAnsi"/>
          <w:sz w:val="16"/>
          <w:szCs w:val="16"/>
        </w:rPr>
        <w:footnoteRef/>
      </w:r>
      <w:r w:rsidRPr="002B0F13">
        <w:rPr>
          <w:rFonts w:asciiTheme="majorHAnsi" w:hAnsiTheme="majorHAnsi" w:cstheme="majorHAnsi"/>
          <w:sz w:val="16"/>
          <w:szCs w:val="16"/>
        </w:rPr>
        <w:t xml:space="preserve"> În conformitate cu Legea cu privire la B</w:t>
      </w:r>
      <w:r>
        <w:rPr>
          <w:rFonts w:asciiTheme="majorHAnsi" w:hAnsiTheme="majorHAnsi" w:cstheme="majorHAnsi"/>
          <w:sz w:val="16"/>
          <w:szCs w:val="16"/>
        </w:rPr>
        <w:t xml:space="preserve">anca </w:t>
      </w:r>
      <w:r w:rsidRPr="002B0F13">
        <w:rPr>
          <w:rFonts w:asciiTheme="majorHAnsi" w:hAnsiTheme="majorHAnsi" w:cstheme="majorHAnsi"/>
          <w:sz w:val="16"/>
          <w:szCs w:val="16"/>
        </w:rPr>
        <w:t>N</w:t>
      </w:r>
      <w:r>
        <w:rPr>
          <w:rFonts w:asciiTheme="majorHAnsi" w:hAnsiTheme="majorHAnsi" w:cstheme="majorHAnsi"/>
          <w:sz w:val="16"/>
          <w:szCs w:val="16"/>
        </w:rPr>
        <w:t xml:space="preserve">ațională a </w:t>
      </w:r>
      <w:r w:rsidRPr="002B0F13">
        <w:rPr>
          <w:rFonts w:asciiTheme="majorHAnsi" w:hAnsiTheme="majorHAnsi" w:cstheme="majorHAnsi"/>
          <w:sz w:val="16"/>
          <w:szCs w:val="16"/>
        </w:rPr>
        <w:t>M</w:t>
      </w:r>
      <w:r>
        <w:rPr>
          <w:rFonts w:asciiTheme="majorHAnsi" w:hAnsiTheme="majorHAnsi" w:cstheme="majorHAnsi"/>
          <w:sz w:val="16"/>
          <w:szCs w:val="16"/>
        </w:rPr>
        <w:t>oldovei</w:t>
      </w:r>
      <w:r w:rsidRPr="002B0F13">
        <w:rPr>
          <w:rFonts w:asciiTheme="majorHAnsi" w:hAnsiTheme="majorHAnsi" w:cstheme="majorHAnsi"/>
          <w:sz w:val="16"/>
          <w:szCs w:val="16"/>
        </w:rPr>
        <w:t xml:space="preserve"> nr.548-XIII din 21.07.1995 și </w:t>
      </w:r>
      <w:r>
        <w:rPr>
          <w:rFonts w:asciiTheme="majorHAnsi" w:hAnsiTheme="majorHAnsi" w:cstheme="majorHAnsi"/>
          <w:sz w:val="16"/>
          <w:szCs w:val="16"/>
        </w:rPr>
        <w:t xml:space="preserve">cu </w:t>
      </w:r>
      <w:r w:rsidRPr="002B0F13">
        <w:rPr>
          <w:rFonts w:asciiTheme="majorHAnsi" w:hAnsiTheme="majorHAnsi" w:cstheme="majorHAnsi"/>
          <w:sz w:val="16"/>
          <w:szCs w:val="16"/>
        </w:rPr>
        <w:t xml:space="preserve">Legea instituțiilor financiare nr.550-XIII din 21.07.1995. </w:t>
      </w:r>
    </w:p>
  </w:footnote>
  <w:footnote w:id="17">
    <w:p w:rsidR="00A2230D" w:rsidRPr="00095134" w:rsidRDefault="00A2230D" w:rsidP="00095134">
      <w:pPr>
        <w:pStyle w:val="FootnoteText"/>
        <w:jc w:val="both"/>
        <w:rPr>
          <w:rFonts w:asciiTheme="majorHAnsi" w:hAnsiTheme="majorHAnsi" w:cstheme="majorHAnsi"/>
          <w:sz w:val="16"/>
          <w:szCs w:val="16"/>
          <w:lang w:val="ro-MD"/>
        </w:rPr>
      </w:pPr>
      <w:r w:rsidRPr="00095134">
        <w:rPr>
          <w:rStyle w:val="FootnoteReference"/>
          <w:rFonts w:asciiTheme="majorHAnsi" w:hAnsiTheme="majorHAnsi" w:cstheme="majorHAnsi"/>
          <w:sz w:val="16"/>
          <w:szCs w:val="16"/>
        </w:rPr>
        <w:footnoteRef/>
      </w:r>
      <w:r w:rsidRPr="00095134">
        <w:rPr>
          <w:rFonts w:asciiTheme="majorHAnsi" w:hAnsiTheme="majorHAnsi" w:cstheme="majorHAnsi"/>
          <w:sz w:val="16"/>
          <w:szCs w:val="16"/>
        </w:rPr>
        <w:t xml:space="preserve"> </w:t>
      </w:r>
      <w:r w:rsidRPr="00095134">
        <w:rPr>
          <w:rFonts w:asciiTheme="majorHAnsi" w:hAnsiTheme="majorHAnsi" w:cstheme="majorHAnsi"/>
          <w:sz w:val="16"/>
          <w:szCs w:val="16"/>
          <w:lang w:val="ro-MD"/>
        </w:rPr>
        <w:t>Instrucțiunea cu privire la modul de întocmire și prezentare de către bănci a rapoartelor în scopuri prudențiale</w:t>
      </w:r>
      <w:r>
        <w:rPr>
          <w:rFonts w:asciiTheme="majorHAnsi" w:hAnsiTheme="majorHAnsi" w:cstheme="majorHAnsi"/>
          <w:sz w:val="16"/>
          <w:szCs w:val="16"/>
          <w:lang w:val="ro-MD"/>
        </w:rPr>
        <w:t>,</w:t>
      </w:r>
      <w:r w:rsidRPr="00095134">
        <w:rPr>
          <w:rFonts w:asciiTheme="majorHAnsi" w:hAnsiTheme="majorHAnsi" w:cstheme="majorHAnsi"/>
          <w:sz w:val="16"/>
          <w:szCs w:val="16"/>
          <w:lang w:val="ro-MD"/>
        </w:rPr>
        <w:t xml:space="preserve"> aprobată prin Hotărârea Consiliului de administrare a</w:t>
      </w:r>
      <w:r>
        <w:rPr>
          <w:rFonts w:asciiTheme="majorHAnsi" w:hAnsiTheme="majorHAnsi" w:cstheme="majorHAnsi"/>
          <w:sz w:val="16"/>
          <w:szCs w:val="16"/>
          <w:lang w:val="ro-MD"/>
        </w:rPr>
        <w:t>l</w:t>
      </w:r>
      <w:r w:rsidRPr="00095134">
        <w:rPr>
          <w:rFonts w:asciiTheme="majorHAnsi" w:hAnsiTheme="majorHAnsi" w:cstheme="majorHAnsi"/>
          <w:sz w:val="16"/>
          <w:szCs w:val="16"/>
          <w:lang w:val="ro-MD"/>
        </w:rPr>
        <w:t xml:space="preserve"> BNM nr.279 din 01.12.2011. </w:t>
      </w:r>
    </w:p>
  </w:footnote>
  <w:footnote w:id="18">
    <w:p w:rsidR="00A2230D" w:rsidRPr="00017C4A" w:rsidRDefault="00A2230D" w:rsidP="00017C4A">
      <w:pPr>
        <w:pStyle w:val="FootnoteText"/>
        <w:jc w:val="both"/>
        <w:rPr>
          <w:rFonts w:asciiTheme="majorHAnsi" w:hAnsiTheme="majorHAnsi" w:cstheme="majorHAnsi"/>
          <w:sz w:val="16"/>
          <w:szCs w:val="16"/>
        </w:rPr>
      </w:pPr>
      <w:r w:rsidRPr="00017C4A">
        <w:rPr>
          <w:rStyle w:val="FootnoteReference"/>
          <w:rFonts w:asciiTheme="majorHAnsi" w:hAnsiTheme="majorHAnsi" w:cstheme="majorHAnsi"/>
          <w:sz w:val="16"/>
          <w:szCs w:val="16"/>
        </w:rPr>
        <w:footnoteRef/>
      </w:r>
      <w:r w:rsidRPr="00017C4A">
        <w:rPr>
          <w:rFonts w:asciiTheme="majorHAnsi" w:hAnsiTheme="majorHAnsi" w:cstheme="majorHAnsi"/>
          <w:sz w:val="16"/>
          <w:szCs w:val="16"/>
        </w:rPr>
        <w:t xml:space="preserve"> </w:t>
      </w:r>
      <w:r>
        <w:rPr>
          <w:rFonts w:asciiTheme="majorHAnsi" w:hAnsiTheme="majorHAnsi" w:cstheme="majorHAnsi"/>
          <w:sz w:val="16"/>
          <w:szCs w:val="16"/>
          <w:lang w:val="ro-MD" w:eastAsia="ru-RU"/>
        </w:rPr>
        <w:t>Legea</w:t>
      </w:r>
      <w:r w:rsidRPr="00017C4A">
        <w:rPr>
          <w:rFonts w:asciiTheme="majorHAnsi" w:hAnsiTheme="majorHAnsi" w:cstheme="majorHAnsi"/>
          <w:sz w:val="16"/>
          <w:szCs w:val="16"/>
          <w:lang w:val="ro-MD" w:eastAsia="ru-RU"/>
        </w:rPr>
        <w:t xml:space="preserve"> nr.419-XVI din 22.12.2006</w:t>
      </w:r>
      <w:r>
        <w:rPr>
          <w:rFonts w:asciiTheme="majorHAnsi" w:hAnsiTheme="majorHAnsi" w:cstheme="majorHAnsi"/>
          <w:sz w:val="16"/>
          <w:szCs w:val="16"/>
          <w:lang w:val="ro-MD" w:eastAsia="ru-RU"/>
        </w:rPr>
        <w:t xml:space="preserve"> c</w:t>
      </w:r>
      <w:r w:rsidRPr="00017C4A">
        <w:rPr>
          <w:rFonts w:asciiTheme="majorHAnsi" w:hAnsiTheme="majorHAnsi" w:cstheme="majorHAnsi"/>
          <w:sz w:val="16"/>
          <w:szCs w:val="16"/>
          <w:lang w:val="ro-MD" w:eastAsia="ru-RU"/>
        </w:rPr>
        <w:t xml:space="preserve">u privire la datoria publică, garanțiile </w:t>
      </w:r>
      <w:r>
        <w:rPr>
          <w:rFonts w:asciiTheme="majorHAnsi" w:hAnsiTheme="majorHAnsi" w:cstheme="majorHAnsi"/>
          <w:sz w:val="16"/>
          <w:szCs w:val="16"/>
          <w:lang w:val="ro-MD" w:eastAsia="ru-RU"/>
        </w:rPr>
        <w:t>de stat și recreditarea de stat (în continuare – Legea nr.419 din 22.12.2006).</w:t>
      </w:r>
    </w:p>
  </w:footnote>
  <w:footnote w:id="19">
    <w:p w:rsidR="00A2230D" w:rsidRPr="002D5998" w:rsidRDefault="00A2230D" w:rsidP="002D5998">
      <w:pPr>
        <w:pStyle w:val="FootnoteText"/>
        <w:jc w:val="both"/>
        <w:rPr>
          <w:rFonts w:asciiTheme="majorHAnsi" w:hAnsiTheme="majorHAnsi" w:cstheme="majorHAnsi"/>
          <w:sz w:val="16"/>
          <w:szCs w:val="16"/>
        </w:rPr>
      </w:pPr>
      <w:r w:rsidRPr="002D5998">
        <w:rPr>
          <w:rStyle w:val="FootnoteReference"/>
          <w:rFonts w:asciiTheme="majorHAnsi" w:hAnsiTheme="majorHAnsi" w:cstheme="majorHAnsi"/>
          <w:sz w:val="16"/>
          <w:szCs w:val="16"/>
        </w:rPr>
        <w:footnoteRef/>
      </w:r>
      <w:r w:rsidRPr="002D5998">
        <w:rPr>
          <w:rFonts w:asciiTheme="majorHAnsi" w:hAnsiTheme="majorHAnsi" w:cstheme="majorHAnsi"/>
          <w:sz w:val="16"/>
          <w:szCs w:val="16"/>
        </w:rPr>
        <w:t xml:space="preserve"> Procesul-verbal nr.2 din 29.09.2016 al Consiliului DLC.</w:t>
      </w:r>
    </w:p>
  </w:footnote>
  <w:footnote w:id="20">
    <w:p w:rsidR="00A2230D" w:rsidRPr="00E513D7" w:rsidRDefault="00A2230D" w:rsidP="00E513D7">
      <w:pPr>
        <w:pStyle w:val="FootnoteText"/>
        <w:jc w:val="both"/>
        <w:rPr>
          <w:rFonts w:asciiTheme="majorHAnsi" w:hAnsiTheme="majorHAnsi" w:cstheme="majorHAnsi"/>
          <w:sz w:val="16"/>
          <w:szCs w:val="16"/>
        </w:rPr>
      </w:pPr>
      <w:r w:rsidRPr="00E513D7">
        <w:rPr>
          <w:rStyle w:val="FootnoteReference"/>
          <w:rFonts w:asciiTheme="majorHAnsi" w:hAnsiTheme="majorHAnsi" w:cstheme="majorHAnsi"/>
          <w:sz w:val="16"/>
          <w:szCs w:val="16"/>
        </w:rPr>
        <w:footnoteRef/>
      </w:r>
      <w:r w:rsidRPr="00E513D7">
        <w:rPr>
          <w:rFonts w:asciiTheme="majorHAnsi" w:hAnsiTheme="majorHAnsi" w:cstheme="majorHAnsi"/>
          <w:sz w:val="16"/>
          <w:szCs w:val="16"/>
        </w:rPr>
        <w:t xml:space="preserve"> Procesul-verbal nr.1 din 15.03.2018 al Consiliului DLC.</w:t>
      </w:r>
    </w:p>
  </w:footnote>
  <w:footnote w:id="21">
    <w:p w:rsidR="00A2230D" w:rsidRPr="00E513D7" w:rsidRDefault="00A2230D" w:rsidP="00E513D7">
      <w:pPr>
        <w:pStyle w:val="FootnoteText"/>
        <w:jc w:val="both"/>
        <w:rPr>
          <w:rFonts w:asciiTheme="majorHAnsi" w:hAnsiTheme="majorHAnsi" w:cstheme="majorHAnsi"/>
          <w:sz w:val="16"/>
          <w:szCs w:val="16"/>
        </w:rPr>
      </w:pPr>
      <w:r w:rsidRPr="00E513D7">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Art. 29</w:t>
      </w:r>
      <w:r w:rsidRPr="00E513D7">
        <w:rPr>
          <w:rFonts w:asciiTheme="majorHAnsi" w:hAnsiTheme="majorHAnsi" w:cstheme="majorHAnsi"/>
          <w:sz w:val="16"/>
          <w:szCs w:val="16"/>
        </w:rPr>
        <w:t xml:space="preserve"> al</w:t>
      </w:r>
      <w:r>
        <w:rPr>
          <w:rFonts w:asciiTheme="majorHAnsi" w:hAnsiTheme="majorHAnsi" w:cstheme="majorHAnsi"/>
          <w:sz w:val="16"/>
          <w:szCs w:val="16"/>
        </w:rPr>
        <w:t>in. (2) din Legea nr.</w:t>
      </w:r>
      <w:r w:rsidRPr="00E513D7">
        <w:rPr>
          <w:rFonts w:asciiTheme="majorHAnsi" w:hAnsiTheme="majorHAnsi" w:cstheme="majorHAnsi"/>
          <w:sz w:val="16"/>
          <w:szCs w:val="16"/>
        </w:rPr>
        <w:t>419 din 22.12.2006.</w:t>
      </w:r>
    </w:p>
  </w:footnote>
  <w:footnote w:id="22">
    <w:p w:rsidR="00A2230D" w:rsidRPr="00E513D7" w:rsidRDefault="00A2230D">
      <w:pPr>
        <w:pStyle w:val="FootnoteText"/>
        <w:rPr>
          <w:rFonts w:asciiTheme="majorHAnsi" w:hAnsiTheme="majorHAnsi" w:cstheme="majorHAnsi"/>
          <w:sz w:val="16"/>
          <w:szCs w:val="16"/>
        </w:rPr>
      </w:pPr>
      <w:r w:rsidRPr="00E513D7">
        <w:rPr>
          <w:rStyle w:val="FootnoteReference"/>
          <w:rFonts w:asciiTheme="majorHAnsi" w:hAnsiTheme="majorHAnsi" w:cstheme="majorHAnsi"/>
          <w:sz w:val="16"/>
          <w:szCs w:val="16"/>
        </w:rPr>
        <w:footnoteRef/>
      </w:r>
      <w:r w:rsidRPr="00E513D7">
        <w:rPr>
          <w:rFonts w:asciiTheme="majorHAnsi" w:hAnsiTheme="majorHAnsi" w:cstheme="majorHAnsi"/>
          <w:sz w:val="16"/>
          <w:szCs w:val="16"/>
        </w:rPr>
        <w:t xml:space="preserve"> Regulamentul DLC</w:t>
      </w:r>
      <w:r>
        <w:rPr>
          <w:rFonts w:asciiTheme="majorHAnsi" w:hAnsiTheme="majorHAnsi" w:cstheme="majorHAnsi"/>
          <w:sz w:val="16"/>
          <w:szCs w:val="16"/>
        </w:rPr>
        <w:t>,</w:t>
      </w:r>
      <w:r w:rsidRPr="00E513D7">
        <w:rPr>
          <w:rFonts w:asciiTheme="majorHAnsi" w:hAnsiTheme="majorHAnsi" w:cstheme="majorHAnsi"/>
          <w:sz w:val="16"/>
          <w:szCs w:val="16"/>
        </w:rPr>
        <w:t xml:space="preserve"> aprobat prin Hotărârea Guvernului nr. 953 din 07.09.2001</w:t>
      </w:r>
      <w:r>
        <w:rPr>
          <w:rFonts w:asciiTheme="majorHAnsi" w:hAnsiTheme="majorHAnsi" w:cstheme="majorHAnsi"/>
          <w:sz w:val="16"/>
          <w:szCs w:val="16"/>
        </w:rPr>
        <w:t>.</w:t>
      </w:r>
    </w:p>
  </w:footnote>
  <w:footnote w:id="23">
    <w:p w:rsidR="00A2230D" w:rsidRPr="00E513D7" w:rsidRDefault="00A2230D" w:rsidP="00E513D7">
      <w:pPr>
        <w:pStyle w:val="FootnoteText"/>
        <w:jc w:val="both"/>
        <w:rPr>
          <w:rFonts w:asciiTheme="majorHAnsi" w:hAnsiTheme="majorHAnsi" w:cstheme="majorHAnsi"/>
          <w:sz w:val="16"/>
          <w:szCs w:val="16"/>
          <w:lang w:val="ro-MD"/>
        </w:rPr>
      </w:pPr>
      <w:r w:rsidRPr="00E513D7">
        <w:rPr>
          <w:rStyle w:val="FootnoteReference"/>
          <w:rFonts w:asciiTheme="majorHAnsi" w:hAnsiTheme="majorHAnsi" w:cstheme="majorHAnsi"/>
          <w:sz w:val="16"/>
          <w:szCs w:val="16"/>
          <w:lang w:val="ro-MD"/>
        </w:rPr>
        <w:footnoteRef/>
      </w:r>
      <w:r w:rsidRPr="00E513D7">
        <w:rPr>
          <w:rFonts w:asciiTheme="majorHAnsi" w:hAnsiTheme="majorHAnsi" w:cstheme="majorHAnsi"/>
          <w:sz w:val="16"/>
          <w:szCs w:val="16"/>
          <w:lang w:val="ro-MD"/>
        </w:rPr>
        <w:t xml:space="preserve"> </w:t>
      </w:r>
      <w:r w:rsidRPr="00E513D7">
        <w:rPr>
          <w:rFonts w:asciiTheme="majorHAnsi" w:eastAsia="Times New Roman" w:hAnsiTheme="majorHAnsi" w:cstheme="majorHAnsi"/>
          <w:bCs/>
          <w:color w:val="000000"/>
          <w:sz w:val="16"/>
          <w:szCs w:val="16"/>
          <w:lang w:val="ro-MD" w:eastAsia="ru-RU"/>
        </w:rPr>
        <w:t>Procesul-verbal nr.2 din 29.09.2016 al Consiliului DLC.</w:t>
      </w:r>
    </w:p>
  </w:footnote>
  <w:footnote w:id="24">
    <w:p w:rsidR="00A2230D" w:rsidRPr="00814193" w:rsidRDefault="00A2230D" w:rsidP="00C16F09">
      <w:pPr>
        <w:pStyle w:val="FootnoteText"/>
        <w:jc w:val="both"/>
        <w:rPr>
          <w:rFonts w:ascii="Calibri Light" w:hAnsi="Calibri Light" w:cs="Calibri Light"/>
          <w:sz w:val="16"/>
          <w:szCs w:val="16"/>
          <w:lang w:val="ro-MD"/>
        </w:rPr>
      </w:pPr>
      <w:r w:rsidRPr="00814193">
        <w:rPr>
          <w:rStyle w:val="FootnoteReference"/>
          <w:rFonts w:ascii="Calibri Light" w:hAnsi="Calibri Light" w:cs="Calibri Light"/>
          <w:sz w:val="16"/>
          <w:szCs w:val="16"/>
        </w:rPr>
        <w:footnoteRef/>
      </w:r>
      <w:r w:rsidRPr="00814193">
        <w:rPr>
          <w:rFonts w:ascii="Calibri Light" w:hAnsi="Calibri Light" w:cs="Calibri Light"/>
          <w:sz w:val="16"/>
          <w:szCs w:val="16"/>
          <w:lang w:val="en-US"/>
        </w:rPr>
        <w:t xml:space="preserve"> </w:t>
      </w:r>
      <w:r w:rsidRPr="00814193">
        <w:rPr>
          <w:rFonts w:ascii="Calibri Light" w:hAnsi="Calibri Light" w:cs="Calibri Light"/>
          <w:sz w:val="16"/>
          <w:szCs w:val="16"/>
          <w:lang w:val="ro-MD"/>
        </w:rPr>
        <w:t xml:space="preserve">Hotărârea Guvernului nr.980 din 25.09.2000 „Cu privire la crearea Unității Consolidate pentru Implementarea Programelor Fondului Internațional pentru Dezvoltarea Agricolă în baza Acordurilor de Împrumut semnate între Guvernul Republicii Moldova și Fondul Internațional pentru Dezvoltare Agricolă”. </w:t>
      </w:r>
    </w:p>
  </w:footnote>
  <w:footnote w:id="25">
    <w:p w:rsidR="00A2230D" w:rsidRPr="00E513D7" w:rsidRDefault="00A2230D" w:rsidP="00E513D7">
      <w:pPr>
        <w:pStyle w:val="FootnoteText"/>
        <w:jc w:val="both"/>
        <w:rPr>
          <w:rFonts w:asciiTheme="majorHAnsi" w:hAnsiTheme="majorHAnsi" w:cstheme="majorHAnsi"/>
          <w:sz w:val="16"/>
          <w:szCs w:val="16"/>
        </w:rPr>
      </w:pPr>
      <w:r w:rsidRPr="00E513D7">
        <w:rPr>
          <w:rStyle w:val="FootnoteReference"/>
          <w:rFonts w:asciiTheme="majorHAnsi" w:hAnsiTheme="majorHAnsi" w:cstheme="majorHAnsi"/>
          <w:sz w:val="16"/>
          <w:szCs w:val="16"/>
        </w:rPr>
        <w:footnoteRef/>
      </w:r>
      <w:r w:rsidRPr="00E513D7">
        <w:rPr>
          <w:rFonts w:asciiTheme="majorHAnsi" w:hAnsiTheme="majorHAnsi" w:cstheme="majorHAnsi"/>
          <w:sz w:val="16"/>
          <w:szCs w:val="16"/>
        </w:rPr>
        <w:t xml:space="preserve"> </w:t>
      </w:r>
      <w:r w:rsidRPr="00E513D7">
        <w:rPr>
          <w:rFonts w:asciiTheme="majorHAnsi" w:hAnsiTheme="majorHAnsi" w:cstheme="majorHAnsi"/>
          <w:sz w:val="16"/>
          <w:szCs w:val="16"/>
          <w:lang w:val="ro-MD" w:eastAsia="ru-RU"/>
        </w:rPr>
        <w:t>Procesul-verbal nr.2 din 18.12.2018 al Consiliului DLC.</w:t>
      </w:r>
    </w:p>
  </w:footnote>
  <w:footnote w:id="26">
    <w:p w:rsidR="00A2230D" w:rsidRPr="00CF70EB" w:rsidRDefault="00A2230D" w:rsidP="00D11510">
      <w:pPr>
        <w:pStyle w:val="FootnoteText"/>
        <w:jc w:val="both"/>
        <w:rPr>
          <w:rFonts w:asciiTheme="majorHAnsi" w:hAnsiTheme="majorHAnsi" w:cstheme="majorHAnsi"/>
          <w:sz w:val="16"/>
          <w:szCs w:val="16"/>
        </w:rPr>
      </w:pPr>
      <w:r w:rsidRPr="00CF70EB">
        <w:rPr>
          <w:rStyle w:val="FootnoteReference"/>
          <w:rFonts w:asciiTheme="majorHAnsi" w:hAnsiTheme="majorHAnsi" w:cstheme="majorHAnsi"/>
          <w:sz w:val="16"/>
          <w:szCs w:val="16"/>
        </w:rPr>
        <w:footnoteRef/>
      </w:r>
      <w:r w:rsidRPr="00CF70EB">
        <w:rPr>
          <w:rFonts w:asciiTheme="majorHAnsi" w:hAnsiTheme="majorHAnsi" w:cstheme="majorHAnsi"/>
          <w:sz w:val="16"/>
          <w:szCs w:val="16"/>
        </w:rPr>
        <w:t xml:space="preserve"> Hotărârea Guvernului nr.664 din 03.06.2008 „Cu privire la Programul național de abilitare economică a</w:t>
      </w:r>
      <w:r>
        <w:rPr>
          <w:rFonts w:asciiTheme="majorHAnsi" w:hAnsiTheme="majorHAnsi" w:cstheme="majorHAnsi"/>
          <w:sz w:val="16"/>
          <w:szCs w:val="16"/>
        </w:rPr>
        <w:t xml:space="preserve"> </w:t>
      </w:r>
      <w:r w:rsidRPr="00CF70EB">
        <w:rPr>
          <w:rFonts w:asciiTheme="majorHAnsi" w:hAnsiTheme="majorHAnsi" w:cstheme="majorHAnsi"/>
          <w:sz w:val="16"/>
          <w:szCs w:val="16"/>
        </w:rPr>
        <w:t>tinerilor”.</w:t>
      </w:r>
    </w:p>
  </w:footnote>
  <w:footnote w:id="27">
    <w:p w:rsidR="00A2230D" w:rsidRPr="008A1FEF" w:rsidRDefault="00A2230D" w:rsidP="008A1FEF">
      <w:pPr>
        <w:pStyle w:val="FootnoteText"/>
        <w:jc w:val="both"/>
        <w:rPr>
          <w:rFonts w:asciiTheme="majorHAnsi" w:hAnsiTheme="majorHAnsi" w:cstheme="majorHAnsi"/>
          <w:sz w:val="16"/>
          <w:szCs w:val="16"/>
          <w:lang w:val="ro-MD"/>
        </w:rPr>
      </w:pPr>
      <w:r w:rsidRPr="008A1FEF">
        <w:rPr>
          <w:rStyle w:val="FootnoteReference"/>
          <w:rFonts w:asciiTheme="majorHAnsi" w:hAnsiTheme="majorHAnsi" w:cstheme="majorHAnsi"/>
          <w:sz w:val="16"/>
          <w:szCs w:val="16"/>
        </w:rPr>
        <w:footnoteRef/>
      </w:r>
      <w:r w:rsidRPr="008A1FEF">
        <w:rPr>
          <w:rFonts w:asciiTheme="majorHAnsi" w:hAnsiTheme="majorHAnsi" w:cstheme="majorHAnsi"/>
          <w:sz w:val="16"/>
          <w:szCs w:val="16"/>
        </w:rPr>
        <w:t xml:space="preserve"> </w:t>
      </w:r>
      <w:r w:rsidRPr="008A1FEF">
        <w:rPr>
          <w:rFonts w:asciiTheme="majorHAnsi" w:hAnsiTheme="majorHAnsi" w:cstheme="majorHAnsi"/>
          <w:sz w:val="16"/>
          <w:szCs w:val="16"/>
          <w:lang w:val="ro-MD"/>
        </w:rPr>
        <w:t>Legea finanțelor publice și respon</w:t>
      </w:r>
      <w:r>
        <w:rPr>
          <w:rFonts w:asciiTheme="majorHAnsi" w:hAnsiTheme="majorHAnsi" w:cstheme="majorHAnsi"/>
          <w:sz w:val="16"/>
          <w:szCs w:val="16"/>
          <w:lang w:val="ro-MD"/>
        </w:rPr>
        <w:t>sabilității bugetar-fiscale nr.</w:t>
      </w:r>
      <w:r w:rsidRPr="008A1FEF">
        <w:rPr>
          <w:rFonts w:asciiTheme="majorHAnsi" w:hAnsiTheme="majorHAnsi" w:cstheme="majorHAnsi"/>
          <w:sz w:val="16"/>
          <w:szCs w:val="16"/>
          <w:lang w:val="ro-MD"/>
        </w:rPr>
        <w:t>181 din 25.07.2014.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810"/>
    <w:multiLevelType w:val="hybridMultilevel"/>
    <w:tmpl w:val="F2E26F2A"/>
    <w:lvl w:ilvl="0" w:tplc="A85C68F4">
      <w:start w:val="1"/>
      <w:numFmt w:val="low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0EE87BDC"/>
    <w:multiLevelType w:val="hybridMultilevel"/>
    <w:tmpl w:val="7B249608"/>
    <w:lvl w:ilvl="0" w:tplc="F670E0C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A0175"/>
    <w:multiLevelType w:val="hybridMultilevel"/>
    <w:tmpl w:val="86B073B4"/>
    <w:lvl w:ilvl="0" w:tplc="21AC1D92">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F2F5F"/>
    <w:multiLevelType w:val="hybridMultilevel"/>
    <w:tmpl w:val="95F07E60"/>
    <w:lvl w:ilvl="0" w:tplc="9A2E3F0C">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E3EA7"/>
    <w:multiLevelType w:val="hybridMultilevel"/>
    <w:tmpl w:val="3A5A1E6E"/>
    <w:lvl w:ilvl="0" w:tplc="CEC03770">
      <w:start w:val="1"/>
      <w:numFmt w:val="lowerRoman"/>
      <w:lvlText w:val="(%1)"/>
      <w:lvlJc w:val="left"/>
      <w:pPr>
        <w:ind w:left="762" w:hanging="72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5" w15:restartNumberingAfterBreak="0">
    <w:nsid w:val="41CD1333"/>
    <w:multiLevelType w:val="hybridMultilevel"/>
    <w:tmpl w:val="95F07E60"/>
    <w:lvl w:ilvl="0" w:tplc="9A2E3F0C">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90C0D"/>
    <w:multiLevelType w:val="hybridMultilevel"/>
    <w:tmpl w:val="986AB2DC"/>
    <w:lvl w:ilvl="0" w:tplc="0BB2F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F6C23"/>
    <w:multiLevelType w:val="hybridMultilevel"/>
    <w:tmpl w:val="04AC889E"/>
    <w:lvl w:ilvl="0" w:tplc="1D081A4A">
      <w:start w:val="1"/>
      <w:numFmt w:val="lowerRoman"/>
      <w:lvlText w:val="(%1)"/>
      <w:lvlJc w:val="left"/>
      <w:pPr>
        <w:ind w:left="768" w:hanging="720"/>
      </w:pPr>
      <w:rPr>
        <w:rFonts w:hint="default"/>
        <w:i/>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4644537A"/>
    <w:multiLevelType w:val="hybridMultilevel"/>
    <w:tmpl w:val="3A5A1E6E"/>
    <w:lvl w:ilvl="0" w:tplc="CEC03770">
      <w:start w:val="1"/>
      <w:numFmt w:val="lowerRoman"/>
      <w:lvlText w:val="(%1)"/>
      <w:lvlJc w:val="left"/>
      <w:pPr>
        <w:ind w:left="762" w:hanging="72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9" w15:restartNumberingAfterBreak="0">
    <w:nsid w:val="4DAA478E"/>
    <w:multiLevelType w:val="hybridMultilevel"/>
    <w:tmpl w:val="106EBA82"/>
    <w:lvl w:ilvl="0" w:tplc="C060A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E4F64"/>
    <w:multiLevelType w:val="hybridMultilevel"/>
    <w:tmpl w:val="114E5D50"/>
    <w:lvl w:ilvl="0" w:tplc="85BC19BE">
      <w:start w:val="1"/>
      <w:numFmt w:val="lowerRoman"/>
      <w:lvlText w:val="(%1)"/>
      <w:lvlJc w:val="left"/>
      <w:pPr>
        <w:ind w:left="1164" w:hanging="804"/>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52469"/>
    <w:multiLevelType w:val="hybridMultilevel"/>
    <w:tmpl w:val="001ED22A"/>
    <w:lvl w:ilvl="0" w:tplc="E2F68D0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B271D"/>
    <w:multiLevelType w:val="hybridMultilevel"/>
    <w:tmpl w:val="ADE48ED6"/>
    <w:lvl w:ilvl="0" w:tplc="FC8C30E2">
      <w:start w:val="1"/>
      <w:numFmt w:val="lowerRoman"/>
      <w:lvlText w:val="(%1)"/>
      <w:lvlJc w:val="left"/>
      <w:pPr>
        <w:ind w:left="768" w:hanging="720"/>
      </w:pPr>
      <w:rPr>
        <w:rFonts w:hint="default"/>
        <w:i/>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5C0E4A77"/>
    <w:multiLevelType w:val="hybridMultilevel"/>
    <w:tmpl w:val="ED22F73C"/>
    <w:lvl w:ilvl="0" w:tplc="D138117A">
      <w:start w:val="1"/>
      <w:numFmt w:val="lowerRoman"/>
      <w:lvlText w:val="(%1)"/>
      <w:lvlJc w:val="left"/>
      <w:pPr>
        <w:ind w:left="762" w:hanging="72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4" w15:restartNumberingAfterBreak="0">
    <w:nsid w:val="5C480CE6"/>
    <w:multiLevelType w:val="hybridMultilevel"/>
    <w:tmpl w:val="BBF2E2C6"/>
    <w:lvl w:ilvl="0" w:tplc="B844849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72F06"/>
    <w:multiLevelType w:val="hybridMultilevel"/>
    <w:tmpl w:val="DEC01BCC"/>
    <w:lvl w:ilvl="0" w:tplc="58D8ABE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60564"/>
    <w:multiLevelType w:val="hybridMultilevel"/>
    <w:tmpl w:val="059EFA18"/>
    <w:lvl w:ilvl="0" w:tplc="627CB5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462F4D"/>
    <w:multiLevelType w:val="hybridMultilevel"/>
    <w:tmpl w:val="45F05990"/>
    <w:lvl w:ilvl="0" w:tplc="8098E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02A7B"/>
    <w:multiLevelType w:val="hybridMultilevel"/>
    <w:tmpl w:val="ECC04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517E3F"/>
    <w:multiLevelType w:val="multilevel"/>
    <w:tmpl w:val="57F6C944"/>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1170" w:hanging="720"/>
      </w:pPr>
      <w:rPr>
        <w:rFonts w:hint="default"/>
        <w:b/>
        <w:i/>
        <w:color w:val="5B9BD5" w:themeColor="accent1"/>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8E098A"/>
    <w:multiLevelType w:val="hybridMultilevel"/>
    <w:tmpl w:val="E58EF5C4"/>
    <w:lvl w:ilvl="0" w:tplc="327E719C">
      <w:start w:val="1"/>
      <w:numFmt w:val="lowerRoman"/>
      <w:lvlText w:val="(%1)"/>
      <w:lvlJc w:val="left"/>
      <w:pPr>
        <w:ind w:left="936" w:hanging="888"/>
      </w:pPr>
      <w:rPr>
        <w:rFonts w:hint="default"/>
        <w:i/>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16"/>
  </w:num>
  <w:num w:numId="2">
    <w:abstractNumId w:val="19"/>
  </w:num>
  <w:num w:numId="3">
    <w:abstractNumId w:val="2"/>
  </w:num>
  <w:num w:numId="4">
    <w:abstractNumId w:val="18"/>
  </w:num>
  <w:num w:numId="5">
    <w:abstractNumId w:val="1"/>
  </w:num>
  <w:num w:numId="6">
    <w:abstractNumId w:val="15"/>
  </w:num>
  <w:num w:numId="7">
    <w:abstractNumId w:val="14"/>
  </w:num>
  <w:num w:numId="8">
    <w:abstractNumId w:val="17"/>
  </w:num>
  <w:num w:numId="9">
    <w:abstractNumId w:val="20"/>
  </w:num>
  <w:num w:numId="10">
    <w:abstractNumId w:val="12"/>
  </w:num>
  <w:num w:numId="11">
    <w:abstractNumId w:val="7"/>
  </w:num>
  <w:num w:numId="12">
    <w:abstractNumId w:val="0"/>
  </w:num>
  <w:num w:numId="13">
    <w:abstractNumId w:val="11"/>
  </w:num>
  <w:num w:numId="14">
    <w:abstractNumId w:val="10"/>
  </w:num>
  <w:num w:numId="15">
    <w:abstractNumId w:val="13"/>
  </w:num>
  <w:num w:numId="16">
    <w:abstractNumId w:val="9"/>
  </w:num>
  <w:num w:numId="17">
    <w:abstractNumId w:val="8"/>
  </w:num>
  <w:num w:numId="18">
    <w:abstractNumId w:val="3"/>
  </w:num>
  <w:num w:numId="19">
    <w:abstractNumId w:val="5"/>
  </w:num>
  <w:num w:numId="20">
    <w:abstractNumId w:val="6"/>
  </w:num>
  <w:num w:numId="2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C7"/>
    <w:rsid w:val="0000220A"/>
    <w:rsid w:val="000054AF"/>
    <w:rsid w:val="0001032C"/>
    <w:rsid w:val="00013DFE"/>
    <w:rsid w:val="000162BB"/>
    <w:rsid w:val="00017C4A"/>
    <w:rsid w:val="00017DD7"/>
    <w:rsid w:val="00023B4C"/>
    <w:rsid w:val="00024CA8"/>
    <w:rsid w:val="00025BFE"/>
    <w:rsid w:val="00027F68"/>
    <w:rsid w:val="00032AE3"/>
    <w:rsid w:val="00033A80"/>
    <w:rsid w:val="00033CD7"/>
    <w:rsid w:val="00034350"/>
    <w:rsid w:val="00045164"/>
    <w:rsid w:val="000500E6"/>
    <w:rsid w:val="0005017D"/>
    <w:rsid w:val="0005555B"/>
    <w:rsid w:val="000612FF"/>
    <w:rsid w:val="00062319"/>
    <w:rsid w:val="00065B69"/>
    <w:rsid w:val="00067CE6"/>
    <w:rsid w:val="00075906"/>
    <w:rsid w:val="000762CA"/>
    <w:rsid w:val="00077D31"/>
    <w:rsid w:val="0008209C"/>
    <w:rsid w:val="00082216"/>
    <w:rsid w:val="0008293E"/>
    <w:rsid w:val="00083CC2"/>
    <w:rsid w:val="000847A8"/>
    <w:rsid w:val="00090437"/>
    <w:rsid w:val="000919D6"/>
    <w:rsid w:val="00091FDC"/>
    <w:rsid w:val="00095134"/>
    <w:rsid w:val="00095DC8"/>
    <w:rsid w:val="00096380"/>
    <w:rsid w:val="000976F2"/>
    <w:rsid w:val="000977E0"/>
    <w:rsid w:val="00097C81"/>
    <w:rsid w:val="000A287A"/>
    <w:rsid w:val="000B631D"/>
    <w:rsid w:val="000B782B"/>
    <w:rsid w:val="000C6853"/>
    <w:rsid w:val="000D348F"/>
    <w:rsid w:val="000D3A97"/>
    <w:rsid w:val="000D3C2C"/>
    <w:rsid w:val="000D6654"/>
    <w:rsid w:val="000D70D9"/>
    <w:rsid w:val="000D7A72"/>
    <w:rsid w:val="000E05E0"/>
    <w:rsid w:val="000E1785"/>
    <w:rsid w:val="000E3BCE"/>
    <w:rsid w:val="000E4BB6"/>
    <w:rsid w:val="000E4CDF"/>
    <w:rsid w:val="000E6A18"/>
    <w:rsid w:val="000F5AE2"/>
    <w:rsid w:val="000F5FBD"/>
    <w:rsid w:val="00102C50"/>
    <w:rsid w:val="0010412A"/>
    <w:rsid w:val="0010469B"/>
    <w:rsid w:val="001103ED"/>
    <w:rsid w:val="00110D67"/>
    <w:rsid w:val="00115277"/>
    <w:rsid w:val="00116417"/>
    <w:rsid w:val="00117ED0"/>
    <w:rsid w:val="001269AB"/>
    <w:rsid w:val="00126C92"/>
    <w:rsid w:val="00133A99"/>
    <w:rsid w:val="0013413A"/>
    <w:rsid w:val="001365B9"/>
    <w:rsid w:val="00137782"/>
    <w:rsid w:val="00137D33"/>
    <w:rsid w:val="001414D1"/>
    <w:rsid w:val="00143B1C"/>
    <w:rsid w:val="001442FC"/>
    <w:rsid w:val="00147CB5"/>
    <w:rsid w:val="00147D69"/>
    <w:rsid w:val="00151374"/>
    <w:rsid w:val="001554A1"/>
    <w:rsid w:val="00163FE8"/>
    <w:rsid w:val="0016457A"/>
    <w:rsid w:val="001678A3"/>
    <w:rsid w:val="00172210"/>
    <w:rsid w:val="00173227"/>
    <w:rsid w:val="00173877"/>
    <w:rsid w:val="00175651"/>
    <w:rsid w:val="001809A0"/>
    <w:rsid w:val="00180F93"/>
    <w:rsid w:val="00181418"/>
    <w:rsid w:val="00181A5C"/>
    <w:rsid w:val="00181D24"/>
    <w:rsid w:val="0018260B"/>
    <w:rsid w:val="00190610"/>
    <w:rsid w:val="00192623"/>
    <w:rsid w:val="00194723"/>
    <w:rsid w:val="001A0A85"/>
    <w:rsid w:val="001A34D3"/>
    <w:rsid w:val="001A44A3"/>
    <w:rsid w:val="001A752E"/>
    <w:rsid w:val="001B0491"/>
    <w:rsid w:val="001B1A1A"/>
    <w:rsid w:val="001B30F4"/>
    <w:rsid w:val="001B485C"/>
    <w:rsid w:val="001B7177"/>
    <w:rsid w:val="001C4705"/>
    <w:rsid w:val="001D5CE3"/>
    <w:rsid w:val="001D5F59"/>
    <w:rsid w:val="001E22EE"/>
    <w:rsid w:val="001E2498"/>
    <w:rsid w:val="001E290C"/>
    <w:rsid w:val="001F601F"/>
    <w:rsid w:val="001F611E"/>
    <w:rsid w:val="0020008F"/>
    <w:rsid w:val="002008D0"/>
    <w:rsid w:val="00205732"/>
    <w:rsid w:val="002073D8"/>
    <w:rsid w:val="00207A6C"/>
    <w:rsid w:val="00207DAD"/>
    <w:rsid w:val="0021732B"/>
    <w:rsid w:val="0021765E"/>
    <w:rsid w:val="0022013C"/>
    <w:rsid w:val="002209CB"/>
    <w:rsid w:val="0022348C"/>
    <w:rsid w:val="00226695"/>
    <w:rsid w:val="00226E06"/>
    <w:rsid w:val="00230611"/>
    <w:rsid w:val="00232F6B"/>
    <w:rsid w:val="00233906"/>
    <w:rsid w:val="0023466E"/>
    <w:rsid w:val="00235F24"/>
    <w:rsid w:val="00235FC7"/>
    <w:rsid w:val="00237AC2"/>
    <w:rsid w:val="002401DD"/>
    <w:rsid w:val="00240331"/>
    <w:rsid w:val="00241F9F"/>
    <w:rsid w:val="002437F6"/>
    <w:rsid w:val="0024512C"/>
    <w:rsid w:val="00246BFA"/>
    <w:rsid w:val="0025287B"/>
    <w:rsid w:val="002529EB"/>
    <w:rsid w:val="00252F28"/>
    <w:rsid w:val="00254CA7"/>
    <w:rsid w:val="002550F7"/>
    <w:rsid w:val="002608F5"/>
    <w:rsid w:val="00263854"/>
    <w:rsid w:val="00276B10"/>
    <w:rsid w:val="002803B0"/>
    <w:rsid w:val="00280608"/>
    <w:rsid w:val="00285EEC"/>
    <w:rsid w:val="00291B94"/>
    <w:rsid w:val="00296BFB"/>
    <w:rsid w:val="002A08B8"/>
    <w:rsid w:val="002A6A73"/>
    <w:rsid w:val="002A6DC3"/>
    <w:rsid w:val="002B0F13"/>
    <w:rsid w:val="002B1DBA"/>
    <w:rsid w:val="002B3C36"/>
    <w:rsid w:val="002B41D4"/>
    <w:rsid w:val="002B501C"/>
    <w:rsid w:val="002B680E"/>
    <w:rsid w:val="002C107F"/>
    <w:rsid w:val="002C3461"/>
    <w:rsid w:val="002D1CC5"/>
    <w:rsid w:val="002D2DE1"/>
    <w:rsid w:val="002D4527"/>
    <w:rsid w:val="002D488A"/>
    <w:rsid w:val="002D4DA3"/>
    <w:rsid w:val="002D5998"/>
    <w:rsid w:val="002D5AFB"/>
    <w:rsid w:val="002D6AF1"/>
    <w:rsid w:val="002E6CCB"/>
    <w:rsid w:val="002E7404"/>
    <w:rsid w:val="002F0106"/>
    <w:rsid w:val="002F2EC9"/>
    <w:rsid w:val="002F31E7"/>
    <w:rsid w:val="002F521B"/>
    <w:rsid w:val="002F6B88"/>
    <w:rsid w:val="002F78A2"/>
    <w:rsid w:val="0030688F"/>
    <w:rsid w:val="00311CE2"/>
    <w:rsid w:val="0031322D"/>
    <w:rsid w:val="00314497"/>
    <w:rsid w:val="003160B2"/>
    <w:rsid w:val="003166E9"/>
    <w:rsid w:val="003208BB"/>
    <w:rsid w:val="00321F59"/>
    <w:rsid w:val="00325DCB"/>
    <w:rsid w:val="00326FA9"/>
    <w:rsid w:val="003273CB"/>
    <w:rsid w:val="0033300E"/>
    <w:rsid w:val="0033638C"/>
    <w:rsid w:val="00341537"/>
    <w:rsid w:val="00342C88"/>
    <w:rsid w:val="003469ED"/>
    <w:rsid w:val="00346B19"/>
    <w:rsid w:val="00346E6F"/>
    <w:rsid w:val="0034758C"/>
    <w:rsid w:val="0035256A"/>
    <w:rsid w:val="00357C6B"/>
    <w:rsid w:val="00360211"/>
    <w:rsid w:val="003627FD"/>
    <w:rsid w:val="003643CD"/>
    <w:rsid w:val="00371D38"/>
    <w:rsid w:val="00373076"/>
    <w:rsid w:val="00375D72"/>
    <w:rsid w:val="003769E5"/>
    <w:rsid w:val="00380B10"/>
    <w:rsid w:val="00384E98"/>
    <w:rsid w:val="00386BF4"/>
    <w:rsid w:val="00386E24"/>
    <w:rsid w:val="00390B72"/>
    <w:rsid w:val="003920EA"/>
    <w:rsid w:val="00395E02"/>
    <w:rsid w:val="003A150A"/>
    <w:rsid w:val="003A2D94"/>
    <w:rsid w:val="003A39CA"/>
    <w:rsid w:val="003A5365"/>
    <w:rsid w:val="003A7AB8"/>
    <w:rsid w:val="003B08EA"/>
    <w:rsid w:val="003B2858"/>
    <w:rsid w:val="003B5176"/>
    <w:rsid w:val="003B5BD9"/>
    <w:rsid w:val="003C0772"/>
    <w:rsid w:val="003C3000"/>
    <w:rsid w:val="003C31DC"/>
    <w:rsid w:val="003C6D05"/>
    <w:rsid w:val="003D4D32"/>
    <w:rsid w:val="003E0617"/>
    <w:rsid w:val="003E1018"/>
    <w:rsid w:val="003E609C"/>
    <w:rsid w:val="003E7903"/>
    <w:rsid w:val="003F028A"/>
    <w:rsid w:val="003F0D14"/>
    <w:rsid w:val="003F1007"/>
    <w:rsid w:val="003F2338"/>
    <w:rsid w:val="003F49AF"/>
    <w:rsid w:val="003F5E68"/>
    <w:rsid w:val="00407A9A"/>
    <w:rsid w:val="00414E24"/>
    <w:rsid w:val="00415DC7"/>
    <w:rsid w:val="0041727A"/>
    <w:rsid w:val="00417802"/>
    <w:rsid w:val="004211A6"/>
    <w:rsid w:val="004217CE"/>
    <w:rsid w:val="004219F8"/>
    <w:rsid w:val="00422014"/>
    <w:rsid w:val="00423ECB"/>
    <w:rsid w:val="00424465"/>
    <w:rsid w:val="00430B87"/>
    <w:rsid w:val="004321D5"/>
    <w:rsid w:val="004321F6"/>
    <w:rsid w:val="00432666"/>
    <w:rsid w:val="004326B1"/>
    <w:rsid w:val="00432884"/>
    <w:rsid w:val="004333F0"/>
    <w:rsid w:val="00433D9E"/>
    <w:rsid w:val="00433EC9"/>
    <w:rsid w:val="004342D6"/>
    <w:rsid w:val="00435A29"/>
    <w:rsid w:val="004418E4"/>
    <w:rsid w:val="00442187"/>
    <w:rsid w:val="0044540A"/>
    <w:rsid w:val="00446E71"/>
    <w:rsid w:val="0045362D"/>
    <w:rsid w:val="0045759C"/>
    <w:rsid w:val="004706FE"/>
    <w:rsid w:val="0047286D"/>
    <w:rsid w:val="00476EC3"/>
    <w:rsid w:val="0048000B"/>
    <w:rsid w:val="0048197D"/>
    <w:rsid w:val="00482E23"/>
    <w:rsid w:val="004865FA"/>
    <w:rsid w:val="0048672D"/>
    <w:rsid w:val="00487F33"/>
    <w:rsid w:val="004927F5"/>
    <w:rsid w:val="00492C7A"/>
    <w:rsid w:val="00492EA8"/>
    <w:rsid w:val="004949D1"/>
    <w:rsid w:val="0049794B"/>
    <w:rsid w:val="00497FE6"/>
    <w:rsid w:val="004A254B"/>
    <w:rsid w:val="004A2FF7"/>
    <w:rsid w:val="004A4AD1"/>
    <w:rsid w:val="004B0515"/>
    <w:rsid w:val="004B094D"/>
    <w:rsid w:val="004B19C3"/>
    <w:rsid w:val="004B2D4B"/>
    <w:rsid w:val="004B41C2"/>
    <w:rsid w:val="004B64EF"/>
    <w:rsid w:val="004C03B2"/>
    <w:rsid w:val="004C3414"/>
    <w:rsid w:val="004D4E00"/>
    <w:rsid w:val="004D531D"/>
    <w:rsid w:val="004D57BF"/>
    <w:rsid w:val="004E3E19"/>
    <w:rsid w:val="004E3FFA"/>
    <w:rsid w:val="004E5FC0"/>
    <w:rsid w:val="004E7550"/>
    <w:rsid w:val="004F396C"/>
    <w:rsid w:val="004F3FB8"/>
    <w:rsid w:val="004F454A"/>
    <w:rsid w:val="004F5C5D"/>
    <w:rsid w:val="005056B3"/>
    <w:rsid w:val="00506FFE"/>
    <w:rsid w:val="0051065B"/>
    <w:rsid w:val="00510A8F"/>
    <w:rsid w:val="00515B24"/>
    <w:rsid w:val="005166FA"/>
    <w:rsid w:val="00517096"/>
    <w:rsid w:val="00522C44"/>
    <w:rsid w:val="005274AC"/>
    <w:rsid w:val="00527AC4"/>
    <w:rsid w:val="005302FA"/>
    <w:rsid w:val="005318B0"/>
    <w:rsid w:val="0054021F"/>
    <w:rsid w:val="005403F1"/>
    <w:rsid w:val="00545639"/>
    <w:rsid w:val="0055165A"/>
    <w:rsid w:val="00551E2C"/>
    <w:rsid w:val="00551F8C"/>
    <w:rsid w:val="00557300"/>
    <w:rsid w:val="005577C9"/>
    <w:rsid w:val="005639C9"/>
    <w:rsid w:val="0056404A"/>
    <w:rsid w:val="00565D7D"/>
    <w:rsid w:val="00566BAB"/>
    <w:rsid w:val="00571109"/>
    <w:rsid w:val="00572804"/>
    <w:rsid w:val="00573175"/>
    <w:rsid w:val="00574340"/>
    <w:rsid w:val="00576715"/>
    <w:rsid w:val="0058175E"/>
    <w:rsid w:val="00582BE5"/>
    <w:rsid w:val="005857CF"/>
    <w:rsid w:val="005864E3"/>
    <w:rsid w:val="005919C7"/>
    <w:rsid w:val="00592BCE"/>
    <w:rsid w:val="0059376B"/>
    <w:rsid w:val="005972C8"/>
    <w:rsid w:val="005A0327"/>
    <w:rsid w:val="005A5336"/>
    <w:rsid w:val="005B5C10"/>
    <w:rsid w:val="005B7CF5"/>
    <w:rsid w:val="005C2987"/>
    <w:rsid w:val="005C31BE"/>
    <w:rsid w:val="005C74F5"/>
    <w:rsid w:val="005C79E8"/>
    <w:rsid w:val="005D2757"/>
    <w:rsid w:val="005D28BC"/>
    <w:rsid w:val="005D35A1"/>
    <w:rsid w:val="005D3E18"/>
    <w:rsid w:val="005D4F65"/>
    <w:rsid w:val="005E1DFB"/>
    <w:rsid w:val="005E75E7"/>
    <w:rsid w:val="005F06D4"/>
    <w:rsid w:val="005F0AAC"/>
    <w:rsid w:val="005F1573"/>
    <w:rsid w:val="006053DC"/>
    <w:rsid w:val="00613242"/>
    <w:rsid w:val="00613A9C"/>
    <w:rsid w:val="006150F0"/>
    <w:rsid w:val="00616293"/>
    <w:rsid w:val="006206D0"/>
    <w:rsid w:val="00621382"/>
    <w:rsid w:val="00621511"/>
    <w:rsid w:val="00621C9D"/>
    <w:rsid w:val="006222DD"/>
    <w:rsid w:val="0062332B"/>
    <w:rsid w:val="006259C3"/>
    <w:rsid w:val="00633332"/>
    <w:rsid w:val="00633B7D"/>
    <w:rsid w:val="00633E48"/>
    <w:rsid w:val="006355E5"/>
    <w:rsid w:val="00637AC0"/>
    <w:rsid w:val="00637DE1"/>
    <w:rsid w:val="0064180F"/>
    <w:rsid w:val="00642BEC"/>
    <w:rsid w:val="0064375F"/>
    <w:rsid w:val="00643879"/>
    <w:rsid w:val="0065062F"/>
    <w:rsid w:val="00654DEC"/>
    <w:rsid w:val="00664C24"/>
    <w:rsid w:val="00666D4E"/>
    <w:rsid w:val="00667870"/>
    <w:rsid w:val="006705EF"/>
    <w:rsid w:val="006718DC"/>
    <w:rsid w:val="0067212B"/>
    <w:rsid w:val="00681190"/>
    <w:rsid w:val="00681CE4"/>
    <w:rsid w:val="0068478C"/>
    <w:rsid w:val="006853AD"/>
    <w:rsid w:val="0068606D"/>
    <w:rsid w:val="00687956"/>
    <w:rsid w:val="006917C9"/>
    <w:rsid w:val="00693ABF"/>
    <w:rsid w:val="006A0ED7"/>
    <w:rsid w:val="006A354C"/>
    <w:rsid w:val="006B16F5"/>
    <w:rsid w:val="006B6F26"/>
    <w:rsid w:val="006C47FB"/>
    <w:rsid w:val="006C4C86"/>
    <w:rsid w:val="006C71A2"/>
    <w:rsid w:val="006D3C8E"/>
    <w:rsid w:val="006D566B"/>
    <w:rsid w:val="006D7716"/>
    <w:rsid w:val="006E543E"/>
    <w:rsid w:val="006E6589"/>
    <w:rsid w:val="006E6963"/>
    <w:rsid w:val="006E6EE9"/>
    <w:rsid w:val="006F2CE0"/>
    <w:rsid w:val="006F405E"/>
    <w:rsid w:val="006F5516"/>
    <w:rsid w:val="006F58D4"/>
    <w:rsid w:val="006F69ED"/>
    <w:rsid w:val="006F70FB"/>
    <w:rsid w:val="00701B17"/>
    <w:rsid w:val="007036C1"/>
    <w:rsid w:val="007037DA"/>
    <w:rsid w:val="00704604"/>
    <w:rsid w:val="00710E9F"/>
    <w:rsid w:val="00712335"/>
    <w:rsid w:val="007170FF"/>
    <w:rsid w:val="00717E0E"/>
    <w:rsid w:val="00721BE2"/>
    <w:rsid w:val="00722BAE"/>
    <w:rsid w:val="0072705E"/>
    <w:rsid w:val="0073029C"/>
    <w:rsid w:val="00733212"/>
    <w:rsid w:val="00737D32"/>
    <w:rsid w:val="00740EF6"/>
    <w:rsid w:val="00741103"/>
    <w:rsid w:val="00741F97"/>
    <w:rsid w:val="00743763"/>
    <w:rsid w:val="00743DB3"/>
    <w:rsid w:val="0074429A"/>
    <w:rsid w:val="00752979"/>
    <w:rsid w:val="00756965"/>
    <w:rsid w:val="00756AD2"/>
    <w:rsid w:val="00762415"/>
    <w:rsid w:val="00764443"/>
    <w:rsid w:val="00766618"/>
    <w:rsid w:val="007669FA"/>
    <w:rsid w:val="00767403"/>
    <w:rsid w:val="007717A6"/>
    <w:rsid w:val="00774568"/>
    <w:rsid w:val="007815FB"/>
    <w:rsid w:val="00791EE1"/>
    <w:rsid w:val="0079208E"/>
    <w:rsid w:val="00795AF3"/>
    <w:rsid w:val="007A17AA"/>
    <w:rsid w:val="007A72F7"/>
    <w:rsid w:val="007A7CF4"/>
    <w:rsid w:val="007B0EC8"/>
    <w:rsid w:val="007B14A8"/>
    <w:rsid w:val="007B1A03"/>
    <w:rsid w:val="007B35C6"/>
    <w:rsid w:val="007B4167"/>
    <w:rsid w:val="007B5500"/>
    <w:rsid w:val="007B5B3C"/>
    <w:rsid w:val="007B77D6"/>
    <w:rsid w:val="007C16A0"/>
    <w:rsid w:val="007D389C"/>
    <w:rsid w:val="007D5CA7"/>
    <w:rsid w:val="007D698C"/>
    <w:rsid w:val="007D7F06"/>
    <w:rsid w:val="007E0E92"/>
    <w:rsid w:val="007E18F6"/>
    <w:rsid w:val="007E6EC0"/>
    <w:rsid w:val="007F1B51"/>
    <w:rsid w:val="007F5538"/>
    <w:rsid w:val="008002CF"/>
    <w:rsid w:val="00801F6F"/>
    <w:rsid w:val="0080263E"/>
    <w:rsid w:val="00804CF3"/>
    <w:rsid w:val="0080590F"/>
    <w:rsid w:val="00805CC0"/>
    <w:rsid w:val="00814193"/>
    <w:rsid w:val="008168A8"/>
    <w:rsid w:val="00817386"/>
    <w:rsid w:val="00824B84"/>
    <w:rsid w:val="00830DFD"/>
    <w:rsid w:val="008335CD"/>
    <w:rsid w:val="008362B5"/>
    <w:rsid w:val="00843B6B"/>
    <w:rsid w:val="0084412A"/>
    <w:rsid w:val="00844FA5"/>
    <w:rsid w:val="008457AC"/>
    <w:rsid w:val="00847333"/>
    <w:rsid w:val="00850673"/>
    <w:rsid w:val="00852F38"/>
    <w:rsid w:val="00854021"/>
    <w:rsid w:val="00854459"/>
    <w:rsid w:val="0085508D"/>
    <w:rsid w:val="00863CE0"/>
    <w:rsid w:val="008666A2"/>
    <w:rsid w:val="00866FDA"/>
    <w:rsid w:val="00872021"/>
    <w:rsid w:val="00873C3F"/>
    <w:rsid w:val="00875261"/>
    <w:rsid w:val="008820F8"/>
    <w:rsid w:val="00883250"/>
    <w:rsid w:val="00884CC3"/>
    <w:rsid w:val="0088533D"/>
    <w:rsid w:val="008854DD"/>
    <w:rsid w:val="008873A4"/>
    <w:rsid w:val="00893492"/>
    <w:rsid w:val="00894C79"/>
    <w:rsid w:val="00897E3F"/>
    <w:rsid w:val="008A1FEF"/>
    <w:rsid w:val="008A78BC"/>
    <w:rsid w:val="008B116A"/>
    <w:rsid w:val="008B5873"/>
    <w:rsid w:val="008C3474"/>
    <w:rsid w:val="008C689B"/>
    <w:rsid w:val="008C69AC"/>
    <w:rsid w:val="008E2EC9"/>
    <w:rsid w:val="008E7363"/>
    <w:rsid w:val="008F0F6B"/>
    <w:rsid w:val="008F1319"/>
    <w:rsid w:val="00904D80"/>
    <w:rsid w:val="00905BCF"/>
    <w:rsid w:val="00906356"/>
    <w:rsid w:val="00912ADD"/>
    <w:rsid w:val="0091670E"/>
    <w:rsid w:val="00923C87"/>
    <w:rsid w:val="009252BA"/>
    <w:rsid w:val="00936677"/>
    <w:rsid w:val="009417AB"/>
    <w:rsid w:val="00942C8F"/>
    <w:rsid w:val="0094466A"/>
    <w:rsid w:val="009465B6"/>
    <w:rsid w:val="00947225"/>
    <w:rsid w:val="00950624"/>
    <w:rsid w:val="00956223"/>
    <w:rsid w:val="00957A36"/>
    <w:rsid w:val="00961459"/>
    <w:rsid w:val="00963FD7"/>
    <w:rsid w:val="00964A6D"/>
    <w:rsid w:val="00965320"/>
    <w:rsid w:val="00965A9B"/>
    <w:rsid w:val="00965E12"/>
    <w:rsid w:val="00974431"/>
    <w:rsid w:val="00975FB1"/>
    <w:rsid w:val="009860F8"/>
    <w:rsid w:val="00986443"/>
    <w:rsid w:val="00986550"/>
    <w:rsid w:val="009912E6"/>
    <w:rsid w:val="009918F8"/>
    <w:rsid w:val="00993094"/>
    <w:rsid w:val="009932DC"/>
    <w:rsid w:val="00994844"/>
    <w:rsid w:val="009955D4"/>
    <w:rsid w:val="009A3D7D"/>
    <w:rsid w:val="009A64D4"/>
    <w:rsid w:val="009B4049"/>
    <w:rsid w:val="009B7D34"/>
    <w:rsid w:val="009C0254"/>
    <w:rsid w:val="009C3F13"/>
    <w:rsid w:val="009C405A"/>
    <w:rsid w:val="009C42C4"/>
    <w:rsid w:val="009C5DB7"/>
    <w:rsid w:val="009D0883"/>
    <w:rsid w:val="009D0FCA"/>
    <w:rsid w:val="009D6B24"/>
    <w:rsid w:val="009E2C8E"/>
    <w:rsid w:val="009E446D"/>
    <w:rsid w:val="009E4981"/>
    <w:rsid w:val="009E4B49"/>
    <w:rsid w:val="009E7E06"/>
    <w:rsid w:val="009F1F93"/>
    <w:rsid w:val="009F39B5"/>
    <w:rsid w:val="009F5C4D"/>
    <w:rsid w:val="009F664C"/>
    <w:rsid w:val="00A01A32"/>
    <w:rsid w:val="00A07D82"/>
    <w:rsid w:val="00A11C21"/>
    <w:rsid w:val="00A136A9"/>
    <w:rsid w:val="00A16E71"/>
    <w:rsid w:val="00A20084"/>
    <w:rsid w:val="00A214E6"/>
    <w:rsid w:val="00A21A04"/>
    <w:rsid w:val="00A2230D"/>
    <w:rsid w:val="00A22D6F"/>
    <w:rsid w:val="00A23732"/>
    <w:rsid w:val="00A275F2"/>
    <w:rsid w:val="00A304F3"/>
    <w:rsid w:val="00A311CE"/>
    <w:rsid w:val="00A319B7"/>
    <w:rsid w:val="00A32393"/>
    <w:rsid w:val="00A33B69"/>
    <w:rsid w:val="00A3628C"/>
    <w:rsid w:val="00A51029"/>
    <w:rsid w:val="00A52625"/>
    <w:rsid w:val="00A53DC6"/>
    <w:rsid w:val="00A540CD"/>
    <w:rsid w:val="00A5531E"/>
    <w:rsid w:val="00A557B6"/>
    <w:rsid w:val="00A56FDD"/>
    <w:rsid w:val="00A57041"/>
    <w:rsid w:val="00A57057"/>
    <w:rsid w:val="00A570B1"/>
    <w:rsid w:val="00A57FB8"/>
    <w:rsid w:val="00A610C6"/>
    <w:rsid w:val="00A61D68"/>
    <w:rsid w:val="00A64E90"/>
    <w:rsid w:val="00A657B0"/>
    <w:rsid w:val="00A66BEB"/>
    <w:rsid w:val="00A66F34"/>
    <w:rsid w:val="00A67BA9"/>
    <w:rsid w:val="00A71DFF"/>
    <w:rsid w:val="00A7634C"/>
    <w:rsid w:val="00A77286"/>
    <w:rsid w:val="00A8181D"/>
    <w:rsid w:val="00A8198C"/>
    <w:rsid w:val="00A838D4"/>
    <w:rsid w:val="00A848DC"/>
    <w:rsid w:val="00A865BC"/>
    <w:rsid w:val="00A90285"/>
    <w:rsid w:val="00A92139"/>
    <w:rsid w:val="00A9537A"/>
    <w:rsid w:val="00A95B24"/>
    <w:rsid w:val="00A969E8"/>
    <w:rsid w:val="00AA02B4"/>
    <w:rsid w:val="00AA02F7"/>
    <w:rsid w:val="00AA2CC1"/>
    <w:rsid w:val="00AA387D"/>
    <w:rsid w:val="00AA39E1"/>
    <w:rsid w:val="00AB1C15"/>
    <w:rsid w:val="00AB2499"/>
    <w:rsid w:val="00AB4970"/>
    <w:rsid w:val="00AB693B"/>
    <w:rsid w:val="00AB6E80"/>
    <w:rsid w:val="00AB71E8"/>
    <w:rsid w:val="00AC19F6"/>
    <w:rsid w:val="00AC2861"/>
    <w:rsid w:val="00AC48E8"/>
    <w:rsid w:val="00AC5861"/>
    <w:rsid w:val="00AC63B9"/>
    <w:rsid w:val="00AC648E"/>
    <w:rsid w:val="00AC6DAB"/>
    <w:rsid w:val="00AD24B9"/>
    <w:rsid w:val="00AD3FAF"/>
    <w:rsid w:val="00AD4B10"/>
    <w:rsid w:val="00AD5621"/>
    <w:rsid w:val="00AE40A3"/>
    <w:rsid w:val="00AE4C75"/>
    <w:rsid w:val="00AE4F7B"/>
    <w:rsid w:val="00AE7636"/>
    <w:rsid w:val="00AE7915"/>
    <w:rsid w:val="00AF4CB6"/>
    <w:rsid w:val="00AF7A14"/>
    <w:rsid w:val="00B00B4D"/>
    <w:rsid w:val="00B01FEA"/>
    <w:rsid w:val="00B05DFD"/>
    <w:rsid w:val="00B1013C"/>
    <w:rsid w:val="00B17E90"/>
    <w:rsid w:val="00B27DCA"/>
    <w:rsid w:val="00B33338"/>
    <w:rsid w:val="00B34FC9"/>
    <w:rsid w:val="00B36939"/>
    <w:rsid w:val="00B45BED"/>
    <w:rsid w:val="00B5156A"/>
    <w:rsid w:val="00B53310"/>
    <w:rsid w:val="00B5460D"/>
    <w:rsid w:val="00B561E8"/>
    <w:rsid w:val="00B62B4B"/>
    <w:rsid w:val="00B63DC4"/>
    <w:rsid w:val="00B7047E"/>
    <w:rsid w:val="00B7094D"/>
    <w:rsid w:val="00B71350"/>
    <w:rsid w:val="00B72B71"/>
    <w:rsid w:val="00B730DD"/>
    <w:rsid w:val="00B73DC5"/>
    <w:rsid w:val="00B83C96"/>
    <w:rsid w:val="00B840BB"/>
    <w:rsid w:val="00B8490C"/>
    <w:rsid w:val="00B876E1"/>
    <w:rsid w:val="00B904C7"/>
    <w:rsid w:val="00B94AF5"/>
    <w:rsid w:val="00B95685"/>
    <w:rsid w:val="00B972C3"/>
    <w:rsid w:val="00B97679"/>
    <w:rsid w:val="00BA1C87"/>
    <w:rsid w:val="00BA2ACF"/>
    <w:rsid w:val="00BA3344"/>
    <w:rsid w:val="00BA3CC4"/>
    <w:rsid w:val="00BA4004"/>
    <w:rsid w:val="00BA73CE"/>
    <w:rsid w:val="00BC4A7A"/>
    <w:rsid w:val="00BC4FDD"/>
    <w:rsid w:val="00BC56DE"/>
    <w:rsid w:val="00BC621E"/>
    <w:rsid w:val="00BC6891"/>
    <w:rsid w:val="00BC701A"/>
    <w:rsid w:val="00BD0744"/>
    <w:rsid w:val="00BD09CC"/>
    <w:rsid w:val="00BD0F04"/>
    <w:rsid w:val="00BD1E6D"/>
    <w:rsid w:val="00BD27D3"/>
    <w:rsid w:val="00BD2B3E"/>
    <w:rsid w:val="00BD32D2"/>
    <w:rsid w:val="00BD3CD1"/>
    <w:rsid w:val="00BD4E28"/>
    <w:rsid w:val="00BD5D9D"/>
    <w:rsid w:val="00BD6BF3"/>
    <w:rsid w:val="00BE04DE"/>
    <w:rsid w:val="00BE1718"/>
    <w:rsid w:val="00BE4895"/>
    <w:rsid w:val="00BE6385"/>
    <w:rsid w:val="00BE67AC"/>
    <w:rsid w:val="00BF21E6"/>
    <w:rsid w:val="00BF2716"/>
    <w:rsid w:val="00BF307F"/>
    <w:rsid w:val="00BF38FA"/>
    <w:rsid w:val="00BF6B7A"/>
    <w:rsid w:val="00BF7BB4"/>
    <w:rsid w:val="00C055CC"/>
    <w:rsid w:val="00C10AE5"/>
    <w:rsid w:val="00C15C23"/>
    <w:rsid w:val="00C15C7A"/>
    <w:rsid w:val="00C16F09"/>
    <w:rsid w:val="00C1796A"/>
    <w:rsid w:val="00C22AB8"/>
    <w:rsid w:val="00C24FBA"/>
    <w:rsid w:val="00C26D10"/>
    <w:rsid w:val="00C275ED"/>
    <w:rsid w:val="00C30668"/>
    <w:rsid w:val="00C373C7"/>
    <w:rsid w:val="00C46CD1"/>
    <w:rsid w:val="00C5301D"/>
    <w:rsid w:val="00C60073"/>
    <w:rsid w:val="00C60F12"/>
    <w:rsid w:val="00C629D6"/>
    <w:rsid w:val="00C632C3"/>
    <w:rsid w:val="00C67A00"/>
    <w:rsid w:val="00C7063A"/>
    <w:rsid w:val="00C771D3"/>
    <w:rsid w:val="00C8468E"/>
    <w:rsid w:val="00C85965"/>
    <w:rsid w:val="00C866D7"/>
    <w:rsid w:val="00C8693D"/>
    <w:rsid w:val="00C91015"/>
    <w:rsid w:val="00C96E92"/>
    <w:rsid w:val="00CA11EF"/>
    <w:rsid w:val="00CA2A66"/>
    <w:rsid w:val="00CA65B9"/>
    <w:rsid w:val="00CB0823"/>
    <w:rsid w:val="00CB09A4"/>
    <w:rsid w:val="00CB0FC0"/>
    <w:rsid w:val="00CB1B4D"/>
    <w:rsid w:val="00CB1F27"/>
    <w:rsid w:val="00CB24B4"/>
    <w:rsid w:val="00CB4132"/>
    <w:rsid w:val="00CB6362"/>
    <w:rsid w:val="00CB65B2"/>
    <w:rsid w:val="00CB65E5"/>
    <w:rsid w:val="00CB799A"/>
    <w:rsid w:val="00CC0160"/>
    <w:rsid w:val="00CC1C22"/>
    <w:rsid w:val="00CC270F"/>
    <w:rsid w:val="00CC7E40"/>
    <w:rsid w:val="00CD3EE4"/>
    <w:rsid w:val="00CE2AF2"/>
    <w:rsid w:val="00CE3AED"/>
    <w:rsid w:val="00CE5B35"/>
    <w:rsid w:val="00CF1949"/>
    <w:rsid w:val="00CF1A17"/>
    <w:rsid w:val="00CF1F34"/>
    <w:rsid w:val="00CF37A1"/>
    <w:rsid w:val="00CF4DB7"/>
    <w:rsid w:val="00CF5A62"/>
    <w:rsid w:val="00CF70EB"/>
    <w:rsid w:val="00CF74DE"/>
    <w:rsid w:val="00CF7DCA"/>
    <w:rsid w:val="00D003FC"/>
    <w:rsid w:val="00D00A2F"/>
    <w:rsid w:val="00D00E05"/>
    <w:rsid w:val="00D04C35"/>
    <w:rsid w:val="00D05A27"/>
    <w:rsid w:val="00D07AE9"/>
    <w:rsid w:val="00D11510"/>
    <w:rsid w:val="00D167C5"/>
    <w:rsid w:val="00D1683A"/>
    <w:rsid w:val="00D17A0D"/>
    <w:rsid w:val="00D21425"/>
    <w:rsid w:val="00D22151"/>
    <w:rsid w:val="00D222E0"/>
    <w:rsid w:val="00D263D5"/>
    <w:rsid w:val="00D30DEB"/>
    <w:rsid w:val="00D3336A"/>
    <w:rsid w:val="00D357AA"/>
    <w:rsid w:val="00D36737"/>
    <w:rsid w:val="00D37E2A"/>
    <w:rsid w:val="00D40B09"/>
    <w:rsid w:val="00D4670A"/>
    <w:rsid w:val="00D53227"/>
    <w:rsid w:val="00D53877"/>
    <w:rsid w:val="00D56CD8"/>
    <w:rsid w:val="00D56FC8"/>
    <w:rsid w:val="00D577CD"/>
    <w:rsid w:val="00D57E93"/>
    <w:rsid w:val="00D607CD"/>
    <w:rsid w:val="00D63B6C"/>
    <w:rsid w:val="00D64576"/>
    <w:rsid w:val="00D66913"/>
    <w:rsid w:val="00D75E0F"/>
    <w:rsid w:val="00D80F5C"/>
    <w:rsid w:val="00D823EA"/>
    <w:rsid w:val="00D842AD"/>
    <w:rsid w:val="00D90D7A"/>
    <w:rsid w:val="00D924CA"/>
    <w:rsid w:val="00D92BA3"/>
    <w:rsid w:val="00D934C7"/>
    <w:rsid w:val="00D96B12"/>
    <w:rsid w:val="00DA00AB"/>
    <w:rsid w:val="00DA146F"/>
    <w:rsid w:val="00DA2199"/>
    <w:rsid w:val="00DA36DE"/>
    <w:rsid w:val="00DA7324"/>
    <w:rsid w:val="00DB3348"/>
    <w:rsid w:val="00DB41AF"/>
    <w:rsid w:val="00DB5B8B"/>
    <w:rsid w:val="00DB5F78"/>
    <w:rsid w:val="00DB680B"/>
    <w:rsid w:val="00DB6E4D"/>
    <w:rsid w:val="00DB6F29"/>
    <w:rsid w:val="00DD20C2"/>
    <w:rsid w:val="00DD298B"/>
    <w:rsid w:val="00DD4BFD"/>
    <w:rsid w:val="00DE2A06"/>
    <w:rsid w:val="00DE5ADA"/>
    <w:rsid w:val="00DE7D01"/>
    <w:rsid w:val="00DF4935"/>
    <w:rsid w:val="00DF6625"/>
    <w:rsid w:val="00DF6FCC"/>
    <w:rsid w:val="00DF7B6B"/>
    <w:rsid w:val="00E00B43"/>
    <w:rsid w:val="00E010C5"/>
    <w:rsid w:val="00E0307D"/>
    <w:rsid w:val="00E04990"/>
    <w:rsid w:val="00E05D25"/>
    <w:rsid w:val="00E06F32"/>
    <w:rsid w:val="00E12558"/>
    <w:rsid w:val="00E12C71"/>
    <w:rsid w:val="00E1769B"/>
    <w:rsid w:val="00E20D3D"/>
    <w:rsid w:val="00E25514"/>
    <w:rsid w:val="00E27703"/>
    <w:rsid w:val="00E3103D"/>
    <w:rsid w:val="00E34E4A"/>
    <w:rsid w:val="00E367A8"/>
    <w:rsid w:val="00E36A34"/>
    <w:rsid w:val="00E4614C"/>
    <w:rsid w:val="00E477FD"/>
    <w:rsid w:val="00E513D7"/>
    <w:rsid w:val="00E52128"/>
    <w:rsid w:val="00E52FCE"/>
    <w:rsid w:val="00E53929"/>
    <w:rsid w:val="00E53E55"/>
    <w:rsid w:val="00E60B88"/>
    <w:rsid w:val="00E626D8"/>
    <w:rsid w:val="00E629D1"/>
    <w:rsid w:val="00E64754"/>
    <w:rsid w:val="00E66D5C"/>
    <w:rsid w:val="00E713A1"/>
    <w:rsid w:val="00E75114"/>
    <w:rsid w:val="00E81732"/>
    <w:rsid w:val="00E85DB7"/>
    <w:rsid w:val="00E86DD2"/>
    <w:rsid w:val="00E91AA6"/>
    <w:rsid w:val="00E9451A"/>
    <w:rsid w:val="00E94F4A"/>
    <w:rsid w:val="00E95C95"/>
    <w:rsid w:val="00E96242"/>
    <w:rsid w:val="00EA01F0"/>
    <w:rsid w:val="00EA1093"/>
    <w:rsid w:val="00EA5FC1"/>
    <w:rsid w:val="00EB3FC7"/>
    <w:rsid w:val="00EB549F"/>
    <w:rsid w:val="00EB60D5"/>
    <w:rsid w:val="00EC08E7"/>
    <w:rsid w:val="00EC443B"/>
    <w:rsid w:val="00EC6D60"/>
    <w:rsid w:val="00ED0461"/>
    <w:rsid w:val="00ED09B2"/>
    <w:rsid w:val="00ED2FEE"/>
    <w:rsid w:val="00ED41EF"/>
    <w:rsid w:val="00ED446E"/>
    <w:rsid w:val="00ED5721"/>
    <w:rsid w:val="00ED5E92"/>
    <w:rsid w:val="00ED6339"/>
    <w:rsid w:val="00EE15EC"/>
    <w:rsid w:val="00EE1898"/>
    <w:rsid w:val="00EE46E9"/>
    <w:rsid w:val="00EE55EF"/>
    <w:rsid w:val="00EE5977"/>
    <w:rsid w:val="00F0104E"/>
    <w:rsid w:val="00F04539"/>
    <w:rsid w:val="00F11ACF"/>
    <w:rsid w:val="00F122A2"/>
    <w:rsid w:val="00F13766"/>
    <w:rsid w:val="00F14633"/>
    <w:rsid w:val="00F16DFF"/>
    <w:rsid w:val="00F20DF6"/>
    <w:rsid w:val="00F228B9"/>
    <w:rsid w:val="00F2520E"/>
    <w:rsid w:val="00F27B70"/>
    <w:rsid w:val="00F318B6"/>
    <w:rsid w:val="00F3702A"/>
    <w:rsid w:val="00F40E62"/>
    <w:rsid w:val="00F4165C"/>
    <w:rsid w:val="00F4551C"/>
    <w:rsid w:val="00F54082"/>
    <w:rsid w:val="00F57147"/>
    <w:rsid w:val="00F57333"/>
    <w:rsid w:val="00F61040"/>
    <w:rsid w:val="00F62C10"/>
    <w:rsid w:val="00F632C9"/>
    <w:rsid w:val="00F6424E"/>
    <w:rsid w:val="00F643FB"/>
    <w:rsid w:val="00F64FE1"/>
    <w:rsid w:val="00F65B15"/>
    <w:rsid w:val="00F664B1"/>
    <w:rsid w:val="00F72F4F"/>
    <w:rsid w:val="00F73405"/>
    <w:rsid w:val="00F75880"/>
    <w:rsid w:val="00F7737E"/>
    <w:rsid w:val="00F773CE"/>
    <w:rsid w:val="00F81794"/>
    <w:rsid w:val="00F849D1"/>
    <w:rsid w:val="00F87F79"/>
    <w:rsid w:val="00F92650"/>
    <w:rsid w:val="00F93F5A"/>
    <w:rsid w:val="00F96253"/>
    <w:rsid w:val="00FA0306"/>
    <w:rsid w:val="00FA38E3"/>
    <w:rsid w:val="00FA3E7B"/>
    <w:rsid w:val="00FA586A"/>
    <w:rsid w:val="00FA5C4C"/>
    <w:rsid w:val="00FA601C"/>
    <w:rsid w:val="00FB1154"/>
    <w:rsid w:val="00FB13D0"/>
    <w:rsid w:val="00FB2CD4"/>
    <w:rsid w:val="00FB2FF3"/>
    <w:rsid w:val="00FB4824"/>
    <w:rsid w:val="00FB6467"/>
    <w:rsid w:val="00FC00C3"/>
    <w:rsid w:val="00FC3955"/>
    <w:rsid w:val="00FC68C2"/>
    <w:rsid w:val="00FD32A9"/>
    <w:rsid w:val="00FD4F1D"/>
    <w:rsid w:val="00FD7A6D"/>
    <w:rsid w:val="00FE1FA7"/>
    <w:rsid w:val="00FE4447"/>
    <w:rsid w:val="00FE5944"/>
    <w:rsid w:val="00FF2F05"/>
    <w:rsid w:val="00FF3182"/>
    <w:rsid w:val="00FF4028"/>
    <w:rsid w:val="00FF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FE58"/>
  <w15:chartTrackingRefBased/>
  <w15:docId w15:val="{6B1B9586-48BC-4294-8730-63821A6A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C92"/>
  </w:style>
  <w:style w:type="paragraph" w:styleId="Heading1">
    <w:name w:val="heading 1"/>
    <w:basedOn w:val="Normal"/>
    <w:next w:val="Normal"/>
    <w:link w:val="Heading1Char"/>
    <w:uiPriority w:val="9"/>
    <w:qFormat/>
    <w:rsid w:val="00FB48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A136A9"/>
    <w:pPr>
      <w:spacing w:line="240" w:lineRule="exact"/>
      <w:jc w:val="both"/>
    </w:pPr>
    <w:rPr>
      <w:rFonts w:ascii="Arial" w:eastAsia="Batang" w:hAnsi="Arial" w:cs="Arial"/>
      <w:sz w:val="20"/>
      <w:szCs w:val="20"/>
    </w:rPr>
  </w:style>
  <w:style w:type="paragraph" w:customStyle="1" w:styleId="CharChar10">
    <w:name w:val="Char Char1"/>
    <w:basedOn w:val="Normal"/>
    <w:rsid w:val="00ED2FEE"/>
    <w:pPr>
      <w:spacing w:line="240" w:lineRule="exact"/>
      <w:jc w:val="both"/>
    </w:pPr>
    <w:rPr>
      <w:rFonts w:ascii="Arial" w:eastAsia="Batang" w:hAnsi="Arial" w:cs="Arial"/>
      <w:sz w:val="20"/>
      <w:szCs w:val="20"/>
    </w:rPr>
  </w:style>
  <w:style w:type="table" w:styleId="TableGrid">
    <w:name w:val="Table Grid"/>
    <w:basedOn w:val="TableNormal"/>
    <w:uiPriority w:val="39"/>
    <w:rsid w:val="00C8468E"/>
    <w:pPr>
      <w:spacing w:after="0" w:line="240" w:lineRule="auto"/>
    </w:pPr>
    <w:rPr>
      <w:rFonts w:ascii="Times New Roman"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Знак,Char,Знак1, Знак, Char, Знак1,single space,footnote text,FOOTNOTES,fn,Footnote Text Char1,Footnote Text Char2 Char,Footnote Text Char1 Char Char,Footnote Text Char2 Char Char Char,Footnote Text Char1 Char Char Char Char, Cha,Cha,A,ft"/>
    <w:basedOn w:val="Normal"/>
    <w:link w:val="FootnoteTextChar"/>
    <w:uiPriority w:val="99"/>
    <w:unhideWhenUsed/>
    <w:qFormat/>
    <w:rsid w:val="00C8468E"/>
    <w:pPr>
      <w:spacing w:after="0" w:line="240" w:lineRule="auto"/>
    </w:pPr>
    <w:rPr>
      <w:rFonts w:ascii="Times New Roman" w:hAnsi="Times New Roman"/>
      <w:sz w:val="20"/>
      <w:szCs w:val="20"/>
      <w:lang w:val="ro-RO"/>
    </w:rPr>
  </w:style>
  <w:style w:type="character" w:customStyle="1" w:styleId="FootnoteTextChar">
    <w:name w:val="Footnote Text Char"/>
    <w:aliases w:val="Знак Char,Char Char,Знак1 Char, Знак Char, Char Char, Знак1 Char,single space Char,footnote text Char,FOOTNOTES Char,fn Char,Footnote Text Char1 Char,Footnote Text Char2 Char Char,Footnote Text Char1 Char Char Char, Cha Char,Cha Char"/>
    <w:basedOn w:val="DefaultParagraphFont"/>
    <w:link w:val="FootnoteText"/>
    <w:uiPriority w:val="99"/>
    <w:rsid w:val="00C8468E"/>
    <w:rPr>
      <w:rFonts w:ascii="Times New Roman" w:hAnsi="Times New Roman"/>
      <w:sz w:val="20"/>
      <w:szCs w:val="20"/>
      <w:lang w:val="ro-RO"/>
    </w:rPr>
  </w:style>
  <w:style w:type="character" w:styleId="FootnoteReference">
    <w:name w:val="footnote reference"/>
    <w:aliases w:val="ftref,Times 10 Point,Exposant 3 Point,Footnote symbol,Footnote reference number,EN Footnote Reference,note TESI,16 Point,Superscript 6 Point,BVI fnr,FOOTNOTES Char1,fn Char1,single space Char1,ft Char1,Ref"/>
    <w:basedOn w:val="DefaultParagraphFont"/>
    <w:link w:val="FNRefeCharChar"/>
    <w:uiPriority w:val="99"/>
    <w:unhideWhenUsed/>
    <w:rsid w:val="00C8468E"/>
    <w:rPr>
      <w:vertAlign w:val="superscript"/>
    </w:rPr>
  </w:style>
  <w:style w:type="table" w:customStyle="1" w:styleId="TableGrid1">
    <w:name w:val="Table Grid1"/>
    <w:basedOn w:val="TableNormal"/>
    <w:next w:val="TableGrid"/>
    <w:uiPriority w:val="39"/>
    <w:rsid w:val="00C84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rsid w:val="00C8468E"/>
    <w:pPr>
      <w:spacing w:line="240" w:lineRule="exact"/>
    </w:pPr>
    <w:rPr>
      <w:vertAlign w:val="superscript"/>
    </w:rPr>
  </w:style>
  <w:style w:type="paragraph" w:styleId="ListParagraph">
    <w:name w:val="List Paragraph"/>
    <w:aliases w:val="strikethrough"/>
    <w:basedOn w:val="Normal"/>
    <w:link w:val="ListParagraphChar"/>
    <w:uiPriority w:val="34"/>
    <w:qFormat/>
    <w:rsid w:val="00AD5621"/>
    <w:pPr>
      <w:ind w:left="720"/>
      <w:contextualSpacing/>
    </w:pPr>
  </w:style>
  <w:style w:type="paragraph" w:styleId="NormalWeb">
    <w:name w:val="Normal (Web)"/>
    <w:basedOn w:val="Normal"/>
    <w:uiPriority w:val="99"/>
    <w:semiHidden/>
    <w:unhideWhenUsed/>
    <w:rsid w:val="00433D9E"/>
    <w:rPr>
      <w:rFonts w:ascii="Times New Roman" w:hAnsi="Times New Roman" w:cs="Times New Roman"/>
      <w:sz w:val="24"/>
      <w:szCs w:val="24"/>
    </w:rPr>
  </w:style>
  <w:style w:type="paragraph" w:styleId="Header">
    <w:name w:val="header"/>
    <w:basedOn w:val="Normal"/>
    <w:link w:val="HeaderChar"/>
    <w:uiPriority w:val="99"/>
    <w:unhideWhenUsed/>
    <w:rsid w:val="00291B94"/>
    <w:pPr>
      <w:tabs>
        <w:tab w:val="center" w:pos="4844"/>
        <w:tab w:val="right" w:pos="9689"/>
      </w:tabs>
      <w:spacing w:after="0" w:line="240" w:lineRule="auto"/>
    </w:pPr>
  </w:style>
  <w:style w:type="character" w:customStyle="1" w:styleId="HeaderChar">
    <w:name w:val="Header Char"/>
    <w:basedOn w:val="DefaultParagraphFont"/>
    <w:link w:val="Header"/>
    <w:uiPriority w:val="99"/>
    <w:rsid w:val="00291B94"/>
  </w:style>
  <w:style w:type="paragraph" w:styleId="Footer">
    <w:name w:val="footer"/>
    <w:basedOn w:val="Normal"/>
    <w:link w:val="FooterChar"/>
    <w:uiPriority w:val="99"/>
    <w:unhideWhenUsed/>
    <w:rsid w:val="00291B94"/>
    <w:pPr>
      <w:tabs>
        <w:tab w:val="center" w:pos="4844"/>
        <w:tab w:val="right" w:pos="9689"/>
      </w:tabs>
      <w:spacing w:after="0" w:line="240" w:lineRule="auto"/>
    </w:pPr>
  </w:style>
  <w:style w:type="character" w:customStyle="1" w:styleId="FooterChar">
    <w:name w:val="Footer Char"/>
    <w:basedOn w:val="DefaultParagraphFont"/>
    <w:link w:val="Footer"/>
    <w:uiPriority w:val="99"/>
    <w:rsid w:val="00291B94"/>
  </w:style>
  <w:style w:type="paragraph" w:customStyle="1" w:styleId="CharChar11">
    <w:name w:val="Char Char1"/>
    <w:basedOn w:val="Normal"/>
    <w:rsid w:val="00BC621E"/>
    <w:pPr>
      <w:spacing w:line="240" w:lineRule="exact"/>
      <w:jc w:val="both"/>
    </w:pPr>
    <w:rPr>
      <w:rFonts w:ascii="Arial" w:eastAsia="Batang" w:hAnsi="Arial" w:cs="Arial"/>
      <w:sz w:val="20"/>
      <w:szCs w:val="20"/>
    </w:rPr>
  </w:style>
  <w:style w:type="character" w:customStyle="1" w:styleId="Heading1Char">
    <w:name w:val="Heading 1 Char"/>
    <w:basedOn w:val="DefaultParagraphFont"/>
    <w:link w:val="Heading1"/>
    <w:uiPriority w:val="9"/>
    <w:rsid w:val="00FB482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4824"/>
    <w:pPr>
      <w:outlineLvl w:val="9"/>
    </w:pPr>
  </w:style>
  <w:style w:type="paragraph" w:styleId="TOC1">
    <w:name w:val="toc 1"/>
    <w:basedOn w:val="Normal"/>
    <w:next w:val="Normal"/>
    <w:autoRedefine/>
    <w:uiPriority w:val="39"/>
    <w:unhideWhenUsed/>
    <w:rsid w:val="00FB4824"/>
    <w:pPr>
      <w:spacing w:after="100"/>
    </w:pPr>
  </w:style>
  <w:style w:type="character" w:styleId="Hyperlink">
    <w:name w:val="Hyperlink"/>
    <w:basedOn w:val="DefaultParagraphFont"/>
    <w:uiPriority w:val="99"/>
    <w:unhideWhenUsed/>
    <w:rsid w:val="00FB4824"/>
    <w:rPr>
      <w:color w:val="0563C1" w:themeColor="hyperlink"/>
      <w:u w:val="single"/>
    </w:rPr>
  </w:style>
  <w:style w:type="paragraph" w:styleId="TOC2">
    <w:name w:val="toc 2"/>
    <w:basedOn w:val="Normal"/>
    <w:next w:val="Normal"/>
    <w:autoRedefine/>
    <w:uiPriority w:val="39"/>
    <w:unhideWhenUsed/>
    <w:rsid w:val="0034758C"/>
    <w:pPr>
      <w:tabs>
        <w:tab w:val="left" w:pos="1100"/>
        <w:tab w:val="right" w:leader="dot" w:pos="9345"/>
      </w:tabs>
      <w:spacing w:after="100"/>
    </w:pPr>
    <w:rPr>
      <w:rFonts w:eastAsiaTheme="minorEastAsia" w:cs="Times New Roman"/>
    </w:rPr>
  </w:style>
  <w:style w:type="paragraph" w:styleId="TOC3">
    <w:name w:val="toc 3"/>
    <w:basedOn w:val="Normal"/>
    <w:next w:val="Normal"/>
    <w:autoRedefine/>
    <w:uiPriority w:val="39"/>
    <w:unhideWhenUsed/>
    <w:rsid w:val="0034758C"/>
    <w:pPr>
      <w:tabs>
        <w:tab w:val="left" w:pos="1100"/>
        <w:tab w:val="right" w:leader="dot" w:pos="9345"/>
      </w:tabs>
      <w:spacing w:after="100"/>
    </w:pPr>
    <w:rPr>
      <w:rFonts w:eastAsiaTheme="minorEastAsia" w:cs="Times New Roman"/>
    </w:rPr>
  </w:style>
  <w:style w:type="paragraph" w:styleId="BalloonText">
    <w:name w:val="Balloon Text"/>
    <w:basedOn w:val="Normal"/>
    <w:link w:val="BalloonTextChar"/>
    <w:uiPriority w:val="99"/>
    <w:semiHidden/>
    <w:unhideWhenUsed/>
    <w:rsid w:val="00FB4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824"/>
    <w:rPr>
      <w:rFonts w:ascii="Segoe UI" w:hAnsi="Segoe UI" w:cs="Segoe UI"/>
      <w:sz w:val="18"/>
      <w:szCs w:val="18"/>
    </w:rPr>
  </w:style>
  <w:style w:type="character" w:customStyle="1" w:styleId="ListParagraphChar">
    <w:name w:val="List Paragraph Char"/>
    <w:aliases w:val="strikethrough Char"/>
    <w:link w:val="ListParagraph"/>
    <w:uiPriority w:val="34"/>
    <w:rsid w:val="00497FE6"/>
  </w:style>
  <w:style w:type="character" w:customStyle="1" w:styleId="a">
    <w:name w:val="_"/>
    <w:basedOn w:val="DefaultParagraphFont"/>
    <w:rsid w:val="00207DAD"/>
  </w:style>
  <w:style w:type="character" w:customStyle="1" w:styleId="pg-1ff1">
    <w:name w:val="pg-1ff1"/>
    <w:basedOn w:val="DefaultParagraphFont"/>
    <w:rsid w:val="00207DAD"/>
  </w:style>
  <w:style w:type="paragraph" w:styleId="NoSpacing">
    <w:name w:val="No Spacing"/>
    <w:link w:val="NoSpacingChar"/>
    <w:uiPriority w:val="1"/>
    <w:qFormat/>
    <w:rsid w:val="00D167C5"/>
    <w:pPr>
      <w:spacing w:after="0" w:line="240" w:lineRule="auto"/>
    </w:pPr>
    <w:rPr>
      <w:rFonts w:ascii="Calibri" w:eastAsia="Times New Roman" w:hAnsi="Calibri" w:cs="Times New Roman"/>
      <w:sz w:val="21"/>
      <w:szCs w:val="21"/>
      <w:lang w:val="ru-RU" w:eastAsia="ru-RU"/>
    </w:rPr>
  </w:style>
  <w:style w:type="character" w:customStyle="1" w:styleId="NoSpacingChar">
    <w:name w:val="No Spacing Char"/>
    <w:link w:val="NoSpacing"/>
    <w:uiPriority w:val="1"/>
    <w:locked/>
    <w:rsid w:val="00D167C5"/>
    <w:rPr>
      <w:rFonts w:ascii="Calibri" w:eastAsia="Times New Roman" w:hAnsi="Calibri" w:cs="Times New Roman"/>
      <w:sz w:val="21"/>
      <w:szCs w:val="21"/>
      <w:lang w:val="ru-RU" w:eastAsia="ru-RU"/>
    </w:rPr>
  </w:style>
  <w:style w:type="table" w:customStyle="1" w:styleId="TableGrid2">
    <w:name w:val="Table Grid2"/>
    <w:basedOn w:val="TableNormal"/>
    <w:next w:val="TableGrid"/>
    <w:uiPriority w:val="39"/>
    <w:rsid w:val="0043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C5DB7"/>
    <w:pPr>
      <w:spacing w:after="0" w:line="240" w:lineRule="auto"/>
    </w:pPr>
    <w:rPr>
      <w:rFonts w:ascii="Times New Roman"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C87"/>
    <w:rPr>
      <w:sz w:val="16"/>
      <w:szCs w:val="16"/>
    </w:rPr>
  </w:style>
  <w:style w:type="paragraph" w:styleId="CommentText">
    <w:name w:val="annotation text"/>
    <w:basedOn w:val="Normal"/>
    <w:link w:val="CommentTextChar"/>
    <w:uiPriority w:val="99"/>
    <w:semiHidden/>
    <w:unhideWhenUsed/>
    <w:rsid w:val="00923C87"/>
    <w:pPr>
      <w:spacing w:line="240" w:lineRule="auto"/>
    </w:pPr>
    <w:rPr>
      <w:sz w:val="20"/>
      <w:szCs w:val="20"/>
    </w:rPr>
  </w:style>
  <w:style w:type="character" w:customStyle="1" w:styleId="CommentTextChar">
    <w:name w:val="Comment Text Char"/>
    <w:basedOn w:val="DefaultParagraphFont"/>
    <w:link w:val="CommentText"/>
    <w:uiPriority w:val="99"/>
    <w:semiHidden/>
    <w:rsid w:val="00923C8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2617">
      <w:bodyDiv w:val="1"/>
      <w:marLeft w:val="0"/>
      <w:marRight w:val="0"/>
      <w:marTop w:val="0"/>
      <w:marBottom w:val="0"/>
      <w:divBdr>
        <w:top w:val="none" w:sz="0" w:space="0" w:color="auto"/>
        <w:left w:val="none" w:sz="0" w:space="0" w:color="auto"/>
        <w:bottom w:val="none" w:sz="0" w:space="0" w:color="auto"/>
        <w:right w:val="none" w:sz="0" w:space="0" w:color="auto"/>
      </w:divBdr>
    </w:div>
    <w:div w:id="59181822">
      <w:bodyDiv w:val="1"/>
      <w:marLeft w:val="0"/>
      <w:marRight w:val="0"/>
      <w:marTop w:val="0"/>
      <w:marBottom w:val="0"/>
      <w:divBdr>
        <w:top w:val="none" w:sz="0" w:space="0" w:color="auto"/>
        <w:left w:val="none" w:sz="0" w:space="0" w:color="auto"/>
        <w:bottom w:val="none" w:sz="0" w:space="0" w:color="auto"/>
        <w:right w:val="none" w:sz="0" w:space="0" w:color="auto"/>
      </w:divBdr>
    </w:div>
    <w:div w:id="102698908">
      <w:bodyDiv w:val="1"/>
      <w:marLeft w:val="0"/>
      <w:marRight w:val="0"/>
      <w:marTop w:val="0"/>
      <w:marBottom w:val="0"/>
      <w:divBdr>
        <w:top w:val="none" w:sz="0" w:space="0" w:color="auto"/>
        <w:left w:val="none" w:sz="0" w:space="0" w:color="auto"/>
        <w:bottom w:val="none" w:sz="0" w:space="0" w:color="auto"/>
        <w:right w:val="none" w:sz="0" w:space="0" w:color="auto"/>
      </w:divBdr>
    </w:div>
    <w:div w:id="121730733">
      <w:bodyDiv w:val="1"/>
      <w:marLeft w:val="0"/>
      <w:marRight w:val="0"/>
      <w:marTop w:val="0"/>
      <w:marBottom w:val="0"/>
      <w:divBdr>
        <w:top w:val="none" w:sz="0" w:space="0" w:color="auto"/>
        <w:left w:val="none" w:sz="0" w:space="0" w:color="auto"/>
        <w:bottom w:val="none" w:sz="0" w:space="0" w:color="auto"/>
        <w:right w:val="none" w:sz="0" w:space="0" w:color="auto"/>
      </w:divBdr>
    </w:div>
    <w:div w:id="167065543">
      <w:bodyDiv w:val="1"/>
      <w:marLeft w:val="0"/>
      <w:marRight w:val="0"/>
      <w:marTop w:val="0"/>
      <w:marBottom w:val="0"/>
      <w:divBdr>
        <w:top w:val="none" w:sz="0" w:space="0" w:color="auto"/>
        <w:left w:val="none" w:sz="0" w:space="0" w:color="auto"/>
        <w:bottom w:val="none" w:sz="0" w:space="0" w:color="auto"/>
        <w:right w:val="none" w:sz="0" w:space="0" w:color="auto"/>
      </w:divBdr>
    </w:div>
    <w:div w:id="179588414">
      <w:bodyDiv w:val="1"/>
      <w:marLeft w:val="0"/>
      <w:marRight w:val="0"/>
      <w:marTop w:val="0"/>
      <w:marBottom w:val="0"/>
      <w:divBdr>
        <w:top w:val="none" w:sz="0" w:space="0" w:color="auto"/>
        <w:left w:val="none" w:sz="0" w:space="0" w:color="auto"/>
        <w:bottom w:val="none" w:sz="0" w:space="0" w:color="auto"/>
        <w:right w:val="none" w:sz="0" w:space="0" w:color="auto"/>
      </w:divBdr>
    </w:div>
    <w:div w:id="180970137">
      <w:bodyDiv w:val="1"/>
      <w:marLeft w:val="0"/>
      <w:marRight w:val="0"/>
      <w:marTop w:val="0"/>
      <w:marBottom w:val="0"/>
      <w:divBdr>
        <w:top w:val="none" w:sz="0" w:space="0" w:color="auto"/>
        <w:left w:val="none" w:sz="0" w:space="0" w:color="auto"/>
        <w:bottom w:val="none" w:sz="0" w:space="0" w:color="auto"/>
        <w:right w:val="none" w:sz="0" w:space="0" w:color="auto"/>
      </w:divBdr>
    </w:div>
    <w:div w:id="181938434">
      <w:bodyDiv w:val="1"/>
      <w:marLeft w:val="0"/>
      <w:marRight w:val="0"/>
      <w:marTop w:val="0"/>
      <w:marBottom w:val="0"/>
      <w:divBdr>
        <w:top w:val="none" w:sz="0" w:space="0" w:color="auto"/>
        <w:left w:val="none" w:sz="0" w:space="0" w:color="auto"/>
        <w:bottom w:val="none" w:sz="0" w:space="0" w:color="auto"/>
        <w:right w:val="none" w:sz="0" w:space="0" w:color="auto"/>
      </w:divBdr>
    </w:div>
    <w:div w:id="213975815">
      <w:bodyDiv w:val="1"/>
      <w:marLeft w:val="0"/>
      <w:marRight w:val="0"/>
      <w:marTop w:val="0"/>
      <w:marBottom w:val="0"/>
      <w:divBdr>
        <w:top w:val="none" w:sz="0" w:space="0" w:color="auto"/>
        <w:left w:val="none" w:sz="0" w:space="0" w:color="auto"/>
        <w:bottom w:val="none" w:sz="0" w:space="0" w:color="auto"/>
        <w:right w:val="none" w:sz="0" w:space="0" w:color="auto"/>
      </w:divBdr>
    </w:div>
    <w:div w:id="229779585">
      <w:bodyDiv w:val="1"/>
      <w:marLeft w:val="0"/>
      <w:marRight w:val="0"/>
      <w:marTop w:val="0"/>
      <w:marBottom w:val="0"/>
      <w:divBdr>
        <w:top w:val="none" w:sz="0" w:space="0" w:color="auto"/>
        <w:left w:val="none" w:sz="0" w:space="0" w:color="auto"/>
        <w:bottom w:val="none" w:sz="0" w:space="0" w:color="auto"/>
        <w:right w:val="none" w:sz="0" w:space="0" w:color="auto"/>
      </w:divBdr>
    </w:div>
    <w:div w:id="231358357">
      <w:bodyDiv w:val="1"/>
      <w:marLeft w:val="0"/>
      <w:marRight w:val="0"/>
      <w:marTop w:val="0"/>
      <w:marBottom w:val="0"/>
      <w:divBdr>
        <w:top w:val="none" w:sz="0" w:space="0" w:color="auto"/>
        <w:left w:val="none" w:sz="0" w:space="0" w:color="auto"/>
        <w:bottom w:val="none" w:sz="0" w:space="0" w:color="auto"/>
        <w:right w:val="none" w:sz="0" w:space="0" w:color="auto"/>
      </w:divBdr>
    </w:div>
    <w:div w:id="241107257">
      <w:bodyDiv w:val="1"/>
      <w:marLeft w:val="0"/>
      <w:marRight w:val="0"/>
      <w:marTop w:val="0"/>
      <w:marBottom w:val="0"/>
      <w:divBdr>
        <w:top w:val="none" w:sz="0" w:space="0" w:color="auto"/>
        <w:left w:val="none" w:sz="0" w:space="0" w:color="auto"/>
        <w:bottom w:val="none" w:sz="0" w:space="0" w:color="auto"/>
        <w:right w:val="none" w:sz="0" w:space="0" w:color="auto"/>
      </w:divBdr>
    </w:div>
    <w:div w:id="267322620">
      <w:bodyDiv w:val="1"/>
      <w:marLeft w:val="0"/>
      <w:marRight w:val="0"/>
      <w:marTop w:val="0"/>
      <w:marBottom w:val="0"/>
      <w:divBdr>
        <w:top w:val="none" w:sz="0" w:space="0" w:color="auto"/>
        <w:left w:val="none" w:sz="0" w:space="0" w:color="auto"/>
        <w:bottom w:val="none" w:sz="0" w:space="0" w:color="auto"/>
        <w:right w:val="none" w:sz="0" w:space="0" w:color="auto"/>
      </w:divBdr>
    </w:div>
    <w:div w:id="282657743">
      <w:bodyDiv w:val="1"/>
      <w:marLeft w:val="0"/>
      <w:marRight w:val="0"/>
      <w:marTop w:val="0"/>
      <w:marBottom w:val="0"/>
      <w:divBdr>
        <w:top w:val="none" w:sz="0" w:space="0" w:color="auto"/>
        <w:left w:val="none" w:sz="0" w:space="0" w:color="auto"/>
        <w:bottom w:val="none" w:sz="0" w:space="0" w:color="auto"/>
        <w:right w:val="none" w:sz="0" w:space="0" w:color="auto"/>
      </w:divBdr>
    </w:div>
    <w:div w:id="285936632">
      <w:bodyDiv w:val="1"/>
      <w:marLeft w:val="0"/>
      <w:marRight w:val="0"/>
      <w:marTop w:val="0"/>
      <w:marBottom w:val="0"/>
      <w:divBdr>
        <w:top w:val="none" w:sz="0" w:space="0" w:color="auto"/>
        <w:left w:val="none" w:sz="0" w:space="0" w:color="auto"/>
        <w:bottom w:val="none" w:sz="0" w:space="0" w:color="auto"/>
        <w:right w:val="none" w:sz="0" w:space="0" w:color="auto"/>
      </w:divBdr>
    </w:div>
    <w:div w:id="287323058">
      <w:bodyDiv w:val="1"/>
      <w:marLeft w:val="0"/>
      <w:marRight w:val="0"/>
      <w:marTop w:val="0"/>
      <w:marBottom w:val="0"/>
      <w:divBdr>
        <w:top w:val="none" w:sz="0" w:space="0" w:color="auto"/>
        <w:left w:val="none" w:sz="0" w:space="0" w:color="auto"/>
        <w:bottom w:val="none" w:sz="0" w:space="0" w:color="auto"/>
        <w:right w:val="none" w:sz="0" w:space="0" w:color="auto"/>
      </w:divBdr>
    </w:div>
    <w:div w:id="309991603">
      <w:bodyDiv w:val="1"/>
      <w:marLeft w:val="0"/>
      <w:marRight w:val="0"/>
      <w:marTop w:val="0"/>
      <w:marBottom w:val="0"/>
      <w:divBdr>
        <w:top w:val="none" w:sz="0" w:space="0" w:color="auto"/>
        <w:left w:val="none" w:sz="0" w:space="0" w:color="auto"/>
        <w:bottom w:val="none" w:sz="0" w:space="0" w:color="auto"/>
        <w:right w:val="none" w:sz="0" w:space="0" w:color="auto"/>
      </w:divBdr>
    </w:div>
    <w:div w:id="331032547">
      <w:bodyDiv w:val="1"/>
      <w:marLeft w:val="0"/>
      <w:marRight w:val="0"/>
      <w:marTop w:val="0"/>
      <w:marBottom w:val="0"/>
      <w:divBdr>
        <w:top w:val="none" w:sz="0" w:space="0" w:color="auto"/>
        <w:left w:val="none" w:sz="0" w:space="0" w:color="auto"/>
        <w:bottom w:val="none" w:sz="0" w:space="0" w:color="auto"/>
        <w:right w:val="none" w:sz="0" w:space="0" w:color="auto"/>
      </w:divBdr>
    </w:div>
    <w:div w:id="333579650">
      <w:bodyDiv w:val="1"/>
      <w:marLeft w:val="0"/>
      <w:marRight w:val="0"/>
      <w:marTop w:val="0"/>
      <w:marBottom w:val="0"/>
      <w:divBdr>
        <w:top w:val="none" w:sz="0" w:space="0" w:color="auto"/>
        <w:left w:val="none" w:sz="0" w:space="0" w:color="auto"/>
        <w:bottom w:val="none" w:sz="0" w:space="0" w:color="auto"/>
        <w:right w:val="none" w:sz="0" w:space="0" w:color="auto"/>
      </w:divBdr>
    </w:div>
    <w:div w:id="343899981">
      <w:bodyDiv w:val="1"/>
      <w:marLeft w:val="0"/>
      <w:marRight w:val="0"/>
      <w:marTop w:val="0"/>
      <w:marBottom w:val="0"/>
      <w:divBdr>
        <w:top w:val="none" w:sz="0" w:space="0" w:color="auto"/>
        <w:left w:val="none" w:sz="0" w:space="0" w:color="auto"/>
        <w:bottom w:val="none" w:sz="0" w:space="0" w:color="auto"/>
        <w:right w:val="none" w:sz="0" w:space="0" w:color="auto"/>
      </w:divBdr>
    </w:div>
    <w:div w:id="370032223">
      <w:bodyDiv w:val="1"/>
      <w:marLeft w:val="0"/>
      <w:marRight w:val="0"/>
      <w:marTop w:val="0"/>
      <w:marBottom w:val="0"/>
      <w:divBdr>
        <w:top w:val="none" w:sz="0" w:space="0" w:color="auto"/>
        <w:left w:val="none" w:sz="0" w:space="0" w:color="auto"/>
        <w:bottom w:val="none" w:sz="0" w:space="0" w:color="auto"/>
        <w:right w:val="none" w:sz="0" w:space="0" w:color="auto"/>
      </w:divBdr>
    </w:div>
    <w:div w:id="395475818">
      <w:bodyDiv w:val="1"/>
      <w:marLeft w:val="0"/>
      <w:marRight w:val="0"/>
      <w:marTop w:val="0"/>
      <w:marBottom w:val="0"/>
      <w:divBdr>
        <w:top w:val="none" w:sz="0" w:space="0" w:color="auto"/>
        <w:left w:val="none" w:sz="0" w:space="0" w:color="auto"/>
        <w:bottom w:val="none" w:sz="0" w:space="0" w:color="auto"/>
        <w:right w:val="none" w:sz="0" w:space="0" w:color="auto"/>
      </w:divBdr>
    </w:div>
    <w:div w:id="404956764">
      <w:bodyDiv w:val="1"/>
      <w:marLeft w:val="0"/>
      <w:marRight w:val="0"/>
      <w:marTop w:val="0"/>
      <w:marBottom w:val="0"/>
      <w:divBdr>
        <w:top w:val="none" w:sz="0" w:space="0" w:color="auto"/>
        <w:left w:val="none" w:sz="0" w:space="0" w:color="auto"/>
        <w:bottom w:val="none" w:sz="0" w:space="0" w:color="auto"/>
        <w:right w:val="none" w:sz="0" w:space="0" w:color="auto"/>
      </w:divBdr>
    </w:div>
    <w:div w:id="407578109">
      <w:bodyDiv w:val="1"/>
      <w:marLeft w:val="0"/>
      <w:marRight w:val="0"/>
      <w:marTop w:val="0"/>
      <w:marBottom w:val="0"/>
      <w:divBdr>
        <w:top w:val="none" w:sz="0" w:space="0" w:color="auto"/>
        <w:left w:val="none" w:sz="0" w:space="0" w:color="auto"/>
        <w:bottom w:val="none" w:sz="0" w:space="0" w:color="auto"/>
        <w:right w:val="none" w:sz="0" w:space="0" w:color="auto"/>
      </w:divBdr>
    </w:div>
    <w:div w:id="436217036">
      <w:bodyDiv w:val="1"/>
      <w:marLeft w:val="0"/>
      <w:marRight w:val="0"/>
      <w:marTop w:val="0"/>
      <w:marBottom w:val="0"/>
      <w:divBdr>
        <w:top w:val="none" w:sz="0" w:space="0" w:color="auto"/>
        <w:left w:val="none" w:sz="0" w:space="0" w:color="auto"/>
        <w:bottom w:val="none" w:sz="0" w:space="0" w:color="auto"/>
        <w:right w:val="none" w:sz="0" w:space="0" w:color="auto"/>
      </w:divBdr>
    </w:div>
    <w:div w:id="459343678">
      <w:bodyDiv w:val="1"/>
      <w:marLeft w:val="0"/>
      <w:marRight w:val="0"/>
      <w:marTop w:val="0"/>
      <w:marBottom w:val="0"/>
      <w:divBdr>
        <w:top w:val="none" w:sz="0" w:space="0" w:color="auto"/>
        <w:left w:val="none" w:sz="0" w:space="0" w:color="auto"/>
        <w:bottom w:val="none" w:sz="0" w:space="0" w:color="auto"/>
        <w:right w:val="none" w:sz="0" w:space="0" w:color="auto"/>
      </w:divBdr>
    </w:div>
    <w:div w:id="459957012">
      <w:bodyDiv w:val="1"/>
      <w:marLeft w:val="0"/>
      <w:marRight w:val="0"/>
      <w:marTop w:val="0"/>
      <w:marBottom w:val="0"/>
      <w:divBdr>
        <w:top w:val="none" w:sz="0" w:space="0" w:color="auto"/>
        <w:left w:val="none" w:sz="0" w:space="0" w:color="auto"/>
        <w:bottom w:val="none" w:sz="0" w:space="0" w:color="auto"/>
        <w:right w:val="none" w:sz="0" w:space="0" w:color="auto"/>
      </w:divBdr>
    </w:div>
    <w:div w:id="474687202">
      <w:bodyDiv w:val="1"/>
      <w:marLeft w:val="0"/>
      <w:marRight w:val="0"/>
      <w:marTop w:val="0"/>
      <w:marBottom w:val="0"/>
      <w:divBdr>
        <w:top w:val="none" w:sz="0" w:space="0" w:color="auto"/>
        <w:left w:val="none" w:sz="0" w:space="0" w:color="auto"/>
        <w:bottom w:val="none" w:sz="0" w:space="0" w:color="auto"/>
        <w:right w:val="none" w:sz="0" w:space="0" w:color="auto"/>
      </w:divBdr>
    </w:div>
    <w:div w:id="490022593">
      <w:bodyDiv w:val="1"/>
      <w:marLeft w:val="0"/>
      <w:marRight w:val="0"/>
      <w:marTop w:val="0"/>
      <w:marBottom w:val="0"/>
      <w:divBdr>
        <w:top w:val="none" w:sz="0" w:space="0" w:color="auto"/>
        <w:left w:val="none" w:sz="0" w:space="0" w:color="auto"/>
        <w:bottom w:val="none" w:sz="0" w:space="0" w:color="auto"/>
        <w:right w:val="none" w:sz="0" w:space="0" w:color="auto"/>
      </w:divBdr>
    </w:div>
    <w:div w:id="496655279">
      <w:bodyDiv w:val="1"/>
      <w:marLeft w:val="0"/>
      <w:marRight w:val="0"/>
      <w:marTop w:val="0"/>
      <w:marBottom w:val="0"/>
      <w:divBdr>
        <w:top w:val="none" w:sz="0" w:space="0" w:color="auto"/>
        <w:left w:val="none" w:sz="0" w:space="0" w:color="auto"/>
        <w:bottom w:val="none" w:sz="0" w:space="0" w:color="auto"/>
        <w:right w:val="none" w:sz="0" w:space="0" w:color="auto"/>
      </w:divBdr>
    </w:div>
    <w:div w:id="502352840">
      <w:bodyDiv w:val="1"/>
      <w:marLeft w:val="0"/>
      <w:marRight w:val="0"/>
      <w:marTop w:val="0"/>
      <w:marBottom w:val="0"/>
      <w:divBdr>
        <w:top w:val="none" w:sz="0" w:space="0" w:color="auto"/>
        <w:left w:val="none" w:sz="0" w:space="0" w:color="auto"/>
        <w:bottom w:val="none" w:sz="0" w:space="0" w:color="auto"/>
        <w:right w:val="none" w:sz="0" w:space="0" w:color="auto"/>
      </w:divBdr>
    </w:div>
    <w:div w:id="502671434">
      <w:bodyDiv w:val="1"/>
      <w:marLeft w:val="0"/>
      <w:marRight w:val="0"/>
      <w:marTop w:val="0"/>
      <w:marBottom w:val="0"/>
      <w:divBdr>
        <w:top w:val="none" w:sz="0" w:space="0" w:color="auto"/>
        <w:left w:val="none" w:sz="0" w:space="0" w:color="auto"/>
        <w:bottom w:val="none" w:sz="0" w:space="0" w:color="auto"/>
        <w:right w:val="none" w:sz="0" w:space="0" w:color="auto"/>
      </w:divBdr>
    </w:div>
    <w:div w:id="514534183">
      <w:bodyDiv w:val="1"/>
      <w:marLeft w:val="0"/>
      <w:marRight w:val="0"/>
      <w:marTop w:val="0"/>
      <w:marBottom w:val="0"/>
      <w:divBdr>
        <w:top w:val="none" w:sz="0" w:space="0" w:color="auto"/>
        <w:left w:val="none" w:sz="0" w:space="0" w:color="auto"/>
        <w:bottom w:val="none" w:sz="0" w:space="0" w:color="auto"/>
        <w:right w:val="none" w:sz="0" w:space="0" w:color="auto"/>
      </w:divBdr>
    </w:div>
    <w:div w:id="586158520">
      <w:bodyDiv w:val="1"/>
      <w:marLeft w:val="0"/>
      <w:marRight w:val="0"/>
      <w:marTop w:val="0"/>
      <w:marBottom w:val="0"/>
      <w:divBdr>
        <w:top w:val="none" w:sz="0" w:space="0" w:color="auto"/>
        <w:left w:val="none" w:sz="0" w:space="0" w:color="auto"/>
        <w:bottom w:val="none" w:sz="0" w:space="0" w:color="auto"/>
        <w:right w:val="none" w:sz="0" w:space="0" w:color="auto"/>
      </w:divBdr>
    </w:div>
    <w:div w:id="617027793">
      <w:bodyDiv w:val="1"/>
      <w:marLeft w:val="0"/>
      <w:marRight w:val="0"/>
      <w:marTop w:val="0"/>
      <w:marBottom w:val="0"/>
      <w:divBdr>
        <w:top w:val="none" w:sz="0" w:space="0" w:color="auto"/>
        <w:left w:val="none" w:sz="0" w:space="0" w:color="auto"/>
        <w:bottom w:val="none" w:sz="0" w:space="0" w:color="auto"/>
        <w:right w:val="none" w:sz="0" w:space="0" w:color="auto"/>
      </w:divBdr>
    </w:div>
    <w:div w:id="620109852">
      <w:bodyDiv w:val="1"/>
      <w:marLeft w:val="0"/>
      <w:marRight w:val="0"/>
      <w:marTop w:val="0"/>
      <w:marBottom w:val="0"/>
      <w:divBdr>
        <w:top w:val="none" w:sz="0" w:space="0" w:color="auto"/>
        <w:left w:val="none" w:sz="0" w:space="0" w:color="auto"/>
        <w:bottom w:val="none" w:sz="0" w:space="0" w:color="auto"/>
        <w:right w:val="none" w:sz="0" w:space="0" w:color="auto"/>
      </w:divBdr>
    </w:div>
    <w:div w:id="628820750">
      <w:bodyDiv w:val="1"/>
      <w:marLeft w:val="0"/>
      <w:marRight w:val="0"/>
      <w:marTop w:val="0"/>
      <w:marBottom w:val="0"/>
      <w:divBdr>
        <w:top w:val="none" w:sz="0" w:space="0" w:color="auto"/>
        <w:left w:val="none" w:sz="0" w:space="0" w:color="auto"/>
        <w:bottom w:val="none" w:sz="0" w:space="0" w:color="auto"/>
        <w:right w:val="none" w:sz="0" w:space="0" w:color="auto"/>
      </w:divBdr>
    </w:div>
    <w:div w:id="737939736">
      <w:bodyDiv w:val="1"/>
      <w:marLeft w:val="0"/>
      <w:marRight w:val="0"/>
      <w:marTop w:val="0"/>
      <w:marBottom w:val="0"/>
      <w:divBdr>
        <w:top w:val="none" w:sz="0" w:space="0" w:color="auto"/>
        <w:left w:val="none" w:sz="0" w:space="0" w:color="auto"/>
        <w:bottom w:val="none" w:sz="0" w:space="0" w:color="auto"/>
        <w:right w:val="none" w:sz="0" w:space="0" w:color="auto"/>
      </w:divBdr>
    </w:div>
    <w:div w:id="758526205">
      <w:bodyDiv w:val="1"/>
      <w:marLeft w:val="0"/>
      <w:marRight w:val="0"/>
      <w:marTop w:val="0"/>
      <w:marBottom w:val="0"/>
      <w:divBdr>
        <w:top w:val="none" w:sz="0" w:space="0" w:color="auto"/>
        <w:left w:val="none" w:sz="0" w:space="0" w:color="auto"/>
        <w:bottom w:val="none" w:sz="0" w:space="0" w:color="auto"/>
        <w:right w:val="none" w:sz="0" w:space="0" w:color="auto"/>
      </w:divBdr>
    </w:div>
    <w:div w:id="775558659">
      <w:bodyDiv w:val="1"/>
      <w:marLeft w:val="0"/>
      <w:marRight w:val="0"/>
      <w:marTop w:val="0"/>
      <w:marBottom w:val="0"/>
      <w:divBdr>
        <w:top w:val="none" w:sz="0" w:space="0" w:color="auto"/>
        <w:left w:val="none" w:sz="0" w:space="0" w:color="auto"/>
        <w:bottom w:val="none" w:sz="0" w:space="0" w:color="auto"/>
        <w:right w:val="none" w:sz="0" w:space="0" w:color="auto"/>
      </w:divBdr>
    </w:div>
    <w:div w:id="782119299">
      <w:bodyDiv w:val="1"/>
      <w:marLeft w:val="0"/>
      <w:marRight w:val="0"/>
      <w:marTop w:val="0"/>
      <w:marBottom w:val="0"/>
      <w:divBdr>
        <w:top w:val="none" w:sz="0" w:space="0" w:color="auto"/>
        <w:left w:val="none" w:sz="0" w:space="0" w:color="auto"/>
        <w:bottom w:val="none" w:sz="0" w:space="0" w:color="auto"/>
        <w:right w:val="none" w:sz="0" w:space="0" w:color="auto"/>
      </w:divBdr>
    </w:div>
    <w:div w:id="814763773">
      <w:bodyDiv w:val="1"/>
      <w:marLeft w:val="0"/>
      <w:marRight w:val="0"/>
      <w:marTop w:val="0"/>
      <w:marBottom w:val="0"/>
      <w:divBdr>
        <w:top w:val="none" w:sz="0" w:space="0" w:color="auto"/>
        <w:left w:val="none" w:sz="0" w:space="0" w:color="auto"/>
        <w:bottom w:val="none" w:sz="0" w:space="0" w:color="auto"/>
        <w:right w:val="none" w:sz="0" w:space="0" w:color="auto"/>
      </w:divBdr>
    </w:div>
    <w:div w:id="837577021">
      <w:bodyDiv w:val="1"/>
      <w:marLeft w:val="0"/>
      <w:marRight w:val="0"/>
      <w:marTop w:val="0"/>
      <w:marBottom w:val="0"/>
      <w:divBdr>
        <w:top w:val="none" w:sz="0" w:space="0" w:color="auto"/>
        <w:left w:val="none" w:sz="0" w:space="0" w:color="auto"/>
        <w:bottom w:val="none" w:sz="0" w:space="0" w:color="auto"/>
        <w:right w:val="none" w:sz="0" w:space="0" w:color="auto"/>
      </w:divBdr>
    </w:div>
    <w:div w:id="843783641">
      <w:bodyDiv w:val="1"/>
      <w:marLeft w:val="0"/>
      <w:marRight w:val="0"/>
      <w:marTop w:val="0"/>
      <w:marBottom w:val="0"/>
      <w:divBdr>
        <w:top w:val="none" w:sz="0" w:space="0" w:color="auto"/>
        <w:left w:val="none" w:sz="0" w:space="0" w:color="auto"/>
        <w:bottom w:val="none" w:sz="0" w:space="0" w:color="auto"/>
        <w:right w:val="none" w:sz="0" w:space="0" w:color="auto"/>
      </w:divBdr>
    </w:div>
    <w:div w:id="861674666">
      <w:bodyDiv w:val="1"/>
      <w:marLeft w:val="0"/>
      <w:marRight w:val="0"/>
      <w:marTop w:val="0"/>
      <w:marBottom w:val="0"/>
      <w:divBdr>
        <w:top w:val="none" w:sz="0" w:space="0" w:color="auto"/>
        <w:left w:val="none" w:sz="0" w:space="0" w:color="auto"/>
        <w:bottom w:val="none" w:sz="0" w:space="0" w:color="auto"/>
        <w:right w:val="none" w:sz="0" w:space="0" w:color="auto"/>
      </w:divBdr>
    </w:div>
    <w:div w:id="887648126">
      <w:bodyDiv w:val="1"/>
      <w:marLeft w:val="0"/>
      <w:marRight w:val="0"/>
      <w:marTop w:val="0"/>
      <w:marBottom w:val="0"/>
      <w:divBdr>
        <w:top w:val="none" w:sz="0" w:space="0" w:color="auto"/>
        <w:left w:val="none" w:sz="0" w:space="0" w:color="auto"/>
        <w:bottom w:val="none" w:sz="0" w:space="0" w:color="auto"/>
        <w:right w:val="none" w:sz="0" w:space="0" w:color="auto"/>
      </w:divBdr>
    </w:div>
    <w:div w:id="918977878">
      <w:bodyDiv w:val="1"/>
      <w:marLeft w:val="0"/>
      <w:marRight w:val="0"/>
      <w:marTop w:val="0"/>
      <w:marBottom w:val="0"/>
      <w:divBdr>
        <w:top w:val="none" w:sz="0" w:space="0" w:color="auto"/>
        <w:left w:val="none" w:sz="0" w:space="0" w:color="auto"/>
        <w:bottom w:val="none" w:sz="0" w:space="0" w:color="auto"/>
        <w:right w:val="none" w:sz="0" w:space="0" w:color="auto"/>
      </w:divBdr>
    </w:div>
    <w:div w:id="945036052">
      <w:bodyDiv w:val="1"/>
      <w:marLeft w:val="0"/>
      <w:marRight w:val="0"/>
      <w:marTop w:val="0"/>
      <w:marBottom w:val="0"/>
      <w:divBdr>
        <w:top w:val="none" w:sz="0" w:space="0" w:color="auto"/>
        <w:left w:val="none" w:sz="0" w:space="0" w:color="auto"/>
        <w:bottom w:val="none" w:sz="0" w:space="0" w:color="auto"/>
        <w:right w:val="none" w:sz="0" w:space="0" w:color="auto"/>
      </w:divBdr>
    </w:div>
    <w:div w:id="955141258">
      <w:bodyDiv w:val="1"/>
      <w:marLeft w:val="0"/>
      <w:marRight w:val="0"/>
      <w:marTop w:val="0"/>
      <w:marBottom w:val="0"/>
      <w:divBdr>
        <w:top w:val="none" w:sz="0" w:space="0" w:color="auto"/>
        <w:left w:val="none" w:sz="0" w:space="0" w:color="auto"/>
        <w:bottom w:val="none" w:sz="0" w:space="0" w:color="auto"/>
        <w:right w:val="none" w:sz="0" w:space="0" w:color="auto"/>
      </w:divBdr>
    </w:div>
    <w:div w:id="962808713">
      <w:bodyDiv w:val="1"/>
      <w:marLeft w:val="0"/>
      <w:marRight w:val="0"/>
      <w:marTop w:val="0"/>
      <w:marBottom w:val="0"/>
      <w:divBdr>
        <w:top w:val="none" w:sz="0" w:space="0" w:color="auto"/>
        <w:left w:val="none" w:sz="0" w:space="0" w:color="auto"/>
        <w:bottom w:val="none" w:sz="0" w:space="0" w:color="auto"/>
        <w:right w:val="none" w:sz="0" w:space="0" w:color="auto"/>
      </w:divBdr>
    </w:div>
    <w:div w:id="976179285">
      <w:bodyDiv w:val="1"/>
      <w:marLeft w:val="0"/>
      <w:marRight w:val="0"/>
      <w:marTop w:val="0"/>
      <w:marBottom w:val="0"/>
      <w:divBdr>
        <w:top w:val="none" w:sz="0" w:space="0" w:color="auto"/>
        <w:left w:val="none" w:sz="0" w:space="0" w:color="auto"/>
        <w:bottom w:val="none" w:sz="0" w:space="0" w:color="auto"/>
        <w:right w:val="none" w:sz="0" w:space="0" w:color="auto"/>
      </w:divBdr>
    </w:div>
    <w:div w:id="990330267">
      <w:bodyDiv w:val="1"/>
      <w:marLeft w:val="0"/>
      <w:marRight w:val="0"/>
      <w:marTop w:val="0"/>
      <w:marBottom w:val="0"/>
      <w:divBdr>
        <w:top w:val="none" w:sz="0" w:space="0" w:color="auto"/>
        <w:left w:val="none" w:sz="0" w:space="0" w:color="auto"/>
        <w:bottom w:val="none" w:sz="0" w:space="0" w:color="auto"/>
        <w:right w:val="none" w:sz="0" w:space="0" w:color="auto"/>
      </w:divBdr>
    </w:div>
    <w:div w:id="990476081">
      <w:bodyDiv w:val="1"/>
      <w:marLeft w:val="0"/>
      <w:marRight w:val="0"/>
      <w:marTop w:val="0"/>
      <w:marBottom w:val="0"/>
      <w:divBdr>
        <w:top w:val="none" w:sz="0" w:space="0" w:color="auto"/>
        <w:left w:val="none" w:sz="0" w:space="0" w:color="auto"/>
        <w:bottom w:val="none" w:sz="0" w:space="0" w:color="auto"/>
        <w:right w:val="none" w:sz="0" w:space="0" w:color="auto"/>
      </w:divBdr>
    </w:div>
    <w:div w:id="1014306170">
      <w:bodyDiv w:val="1"/>
      <w:marLeft w:val="0"/>
      <w:marRight w:val="0"/>
      <w:marTop w:val="0"/>
      <w:marBottom w:val="0"/>
      <w:divBdr>
        <w:top w:val="none" w:sz="0" w:space="0" w:color="auto"/>
        <w:left w:val="none" w:sz="0" w:space="0" w:color="auto"/>
        <w:bottom w:val="none" w:sz="0" w:space="0" w:color="auto"/>
        <w:right w:val="none" w:sz="0" w:space="0" w:color="auto"/>
      </w:divBdr>
    </w:div>
    <w:div w:id="1016273950">
      <w:bodyDiv w:val="1"/>
      <w:marLeft w:val="0"/>
      <w:marRight w:val="0"/>
      <w:marTop w:val="0"/>
      <w:marBottom w:val="0"/>
      <w:divBdr>
        <w:top w:val="none" w:sz="0" w:space="0" w:color="auto"/>
        <w:left w:val="none" w:sz="0" w:space="0" w:color="auto"/>
        <w:bottom w:val="none" w:sz="0" w:space="0" w:color="auto"/>
        <w:right w:val="none" w:sz="0" w:space="0" w:color="auto"/>
      </w:divBdr>
    </w:div>
    <w:div w:id="1018653197">
      <w:bodyDiv w:val="1"/>
      <w:marLeft w:val="0"/>
      <w:marRight w:val="0"/>
      <w:marTop w:val="0"/>
      <w:marBottom w:val="0"/>
      <w:divBdr>
        <w:top w:val="none" w:sz="0" w:space="0" w:color="auto"/>
        <w:left w:val="none" w:sz="0" w:space="0" w:color="auto"/>
        <w:bottom w:val="none" w:sz="0" w:space="0" w:color="auto"/>
        <w:right w:val="none" w:sz="0" w:space="0" w:color="auto"/>
      </w:divBdr>
    </w:div>
    <w:div w:id="1021862199">
      <w:bodyDiv w:val="1"/>
      <w:marLeft w:val="0"/>
      <w:marRight w:val="0"/>
      <w:marTop w:val="0"/>
      <w:marBottom w:val="0"/>
      <w:divBdr>
        <w:top w:val="none" w:sz="0" w:space="0" w:color="auto"/>
        <w:left w:val="none" w:sz="0" w:space="0" w:color="auto"/>
        <w:bottom w:val="none" w:sz="0" w:space="0" w:color="auto"/>
        <w:right w:val="none" w:sz="0" w:space="0" w:color="auto"/>
      </w:divBdr>
    </w:div>
    <w:div w:id="1031884877">
      <w:bodyDiv w:val="1"/>
      <w:marLeft w:val="0"/>
      <w:marRight w:val="0"/>
      <w:marTop w:val="0"/>
      <w:marBottom w:val="0"/>
      <w:divBdr>
        <w:top w:val="none" w:sz="0" w:space="0" w:color="auto"/>
        <w:left w:val="none" w:sz="0" w:space="0" w:color="auto"/>
        <w:bottom w:val="none" w:sz="0" w:space="0" w:color="auto"/>
        <w:right w:val="none" w:sz="0" w:space="0" w:color="auto"/>
      </w:divBdr>
    </w:div>
    <w:div w:id="1044521987">
      <w:bodyDiv w:val="1"/>
      <w:marLeft w:val="0"/>
      <w:marRight w:val="0"/>
      <w:marTop w:val="0"/>
      <w:marBottom w:val="0"/>
      <w:divBdr>
        <w:top w:val="none" w:sz="0" w:space="0" w:color="auto"/>
        <w:left w:val="none" w:sz="0" w:space="0" w:color="auto"/>
        <w:bottom w:val="none" w:sz="0" w:space="0" w:color="auto"/>
        <w:right w:val="none" w:sz="0" w:space="0" w:color="auto"/>
      </w:divBdr>
    </w:div>
    <w:div w:id="1067924453">
      <w:bodyDiv w:val="1"/>
      <w:marLeft w:val="0"/>
      <w:marRight w:val="0"/>
      <w:marTop w:val="0"/>
      <w:marBottom w:val="0"/>
      <w:divBdr>
        <w:top w:val="none" w:sz="0" w:space="0" w:color="auto"/>
        <w:left w:val="none" w:sz="0" w:space="0" w:color="auto"/>
        <w:bottom w:val="none" w:sz="0" w:space="0" w:color="auto"/>
        <w:right w:val="none" w:sz="0" w:space="0" w:color="auto"/>
      </w:divBdr>
    </w:div>
    <w:div w:id="1068772086">
      <w:bodyDiv w:val="1"/>
      <w:marLeft w:val="0"/>
      <w:marRight w:val="0"/>
      <w:marTop w:val="0"/>
      <w:marBottom w:val="0"/>
      <w:divBdr>
        <w:top w:val="none" w:sz="0" w:space="0" w:color="auto"/>
        <w:left w:val="none" w:sz="0" w:space="0" w:color="auto"/>
        <w:bottom w:val="none" w:sz="0" w:space="0" w:color="auto"/>
        <w:right w:val="none" w:sz="0" w:space="0" w:color="auto"/>
      </w:divBdr>
    </w:div>
    <w:div w:id="1090196270">
      <w:bodyDiv w:val="1"/>
      <w:marLeft w:val="0"/>
      <w:marRight w:val="0"/>
      <w:marTop w:val="0"/>
      <w:marBottom w:val="0"/>
      <w:divBdr>
        <w:top w:val="none" w:sz="0" w:space="0" w:color="auto"/>
        <w:left w:val="none" w:sz="0" w:space="0" w:color="auto"/>
        <w:bottom w:val="none" w:sz="0" w:space="0" w:color="auto"/>
        <w:right w:val="none" w:sz="0" w:space="0" w:color="auto"/>
      </w:divBdr>
    </w:div>
    <w:div w:id="1118599552">
      <w:bodyDiv w:val="1"/>
      <w:marLeft w:val="0"/>
      <w:marRight w:val="0"/>
      <w:marTop w:val="0"/>
      <w:marBottom w:val="0"/>
      <w:divBdr>
        <w:top w:val="none" w:sz="0" w:space="0" w:color="auto"/>
        <w:left w:val="none" w:sz="0" w:space="0" w:color="auto"/>
        <w:bottom w:val="none" w:sz="0" w:space="0" w:color="auto"/>
        <w:right w:val="none" w:sz="0" w:space="0" w:color="auto"/>
      </w:divBdr>
    </w:div>
    <w:div w:id="1140415762">
      <w:bodyDiv w:val="1"/>
      <w:marLeft w:val="0"/>
      <w:marRight w:val="0"/>
      <w:marTop w:val="0"/>
      <w:marBottom w:val="0"/>
      <w:divBdr>
        <w:top w:val="none" w:sz="0" w:space="0" w:color="auto"/>
        <w:left w:val="none" w:sz="0" w:space="0" w:color="auto"/>
        <w:bottom w:val="none" w:sz="0" w:space="0" w:color="auto"/>
        <w:right w:val="none" w:sz="0" w:space="0" w:color="auto"/>
      </w:divBdr>
    </w:div>
    <w:div w:id="1185168907">
      <w:bodyDiv w:val="1"/>
      <w:marLeft w:val="0"/>
      <w:marRight w:val="0"/>
      <w:marTop w:val="0"/>
      <w:marBottom w:val="0"/>
      <w:divBdr>
        <w:top w:val="none" w:sz="0" w:space="0" w:color="auto"/>
        <w:left w:val="none" w:sz="0" w:space="0" w:color="auto"/>
        <w:bottom w:val="none" w:sz="0" w:space="0" w:color="auto"/>
        <w:right w:val="none" w:sz="0" w:space="0" w:color="auto"/>
      </w:divBdr>
    </w:div>
    <w:div w:id="1185902066">
      <w:bodyDiv w:val="1"/>
      <w:marLeft w:val="0"/>
      <w:marRight w:val="0"/>
      <w:marTop w:val="0"/>
      <w:marBottom w:val="0"/>
      <w:divBdr>
        <w:top w:val="none" w:sz="0" w:space="0" w:color="auto"/>
        <w:left w:val="none" w:sz="0" w:space="0" w:color="auto"/>
        <w:bottom w:val="none" w:sz="0" w:space="0" w:color="auto"/>
        <w:right w:val="none" w:sz="0" w:space="0" w:color="auto"/>
      </w:divBdr>
    </w:div>
    <w:div w:id="1191575929">
      <w:bodyDiv w:val="1"/>
      <w:marLeft w:val="0"/>
      <w:marRight w:val="0"/>
      <w:marTop w:val="0"/>
      <w:marBottom w:val="0"/>
      <w:divBdr>
        <w:top w:val="none" w:sz="0" w:space="0" w:color="auto"/>
        <w:left w:val="none" w:sz="0" w:space="0" w:color="auto"/>
        <w:bottom w:val="none" w:sz="0" w:space="0" w:color="auto"/>
        <w:right w:val="none" w:sz="0" w:space="0" w:color="auto"/>
      </w:divBdr>
    </w:div>
    <w:div w:id="1270698345">
      <w:bodyDiv w:val="1"/>
      <w:marLeft w:val="0"/>
      <w:marRight w:val="0"/>
      <w:marTop w:val="0"/>
      <w:marBottom w:val="0"/>
      <w:divBdr>
        <w:top w:val="none" w:sz="0" w:space="0" w:color="auto"/>
        <w:left w:val="none" w:sz="0" w:space="0" w:color="auto"/>
        <w:bottom w:val="none" w:sz="0" w:space="0" w:color="auto"/>
        <w:right w:val="none" w:sz="0" w:space="0" w:color="auto"/>
      </w:divBdr>
    </w:div>
    <w:div w:id="1277371896">
      <w:bodyDiv w:val="1"/>
      <w:marLeft w:val="0"/>
      <w:marRight w:val="0"/>
      <w:marTop w:val="0"/>
      <w:marBottom w:val="0"/>
      <w:divBdr>
        <w:top w:val="none" w:sz="0" w:space="0" w:color="auto"/>
        <w:left w:val="none" w:sz="0" w:space="0" w:color="auto"/>
        <w:bottom w:val="none" w:sz="0" w:space="0" w:color="auto"/>
        <w:right w:val="none" w:sz="0" w:space="0" w:color="auto"/>
      </w:divBdr>
    </w:div>
    <w:div w:id="1278607884">
      <w:bodyDiv w:val="1"/>
      <w:marLeft w:val="0"/>
      <w:marRight w:val="0"/>
      <w:marTop w:val="0"/>
      <w:marBottom w:val="0"/>
      <w:divBdr>
        <w:top w:val="none" w:sz="0" w:space="0" w:color="auto"/>
        <w:left w:val="none" w:sz="0" w:space="0" w:color="auto"/>
        <w:bottom w:val="none" w:sz="0" w:space="0" w:color="auto"/>
        <w:right w:val="none" w:sz="0" w:space="0" w:color="auto"/>
      </w:divBdr>
    </w:div>
    <w:div w:id="1280919941">
      <w:bodyDiv w:val="1"/>
      <w:marLeft w:val="0"/>
      <w:marRight w:val="0"/>
      <w:marTop w:val="0"/>
      <w:marBottom w:val="0"/>
      <w:divBdr>
        <w:top w:val="none" w:sz="0" w:space="0" w:color="auto"/>
        <w:left w:val="none" w:sz="0" w:space="0" w:color="auto"/>
        <w:bottom w:val="none" w:sz="0" w:space="0" w:color="auto"/>
        <w:right w:val="none" w:sz="0" w:space="0" w:color="auto"/>
      </w:divBdr>
    </w:div>
    <w:div w:id="1286352972">
      <w:bodyDiv w:val="1"/>
      <w:marLeft w:val="0"/>
      <w:marRight w:val="0"/>
      <w:marTop w:val="0"/>
      <w:marBottom w:val="0"/>
      <w:divBdr>
        <w:top w:val="none" w:sz="0" w:space="0" w:color="auto"/>
        <w:left w:val="none" w:sz="0" w:space="0" w:color="auto"/>
        <w:bottom w:val="none" w:sz="0" w:space="0" w:color="auto"/>
        <w:right w:val="none" w:sz="0" w:space="0" w:color="auto"/>
      </w:divBdr>
    </w:div>
    <w:div w:id="1291715316">
      <w:bodyDiv w:val="1"/>
      <w:marLeft w:val="0"/>
      <w:marRight w:val="0"/>
      <w:marTop w:val="0"/>
      <w:marBottom w:val="0"/>
      <w:divBdr>
        <w:top w:val="none" w:sz="0" w:space="0" w:color="auto"/>
        <w:left w:val="none" w:sz="0" w:space="0" w:color="auto"/>
        <w:bottom w:val="none" w:sz="0" w:space="0" w:color="auto"/>
        <w:right w:val="none" w:sz="0" w:space="0" w:color="auto"/>
      </w:divBdr>
    </w:div>
    <w:div w:id="1304233683">
      <w:bodyDiv w:val="1"/>
      <w:marLeft w:val="0"/>
      <w:marRight w:val="0"/>
      <w:marTop w:val="0"/>
      <w:marBottom w:val="0"/>
      <w:divBdr>
        <w:top w:val="none" w:sz="0" w:space="0" w:color="auto"/>
        <w:left w:val="none" w:sz="0" w:space="0" w:color="auto"/>
        <w:bottom w:val="none" w:sz="0" w:space="0" w:color="auto"/>
        <w:right w:val="none" w:sz="0" w:space="0" w:color="auto"/>
      </w:divBdr>
    </w:div>
    <w:div w:id="1326205462">
      <w:bodyDiv w:val="1"/>
      <w:marLeft w:val="0"/>
      <w:marRight w:val="0"/>
      <w:marTop w:val="0"/>
      <w:marBottom w:val="0"/>
      <w:divBdr>
        <w:top w:val="none" w:sz="0" w:space="0" w:color="auto"/>
        <w:left w:val="none" w:sz="0" w:space="0" w:color="auto"/>
        <w:bottom w:val="none" w:sz="0" w:space="0" w:color="auto"/>
        <w:right w:val="none" w:sz="0" w:space="0" w:color="auto"/>
      </w:divBdr>
    </w:div>
    <w:div w:id="1334189371">
      <w:bodyDiv w:val="1"/>
      <w:marLeft w:val="0"/>
      <w:marRight w:val="0"/>
      <w:marTop w:val="0"/>
      <w:marBottom w:val="0"/>
      <w:divBdr>
        <w:top w:val="none" w:sz="0" w:space="0" w:color="auto"/>
        <w:left w:val="none" w:sz="0" w:space="0" w:color="auto"/>
        <w:bottom w:val="none" w:sz="0" w:space="0" w:color="auto"/>
        <w:right w:val="none" w:sz="0" w:space="0" w:color="auto"/>
      </w:divBdr>
    </w:div>
    <w:div w:id="1362783713">
      <w:bodyDiv w:val="1"/>
      <w:marLeft w:val="0"/>
      <w:marRight w:val="0"/>
      <w:marTop w:val="0"/>
      <w:marBottom w:val="0"/>
      <w:divBdr>
        <w:top w:val="none" w:sz="0" w:space="0" w:color="auto"/>
        <w:left w:val="none" w:sz="0" w:space="0" w:color="auto"/>
        <w:bottom w:val="none" w:sz="0" w:space="0" w:color="auto"/>
        <w:right w:val="none" w:sz="0" w:space="0" w:color="auto"/>
      </w:divBdr>
    </w:div>
    <w:div w:id="1363822603">
      <w:bodyDiv w:val="1"/>
      <w:marLeft w:val="0"/>
      <w:marRight w:val="0"/>
      <w:marTop w:val="0"/>
      <w:marBottom w:val="0"/>
      <w:divBdr>
        <w:top w:val="none" w:sz="0" w:space="0" w:color="auto"/>
        <w:left w:val="none" w:sz="0" w:space="0" w:color="auto"/>
        <w:bottom w:val="none" w:sz="0" w:space="0" w:color="auto"/>
        <w:right w:val="none" w:sz="0" w:space="0" w:color="auto"/>
      </w:divBdr>
    </w:div>
    <w:div w:id="1372144691">
      <w:bodyDiv w:val="1"/>
      <w:marLeft w:val="0"/>
      <w:marRight w:val="0"/>
      <w:marTop w:val="0"/>
      <w:marBottom w:val="0"/>
      <w:divBdr>
        <w:top w:val="none" w:sz="0" w:space="0" w:color="auto"/>
        <w:left w:val="none" w:sz="0" w:space="0" w:color="auto"/>
        <w:bottom w:val="none" w:sz="0" w:space="0" w:color="auto"/>
        <w:right w:val="none" w:sz="0" w:space="0" w:color="auto"/>
      </w:divBdr>
    </w:div>
    <w:div w:id="1378898588">
      <w:bodyDiv w:val="1"/>
      <w:marLeft w:val="0"/>
      <w:marRight w:val="0"/>
      <w:marTop w:val="0"/>
      <w:marBottom w:val="0"/>
      <w:divBdr>
        <w:top w:val="none" w:sz="0" w:space="0" w:color="auto"/>
        <w:left w:val="none" w:sz="0" w:space="0" w:color="auto"/>
        <w:bottom w:val="none" w:sz="0" w:space="0" w:color="auto"/>
        <w:right w:val="none" w:sz="0" w:space="0" w:color="auto"/>
      </w:divBdr>
    </w:div>
    <w:div w:id="1380129937">
      <w:bodyDiv w:val="1"/>
      <w:marLeft w:val="0"/>
      <w:marRight w:val="0"/>
      <w:marTop w:val="0"/>
      <w:marBottom w:val="0"/>
      <w:divBdr>
        <w:top w:val="none" w:sz="0" w:space="0" w:color="auto"/>
        <w:left w:val="none" w:sz="0" w:space="0" w:color="auto"/>
        <w:bottom w:val="none" w:sz="0" w:space="0" w:color="auto"/>
        <w:right w:val="none" w:sz="0" w:space="0" w:color="auto"/>
      </w:divBdr>
    </w:div>
    <w:div w:id="1391729164">
      <w:bodyDiv w:val="1"/>
      <w:marLeft w:val="0"/>
      <w:marRight w:val="0"/>
      <w:marTop w:val="0"/>
      <w:marBottom w:val="0"/>
      <w:divBdr>
        <w:top w:val="none" w:sz="0" w:space="0" w:color="auto"/>
        <w:left w:val="none" w:sz="0" w:space="0" w:color="auto"/>
        <w:bottom w:val="none" w:sz="0" w:space="0" w:color="auto"/>
        <w:right w:val="none" w:sz="0" w:space="0" w:color="auto"/>
      </w:divBdr>
    </w:div>
    <w:div w:id="1437213304">
      <w:bodyDiv w:val="1"/>
      <w:marLeft w:val="0"/>
      <w:marRight w:val="0"/>
      <w:marTop w:val="0"/>
      <w:marBottom w:val="0"/>
      <w:divBdr>
        <w:top w:val="none" w:sz="0" w:space="0" w:color="auto"/>
        <w:left w:val="none" w:sz="0" w:space="0" w:color="auto"/>
        <w:bottom w:val="none" w:sz="0" w:space="0" w:color="auto"/>
        <w:right w:val="none" w:sz="0" w:space="0" w:color="auto"/>
      </w:divBdr>
    </w:div>
    <w:div w:id="1443263524">
      <w:bodyDiv w:val="1"/>
      <w:marLeft w:val="0"/>
      <w:marRight w:val="0"/>
      <w:marTop w:val="0"/>
      <w:marBottom w:val="0"/>
      <w:divBdr>
        <w:top w:val="none" w:sz="0" w:space="0" w:color="auto"/>
        <w:left w:val="none" w:sz="0" w:space="0" w:color="auto"/>
        <w:bottom w:val="none" w:sz="0" w:space="0" w:color="auto"/>
        <w:right w:val="none" w:sz="0" w:space="0" w:color="auto"/>
      </w:divBdr>
    </w:div>
    <w:div w:id="1449743256">
      <w:bodyDiv w:val="1"/>
      <w:marLeft w:val="0"/>
      <w:marRight w:val="0"/>
      <w:marTop w:val="0"/>
      <w:marBottom w:val="0"/>
      <w:divBdr>
        <w:top w:val="none" w:sz="0" w:space="0" w:color="auto"/>
        <w:left w:val="none" w:sz="0" w:space="0" w:color="auto"/>
        <w:bottom w:val="none" w:sz="0" w:space="0" w:color="auto"/>
        <w:right w:val="none" w:sz="0" w:space="0" w:color="auto"/>
      </w:divBdr>
    </w:div>
    <w:div w:id="1456217756">
      <w:bodyDiv w:val="1"/>
      <w:marLeft w:val="0"/>
      <w:marRight w:val="0"/>
      <w:marTop w:val="0"/>
      <w:marBottom w:val="0"/>
      <w:divBdr>
        <w:top w:val="none" w:sz="0" w:space="0" w:color="auto"/>
        <w:left w:val="none" w:sz="0" w:space="0" w:color="auto"/>
        <w:bottom w:val="none" w:sz="0" w:space="0" w:color="auto"/>
        <w:right w:val="none" w:sz="0" w:space="0" w:color="auto"/>
      </w:divBdr>
    </w:div>
    <w:div w:id="1494711990">
      <w:bodyDiv w:val="1"/>
      <w:marLeft w:val="0"/>
      <w:marRight w:val="0"/>
      <w:marTop w:val="0"/>
      <w:marBottom w:val="0"/>
      <w:divBdr>
        <w:top w:val="none" w:sz="0" w:space="0" w:color="auto"/>
        <w:left w:val="none" w:sz="0" w:space="0" w:color="auto"/>
        <w:bottom w:val="none" w:sz="0" w:space="0" w:color="auto"/>
        <w:right w:val="none" w:sz="0" w:space="0" w:color="auto"/>
      </w:divBdr>
    </w:div>
    <w:div w:id="1532768268">
      <w:bodyDiv w:val="1"/>
      <w:marLeft w:val="0"/>
      <w:marRight w:val="0"/>
      <w:marTop w:val="0"/>
      <w:marBottom w:val="0"/>
      <w:divBdr>
        <w:top w:val="none" w:sz="0" w:space="0" w:color="auto"/>
        <w:left w:val="none" w:sz="0" w:space="0" w:color="auto"/>
        <w:bottom w:val="none" w:sz="0" w:space="0" w:color="auto"/>
        <w:right w:val="none" w:sz="0" w:space="0" w:color="auto"/>
      </w:divBdr>
    </w:div>
    <w:div w:id="1556701565">
      <w:bodyDiv w:val="1"/>
      <w:marLeft w:val="0"/>
      <w:marRight w:val="0"/>
      <w:marTop w:val="0"/>
      <w:marBottom w:val="0"/>
      <w:divBdr>
        <w:top w:val="none" w:sz="0" w:space="0" w:color="auto"/>
        <w:left w:val="none" w:sz="0" w:space="0" w:color="auto"/>
        <w:bottom w:val="none" w:sz="0" w:space="0" w:color="auto"/>
        <w:right w:val="none" w:sz="0" w:space="0" w:color="auto"/>
      </w:divBdr>
    </w:div>
    <w:div w:id="1559127297">
      <w:bodyDiv w:val="1"/>
      <w:marLeft w:val="0"/>
      <w:marRight w:val="0"/>
      <w:marTop w:val="0"/>
      <w:marBottom w:val="0"/>
      <w:divBdr>
        <w:top w:val="none" w:sz="0" w:space="0" w:color="auto"/>
        <w:left w:val="none" w:sz="0" w:space="0" w:color="auto"/>
        <w:bottom w:val="none" w:sz="0" w:space="0" w:color="auto"/>
        <w:right w:val="none" w:sz="0" w:space="0" w:color="auto"/>
      </w:divBdr>
    </w:div>
    <w:div w:id="1566060915">
      <w:bodyDiv w:val="1"/>
      <w:marLeft w:val="0"/>
      <w:marRight w:val="0"/>
      <w:marTop w:val="0"/>
      <w:marBottom w:val="0"/>
      <w:divBdr>
        <w:top w:val="none" w:sz="0" w:space="0" w:color="auto"/>
        <w:left w:val="none" w:sz="0" w:space="0" w:color="auto"/>
        <w:bottom w:val="none" w:sz="0" w:space="0" w:color="auto"/>
        <w:right w:val="none" w:sz="0" w:space="0" w:color="auto"/>
      </w:divBdr>
    </w:div>
    <w:div w:id="1599411408">
      <w:bodyDiv w:val="1"/>
      <w:marLeft w:val="0"/>
      <w:marRight w:val="0"/>
      <w:marTop w:val="0"/>
      <w:marBottom w:val="0"/>
      <w:divBdr>
        <w:top w:val="none" w:sz="0" w:space="0" w:color="auto"/>
        <w:left w:val="none" w:sz="0" w:space="0" w:color="auto"/>
        <w:bottom w:val="none" w:sz="0" w:space="0" w:color="auto"/>
        <w:right w:val="none" w:sz="0" w:space="0" w:color="auto"/>
      </w:divBdr>
    </w:div>
    <w:div w:id="1602109910">
      <w:bodyDiv w:val="1"/>
      <w:marLeft w:val="0"/>
      <w:marRight w:val="0"/>
      <w:marTop w:val="0"/>
      <w:marBottom w:val="0"/>
      <w:divBdr>
        <w:top w:val="none" w:sz="0" w:space="0" w:color="auto"/>
        <w:left w:val="none" w:sz="0" w:space="0" w:color="auto"/>
        <w:bottom w:val="none" w:sz="0" w:space="0" w:color="auto"/>
        <w:right w:val="none" w:sz="0" w:space="0" w:color="auto"/>
      </w:divBdr>
    </w:div>
    <w:div w:id="1609121733">
      <w:bodyDiv w:val="1"/>
      <w:marLeft w:val="0"/>
      <w:marRight w:val="0"/>
      <w:marTop w:val="0"/>
      <w:marBottom w:val="0"/>
      <w:divBdr>
        <w:top w:val="none" w:sz="0" w:space="0" w:color="auto"/>
        <w:left w:val="none" w:sz="0" w:space="0" w:color="auto"/>
        <w:bottom w:val="none" w:sz="0" w:space="0" w:color="auto"/>
        <w:right w:val="none" w:sz="0" w:space="0" w:color="auto"/>
      </w:divBdr>
    </w:div>
    <w:div w:id="1609922409">
      <w:bodyDiv w:val="1"/>
      <w:marLeft w:val="0"/>
      <w:marRight w:val="0"/>
      <w:marTop w:val="0"/>
      <w:marBottom w:val="0"/>
      <w:divBdr>
        <w:top w:val="none" w:sz="0" w:space="0" w:color="auto"/>
        <w:left w:val="none" w:sz="0" w:space="0" w:color="auto"/>
        <w:bottom w:val="none" w:sz="0" w:space="0" w:color="auto"/>
        <w:right w:val="none" w:sz="0" w:space="0" w:color="auto"/>
      </w:divBdr>
    </w:div>
    <w:div w:id="1622418321">
      <w:bodyDiv w:val="1"/>
      <w:marLeft w:val="0"/>
      <w:marRight w:val="0"/>
      <w:marTop w:val="0"/>
      <w:marBottom w:val="0"/>
      <w:divBdr>
        <w:top w:val="none" w:sz="0" w:space="0" w:color="auto"/>
        <w:left w:val="none" w:sz="0" w:space="0" w:color="auto"/>
        <w:bottom w:val="none" w:sz="0" w:space="0" w:color="auto"/>
        <w:right w:val="none" w:sz="0" w:space="0" w:color="auto"/>
      </w:divBdr>
    </w:div>
    <w:div w:id="1624458406">
      <w:bodyDiv w:val="1"/>
      <w:marLeft w:val="0"/>
      <w:marRight w:val="0"/>
      <w:marTop w:val="0"/>
      <w:marBottom w:val="0"/>
      <w:divBdr>
        <w:top w:val="none" w:sz="0" w:space="0" w:color="auto"/>
        <w:left w:val="none" w:sz="0" w:space="0" w:color="auto"/>
        <w:bottom w:val="none" w:sz="0" w:space="0" w:color="auto"/>
        <w:right w:val="none" w:sz="0" w:space="0" w:color="auto"/>
      </w:divBdr>
    </w:div>
    <w:div w:id="1636134357">
      <w:bodyDiv w:val="1"/>
      <w:marLeft w:val="0"/>
      <w:marRight w:val="0"/>
      <w:marTop w:val="0"/>
      <w:marBottom w:val="0"/>
      <w:divBdr>
        <w:top w:val="none" w:sz="0" w:space="0" w:color="auto"/>
        <w:left w:val="none" w:sz="0" w:space="0" w:color="auto"/>
        <w:bottom w:val="none" w:sz="0" w:space="0" w:color="auto"/>
        <w:right w:val="none" w:sz="0" w:space="0" w:color="auto"/>
      </w:divBdr>
    </w:div>
    <w:div w:id="1648588414">
      <w:bodyDiv w:val="1"/>
      <w:marLeft w:val="0"/>
      <w:marRight w:val="0"/>
      <w:marTop w:val="0"/>
      <w:marBottom w:val="0"/>
      <w:divBdr>
        <w:top w:val="none" w:sz="0" w:space="0" w:color="auto"/>
        <w:left w:val="none" w:sz="0" w:space="0" w:color="auto"/>
        <w:bottom w:val="none" w:sz="0" w:space="0" w:color="auto"/>
        <w:right w:val="none" w:sz="0" w:space="0" w:color="auto"/>
      </w:divBdr>
    </w:div>
    <w:div w:id="1682583421">
      <w:bodyDiv w:val="1"/>
      <w:marLeft w:val="0"/>
      <w:marRight w:val="0"/>
      <w:marTop w:val="0"/>
      <w:marBottom w:val="0"/>
      <w:divBdr>
        <w:top w:val="none" w:sz="0" w:space="0" w:color="auto"/>
        <w:left w:val="none" w:sz="0" w:space="0" w:color="auto"/>
        <w:bottom w:val="none" w:sz="0" w:space="0" w:color="auto"/>
        <w:right w:val="none" w:sz="0" w:space="0" w:color="auto"/>
      </w:divBdr>
    </w:div>
    <w:div w:id="1714505063">
      <w:bodyDiv w:val="1"/>
      <w:marLeft w:val="0"/>
      <w:marRight w:val="0"/>
      <w:marTop w:val="0"/>
      <w:marBottom w:val="0"/>
      <w:divBdr>
        <w:top w:val="none" w:sz="0" w:space="0" w:color="auto"/>
        <w:left w:val="none" w:sz="0" w:space="0" w:color="auto"/>
        <w:bottom w:val="none" w:sz="0" w:space="0" w:color="auto"/>
        <w:right w:val="none" w:sz="0" w:space="0" w:color="auto"/>
      </w:divBdr>
    </w:div>
    <w:div w:id="1743211427">
      <w:bodyDiv w:val="1"/>
      <w:marLeft w:val="0"/>
      <w:marRight w:val="0"/>
      <w:marTop w:val="0"/>
      <w:marBottom w:val="0"/>
      <w:divBdr>
        <w:top w:val="none" w:sz="0" w:space="0" w:color="auto"/>
        <w:left w:val="none" w:sz="0" w:space="0" w:color="auto"/>
        <w:bottom w:val="none" w:sz="0" w:space="0" w:color="auto"/>
        <w:right w:val="none" w:sz="0" w:space="0" w:color="auto"/>
      </w:divBdr>
    </w:div>
    <w:div w:id="1750080565">
      <w:bodyDiv w:val="1"/>
      <w:marLeft w:val="0"/>
      <w:marRight w:val="0"/>
      <w:marTop w:val="0"/>
      <w:marBottom w:val="0"/>
      <w:divBdr>
        <w:top w:val="none" w:sz="0" w:space="0" w:color="auto"/>
        <w:left w:val="none" w:sz="0" w:space="0" w:color="auto"/>
        <w:bottom w:val="none" w:sz="0" w:space="0" w:color="auto"/>
        <w:right w:val="none" w:sz="0" w:space="0" w:color="auto"/>
      </w:divBdr>
    </w:div>
    <w:div w:id="1763600311">
      <w:bodyDiv w:val="1"/>
      <w:marLeft w:val="0"/>
      <w:marRight w:val="0"/>
      <w:marTop w:val="0"/>
      <w:marBottom w:val="0"/>
      <w:divBdr>
        <w:top w:val="none" w:sz="0" w:space="0" w:color="auto"/>
        <w:left w:val="none" w:sz="0" w:space="0" w:color="auto"/>
        <w:bottom w:val="none" w:sz="0" w:space="0" w:color="auto"/>
        <w:right w:val="none" w:sz="0" w:space="0" w:color="auto"/>
      </w:divBdr>
    </w:div>
    <w:div w:id="1770158297">
      <w:bodyDiv w:val="1"/>
      <w:marLeft w:val="0"/>
      <w:marRight w:val="0"/>
      <w:marTop w:val="0"/>
      <w:marBottom w:val="0"/>
      <w:divBdr>
        <w:top w:val="none" w:sz="0" w:space="0" w:color="auto"/>
        <w:left w:val="none" w:sz="0" w:space="0" w:color="auto"/>
        <w:bottom w:val="none" w:sz="0" w:space="0" w:color="auto"/>
        <w:right w:val="none" w:sz="0" w:space="0" w:color="auto"/>
      </w:divBdr>
    </w:div>
    <w:div w:id="1771731399">
      <w:bodyDiv w:val="1"/>
      <w:marLeft w:val="0"/>
      <w:marRight w:val="0"/>
      <w:marTop w:val="0"/>
      <w:marBottom w:val="0"/>
      <w:divBdr>
        <w:top w:val="none" w:sz="0" w:space="0" w:color="auto"/>
        <w:left w:val="none" w:sz="0" w:space="0" w:color="auto"/>
        <w:bottom w:val="none" w:sz="0" w:space="0" w:color="auto"/>
        <w:right w:val="none" w:sz="0" w:space="0" w:color="auto"/>
      </w:divBdr>
    </w:div>
    <w:div w:id="1778787240">
      <w:bodyDiv w:val="1"/>
      <w:marLeft w:val="0"/>
      <w:marRight w:val="0"/>
      <w:marTop w:val="0"/>
      <w:marBottom w:val="0"/>
      <w:divBdr>
        <w:top w:val="none" w:sz="0" w:space="0" w:color="auto"/>
        <w:left w:val="none" w:sz="0" w:space="0" w:color="auto"/>
        <w:bottom w:val="none" w:sz="0" w:space="0" w:color="auto"/>
        <w:right w:val="none" w:sz="0" w:space="0" w:color="auto"/>
      </w:divBdr>
    </w:div>
    <w:div w:id="1780488952">
      <w:bodyDiv w:val="1"/>
      <w:marLeft w:val="0"/>
      <w:marRight w:val="0"/>
      <w:marTop w:val="0"/>
      <w:marBottom w:val="0"/>
      <w:divBdr>
        <w:top w:val="none" w:sz="0" w:space="0" w:color="auto"/>
        <w:left w:val="none" w:sz="0" w:space="0" w:color="auto"/>
        <w:bottom w:val="none" w:sz="0" w:space="0" w:color="auto"/>
        <w:right w:val="none" w:sz="0" w:space="0" w:color="auto"/>
      </w:divBdr>
    </w:div>
    <w:div w:id="1838304974">
      <w:bodyDiv w:val="1"/>
      <w:marLeft w:val="0"/>
      <w:marRight w:val="0"/>
      <w:marTop w:val="0"/>
      <w:marBottom w:val="0"/>
      <w:divBdr>
        <w:top w:val="none" w:sz="0" w:space="0" w:color="auto"/>
        <w:left w:val="none" w:sz="0" w:space="0" w:color="auto"/>
        <w:bottom w:val="none" w:sz="0" w:space="0" w:color="auto"/>
        <w:right w:val="none" w:sz="0" w:space="0" w:color="auto"/>
      </w:divBdr>
    </w:div>
    <w:div w:id="1877237206">
      <w:bodyDiv w:val="1"/>
      <w:marLeft w:val="0"/>
      <w:marRight w:val="0"/>
      <w:marTop w:val="0"/>
      <w:marBottom w:val="0"/>
      <w:divBdr>
        <w:top w:val="none" w:sz="0" w:space="0" w:color="auto"/>
        <w:left w:val="none" w:sz="0" w:space="0" w:color="auto"/>
        <w:bottom w:val="none" w:sz="0" w:space="0" w:color="auto"/>
        <w:right w:val="none" w:sz="0" w:space="0" w:color="auto"/>
      </w:divBdr>
    </w:div>
    <w:div w:id="1894384135">
      <w:bodyDiv w:val="1"/>
      <w:marLeft w:val="0"/>
      <w:marRight w:val="0"/>
      <w:marTop w:val="0"/>
      <w:marBottom w:val="0"/>
      <w:divBdr>
        <w:top w:val="none" w:sz="0" w:space="0" w:color="auto"/>
        <w:left w:val="none" w:sz="0" w:space="0" w:color="auto"/>
        <w:bottom w:val="none" w:sz="0" w:space="0" w:color="auto"/>
        <w:right w:val="none" w:sz="0" w:space="0" w:color="auto"/>
      </w:divBdr>
    </w:div>
    <w:div w:id="1908609682">
      <w:bodyDiv w:val="1"/>
      <w:marLeft w:val="0"/>
      <w:marRight w:val="0"/>
      <w:marTop w:val="0"/>
      <w:marBottom w:val="0"/>
      <w:divBdr>
        <w:top w:val="none" w:sz="0" w:space="0" w:color="auto"/>
        <w:left w:val="none" w:sz="0" w:space="0" w:color="auto"/>
        <w:bottom w:val="none" w:sz="0" w:space="0" w:color="auto"/>
        <w:right w:val="none" w:sz="0" w:space="0" w:color="auto"/>
      </w:divBdr>
    </w:div>
    <w:div w:id="1911188290">
      <w:bodyDiv w:val="1"/>
      <w:marLeft w:val="0"/>
      <w:marRight w:val="0"/>
      <w:marTop w:val="0"/>
      <w:marBottom w:val="0"/>
      <w:divBdr>
        <w:top w:val="none" w:sz="0" w:space="0" w:color="auto"/>
        <w:left w:val="none" w:sz="0" w:space="0" w:color="auto"/>
        <w:bottom w:val="none" w:sz="0" w:space="0" w:color="auto"/>
        <w:right w:val="none" w:sz="0" w:space="0" w:color="auto"/>
      </w:divBdr>
    </w:div>
    <w:div w:id="1930387181">
      <w:bodyDiv w:val="1"/>
      <w:marLeft w:val="0"/>
      <w:marRight w:val="0"/>
      <w:marTop w:val="0"/>
      <w:marBottom w:val="0"/>
      <w:divBdr>
        <w:top w:val="none" w:sz="0" w:space="0" w:color="auto"/>
        <w:left w:val="none" w:sz="0" w:space="0" w:color="auto"/>
        <w:bottom w:val="none" w:sz="0" w:space="0" w:color="auto"/>
        <w:right w:val="none" w:sz="0" w:space="0" w:color="auto"/>
      </w:divBdr>
    </w:div>
    <w:div w:id="2016688549">
      <w:bodyDiv w:val="1"/>
      <w:marLeft w:val="0"/>
      <w:marRight w:val="0"/>
      <w:marTop w:val="0"/>
      <w:marBottom w:val="0"/>
      <w:divBdr>
        <w:top w:val="none" w:sz="0" w:space="0" w:color="auto"/>
        <w:left w:val="none" w:sz="0" w:space="0" w:color="auto"/>
        <w:bottom w:val="none" w:sz="0" w:space="0" w:color="auto"/>
        <w:right w:val="none" w:sz="0" w:space="0" w:color="auto"/>
      </w:divBdr>
    </w:div>
    <w:div w:id="2034917021">
      <w:bodyDiv w:val="1"/>
      <w:marLeft w:val="0"/>
      <w:marRight w:val="0"/>
      <w:marTop w:val="0"/>
      <w:marBottom w:val="0"/>
      <w:divBdr>
        <w:top w:val="none" w:sz="0" w:space="0" w:color="auto"/>
        <w:left w:val="none" w:sz="0" w:space="0" w:color="auto"/>
        <w:bottom w:val="none" w:sz="0" w:space="0" w:color="auto"/>
        <w:right w:val="none" w:sz="0" w:space="0" w:color="auto"/>
      </w:divBdr>
    </w:div>
    <w:div w:id="2035881054">
      <w:bodyDiv w:val="1"/>
      <w:marLeft w:val="0"/>
      <w:marRight w:val="0"/>
      <w:marTop w:val="0"/>
      <w:marBottom w:val="0"/>
      <w:divBdr>
        <w:top w:val="none" w:sz="0" w:space="0" w:color="auto"/>
        <w:left w:val="none" w:sz="0" w:space="0" w:color="auto"/>
        <w:bottom w:val="none" w:sz="0" w:space="0" w:color="auto"/>
        <w:right w:val="none" w:sz="0" w:space="0" w:color="auto"/>
      </w:divBdr>
    </w:div>
    <w:div w:id="2088962176">
      <w:bodyDiv w:val="1"/>
      <w:marLeft w:val="0"/>
      <w:marRight w:val="0"/>
      <w:marTop w:val="0"/>
      <w:marBottom w:val="0"/>
      <w:divBdr>
        <w:top w:val="none" w:sz="0" w:space="0" w:color="auto"/>
        <w:left w:val="none" w:sz="0" w:space="0" w:color="auto"/>
        <w:bottom w:val="none" w:sz="0" w:space="0" w:color="auto"/>
        <w:right w:val="none" w:sz="0" w:space="0" w:color="auto"/>
      </w:divBdr>
    </w:div>
    <w:div w:id="2095392657">
      <w:bodyDiv w:val="1"/>
      <w:marLeft w:val="0"/>
      <w:marRight w:val="0"/>
      <w:marTop w:val="0"/>
      <w:marBottom w:val="0"/>
      <w:divBdr>
        <w:top w:val="none" w:sz="0" w:space="0" w:color="auto"/>
        <w:left w:val="none" w:sz="0" w:space="0" w:color="auto"/>
        <w:bottom w:val="none" w:sz="0" w:space="0" w:color="auto"/>
        <w:right w:val="none" w:sz="0" w:space="0" w:color="auto"/>
      </w:divBdr>
    </w:div>
    <w:div w:id="2106537953">
      <w:bodyDiv w:val="1"/>
      <w:marLeft w:val="0"/>
      <w:marRight w:val="0"/>
      <w:marTop w:val="0"/>
      <w:marBottom w:val="0"/>
      <w:divBdr>
        <w:top w:val="none" w:sz="0" w:space="0" w:color="auto"/>
        <w:left w:val="none" w:sz="0" w:space="0" w:color="auto"/>
        <w:bottom w:val="none" w:sz="0" w:space="0" w:color="auto"/>
        <w:right w:val="none" w:sz="0" w:space="0" w:color="auto"/>
      </w:divBdr>
    </w:div>
    <w:div w:id="210845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ccrm@ccrm.md"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MD"/>
              <a:t>Evoluția</a:t>
            </a:r>
            <a:r>
              <a:rPr lang="ro-MD" baseline="0"/>
              <a:t> executării cheltuielilor în anii 2015-2019, mii lei</a:t>
            </a:r>
            <a:endParaRPr lang="en-US"/>
          </a:p>
        </c:rich>
      </c:tx>
      <c:overlay val="0"/>
      <c:spPr>
        <a:noFill/>
        <a:ln>
          <a:noFill/>
        </a:ln>
        <a:effectLst/>
      </c:spPr>
    </c:title>
    <c:autoTitleDeleted val="0"/>
    <c:plotArea>
      <c:layout/>
      <c:barChart>
        <c:barDir val="col"/>
        <c:grouping val="stacked"/>
        <c:varyColors val="0"/>
        <c:ser>
          <c:idx val="0"/>
          <c:order val="0"/>
          <c:tx>
            <c:strRef>
              <c:f>Sheet1!$B$1</c:f>
              <c:strCache>
                <c:ptCount val="1"/>
                <c:pt idx="0">
                  <c:v>Fondul de remunerare a muncii</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3111.31</c:v>
                </c:pt>
                <c:pt idx="1">
                  <c:v>3879.55</c:v>
                </c:pt>
                <c:pt idx="2">
                  <c:v>3667.21</c:v>
                </c:pt>
                <c:pt idx="3">
                  <c:v>3514.86</c:v>
                </c:pt>
                <c:pt idx="4">
                  <c:v>3383.49</c:v>
                </c:pt>
              </c:numCache>
            </c:numRef>
          </c:val>
          <c:extLst>
            <c:ext xmlns:c16="http://schemas.microsoft.com/office/drawing/2014/chart" uri="{C3380CC4-5D6E-409C-BE32-E72D297353CC}">
              <c16:uniqueId val="{00000000-829A-460D-8D9F-5F1FB9C34A09}"/>
            </c:ext>
          </c:extLst>
        </c:ser>
        <c:ser>
          <c:idx val="1"/>
          <c:order val="1"/>
          <c:tx>
            <c:strRef>
              <c:f>Sheet1!$C$1</c:f>
              <c:strCache>
                <c:ptCount val="1"/>
                <c:pt idx="0">
                  <c:v>Alte cheltuieli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2015</c:v>
                </c:pt>
                <c:pt idx="1">
                  <c:v>2016</c:v>
                </c:pt>
                <c:pt idx="2">
                  <c:v>2017</c:v>
                </c:pt>
                <c:pt idx="3">
                  <c:v>2018</c:v>
                </c:pt>
                <c:pt idx="4">
                  <c:v>2019</c:v>
                </c:pt>
              </c:numCache>
            </c:numRef>
          </c:cat>
          <c:val>
            <c:numRef>
              <c:f>Sheet1!$C$2:$C$6</c:f>
              <c:numCache>
                <c:formatCode>General</c:formatCode>
                <c:ptCount val="5"/>
                <c:pt idx="0">
                  <c:v>552.11</c:v>
                </c:pt>
                <c:pt idx="1">
                  <c:v>578.13</c:v>
                </c:pt>
                <c:pt idx="2">
                  <c:v>595.41999999999996</c:v>
                </c:pt>
                <c:pt idx="3">
                  <c:v>914.48</c:v>
                </c:pt>
                <c:pt idx="4">
                  <c:v>837.46</c:v>
                </c:pt>
              </c:numCache>
            </c:numRef>
          </c:val>
          <c:extLst>
            <c:ext xmlns:c16="http://schemas.microsoft.com/office/drawing/2014/chart" uri="{C3380CC4-5D6E-409C-BE32-E72D297353CC}">
              <c16:uniqueId val="{00000001-829A-460D-8D9F-5F1FB9C34A09}"/>
            </c:ext>
          </c:extLst>
        </c:ser>
        <c:dLbls>
          <c:showLegendKey val="0"/>
          <c:showVal val="0"/>
          <c:showCatName val="0"/>
          <c:showSerName val="0"/>
          <c:showPercent val="0"/>
          <c:showBubbleSize val="0"/>
        </c:dLbls>
        <c:gapWidth val="219"/>
        <c:overlap val="100"/>
        <c:axId val="1988102496"/>
        <c:axId val="1988096672"/>
      </c:barChart>
      <c:lineChart>
        <c:grouping val="standard"/>
        <c:varyColors val="0"/>
        <c:ser>
          <c:idx val="2"/>
          <c:order val="2"/>
          <c:tx>
            <c:strRef>
              <c:f>Sheet1!$D$1</c:f>
              <c:strCache>
                <c:ptCount val="1"/>
                <c:pt idx="0">
                  <c:v>Total cheltuieli executate</c:v>
                </c:pt>
              </c:strCache>
            </c:strRef>
          </c:tx>
          <c:spPr>
            <a:ln w="28575" cap="rnd">
              <a:solidFill>
                <a:schemeClr val="accent3">
                  <a:lumMod val="60000"/>
                  <a:lumOff val="40000"/>
                </a:schemeClr>
              </a:solidFill>
              <a:round/>
            </a:ln>
            <a:effectLst/>
          </c:spPr>
          <c:marker>
            <c:symbol val="none"/>
          </c:marker>
          <c:dLbls>
            <c:dLbl>
              <c:idx val="0"/>
              <c:layout>
                <c:manualLayout>
                  <c:x val="-6.0185185185185182E-2"/>
                  <c:y val="-6.99902235374941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29A-460D-8D9F-5F1FB9C34A09}"/>
                </c:ext>
              </c:extLst>
            </c:dLbl>
            <c:dLbl>
              <c:idx val="1"/>
              <c:layout>
                <c:manualLayout>
                  <c:x val="-5.0925925925925923E-2"/>
                  <c:y val="-6.3678680265637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29A-460D-8D9F-5F1FB9C34A09}"/>
                </c:ext>
              </c:extLst>
            </c:dLbl>
            <c:dLbl>
              <c:idx val="2"/>
              <c:layout>
                <c:manualLayout>
                  <c:x val="-5.3240740740740741E-2"/>
                  <c:y val="-7.3958498476281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29A-460D-8D9F-5F1FB9C34A09}"/>
                </c:ext>
              </c:extLst>
            </c:dLbl>
            <c:dLbl>
              <c:idx val="3"/>
              <c:layout>
                <c:manualLayout>
                  <c:x val="-4.8611111111111112E-2"/>
                  <c:y val="-6.04291074353961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29A-460D-8D9F-5F1FB9C34A09}"/>
                </c:ext>
              </c:extLst>
            </c:dLbl>
            <c:dLbl>
              <c:idx val="4"/>
              <c:layout>
                <c:manualLayout>
                  <c:x val="-5.3240740740740908E-2"/>
                  <c:y val="-6.7646955204424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29A-460D-8D9F-5F1FB9C34A09}"/>
                </c:ext>
              </c:extLst>
            </c:dLbl>
            <c:numFmt formatCode="General" sourceLinked="0"/>
            <c:spPr>
              <a:noFill/>
              <a:ln>
                <a:solidFill>
                  <a:schemeClr val="bg2">
                    <a:lumMod val="75000"/>
                  </a:schemeClr>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2015</c:v>
                </c:pt>
                <c:pt idx="1">
                  <c:v>2016</c:v>
                </c:pt>
                <c:pt idx="2">
                  <c:v>2017</c:v>
                </c:pt>
                <c:pt idx="3">
                  <c:v>2018</c:v>
                </c:pt>
                <c:pt idx="4">
                  <c:v>2019</c:v>
                </c:pt>
              </c:numCache>
            </c:numRef>
          </c:cat>
          <c:val>
            <c:numRef>
              <c:f>Sheet1!$D$2:$D$6</c:f>
              <c:numCache>
                <c:formatCode>General</c:formatCode>
                <c:ptCount val="5"/>
                <c:pt idx="0">
                  <c:v>3663.42</c:v>
                </c:pt>
                <c:pt idx="1">
                  <c:v>4457.68</c:v>
                </c:pt>
                <c:pt idx="2">
                  <c:v>4262.63</c:v>
                </c:pt>
                <c:pt idx="3">
                  <c:v>4429.34</c:v>
                </c:pt>
                <c:pt idx="4">
                  <c:v>4220.95</c:v>
                </c:pt>
              </c:numCache>
            </c:numRef>
          </c:val>
          <c:smooth val="0"/>
          <c:extLst>
            <c:ext xmlns:c16="http://schemas.microsoft.com/office/drawing/2014/chart" uri="{C3380CC4-5D6E-409C-BE32-E72D297353CC}">
              <c16:uniqueId val="{00000002-829A-460D-8D9F-5F1FB9C34A09}"/>
            </c:ext>
          </c:extLst>
        </c:ser>
        <c:dLbls>
          <c:showLegendKey val="0"/>
          <c:showVal val="0"/>
          <c:showCatName val="0"/>
          <c:showSerName val="0"/>
          <c:showPercent val="0"/>
          <c:showBubbleSize val="0"/>
        </c:dLbls>
        <c:marker val="1"/>
        <c:smooth val="0"/>
        <c:axId val="1988102496"/>
        <c:axId val="1988096672"/>
      </c:lineChart>
      <c:catAx>
        <c:axId val="198810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8096672"/>
        <c:crosses val="autoZero"/>
        <c:auto val="1"/>
        <c:lblAlgn val="ctr"/>
        <c:lblOffset val="100"/>
        <c:noMultiLvlLbl val="0"/>
      </c:catAx>
      <c:valAx>
        <c:axId val="1988096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en-US"/>
          </a:p>
        </c:txPr>
        <c:crossAx val="1988102496"/>
        <c:crosses val="autoZero"/>
        <c:crossBetween val="between"/>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a:t>
            </a:r>
            <a:r>
              <a:rPr lang="ro-MD"/>
              <a:t>ț</a:t>
            </a:r>
            <a:r>
              <a:rPr lang="en-US"/>
              <a:t>ia</a:t>
            </a:r>
            <a:r>
              <a:rPr lang="en-US" baseline="0"/>
              <a:t> ratelor </a:t>
            </a:r>
            <a:r>
              <a:rPr lang="ro-MD" baseline="0"/>
              <a:t>medii </a:t>
            </a:r>
            <a:r>
              <a:rPr lang="en-US" baseline="0"/>
              <a:t>de dob</a:t>
            </a:r>
            <a:r>
              <a:rPr lang="ro-MD" baseline="0"/>
              <a:t>ândă la Proiectele investiționale administrate de DLC</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268580180690775E-2"/>
          <c:y val="0.25083333333333335"/>
          <c:w val="0.90588223387243672"/>
          <c:h val="0.5358639545056868"/>
        </c:manualLayout>
      </c:layout>
      <c:lineChart>
        <c:grouping val="standard"/>
        <c:varyColors val="0"/>
        <c:ser>
          <c:idx val="0"/>
          <c:order val="0"/>
          <c:tx>
            <c:strRef>
              <c:f>Diagrama!$B$1</c:f>
              <c:strCache>
                <c:ptCount val="1"/>
                <c:pt idx="0">
                  <c:v>MDL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5.8333333333333383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B4-4177-8BE1-040545A76203}"/>
                </c:ext>
              </c:extLst>
            </c:dLbl>
            <c:dLbl>
              <c:idx val="1"/>
              <c:layout>
                <c:manualLayout>
                  <c:x val="-6.3888888888888884E-2"/>
                  <c:y val="-4.6296296296296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2B4-4177-8BE1-040545A76203}"/>
                </c:ext>
              </c:extLst>
            </c:dLbl>
            <c:dLbl>
              <c:idx val="2"/>
              <c:layout>
                <c:manualLayout>
                  <c:x val="-0.05"/>
                  <c:y val="4.6296296296296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2B4-4177-8BE1-040545A76203}"/>
                </c:ext>
              </c:extLst>
            </c:dLbl>
            <c:dLbl>
              <c:idx val="3"/>
              <c:layout>
                <c:manualLayout>
                  <c:x val="-4.1666666666666664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2B4-4177-8BE1-040545A76203}"/>
                </c:ext>
              </c:extLst>
            </c:dLbl>
            <c:dLbl>
              <c:idx val="4"/>
              <c:layout>
                <c:manualLayout>
                  <c:x val="-2.7777777777777776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2B4-4177-8BE1-040545A7620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Diagrama!$A$2:$A$6</c:f>
              <c:numCache>
                <c:formatCode>General</c:formatCode>
                <c:ptCount val="5"/>
                <c:pt idx="0">
                  <c:v>2015</c:v>
                </c:pt>
                <c:pt idx="1">
                  <c:v>2016</c:v>
                </c:pt>
                <c:pt idx="2">
                  <c:v>2017</c:v>
                </c:pt>
                <c:pt idx="3">
                  <c:v>2018</c:v>
                </c:pt>
                <c:pt idx="4">
                  <c:v>2019</c:v>
                </c:pt>
              </c:numCache>
            </c:numRef>
          </c:cat>
          <c:val>
            <c:numRef>
              <c:f>Diagrama!$B$2:$B$6</c:f>
              <c:numCache>
                <c:formatCode>0.00</c:formatCode>
                <c:ptCount val="5"/>
                <c:pt idx="0">
                  <c:v>5.8970833333333319</c:v>
                </c:pt>
                <c:pt idx="1">
                  <c:v>6.8719230769230775</c:v>
                </c:pt>
                <c:pt idx="2">
                  <c:v>7.7800000000000011</c:v>
                </c:pt>
                <c:pt idx="3">
                  <c:v>7.2465217391304328</c:v>
                </c:pt>
                <c:pt idx="4">
                  <c:v>5.480434782608695</c:v>
                </c:pt>
              </c:numCache>
            </c:numRef>
          </c:val>
          <c:smooth val="0"/>
          <c:extLst>
            <c:ext xmlns:c16="http://schemas.microsoft.com/office/drawing/2014/chart" uri="{C3380CC4-5D6E-409C-BE32-E72D297353CC}">
              <c16:uniqueId val="{00000005-82B4-4177-8BE1-040545A76203}"/>
            </c:ext>
          </c:extLst>
        </c:ser>
        <c:ser>
          <c:idx val="1"/>
          <c:order val="1"/>
          <c:tx>
            <c:strRef>
              <c:f>Diagrama!$C$1</c:f>
              <c:strCache>
                <c:ptCount val="1"/>
                <c:pt idx="0">
                  <c:v>Dol.SUA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166666666666672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2B4-4177-8BE1-040545A76203}"/>
                </c:ext>
              </c:extLst>
            </c:dLbl>
            <c:dLbl>
              <c:idx val="1"/>
              <c:layout>
                <c:manualLayout>
                  <c:x val="-0.05"/>
                  <c:y val="-4.16666666666667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2B4-4177-8BE1-040545A76203}"/>
                </c:ext>
              </c:extLst>
            </c:dLbl>
            <c:dLbl>
              <c:idx val="2"/>
              <c:layout>
                <c:manualLayout>
                  <c:x val="-4.7222222222222221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2B4-4177-8BE1-040545A76203}"/>
                </c:ext>
              </c:extLst>
            </c:dLbl>
            <c:dLbl>
              <c:idx val="3"/>
              <c:layout>
                <c:manualLayout>
                  <c:x val="-4.4444444444444446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2B4-4177-8BE1-040545A76203}"/>
                </c:ext>
              </c:extLst>
            </c:dLbl>
            <c:dLbl>
              <c:idx val="4"/>
              <c:layout>
                <c:manualLayout>
                  <c:x val="-4.4444444444444647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2B4-4177-8BE1-040545A7620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Diagrama!$A$2:$A$6</c:f>
              <c:numCache>
                <c:formatCode>General</c:formatCode>
                <c:ptCount val="5"/>
                <c:pt idx="0">
                  <c:v>2015</c:v>
                </c:pt>
                <c:pt idx="1">
                  <c:v>2016</c:v>
                </c:pt>
                <c:pt idx="2">
                  <c:v>2017</c:v>
                </c:pt>
                <c:pt idx="3">
                  <c:v>2018</c:v>
                </c:pt>
                <c:pt idx="4">
                  <c:v>2019</c:v>
                </c:pt>
              </c:numCache>
            </c:numRef>
          </c:cat>
          <c:val>
            <c:numRef>
              <c:f>Diagrama!$C$2:$C$6</c:f>
              <c:numCache>
                <c:formatCode>0.00</c:formatCode>
                <c:ptCount val="5"/>
                <c:pt idx="0">
                  <c:v>1.5135000000000001</c:v>
                </c:pt>
                <c:pt idx="1">
                  <c:v>1.7690909090909086</c:v>
                </c:pt>
                <c:pt idx="2">
                  <c:v>2.0359090909090907</c:v>
                </c:pt>
                <c:pt idx="3">
                  <c:v>3.4626315789473678</c:v>
                </c:pt>
                <c:pt idx="4">
                  <c:v>3.9431578947368422</c:v>
                </c:pt>
              </c:numCache>
            </c:numRef>
          </c:val>
          <c:smooth val="0"/>
          <c:extLst>
            <c:ext xmlns:c16="http://schemas.microsoft.com/office/drawing/2014/chart" uri="{C3380CC4-5D6E-409C-BE32-E72D297353CC}">
              <c16:uniqueId val="{0000000B-82B4-4177-8BE1-040545A76203}"/>
            </c:ext>
          </c:extLst>
        </c:ser>
        <c:ser>
          <c:idx val="2"/>
          <c:order val="2"/>
          <c:tx>
            <c:strRef>
              <c:f>Diagrama!$D$1</c:f>
              <c:strCache>
                <c:ptCount val="1"/>
                <c:pt idx="0">
                  <c:v>Euro</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2.7777777777777828E-2"/>
                  <c:y val="-5.0925925925926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2B4-4177-8BE1-040545A76203}"/>
                </c:ext>
              </c:extLst>
            </c:dLbl>
            <c:dLbl>
              <c:idx val="1"/>
              <c:layout>
                <c:manualLayout>
                  <c:x val="-4.7222222222222221E-2"/>
                  <c:y val="4.16666666666665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2B4-4177-8BE1-040545A76203}"/>
                </c:ext>
              </c:extLst>
            </c:dLbl>
            <c:dLbl>
              <c:idx val="2"/>
              <c:layout>
                <c:manualLayout>
                  <c:x val="-1.1111111111111112E-2"/>
                  <c:y val="-3.703703703703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2B4-4177-8BE1-040545A76203}"/>
                </c:ext>
              </c:extLst>
            </c:dLbl>
            <c:dLbl>
              <c:idx val="3"/>
              <c:layout>
                <c:manualLayout>
                  <c:x val="-3.6111111111111108E-2"/>
                  <c:y val="-5.0925925925926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2B4-4177-8BE1-040545A76203}"/>
                </c:ext>
              </c:extLst>
            </c:dLbl>
            <c:dLbl>
              <c:idx val="4"/>
              <c:layout>
                <c:manualLayout>
                  <c:x val="-5.00000000000001E-2"/>
                  <c:y val="-4.6296296296296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2B4-4177-8BE1-040545A7620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Diagrama!$A$2:$A$6</c:f>
              <c:numCache>
                <c:formatCode>General</c:formatCode>
                <c:ptCount val="5"/>
                <c:pt idx="0">
                  <c:v>2015</c:v>
                </c:pt>
                <c:pt idx="1">
                  <c:v>2016</c:v>
                </c:pt>
                <c:pt idx="2">
                  <c:v>2017</c:v>
                </c:pt>
                <c:pt idx="3">
                  <c:v>2018</c:v>
                </c:pt>
                <c:pt idx="4">
                  <c:v>2019</c:v>
                </c:pt>
              </c:numCache>
            </c:numRef>
          </c:cat>
          <c:val>
            <c:numRef>
              <c:f>Diagrama!$D$2:$D$6</c:f>
              <c:numCache>
                <c:formatCode>0.00</c:formatCode>
                <c:ptCount val="5"/>
                <c:pt idx="0">
                  <c:v>1.5278571428571428</c:v>
                </c:pt>
                <c:pt idx="1">
                  <c:v>1.5037500000000001</c:v>
                </c:pt>
                <c:pt idx="2">
                  <c:v>1.3394444444444449</c:v>
                </c:pt>
                <c:pt idx="3">
                  <c:v>1.3444444444444448</c:v>
                </c:pt>
                <c:pt idx="4">
                  <c:v>1.3316666666666668</c:v>
                </c:pt>
              </c:numCache>
            </c:numRef>
          </c:val>
          <c:smooth val="0"/>
          <c:extLst>
            <c:ext xmlns:c16="http://schemas.microsoft.com/office/drawing/2014/chart" uri="{C3380CC4-5D6E-409C-BE32-E72D297353CC}">
              <c16:uniqueId val="{00000011-82B4-4177-8BE1-040545A76203}"/>
            </c:ext>
          </c:extLst>
        </c:ser>
        <c:dLbls>
          <c:showLegendKey val="0"/>
          <c:showVal val="0"/>
          <c:showCatName val="0"/>
          <c:showSerName val="0"/>
          <c:showPercent val="0"/>
          <c:showBubbleSize val="0"/>
        </c:dLbls>
        <c:marker val="1"/>
        <c:smooth val="0"/>
        <c:axId val="938063855"/>
        <c:axId val="938065519"/>
      </c:lineChart>
      <c:catAx>
        <c:axId val="9380638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938065519"/>
        <c:crosses val="autoZero"/>
        <c:auto val="1"/>
        <c:lblAlgn val="ctr"/>
        <c:lblOffset val="100"/>
        <c:noMultiLvlLbl val="0"/>
      </c:catAx>
      <c:valAx>
        <c:axId val="938065519"/>
        <c:scaling>
          <c:orientation val="minMax"/>
          <c:max val="8"/>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9380638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a:t>Numărul beneficiarilor de sub-împrumuturi</a:t>
            </a:r>
            <a:r>
              <a:rPr lang="ro-MD"/>
              <a:t> recreditați din mijloacele circulante ale</a:t>
            </a:r>
            <a:r>
              <a:rPr lang="ro-MD" baseline="0"/>
              <a:t> Priectului FIDA I</a:t>
            </a:r>
            <a:endParaRPr lang="en-US"/>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Sheet1!$B$1</c:f>
              <c:strCache>
                <c:ptCount val="1"/>
                <c:pt idx="0">
                  <c:v>Numărul beneficiarilor de sub-împrumuturi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7037037037037056E-2"/>
                  <c:y val="-4.76190476190476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72-4851-8DB3-8BC8CA2ECFF5}"/>
                </c:ext>
              </c:extLst>
            </c:dLbl>
            <c:dLbl>
              <c:idx val="1"/>
              <c:layout>
                <c:manualLayout>
                  <c:x val="-3.0092592592592591E-2"/>
                  <c:y val="4.36507936507935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72-4851-8DB3-8BC8CA2ECFF5}"/>
                </c:ext>
              </c:extLst>
            </c:dLbl>
            <c:dLbl>
              <c:idx val="2"/>
              <c:layout>
                <c:manualLayout>
                  <c:x val="-3.0092592592592591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72-4851-8DB3-8BC8CA2ECFF5}"/>
                </c:ext>
              </c:extLst>
            </c:dLbl>
            <c:dLbl>
              <c:idx val="3"/>
              <c:layout>
                <c:manualLayout>
                  <c:x val="-3.2407407407407406E-2"/>
                  <c:y val="4.36507936507935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72-4851-8DB3-8BC8CA2ECFF5}"/>
                </c:ext>
              </c:extLst>
            </c:dLbl>
            <c:dLbl>
              <c:idx val="4"/>
              <c:layout>
                <c:manualLayout>
                  <c:x val="-3.0092592592592591E-2"/>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72-4851-8DB3-8BC8CA2ECFF5}"/>
                </c:ext>
              </c:extLst>
            </c:dLbl>
            <c:dLbl>
              <c:idx val="5"/>
              <c:layout>
                <c:manualLayout>
                  <c:x val="-2.7777777777777776E-2"/>
                  <c:y val="3.57142857142855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72-4851-8DB3-8BC8CA2ECFF5}"/>
                </c:ext>
              </c:extLst>
            </c:dLbl>
            <c:dLbl>
              <c:idx val="6"/>
              <c:layout>
                <c:manualLayout>
                  <c:x val="-3.7037037037037035E-2"/>
                  <c:y val="-4.36507936507937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B72-4851-8DB3-8BC8CA2ECFF5}"/>
                </c:ext>
              </c:extLst>
            </c:dLbl>
            <c:dLbl>
              <c:idx val="7"/>
              <c:layout>
                <c:manualLayout>
                  <c:x val="-2.7777777777777776E-2"/>
                  <c:y val="4.36507936507937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B72-4851-8DB3-8BC8CA2ECFF5}"/>
                </c:ext>
              </c:extLst>
            </c:dLbl>
            <c:dLbl>
              <c:idx val="8"/>
              <c:layout>
                <c:manualLayout>
                  <c:x val="-2.9069767441860465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B72-4851-8DB3-8BC8CA2ECFF5}"/>
                </c:ext>
              </c:extLst>
            </c:dLbl>
            <c:dLbl>
              <c:idx val="9"/>
              <c:layout>
                <c:manualLayout>
                  <c:x val="-5.7870370370370371E-2"/>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B72-4851-8DB3-8BC8CA2ECFF5}"/>
                </c:ext>
              </c:extLst>
            </c:dLbl>
            <c:dLbl>
              <c:idx val="10"/>
              <c:layout>
                <c:manualLayout>
                  <c:x val="-3.7037037037037125E-2"/>
                  <c:y val="-4.3650793650793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B72-4851-8DB3-8BC8CA2ECFF5}"/>
                </c:ext>
              </c:extLst>
            </c:dLbl>
            <c:dLbl>
              <c:idx val="13"/>
              <c:layout>
                <c:manualLayout>
                  <c:x val="-6.6752799310938998E-2"/>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B72-4851-8DB3-8BC8CA2ECFF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Sheet1!$B$2:$B$15</c:f>
              <c:numCache>
                <c:formatCode>General</c:formatCode>
                <c:ptCount val="14"/>
                <c:pt idx="0">
                  <c:v>71</c:v>
                </c:pt>
                <c:pt idx="1">
                  <c:v>61</c:v>
                </c:pt>
                <c:pt idx="2">
                  <c:v>66</c:v>
                </c:pt>
                <c:pt idx="3">
                  <c:v>53</c:v>
                </c:pt>
                <c:pt idx="4">
                  <c:v>47</c:v>
                </c:pt>
                <c:pt idx="5">
                  <c:v>47</c:v>
                </c:pt>
                <c:pt idx="6">
                  <c:v>65</c:v>
                </c:pt>
                <c:pt idx="7">
                  <c:v>57</c:v>
                </c:pt>
                <c:pt idx="8">
                  <c:v>50</c:v>
                </c:pt>
                <c:pt idx="9">
                  <c:v>102</c:v>
                </c:pt>
                <c:pt idx="10">
                  <c:v>135</c:v>
                </c:pt>
                <c:pt idx="11">
                  <c:v>7</c:v>
                </c:pt>
                <c:pt idx="12">
                  <c:v>58</c:v>
                </c:pt>
                <c:pt idx="13">
                  <c:v>235</c:v>
                </c:pt>
              </c:numCache>
            </c:numRef>
          </c:val>
          <c:smooth val="0"/>
          <c:extLst>
            <c:ext xmlns:c16="http://schemas.microsoft.com/office/drawing/2014/chart" uri="{C3380CC4-5D6E-409C-BE32-E72D297353CC}">
              <c16:uniqueId val="{0000000C-2B72-4851-8DB3-8BC8CA2ECFF5}"/>
            </c:ext>
          </c:extLst>
        </c:ser>
        <c:dLbls>
          <c:showLegendKey val="0"/>
          <c:showVal val="0"/>
          <c:showCatName val="0"/>
          <c:showSerName val="0"/>
          <c:showPercent val="0"/>
          <c:showBubbleSize val="0"/>
        </c:dLbls>
        <c:marker val="1"/>
        <c:smooth val="0"/>
        <c:axId val="1440680496"/>
        <c:axId val="1440676336"/>
      </c:lineChart>
      <c:catAx>
        <c:axId val="144068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440676336"/>
        <c:crosses val="autoZero"/>
        <c:auto val="1"/>
        <c:lblAlgn val="ctr"/>
        <c:lblOffset val="100"/>
        <c:noMultiLvlLbl val="0"/>
      </c:catAx>
      <c:valAx>
        <c:axId val="1440676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440680496"/>
        <c:crosses val="autoZero"/>
        <c:crossBetween val="between"/>
      </c:valAx>
      <c:spPr>
        <a:noFill/>
        <a:ln>
          <a:noFill/>
        </a:ln>
        <a:effectLst/>
      </c:spPr>
    </c:plotArea>
    <c:legend>
      <c:legendPos val="b"/>
      <c:layout>
        <c:manualLayout>
          <c:xMode val="edge"/>
          <c:yMode val="edge"/>
          <c:x val="0.2730633719234708"/>
          <c:y val="0.87540785343008609"/>
          <c:w val="0.47109961545504486"/>
          <c:h val="9.191240800782254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5810A-B054-4E6A-B3ED-CAE4D266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19300</Words>
  <Characters>110013</Characters>
  <Application>Microsoft Office Word</Application>
  <DocSecurity>0</DocSecurity>
  <Lines>916</Lines>
  <Paragraphs>258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Postolachi Irina</dc:creator>
  <cp:keywords/>
  <dc:description/>
  <cp:lastModifiedBy>Postolachi Irina</cp:lastModifiedBy>
  <cp:revision>22</cp:revision>
  <cp:lastPrinted>2020-07-30T10:55:00Z</cp:lastPrinted>
  <dcterms:created xsi:type="dcterms:W3CDTF">2020-07-28T15:05:00Z</dcterms:created>
  <dcterms:modified xsi:type="dcterms:W3CDTF">2020-07-30T11:00:00Z</dcterms:modified>
</cp:coreProperties>
</file>