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B9" w:rsidRPr="005444EE" w:rsidRDefault="00EE65B9" w:rsidP="00370B09">
      <w:pPr>
        <w:pStyle w:val="cn"/>
        <w:rPr>
          <w:rFonts w:asciiTheme="majorHAnsi" w:hAnsiTheme="majorHAnsi" w:cstheme="majorHAnsi"/>
          <w:lang w:val="ro-MD"/>
        </w:rPr>
      </w:pPr>
      <w:r w:rsidRPr="005444EE">
        <w:rPr>
          <w:rFonts w:asciiTheme="majorHAnsi" w:hAnsiTheme="majorHAnsi" w:cstheme="majorHAnsi"/>
          <w:noProof/>
        </w:rPr>
        <w:drawing>
          <wp:inline distT="0" distB="0" distL="0" distR="0" wp14:anchorId="2413ED82" wp14:editId="2B8B46E1">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B94DE2" w:rsidRPr="005444EE" w:rsidRDefault="00B94DE2" w:rsidP="00370B09">
      <w:pPr>
        <w:spacing w:after="0" w:line="240" w:lineRule="auto"/>
        <w:jc w:val="center"/>
        <w:rPr>
          <w:rFonts w:asciiTheme="majorHAnsi" w:eastAsia="Times New Roman" w:hAnsiTheme="majorHAnsi" w:cstheme="majorHAnsi"/>
          <w:b/>
          <w:bCs/>
          <w:sz w:val="24"/>
          <w:szCs w:val="24"/>
          <w:lang w:val="ro-MD"/>
        </w:rPr>
      </w:pPr>
    </w:p>
    <w:p w:rsidR="00B94DE2" w:rsidRPr="005444EE" w:rsidRDefault="00B94DE2" w:rsidP="00370B09">
      <w:pPr>
        <w:spacing w:after="0" w:line="240" w:lineRule="auto"/>
        <w:jc w:val="center"/>
        <w:rPr>
          <w:rFonts w:asciiTheme="majorHAnsi" w:eastAsia="Times New Roman" w:hAnsiTheme="majorHAnsi" w:cstheme="majorHAnsi"/>
          <w:bCs/>
          <w:sz w:val="28"/>
          <w:szCs w:val="28"/>
          <w:lang w:val="ro-MD"/>
        </w:rPr>
      </w:pPr>
      <w:r w:rsidRPr="005444EE">
        <w:rPr>
          <w:rFonts w:asciiTheme="majorHAnsi" w:eastAsia="Times New Roman" w:hAnsiTheme="majorHAnsi" w:cstheme="majorHAnsi"/>
          <w:bCs/>
          <w:sz w:val="28"/>
          <w:szCs w:val="28"/>
          <w:lang w:val="ro-MD"/>
        </w:rPr>
        <w:t>CURTEA DE CONTURI A REPUBLICII MOLDOVA</w:t>
      </w:r>
    </w:p>
    <w:p w:rsidR="00B94DE2" w:rsidRPr="005444EE" w:rsidRDefault="00B94DE2" w:rsidP="00370B09">
      <w:pPr>
        <w:spacing w:after="0" w:line="240" w:lineRule="auto"/>
        <w:jc w:val="center"/>
        <w:rPr>
          <w:rFonts w:asciiTheme="majorHAnsi" w:eastAsia="Times New Roman" w:hAnsiTheme="majorHAnsi" w:cstheme="majorHAnsi"/>
          <w:bCs/>
          <w:sz w:val="28"/>
          <w:szCs w:val="28"/>
          <w:lang w:val="ro-MD"/>
        </w:rPr>
      </w:pPr>
    </w:p>
    <w:p w:rsidR="00B94DE2" w:rsidRPr="005444EE" w:rsidRDefault="00B94DE2" w:rsidP="00370B09">
      <w:pPr>
        <w:spacing w:after="0" w:line="240" w:lineRule="auto"/>
        <w:jc w:val="center"/>
        <w:rPr>
          <w:rFonts w:asciiTheme="majorHAnsi" w:eastAsia="Times New Roman" w:hAnsiTheme="majorHAnsi" w:cstheme="majorHAnsi"/>
          <w:b/>
          <w:bCs/>
          <w:sz w:val="28"/>
          <w:szCs w:val="28"/>
          <w:lang w:val="ro-MD"/>
        </w:rPr>
      </w:pPr>
      <w:bookmarkStart w:id="0" w:name="_Toc450123757"/>
      <w:r w:rsidRPr="005444EE">
        <w:rPr>
          <w:rFonts w:asciiTheme="majorHAnsi" w:eastAsia="Times New Roman" w:hAnsiTheme="majorHAnsi" w:cstheme="majorHAnsi"/>
          <w:b/>
          <w:bCs/>
          <w:sz w:val="28"/>
          <w:szCs w:val="28"/>
          <w:lang w:val="ro-MD"/>
        </w:rPr>
        <w:t>H O T Ă R Â R E A nr.</w:t>
      </w:r>
      <w:bookmarkEnd w:id="0"/>
      <w:r w:rsidR="00240720">
        <w:rPr>
          <w:rFonts w:asciiTheme="majorHAnsi" w:eastAsia="Times New Roman" w:hAnsiTheme="majorHAnsi" w:cstheme="majorHAnsi"/>
          <w:b/>
          <w:bCs/>
          <w:sz w:val="28"/>
          <w:szCs w:val="28"/>
          <w:lang w:val="ro-MD"/>
        </w:rPr>
        <w:t>40</w:t>
      </w:r>
      <w:r w:rsidR="005444EE" w:rsidRPr="005444EE">
        <w:rPr>
          <w:rFonts w:asciiTheme="majorHAnsi" w:eastAsia="Times New Roman" w:hAnsiTheme="majorHAnsi" w:cstheme="majorHAnsi"/>
          <w:b/>
          <w:bCs/>
          <w:sz w:val="28"/>
          <w:szCs w:val="28"/>
          <w:lang w:val="ro-MD"/>
        </w:rPr>
        <w:t xml:space="preserve"> </w:t>
      </w:r>
    </w:p>
    <w:p w:rsidR="00B94DE2" w:rsidRPr="005444EE" w:rsidRDefault="00893311" w:rsidP="00370B09">
      <w:pPr>
        <w:spacing w:after="0" w:line="240" w:lineRule="auto"/>
        <w:jc w:val="center"/>
        <w:rPr>
          <w:rFonts w:asciiTheme="majorHAnsi" w:eastAsia="Times New Roman" w:hAnsiTheme="majorHAnsi" w:cstheme="majorHAnsi"/>
          <w:bCs/>
          <w:sz w:val="28"/>
          <w:szCs w:val="28"/>
          <w:lang w:val="ro-MD"/>
        </w:rPr>
      </w:pPr>
      <w:r w:rsidRPr="005444EE">
        <w:rPr>
          <w:rFonts w:asciiTheme="majorHAnsi" w:eastAsia="Times New Roman" w:hAnsiTheme="majorHAnsi" w:cstheme="majorHAnsi"/>
          <w:bCs/>
          <w:sz w:val="28"/>
          <w:szCs w:val="28"/>
          <w:lang w:val="ro-MD"/>
        </w:rPr>
        <w:t xml:space="preserve">din </w:t>
      </w:r>
      <w:r w:rsidR="001B5FDA">
        <w:rPr>
          <w:rFonts w:asciiTheme="majorHAnsi" w:eastAsia="Times New Roman" w:hAnsiTheme="majorHAnsi" w:cstheme="majorHAnsi"/>
          <w:bCs/>
          <w:sz w:val="28"/>
          <w:szCs w:val="28"/>
          <w:lang w:val="ro-MD"/>
        </w:rPr>
        <w:t>28 iulie</w:t>
      </w:r>
      <w:r w:rsidR="008F66AD">
        <w:rPr>
          <w:rFonts w:asciiTheme="majorHAnsi" w:eastAsia="Times New Roman" w:hAnsiTheme="majorHAnsi" w:cstheme="majorHAnsi"/>
          <w:bCs/>
          <w:sz w:val="28"/>
          <w:szCs w:val="28"/>
          <w:lang w:val="ro-MD"/>
        </w:rPr>
        <w:t xml:space="preserve"> 2020</w:t>
      </w:r>
    </w:p>
    <w:p w:rsidR="00B94DE2" w:rsidRPr="005444EE" w:rsidRDefault="00B94DE2" w:rsidP="00370B09">
      <w:pPr>
        <w:spacing w:after="0" w:line="240" w:lineRule="auto"/>
        <w:jc w:val="center"/>
        <w:rPr>
          <w:rFonts w:asciiTheme="majorHAnsi" w:eastAsia="Times New Roman" w:hAnsiTheme="majorHAnsi" w:cstheme="majorHAnsi"/>
          <w:bCs/>
          <w:sz w:val="28"/>
          <w:szCs w:val="28"/>
          <w:lang w:val="ro-MD"/>
        </w:rPr>
      </w:pPr>
    </w:p>
    <w:p w:rsidR="001B5FDA" w:rsidRDefault="00C860B2" w:rsidP="001B5FDA">
      <w:pPr>
        <w:spacing w:after="0" w:line="240" w:lineRule="auto"/>
        <w:jc w:val="center"/>
        <w:rPr>
          <w:rFonts w:asciiTheme="majorHAnsi" w:eastAsia="Times New Roman" w:hAnsiTheme="majorHAnsi" w:cstheme="majorHAnsi"/>
          <w:b/>
          <w:bCs/>
          <w:sz w:val="28"/>
          <w:szCs w:val="28"/>
          <w:lang w:val="ro-MD" w:eastAsia="ru-RU"/>
        </w:rPr>
      </w:pPr>
      <w:r>
        <w:rPr>
          <w:rFonts w:asciiTheme="majorHAnsi" w:eastAsia="Times New Roman" w:hAnsiTheme="majorHAnsi" w:cstheme="majorHAnsi"/>
          <w:b/>
          <w:bCs/>
          <w:sz w:val="28"/>
          <w:szCs w:val="28"/>
          <w:lang w:val="ro-MD" w:eastAsia="ru-RU"/>
        </w:rPr>
        <w:t xml:space="preserve">cu </w:t>
      </w:r>
      <w:r w:rsidR="00993F39">
        <w:rPr>
          <w:rFonts w:asciiTheme="majorHAnsi" w:eastAsia="Times New Roman" w:hAnsiTheme="majorHAnsi" w:cstheme="majorHAnsi"/>
          <w:b/>
          <w:bCs/>
          <w:sz w:val="28"/>
          <w:szCs w:val="28"/>
          <w:lang w:val="ro-MD" w:eastAsia="ru-RU"/>
        </w:rPr>
        <w:t>privi</w:t>
      </w:r>
      <w:r>
        <w:rPr>
          <w:rFonts w:asciiTheme="majorHAnsi" w:eastAsia="Times New Roman" w:hAnsiTheme="majorHAnsi" w:cstheme="majorHAnsi"/>
          <w:b/>
          <w:bCs/>
          <w:sz w:val="28"/>
          <w:szCs w:val="28"/>
          <w:lang w:val="ro-MD" w:eastAsia="ru-RU"/>
        </w:rPr>
        <w:t>re la</w:t>
      </w:r>
      <w:r w:rsidR="00993F39">
        <w:rPr>
          <w:rFonts w:asciiTheme="majorHAnsi" w:eastAsia="Times New Roman" w:hAnsiTheme="majorHAnsi" w:cstheme="majorHAnsi"/>
          <w:b/>
          <w:bCs/>
          <w:sz w:val="28"/>
          <w:szCs w:val="28"/>
          <w:lang w:val="ro-MD" w:eastAsia="ru-RU"/>
        </w:rPr>
        <w:t xml:space="preserve"> </w:t>
      </w:r>
      <w:r w:rsidR="00B94DE2" w:rsidRPr="005444EE">
        <w:rPr>
          <w:rFonts w:asciiTheme="majorHAnsi" w:eastAsia="Times New Roman" w:hAnsiTheme="majorHAnsi" w:cstheme="majorHAnsi"/>
          <w:b/>
          <w:bCs/>
          <w:sz w:val="28"/>
          <w:szCs w:val="28"/>
          <w:lang w:val="ro-MD" w:eastAsia="ru-RU"/>
        </w:rPr>
        <w:t xml:space="preserve">Raportul </w:t>
      </w:r>
      <w:r w:rsidR="0054141D" w:rsidRPr="0054141D">
        <w:rPr>
          <w:rFonts w:asciiTheme="majorHAnsi" w:eastAsia="Times New Roman" w:hAnsiTheme="majorHAnsi" w:cstheme="majorHAnsi"/>
          <w:b/>
          <w:bCs/>
          <w:sz w:val="28"/>
          <w:szCs w:val="28"/>
          <w:lang w:val="ro-MD" w:eastAsia="ru-RU"/>
        </w:rPr>
        <w:t xml:space="preserve">auditului performanței </w:t>
      </w:r>
      <w:r w:rsidR="00993F39">
        <w:rPr>
          <w:rFonts w:asciiTheme="majorHAnsi" w:eastAsia="Times New Roman" w:hAnsiTheme="majorHAnsi" w:cstheme="majorHAnsi"/>
          <w:b/>
          <w:bCs/>
          <w:sz w:val="28"/>
          <w:szCs w:val="28"/>
          <w:lang w:val="ro-MD" w:eastAsia="ru-RU"/>
        </w:rPr>
        <w:t xml:space="preserve">privind </w:t>
      </w:r>
      <w:r w:rsidR="001B5FDA" w:rsidRPr="001B5FDA">
        <w:rPr>
          <w:rFonts w:asciiTheme="majorHAnsi" w:eastAsia="Times New Roman" w:hAnsiTheme="majorHAnsi" w:cstheme="majorHAnsi"/>
          <w:b/>
          <w:bCs/>
          <w:sz w:val="28"/>
          <w:szCs w:val="28"/>
          <w:lang w:val="ro-MD" w:eastAsia="ru-RU"/>
        </w:rPr>
        <w:t>activitatea Directoratului Liniei de Credit</w:t>
      </w:r>
      <w:r w:rsidR="000E0F83">
        <w:rPr>
          <w:rStyle w:val="FootnoteReference"/>
          <w:rFonts w:asciiTheme="majorHAnsi" w:eastAsia="Times New Roman" w:hAnsiTheme="majorHAnsi" w:cstheme="majorHAnsi"/>
          <w:b/>
          <w:bCs/>
          <w:sz w:val="28"/>
          <w:szCs w:val="28"/>
          <w:lang w:val="ro-MD" w:eastAsia="ru-RU"/>
        </w:rPr>
        <w:footnoteReference w:id="1"/>
      </w:r>
      <w:r w:rsidR="001B5FDA" w:rsidRPr="001B5FDA">
        <w:rPr>
          <w:rFonts w:asciiTheme="majorHAnsi" w:eastAsia="Times New Roman" w:hAnsiTheme="majorHAnsi" w:cstheme="majorHAnsi"/>
          <w:b/>
          <w:bCs/>
          <w:sz w:val="28"/>
          <w:szCs w:val="28"/>
          <w:lang w:val="ro-MD" w:eastAsia="ru-RU"/>
        </w:rPr>
        <w:t xml:space="preserve">, în care Ministerul Finanțelor are calitatea de fondator </w:t>
      </w:r>
    </w:p>
    <w:p w:rsidR="00562DFD" w:rsidRPr="00D454BF" w:rsidRDefault="00562DFD" w:rsidP="001B5FDA">
      <w:pPr>
        <w:spacing w:after="0" w:line="240" w:lineRule="auto"/>
        <w:jc w:val="center"/>
        <w:rPr>
          <w:rFonts w:ascii="Calibri Light" w:hAnsi="Calibri Light" w:cs="Calibri Light"/>
          <w:b/>
          <w:noProof/>
          <w:sz w:val="28"/>
          <w:szCs w:val="28"/>
          <w:lang w:val="ro-MD"/>
        </w:rPr>
      </w:pPr>
      <w:r w:rsidRPr="00D454BF">
        <w:rPr>
          <w:rFonts w:ascii="Calibri Light" w:hAnsi="Calibri Light" w:cs="Calibri Light"/>
          <w:b/>
          <w:noProof/>
          <w:sz w:val="28"/>
          <w:szCs w:val="28"/>
          <w:lang w:val="ro-MD"/>
        </w:rPr>
        <w:t>-----------------------------------------------------------------------------------------------</w:t>
      </w:r>
    </w:p>
    <w:p w:rsidR="00B94DE2" w:rsidRPr="0000284A" w:rsidRDefault="00B94DE2" w:rsidP="00562DFD">
      <w:pPr>
        <w:spacing w:after="0" w:line="240" w:lineRule="auto"/>
        <w:rPr>
          <w:rFonts w:asciiTheme="majorHAnsi" w:eastAsia="Times New Roman" w:hAnsiTheme="majorHAnsi" w:cstheme="majorHAnsi"/>
          <w:sz w:val="16"/>
          <w:szCs w:val="16"/>
          <w:lang w:val="ro-MD"/>
        </w:rPr>
      </w:pPr>
    </w:p>
    <w:p w:rsidR="00197F33" w:rsidRPr="00990F60" w:rsidRDefault="00C70576" w:rsidP="001F16F3">
      <w:pPr>
        <w:spacing w:after="0" w:line="276" w:lineRule="auto"/>
        <w:ind w:firstLine="709"/>
        <w:jc w:val="both"/>
        <w:rPr>
          <w:rFonts w:asciiTheme="majorHAnsi" w:eastAsia="Times New Roman" w:hAnsiTheme="majorHAnsi" w:cstheme="majorHAnsi"/>
          <w:color w:val="000000"/>
          <w:sz w:val="28"/>
          <w:szCs w:val="28"/>
        </w:rPr>
      </w:pPr>
      <w:r w:rsidRPr="00990F60">
        <w:rPr>
          <w:rFonts w:asciiTheme="majorHAnsi" w:hAnsiTheme="majorHAnsi" w:cstheme="majorHAnsi"/>
          <w:sz w:val="28"/>
          <w:szCs w:val="28"/>
          <w:lang w:val="ro-MD"/>
        </w:rPr>
        <w:t xml:space="preserve">Curtea de Conturi, </w:t>
      </w:r>
      <w:r w:rsidR="007431D0" w:rsidRPr="00990F60">
        <w:rPr>
          <w:rFonts w:asciiTheme="majorHAnsi" w:hAnsiTheme="majorHAnsi" w:cstheme="majorHAnsi"/>
          <w:sz w:val="28"/>
          <w:szCs w:val="28"/>
          <w:lang w:val="ro-MD"/>
        </w:rPr>
        <w:t>în prezența</w:t>
      </w:r>
      <w:r w:rsidR="007431D0" w:rsidRPr="00990F60">
        <w:rPr>
          <w:rFonts w:asciiTheme="majorHAnsi" w:hAnsiTheme="majorHAnsi" w:cstheme="majorHAnsi"/>
          <w:color w:val="000000"/>
          <w:sz w:val="28"/>
          <w:szCs w:val="28"/>
          <w:lang w:val="ro-MD" w:eastAsia="ro-RO"/>
        </w:rPr>
        <w:t xml:space="preserve"> dlui Serghei </w:t>
      </w:r>
      <w:proofErr w:type="spellStart"/>
      <w:r w:rsidR="007431D0" w:rsidRPr="00990F60">
        <w:rPr>
          <w:rFonts w:asciiTheme="majorHAnsi" w:hAnsiTheme="majorHAnsi" w:cstheme="majorHAnsi"/>
          <w:color w:val="000000"/>
          <w:sz w:val="28"/>
          <w:szCs w:val="28"/>
          <w:lang w:val="ro-MD" w:eastAsia="ro-RO"/>
        </w:rPr>
        <w:t>Pușcuța</w:t>
      </w:r>
      <w:proofErr w:type="spellEnd"/>
      <w:r w:rsidR="007431D0" w:rsidRPr="00990F60">
        <w:rPr>
          <w:rFonts w:asciiTheme="majorHAnsi" w:hAnsiTheme="majorHAnsi" w:cstheme="majorHAnsi"/>
          <w:color w:val="000000"/>
          <w:sz w:val="28"/>
          <w:szCs w:val="28"/>
          <w:lang w:val="ro-MD" w:eastAsia="ro-RO"/>
        </w:rPr>
        <w:t>, Viceprim-ministru, Ministru al Finanțelor;</w:t>
      </w:r>
      <w:r w:rsidR="007431D0" w:rsidRPr="00990F60">
        <w:rPr>
          <w:rFonts w:asciiTheme="majorHAnsi" w:hAnsiTheme="majorHAnsi" w:cstheme="majorHAnsi"/>
          <w:sz w:val="28"/>
          <w:szCs w:val="28"/>
          <w:lang w:val="ro-MD"/>
        </w:rPr>
        <w:t xml:space="preserve"> dnei Angela Voronin, </w:t>
      </w:r>
      <w:r w:rsidR="007431D0" w:rsidRPr="00990F60">
        <w:rPr>
          <w:rFonts w:asciiTheme="majorHAnsi" w:hAnsiTheme="majorHAnsi" w:cstheme="majorHAnsi"/>
          <w:color w:val="000000"/>
          <w:sz w:val="28"/>
          <w:szCs w:val="28"/>
          <w:lang w:val="ro-MD" w:eastAsia="ro-RO"/>
        </w:rPr>
        <w:t xml:space="preserve">Secretar de stat al Ministerului Finanțelor; </w:t>
      </w:r>
      <w:r w:rsidR="007431D0" w:rsidRPr="00990F60">
        <w:rPr>
          <w:rFonts w:asciiTheme="majorHAnsi" w:hAnsiTheme="majorHAnsi" w:cstheme="majorHAnsi"/>
          <w:sz w:val="28"/>
          <w:szCs w:val="28"/>
          <w:lang w:val="ro-MD"/>
        </w:rPr>
        <w:t xml:space="preserve">dlui Victor </w:t>
      </w:r>
      <w:proofErr w:type="spellStart"/>
      <w:r w:rsidR="007431D0" w:rsidRPr="00990F60">
        <w:rPr>
          <w:rFonts w:asciiTheme="majorHAnsi" w:hAnsiTheme="majorHAnsi" w:cstheme="majorHAnsi"/>
          <w:sz w:val="28"/>
          <w:szCs w:val="28"/>
          <w:lang w:val="ro-MD"/>
        </w:rPr>
        <w:t>Martinenco</w:t>
      </w:r>
      <w:proofErr w:type="spellEnd"/>
      <w:r w:rsidR="007431D0" w:rsidRPr="00990F60">
        <w:rPr>
          <w:rFonts w:asciiTheme="majorHAnsi" w:hAnsiTheme="majorHAnsi" w:cstheme="majorHAnsi"/>
          <w:sz w:val="28"/>
          <w:szCs w:val="28"/>
          <w:lang w:val="ro-MD"/>
        </w:rPr>
        <w:t>, șef adjunct al Direcției datorii publice, șef al Secției angajamente interne din cadrul Ministerului Finanțelor;</w:t>
      </w:r>
      <w:r w:rsidR="00E31AC5" w:rsidRPr="00990F60">
        <w:rPr>
          <w:rFonts w:asciiTheme="majorHAnsi" w:hAnsiTheme="majorHAnsi" w:cstheme="majorHAnsi"/>
          <w:sz w:val="28"/>
          <w:szCs w:val="28"/>
          <w:lang w:val="ro-MD"/>
        </w:rPr>
        <w:t xml:space="preserve"> dlui </w:t>
      </w:r>
      <w:r w:rsidR="00CD18D2" w:rsidRPr="00990F60">
        <w:rPr>
          <w:rFonts w:asciiTheme="majorHAnsi" w:hAnsiTheme="majorHAnsi" w:cstheme="majorHAnsi"/>
          <w:sz w:val="28"/>
          <w:szCs w:val="28"/>
          <w:lang w:val="ro-MD"/>
        </w:rPr>
        <w:t xml:space="preserve">Alexandru </w:t>
      </w:r>
      <w:proofErr w:type="spellStart"/>
      <w:r w:rsidR="00E31AC5" w:rsidRPr="00990F60">
        <w:rPr>
          <w:rFonts w:asciiTheme="majorHAnsi" w:hAnsiTheme="majorHAnsi" w:cstheme="majorHAnsi"/>
          <w:sz w:val="28"/>
          <w:szCs w:val="28"/>
          <w:lang w:val="ro-MD"/>
        </w:rPr>
        <w:t>Rodideal</w:t>
      </w:r>
      <w:proofErr w:type="spellEnd"/>
      <w:r w:rsidR="00E31AC5" w:rsidRPr="00990F60">
        <w:rPr>
          <w:rFonts w:asciiTheme="majorHAnsi" w:hAnsiTheme="majorHAnsi" w:cstheme="majorHAnsi"/>
          <w:sz w:val="28"/>
          <w:szCs w:val="28"/>
          <w:lang w:val="ro-MD"/>
        </w:rPr>
        <w:t>, șef al Secției datorie externă și recreditare din cadrul Ministerului Finanțelor; dnei Ludmila Popa, șef al Direcției analiză, monitorizare și evaluare a politicilor din cadrul Ministerului Finanțelor;</w:t>
      </w:r>
      <w:r w:rsidR="007431D0" w:rsidRPr="00990F60">
        <w:rPr>
          <w:rFonts w:asciiTheme="majorHAnsi" w:hAnsiTheme="majorHAnsi" w:cstheme="majorHAnsi"/>
          <w:sz w:val="28"/>
          <w:szCs w:val="28"/>
          <w:lang w:val="ro-MD"/>
        </w:rPr>
        <w:t xml:space="preserve"> dnei </w:t>
      </w:r>
      <w:proofErr w:type="spellStart"/>
      <w:r w:rsidR="007431D0" w:rsidRPr="00990F60">
        <w:rPr>
          <w:rFonts w:asciiTheme="majorHAnsi" w:hAnsiTheme="majorHAnsi" w:cstheme="majorHAnsi"/>
          <w:sz w:val="28"/>
          <w:szCs w:val="28"/>
          <w:lang w:val="ro-MD"/>
        </w:rPr>
        <w:t>Raisa</w:t>
      </w:r>
      <w:proofErr w:type="spellEnd"/>
      <w:r w:rsidR="007431D0" w:rsidRPr="00990F60">
        <w:rPr>
          <w:rFonts w:asciiTheme="majorHAnsi" w:hAnsiTheme="majorHAnsi" w:cstheme="majorHAnsi"/>
          <w:sz w:val="28"/>
          <w:szCs w:val="28"/>
          <w:lang w:val="ro-MD"/>
        </w:rPr>
        <w:t xml:space="preserve"> Cantemir, directorul Instituției Publice „Oficiul de Gestionare a Pr</w:t>
      </w:r>
      <w:r w:rsidR="00E31AC5" w:rsidRPr="00990F60">
        <w:rPr>
          <w:rFonts w:asciiTheme="majorHAnsi" w:hAnsiTheme="majorHAnsi" w:cstheme="majorHAnsi"/>
          <w:sz w:val="28"/>
          <w:szCs w:val="28"/>
          <w:lang w:val="ro-MD"/>
        </w:rPr>
        <w:t>ogramelor de Asistență Externă”</w:t>
      </w:r>
      <w:r w:rsidR="007431D0" w:rsidRPr="00990F60">
        <w:rPr>
          <w:rFonts w:asciiTheme="majorHAnsi" w:hAnsiTheme="majorHAnsi" w:cstheme="majorHAnsi"/>
          <w:sz w:val="28"/>
          <w:szCs w:val="28"/>
          <w:lang w:val="ro-MD" w:eastAsia="ru-RU"/>
        </w:rPr>
        <w:t xml:space="preserve">, </w:t>
      </w:r>
      <w:r w:rsidR="001F16F3" w:rsidRPr="00990F60">
        <w:rPr>
          <w:rFonts w:asciiTheme="majorHAnsi" w:eastAsia="Times New Roman" w:hAnsiTheme="majorHAnsi" w:cstheme="majorHAnsi"/>
          <w:color w:val="000000"/>
          <w:sz w:val="28"/>
          <w:szCs w:val="28"/>
          <w:lang w:val="ro-MD"/>
        </w:rPr>
        <w:t xml:space="preserve">în cadrul ședinței video, </w:t>
      </w:r>
      <w:r w:rsidR="00722435" w:rsidRPr="00990F60">
        <w:rPr>
          <w:rFonts w:asciiTheme="majorHAnsi" w:hAnsiTheme="majorHAnsi"/>
          <w:sz w:val="28"/>
          <w:szCs w:val="28"/>
          <w:lang w:val="ro-MD"/>
        </w:rPr>
        <w:t>în legătură cu instituirea stării de urgență pe întreg teritoriul Republicii Moldova</w:t>
      </w:r>
      <w:r w:rsidR="00722435" w:rsidRPr="00990F60">
        <w:rPr>
          <w:rFonts w:asciiTheme="majorHAnsi" w:hAnsiTheme="majorHAnsi"/>
          <w:sz w:val="28"/>
          <w:szCs w:val="28"/>
          <w:vertAlign w:val="superscript"/>
          <w:lang w:val="ro-MD"/>
        </w:rPr>
        <w:footnoteReference w:id="2"/>
      </w:r>
      <w:r w:rsidR="001F16F3" w:rsidRPr="00990F60">
        <w:rPr>
          <w:rFonts w:asciiTheme="majorHAnsi" w:eastAsia="Times New Roman" w:hAnsiTheme="majorHAnsi" w:cstheme="majorHAnsi"/>
          <w:color w:val="000000"/>
          <w:sz w:val="28"/>
          <w:szCs w:val="28"/>
          <w:lang w:val="ro-MD"/>
        </w:rPr>
        <w:t xml:space="preserve">, călăuzindu-se de </w:t>
      </w:r>
      <w:r w:rsidR="001F16F3" w:rsidRPr="00990F60">
        <w:rPr>
          <w:rFonts w:asciiTheme="majorHAnsi" w:eastAsia="Times New Roman" w:hAnsiTheme="majorHAnsi" w:cstheme="majorHAnsi"/>
          <w:sz w:val="28"/>
          <w:szCs w:val="28"/>
          <w:lang w:val="ro-MD" w:eastAsia="ro-MD"/>
        </w:rPr>
        <w:t xml:space="preserve">art.5 alin.(1) lit. a), </w:t>
      </w:r>
      <w:r w:rsidR="001F16F3" w:rsidRPr="00990F60">
        <w:rPr>
          <w:rFonts w:ascii="Calibri Light" w:hAnsi="Calibri Light" w:cs="Calibri Light"/>
          <w:noProof/>
          <w:sz w:val="28"/>
          <w:szCs w:val="28"/>
          <w:lang w:val="ro-MD"/>
        </w:rPr>
        <w:t>art.31 alin.(1) lit. c), art.32 alin.(1), alin.(2) și alin.(6) lit. e)</w:t>
      </w:r>
      <w:r w:rsidR="001F16F3" w:rsidRPr="00990F60">
        <w:rPr>
          <w:rFonts w:asciiTheme="majorHAnsi" w:eastAsia="Times New Roman" w:hAnsiTheme="majorHAnsi" w:cstheme="majorHAnsi"/>
          <w:color w:val="000000"/>
          <w:sz w:val="28"/>
          <w:szCs w:val="28"/>
          <w:lang w:val="ro-MD"/>
        </w:rPr>
        <w:t xml:space="preserve"> din Legea privind organizarea și funcționarea Curții de Conturi a Republicii Moldova</w:t>
      </w:r>
      <w:r w:rsidR="001F16F3" w:rsidRPr="00990F60">
        <w:rPr>
          <w:rStyle w:val="FootnoteReference"/>
          <w:rFonts w:asciiTheme="majorHAnsi" w:eastAsia="Times New Roman" w:hAnsiTheme="majorHAnsi" w:cstheme="majorHAnsi"/>
          <w:color w:val="000000"/>
          <w:sz w:val="28"/>
          <w:szCs w:val="28"/>
          <w:lang w:val="ro-MD"/>
        </w:rPr>
        <w:footnoteReference w:id="3"/>
      </w:r>
      <w:r w:rsidR="001F16F3" w:rsidRPr="00990F60">
        <w:rPr>
          <w:rFonts w:asciiTheme="majorHAnsi" w:eastAsia="Times New Roman" w:hAnsiTheme="majorHAnsi" w:cstheme="majorHAnsi"/>
          <w:color w:val="000000"/>
          <w:sz w:val="28"/>
          <w:szCs w:val="28"/>
          <w:lang w:val="ro-MD"/>
        </w:rPr>
        <w:t>,</w:t>
      </w:r>
      <w:r w:rsidR="001F16F3" w:rsidRPr="00990F60">
        <w:rPr>
          <w:rFonts w:asciiTheme="majorHAnsi" w:eastAsia="Times New Roman" w:hAnsiTheme="majorHAnsi" w:cstheme="majorHAnsi"/>
          <w:color w:val="000000"/>
          <w:sz w:val="28"/>
          <w:szCs w:val="28"/>
        </w:rPr>
        <w:t xml:space="preserve"> </w:t>
      </w:r>
      <w:r w:rsidRPr="00990F60">
        <w:rPr>
          <w:rFonts w:asciiTheme="majorHAnsi" w:eastAsia="Times New Roman" w:hAnsiTheme="majorHAnsi" w:cstheme="majorHAnsi"/>
          <w:color w:val="000000"/>
          <w:sz w:val="28"/>
          <w:szCs w:val="28"/>
          <w:lang w:val="ro-MD"/>
        </w:rPr>
        <w:t xml:space="preserve">a examinat Raportul </w:t>
      </w:r>
      <w:r w:rsidRPr="00990F60">
        <w:rPr>
          <w:rFonts w:asciiTheme="majorHAnsi" w:eastAsia="Times New Roman" w:hAnsiTheme="majorHAnsi" w:cstheme="majorHAnsi"/>
          <w:bCs/>
          <w:color w:val="000000"/>
          <w:sz w:val="28"/>
          <w:szCs w:val="28"/>
          <w:lang w:val="ro-MD"/>
        </w:rPr>
        <w:t xml:space="preserve">auditului </w:t>
      </w:r>
      <w:r w:rsidR="0054141D" w:rsidRPr="00990F60">
        <w:rPr>
          <w:rFonts w:asciiTheme="majorHAnsi" w:eastAsia="Times New Roman" w:hAnsiTheme="majorHAnsi" w:cstheme="majorHAnsi"/>
          <w:bCs/>
          <w:color w:val="000000"/>
          <w:sz w:val="28"/>
          <w:szCs w:val="28"/>
          <w:lang w:val="ro-MD"/>
        </w:rPr>
        <w:t xml:space="preserve">performanței </w:t>
      </w:r>
      <w:r w:rsidR="005C5F6B" w:rsidRPr="00990F60">
        <w:rPr>
          <w:rFonts w:asciiTheme="majorHAnsi" w:eastAsia="Times New Roman" w:hAnsiTheme="majorHAnsi" w:cstheme="majorHAnsi"/>
          <w:bCs/>
          <w:color w:val="000000"/>
          <w:sz w:val="28"/>
          <w:szCs w:val="28"/>
          <w:lang w:val="ro-MD"/>
        </w:rPr>
        <w:t xml:space="preserve">privind </w:t>
      </w:r>
      <w:r w:rsidR="001B5FDA" w:rsidRPr="00990F60">
        <w:rPr>
          <w:rFonts w:asciiTheme="majorHAnsi" w:eastAsia="Times New Roman" w:hAnsiTheme="majorHAnsi" w:cstheme="majorHAnsi"/>
          <w:bCs/>
          <w:color w:val="000000"/>
          <w:sz w:val="28"/>
          <w:szCs w:val="28"/>
          <w:lang w:val="ro-MD"/>
        </w:rPr>
        <w:t>activitatea Directoratului Liniei de Credit, în care Ministerul Finanțelor are calitatea de fondator</w:t>
      </w:r>
      <w:r w:rsidRPr="00990F60">
        <w:rPr>
          <w:rFonts w:asciiTheme="majorHAnsi" w:eastAsia="Times New Roman" w:hAnsiTheme="majorHAnsi" w:cstheme="majorHAnsi"/>
          <w:bCs/>
          <w:color w:val="000000"/>
          <w:sz w:val="28"/>
          <w:szCs w:val="28"/>
          <w:lang w:val="ro-MD"/>
        </w:rPr>
        <w:t>.</w:t>
      </w:r>
    </w:p>
    <w:p w:rsidR="00396618" w:rsidRPr="00990F60" w:rsidRDefault="00396618" w:rsidP="00396618">
      <w:pPr>
        <w:spacing w:after="0" w:line="276" w:lineRule="auto"/>
        <w:ind w:firstLine="709"/>
        <w:jc w:val="both"/>
        <w:rPr>
          <w:rFonts w:ascii="Calibri Light" w:hAnsi="Calibri Light" w:cs="Calibri Light"/>
          <w:noProof/>
          <w:sz w:val="28"/>
          <w:szCs w:val="28"/>
          <w:lang w:val="ro-MD"/>
        </w:rPr>
      </w:pPr>
      <w:r w:rsidRPr="00990F60">
        <w:rPr>
          <w:rFonts w:asciiTheme="majorHAnsi" w:eastAsia="Times New Roman" w:hAnsiTheme="majorHAnsi" w:cstheme="majorHAnsi"/>
          <w:sz w:val="28"/>
          <w:szCs w:val="28"/>
          <w:lang w:val="ro-MD" w:eastAsia="ro-MD"/>
        </w:rPr>
        <w:t>Misiunea de audit</w:t>
      </w:r>
      <w:r w:rsidR="00FB4768" w:rsidRPr="00990F60">
        <w:rPr>
          <w:rFonts w:asciiTheme="majorHAnsi" w:eastAsia="Times New Roman" w:hAnsiTheme="majorHAnsi" w:cstheme="majorHAnsi"/>
          <w:sz w:val="28"/>
          <w:szCs w:val="28"/>
          <w:lang w:val="ro-MD" w:eastAsia="ro-MD"/>
        </w:rPr>
        <w:t xml:space="preserve"> a fost efectuat</w:t>
      </w:r>
      <w:r w:rsidR="005C5F6B" w:rsidRPr="00990F60">
        <w:rPr>
          <w:rFonts w:asciiTheme="majorHAnsi" w:eastAsia="Times New Roman" w:hAnsiTheme="majorHAnsi" w:cstheme="majorHAnsi"/>
          <w:sz w:val="28"/>
          <w:szCs w:val="28"/>
          <w:lang w:val="ro-MD" w:eastAsia="ro-MD"/>
        </w:rPr>
        <w:t>ă</w:t>
      </w:r>
      <w:r w:rsidR="00FB4768" w:rsidRPr="00990F60">
        <w:rPr>
          <w:rFonts w:asciiTheme="majorHAnsi" w:eastAsia="Times New Roman" w:hAnsiTheme="majorHAnsi" w:cstheme="majorHAnsi"/>
          <w:sz w:val="28"/>
          <w:szCs w:val="28"/>
          <w:lang w:val="ro-MD" w:eastAsia="ro-MD"/>
        </w:rPr>
        <w:t xml:space="preserve"> </w:t>
      </w:r>
      <w:r w:rsidR="00380543" w:rsidRPr="00990F60">
        <w:rPr>
          <w:rFonts w:asciiTheme="majorHAnsi" w:eastAsia="Times New Roman" w:hAnsiTheme="majorHAnsi" w:cstheme="majorHAnsi"/>
          <w:sz w:val="28"/>
          <w:szCs w:val="28"/>
          <w:lang w:val="ro-MD" w:eastAsia="ro-MD"/>
        </w:rPr>
        <w:t xml:space="preserve">în conformitate </w:t>
      </w:r>
      <w:r w:rsidR="00FB4768" w:rsidRPr="00990F60">
        <w:rPr>
          <w:rFonts w:asciiTheme="majorHAnsi" w:hAnsiTheme="majorHAnsi" w:cstheme="majorHAnsi"/>
          <w:sz w:val="28"/>
          <w:szCs w:val="28"/>
          <w:lang w:val="ro-RO" w:eastAsia="ro-RO"/>
        </w:rPr>
        <w:t xml:space="preserve">cu </w:t>
      </w:r>
      <w:r w:rsidR="000E0F83" w:rsidRPr="00990F60">
        <w:rPr>
          <w:rFonts w:asciiTheme="majorHAnsi" w:eastAsia="Calibri" w:hAnsiTheme="majorHAnsi" w:cstheme="majorHAnsi"/>
          <w:sz w:val="28"/>
          <w:szCs w:val="28"/>
          <w:lang w:val="ro-RO" w:eastAsia="ro-RO"/>
        </w:rPr>
        <w:t>Programele</w:t>
      </w:r>
      <w:r w:rsidR="00FB4768" w:rsidRPr="00990F60">
        <w:rPr>
          <w:rFonts w:asciiTheme="majorHAnsi" w:eastAsia="Calibri" w:hAnsiTheme="majorHAnsi" w:cstheme="majorHAnsi"/>
          <w:sz w:val="28"/>
          <w:szCs w:val="28"/>
          <w:lang w:val="ro-RO" w:eastAsia="ro-RO"/>
        </w:rPr>
        <w:t xml:space="preserve"> activității de</w:t>
      </w:r>
      <w:r w:rsidR="00380543" w:rsidRPr="00990F60">
        <w:rPr>
          <w:rFonts w:asciiTheme="majorHAnsi" w:eastAsia="Calibri" w:hAnsiTheme="majorHAnsi" w:cstheme="majorHAnsi"/>
          <w:sz w:val="28"/>
          <w:szCs w:val="28"/>
          <w:lang w:val="ro-RO" w:eastAsia="ro-RO"/>
        </w:rPr>
        <w:t xml:space="preserve"> audit a</w:t>
      </w:r>
      <w:r w:rsidR="001F16F3" w:rsidRPr="00990F60">
        <w:rPr>
          <w:rFonts w:asciiTheme="majorHAnsi" w:eastAsia="Calibri" w:hAnsiTheme="majorHAnsi" w:cstheme="majorHAnsi"/>
          <w:sz w:val="28"/>
          <w:szCs w:val="28"/>
          <w:lang w:val="ro-RO" w:eastAsia="ro-RO"/>
        </w:rPr>
        <w:t>le Curții de Conturi pentru anii</w:t>
      </w:r>
      <w:r w:rsidR="00380543" w:rsidRPr="00990F60">
        <w:rPr>
          <w:rFonts w:asciiTheme="majorHAnsi" w:eastAsia="Calibri" w:hAnsiTheme="majorHAnsi" w:cstheme="majorHAnsi"/>
          <w:sz w:val="28"/>
          <w:szCs w:val="28"/>
          <w:lang w:val="ro-RO" w:eastAsia="ro-RO"/>
        </w:rPr>
        <w:t xml:space="preserve"> </w:t>
      </w:r>
      <w:r w:rsidR="00FB4768" w:rsidRPr="00990F60">
        <w:rPr>
          <w:rFonts w:asciiTheme="majorHAnsi" w:eastAsia="Calibri" w:hAnsiTheme="majorHAnsi" w:cstheme="majorHAnsi"/>
          <w:sz w:val="28"/>
          <w:szCs w:val="28"/>
          <w:lang w:val="ro-RO" w:eastAsia="ro-RO"/>
        </w:rPr>
        <w:t>2019</w:t>
      </w:r>
      <w:r w:rsidR="00FB4768" w:rsidRPr="00990F60">
        <w:rPr>
          <w:rFonts w:asciiTheme="majorHAnsi" w:eastAsia="Calibri" w:hAnsiTheme="majorHAnsi" w:cstheme="majorHAnsi"/>
          <w:sz w:val="28"/>
          <w:szCs w:val="28"/>
          <w:vertAlign w:val="superscript"/>
          <w:lang w:val="ro-RO" w:eastAsia="ro-RO"/>
        </w:rPr>
        <w:footnoteReference w:id="4"/>
      </w:r>
      <w:r w:rsidR="000E0F83" w:rsidRPr="00990F60">
        <w:rPr>
          <w:rFonts w:asciiTheme="majorHAnsi" w:eastAsia="Calibri" w:hAnsiTheme="majorHAnsi" w:cstheme="majorHAnsi"/>
          <w:sz w:val="28"/>
          <w:szCs w:val="28"/>
          <w:lang w:val="ro-RO" w:eastAsia="ro-RO"/>
        </w:rPr>
        <w:t xml:space="preserve"> și</w:t>
      </w:r>
      <w:r w:rsidR="001F16F3" w:rsidRPr="00990F60">
        <w:rPr>
          <w:rFonts w:asciiTheme="majorHAnsi" w:eastAsia="Calibri" w:hAnsiTheme="majorHAnsi" w:cstheme="majorHAnsi"/>
          <w:sz w:val="28"/>
          <w:szCs w:val="28"/>
          <w:lang w:val="ro-RO" w:eastAsia="ro-RO"/>
        </w:rPr>
        <w:t>, respectiv,</w:t>
      </w:r>
      <w:r w:rsidR="000E0F83" w:rsidRPr="00990F60">
        <w:rPr>
          <w:rFonts w:asciiTheme="majorHAnsi" w:eastAsia="Calibri" w:hAnsiTheme="majorHAnsi" w:cstheme="majorHAnsi"/>
          <w:sz w:val="28"/>
          <w:szCs w:val="28"/>
          <w:lang w:val="ro-RO" w:eastAsia="ro-RO"/>
        </w:rPr>
        <w:t xml:space="preserve"> 2020</w:t>
      </w:r>
      <w:r w:rsidR="000E0F83" w:rsidRPr="00990F60">
        <w:rPr>
          <w:rStyle w:val="FootnoteReference"/>
          <w:rFonts w:asciiTheme="majorHAnsi" w:eastAsia="Calibri" w:hAnsiTheme="majorHAnsi" w:cstheme="majorHAnsi"/>
          <w:sz w:val="28"/>
          <w:szCs w:val="28"/>
          <w:lang w:val="ro-RO" w:eastAsia="ro-RO"/>
        </w:rPr>
        <w:footnoteReference w:id="5"/>
      </w:r>
      <w:r w:rsidR="000E0F83" w:rsidRPr="00990F60">
        <w:rPr>
          <w:rFonts w:asciiTheme="majorHAnsi" w:eastAsia="Calibri" w:hAnsiTheme="majorHAnsi" w:cstheme="majorHAnsi"/>
          <w:sz w:val="28"/>
          <w:szCs w:val="28"/>
          <w:lang w:val="ro-RO" w:eastAsia="ro-RO"/>
        </w:rPr>
        <w:t>. Am realizat misiunea de audit în conformitate cu Standardele Internaționale ale Instituțiilor Supreme de Audit aplicate de Curtea de Conturi</w:t>
      </w:r>
      <w:r w:rsidR="000E0F83" w:rsidRPr="00990F60">
        <w:rPr>
          <w:rStyle w:val="FootnoteReference"/>
          <w:rFonts w:asciiTheme="majorHAnsi" w:eastAsia="Calibri" w:hAnsiTheme="majorHAnsi" w:cstheme="majorHAnsi"/>
          <w:sz w:val="28"/>
          <w:szCs w:val="28"/>
          <w:lang w:val="ro-RO" w:eastAsia="ro-RO"/>
        </w:rPr>
        <w:footnoteReference w:id="6"/>
      </w:r>
      <w:r w:rsidRPr="00990F60">
        <w:rPr>
          <w:rFonts w:ascii="Calibri Light" w:hAnsi="Calibri Light" w:cs="Calibri Light"/>
          <w:noProof/>
          <w:sz w:val="28"/>
          <w:szCs w:val="28"/>
          <w:lang w:val="ro-RO"/>
        </w:rPr>
        <w:t xml:space="preserve">, </w:t>
      </w:r>
      <w:r w:rsidRPr="00990F60">
        <w:rPr>
          <w:rFonts w:ascii="Calibri Light" w:hAnsi="Calibri Light" w:cs="Calibri Light"/>
          <w:noProof/>
          <w:sz w:val="28"/>
          <w:szCs w:val="28"/>
          <w:lang w:val="ro-MD"/>
        </w:rPr>
        <w:t>Manual</w:t>
      </w:r>
      <w:r w:rsidR="00C96956" w:rsidRPr="00990F60">
        <w:rPr>
          <w:rFonts w:ascii="Calibri Light" w:hAnsi="Calibri Light" w:cs="Calibri Light"/>
          <w:noProof/>
          <w:sz w:val="28"/>
          <w:szCs w:val="28"/>
          <w:lang w:val="ro-MD"/>
        </w:rPr>
        <w:t>u</w:t>
      </w:r>
      <w:r w:rsidRPr="00990F60">
        <w:rPr>
          <w:rFonts w:ascii="Calibri Light" w:hAnsi="Calibri Light" w:cs="Calibri Light"/>
          <w:noProof/>
          <w:sz w:val="28"/>
          <w:szCs w:val="28"/>
          <w:lang w:val="ro-MD"/>
        </w:rPr>
        <w:t>l de audit al performanței</w:t>
      </w:r>
      <w:r w:rsidRPr="00990F60">
        <w:rPr>
          <w:rFonts w:ascii="Calibri Light" w:hAnsi="Calibri Light" w:cs="Calibri Light"/>
          <w:noProof/>
          <w:sz w:val="28"/>
          <w:szCs w:val="28"/>
          <w:vertAlign w:val="superscript"/>
          <w:lang w:val="ro-MD"/>
        </w:rPr>
        <w:footnoteReference w:id="7"/>
      </w:r>
      <w:r w:rsidRPr="00990F60">
        <w:rPr>
          <w:rFonts w:ascii="Calibri Light" w:hAnsi="Calibri Light" w:cs="Calibri Light"/>
          <w:noProof/>
          <w:sz w:val="28"/>
          <w:szCs w:val="28"/>
          <w:lang w:val="ro-MD"/>
        </w:rPr>
        <w:t xml:space="preserve">, </w:t>
      </w:r>
      <w:r w:rsidRPr="00990F60">
        <w:rPr>
          <w:rFonts w:ascii="Calibri Light" w:hAnsi="Calibri Light" w:cs="Calibri Light"/>
          <w:noProof/>
          <w:sz w:val="28"/>
          <w:szCs w:val="28"/>
          <w:lang w:val="ro-RO"/>
        </w:rPr>
        <w:t xml:space="preserve">cadrul de reglementare intern, precum și cu bunele practici în domeniu. </w:t>
      </w:r>
    </w:p>
    <w:p w:rsidR="0079333D" w:rsidRPr="00990F60" w:rsidRDefault="00396618" w:rsidP="0079333D">
      <w:pPr>
        <w:spacing w:after="0" w:line="276" w:lineRule="auto"/>
        <w:ind w:firstLine="540"/>
        <w:jc w:val="both"/>
        <w:rPr>
          <w:rFonts w:asciiTheme="majorHAnsi" w:eastAsia="Calibri" w:hAnsiTheme="majorHAnsi" w:cstheme="majorHAnsi"/>
          <w:sz w:val="28"/>
          <w:szCs w:val="28"/>
          <w:lang w:val="ro-MD" w:eastAsia="ro-MD"/>
        </w:rPr>
      </w:pPr>
      <w:r w:rsidRPr="00990F60">
        <w:rPr>
          <w:rFonts w:asciiTheme="majorHAnsi" w:eastAsia="Calibri" w:hAnsiTheme="majorHAnsi" w:cstheme="majorHAnsi"/>
          <w:sz w:val="28"/>
          <w:szCs w:val="28"/>
          <w:lang w:val="ro-RO"/>
        </w:rPr>
        <w:lastRenderedPageBreak/>
        <w:t>Auditul a avut drept</w:t>
      </w:r>
      <w:r w:rsidR="00FB4768" w:rsidRPr="00990F60">
        <w:rPr>
          <w:rFonts w:asciiTheme="majorHAnsi" w:eastAsia="Calibri" w:hAnsiTheme="majorHAnsi" w:cstheme="majorHAnsi"/>
          <w:sz w:val="28"/>
          <w:szCs w:val="28"/>
          <w:lang w:val="ro-RO"/>
        </w:rPr>
        <w:t xml:space="preserve"> scop</w:t>
      </w:r>
      <w:r w:rsidR="00FB4768" w:rsidRPr="00990F60">
        <w:rPr>
          <w:rFonts w:asciiTheme="majorHAnsi" w:eastAsia="Calibri" w:hAnsiTheme="majorHAnsi" w:cstheme="majorHAnsi"/>
          <w:sz w:val="28"/>
          <w:szCs w:val="28"/>
          <w:lang w:val="ro-MD" w:eastAsia="ro-MD"/>
        </w:rPr>
        <w:t xml:space="preserve"> </w:t>
      </w:r>
      <w:r w:rsidR="00380543" w:rsidRPr="00990F60">
        <w:rPr>
          <w:rFonts w:asciiTheme="majorHAnsi" w:eastAsia="Calibri" w:hAnsiTheme="majorHAnsi" w:cstheme="majorHAnsi"/>
          <w:sz w:val="28"/>
          <w:szCs w:val="28"/>
          <w:lang w:val="ro-MD" w:eastAsia="ro-MD"/>
        </w:rPr>
        <w:t xml:space="preserve">evaluarea </w:t>
      </w:r>
      <w:r w:rsidR="0079333D" w:rsidRPr="00990F60">
        <w:rPr>
          <w:rFonts w:asciiTheme="majorHAnsi" w:eastAsia="Calibri" w:hAnsiTheme="majorHAnsi" w:cstheme="majorHAnsi"/>
          <w:sz w:val="28"/>
          <w:szCs w:val="28"/>
          <w:lang w:val="ro-RO" w:eastAsia="ro-MD"/>
        </w:rPr>
        <w:t>performanțelor atinse de către Directoratul Liniei de Credit în administrarea Liniilor de credit și a Proiectelor transmise în gestionare de către Ministerul Finanțelor</w:t>
      </w:r>
      <w:r w:rsidR="0079333D" w:rsidRPr="00990F60">
        <w:rPr>
          <w:rFonts w:asciiTheme="majorHAnsi" w:eastAsia="Calibri" w:hAnsiTheme="majorHAnsi" w:cstheme="majorHAnsi"/>
          <w:sz w:val="28"/>
          <w:szCs w:val="28"/>
          <w:lang w:val="ro-MD" w:eastAsia="ro-MD"/>
        </w:rPr>
        <w:t>.</w:t>
      </w:r>
    </w:p>
    <w:p w:rsidR="00C21314" w:rsidRPr="00990F60" w:rsidRDefault="00D03DE2" w:rsidP="00990F60">
      <w:pPr>
        <w:spacing w:after="0" w:line="276" w:lineRule="auto"/>
        <w:ind w:firstLine="540"/>
        <w:jc w:val="both"/>
        <w:rPr>
          <w:rFonts w:asciiTheme="majorHAnsi" w:eastAsia="Times New Roman" w:hAnsiTheme="majorHAnsi" w:cstheme="majorHAnsi"/>
          <w:sz w:val="28"/>
          <w:szCs w:val="28"/>
          <w:lang w:val="ro-MD"/>
        </w:rPr>
      </w:pPr>
      <w:r w:rsidRPr="00990F60">
        <w:rPr>
          <w:rFonts w:asciiTheme="majorHAnsi" w:eastAsia="Times New Roman" w:hAnsiTheme="majorHAnsi" w:cstheme="majorHAnsi"/>
          <w:sz w:val="28"/>
          <w:szCs w:val="28"/>
          <w:lang w:val="ro-MD"/>
        </w:rPr>
        <w:t>Examinând rezultatele auditului</w:t>
      </w:r>
      <w:r w:rsidR="001F16F3" w:rsidRPr="00990F60">
        <w:rPr>
          <w:rFonts w:asciiTheme="majorHAnsi" w:eastAsia="Times New Roman" w:hAnsiTheme="majorHAnsi" w:cstheme="majorHAnsi"/>
          <w:sz w:val="28"/>
          <w:szCs w:val="28"/>
          <w:lang w:val="ro-MD"/>
        </w:rPr>
        <w:t xml:space="preserve"> și audiind Raportul prezentat</w:t>
      </w:r>
      <w:r w:rsidRPr="00990F60">
        <w:rPr>
          <w:rFonts w:asciiTheme="majorHAnsi" w:eastAsia="Times New Roman" w:hAnsiTheme="majorHAnsi" w:cstheme="majorHAnsi"/>
          <w:sz w:val="28"/>
          <w:szCs w:val="28"/>
          <w:lang w:val="ro-MD"/>
        </w:rPr>
        <w:t>, Curtea de Conturi</w:t>
      </w:r>
    </w:p>
    <w:p w:rsidR="0000284A" w:rsidRPr="0000284A" w:rsidRDefault="0000284A" w:rsidP="00990F60">
      <w:pPr>
        <w:spacing w:after="0" w:line="276" w:lineRule="auto"/>
        <w:jc w:val="center"/>
        <w:rPr>
          <w:rFonts w:asciiTheme="majorHAnsi" w:eastAsia="Times New Roman" w:hAnsiTheme="majorHAnsi" w:cstheme="majorHAnsi"/>
          <w:b/>
          <w:bCs/>
          <w:sz w:val="16"/>
          <w:szCs w:val="16"/>
          <w:lang w:val="ro-MD"/>
        </w:rPr>
      </w:pPr>
    </w:p>
    <w:p w:rsidR="0079333D" w:rsidRPr="00990F60" w:rsidRDefault="00B94DE2" w:rsidP="00990F60">
      <w:pPr>
        <w:spacing w:after="0" w:line="276" w:lineRule="auto"/>
        <w:jc w:val="center"/>
        <w:rPr>
          <w:rFonts w:asciiTheme="majorHAnsi" w:eastAsia="Times New Roman" w:hAnsiTheme="majorHAnsi" w:cstheme="majorHAnsi"/>
          <w:b/>
          <w:bCs/>
          <w:sz w:val="24"/>
          <w:szCs w:val="24"/>
          <w:lang w:val="ro-MD"/>
        </w:rPr>
      </w:pPr>
      <w:r w:rsidRPr="00396618">
        <w:rPr>
          <w:rFonts w:asciiTheme="majorHAnsi" w:eastAsia="Times New Roman" w:hAnsiTheme="majorHAnsi" w:cstheme="majorHAnsi"/>
          <w:b/>
          <w:bCs/>
          <w:sz w:val="24"/>
          <w:szCs w:val="24"/>
          <w:lang w:val="ro-MD"/>
        </w:rPr>
        <w:t>A CONSTATAT:</w:t>
      </w:r>
    </w:p>
    <w:p w:rsidR="002C6DE4" w:rsidRPr="00990F60" w:rsidRDefault="003F7D90" w:rsidP="00336600">
      <w:pPr>
        <w:spacing w:after="0" w:line="276" w:lineRule="auto"/>
        <w:ind w:firstLine="720"/>
        <w:jc w:val="both"/>
        <w:rPr>
          <w:rFonts w:ascii="Calibri Light" w:hAnsi="Calibri Light" w:cs="Calibri Light"/>
          <w:bCs/>
          <w:sz w:val="28"/>
          <w:szCs w:val="28"/>
          <w:lang w:val="ro-RO"/>
        </w:rPr>
      </w:pPr>
      <w:r w:rsidRPr="00990F60">
        <w:rPr>
          <w:rFonts w:ascii="Calibri Light" w:eastAsia="Times New Roman" w:hAnsi="Calibri Light" w:cs="Calibri Light"/>
          <w:color w:val="000000"/>
          <w:sz w:val="28"/>
          <w:szCs w:val="28"/>
          <w:lang w:val="ro-MD"/>
        </w:rPr>
        <w:t>Directoratul Liniei de Credit</w:t>
      </w:r>
      <w:r w:rsidR="000E0F83" w:rsidRPr="00990F60">
        <w:rPr>
          <w:rFonts w:asciiTheme="majorHAnsi" w:hAnsiTheme="majorHAnsi" w:cstheme="majorHAnsi"/>
          <w:sz w:val="28"/>
          <w:szCs w:val="28"/>
          <w:lang w:val="ro-MD" w:eastAsia="ru-RU"/>
        </w:rPr>
        <w:t xml:space="preserve"> este o instituție publică fondată de Ministerul Finanțelor</w:t>
      </w:r>
      <w:r w:rsidR="001F16F3" w:rsidRPr="00990F60">
        <w:rPr>
          <w:rFonts w:asciiTheme="majorHAnsi" w:hAnsiTheme="majorHAnsi" w:cstheme="majorHAnsi"/>
          <w:sz w:val="28"/>
          <w:szCs w:val="28"/>
          <w:lang w:val="ro-MD" w:eastAsia="ru-RU"/>
        </w:rPr>
        <w:t>,</w:t>
      </w:r>
      <w:r w:rsidR="0000284A">
        <w:rPr>
          <w:rFonts w:asciiTheme="majorHAnsi" w:hAnsiTheme="majorHAnsi" w:cstheme="majorHAnsi"/>
          <w:sz w:val="28"/>
          <w:szCs w:val="28"/>
          <w:lang w:val="ro-MD" w:eastAsia="ru-RU"/>
        </w:rPr>
        <w:t xml:space="preserve"> căreia</w:t>
      </w:r>
      <w:r w:rsidR="007B2885" w:rsidRPr="00990F60">
        <w:rPr>
          <w:rFonts w:asciiTheme="majorHAnsi" w:hAnsiTheme="majorHAnsi" w:cstheme="majorHAnsi"/>
          <w:sz w:val="28"/>
          <w:szCs w:val="28"/>
          <w:lang w:val="ro-MD" w:eastAsia="ru-RU"/>
        </w:rPr>
        <w:t xml:space="preserve"> </w:t>
      </w:r>
      <w:r w:rsidR="000E0F83" w:rsidRPr="00990F60">
        <w:rPr>
          <w:rFonts w:asciiTheme="majorHAnsi" w:hAnsiTheme="majorHAnsi" w:cstheme="majorHAnsi"/>
          <w:sz w:val="28"/>
          <w:szCs w:val="28"/>
          <w:lang w:val="ro-MD" w:eastAsia="ru-RU"/>
        </w:rPr>
        <w:t xml:space="preserve">i-au fost atribuite funcțiile de gestionare și implementare a </w:t>
      </w:r>
      <w:r w:rsidR="00FE1E79" w:rsidRPr="00990F60">
        <w:rPr>
          <w:rFonts w:asciiTheme="majorHAnsi" w:hAnsiTheme="majorHAnsi" w:cstheme="majorHAnsi"/>
          <w:sz w:val="28"/>
          <w:szCs w:val="28"/>
          <w:lang w:val="ro-MD" w:eastAsia="ru-RU"/>
        </w:rPr>
        <w:t>c</w:t>
      </w:r>
      <w:r w:rsidR="000E0F83" w:rsidRPr="00990F60">
        <w:rPr>
          <w:rFonts w:asciiTheme="majorHAnsi" w:hAnsiTheme="majorHAnsi" w:cstheme="majorHAnsi"/>
          <w:sz w:val="28"/>
          <w:szCs w:val="28"/>
          <w:lang w:val="ro-MD" w:eastAsia="ru-RU"/>
        </w:rPr>
        <w:t xml:space="preserve">omponentelor ce țin de Liniile de credit din cadrul Proiectelor investiționale finanțate din surse externe. În anul 2020, </w:t>
      </w:r>
      <w:r w:rsidRPr="00990F60">
        <w:rPr>
          <w:rFonts w:ascii="Calibri Light" w:eastAsia="Times New Roman" w:hAnsi="Calibri Light" w:cs="Calibri Light"/>
          <w:color w:val="000000"/>
          <w:sz w:val="28"/>
          <w:szCs w:val="28"/>
          <w:lang w:val="ro-MD"/>
        </w:rPr>
        <w:t>Directoratul Liniei de Credit</w:t>
      </w:r>
      <w:r w:rsidR="000E0F83" w:rsidRPr="00990F60">
        <w:rPr>
          <w:rFonts w:asciiTheme="majorHAnsi" w:hAnsiTheme="majorHAnsi" w:cstheme="majorHAnsi"/>
          <w:sz w:val="28"/>
          <w:szCs w:val="28"/>
          <w:lang w:val="ro-MD" w:eastAsia="ru-RU"/>
        </w:rPr>
        <w:t xml:space="preserve"> a fost reorganizat în </w:t>
      </w:r>
      <w:r w:rsidR="000E0F83" w:rsidRPr="00990F60">
        <w:rPr>
          <w:rFonts w:asciiTheme="majorHAnsi" w:hAnsiTheme="majorHAnsi" w:cstheme="majorHAnsi"/>
          <w:sz w:val="28"/>
          <w:szCs w:val="28"/>
          <w:lang w:val="ro-RO"/>
        </w:rPr>
        <w:t>Instituția Publică „Oficiul de Gestionare a Programelor de Asistență Externă”</w:t>
      </w:r>
      <w:r w:rsidR="00AB1EFD" w:rsidRPr="00990F60">
        <w:rPr>
          <w:rStyle w:val="FootnoteReference"/>
          <w:rFonts w:asciiTheme="majorHAnsi" w:hAnsiTheme="majorHAnsi" w:cstheme="majorHAnsi"/>
          <w:sz w:val="28"/>
          <w:szCs w:val="28"/>
          <w:lang w:val="ro-RO"/>
        </w:rPr>
        <w:footnoteReference w:id="8"/>
      </w:r>
      <w:r w:rsidR="000E0F83" w:rsidRPr="00990F60">
        <w:rPr>
          <w:rFonts w:asciiTheme="majorHAnsi" w:hAnsiTheme="majorHAnsi" w:cstheme="majorHAnsi"/>
          <w:sz w:val="28"/>
          <w:szCs w:val="28"/>
          <w:lang w:val="ro-RO"/>
        </w:rPr>
        <w:t xml:space="preserve">, </w:t>
      </w:r>
      <w:r w:rsidR="002C6DE4" w:rsidRPr="00990F60">
        <w:rPr>
          <w:rFonts w:asciiTheme="majorHAnsi" w:hAnsiTheme="majorHAnsi" w:cstheme="majorHAnsi"/>
          <w:sz w:val="28"/>
          <w:szCs w:val="28"/>
          <w:lang w:val="ro-RO"/>
        </w:rPr>
        <w:t>astfel</w:t>
      </w:r>
      <w:r w:rsidR="000E0F83" w:rsidRPr="00990F60">
        <w:rPr>
          <w:rFonts w:asciiTheme="majorHAnsi" w:hAnsiTheme="majorHAnsi" w:cstheme="majorHAnsi"/>
          <w:sz w:val="28"/>
          <w:szCs w:val="28"/>
          <w:lang w:val="ro-RO"/>
        </w:rPr>
        <w:t xml:space="preserve"> fiindu-i atribuite și alte funcții ce țin de </w:t>
      </w:r>
      <w:r w:rsidR="000E0F83" w:rsidRPr="00990F60">
        <w:rPr>
          <w:rFonts w:ascii="Calibri Light" w:hAnsi="Calibri Light" w:cs="Calibri Light"/>
          <w:bCs/>
          <w:sz w:val="28"/>
          <w:szCs w:val="28"/>
          <w:lang w:val="ro-RO"/>
        </w:rPr>
        <w:t xml:space="preserve">programele de cooperare transfrontalieră și transnațională. Verificările </w:t>
      </w:r>
      <w:r w:rsidR="001F16F3" w:rsidRPr="00990F60">
        <w:rPr>
          <w:rFonts w:ascii="Calibri Light" w:hAnsi="Calibri Light" w:cs="Calibri Light"/>
          <w:bCs/>
          <w:sz w:val="28"/>
          <w:szCs w:val="28"/>
          <w:lang w:val="ro-RO"/>
        </w:rPr>
        <w:t>auditului s-au axat pe analiza</w:t>
      </w:r>
      <w:r w:rsidR="000E0F83" w:rsidRPr="00990F60">
        <w:rPr>
          <w:rFonts w:ascii="Calibri Light" w:hAnsi="Calibri Light" w:cs="Calibri Light"/>
          <w:bCs/>
          <w:sz w:val="28"/>
          <w:szCs w:val="28"/>
          <w:lang w:val="ro-RO"/>
        </w:rPr>
        <w:t xml:space="preserve"> performanței activității </w:t>
      </w:r>
      <w:r w:rsidRPr="00990F60">
        <w:rPr>
          <w:rFonts w:ascii="Calibri Light" w:eastAsia="Times New Roman" w:hAnsi="Calibri Light" w:cs="Calibri Light"/>
          <w:color w:val="000000"/>
          <w:sz w:val="28"/>
          <w:szCs w:val="28"/>
          <w:lang w:val="ro-MD"/>
        </w:rPr>
        <w:t>Directoratului Liniei de Credit</w:t>
      </w:r>
      <w:r w:rsidR="001F16F3" w:rsidRPr="00990F60">
        <w:rPr>
          <w:rFonts w:ascii="Calibri Light" w:hAnsi="Calibri Light" w:cs="Calibri Light"/>
          <w:bCs/>
          <w:sz w:val="28"/>
          <w:szCs w:val="28"/>
          <w:lang w:val="ro-RO"/>
        </w:rPr>
        <w:t xml:space="preserve"> realizate</w:t>
      </w:r>
      <w:r w:rsidR="000E0F83" w:rsidRPr="00990F60">
        <w:rPr>
          <w:rFonts w:ascii="Calibri Light" w:hAnsi="Calibri Light" w:cs="Calibri Light"/>
          <w:bCs/>
          <w:sz w:val="28"/>
          <w:szCs w:val="28"/>
          <w:lang w:val="ro-RO"/>
        </w:rPr>
        <w:t xml:space="preserve"> până la 31.12.2019</w:t>
      </w:r>
      <w:r w:rsidR="002C6DE4" w:rsidRPr="00990F60">
        <w:rPr>
          <w:rFonts w:ascii="Calibri Light" w:hAnsi="Calibri Light" w:cs="Calibri Light"/>
          <w:bCs/>
          <w:sz w:val="28"/>
          <w:szCs w:val="28"/>
          <w:lang w:val="ro-RO"/>
        </w:rPr>
        <w:t>, în continuare fiind utilizată denumirea instituției până la reorganizare</w:t>
      </w:r>
      <w:r w:rsidR="000E0F83" w:rsidRPr="00990F60">
        <w:rPr>
          <w:rFonts w:ascii="Calibri Light" w:hAnsi="Calibri Light" w:cs="Calibri Light"/>
          <w:bCs/>
          <w:sz w:val="28"/>
          <w:szCs w:val="28"/>
          <w:lang w:val="ro-RO"/>
        </w:rPr>
        <w:t>.</w:t>
      </w:r>
    </w:p>
    <w:p w:rsidR="003F7D90" w:rsidRPr="00990F60" w:rsidRDefault="003F7D90" w:rsidP="003F7D90">
      <w:pPr>
        <w:spacing w:after="0" w:line="276" w:lineRule="auto"/>
        <w:ind w:firstLine="720"/>
        <w:jc w:val="both"/>
        <w:rPr>
          <w:rFonts w:asciiTheme="majorHAnsi" w:hAnsiTheme="majorHAnsi" w:cstheme="majorHAnsi"/>
          <w:sz w:val="28"/>
          <w:szCs w:val="28"/>
          <w:lang w:val="ro-MD" w:eastAsia="ru-RU"/>
        </w:rPr>
      </w:pPr>
      <w:r w:rsidRPr="00990F60">
        <w:rPr>
          <w:rFonts w:asciiTheme="majorHAnsi" w:hAnsiTheme="majorHAnsi" w:cstheme="majorHAnsi"/>
          <w:bCs/>
          <w:sz w:val="28"/>
          <w:szCs w:val="28"/>
          <w:lang w:val="ro-RO" w:eastAsia="ru-RU"/>
        </w:rPr>
        <w:t xml:space="preserve">Mijloacele financiare pentru întreținerea </w:t>
      </w:r>
      <w:r w:rsidRPr="00990F60">
        <w:rPr>
          <w:rFonts w:ascii="Calibri Light" w:eastAsia="Times New Roman" w:hAnsi="Calibri Light" w:cs="Calibri Light"/>
          <w:color w:val="000000"/>
          <w:sz w:val="28"/>
          <w:szCs w:val="28"/>
          <w:lang w:val="ro-MD"/>
        </w:rPr>
        <w:t>Directoratului Liniei de Credit</w:t>
      </w:r>
      <w:r w:rsidRPr="00990F60">
        <w:rPr>
          <w:rFonts w:asciiTheme="majorHAnsi" w:hAnsiTheme="majorHAnsi" w:cstheme="majorHAnsi"/>
          <w:bCs/>
          <w:sz w:val="28"/>
          <w:szCs w:val="28"/>
          <w:lang w:val="ro-RO" w:eastAsia="ru-RU"/>
        </w:rPr>
        <w:t xml:space="preserve"> se formează din dobânda adăugată la sub-împrumuturile acordate </w:t>
      </w:r>
      <w:r w:rsidR="0079690A" w:rsidRPr="00990F60">
        <w:rPr>
          <w:rFonts w:ascii="Calibri Light" w:eastAsia="Calibri" w:hAnsi="Calibri Light" w:cs="Calibri Light"/>
          <w:bCs/>
          <w:sz w:val="28"/>
          <w:szCs w:val="28"/>
          <w:lang w:val="ro-MD"/>
        </w:rPr>
        <w:t>Instituțiilor Financiare Participante</w:t>
      </w:r>
      <w:r w:rsidRPr="00990F60">
        <w:rPr>
          <w:rFonts w:asciiTheme="majorHAnsi" w:hAnsiTheme="majorHAnsi" w:cstheme="majorHAnsi"/>
          <w:bCs/>
          <w:sz w:val="28"/>
          <w:szCs w:val="28"/>
          <w:lang w:val="ro-RO" w:eastAsia="ru-RU"/>
        </w:rPr>
        <w:t>, donațiile donatorilor străini și autohtoni</w:t>
      </w:r>
      <w:r w:rsidR="001F16F3" w:rsidRPr="00990F60">
        <w:rPr>
          <w:rFonts w:asciiTheme="majorHAnsi" w:hAnsiTheme="majorHAnsi" w:cstheme="majorHAnsi"/>
          <w:bCs/>
          <w:sz w:val="28"/>
          <w:szCs w:val="28"/>
          <w:lang w:val="ro-RO" w:eastAsia="ru-RU"/>
        </w:rPr>
        <w:t>, precum</w:t>
      </w:r>
      <w:r w:rsidRPr="00990F60">
        <w:rPr>
          <w:rFonts w:asciiTheme="majorHAnsi" w:hAnsiTheme="majorHAnsi" w:cstheme="majorHAnsi"/>
          <w:bCs/>
          <w:sz w:val="28"/>
          <w:szCs w:val="28"/>
          <w:lang w:val="ro-RO" w:eastAsia="ru-RU"/>
        </w:rPr>
        <w:t xml:space="preserve"> și </w:t>
      </w:r>
      <w:r w:rsidR="001F16F3" w:rsidRPr="00990F60">
        <w:rPr>
          <w:rFonts w:asciiTheme="majorHAnsi" w:hAnsiTheme="majorHAnsi" w:cstheme="majorHAnsi"/>
          <w:bCs/>
          <w:sz w:val="28"/>
          <w:szCs w:val="28"/>
          <w:lang w:val="ro-RO" w:eastAsia="ru-RU"/>
        </w:rPr>
        <w:t xml:space="preserve">din </w:t>
      </w:r>
      <w:r w:rsidRPr="00990F60">
        <w:rPr>
          <w:rFonts w:asciiTheme="majorHAnsi" w:hAnsiTheme="majorHAnsi" w:cstheme="majorHAnsi"/>
          <w:bCs/>
          <w:sz w:val="28"/>
          <w:szCs w:val="28"/>
          <w:lang w:val="ro-RO" w:eastAsia="ru-RU"/>
        </w:rPr>
        <w:t xml:space="preserve">alte surse legale. Rezultatul activității </w:t>
      </w:r>
      <w:r w:rsidRPr="00990F60">
        <w:rPr>
          <w:rFonts w:ascii="Calibri Light" w:eastAsia="Times New Roman" w:hAnsi="Calibri Light" w:cs="Calibri Light"/>
          <w:color w:val="000000"/>
          <w:sz w:val="28"/>
          <w:szCs w:val="28"/>
          <w:lang w:val="ro-MD"/>
        </w:rPr>
        <w:t>Directoratul</w:t>
      </w:r>
      <w:r w:rsidR="001F16F3" w:rsidRPr="00990F60">
        <w:rPr>
          <w:rFonts w:ascii="Calibri Light" w:eastAsia="Times New Roman" w:hAnsi="Calibri Light" w:cs="Calibri Light"/>
          <w:color w:val="000000"/>
          <w:sz w:val="28"/>
          <w:szCs w:val="28"/>
          <w:lang w:val="ro-MD"/>
        </w:rPr>
        <w:t>ui</w:t>
      </w:r>
      <w:r w:rsidRPr="00990F60">
        <w:rPr>
          <w:rFonts w:ascii="Calibri Light" w:eastAsia="Times New Roman" w:hAnsi="Calibri Light" w:cs="Calibri Light"/>
          <w:color w:val="000000"/>
          <w:sz w:val="28"/>
          <w:szCs w:val="28"/>
          <w:lang w:val="ro-MD"/>
        </w:rPr>
        <w:t xml:space="preserve"> Liniei de Credit </w:t>
      </w:r>
      <w:r w:rsidRPr="00990F60">
        <w:rPr>
          <w:rFonts w:asciiTheme="majorHAnsi" w:hAnsiTheme="majorHAnsi" w:cstheme="majorHAnsi"/>
          <w:bCs/>
          <w:sz w:val="28"/>
          <w:szCs w:val="28"/>
          <w:lang w:val="ro-RO" w:eastAsia="ru-RU"/>
        </w:rPr>
        <w:t>nu este impozitat, astfel valoarea profitului trece în componența fondului de autofinanțare.</w:t>
      </w:r>
    </w:p>
    <w:p w:rsidR="003F7D90" w:rsidRPr="00990F60" w:rsidRDefault="000E0F83" w:rsidP="003F7D90">
      <w:pPr>
        <w:spacing w:after="0" w:line="276" w:lineRule="auto"/>
        <w:ind w:firstLine="720"/>
        <w:jc w:val="both"/>
        <w:rPr>
          <w:rFonts w:asciiTheme="majorHAnsi" w:hAnsiTheme="majorHAnsi" w:cstheme="majorHAnsi"/>
          <w:sz w:val="28"/>
          <w:szCs w:val="28"/>
          <w:lang w:val="ro-MD" w:eastAsia="ru-RU"/>
        </w:rPr>
      </w:pPr>
      <w:r w:rsidRPr="00990F60">
        <w:rPr>
          <w:rFonts w:asciiTheme="majorHAnsi" w:hAnsiTheme="majorHAnsi" w:cstheme="majorHAnsi"/>
          <w:sz w:val="28"/>
          <w:szCs w:val="28"/>
          <w:lang w:val="ro-MD" w:eastAsia="ru-RU"/>
        </w:rPr>
        <w:t>Activitățile operaționale ale D</w:t>
      </w:r>
      <w:r w:rsidR="002C6DE4" w:rsidRPr="00990F60">
        <w:rPr>
          <w:rFonts w:asciiTheme="majorHAnsi" w:hAnsiTheme="majorHAnsi" w:cstheme="majorHAnsi"/>
          <w:sz w:val="28"/>
          <w:szCs w:val="28"/>
          <w:lang w:val="ro-MD" w:eastAsia="ru-RU"/>
        </w:rPr>
        <w:t xml:space="preserve">irectoratului </w:t>
      </w:r>
      <w:r w:rsidRPr="00990F60">
        <w:rPr>
          <w:rFonts w:asciiTheme="majorHAnsi" w:hAnsiTheme="majorHAnsi" w:cstheme="majorHAnsi"/>
          <w:sz w:val="28"/>
          <w:szCs w:val="28"/>
          <w:lang w:val="ro-MD" w:eastAsia="ru-RU"/>
        </w:rPr>
        <w:t>L</w:t>
      </w:r>
      <w:r w:rsidR="002C6DE4" w:rsidRPr="00990F60">
        <w:rPr>
          <w:rFonts w:asciiTheme="majorHAnsi" w:hAnsiTheme="majorHAnsi" w:cstheme="majorHAnsi"/>
          <w:sz w:val="28"/>
          <w:szCs w:val="28"/>
          <w:lang w:val="ro-MD" w:eastAsia="ru-RU"/>
        </w:rPr>
        <w:t xml:space="preserve">iniei de </w:t>
      </w:r>
      <w:r w:rsidRPr="00990F60">
        <w:rPr>
          <w:rFonts w:asciiTheme="majorHAnsi" w:hAnsiTheme="majorHAnsi" w:cstheme="majorHAnsi"/>
          <w:sz w:val="28"/>
          <w:szCs w:val="28"/>
          <w:lang w:val="ro-MD" w:eastAsia="ru-RU"/>
        </w:rPr>
        <w:t>C</w:t>
      </w:r>
      <w:r w:rsidR="002C6DE4" w:rsidRPr="00990F60">
        <w:rPr>
          <w:rFonts w:asciiTheme="majorHAnsi" w:hAnsiTheme="majorHAnsi" w:cstheme="majorHAnsi"/>
          <w:sz w:val="28"/>
          <w:szCs w:val="28"/>
          <w:lang w:val="ro-MD" w:eastAsia="ru-RU"/>
        </w:rPr>
        <w:t>redit</w:t>
      </w:r>
      <w:r w:rsidRPr="00990F60">
        <w:rPr>
          <w:rFonts w:asciiTheme="majorHAnsi" w:hAnsiTheme="majorHAnsi" w:cstheme="majorHAnsi"/>
          <w:sz w:val="28"/>
          <w:szCs w:val="28"/>
          <w:lang w:val="ro-MD" w:eastAsia="ru-RU"/>
        </w:rPr>
        <w:t xml:space="preserve"> au fost </w:t>
      </w:r>
      <w:r w:rsidR="001F16F3" w:rsidRPr="00990F60">
        <w:rPr>
          <w:rFonts w:asciiTheme="majorHAnsi" w:hAnsiTheme="majorHAnsi" w:cstheme="majorHAnsi"/>
          <w:sz w:val="28"/>
          <w:szCs w:val="28"/>
          <w:lang w:val="ro-MD" w:eastAsia="ru-RU"/>
        </w:rPr>
        <w:t>direcționate</w:t>
      </w:r>
      <w:r w:rsidRPr="00990F60">
        <w:rPr>
          <w:rFonts w:asciiTheme="majorHAnsi" w:hAnsiTheme="majorHAnsi" w:cstheme="majorHAnsi"/>
          <w:sz w:val="28"/>
          <w:szCs w:val="28"/>
          <w:lang w:val="ro-MD" w:eastAsia="ru-RU"/>
        </w:rPr>
        <w:t xml:space="preserve"> spre </w:t>
      </w:r>
      <w:r w:rsidR="001F16F3" w:rsidRPr="00990F60">
        <w:rPr>
          <w:rFonts w:asciiTheme="majorHAnsi" w:hAnsiTheme="majorHAnsi" w:cstheme="majorHAnsi"/>
          <w:sz w:val="28"/>
          <w:szCs w:val="28"/>
          <w:lang w:val="ro-MD" w:eastAsia="ru-RU"/>
        </w:rPr>
        <w:t>atingerea unei economicități</w:t>
      </w:r>
      <w:r w:rsidRPr="00990F60">
        <w:rPr>
          <w:rFonts w:asciiTheme="majorHAnsi" w:hAnsiTheme="majorHAnsi" w:cstheme="majorHAnsi"/>
          <w:sz w:val="28"/>
          <w:szCs w:val="28"/>
          <w:lang w:val="ro-MD" w:eastAsia="ru-RU"/>
        </w:rPr>
        <w:t xml:space="preserve"> a cheltuielilor</w:t>
      </w:r>
      <w:r w:rsidR="001F16F3" w:rsidRPr="00990F60">
        <w:rPr>
          <w:rFonts w:asciiTheme="majorHAnsi" w:hAnsiTheme="majorHAnsi" w:cstheme="majorHAnsi"/>
          <w:sz w:val="28"/>
          <w:szCs w:val="28"/>
          <w:lang w:val="ro-MD" w:eastAsia="ru-RU"/>
        </w:rPr>
        <w:t>,</w:t>
      </w:r>
      <w:r w:rsidRPr="00990F60">
        <w:rPr>
          <w:rFonts w:asciiTheme="majorHAnsi" w:hAnsiTheme="majorHAnsi" w:cstheme="majorHAnsi"/>
          <w:sz w:val="28"/>
          <w:szCs w:val="28"/>
          <w:lang w:val="ro-MD" w:eastAsia="ru-RU"/>
        </w:rPr>
        <w:t xml:space="preserve"> care se exprimă prin menținerea</w:t>
      </w:r>
      <w:r w:rsidR="001F16F3" w:rsidRPr="00990F60">
        <w:rPr>
          <w:rFonts w:asciiTheme="majorHAnsi" w:hAnsiTheme="majorHAnsi" w:cstheme="majorHAnsi"/>
          <w:sz w:val="28"/>
          <w:szCs w:val="28"/>
          <w:lang w:val="ro-MD" w:eastAsia="ru-RU"/>
        </w:rPr>
        <w:t>,</w:t>
      </w:r>
      <w:r w:rsidRPr="00990F60">
        <w:rPr>
          <w:rFonts w:asciiTheme="majorHAnsi" w:hAnsiTheme="majorHAnsi" w:cstheme="majorHAnsi"/>
          <w:sz w:val="28"/>
          <w:szCs w:val="28"/>
          <w:lang w:val="ro-MD" w:eastAsia="ru-RU"/>
        </w:rPr>
        <w:t xml:space="preserve"> pe parcursul ultimilor 5 ani</w:t>
      </w:r>
      <w:r w:rsidR="001F16F3" w:rsidRPr="00990F60">
        <w:rPr>
          <w:rFonts w:asciiTheme="majorHAnsi" w:hAnsiTheme="majorHAnsi" w:cstheme="majorHAnsi"/>
          <w:sz w:val="28"/>
          <w:szCs w:val="28"/>
          <w:lang w:val="ro-MD" w:eastAsia="ru-RU"/>
        </w:rPr>
        <w:t>,</w:t>
      </w:r>
      <w:r w:rsidRPr="00990F60">
        <w:rPr>
          <w:rFonts w:asciiTheme="majorHAnsi" w:hAnsiTheme="majorHAnsi" w:cstheme="majorHAnsi"/>
          <w:sz w:val="28"/>
          <w:szCs w:val="28"/>
          <w:lang w:val="ro-MD" w:eastAsia="ru-RU"/>
        </w:rPr>
        <w:t xml:space="preserve"> a unui nivel practic neschimbat de cheltuieli, precum și spre diversificarea instrumentelor de sporire a veniturilor</w:t>
      </w:r>
      <w:r w:rsidR="001F16F3" w:rsidRPr="00990F60">
        <w:rPr>
          <w:rFonts w:asciiTheme="majorHAnsi" w:hAnsiTheme="majorHAnsi" w:cstheme="majorHAnsi"/>
          <w:sz w:val="28"/>
          <w:szCs w:val="28"/>
          <w:lang w:val="ro-MD" w:eastAsia="ru-RU"/>
        </w:rPr>
        <w:t>,</w:t>
      </w:r>
      <w:r w:rsidRPr="00990F60">
        <w:rPr>
          <w:rFonts w:asciiTheme="majorHAnsi" w:hAnsiTheme="majorHAnsi" w:cstheme="majorHAnsi"/>
          <w:sz w:val="28"/>
          <w:szCs w:val="28"/>
          <w:lang w:val="ro-MD" w:eastAsia="ru-RU"/>
        </w:rPr>
        <w:t xml:space="preserve"> prin plasarea mijloacelor fondului de autofinanțare în conturi de depozit bancar.</w:t>
      </w:r>
      <w:r w:rsidR="003F7D90" w:rsidRPr="00990F60">
        <w:rPr>
          <w:rFonts w:asciiTheme="majorHAnsi" w:hAnsiTheme="majorHAnsi" w:cstheme="majorHAnsi"/>
          <w:sz w:val="28"/>
          <w:szCs w:val="28"/>
          <w:lang w:val="ro-MD" w:eastAsia="ru-RU"/>
        </w:rPr>
        <w:t xml:space="preserve"> În același timp</w:t>
      </w:r>
      <w:r w:rsidR="001F16F3" w:rsidRPr="00990F60">
        <w:rPr>
          <w:rFonts w:asciiTheme="majorHAnsi" w:hAnsiTheme="majorHAnsi" w:cstheme="majorHAnsi"/>
          <w:sz w:val="28"/>
          <w:szCs w:val="28"/>
          <w:lang w:val="ro-MD" w:eastAsia="ru-RU"/>
        </w:rPr>
        <w:t>,</w:t>
      </w:r>
      <w:r w:rsidR="003F7D90" w:rsidRPr="00990F60">
        <w:rPr>
          <w:rFonts w:asciiTheme="majorHAnsi" w:hAnsiTheme="majorHAnsi" w:cstheme="majorHAnsi"/>
          <w:sz w:val="28"/>
          <w:szCs w:val="28"/>
          <w:lang w:val="ro-MD" w:eastAsia="ru-RU"/>
        </w:rPr>
        <w:t xml:space="preserve"> s-a identificat lipsa criteriilor legale </w:t>
      </w:r>
      <w:r w:rsidR="001F16F3" w:rsidRPr="00990F60">
        <w:rPr>
          <w:rFonts w:asciiTheme="majorHAnsi" w:hAnsiTheme="majorHAnsi" w:cstheme="majorHAnsi"/>
          <w:sz w:val="28"/>
          <w:szCs w:val="28"/>
          <w:lang w:val="ro-MD" w:eastAsia="ru-RU"/>
        </w:rPr>
        <w:t>la</w:t>
      </w:r>
      <w:r w:rsidR="003F7D90" w:rsidRPr="00990F60">
        <w:rPr>
          <w:rFonts w:asciiTheme="majorHAnsi" w:hAnsiTheme="majorHAnsi" w:cstheme="majorHAnsi"/>
          <w:sz w:val="28"/>
          <w:szCs w:val="28"/>
          <w:lang w:val="ro-MD" w:eastAsia="ru-RU"/>
        </w:rPr>
        <w:t xml:space="preserve"> stabilirea cheltuielilor operaționale și a salariului angajaților </w:t>
      </w:r>
      <w:r w:rsidR="003F7D90" w:rsidRPr="00990F60">
        <w:rPr>
          <w:rFonts w:ascii="Calibri Light" w:eastAsia="Times New Roman" w:hAnsi="Calibri Light" w:cs="Calibri Light"/>
          <w:color w:val="000000"/>
          <w:sz w:val="28"/>
          <w:szCs w:val="28"/>
          <w:lang w:val="ro-MD"/>
        </w:rPr>
        <w:t>Directoratului Liniei de Credit</w:t>
      </w:r>
      <w:r w:rsidR="003F7D90" w:rsidRPr="00990F60">
        <w:rPr>
          <w:rFonts w:asciiTheme="majorHAnsi" w:hAnsiTheme="majorHAnsi" w:cstheme="majorHAnsi"/>
          <w:sz w:val="28"/>
          <w:szCs w:val="28"/>
          <w:lang w:val="ro-MD" w:eastAsia="ru-RU"/>
        </w:rPr>
        <w:t xml:space="preserve">, precum și luarea unor decizii ce țin de gestionarea fondului de autofinanțare fără </w:t>
      </w:r>
      <w:r w:rsidR="001F16F3" w:rsidRPr="00990F60">
        <w:rPr>
          <w:rFonts w:asciiTheme="majorHAnsi" w:hAnsiTheme="majorHAnsi" w:cstheme="majorHAnsi"/>
          <w:sz w:val="28"/>
          <w:szCs w:val="28"/>
          <w:lang w:val="ro-MD" w:eastAsia="ru-RU"/>
        </w:rPr>
        <w:t>avizarea</w:t>
      </w:r>
      <w:r w:rsidR="003F7D90" w:rsidRPr="00990F60">
        <w:rPr>
          <w:rFonts w:asciiTheme="majorHAnsi" w:hAnsiTheme="majorHAnsi" w:cstheme="majorHAnsi"/>
          <w:sz w:val="28"/>
          <w:szCs w:val="28"/>
          <w:lang w:val="ro-MD" w:eastAsia="ru-RU"/>
        </w:rPr>
        <w:t xml:space="preserve"> directă a M</w:t>
      </w:r>
      <w:r w:rsidR="0079690A" w:rsidRPr="00990F60">
        <w:rPr>
          <w:rFonts w:asciiTheme="majorHAnsi" w:hAnsiTheme="majorHAnsi" w:cstheme="majorHAnsi"/>
          <w:sz w:val="28"/>
          <w:szCs w:val="28"/>
          <w:lang w:val="ro-MD" w:eastAsia="ru-RU"/>
        </w:rPr>
        <w:t xml:space="preserve">inisterului </w:t>
      </w:r>
      <w:r w:rsidR="003F7D90" w:rsidRPr="00990F60">
        <w:rPr>
          <w:rFonts w:asciiTheme="majorHAnsi" w:hAnsiTheme="majorHAnsi" w:cstheme="majorHAnsi"/>
          <w:sz w:val="28"/>
          <w:szCs w:val="28"/>
          <w:lang w:val="ro-MD" w:eastAsia="ru-RU"/>
        </w:rPr>
        <w:t>F</w:t>
      </w:r>
      <w:r w:rsidR="0079690A" w:rsidRPr="00990F60">
        <w:rPr>
          <w:rFonts w:asciiTheme="majorHAnsi" w:hAnsiTheme="majorHAnsi" w:cstheme="majorHAnsi"/>
          <w:sz w:val="28"/>
          <w:szCs w:val="28"/>
          <w:lang w:val="ro-MD" w:eastAsia="ru-RU"/>
        </w:rPr>
        <w:t>inanțelor</w:t>
      </w:r>
      <w:r w:rsidR="003F7D90" w:rsidRPr="00990F60">
        <w:rPr>
          <w:rFonts w:asciiTheme="majorHAnsi" w:hAnsiTheme="majorHAnsi" w:cstheme="majorHAnsi"/>
          <w:sz w:val="28"/>
          <w:szCs w:val="28"/>
          <w:lang w:val="ro-MD" w:eastAsia="ru-RU"/>
        </w:rPr>
        <w:t xml:space="preserve">, în calitate de fondator, și a Consiliului </w:t>
      </w:r>
      <w:r w:rsidR="003F7D90" w:rsidRPr="00990F60">
        <w:rPr>
          <w:rFonts w:ascii="Calibri Light" w:eastAsia="Times New Roman" w:hAnsi="Calibri Light" w:cs="Calibri Light"/>
          <w:color w:val="000000"/>
          <w:sz w:val="28"/>
          <w:szCs w:val="28"/>
          <w:lang w:val="ro-MD"/>
        </w:rPr>
        <w:t>Directoratului Liniei de Credit</w:t>
      </w:r>
      <w:r w:rsidR="003F7D90" w:rsidRPr="00990F60">
        <w:rPr>
          <w:rFonts w:asciiTheme="majorHAnsi" w:hAnsiTheme="majorHAnsi" w:cstheme="majorHAnsi"/>
          <w:sz w:val="28"/>
          <w:szCs w:val="28"/>
          <w:lang w:val="ro-MD" w:eastAsia="ru-RU"/>
        </w:rPr>
        <w:t xml:space="preserve">. </w:t>
      </w:r>
    </w:p>
    <w:p w:rsidR="002C6DE4" w:rsidRPr="00990F60" w:rsidRDefault="00435BDD" w:rsidP="003F7D90">
      <w:pPr>
        <w:spacing w:after="0" w:line="276" w:lineRule="auto"/>
        <w:ind w:firstLine="720"/>
        <w:jc w:val="both"/>
        <w:rPr>
          <w:rFonts w:asciiTheme="majorHAnsi" w:hAnsiTheme="majorHAnsi" w:cstheme="majorHAnsi"/>
          <w:sz w:val="28"/>
          <w:szCs w:val="28"/>
          <w:lang w:val="ro-MD" w:eastAsia="ru-RU"/>
        </w:rPr>
      </w:pPr>
      <w:r w:rsidRPr="00990F60">
        <w:rPr>
          <w:rFonts w:asciiTheme="majorHAnsi" w:hAnsiTheme="majorHAnsi" w:cstheme="majorHAnsi"/>
          <w:sz w:val="28"/>
          <w:szCs w:val="28"/>
          <w:lang w:val="ro-MD" w:eastAsia="ru-RU"/>
        </w:rPr>
        <w:t>Se menționează că, î</w:t>
      </w:r>
      <w:r w:rsidR="003F7D90" w:rsidRPr="00990F60">
        <w:rPr>
          <w:rFonts w:asciiTheme="majorHAnsi" w:hAnsiTheme="majorHAnsi" w:cstheme="majorHAnsi"/>
          <w:sz w:val="28"/>
          <w:szCs w:val="28"/>
          <w:lang w:val="ro-MD" w:eastAsia="ru-RU"/>
        </w:rPr>
        <w:t xml:space="preserve">n </w:t>
      </w:r>
      <w:r w:rsidR="001F16F3" w:rsidRPr="00990F60">
        <w:rPr>
          <w:rFonts w:asciiTheme="majorHAnsi" w:hAnsiTheme="majorHAnsi" w:cstheme="majorHAnsi"/>
          <w:sz w:val="28"/>
          <w:szCs w:val="28"/>
          <w:lang w:val="ro-MD" w:eastAsia="ru-RU"/>
        </w:rPr>
        <w:t>urma</w:t>
      </w:r>
      <w:r w:rsidR="003F7D90" w:rsidRPr="00990F60">
        <w:rPr>
          <w:rFonts w:asciiTheme="majorHAnsi" w:hAnsiTheme="majorHAnsi" w:cstheme="majorHAnsi"/>
          <w:sz w:val="28"/>
          <w:szCs w:val="28"/>
          <w:lang w:val="ro-MD" w:eastAsia="ru-RU"/>
        </w:rPr>
        <w:t xml:space="preserve"> restructurării, </w:t>
      </w:r>
      <w:r w:rsidR="003F7D90" w:rsidRPr="00990F60">
        <w:rPr>
          <w:rFonts w:asciiTheme="majorHAnsi" w:hAnsiTheme="majorHAnsi" w:cstheme="majorHAnsi"/>
          <w:sz w:val="28"/>
          <w:szCs w:val="28"/>
          <w:lang w:val="ro-RO" w:eastAsia="ru-RU"/>
        </w:rPr>
        <w:t>Instituția Publică „Oficiul de Gestionare a Programelor de Asistență Externă”</w:t>
      </w:r>
      <w:r w:rsidR="001F16F3" w:rsidRPr="00990F60">
        <w:rPr>
          <w:rFonts w:asciiTheme="majorHAnsi" w:hAnsiTheme="majorHAnsi" w:cstheme="majorHAnsi"/>
          <w:sz w:val="28"/>
          <w:szCs w:val="28"/>
          <w:lang w:val="ro-RO" w:eastAsia="ru-RU"/>
        </w:rPr>
        <w:t xml:space="preserve"> urmează să asigure transferul</w:t>
      </w:r>
      <w:r w:rsidR="003F7D90" w:rsidRPr="00990F60">
        <w:rPr>
          <w:rFonts w:asciiTheme="majorHAnsi" w:hAnsiTheme="majorHAnsi" w:cstheme="majorHAnsi"/>
          <w:sz w:val="28"/>
          <w:szCs w:val="28"/>
          <w:lang w:val="ro-RO" w:eastAsia="ru-RU"/>
        </w:rPr>
        <w:t xml:space="preserve"> soldurilor mijloacelor financiare în conturile deschise în Contul Unic </w:t>
      </w:r>
      <w:proofErr w:type="spellStart"/>
      <w:r w:rsidR="003F7D90" w:rsidRPr="00990F60">
        <w:rPr>
          <w:rFonts w:asciiTheme="majorHAnsi" w:hAnsiTheme="majorHAnsi" w:cstheme="majorHAnsi"/>
          <w:sz w:val="28"/>
          <w:szCs w:val="28"/>
          <w:lang w:val="ro-RO" w:eastAsia="ru-RU"/>
        </w:rPr>
        <w:t>Trezorerial</w:t>
      </w:r>
      <w:proofErr w:type="spellEnd"/>
      <w:r w:rsidR="003F7D90" w:rsidRPr="00990F60">
        <w:rPr>
          <w:rFonts w:asciiTheme="majorHAnsi" w:hAnsiTheme="majorHAnsi" w:cstheme="majorHAnsi"/>
          <w:sz w:val="28"/>
          <w:szCs w:val="28"/>
          <w:lang w:val="ro-RO" w:eastAsia="ru-RU"/>
        </w:rPr>
        <w:t xml:space="preserve"> al </w:t>
      </w:r>
      <w:r w:rsidR="0079690A" w:rsidRPr="00990F60">
        <w:rPr>
          <w:rFonts w:asciiTheme="majorHAnsi" w:hAnsiTheme="majorHAnsi" w:cstheme="majorHAnsi"/>
          <w:sz w:val="28"/>
          <w:szCs w:val="28"/>
          <w:lang w:val="ro-MD" w:eastAsia="ru-RU"/>
        </w:rPr>
        <w:lastRenderedPageBreak/>
        <w:t>Ministerului Finanțelor</w:t>
      </w:r>
      <w:r w:rsidR="003F7D90" w:rsidRPr="00990F60">
        <w:rPr>
          <w:rFonts w:asciiTheme="majorHAnsi" w:hAnsiTheme="majorHAnsi" w:cstheme="majorHAnsi"/>
          <w:sz w:val="28"/>
          <w:szCs w:val="28"/>
          <w:lang w:val="ro-RO" w:eastAsia="ru-RU"/>
        </w:rPr>
        <w:t xml:space="preserve"> și să utilizeze în activitatea sa aceste conturi, precum și </w:t>
      </w:r>
      <w:r w:rsidR="001F16F3" w:rsidRPr="00990F60">
        <w:rPr>
          <w:rFonts w:asciiTheme="majorHAnsi" w:hAnsiTheme="majorHAnsi" w:cstheme="majorHAnsi"/>
          <w:sz w:val="28"/>
          <w:szCs w:val="28"/>
          <w:lang w:val="ro-RO" w:eastAsia="ru-RU"/>
        </w:rPr>
        <w:t>să stabilească</w:t>
      </w:r>
      <w:r w:rsidR="00000AC3" w:rsidRPr="00990F60">
        <w:rPr>
          <w:rFonts w:asciiTheme="majorHAnsi" w:hAnsiTheme="majorHAnsi" w:cstheme="majorHAnsi"/>
          <w:sz w:val="28"/>
          <w:szCs w:val="28"/>
          <w:lang w:val="ro-RO" w:eastAsia="ru-RU"/>
        </w:rPr>
        <w:t xml:space="preserve"> salariile</w:t>
      </w:r>
      <w:r w:rsidR="003F7D90" w:rsidRPr="00990F60">
        <w:rPr>
          <w:rFonts w:asciiTheme="majorHAnsi" w:hAnsiTheme="majorHAnsi" w:cstheme="majorHAnsi"/>
          <w:sz w:val="28"/>
          <w:szCs w:val="28"/>
          <w:lang w:val="ro-RO" w:eastAsia="ru-RU"/>
        </w:rPr>
        <w:t xml:space="preserve"> angajaților în baza </w:t>
      </w:r>
      <w:r w:rsidR="00000AC3" w:rsidRPr="00990F60">
        <w:rPr>
          <w:rFonts w:asciiTheme="majorHAnsi" w:hAnsiTheme="majorHAnsi" w:cstheme="majorHAnsi"/>
          <w:sz w:val="28"/>
          <w:szCs w:val="28"/>
          <w:lang w:val="ro-MD" w:eastAsia="ru-RU"/>
        </w:rPr>
        <w:t>Hotărârii Guvernului nr.</w:t>
      </w:r>
      <w:r w:rsidR="003F7D90" w:rsidRPr="00990F60">
        <w:rPr>
          <w:rFonts w:asciiTheme="majorHAnsi" w:hAnsiTheme="majorHAnsi" w:cstheme="majorHAnsi"/>
          <w:sz w:val="28"/>
          <w:szCs w:val="28"/>
          <w:lang w:val="ro-MD" w:eastAsia="ru-RU"/>
        </w:rPr>
        <w:t>743 din 11.06.2002</w:t>
      </w:r>
      <w:r w:rsidR="00000AC3" w:rsidRPr="00990F60">
        <w:rPr>
          <w:rStyle w:val="FootnoteReference"/>
          <w:rFonts w:asciiTheme="majorHAnsi" w:hAnsiTheme="majorHAnsi" w:cstheme="majorHAnsi"/>
          <w:sz w:val="28"/>
          <w:szCs w:val="28"/>
          <w:lang w:val="ro-MD" w:eastAsia="ru-RU"/>
        </w:rPr>
        <w:footnoteReference w:id="9"/>
      </w:r>
      <w:r w:rsidR="003F7D90" w:rsidRPr="00990F60">
        <w:rPr>
          <w:rFonts w:asciiTheme="majorHAnsi" w:hAnsiTheme="majorHAnsi" w:cstheme="majorHAnsi"/>
          <w:sz w:val="28"/>
          <w:szCs w:val="28"/>
          <w:lang w:val="ro-MD" w:eastAsia="ru-RU"/>
        </w:rPr>
        <w:t>.</w:t>
      </w:r>
    </w:p>
    <w:p w:rsidR="0079690A" w:rsidRPr="00990F60" w:rsidRDefault="002C6DE4" w:rsidP="0079690A">
      <w:pPr>
        <w:spacing w:after="0" w:line="276" w:lineRule="auto"/>
        <w:ind w:firstLine="720"/>
        <w:jc w:val="both"/>
        <w:rPr>
          <w:rFonts w:ascii="Calibri Light" w:eastAsia="Times New Roman" w:hAnsi="Calibri Light" w:cs="Calibri Light"/>
          <w:bCs/>
          <w:color w:val="000000"/>
          <w:sz w:val="28"/>
          <w:szCs w:val="28"/>
          <w:lang w:val="ro-MD"/>
        </w:rPr>
      </w:pPr>
      <w:r w:rsidRPr="00990F60">
        <w:rPr>
          <w:rFonts w:ascii="Calibri Light" w:eastAsia="Times New Roman" w:hAnsi="Calibri Light" w:cs="Calibri Light"/>
          <w:color w:val="000000"/>
          <w:sz w:val="28"/>
          <w:szCs w:val="28"/>
          <w:lang w:val="ro-MD"/>
        </w:rPr>
        <w:t xml:space="preserve">La finele anului 2019, Directoratul Liniei de Credit </w:t>
      </w:r>
      <w:r w:rsidR="00000AC3" w:rsidRPr="00990F60">
        <w:rPr>
          <w:rFonts w:ascii="Calibri Light" w:eastAsia="Times New Roman" w:hAnsi="Calibri Light" w:cs="Calibri Light"/>
          <w:color w:val="000000"/>
          <w:sz w:val="28"/>
          <w:szCs w:val="28"/>
          <w:lang w:val="ro-MD"/>
        </w:rPr>
        <w:t>gestiona</w:t>
      </w:r>
      <w:r w:rsidRPr="00990F60">
        <w:rPr>
          <w:rFonts w:ascii="Calibri Light" w:eastAsia="Times New Roman" w:hAnsi="Calibri Light" w:cs="Calibri Light"/>
          <w:color w:val="000000"/>
          <w:sz w:val="28"/>
          <w:szCs w:val="28"/>
          <w:lang w:val="ro-MD"/>
        </w:rPr>
        <w:t xml:space="preserve"> 21 de Linii de credit și Proiecte investiționale</w:t>
      </w:r>
      <w:r w:rsidR="00000AC3" w:rsidRPr="00990F60">
        <w:rPr>
          <w:rFonts w:ascii="Calibri Light" w:eastAsia="Times New Roman" w:hAnsi="Calibri Light" w:cs="Calibri Light"/>
          <w:color w:val="000000"/>
          <w:sz w:val="28"/>
          <w:szCs w:val="28"/>
          <w:lang w:val="ro-MD"/>
        </w:rPr>
        <w:t>,</w:t>
      </w:r>
      <w:r w:rsidRPr="00990F60">
        <w:rPr>
          <w:rFonts w:ascii="Calibri Light" w:eastAsia="Times New Roman" w:hAnsi="Calibri Light" w:cs="Calibri Light"/>
          <w:color w:val="000000"/>
          <w:sz w:val="28"/>
          <w:szCs w:val="28"/>
          <w:lang w:val="ro-MD"/>
        </w:rPr>
        <w:t xml:space="preserve"> în proces de implementare</w:t>
      </w:r>
      <w:r w:rsidR="00000AC3" w:rsidRPr="00990F60">
        <w:rPr>
          <w:rFonts w:ascii="Calibri Light" w:eastAsia="Times New Roman" w:hAnsi="Calibri Light" w:cs="Calibri Light"/>
          <w:color w:val="000000"/>
          <w:sz w:val="28"/>
          <w:szCs w:val="28"/>
          <w:lang w:val="ro-MD"/>
        </w:rPr>
        <w:t xml:space="preserve"> fiind</w:t>
      </w:r>
      <w:r w:rsidRPr="00990F60">
        <w:rPr>
          <w:rFonts w:ascii="Calibri Light" w:eastAsia="Times New Roman" w:hAnsi="Calibri Light" w:cs="Calibri Light"/>
          <w:color w:val="000000"/>
          <w:sz w:val="28"/>
          <w:szCs w:val="28"/>
          <w:lang w:val="ro-MD"/>
        </w:rPr>
        <w:t xml:space="preserve"> 2 631 de sub-proiecte. </w:t>
      </w:r>
      <w:r w:rsidRPr="00990F60">
        <w:rPr>
          <w:rFonts w:asciiTheme="majorHAnsi" w:hAnsiTheme="majorHAnsi" w:cstheme="majorHAnsi"/>
          <w:sz w:val="28"/>
          <w:szCs w:val="28"/>
          <w:lang w:val="ro-MD" w:eastAsia="ru-RU"/>
        </w:rPr>
        <w:t>Performanțele D</w:t>
      </w:r>
      <w:r w:rsidR="00AB1EFD" w:rsidRPr="00990F60">
        <w:rPr>
          <w:rFonts w:asciiTheme="majorHAnsi" w:hAnsiTheme="majorHAnsi" w:cstheme="majorHAnsi"/>
          <w:sz w:val="28"/>
          <w:szCs w:val="28"/>
          <w:lang w:val="ro-MD" w:eastAsia="ru-RU"/>
        </w:rPr>
        <w:t>irectoratul</w:t>
      </w:r>
      <w:r w:rsidR="00000AC3" w:rsidRPr="00990F60">
        <w:rPr>
          <w:rFonts w:asciiTheme="majorHAnsi" w:hAnsiTheme="majorHAnsi" w:cstheme="majorHAnsi"/>
          <w:sz w:val="28"/>
          <w:szCs w:val="28"/>
          <w:lang w:val="ro-MD" w:eastAsia="ru-RU"/>
        </w:rPr>
        <w:t>ui</w:t>
      </w:r>
      <w:r w:rsidR="00AB1EFD" w:rsidRPr="00990F60">
        <w:rPr>
          <w:rFonts w:asciiTheme="majorHAnsi" w:hAnsiTheme="majorHAnsi" w:cstheme="majorHAnsi"/>
          <w:sz w:val="28"/>
          <w:szCs w:val="28"/>
          <w:lang w:val="ro-MD" w:eastAsia="ru-RU"/>
        </w:rPr>
        <w:t xml:space="preserve"> </w:t>
      </w:r>
      <w:r w:rsidRPr="00990F60">
        <w:rPr>
          <w:rFonts w:asciiTheme="majorHAnsi" w:hAnsiTheme="majorHAnsi" w:cstheme="majorHAnsi"/>
          <w:sz w:val="28"/>
          <w:szCs w:val="28"/>
          <w:lang w:val="ro-MD" w:eastAsia="ru-RU"/>
        </w:rPr>
        <w:t>L</w:t>
      </w:r>
      <w:r w:rsidR="00AB1EFD" w:rsidRPr="00990F60">
        <w:rPr>
          <w:rFonts w:asciiTheme="majorHAnsi" w:hAnsiTheme="majorHAnsi" w:cstheme="majorHAnsi"/>
          <w:sz w:val="28"/>
          <w:szCs w:val="28"/>
          <w:lang w:val="ro-MD" w:eastAsia="ru-RU"/>
        </w:rPr>
        <w:t xml:space="preserve">iniei de </w:t>
      </w:r>
      <w:r w:rsidRPr="00990F60">
        <w:rPr>
          <w:rFonts w:asciiTheme="majorHAnsi" w:hAnsiTheme="majorHAnsi" w:cstheme="majorHAnsi"/>
          <w:sz w:val="28"/>
          <w:szCs w:val="28"/>
          <w:lang w:val="ro-MD" w:eastAsia="ru-RU"/>
        </w:rPr>
        <w:t>C</w:t>
      </w:r>
      <w:r w:rsidR="00AB1EFD" w:rsidRPr="00990F60">
        <w:rPr>
          <w:rFonts w:asciiTheme="majorHAnsi" w:hAnsiTheme="majorHAnsi" w:cstheme="majorHAnsi"/>
          <w:sz w:val="28"/>
          <w:szCs w:val="28"/>
          <w:lang w:val="ro-MD" w:eastAsia="ru-RU"/>
        </w:rPr>
        <w:t>redit</w:t>
      </w:r>
      <w:r w:rsidRPr="00990F60">
        <w:rPr>
          <w:rFonts w:asciiTheme="majorHAnsi" w:hAnsiTheme="majorHAnsi" w:cstheme="majorHAnsi"/>
          <w:sz w:val="28"/>
          <w:szCs w:val="28"/>
          <w:lang w:val="ro-MD" w:eastAsia="ru-RU"/>
        </w:rPr>
        <w:t xml:space="preserve"> în procesul de gestionare a acestora</w:t>
      </w:r>
      <w:r w:rsidRPr="00990F60">
        <w:rPr>
          <w:rFonts w:ascii="Calibri Light" w:eastAsia="Times New Roman" w:hAnsi="Calibri Light" w:cs="Calibri Light"/>
          <w:bCs/>
          <w:color w:val="000000"/>
          <w:sz w:val="28"/>
          <w:szCs w:val="28"/>
          <w:lang w:val="ro-MD"/>
        </w:rPr>
        <w:t xml:space="preserve"> relevă că</w:t>
      </w:r>
      <w:r w:rsidR="00000AC3" w:rsidRPr="00990F60">
        <w:rPr>
          <w:rFonts w:ascii="Calibri Light" w:eastAsia="Times New Roman" w:hAnsi="Calibri Light" w:cs="Calibri Light"/>
          <w:bCs/>
          <w:color w:val="000000"/>
          <w:sz w:val="28"/>
          <w:szCs w:val="28"/>
          <w:lang w:val="ro-MD"/>
        </w:rPr>
        <w:t>,</w:t>
      </w:r>
      <w:r w:rsidRPr="00990F60">
        <w:rPr>
          <w:rFonts w:ascii="Calibri Light" w:eastAsia="Times New Roman" w:hAnsi="Calibri Light" w:cs="Calibri Light"/>
          <w:bCs/>
          <w:color w:val="000000"/>
          <w:sz w:val="28"/>
          <w:szCs w:val="28"/>
          <w:lang w:val="ro-MD"/>
        </w:rPr>
        <w:t xml:space="preserve"> deși au fost constatate unele neconformități, activitățile </w:t>
      </w:r>
      <w:r w:rsidR="00AB1EFD" w:rsidRPr="00990F60">
        <w:rPr>
          <w:rFonts w:ascii="Calibri Light" w:eastAsia="Times New Roman" w:hAnsi="Calibri Light" w:cs="Calibri Light"/>
          <w:bCs/>
          <w:color w:val="000000"/>
          <w:sz w:val="28"/>
          <w:szCs w:val="28"/>
          <w:lang w:val="ro-MD"/>
        </w:rPr>
        <w:t>acestuia</w:t>
      </w:r>
      <w:r w:rsidRPr="00990F60">
        <w:rPr>
          <w:rFonts w:ascii="Calibri Light" w:eastAsia="Times New Roman" w:hAnsi="Calibri Light" w:cs="Calibri Light"/>
          <w:bCs/>
          <w:color w:val="000000"/>
          <w:sz w:val="28"/>
          <w:szCs w:val="28"/>
          <w:lang w:val="ro-MD"/>
        </w:rPr>
        <w:t xml:space="preserve"> au fost orientate, în general, </w:t>
      </w:r>
      <w:r w:rsidR="00EA0248" w:rsidRPr="00990F60">
        <w:rPr>
          <w:rFonts w:ascii="Calibri Light" w:eastAsia="Times New Roman" w:hAnsi="Calibri Light" w:cs="Calibri Light"/>
          <w:bCs/>
          <w:color w:val="000000"/>
          <w:sz w:val="28"/>
          <w:szCs w:val="28"/>
          <w:lang w:val="ro-MD"/>
        </w:rPr>
        <w:t>la</w:t>
      </w:r>
      <w:r w:rsidRPr="00990F60">
        <w:rPr>
          <w:rFonts w:ascii="Calibri Light" w:eastAsia="Times New Roman" w:hAnsi="Calibri Light" w:cs="Calibri Light"/>
          <w:bCs/>
          <w:color w:val="000000"/>
          <w:sz w:val="28"/>
          <w:szCs w:val="28"/>
          <w:lang w:val="ro-MD"/>
        </w:rPr>
        <w:t xml:space="preserve"> sporirea atractivității proiectelor implementate prin intermediul Liniilor de credit, în special prin reducerea ratelor de dobândă pentru beneficiarii finali de sub-proiecte, colectarea și gestionarea plăților datorate de beneficiarii sub-proiectelor în așa mod încât să nu fie admise întârzieri de plăți către creditorii externi, </w:t>
      </w:r>
      <w:r w:rsidRPr="00990F60">
        <w:rPr>
          <w:rFonts w:asciiTheme="majorHAnsi" w:hAnsiTheme="majorHAnsi" w:cstheme="majorHAnsi"/>
          <w:sz w:val="28"/>
          <w:szCs w:val="28"/>
          <w:lang w:val="ro-MD" w:eastAsia="ru-RU"/>
        </w:rPr>
        <w:t>dezvoltarea întreprinderilor mici și mijlocii</w:t>
      </w:r>
      <w:r w:rsidR="00FE1E79" w:rsidRPr="00990F60">
        <w:rPr>
          <w:rFonts w:asciiTheme="majorHAnsi" w:hAnsiTheme="majorHAnsi" w:cstheme="majorHAnsi"/>
          <w:sz w:val="28"/>
          <w:szCs w:val="28"/>
          <w:lang w:val="ro-MD" w:eastAsia="ru-RU"/>
        </w:rPr>
        <w:t xml:space="preserve"> prin creșterea numărului </w:t>
      </w:r>
      <w:r w:rsidR="00AB1EFD" w:rsidRPr="00990F60">
        <w:rPr>
          <w:rFonts w:asciiTheme="majorHAnsi" w:hAnsiTheme="majorHAnsi" w:cstheme="majorHAnsi"/>
          <w:sz w:val="28"/>
          <w:szCs w:val="28"/>
          <w:lang w:val="ro-MD" w:eastAsia="ru-RU"/>
        </w:rPr>
        <w:t>Proiecte</w:t>
      </w:r>
      <w:r w:rsidR="00000AC3" w:rsidRPr="00990F60">
        <w:rPr>
          <w:rFonts w:asciiTheme="majorHAnsi" w:hAnsiTheme="majorHAnsi" w:cstheme="majorHAnsi"/>
          <w:sz w:val="28"/>
          <w:szCs w:val="28"/>
          <w:lang w:val="ro-MD" w:eastAsia="ru-RU"/>
        </w:rPr>
        <w:t>lor</w:t>
      </w:r>
      <w:r w:rsidR="00AB1EFD" w:rsidRPr="00990F60">
        <w:rPr>
          <w:rFonts w:asciiTheme="majorHAnsi" w:hAnsiTheme="majorHAnsi" w:cstheme="majorHAnsi"/>
          <w:sz w:val="28"/>
          <w:szCs w:val="28"/>
          <w:lang w:val="ro-MD" w:eastAsia="ru-RU"/>
        </w:rPr>
        <w:t xml:space="preserve"> și Linii</w:t>
      </w:r>
      <w:r w:rsidR="00000AC3" w:rsidRPr="00990F60">
        <w:rPr>
          <w:rFonts w:asciiTheme="majorHAnsi" w:hAnsiTheme="majorHAnsi" w:cstheme="majorHAnsi"/>
          <w:sz w:val="28"/>
          <w:szCs w:val="28"/>
          <w:lang w:val="ro-MD" w:eastAsia="ru-RU"/>
        </w:rPr>
        <w:t>lor</w:t>
      </w:r>
      <w:r w:rsidR="00AB1EFD" w:rsidRPr="00990F60">
        <w:rPr>
          <w:rFonts w:asciiTheme="majorHAnsi" w:hAnsiTheme="majorHAnsi" w:cstheme="majorHAnsi"/>
          <w:sz w:val="28"/>
          <w:szCs w:val="28"/>
          <w:lang w:val="ro-MD" w:eastAsia="ru-RU"/>
        </w:rPr>
        <w:t xml:space="preserve"> de credit implementate</w:t>
      </w:r>
      <w:r w:rsidRPr="00990F60">
        <w:rPr>
          <w:rFonts w:asciiTheme="majorHAnsi" w:hAnsiTheme="majorHAnsi" w:cstheme="majorHAnsi"/>
          <w:sz w:val="28"/>
          <w:szCs w:val="28"/>
          <w:lang w:val="ro-MD" w:eastAsia="ru-RU"/>
        </w:rPr>
        <w:t>,</w:t>
      </w:r>
      <w:r w:rsidRPr="00990F60">
        <w:rPr>
          <w:rFonts w:ascii="Calibri Light" w:eastAsia="Times New Roman" w:hAnsi="Calibri Light" w:cs="Calibri Light"/>
          <w:bCs/>
          <w:color w:val="000000"/>
          <w:sz w:val="28"/>
          <w:szCs w:val="28"/>
          <w:lang w:val="ro-MD"/>
        </w:rPr>
        <w:t xml:space="preserve"> promovarea și încurajarea tinerilor antreprenori și crearea de noi locuri de muncă prin acordarea unor facilități la creditarea tinerilor etc.</w:t>
      </w:r>
    </w:p>
    <w:p w:rsidR="0079690A" w:rsidRPr="00990F60" w:rsidRDefault="0079690A" w:rsidP="0079690A">
      <w:pPr>
        <w:spacing w:after="0" w:line="276" w:lineRule="auto"/>
        <w:ind w:firstLine="720"/>
        <w:jc w:val="both"/>
        <w:rPr>
          <w:rFonts w:ascii="Calibri Light" w:eastAsia="Times New Roman" w:hAnsi="Calibri Light" w:cs="Calibri Light"/>
          <w:bCs/>
          <w:color w:val="000000"/>
          <w:sz w:val="28"/>
          <w:szCs w:val="28"/>
          <w:lang w:val="ro-MD"/>
        </w:rPr>
      </w:pPr>
      <w:r w:rsidRPr="00990F60">
        <w:rPr>
          <w:rFonts w:asciiTheme="majorHAnsi" w:hAnsiTheme="majorHAnsi" w:cstheme="majorHAnsi"/>
          <w:sz w:val="28"/>
          <w:szCs w:val="28"/>
          <w:lang w:val="ro-MD" w:eastAsia="ru-RU"/>
        </w:rPr>
        <w:t xml:space="preserve">Gestionarea Liniilor de credit denotă și unele neconformități în aspectul plenitudinii dosarelor prezentate de către beneficiarii de sub-împrumuturi și </w:t>
      </w:r>
      <w:r w:rsidR="00000AC3" w:rsidRPr="00990F60">
        <w:rPr>
          <w:rFonts w:asciiTheme="majorHAnsi" w:hAnsiTheme="majorHAnsi" w:cstheme="majorHAnsi"/>
          <w:sz w:val="28"/>
          <w:szCs w:val="28"/>
          <w:lang w:val="ro-MD" w:eastAsia="ru-RU"/>
        </w:rPr>
        <w:t>întrunirii</w:t>
      </w:r>
      <w:r w:rsidRPr="00990F60">
        <w:rPr>
          <w:rFonts w:asciiTheme="majorHAnsi" w:hAnsiTheme="majorHAnsi" w:cstheme="majorHAnsi"/>
          <w:sz w:val="28"/>
          <w:szCs w:val="28"/>
          <w:lang w:val="ro-MD" w:eastAsia="ru-RU"/>
        </w:rPr>
        <w:t xml:space="preserve"> criteriilor de eligibilitate a beneficiarilor </w:t>
      </w:r>
      <w:proofErr w:type="spellStart"/>
      <w:r w:rsidRPr="00990F60">
        <w:rPr>
          <w:rFonts w:asciiTheme="majorHAnsi" w:hAnsiTheme="majorHAnsi" w:cstheme="majorHAnsi"/>
          <w:sz w:val="28"/>
          <w:szCs w:val="28"/>
          <w:lang w:val="ro-MD" w:eastAsia="ru-RU"/>
        </w:rPr>
        <w:t>recreditați</w:t>
      </w:r>
      <w:proofErr w:type="spellEnd"/>
      <w:r w:rsidRPr="00990F60">
        <w:rPr>
          <w:rFonts w:asciiTheme="majorHAnsi" w:hAnsiTheme="majorHAnsi" w:cstheme="majorHAnsi"/>
          <w:sz w:val="28"/>
          <w:szCs w:val="28"/>
          <w:lang w:val="ro-MD" w:eastAsia="ru-RU"/>
        </w:rPr>
        <w:t>, care însă nu implică riscuri pentru activitatea de recreditare a Directoratul</w:t>
      </w:r>
      <w:r w:rsidR="00000AC3" w:rsidRPr="00990F60">
        <w:rPr>
          <w:rFonts w:asciiTheme="majorHAnsi" w:hAnsiTheme="majorHAnsi" w:cstheme="majorHAnsi"/>
          <w:sz w:val="28"/>
          <w:szCs w:val="28"/>
          <w:lang w:val="ro-MD" w:eastAsia="ru-RU"/>
        </w:rPr>
        <w:t>ui</w:t>
      </w:r>
      <w:r w:rsidRPr="00990F60">
        <w:rPr>
          <w:rFonts w:asciiTheme="majorHAnsi" w:hAnsiTheme="majorHAnsi" w:cstheme="majorHAnsi"/>
          <w:sz w:val="28"/>
          <w:szCs w:val="28"/>
          <w:lang w:val="ro-MD" w:eastAsia="ru-RU"/>
        </w:rPr>
        <w:t xml:space="preserve"> Liniei de Credit</w:t>
      </w:r>
      <w:r w:rsidR="00000AC3" w:rsidRPr="00990F60">
        <w:rPr>
          <w:rFonts w:asciiTheme="majorHAnsi" w:hAnsiTheme="majorHAnsi" w:cstheme="majorHAnsi"/>
          <w:sz w:val="28"/>
          <w:szCs w:val="28"/>
          <w:lang w:val="ro-MD" w:eastAsia="ru-RU"/>
        </w:rPr>
        <w:t>,</w:t>
      </w:r>
      <w:r w:rsidRPr="00990F60">
        <w:rPr>
          <w:rFonts w:asciiTheme="majorHAnsi" w:hAnsiTheme="majorHAnsi" w:cstheme="majorHAnsi"/>
          <w:sz w:val="28"/>
          <w:szCs w:val="28"/>
          <w:lang w:val="ro-MD" w:eastAsia="ru-RU"/>
        </w:rPr>
        <w:t xml:space="preserve"> </w:t>
      </w:r>
      <w:r w:rsidRPr="00990F60">
        <w:rPr>
          <w:rFonts w:ascii="Calibri Light" w:hAnsi="Calibri Light" w:cs="Calibri Light"/>
          <w:bCs/>
          <w:sz w:val="28"/>
          <w:szCs w:val="28"/>
          <w:lang w:val="ro-MD"/>
        </w:rPr>
        <w:t xml:space="preserve">în condițiile în care toate riscurile de creditare sunt puse pe seama </w:t>
      </w:r>
      <w:r w:rsidRPr="00990F60">
        <w:rPr>
          <w:rFonts w:ascii="Calibri Light" w:eastAsia="Calibri" w:hAnsi="Calibri Light" w:cs="Calibri Light"/>
          <w:bCs/>
          <w:sz w:val="28"/>
          <w:szCs w:val="28"/>
          <w:lang w:val="ro-MD"/>
        </w:rPr>
        <w:t>Instituțiilor Financiare Participante</w:t>
      </w:r>
      <w:r w:rsidRPr="00990F60">
        <w:rPr>
          <w:rFonts w:ascii="Calibri Light" w:hAnsi="Calibri Light" w:cs="Calibri Light"/>
          <w:bCs/>
          <w:sz w:val="28"/>
          <w:szCs w:val="28"/>
          <w:lang w:val="ro-MD"/>
        </w:rPr>
        <w:t>, acestea având obligația de a rambursa sub-împrumuturile acordate</w:t>
      </w:r>
      <w:r w:rsidR="00EA0248" w:rsidRPr="00990F60">
        <w:rPr>
          <w:rFonts w:ascii="Calibri Light" w:hAnsi="Calibri Light" w:cs="Calibri Light"/>
          <w:bCs/>
          <w:sz w:val="28"/>
          <w:szCs w:val="28"/>
          <w:lang w:val="ro-MD"/>
        </w:rPr>
        <w:t>,</w:t>
      </w:r>
      <w:r w:rsidRPr="00990F60">
        <w:rPr>
          <w:rFonts w:ascii="Calibri Light" w:hAnsi="Calibri Light" w:cs="Calibri Light"/>
          <w:bCs/>
          <w:sz w:val="28"/>
          <w:szCs w:val="28"/>
          <w:lang w:val="ro-MD"/>
        </w:rPr>
        <w:t xml:space="preserve"> indiferent de plățile efectuate de către beneficiari.</w:t>
      </w:r>
    </w:p>
    <w:p w:rsidR="000E0F83" w:rsidRPr="00990F60" w:rsidRDefault="002C6DE4" w:rsidP="00336600">
      <w:pPr>
        <w:spacing w:after="0" w:line="276" w:lineRule="auto"/>
        <w:ind w:firstLine="720"/>
        <w:jc w:val="both"/>
        <w:rPr>
          <w:rFonts w:ascii="Calibri Light" w:hAnsi="Calibri Light" w:cs="Calibri Light"/>
          <w:sz w:val="28"/>
          <w:szCs w:val="28"/>
          <w:lang w:val="ro-RO"/>
        </w:rPr>
      </w:pPr>
      <w:r w:rsidRPr="00990F60">
        <w:rPr>
          <w:rFonts w:ascii="Calibri Light" w:eastAsia="Calibri" w:hAnsi="Calibri Light" w:cs="Calibri Light"/>
          <w:sz w:val="28"/>
          <w:szCs w:val="28"/>
          <w:lang w:val="ro-MD"/>
        </w:rPr>
        <w:t>Directoratul Liniei de Credit urmează să asigure o monitorizare prudentă, prin analiza permanentă a riscurilor, a fondurilor pe care le gestionează</w:t>
      </w:r>
      <w:r w:rsidR="00000AC3" w:rsidRPr="00990F60">
        <w:rPr>
          <w:rFonts w:ascii="Calibri Light" w:eastAsia="Calibri" w:hAnsi="Calibri Light" w:cs="Calibri Light"/>
          <w:sz w:val="28"/>
          <w:szCs w:val="28"/>
          <w:lang w:val="ro-MD"/>
        </w:rPr>
        <w:t>,</w:t>
      </w:r>
      <w:r w:rsidRPr="00990F60">
        <w:rPr>
          <w:rFonts w:ascii="Calibri Light" w:eastAsia="Calibri" w:hAnsi="Calibri Light" w:cs="Calibri Light"/>
          <w:sz w:val="28"/>
          <w:szCs w:val="28"/>
          <w:lang w:val="ro-MD"/>
        </w:rPr>
        <w:t xml:space="preserve"> în vederea </w:t>
      </w:r>
      <w:r w:rsidRPr="00990F60">
        <w:rPr>
          <w:rFonts w:ascii="Calibri Light" w:hAnsi="Calibri Light" w:cs="Calibri Light"/>
          <w:sz w:val="28"/>
          <w:szCs w:val="28"/>
          <w:lang w:val="ro-MD"/>
        </w:rPr>
        <w:t>respectării obligațiilor curente și viitoare privind rambursarea sumelor principale și a dobânzilor împrumuturilor externe de stat din cadrul cărora au fost finanțate Liniile de credit</w:t>
      </w:r>
      <w:r w:rsidRPr="00990F60">
        <w:rPr>
          <w:rFonts w:ascii="Calibri Light" w:hAnsi="Calibri Light" w:cs="Calibri Light"/>
          <w:sz w:val="28"/>
          <w:szCs w:val="28"/>
          <w:lang w:val="ro-RO"/>
        </w:rPr>
        <w:t xml:space="preserve">, </w:t>
      </w:r>
      <w:r w:rsidR="00000AC3" w:rsidRPr="00990F60">
        <w:rPr>
          <w:rFonts w:ascii="Calibri Light" w:hAnsi="Calibri Light" w:cs="Calibri Light"/>
          <w:sz w:val="28"/>
          <w:szCs w:val="28"/>
          <w:lang w:val="ro-RO"/>
        </w:rPr>
        <w:t xml:space="preserve">precum </w:t>
      </w:r>
      <w:r w:rsidRPr="00990F60">
        <w:rPr>
          <w:rFonts w:ascii="Calibri Light" w:hAnsi="Calibri Light" w:cs="Calibri Light"/>
          <w:sz w:val="28"/>
          <w:szCs w:val="28"/>
          <w:lang w:val="ro-RO"/>
        </w:rPr>
        <w:t xml:space="preserve">și să remedieze neconformitățile </w:t>
      </w:r>
      <w:r w:rsidR="00000AC3" w:rsidRPr="00990F60">
        <w:rPr>
          <w:rFonts w:ascii="Calibri Light" w:hAnsi="Calibri Light" w:cs="Calibri Light"/>
          <w:sz w:val="28"/>
          <w:szCs w:val="28"/>
          <w:lang w:val="ro-RO"/>
        </w:rPr>
        <w:t>atestate</w:t>
      </w:r>
      <w:r w:rsidR="00EA0248" w:rsidRPr="00990F60">
        <w:rPr>
          <w:rFonts w:ascii="Calibri Light" w:hAnsi="Calibri Light" w:cs="Calibri Light"/>
          <w:sz w:val="28"/>
          <w:szCs w:val="28"/>
          <w:lang w:val="ro-RO"/>
        </w:rPr>
        <w:t>,</w:t>
      </w:r>
      <w:r w:rsidR="00000AC3" w:rsidRPr="00990F60">
        <w:rPr>
          <w:rFonts w:ascii="Calibri Light" w:hAnsi="Calibri Light" w:cs="Calibri Light"/>
          <w:sz w:val="28"/>
          <w:szCs w:val="28"/>
          <w:lang w:val="ro-RO"/>
        </w:rPr>
        <w:t xml:space="preserve"> </w:t>
      </w:r>
      <w:r w:rsidRPr="00990F60">
        <w:rPr>
          <w:rFonts w:ascii="Calibri Light" w:hAnsi="Calibri Light" w:cs="Calibri Light"/>
          <w:sz w:val="28"/>
          <w:szCs w:val="28"/>
          <w:lang w:val="ro-RO"/>
        </w:rPr>
        <w:t xml:space="preserve">cu implementarea recomandărilor înaintate de audit. </w:t>
      </w:r>
    </w:p>
    <w:p w:rsidR="0030288D" w:rsidRPr="00990F60" w:rsidRDefault="0079690A" w:rsidP="007B0557">
      <w:pPr>
        <w:spacing w:after="0" w:line="276" w:lineRule="auto"/>
        <w:ind w:firstLine="720"/>
        <w:jc w:val="both"/>
        <w:rPr>
          <w:rFonts w:ascii="Calibri Light" w:eastAsia="Calibri" w:hAnsi="Calibri Light" w:cs="Calibri Light"/>
          <w:bCs/>
          <w:sz w:val="28"/>
          <w:szCs w:val="28"/>
          <w:lang w:val="ro-MD"/>
        </w:rPr>
      </w:pPr>
      <w:r w:rsidRPr="00990F60">
        <w:rPr>
          <w:rFonts w:ascii="Calibri Light" w:eastAsia="Calibri" w:hAnsi="Calibri Light" w:cs="Calibri Light"/>
          <w:bCs/>
          <w:sz w:val="28"/>
          <w:szCs w:val="28"/>
          <w:lang w:val="ro-MD"/>
        </w:rPr>
        <w:t>Totodată, în temeiul rezultatelor activit</w:t>
      </w:r>
      <w:r w:rsidR="00000AC3" w:rsidRPr="00990F60">
        <w:rPr>
          <w:rFonts w:ascii="Calibri Light" w:eastAsia="Calibri" w:hAnsi="Calibri Light" w:cs="Calibri Light"/>
          <w:bCs/>
          <w:sz w:val="28"/>
          <w:szCs w:val="28"/>
          <w:lang w:val="ro-MD"/>
        </w:rPr>
        <w:t xml:space="preserve">ăților de audit, se confirmă </w:t>
      </w:r>
      <w:r w:rsidR="0030288D" w:rsidRPr="00990F60">
        <w:rPr>
          <w:rFonts w:ascii="Calibri Light" w:eastAsia="Calibri" w:hAnsi="Calibri Light" w:cs="Calibri Light"/>
          <w:bCs/>
          <w:sz w:val="28"/>
          <w:szCs w:val="28"/>
          <w:lang w:val="ro-MD"/>
        </w:rPr>
        <w:t>că datele din Informația privind activitatea de recreditare a fondurilor Liniilor de credit investiționale prin intermediul Instituțiilor Financiare Participante pentru anul 2019</w:t>
      </w:r>
      <w:r w:rsidR="00EA0248" w:rsidRPr="00990F60">
        <w:rPr>
          <w:rFonts w:ascii="Calibri Light" w:eastAsia="Calibri" w:hAnsi="Calibri Light" w:cs="Calibri Light"/>
          <w:bCs/>
          <w:sz w:val="28"/>
          <w:szCs w:val="28"/>
          <w:lang w:val="ro-MD"/>
        </w:rPr>
        <w:t>,</w:t>
      </w:r>
      <w:r w:rsidR="0030288D" w:rsidRPr="00990F60">
        <w:rPr>
          <w:rFonts w:ascii="Calibri Light" w:eastAsia="Calibri" w:hAnsi="Calibri Light" w:cs="Calibri Light"/>
          <w:sz w:val="28"/>
          <w:szCs w:val="28"/>
          <w:lang w:val="ro-MD"/>
        </w:rPr>
        <w:t xml:space="preserve"> prezentată Ministerului Finanțelor în vederea includerii în </w:t>
      </w:r>
      <w:r w:rsidR="0030288D" w:rsidRPr="00990F60">
        <w:rPr>
          <w:rFonts w:ascii="Calibri Light" w:eastAsia="Calibri" w:hAnsi="Calibri Light" w:cs="Calibri Light"/>
          <w:bCs/>
          <w:sz w:val="28"/>
          <w:szCs w:val="28"/>
          <w:lang w:val="ro-MD"/>
        </w:rPr>
        <w:t>Raportul privind situația în domeniul datoriei sectorului public, garanțiilor de stat și recreditării de stat pe anul 2019</w:t>
      </w:r>
      <w:r w:rsidR="00EA0248" w:rsidRPr="00990F60">
        <w:rPr>
          <w:rFonts w:ascii="Calibri Light" w:eastAsia="Calibri" w:hAnsi="Calibri Light" w:cs="Calibri Light"/>
          <w:bCs/>
          <w:sz w:val="28"/>
          <w:szCs w:val="28"/>
          <w:lang w:val="ro-MD"/>
        </w:rPr>
        <w:t>,</w:t>
      </w:r>
      <w:r w:rsidR="0030288D" w:rsidRPr="00990F60">
        <w:rPr>
          <w:rFonts w:ascii="Calibri Light" w:eastAsia="Calibri" w:hAnsi="Calibri Light" w:cs="Calibri Light"/>
          <w:bCs/>
          <w:sz w:val="28"/>
          <w:szCs w:val="28"/>
          <w:lang w:val="ro-MD"/>
        </w:rPr>
        <w:t xml:space="preserve"> corespunde evidenței contabile a</w:t>
      </w:r>
      <w:r w:rsidR="0030288D" w:rsidRPr="00990F60">
        <w:rPr>
          <w:rFonts w:ascii="Calibri Light" w:eastAsia="Calibri" w:hAnsi="Calibri Light" w:cs="Calibri Light"/>
          <w:sz w:val="28"/>
          <w:szCs w:val="28"/>
          <w:lang w:val="ro-MD"/>
        </w:rPr>
        <w:t xml:space="preserve"> Directoratului Liniei de Credit.</w:t>
      </w:r>
    </w:p>
    <w:p w:rsidR="00C21314" w:rsidRPr="00990F60" w:rsidRDefault="006D3111" w:rsidP="00990F60">
      <w:pPr>
        <w:spacing w:after="0" w:line="276" w:lineRule="auto"/>
        <w:ind w:firstLine="720"/>
        <w:jc w:val="both"/>
        <w:rPr>
          <w:rFonts w:ascii="Calibri Light" w:eastAsia="Times New Roman" w:hAnsi="Calibri Light" w:cs="Calibri Light"/>
          <w:sz w:val="28"/>
          <w:szCs w:val="28"/>
          <w:lang w:val="ro-MD"/>
        </w:rPr>
      </w:pPr>
      <w:r w:rsidRPr="00990F60">
        <w:rPr>
          <w:rFonts w:ascii="Calibri Light" w:eastAsia="Times New Roman" w:hAnsi="Calibri Light" w:cs="Calibri Light"/>
          <w:sz w:val="28"/>
          <w:szCs w:val="28"/>
          <w:lang w:val="ro-MD"/>
        </w:rPr>
        <w:lastRenderedPageBreak/>
        <w:t xml:space="preserve">Reieșind din cele expuse, în temeiul art.7 alin.(2), art.14 alin.(2) și art.15 </w:t>
      </w:r>
      <w:proofErr w:type="spellStart"/>
      <w:r w:rsidRPr="00990F60">
        <w:rPr>
          <w:rFonts w:ascii="Calibri Light" w:eastAsia="Times New Roman" w:hAnsi="Calibri Light" w:cs="Calibri Light"/>
          <w:sz w:val="28"/>
          <w:szCs w:val="28"/>
          <w:lang w:val="ro-MD"/>
        </w:rPr>
        <w:t>lit.d</w:t>
      </w:r>
      <w:proofErr w:type="spellEnd"/>
      <w:r w:rsidRPr="00990F60">
        <w:rPr>
          <w:rFonts w:ascii="Calibri Light" w:eastAsia="Times New Roman" w:hAnsi="Calibri Light" w:cs="Calibri Light"/>
          <w:sz w:val="28"/>
          <w:szCs w:val="28"/>
          <w:lang w:val="ro-MD"/>
        </w:rPr>
        <w:t xml:space="preserve">) din Legea nr.260 din 07.12.2017, Curtea de Conturi </w:t>
      </w:r>
    </w:p>
    <w:p w:rsidR="0000284A" w:rsidRPr="0000284A" w:rsidRDefault="0000284A" w:rsidP="004944AE">
      <w:pPr>
        <w:pStyle w:val="cp"/>
        <w:spacing w:line="276" w:lineRule="auto"/>
        <w:rPr>
          <w:rFonts w:asciiTheme="majorHAnsi" w:hAnsiTheme="majorHAnsi" w:cstheme="majorHAnsi"/>
          <w:sz w:val="16"/>
          <w:szCs w:val="16"/>
          <w:lang w:val="ro-MD"/>
        </w:rPr>
      </w:pPr>
    </w:p>
    <w:p w:rsidR="00B94DE2" w:rsidRPr="00396618" w:rsidRDefault="00B94DE2" w:rsidP="004944AE">
      <w:pPr>
        <w:pStyle w:val="cp"/>
        <w:spacing w:line="276" w:lineRule="auto"/>
        <w:rPr>
          <w:rFonts w:asciiTheme="majorHAnsi" w:hAnsiTheme="majorHAnsi" w:cstheme="majorHAnsi"/>
          <w:lang w:val="ro-MD"/>
        </w:rPr>
      </w:pPr>
      <w:r w:rsidRPr="00396618">
        <w:rPr>
          <w:rFonts w:asciiTheme="majorHAnsi" w:hAnsiTheme="majorHAnsi" w:cstheme="majorHAnsi"/>
          <w:lang w:val="ro-MD"/>
        </w:rPr>
        <w:t>HOTĂRĂŞTE:</w:t>
      </w:r>
    </w:p>
    <w:p w:rsidR="00B94DE2" w:rsidRPr="00990F60" w:rsidRDefault="00B94DE2" w:rsidP="00EE65B9">
      <w:pPr>
        <w:pStyle w:val="ListParagraph"/>
        <w:numPr>
          <w:ilvl w:val="0"/>
          <w:numId w:val="1"/>
        </w:numPr>
        <w:tabs>
          <w:tab w:val="left" w:pos="900"/>
          <w:tab w:val="left" w:pos="993"/>
        </w:tabs>
        <w:spacing w:after="0" w:line="276" w:lineRule="auto"/>
        <w:ind w:left="0" w:firstLine="450"/>
        <w:jc w:val="both"/>
        <w:rPr>
          <w:rFonts w:asciiTheme="majorHAnsi" w:hAnsiTheme="majorHAnsi" w:cstheme="majorHAnsi"/>
          <w:noProof/>
          <w:sz w:val="28"/>
          <w:szCs w:val="28"/>
          <w:lang w:val="ro-MD"/>
        </w:rPr>
      </w:pPr>
      <w:r w:rsidRPr="00990F60">
        <w:rPr>
          <w:rFonts w:asciiTheme="majorHAnsi" w:hAnsiTheme="majorHAnsi" w:cstheme="majorHAnsi"/>
          <w:noProof/>
          <w:sz w:val="28"/>
          <w:szCs w:val="28"/>
          <w:lang w:val="ro-MD"/>
        </w:rPr>
        <w:t xml:space="preserve"> Se aprobă </w:t>
      </w:r>
      <w:r w:rsidR="005F3F00" w:rsidRPr="00990F60">
        <w:rPr>
          <w:rFonts w:asciiTheme="majorHAnsi" w:hAnsiTheme="majorHAnsi" w:cstheme="majorHAnsi"/>
          <w:noProof/>
          <w:sz w:val="28"/>
          <w:szCs w:val="28"/>
          <w:lang w:val="ro-MD"/>
        </w:rPr>
        <w:t xml:space="preserve">Raportul </w:t>
      </w:r>
      <w:r w:rsidR="002677CA" w:rsidRPr="00990F60">
        <w:rPr>
          <w:rFonts w:asciiTheme="majorHAnsi" w:hAnsiTheme="majorHAnsi" w:cstheme="majorHAnsi"/>
          <w:noProof/>
          <w:sz w:val="28"/>
          <w:szCs w:val="28"/>
          <w:lang w:val="ro-MD"/>
        </w:rPr>
        <w:t>auditului</w:t>
      </w:r>
      <w:r w:rsidR="008F66AD" w:rsidRPr="00990F60">
        <w:rPr>
          <w:rFonts w:asciiTheme="majorHAnsi" w:eastAsia="Times New Roman" w:hAnsiTheme="majorHAnsi" w:cstheme="majorHAnsi"/>
          <w:b/>
          <w:bCs/>
          <w:sz w:val="28"/>
          <w:szCs w:val="28"/>
          <w:lang w:val="ro-MD" w:eastAsia="ru-RU"/>
        </w:rPr>
        <w:t xml:space="preserve"> </w:t>
      </w:r>
      <w:r w:rsidR="008F66AD" w:rsidRPr="00990F60">
        <w:rPr>
          <w:rFonts w:asciiTheme="majorHAnsi" w:eastAsia="Times New Roman" w:hAnsiTheme="majorHAnsi" w:cstheme="majorHAnsi"/>
          <w:bCs/>
          <w:sz w:val="28"/>
          <w:szCs w:val="28"/>
          <w:lang w:val="ro-MD" w:eastAsia="ru-RU"/>
        </w:rPr>
        <w:t xml:space="preserve">performanței </w:t>
      </w:r>
      <w:r w:rsidR="004F2727" w:rsidRPr="00990F60">
        <w:rPr>
          <w:rFonts w:asciiTheme="majorHAnsi" w:eastAsia="Times New Roman" w:hAnsiTheme="majorHAnsi" w:cstheme="majorHAnsi"/>
          <w:bCs/>
          <w:sz w:val="28"/>
          <w:szCs w:val="28"/>
          <w:lang w:val="ro-MD" w:eastAsia="ru-RU"/>
        </w:rPr>
        <w:t>privind activitatea Directoratului Liniei de Credit, în care Ministerul Finanțelor are calitatea de fondator</w:t>
      </w:r>
      <w:r w:rsidR="00377322" w:rsidRPr="00990F60">
        <w:rPr>
          <w:rFonts w:asciiTheme="majorHAnsi" w:hAnsiTheme="majorHAnsi" w:cstheme="majorHAnsi"/>
          <w:noProof/>
          <w:sz w:val="28"/>
          <w:szCs w:val="28"/>
          <w:lang w:val="ro-MD" w:eastAsia="ro-RO"/>
        </w:rPr>
        <w:t>, anexat la prezenta Hotărâre</w:t>
      </w:r>
      <w:r w:rsidR="004944AE" w:rsidRPr="00990F60">
        <w:rPr>
          <w:rFonts w:asciiTheme="majorHAnsi" w:hAnsiTheme="majorHAnsi" w:cstheme="majorHAnsi"/>
          <w:noProof/>
          <w:sz w:val="28"/>
          <w:szCs w:val="28"/>
          <w:lang w:val="ro-MD" w:eastAsia="ro-RO"/>
        </w:rPr>
        <w:t>.</w:t>
      </w:r>
    </w:p>
    <w:p w:rsidR="005564D0" w:rsidRPr="00990F60" w:rsidRDefault="00B94DE2" w:rsidP="0000284A">
      <w:pPr>
        <w:pStyle w:val="ListParagraph"/>
        <w:numPr>
          <w:ilvl w:val="0"/>
          <w:numId w:val="1"/>
        </w:numPr>
        <w:tabs>
          <w:tab w:val="left" w:pos="851"/>
          <w:tab w:val="left" w:pos="900"/>
          <w:tab w:val="left" w:pos="993"/>
        </w:tabs>
        <w:spacing w:before="120" w:line="276" w:lineRule="auto"/>
        <w:ind w:left="0" w:firstLine="450"/>
        <w:jc w:val="both"/>
        <w:rPr>
          <w:rFonts w:asciiTheme="majorHAnsi" w:hAnsiTheme="majorHAnsi" w:cstheme="majorHAnsi"/>
          <w:bCs/>
          <w:sz w:val="28"/>
          <w:szCs w:val="28"/>
          <w:lang w:val="ro-MD"/>
        </w:rPr>
      </w:pPr>
      <w:r w:rsidRPr="00990F60">
        <w:rPr>
          <w:rFonts w:asciiTheme="majorHAnsi" w:hAnsiTheme="majorHAnsi" w:cstheme="majorHAnsi"/>
          <w:bCs/>
          <w:noProof/>
          <w:sz w:val="28"/>
          <w:szCs w:val="28"/>
          <w:lang w:val="ro-MD"/>
        </w:rPr>
        <w:t xml:space="preserve"> Prezenta Hotărâre și Raportul de audit se remit:</w:t>
      </w:r>
    </w:p>
    <w:p w:rsidR="004F2727" w:rsidRPr="00990F60" w:rsidRDefault="005564D0" w:rsidP="0030288D">
      <w:pPr>
        <w:spacing w:after="0" w:line="276" w:lineRule="auto"/>
        <w:ind w:firstLine="450"/>
        <w:jc w:val="both"/>
        <w:rPr>
          <w:rFonts w:ascii="Calibri Light" w:hAnsi="Calibri Light" w:cs="Calibri Light"/>
          <w:sz w:val="28"/>
          <w:szCs w:val="28"/>
          <w:lang w:val="ro-MD"/>
        </w:rPr>
      </w:pPr>
      <w:r w:rsidRPr="00990F60">
        <w:rPr>
          <w:rFonts w:ascii="Calibri Light" w:hAnsi="Calibri Light" w:cs="Calibri Light"/>
          <w:b/>
          <w:sz w:val="28"/>
          <w:szCs w:val="28"/>
          <w:lang w:val="ro-MD"/>
        </w:rPr>
        <w:t xml:space="preserve">2.1. Ministerului </w:t>
      </w:r>
      <w:r w:rsidR="004F2727" w:rsidRPr="00990F60">
        <w:rPr>
          <w:rFonts w:ascii="Calibri Light" w:hAnsi="Calibri Light" w:cs="Calibri Light"/>
          <w:b/>
          <w:sz w:val="28"/>
          <w:szCs w:val="28"/>
          <w:lang w:val="ro-MD"/>
        </w:rPr>
        <w:t>Finanțelor</w:t>
      </w:r>
      <w:r w:rsidR="00E14575" w:rsidRPr="00990F60">
        <w:rPr>
          <w:rFonts w:ascii="Calibri Light" w:hAnsi="Calibri Light" w:cs="Calibri Light"/>
          <w:b/>
          <w:sz w:val="28"/>
          <w:szCs w:val="28"/>
          <w:lang w:val="ro-MD"/>
        </w:rPr>
        <w:t xml:space="preserve"> și</w:t>
      </w:r>
      <w:r w:rsidR="00E14575" w:rsidRPr="00990F60">
        <w:rPr>
          <w:rFonts w:asciiTheme="majorHAnsi" w:hAnsiTheme="majorHAnsi" w:cstheme="majorHAnsi"/>
          <w:b/>
          <w:sz w:val="28"/>
          <w:szCs w:val="28"/>
          <w:lang w:val="ro-RO"/>
        </w:rPr>
        <w:t xml:space="preserve"> Instituției Publice „Oficiul de Gestionare a Programelor de Asistență Externă”</w:t>
      </w:r>
      <w:r w:rsidRPr="00990F60">
        <w:rPr>
          <w:rFonts w:ascii="Calibri Light" w:hAnsi="Calibri Light" w:cs="Calibri Light"/>
          <w:sz w:val="28"/>
          <w:szCs w:val="28"/>
          <w:lang w:val="ro-MD"/>
        </w:rPr>
        <w:t>,</w:t>
      </w:r>
      <w:r w:rsidRPr="00990F60">
        <w:rPr>
          <w:rFonts w:ascii="Calibri Light" w:hAnsi="Calibri Light" w:cs="Calibri Light"/>
          <w:b/>
          <w:sz w:val="28"/>
          <w:szCs w:val="28"/>
          <w:lang w:val="ro-MD"/>
        </w:rPr>
        <w:t xml:space="preserve"> </w:t>
      </w:r>
      <w:r w:rsidR="0030288D" w:rsidRPr="00990F60">
        <w:rPr>
          <w:rFonts w:ascii="Calibri Light" w:hAnsi="Calibri Light" w:cs="Calibri Light"/>
          <w:sz w:val="28"/>
          <w:szCs w:val="28"/>
          <w:lang w:val="ro-MD"/>
        </w:rPr>
        <w:t xml:space="preserve">pentru </w:t>
      </w:r>
      <w:r w:rsidR="0079690A" w:rsidRPr="00990F60">
        <w:rPr>
          <w:rFonts w:ascii="Calibri Light" w:hAnsi="Calibri Light" w:cs="Calibri Light"/>
          <w:sz w:val="28"/>
          <w:szCs w:val="28"/>
          <w:lang w:val="ro-MD"/>
        </w:rPr>
        <w:t xml:space="preserve">monitorizarea </w:t>
      </w:r>
      <w:r w:rsidR="0079690A" w:rsidRPr="00990F60">
        <w:rPr>
          <w:rFonts w:asciiTheme="majorHAnsi" w:hAnsiTheme="majorHAnsi" w:cstheme="majorHAnsi"/>
          <w:sz w:val="28"/>
          <w:szCs w:val="28"/>
          <w:lang w:val="ro-RO"/>
        </w:rPr>
        <w:t xml:space="preserve">în vederea preluării și implementării celor mai bune practici în </w:t>
      </w:r>
      <w:r w:rsidR="0079690A" w:rsidRPr="00990F60">
        <w:rPr>
          <w:rFonts w:ascii="Calibri Light" w:hAnsi="Calibri Light" w:cs="Calibri Light"/>
          <w:sz w:val="28"/>
          <w:szCs w:val="28"/>
          <w:lang w:val="ro-MD"/>
        </w:rPr>
        <w:t>activitatea</w:t>
      </w:r>
      <w:r w:rsidR="004F2727" w:rsidRPr="00990F60">
        <w:rPr>
          <w:rFonts w:ascii="Calibri Light" w:hAnsi="Calibri Light" w:cs="Calibri Light"/>
          <w:sz w:val="28"/>
          <w:szCs w:val="28"/>
          <w:lang w:val="ro-MD"/>
        </w:rPr>
        <w:t xml:space="preserve"> </w:t>
      </w:r>
      <w:r w:rsidR="00F47B92" w:rsidRPr="00990F60">
        <w:rPr>
          <w:rFonts w:asciiTheme="majorHAnsi" w:hAnsiTheme="majorHAnsi" w:cstheme="majorHAnsi"/>
          <w:sz w:val="28"/>
          <w:szCs w:val="28"/>
          <w:lang w:val="ro-RO"/>
        </w:rPr>
        <w:t>Instituției Publice „Oficiul de Gestionare a Programelor de Asistență Externă”</w:t>
      </w:r>
      <w:r w:rsidR="00E14575" w:rsidRPr="00990F60">
        <w:rPr>
          <w:rFonts w:ascii="Calibri Light" w:hAnsi="Calibri Light" w:cs="Calibri Light"/>
          <w:sz w:val="28"/>
          <w:szCs w:val="28"/>
          <w:lang w:val="ro-MD"/>
        </w:rPr>
        <w:t xml:space="preserve"> și</w:t>
      </w:r>
      <w:r w:rsidR="007A5D41" w:rsidRPr="00990F60">
        <w:rPr>
          <w:rFonts w:ascii="Calibri Light" w:hAnsi="Calibri Light" w:cs="Calibri Light"/>
          <w:sz w:val="28"/>
          <w:szCs w:val="28"/>
          <w:lang w:val="ro-MD"/>
        </w:rPr>
        <w:t xml:space="preserve"> </w:t>
      </w:r>
      <w:r w:rsidR="00E14575" w:rsidRPr="00990F60">
        <w:rPr>
          <w:rFonts w:ascii="Calibri Light" w:hAnsi="Calibri Light" w:cs="Calibri Light"/>
          <w:sz w:val="28"/>
          <w:szCs w:val="28"/>
          <w:lang w:val="ro-MD"/>
        </w:rPr>
        <w:t xml:space="preserve">pentru </w:t>
      </w:r>
      <w:r w:rsidR="007A5D41" w:rsidRPr="00990F60">
        <w:rPr>
          <w:rFonts w:ascii="Calibri Light" w:hAnsi="Calibri Light" w:cs="Calibri Light"/>
          <w:sz w:val="28"/>
          <w:szCs w:val="28"/>
          <w:lang w:val="ro-MD"/>
        </w:rPr>
        <w:t>luare de atitudine și</w:t>
      </w:r>
      <w:r w:rsidR="004F2727" w:rsidRPr="00990F60">
        <w:rPr>
          <w:rFonts w:ascii="Calibri Light" w:hAnsi="Calibri Light" w:cs="Calibri Light"/>
          <w:sz w:val="28"/>
          <w:szCs w:val="28"/>
          <w:lang w:val="ro-MD"/>
        </w:rPr>
        <w:t xml:space="preserve"> asigurarea </w:t>
      </w:r>
      <w:r w:rsidR="004F2727" w:rsidRPr="00990F60">
        <w:rPr>
          <w:rFonts w:ascii="Calibri Light" w:hAnsi="Calibri Light" w:cs="Calibri Light"/>
          <w:bCs/>
          <w:sz w:val="28"/>
          <w:szCs w:val="28"/>
          <w:lang w:val="ro-MD"/>
        </w:rPr>
        <w:t>implementării</w:t>
      </w:r>
      <w:r w:rsidRPr="00990F60">
        <w:rPr>
          <w:rFonts w:ascii="Calibri Light" w:hAnsi="Calibri Light" w:cs="Calibri Light"/>
          <w:bCs/>
          <w:sz w:val="28"/>
          <w:szCs w:val="28"/>
          <w:lang w:val="ro-MD"/>
        </w:rPr>
        <w:t xml:space="preserve"> recomandărilor </w:t>
      </w:r>
      <w:r w:rsidR="007A5D41" w:rsidRPr="00990F60">
        <w:rPr>
          <w:rFonts w:ascii="Calibri Light" w:hAnsi="Calibri Light" w:cs="Calibri Light"/>
          <w:bCs/>
          <w:sz w:val="28"/>
          <w:szCs w:val="28"/>
          <w:lang w:val="ro-MD"/>
        </w:rPr>
        <w:t>cuprinse în Raportul de audit</w:t>
      </w:r>
      <w:r w:rsidR="004F2727" w:rsidRPr="00990F60">
        <w:rPr>
          <w:rFonts w:ascii="Calibri Light" w:eastAsia="Times New Roman" w:hAnsi="Calibri Light" w:cs="Calibri Light"/>
          <w:sz w:val="28"/>
          <w:szCs w:val="28"/>
          <w:lang w:val="ro-MD"/>
        </w:rPr>
        <w:t>;</w:t>
      </w:r>
    </w:p>
    <w:p w:rsidR="001A6DC3" w:rsidRPr="00990F60" w:rsidRDefault="00E14575" w:rsidP="0000284A">
      <w:pPr>
        <w:ind w:firstLine="450"/>
        <w:jc w:val="both"/>
        <w:rPr>
          <w:rFonts w:asciiTheme="majorHAnsi" w:hAnsiTheme="majorHAnsi" w:cstheme="majorHAnsi"/>
          <w:sz w:val="28"/>
          <w:szCs w:val="28"/>
          <w:lang w:val="ro-MD"/>
        </w:rPr>
      </w:pPr>
      <w:r w:rsidRPr="00990F60">
        <w:rPr>
          <w:rFonts w:asciiTheme="majorHAnsi" w:hAnsiTheme="majorHAnsi" w:cstheme="majorHAnsi"/>
          <w:b/>
          <w:sz w:val="28"/>
          <w:szCs w:val="28"/>
          <w:lang w:val="ro-MD"/>
        </w:rPr>
        <w:t>2.2</w:t>
      </w:r>
      <w:r w:rsidR="001A6DC3" w:rsidRPr="00990F60">
        <w:rPr>
          <w:rFonts w:asciiTheme="majorHAnsi" w:hAnsiTheme="majorHAnsi" w:cstheme="majorHAnsi"/>
          <w:b/>
          <w:sz w:val="28"/>
          <w:szCs w:val="28"/>
          <w:lang w:val="ro-MD"/>
        </w:rPr>
        <w:t>.</w:t>
      </w:r>
      <w:r w:rsidR="001A6DC3" w:rsidRPr="00990F60">
        <w:rPr>
          <w:rFonts w:asciiTheme="majorHAnsi" w:hAnsiTheme="majorHAnsi" w:cstheme="majorHAnsi"/>
          <w:sz w:val="28"/>
          <w:szCs w:val="28"/>
          <w:lang w:val="ro-MD"/>
        </w:rPr>
        <w:t xml:space="preserve"> </w:t>
      </w:r>
      <w:r w:rsidR="001A6DC3" w:rsidRPr="00990F60">
        <w:rPr>
          <w:rFonts w:asciiTheme="majorHAnsi" w:hAnsiTheme="majorHAnsi" w:cstheme="majorHAnsi"/>
          <w:b/>
          <w:sz w:val="28"/>
          <w:szCs w:val="28"/>
          <w:lang w:val="ro-MD"/>
        </w:rPr>
        <w:t>Guvernului Republicii Moldova</w:t>
      </w:r>
      <w:r w:rsidR="001A6DC3" w:rsidRPr="00990F60">
        <w:rPr>
          <w:rFonts w:asciiTheme="majorHAnsi" w:hAnsiTheme="majorHAnsi" w:cstheme="majorHAnsi"/>
          <w:sz w:val="28"/>
          <w:szCs w:val="28"/>
          <w:lang w:val="ro-MD"/>
        </w:rPr>
        <w:t>, pentru informare.</w:t>
      </w:r>
    </w:p>
    <w:p w:rsidR="001A6DC3" w:rsidRPr="00990F60" w:rsidRDefault="00E14575" w:rsidP="0000284A">
      <w:pPr>
        <w:ind w:firstLine="450"/>
        <w:jc w:val="both"/>
        <w:rPr>
          <w:rFonts w:asciiTheme="majorHAnsi" w:hAnsiTheme="majorHAnsi" w:cstheme="majorHAnsi"/>
          <w:sz w:val="28"/>
          <w:szCs w:val="28"/>
          <w:lang w:val="ro-MD"/>
        </w:rPr>
      </w:pPr>
      <w:r w:rsidRPr="00990F60">
        <w:rPr>
          <w:rFonts w:asciiTheme="majorHAnsi" w:hAnsiTheme="majorHAnsi" w:cstheme="majorHAnsi"/>
          <w:b/>
          <w:sz w:val="28"/>
          <w:szCs w:val="28"/>
          <w:lang w:val="ro-MD"/>
        </w:rPr>
        <w:t>2.3</w:t>
      </w:r>
      <w:r w:rsidR="001A6DC3" w:rsidRPr="00990F60">
        <w:rPr>
          <w:rFonts w:asciiTheme="majorHAnsi" w:hAnsiTheme="majorHAnsi" w:cstheme="majorHAnsi"/>
          <w:b/>
          <w:sz w:val="28"/>
          <w:szCs w:val="28"/>
          <w:lang w:val="ro-MD"/>
        </w:rPr>
        <w:t>. Președintelui Republicii Moldova</w:t>
      </w:r>
      <w:r w:rsidR="001A6DC3" w:rsidRPr="00990F60">
        <w:rPr>
          <w:rFonts w:asciiTheme="majorHAnsi" w:hAnsiTheme="majorHAnsi" w:cstheme="majorHAnsi"/>
          <w:sz w:val="28"/>
          <w:szCs w:val="28"/>
          <w:lang w:val="ro-MD"/>
        </w:rPr>
        <w:t>, pentru informare.</w:t>
      </w:r>
    </w:p>
    <w:p w:rsidR="001A6DC3" w:rsidRPr="00990F60" w:rsidRDefault="00E14575" w:rsidP="0000284A">
      <w:pPr>
        <w:ind w:firstLine="450"/>
        <w:jc w:val="both"/>
        <w:rPr>
          <w:rFonts w:asciiTheme="majorHAnsi" w:hAnsiTheme="majorHAnsi" w:cstheme="majorHAnsi"/>
          <w:sz w:val="28"/>
          <w:szCs w:val="28"/>
          <w:lang w:val="ro-MD"/>
        </w:rPr>
      </w:pPr>
      <w:r w:rsidRPr="00990F60">
        <w:rPr>
          <w:rFonts w:asciiTheme="majorHAnsi" w:hAnsiTheme="majorHAnsi" w:cstheme="majorHAnsi"/>
          <w:b/>
          <w:sz w:val="28"/>
          <w:szCs w:val="28"/>
          <w:lang w:val="ro-MD"/>
        </w:rPr>
        <w:t>2.4</w:t>
      </w:r>
      <w:r w:rsidR="001A6DC3" w:rsidRPr="00990F60">
        <w:rPr>
          <w:rFonts w:asciiTheme="majorHAnsi" w:hAnsiTheme="majorHAnsi" w:cstheme="majorHAnsi"/>
          <w:b/>
          <w:sz w:val="28"/>
          <w:szCs w:val="28"/>
          <w:lang w:val="ro-MD"/>
        </w:rPr>
        <w:t>.</w:t>
      </w:r>
      <w:r w:rsidR="001A6DC3" w:rsidRPr="00990F60">
        <w:rPr>
          <w:rFonts w:asciiTheme="majorHAnsi" w:hAnsiTheme="majorHAnsi" w:cstheme="majorHAnsi"/>
          <w:sz w:val="28"/>
          <w:szCs w:val="28"/>
          <w:lang w:val="ro-MD"/>
        </w:rPr>
        <w:t xml:space="preserve"> </w:t>
      </w:r>
      <w:r w:rsidR="001A6DC3" w:rsidRPr="00990F60">
        <w:rPr>
          <w:rFonts w:asciiTheme="majorHAnsi" w:hAnsiTheme="majorHAnsi" w:cstheme="majorHAnsi"/>
          <w:b/>
          <w:sz w:val="28"/>
          <w:szCs w:val="28"/>
          <w:lang w:val="ro-MD"/>
        </w:rPr>
        <w:t>Parlamentului Republicii Moldova</w:t>
      </w:r>
      <w:r w:rsidR="001A6DC3" w:rsidRPr="00990F60">
        <w:rPr>
          <w:rFonts w:asciiTheme="majorHAnsi" w:hAnsiTheme="majorHAnsi" w:cstheme="majorHAnsi"/>
          <w:sz w:val="28"/>
          <w:szCs w:val="28"/>
          <w:lang w:val="ro-MD"/>
        </w:rPr>
        <w:t>,</w:t>
      </w:r>
      <w:r w:rsidR="001A6DC3" w:rsidRPr="00990F60">
        <w:rPr>
          <w:rFonts w:eastAsia="Times New Roman"/>
          <w:sz w:val="28"/>
          <w:szCs w:val="28"/>
          <w:lang w:val="ro-MD" w:eastAsia="ru-RU"/>
        </w:rPr>
        <w:t xml:space="preserve"> </w:t>
      </w:r>
      <w:r w:rsidR="00F750B7" w:rsidRPr="00990F60">
        <w:rPr>
          <w:rFonts w:asciiTheme="majorHAnsi" w:hAnsiTheme="majorHAnsi" w:cstheme="majorHAnsi"/>
          <w:sz w:val="28"/>
          <w:szCs w:val="28"/>
          <w:lang w:val="ro-MD"/>
        </w:rPr>
        <w:t>pentru informare și examinare, după caz, în cadrul Comisiei parlamentare de control al finanțelor publice.</w:t>
      </w:r>
    </w:p>
    <w:p w:rsidR="001A6DC3" w:rsidRPr="00990F60" w:rsidRDefault="00577C2D" w:rsidP="001A6DC3">
      <w:pPr>
        <w:tabs>
          <w:tab w:val="left" w:pos="90"/>
        </w:tabs>
        <w:spacing w:after="0" w:line="276" w:lineRule="auto"/>
        <w:ind w:firstLine="360"/>
        <w:jc w:val="both"/>
        <w:rPr>
          <w:rFonts w:ascii="Calibri Light" w:eastAsia="Times New Roman" w:hAnsi="Calibri Light" w:cs="Calibri Light"/>
          <w:sz w:val="28"/>
          <w:szCs w:val="28"/>
          <w:lang w:val="ro-MD"/>
        </w:rPr>
      </w:pPr>
      <w:r w:rsidRPr="00990F60">
        <w:rPr>
          <w:rFonts w:ascii="Calibri Light" w:hAnsi="Calibri Light" w:cs="Calibri Light"/>
          <w:sz w:val="28"/>
          <w:szCs w:val="28"/>
          <w:lang w:val="ro-MD"/>
        </w:rPr>
        <w:t xml:space="preserve">  </w:t>
      </w:r>
      <w:r w:rsidR="004F2727" w:rsidRPr="00990F60">
        <w:rPr>
          <w:rFonts w:ascii="Calibri Light" w:hAnsi="Calibri Light" w:cs="Calibri Light"/>
          <w:b/>
          <w:sz w:val="28"/>
          <w:szCs w:val="28"/>
          <w:lang w:val="ro-MD"/>
        </w:rPr>
        <w:t>3</w:t>
      </w:r>
      <w:r w:rsidRPr="00990F60">
        <w:rPr>
          <w:rFonts w:ascii="Calibri Light" w:hAnsi="Calibri Light" w:cs="Calibri Light"/>
          <w:sz w:val="28"/>
          <w:szCs w:val="28"/>
          <w:lang w:val="ro-MD"/>
        </w:rPr>
        <w:t xml:space="preserve">. </w:t>
      </w:r>
      <w:r w:rsidR="001A6DC3" w:rsidRPr="00990F60">
        <w:rPr>
          <w:rFonts w:asciiTheme="majorHAnsi" w:hAnsiTheme="majorHAnsi" w:cstheme="majorHAnsi"/>
          <w:sz w:val="28"/>
          <w:szCs w:val="28"/>
          <w:lang w:val="ro-MD"/>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C33781" w:rsidRPr="00990F60" w:rsidRDefault="00D53287" w:rsidP="00EE65B9">
      <w:pPr>
        <w:tabs>
          <w:tab w:val="left" w:pos="90"/>
        </w:tabs>
        <w:spacing w:after="0" w:line="276" w:lineRule="auto"/>
        <w:ind w:firstLine="360"/>
        <w:jc w:val="both"/>
        <w:rPr>
          <w:rFonts w:ascii="Calibri Light" w:eastAsia="Times New Roman" w:hAnsi="Calibri Light" w:cs="Calibri Light"/>
          <w:sz w:val="28"/>
          <w:szCs w:val="28"/>
          <w:lang w:val="ro-MD"/>
        </w:rPr>
      </w:pPr>
      <w:r w:rsidRPr="00990F60">
        <w:rPr>
          <w:rFonts w:ascii="Calibri Light" w:eastAsia="Times New Roman" w:hAnsi="Calibri Light" w:cs="Calibri Light"/>
          <w:sz w:val="28"/>
          <w:szCs w:val="28"/>
          <w:lang w:val="ro-MD"/>
        </w:rPr>
        <w:t xml:space="preserve">  </w:t>
      </w:r>
      <w:r w:rsidR="004F2727" w:rsidRPr="00990F60">
        <w:rPr>
          <w:rFonts w:ascii="Calibri Light" w:eastAsia="Times New Roman" w:hAnsi="Calibri Light" w:cs="Calibri Light"/>
          <w:b/>
          <w:sz w:val="28"/>
          <w:szCs w:val="28"/>
          <w:lang w:val="ro-MD"/>
        </w:rPr>
        <w:t>4</w:t>
      </w:r>
      <w:r w:rsidRPr="00990F60">
        <w:rPr>
          <w:rFonts w:ascii="Calibri Light" w:eastAsia="Times New Roman" w:hAnsi="Calibri Light" w:cs="Calibri Light"/>
          <w:sz w:val="28"/>
          <w:szCs w:val="28"/>
          <w:lang w:val="ro-MD"/>
        </w:rPr>
        <w:t xml:space="preserve">. </w:t>
      </w:r>
      <w:r w:rsidR="00C33781" w:rsidRPr="00990F60">
        <w:rPr>
          <w:rFonts w:ascii="Calibri Light" w:eastAsia="Times New Roman" w:hAnsi="Calibri Light" w:cs="Calibri Light"/>
          <w:sz w:val="28"/>
          <w:szCs w:val="28"/>
          <w:lang w:val="ro-MD"/>
        </w:rPr>
        <w:t>Despre măsurile întreprinse pentru exe</w:t>
      </w:r>
      <w:r w:rsidR="00E14575" w:rsidRPr="00990F60">
        <w:rPr>
          <w:rFonts w:ascii="Calibri Light" w:eastAsia="Times New Roman" w:hAnsi="Calibri Light" w:cs="Calibri Light"/>
          <w:sz w:val="28"/>
          <w:szCs w:val="28"/>
          <w:lang w:val="ro-MD"/>
        </w:rPr>
        <w:t>cutarea subpunctului 2.1.</w:t>
      </w:r>
      <w:r w:rsidR="00C33781" w:rsidRPr="00990F60">
        <w:rPr>
          <w:rFonts w:ascii="Calibri Light" w:eastAsia="Times New Roman" w:hAnsi="Calibri Light" w:cs="Calibri Light"/>
          <w:sz w:val="28"/>
          <w:szCs w:val="28"/>
          <w:lang w:val="ro-MD"/>
        </w:rPr>
        <w:t xml:space="preserve"> din prezenta Hotărâre, se va informa Curtea de Conturi </w:t>
      </w:r>
      <w:r w:rsidR="00C33781" w:rsidRPr="00990F60">
        <w:rPr>
          <w:rFonts w:ascii="Calibri Light" w:hAnsi="Calibri Light" w:cs="Calibri Light"/>
          <w:sz w:val="28"/>
          <w:szCs w:val="28"/>
          <w:lang w:val="ro-MD"/>
        </w:rPr>
        <w:t>în termen de 6 luni din data intrării în vigoare a Hotărârii.</w:t>
      </w:r>
    </w:p>
    <w:p w:rsidR="000711CD" w:rsidRPr="00990F60" w:rsidRDefault="000711CD" w:rsidP="00EE65B9">
      <w:pPr>
        <w:tabs>
          <w:tab w:val="left" w:pos="90"/>
          <w:tab w:val="left" w:pos="630"/>
          <w:tab w:val="left" w:pos="810"/>
        </w:tabs>
        <w:spacing w:after="0" w:line="276" w:lineRule="auto"/>
        <w:ind w:firstLine="360"/>
        <w:jc w:val="both"/>
        <w:rPr>
          <w:rFonts w:ascii="Calibri Light" w:hAnsi="Calibri Light" w:cs="Calibri Light"/>
          <w:sz w:val="28"/>
          <w:szCs w:val="28"/>
          <w:lang w:val="ro-MD"/>
        </w:rPr>
      </w:pPr>
      <w:r w:rsidRPr="00990F60">
        <w:rPr>
          <w:rFonts w:ascii="Calibri Light" w:hAnsi="Calibri Light" w:cs="Calibri Light"/>
          <w:b/>
          <w:sz w:val="28"/>
          <w:szCs w:val="28"/>
          <w:lang w:val="ro-MD" w:eastAsia="ru-RU"/>
        </w:rPr>
        <w:t xml:space="preserve">  </w:t>
      </w:r>
      <w:r w:rsidR="004F2727" w:rsidRPr="00990F60">
        <w:rPr>
          <w:rFonts w:ascii="Calibri Light" w:hAnsi="Calibri Light" w:cs="Calibri Light"/>
          <w:b/>
          <w:sz w:val="28"/>
          <w:szCs w:val="28"/>
          <w:lang w:val="ro-MD" w:eastAsia="ru-RU"/>
        </w:rPr>
        <w:t>5</w:t>
      </w:r>
      <w:r w:rsidRPr="00990F60">
        <w:rPr>
          <w:rFonts w:ascii="Calibri Light" w:hAnsi="Calibri Light" w:cs="Calibri Light"/>
          <w:b/>
          <w:sz w:val="28"/>
          <w:szCs w:val="28"/>
          <w:lang w:val="ro-MD" w:eastAsia="ru-RU"/>
        </w:rPr>
        <w:t>.</w:t>
      </w:r>
      <w:r w:rsidRPr="00990F60">
        <w:rPr>
          <w:rFonts w:ascii="Calibri Light" w:hAnsi="Calibri Light" w:cs="Calibri Light"/>
          <w:sz w:val="28"/>
          <w:szCs w:val="28"/>
          <w:lang w:val="ro-MD" w:eastAsia="ru-RU"/>
        </w:rPr>
        <w:t xml:space="preserve"> Hotărârea și </w:t>
      </w:r>
      <w:r w:rsidRPr="00990F60">
        <w:rPr>
          <w:rFonts w:ascii="Calibri Light" w:hAnsi="Calibri Light" w:cs="Calibri Light"/>
          <w:bCs/>
          <w:sz w:val="28"/>
          <w:szCs w:val="28"/>
          <w:lang w:val="ro-MD"/>
        </w:rPr>
        <w:t>Raportul auditului</w:t>
      </w:r>
      <w:r w:rsidRPr="00990F60">
        <w:rPr>
          <w:rFonts w:ascii="Calibri Light" w:hAnsi="Calibri Light" w:cs="Calibri Light"/>
          <w:sz w:val="28"/>
          <w:szCs w:val="28"/>
          <w:lang w:val="ro-MD" w:eastAsia="ru-RU"/>
        </w:rPr>
        <w:t xml:space="preserve"> performanței </w:t>
      </w:r>
      <w:r w:rsidR="004F2727" w:rsidRPr="00990F60">
        <w:rPr>
          <w:rFonts w:ascii="Calibri Light" w:hAnsi="Calibri Light" w:cs="Calibri Light"/>
          <w:bCs/>
          <w:sz w:val="28"/>
          <w:szCs w:val="28"/>
          <w:lang w:val="ro-MD" w:eastAsia="ru-RU"/>
        </w:rPr>
        <w:t>privind activitatea Directoratului Liniei de Credit, în care Ministerul Finanțelor are calitatea de fondator</w:t>
      </w:r>
      <w:r w:rsidRPr="00990F60">
        <w:rPr>
          <w:rFonts w:ascii="Calibri Light" w:hAnsi="Calibri Light" w:cs="Calibri Light"/>
          <w:sz w:val="28"/>
          <w:szCs w:val="28"/>
          <w:lang w:val="ro-MD" w:eastAsia="ru-RU"/>
        </w:rPr>
        <w:t xml:space="preserve"> se plasează pe site-ul oficial al Curții de Conturi (</w:t>
      </w:r>
      <w:hyperlink r:id="rId9" w:history="1">
        <w:r w:rsidRPr="00990F60">
          <w:rPr>
            <w:rStyle w:val="Hyperlink"/>
            <w:rFonts w:ascii="Calibri Light" w:hAnsi="Calibri Light" w:cs="Calibri Light"/>
            <w:sz w:val="28"/>
            <w:szCs w:val="28"/>
            <w:lang w:val="ro-MD" w:eastAsia="ru-RU"/>
          </w:rPr>
          <w:t>http://www.ccrm.md/hotariri-si-rapoarte-1-95</w:t>
        </w:r>
      </w:hyperlink>
      <w:r w:rsidRPr="00990F60">
        <w:rPr>
          <w:rFonts w:ascii="Calibri Light" w:hAnsi="Calibri Light" w:cs="Calibri Light"/>
          <w:sz w:val="28"/>
          <w:szCs w:val="28"/>
          <w:lang w:val="ro-MD" w:eastAsia="ru-RU"/>
        </w:rPr>
        <w:t>).</w:t>
      </w:r>
    </w:p>
    <w:p w:rsidR="003F39CD" w:rsidRPr="00926847" w:rsidRDefault="003F39CD" w:rsidP="0000284A">
      <w:pPr>
        <w:tabs>
          <w:tab w:val="left" w:pos="426"/>
        </w:tabs>
        <w:spacing w:after="0" w:line="240" w:lineRule="auto"/>
        <w:rPr>
          <w:rFonts w:asciiTheme="majorHAnsi" w:eastAsia="Times New Roman" w:hAnsiTheme="majorHAnsi" w:cstheme="majorHAnsi"/>
          <w:b/>
          <w:sz w:val="28"/>
          <w:szCs w:val="28"/>
          <w:highlight w:val="yellow"/>
          <w:lang w:val="ro-MD"/>
        </w:rPr>
      </w:pPr>
    </w:p>
    <w:p w:rsidR="00B94DE2" w:rsidRPr="008F66AD" w:rsidRDefault="00956EE7" w:rsidP="00370B09">
      <w:pPr>
        <w:spacing w:after="0" w:line="240" w:lineRule="auto"/>
        <w:jc w:val="right"/>
        <w:rPr>
          <w:rFonts w:asciiTheme="majorHAnsi" w:eastAsia="Times New Roman" w:hAnsiTheme="majorHAnsi" w:cstheme="majorHAnsi"/>
          <w:b/>
          <w:sz w:val="28"/>
          <w:szCs w:val="28"/>
          <w:lang w:val="ro-MD"/>
        </w:rPr>
      </w:pPr>
      <w:r>
        <w:rPr>
          <w:rFonts w:asciiTheme="majorHAnsi" w:eastAsia="Times New Roman" w:hAnsiTheme="majorHAnsi" w:cstheme="majorHAnsi"/>
          <w:b/>
          <w:sz w:val="28"/>
          <w:szCs w:val="28"/>
          <w:lang w:val="ro-MD"/>
        </w:rPr>
        <w:t>Marian</w:t>
      </w:r>
      <w:r w:rsidR="00D27FA4">
        <w:rPr>
          <w:rFonts w:asciiTheme="majorHAnsi" w:eastAsia="Times New Roman" w:hAnsiTheme="majorHAnsi" w:cstheme="majorHAnsi"/>
          <w:b/>
          <w:sz w:val="28"/>
          <w:szCs w:val="28"/>
          <w:lang w:val="ro-MD"/>
        </w:rPr>
        <w:t xml:space="preserve"> </w:t>
      </w:r>
      <w:r>
        <w:rPr>
          <w:rFonts w:asciiTheme="majorHAnsi" w:eastAsia="Times New Roman" w:hAnsiTheme="majorHAnsi" w:cstheme="majorHAnsi"/>
          <w:b/>
          <w:sz w:val="28"/>
          <w:szCs w:val="28"/>
          <w:lang w:val="ro-MD"/>
        </w:rPr>
        <w:t>LUPU</w:t>
      </w:r>
      <w:r w:rsidR="00B94DE2" w:rsidRPr="008F66AD">
        <w:rPr>
          <w:rFonts w:asciiTheme="majorHAnsi" w:eastAsia="Times New Roman" w:hAnsiTheme="majorHAnsi" w:cstheme="majorHAnsi"/>
          <w:b/>
          <w:sz w:val="28"/>
          <w:szCs w:val="28"/>
          <w:lang w:val="ro-MD"/>
        </w:rPr>
        <w:t>,</w:t>
      </w:r>
    </w:p>
    <w:p w:rsidR="00C21314" w:rsidRDefault="00956EE7" w:rsidP="00990F60">
      <w:pPr>
        <w:spacing w:after="0" w:line="240" w:lineRule="auto"/>
        <w:jc w:val="right"/>
        <w:rPr>
          <w:rFonts w:asciiTheme="majorHAnsi" w:eastAsia="Times New Roman" w:hAnsiTheme="majorHAnsi" w:cstheme="majorHAnsi"/>
          <w:b/>
          <w:sz w:val="28"/>
          <w:szCs w:val="28"/>
          <w:lang w:val="ro-MD"/>
        </w:rPr>
      </w:pPr>
      <w:r>
        <w:rPr>
          <w:rFonts w:asciiTheme="majorHAnsi" w:eastAsia="Times New Roman" w:hAnsiTheme="majorHAnsi" w:cstheme="majorHAnsi"/>
          <w:b/>
          <w:sz w:val="28"/>
          <w:szCs w:val="28"/>
          <w:lang w:val="ro-MD"/>
        </w:rPr>
        <w:t>P</w:t>
      </w:r>
      <w:r w:rsidR="00B94DE2" w:rsidRPr="008F66AD">
        <w:rPr>
          <w:rFonts w:asciiTheme="majorHAnsi" w:eastAsia="Times New Roman" w:hAnsiTheme="majorHAnsi" w:cstheme="majorHAnsi"/>
          <w:b/>
          <w:sz w:val="28"/>
          <w:szCs w:val="28"/>
          <w:lang w:val="ro-MD"/>
        </w:rPr>
        <w:t>reședinte</w:t>
      </w:r>
      <w:r w:rsidR="004A4C13">
        <w:rPr>
          <w:rFonts w:asciiTheme="majorHAnsi" w:eastAsia="Times New Roman" w:hAnsiTheme="majorHAnsi" w:cstheme="majorHAnsi"/>
          <w:b/>
          <w:sz w:val="28"/>
          <w:szCs w:val="28"/>
          <w:lang w:val="ro-MD"/>
        </w:rPr>
        <w:t xml:space="preserve">    </w:t>
      </w:r>
    </w:p>
    <w:p w:rsidR="0000284A" w:rsidRDefault="0000284A" w:rsidP="00956EE7">
      <w:pPr>
        <w:spacing w:after="0" w:line="240" w:lineRule="auto"/>
        <w:jc w:val="both"/>
        <w:rPr>
          <w:rFonts w:asciiTheme="majorHAnsi" w:eastAsia="Calibri" w:hAnsiTheme="majorHAnsi" w:cstheme="majorHAnsi"/>
          <w:sz w:val="24"/>
          <w:szCs w:val="24"/>
          <w:lang w:val="ro-RO"/>
        </w:rPr>
      </w:pPr>
      <w:bookmarkStart w:id="1" w:name="_GoBack"/>
      <w:bookmarkEnd w:id="1"/>
    </w:p>
    <w:sectPr w:rsidR="0000284A" w:rsidSect="00E85424">
      <w:headerReference w:type="default" r:id="rId10"/>
      <w:footerReference w:type="default" r:id="rId11"/>
      <w:pgSz w:w="12240" w:h="15840"/>
      <w:pgMar w:top="28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F0" w:rsidRDefault="00F85FF0" w:rsidP="00B94DE2">
      <w:pPr>
        <w:spacing w:after="0" w:line="240" w:lineRule="auto"/>
      </w:pPr>
      <w:r>
        <w:separator/>
      </w:r>
    </w:p>
  </w:endnote>
  <w:endnote w:type="continuationSeparator" w:id="0">
    <w:p w:rsidR="00F85FF0" w:rsidRDefault="00F85FF0" w:rsidP="00B9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51446D">
        <w:pPr>
          <w:pStyle w:val="Footer"/>
          <w:jc w:val="right"/>
        </w:pPr>
        <w:r>
          <w:fldChar w:fldCharType="begin"/>
        </w:r>
        <w:r>
          <w:instrText xml:space="preserve"> PAGE   \* MERGEFORMAT </w:instrText>
        </w:r>
        <w:r>
          <w:fldChar w:fldCharType="separate"/>
        </w:r>
        <w:r w:rsidR="00272093">
          <w:rPr>
            <w:noProof/>
          </w:rPr>
          <w:t>3</w:t>
        </w:r>
        <w:r>
          <w:rPr>
            <w:noProof/>
          </w:rPr>
          <w:fldChar w:fldCharType="end"/>
        </w:r>
      </w:p>
    </w:sdtContent>
  </w:sdt>
  <w:p w:rsidR="00D02F43" w:rsidRDefault="00272093"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F0" w:rsidRDefault="00F85FF0" w:rsidP="00B94DE2">
      <w:pPr>
        <w:spacing w:after="0" w:line="240" w:lineRule="auto"/>
      </w:pPr>
      <w:r>
        <w:separator/>
      </w:r>
    </w:p>
  </w:footnote>
  <w:footnote w:type="continuationSeparator" w:id="0">
    <w:p w:rsidR="00F85FF0" w:rsidRDefault="00F85FF0" w:rsidP="00B94DE2">
      <w:pPr>
        <w:spacing w:after="0" w:line="240" w:lineRule="auto"/>
      </w:pPr>
      <w:r>
        <w:continuationSeparator/>
      </w:r>
    </w:p>
  </w:footnote>
  <w:footnote w:id="1">
    <w:p w:rsidR="000E0F83" w:rsidRPr="007B2885" w:rsidRDefault="000E0F83" w:rsidP="000E0F83">
      <w:pPr>
        <w:pStyle w:val="FootnoteText"/>
        <w:jc w:val="both"/>
        <w:rPr>
          <w:rFonts w:asciiTheme="majorHAnsi" w:hAnsiTheme="majorHAnsi" w:cstheme="majorHAnsi"/>
          <w:sz w:val="16"/>
          <w:szCs w:val="16"/>
          <w:lang w:val="ro-RO"/>
        </w:rPr>
      </w:pPr>
      <w:r w:rsidRPr="007B2885">
        <w:rPr>
          <w:rStyle w:val="FootnoteReference"/>
          <w:rFonts w:asciiTheme="majorHAnsi" w:hAnsiTheme="majorHAnsi" w:cstheme="majorHAnsi"/>
          <w:sz w:val="16"/>
          <w:szCs w:val="16"/>
        </w:rPr>
        <w:footnoteRef/>
      </w:r>
      <w:r w:rsidRPr="007B2885">
        <w:rPr>
          <w:rFonts w:asciiTheme="majorHAnsi" w:hAnsiTheme="majorHAnsi" w:cstheme="majorHAnsi"/>
          <w:sz w:val="16"/>
          <w:szCs w:val="16"/>
        </w:rPr>
        <w:t xml:space="preserve"> </w:t>
      </w:r>
      <w:r w:rsidR="007A6D8B" w:rsidRPr="007B2885">
        <w:rPr>
          <w:rFonts w:asciiTheme="majorHAnsi" w:hAnsiTheme="majorHAnsi" w:cstheme="majorHAnsi"/>
          <w:sz w:val="16"/>
          <w:szCs w:val="16"/>
          <w:lang w:val="ro-RO"/>
        </w:rPr>
        <w:t>Restructurat</w:t>
      </w:r>
      <w:r w:rsidRPr="007B2885">
        <w:rPr>
          <w:rFonts w:asciiTheme="majorHAnsi" w:hAnsiTheme="majorHAnsi" w:cstheme="majorHAnsi"/>
          <w:sz w:val="16"/>
          <w:szCs w:val="16"/>
          <w:lang w:val="ro-RO"/>
        </w:rPr>
        <w:t xml:space="preserve"> din Instituția Publică </w:t>
      </w:r>
      <w:r w:rsidR="00F819FB">
        <w:rPr>
          <w:rFonts w:asciiTheme="majorHAnsi" w:hAnsiTheme="majorHAnsi" w:cstheme="majorHAnsi"/>
          <w:sz w:val="16"/>
          <w:szCs w:val="16"/>
          <w:lang w:val="ro-RO"/>
        </w:rPr>
        <w:t>„</w:t>
      </w:r>
      <w:r w:rsidRPr="007B2885">
        <w:rPr>
          <w:rFonts w:asciiTheme="majorHAnsi" w:hAnsiTheme="majorHAnsi" w:cstheme="majorHAnsi"/>
          <w:sz w:val="16"/>
          <w:szCs w:val="16"/>
          <w:lang w:val="ro-RO"/>
        </w:rPr>
        <w:t>Directoratul Liniei de Credit</w:t>
      </w:r>
      <w:r w:rsidR="00F819FB">
        <w:rPr>
          <w:rFonts w:asciiTheme="majorHAnsi" w:hAnsiTheme="majorHAnsi" w:cstheme="majorHAnsi"/>
          <w:sz w:val="16"/>
          <w:szCs w:val="16"/>
          <w:lang w:val="ro-RO"/>
        </w:rPr>
        <w:t>”</w:t>
      </w:r>
      <w:r w:rsidRPr="007B2885">
        <w:rPr>
          <w:rFonts w:asciiTheme="majorHAnsi" w:hAnsiTheme="majorHAnsi" w:cstheme="majorHAnsi"/>
          <w:sz w:val="16"/>
          <w:szCs w:val="16"/>
          <w:lang w:val="ro-RO"/>
        </w:rPr>
        <w:t xml:space="preserve"> în Instituția Publică „Oficiul de Gestionare a Programelor de Asistență Externă”</w:t>
      </w:r>
      <w:r w:rsidR="00F819FB">
        <w:rPr>
          <w:rFonts w:asciiTheme="majorHAnsi" w:hAnsiTheme="majorHAnsi" w:cstheme="majorHAnsi"/>
          <w:sz w:val="16"/>
          <w:szCs w:val="16"/>
          <w:lang w:val="ro-RO"/>
        </w:rPr>
        <w:t>,</w:t>
      </w:r>
      <w:r w:rsidRPr="007B2885">
        <w:rPr>
          <w:rFonts w:asciiTheme="majorHAnsi" w:hAnsiTheme="majorHAnsi" w:cstheme="majorHAnsi"/>
          <w:sz w:val="16"/>
          <w:szCs w:val="16"/>
          <w:lang w:val="ro-RO"/>
        </w:rPr>
        <w:t xml:space="preserve"> c</w:t>
      </w:r>
      <w:r w:rsidR="003B3F15" w:rsidRPr="007B2885">
        <w:rPr>
          <w:rFonts w:asciiTheme="majorHAnsi" w:hAnsiTheme="majorHAnsi" w:cstheme="majorHAnsi"/>
          <w:sz w:val="16"/>
          <w:szCs w:val="16"/>
          <w:lang w:val="ro-RO"/>
        </w:rPr>
        <w:t>onform Hotărârii Guvernului nr.</w:t>
      </w:r>
      <w:r w:rsidRPr="007B2885">
        <w:rPr>
          <w:rFonts w:asciiTheme="majorHAnsi" w:hAnsiTheme="majorHAnsi" w:cstheme="majorHAnsi"/>
          <w:sz w:val="16"/>
          <w:szCs w:val="16"/>
          <w:lang w:val="ro-RO"/>
        </w:rPr>
        <w:t>338 din 03.06.2020 (în continuare – Directoratul Liniei de Credit).</w:t>
      </w:r>
    </w:p>
  </w:footnote>
  <w:footnote w:id="2">
    <w:p w:rsidR="00722435" w:rsidRPr="004713D5" w:rsidRDefault="00722435" w:rsidP="00722435">
      <w:pPr>
        <w:pStyle w:val="FootnoteText"/>
        <w:jc w:val="both"/>
        <w:rPr>
          <w:rFonts w:ascii="Calibri Light" w:hAnsi="Calibri Light" w:cs="Calibri Light"/>
          <w:sz w:val="16"/>
          <w:szCs w:val="16"/>
          <w:lang w:val="ro-RO"/>
        </w:rPr>
      </w:pPr>
      <w:r w:rsidRPr="004713D5">
        <w:rPr>
          <w:rStyle w:val="FootnoteReference"/>
          <w:rFonts w:ascii="Calibri Light" w:hAnsi="Calibri Light" w:cs="Calibri Light"/>
          <w:sz w:val="16"/>
          <w:szCs w:val="16"/>
          <w:lang w:val="ro-RO"/>
        </w:rPr>
        <w:footnoteRef/>
      </w:r>
      <w:r w:rsidRPr="004713D5">
        <w:rPr>
          <w:rFonts w:ascii="Calibri Light" w:hAnsi="Calibri Light" w:cs="Calibri Light"/>
          <w:sz w:val="16"/>
          <w:szCs w:val="16"/>
          <w:lang w:val="ro-RO"/>
        </w:rPr>
        <w:t xml:space="preserve"> Hotărârea Parlamentului privind declararea stării de urgență nr.55 din 17.03.2020.</w:t>
      </w:r>
    </w:p>
  </w:footnote>
  <w:footnote w:id="3">
    <w:p w:rsidR="001F16F3" w:rsidRPr="00396618" w:rsidRDefault="001F16F3" w:rsidP="001F16F3">
      <w:pPr>
        <w:pStyle w:val="FootnoteText"/>
        <w:jc w:val="both"/>
        <w:rPr>
          <w:rFonts w:asciiTheme="majorHAnsi" w:hAnsiTheme="majorHAnsi" w:cstheme="majorHAnsi"/>
          <w:sz w:val="16"/>
          <w:szCs w:val="16"/>
          <w:lang w:val="ro-MD"/>
        </w:rPr>
      </w:pPr>
      <w:r w:rsidRPr="00396618">
        <w:rPr>
          <w:rStyle w:val="FootnoteReference"/>
          <w:rFonts w:asciiTheme="majorHAnsi" w:hAnsiTheme="majorHAnsi" w:cstheme="majorHAnsi"/>
          <w:sz w:val="16"/>
          <w:szCs w:val="16"/>
          <w:lang w:val="ro-MD"/>
        </w:rPr>
        <w:footnoteRef/>
      </w:r>
      <w:r w:rsidRPr="00396618">
        <w:rPr>
          <w:rFonts w:asciiTheme="majorHAnsi" w:hAnsiTheme="majorHAnsi" w:cstheme="majorHAnsi"/>
          <w:sz w:val="16"/>
          <w:szCs w:val="16"/>
          <w:lang w:val="ro-MD"/>
        </w:rPr>
        <w:t xml:space="preserve"> Legea privind organizarea și funcționarea Curții de Conturi a Republicii Moldova nr.260 din 07.12.2017 (în continuare – Legea nr.260 din 07.12.2017).</w:t>
      </w:r>
    </w:p>
  </w:footnote>
  <w:footnote w:id="4">
    <w:p w:rsidR="00FB4768" w:rsidRPr="002B4B92" w:rsidRDefault="00FB4768" w:rsidP="0027439C">
      <w:pPr>
        <w:pStyle w:val="FootnoteText"/>
        <w:jc w:val="both"/>
        <w:rPr>
          <w:rFonts w:ascii="Calibri Light" w:hAnsi="Calibri Light" w:cs="Calibri Light"/>
          <w:sz w:val="16"/>
          <w:szCs w:val="16"/>
          <w:lang w:val="ro-RO"/>
        </w:rPr>
      </w:pPr>
      <w:r w:rsidRPr="002B4B92">
        <w:rPr>
          <w:rStyle w:val="FootnoteReference"/>
          <w:rFonts w:ascii="Calibri Light" w:hAnsi="Calibri Light" w:cs="Calibri Light"/>
          <w:sz w:val="16"/>
          <w:szCs w:val="16"/>
          <w:lang w:val="ro-RO"/>
        </w:rPr>
        <w:footnoteRef/>
      </w:r>
      <w:r w:rsidRPr="002B4B92">
        <w:rPr>
          <w:rFonts w:ascii="Calibri Light" w:hAnsi="Calibri Light" w:cs="Calibri Light"/>
          <w:sz w:val="16"/>
          <w:szCs w:val="16"/>
          <w:lang w:val="ro-RO"/>
        </w:rPr>
        <w:t xml:space="preserve"> Hotărârea Curții de Conturi nr.100 din 21.12.2018 „Cu privire la aprobarea Programului activității de audit pe anul 2019”, cu modificările și completările ulterioare.</w:t>
      </w:r>
    </w:p>
  </w:footnote>
  <w:footnote w:id="5">
    <w:p w:rsidR="000E0F83" w:rsidRPr="000E0F83" w:rsidRDefault="000E0F83">
      <w:pPr>
        <w:pStyle w:val="FootnoteText"/>
      </w:pPr>
      <w:r w:rsidRPr="000E0F83">
        <w:rPr>
          <w:rStyle w:val="FootnoteReference"/>
          <w:rFonts w:asciiTheme="majorHAnsi" w:hAnsiTheme="majorHAnsi" w:cstheme="majorHAnsi"/>
          <w:sz w:val="16"/>
          <w:szCs w:val="16"/>
        </w:rPr>
        <w:footnoteRef/>
      </w:r>
      <w:r w:rsidRPr="000E0F83">
        <w:rPr>
          <w:rFonts w:asciiTheme="majorHAnsi" w:hAnsiTheme="majorHAnsi" w:cstheme="majorHAnsi"/>
          <w:sz w:val="16"/>
          <w:szCs w:val="16"/>
        </w:rPr>
        <w:t xml:space="preserve"> </w:t>
      </w:r>
      <w:r w:rsidRPr="000E0F83">
        <w:rPr>
          <w:rFonts w:asciiTheme="majorHAnsi" w:hAnsiTheme="majorHAnsi" w:cstheme="majorHAnsi"/>
          <w:sz w:val="16"/>
          <w:szCs w:val="16"/>
          <w:lang w:val="ro-RO"/>
        </w:rPr>
        <w:t>H</w:t>
      </w:r>
      <w:r w:rsidRPr="002B4B92">
        <w:rPr>
          <w:rFonts w:ascii="Calibri Light" w:hAnsi="Calibri Light" w:cs="Calibri Light"/>
          <w:sz w:val="16"/>
          <w:szCs w:val="16"/>
          <w:lang w:val="ro-RO"/>
        </w:rPr>
        <w:t>o</w:t>
      </w:r>
      <w:r>
        <w:rPr>
          <w:rFonts w:ascii="Calibri Light" w:hAnsi="Calibri Light" w:cs="Calibri Light"/>
          <w:sz w:val="16"/>
          <w:szCs w:val="16"/>
          <w:lang w:val="ro-RO"/>
        </w:rPr>
        <w:t>tărârea Curții de Conturi nr.77 din 27.12.2019</w:t>
      </w:r>
      <w:r w:rsidRPr="002B4B92">
        <w:rPr>
          <w:rFonts w:ascii="Calibri Light" w:hAnsi="Calibri Light" w:cs="Calibri Light"/>
          <w:sz w:val="16"/>
          <w:szCs w:val="16"/>
          <w:lang w:val="ro-RO"/>
        </w:rPr>
        <w:t xml:space="preserve"> „Cu privire la aprobarea Programului a</w:t>
      </w:r>
      <w:r>
        <w:rPr>
          <w:rFonts w:ascii="Calibri Light" w:hAnsi="Calibri Light" w:cs="Calibri Light"/>
          <w:sz w:val="16"/>
          <w:szCs w:val="16"/>
          <w:lang w:val="ro-RO"/>
        </w:rPr>
        <w:t>ctivității de audit pe anul 2020”</w:t>
      </w:r>
      <w:r w:rsidRPr="002B4B92">
        <w:rPr>
          <w:rFonts w:ascii="Calibri Light" w:hAnsi="Calibri Light" w:cs="Calibri Light"/>
          <w:sz w:val="16"/>
          <w:szCs w:val="16"/>
          <w:lang w:val="ro-RO"/>
        </w:rPr>
        <w:t>.</w:t>
      </w:r>
    </w:p>
  </w:footnote>
  <w:footnote w:id="6">
    <w:p w:rsidR="000E0F83" w:rsidRPr="000E0F83" w:rsidRDefault="000E0F83" w:rsidP="000E0F83">
      <w:pPr>
        <w:pStyle w:val="FootnoteText"/>
        <w:jc w:val="both"/>
        <w:rPr>
          <w:rFonts w:asciiTheme="majorHAnsi" w:hAnsiTheme="majorHAnsi" w:cstheme="majorHAnsi"/>
          <w:sz w:val="16"/>
          <w:szCs w:val="16"/>
          <w:lang w:val="ro-MD"/>
        </w:rPr>
      </w:pPr>
      <w:r w:rsidRPr="000E0F83">
        <w:rPr>
          <w:rStyle w:val="FootnoteReference"/>
          <w:rFonts w:asciiTheme="majorHAnsi" w:hAnsiTheme="majorHAnsi" w:cstheme="majorHAnsi"/>
          <w:sz w:val="16"/>
          <w:szCs w:val="16"/>
          <w:lang w:val="ro-MD"/>
        </w:rPr>
        <w:footnoteRef/>
      </w:r>
      <w:r w:rsidRPr="000E0F83">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7">
    <w:p w:rsidR="00396618" w:rsidRPr="0027439C" w:rsidRDefault="00396618" w:rsidP="0027439C">
      <w:pPr>
        <w:pStyle w:val="FootnoteText"/>
        <w:jc w:val="both"/>
        <w:rPr>
          <w:rFonts w:ascii="Calibri Light" w:hAnsi="Calibri Light" w:cs="Calibri Light"/>
          <w:sz w:val="16"/>
          <w:szCs w:val="16"/>
          <w:lang w:val="ro-RO"/>
        </w:rPr>
      </w:pPr>
      <w:r w:rsidRPr="0027439C">
        <w:rPr>
          <w:rStyle w:val="FootnoteReference"/>
          <w:rFonts w:ascii="Calibri Light" w:hAnsi="Calibri Light" w:cs="Calibri Light"/>
          <w:sz w:val="16"/>
          <w:szCs w:val="16"/>
          <w:lang w:val="ro-RO"/>
        </w:rPr>
        <w:footnoteRef/>
      </w:r>
      <w:r w:rsidRPr="0027439C">
        <w:rPr>
          <w:rFonts w:ascii="Calibri Light" w:hAnsi="Calibri Light" w:cs="Calibri Light"/>
          <w:sz w:val="16"/>
          <w:szCs w:val="16"/>
          <w:lang w:val="ro-RO"/>
        </w:rPr>
        <w:t xml:space="preserve"> Manualul de audit al </w:t>
      </w:r>
      <w:r w:rsidRPr="009B5E3A">
        <w:rPr>
          <w:rFonts w:ascii="Calibri Light" w:hAnsi="Calibri Light" w:cs="Calibri Light"/>
          <w:sz w:val="16"/>
          <w:szCs w:val="16"/>
          <w:lang w:val="ro-RO"/>
        </w:rPr>
        <w:t>performanței Curții de Conturi</w:t>
      </w:r>
      <w:r w:rsidRPr="0027439C">
        <w:rPr>
          <w:rFonts w:ascii="Calibri Light" w:hAnsi="Calibri Light" w:cs="Calibri Light"/>
          <w:sz w:val="16"/>
          <w:szCs w:val="16"/>
          <w:lang w:val="ro-RO"/>
        </w:rPr>
        <w:t xml:space="preserve">, aprobat prin Hotărârea </w:t>
      </w:r>
      <w:r w:rsidR="002B4B92">
        <w:rPr>
          <w:rFonts w:ascii="Calibri Light" w:hAnsi="Calibri Light" w:cs="Calibri Light"/>
          <w:sz w:val="16"/>
          <w:szCs w:val="16"/>
          <w:lang w:val="ro-RO"/>
        </w:rPr>
        <w:t xml:space="preserve">Curții de Conturi </w:t>
      </w:r>
      <w:r w:rsidRPr="0027439C">
        <w:rPr>
          <w:rFonts w:ascii="Calibri Light" w:hAnsi="Calibri Light" w:cs="Calibri Light"/>
          <w:color w:val="000000"/>
          <w:sz w:val="16"/>
          <w:szCs w:val="16"/>
          <w:shd w:val="clear" w:color="auto" w:fill="FFFFFF"/>
        </w:rPr>
        <w:t>nr.54 din 05.12.2016.</w:t>
      </w:r>
    </w:p>
  </w:footnote>
  <w:footnote w:id="8">
    <w:p w:rsidR="00AB1EFD" w:rsidRPr="00AB1EFD" w:rsidRDefault="00AB1EFD" w:rsidP="00AB1EFD">
      <w:pPr>
        <w:pStyle w:val="FootnoteText"/>
        <w:jc w:val="both"/>
        <w:rPr>
          <w:rFonts w:asciiTheme="majorHAnsi" w:hAnsiTheme="majorHAnsi" w:cstheme="majorHAnsi"/>
          <w:sz w:val="16"/>
          <w:szCs w:val="16"/>
          <w:lang w:val="ro-MD"/>
        </w:rPr>
      </w:pPr>
      <w:r w:rsidRPr="00AB1EFD">
        <w:rPr>
          <w:rStyle w:val="FootnoteReference"/>
          <w:rFonts w:asciiTheme="majorHAnsi" w:hAnsiTheme="majorHAnsi" w:cstheme="majorHAnsi"/>
          <w:sz w:val="16"/>
          <w:szCs w:val="16"/>
          <w:lang w:val="ro-MD"/>
        </w:rPr>
        <w:footnoteRef/>
      </w:r>
      <w:r w:rsidRPr="00AB1EFD">
        <w:rPr>
          <w:rFonts w:asciiTheme="majorHAnsi" w:hAnsiTheme="majorHAnsi" w:cstheme="majorHAnsi"/>
          <w:sz w:val="16"/>
          <w:szCs w:val="16"/>
          <w:lang w:val="ro-MD"/>
        </w:rPr>
        <w:t xml:space="preserve"> </w:t>
      </w:r>
      <w:r w:rsidRPr="00AB1EFD">
        <w:rPr>
          <w:rFonts w:asciiTheme="majorHAnsi" w:hAnsiTheme="majorHAnsi" w:cstheme="majorHAnsi"/>
          <w:sz w:val="16"/>
          <w:szCs w:val="16"/>
          <w:lang w:val="ro-MD" w:eastAsia="ru-RU"/>
        </w:rPr>
        <w:t>Hotărârea Guvernului nr.338 din 03.06.2020 „Cu privire la Oficiul de Gestionare a Programelor de Asistență Externă”</w:t>
      </w:r>
      <w:r>
        <w:rPr>
          <w:rFonts w:asciiTheme="majorHAnsi" w:hAnsiTheme="majorHAnsi" w:cstheme="majorHAnsi"/>
          <w:sz w:val="16"/>
          <w:szCs w:val="16"/>
          <w:lang w:val="ro-MD" w:eastAsia="ru-RU"/>
        </w:rPr>
        <w:t>.</w:t>
      </w:r>
    </w:p>
  </w:footnote>
  <w:footnote w:id="9">
    <w:p w:rsidR="00000AC3" w:rsidRPr="00000AC3" w:rsidRDefault="00000AC3" w:rsidP="00000AC3">
      <w:pPr>
        <w:pStyle w:val="FootnoteText"/>
        <w:jc w:val="both"/>
        <w:rPr>
          <w:rFonts w:asciiTheme="majorHAnsi" w:hAnsiTheme="majorHAnsi" w:cstheme="majorHAnsi"/>
          <w:sz w:val="16"/>
          <w:szCs w:val="16"/>
          <w:lang w:val="ro-MD"/>
        </w:rPr>
      </w:pPr>
      <w:r w:rsidRPr="00000AC3">
        <w:rPr>
          <w:rStyle w:val="FootnoteReference"/>
          <w:rFonts w:asciiTheme="majorHAnsi" w:hAnsiTheme="majorHAnsi" w:cstheme="majorHAnsi"/>
          <w:sz w:val="16"/>
          <w:szCs w:val="16"/>
        </w:rPr>
        <w:footnoteRef/>
      </w:r>
      <w:r w:rsidRPr="00000AC3">
        <w:rPr>
          <w:rFonts w:asciiTheme="majorHAnsi" w:hAnsiTheme="majorHAnsi" w:cstheme="majorHAnsi"/>
          <w:sz w:val="16"/>
          <w:szCs w:val="16"/>
        </w:rPr>
        <w:t xml:space="preserve"> </w:t>
      </w:r>
      <w:r w:rsidRPr="00000AC3">
        <w:rPr>
          <w:rFonts w:asciiTheme="majorHAnsi" w:hAnsiTheme="majorHAnsi" w:cstheme="majorHAnsi"/>
          <w:sz w:val="16"/>
          <w:szCs w:val="16"/>
          <w:lang w:val="ro-MD"/>
        </w:rPr>
        <w:t>Hotărârea Guvernului nr.743 din 11.06.2002 „Cu privire la salarizarea angajaților din unitățile cu autonomie financiară”.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CF" w:rsidRPr="00640BCF" w:rsidRDefault="00640BCF" w:rsidP="005C7788">
    <w:pPr>
      <w:pStyle w:val="Header"/>
      <w:jc w:val="right"/>
      <w:rPr>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DF66F73"/>
    <w:multiLevelType w:val="hybridMultilevel"/>
    <w:tmpl w:val="A8A07C56"/>
    <w:lvl w:ilvl="0" w:tplc="7F00C21A">
      <w:start w:val="1"/>
      <w:numFmt w:val="decimal"/>
      <w:lvlText w:val="%1."/>
      <w:lvlJc w:val="left"/>
      <w:pPr>
        <w:ind w:left="4188" w:hanging="360"/>
      </w:pPr>
      <w:rPr>
        <w:rFonts w:hint="default"/>
        <w:color w:val="auto"/>
        <w:lang w:val="ro-R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5A8288E"/>
    <w:multiLevelType w:val="multilevel"/>
    <w:tmpl w:val="BED47178"/>
    <w:lvl w:ilvl="0">
      <w:start w:val="2"/>
      <w:numFmt w:val="decimal"/>
      <w:lvlText w:val="%1"/>
      <w:lvlJc w:val="left"/>
      <w:pPr>
        <w:ind w:left="360" w:hanging="360"/>
      </w:pPr>
      <w:rPr>
        <w:rFonts w:hint="default"/>
      </w:rPr>
    </w:lvl>
    <w:lvl w:ilvl="1">
      <w:start w:val="3"/>
      <w:numFmt w:val="decimal"/>
      <w:lvlText w:val="%1.%2"/>
      <w:lvlJc w:val="left"/>
      <w:pPr>
        <w:ind w:left="4188" w:hanging="360"/>
      </w:pPr>
      <w:rPr>
        <w:rFonts w:hint="default"/>
        <w:b/>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 w15:restartNumberingAfterBreak="0">
    <w:nsid w:val="47D62897"/>
    <w:multiLevelType w:val="multilevel"/>
    <w:tmpl w:val="A4922488"/>
    <w:lvl w:ilvl="0">
      <w:start w:val="2"/>
      <w:numFmt w:val="decimal"/>
      <w:lvlText w:val="%1"/>
      <w:lvlJc w:val="left"/>
      <w:pPr>
        <w:ind w:left="588" w:hanging="588"/>
      </w:pPr>
      <w:rPr>
        <w:rFonts w:hint="default"/>
        <w:b/>
      </w:rPr>
    </w:lvl>
    <w:lvl w:ilvl="1">
      <w:start w:val="4"/>
      <w:numFmt w:val="decimal"/>
      <w:lvlText w:val="%1.%2"/>
      <w:lvlJc w:val="left"/>
      <w:pPr>
        <w:ind w:left="942" w:hanging="588"/>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4" w15:restartNumberingAfterBreak="0">
    <w:nsid w:val="48E54C34"/>
    <w:multiLevelType w:val="hybridMultilevel"/>
    <w:tmpl w:val="7D64F996"/>
    <w:lvl w:ilvl="0" w:tplc="D9F634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4179D"/>
    <w:multiLevelType w:val="hybridMultilevel"/>
    <w:tmpl w:val="29E47A98"/>
    <w:lvl w:ilvl="0" w:tplc="8716FA52">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1084E"/>
    <w:multiLevelType w:val="multilevel"/>
    <w:tmpl w:val="80D02A40"/>
    <w:lvl w:ilvl="0">
      <w:start w:val="2"/>
      <w:numFmt w:val="decimal"/>
      <w:lvlText w:val="%1"/>
      <w:lvlJc w:val="left"/>
      <w:pPr>
        <w:ind w:left="360" w:hanging="360"/>
      </w:pPr>
      <w:rPr>
        <w:rFonts w:hint="default"/>
      </w:rPr>
    </w:lvl>
    <w:lvl w:ilvl="1">
      <w:start w:val="2"/>
      <w:numFmt w:val="decimal"/>
      <w:lvlText w:val="%1.%2."/>
      <w:lvlJc w:val="left"/>
      <w:pPr>
        <w:ind w:left="4188" w:hanging="360"/>
      </w:pPr>
      <w:rPr>
        <w:rFonts w:hint="default"/>
        <w:b/>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7" w15:restartNumberingAfterBreak="0">
    <w:nsid w:val="5E3F6C8E"/>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8" w15:restartNumberingAfterBreak="0">
    <w:nsid w:val="66BD2AE5"/>
    <w:multiLevelType w:val="multilevel"/>
    <w:tmpl w:val="B52039A4"/>
    <w:lvl w:ilvl="0">
      <w:start w:val="2"/>
      <w:numFmt w:val="decimal"/>
      <w:lvlText w:val="%1"/>
      <w:lvlJc w:val="left"/>
      <w:pPr>
        <w:ind w:left="525" w:hanging="525"/>
      </w:pPr>
      <w:rPr>
        <w:rFonts w:hint="default"/>
        <w:b/>
      </w:rPr>
    </w:lvl>
    <w:lvl w:ilvl="1">
      <w:start w:val="1"/>
      <w:numFmt w:val="decimal"/>
      <w:lvlText w:val="%1.%2"/>
      <w:lvlJc w:val="left"/>
      <w:pPr>
        <w:ind w:left="879" w:hanging="525"/>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 w15:restartNumberingAfterBreak="0">
    <w:nsid w:val="68E26F39"/>
    <w:multiLevelType w:val="multilevel"/>
    <w:tmpl w:val="6EBC9CF4"/>
    <w:lvl w:ilvl="0">
      <w:start w:val="1"/>
      <w:numFmt w:val="decimal"/>
      <w:lvlText w:val="%1."/>
      <w:lvlJc w:val="left"/>
      <w:pPr>
        <w:ind w:left="10000"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2989"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0" w15:restartNumberingAfterBreak="0">
    <w:nsid w:val="6B7E0413"/>
    <w:multiLevelType w:val="hybridMultilevel"/>
    <w:tmpl w:val="5E3EE664"/>
    <w:lvl w:ilvl="0" w:tplc="F2100238">
      <w:start w:val="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7681E"/>
    <w:multiLevelType w:val="multilevel"/>
    <w:tmpl w:val="6EBC9CF4"/>
    <w:lvl w:ilvl="0">
      <w:start w:val="1"/>
      <w:numFmt w:val="decimal"/>
      <w:lvlText w:val="%1."/>
      <w:lvlJc w:val="left"/>
      <w:pPr>
        <w:ind w:left="1211" w:hanging="360"/>
      </w:pPr>
      <w:rPr>
        <w:rFonts w:hint="default"/>
        <w:b/>
        <w:color w:val="auto"/>
      </w:rPr>
    </w:lvl>
    <w:lvl w:ilvl="1">
      <w:start w:val="1"/>
      <w:numFmt w:val="decimal"/>
      <w:isLgl/>
      <w:lvlText w:val="%1.%2."/>
      <w:lvlJc w:val="left"/>
      <w:pPr>
        <w:ind w:left="1854" w:hanging="720"/>
      </w:pPr>
      <w:rPr>
        <w:rFonts w:hint="default"/>
        <w:b/>
      </w:rPr>
    </w:lvl>
    <w:lvl w:ilvl="2">
      <w:start w:val="1"/>
      <w:numFmt w:val="decimal"/>
      <w:isLgl/>
      <w:lvlText w:val="%1.%2.%3."/>
      <w:lvlJc w:val="left"/>
      <w:pPr>
        <w:ind w:left="11" w:hanging="720"/>
      </w:pPr>
      <w:rPr>
        <w:rFonts w:hint="default"/>
        <w:b/>
        <w:i w:val="0"/>
      </w:rPr>
    </w:lvl>
    <w:lvl w:ilvl="3">
      <w:start w:val="1"/>
      <w:numFmt w:val="decimal"/>
      <w:isLgl/>
      <w:lvlText w:val="%1.%2.%3.%4."/>
      <w:lvlJc w:val="left"/>
      <w:pPr>
        <w:ind w:left="6622" w:hanging="1080"/>
      </w:pPr>
      <w:rPr>
        <w:rFonts w:hint="default"/>
        <w:b/>
      </w:rPr>
    </w:lvl>
    <w:lvl w:ilvl="4">
      <w:start w:val="1"/>
      <w:numFmt w:val="decimal"/>
      <w:isLgl/>
      <w:lvlText w:val="%1.%2.%3.%4.%5."/>
      <w:lvlJc w:val="left"/>
      <w:pPr>
        <w:ind w:left="6622" w:hanging="1080"/>
      </w:pPr>
      <w:rPr>
        <w:rFonts w:hint="default"/>
        <w:b/>
      </w:rPr>
    </w:lvl>
    <w:lvl w:ilvl="5">
      <w:start w:val="1"/>
      <w:numFmt w:val="decimal"/>
      <w:isLgl/>
      <w:lvlText w:val="%1.%2.%3.%4.%5.%6."/>
      <w:lvlJc w:val="left"/>
      <w:pPr>
        <w:ind w:left="6982" w:hanging="1440"/>
      </w:pPr>
      <w:rPr>
        <w:rFonts w:hint="default"/>
        <w:b/>
      </w:rPr>
    </w:lvl>
    <w:lvl w:ilvl="6">
      <w:start w:val="1"/>
      <w:numFmt w:val="decimal"/>
      <w:isLgl/>
      <w:lvlText w:val="%1.%2.%3.%4.%5.%6.%7."/>
      <w:lvlJc w:val="left"/>
      <w:pPr>
        <w:ind w:left="7342" w:hanging="1800"/>
      </w:pPr>
      <w:rPr>
        <w:rFonts w:hint="default"/>
        <w:b/>
      </w:rPr>
    </w:lvl>
    <w:lvl w:ilvl="7">
      <w:start w:val="1"/>
      <w:numFmt w:val="decimal"/>
      <w:isLgl/>
      <w:lvlText w:val="%1.%2.%3.%4.%5.%6.%7.%8."/>
      <w:lvlJc w:val="left"/>
      <w:pPr>
        <w:ind w:left="7342" w:hanging="1800"/>
      </w:pPr>
      <w:rPr>
        <w:rFonts w:hint="default"/>
        <w:b/>
      </w:rPr>
    </w:lvl>
    <w:lvl w:ilvl="8">
      <w:start w:val="1"/>
      <w:numFmt w:val="decimal"/>
      <w:isLgl/>
      <w:lvlText w:val="%1.%2.%3.%4.%5.%6.%7.%8.%9."/>
      <w:lvlJc w:val="left"/>
      <w:pPr>
        <w:ind w:left="7702" w:hanging="2160"/>
      </w:pPr>
      <w:rPr>
        <w:rFonts w:hint="default"/>
        <w:b/>
      </w:rPr>
    </w:lvl>
  </w:abstractNum>
  <w:abstractNum w:abstractNumId="12" w15:restartNumberingAfterBreak="0">
    <w:nsid w:val="7A764472"/>
    <w:multiLevelType w:val="multilevel"/>
    <w:tmpl w:val="DBC00340"/>
    <w:lvl w:ilvl="0">
      <w:start w:val="2"/>
      <w:numFmt w:val="decimal"/>
      <w:lvlText w:val="%1"/>
      <w:lvlJc w:val="left"/>
      <w:pPr>
        <w:ind w:left="360" w:hanging="360"/>
      </w:pPr>
      <w:rPr>
        <w:rFonts w:hint="default"/>
      </w:rPr>
    </w:lvl>
    <w:lvl w:ilvl="1">
      <w:start w:val="3"/>
      <w:numFmt w:val="decimal"/>
      <w:lvlText w:val="%2."/>
      <w:lvlJc w:val="left"/>
      <w:pPr>
        <w:ind w:left="4188" w:hanging="360"/>
      </w:pPr>
      <w:rPr>
        <w:rFonts w:hint="default"/>
        <w:b/>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7C6C1175"/>
    <w:multiLevelType w:val="multilevel"/>
    <w:tmpl w:val="29C0138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3"/>
  </w:num>
  <w:num w:numId="14">
    <w:abstractNumId w:val="6"/>
  </w:num>
  <w:num w:numId="15">
    <w:abstractNumId w:val="2"/>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DC"/>
    <w:rsid w:val="00000AC3"/>
    <w:rsid w:val="0000284A"/>
    <w:rsid w:val="00002CE9"/>
    <w:rsid w:val="000217DA"/>
    <w:rsid w:val="00024905"/>
    <w:rsid w:val="00025469"/>
    <w:rsid w:val="00030AFE"/>
    <w:rsid w:val="0003185F"/>
    <w:rsid w:val="00036749"/>
    <w:rsid w:val="00041B45"/>
    <w:rsid w:val="00046B57"/>
    <w:rsid w:val="0004775F"/>
    <w:rsid w:val="00060E0C"/>
    <w:rsid w:val="000617AB"/>
    <w:rsid w:val="000711CD"/>
    <w:rsid w:val="000806F5"/>
    <w:rsid w:val="00085157"/>
    <w:rsid w:val="00085253"/>
    <w:rsid w:val="00085865"/>
    <w:rsid w:val="0009711B"/>
    <w:rsid w:val="00097E2C"/>
    <w:rsid w:val="000A0647"/>
    <w:rsid w:val="000A176B"/>
    <w:rsid w:val="000A73E0"/>
    <w:rsid w:val="000B2E92"/>
    <w:rsid w:val="000D2B1F"/>
    <w:rsid w:val="000D4196"/>
    <w:rsid w:val="000D618B"/>
    <w:rsid w:val="000E0F83"/>
    <w:rsid w:val="000E35CD"/>
    <w:rsid w:val="000F2132"/>
    <w:rsid w:val="000F41A5"/>
    <w:rsid w:val="000F7703"/>
    <w:rsid w:val="00100973"/>
    <w:rsid w:val="00110A78"/>
    <w:rsid w:val="00111A25"/>
    <w:rsid w:val="00112B1F"/>
    <w:rsid w:val="001154C2"/>
    <w:rsid w:val="001262DB"/>
    <w:rsid w:val="00140436"/>
    <w:rsid w:val="001416AF"/>
    <w:rsid w:val="00142A46"/>
    <w:rsid w:val="00143307"/>
    <w:rsid w:val="00146B8B"/>
    <w:rsid w:val="0015274B"/>
    <w:rsid w:val="00160688"/>
    <w:rsid w:val="00161431"/>
    <w:rsid w:val="001770C1"/>
    <w:rsid w:val="001835F3"/>
    <w:rsid w:val="001841BD"/>
    <w:rsid w:val="00186365"/>
    <w:rsid w:val="00197F33"/>
    <w:rsid w:val="001A0BE0"/>
    <w:rsid w:val="001A1A52"/>
    <w:rsid w:val="001A6DC3"/>
    <w:rsid w:val="001B5FDA"/>
    <w:rsid w:val="001C004D"/>
    <w:rsid w:val="001C3540"/>
    <w:rsid w:val="001C4540"/>
    <w:rsid w:val="001C759E"/>
    <w:rsid w:val="001E337F"/>
    <w:rsid w:val="001E5794"/>
    <w:rsid w:val="001E600F"/>
    <w:rsid w:val="001E7123"/>
    <w:rsid w:val="001F0B6E"/>
    <w:rsid w:val="001F13D1"/>
    <w:rsid w:val="001F16F3"/>
    <w:rsid w:val="001F1C28"/>
    <w:rsid w:val="001F43DE"/>
    <w:rsid w:val="001F5111"/>
    <w:rsid w:val="002054A6"/>
    <w:rsid w:val="0022513F"/>
    <w:rsid w:val="00225A41"/>
    <w:rsid w:val="00227274"/>
    <w:rsid w:val="00232174"/>
    <w:rsid w:val="00240720"/>
    <w:rsid w:val="002407E1"/>
    <w:rsid w:val="002433D1"/>
    <w:rsid w:val="002439BD"/>
    <w:rsid w:val="00252C29"/>
    <w:rsid w:val="00262113"/>
    <w:rsid w:val="002677CA"/>
    <w:rsid w:val="00272093"/>
    <w:rsid w:val="002740DF"/>
    <w:rsid w:val="0027439C"/>
    <w:rsid w:val="0028688A"/>
    <w:rsid w:val="00293954"/>
    <w:rsid w:val="00295821"/>
    <w:rsid w:val="002A3A63"/>
    <w:rsid w:val="002A3FFC"/>
    <w:rsid w:val="002B4B92"/>
    <w:rsid w:val="002C0DF6"/>
    <w:rsid w:val="002C493F"/>
    <w:rsid w:val="002C6DE4"/>
    <w:rsid w:val="002D4AD7"/>
    <w:rsid w:val="002E09F3"/>
    <w:rsid w:val="002E34EB"/>
    <w:rsid w:val="002F2E8D"/>
    <w:rsid w:val="002F3325"/>
    <w:rsid w:val="00302824"/>
    <w:rsid w:val="0030288D"/>
    <w:rsid w:val="00307942"/>
    <w:rsid w:val="00312868"/>
    <w:rsid w:val="003159DA"/>
    <w:rsid w:val="003212AA"/>
    <w:rsid w:val="003220B3"/>
    <w:rsid w:val="003339D2"/>
    <w:rsid w:val="0033638F"/>
    <w:rsid w:val="00336600"/>
    <w:rsid w:val="00337550"/>
    <w:rsid w:val="003441D8"/>
    <w:rsid w:val="00364B2D"/>
    <w:rsid w:val="00367924"/>
    <w:rsid w:val="003700C4"/>
    <w:rsid w:val="00370B09"/>
    <w:rsid w:val="00371AF5"/>
    <w:rsid w:val="00377322"/>
    <w:rsid w:val="00380543"/>
    <w:rsid w:val="00383F85"/>
    <w:rsid w:val="00384839"/>
    <w:rsid w:val="003904D0"/>
    <w:rsid w:val="003908F9"/>
    <w:rsid w:val="00392289"/>
    <w:rsid w:val="00395BB0"/>
    <w:rsid w:val="00396618"/>
    <w:rsid w:val="00396B12"/>
    <w:rsid w:val="00397BB2"/>
    <w:rsid w:val="003A17EC"/>
    <w:rsid w:val="003B2C25"/>
    <w:rsid w:val="003B3F15"/>
    <w:rsid w:val="003C1ABB"/>
    <w:rsid w:val="003C71B9"/>
    <w:rsid w:val="003C7FD8"/>
    <w:rsid w:val="003D0B8E"/>
    <w:rsid w:val="003D1215"/>
    <w:rsid w:val="003D31DC"/>
    <w:rsid w:val="003D5C76"/>
    <w:rsid w:val="003D6CF8"/>
    <w:rsid w:val="003E4D37"/>
    <w:rsid w:val="003F39CD"/>
    <w:rsid w:val="003F7D90"/>
    <w:rsid w:val="00407C9A"/>
    <w:rsid w:val="00411F28"/>
    <w:rsid w:val="004263B9"/>
    <w:rsid w:val="00432BAA"/>
    <w:rsid w:val="00435BDD"/>
    <w:rsid w:val="00442976"/>
    <w:rsid w:val="00447E76"/>
    <w:rsid w:val="00452514"/>
    <w:rsid w:val="00457830"/>
    <w:rsid w:val="004725A1"/>
    <w:rsid w:val="00475823"/>
    <w:rsid w:val="004760D7"/>
    <w:rsid w:val="004804D5"/>
    <w:rsid w:val="004817B6"/>
    <w:rsid w:val="00487A37"/>
    <w:rsid w:val="00490323"/>
    <w:rsid w:val="004944AE"/>
    <w:rsid w:val="00496E89"/>
    <w:rsid w:val="00496FB7"/>
    <w:rsid w:val="004A1EFB"/>
    <w:rsid w:val="004A4C13"/>
    <w:rsid w:val="004C162B"/>
    <w:rsid w:val="004C730C"/>
    <w:rsid w:val="004E40DD"/>
    <w:rsid w:val="004E4955"/>
    <w:rsid w:val="004E7C79"/>
    <w:rsid w:val="004F2727"/>
    <w:rsid w:val="00506D84"/>
    <w:rsid w:val="0051446D"/>
    <w:rsid w:val="005236C5"/>
    <w:rsid w:val="00540F75"/>
    <w:rsid w:val="0054141D"/>
    <w:rsid w:val="0054268E"/>
    <w:rsid w:val="005444EE"/>
    <w:rsid w:val="00547B72"/>
    <w:rsid w:val="005564D0"/>
    <w:rsid w:val="00557988"/>
    <w:rsid w:val="00562DFD"/>
    <w:rsid w:val="0056423C"/>
    <w:rsid w:val="005734CE"/>
    <w:rsid w:val="00577C2D"/>
    <w:rsid w:val="00590101"/>
    <w:rsid w:val="005A2EBD"/>
    <w:rsid w:val="005B3446"/>
    <w:rsid w:val="005C4AC6"/>
    <w:rsid w:val="005C5F6B"/>
    <w:rsid w:val="005C7788"/>
    <w:rsid w:val="005E6773"/>
    <w:rsid w:val="005F3F00"/>
    <w:rsid w:val="005F4108"/>
    <w:rsid w:val="005F4575"/>
    <w:rsid w:val="0061156E"/>
    <w:rsid w:val="00612183"/>
    <w:rsid w:val="00612CF1"/>
    <w:rsid w:val="006154D9"/>
    <w:rsid w:val="00616C72"/>
    <w:rsid w:val="006405E9"/>
    <w:rsid w:val="00640BCF"/>
    <w:rsid w:val="0064222A"/>
    <w:rsid w:val="0064526B"/>
    <w:rsid w:val="006572F7"/>
    <w:rsid w:val="00663AF3"/>
    <w:rsid w:val="00670320"/>
    <w:rsid w:val="00674D09"/>
    <w:rsid w:val="0067531C"/>
    <w:rsid w:val="00680352"/>
    <w:rsid w:val="006849E5"/>
    <w:rsid w:val="00686AF5"/>
    <w:rsid w:val="00687584"/>
    <w:rsid w:val="0069173A"/>
    <w:rsid w:val="006B653B"/>
    <w:rsid w:val="006C36C5"/>
    <w:rsid w:val="006C5443"/>
    <w:rsid w:val="006C5651"/>
    <w:rsid w:val="006C5A0B"/>
    <w:rsid w:val="006D3111"/>
    <w:rsid w:val="006D6319"/>
    <w:rsid w:val="006D770B"/>
    <w:rsid w:val="006E484E"/>
    <w:rsid w:val="006F217C"/>
    <w:rsid w:val="00705067"/>
    <w:rsid w:val="00705F7C"/>
    <w:rsid w:val="007149B0"/>
    <w:rsid w:val="00722435"/>
    <w:rsid w:val="00737B1F"/>
    <w:rsid w:val="0074105B"/>
    <w:rsid w:val="00741A3D"/>
    <w:rsid w:val="007431D0"/>
    <w:rsid w:val="00756CAF"/>
    <w:rsid w:val="00764D94"/>
    <w:rsid w:val="00765883"/>
    <w:rsid w:val="00772A28"/>
    <w:rsid w:val="00776D5E"/>
    <w:rsid w:val="0079333D"/>
    <w:rsid w:val="007948AB"/>
    <w:rsid w:val="0079690A"/>
    <w:rsid w:val="007A5D41"/>
    <w:rsid w:val="007A6D8B"/>
    <w:rsid w:val="007B0557"/>
    <w:rsid w:val="007B2885"/>
    <w:rsid w:val="007B2CBA"/>
    <w:rsid w:val="007C3AB1"/>
    <w:rsid w:val="007D07DB"/>
    <w:rsid w:val="007E4076"/>
    <w:rsid w:val="007E6187"/>
    <w:rsid w:val="007F04F4"/>
    <w:rsid w:val="007F5340"/>
    <w:rsid w:val="007F6AE0"/>
    <w:rsid w:val="00807846"/>
    <w:rsid w:val="0081676E"/>
    <w:rsid w:val="00820207"/>
    <w:rsid w:val="00825C06"/>
    <w:rsid w:val="00830BD1"/>
    <w:rsid w:val="0083275B"/>
    <w:rsid w:val="00841C09"/>
    <w:rsid w:val="008435F4"/>
    <w:rsid w:val="00853205"/>
    <w:rsid w:val="0086515D"/>
    <w:rsid w:val="008744D2"/>
    <w:rsid w:val="008757EA"/>
    <w:rsid w:val="00876F36"/>
    <w:rsid w:val="00880076"/>
    <w:rsid w:val="00881282"/>
    <w:rsid w:val="008826AD"/>
    <w:rsid w:val="00884A51"/>
    <w:rsid w:val="008855A6"/>
    <w:rsid w:val="00892E6A"/>
    <w:rsid w:val="00893311"/>
    <w:rsid w:val="00895789"/>
    <w:rsid w:val="00896733"/>
    <w:rsid w:val="008A06D5"/>
    <w:rsid w:val="008A36BD"/>
    <w:rsid w:val="008C15FF"/>
    <w:rsid w:val="008C3A2F"/>
    <w:rsid w:val="008E2B0A"/>
    <w:rsid w:val="008F66AD"/>
    <w:rsid w:val="008F7969"/>
    <w:rsid w:val="008F7A17"/>
    <w:rsid w:val="009144B5"/>
    <w:rsid w:val="00915D7F"/>
    <w:rsid w:val="009208C0"/>
    <w:rsid w:val="00921524"/>
    <w:rsid w:val="00926690"/>
    <w:rsid w:val="00926847"/>
    <w:rsid w:val="00926C27"/>
    <w:rsid w:val="009363F8"/>
    <w:rsid w:val="0095352C"/>
    <w:rsid w:val="00956196"/>
    <w:rsid w:val="00956B47"/>
    <w:rsid w:val="00956EE7"/>
    <w:rsid w:val="00971D09"/>
    <w:rsid w:val="0098629C"/>
    <w:rsid w:val="00987B03"/>
    <w:rsid w:val="00990EA7"/>
    <w:rsid w:val="00990F60"/>
    <w:rsid w:val="00993F39"/>
    <w:rsid w:val="009A028F"/>
    <w:rsid w:val="009A6AF8"/>
    <w:rsid w:val="009A72B6"/>
    <w:rsid w:val="009A7BA3"/>
    <w:rsid w:val="009B5B8E"/>
    <w:rsid w:val="009B5E3A"/>
    <w:rsid w:val="009C4DEA"/>
    <w:rsid w:val="009E0BA6"/>
    <w:rsid w:val="009E257C"/>
    <w:rsid w:val="009E2F41"/>
    <w:rsid w:val="009E77CD"/>
    <w:rsid w:val="00A00967"/>
    <w:rsid w:val="00A02529"/>
    <w:rsid w:val="00A11DDA"/>
    <w:rsid w:val="00A13CB3"/>
    <w:rsid w:val="00A15EAD"/>
    <w:rsid w:val="00A34393"/>
    <w:rsid w:val="00A45E4B"/>
    <w:rsid w:val="00A47E3C"/>
    <w:rsid w:val="00A52BB4"/>
    <w:rsid w:val="00A553E0"/>
    <w:rsid w:val="00A57CD1"/>
    <w:rsid w:val="00A57EEA"/>
    <w:rsid w:val="00A60E08"/>
    <w:rsid w:val="00A745E0"/>
    <w:rsid w:val="00A7567E"/>
    <w:rsid w:val="00A8167F"/>
    <w:rsid w:val="00A82A9A"/>
    <w:rsid w:val="00A92B6A"/>
    <w:rsid w:val="00AB1EFD"/>
    <w:rsid w:val="00AB43A2"/>
    <w:rsid w:val="00AB666E"/>
    <w:rsid w:val="00AC5F00"/>
    <w:rsid w:val="00AD168A"/>
    <w:rsid w:val="00AD338B"/>
    <w:rsid w:val="00AD7DCE"/>
    <w:rsid w:val="00AE1E9F"/>
    <w:rsid w:val="00AE4A44"/>
    <w:rsid w:val="00B040A4"/>
    <w:rsid w:val="00B24390"/>
    <w:rsid w:val="00B32D85"/>
    <w:rsid w:val="00B37112"/>
    <w:rsid w:val="00B4778E"/>
    <w:rsid w:val="00B53912"/>
    <w:rsid w:val="00B61ABF"/>
    <w:rsid w:val="00B71A66"/>
    <w:rsid w:val="00B772E0"/>
    <w:rsid w:val="00B82066"/>
    <w:rsid w:val="00B82610"/>
    <w:rsid w:val="00B94DE2"/>
    <w:rsid w:val="00B97A87"/>
    <w:rsid w:val="00BA5331"/>
    <w:rsid w:val="00BB1660"/>
    <w:rsid w:val="00BB2B9A"/>
    <w:rsid w:val="00BB4B79"/>
    <w:rsid w:val="00BB7285"/>
    <w:rsid w:val="00BC0077"/>
    <w:rsid w:val="00BF3EC8"/>
    <w:rsid w:val="00C04E20"/>
    <w:rsid w:val="00C21314"/>
    <w:rsid w:val="00C23DBF"/>
    <w:rsid w:val="00C27C46"/>
    <w:rsid w:val="00C33781"/>
    <w:rsid w:val="00C41C30"/>
    <w:rsid w:val="00C466C7"/>
    <w:rsid w:val="00C52C90"/>
    <w:rsid w:val="00C53A5F"/>
    <w:rsid w:val="00C56DA1"/>
    <w:rsid w:val="00C6045D"/>
    <w:rsid w:val="00C611AF"/>
    <w:rsid w:val="00C629F0"/>
    <w:rsid w:val="00C63CE7"/>
    <w:rsid w:val="00C70576"/>
    <w:rsid w:val="00C73D1F"/>
    <w:rsid w:val="00C7558C"/>
    <w:rsid w:val="00C8044F"/>
    <w:rsid w:val="00C83D08"/>
    <w:rsid w:val="00C860B2"/>
    <w:rsid w:val="00C96956"/>
    <w:rsid w:val="00CA0B75"/>
    <w:rsid w:val="00CA3438"/>
    <w:rsid w:val="00CA51F9"/>
    <w:rsid w:val="00CA7526"/>
    <w:rsid w:val="00CB195B"/>
    <w:rsid w:val="00CC2F73"/>
    <w:rsid w:val="00CC36FE"/>
    <w:rsid w:val="00CD18D2"/>
    <w:rsid w:val="00CD5F2E"/>
    <w:rsid w:val="00CD79F5"/>
    <w:rsid w:val="00CE0BFA"/>
    <w:rsid w:val="00D03DE2"/>
    <w:rsid w:val="00D06514"/>
    <w:rsid w:val="00D07047"/>
    <w:rsid w:val="00D11C3F"/>
    <w:rsid w:val="00D126A0"/>
    <w:rsid w:val="00D1298B"/>
    <w:rsid w:val="00D13BDF"/>
    <w:rsid w:val="00D27FA4"/>
    <w:rsid w:val="00D36AD9"/>
    <w:rsid w:val="00D3705A"/>
    <w:rsid w:val="00D37682"/>
    <w:rsid w:val="00D3786E"/>
    <w:rsid w:val="00D512F0"/>
    <w:rsid w:val="00D53287"/>
    <w:rsid w:val="00D53668"/>
    <w:rsid w:val="00D62398"/>
    <w:rsid w:val="00D66027"/>
    <w:rsid w:val="00D943D8"/>
    <w:rsid w:val="00DA1448"/>
    <w:rsid w:val="00DA3A8C"/>
    <w:rsid w:val="00DA6CF5"/>
    <w:rsid w:val="00DA7969"/>
    <w:rsid w:val="00DB215C"/>
    <w:rsid w:val="00DB2442"/>
    <w:rsid w:val="00DB3589"/>
    <w:rsid w:val="00DB3DB0"/>
    <w:rsid w:val="00DB4121"/>
    <w:rsid w:val="00DD0D45"/>
    <w:rsid w:val="00DD5961"/>
    <w:rsid w:val="00DD5E7C"/>
    <w:rsid w:val="00DE71F4"/>
    <w:rsid w:val="00DF080B"/>
    <w:rsid w:val="00DF394C"/>
    <w:rsid w:val="00E01CB8"/>
    <w:rsid w:val="00E02F3D"/>
    <w:rsid w:val="00E13E9E"/>
    <w:rsid w:val="00E1425D"/>
    <w:rsid w:val="00E14575"/>
    <w:rsid w:val="00E26C0A"/>
    <w:rsid w:val="00E31AC5"/>
    <w:rsid w:val="00E342AE"/>
    <w:rsid w:val="00E3588B"/>
    <w:rsid w:val="00E41EAE"/>
    <w:rsid w:val="00E67161"/>
    <w:rsid w:val="00E73DFC"/>
    <w:rsid w:val="00E75E79"/>
    <w:rsid w:val="00E837FC"/>
    <w:rsid w:val="00E85424"/>
    <w:rsid w:val="00E86FD7"/>
    <w:rsid w:val="00E87D4E"/>
    <w:rsid w:val="00E93A4A"/>
    <w:rsid w:val="00E93EAC"/>
    <w:rsid w:val="00E951CE"/>
    <w:rsid w:val="00EA0248"/>
    <w:rsid w:val="00EA29B9"/>
    <w:rsid w:val="00EA3DEB"/>
    <w:rsid w:val="00EA449D"/>
    <w:rsid w:val="00EA54CD"/>
    <w:rsid w:val="00EA720B"/>
    <w:rsid w:val="00EB4F6B"/>
    <w:rsid w:val="00EB5922"/>
    <w:rsid w:val="00EB656D"/>
    <w:rsid w:val="00EB6E74"/>
    <w:rsid w:val="00EB7094"/>
    <w:rsid w:val="00EC0A10"/>
    <w:rsid w:val="00ED06D5"/>
    <w:rsid w:val="00EE1BC4"/>
    <w:rsid w:val="00EE65B9"/>
    <w:rsid w:val="00EE7EEC"/>
    <w:rsid w:val="00EF2051"/>
    <w:rsid w:val="00F00CD3"/>
    <w:rsid w:val="00F049A8"/>
    <w:rsid w:val="00F15E85"/>
    <w:rsid w:val="00F2462D"/>
    <w:rsid w:val="00F25BE2"/>
    <w:rsid w:val="00F32D5A"/>
    <w:rsid w:val="00F353E4"/>
    <w:rsid w:val="00F35EE8"/>
    <w:rsid w:val="00F3696D"/>
    <w:rsid w:val="00F47B92"/>
    <w:rsid w:val="00F539CB"/>
    <w:rsid w:val="00F56C17"/>
    <w:rsid w:val="00F613A9"/>
    <w:rsid w:val="00F61E7B"/>
    <w:rsid w:val="00F7131F"/>
    <w:rsid w:val="00F73CED"/>
    <w:rsid w:val="00F74853"/>
    <w:rsid w:val="00F750B7"/>
    <w:rsid w:val="00F819FB"/>
    <w:rsid w:val="00F85FF0"/>
    <w:rsid w:val="00F966EC"/>
    <w:rsid w:val="00FA017B"/>
    <w:rsid w:val="00FA115F"/>
    <w:rsid w:val="00FA207A"/>
    <w:rsid w:val="00FA6719"/>
    <w:rsid w:val="00FB4768"/>
    <w:rsid w:val="00FB799E"/>
    <w:rsid w:val="00FC0F9D"/>
    <w:rsid w:val="00FD5ACC"/>
    <w:rsid w:val="00FD5BBD"/>
    <w:rsid w:val="00FE1E79"/>
    <w:rsid w:val="00FE3A05"/>
    <w:rsid w:val="00FF65EA"/>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7EAF-DE4D-49ED-9BFA-7B421526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B94DE2"/>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B94DE2"/>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B94DE2"/>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B94DE2"/>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B94DE2"/>
    <w:rPr>
      <w:vertAlign w:val="superscript"/>
    </w:rPr>
  </w:style>
  <w:style w:type="paragraph" w:styleId="Footer">
    <w:name w:val="footer"/>
    <w:basedOn w:val="Normal"/>
    <w:link w:val="FooterChar"/>
    <w:uiPriority w:val="99"/>
    <w:unhideWhenUsed/>
    <w:rsid w:val="00B94DE2"/>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4DE2"/>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94DE2"/>
    <w:pPr>
      <w:spacing w:line="240" w:lineRule="exact"/>
    </w:pPr>
    <w:rPr>
      <w:vertAlign w:val="superscript"/>
    </w:rPr>
  </w:style>
  <w:style w:type="paragraph" w:customStyle="1" w:styleId="cp">
    <w:name w:val="cp"/>
    <w:basedOn w:val="Normal"/>
    <w:rsid w:val="00B94DE2"/>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94DE2"/>
    <w:rPr>
      <w:color w:val="0563C1" w:themeColor="hyperlink"/>
      <w:u w:val="single"/>
    </w:rPr>
  </w:style>
  <w:style w:type="paragraph" w:styleId="ListParagraph">
    <w:name w:val="List Paragraph"/>
    <w:aliases w:val="List Paragraph 1,strikethrough,Scriptoria bullet points,Абзац списка1,List Paragraph1,standaard met opsomming"/>
    <w:basedOn w:val="Normal"/>
    <w:link w:val="ListParagraphChar"/>
    <w:uiPriority w:val="34"/>
    <w:qFormat/>
    <w:rsid w:val="00B94DE2"/>
    <w:pPr>
      <w:ind w:left="720"/>
      <w:contextualSpacing/>
    </w:pPr>
    <w:rPr>
      <w:lang w:val="ro-RO"/>
    </w:rPr>
  </w:style>
  <w:style w:type="character" w:customStyle="1" w:styleId="ListParagraphChar">
    <w:name w:val="List Paragraph Char"/>
    <w:aliases w:val="List Paragraph 1 Char,strikethrough Char,Scriptoria bullet points Char,Абзац списка1 Char,List Paragraph1 Char,standaard met opsomming Char"/>
    <w:link w:val="ListParagraph"/>
    <w:uiPriority w:val="34"/>
    <w:rsid w:val="00B94DE2"/>
    <w:rPr>
      <w:lang w:val="ro-RO"/>
    </w:rPr>
  </w:style>
  <w:style w:type="paragraph" w:styleId="NoSpacing">
    <w:name w:val="No Spacing"/>
    <w:aliases w:val="Subsol,referinta"/>
    <w:uiPriority w:val="1"/>
    <w:qFormat/>
    <w:rsid w:val="00FA207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4525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14"/>
    <w:rPr>
      <w:rFonts w:ascii="Segoe UI" w:hAnsi="Segoe UI" w:cs="Segoe UI"/>
      <w:sz w:val="18"/>
      <w:szCs w:val="18"/>
    </w:rPr>
  </w:style>
  <w:style w:type="character" w:styleId="CommentReference">
    <w:name w:val="annotation reference"/>
    <w:basedOn w:val="DefaultParagraphFont"/>
    <w:uiPriority w:val="99"/>
    <w:semiHidden/>
    <w:unhideWhenUsed/>
    <w:rsid w:val="00452514"/>
    <w:rPr>
      <w:sz w:val="16"/>
      <w:szCs w:val="16"/>
    </w:rPr>
  </w:style>
  <w:style w:type="paragraph" w:styleId="CommentText">
    <w:name w:val="annotation text"/>
    <w:basedOn w:val="Normal"/>
    <w:link w:val="CommentTextChar"/>
    <w:uiPriority w:val="99"/>
    <w:semiHidden/>
    <w:unhideWhenUsed/>
    <w:rsid w:val="00452514"/>
    <w:pPr>
      <w:spacing w:line="240" w:lineRule="auto"/>
    </w:pPr>
    <w:rPr>
      <w:sz w:val="20"/>
      <w:szCs w:val="20"/>
    </w:rPr>
  </w:style>
  <w:style w:type="character" w:customStyle="1" w:styleId="CommentTextChar">
    <w:name w:val="Comment Text Char"/>
    <w:basedOn w:val="DefaultParagraphFont"/>
    <w:link w:val="CommentText"/>
    <w:uiPriority w:val="99"/>
    <w:semiHidden/>
    <w:rsid w:val="00452514"/>
    <w:rPr>
      <w:sz w:val="20"/>
      <w:szCs w:val="20"/>
    </w:rPr>
  </w:style>
  <w:style w:type="paragraph" w:styleId="Header">
    <w:name w:val="header"/>
    <w:basedOn w:val="Normal"/>
    <w:link w:val="HeaderChar"/>
    <w:uiPriority w:val="99"/>
    <w:unhideWhenUsed/>
    <w:rsid w:val="00680352"/>
    <w:pPr>
      <w:tabs>
        <w:tab w:val="center" w:pos="4844"/>
        <w:tab w:val="right" w:pos="9689"/>
      </w:tabs>
      <w:spacing w:after="0" w:line="240" w:lineRule="auto"/>
    </w:pPr>
  </w:style>
  <w:style w:type="character" w:customStyle="1" w:styleId="HeaderChar">
    <w:name w:val="Header Char"/>
    <w:basedOn w:val="DefaultParagraphFont"/>
    <w:link w:val="Header"/>
    <w:uiPriority w:val="99"/>
    <w:rsid w:val="00680352"/>
  </w:style>
  <w:style w:type="character" w:styleId="FollowedHyperlink">
    <w:name w:val="FollowedHyperlink"/>
    <w:basedOn w:val="DefaultParagraphFont"/>
    <w:uiPriority w:val="99"/>
    <w:semiHidden/>
    <w:unhideWhenUsed/>
    <w:rsid w:val="00BF3EC8"/>
    <w:rPr>
      <w:color w:val="954F72" w:themeColor="followedHyperlink"/>
      <w:u w:val="single"/>
    </w:rPr>
  </w:style>
  <w:style w:type="paragraph" w:customStyle="1" w:styleId="2">
    <w:name w:val="Абзац списка2"/>
    <w:basedOn w:val="Normal"/>
    <w:qFormat/>
    <w:rsid w:val="004725A1"/>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024">
      <w:bodyDiv w:val="1"/>
      <w:marLeft w:val="0"/>
      <w:marRight w:val="0"/>
      <w:marTop w:val="0"/>
      <w:marBottom w:val="0"/>
      <w:divBdr>
        <w:top w:val="none" w:sz="0" w:space="0" w:color="auto"/>
        <w:left w:val="none" w:sz="0" w:space="0" w:color="auto"/>
        <w:bottom w:val="none" w:sz="0" w:space="0" w:color="auto"/>
        <w:right w:val="none" w:sz="0" w:space="0" w:color="auto"/>
      </w:divBdr>
    </w:div>
    <w:div w:id="210921738">
      <w:bodyDiv w:val="1"/>
      <w:marLeft w:val="0"/>
      <w:marRight w:val="0"/>
      <w:marTop w:val="0"/>
      <w:marBottom w:val="0"/>
      <w:divBdr>
        <w:top w:val="none" w:sz="0" w:space="0" w:color="auto"/>
        <w:left w:val="none" w:sz="0" w:space="0" w:color="auto"/>
        <w:bottom w:val="none" w:sz="0" w:space="0" w:color="auto"/>
        <w:right w:val="none" w:sz="0" w:space="0" w:color="auto"/>
      </w:divBdr>
    </w:div>
    <w:div w:id="269437769">
      <w:bodyDiv w:val="1"/>
      <w:marLeft w:val="0"/>
      <w:marRight w:val="0"/>
      <w:marTop w:val="0"/>
      <w:marBottom w:val="0"/>
      <w:divBdr>
        <w:top w:val="none" w:sz="0" w:space="0" w:color="auto"/>
        <w:left w:val="none" w:sz="0" w:space="0" w:color="auto"/>
        <w:bottom w:val="none" w:sz="0" w:space="0" w:color="auto"/>
        <w:right w:val="none" w:sz="0" w:space="0" w:color="auto"/>
      </w:divBdr>
    </w:div>
    <w:div w:id="321591208">
      <w:bodyDiv w:val="1"/>
      <w:marLeft w:val="0"/>
      <w:marRight w:val="0"/>
      <w:marTop w:val="0"/>
      <w:marBottom w:val="0"/>
      <w:divBdr>
        <w:top w:val="none" w:sz="0" w:space="0" w:color="auto"/>
        <w:left w:val="none" w:sz="0" w:space="0" w:color="auto"/>
        <w:bottom w:val="none" w:sz="0" w:space="0" w:color="auto"/>
        <w:right w:val="none" w:sz="0" w:space="0" w:color="auto"/>
      </w:divBdr>
    </w:div>
    <w:div w:id="481629320">
      <w:bodyDiv w:val="1"/>
      <w:marLeft w:val="0"/>
      <w:marRight w:val="0"/>
      <w:marTop w:val="0"/>
      <w:marBottom w:val="0"/>
      <w:divBdr>
        <w:top w:val="none" w:sz="0" w:space="0" w:color="auto"/>
        <w:left w:val="none" w:sz="0" w:space="0" w:color="auto"/>
        <w:bottom w:val="none" w:sz="0" w:space="0" w:color="auto"/>
        <w:right w:val="none" w:sz="0" w:space="0" w:color="auto"/>
      </w:divBdr>
    </w:div>
    <w:div w:id="1128012407">
      <w:bodyDiv w:val="1"/>
      <w:marLeft w:val="0"/>
      <w:marRight w:val="0"/>
      <w:marTop w:val="0"/>
      <w:marBottom w:val="0"/>
      <w:divBdr>
        <w:top w:val="none" w:sz="0" w:space="0" w:color="auto"/>
        <w:left w:val="none" w:sz="0" w:space="0" w:color="auto"/>
        <w:bottom w:val="none" w:sz="0" w:space="0" w:color="auto"/>
        <w:right w:val="none" w:sz="0" w:space="0" w:color="auto"/>
      </w:divBdr>
    </w:div>
    <w:div w:id="1555042819">
      <w:bodyDiv w:val="1"/>
      <w:marLeft w:val="0"/>
      <w:marRight w:val="0"/>
      <w:marTop w:val="0"/>
      <w:marBottom w:val="0"/>
      <w:divBdr>
        <w:top w:val="none" w:sz="0" w:space="0" w:color="auto"/>
        <w:left w:val="none" w:sz="0" w:space="0" w:color="auto"/>
        <w:bottom w:val="none" w:sz="0" w:space="0" w:color="auto"/>
        <w:right w:val="none" w:sz="0" w:space="0" w:color="auto"/>
      </w:divBdr>
    </w:div>
    <w:div w:id="1614938588">
      <w:bodyDiv w:val="1"/>
      <w:marLeft w:val="0"/>
      <w:marRight w:val="0"/>
      <w:marTop w:val="0"/>
      <w:marBottom w:val="0"/>
      <w:divBdr>
        <w:top w:val="none" w:sz="0" w:space="0" w:color="auto"/>
        <w:left w:val="none" w:sz="0" w:space="0" w:color="auto"/>
        <w:bottom w:val="none" w:sz="0" w:space="0" w:color="auto"/>
        <w:right w:val="none" w:sz="0" w:space="0" w:color="auto"/>
      </w:divBdr>
    </w:div>
    <w:div w:id="1754351836">
      <w:bodyDiv w:val="1"/>
      <w:marLeft w:val="0"/>
      <w:marRight w:val="0"/>
      <w:marTop w:val="0"/>
      <w:marBottom w:val="0"/>
      <w:divBdr>
        <w:top w:val="none" w:sz="0" w:space="0" w:color="auto"/>
        <w:left w:val="none" w:sz="0" w:space="0" w:color="auto"/>
        <w:bottom w:val="none" w:sz="0" w:space="0" w:color="auto"/>
        <w:right w:val="none" w:sz="0" w:space="0" w:color="auto"/>
      </w:divBdr>
    </w:div>
    <w:div w:id="17728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2CE-1A8F-4A62-8973-CF28181D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1343</Words>
  <Characters>7660</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Ciochină Elena</dc:creator>
  <cp:keywords/>
  <dc:description/>
  <cp:lastModifiedBy>Caraman Tatiana</cp:lastModifiedBy>
  <cp:revision>14</cp:revision>
  <cp:lastPrinted>2020-07-29T11:41:00Z</cp:lastPrinted>
  <dcterms:created xsi:type="dcterms:W3CDTF">2020-07-28T15:04:00Z</dcterms:created>
  <dcterms:modified xsi:type="dcterms:W3CDTF">2020-07-30T12:41:00Z</dcterms:modified>
</cp:coreProperties>
</file>