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50DAB" w14:textId="77777777" w:rsidR="006E4771" w:rsidRPr="001360C9" w:rsidRDefault="006E4771" w:rsidP="006E4771">
      <w:pPr>
        <w:tabs>
          <w:tab w:val="left" w:pos="720"/>
        </w:tabs>
        <w:spacing w:after="0" w:line="240" w:lineRule="auto"/>
        <w:jc w:val="right"/>
        <w:rPr>
          <w:rFonts w:asciiTheme="majorHAnsi" w:hAnsiTheme="majorHAnsi" w:cstheme="majorHAnsi"/>
          <w:bCs/>
          <w:sz w:val="28"/>
          <w:szCs w:val="28"/>
          <w:lang w:val="ro-MD"/>
        </w:rPr>
      </w:pPr>
    </w:p>
    <w:p w14:paraId="7E0A31C2" w14:textId="77777777" w:rsidR="006E4771" w:rsidRPr="001360C9" w:rsidRDefault="006E4771" w:rsidP="006E4771">
      <w:pPr>
        <w:tabs>
          <w:tab w:val="left" w:pos="720"/>
        </w:tabs>
        <w:spacing w:after="0" w:line="240" w:lineRule="auto"/>
        <w:jc w:val="right"/>
        <w:rPr>
          <w:rFonts w:asciiTheme="majorHAnsi" w:hAnsiTheme="majorHAnsi" w:cstheme="majorHAnsi"/>
          <w:bCs/>
          <w:sz w:val="28"/>
          <w:szCs w:val="28"/>
          <w:lang w:val="ro-MD"/>
        </w:rPr>
      </w:pPr>
      <w:r w:rsidRPr="001360C9">
        <w:rPr>
          <w:rFonts w:asciiTheme="majorHAnsi" w:hAnsiTheme="majorHAnsi" w:cstheme="majorHAnsi"/>
          <w:bCs/>
          <w:sz w:val="28"/>
          <w:szCs w:val="28"/>
          <w:lang w:val="ro-MD"/>
        </w:rPr>
        <w:t>Anex</w:t>
      </w:r>
      <w:r w:rsidR="00AC2543" w:rsidRPr="001360C9">
        <w:rPr>
          <w:rFonts w:asciiTheme="majorHAnsi" w:hAnsiTheme="majorHAnsi" w:cstheme="majorHAnsi"/>
          <w:bCs/>
          <w:sz w:val="28"/>
          <w:szCs w:val="28"/>
          <w:lang w:val="ro-MD"/>
        </w:rPr>
        <w:t>ă</w:t>
      </w:r>
    </w:p>
    <w:p w14:paraId="6823DB1B" w14:textId="77777777" w:rsidR="006E4771" w:rsidRPr="001360C9" w:rsidRDefault="006E4771" w:rsidP="006E4771">
      <w:pPr>
        <w:tabs>
          <w:tab w:val="left" w:pos="720"/>
        </w:tabs>
        <w:spacing w:after="0" w:line="240" w:lineRule="auto"/>
        <w:jc w:val="right"/>
        <w:rPr>
          <w:rFonts w:asciiTheme="majorHAnsi" w:hAnsiTheme="majorHAnsi" w:cstheme="majorHAnsi"/>
          <w:bCs/>
          <w:sz w:val="28"/>
          <w:szCs w:val="28"/>
          <w:lang w:val="ro-MD"/>
        </w:rPr>
      </w:pPr>
      <w:r w:rsidRPr="001360C9">
        <w:rPr>
          <w:rFonts w:asciiTheme="majorHAnsi" w:hAnsiTheme="majorHAnsi" w:cstheme="majorHAnsi"/>
          <w:bCs/>
          <w:sz w:val="28"/>
          <w:szCs w:val="28"/>
          <w:lang w:val="ro-MD"/>
        </w:rPr>
        <w:t xml:space="preserve">la Hotărârea Curții de Conturi </w:t>
      </w:r>
    </w:p>
    <w:p w14:paraId="42998FEC" w14:textId="4D409C12" w:rsidR="006E4771" w:rsidRPr="001360C9" w:rsidRDefault="00E02CD8" w:rsidP="006E4771">
      <w:pPr>
        <w:tabs>
          <w:tab w:val="left" w:pos="720"/>
        </w:tabs>
        <w:spacing w:after="0" w:line="240" w:lineRule="auto"/>
        <w:jc w:val="right"/>
        <w:rPr>
          <w:rFonts w:asciiTheme="majorHAnsi" w:hAnsiTheme="majorHAnsi" w:cstheme="majorHAnsi"/>
          <w:bCs/>
          <w:color w:val="1F4E79" w:themeColor="accent1" w:themeShade="80"/>
          <w:sz w:val="28"/>
          <w:szCs w:val="28"/>
          <w:lang w:val="ro-MD"/>
        </w:rPr>
      </w:pPr>
      <w:r>
        <w:rPr>
          <w:rFonts w:asciiTheme="majorHAnsi" w:hAnsiTheme="majorHAnsi" w:cstheme="majorHAnsi"/>
          <w:bCs/>
          <w:sz w:val="28"/>
          <w:szCs w:val="28"/>
          <w:lang w:val="ro-MD"/>
        </w:rPr>
        <w:t>nr. 45</w:t>
      </w:r>
      <w:r w:rsidR="003F34F8" w:rsidRPr="001360C9">
        <w:rPr>
          <w:rFonts w:asciiTheme="majorHAnsi" w:hAnsiTheme="majorHAnsi" w:cstheme="majorHAnsi"/>
          <w:bCs/>
          <w:sz w:val="28"/>
          <w:szCs w:val="28"/>
          <w:lang w:val="ro-MD"/>
        </w:rPr>
        <w:t xml:space="preserve"> din</w:t>
      </w:r>
      <w:r w:rsidR="006E4771" w:rsidRPr="001360C9">
        <w:rPr>
          <w:rFonts w:asciiTheme="majorHAnsi" w:hAnsiTheme="majorHAnsi" w:cstheme="majorHAnsi"/>
          <w:bCs/>
          <w:sz w:val="28"/>
          <w:szCs w:val="28"/>
          <w:lang w:val="ro-MD"/>
        </w:rPr>
        <w:t xml:space="preserve"> </w:t>
      </w:r>
      <w:r w:rsidR="00E24838" w:rsidRPr="001360C9">
        <w:rPr>
          <w:rFonts w:asciiTheme="majorHAnsi" w:hAnsiTheme="majorHAnsi" w:cstheme="majorHAnsi"/>
          <w:bCs/>
          <w:sz w:val="28"/>
          <w:szCs w:val="28"/>
          <w:lang w:val="ro-MD"/>
        </w:rPr>
        <w:t>28</w:t>
      </w:r>
      <w:r w:rsidR="006701D6" w:rsidRPr="001360C9">
        <w:rPr>
          <w:rFonts w:asciiTheme="majorHAnsi" w:hAnsiTheme="majorHAnsi" w:cstheme="majorHAnsi"/>
          <w:bCs/>
          <w:sz w:val="28"/>
          <w:szCs w:val="28"/>
          <w:lang w:val="ro-MD"/>
        </w:rPr>
        <w:t>.05.2019</w:t>
      </w:r>
    </w:p>
    <w:p w14:paraId="183326E8" w14:textId="77777777" w:rsidR="006E4771" w:rsidRPr="001360C9" w:rsidRDefault="006E4771" w:rsidP="006E4771">
      <w:pPr>
        <w:spacing w:after="0" w:line="240" w:lineRule="auto"/>
        <w:rPr>
          <w:rFonts w:asciiTheme="majorHAnsi" w:hAnsiTheme="majorHAnsi" w:cstheme="majorHAnsi"/>
          <w:sz w:val="28"/>
          <w:szCs w:val="28"/>
          <w:lang w:val="ro-MD"/>
        </w:rPr>
      </w:pPr>
    </w:p>
    <w:p w14:paraId="7D684168" w14:textId="77777777" w:rsidR="006E4771" w:rsidRPr="001360C9" w:rsidRDefault="006E4771" w:rsidP="006E4771">
      <w:pPr>
        <w:spacing w:after="0" w:line="240" w:lineRule="auto"/>
        <w:rPr>
          <w:rFonts w:asciiTheme="majorHAnsi" w:hAnsiTheme="majorHAnsi" w:cstheme="majorHAnsi"/>
          <w:sz w:val="28"/>
          <w:szCs w:val="28"/>
          <w:lang w:val="ro-MD"/>
        </w:rPr>
      </w:pPr>
    </w:p>
    <w:p w14:paraId="23A23CA7" w14:textId="77777777" w:rsidR="006E4771" w:rsidRPr="001360C9" w:rsidRDefault="006E4771" w:rsidP="006E4771">
      <w:pPr>
        <w:spacing w:after="0" w:line="240" w:lineRule="auto"/>
        <w:rPr>
          <w:rFonts w:asciiTheme="majorHAnsi" w:hAnsiTheme="majorHAnsi" w:cstheme="majorHAnsi"/>
          <w:sz w:val="28"/>
          <w:szCs w:val="28"/>
          <w:lang w:val="ro-MD"/>
        </w:rPr>
      </w:pPr>
      <w:r w:rsidRPr="00775266">
        <w:rPr>
          <w:rFonts w:asciiTheme="majorHAnsi" w:hAnsiTheme="majorHAnsi" w:cstheme="majorHAnsi"/>
          <w:noProof/>
          <w:sz w:val="28"/>
          <w:szCs w:val="28"/>
          <w:lang w:val="ru-RU" w:eastAsia="ru-RU"/>
        </w:rPr>
        <w:drawing>
          <wp:anchor distT="0" distB="0" distL="114300" distR="114300" simplePos="0" relativeHeight="251660288" behindDoc="0" locked="0" layoutInCell="1" allowOverlap="1" wp14:anchorId="278EEBC1" wp14:editId="30F7215B">
            <wp:simplePos x="0" y="0"/>
            <wp:positionH relativeFrom="column">
              <wp:posOffset>9525</wp:posOffset>
            </wp:positionH>
            <wp:positionV relativeFrom="page">
              <wp:posOffset>2550160</wp:posOffset>
            </wp:positionV>
            <wp:extent cx="941832" cy="941832"/>
            <wp:effectExtent l="0" t="0" r="0" b="0"/>
            <wp:wrapSquare wrapText="bothSides"/>
            <wp:docPr id="64" name="Picture 64"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83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FD8E8A" w14:textId="77777777" w:rsidR="006E4771" w:rsidRPr="001360C9" w:rsidRDefault="006E4771" w:rsidP="006E4771">
      <w:pPr>
        <w:spacing w:after="0" w:line="240" w:lineRule="auto"/>
        <w:rPr>
          <w:rFonts w:asciiTheme="majorHAnsi" w:hAnsiTheme="majorHAnsi" w:cstheme="majorHAnsi"/>
          <w:sz w:val="28"/>
          <w:szCs w:val="28"/>
          <w:lang w:val="ro-MD"/>
        </w:rPr>
      </w:pPr>
    </w:p>
    <w:p w14:paraId="1751FCA2" w14:textId="77777777" w:rsidR="006E4771" w:rsidRPr="001360C9" w:rsidRDefault="006E4771" w:rsidP="006E4771">
      <w:pPr>
        <w:spacing w:after="0" w:line="240" w:lineRule="auto"/>
        <w:jc w:val="center"/>
        <w:rPr>
          <w:rFonts w:asciiTheme="majorHAnsi" w:hAnsiTheme="majorHAnsi" w:cstheme="majorHAnsi"/>
          <w:b/>
          <w:sz w:val="28"/>
          <w:szCs w:val="28"/>
          <w:lang w:val="ro-MD"/>
        </w:rPr>
      </w:pPr>
      <w:r w:rsidRPr="001360C9">
        <w:rPr>
          <w:rFonts w:asciiTheme="majorHAnsi" w:hAnsiTheme="majorHAnsi" w:cstheme="majorHAnsi"/>
          <w:b/>
          <w:sz w:val="28"/>
          <w:szCs w:val="28"/>
          <w:lang w:val="ro-MD"/>
        </w:rPr>
        <w:t>CURTEA DE CONTURI A REPUBLICII MOLDOVA</w:t>
      </w:r>
    </w:p>
    <w:p w14:paraId="3F5584AE" w14:textId="77777777" w:rsidR="006E4771" w:rsidRPr="001360C9" w:rsidRDefault="006E4771" w:rsidP="006E4771">
      <w:pPr>
        <w:spacing w:after="0" w:line="240" w:lineRule="auto"/>
        <w:rPr>
          <w:rFonts w:asciiTheme="majorHAnsi" w:hAnsiTheme="majorHAnsi" w:cstheme="majorHAnsi"/>
          <w:sz w:val="28"/>
          <w:szCs w:val="28"/>
          <w:lang w:val="ro-MD"/>
        </w:rPr>
      </w:pPr>
    </w:p>
    <w:p w14:paraId="4ECFD908" w14:textId="77777777" w:rsidR="006E4771" w:rsidRPr="001360C9" w:rsidRDefault="006E4771" w:rsidP="006E4771">
      <w:pPr>
        <w:tabs>
          <w:tab w:val="left" w:pos="720"/>
        </w:tabs>
        <w:spacing w:after="0" w:line="240" w:lineRule="auto"/>
        <w:jc w:val="right"/>
        <w:rPr>
          <w:rFonts w:asciiTheme="majorHAnsi" w:hAnsiTheme="majorHAnsi" w:cstheme="majorHAnsi"/>
          <w:b/>
          <w:bCs/>
          <w:color w:val="1F4E79" w:themeColor="accent1" w:themeShade="80"/>
          <w:sz w:val="28"/>
          <w:szCs w:val="28"/>
          <w:lang w:val="ro-MD"/>
        </w:rPr>
      </w:pPr>
    </w:p>
    <w:tbl>
      <w:tblPr>
        <w:tblStyle w:val="af9"/>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E4771" w:rsidRPr="00775266" w14:paraId="427796C8" w14:textId="77777777" w:rsidTr="00DB2609">
        <w:trPr>
          <w:trHeight w:val="435"/>
        </w:trPr>
        <w:tc>
          <w:tcPr>
            <w:tcW w:w="9350" w:type="dxa"/>
          </w:tcPr>
          <w:p w14:paraId="16C5EF3C" w14:textId="6B770290" w:rsidR="006E4771" w:rsidRPr="001360C9" w:rsidRDefault="006E4771" w:rsidP="00BA4290">
            <w:pPr>
              <w:tabs>
                <w:tab w:val="left" w:pos="720"/>
              </w:tabs>
              <w:jc w:val="center"/>
              <w:rPr>
                <w:rFonts w:asciiTheme="majorHAnsi" w:hAnsiTheme="majorHAnsi" w:cstheme="majorHAnsi"/>
                <w:b/>
                <w:color w:val="0563C1"/>
                <w:sz w:val="24"/>
                <w:szCs w:val="24"/>
                <w:u w:val="single"/>
                <w:lang w:val="ro-MD"/>
              </w:rPr>
            </w:pPr>
            <w:r w:rsidRPr="001360C9">
              <w:rPr>
                <w:rFonts w:asciiTheme="majorHAnsi" w:hAnsiTheme="majorHAnsi" w:cstheme="majorHAnsi"/>
                <w:sz w:val="24"/>
                <w:szCs w:val="24"/>
                <w:lang w:val="ro-MD"/>
              </w:rPr>
              <w:t xml:space="preserve">MD-2001, mun. Chișinău, bd. </w:t>
            </w:r>
            <w:proofErr w:type="spellStart"/>
            <w:r w:rsidRPr="001360C9">
              <w:rPr>
                <w:rFonts w:asciiTheme="majorHAnsi" w:hAnsiTheme="majorHAnsi" w:cstheme="majorHAnsi"/>
                <w:sz w:val="24"/>
                <w:szCs w:val="24"/>
                <w:lang w:val="ro-MD"/>
              </w:rPr>
              <w:t>Ştefan</w:t>
            </w:r>
            <w:proofErr w:type="spellEnd"/>
            <w:r w:rsidRPr="001360C9">
              <w:rPr>
                <w:rFonts w:asciiTheme="majorHAnsi" w:hAnsiTheme="majorHAnsi" w:cstheme="majorHAnsi"/>
                <w:sz w:val="24"/>
                <w:szCs w:val="24"/>
                <w:lang w:val="ro-MD"/>
              </w:rPr>
              <w:t xml:space="preserve"> cel Mare și Sf</w:t>
            </w:r>
            <w:r w:rsidR="00D02B96">
              <w:rPr>
                <w:rFonts w:asciiTheme="majorHAnsi" w:hAnsiTheme="majorHAnsi" w:cstheme="majorHAnsi"/>
                <w:sz w:val="24"/>
                <w:szCs w:val="24"/>
                <w:lang w:val="ro-MD"/>
              </w:rPr>
              <w:t>â</w:t>
            </w:r>
            <w:r w:rsidRPr="001360C9">
              <w:rPr>
                <w:rFonts w:asciiTheme="majorHAnsi" w:hAnsiTheme="majorHAnsi" w:cstheme="majorHAnsi"/>
                <w:sz w:val="24"/>
                <w:szCs w:val="24"/>
                <w:lang w:val="ro-MD"/>
              </w:rPr>
              <w:t xml:space="preserve">nt,69, tel.: (+373) 22 23 25 79, fax: (+373) 22 23 30 20, </w:t>
            </w:r>
            <w:hyperlink r:id="rId9" w:history="1">
              <w:r w:rsidRPr="001360C9">
                <w:rPr>
                  <w:rStyle w:val="a3"/>
                  <w:rFonts w:asciiTheme="majorHAnsi" w:hAnsiTheme="majorHAnsi" w:cstheme="majorHAnsi"/>
                  <w:b/>
                  <w:sz w:val="24"/>
                  <w:szCs w:val="24"/>
                  <w:lang w:val="ro-MD"/>
                </w:rPr>
                <w:t>www.ccrm.md</w:t>
              </w:r>
            </w:hyperlink>
            <w:r w:rsidR="00BA4290" w:rsidRPr="001360C9">
              <w:rPr>
                <w:rStyle w:val="a3"/>
                <w:rFonts w:asciiTheme="majorHAnsi" w:hAnsiTheme="majorHAnsi" w:cstheme="majorHAnsi"/>
                <w:b/>
                <w:sz w:val="24"/>
                <w:szCs w:val="24"/>
                <w:lang w:val="ro-MD"/>
              </w:rPr>
              <w:t xml:space="preserve">; </w:t>
            </w:r>
            <w:r w:rsidRPr="001360C9">
              <w:rPr>
                <w:rFonts w:asciiTheme="majorHAnsi" w:hAnsiTheme="majorHAnsi" w:cstheme="majorHAnsi"/>
                <w:sz w:val="24"/>
                <w:szCs w:val="24"/>
                <w:lang w:val="ro-MD"/>
              </w:rPr>
              <w:t xml:space="preserve">e-mail: </w:t>
            </w:r>
            <w:hyperlink r:id="rId10" w:history="1">
              <w:r w:rsidRPr="001360C9">
                <w:rPr>
                  <w:rStyle w:val="a3"/>
                  <w:rFonts w:asciiTheme="majorHAnsi" w:hAnsiTheme="majorHAnsi" w:cstheme="majorHAnsi"/>
                  <w:b/>
                  <w:sz w:val="24"/>
                  <w:szCs w:val="24"/>
                  <w:lang w:val="ro-MD"/>
                </w:rPr>
                <w:t>ccrm@ccrm.md</w:t>
              </w:r>
            </w:hyperlink>
          </w:p>
        </w:tc>
      </w:tr>
    </w:tbl>
    <w:p w14:paraId="00E0432A" w14:textId="77777777" w:rsidR="006E4771" w:rsidRPr="001360C9" w:rsidRDefault="006E4771" w:rsidP="006E4771">
      <w:pPr>
        <w:tabs>
          <w:tab w:val="left" w:pos="720"/>
        </w:tabs>
        <w:spacing w:after="0" w:line="240" w:lineRule="auto"/>
        <w:jc w:val="right"/>
        <w:rPr>
          <w:rFonts w:asciiTheme="majorHAnsi" w:hAnsiTheme="majorHAnsi" w:cstheme="majorHAnsi"/>
          <w:b/>
          <w:bCs/>
          <w:color w:val="1F4E79" w:themeColor="accent1" w:themeShade="80"/>
          <w:sz w:val="28"/>
          <w:szCs w:val="28"/>
          <w:lang w:val="ro-MD"/>
        </w:rPr>
      </w:pPr>
    </w:p>
    <w:p w14:paraId="367D40D4" w14:textId="77777777" w:rsidR="006E4771" w:rsidRPr="001360C9" w:rsidRDefault="006E4771" w:rsidP="006E4771">
      <w:pPr>
        <w:tabs>
          <w:tab w:val="left" w:pos="720"/>
        </w:tabs>
        <w:spacing w:after="0" w:line="240" w:lineRule="auto"/>
        <w:jc w:val="right"/>
        <w:rPr>
          <w:rFonts w:asciiTheme="majorHAnsi" w:hAnsiTheme="majorHAnsi" w:cstheme="majorHAnsi"/>
          <w:b/>
          <w:bCs/>
          <w:color w:val="1F4E79" w:themeColor="accent1" w:themeShade="80"/>
          <w:sz w:val="28"/>
          <w:szCs w:val="28"/>
          <w:lang w:val="ro-MD"/>
        </w:rPr>
      </w:pPr>
    </w:p>
    <w:p w14:paraId="7E2CE30C" w14:textId="77777777" w:rsidR="006E4771" w:rsidRPr="001360C9" w:rsidRDefault="006E4771" w:rsidP="006E4771">
      <w:pPr>
        <w:tabs>
          <w:tab w:val="left" w:pos="720"/>
        </w:tabs>
        <w:spacing w:after="0" w:line="240" w:lineRule="auto"/>
        <w:jc w:val="right"/>
        <w:rPr>
          <w:rFonts w:asciiTheme="majorHAnsi" w:hAnsiTheme="majorHAnsi" w:cstheme="majorHAnsi"/>
          <w:b/>
          <w:bCs/>
          <w:color w:val="1F4E79" w:themeColor="accent1" w:themeShade="80"/>
          <w:sz w:val="28"/>
          <w:szCs w:val="28"/>
          <w:lang w:val="ro-MD"/>
        </w:rPr>
      </w:pPr>
    </w:p>
    <w:p w14:paraId="1B0F4D74" w14:textId="77777777" w:rsidR="006E4771" w:rsidRPr="001360C9" w:rsidRDefault="006E4771" w:rsidP="006E4771">
      <w:pPr>
        <w:tabs>
          <w:tab w:val="left" w:pos="720"/>
        </w:tabs>
        <w:spacing w:after="0" w:line="240" w:lineRule="auto"/>
        <w:jc w:val="right"/>
        <w:rPr>
          <w:rFonts w:asciiTheme="majorHAnsi" w:hAnsiTheme="majorHAnsi" w:cstheme="majorHAnsi"/>
          <w:b/>
          <w:bCs/>
          <w:color w:val="1F4E79" w:themeColor="accent1" w:themeShade="80"/>
          <w:sz w:val="28"/>
          <w:szCs w:val="28"/>
          <w:lang w:val="ro-MD"/>
        </w:rPr>
      </w:pPr>
    </w:p>
    <w:p w14:paraId="351B2BFD" w14:textId="77777777" w:rsidR="006E4771" w:rsidRPr="001360C9" w:rsidRDefault="006E4771" w:rsidP="006E4771">
      <w:pPr>
        <w:tabs>
          <w:tab w:val="left" w:pos="720"/>
        </w:tabs>
        <w:spacing w:after="0" w:line="240" w:lineRule="auto"/>
        <w:jc w:val="right"/>
        <w:rPr>
          <w:rFonts w:asciiTheme="majorHAnsi" w:hAnsiTheme="majorHAnsi" w:cstheme="majorHAnsi"/>
          <w:b/>
          <w:bCs/>
          <w:color w:val="1F4E79" w:themeColor="accent1" w:themeShade="80"/>
          <w:sz w:val="28"/>
          <w:szCs w:val="28"/>
          <w:lang w:val="ro-MD"/>
        </w:rPr>
      </w:pPr>
    </w:p>
    <w:p w14:paraId="6E73625F" w14:textId="77777777" w:rsidR="006E4771" w:rsidRPr="001360C9" w:rsidRDefault="006E4771" w:rsidP="006E4771">
      <w:pPr>
        <w:tabs>
          <w:tab w:val="left" w:pos="720"/>
        </w:tabs>
        <w:spacing w:after="0" w:line="240" w:lineRule="auto"/>
        <w:jc w:val="center"/>
        <w:rPr>
          <w:rFonts w:asciiTheme="majorHAnsi" w:hAnsiTheme="majorHAnsi" w:cstheme="majorHAnsi"/>
          <w:b/>
          <w:bCs/>
          <w:color w:val="1F4E79" w:themeColor="accent1" w:themeShade="80"/>
          <w:sz w:val="28"/>
          <w:szCs w:val="28"/>
          <w:lang w:val="ro-MD"/>
        </w:rPr>
      </w:pPr>
    </w:p>
    <w:p w14:paraId="5B91D211" w14:textId="77777777" w:rsidR="006E4771" w:rsidRPr="00775266" w:rsidRDefault="006E4771" w:rsidP="006E4771">
      <w:pPr>
        <w:tabs>
          <w:tab w:val="left" w:pos="720"/>
        </w:tabs>
        <w:spacing w:after="0" w:line="360" w:lineRule="auto"/>
        <w:jc w:val="center"/>
        <w:rPr>
          <w:rFonts w:asciiTheme="majorHAnsi" w:hAnsiTheme="majorHAnsi" w:cstheme="majorHAnsi"/>
          <w:b/>
          <w:bCs/>
          <w:sz w:val="28"/>
          <w:szCs w:val="28"/>
          <w:lang w:val="ro-RO"/>
        </w:rPr>
      </w:pPr>
    </w:p>
    <w:p w14:paraId="0434C440" w14:textId="77777777" w:rsidR="006E4771" w:rsidRPr="00775266" w:rsidRDefault="006E4771" w:rsidP="006E4771">
      <w:pPr>
        <w:tabs>
          <w:tab w:val="left" w:pos="720"/>
        </w:tabs>
        <w:spacing w:after="0" w:line="360" w:lineRule="auto"/>
        <w:jc w:val="center"/>
        <w:rPr>
          <w:rFonts w:asciiTheme="majorHAnsi" w:hAnsiTheme="majorHAnsi" w:cstheme="majorHAnsi"/>
          <w:b/>
          <w:bCs/>
          <w:sz w:val="28"/>
          <w:szCs w:val="28"/>
          <w:lang w:val="ro-RO"/>
        </w:rPr>
      </w:pPr>
      <w:r w:rsidRPr="00775266">
        <w:rPr>
          <w:rFonts w:asciiTheme="majorHAnsi" w:hAnsiTheme="majorHAnsi" w:cstheme="majorHAnsi"/>
          <w:b/>
          <w:bCs/>
          <w:sz w:val="28"/>
          <w:szCs w:val="28"/>
          <w:lang w:val="ro-RO"/>
        </w:rPr>
        <w:t>RAPORTUL</w:t>
      </w:r>
    </w:p>
    <w:p w14:paraId="77597834" w14:textId="77777777" w:rsidR="006E4771" w:rsidRPr="00775266" w:rsidRDefault="006E4771" w:rsidP="006E4771">
      <w:pPr>
        <w:spacing w:after="0" w:line="360" w:lineRule="auto"/>
        <w:jc w:val="center"/>
        <w:rPr>
          <w:rFonts w:asciiTheme="majorHAnsi" w:hAnsiTheme="majorHAnsi" w:cstheme="majorHAnsi"/>
          <w:b/>
          <w:bCs/>
          <w:sz w:val="28"/>
          <w:szCs w:val="28"/>
          <w:lang w:val="ro-RO"/>
        </w:rPr>
      </w:pPr>
      <w:r w:rsidRPr="00775266">
        <w:rPr>
          <w:rFonts w:asciiTheme="majorHAnsi" w:hAnsiTheme="majorHAnsi" w:cstheme="majorHAnsi"/>
          <w:b/>
          <w:bCs/>
          <w:sz w:val="28"/>
          <w:szCs w:val="28"/>
          <w:lang w:val="ro-RO"/>
        </w:rPr>
        <w:t>auditului performanț</w:t>
      </w:r>
      <w:r w:rsidR="00F7764F" w:rsidRPr="00775266">
        <w:rPr>
          <w:rFonts w:asciiTheme="majorHAnsi" w:hAnsiTheme="majorHAnsi" w:cstheme="majorHAnsi"/>
          <w:b/>
          <w:bCs/>
          <w:sz w:val="28"/>
          <w:szCs w:val="28"/>
          <w:lang w:val="ro-RO"/>
        </w:rPr>
        <w:t>ei</w:t>
      </w:r>
    </w:p>
    <w:p w14:paraId="3E65627E" w14:textId="77777777" w:rsidR="006E4771" w:rsidRPr="00775266" w:rsidRDefault="006E4771" w:rsidP="006E4771">
      <w:pPr>
        <w:spacing w:after="0" w:line="360" w:lineRule="auto"/>
        <w:jc w:val="center"/>
        <w:rPr>
          <w:rFonts w:asciiTheme="majorHAnsi" w:hAnsiTheme="majorHAnsi" w:cstheme="majorHAnsi"/>
          <w:b/>
          <w:bCs/>
          <w:sz w:val="28"/>
          <w:szCs w:val="28"/>
          <w:lang w:val="ro-RO"/>
        </w:rPr>
      </w:pPr>
      <w:r w:rsidRPr="00775266">
        <w:rPr>
          <w:rFonts w:asciiTheme="majorHAnsi" w:hAnsiTheme="majorHAnsi" w:cstheme="majorHAnsi"/>
          <w:b/>
          <w:bCs/>
          <w:sz w:val="28"/>
          <w:szCs w:val="28"/>
          <w:lang w:val="ro-RO"/>
        </w:rPr>
        <w:t xml:space="preserve"> managementului datoriei </w:t>
      </w:r>
      <w:r w:rsidR="006701D6" w:rsidRPr="00775266">
        <w:rPr>
          <w:rFonts w:asciiTheme="majorHAnsi" w:hAnsiTheme="majorHAnsi" w:cstheme="majorHAnsi"/>
          <w:b/>
          <w:bCs/>
          <w:sz w:val="28"/>
          <w:szCs w:val="28"/>
          <w:lang w:val="ro-RO"/>
        </w:rPr>
        <w:t>de stat, garanțiilor de stat și recreditării de stat</w:t>
      </w:r>
    </w:p>
    <w:p w14:paraId="52806280" w14:textId="77777777" w:rsidR="006E4771" w:rsidRPr="00775266" w:rsidRDefault="006701D6" w:rsidP="006E4771">
      <w:pPr>
        <w:spacing w:after="0" w:line="360" w:lineRule="auto"/>
        <w:jc w:val="center"/>
        <w:rPr>
          <w:rFonts w:asciiTheme="majorHAnsi" w:hAnsiTheme="majorHAnsi" w:cstheme="majorHAnsi"/>
          <w:b/>
          <w:bCs/>
          <w:sz w:val="28"/>
          <w:szCs w:val="28"/>
          <w:lang w:val="ro-RO"/>
        </w:rPr>
      </w:pPr>
      <w:r w:rsidRPr="00775266">
        <w:rPr>
          <w:rFonts w:asciiTheme="majorHAnsi" w:hAnsiTheme="majorHAnsi" w:cstheme="majorHAnsi"/>
          <w:b/>
          <w:bCs/>
          <w:sz w:val="28"/>
          <w:szCs w:val="28"/>
          <w:lang w:val="ro-RO"/>
        </w:rPr>
        <w:t>pe anul 2018</w:t>
      </w:r>
    </w:p>
    <w:p w14:paraId="224FA377" w14:textId="77777777" w:rsidR="006E4771" w:rsidRPr="00775266" w:rsidRDefault="006E4771" w:rsidP="006E4771">
      <w:pPr>
        <w:spacing w:after="0" w:line="360" w:lineRule="auto"/>
        <w:jc w:val="center"/>
        <w:rPr>
          <w:rFonts w:asciiTheme="majorHAnsi" w:hAnsiTheme="majorHAnsi" w:cstheme="majorHAnsi"/>
          <w:b/>
          <w:bCs/>
          <w:sz w:val="28"/>
          <w:szCs w:val="28"/>
          <w:lang w:val="ro-RO"/>
        </w:rPr>
      </w:pPr>
    </w:p>
    <w:p w14:paraId="643ED356" w14:textId="77777777" w:rsidR="006E4771" w:rsidRPr="00775266" w:rsidRDefault="006E4771" w:rsidP="006E4771">
      <w:pPr>
        <w:spacing w:after="0" w:line="360" w:lineRule="auto"/>
        <w:jc w:val="center"/>
        <w:rPr>
          <w:rFonts w:asciiTheme="majorHAnsi" w:hAnsiTheme="majorHAnsi" w:cstheme="majorHAnsi"/>
          <w:b/>
          <w:bCs/>
          <w:sz w:val="28"/>
          <w:szCs w:val="28"/>
          <w:lang w:val="ro-RO"/>
        </w:rPr>
      </w:pPr>
    </w:p>
    <w:p w14:paraId="593E728B" w14:textId="77777777" w:rsidR="006E4771" w:rsidRPr="00775266" w:rsidRDefault="006E4771" w:rsidP="006E4771">
      <w:pPr>
        <w:spacing w:after="0" w:line="360" w:lineRule="auto"/>
        <w:jc w:val="center"/>
        <w:rPr>
          <w:rFonts w:asciiTheme="majorHAnsi" w:hAnsiTheme="majorHAnsi" w:cstheme="majorHAnsi"/>
          <w:b/>
          <w:bCs/>
          <w:sz w:val="28"/>
          <w:szCs w:val="28"/>
          <w:lang w:val="ro-RO"/>
        </w:rPr>
      </w:pPr>
    </w:p>
    <w:p w14:paraId="4BBD1257" w14:textId="77777777" w:rsidR="006E4771" w:rsidRPr="00775266" w:rsidRDefault="006E4771" w:rsidP="006E4771">
      <w:pPr>
        <w:spacing w:after="0" w:line="360" w:lineRule="auto"/>
        <w:jc w:val="center"/>
        <w:rPr>
          <w:rFonts w:asciiTheme="majorHAnsi" w:hAnsiTheme="majorHAnsi" w:cstheme="majorHAnsi"/>
          <w:b/>
          <w:bCs/>
          <w:sz w:val="28"/>
          <w:szCs w:val="28"/>
          <w:lang w:val="ro-RO"/>
        </w:rPr>
      </w:pPr>
    </w:p>
    <w:p w14:paraId="2F757743" w14:textId="77777777" w:rsidR="006E4771" w:rsidRPr="00775266" w:rsidRDefault="006E4771" w:rsidP="006E4771">
      <w:pPr>
        <w:spacing w:after="0" w:line="360" w:lineRule="auto"/>
        <w:jc w:val="center"/>
        <w:rPr>
          <w:rFonts w:asciiTheme="majorHAnsi" w:hAnsiTheme="majorHAnsi" w:cstheme="majorHAnsi"/>
          <w:b/>
          <w:bCs/>
          <w:sz w:val="28"/>
          <w:szCs w:val="28"/>
          <w:lang w:val="ro-RO"/>
        </w:rPr>
      </w:pPr>
    </w:p>
    <w:p w14:paraId="486D0F25" w14:textId="77777777" w:rsidR="006E4771" w:rsidRPr="00775266" w:rsidRDefault="006E4771" w:rsidP="006E4771">
      <w:pPr>
        <w:spacing w:after="0" w:line="360" w:lineRule="auto"/>
        <w:jc w:val="center"/>
        <w:rPr>
          <w:rFonts w:asciiTheme="majorHAnsi" w:hAnsiTheme="majorHAnsi" w:cstheme="majorHAnsi"/>
          <w:b/>
          <w:bCs/>
          <w:sz w:val="28"/>
          <w:szCs w:val="28"/>
          <w:lang w:val="ro-RO"/>
        </w:rPr>
      </w:pPr>
    </w:p>
    <w:p w14:paraId="1AEAD510" w14:textId="77777777" w:rsidR="006E4771" w:rsidRPr="00775266" w:rsidRDefault="006E4771" w:rsidP="006E4771">
      <w:pPr>
        <w:spacing w:after="0" w:line="360" w:lineRule="auto"/>
        <w:jc w:val="center"/>
        <w:rPr>
          <w:rFonts w:asciiTheme="majorHAnsi" w:hAnsiTheme="majorHAnsi" w:cstheme="majorHAnsi"/>
          <w:b/>
          <w:bCs/>
          <w:sz w:val="28"/>
          <w:szCs w:val="28"/>
          <w:lang w:val="ro-RO"/>
        </w:rPr>
      </w:pPr>
    </w:p>
    <w:p w14:paraId="3DFC7964" w14:textId="77777777" w:rsidR="0080644A" w:rsidRDefault="0080644A" w:rsidP="0080644A">
      <w:pPr>
        <w:pStyle w:val="11"/>
        <w:ind w:right="-285"/>
        <w:rPr>
          <w:rFonts w:asciiTheme="majorHAnsi" w:hAnsiTheme="majorHAnsi" w:cstheme="majorHAnsi"/>
          <w:b/>
          <w:bCs/>
          <w:sz w:val="28"/>
          <w:szCs w:val="28"/>
          <w:lang w:val="ro-RO"/>
        </w:rPr>
      </w:pPr>
      <w:bookmarkStart w:id="0" w:name="_Toc484003875"/>
    </w:p>
    <w:p w14:paraId="19C9BC1C" w14:textId="77777777" w:rsidR="0080644A" w:rsidRDefault="0080644A" w:rsidP="0080644A">
      <w:pPr>
        <w:pStyle w:val="11"/>
        <w:ind w:right="-285"/>
        <w:rPr>
          <w:rFonts w:asciiTheme="majorHAnsi" w:hAnsiTheme="majorHAnsi" w:cstheme="majorHAnsi"/>
          <w:sz w:val="28"/>
          <w:szCs w:val="28"/>
          <w:lang w:val="ro-RO"/>
        </w:rPr>
      </w:pPr>
    </w:p>
    <w:p w14:paraId="6B423C49" w14:textId="77777777" w:rsidR="0080644A" w:rsidRDefault="0080644A" w:rsidP="0080644A">
      <w:pPr>
        <w:pStyle w:val="11"/>
        <w:ind w:right="-285"/>
        <w:rPr>
          <w:rFonts w:asciiTheme="majorHAnsi" w:hAnsiTheme="majorHAnsi" w:cstheme="majorHAnsi"/>
          <w:sz w:val="28"/>
          <w:szCs w:val="28"/>
          <w:lang w:val="ro-RO"/>
        </w:rPr>
      </w:pPr>
    </w:p>
    <w:sdt>
      <w:sdtPr>
        <w:rPr>
          <w:rFonts w:ascii="Calibri" w:hAnsi="Calibri"/>
          <w:color w:val="auto"/>
          <w:sz w:val="22"/>
          <w:szCs w:val="22"/>
        </w:rPr>
        <w:id w:val="-1433581905"/>
        <w:docPartObj>
          <w:docPartGallery w:val="Table of Contents"/>
          <w:docPartUnique/>
        </w:docPartObj>
      </w:sdtPr>
      <w:sdtEndPr>
        <w:rPr>
          <w:b/>
        </w:rPr>
      </w:sdtEndPr>
      <w:sdtContent>
        <w:p w14:paraId="670FAC9C" w14:textId="77777777" w:rsidR="0080644A" w:rsidRPr="001360C9" w:rsidRDefault="00595F5E" w:rsidP="00595F5E">
          <w:pPr>
            <w:pStyle w:val="af6"/>
            <w:jc w:val="center"/>
            <w:rPr>
              <w:b/>
              <w:color w:val="auto"/>
              <w:lang w:val="ro-MD"/>
            </w:rPr>
          </w:pPr>
          <w:r w:rsidRPr="001360C9">
            <w:rPr>
              <w:b/>
              <w:color w:val="auto"/>
              <w:lang w:val="ro-MD"/>
            </w:rPr>
            <w:t>Cuprins</w:t>
          </w:r>
        </w:p>
        <w:p w14:paraId="6E846911" w14:textId="6F09C128" w:rsidR="00804518" w:rsidRDefault="0080644A">
          <w:pPr>
            <w:pStyle w:val="11"/>
            <w:rPr>
              <w:rFonts w:asciiTheme="minorHAnsi" w:eastAsiaTheme="minorEastAsia" w:hAnsiTheme="minorHAnsi" w:cstheme="minorBidi"/>
              <w:noProof/>
            </w:rPr>
          </w:pPr>
          <w:r w:rsidRPr="001360C9">
            <w:fldChar w:fldCharType="begin"/>
          </w:r>
          <w:r w:rsidRPr="001360C9">
            <w:instrText xml:space="preserve"> TOC \o "1-3" \h \z \u </w:instrText>
          </w:r>
          <w:r w:rsidRPr="001360C9">
            <w:rPr>
              <w:b/>
              <w:bCs/>
              <w:noProof/>
            </w:rPr>
            <w:fldChar w:fldCharType="separate"/>
          </w:r>
          <w:hyperlink w:anchor="_Toc10106673" w:history="1">
            <w:r w:rsidR="00804518" w:rsidRPr="00564BA2">
              <w:rPr>
                <w:rStyle w:val="a3"/>
                <w:rFonts w:asciiTheme="majorHAnsi" w:hAnsiTheme="majorHAnsi" w:cstheme="majorHAnsi"/>
                <w:b/>
                <w:noProof/>
                <w:lang w:val="ro-RO"/>
              </w:rPr>
              <w:t>LISTA ACRONIMELOR</w:t>
            </w:r>
            <w:r w:rsidR="00804518">
              <w:rPr>
                <w:noProof/>
                <w:webHidden/>
              </w:rPr>
              <w:tab/>
            </w:r>
            <w:r w:rsidR="00804518">
              <w:rPr>
                <w:noProof/>
                <w:webHidden/>
              </w:rPr>
              <w:fldChar w:fldCharType="begin"/>
            </w:r>
            <w:r w:rsidR="00804518">
              <w:rPr>
                <w:noProof/>
                <w:webHidden/>
              </w:rPr>
              <w:instrText xml:space="preserve"> PAGEREF _Toc10106673 \h </w:instrText>
            </w:r>
            <w:r w:rsidR="00804518">
              <w:rPr>
                <w:noProof/>
                <w:webHidden/>
              </w:rPr>
            </w:r>
            <w:r w:rsidR="00804518">
              <w:rPr>
                <w:noProof/>
                <w:webHidden/>
              </w:rPr>
              <w:fldChar w:fldCharType="separate"/>
            </w:r>
            <w:r w:rsidR="001F4A70">
              <w:rPr>
                <w:noProof/>
                <w:webHidden/>
              </w:rPr>
              <w:t>3</w:t>
            </w:r>
            <w:r w:rsidR="00804518">
              <w:rPr>
                <w:noProof/>
                <w:webHidden/>
              </w:rPr>
              <w:fldChar w:fldCharType="end"/>
            </w:r>
          </w:hyperlink>
        </w:p>
        <w:p w14:paraId="68BFA204" w14:textId="4430B505" w:rsidR="00804518" w:rsidRDefault="000D4A07">
          <w:pPr>
            <w:pStyle w:val="11"/>
            <w:rPr>
              <w:rFonts w:asciiTheme="minorHAnsi" w:eastAsiaTheme="minorEastAsia" w:hAnsiTheme="minorHAnsi" w:cstheme="minorBidi"/>
              <w:noProof/>
            </w:rPr>
          </w:pPr>
          <w:hyperlink w:anchor="_Toc10106674" w:history="1">
            <w:r w:rsidR="00804518" w:rsidRPr="00564BA2">
              <w:rPr>
                <w:rStyle w:val="a3"/>
                <w:rFonts w:asciiTheme="majorHAnsi" w:hAnsiTheme="majorHAnsi" w:cstheme="majorHAnsi"/>
                <w:b/>
                <w:noProof/>
                <w:lang w:val="ro-RO"/>
              </w:rPr>
              <w:t>GLOSAR</w:t>
            </w:r>
            <w:r w:rsidR="00804518">
              <w:rPr>
                <w:noProof/>
                <w:webHidden/>
              </w:rPr>
              <w:tab/>
            </w:r>
            <w:r w:rsidR="00804518">
              <w:rPr>
                <w:noProof/>
                <w:webHidden/>
              </w:rPr>
              <w:fldChar w:fldCharType="begin"/>
            </w:r>
            <w:r w:rsidR="00804518">
              <w:rPr>
                <w:noProof/>
                <w:webHidden/>
              </w:rPr>
              <w:instrText xml:space="preserve"> PAGEREF _Toc10106674 \h </w:instrText>
            </w:r>
            <w:r w:rsidR="00804518">
              <w:rPr>
                <w:noProof/>
                <w:webHidden/>
              </w:rPr>
            </w:r>
            <w:r w:rsidR="00804518">
              <w:rPr>
                <w:noProof/>
                <w:webHidden/>
              </w:rPr>
              <w:fldChar w:fldCharType="separate"/>
            </w:r>
            <w:r w:rsidR="001F4A70">
              <w:rPr>
                <w:noProof/>
                <w:webHidden/>
              </w:rPr>
              <w:t>4</w:t>
            </w:r>
            <w:r w:rsidR="00804518">
              <w:rPr>
                <w:noProof/>
                <w:webHidden/>
              </w:rPr>
              <w:fldChar w:fldCharType="end"/>
            </w:r>
          </w:hyperlink>
        </w:p>
        <w:p w14:paraId="1AB76293" w14:textId="7C5E6B36" w:rsidR="00804518" w:rsidRDefault="000D4A07">
          <w:pPr>
            <w:pStyle w:val="11"/>
            <w:rPr>
              <w:rFonts w:asciiTheme="minorHAnsi" w:eastAsiaTheme="minorEastAsia" w:hAnsiTheme="minorHAnsi" w:cstheme="minorBidi"/>
              <w:noProof/>
            </w:rPr>
          </w:pPr>
          <w:hyperlink w:anchor="_Toc10106675" w:history="1">
            <w:r w:rsidR="00804518" w:rsidRPr="00564BA2">
              <w:rPr>
                <w:rStyle w:val="a3"/>
                <w:rFonts w:asciiTheme="majorHAnsi" w:hAnsiTheme="majorHAnsi" w:cstheme="majorHAnsi"/>
                <w:b/>
                <w:noProof/>
                <w:lang w:val="ro-RO"/>
              </w:rPr>
              <w:t>I.</w:t>
            </w:r>
            <w:r w:rsidR="00804518">
              <w:rPr>
                <w:rFonts w:asciiTheme="minorHAnsi" w:eastAsiaTheme="minorEastAsia" w:hAnsiTheme="minorHAnsi" w:cstheme="minorBidi"/>
                <w:noProof/>
              </w:rPr>
              <w:tab/>
            </w:r>
            <w:r w:rsidR="00804518" w:rsidRPr="00564BA2">
              <w:rPr>
                <w:rStyle w:val="a3"/>
                <w:rFonts w:asciiTheme="majorHAnsi" w:hAnsiTheme="majorHAnsi" w:cstheme="majorHAnsi"/>
                <w:b/>
                <w:noProof/>
                <w:lang w:val="ro-RO"/>
              </w:rPr>
              <w:t>PREZENTAREA GENERALĂ</w:t>
            </w:r>
            <w:r w:rsidR="00804518">
              <w:rPr>
                <w:noProof/>
                <w:webHidden/>
              </w:rPr>
              <w:tab/>
            </w:r>
            <w:r w:rsidR="00804518">
              <w:rPr>
                <w:noProof/>
                <w:webHidden/>
              </w:rPr>
              <w:fldChar w:fldCharType="begin"/>
            </w:r>
            <w:r w:rsidR="00804518">
              <w:rPr>
                <w:noProof/>
                <w:webHidden/>
              </w:rPr>
              <w:instrText xml:space="preserve"> PAGEREF _Toc10106675 \h </w:instrText>
            </w:r>
            <w:r w:rsidR="00804518">
              <w:rPr>
                <w:noProof/>
                <w:webHidden/>
              </w:rPr>
            </w:r>
            <w:r w:rsidR="00804518">
              <w:rPr>
                <w:noProof/>
                <w:webHidden/>
              </w:rPr>
              <w:fldChar w:fldCharType="separate"/>
            </w:r>
            <w:r w:rsidR="001F4A70">
              <w:rPr>
                <w:noProof/>
                <w:webHidden/>
              </w:rPr>
              <w:t>8</w:t>
            </w:r>
            <w:r w:rsidR="00804518">
              <w:rPr>
                <w:noProof/>
                <w:webHidden/>
              </w:rPr>
              <w:fldChar w:fldCharType="end"/>
            </w:r>
          </w:hyperlink>
        </w:p>
        <w:p w14:paraId="084D6331" w14:textId="436F0750" w:rsidR="00804518" w:rsidRDefault="000D4A07">
          <w:pPr>
            <w:pStyle w:val="11"/>
            <w:rPr>
              <w:rFonts w:asciiTheme="minorHAnsi" w:eastAsiaTheme="minorEastAsia" w:hAnsiTheme="minorHAnsi" w:cstheme="minorBidi"/>
              <w:noProof/>
            </w:rPr>
          </w:pPr>
          <w:hyperlink w:anchor="_Toc10106676" w:history="1">
            <w:r w:rsidR="00804518" w:rsidRPr="00564BA2">
              <w:rPr>
                <w:rStyle w:val="a3"/>
                <w:rFonts w:asciiTheme="majorHAnsi" w:hAnsiTheme="majorHAnsi" w:cstheme="majorHAnsi"/>
                <w:b/>
                <w:noProof/>
                <w:lang w:val="ro-RO"/>
              </w:rPr>
              <w:t>II.</w:t>
            </w:r>
            <w:r w:rsidR="00804518">
              <w:rPr>
                <w:rFonts w:asciiTheme="minorHAnsi" w:eastAsiaTheme="minorEastAsia" w:hAnsiTheme="minorHAnsi" w:cstheme="minorBidi"/>
                <w:noProof/>
              </w:rPr>
              <w:tab/>
            </w:r>
            <w:r w:rsidR="00804518" w:rsidRPr="00564BA2">
              <w:rPr>
                <w:rStyle w:val="a3"/>
                <w:rFonts w:asciiTheme="majorHAnsi" w:hAnsiTheme="majorHAnsi" w:cstheme="majorHAnsi"/>
                <w:b/>
                <w:noProof/>
                <w:lang w:val="ro-RO"/>
              </w:rPr>
              <w:t>SFERA ȘI ABORDAREA AUDITULUI</w:t>
            </w:r>
            <w:r w:rsidR="00804518">
              <w:rPr>
                <w:noProof/>
                <w:webHidden/>
              </w:rPr>
              <w:tab/>
            </w:r>
            <w:r w:rsidR="00804518">
              <w:rPr>
                <w:noProof/>
                <w:webHidden/>
              </w:rPr>
              <w:fldChar w:fldCharType="begin"/>
            </w:r>
            <w:r w:rsidR="00804518">
              <w:rPr>
                <w:noProof/>
                <w:webHidden/>
              </w:rPr>
              <w:instrText xml:space="preserve"> PAGEREF _Toc10106676 \h </w:instrText>
            </w:r>
            <w:r w:rsidR="00804518">
              <w:rPr>
                <w:noProof/>
                <w:webHidden/>
              </w:rPr>
            </w:r>
            <w:r w:rsidR="00804518">
              <w:rPr>
                <w:noProof/>
                <w:webHidden/>
              </w:rPr>
              <w:fldChar w:fldCharType="separate"/>
            </w:r>
            <w:r w:rsidR="001F4A70">
              <w:rPr>
                <w:noProof/>
                <w:webHidden/>
              </w:rPr>
              <w:t>9</w:t>
            </w:r>
            <w:r w:rsidR="00804518">
              <w:rPr>
                <w:noProof/>
                <w:webHidden/>
              </w:rPr>
              <w:fldChar w:fldCharType="end"/>
            </w:r>
          </w:hyperlink>
        </w:p>
        <w:p w14:paraId="1BE314B6" w14:textId="48E8AEB7" w:rsidR="00804518" w:rsidRDefault="000D4A07">
          <w:pPr>
            <w:pStyle w:val="11"/>
            <w:rPr>
              <w:rFonts w:asciiTheme="minorHAnsi" w:eastAsiaTheme="minorEastAsia" w:hAnsiTheme="minorHAnsi" w:cstheme="minorBidi"/>
              <w:noProof/>
            </w:rPr>
          </w:pPr>
          <w:hyperlink w:anchor="_Toc10106677" w:history="1">
            <w:r w:rsidR="00804518" w:rsidRPr="00564BA2">
              <w:rPr>
                <w:rStyle w:val="a3"/>
                <w:rFonts w:asciiTheme="majorHAnsi" w:hAnsiTheme="majorHAnsi" w:cstheme="majorHAnsi"/>
                <w:b/>
                <w:noProof/>
                <w:lang w:val="ro-RO"/>
              </w:rPr>
              <w:t>III. CONSTATĂRI</w:t>
            </w:r>
            <w:r w:rsidR="00804518">
              <w:rPr>
                <w:noProof/>
                <w:webHidden/>
              </w:rPr>
              <w:tab/>
            </w:r>
            <w:r w:rsidR="00804518">
              <w:rPr>
                <w:noProof/>
                <w:webHidden/>
              </w:rPr>
              <w:fldChar w:fldCharType="begin"/>
            </w:r>
            <w:r w:rsidR="00804518">
              <w:rPr>
                <w:noProof/>
                <w:webHidden/>
              </w:rPr>
              <w:instrText xml:space="preserve"> PAGEREF _Toc10106677 \h </w:instrText>
            </w:r>
            <w:r w:rsidR="00804518">
              <w:rPr>
                <w:noProof/>
                <w:webHidden/>
              </w:rPr>
            </w:r>
            <w:r w:rsidR="00804518">
              <w:rPr>
                <w:noProof/>
                <w:webHidden/>
              </w:rPr>
              <w:fldChar w:fldCharType="separate"/>
            </w:r>
            <w:r w:rsidR="001F4A70">
              <w:rPr>
                <w:noProof/>
                <w:webHidden/>
              </w:rPr>
              <w:t>10</w:t>
            </w:r>
            <w:r w:rsidR="00804518">
              <w:rPr>
                <w:noProof/>
                <w:webHidden/>
              </w:rPr>
              <w:fldChar w:fldCharType="end"/>
            </w:r>
          </w:hyperlink>
        </w:p>
        <w:p w14:paraId="719E4FA6" w14:textId="4D44FBF3" w:rsidR="00804518" w:rsidRDefault="000D4A07">
          <w:pPr>
            <w:pStyle w:val="11"/>
            <w:rPr>
              <w:rFonts w:asciiTheme="minorHAnsi" w:eastAsiaTheme="minorEastAsia" w:hAnsiTheme="minorHAnsi" w:cstheme="minorBidi"/>
              <w:noProof/>
            </w:rPr>
          </w:pPr>
          <w:hyperlink w:anchor="_Toc10106678" w:history="1">
            <w:r w:rsidR="00804518" w:rsidRPr="00564BA2">
              <w:rPr>
                <w:rStyle w:val="a3"/>
                <w:rFonts w:asciiTheme="majorHAnsi" w:hAnsiTheme="majorHAnsi" w:cstheme="majorHAnsi"/>
                <w:b/>
                <w:noProof/>
                <w:lang w:val="ro-RO"/>
              </w:rPr>
              <w:t>3.1. Obiectivul specific I. Evaluarea structurii portofoliului datoriei de stat și onorarea obligațiunilor statului privind  deservirea datoriei.</w:t>
            </w:r>
            <w:r w:rsidR="00804518">
              <w:rPr>
                <w:noProof/>
                <w:webHidden/>
              </w:rPr>
              <w:tab/>
            </w:r>
            <w:r w:rsidR="00804518">
              <w:rPr>
                <w:noProof/>
                <w:webHidden/>
              </w:rPr>
              <w:fldChar w:fldCharType="begin"/>
            </w:r>
            <w:r w:rsidR="00804518">
              <w:rPr>
                <w:noProof/>
                <w:webHidden/>
              </w:rPr>
              <w:instrText xml:space="preserve"> PAGEREF _Toc10106678 \h </w:instrText>
            </w:r>
            <w:r w:rsidR="00804518">
              <w:rPr>
                <w:noProof/>
                <w:webHidden/>
              </w:rPr>
            </w:r>
            <w:r w:rsidR="00804518">
              <w:rPr>
                <w:noProof/>
                <w:webHidden/>
              </w:rPr>
              <w:fldChar w:fldCharType="separate"/>
            </w:r>
            <w:r w:rsidR="001F4A70">
              <w:rPr>
                <w:noProof/>
                <w:webHidden/>
              </w:rPr>
              <w:t>10</w:t>
            </w:r>
            <w:r w:rsidR="00804518">
              <w:rPr>
                <w:noProof/>
                <w:webHidden/>
              </w:rPr>
              <w:fldChar w:fldCharType="end"/>
            </w:r>
          </w:hyperlink>
        </w:p>
        <w:p w14:paraId="616282B9" w14:textId="2BFC9B40" w:rsidR="00804518" w:rsidRPr="003D52E6" w:rsidRDefault="000D4A07">
          <w:pPr>
            <w:pStyle w:val="21"/>
            <w:rPr>
              <w:rFonts w:asciiTheme="minorHAnsi" w:eastAsiaTheme="minorEastAsia" w:hAnsiTheme="minorHAnsi" w:cstheme="minorBidi"/>
              <w:lang w:val="en-US"/>
            </w:rPr>
          </w:pPr>
          <w:hyperlink w:anchor="_Toc10106679" w:history="1">
            <w:r w:rsidR="00804518" w:rsidRPr="003D52E6">
              <w:rPr>
                <w:rStyle w:val="a3"/>
                <w:rFonts w:cstheme="majorHAnsi"/>
              </w:rPr>
              <w:t>3.1.1.</w:t>
            </w:r>
            <w:r w:rsidR="00804518" w:rsidRPr="003D52E6">
              <w:rPr>
                <w:rFonts w:asciiTheme="minorHAnsi" w:eastAsiaTheme="minorEastAsia" w:hAnsiTheme="minorHAnsi" w:cstheme="minorBidi"/>
                <w:lang w:val="en-US"/>
              </w:rPr>
              <w:tab/>
            </w:r>
            <w:r w:rsidR="00804518" w:rsidRPr="003D52E6">
              <w:rPr>
                <w:rStyle w:val="a3"/>
                <w:rFonts w:cstheme="majorHAnsi"/>
              </w:rPr>
              <w:t>Soldul datoriei de stat continuă să înregistreze un trend ascendent.</w:t>
            </w:r>
            <w:r w:rsidR="00804518" w:rsidRPr="003D52E6">
              <w:rPr>
                <w:webHidden/>
              </w:rPr>
              <w:tab/>
            </w:r>
            <w:r w:rsidR="00804518" w:rsidRPr="003D52E6">
              <w:rPr>
                <w:webHidden/>
              </w:rPr>
              <w:fldChar w:fldCharType="begin"/>
            </w:r>
            <w:r w:rsidR="00804518" w:rsidRPr="003D52E6">
              <w:rPr>
                <w:webHidden/>
              </w:rPr>
              <w:instrText xml:space="preserve"> PAGEREF _Toc10106679 \h </w:instrText>
            </w:r>
            <w:r w:rsidR="00804518" w:rsidRPr="003D52E6">
              <w:rPr>
                <w:webHidden/>
              </w:rPr>
            </w:r>
            <w:r w:rsidR="00804518" w:rsidRPr="003D52E6">
              <w:rPr>
                <w:webHidden/>
              </w:rPr>
              <w:fldChar w:fldCharType="separate"/>
            </w:r>
            <w:r w:rsidR="001F4A70">
              <w:rPr>
                <w:webHidden/>
              </w:rPr>
              <w:t>10</w:t>
            </w:r>
            <w:r w:rsidR="00804518" w:rsidRPr="003D52E6">
              <w:rPr>
                <w:webHidden/>
              </w:rPr>
              <w:fldChar w:fldCharType="end"/>
            </w:r>
          </w:hyperlink>
        </w:p>
        <w:p w14:paraId="1B3DD0F2" w14:textId="70AB8797" w:rsidR="00804518" w:rsidRPr="003D52E6" w:rsidRDefault="000D4A07">
          <w:pPr>
            <w:pStyle w:val="21"/>
            <w:rPr>
              <w:rFonts w:asciiTheme="minorHAnsi" w:eastAsiaTheme="minorEastAsia" w:hAnsiTheme="minorHAnsi" w:cstheme="minorBidi"/>
              <w:lang w:val="en-US"/>
            </w:rPr>
          </w:pPr>
          <w:hyperlink w:anchor="_Toc10106680" w:history="1">
            <w:r w:rsidR="00804518" w:rsidRPr="003D52E6">
              <w:rPr>
                <w:rStyle w:val="a3"/>
                <w:rFonts w:cstheme="majorHAnsi"/>
              </w:rPr>
              <w:t>3.1.2.</w:t>
            </w:r>
            <w:r w:rsidR="00804518" w:rsidRPr="003D52E6">
              <w:rPr>
                <w:rFonts w:asciiTheme="minorHAnsi" w:eastAsiaTheme="minorEastAsia" w:hAnsiTheme="minorHAnsi" w:cstheme="minorBidi"/>
                <w:lang w:val="en-US"/>
              </w:rPr>
              <w:tab/>
            </w:r>
            <w:r w:rsidR="00804518" w:rsidRPr="003D52E6">
              <w:rPr>
                <w:rStyle w:val="a3"/>
                <w:rFonts w:cstheme="majorHAnsi"/>
              </w:rPr>
              <w:t>Ponderea majoră în portofoliul datoriei de stat o constituie împrumuturile de stat externe.</w:t>
            </w:r>
            <w:r w:rsidR="00804518" w:rsidRPr="003D52E6">
              <w:rPr>
                <w:webHidden/>
              </w:rPr>
              <w:tab/>
            </w:r>
            <w:r w:rsidR="00804518" w:rsidRPr="003D52E6">
              <w:rPr>
                <w:webHidden/>
              </w:rPr>
              <w:fldChar w:fldCharType="begin"/>
            </w:r>
            <w:r w:rsidR="00804518" w:rsidRPr="003D52E6">
              <w:rPr>
                <w:webHidden/>
              </w:rPr>
              <w:instrText xml:space="preserve"> PAGEREF _Toc10106680 \h </w:instrText>
            </w:r>
            <w:r w:rsidR="00804518" w:rsidRPr="003D52E6">
              <w:rPr>
                <w:webHidden/>
              </w:rPr>
            </w:r>
            <w:r w:rsidR="00804518" w:rsidRPr="003D52E6">
              <w:rPr>
                <w:webHidden/>
              </w:rPr>
              <w:fldChar w:fldCharType="separate"/>
            </w:r>
            <w:r w:rsidR="001F4A70">
              <w:rPr>
                <w:webHidden/>
              </w:rPr>
              <w:t>12</w:t>
            </w:r>
            <w:r w:rsidR="00804518" w:rsidRPr="003D52E6">
              <w:rPr>
                <w:webHidden/>
              </w:rPr>
              <w:fldChar w:fldCharType="end"/>
            </w:r>
          </w:hyperlink>
        </w:p>
        <w:p w14:paraId="2D85904F" w14:textId="1089CC71" w:rsidR="00804518" w:rsidRPr="003D52E6" w:rsidRDefault="000D4A07">
          <w:pPr>
            <w:pStyle w:val="21"/>
            <w:rPr>
              <w:rFonts w:asciiTheme="minorHAnsi" w:eastAsiaTheme="minorEastAsia" w:hAnsiTheme="minorHAnsi" w:cstheme="minorBidi"/>
              <w:lang w:val="en-US"/>
            </w:rPr>
          </w:pPr>
          <w:hyperlink w:anchor="_Toc10106681" w:history="1">
            <w:r w:rsidR="00804518" w:rsidRPr="003D52E6">
              <w:rPr>
                <w:rStyle w:val="a3"/>
                <w:rFonts w:cstheme="majorHAnsi"/>
              </w:rPr>
              <w:t>3.1.3.</w:t>
            </w:r>
            <w:r w:rsidR="00804518" w:rsidRPr="003D52E6">
              <w:rPr>
                <w:rFonts w:asciiTheme="minorHAnsi" w:eastAsiaTheme="minorEastAsia" w:hAnsiTheme="minorHAnsi" w:cstheme="minorBidi"/>
                <w:lang w:val="en-US"/>
              </w:rPr>
              <w:tab/>
            </w:r>
            <w:r w:rsidR="00804518" w:rsidRPr="003D52E6">
              <w:rPr>
                <w:rStyle w:val="a3"/>
                <w:rFonts w:cstheme="majorHAnsi"/>
              </w:rPr>
              <w:t>Parametrii de risc și de sustenabilitate ai datoriei de stat s-au încadrat în limitele stabilite.</w:t>
            </w:r>
            <w:r w:rsidR="00804518" w:rsidRPr="003D52E6">
              <w:rPr>
                <w:webHidden/>
              </w:rPr>
              <w:tab/>
            </w:r>
            <w:r w:rsidR="00804518" w:rsidRPr="003D52E6">
              <w:rPr>
                <w:webHidden/>
              </w:rPr>
              <w:fldChar w:fldCharType="begin"/>
            </w:r>
            <w:r w:rsidR="00804518" w:rsidRPr="003D52E6">
              <w:rPr>
                <w:webHidden/>
              </w:rPr>
              <w:instrText xml:space="preserve"> PAGEREF _Toc10106681 \h </w:instrText>
            </w:r>
            <w:r w:rsidR="00804518" w:rsidRPr="003D52E6">
              <w:rPr>
                <w:webHidden/>
              </w:rPr>
            </w:r>
            <w:r w:rsidR="00804518" w:rsidRPr="003D52E6">
              <w:rPr>
                <w:webHidden/>
              </w:rPr>
              <w:fldChar w:fldCharType="separate"/>
            </w:r>
            <w:r w:rsidR="001F4A70">
              <w:rPr>
                <w:webHidden/>
              </w:rPr>
              <w:t>13</w:t>
            </w:r>
            <w:r w:rsidR="00804518" w:rsidRPr="003D52E6">
              <w:rPr>
                <w:webHidden/>
              </w:rPr>
              <w:fldChar w:fldCharType="end"/>
            </w:r>
          </w:hyperlink>
        </w:p>
        <w:p w14:paraId="77FDE99B" w14:textId="482282AE" w:rsidR="00804518" w:rsidRPr="003D52E6" w:rsidRDefault="000D4A07">
          <w:pPr>
            <w:pStyle w:val="21"/>
            <w:rPr>
              <w:rFonts w:asciiTheme="minorHAnsi" w:eastAsiaTheme="minorEastAsia" w:hAnsiTheme="minorHAnsi" w:cstheme="minorBidi"/>
              <w:lang w:val="en-US"/>
            </w:rPr>
          </w:pPr>
          <w:hyperlink w:anchor="_Toc10106682" w:history="1">
            <w:r w:rsidR="00804518" w:rsidRPr="003D52E6">
              <w:rPr>
                <w:rStyle w:val="a3"/>
                <w:rFonts w:cstheme="majorHAnsi"/>
              </w:rPr>
              <w:t>3.1.4.</w:t>
            </w:r>
            <w:r w:rsidR="00804518" w:rsidRPr="003D52E6">
              <w:rPr>
                <w:rFonts w:asciiTheme="minorHAnsi" w:eastAsiaTheme="minorEastAsia" w:hAnsiTheme="minorHAnsi" w:cstheme="minorBidi"/>
                <w:lang w:val="en-US"/>
              </w:rPr>
              <w:tab/>
            </w:r>
            <w:r w:rsidR="00804518" w:rsidRPr="003D52E6">
              <w:rPr>
                <w:rStyle w:val="a3"/>
                <w:rFonts w:cstheme="majorHAnsi"/>
              </w:rPr>
              <w:t>Ponderea ridicată a datoriei de stat interne scadente în decurs de 1 an determină prezența unui risc înalt al ratei  de dobândă, dar și un risc de refinanțare.</w:t>
            </w:r>
            <w:r w:rsidR="00804518" w:rsidRPr="003D52E6">
              <w:rPr>
                <w:webHidden/>
              </w:rPr>
              <w:tab/>
            </w:r>
            <w:r w:rsidR="00804518" w:rsidRPr="003D52E6">
              <w:rPr>
                <w:webHidden/>
              </w:rPr>
              <w:fldChar w:fldCharType="begin"/>
            </w:r>
            <w:r w:rsidR="00804518" w:rsidRPr="003D52E6">
              <w:rPr>
                <w:webHidden/>
              </w:rPr>
              <w:instrText xml:space="preserve"> PAGEREF _Toc10106682 \h </w:instrText>
            </w:r>
            <w:r w:rsidR="00804518" w:rsidRPr="003D52E6">
              <w:rPr>
                <w:webHidden/>
              </w:rPr>
            </w:r>
            <w:r w:rsidR="00804518" w:rsidRPr="003D52E6">
              <w:rPr>
                <w:webHidden/>
              </w:rPr>
              <w:fldChar w:fldCharType="separate"/>
            </w:r>
            <w:r w:rsidR="001F4A70">
              <w:rPr>
                <w:webHidden/>
              </w:rPr>
              <w:t>15</w:t>
            </w:r>
            <w:r w:rsidR="00804518" w:rsidRPr="003D52E6">
              <w:rPr>
                <w:webHidden/>
              </w:rPr>
              <w:fldChar w:fldCharType="end"/>
            </w:r>
          </w:hyperlink>
        </w:p>
        <w:p w14:paraId="62F7E760" w14:textId="588A4561" w:rsidR="00804518" w:rsidRPr="003D52E6" w:rsidRDefault="000D4A07">
          <w:pPr>
            <w:pStyle w:val="21"/>
            <w:rPr>
              <w:rFonts w:asciiTheme="minorHAnsi" w:eastAsiaTheme="minorEastAsia" w:hAnsiTheme="minorHAnsi" w:cstheme="minorBidi"/>
              <w:lang w:val="en-US"/>
            </w:rPr>
          </w:pPr>
          <w:hyperlink w:anchor="_Toc10106683" w:history="1">
            <w:r w:rsidR="00804518" w:rsidRPr="003D52E6">
              <w:rPr>
                <w:rStyle w:val="a3"/>
                <w:rFonts w:cstheme="majorHAnsi"/>
              </w:rPr>
              <w:t>3.1.5.</w:t>
            </w:r>
            <w:r w:rsidR="00804518" w:rsidRPr="003D52E6">
              <w:rPr>
                <w:rFonts w:asciiTheme="minorHAnsi" w:eastAsiaTheme="minorEastAsia" w:hAnsiTheme="minorHAnsi" w:cstheme="minorBidi"/>
                <w:lang w:val="en-US"/>
              </w:rPr>
              <w:tab/>
            </w:r>
            <w:r w:rsidR="00804518" w:rsidRPr="003D52E6">
              <w:rPr>
                <w:rStyle w:val="a3"/>
                <w:rFonts w:cstheme="majorHAnsi"/>
              </w:rPr>
              <w:t>Față de anii precedenți, în anul 2018 cheltuielile pentru deservirea datoriei de stat interne au fost în scădere, iar pentru deservirea datoriei de stat externe - în creștere.</w:t>
            </w:r>
            <w:r w:rsidR="00804518" w:rsidRPr="003D52E6">
              <w:rPr>
                <w:webHidden/>
              </w:rPr>
              <w:tab/>
            </w:r>
            <w:r w:rsidR="00804518" w:rsidRPr="003D52E6">
              <w:rPr>
                <w:webHidden/>
              </w:rPr>
              <w:fldChar w:fldCharType="begin"/>
            </w:r>
            <w:r w:rsidR="00804518" w:rsidRPr="003D52E6">
              <w:rPr>
                <w:webHidden/>
              </w:rPr>
              <w:instrText xml:space="preserve"> PAGEREF _Toc10106683 \h </w:instrText>
            </w:r>
            <w:r w:rsidR="00804518" w:rsidRPr="003D52E6">
              <w:rPr>
                <w:webHidden/>
              </w:rPr>
            </w:r>
            <w:r w:rsidR="00804518" w:rsidRPr="003D52E6">
              <w:rPr>
                <w:webHidden/>
              </w:rPr>
              <w:fldChar w:fldCharType="separate"/>
            </w:r>
            <w:r w:rsidR="001F4A70">
              <w:rPr>
                <w:webHidden/>
              </w:rPr>
              <w:t>16</w:t>
            </w:r>
            <w:r w:rsidR="00804518" w:rsidRPr="003D52E6">
              <w:rPr>
                <w:webHidden/>
              </w:rPr>
              <w:fldChar w:fldCharType="end"/>
            </w:r>
          </w:hyperlink>
        </w:p>
        <w:p w14:paraId="5B7448AE" w14:textId="1AA5E463" w:rsidR="00804518" w:rsidRPr="003D52E6" w:rsidRDefault="000D4A07">
          <w:pPr>
            <w:pStyle w:val="21"/>
            <w:rPr>
              <w:rFonts w:asciiTheme="minorHAnsi" w:eastAsiaTheme="minorEastAsia" w:hAnsiTheme="minorHAnsi" w:cstheme="minorBidi"/>
              <w:lang w:val="en-US"/>
            </w:rPr>
          </w:pPr>
          <w:hyperlink w:anchor="_Toc10106684" w:history="1">
            <w:r w:rsidR="00804518" w:rsidRPr="003D52E6">
              <w:rPr>
                <w:rStyle w:val="a3"/>
                <w:rFonts w:cstheme="majorHAnsi"/>
              </w:rPr>
              <w:t>3.1.6.</w:t>
            </w:r>
            <w:r w:rsidR="00804518" w:rsidRPr="003D52E6">
              <w:rPr>
                <w:rFonts w:asciiTheme="minorHAnsi" w:eastAsiaTheme="minorEastAsia" w:hAnsiTheme="minorHAnsi" w:cstheme="minorBidi"/>
                <w:lang w:val="en-US"/>
              </w:rPr>
              <w:tab/>
            </w:r>
            <w:r w:rsidR="00804518" w:rsidRPr="003D52E6">
              <w:rPr>
                <w:rStyle w:val="a3"/>
                <w:rFonts w:cstheme="majorHAnsi"/>
              </w:rPr>
              <w:t>Datoria de stat internă a crescut din contul emisiunii VMS pe piața primară.</w:t>
            </w:r>
            <w:r w:rsidR="00804518" w:rsidRPr="003D52E6">
              <w:rPr>
                <w:webHidden/>
              </w:rPr>
              <w:tab/>
            </w:r>
            <w:r w:rsidR="00804518" w:rsidRPr="003D52E6">
              <w:rPr>
                <w:webHidden/>
              </w:rPr>
              <w:fldChar w:fldCharType="begin"/>
            </w:r>
            <w:r w:rsidR="00804518" w:rsidRPr="003D52E6">
              <w:rPr>
                <w:webHidden/>
              </w:rPr>
              <w:instrText xml:space="preserve"> PAGEREF _Toc10106684 \h </w:instrText>
            </w:r>
            <w:r w:rsidR="00804518" w:rsidRPr="003D52E6">
              <w:rPr>
                <w:webHidden/>
              </w:rPr>
            </w:r>
            <w:r w:rsidR="00804518" w:rsidRPr="003D52E6">
              <w:rPr>
                <w:webHidden/>
              </w:rPr>
              <w:fldChar w:fldCharType="separate"/>
            </w:r>
            <w:r w:rsidR="001F4A70">
              <w:rPr>
                <w:webHidden/>
              </w:rPr>
              <w:t>19</w:t>
            </w:r>
            <w:r w:rsidR="00804518" w:rsidRPr="003D52E6">
              <w:rPr>
                <w:webHidden/>
              </w:rPr>
              <w:fldChar w:fldCharType="end"/>
            </w:r>
          </w:hyperlink>
        </w:p>
        <w:p w14:paraId="17153040" w14:textId="0D6739F3" w:rsidR="00804518" w:rsidRPr="003D52E6" w:rsidRDefault="000D4A07">
          <w:pPr>
            <w:pStyle w:val="21"/>
            <w:rPr>
              <w:rFonts w:asciiTheme="minorHAnsi" w:eastAsiaTheme="minorEastAsia" w:hAnsiTheme="minorHAnsi" w:cstheme="minorBidi"/>
              <w:lang w:val="en-US"/>
            </w:rPr>
          </w:pPr>
          <w:hyperlink w:anchor="_Toc10106685" w:history="1">
            <w:r w:rsidR="00804518" w:rsidRPr="003D52E6">
              <w:rPr>
                <w:rStyle w:val="a3"/>
                <w:rFonts w:cstheme="majorHAnsi"/>
                <w:lang w:val="ro-MD"/>
              </w:rPr>
              <w:t>3.1.7.</w:t>
            </w:r>
            <w:r w:rsidR="00804518" w:rsidRPr="003D52E6">
              <w:rPr>
                <w:rFonts w:asciiTheme="minorHAnsi" w:eastAsiaTheme="minorEastAsia" w:hAnsiTheme="minorHAnsi" w:cstheme="minorBidi"/>
                <w:lang w:val="en-US"/>
              </w:rPr>
              <w:tab/>
            </w:r>
            <w:r w:rsidR="00804518" w:rsidRPr="003D52E6">
              <w:rPr>
                <w:rStyle w:val="a3"/>
                <w:rFonts w:cstheme="majorHAnsi"/>
                <w:lang w:val="ro-MD"/>
              </w:rPr>
              <w:t xml:space="preserve">În anul 2018 a continuat </w:t>
            </w:r>
            <w:r w:rsidR="00804518" w:rsidRPr="003D52E6">
              <w:rPr>
                <w:rStyle w:val="a3"/>
                <w:rFonts w:cstheme="majorHAnsi"/>
              </w:rPr>
              <w:t>completarea rezervei</w:t>
            </w:r>
            <w:r w:rsidR="00804518" w:rsidRPr="003D52E6">
              <w:rPr>
                <w:rStyle w:val="a3"/>
                <w:rFonts w:cstheme="majorHAnsi"/>
                <w:lang w:val="ro-MD"/>
              </w:rPr>
              <w:t xml:space="preserve"> de lichidități, ceea ce a determinat  majorarea datoriei de stat interne.</w:t>
            </w:r>
            <w:r w:rsidR="00804518" w:rsidRPr="003D52E6">
              <w:rPr>
                <w:webHidden/>
              </w:rPr>
              <w:tab/>
            </w:r>
            <w:r w:rsidR="00804518" w:rsidRPr="003D52E6">
              <w:rPr>
                <w:webHidden/>
              </w:rPr>
              <w:fldChar w:fldCharType="begin"/>
            </w:r>
            <w:r w:rsidR="00804518" w:rsidRPr="003D52E6">
              <w:rPr>
                <w:webHidden/>
              </w:rPr>
              <w:instrText xml:space="preserve"> PAGEREF _Toc10106685 \h </w:instrText>
            </w:r>
            <w:r w:rsidR="00804518" w:rsidRPr="003D52E6">
              <w:rPr>
                <w:webHidden/>
              </w:rPr>
            </w:r>
            <w:r w:rsidR="00804518" w:rsidRPr="003D52E6">
              <w:rPr>
                <w:webHidden/>
              </w:rPr>
              <w:fldChar w:fldCharType="separate"/>
            </w:r>
            <w:r w:rsidR="001F4A70">
              <w:rPr>
                <w:webHidden/>
              </w:rPr>
              <w:t>21</w:t>
            </w:r>
            <w:r w:rsidR="00804518" w:rsidRPr="003D52E6">
              <w:rPr>
                <w:webHidden/>
              </w:rPr>
              <w:fldChar w:fldCharType="end"/>
            </w:r>
          </w:hyperlink>
        </w:p>
        <w:p w14:paraId="22E8D674" w14:textId="07C38F8C" w:rsidR="00804518" w:rsidRPr="003D52E6" w:rsidRDefault="000D4A07">
          <w:pPr>
            <w:pStyle w:val="21"/>
            <w:rPr>
              <w:rFonts w:asciiTheme="minorHAnsi" w:eastAsiaTheme="minorEastAsia" w:hAnsiTheme="minorHAnsi" w:cstheme="minorBidi"/>
              <w:lang w:val="en-US"/>
            </w:rPr>
          </w:pPr>
          <w:hyperlink w:anchor="_Toc10106686" w:history="1">
            <w:r w:rsidR="00804518" w:rsidRPr="003D52E6">
              <w:rPr>
                <w:rStyle w:val="a3"/>
                <w:rFonts w:cstheme="majorHAnsi"/>
              </w:rPr>
              <w:t>3.1.8.</w:t>
            </w:r>
            <w:r w:rsidR="00804518" w:rsidRPr="003D52E6">
              <w:rPr>
                <w:rFonts w:asciiTheme="minorHAnsi" w:eastAsiaTheme="minorEastAsia" w:hAnsiTheme="minorHAnsi" w:cstheme="minorBidi"/>
                <w:lang w:val="en-US"/>
              </w:rPr>
              <w:tab/>
            </w:r>
            <w:r w:rsidR="00804518" w:rsidRPr="003D52E6">
              <w:rPr>
                <w:rStyle w:val="a3"/>
                <w:rFonts w:cstheme="majorHAnsi"/>
              </w:rPr>
              <w:t>Ratele dobânzilor la VMS în anul 2018 au fost mai mici față de anii 2016-2017.</w:t>
            </w:r>
            <w:r w:rsidR="00804518" w:rsidRPr="003D52E6">
              <w:rPr>
                <w:webHidden/>
              </w:rPr>
              <w:tab/>
            </w:r>
            <w:r w:rsidR="00804518" w:rsidRPr="003D52E6">
              <w:rPr>
                <w:webHidden/>
              </w:rPr>
              <w:fldChar w:fldCharType="begin"/>
            </w:r>
            <w:r w:rsidR="00804518" w:rsidRPr="003D52E6">
              <w:rPr>
                <w:webHidden/>
              </w:rPr>
              <w:instrText xml:space="preserve"> PAGEREF _Toc10106686 \h </w:instrText>
            </w:r>
            <w:r w:rsidR="00804518" w:rsidRPr="003D52E6">
              <w:rPr>
                <w:webHidden/>
              </w:rPr>
            </w:r>
            <w:r w:rsidR="00804518" w:rsidRPr="003D52E6">
              <w:rPr>
                <w:webHidden/>
              </w:rPr>
              <w:fldChar w:fldCharType="separate"/>
            </w:r>
            <w:r w:rsidR="001F4A70">
              <w:rPr>
                <w:webHidden/>
              </w:rPr>
              <w:t>22</w:t>
            </w:r>
            <w:r w:rsidR="00804518" w:rsidRPr="003D52E6">
              <w:rPr>
                <w:webHidden/>
              </w:rPr>
              <w:fldChar w:fldCharType="end"/>
            </w:r>
          </w:hyperlink>
        </w:p>
        <w:p w14:paraId="5977D364" w14:textId="22C65535" w:rsidR="00804518" w:rsidRPr="003D52E6" w:rsidRDefault="000D4A07">
          <w:pPr>
            <w:pStyle w:val="21"/>
            <w:rPr>
              <w:rFonts w:asciiTheme="minorHAnsi" w:eastAsiaTheme="minorEastAsia" w:hAnsiTheme="minorHAnsi" w:cstheme="minorBidi"/>
              <w:lang w:val="en-US"/>
            </w:rPr>
          </w:pPr>
          <w:hyperlink w:anchor="_Toc10106687" w:history="1">
            <w:r w:rsidR="00804518" w:rsidRPr="003D52E6">
              <w:rPr>
                <w:rStyle w:val="a3"/>
                <w:rFonts w:cstheme="majorHAnsi"/>
              </w:rPr>
              <w:t>3.1.9.</w:t>
            </w:r>
            <w:r w:rsidR="00804518" w:rsidRPr="003D52E6">
              <w:rPr>
                <w:rFonts w:asciiTheme="minorHAnsi" w:eastAsiaTheme="minorEastAsia" w:hAnsiTheme="minorHAnsi" w:cstheme="minorBidi"/>
                <w:lang w:val="en-US"/>
              </w:rPr>
              <w:tab/>
            </w:r>
            <w:r w:rsidR="00804518" w:rsidRPr="003D52E6">
              <w:rPr>
                <w:rStyle w:val="a3"/>
                <w:rFonts w:cstheme="majorHAnsi"/>
              </w:rPr>
              <w:t>Creanțele interne ale bugetului de stat față de băncile aflate în proces de lichidare se restituie într-un ritm lent.</w:t>
            </w:r>
            <w:r w:rsidR="00804518" w:rsidRPr="003D52E6">
              <w:rPr>
                <w:webHidden/>
              </w:rPr>
              <w:tab/>
            </w:r>
            <w:r w:rsidR="00804518" w:rsidRPr="003D52E6">
              <w:rPr>
                <w:webHidden/>
              </w:rPr>
              <w:fldChar w:fldCharType="begin"/>
            </w:r>
            <w:r w:rsidR="00804518" w:rsidRPr="003D52E6">
              <w:rPr>
                <w:webHidden/>
              </w:rPr>
              <w:instrText xml:space="preserve"> PAGEREF _Toc10106687 \h </w:instrText>
            </w:r>
            <w:r w:rsidR="00804518" w:rsidRPr="003D52E6">
              <w:rPr>
                <w:webHidden/>
              </w:rPr>
            </w:r>
            <w:r w:rsidR="00804518" w:rsidRPr="003D52E6">
              <w:rPr>
                <w:webHidden/>
              </w:rPr>
              <w:fldChar w:fldCharType="separate"/>
            </w:r>
            <w:r w:rsidR="001F4A70">
              <w:rPr>
                <w:webHidden/>
              </w:rPr>
              <w:t>23</w:t>
            </w:r>
            <w:r w:rsidR="00804518" w:rsidRPr="003D52E6">
              <w:rPr>
                <w:webHidden/>
              </w:rPr>
              <w:fldChar w:fldCharType="end"/>
            </w:r>
          </w:hyperlink>
        </w:p>
        <w:p w14:paraId="64F58675" w14:textId="28491F4C" w:rsidR="00804518" w:rsidRPr="003D52E6" w:rsidRDefault="000D4A07">
          <w:pPr>
            <w:pStyle w:val="21"/>
            <w:rPr>
              <w:rFonts w:asciiTheme="minorHAnsi" w:eastAsiaTheme="minorEastAsia" w:hAnsiTheme="minorHAnsi" w:cstheme="minorBidi"/>
              <w:lang w:val="en-US"/>
            </w:rPr>
          </w:pPr>
          <w:hyperlink w:anchor="_Toc10106688" w:history="1">
            <w:r w:rsidR="00804518" w:rsidRPr="003D52E6">
              <w:rPr>
                <w:rStyle w:val="a3"/>
                <w:rFonts w:cstheme="majorHAnsi"/>
              </w:rPr>
              <w:t>3.1.10.</w:t>
            </w:r>
            <w:r w:rsidR="00804518" w:rsidRPr="003D52E6">
              <w:rPr>
                <w:rFonts w:asciiTheme="minorHAnsi" w:eastAsiaTheme="minorEastAsia" w:hAnsiTheme="minorHAnsi" w:cstheme="minorBidi"/>
                <w:lang w:val="en-US"/>
              </w:rPr>
              <w:tab/>
            </w:r>
            <w:r w:rsidR="00804518" w:rsidRPr="003D52E6">
              <w:rPr>
                <w:rStyle w:val="a3"/>
                <w:rFonts w:cstheme="majorHAnsi"/>
              </w:rPr>
              <w:t>Soldul VMS convertite în portofoliul BNM se menține constant.</w:t>
            </w:r>
            <w:r w:rsidR="00804518" w:rsidRPr="003D52E6">
              <w:rPr>
                <w:webHidden/>
              </w:rPr>
              <w:tab/>
            </w:r>
            <w:r w:rsidR="00804518" w:rsidRPr="003D52E6">
              <w:rPr>
                <w:webHidden/>
              </w:rPr>
              <w:fldChar w:fldCharType="begin"/>
            </w:r>
            <w:r w:rsidR="00804518" w:rsidRPr="003D52E6">
              <w:rPr>
                <w:webHidden/>
              </w:rPr>
              <w:instrText xml:space="preserve"> PAGEREF _Toc10106688 \h </w:instrText>
            </w:r>
            <w:r w:rsidR="00804518" w:rsidRPr="003D52E6">
              <w:rPr>
                <w:webHidden/>
              </w:rPr>
            </w:r>
            <w:r w:rsidR="00804518" w:rsidRPr="003D52E6">
              <w:rPr>
                <w:webHidden/>
              </w:rPr>
              <w:fldChar w:fldCharType="separate"/>
            </w:r>
            <w:r w:rsidR="001F4A70">
              <w:rPr>
                <w:webHidden/>
              </w:rPr>
              <w:t>25</w:t>
            </w:r>
            <w:r w:rsidR="00804518" w:rsidRPr="003D52E6">
              <w:rPr>
                <w:webHidden/>
              </w:rPr>
              <w:fldChar w:fldCharType="end"/>
            </w:r>
          </w:hyperlink>
        </w:p>
        <w:p w14:paraId="3A341C42" w14:textId="45FC7EDA" w:rsidR="00804518" w:rsidRPr="003D52E6" w:rsidRDefault="000D4A07">
          <w:pPr>
            <w:pStyle w:val="21"/>
            <w:rPr>
              <w:rFonts w:asciiTheme="minorHAnsi" w:eastAsiaTheme="minorEastAsia" w:hAnsiTheme="minorHAnsi" w:cstheme="minorBidi"/>
              <w:lang w:val="en-US"/>
            </w:rPr>
          </w:pPr>
          <w:hyperlink w:anchor="_Toc10106689" w:history="1">
            <w:r w:rsidR="00804518" w:rsidRPr="003D52E6">
              <w:rPr>
                <w:rStyle w:val="a3"/>
                <w:rFonts w:cstheme="majorHAnsi"/>
              </w:rPr>
              <w:t>3.1.11.</w:t>
            </w:r>
            <w:r w:rsidR="00804518" w:rsidRPr="003D52E6">
              <w:rPr>
                <w:rFonts w:asciiTheme="minorHAnsi" w:eastAsiaTheme="minorEastAsia" w:hAnsiTheme="minorHAnsi" w:cstheme="minorBidi"/>
                <w:lang w:val="en-US"/>
              </w:rPr>
              <w:tab/>
            </w:r>
            <w:r w:rsidR="00804518" w:rsidRPr="003D52E6">
              <w:rPr>
                <w:rStyle w:val="a3"/>
                <w:rFonts w:cstheme="majorHAnsi"/>
              </w:rPr>
              <w:t>Soldul datoriei de stat externe a înregistrat un trend descendent.</w:t>
            </w:r>
            <w:r w:rsidR="00804518" w:rsidRPr="003D52E6">
              <w:rPr>
                <w:webHidden/>
              </w:rPr>
              <w:tab/>
            </w:r>
            <w:r w:rsidR="00804518" w:rsidRPr="003D52E6">
              <w:rPr>
                <w:webHidden/>
              </w:rPr>
              <w:fldChar w:fldCharType="begin"/>
            </w:r>
            <w:r w:rsidR="00804518" w:rsidRPr="003D52E6">
              <w:rPr>
                <w:webHidden/>
              </w:rPr>
              <w:instrText xml:space="preserve"> PAGEREF _Toc10106689 \h </w:instrText>
            </w:r>
            <w:r w:rsidR="00804518" w:rsidRPr="003D52E6">
              <w:rPr>
                <w:webHidden/>
              </w:rPr>
            </w:r>
            <w:r w:rsidR="00804518" w:rsidRPr="003D52E6">
              <w:rPr>
                <w:webHidden/>
              </w:rPr>
              <w:fldChar w:fldCharType="separate"/>
            </w:r>
            <w:r w:rsidR="001F4A70">
              <w:rPr>
                <w:webHidden/>
              </w:rPr>
              <w:t>25</w:t>
            </w:r>
            <w:r w:rsidR="00804518" w:rsidRPr="003D52E6">
              <w:rPr>
                <w:webHidden/>
              </w:rPr>
              <w:fldChar w:fldCharType="end"/>
            </w:r>
          </w:hyperlink>
        </w:p>
        <w:p w14:paraId="7C2CDD13" w14:textId="1ABCE864" w:rsidR="00804518" w:rsidRPr="003D52E6" w:rsidRDefault="000D4A07">
          <w:pPr>
            <w:pStyle w:val="21"/>
            <w:rPr>
              <w:rFonts w:asciiTheme="minorHAnsi" w:eastAsiaTheme="minorEastAsia" w:hAnsiTheme="minorHAnsi" w:cstheme="minorBidi"/>
              <w:lang w:val="en-US"/>
            </w:rPr>
          </w:pPr>
          <w:hyperlink w:anchor="_Toc10106690" w:history="1">
            <w:r w:rsidR="00804518" w:rsidRPr="003D52E6">
              <w:rPr>
                <w:rStyle w:val="a3"/>
                <w:rFonts w:cstheme="majorHAnsi"/>
              </w:rPr>
              <w:t>3.1.12.</w:t>
            </w:r>
            <w:r w:rsidR="00804518" w:rsidRPr="003D52E6">
              <w:rPr>
                <w:rFonts w:asciiTheme="minorHAnsi" w:eastAsiaTheme="minorEastAsia" w:hAnsiTheme="minorHAnsi" w:cstheme="minorBidi"/>
                <w:lang w:val="en-US"/>
              </w:rPr>
              <w:tab/>
            </w:r>
            <w:r w:rsidR="00804518" w:rsidRPr="003D52E6">
              <w:rPr>
                <w:rStyle w:val="a3"/>
                <w:rFonts w:cstheme="majorHAnsi"/>
              </w:rPr>
              <w:t>Intrările de împrumuturi de stat externe au constituit 144,8 mil.dol.SUA, fiind înregistrat un nivel mai redus comparativ cu anul 2017.</w:t>
            </w:r>
            <w:r w:rsidR="00804518" w:rsidRPr="003D52E6">
              <w:rPr>
                <w:webHidden/>
              </w:rPr>
              <w:tab/>
            </w:r>
            <w:r w:rsidR="00804518" w:rsidRPr="003D52E6">
              <w:rPr>
                <w:webHidden/>
              </w:rPr>
              <w:fldChar w:fldCharType="begin"/>
            </w:r>
            <w:r w:rsidR="00804518" w:rsidRPr="003D52E6">
              <w:rPr>
                <w:webHidden/>
              </w:rPr>
              <w:instrText xml:space="preserve"> PAGEREF _Toc10106690 \h </w:instrText>
            </w:r>
            <w:r w:rsidR="00804518" w:rsidRPr="003D52E6">
              <w:rPr>
                <w:webHidden/>
              </w:rPr>
            </w:r>
            <w:r w:rsidR="00804518" w:rsidRPr="003D52E6">
              <w:rPr>
                <w:webHidden/>
              </w:rPr>
              <w:fldChar w:fldCharType="separate"/>
            </w:r>
            <w:r w:rsidR="001F4A70">
              <w:rPr>
                <w:webHidden/>
              </w:rPr>
              <w:t>26</w:t>
            </w:r>
            <w:r w:rsidR="00804518" w:rsidRPr="003D52E6">
              <w:rPr>
                <w:webHidden/>
              </w:rPr>
              <w:fldChar w:fldCharType="end"/>
            </w:r>
          </w:hyperlink>
        </w:p>
        <w:p w14:paraId="602A1E95" w14:textId="21D39437" w:rsidR="00804518" w:rsidRPr="003D52E6" w:rsidRDefault="000D4A07">
          <w:pPr>
            <w:pStyle w:val="21"/>
            <w:rPr>
              <w:rFonts w:asciiTheme="minorHAnsi" w:eastAsiaTheme="minorEastAsia" w:hAnsiTheme="minorHAnsi" w:cstheme="minorBidi"/>
              <w:lang w:val="en-US"/>
            </w:rPr>
          </w:pPr>
          <w:hyperlink w:anchor="_Toc10106691" w:history="1">
            <w:r w:rsidR="00804518" w:rsidRPr="003D52E6">
              <w:rPr>
                <w:rStyle w:val="a3"/>
                <w:rFonts w:cstheme="majorHAnsi"/>
              </w:rPr>
              <w:t>3.1.13.</w:t>
            </w:r>
            <w:r w:rsidR="00804518" w:rsidRPr="003D52E6">
              <w:rPr>
                <w:rFonts w:asciiTheme="minorHAnsi" w:eastAsiaTheme="minorEastAsia" w:hAnsiTheme="minorHAnsi" w:cstheme="minorBidi"/>
                <w:lang w:val="en-US"/>
              </w:rPr>
              <w:tab/>
            </w:r>
            <w:r w:rsidR="00804518" w:rsidRPr="003D52E6">
              <w:rPr>
                <w:rStyle w:val="a3"/>
                <w:rFonts w:cstheme="majorHAnsi"/>
              </w:rPr>
              <w:t>În anul 2018 au fost contractate noi împrumuturi în valoare totală de 88,2 mil.dol.SUA.</w:t>
            </w:r>
            <w:r w:rsidR="00804518" w:rsidRPr="003D52E6">
              <w:rPr>
                <w:webHidden/>
              </w:rPr>
              <w:tab/>
            </w:r>
            <w:r w:rsidR="00804518" w:rsidRPr="003D52E6">
              <w:rPr>
                <w:webHidden/>
              </w:rPr>
              <w:fldChar w:fldCharType="begin"/>
            </w:r>
            <w:r w:rsidR="00804518" w:rsidRPr="003D52E6">
              <w:rPr>
                <w:webHidden/>
              </w:rPr>
              <w:instrText xml:space="preserve"> PAGEREF _Toc10106691 \h </w:instrText>
            </w:r>
            <w:r w:rsidR="00804518" w:rsidRPr="003D52E6">
              <w:rPr>
                <w:webHidden/>
              </w:rPr>
            </w:r>
            <w:r w:rsidR="00804518" w:rsidRPr="003D52E6">
              <w:rPr>
                <w:webHidden/>
              </w:rPr>
              <w:fldChar w:fldCharType="separate"/>
            </w:r>
            <w:r w:rsidR="001F4A70">
              <w:rPr>
                <w:webHidden/>
              </w:rPr>
              <w:t>28</w:t>
            </w:r>
            <w:r w:rsidR="00804518" w:rsidRPr="003D52E6">
              <w:rPr>
                <w:webHidden/>
              </w:rPr>
              <w:fldChar w:fldCharType="end"/>
            </w:r>
          </w:hyperlink>
        </w:p>
        <w:p w14:paraId="4AE41D8F" w14:textId="3E9527A6" w:rsidR="00804518" w:rsidRPr="00232BCC" w:rsidRDefault="000D4A07">
          <w:pPr>
            <w:pStyle w:val="11"/>
            <w:rPr>
              <w:rFonts w:asciiTheme="minorHAnsi" w:eastAsiaTheme="minorEastAsia" w:hAnsiTheme="minorHAnsi" w:cstheme="minorBidi"/>
              <w:b/>
              <w:noProof/>
            </w:rPr>
          </w:pPr>
          <w:hyperlink w:anchor="_Toc10106692" w:history="1">
            <w:r w:rsidR="00804518" w:rsidRPr="00232BCC">
              <w:rPr>
                <w:rStyle w:val="a3"/>
                <w:rFonts w:asciiTheme="majorHAnsi" w:hAnsiTheme="majorHAnsi" w:cstheme="majorHAnsi"/>
                <w:b/>
                <w:noProof/>
                <w:lang w:val="ro-RO"/>
              </w:rPr>
              <w:t>3.2.</w:t>
            </w:r>
            <w:r w:rsidR="00804518" w:rsidRPr="00232BCC">
              <w:rPr>
                <w:rFonts w:asciiTheme="minorHAnsi" w:eastAsiaTheme="minorEastAsia" w:hAnsiTheme="minorHAnsi" w:cstheme="minorBidi"/>
                <w:b/>
                <w:noProof/>
              </w:rPr>
              <w:tab/>
            </w:r>
            <w:r w:rsidR="00804518" w:rsidRPr="00232BCC">
              <w:rPr>
                <w:rStyle w:val="a3"/>
                <w:rFonts w:asciiTheme="majorHAnsi" w:hAnsiTheme="majorHAnsi" w:cstheme="majorHAnsi"/>
                <w:b/>
                <w:noProof/>
                <w:lang w:val="ro-RO"/>
              </w:rPr>
              <w:t>Obiectivul specific II. Evaluarea tendințelor de acordare a garanțiilor de stat.</w:t>
            </w:r>
            <w:r w:rsidR="00804518" w:rsidRPr="00232BCC">
              <w:rPr>
                <w:b/>
                <w:noProof/>
                <w:webHidden/>
              </w:rPr>
              <w:tab/>
            </w:r>
            <w:r w:rsidR="00804518" w:rsidRPr="00232BCC">
              <w:rPr>
                <w:b/>
                <w:noProof/>
                <w:webHidden/>
              </w:rPr>
              <w:fldChar w:fldCharType="begin"/>
            </w:r>
            <w:r w:rsidR="00804518" w:rsidRPr="00232BCC">
              <w:rPr>
                <w:b/>
                <w:noProof/>
                <w:webHidden/>
              </w:rPr>
              <w:instrText xml:space="preserve"> PAGEREF _Toc10106692 \h </w:instrText>
            </w:r>
            <w:r w:rsidR="00804518" w:rsidRPr="00232BCC">
              <w:rPr>
                <w:b/>
                <w:noProof/>
                <w:webHidden/>
              </w:rPr>
            </w:r>
            <w:r w:rsidR="00804518" w:rsidRPr="00232BCC">
              <w:rPr>
                <w:b/>
                <w:noProof/>
                <w:webHidden/>
              </w:rPr>
              <w:fldChar w:fldCharType="separate"/>
            </w:r>
            <w:r w:rsidR="001F4A70">
              <w:rPr>
                <w:b/>
                <w:noProof/>
                <w:webHidden/>
              </w:rPr>
              <w:t>29</w:t>
            </w:r>
            <w:r w:rsidR="00804518" w:rsidRPr="00232BCC">
              <w:rPr>
                <w:b/>
                <w:noProof/>
                <w:webHidden/>
              </w:rPr>
              <w:fldChar w:fldCharType="end"/>
            </w:r>
          </w:hyperlink>
        </w:p>
        <w:p w14:paraId="2C4ED237" w14:textId="69F37D80" w:rsidR="00804518" w:rsidRPr="003D52E6" w:rsidRDefault="000D4A07">
          <w:pPr>
            <w:pStyle w:val="21"/>
            <w:rPr>
              <w:rFonts w:asciiTheme="minorHAnsi" w:eastAsiaTheme="minorEastAsia" w:hAnsiTheme="minorHAnsi" w:cstheme="minorBidi"/>
              <w:lang w:val="en-US"/>
            </w:rPr>
          </w:pPr>
          <w:hyperlink w:anchor="_Toc10106693" w:history="1">
            <w:r w:rsidR="00804518" w:rsidRPr="003D52E6">
              <w:rPr>
                <w:rStyle w:val="a3"/>
                <w:rFonts w:cstheme="majorHAnsi"/>
              </w:rPr>
              <w:t>3.2.1. În anul 2018 s-au emis garanții de stat interne acordate în cadrul Programului de stat „Prima casă”.</w:t>
            </w:r>
            <w:r w:rsidR="00804518" w:rsidRPr="003D52E6">
              <w:rPr>
                <w:webHidden/>
              </w:rPr>
              <w:tab/>
            </w:r>
            <w:r w:rsidR="00804518" w:rsidRPr="003D52E6">
              <w:rPr>
                <w:webHidden/>
              </w:rPr>
              <w:fldChar w:fldCharType="begin"/>
            </w:r>
            <w:r w:rsidR="00804518" w:rsidRPr="003D52E6">
              <w:rPr>
                <w:webHidden/>
              </w:rPr>
              <w:instrText xml:space="preserve"> PAGEREF _Toc10106693 \h </w:instrText>
            </w:r>
            <w:r w:rsidR="00804518" w:rsidRPr="003D52E6">
              <w:rPr>
                <w:webHidden/>
              </w:rPr>
            </w:r>
            <w:r w:rsidR="00804518" w:rsidRPr="003D52E6">
              <w:rPr>
                <w:webHidden/>
              </w:rPr>
              <w:fldChar w:fldCharType="separate"/>
            </w:r>
            <w:r w:rsidR="001F4A70">
              <w:rPr>
                <w:webHidden/>
              </w:rPr>
              <w:t>29</w:t>
            </w:r>
            <w:r w:rsidR="00804518" w:rsidRPr="003D52E6">
              <w:rPr>
                <w:webHidden/>
              </w:rPr>
              <w:fldChar w:fldCharType="end"/>
            </w:r>
          </w:hyperlink>
        </w:p>
        <w:p w14:paraId="66E34498" w14:textId="71D53510" w:rsidR="00804518" w:rsidRPr="003D52E6" w:rsidRDefault="000D4A07">
          <w:pPr>
            <w:pStyle w:val="21"/>
            <w:rPr>
              <w:rFonts w:asciiTheme="minorHAnsi" w:eastAsiaTheme="minorEastAsia" w:hAnsiTheme="minorHAnsi" w:cstheme="minorBidi"/>
              <w:lang w:val="en-US"/>
            </w:rPr>
          </w:pPr>
          <w:hyperlink w:anchor="_Toc10106694" w:history="1">
            <w:r w:rsidR="00804518" w:rsidRPr="003D52E6">
              <w:rPr>
                <w:rStyle w:val="a3"/>
                <w:rFonts w:cstheme="majorHAnsi"/>
              </w:rPr>
              <w:t>3.2.2.  Datoriile debitorilor garantați față de Ministerul Finanțelor sunt în totalitate cu termenul de achitare expirat.</w:t>
            </w:r>
            <w:r w:rsidR="00804518" w:rsidRPr="003D52E6">
              <w:rPr>
                <w:webHidden/>
              </w:rPr>
              <w:tab/>
            </w:r>
            <w:r w:rsidR="00804518" w:rsidRPr="003D52E6">
              <w:rPr>
                <w:webHidden/>
              </w:rPr>
              <w:fldChar w:fldCharType="begin"/>
            </w:r>
            <w:r w:rsidR="00804518" w:rsidRPr="003D52E6">
              <w:rPr>
                <w:webHidden/>
              </w:rPr>
              <w:instrText xml:space="preserve"> PAGEREF _Toc10106694 \h </w:instrText>
            </w:r>
            <w:r w:rsidR="00804518" w:rsidRPr="003D52E6">
              <w:rPr>
                <w:webHidden/>
              </w:rPr>
            </w:r>
            <w:r w:rsidR="00804518" w:rsidRPr="003D52E6">
              <w:rPr>
                <w:webHidden/>
              </w:rPr>
              <w:fldChar w:fldCharType="separate"/>
            </w:r>
            <w:r w:rsidR="001F4A70">
              <w:rPr>
                <w:webHidden/>
              </w:rPr>
              <w:t>30</w:t>
            </w:r>
            <w:r w:rsidR="00804518" w:rsidRPr="003D52E6">
              <w:rPr>
                <w:webHidden/>
              </w:rPr>
              <w:fldChar w:fldCharType="end"/>
            </w:r>
          </w:hyperlink>
        </w:p>
        <w:p w14:paraId="37CB7966" w14:textId="09267AAC" w:rsidR="00804518" w:rsidRDefault="000D4A07">
          <w:pPr>
            <w:pStyle w:val="11"/>
            <w:rPr>
              <w:rFonts w:asciiTheme="minorHAnsi" w:eastAsiaTheme="minorEastAsia" w:hAnsiTheme="minorHAnsi" w:cstheme="minorBidi"/>
              <w:noProof/>
            </w:rPr>
          </w:pPr>
          <w:hyperlink w:anchor="_Toc10106695" w:history="1">
            <w:r w:rsidR="00804518" w:rsidRPr="00564BA2">
              <w:rPr>
                <w:rStyle w:val="a3"/>
                <w:rFonts w:asciiTheme="majorHAnsi" w:hAnsiTheme="majorHAnsi"/>
                <w:b/>
                <w:noProof/>
                <w:lang w:val="ro-RO"/>
              </w:rPr>
              <w:t>3.3.</w:t>
            </w:r>
            <w:r w:rsidR="00804518">
              <w:rPr>
                <w:rFonts w:asciiTheme="minorHAnsi" w:eastAsiaTheme="minorEastAsia" w:hAnsiTheme="minorHAnsi" w:cstheme="minorBidi"/>
                <w:noProof/>
              </w:rPr>
              <w:tab/>
            </w:r>
            <w:r w:rsidR="00804518" w:rsidRPr="00564BA2">
              <w:rPr>
                <w:rStyle w:val="a3"/>
                <w:rFonts w:asciiTheme="majorHAnsi" w:hAnsiTheme="majorHAnsi"/>
                <w:b/>
                <w:noProof/>
                <w:lang w:val="ro-RO"/>
              </w:rPr>
              <w:t>Obiectivul specific III. Evaluarea direcțiilor de recreditare din contul împrumuturilor externe și a respectării obligațiunilor beneficiarilor recreditați.</w:t>
            </w:r>
            <w:r w:rsidR="00804518">
              <w:rPr>
                <w:noProof/>
                <w:webHidden/>
              </w:rPr>
              <w:tab/>
            </w:r>
            <w:r w:rsidR="00804518">
              <w:rPr>
                <w:noProof/>
                <w:webHidden/>
              </w:rPr>
              <w:fldChar w:fldCharType="begin"/>
            </w:r>
            <w:r w:rsidR="00804518">
              <w:rPr>
                <w:noProof/>
                <w:webHidden/>
              </w:rPr>
              <w:instrText xml:space="preserve"> PAGEREF _Toc10106695 \h </w:instrText>
            </w:r>
            <w:r w:rsidR="00804518">
              <w:rPr>
                <w:noProof/>
                <w:webHidden/>
              </w:rPr>
            </w:r>
            <w:r w:rsidR="00804518">
              <w:rPr>
                <w:noProof/>
                <w:webHidden/>
              </w:rPr>
              <w:fldChar w:fldCharType="separate"/>
            </w:r>
            <w:r w:rsidR="001F4A70">
              <w:rPr>
                <w:noProof/>
                <w:webHidden/>
              </w:rPr>
              <w:t>30</w:t>
            </w:r>
            <w:r w:rsidR="00804518">
              <w:rPr>
                <w:noProof/>
                <w:webHidden/>
              </w:rPr>
              <w:fldChar w:fldCharType="end"/>
            </w:r>
          </w:hyperlink>
        </w:p>
        <w:p w14:paraId="13FD1367" w14:textId="4E12AF63" w:rsidR="00804518" w:rsidRPr="003D52E6" w:rsidRDefault="000D4A07">
          <w:pPr>
            <w:pStyle w:val="21"/>
            <w:rPr>
              <w:rFonts w:asciiTheme="minorHAnsi" w:eastAsiaTheme="minorEastAsia" w:hAnsiTheme="minorHAnsi" w:cstheme="minorBidi"/>
              <w:lang w:val="en-US"/>
            </w:rPr>
          </w:pPr>
          <w:hyperlink w:anchor="_Toc10106696" w:history="1">
            <w:r w:rsidR="00804518" w:rsidRPr="003D52E6">
              <w:rPr>
                <w:rStyle w:val="a3"/>
                <w:rFonts w:cstheme="majorHAnsi"/>
              </w:rPr>
              <w:t>3.3.1. În anul 2018 s-a înregistrat o descreștere a volumului mijloacelor financiare direcționate spre recreditarea de stat în scopul implementării proiectelor finanțate din surse externe.</w:t>
            </w:r>
            <w:r w:rsidR="00804518" w:rsidRPr="003D52E6">
              <w:rPr>
                <w:webHidden/>
              </w:rPr>
              <w:tab/>
            </w:r>
            <w:r w:rsidR="00804518" w:rsidRPr="003D52E6">
              <w:rPr>
                <w:webHidden/>
              </w:rPr>
              <w:fldChar w:fldCharType="begin"/>
            </w:r>
            <w:r w:rsidR="00804518" w:rsidRPr="003D52E6">
              <w:rPr>
                <w:webHidden/>
              </w:rPr>
              <w:instrText xml:space="preserve"> PAGEREF _Toc10106696 \h </w:instrText>
            </w:r>
            <w:r w:rsidR="00804518" w:rsidRPr="003D52E6">
              <w:rPr>
                <w:webHidden/>
              </w:rPr>
            </w:r>
            <w:r w:rsidR="00804518" w:rsidRPr="003D52E6">
              <w:rPr>
                <w:webHidden/>
              </w:rPr>
              <w:fldChar w:fldCharType="separate"/>
            </w:r>
            <w:r w:rsidR="001F4A70">
              <w:rPr>
                <w:webHidden/>
              </w:rPr>
              <w:t>30</w:t>
            </w:r>
            <w:r w:rsidR="00804518" w:rsidRPr="003D52E6">
              <w:rPr>
                <w:webHidden/>
              </w:rPr>
              <w:fldChar w:fldCharType="end"/>
            </w:r>
          </w:hyperlink>
        </w:p>
        <w:p w14:paraId="6EDE059F" w14:textId="3C1DA776" w:rsidR="00804518" w:rsidRPr="003D52E6" w:rsidRDefault="000D4A07">
          <w:pPr>
            <w:pStyle w:val="21"/>
            <w:rPr>
              <w:rFonts w:asciiTheme="minorHAnsi" w:eastAsiaTheme="minorEastAsia" w:hAnsiTheme="minorHAnsi" w:cstheme="minorBidi"/>
              <w:lang w:val="en-US"/>
            </w:rPr>
          </w:pPr>
          <w:hyperlink w:anchor="_Toc10106697" w:history="1">
            <w:r w:rsidR="00804518" w:rsidRPr="003D52E6">
              <w:rPr>
                <w:rStyle w:val="a3"/>
                <w:rFonts w:cstheme="majorHAnsi"/>
              </w:rPr>
              <w:t>3.3.2. Soldul datoriilor beneficiarilor recreditați are tendințe nesemnificative de diminuare în comparație cu anii precedenți.</w:t>
            </w:r>
            <w:r w:rsidR="00804518" w:rsidRPr="003D52E6">
              <w:rPr>
                <w:webHidden/>
              </w:rPr>
              <w:tab/>
            </w:r>
            <w:r w:rsidR="00804518" w:rsidRPr="003D52E6">
              <w:rPr>
                <w:webHidden/>
              </w:rPr>
              <w:fldChar w:fldCharType="begin"/>
            </w:r>
            <w:r w:rsidR="00804518" w:rsidRPr="003D52E6">
              <w:rPr>
                <w:webHidden/>
              </w:rPr>
              <w:instrText xml:space="preserve"> PAGEREF _Toc10106697 \h </w:instrText>
            </w:r>
            <w:r w:rsidR="00804518" w:rsidRPr="003D52E6">
              <w:rPr>
                <w:webHidden/>
              </w:rPr>
            </w:r>
            <w:r w:rsidR="00804518" w:rsidRPr="003D52E6">
              <w:rPr>
                <w:webHidden/>
              </w:rPr>
              <w:fldChar w:fldCharType="separate"/>
            </w:r>
            <w:r w:rsidR="001F4A70">
              <w:rPr>
                <w:webHidden/>
              </w:rPr>
              <w:t>32</w:t>
            </w:r>
            <w:r w:rsidR="00804518" w:rsidRPr="003D52E6">
              <w:rPr>
                <w:webHidden/>
              </w:rPr>
              <w:fldChar w:fldCharType="end"/>
            </w:r>
          </w:hyperlink>
        </w:p>
        <w:p w14:paraId="568A8F3C" w14:textId="2D4D6093" w:rsidR="00804518" w:rsidRPr="003D52E6" w:rsidRDefault="000D4A07">
          <w:pPr>
            <w:pStyle w:val="21"/>
            <w:rPr>
              <w:rFonts w:asciiTheme="minorHAnsi" w:eastAsiaTheme="minorEastAsia" w:hAnsiTheme="minorHAnsi" w:cstheme="minorBidi"/>
              <w:lang w:val="en-US"/>
            </w:rPr>
          </w:pPr>
          <w:hyperlink w:anchor="_Toc10106698" w:history="1">
            <w:r w:rsidR="00804518" w:rsidRPr="003D52E6">
              <w:rPr>
                <w:rStyle w:val="a3"/>
                <w:rFonts w:cstheme="majorHAnsi"/>
              </w:rPr>
              <w:t xml:space="preserve">3.3.3. Deși datoriile cu termenul de achitare expirat pentru împrumuturile recreditate raportate în valută națională continuă să se diminueze, acestea </w:t>
            </w:r>
            <w:r w:rsidR="00804518" w:rsidRPr="003D52E6">
              <w:rPr>
                <w:rStyle w:val="a3"/>
                <w:rFonts w:cstheme="majorHAnsi"/>
                <w:lang w:eastAsia="ru-RU"/>
              </w:rPr>
              <w:t>prezintă un risc sporit de nerecuperare.</w:t>
            </w:r>
            <w:r w:rsidR="00804518" w:rsidRPr="003D52E6">
              <w:rPr>
                <w:webHidden/>
              </w:rPr>
              <w:tab/>
            </w:r>
            <w:r w:rsidR="00804518" w:rsidRPr="003D52E6">
              <w:rPr>
                <w:webHidden/>
              </w:rPr>
              <w:fldChar w:fldCharType="begin"/>
            </w:r>
            <w:r w:rsidR="00804518" w:rsidRPr="003D52E6">
              <w:rPr>
                <w:webHidden/>
              </w:rPr>
              <w:instrText xml:space="preserve"> PAGEREF _Toc10106698 \h </w:instrText>
            </w:r>
            <w:r w:rsidR="00804518" w:rsidRPr="003D52E6">
              <w:rPr>
                <w:webHidden/>
              </w:rPr>
            </w:r>
            <w:r w:rsidR="00804518" w:rsidRPr="003D52E6">
              <w:rPr>
                <w:webHidden/>
              </w:rPr>
              <w:fldChar w:fldCharType="separate"/>
            </w:r>
            <w:r w:rsidR="001F4A70">
              <w:rPr>
                <w:webHidden/>
              </w:rPr>
              <w:t>33</w:t>
            </w:r>
            <w:r w:rsidR="00804518" w:rsidRPr="003D52E6">
              <w:rPr>
                <w:webHidden/>
              </w:rPr>
              <w:fldChar w:fldCharType="end"/>
            </w:r>
          </w:hyperlink>
        </w:p>
        <w:p w14:paraId="1CA5CEFC" w14:textId="7460E95C" w:rsidR="00804518" w:rsidRDefault="000D4A07">
          <w:pPr>
            <w:pStyle w:val="21"/>
            <w:rPr>
              <w:rFonts w:asciiTheme="minorHAnsi" w:eastAsiaTheme="minorEastAsia" w:hAnsiTheme="minorHAnsi" w:cstheme="minorBidi"/>
              <w:lang w:val="en-US"/>
            </w:rPr>
          </w:pPr>
          <w:hyperlink w:anchor="_Toc10106699" w:history="1">
            <w:r w:rsidR="00804518" w:rsidRPr="00564BA2">
              <w:rPr>
                <w:rStyle w:val="a3"/>
                <w:rFonts w:cstheme="majorHAnsi"/>
                <w:b/>
              </w:rPr>
              <w:t>3.4.</w:t>
            </w:r>
            <w:r w:rsidR="00804518">
              <w:rPr>
                <w:rFonts w:asciiTheme="minorHAnsi" w:eastAsiaTheme="minorEastAsia" w:hAnsiTheme="minorHAnsi" w:cstheme="minorBidi"/>
                <w:lang w:val="en-US"/>
              </w:rPr>
              <w:tab/>
            </w:r>
            <w:r w:rsidR="00804518" w:rsidRPr="00564BA2">
              <w:rPr>
                <w:rStyle w:val="a3"/>
                <w:rFonts w:cstheme="majorHAnsi"/>
                <w:b/>
              </w:rPr>
              <w:t>Alte constatări</w:t>
            </w:r>
            <w:r w:rsidR="00804518">
              <w:rPr>
                <w:webHidden/>
              </w:rPr>
              <w:tab/>
            </w:r>
            <w:r w:rsidR="00804518">
              <w:rPr>
                <w:webHidden/>
              </w:rPr>
              <w:fldChar w:fldCharType="begin"/>
            </w:r>
            <w:r w:rsidR="00804518">
              <w:rPr>
                <w:webHidden/>
              </w:rPr>
              <w:instrText xml:space="preserve"> PAGEREF _Toc10106699 \h </w:instrText>
            </w:r>
            <w:r w:rsidR="00804518">
              <w:rPr>
                <w:webHidden/>
              </w:rPr>
            </w:r>
            <w:r w:rsidR="00804518">
              <w:rPr>
                <w:webHidden/>
              </w:rPr>
              <w:fldChar w:fldCharType="separate"/>
            </w:r>
            <w:r w:rsidR="001F4A70">
              <w:rPr>
                <w:webHidden/>
              </w:rPr>
              <w:t>34</w:t>
            </w:r>
            <w:r w:rsidR="00804518">
              <w:rPr>
                <w:webHidden/>
              </w:rPr>
              <w:fldChar w:fldCharType="end"/>
            </w:r>
          </w:hyperlink>
        </w:p>
        <w:p w14:paraId="20025963" w14:textId="2D764877" w:rsidR="00804518" w:rsidRDefault="000D4A07">
          <w:pPr>
            <w:pStyle w:val="21"/>
            <w:rPr>
              <w:rFonts w:asciiTheme="minorHAnsi" w:eastAsiaTheme="minorEastAsia" w:hAnsiTheme="minorHAnsi" w:cstheme="minorBidi"/>
              <w:lang w:val="en-US"/>
            </w:rPr>
          </w:pPr>
          <w:hyperlink w:anchor="_Toc10106700" w:history="1">
            <w:r w:rsidR="00804518" w:rsidRPr="00564BA2">
              <w:rPr>
                <w:rStyle w:val="a3"/>
                <w:rFonts w:cstheme="majorHAnsi"/>
                <w:b/>
              </w:rPr>
              <w:t>3.5. Măsurile întreprinse în vederea implementării recomandărilor precedente ale  Curții de Conturi.</w:t>
            </w:r>
            <w:r w:rsidR="00804518">
              <w:rPr>
                <w:webHidden/>
              </w:rPr>
              <w:tab/>
            </w:r>
            <w:r w:rsidR="00804518">
              <w:rPr>
                <w:webHidden/>
              </w:rPr>
              <w:fldChar w:fldCharType="begin"/>
            </w:r>
            <w:r w:rsidR="00804518">
              <w:rPr>
                <w:webHidden/>
              </w:rPr>
              <w:instrText xml:space="preserve"> PAGEREF _Toc10106700 \h </w:instrText>
            </w:r>
            <w:r w:rsidR="00804518">
              <w:rPr>
                <w:webHidden/>
              </w:rPr>
            </w:r>
            <w:r w:rsidR="00804518">
              <w:rPr>
                <w:webHidden/>
              </w:rPr>
              <w:fldChar w:fldCharType="separate"/>
            </w:r>
            <w:r w:rsidR="001F4A70">
              <w:rPr>
                <w:webHidden/>
              </w:rPr>
              <w:t>34</w:t>
            </w:r>
            <w:r w:rsidR="00804518">
              <w:rPr>
                <w:webHidden/>
              </w:rPr>
              <w:fldChar w:fldCharType="end"/>
            </w:r>
          </w:hyperlink>
        </w:p>
        <w:p w14:paraId="152BFB84" w14:textId="40D3B819" w:rsidR="00804518" w:rsidRDefault="000D4A07">
          <w:pPr>
            <w:pStyle w:val="11"/>
            <w:rPr>
              <w:rFonts w:asciiTheme="minorHAnsi" w:eastAsiaTheme="minorEastAsia" w:hAnsiTheme="minorHAnsi" w:cstheme="minorBidi"/>
              <w:noProof/>
            </w:rPr>
          </w:pPr>
          <w:hyperlink w:anchor="_Toc10106701" w:history="1">
            <w:r w:rsidR="00804518" w:rsidRPr="00564BA2">
              <w:rPr>
                <w:rStyle w:val="a3"/>
                <w:rFonts w:asciiTheme="majorHAnsi" w:hAnsiTheme="majorHAnsi" w:cstheme="majorHAnsi"/>
                <w:b/>
                <w:noProof/>
                <w:lang w:val="ro-RO"/>
              </w:rPr>
              <w:t>IV. CONCLUZIA GENERALĂ</w:t>
            </w:r>
            <w:r w:rsidR="00804518">
              <w:rPr>
                <w:noProof/>
                <w:webHidden/>
              </w:rPr>
              <w:tab/>
            </w:r>
            <w:r w:rsidR="00804518">
              <w:rPr>
                <w:noProof/>
                <w:webHidden/>
              </w:rPr>
              <w:fldChar w:fldCharType="begin"/>
            </w:r>
            <w:r w:rsidR="00804518">
              <w:rPr>
                <w:noProof/>
                <w:webHidden/>
              </w:rPr>
              <w:instrText xml:space="preserve"> PAGEREF _Toc10106701 \h </w:instrText>
            </w:r>
            <w:r w:rsidR="00804518">
              <w:rPr>
                <w:noProof/>
                <w:webHidden/>
              </w:rPr>
            </w:r>
            <w:r w:rsidR="00804518">
              <w:rPr>
                <w:noProof/>
                <w:webHidden/>
              </w:rPr>
              <w:fldChar w:fldCharType="separate"/>
            </w:r>
            <w:r w:rsidR="001F4A70">
              <w:rPr>
                <w:noProof/>
                <w:webHidden/>
              </w:rPr>
              <w:t>35</w:t>
            </w:r>
            <w:r w:rsidR="00804518">
              <w:rPr>
                <w:noProof/>
                <w:webHidden/>
              </w:rPr>
              <w:fldChar w:fldCharType="end"/>
            </w:r>
          </w:hyperlink>
        </w:p>
        <w:p w14:paraId="535CB48B" w14:textId="6450BA1A" w:rsidR="00804518" w:rsidRDefault="000D4A07">
          <w:pPr>
            <w:pStyle w:val="11"/>
            <w:rPr>
              <w:rFonts w:asciiTheme="minorHAnsi" w:eastAsiaTheme="minorEastAsia" w:hAnsiTheme="minorHAnsi" w:cstheme="minorBidi"/>
              <w:noProof/>
            </w:rPr>
          </w:pPr>
          <w:hyperlink w:anchor="_Toc10106702" w:history="1">
            <w:r w:rsidR="00804518" w:rsidRPr="00564BA2">
              <w:rPr>
                <w:rStyle w:val="a3"/>
                <w:rFonts w:asciiTheme="majorHAnsi" w:hAnsiTheme="majorHAnsi" w:cstheme="majorHAnsi"/>
                <w:b/>
                <w:noProof/>
                <w:lang w:val="ro-RO"/>
              </w:rPr>
              <w:t>V. RECOMANDĂRI</w:t>
            </w:r>
            <w:r w:rsidR="00804518">
              <w:rPr>
                <w:noProof/>
                <w:webHidden/>
              </w:rPr>
              <w:tab/>
            </w:r>
            <w:r w:rsidR="00804518">
              <w:rPr>
                <w:noProof/>
                <w:webHidden/>
              </w:rPr>
              <w:fldChar w:fldCharType="begin"/>
            </w:r>
            <w:r w:rsidR="00804518">
              <w:rPr>
                <w:noProof/>
                <w:webHidden/>
              </w:rPr>
              <w:instrText xml:space="preserve"> PAGEREF _Toc10106702 \h </w:instrText>
            </w:r>
            <w:r w:rsidR="00804518">
              <w:rPr>
                <w:noProof/>
                <w:webHidden/>
              </w:rPr>
            </w:r>
            <w:r w:rsidR="00804518">
              <w:rPr>
                <w:noProof/>
                <w:webHidden/>
              </w:rPr>
              <w:fldChar w:fldCharType="separate"/>
            </w:r>
            <w:r w:rsidR="001F4A70">
              <w:rPr>
                <w:noProof/>
                <w:webHidden/>
              </w:rPr>
              <w:t>35</w:t>
            </w:r>
            <w:r w:rsidR="00804518">
              <w:rPr>
                <w:noProof/>
                <w:webHidden/>
              </w:rPr>
              <w:fldChar w:fldCharType="end"/>
            </w:r>
          </w:hyperlink>
        </w:p>
        <w:p w14:paraId="26871E2D" w14:textId="1296A887" w:rsidR="00804518" w:rsidRDefault="000D4A07">
          <w:pPr>
            <w:pStyle w:val="21"/>
            <w:rPr>
              <w:rFonts w:asciiTheme="minorHAnsi" w:eastAsiaTheme="minorEastAsia" w:hAnsiTheme="minorHAnsi" w:cstheme="minorBidi"/>
              <w:lang w:val="en-US"/>
            </w:rPr>
          </w:pPr>
          <w:hyperlink w:anchor="_Toc10106703" w:history="1">
            <w:r w:rsidR="00804518" w:rsidRPr="00564BA2">
              <w:rPr>
                <w:rStyle w:val="a3"/>
                <w:rFonts w:cstheme="majorHAnsi"/>
                <w:b/>
                <w:i/>
              </w:rPr>
              <w:t>Anexa nr.1.</w:t>
            </w:r>
            <w:r w:rsidR="00804518">
              <w:rPr>
                <w:webHidden/>
              </w:rPr>
              <w:tab/>
            </w:r>
            <w:r w:rsidR="00804518">
              <w:rPr>
                <w:webHidden/>
              </w:rPr>
              <w:fldChar w:fldCharType="begin"/>
            </w:r>
            <w:r w:rsidR="00804518">
              <w:rPr>
                <w:webHidden/>
              </w:rPr>
              <w:instrText xml:space="preserve"> PAGEREF _Toc10106703 \h </w:instrText>
            </w:r>
            <w:r w:rsidR="00804518">
              <w:rPr>
                <w:webHidden/>
              </w:rPr>
            </w:r>
            <w:r w:rsidR="00804518">
              <w:rPr>
                <w:webHidden/>
              </w:rPr>
              <w:fldChar w:fldCharType="separate"/>
            </w:r>
            <w:r w:rsidR="001F4A70">
              <w:rPr>
                <w:webHidden/>
              </w:rPr>
              <w:t>37</w:t>
            </w:r>
            <w:r w:rsidR="00804518">
              <w:rPr>
                <w:webHidden/>
              </w:rPr>
              <w:fldChar w:fldCharType="end"/>
            </w:r>
          </w:hyperlink>
        </w:p>
        <w:p w14:paraId="289D6A7B" w14:textId="02FC86A8" w:rsidR="00804518" w:rsidRDefault="000D4A07">
          <w:pPr>
            <w:pStyle w:val="21"/>
            <w:rPr>
              <w:rFonts w:asciiTheme="minorHAnsi" w:eastAsiaTheme="minorEastAsia" w:hAnsiTheme="minorHAnsi" w:cstheme="minorBidi"/>
              <w:lang w:val="en-US"/>
            </w:rPr>
          </w:pPr>
          <w:hyperlink w:anchor="_Toc10106704" w:history="1">
            <w:r w:rsidR="00804518" w:rsidRPr="00564BA2">
              <w:rPr>
                <w:rStyle w:val="a3"/>
                <w:rFonts w:cstheme="majorHAnsi"/>
                <w:b/>
              </w:rPr>
              <w:t>Domeniul de aplicare și metodologia auditului</w:t>
            </w:r>
            <w:r w:rsidR="00804518">
              <w:rPr>
                <w:webHidden/>
              </w:rPr>
              <w:tab/>
            </w:r>
            <w:r w:rsidR="00804518">
              <w:rPr>
                <w:webHidden/>
              </w:rPr>
              <w:fldChar w:fldCharType="begin"/>
            </w:r>
            <w:r w:rsidR="00804518">
              <w:rPr>
                <w:webHidden/>
              </w:rPr>
              <w:instrText xml:space="preserve"> PAGEREF _Toc10106704 \h </w:instrText>
            </w:r>
            <w:r w:rsidR="00804518">
              <w:rPr>
                <w:webHidden/>
              </w:rPr>
            </w:r>
            <w:r w:rsidR="00804518">
              <w:rPr>
                <w:webHidden/>
              </w:rPr>
              <w:fldChar w:fldCharType="separate"/>
            </w:r>
            <w:r w:rsidR="001F4A70">
              <w:rPr>
                <w:webHidden/>
              </w:rPr>
              <w:t>37</w:t>
            </w:r>
            <w:r w:rsidR="00804518">
              <w:rPr>
                <w:webHidden/>
              </w:rPr>
              <w:fldChar w:fldCharType="end"/>
            </w:r>
          </w:hyperlink>
        </w:p>
        <w:p w14:paraId="3A0ACB1F" w14:textId="5966F69D" w:rsidR="00804518" w:rsidRDefault="000D4A07">
          <w:pPr>
            <w:pStyle w:val="21"/>
            <w:rPr>
              <w:rFonts w:asciiTheme="minorHAnsi" w:eastAsiaTheme="minorEastAsia" w:hAnsiTheme="minorHAnsi" w:cstheme="minorBidi"/>
              <w:lang w:val="en-US"/>
            </w:rPr>
          </w:pPr>
          <w:hyperlink w:anchor="_Toc10106705" w:history="1">
            <w:r w:rsidR="00804518" w:rsidRPr="00564BA2">
              <w:rPr>
                <w:rStyle w:val="a3"/>
                <w:rFonts w:cstheme="majorHAnsi"/>
                <w:b/>
                <w:i/>
              </w:rPr>
              <w:t>Anexa nr.2</w:t>
            </w:r>
            <w:r w:rsidR="00804518" w:rsidRPr="00564BA2">
              <w:rPr>
                <w:rStyle w:val="a3"/>
                <w:rFonts w:cstheme="majorHAnsi"/>
                <w:b/>
              </w:rPr>
              <w:t xml:space="preserve"> (Tabele)</w:t>
            </w:r>
            <w:r w:rsidR="00804518">
              <w:rPr>
                <w:webHidden/>
              </w:rPr>
              <w:tab/>
            </w:r>
            <w:r w:rsidR="00804518">
              <w:rPr>
                <w:webHidden/>
              </w:rPr>
              <w:fldChar w:fldCharType="begin"/>
            </w:r>
            <w:r w:rsidR="00804518">
              <w:rPr>
                <w:webHidden/>
              </w:rPr>
              <w:instrText xml:space="preserve"> PAGEREF _Toc10106705 \h </w:instrText>
            </w:r>
            <w:r w:rsidR="00804518">
              <w:rPr>
                <w:webHidden/>
              </w:rPr>
            </w:r>
            <w:r w:rsidR="00804518">
              <w:rPr>
                <w:webHidden/>
              </w:rPr>
              <w:fldChar w:fldCharType="separate"/>
            </w:r>
            <w:r w:rsidR="001F4A70">
              <w:rPr>
                <w:webHidden/>
              </w:rPr>
              <w:t>39</w:t>
            </w:r>
            <w:r w:rsidR="00804518">
              <w:rPr>
                <w:webHidden/>
              </w:rPr>
              <w:fldChar w:fldCharType="end"/>
            </w:r>
          </w:hyperlink>
        </w:p>
        <w:p w14:paraId="4B1F4751" w14:textId="1F4DCFB4" w:rsidR="00804518" w:rsidRDefault="000D4A07">
          <w:pPr>
            <w:pStyle w:val="21"/>
            <w:rPr>
              <w:rFonts w:asciiTheme="minorHAnsi" w:eastAsiaTheme="minorEastAsia" w:hAnsiTheme="minorHAnsi" w:cstheme="minorBidi"/>
              <w:lang w:val="en-US"/>
            </w:rPr>
          </w:pPr>
          <w:hyperlink w:anchor="_Toc10106706" w:history="1">
            <w:r w:rsidR="00804518" w:rsidRPr="00564BA2">
              <w:rPr>
                <w:rStyle w:val="a3"/>
                <w:rFonts w:cstheme="majorHAnsi"/>
                <w:b/>
                <w:i/>
              </w:rPr>
              <w:t xml:space="preserve">Anexa nr.3 </w:t>
            </w:r>
            <w:r w:rsidR="00804518" w:rsidRPr="00564BA2">
              <w:rPr>
                <w:rStyle w:val="a3"/>
                <w:rFonts w:cstheme="majorHAnsi"/>
                <w:b/>
              </w:rPr>
              <w:t>(Figuri)</w:t>
            </w:r>
            <w:r w:rsidR="00804518">
              <w:rPr>
                <w:webHidden/>
              </w:rPr>
              <w:tab/>
            </w:r>
            <w:r w:rsidR="00804518">
              <w:rPr>
                <w:webHidden/>
              </w:rPr>
              <w:fldChar w:fldCharType="begin"/>
            </w:r>
            <w:r w:rsidR="00804518">
              <w:rPr>
                <w:webHidden/>
              </w:rPr>
              <w:instrText xml:space="preserve"> PAGEREF _Toc10106706 \h </w:instrText>
            </w:r>
            <w:r w:rsidR="00804518">
              <w:rPr>
                <w:webHidden/>
              </w:rPr>
            </w:r>
            <w:r w:rsidR="00804518">
              <w:rPr>
                <w:webHidden/>
              </w:rPr>
              <w:fldChar w:fldCharType="separate"/>
            </w:r>
            <w:r w:rsidR="001F4A70">
              <w:rPr>
                <w:webHidden/>
              </w:rPr>
              <w:t>46</w:t>
            </w:r>
            <w:r w:rsidR="00804518">
              <w:rPr>
                <w:webHidden/>
              </w:rPr>
              <w:fldChar w:fldCharType="end"/>
            </w:r>
          </w:hyperlink>
        </w:p>
        <w:p w14:paraId="2BEFDACD" w14:textId="40E6BA43" w:rsidR="0080644A" w:rsidRPr="008E6807" w:rsidRDefault="0080644A">
          <w:pPr>
            <w:rPr>
              <w:lang w:val="ro-RO"/>
            </w:rPr>
          </w:pPr>
          <w:r w:rsidRPr="001360C9">
            <w:rPr>
              <w:b/>
              <w:bCs/>
              <w:noProof/>
            </w:rPr>
            <w:fldChar w:fldCharType="end"/>
          </w:r>
        </w:p>
      </w:sdtContent>
    </w:sdt>
    <w:p w14:paraId="2B447E15" w14:textId="75C70F50" w:rsidR="001453D3" w:rsidRPr="00775266" w:rsidRDefault="00FF4F43" w:rsidP="0080644A">
      <w:pPr>
        <w:pStyle w:val="11"/>
        <w:ind w:right="-285"/>
        <w:rPr>
          <w:rFonts w:asciiTheme="majorHAnsi" w:hAnsiTheme="majorHAnsi" w:cstheme="majorHAnsi"/>
          <w:sz w:val="28"/>
          <w:szCs w:val="28"/>
          <w:lang w:val="ro-RO"/>
        </w:rPr>
      </w:pPr>
      <w:r w:rsidRPr="00775266">
        <w:rPr>
          <w:rFonts w:asciiTheme="majorHAnsi" w:hAnsiTheme="majorHAnsi" w:cstheme="majorHAnsi"/>
          <w:sz w:val="28"/>
          <w:szCs w:val="28"/>
          <w:lang w:val="ro-RO"/>
        </w:rPr>
        <w:fldChar w:fldCharType="begin"/>
      </w:r>
      <w:r w:rsidRPr="00775266">
        <w:rPr>
          <w:rFonts w:asciiTheme="majorHAnsi" w:hAnsiTheme="majorHAnsi" w:cstheme="majorHAnsi"/>
          <w:sz w:val="28"/>
          <w:szCs w:val="28"/>
          <w:lang w:val="ro-RO"/>
        </w:rPr>
        <w:instrText xml:space="preserve"> TOC \o "1-3" \h \z \u </w:instrText>
      </w:r>
      <w:r w:rsidRPr="00775266">
        <w:rPr>
          <w:rFonts w:asciiTheme="majorHAnsi" w:hAnsiTheme="majorHAnsi" w:cstheme="majorHAnsi"/>
          <w:sz w:val="28"/>
          <w:szCs w:val="28"/>
          <w:lang w:val="ro-RO"/>
        </w:rPr>
        <w:fldChar w:fldCharType="end"/>
      </w:r>
    </w:p>
    <w:p w14:paraId="7DA5A3BF" w14:textId="77777777" w:rsidR="006E4771" w:rsidRPr="00ED0314" w:rsidRDefault="006E4771" w:rsidP="00576CBE">
      <w:pPr>
        <w:pStyle w:val="1"/>
        <w:jc w:val="center"/>
        <w:rPr>
          <w:rFonts w:asciiTheme="majorHAnsi" w:hAnsiTheme="majorHAnsi" w:cstheme="majorHAnsi"/>
          <w:b/>
          <w:color w:val="auto"/>
          <w:sz w:val="24"/>
          <w:szCs w:val="24"/>
          <w:lang w:val="ro-RO"/>
        </w:rPr>
      </w:pPr>
      <w:bookmarkStart w:id="1" w:name="_Toc515442947"/>
      <w:bookmarkStart w:id="2" w:name="_Toc10106673"/>
      <w:r w:rsidRPr="00ED0314">
        <w:rPr>
          <w:rFonts w:asciiTheme="majorHAnsi" w:hAnsiTheme="majorHAnsi" w:cstheme="majorHAnsi"/>
          <w:b/>
          <w:color w:val="auto"/>
          <w:sz w:val="24"/>
          <w:szCs w:val="24"/>
          <w:lang w:val="ro-RO"/>
        </w:rPr>
        <w:lastRenderedPageBreak/>
        <w:t>LISTA ACRONIMELOR</w:t>
      </w:r>
      <w:bookmarkEnd w:id="0"/>
      <w:bookmarkEnd w:id="1"/>
      <w:bookmarkEnd w:id="2"/>
    </w:p>
    <w:p w14:paraId="5687D876" w14:textId="77777777" w:rsidR="006E4771" w:rsidRPr="00ED0314" w:rsidRDefault="006E4771" w:rsidP="006E4771">
      <w:pPr>
        <w:rPr>
          <w:rFonts w:asciiTheme="majorHAnsi" w:hAnsiTheme="majorHAnsi" w:cstheme="majorHAnsi"/>
          <w:sz w:val="24"/>
          <w:szCs w:val="24"/>
          <w:lang w:val="ro-RO" w:eastAsia="ru-RU"/>
        </w:rPr>
      </w:pPr>
    </w:p>
    <w:tbl>
      <w:tblPr>
        <w:tblW w:w="0" w:type="auto"/>
        <w:tblLook w:val="04A0" w:firstRow="1" w:lastRow="0" w:firstColumn="1" w:lastColumn="0" w:noHBand="0" w:noVBand="1"/>
      </w:tblPr>
      <w:tblGrid>
        <w:gridCol w:w="2472"/>
        <w:gridCol w:w="6872"/>
      </w:tblGrid>
      <w:tr w:rsidR="006E4771" w:rsidRPr="00ED0314" w14:paraId="7E530B75" w14:textId="77777777" w:rsidTr="00A55039">
        <w:tc>
          <w:tcPr>
            <w:tcW w:w="2472" w:type="dxa"/>
          </w:tcPr>
          <w:p w14:paraId="34880D4C" w14:textId="77777777" w:rsidR="006E4771" w:rsidRPr="00ED0314" w:rsidRDefault="006E4771" w:rsidP="00DB2609">
            <w:pPr>
              <w:pStyle w:val="a6"/>
              <w:rPr>
                <w:rFonts w:asciiTheme="majorHAnsi" w:hAnsiTheme="majorHAnsi" w:cstheme="majorHAnsi"/>
                <w:bCs/>
                <w:sz w:val="24"/>
                <w:szCs w:val="24"/>
                <w:lang w:val="ro-RO"/>
              </w:rPr>
            </w:pPr>
            <w:r w:rsidRPr="00ED0314">
              <w:rPr>
                <w:rFonts w:asciiTheme="majorHAnsi" w:hAnsiTheme="majorHAnsi" w:cstheme="majorHAnsi"/>
                <w:bCs/>
                <w:sz w:val="24"/>
                <w:szCs w:val="24"/>
                <w:lang w:val="ro-RO"/>
              </w:rPr>
              <w:t>AID</w:t>
            </w:r>
          </w:p>
          <w:p w14:paraId="6272DBB2" w14:textId="77777777" w:rsidR="00B77C41" w:rsidRPr="00ED0314" w:rsidRDefault="00B77C41" w:rsidP="00DB2609">
            <w:pPr>
              <w:pStyle w:val="a6"/>
              <w:rPr>
                <w:rFonts w:asciiTheme="majorHAnsi" w:hAnsiTheme="majorHAnsi" w:cstheme="majorHAnsi"/>
                <w:bCs/>
                <w:sz w:val="24"/>
                <w:szCs w:val="24"/>
                <w:lang w:val="ro-RO"/>
              </w:rPr>
            </w:pPr>
            <w:r w:rsidRPr="00ED0314">
              <w:rPr>
                <w:rFonts w:asciiTheme="majorHAnsi" w:hAnsiTheme="majorHAnsi" w:cstheme="majorHAnsi"/>
                <w:bCs/>
                <w:sz w:val="24"/>
                <w:szCs w:val="24"/>
                <w:lang w:val="ro-RO"/>
              </w:rPr>
              <w:t>APL</w:t>
            </w:r>
          </w:p>
        </w:tc>
        <w:tc>
          <w:tcPr>
            <w:tcW w:w="6872" w:type="dxa"/>
          </w:tcPr>
          <w:p w14:paraId="6B63399E" w14:textId="77777777" w:rsidR="006E4771" w:rsidRPr="00ED0314" w:rsidRDefault="006E4771" w:rsidP="00DB2609">
            <w:pPr>
              <w:pStyle w:val="a6"/>
              <w:jc w:val="both"/>
              <w:rPr>
                <w:rFonts w:asciiTheme="majorHAnsi" w:hAnsiTheme="majorHAnsi" w:cstheme="majorHAnsi"/>
                <w:bCs/>
                <w:sz w:val="24"/>
                <w:szCs w:val="24"/>
                <w:lang w:val="ro-RO"/>
              </w:rPr>
            </w:pPr>
            <w:r w:rsidRPr="00ED0314">
              <w:rPr>
                <w:rFonts w:asciiTheme="majorHAnsi" w:hAnsiTheme="majorHAnsi" w:cstheme="majorHAnsi"/>
                <w:bCs/>
                <w:sz w:val="24"/>
                <w:szCs w:val="24"/>
                <w:lang w:val="ro-RO"/>
              </w:rPr>
              <w:t>Asociația Internațională de Dezvoltare</w:t>
            </w:r>
          </w:p>
          <w:p w14:paraId="58A64933" w14:textId="77777777" w:rsidR="00B77C41" w:rsidRPr="00ED0314" w:rsidRDefault="00C85707" w:rsidP="00DB2609">
            <w:pPr>
              <w:pStyle w:val="a6"/>
              <w:jc w:val="both"/>
              <w:rPr>
                <w:rFonts w:asciiTheme="majorHAnsi" w:hAnsiTheme="majorHAnsi" w:cstheme="majorHAnsi"/>
                <w:bCs/>
                <w:sz w:val="24"/>
                <w:szCs w:val="24"/>
                <w:lang w:val="ro-RO"/>
              </w:rPr>
            </w:pPr>
            <w:r w:rsidRPr="00ED0314">
              <w:rPr>
                <w:rFonts w:asciiTheme="majorHAnsi" w:hAnsiTheme="majorHAnsi" w:cstheme="majorHAnsi"/>
                <w:bCs/>
                <w:sz w:val="24"/>
                <w:szCs w:val="24"/>
                <w:lang w:val="ro-RO"/>
              </w:rPr>
              <w:t>Autoritate publică locală</w:t>
            </w:r>
          </w:p>
        </w:tc>
      </w:tr>
      <w:tr w:rsidR="006E4771" w:rsidRPr="00ED0314" w14:paraId="3B1F5214" w14:textId="77777777" w:rsidTr="00A55039">
        <w:tc>
          <w:tcPr>
            <w:tcW w:w="2472" w:type="dxa"/>
          </w:tcPr>
          <w:p w14:paraId="52EB70DA" w14:textId="77777777" w:rsidR="006E4771" w:rsidRPr="00ED0314" w:rsidRDefault="006E4771"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BC</w:t>
            </w:r>
          </w:p>
        </w:tc>
        <w:tc>
          <w:tcPr>
            <w:tcW w:w="6872" w:type="dxa"/>
          </w:tcPr>
          <w:p w14:paraId="2D554405" w14:textId="6355E842" w:rsidR="006E4771" w:rsidRPr="00ED0314" w:rsidRDefault="006E4771" w:rsidP="00DB2609">
            <w:pPr>
              <w:pStyle w:val="a6"/>
              <w:jc w:val="both"/>
              <w:rPr>
                <w:rFonts w:asciiTheme="majorHAnsi" w:hAnsiTheme="majorHAnsi" w:cstheme="majorHAnsi"/>
                <w:sz w:val="24"/>
                <w:szCs w:val="24"/>
                <w:lang w:val="ro-RO"/>
              </w:rPr>
            </w:pPr>
            <w:r w:rsidRPr="00ED0314">
              <w:rPr>
                <w:rFonts w:asciiTheme="majorHAnsi" w:hAnsiTheme="majorHAnsi" w:cstheme="majorHAnsi"/>
                <w:sz w:val="24"/>
                <w:szCs w:val="24"/>
                <w:lang w:val="ro-RO"/>
              </w:rPr>
              <w:t>Banc</w:t>
            </w:r>
            <w:r w:rsidR="00B77C41" w:rsidRPr="00ED0314">
              <w:rPr>
                <w:rFonts w:asciiTheme="majorHAnsi" w:hAnsiTheme="majorHAnsi" w:cstheme="majorHAnsi"/>
                <w:sz w:val="24"/>
                <w:szCs w:val="24"/>
                <w:lang w:val="ro-RO"/>
              </w:rPr>
              <w:t>a</w:t>
            </w:r>
            <w:r w:rsidRPr="00ED0314">
              <w:rPr>
                <w:rFonts w:asciiTheme="majorHAnsi" w:hAnsiTheme="majorHAnsi" w:cstheme="majorHAnsi"/>
                <w:sz w:val="24"/>
                <w:szCs w:val="24"/>
                <w:lang w:val="ro-RO"/>
              </w:rPr>
              <w:t xml:space="preserve"> </w:t>
            </w:r>
            <w:r w:rsidR="00590854">
              <w:rPr>
                <w:rFonts w:asciiTheme="majorHAnsi" w:hAnsiTheme="majorHAnsi" w:cstheme="majorHAnsi"/>
                <w:sz w:val="24"/>
                <w:szCs w:val="24"/>
                <w:lang w:val="ro-RO"/>
              </w:rPr>
              <w:t>C</w:t>
            </w:r>
            <w:r w:rsidRPr="00ED0314">
              <w:rPr>
                <w:rFonts w:asciiTheme="majorHAnsi" w:hAnsiTheme="majorHAnsi" w:cstheme="majorHAnsi"/>
                <w:sz w:val="24"/>
                <w:szCs w:val="24"/>
                <w:lang w:val="ro-RO"/>
              </w:rPr>
              <w:t>omercială</w:t>
            </w:r>
          </w:p>
        </w:tc>
      </w:tr>
      <w:tr w:rsidR="006E4771" w:rsidRPr="00ED0314" w14:paraId="16837BD9" w14:textId="77777777" w:rsidTr="00A55039">
        <w:tc>
          <w:tcPr>
            <w:tcW w:w="2472" w:type="dxa"/>
          </w:tcPr>
          <w:p w14:paraId="3B9C9013" w14:textId="77777777" w:rsidR="006E4771" w:rsidRPr="00ED0314" w:rsidRDefault="006E4771"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BEI</w:t>
            </w:r>
          </w:p>
        </w:tc>
        <w:tc>
          <w:tcPr>
            <w:tcW w:w="6872" w:type="dxa"/>
          </w:tcPr>
          <w:p w14:paraId="004FF555" w14:textId="77777777" w:rsidR="006E4771" w:rsidRPr="00ED0314" w:rsidRDefault="006E4771" w:rsidP="00DB2609">
            <w:pPr>
              <w:pStyle w:val="a6"/>
              <w:jc w:val="both"/>
              <w:rPr>
                <w:rFonts w:asciiTheme="majorHAnsi" w:hAnsiTheme="majorHAnsi" w:cstheme="majorHAnsi"/>
                <w:sz w:val="24"/>
                <w:szCs w:val="24"/>
                <w:lang w:val="ro-RO"/>
              </w:rPr>
            </w:pPr>
            <w:r w:rsidRPr="00ED0314">
              <w:rPr>
                <w:rFonts w:asciiTheme="majorHAnsi" w:hAnsiTheme="majorHAnsi" w:cstheme="majorHAnsi"/>
                <w:sz w:val="24"/>
                <w:szCs w:val="24"/>
                <w:lang w:val="ro-RO"/>
              </w:rPr>
              <w:t>Banca Europeană de Investiții</w:t>
            </w:r>
          </w:p>
        </w:tc>
      </w:tr>
      <w:tr w:rsidR="006E4771" w:rsidRPr="00ED0314" w14:paraId="793195FB" w14:textId="77777777" w:rsidTr="00A55039">
        <w:tc>
          <w:tcPr>
            <w:tcW w:w="2472" w:type="dxa"/>
          </w:tcPr>
          <w:p w14:paraId="4D32EFA0" w14:textId="77777777" w:rsidR="006E4771" w:rsidRPr="00ED0314" w:rsidRDefault="006E4771"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BIRD</w:t>
            </w:r>
          </w:p>
        </w:tc>
        <w:tc>
          <w:tcPr>
            <w:tcW w:w="6872" w:type="dxa"/>
          </w:tcPr>
          <w:p w14:paraId="361FB362" w14:textId="77777777" w:rsidR="006E4771" w:rsidRPr="00ED0314" w:rsidRDefault="006E4771" w:rsidP="00DB2609">
            <w:pPr>
              <w:pStyle w:val="a6"/>
              <w:jc w:val="both"/>
              <w:rPr>
                <w:rFonts w:asciiTheme="majorHAnsi" w:hAnsiTheme="majorHAnsi" w:cstheme="majorHAnsi"/>
                <w:sz w:val="24"/>
                <w:szCs w:val="24"/>
                <w:lang w:val="ro-RO"/>
              </w:rPr>
            </w:pPr>
            <w:r w:rsidRPr="00ED0314">
              <w:rPr>
                <w:rFonts w:asciiTheme="majorHAnsi" w:hAnsiTheme="majorHAnsi" w:cstheme="majorHAnsi"/>
                <w:sz w:val="24"/>
                <w:szCs w:val="24"/>
                <w:lang w:val="ro-RO"/>
              </w:rPr>
              <w:t>Banca Internațională pentru Reconstrucție și Dezvoltare</w:t>
            </w:r>
          </w:p>
        </w:tc>
      </w:tr>
      <w:tr w:rsidR="00F3738B" w:rsidRPr="00ED0314" w14:paraId="3A2F84E3" w14:textId="77777777" w:rsidTr="00A55039">
        <w:tc>
          <w:tcPr>
            <w:tcW w:w="2472" w:type="dxa"/>
          </w:tcPr>
          <w:p w14:paraId="7E53C726" w14:textId="77777777" w:rsidR="00F3738B" w:rsidRPr="00ED0314" w:rsidRDefault="00F3738B"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BERD</w:t>
            </w:r>
          </w:p>
        </w:tc>
        <w:tc>
          <w:tcPr>
            <w:tcW w:w="6872" w:type="dxa"/>
          </w:tcPr>
          <w:p w14:paraId="6F0BFE81" w14:textId="77777777" w:rsidR="00F3738B" w:rsidRPr="00ED0314" w:rsidRDefault="00F3738B" w:rsidP="00DB2609">
            <w:pPr>
              <w:pStyle w:val="a6"/>
              <w:jc w:val="both"/>
              <w:rPr>
                <w:rFonts w:asciiTheme="majorHAnsi" w:hAnsiTheme="majorHAnsi" w:cstheme="majorHAnsi"/>
                <w:sz w:val="24"/>
                <w:szCs w:val="24"/>
                <w:lang w:val="ro-RO"/>
              </w:rPr>
            </w:pPr>
            <w:r w:rsidRPr="00ED0314">
              <w:rPr>
                <w:rFonts w:asciiTheme="majorHAnsi" w:hAnsiTheme="majorHAnsi" w:cstheme="majorHAnsi"/>
                <w:sz w:val="24"/>
                <w:szCs w:val="24"/>
                <w:lang w:val="ro-RO"/>
              </w:rPr>
              <w:t>Banca Europeană</w:t>
            </w:r>
            <w:r w:rsidR="002275ED" w:rsidRPr="00ED0314">
              <w:rPr>
                <w:rFonts w:asciiTheme="majorHAnsi" w:hAnsiTheme="majorHAnsi" w:cstheme="majorHAnsi"/>
                <w:sz w:val="24"/>
                <w:szCs w:val="24"/>
                <w:lang w:val="ro-RO"/>
              </w:rPr>
              <w:t xml:space="preserve"> pentru Reconstrucție și Dezvoltare</w:t>
            </w:r>
          </w:p>
        </w:tc>
      </w:tr>
      <w:tr w:rsidR="00C57713" w:rsidRPr="00ED0314" w14:paraId="634D38CD" w14:textId="77777777" w:rsidTr="00A55039">
        <w:tc>
          <w:tcPr>
            <w:tcW w:w="2472" w:type="dxa"/>
          </w:tcPr>
          <w:p w14:paraId="4C09D334" w14:textId="77777777" w:rsidR="00C57713" w:rsidRPr="00ED0314" w:rsidRDefault="00C57713"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BDCE</w:t>
            </w:r>
          </w:p>
        </w:tc>
        <w:tc>
          <w:tcPr>
            <w:tcW w:w="6872" w:type="dxa"/>
          </w:tcPr>
          <w:p w14:paraId="2FF84A75" w14:textId="77777777" w:rsidR="00C57713" w:rsidRPr="00ED0314" w:rsidRDefault="00C57713" w:rsidP="00DB2609">
            <w:pPr>
              <w:pStyle w:val="a6"/>
              <w:jc w:val="both"/>
              <w:rPr>
                <w:rFonts w:asciiTheme="majorHAnsi" w:hAnsiTheme="majorHAnsi" w:cstheme="majorHAnsi"/>
                <w:sz w:val="24"/>
                <w:szCs w:val="24"/>
                <w:lang w:val="ro-RO"/>
              </w:rPr>
            </w:pPr>
            <w:r w:rsidRPr="00ED0314">
              <w:rPr>
                <w:rFonts w:asciiTheme="majorHAnsi" w:hAnsiTheme="majorHAnsi" w:cstheme="majorHAnsi"/>
                <w:sz w:val="24"/>
                <w:szCs w:val="24"/>
                <w:lang w:val="ro-RO"/>
              </w:rPr>
              <w:t>Banca de Dezvoltare a Consiliului Europei</w:t>
            </w:r>
          </w:p>
        </w:tc>
      </w:tr>
      <w:tr w:rsidR="006E4771" w:rsidRPr="00ED0314" w14:paraId="1CB41218" w14:textId="77777777" w:rsidTr="00A55039">
        <w:tc>
          <w:tcPr>
            <w:tcW w:w="2472" w:type="dxa"/>
          </w:tcPr>
          <w:p w14:paraId="2489098F" w14:textId="77777777" w:rsidR="006E4771" w:rsidRPr="00ED0314" w:rsidRDefault="006E4771"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BM</w:t>
            </w:r>
          </w:p>
        </w:tc>
        <w:tc>
          <w:tcPr>
            <w:tcW w:w="6872" w:type="dxa"/>
          </w:tcPr>
          <w:p w14:paraId="38407ACE" w14:textId="77777777" w:rsidR="006E4771" w:rsidRPr="00ED0314" w:rsidRDefault="006E4771" w:rsidP="00DB2609">
            <w:pPr>
              <w:pStyle w:val="a6"/>
              <w:jc w:val="both"/>
              <w:rPr>
                <w:rFonts w:asciiTheme="majorHAnsi" w:hAnsiTheme="majorHAnsi" w:cstheme="majorHAnsi"/>
                <w:sz w:val="24"/>
                <w:szCs w:val="24"/>
                <w:lang w:val="ro-RO"/>
              </w:rPr>
            </w:pPr>
            <w:r w:rsidRPr="00ED0314">
              <w:rPr>
                <w:rFonts w:asciiTheme="majorHAnsi" w:hAnsiTheme="majorHAnsi" w:cstheme="majorHAnsi"/>
                <w:sz w:val="24"/>
                <w:szCs w:val="24"/>
                <w:lang w:val="ro-RO"/>
              </w:rPr>
              <w:t>Banca Mondială</w:t>
            </w:r>
          </w:p>
        </w:tc>
      </w:tr>
      <w:tr w:rsidR="006E4771" w:rsidRPr="00ED0314" w14:paraId="3D229D0E" w14:textId="77777777" w:rsidTr="00A55039">
        <w:tc>
          <w:tcPr>
            <w:tcW w:w="2472" w:type="dxa"/>
          </w:tcPr>
          <w:p w14:paraId="4326F3B7" w14:textId="77777777" w:rsidR="006E4771" w:rsidRPr="00ED0314" w:rsidRDefault="006E4771"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BNM</w:t>
            </w:r>
          </w:p>
        </w:tc>
        <w:tc>
          <w:tcPr>
            <w:tcW w:w="6872" w:type="dxa"/>
          </w:tcPr>
          <w:p w14:paraId="48609AE2" w14:textId="77777777" w:rsidR="006E4771" w:rsidRPr="00ED0314" w:rsidRDefault="006E4771" w:rsidP="00DB2609">
            <w:pPr>
              <w:pStyle w:val="a6"/>
              <w:jc w:val="both"/>
              <w:rPr>
                <w:rFonts w:asciiTheme="majorHAnsi" w:hAnsiTheme="majorHAnsi" w:cstheme="majorHAnsi"/>
                <w:sz w:val="24"/>
                <w:szCs w:val="24"/>
                <w:lang w:val="ro-RO"/>
              </w:rPr>
            </w:pPr>
            <w:r w:rsidRPr="00ED0314">
              <w:rPr>
                <w:rFonts w:asciiTheme="majorHAnsi" w:hAnsiTheme="majorHAnsi" w:cstheme="majorHAnsi"/>
                <w:sz w:val="24"/>
                <w:szCs w:val="24"/>
                <w:lang w:val="ro-RO"/>
              </w:rPr>
              <w:t>Banca Națională a Moldovei</w:t>
            </w:r>
          </w:p>
        </w:tc>
      </w:tr>
      <w:tr w:rsidR="006E4771" w:rsidRPr="00ED0314" w14:paraId="42FBF282" w14:textId="77777777" w:rsidTr="00A55039">
        <w:tc>
          <w:tcPr>
            <w:tcW w:w="2472" w:type="dxa"/>
          </w:tcPr>
          <w:p w14:paraId="73EFEA77" w14:textId="77777777" w:rsidR="006E4771" w:rsidRPr="00ED0314" w:rsidRDefault="006E4771" w:rsidP="00DB2609">
            <w:pPr>
              <w:pStyle w:val="a6"/>
              <w:rPr>
                <w:rFonts w:asciiTheme="majorHAnsi" w:hAnsiTheme="majorHAnsi" w:cstheme="majorHAnsi"/>
                <w:bCs/>
                <w:sz w:val="24"/>
                <w:szCs w:val="24"/>
                <w:lang w:val="ro-RO"/>
              </w:rPr>
            </w:pPr>
            <w:r w:rsidRPr="00ED0314">
              <w:rPr>
                <w:rFonts w:asciiTheme="majorHAnsi" w:hAnsiTheme="majorHAnsi" w:cstheme="majorHAnsi"/>
                <w:bCs/>
                <w:sz w:val="24"/>
                <w:szCs w:val="24"/>
                <w:lang w:val="ro-RO"/>
              </w:rPr>
              <w:t>BNS</w:t>
            </w:r>
          </w:p>
        </w:tc>
        <w:tc>
          <w:tcPr>
            <w:tcW w:w="6872" w:type="dxa"/>
          </w:tcPr>
          <w:p w14:paraId="5602C2E7" w14:textId="77777777" w:rsidR="006E4771" w:rsidRPr="00ED0314" w:rsidRDefault="006E4771" w:rsidP="00DB2609">
            <w:pPr>
              <w:pStyle w:val="a6"/>
              <w:jc w:val="both"/>
              <w:rPr>
                <w:rFonts w:asciiTheme="majorHAnsi" w:hAnsiTheme="majorHAnsi" w:cstheme="majorHAnsi"/>
                <w:bCs/>
                <w:sz w:val="24"/>
                <w:szCs w:val="24"/>
                <w:lang w:val="ro-RO"/>
              </w:rPr>
            </w:pPr>
            <w:r w:rsidRPr="00ED0314">
              <w:rPr>
                <w:rFonts w:asciiTheme="majorHAnsi" w:hAnsiTheme="majorHAnsi" w:cstheme="majorHAnsi"/>
                <w:bCs/>
                <w:sz w:val="24"/>
                <w:szCs w:val="24"/>
                <w:lang w:val="ro-RO"/>
              </w:rPr>
              <w:t>Biroul Național de Statistică</w:t>
            </w:r>
          </w:p>
        </w:tc>
      </w:tr>
      <w:tr w:rsidR="006E4771" w:rsidRPr="00ED0314" w14:paraId="75D9A66A" w14:textId="77777777" w:rsidTr="00A55039">
        <w:tc>
          <w:tcPr>
            <w:tcW w:w="2472" w:type="dxa"/>
          </w:tcPr>
          <w:p w14:paraId="56932FDB" w14:textId="77777777" w:rsidR="006E4771" w:rsidRPr="00ED0314" w:rsidRDefault="006E4771" w:rsidP="00DB2609">
            <w:pPr>
              <w:pStyle w:val="a6"/>
              <w:rPr>
                <w:rFonts w:asciiTheme="majorHAnsi" w:hAnsiTheme="majorHAnsi" w:cstheme="majorHAnsi"/>
                <w:sz w:val="24"/>
                <w:szCs w:val="24"/>
                <w:lang w:val="ro-RO"/>
              </w:rPr>
            </w:pPr>
            <w:r w:rsidRPr="00ED0314">
              <w:rPr>
                <w:rFonts w:asciiTheme="majorHAnsi" w:hAnsiTheme="majorHAnsi" w:cstheme="majorHAnsi"/>
                <w:bCs/>
                <w:sz w:val="24"/>
                <w:szCs w:val="24"/>
                <w:lang w:val="ro-RO"/>
              </w:rPr>
              <w:t>BT</w:t>
            </w:r>
          </w:p>
        </w:tc>
        <w:tc>
          <w:tcPr>
            <w:tcW w:w="6872" w:type="dxa"/>
          </w:tcPr>
          <w:p w14:paraId="679FBB19" w14:textId="77777777" w:rsidR="006E4771" w:rsidRPr="00ED0314" w:rsidRDefault="006E4771" w:rsidP="00DB2609">
            <w:pPr>
              <w:pStyle w:val="a6"/>
              <w:jc w:val="both"/>
              <w:rPr>
                <w:rFonts w:asciiTheme="majorHAnsi" w:hAnsiTheme="majorHAnsi" w:cstheme="majorHAnsi"/>
                <w:sz w:val="24"/>
                <w:szCs w:val="24"/>
                <w:lang w:val="ro-RO"/>
              </w:rPr>
            </w:pPr>
            <w:r w:rsidRPr="00ED0314">
              <w:rPr>
                <w:rFonts w:asciiTheme="majorHAnsi" w:hAnsiTheme="majorHAnsi" w:cstheme="majorHAnsi"/>
                <w:bCs/>
                <w:sz w:val="24"/>
                <w:szCs w:val="24"/>
                <w:lang w:val="ro-RO"/>
              </w:rPr>
              <w:t>Bonuri de trezorerie</w:t>
            </w:r>
          </w:p>
        </w:tc>
      </w:tr>
      <w:tr w:rsidR="006E4771" w:rsidRPr="00ED0314" w14:paraId="6B77A59B" w14:textId="77777777" w:rsidTr="00A55039">
        <w:tc>
          <w:tcPr>
            <w:tcW w:w="2472" w:type="dxa"/>
          </w:tcPr>
          <w:p w14:paraId="39D225C5" w14:textId="77777777" w:rsidR="006E4771" w:rsidRPr="00ED0314" w:rsidRDefault="006E4771"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DLC</w:t>
            </w:r>
          </w:p>
        </w:tc>
        <w:tc>
          <w:tcPr>
            <w:tcW w:w="6872" w:type="dxa"/>
          </w:tcPr>
          <w:p w14:paraId="4DFFDABF" w14:textId="6F02B07B" w:rsidR="006E4771" w:rsidRPr="00ED0314" w:rsidRDefault="006E4771" w:rsidP="00DB2609">
            <w:pPr>
              <w:pStyle w:val="a6"/>
              <w:jc w:val="both"/>
              <w:rPr>
                <w:rFonts w:asciiTheme="majorHAnsi" w:hAnsiTheme="majorHAnsi" w:cstheme="majorHAnsi"/>
                <w:sz w:val="24"/>
                <w:szCs w:val="24"/>
                <w:lang w:val="ro-RO"/>
              </w:rPr>
            </w:pPr>
            <w:r w:rsidRPr="00ED0314">
              <w:rPr>
                <w:rFonts w:asciiTheme="majorHAnsi" w:hAnsiTheme="majorHAnsi" w:cstheme="majorHAnsi"/>
                <w:sz w:val="24"/>
                <w:szCs w:val="24"/>
                <w:lang w:val="ro-RO"/>
              </w:rPr>
              <w:t>Directoratul Liniei de Cr</w:t>
            </w:r>
            <w:r w:rsidR="009A0F3F">
              <w:rPr>
                <w:rFonts w:asciiTheme="majorHAnsi" w:hAnsiTheme="majorHAnsi" w:cstheme="majorHAnsi"/>
                <w:sz w:val="24"/>
                <w:szCs w:val="24"/>
                <w:lang w:val="ro-RO"/>
              </w:rPr>
              <w:t>edit</w:t>
            </w:r>
          </w:p>
        </w:tc>
      </w:tr>
      <w:tr w:rsidR="006E4771" w:rsidRPr="00ED0314" w14:paraId="25A6C7EC" w14:textId="77777777" w:rsidTr="00A55039">
        <w:trPr>
          <w:trHeight w:val="135"/>
        </w:trPr>
        <w:tc>
          <w:tcPr>
            <w:tcW w:w="2472" w:type="dxa"/>
          </w:tcPr>
          <w:p w14:paraId="23D8C9B1" w14:textId="791B3BD4" w:rsidR="006E4771" w:rsidRPr="00ED0314" w:rsidRDefault="006E4771"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DST</w:t>
            </w:r>
          </w:p>
        </w:tc>
        <w:tc>
          <w:tcPr>
            <w:tcW w:w="6872" w:type="dxa"/>
          </w:tcPr>
          <w:p w14:paraId="7452C043" w14:textId="24D31AD2" w:rsidR="006E4771" w:rsidRPr="00ED0314" w:rsidRDefault="006E4771" w:rsidP="00DB2609">
            <w:pPr>
              <w:pStyle w:val="a6"/>
              <w:jc w:val="both"/>
              <w:rPr>
                <w:rFonts w:asciiTheme="majorHAnsi" w:hAnsiTheme="majorHAnsi" w:cstheme="majorHAnsi"/>
                <w:sz w:val="24"/>
                <w:szCs w:val="24"/>
                <w:lang w:val="ro-RO"/>
              </w:rPr>
            </w:pPr>
            <w:r w:rsidRPr="00ED0314">
              <w:rPr>
                <w:rFonts w:asciiTheme="majorHAnsi" w:hAnsiTheme="majorHAnsi" w:cstheme="majorHAnsi"/>
                <w:sz w:val="24"/>
                <w:szCs w:val="24"/>
                <w:lang w:val="ro-RO"/>
              </w:rPr>
              <w:t>Drepturi speciale de tragere</w:t>
            </w:r>
          </w:p>
        </w:tc>
      </w:tr>
      <w:tr w:rsidR="00E02CD8" w:rsidRPr="00ED0314" w14:paraId="49926B56" w14:textId="77777777" w:rsidTr="00A55039">
        <w:trPr>
          <w:trHeight w:val="135"/>
        </w:trPr>
        <w:tc>
          <w:tcPr>
            <w:tcW w:w="2472" w:type="dxa"/>
          </w:tcPr>
          <w:p w14:paraId="3B3236CD" w14:textId="45C30CAC" w:rsidR="00E02CD8" w:rsidRPr="00ED0314" w:rsidRDefault="00E02CD8" w:rsidP="00DB2609">
            <w:pPr>
              <w:pStyle w:val="a6"/>
              <w:rPr>
                <w:rFonts w:asciiTheme="majorHAnsi" w:hAnsiTheme="majorHAnsi" w:cstheme="majorHAnsi"/>
                <w:sz w:val="24"/>
                <w:szCs w:val="24"/>
                <w:lang w:val="ro-RO"/>
              </w:rPr>
            </w:pPr>
            <w:r>
              <w:rPr>
                <w:rFonts w:asciiTheme="majorHAnsi" w:hAnsiTheme="majorHAnsi" w:cstheme="majorHAnsi"/>
                <w:sz w:val="24"/>
                <w:szCs w:val="24"/>
                <w:lang w:val="ro-RO"/>
              </w:rPr>
              <w:t>FIDA</w:t>
            </w:r>
          </w:p>
        </w:tc>
        <w:tc>
          <w:tcPr>
            <w:tcW w:w="6872" w:type="dxa"/>
          </w:tcPr>
          <w:p w14:paraId="106D3B8E" w14:textId="2CDA5791" w:rsidR="00E02CD8" w:rsidRPr="00836984" w:rsidRDefault="00836984" w:rsidP="00DB2609">
            <w:pPr>
              <w:pStyle w:val="a6"/>
              <w:jc w:val="both"/>
              <w:rPr>
                <w:rFonts w:asciiTheme="majorHAnsi" w:hAnsiTheme="majorHAnsi" w:cstheme="majorHAnsi"/>
                <w:sz w:val="24"/>
                <w:szCs w:val="24"/>
                <w:lang w:val="ro-MD"/>
              </w:rPr>
            </w:pPr>
            <w:r w:rsidRPr="00836984">
              <w:rPr>
                <w:rFonts w:asciiTheme="majorHAnsi" w:hAnsiTheme="majorHAnsi" w:cs="Arial"/>
                <w:sz w:val="24"/>
                <w:szCs w:val="24"/>
                <w:shd w:val="clear" w:color="auto" w:fill="FFFFFF"/>
                <w:lang w:val="ro-MD"/>
              </w:rPr>
              <w:t xml:space="preserve">Fondul </w:t>
            </w:r>
            <w:proofErr w:type="spellStart"/>
            <w:r w:rsidRPr="00836984">
              <w:rPr>
                <w:rFonts w:asciiTheme="majorHAnsi" w:hAnsiTheme="majorHAnsi" w:cs="Arial"/>
                <w:sz w:val="24"/>
                <w:szCs w:val="24"/>
                <w:shd w:val="clear" w:color="auto" w:fill="FFFFFF"/>
                <w:lang w:val="ro-MD"/>
              </w:rPr>
              <w:t>Internaţional</w:t>
            </w:r>
            <w:proofErr w:type="spellEnd"/>
            <w:r w:rsidRPr="00836984">
              <w:rPr>
                <w:rFonts w:asciiTheme="majorHAnsi" w:hAnsiTheme="majorHAnsi" w:cs="Arial"/>
                <w:sz w:val="24"/>
                <w:szCs w:val="24"/>
                <w:shd w:val="clear" w:color="auto" w:fill="FFFFFF"/>
                <w:lang w:val="ro-MD"/>
              </w:rPr>
              <w:t xml:space="preserve"> pentru Dezvoltare Agricolă</w:t>
            </w:r>
          </w:p>
        </w:tc>
      </w:tr>
      <w:tr w:rsidR="006E4771" w:rsidRPr="00ED0314" w14:paraId="450265F6" w14:textId="77777777" w:rsidTr="00A55039">
        <w:tc>
          <w:tcPr>
            <w:tcW w:w="2472" w:type="dxa"/>
          </w:tcPr>
          <w:p w14:paraId="0A506CB3" w14:textId="77777777" w:rsidR="006E4771" w:rsidRPr="00ED0314" w:rsidRDefault="006E4771"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FMI</w:t>
            </w:r>
          </w:p>
          <w:p w14:paraId="4A66B8D6" w14:textId="77777777" w:rsidR="006E4771" w:rsidRPr="00ED0314" w:rsidRDefault="006E4771"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JICA</w:t>
            </w:r>
          </w:p>
        </w:tc>
        <w:tc>
          <w:tcPr>
            <w:tcW w:w="6872" w:type="dxa"/>
          </w:tcPr>
          <w:p w14:paraId="61CDD137" w14:textId="77777777" w:rsidR="006E4771" w:rsidRPr="00836984" w:rsidRDefault="006E4771" w:rsidP="00DB2609">
            <w:pPr>
              <w:pStyle w:val="a6"/>
              <w:jc w:val="both"/>
              <w:rPr>
                <w:rFonts w:asciiTheme="majorHAnsi" w:hAnsiTheme="majorHAnsi" w:cstheme="majorHAnsi"/>
                <w:sz w:val="24"/>
                <w:szCs w:val="24"/>
                <w:lang w:val="ro-RO"/>
              </w:rPr>
            </w:pPr>
            <w:r w:rsidRPr="00836984">
              <w:rPr>
                <w:rFonts w:asciiTheme="majorHAnsi" w:hAnsiTheme="majorHAnsi" w:cstheme="majorHAnsi"/>
                <w:sz w:val="24"/>
                <w:szCs w:val="24"/>
                <w:lang w:val="ro-RO"/>
              </w:rPr>
              <w:t>Fondul Monetar Internațional</w:t>
            </w:r>
          </w:p>
          <w:p w14:paraId="2FE02544" w14:textId="77777777" w:rsidR="006E4771" w:rsidRPr="00836984" w:rsidRDefault="006E4771" w:rsidP="00DB2609">
            <w:pPr>
              <w:pStyle w:val="a6"/>
              <w:jc w:val="both"/>
              <w:rPr>
                <w:rFonts w:asciiTheme="majorHAnsi" w:hAnsiTheme="majorHAnsi" w:cstheme="majorHAnsi"/>
                <w:sz w:val="24"/>
                <w:szCs w:val="24"/>
                <w:lang w:val="ro-RO"/>
              </w:rPr>
            </w:pPr>
            <w:proofErr w:type="spellStart"/>
            <w:r w:rsidRPr="00836984">
              <w:rPr>
                <w:rFonts w:asciiTheme="majorHAnsi" w:hAnsiTheme="majorHAnsi" w:cstheme="majorHAnsi"/>
                <w:sz w:val="24"/>
                <w:szCs w:val="24"/>
                <w:lang w:val="ro-RO"/>
              </w:rPr>
              <w:t>Agenţia</w:t>
            </w:r>
            <w:proofErr w:type="spellEnd"/>
            <w:r w:rsidRPr="00836984">
              <w:rPr>
                <w:rFonts w:asciiTheme="majorHAnsi" w:hAnsiTheme="majorHAnsi" w:cstheme="majorHAnsi"/>
                <w:sz w:val="24"/>
                <w:szCs w:val="24"/>
                <w:lang w:val="ro-RO"/>
              </w:rPr>
              <w:t xml:space="preserve"> Japoneză pentru Cooperare </w:t>
            </w:r>
            <w:proofErr w:type="spellStart"/>
            <w:r w:rsidRPr="00836984">
              <w:rPr>
                <w:rFonts w:asciiTheme="majorHAnsi" w:hAnsiTheme="majorHAnsi" w:cstheme="majorHAnsi"/>
                <w:sz w:val="24"/>
                <w:szCs w:val="24"/>
                <w:lang w:val="ro-RO"/>
              </w:rPr>
              <w:t>Internaţională</w:t>
            </w:r>
            <w:proofErr w:type="spellEnd"/>
          </w:p>
        </w:tc>
      </w:tr>
      <w:tr w:rsidR="006E4771" w:rsidRPr="00ED0314" w14:paraId="417502EB" w14:textId="77777777" w:rsidTr="00A55039">
        <w:tc>
          <w:tcPr>
            <w:tcW w:w="2472" w:type="dxa"/>
          </w:tcPr>
          <w:p w14:paraId="080E7A6B" w14:textId="77777777" w:rsidR="006E4771" w:rsidRPr="00ED0314" w:rsidRDefault="006E4771"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IFP</w:t>
            </w:r>
          </w:p>
        </w:tc>
        <w:tc>
          <w:tcPr>
            <w:tcW w:w="6872" w:type="dxa"/>
          </w:tcPr>
          <w:p w14:paraId="2E7B0B80" w14:textId="77777777" w:rsidR="006E4771" w:rsidRPr="00ED0314" w:rsidRDefault="006E4771" w:rsidP="00DB2609">
            <w:pPr>
              <w:pStyle w:val="a6"/>
              <w:jc w:val="both"/>
              <w:rPr>
                <w:rFonts w:asciiTheme="majorHAnsi" w:hAnsiTheme="majorHAnsi" w:cstheme="majorHAnsi"/>
                <w:sz w:val="24"/>
                <w:szCs w:val="24"/>
                <w:lang w:val="ro-RO"/>
              </w:rPr>
            </w:pPr>
            <w:r w:rsidRPr="00ED0314">
              <w:rPr>
                <w:rFonts w:asciiTheme="majorHAnsi" w:hAnsiTheme="majorHAnsi" w:cstheme="majorHAnsi"/>
                <w:sz w:val="24"/>
                <w:szCs w:val="24"/>
                <w:lang w:val="ro-RO"/>
              </w:rPr>
              <w:t>Instituții financiare participante</w:t>
            </w:r>
          </w:p>
        </w:tc>
      </w:tr>
      <w:tr w:rsidR="006E4771" w:rsidRPr="00ED0314" w14:paraId="6CA226A0" w14:textId="77777777" w:rsidTr="00A55039">
        <w:tc>
          <w:tcPr>
            <w:tcW w:w="2472" w:type="dxa"/>
          </w:tcPr>
          <w:p w14:paraId="5E21AAF4" w14:textId="77777777" w:rsidR="006E4771" w:rsidRPr="00ED0314" w:rsidRDefault="006E4771"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ÎS</w:t>
            </w:r>
          </w:p>
        </w:tc>
        <w:tc>
          <w:tcPr>
            <w:tcW w:w="6872" w:type="dxa"/>
          </w:tcPr>
          <w:p w14:paraId="4CA83911" w14:textId="77777777" w:rsidR="006E4771" w:rsidRPr="00ED0314" w:rsidRDefault="006E4771" w:rsidP="00DB2609">
            <w:pPr>
              <w:pStyle w:val="a6"/>
              <w:jc w:val="both"/>
              <w:rPr>
                <w:rFonts w:asciiTheme="majorHAnsi" w:hAnsiTheme="majorHAnsi" w:cstheme="majorHAnsi"/>
                <w:sz w:val="24"/>
                <w:szCs w:val="24"/>
                <w:lang w:val="ro-RO"/>
              </w:rPr>
            </w:pPr>
            <w:r w:rsidRPr="00ED0314">
              <w:rPr>
                <w:rFonts w:asciiTheme="majorHAnsi" w:hAnsiTheme="majorHAnsi" w:cstheme="majorHAnsi"/>
                <w:sz w:val="24"/>
                <w:szCs w:val="24"/>
                <w:lang w:val="ro-RO"/>
              </w:rPr>
              <w:t>Întreprindere de stat</w:t>
            </w:r>
          </w:p>
        </w:tc>
      </w:tr>
      <w:tr w:rsidR="006E4771" w:rsidRPr="00ED0314" w14:paraId="0DF651FB" w14:textId="77777777" w:rsidTr="00A55039">
        <w:tc>
          <w:tcPr>
            <w:tcW w:w="2472" w:type="dxa"/>
          </w:tcPr>
          <w:p w14:paraId="23B0C615" w14:textId="77777777" w:rsidR="006E4771" w:rsidRPr="00ED0314" w:rsidRDefault="006E4771"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MF</w:t>
            </w:r>
          </w:p>
        </w:tc>
        <w:tc>
          <w:tcPr>
            <w:tcW w:w="6872" w:type="dxa"/>
          </w:tcPr>
          <w:p w14:paraId="4FABD424" w14:textId="77777777" w:rsidR="006E4771" w:rsidRPr="00ED0314" w:rsidRDefault="006E4771" w:rsidP="00DB2609">
            <w:pPr>
              <w:pStyle w:val="a6"/>
              <w:jc w:val="both"/>
              <w:rPr>
                <w:rFonts w:asciiTheme="majorHAnsi" w:hAnsiTheme="majorHAnsi" w:cstheme="majorHAnsi"/>
                <w:sz w:val="24"/>
                <w:szCs w:val="24"/>
                <w:lang w:val="ro-RO"/>
              </w:rPr>
            </w:pPr>
            <w:r w:rsidRPr="00ED0314">
              <w:rPr>
                <w:rFonts w:asciiTheme="majorHAnsi" w:hAnsiTheme="majorHAnsi" w:cstheme="majorHAnsi"/>
                <w:sz w:val="24"/>
                <w:szCs w:val="24"/>
                <w:lang w:val="ro-RO"/>
              </w:rPr>
              <w:t xml:space="preserve">Ministerul Finanțelor </w:t>
            </w:r>
          </w:p>
        </w:tc>
      </w:tr>
      <w:tr w:rsidR="006E4771" w:rsidRPr="00ED0314" w14:paraId="42E01AF2" w14:textId="77777777" w:rsidTr="00A55039">
        <w:tc>
          <w:tcPr>
            <w:tcW w:w="2472" w:type="dxa"/>
          </w:tcPr>
          <w:p w14:paraId="3DB3C90D" w14:textId="77777777" w:rsidR="006E4771" w:rsidRPr="00ED0314" w:rsidRDefault="006E4771" w:rsidP="00DB2609">
            <w:pPr>
              <w:pStyle w:val="a6"/>
              <w:rPr>
                <w:rFonts w:asciiTheme="majorHAnsi" w:hAnsiTheme="majorHAnsi" w:cstheme="majorHAnsi"/>
                <w:bCs/>
                <w:sz w:val="24"/>
                <w:szCs w:val="24"/>
                <w:lang w:val="ro-RO"/>
              </w:rPr>
            </w:pPr>
            <w:r w:rsidRPr="00ED0314">
              <w:rPr>
                <w:rFonts w:asciiTheme="majorHAnsi" w:hAnsiTheme="majorHAnsi" w:cstheme="majorHAnsi"/>
                <w:bCs/>
                <w:sz w:val="24"/>
                <w:szCs w:val="24"/>
                <w:lang w:val="ro-RO"/>
              </w:rPr>
              <w:t>OS</w:t>
            </w:r>
          </w:p>
        </w:tc>
        <w:tc>
          <w:tcPr>
            <w:tcW w:w="6872" w:type="dxa"/>
          </w:tcPr>
          <w:p w14:paraId="3534BA69" w14:textId="77777777" w:rsidR="006E4771" w:rsidRPr="00ED0314" w:rsidRDefault="006E4771" w:rsidP="00DB2609">
            <w:pPr>
              <w:pStyle w:val="a6"/>
              <w:jc w:val="both"/>
              <w:rPr>
                <w:rFonts w:asciiTheme="majorHAnsi" w:hAnsiTheme="majorHAnsi" w:cstheme="majorHAnsi"/>
                <w:bCs/>
                <w:sz w:val="24"/>
                <w:szCs w:val="24"/>
                <w:lang w:val="ro-RO"/>
              </w:rPr>
            </w:pPr>
            <w:r w:rsidRPr="00ED0314">
              <w:rPr>
                <w:rFonts w:asciiTheme="majorHAnsi" w:hAnsiTheme="majorHAnsi" w:cstheme="majorHAnsi"/>
                <w:bCs/>
                <w:sz w:val="24"/>
                <w:szCs w:val="24"/>
                <w:lang w:val="ro-RO"/>
              </w:rPr>
              <w:t>Obligațiuni de stat</w:t>
            </w:r>
          </w:p>
        </w:tc>
      </w:tr>
      <w:tr w:rsidR="002638E9" w:rsidRPr="00ED0314" w14:paraId="4AA0603E" w14:textId="77777777" w:rsidTr="00A55039">
        <w:tc>
          <w:tcPr>
            <w:tcW w:w="2472" w:type="dxa"/>
          </w:tcPr>
          <w:p w14:paraId="2A7696B9" w14:textId="77777777" w:rsidR="002638E9" w:rsidRPr="00ED0314" w:rsidRDefault="002638E9" w:rsidP="00DB2609">
            <w:pPr>
              <w:pStyle w:val="a6"/>
              <w:rPr>
                <w:rFonts w:asciiTheme="majorHAnsi" w:hAnsiTheme="majorHAnsi" w:cstheme="majorHAnsi"/>
                <w:bCs/>
                <w:sz w:val="24"/>
                <w:szCs w:val="24"/>
                <w:lang w:val="ro-RO"/>
              </w:rPr>
            </w:pPr>
            <w:r>
              <w:rPr>
                <w:rFonts w:asciiTheme="majorHAnsi" w:hAnsiTheme="majorHAnsi" w:cstheme="majorHAnsi"/>
                <w:bCs/>
                <w:sz w:val="24"/>
                <w:szCs w:val="24"/>
                <w:lang w:val="ro-RO"/>
              </w:rPr>
              <w:t>ODIMM</w:t>
            </w:r>
          </w:p>
        </w:tc>
        <w:tc>
          <w:tcPr>
            <w:tcW w:w="6872" w:type="dxa"/>
          </w:tcPr>
          <w:p w14:paraId="228104C3" w14:textId="77777777" w:rsidR="002638E9" w:rsidRPr="001360C9" w:rsidRDefault="00616F70" w:rsidP="00616F70">
            <w:pPr>
              <w:pStyle w:val="a6"/>
              <w:rPr>
                <w:rFonts w:asciiTheme="majorHAnsi" w:hAnsiTheme="majorHAnsi" w:cstheme="majorHAnsi"/>
                <w:bCs/>
                <w:sz w:val="24"/>
                <w:szCs w:val="24"/>
                <w:lang w:val="ro-MD"/>
              </w:rPr>
            </w:pPr>
            <w:r w:rsidRPr="001360C9">
              <w:rPr>
                <w:rFonts w:asciiTheme="majorHAnsi" w:hAnsiTheme="majorHAnsi" w:cstheme="majorHAnsi"/>
                <w:bCs/>
                <w:color w:val="000000"/>
                <w:sz w:val="24"/>
                <w:szCs w:val="24"/>
                <w:lang w:val="ro-MD"/>
              </w:rPr>
              <w:t xml:space="preserve">Organizația pentru dezvoltarea sectorului întreprinderilor mici </w:t>
            </w:r>
            <w:proofErr w:type="spellStart"/>
            <w:r w:rsidRPr="001360C9">
              <w:rPr>
                <w:rFonts w:asciiTheme="majorHAnsi" w:hAnsiTheme="majorHAnsi" w:cstheme="majorHAnsi"/>
                <w:bCs/>
                <w:color w:val="000000"/>
                <w:sz w:val="24"/>
                <w:szCs w:val="24"/>
                <w:lang w:val="ro-MD"/>
              </w:rPr>
              <w:t>şi</w:t>
            </w:r>
            <w:proofErr w:type="spellEnd"/>
            <w:r w:rsidRPr="001360C9">
              <w:rPr>
                <w:rFonts w:asciiTheme="majorHAnsi" w:hAnsiTheme="majorHAnsi" w:cstheme="majorHAnsi"/>
                <w:bCs/>
                <w:color w:val="000000"/>
                <w:sz w:val="24"/>
                <w:szCs w:val="24"/>
                <w:lang w:val="ro-MD"/>
              </w:rPr>
              <w:t xml:space="preserve"> mijlocii</w:t>
            </w:r>
          </w:p>
        </w:tc>
      </w:tr>
      <w:tr w:rsidR="006E4771" w:rsidRPr="00ED0314" w14:paraId="7A385915" w14:textId="77777777" w:rsidTr="00A55039">
        <w:tc>
          <w:tcPr>
            <w:tcW w:w="2472" w:type="dxa"/>
          </w:tcPr>
          <w:p w14:paraId="58048F94" w14:textId="016C6167" w:rsidR="00B77C41" w:rsidRPr="00ED0314" w:rsidRDefault="006E4771"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PIB</w:t>
            </w:r>
          </w:p>
        </w:tc>
        <w:tc>
          <w:tcPr>
            <w:tcW w:w="6872" w:type="dxa"/>
          </w:tcPr>
          <w:p w14:paraId="5802B075" w14:textId="799BC614" w:rsidR="00B77C41" w:rsidRPr="00ED0314" w:rsidRDefault="006E4771" w:rsidP="00DB2609">
            <w:pPr>
              <w:pStyle w:val="a6"/>
              <w:jc w:val="both"/>
              <w:rPr>
                <w:rFonts w:asciiTheme="majorHAnsi" w:hAnsiTheme="majorHAnsi" w:cstheme="majorHAnsi"/>
                <w:sz w:val="24"/>
                <w:szCs w:val="24"/>
                <w:lang w:val="ro-RO"/>
              </w:rPr>
            </w:pPr>
            <w:r w:rsidRPr="00ED0314">
              <w:rPr>
                <w:rFonts w:asciiTheme="majorHAnsi" w:hAnsiTheme="majorHAnsi" w:cstheme="majorHAnsi"/>
                <w:sz w:val="24"/>
                <w:szCs w:val="24"/>
                <w:lang w:val="ro-RO"/>
              </w:rPr>
              <w:t>Produs</w:t>
            </w:r>
            <w:r w:rsidR="00B77C41" w:rsidRPr="00ED0314">
              <w:rPr>
                <w:rFonts w:asciiTheme="majorHAnsi" w:hAnsiTheme="majorHAnsi" w:cstheme="majorHAnsi"/>
                <w:sz w:val="24"/>
                <w:szCs w:val="24"/>
                <w:lang w:val="ro-RO"/>
              </w:rPr>
              <w:t>ul</w:t>
            </w:r>
            <w:r w:rsidRPr="00ED0314">
              <w:rPr>
                <w:rFonts w:asciiTheme="majorHAnsi" w:hAnsiTheme="majorHAnsi" w:cstheme="majorHAnsi"/>
                <w:sz w:val="24"/>
                <w:szCs w:val="24"/>
                <w:lang w:val="ro-RO"/>
              </w:rPr>
              <w:t xml:space="preserve"> intern brut</w:t>
            </w:r>
          </w:p>
        </w:tc>
      </w:tr>
      <w:tr w:rsidR="00AD1AB1" w:rsidRPr="00ED0314" w14:paraId="28C25607" w14:textId="77777777" w:rsidTr="00A55039">
        <w:tc>
          <w:tcPr>
            <w:tcW w:w="2472" w:type="dxa"/>
          </w:tcPr>
          <w:p w14:paraId="0A21E2D4" w14:textId="165A022F" w:rsidR="00AD1AB1" w:rsidRPr="00ED0314" w:rsidRDefault="00AD1AB1"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RM</w:t>
            </w:r>
          </w:p>
        </w:tc>
        <w:tc>
          <w:tcPr>
            <w:tcW w:w="6872" w:type="dxa"/>
          </w:tcPr>
          <w:p w14:paraId="51078691" w14:textId="3C9DC1DD" w:rsidR="00AD1AB1" w:rsidRPr="00ED0314" w:rsidRDefault="00AD1AB1" w:rsidP="00DB2609">
            <w:pPr>
              <w:pStyle w:val="a6"/>
              <w:jc w:val="both"/>
              <w:rPr>
                <w:rFonts w:asciiTheme="majorHAnsi" w:hAnsiTheme="majorHAnsi" w:cstheme="majorHAnsi"/>
                <w:sz w:val="24"/>
                <w:szCs w:val="24"/>
                <w:lang w:val="ro-RO"/>
              </w:rPr>
            </w:pPr>
            <w:r w:rsidRPr="00ED0314">
              <w:rPr>
                <w:rFonts w:asciiTheme="majorHAnsi" w:hAnsiTheme="majorHAnsi" w:cstheme="majorHAnsi"/>
                <w:sz w:val="24"/>
                <w:szCs w:val="24"/>
                <w:lang w:val="ro-RO"/>
              </w:rPr>
              <w:t>Republica Moldova</w:t>
            </w:r>
          </w:p>
        </w:tc>
      </w:tr>
      <w:tr w:rsidR="006E4771" w:rsidRPr="00ED0314" w14:paraId="60F7C991" w14:textId="77777777" w:rsidTr="00A55039">
        <w:tc>
          <w:tcPr>
            <w:tcW w:w="2472" w:type="dxa"/>
          </w:tcPr>
          <w:p w14:paraId="5EBE8000" w14:textId="77777777" w:rsidR="006E4771" w:rsidRPr="00ED0314" w:rsidRDefault="006E4771"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SA</w:t>
            </w:r>
          </w:p>
        </w:tc>
        <w:tc>
          <w:tcPr>
            <w:tcW w:w="6872" w:type="dxa"/>
          </w:tcPr>
          <w:p w14:paraId="4D416620" w14:textId="6E803E3F" w:rsidR="006E4771" w:rsidRPr="00ED0314" w:rsidRDefault="006E4771" w:rsidP="00DB2609">
            <w:pPr>
              <w:pStyle w:val="a6"/>
              <w:jc w:val="both"/>
              <w:rPr>
                <w:rFonts w:asciiTheme="majorHAnsi" w:hAnsiTheme="majorHAnsi" w:cstheme="majorHAnsi"/>
                <w:sz w:val="24"/>
                <w:szCs w:val="24"/>
                <w:lang w:val="ro-RO"/>
              </w:rPr>
            </w:pPr>
            <w:r w:rsidRPr="00ED0314">
              <w:rPr>
                <w:rFonts w:asciiTheme="majorHAnsi" w:hAnsiTheme="majorHAnsi" w:cstheme="majorHAnsi"/>
                <w:sz w:val="24"/>
                <w:szCs w:val="24"/>
                <w:lang w:val="ro-RO"/>
              </w:rPr>
              <w:t xml:space="preserve">Societate pe </w:t>
            </w:r>
            <w:r w:rsidR="00590854">
              <w:rPr>
                <w:rFonts w:asciiTheme="majorHAnsi" w:hAnsiTheme="majorHAnsi" w:cstheme="majorHAnsi"/>
                <w:sz w:val="24"/>
                <w:szCs w:val="24"/>
                <w:lang w:val="ro-RO"/>
              </w:rPr>
              <w:t>A</w:t>
            </w:r>
            <w:r w:rsidRPr="00ED0314">
              <w:rPr>
                <w:rFonts w:asciiTheme="majorHAnsi" w:hAnsiTheme="majorHAnsi" w:cstheme="majorHAnsi"/>
                <w:sz w:val="24"/>
                <w:szCs w:val="24"/>
                <w:lang w:val="ro-RO"/>
              </w:rPr>
              <w:t>cțiuni</w:t>
            </w:r>
          </w:p>
        </w:tc>
      </w:tr>
      <w:tr w:rsidR="006E4771" w:rsidRPr="00ED0314" w14:paraId="4B90AC6E" w14:textId="77777777" w:rsidTr="00A55039">
        <w:tc>
          <w:tcPr>
            <w:tcW w:w="2472" w:type="dxa"/>
          </w:tcPr>
          <w:p w14:paraId="697AE1B4" w14:textId="77777777" w:rsidR="006E4771" w:rsidRPr="00ED0314" w:rsidRDefault="006E4771" w:rsidP="00DB2609">
            <w:pPr>
              <w:pStyle w:val="a6"/>
              <w:rPr>
                <w:rFonts w:asciiTheme="majorHAnsi" w:hAnsiTheme="majorHAnsi" w:cstheme="majorHAnsi"/>
                <w:bCs/>
                <w:sz w:val="24"/>
                <w:szCs w:val="24"/>
                <w:lang w:val="ro-RO"/>
              </w:rPr>
            </w:pPr>
            <w:r w:rsidRPr="00ED0314">
              <w:rPr>
                <w:rFonts w:asciiTheme="majorHAnsi" w:hAnsiTheme="majorHAnsi" w:cstheme="majorHAnsi"/>
                <w:bCs/>
                <w:sz w:val="24"/>
                <w:szCs w:val="24"/>
                <w:lang w:val="ro-RO"/>
              </w:rPr>
              <w:t>SI</w:t>
            </w:r>
          </w:p>
        </w:tc>
        <w:tc>
          <w:tcPr>
            <w:tcW w:w="6872" w:type="dxa"/>
          </w:tcPr>
          <w:p w14:paraId="2A319793" w14:textId="77777777" w:rsidR="006E4771" w:rsidRPr="00ED0314" w:rsidRDefault="006E4771" w:rsidP="00DB2609">
            <w:pPr>
              <w:pStyle w:val="a6"/>
              <w:jc w:val="both"/>
              <w:rPr>
                <w:rFonts w:asciiTheme="majorHAnsi" w:hAnsiTheme="majorHAnsi" w:cstheme="majorHAnsi"/>
                <w:bCs/>
                <w:sz w:val="24"/>
                <w:szCs w:val="24"/>
                <w:lang w:val="ro-RO"/>
              </w:rPr>
            </w:pPr>
            <w:r w:rsidRPr="00ED0314">
              <w:rPr>
                <w:rFonts w:asciiTheme="majorHAnsi" w:hAnsiTheme="majorHAnsi" w:cstheme="majorHAnsi"/>
                <w:bCs/>
                <w:sz w:val="24"/>
                <w:szCs w:val="24"/>
                <w:lang w:val="ro-RO"/>
              </w:rPr>
              <w:t>Sistem informațional</w:t>
            </w:r>
          </w:p>
        </w:tc>
      </w:tr>
      <w:tr w:rsidR="006E4771" w:rsidRPr="00ED0314" w14:paraId="3A453E07" w14:textId="77777777" w:rsidTr="00A55039">
        <w:tc>
          <w:tcPr>
            <w:tcW w:w="2472" w:type="dxa"/>
          </w:tcPr>
          <w:p w14:paraId="0833E37D" w14:textId="77777777" w:rsidR="006E4771" w:rsidRPr="00ED0314" w:rsidRDefault="006E4771"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 xml:space="preserve">SI </w:t>
            </w:r>
            <w:r w:rsidRPr="00AD1AB1">
              <w:rPr>
                <w:rFonts w:asciiTheme="majorHAnsi" w:hAnsiTheme="majorHAnsi" w:cstheme="majorHAnsi"/>
                <w:sz w:val="24"/>
                <w:szCs w:val="24"/>
                <w:lang w:val="ro-RO"/>
              </w:rPr>
              <w:t>DMFAS</w:t>
            </w:r>
          </w:p>
        </w:tc>
        <w:tc>
          <w:tcPr>
            <w:tcW w:w="6872" w:type="dxa"/>
          </w:tcPr>
          <w:p w14:paraId="49AAD8A0" w14:textId="77777777" w:rsidR="006E4771" w:rsidRPr="00ED0314" w:rsidRDefault="006E4771" w:rsidP="00DB2609">
            <w:pPr>
              <w:pStyle w:val="a6"/>
              <w:jc w:val="both"/>
              <w:rPr>
                <w:rFonts w:asciiTheme="majorHAnsi" w:hAnsiTheme="majorHAnsi" w:cstheme="majorHAnsi"/>
                <w:sz w:val="24"/>
                <w:szCs w:val="24"/>
                <w:lang w:val="ro-RO"/>
              </w:rPr>
            </w:pPr>
            <w:r w:rsidRPr="00ED0314">
              <w:rPr>
                <w:rFonts w:asciiTheme="majorHAnsi" w:hAnsiTheme="majorHAnsi" w:cstheme="majorHAnsi"/>
                <w:sz w:val="24"/>
                <w:szCs w:val="24"/>
                <w:lang w:val="ro-RO"/>
              </w:rPr>
              <w:t>Sistemul Informațional „Managementul și Analiza Financiară a Datoriei Publice”</w:t>
            </w:r>
          </w:p>
        </w:tc>
      </w:tr>
      <w:tr w:rsidR="006E4771" w:rsidRPr="00ED0314" w14:paraId="680369B5" w14:textId="77777777" w:rsidTr="00A55039">
        <w:tc>
          <w:tcPr>
            <w:tcW w:w="2472" w:type="dxa"/>
          </w:tcPr>
          <w:p w14:paraId="0D696C76" w14:textId="77777777" w:rsidR="006E4771" w:rsidRPr="00ED0314" w:rsidRDefault="006E4771"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UAT</w:t>
            </w:r>
          </w:p>
        </w:tc>
        <w:tc>
          <w:tcPr>
            <w:tcW w:w="6872" w:type="dxa"/>
          </w:tcPr>
          <w:p w14:paraId="20729D25" w14:textId="77777777" w:rsidR="006E4771" w:rsidRPr="00ED0314" w:rsidRDefault="006E4771" w:rsidP="00DB2609">
            <w:pPr>
              <w:pStyle w:val="a6"/>
              <w:jc w:val="both"/>
              <w:rPr>
                <w:rFonts w:asciiTheme="majorHAnsi" w:hAnsiTheme="majorHAnsi" w:cstheme="majorHAnsi"/>
                <w:sz w:val="24"/>
                <w:szCs w:val="24"/>
                <w:lang w:val="ro-RO"/>
              </w:rPr>
            </w:pPr>
            <w:r w:rsidRPr="00ED0314">
              <w:rPr>
                <w:rFonts w:asciiTheme="majorHAnsi" w:hAnsiTheme="majorHAnsi" w:cstheme="majorHAnsi"/>
                <w:sz w:val="24"/>
                <w:szCs w:val="24"/>
                <w:lang w:val="ro-RO"/>
              </w:rPr>
              <w:t>Unitate administrativ-teritorială</w:t>
            </w:r>
          </w:p>
        </w:tc>
      </w:tr>
      <w:tr w:rsidR="006E4771" w:rsidRPr="00ED0314" w14:paraId="052CFE0D" w14:textId="77777777" w:rsidTr="00A55039">
        <w:tc>
          <w:tcPr>
            <w:tcW w:w="2472" w:type="dxa"/>
          </w:tcPr>
          <w:p w14:paraId="65FB39B7" w14:textId="77777777" w:rsidR="006E4771" w:rsidRPr="00ED0314" w:rsidRDefault="006E4771"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UCIP FIDA</w:t>
            </w:r>
          </w:p>
          <w:p w14:paraId="71E21012" w14:textId="77777777" w:rsidR="00B77C41" w:rsidRPr="00ED0314" w:rsidRDefault="00B77C41" w:rsidP="00DB2609">
            <w:pPr>
              <w:pStyle w:val="a6"/>
              <w:rPr>
                <w:rFonts w:asciiTheme="majorHAnsi" w:hAnsiTheme="majorHAnsi" w:cstheme="majorHAnsi"/>
                <w:sz w:val="24"/>
                <w:szCs w:val="24"/>
                <w:lang w:val="ro-RO"/>
              </w:rPr>
            </w:pPr>
          </w:p>
        </w:tc>
        <w:tc>
          <w:tcPr>
            <w:tcW w:w="6872" w:type="dxa"/>
          </w:tcPr>
          <w:p w14:paraId="088F86A4" w14:textId="77777777" w:rsidR="006E4771" w:rsidRPr="00ED0314" w:rsidRDefault="006E4771" w:rsidP="00DB2609">
            <w:pPr>
              <w:pStyle w:val="a6"/>
              <w:jc w:val="both"/>
              <w:rPr>
                <w:rFonts w:asciiTheme="majorHAnsi" w:hAnsiTheme="majorHAnsi" w:cstheme="majorHAnsi"/>
                <w:sz w:val="24"/>
                <w:szCs w:val="24"/>
                <w:lang w:val="ro-RO"/>
              </w:rPr>
            </w:pPr>
            <w:r w:rsidRPr="00ED0314">
              <w:rPr>
                <w:rFonts w:asciiTheme="majorHAnsi" w:hAnsiTheme="majorHAnsi" w:cstheme="majorHAnsi"/>
                <w:sz w:val="24"/>
                <w:szCs w:val="24"/>
                <w:lang w:val="ro-RO"/>
              </w:rPr>
              <w:t>Unitatea Consolidată pentru Implementarea Programelor Fondului Internațional pentru Dezvoltare</w:t>
            </w:r>
            <w:r w:rsidR="005E02BD" w:rsidRPr="00ED0314">
              <w:rPr>
                <w:rFonts w:asciiTheme="majorHAnsi" w:hAnsiTheme="majorHAnsi" w:cstheme="majorHAnsi"/>
                <w:sz w:val="24"/>
                <w:szCs w:val="24"/>
                <w:lang w:val="ro-RO"/>
              </w:rPr>
              <w:t>a</w:t>
            </w:r>
            <w:r w:rsidRPr="00ED0314">
              <w:rPr>
                <w:rFonts w:asciiTheme="majorHAnsi" w:hAnsiTheme="majorHAnsi" w:cstheme="majorHAnsi"/>
                <w:sz w:val="24"/>
                <w:szCs w:val="24"/>
                <w:lang w:val="ro-RO"/>
              </w:rPr>
              <w:t xml:space="preserve"> Agricolă</w:t>
            </w:r>
          </w:p>
        </w:tc>
      </w:tr>
      <w:tr w:rsidR="00C85707" w:rsidRPr="00ED0314" w14:paraId="3DD08D35" w14:textId="77777777" w:rsidTr="00A55039">
        <w:tc>
          <w:tcPr>
            <w:tcW w:w="2472" w:type="dxa"/>
          </w:tcPr>
          <w:p w14:paraId="2A1ADC3E" w14:textId="77777777" w:rsidR="00C85707" w:rsidRPr="00ED0314" w:rsidRDefault="00C85707"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UNCTAD</w:t>
            </w:r>
          </w:p>
        </w:tc>
        <w:tc>
          <w:tcPr>
            <w:tcW w:w="6872" w:type="dxa"/>
          </w:tcPr>
          <w:p w14:paraId="637FEDBE" w14:textId="77777777" w:rsidR="00C85707" w:rsidRPr="00ED0314" w:rsidRDefault="00C85707" w:rsidP="00C85707">
            <w:pPr>
              <w:pStyle w:val="a6"/>
              <w:jc w:val="both"/>
              <w:rPr>
                <w:rFonts w:asciiTheme="majorHAnsi" w:hAnsiTheme="majorHAnsi" w:cstheme="majorHAnsi"/>
                <w:sz w:val="24"/>
                <w:szCs w:val="24"/>
                <w:lang w:val="ro-RO"/>
              </w:rPr>
            </w:pPr>
            <w:r w:rsidRPr="00ED0314">
              <w:rPr>
                <w:rFonts w:asciiTheme="majorHAnsi" w:hAnsiTheme="majorHAnsi" w:cstheme="majorHAnsi"/>
                <w:sz w:val="24"/>
                <w:szCs w:val="24"/>
                <w:lang w:val="ro-RO"/>
              </w:rPr>
              <w:t xml:space="preserve">Conferința Națiunilor Unite pentru Comerț și Dezvoltare </w:t>
            </w:r>
          </w:p>
        </w:tc>
      </w:tr>
      <w:tr w:rsidR="006E4771" w:rsidRPr="00ED0314" w14:paraId="5E526925" w14:textId="77777777" w:rsidTr="00A55039">
        <w:trPr>
          <w:trHeight w:val="68"/>
        </w:trPr>
        <w:tc>
          <w:tcPr>
            <w:tcW w:w="2472" w:type="dxa"/>
          </w:tcPr>
          <w:p w14:paraId="04C5F569" w14:textId="77777777" w:rsidR="00E24838" w:rsidRPr="00ED0314" w:rsidRDefault="006E4771" w:rsidP="00DB2609">
            <w:pPr>
              <w:pStyle w:val="a6"/>
              <w:rPr>
                <w:rFonts w:asciiTheme="majorHAnsi" w:hAnsiTheme="majorHAnsi" w:cstheme="majorHAnsi"/>
                <w:sz w:val="24"/>
                <w:szCs w:val="24"/>
                <w:lang w:val="ro-RO"/>
              </w:rPr>
            </w:pPr>
            <w:r w:rsidRPr="00ED0314">
              <w:rPr>
                <w:rFonts w:asciiTheme="majorHAnsi" w:hAnsiTheme="majorHAnsi" w:cstheme="majorHAnsi"/>
                <w:sz w:val="24"/>
                <w:szCs w:val="24"/>
                <w:lang w:val="ro-RO"/>
              </w:rPr>
              <w:t>VMS</w:t>
            </w:r>
          </w:p>
        </w:tc>
        <w:tc>
          <w:tcPr>
            <w:tcW w:w="6872" w:type="dxa"/>
          </w:tcPr>
          <w:p w14:paraId="396477BD" w14:textId="77777777" w:rsidR="006E4771" w:rsidRPr="00ED0314" w:rsidRDefault="006E4771" w:rsidP="00DB2609">
            <w:pPr>
              <w:pStyle w:val="a6"/>
              <w:jc w:val="both"/>
              <w:rPr>
                <w:rFonts w:asciiTheme="majorHAnsi" w:hAnsiTheme="majorHAnsi" w:cstheme="majorHAnsi"/>
                <w:sz w:val="24"/>
                <w:szCs w:val="24"/>
                <w:lang w:val="ro-RO"/>
              </w:rPr>
            </w:pPr>
            <w:r w:rsidRPr="00ED0314">
              <w:rPr>
                <w:rFonts w:asciiTheme="majorHAnsi" w:hAnsiTheme="majorHAnsi" w:cstheme="majorHAnsi"/>
                <w:sz w:val="24"/>
                <w:szCs w:val="24"/>
                <w:lang w:val="ro-RO"/>
              </w:rPr>
              <w:t>Valori mobiliare de stat</w:t>
            </w:r>
          </w:p>
        </w:tc>
      </w:tr>
    </w:tbl>
    <w:p w14:paraId="1A98A854" w14:textId="77777777" w:rsidR="00C85707" w:rsidRPr="00775266" w:rsidRDefault="00C85707" w:rsidP="00017FF1">
      <w:pPr>
        <w:pStyle w:val="1"/>
        <w:spacing w:after="240"/>
        <w:jc w:val="center"/>
        <w:rPr>
          <w:rFonts w:asciiTheme="majorHAnsi" w:hAnsiTheme="majorHAnsi" w:cstheme="majorHAnsi"/>
          <w:b/>
          <w:color w:val="auto"/>
          <w:sz w:val="28"/>
          <w:szCs w:val="28"/>
          <w:lang w:val="ro-RO"/>
        </w:rPr>
      </w:pPr>
      <w:bookmarkStart w:id="3" w:name="_Toc484003876"/>
    </w:p>
    <w:p w14:paraId="6D7E69F7" w14:textId="77777777" w:rsidR="00C85707" w:rsidRPr="00775266" w:rsidRDefault="00C85707" w:rsidP="00C85707">
      <w:pPr>
        <w:rPr>
          <w:rFonts w:asciiTheme="majorHAnsi" w:hAnsiTheme="majorHAnsi" w:cstheme="majorHAnsi"/>
          <w:sz w:val="28"/>
          <w:szCs w:val="28"/>
          <w:lang w:val="ro-RO" w:eastAsia="ru-RU"/>
        </w:rPr>
      </w:pPr>
    </w:p>
    <w:p w14:paraId="25B42590" w14:textId="77777777" w:rsidR="00D077DB" w:rsidRPr="00775266" w:rsidRDefault="00D077DB">
      <w:pPr>
        <w:rPr>
          <w:rFonts w:asciiTheme="majorHAnsi" w:hAnsiTheme="majorHAnsi" w:cstheme="majorHAnsi"/>
          <w:b/>
          <w:sz w:val="28"/>
          <w:szCs w:val="28"/>
          <w:lang w:val="ro-RO" w:eastAsia="ru-RU"/>
        </w:rPr>
      </w:pPr>
    </w:p>
    <w:p w14:paraId="0B11D078" w14:textId="77777777" w:rsidR="0080644A" w:rsidRDefault="0080644A">
      <w:pPr>
        <w:rPr>
          <w:rFonts w:asciiTheme="majorHAnsi" w:hAnsiTheme="majorHAnsi" w:cstheme="majorHAnsi"/>
          <w:b/>
          <w:sz w:val="24"/>
          <w:szCs w:val="24"/>
          <w:lang w:val="ro-RO"/>
        </w:rPr>
      </w:pPr>
      <w:bookmarkStart w:id="4" w:name="_Toc515442948"/>
      <w:r>
        <w:rPr>
          <w:rFonts w:asciiTheme="majorHAnsi" w:hAnsiTheme="majorHAnsi" w:cstheme="majorHAnsi"/>
          <w:b/>
          <w:sz w:val="24"/>
          <w:szCs w:val="24"/>
          <w:lang w:val="ro-RO"/>
        </w:rPr>
        <w:br w:type="page"/>
      </w:r>
    </w:p>
    <w:p w14:paraId="45774630" w14:textId="77777777" w:rsidR="008324CD" w:rsidRPr="00ED0314" w:rsidRDefault="008324CD" w:rsidP="0080644A">
      <w:pPr>
        <w:pStyle w:val="1"/>
        <w:jc w:val="center"/>
        <w:rPr>
          <w:rFonts w:asciiTheme="majorHAnsi" w:hAnsiTheme="majorHAnsi" w:cstheme="majorHAnsi"/>
          <w:b/>
          <w:color w:val="auto"/>
          <w:sz w:val="24"/>
          <w:szCs w:val="24"/>
          <w:lang w:val="ro-RO"/>
        </w:rPr>
      </w:pPr>
      <w:bookmarkStart w:id="5" w:name="_Toc10106674"/>
      <w:r w:rsidRPr="00ED0314">
        <w:rPr>
          <w:rFonts w:asciiTheme="majorHAnsi" w:hAnsiTheme="majorHAnsi" w:cstheme="majorHAnsi"/>
          <w:b/>
          <w:color w:val="auto"/>
          <w:sz w:val="24"/>
          <w:szCs w:val="24"/>
          <w:lang w:val="ro-RO"/>
        </w:rPr>
        <w:lastRenderedPageBreak/>
        <w:t>GLOSAR</w:t>
      </w:r>
      <w:bookmarkEnd w:id="4"/>
      <w:bookmarkEnd w:id="5"/>
    </w:p>
    <w:tbl>
      <w:tblPr>
        <w:tblW w:w="0" w:type="auto"/>
        <w:tblLook w:val="04A0" w:firstRow="1" w:lastRow="0" w:firstColumn="1" w:lastColumn="0" w:noHBand="0" w:noVBand="1"/>
      </w:tblPr>
      <w:tblGrid>
        <w:gridCol w:w="2748"/>
        <w:gridCol w:w="6596"/>
      </w:tblGrid>
      <w:tr w:rsidR="008324CD" w:rsidRPr="0080644A" w14:paraId="67EF4A36" w14:textId="77777777" w:rsidTr="009A0F3F">
        <w:tc>
          <w:tcPr>
            <w:tcW w:w="2748" w:type="dxa"/>
          </w:tcPr>
          <w:p w14:paraId="0BCC7AEE" w14:textId="77777777" w:rsidR="008324CD" w:rsidRPr="00073F18" w:rsidRDefault="002B535F" w:rsidP="00337ED8">
            <w:pPr>
              <w:pStyle w:val="a6"/>
              <w:rPr>
                <w:rFonts w:asciiTheme="majorHAnsi" w:hAnsiTheme="majorHAnsi" w:cstheme="majorHAnsi"/>
                <w:i/>
                <w:sz w:val="24"/>
                <w:szCs w:val="24"/>
                <w:lang w:val="ro-MD"/>
              </w:rPr>
            </w:pPr>
            <w:r w:rsidRPr="00073F18">
              <w:rPr>
                <w:rFonts w:asciiTheme="majorHAnsi" w:hAnsiTheme="majorHAnsi" w:cstheme="majorHAnsi"/>
                <w:i/>
                <w:sz w:val="24"/>
                <w:szCs w:val="24"/>
                <w:lang w:val="ro-MD"/>
              </w:rPr>
              <w:t>Asistență (cooperare) financiară</w:t>
            </w:r>
          </w:p>
        </w:tc>
        <w:tc>
          <w:tcPr>
            <w:tcW w:w="6596" w:type="dxa"/>
          </w:tcPr>
          <w:p w14:paraId="3E94A79F" w14:textId="77777777" w:rsidR="008324CD" w:rsidRPr="00073F18" w:rsidRDefault="00337ED8" w:rsidP="0083274F">
            <w:pPr>
              <w:pStyle w:val="a6"/>
              <w:jc w:val="both"/>
              <w:rPr>
                <w:rFonts w:asciiTheme="majorHAnsi" w:hAnsiTheme="majorHAnsi" w:cstheme="majorHAnsi"/>
                <w:sz w:val="24"/>
                <w:szCs w:val="24"/>
                <w:lang w:val="ro-MD"/>
              </w:rPr>
            </w:pPr>
            <w:r w:rsidRPr="00073F18">
              <w:rPr>
                <w:rFonts w:asciiTheme="majorHAnsi" w:hAnsiTheme="majorHAnsi" w:cstheme="majorHAnsi"/>
                <w:sz w:val="24"/>
                <w:szCs w:val="24"/>
                <w:lang w:val="ro-MD"/>
              </w:rPr>
              <w:t>s</w:t>
            </w:r>
            <w:r w:rsidR="002B535F" w:rsidRPr="00073F18">
              <w:rPr>
                <w:rFonts w:asciiTheme="majorHAnsi" w:hAnsiTheme="majorHAnsi" w:cstheme="majorHAnsi"/>
                <w:sz w:val="24"/>
                <w:szCs w:val="24"/>
                <w:lang w:val="ro-MD"/>
              </w:rPr>
              <w:t>uport financiar sub formă de împrumuturi, granturi, inclusiv livrări de bunuri și/sau lucrări pentru implementarea proiectelor/programelor.</w:t>
            </w:r>
          </w:p>
        </w:tc>
      </w:tr>
      <w:tr w:rsidR="00337ED8" w:rsidRPr="0080644A" w14:paraId="20C41FAE" w14:textId="77777777" w:rsidTr="009A0F3F">
        <w:tc>
          <w:tcPr>
            <w:tcW w:w="2748" w:type="dxa"/>
          </w:tcPr>
          <w:p w14:paraId="61FEF672" w14:textId="77777777" w:rsidR="00337ED8" w:rsidRPr="008E6807" w:rsidRDefault="00337ED8" w:rsidP="00337ED8">
            <w:pPr>
              <w:pStyle w:val="a6"/>
              <w:rPr>
                <w:rFonts w:asciiTheme="majorHAnsi" w:hAnsiTheme="majorHAnsi" w:cstheme="majorHAnsi"/>
                <w:sz w:val="24"/>
                <w:szCs w:val="24"/>
                <w:lang w:val="ro-MD"/>
              </w:rPr>
            </w:pPr>
            <w:r w:rsidRPr="00073F18">
              <w:rPr>
                <w:rFonts w:asciiTheme="majorHAnsi" w:hAnsiTheme="majorHAnsi"/>
                <w:i/>
                <w:iCs/>
                <w:sz w:val="24"/>
                <w:szCs w:val="24"/>
                <w:lang w:val="ro-MD"/>
              </w:rPr>
              <w:t>B</w:t>
            </w:r>
            <w:r w:rsidRPr="008E6807">
              <w:rPr>
                <w:rFonts w:asciiTheme="majorHAnsi" w:hAnsiTheme="majorHAnsi"/>
                <w:i/>
                <w:sz w:val="24"/>
                <w:lang w:val="ro-MD"/>
              </w:rPr>
              <w:t>eneficiar al recreditării</w:t>
            </w:r>
          </w:p>
        </w:tc>
        <w:tc>
          <w:tcPr>
            <w:tcW w:w="6596" w:type="dxa"/>
          </w:tcPr>
          <w:p w14:paraId="0D4164C9" w14:textId="77777777" w:rsidR="00337ED8" w:rsidRPr="00073F18" w:rsidRDefault="00337ED8" w:rsidP="0083274F">
            <w:pPr>
              <w:spacing w:after="0" w:line="240" w:lineRule="auto"/>
              <w:jc w:val="both"/>
              <w:rPr>
                <w:rFonts w:asciiTheme="majorHAnsi" w:hAnsiTheme="majorHAnsi"/>
                <w:sz w:val="24"/>
                <w:szCs w:val="24"/>
                <w:lang w:val="ro-MD"/>
              </w:rPr>
            </w:pPr>
            <w:r w:rsidRPr="008E6807">
              <w:rPr>
                <w:rFonts w:asciiTheme="majorHAnsi" w:hAnsiTheme="majorHAnsi"/>
                <w:sz w:val="24"/>
                <w:lang w:val="ro-MD"/>
              </w:rPr>
              <w:t>orice persoană fizică sau juridică care este beneficiar f</w:t>
            </w:r>
            <w:r w:rsidRPr="00073F18">
              <w:rPr>
                <w:rFonts w:asciiTheme="majorHAnsi" w:hAnsiTheme="majorHAnsi"/>
                <w:sz w:val="24"/>
                <w:szCs w:val="24"/>
                <w:lang w:val="ro-MD"/>
              </w:rPr>
              <w:t xml:space="preserve">inal al mijloacelor </w:t>
            </w:r>
            <w:proofErr w:type="spellStart"/>
            <w:r w:rsidRPr="00073F18">
              <w:rPr>
                <w:rFonts w:asciiTheme="majorHAnsi" w:hAnsiTheme="majorHAnsi"/>
                <w:sz w:val="24"/>
                <w:szCs w:val="24"/>
                <w:lang w:val="ro-MD"/>
              </w:rPr>
              <w:t>recreditate</w:t>
            </w:r>
            <w:proofErr w:type="spellEnd"/>
            <w:r w:rsidRPr="00073F18">
              <w:rPr>
                <w:rFonts w:asciiTheme="majorHAnsi" w:hAnsiTheme="majorHAnsi"/>
                <w:sz w:val="24"/>
                <w:szCs w:val="24"/>
                <w:lang w:val="ro-MD"/>
              </w:rPr>
              <w:t>.</w:t>
            </w:r>
            <w:r w:rsidRPr="008E6807">
              <w:rPr>
                <w:rFonts w:asciiTheme="majorHAnsi" w:hAnsiTheme="majorHAnsi"/>
                <w:sz w:val="24"/>
                <w:lang w:val="ro-MD"/>
              </w:rPr>
              <w:t xml:space="preserve"> </w:t>
            </w:r>
          </w:p>
        </w:tc>
      </w:tr>
      <w:tr w:rsidR="00337ED8" w:rsidRPr="0080644A" w14:paraId="3AA1B1A1" w14:textId="77777777" w:rsidTr="009A0F3F">
        <w:tc>
          <w:tcPr>
            <w:tcW w:w="2748" w:type="dxa"/>
          </w:tcPr>
          <w:p w14:paraId="1F001394" w14:textId="77777777" w:rsidR="00337ED8" w:rsidRPr="00073F18" w:rsidRDefault="00337ED8" w:rsidP="00337ED8">
            <w:pPr>
              <w:pStyle w:val="a6"/>
              <w:rPr>
                <w:rFonts w:asciiTheme="majorHAnsi" w:hAnsiTheme="majorHAnsi"/>
                <w:i/>
                <w:iCs/>
                <w:sz w:val="24"/>
                <w:szCs w:val="24"/>
                <w:lang w:val="ro-MD"/>
              </w:rPr>
            </w:pPr>
            <w:r w:rsidRPr="00073F18">
              <w:rPr>
                <w:rFonts w:asciiTheme="majorHAnsi" w:hAnsiTheme="majorHAnsi"/>
                <w:i/>
                <w:iCs/>
                <w:sz w:val="24"/>
                <w:szCs w:val="24"/>
                <w:lang w:val="ro-MD"/>
              </w:rPr>
              <w:t>C</w:t>
            </w:r>
            <w:r w:rsidRPr="008E6807">
              <w:rPr>
                <w:rFonts w:asciiTheme="majorHAnsi" w:hAnsiTheme="majorHAnsi"/>
                <w:i/>
                <w:sz w:val="24"/>
                <w:lang w:val="ro-MD"/>
              </w:rPr>
              <w:t xml:space="preserve">ontract de </w:t>
            </w:r>
            <w:proofErr w:type="spellStart"/>
            <w:r w:rsidRPr="008E6807">
              <w:rPr>
                <w:rFonts w:asciiTheme="majorHAnsi" w:hAnsiTheme="majorHAnsi"/>
                <w:i/>
                <w:sz w:val="24"/>
                <w:lang w:val="ro-MD"/>
              </w:rPr>
              <w:t>garanţie</w:t>
            </w:r>
            <w:proofErr w:type="spellEnd"/>
            <w:r w:rsidRPr="008E6807">
              <w:rPr>
                <w:rFonts w:asciiTheme="majorHAnsi" w:hAnsiTheme="majorHAnsi"/>
                <w:i/>
                <w:sz w:val="24"/>
                <w:lang w:val="ro-MD"/>
              </w:rPr>
              <w:t xml:space="preserve"> de stat</w:t>
            </w:r>
            <w:r w:rsidRPr="00073F18">
              <w:rPr>
                <w:rFonts w:asciiTheme="majorHAnsi" w:hAnsiTheme="majorHAnsi"/>
                <w:sz w:val="24"/>
                <w:szCs w:val="24"/>
                <w:lang w:val="ro-MD"/>
              </w:rPr>
              <w:t xml:space="preserve"> </w:t>
            </w:r>
          </w:p>
        </w:tc>
        <w:tc>
          <w:tcPr>
            <w:tcW w:w="6596" w:type="dxa"/>
          </w:tcPr>
          <w:p w14:paraId="60FBE589" w14:textId="4B068CB8" w:rsidR="00337ED8" w:rsidRPr="00073F18" w:rsidRDefault="00337ED8" w:rsidP="0083274F">
            <w:pPr>
              <w:spacing w:after="0" w:line="240" w:lineRule="auto"/>
              <w:jc w:val="both"/>
              <w:rPr>
                <w:rFonts w:asciiTheme="majorHAnsi" w:hAnsiTheme="majorHAnsi"/>
                <w:sz w:val="24"/>
                <w:szCs w:val="24"/>
                <w:lang w:val="ro-MD"/>
              </w:rPr>
            </w:pPr>
            <w:r w:rsidRPr="008E6807">
              <w:rPr>
                <w:rFonts w:asciiTheme="majorHAnsi" w:hAnsiTheme="majorHAnsi"/>
                <w:sz w:val="24"/>
                <w:lang w:val="ro-MD"/>
              </w:rPr>
              <w:t xml:space="preserve">contract de fidejusiune între stat </w:t>
            </w:r>
            <w:proofErr w:type="spellStart"/>
            <w:r w:rsidRPr="008E6807">
              <w:rPr>
                <w:rFonts w:asciiTheme="majorHAnsi" w:hAnsiTheme="majorHAnsi"/>
                <w:sz w:val="24"/>
                <w:lang w:val="ro-MD"/>
              </w:rPr>
              <w:t>şi</w:t>
            </w:r>
            <w:proofErr w:type="spellEnd"/>
            <w:r w:rsidRPr="008E6807">
              <w:rPr>
                <w:rFonts w:asciiTheme="majorHAnsi" w:hAnsiTheme="majorHAnsi"/>
                <w:sz w:val="24"/>
                <w:lang w:val="ro-MD"/>
              </w:rPr>
              <w:t xml:space="preserve"> creditor, prin care statul se obligă să plătească, integral sau </w:t>
            </w:r>
            <w:proofErr w:type="spellStart"/>
            <w:r w:rsidRPr="008E6807">
              <w:rPr>
                <w:rFonts w:asciiTheme="majorHAnsi" w:hAnsiTheme="majorHAnsi"/>
                <w:sz w:val="24"/>
                <w:lang w:val="ro-MD"/>
              </w:rPr>
              <w:t>parţial</w:t>
            </w:r>
            <w:proofErr w:type="spellEnd"/>
            <w:r w:rsidRPr="008E6807">
              <w:rPr>
                <w:rFonts w:asciiTheme="majorHAnsi" w:hAnsiTheme="majorHAnsi"/>
                <w:sz w:val="24"/>
                <w:lang w:val="ro-MD"/>
              </w:rPr>
              <w:t xml:space="preserve">, creditorului datoria debitorului garantat (a persoanei fizice beneficiar în cadrul </w:t>
            </w:r>
            <w:r w:rsidRPr="007C1935">
              <w:rPr>
                <w:rFonts w:asciiTheme="majorHAnsi" w:hAnsiTheme="majorHAnsi"/>
                <w:sz w:val="24"/>
                <w:lang w:val="ro-MD"/>
              </w:rPr>
              <w:t xml:space="preserve">Programului de </w:t>
            </w:r>
            <w:r w:rsidR="007C1935" w:rsidRPr="00FA5323">
              <w:rPr>
                <w:rFonts w:asciiTheme="majorHAnsi" w:hAnsiTheme="majorHAnsi"/>
                <w:sz w:val="24"/>
                <w:lang w:val="ro-MD"/>
              </w:rPr>
              <w:t>s</w:t>
            </w:r>
            <w:r w:rsidRPr="007C1935">
              <w:rPr>
                <w:rFonts w:asciiTheme="majorHAnsi" w:hAnsiTheme="majorHAnsi"/>
                <w:sz w:val="24"/>
                <w:lang w:val="ro-MD"/>
              </w:rPr>
              <w:t>tat</w:t>
            </w:r>
            <w:r w:rsidRPr="008E6807">
              <w:rPr>
                <w:rFonts w:asciiTheme="majorHAnsi" w:hAnsiTheme="majorHAnsi"/>
                <w:sz w:val="24"/>
                <w:lang w:val="ro-MD"/>
              </w:rPr>
              <w:t xml:space="preserve"> „Prima casă” sau a persoanei juridice care a </w:t>
            </w:r>
            <w:proofErr w:type="spellStart"/>
            <w:r w:rsidRPr="008E6807">
              <w:rPr>
                <w:rFonts w:asciiTheme="majorHAnsi" w:hAnsiTheme="majorHAnsi"/>
                <w:sz w:val="24"/>
                <w:lang w:val="ro-MD"/>
              </w:rPr>
              <w:t>obţinut</w:t>
            </w:r>
            <w:proofErr w:type="spellEnd"/>
            <w:r w:rsidRPr="008E6807">
              <w:rPr>
                <w:rFonts w:asciiTheme="majorHAnsi" w:hAnsiTheme="majorHAnsi"/>
                <w:sz w:val="24"/>
                <w:lang w:val="ro-MD"/>
              </w:rPr>
              <w:t xml:space="preserve"> împrumut sub </w:t>
            </w:r>
            <w:proofErr w:type="spellStart"/>
            <w:r w:rsidRPr="008E6807">
              <w:rPr>
                <w:rFonts w:asciiTheme="majorHAnsi" w:hAnsiTheme="majorHAnsi"/>
                <w:sz w:val="24"/>
                <w:lang w:val="ro-MD"/>
              </w:rPr>
              <w:t>garanţie</w:t>
            </w:r>
            <w:proofErr w:type="spellEnd"/>
            <w:r w:rsidRPr="008E6807">
              <w:rPr>
                <w:rFonts w:asciiTheme="majorHAnsi" w:hAnsiTheme="majorHAnsi"/>
                <w:sz w:val="24"/>
                <w:lang w:val="ro-MD"/>
              </w:rPr>
              <w:t xml:space="preserve"> de stat), apărută din împrumuturi interne sau externe, în cazul în care debitorul garantat nu execută </w:t>
            </w:r>
            <w:proofErr w:type="spellStart"/>
            <w:r w:rsidRPr="008E6807">
              <w:rPr>
                <w:rFonts w:asciiTheme="majorHAnsi" w:hAnsiTheme="majorHAnsi"/>
                <w:sz w:val="24"/>
                <w:lang w:val="ro-MD"/>
              </w:rPr>
              <w:t>ob</w:t>
            </w:r>
            <w:r w:rsidRPr="00073F18">
              <w:rPr>
                <w:rFonts w:asciiTheme="majorHAnsi" w:hAnsiTheme="majorHAnsi"/>
                <w:sz w:val="24"/>
                <w:szCs w:val="24"/>
                <w:lang w:val="ro-MD"/>
              </w:rPr>
              <w:t>ligaţiile</w:t>
            </w:r>
            <w:proofErr w:type="spellEnd"/>
            <w:r w:rsidRPr="00073F18">
              <w:rPr>
                <w:rFonts w:asciiTheme="majorHAnsi" w:hAnsiTheme="majorHAnsi"/>
                <w:sz w:val="24"/>
                <w:szCs w:val="24"/>
                <w:lang w:val="ro-MD"/>
              </w:rPr>
              <w:t xml:space="preserve"> sale </w:t>
            </w:r>
            <w:proofErr w:type="spellStart"/>
            <w:r w:rsidRPr="00073F18">
              <w:rPr>
                <w:rFonts w:asciiTheme="majorHAnsi" w:hAnsiTheme="majorHAnsi"/>
                <w:sz w:val="24"/>
                <w:szCs w:val="24"/>
                <w:lang w:val="ro-MD"/>
              </w:rPr>
              <w:t>faţă</w:t>
            </w:r>
            <w:proofErr w:type="spellEnd"/>
            <w:r w:rsidRPr="00073F18">
              <w:rPr>
                <w:rFonts w:asciiTheme="majorHAnsi" w:hAnsiTheme="majorHAnsi"/>
                <w:sz w:val="24"/>
                <w:szCs w:val="24"/>
                <w:lang w:val="ro-MD"/>
              </w:rPr>
              <w:t xml:space="preserve"> de creditor.</w:t>
            </w:r>
            <w:r w:rsidRPr="008E6807">
              <w:rPr>
                <w:rFonts w:asciiTheme="majorHAnsi" w:hAnsiTheme="majorHAnsi"/>
                <w:sz w:val="24"/>
                <w:lang w:val="ro-MD"/>
              </w:rPr>
              <w:t xml:space="preserve"> </w:t>
            </w:r>
          </w:p>
        </w:tc>
      </w:tr>
      <w:tr w:rsidR="002B535F" w:rsidRPr="0080644A" w14:paraId="31DCAC98" w14:textId="77777777" w:rsidTr="009A0F3F">
        <w:tc>
          <w:tcPr>
            <w:tcW w:w="2748" w:type="dxa"/>
          </w:tcPr>
          <w:p w14:paraId="682846CD" w14:textId="77777777" w:rsidR="002B535F" w:rsidRPr="008E6807" w:rsidRDefault="002B535F" w:rsidP="00337ED8">
            <w:pPr>
              <w:pStyle w:val="a6"/>
              <w:rPr>
                <w:rFonts w:asciiTheme="majorHAnsi" w:hAnsiTheme="majorHAnsi" w:cstheme="majorHAnsi"/>
                <w:b/>
                <w:sz w:val="24"/>
                <w:szCs w:val="24"/>
                <w:lang w:val="ro-MD"/>
              </w:rPr>
            </w:pPr>
            <w:r w:rsidRPr="008E6807">
              <w:rPr>
                <w:rFonts w:asciiTheme="majorHAnsi" w:hAnsiTheme="majorHAnsi" w:cstheme="majorHAnsi"/>
                <w:i/>
                <w:iCs/>
                <w:sz w:val="24"/>
                <w:szCs w:val="24"/>
                <w:lang w:val="ro-MD"/>
              </w:rPr>
              <w:t>Datorie a sectorului public</w:t>
            </w:r>
          </w:p>
        </w:tc>
        <w:tc>
          <w:tcPr>
            <w:tcW w:w="6596" w:type="dxa"/>
          </w:tcPr>
          <w:p w14:paraId="6C311417" w14:textId="77777777" w:rsidR="002B535F" w:rsidRPr="008E6807" w:rsidRDefault="002B535F" w:rsidP="0083274F">
            <w:pPr>
              <w:pStyle w:val="a6"/>
              <w:jc w:val="both"/>
              <w:rPr>
                <w:rFonts w:asciiTheme="majorHAnsi" w:hAnsiTheme="majorHAnsi" w:cstheme="majorHAnsi"/>
                <w:sz w:val="24"/>
                <w:szCs w:val="24"/>
                <w:lang w:val="ro-MD"/>
              </w:rPr>
            </w:pPr>
            <w:r w:rsidRPr="008E6807">
              <w:rPr>
                <w:rFonts w:asciiTheme="majorHAnsi" w:hAnsiTheme="majorHAnsi" w:cstheme="majorHAnsi"/>
                <w:sz w:val="24"/>
                <w:szCs w:val="24"/>
                <w:lang w:val="ro-MD"/>
              </w:rPr>
              <w:t>totalitatea datoriei de stat, a datoriei unităților administrativ-teritoriale, a datoriei Băncii Naționale a Moldovei, a datoriei ce rezultă din împrumuturile interne și externe ale întreprinderilor de stat/municipale și ale societăților comerciale cu capital integral sau majoritar public.</w:t>
            </w:r>
          </w:p>
        </w:tc>
      </w:tr>
      <w:tr w:rsidR="002B535F" w:rsidRPr="0080644A" w14:paraId="0FE0AD5C" w14:textId="77777777" w:rsidTr="009A0F3F">
        <w:tc>
          <w:tcPr>
            <w:tcW w:w="2748" w:type="dxa"/>
          </w:tcPr>
          <w:p w14:paraId="79D60EF8" w14:textId="77777777" w:rsidR="002B535F" w:rsidRPr="008E6807" w:rsidRDefault="002B535F" w:rsidP="00337ED8">
            <w:pPr>
              <w:pStyle w:val="a6"/>
              <w:rPr>
                <w:rFonts w:asciiTheme="majorHAnsi" w:hAnsiTheme="majorHAnsi" w:cstheme="majorHAnsi"/>
                <w:b/>
                <w:sz w:val="24"/>
                <w:szCs w:val="24"/>
                <w:lang w:val="ro-MD"/>
              </w:rPr>
            </w:pPr>
            <w:r w:rsidRPr="008E6807">
              <w:rPr>
                <w:rFonts w:asciiTheme="majorHAnsi" w:hAnsiTheme="majorHAnsi" w:cstheme="majorHAnsi"/>
                <w:i/>
                <w:iCs/>
                <w:sz w:val="24"/>
                <w:szCs w:val="24"/>
                <w:lang w:val="ro-MD"/>
              </w:rPr>
              <w:t>Datorie de stat</w:t>
            </w:r>
          </w:p>
        </w:tc>
        <w:tc>
          <w:tcPr>
            <w:tcW w:w="6596" w:type="dxa"/>
          </w:tcPr>
          <w:p w14:paraId="24093270" w14:textId="77777777" w:rsidR="002B535F" w:rsidRPr="008E6807" w:rsidRDefault="002B535F" w:rsidP="0083274F">
            <w:pPr>
              <w:pStyle w:val="a6"/>
              <w:jc w:val="both"/>
              <w:rPr>
                <w:rFonts w:asciiTheme="majorHAnsi" w:hAnsiTheme="majorHAnsi" w:cstheme="majorHAnsi"/>
                <w:sz w:val="24"/>
                <w:szCs w:val="24"/>
                <w:lang w:val="ro-MD"/>
              </w:rPr>
            </w:pPr>
            <w:r w:rsidRPr="008E6807">
              <w:rPr>
                <w:rFonts w:asciiTheme="majorHAnsi" w:hAnsiTheme="majorHAnsi" w:cstheme="majorHAnsi"/>
                <w:sz w:val="24"/>
                <w:szCs w:val="24"/>
                <w:lang w:val="ro-MD"/>
              </w:rPr>
              <w:t>obligațiile contractuale pecuniare curente și scadente ale statului și dobânzile datorate și neonorate, apărute din calitatea statului de debitor sau fidejusor, fiind contractate, în numele Republicii Moldova, de către Guvern, prin intermediul Ministerului Finanțelor, în monedă națională sau în valută străină.</w:t>
            </w:r>
          </w:p>
        </w:tc>
      </w:tr>
      <w:tr w:rsidR="002B535F" w:rsidRPr="0080644A" w14:paraId="509D5DE3" w14:textId="77777777" w:rsidTr="009A0F3F">
        <w:trPr>
          <w:trHeight w:val="1888"/>
        </w:trPr>
        <w:tc>
          <w:tcPr>
            <w:tcW w:w="2748" w:type="dxa"/>
          </w:tcPr>
          <w:p w14:paraId="39675E84" w14:textId="77777777" w:rsidR="002B535F" w:rsidRPr="008E6807" w:rsidRDefault="002B535F" w:rsidP="00337ED8">
            <w:pPr>
              <w:pStyle w:val="a6"/>
              <w:rPr>
                <w:rFonts w:asciiTheme="majorHAnsi" w:hAnsiTheme="majorHAnsi" w:cstheme="majorHAnsi"/>
                <w:b/>
                <w:sz w:val="24"/>
                <w:szCs w:val="24"/>
                <w:lang w:val="ro-MD"/>
              </w:rPr>
            </w:pPr>
            <w:r w:rsidRPr="008E6807">
              <w:rPr>
                <w:rFonts w:asciiTheme="majorHAnsi" w:hAnsiTheme="majorHAnsi" w:cstheme="majorHAnsi"/>
                <w:i/>
                <w:iCs/>
                <w:sz w:val="24"/>
                <w:szCs w:val="24"/>
                <w:lang w:val="ro-MD"/>
              </w:rPr>
              <w:t>Datorie de stat externă</w:t>
            </w:r>
          </w:p>
        </w:tc>
        <w:tc>
          <w:tcPr>
            <w:tcW w:w="6596" w:type="dxa"/>
          </w:tcPr>
          <w:p w14:paraId="4DA1BB5B" w14:textId="77777777" w:rsidR="002B535F" w:rsidRPr="008E6807" w:rsidRDefault="002B535F" w:rsidP="0083274F">
            <w:pPr>
              <w:pStyle w:val="a6"/>
              <w:jc w:val="both"/>
              <w:rPr>
                <w:rFonts w:asciiTheme="majorHAnsi" w:hAnsiTheme="majorHAnsi" w:cstheme="majorHAnsi"/>
                <w:sz w:val="24"/>
                <w:szCs w:val="24"/>
                <w:lang w:val="ro-MD"/>
              </w:rPr>
            </w:pPr>
            <w:r w:rsidRPr="008E6807">
              <w:rPr>
                <w:rFonts w:asciiTheme="majorHAnsi" w:hAnsiTheme="majorHAnsi" w:cstheme="majorHAnsi"/>
                <w:sz w:val="24"/>
                <w:szCs w:val="24"/>
                <w:lang w:val="ro-MD"/>
              </w:rPr>
              <w:t xml:space="preserve">parte integrantă a datoriei de stat, care reprezintă totalul sumelor obligațiilor neonorate și dobânzilor datorate și neonorate, contractate, în numele Republicii Moldova, de către Guvern, prin intermediul Ministerului Finanțelor, de la nerezidenții Republicii Moldova. Valorile mobiliare de stat emise pentru a fi plasate pe piețele financiare internaționale, care sunt procurate de rezidenți ai Republicii Moldova, sunt atribuite datoriei de stat externe. </w:t>
            </w:r>
          </w:p>
        </w:tc>
      </w:tr>
      <w:tr w:rsidR="002B535F" w:rsidRPr="0080644A" w14:paraId="335F712D" w14:textId="77777777" w:rsidTr="009A0F3F">
        <w:trPr>
          <w:trHeight w:val="1888"/>
        </w:trPr>
        <w:tc>
          <w:tcPr>
            <w:tcW w:w="2748" w:type="dxa"/>
          </w:tcPr>
          <w:p w14:paraId="4027A069" w14:textId="77777777" w:rsidR="002B535F" w:rsidRPr="008E6807" w:rsidRDefault="002B535F" w:rsidP="00337ED8">
            <w:pPr>
              <w:pStyle w:val="a6"/>
              <w:rPr>
                <w:rFonts w:asciiTheme="majorHAnsi" w:hAnsiTheme="majorHAnsi" w:cstheme="majorHAnsi"/>
                <w:i/>
                <w:iCs/>
                <w:sz w:val="24"/>
                <w:szCs w:val="24"/>
                <w:lang w:val="ro-MD"/>
              </w:rPr>
            </w:pPr>
            <w:r w:rsidRPr="008E6807">
              <w:rPr>
                <w:rFonts w:asciiTheme="majorHAnsi" w:hAnsiTheme="majorHAnsi" w:cstheme="majorHAnsi"/>
                <w:i/>
                <w:iCs/>
                <w:sz w:val="24"/>
                <w:szCs w:val="24"/>
                <w:lang w:val="ro-MD"/>
              </w:rPr>
              <w:t>Datorie de stat internă</w:t>
            </w:r>
          </w:p>
        </w:tc>
        <w:tc>
          <w:tcPr>
            <w:tcW w:w="6596" w:type="dxa"/>
          </w:tcPr>
          <w:p w14:paraId="4B41B8E8" w14:textId="555143A9" w:rsidR="002B535F" w:rsidRPr="00A94CCD" w:rsidRDefault="002B535F" w:rsidP="0083274F">
            <w:pPr>
              <w:pStyle w:val="a6"/>
              <w:jc w:val="both"/>
              <w:rPr>
                <w:rFonts w:asciiTheme="majorHAnsi" w:hAnsiTheme="majorHAnsi" w:cstheme="majorHAnsi"/>
                <w:sz w:val="24"/>
                <w:szCs w:val="24"/>
                <w:lang w:val="ro-MD"/>
              </w:rPr>
            </w:pPr>
            <w:r w:rsidRPr="00073F18">
              <w:rPr>
                <w:rFonts w:asciiTheme="majorHAnsi" w:hAnsiTheme="majorHAnsi" w:cstheme="majorHAnsi"/>
                <w:sz w:val="24"/>
                <w:szCs w:val="24"/>
                <w:lang w:val="ro-MD"/>
              </w:rPr>
              <w:t xml:space="preserve">parte integrantă a datoriei de stat </w:t>
            </w:r>
            <w:r w:rsidR="00D02B96">
              <w:rPr>
                <w:rFonts w:asciiTheme="majorHAnsi" w:hAnsiTheme="majorHAnsi" w:cstheme="majorHAnsi"/>
                <w:sz w:val="24"/>
                <w:szCs w:val="24"/>
                <w:lang w:val="ro-MD"/>
              </w:rPr>
              <w:t xml:space="preserve">ce </w:t>
            </w:r>
            <w:r w:rsidRPr="00073F18">
              <w:rPr>
                <w:rFonts w:asciiTheme="majorHAnsi" w:hAnsiTheme="majorHAnsi" w:cstheme="majorHAnsi"/>
                <w:sz w:val="24"/>
                <w:szCs w:val="24"/>
                <w:lang w:val="ro-MD"/>
              </w:rPr>
              <w:t>reprez</w:t>
            </w:r>
            <w:r w:rsidR="00D02B96">
              <w:rPr>
                <w:rFonts w:asciiTheme="majorHAnsi" w:hAnsiTheme="majorHAnsi" w:cstheme="majorHAnsi"/>
                <w:sz w:val="24"/>
                <w:szCs w:val="24"/>
                <w:lang w:val="ro-MD"/>
              </w:rPr>
              <w:t>intă</w:t>
            </w:r>
            <w:r w:rsidRPr="00073F18">
              <w:rPr>
                <w:rFonts w:asciiTheme="majorHAnsi" w:hAnsiTheme="majorHAnsi" w:cstheme="majorHAnsi"/>
                <w:sz w:val="24"/>
                <w:szCs w:val="24"/>
                <w:lang w:val="ro-MD"/>
              </w:rPr>
              <w:t xml:space="preserve"> totalul sumelor </w:t>
            </w:r>
            <w:proofErr w:type="spellStart"/>
            <w:r w:rsidRPr="00073F18">
              <w:rPr>
                <w:rFonts w:asciiTheme="majorHAnsi" w:hAnsiTheme="majorHAnsi" w:cstheme="majorHAnsi"/>
                <w:sz w:val="24"/>
                <w:szCs w:val="24"/>
                <w:lang w:val="ro-MD"/>
              </w:rPr>
              <w:t>obligaţiilor</w:t>
            </w:r>
            <w:proofErr w:type="spellEnd"/>
            <w:r w:rsidRPr="00073F18">
              <w:rPr>
                <w:rFonts w:asciiTheme="majorHAnsi" w:hAnsiTheme="majorHAnsi" w:cstheme="majorHAnsi"/>
                <w:sz w:val="24"/>
                <w:szCs w:val="24"/>
                <w:lang w:val="ro-MD"/>
              </w:rPr>
              <w:t xml:space="preserve"> neonorate </w:t>
            </w:r>
            <w:proofErr w:type="spellStart"/>
            <w:r w:rsidRPr="00073F18">
              <w:rPr>
                <w:rFonts w:asciiTheme="majorHAnsi" w:hAnsiTheme="majorHAnsi" w:cstheme="majorHAnsi"/>
                <w:sz w:val="24"/>
                <w:szCs w:val="24"/>
                <w:lang w:val="ro-MD"/>
              </w:rPr>
              <w:t>şi</w:t>
            </w:r>
            <w:proofErr w:type="spellEnd"/>
            <w:r w:rsidRPr="00073F18">
              <w:rPr>
                <w:rFonts w:asciiTheme="majorHAnsi" w:hAnsiTheme="majorHAnsi" w:cstheme="majorHAnsi"/>
                <w:sz w:val="24"/>
                <w:szCs w:val="24"/>
                <w:lang w:val="ro-MD"/>
              </w:rPr>
              <w:t xml:space="preserve"> dobânzilor datorate </w:t>
            </w:r>
            <w:proofErr w:type="spellStart"/>
            <w:r w:rsidRPr="00073F18">
              <w:rPr>
                <w:rFonts w:asciiTheme="majorHAnsi" w:hAnsiTheme="majorHAnsi" w:cstheme="majorHAnsi"/>
                <w:sz w:val="24"/>
                <w:szCs w:val="24"/>
                <w:lang w:val="ro-MD"/>
              </w:rPr>
              <w:t>şi</w:t>
            </w:r>
            <w:proofErr w:type="spellEnd"/>
            <w:r w:rsidRPr="00073F18">
              <w:rPr>
                <w:rFonts w:asciiTheme="majorHAnsi" w:hAnsiTheme="majorHAnsi" w:cstheme="majorHAnsi"/>
                <w:sz w:val="24"/>
                <w:szCs w:val="24"/>
                <w:lang w:val="ro-MD"/>
              </w:rPr>
              <w:t xml:space="preserve"> neonorate, contractate, în numele Republicii Moldova, de Guvern, prin intermediul Ministerului </w:t>
            </w:r>
            <w:proofErr w:type="spellStart"/>
            <w:r w:rsidRPr="00073F18">
              <w:rPr>
                <w:rFonts w:asciiTheme="majorHAnsi" w:hAnsiTheme="majorHAnsi" w:cstheme="majorHAnsi"/>
                <w:sz w:val="24"/>
                <w:szCs w:val="24"/>
                <w:lang w:val="ro-MD"/>
              </w:rPr>
              <w:t>Finanţelor</w:t>
            </w:r>
            <w:proofErr w:type="spellEnd"/>
            <w:r w:rsidRPr="00073F18">
              <w:rPr>
                <w:rFonts w:asciiTheme="majorHAnsi" w:hAnsiTheme="majorHAnsi" w:cstheme="majorHAnsi"/>
                <w:sz w:val="24"/>
                <w:szCs w:val="24"/>
                <w:lang w:val="ro-MD"/>
              </w:rPr>
              <w:t>, de la rezidenții Republicii Moldova. Valorile mobiliare de stat emise pentru a fi plasate pe piața internă a Republicii Moldova, care sunt procurate de către n</w:t>
            </w:r>
            <w:r w:rsidRPr="00A94CCD">
              <w:rPr>
                <w:rFonts w:asciiTheme="majorHAnsi" w:hAnsiTheme="majorHAnsi" w:cstheme="majorHAnsi"/>
                <w:sz w:val="24"/>
                <w:szCs w:val="24"/>
                <w:lang w:val="ro-MD"/>
              </w:rPr>
              <w:t>erezidenți</w:t>
            </w:r>
            <w:r w:rsidR="003967DD">
              <w:rPr>
                <w:rFonts w:asciiTheme="majorHAnsi" w:hAnsiTheme="majorHAnsi" w:cstheme="majorHAnsi"/>
                <w:sz w:val="24"/>
                <w:szCs w:val="24"/>
                <w:lang w:val="ro-MD"/>
              </w:rPr>
              <w:t>,</w:t>
            </w:r>
            <w:r w:rsidRPr="00A94CCD">
              <w:rPr>
                <w:rFonts w:asciiTheme="majorHAnsi" w:hAnsiTheme="majorHAnsi" w:cstheme="majorHAnsi"/>
                <w:sz w:val="24"/>
                <w:szCs w:val="24"/>
                <w:lang w:val="ro-MD"/>
              </w:rPr>
              <w:t xml:space="preserve"> sunt atribuite datoriei de stat interne.</w:t>
            </w:r>
          </w:p>
        </w:tc>
      </w:tr>
      <w:tr w:rsidR="002B535F" w:rsidRPr="0080644A" w14:paraId="613314E5" w14:textId="77777777" w:rsidTr="009A0F3F">
        <w:tc>
          <w:tcPr>
            <w:tcW w:w="2748" w:type="dxa"/>
          </w:tcPr>
          <w:p w14:paraId="6F859D77" w14:textId="77777777" w:rsidR="002B535F" w:rsidRPr="008E6807" w:rsidRDefault="002B535F" w:rsidP="00337ED8">
            <w:pPr>
              <w:pStyle w:val="a6"/>
              <w:rPr>
                <w:rFonts w:asciiTheme="majorHAnsi" w:hAnsiTheme="majorHAnsi" w:cstheme="majorHAnsi"/>
                <w:b/>
                <w:sz w:val="24"/>
                <w:szCs w:val="24"/>
                <w:lang w:val="ro-MD"/>
              </w:rPr>
            </w:pPr>
            <w:r w:rsidRPr="008E6807">
              <w:rPr>
                <w:rFonts w:asciiTheme="majorHAnsi" w:hAnsiTheme="majorHAnsi" w:cstheme="majorHAnsi"/>
                <w:i/>
                <w:iCs/>
                <w:sz w:val="24"/>
                <w:szCs w:val="24"/>
                <w:lang w:val="ro-MD"/>
              </w:rPr>
              <w:t>Deservire a datoriei</w:t>
            </w:r>
          </w:p>
        </w:tc>
        <w:tc>
          <w:tcPr>
            <w:tcW w:w="6596" w:type="dxa"/>
          </w:tcPr>
          <w:p w14:paraId="73F6E16D" w14:textId="77777777" w:rsidR="002B535F" w:rsidRPr="008E6807" w:rsidRDefault="002B535F" w:rsidP="0083274F">
            <w:pPr>
              <w:pStyle w:val="a6"/>
              <w:jc w:val="both"/>
              <w:rPr>
                <w:rFonts w:asciiTheme="majorHAnsi" w:hAnsiTheme="majorHAnsi" w:cstheme="majorHAnsi"/>
                <w:sz w:val="24"/>
                <w:szCs w:val="24"/>
                <w:lang w:val="ro-MD"/>
              </w:rPr>
            </w:pPr>
            <w:r w:rsidRPr="008E6807">
              <w:rPr>
                <w:rFonts w:asciiTheme="majorHAnsi" w:hAnsiTheme="majorHAnsi" w:cstheme="majorHAnsi"/>
                <w:sz w:val="24"/>
                <w:szCs w:val="24"/>
                <w:lang w:val="ro-MD"/>
              </w:rPr>
              <w:t>plata sumei principale, a dobânzii și a altor sume aferente, prevăzute în contractele din care rezultă datoria.</w:t>
            </w:r>
          </w:p>
        </w:tc>
      </w:tr>
      <w:tr w:rsidR="00337ED8" w:rsidRPr="0080644A" w14:paraId="0872F153" w14:textId="77777777" w:rsidTr="009A0F3F">
        <w:tc>
          <w:tcPr>
            <w:tcW w:w="2748" w:type="dxa"/>
          </w:tcPr>
          <w:p w14:paraId="7FB59098" w14:textId="77777777" w:rsidR="00337ED8" w:rsidRPr="008E6807" w:rsidRDefault="00337ED8" w:rsidP="00337ED8">
            <w:pPr>
              <w:pStyle w:val="a6"/>
              <w:rPr>
                <w:rFonts w:asciiTheme="majorHAnsi" w:hAnsiTheme="majorHAnsi" w:cstheme="majorHAnsi"/>
                <w:i/>
                <w:iCs/>
                <w:sz w:val="24"/>
                <w:szCs w:val="24"/>
                <w:lang w:val="ro-MD"/>
              </w:rPr>
            </w:pPr>
            <w:proofErr w:type="spellStart"/>
            <w:r w:rsidRPr="00073F18">
              <w:rPr>
                <w:rFonts w:asciiTheme="majorHAnsi" w:hAnsiTheme="majorHAnsi"/>
                <w:i/>
                <w:iCs/>
                <w:sz w:val="24"/>
                <w:szCs w:val="24"/>
                <w:lang w:val="ro-MD"/>
              </w:rPr>
              <w:t>G</w:t>
            </w:r>
            <w:r w:rsidRPr="008E6807">
              <w:rPr>
                <w:rFonts w:asciiTheme="majorHAnsi" w:hAnsiTheme="majorHAnsi"/>
                <w:i/>
                <w:sz w:val="24"/>
                <w:lang w:val="ro-MD"/>
              </w:rPr>
              <w:t>aranţie</w:t>
            </w:r>
            <w:proofErr w:type="spellEnd"/>
            <w:r w:rsidRPr="008E6807">
              <w:rPr>
                <w:rFonts w:asciiTheme="majorHAnsi" w:hAnsiTheme="majorHAnsi"/>
                <w:i/>
                <w:sz w:val="24"/>
                <w:lang w:val="ro-MD"/>
              </w:rPr>
              <w:t xml:space="preserve"> de stat</w:t>
            </w:r>
          </w:p>
        </w:tc>
        <w:tc>
          <w:tcPr>
            <w:tcW w:w="6596" w:type="dxa"/>
          </w:tcPr>
          <w:p w14:paraId="73791DA3" w14:textId="77777777" w:rsidR="00337ED8" w:rsidRPr="00073F18" w:rsidRDefault="00337ED8" w:rsidP="0083274F">
            <w:pPr>
              <w:spacing w:after="0" w:line="240" w:lineRule="auto"/>
              <w:jc w:val="both"/>
              <w:rPr>
                <w:rFonts w:asciiTheme="majorHAnsi" w:hAnsiTheme="majorHAnsi"/>
                <w:sz w:val="24"/>
                <w:szCs w:val="24"/>
                <w:lang w:val="ro-MD"/>
              </w:rPr>
            </w:pPr>
            <w:r w:rsidRPr="008E6807">
              <w:rPr>
                <w:rFonts w:asciiTheme="majorHAnsi" w:hAnsiTheme="majorHAnsi"/>
                <w:sz w:val="24"/>
                <w:lang w:val="ro-MD"/>
              </w:rPr>
              <w:t xml:space="preserve">angajament asumat, în contul </w:t>
            </w:r>
            <w:proofErr w:type="spellStart"/>
            <w:r w:rsidRPr="008E6807">
              <w:rPr>
                <w:rFonts w:asciiTheme="majorHAnsi" w:hAnsiTheme="majorHAnsi"/>
                <w:sz w:val="24"/>
                <w:lang w:val="ro-MD"/>
              </w:rPr>
              <w:t>şi</w:t>
            </w:r>
            <w:proofErr w:type="spellEnd"/>
            <w:r w:rsidRPr="008E6807">
              <w:rPr>
                <w:rFonts w:asciiTheme="majorHAnsi" w:hAnsiTheme="majorHAnsi"/>
                <w:sz w:val="24"/>
                <w:lang w:val="ro-MD"/>
              </w:rPr>
              <w:t xml:space="preserve"> în numele statului, de către Guvern, în calitate de garant, de a plăti la </w:t>
            </w:r>
            <w:proofErr w:type="spellStart"/>
            <w:r w:rsidRPr="008E6807">
              <w:rPr>
                <w:rFonts w:asciiTheme="majorHAnsi" w:hAnsiTheme="majorHAnsi"/>
                <w:sz w:val="24"/>
                <w:lang w:val="ro-MD"/>
              </w:rPr>
              <w:t>scadenţă</w:t>
            </w:r>
            <w:proofErr w:type="spellEnd"/>
            <w:r w:rsidRPr="008E6807">
              <w:rPr>
                <w:rFonts w:asciiTheme="majorHAnsi" w:hAnsiTheme="majorHAnsi"/>
                <w:sz w:val="24"/>
                <w:lang w:val="ro-MD"/>
              </w:rPr>
              <w:t xml:space="preserve"> </w:t>
            </w:r>
            <w:proofErr w:type="spellStart"/>
            <w:r w:rsidRPr="008E6807">
              <w:rPr>
                <w:rFonts w:asciiTheme="majorHAnsi" w:hAnsiTheme="majorHAnsi"/>
                <w:sz w:val="24"/>
                <w:lang w:val="ro-MD"/>
              </w:rPr>
              <w:t>obligaţiile</w:t>
            </w:r>
            <w:proofErr w:type="spellEnd"/>
            <w:r w:rsidRPr="008E6807">
              <w:rPr>
                <w:rFonts w:asciiTheme="majorHAnsi" w:hAnsiTheme="majorHAnsi"/>
                <w:sz w:val="24"/>
                <w:lang w:val="ro-MD"/>
              </w:rPr>
              <w:t xml:space="preserve"> neon</w:t>
            </w:r>
            <w:r w:rsidRPr="00073F18">
              <w:rPr>
                <w:rFonts w:asciiTheme="majorHAnsi" w:hAnsiTheme="majorHAnsi"/>
                <w:sz w:val="24"/>
                <w:szCs w:val="24"/>
                <w:lang w:val="ro-MD"/>
              </w:rPr>
              <w:t>orate ale debitorului garantat.</w:t>
            </w:r>
          </w:p>
        </w:tc>
      </w:tr>
      <w:tr w:rsidR="002B535F" w:rsidRPr="0080644A" w14:paraId="7D21BFCA" w14:textId="77777777" w:rsidTr="009A0F3F">
        <w:tc>
          <w:tcPr>
            <w:tcW w:w="2748" w:type="dxa"/>
          </w:tcPr>
          <w:p w14:paraId="3CA0C16A" w14:textId="77777777" w:rsidR="002B535F" w:rsidRPr="008E6807" w:rsidRDefault="002B535F" w:rsidP="00337ED8">
            <w:pPr>
              <w:pStyle w:val="a6"/>
              <w:rPr>
                <w:rFonts w:asciiTheme="majorHAnsi" w:hAnsiTheme="majorHAnsi" w:cstheme="majorHAnsi"/>
                <w:b/>
                <w:sz w:val="24"/>
                <w:szCs w:val="24"/>
                <w:lang w:val="ro-MD"/>
              </w:rPr>
            </w:pPr>
            <w:r w:rsidRPr="008E6807">
              <w:rPr>
                <w:rFonts w:asciiTheme="majorHAnsi" w:hAnsiTheme="majorHAnsi" w:cstheme="majorHAnsi"/>
                <w:i/>
                <w:iCs/>
                <w:sz w:val="24"/>
                <w:szCs w:val="24"/>
                <w:lang w:val="ro-MD"/>
              </w:rPr>
              <w:t>Instrument al datoriei</w:t>
            </w:r>
          </w:p>
        </w:tc>
        <w:tc>
          <w:tcPr>
            <w:tcW w:w="6596" w:type="dxa"/>
          </w:tcPr>
          <w:p w14:paraId="7E28C530" w14:textId="77777777" w:rsidR="002B535F" w:rsidRPr="008E6807" w:rsidRDefault="002B535F" w:rsidP="0083274F">
            <w:pPr>
              <w:pStyle w:val="a6"/>
              <w:jc w:val="both"/>
              <w:rPr>
                <w:rFonts w:asciiTheme="majorHAnsi" w:hAnsiTheme="majorHAnsi" w:cstheme="majorHAnsi"/>
                <w:sz w:val="24"/>
                <w:szCs w:val="24"/>
                <w:lang w:val="ro-MD"/>
              </w:rPr>
            </w:pPr>
            <w:r w:rsidRPr="008E6807">
              <w:rPr>
                <w:rFonts w:asciiTheme="majorHAnsi" w:hAnsiTheme="majorHAnsi" w:cstheme="majorHAnsi"/>
                <w:sz w:val="24"/>
                <w:szCs w:val="24"/>
                <w:lang w:val="ro-MD"/>
              </w:rPr>
              <w:t>obligație financiară care presupune efectuarea plăților sumei principale și/sau a dobânzii de către debitor în favoarea creditorului la o anumită dată în viitor.</w:t>
            </w:r>
          </w:p>
        </w:tc>
      </w:tr>
      <w:tr w:rsidR="002B535F" w:rsidRPr="0080644A" w14:paraId="36078ADC" w14:textId="77777777" w:rsidTr="009A0F3F">
        <w:tc>
          <w:tcPr>
            <w:tcW w:w="2748" w:type="dxa"/>
          </w:tcPr>
          <w:p w14:paraId="12C7A43E" w14:textId="77777777" w:rsidR="002B535F" w:rsidRPr="008E6807" w:rsidRDefault="002B535F" w:rsidP="00337ED8">
            <w:pPr>
              <w:pStyle w:val="a6"/>
              <w:rPr>
                <w:rFonts w:asciiTheme="majorHAnsi" w:hAnsiTheme="majorHAnsi" w:cstheme="majorHAnsi"/>
                <w:b/>
                <w:sz w:val="24"/>
                <w:szCs w:val="24"/>
                <w:lang w:val="ro-MD"/>
              </w:rPr>
            </w:pPr>
            <w:r w:rsidRPr="008E6807">
              <w:rPr>
                <w:rFonts w:asciiTheme="majorHAnsi" w:hAnsiTheme="majorHAnsi" w:cstheme="majorHAnsi"/>
                <w:i/>
                <w:iCs/>
                <w:sz w:val="24"/>
                <w:szCs w:val="24"/>
                <w:lang w:val="ro-MD"/>
              </w:rPr>
              <w:t>Recreditare</w:t>
            </w:r>
          </w:p>
        </w:tc>
        <w:tc>
          <w:tcPr>
            <w:tcW w:w="6596" w:type="dxa"/>
          </w:tcPr>
          <w:p w14:paraId="0FF49BBE" w14:textId="77777777" w:rsidR="002B535F" w:rsidRPr="008E6807" w:rsidRDefault="002B535F" w:rsidP="0083274F">
            <w:pPr>
              <w:pStyle w:val="a6"/>
              <w:jc w:val="both"/>
              <w:rPr>
                <w:rFonts w:asciiTheme="majorHAnsi" w:hAnsiTheme="majorHAnsi" w:cstheme="majorHAnsi"/>
                <w:b/>
                <w:sz w:val="24"/>
                <w:szCs w:val="24"/>
                <w:lang w:val="ro-MD"/>
              </w:rPr>
            </w:pPr>
            <w:r w:rsidRPr="008E6807">
              <w:rPr>
                <w:rFonts w:asciiTheme="majorHAnsi" w:hAnsiTheme="majorHAnsi" w:cstheme="majorHAnsi"/>
                <w:sz w:val="24"/>
                <w:szCs w:val="24"/>
                <w:lang w:val="ro-MD"/>
              </w:rPr>
              <w:t>acordarea de împrumut beneficiarilor recreditării din contul mijloacelor obținute din împrumuturi de stat.</w:t>
            </w:r>
          </w:p>
        </w:tc>
      </w:tr>
      <w:tr w:rsidR="002B535F" w:rsidRPr="00CF603A" w14:paraId="2B6ADEAB" w14:textId="77777777" w:rsidTr="009A0F3F">
        <w:tc>
          <w:tcPr>
            <w:tcW w:w="2748" w:type="dxa"/>
          </w:tcPr>
          <w:p w14:paraId="5A66F4A9" w14:textId="77777777" w:rsidR="002B535F" w:rsidRPr="008E6807" w:rsidRDefault="002B535F" w:rsidP="00337ED8">
            <w:pPr>
              <w:pStyle w:val="a6"/>
              <w:rPr>
                <w:rFonts w:asciiTheme="majorHAnsi" w:hAnsiTheme="majorHAnsi" w:cstheme="majorHAnsi"/>
                <w:sz w:val="24"/>
                <w:szCs w:val="24"/>
                <w:lang w:val="ro-MD"/>
              </w:rPr>
            </w:pPr>
            <w:r w:rsidRPr="008E6807">
              <w:rPr>
                <w:rFonts w:asciiTheme="majorHAnsi" w:hAnsiTheme="majorHAnsi" w:cstheme="majorHAnsi"/>
                <w:i/>
                <w:iCs/>
                <w:sz w:val="24"/>
                <w:szCs w:val="24"/>
                <w:lang w:val="ro-MD"/>
              </w:rPr>
              <w:t>Sumă principală</w:t>
            </w:r>
            <w:r w:rsidRPr="008E6807">
              <w:rPr>
                <w:rFonts w:asciiTheme="majorHAnsi" w:hAnsiTheme="majorHAnsi" w:cstheme="majorHAnsi"/>
                <w:sz w:val="24"/>
                <w:szCs w:val="24"/>
                <w:lang w:val="ro-MD"/>
              </w:rPr>
              <w:t xml:space="preserve"> </w:t>
            </w:r>
          </w:p>
        </w:tc>
        <w:tc>
          <w:tcPr>
            <w:tcW w:w="6596" w:type="dxa"/>
          </w:tcPr>
          <w:p w14:paraId="3AC4CFF6" w14:textId="77777777" w:rsidR="002B535F" w:rsidRPr="008E6807" w:rsidRDefault="002B535F" w:rsidP="0083274F">
            <w:pPr>
              <w:pStyle w:val="a6"/>
              <w:jc w:val="both"/>
              <w:rPr>
                <w:rFonts w:asciiTheme="majorHAnsi" w:hAnsiTheme="majorHAnsi" w:cstheme="majorHAnsi"/>
                <w:b/>
                <w:sz w:val="24"/>
                <w:szCs w:val="24"/>
                <w:lang w:val="ro-MD"/>
              </w:rPr>
            </w:pPr>
            <w:r w:rsidRPr="008E6807">
              <w:rPr>
                <w:rFonts w:asciiTheme="majorHAnsi" w:hAnsiTheme="majorHAnsi" w:cstheme="majorHAnsi"/>
                <w:sz w:val="24"/>
                <w:szCs w:val="24"/>
                <w:lang w:val="ro-MD"/>
              </w:rPr>
              <w:t>sumă acordată în cadrul unui împrumut.</w:t>
            </w:r>
          </w:p>
        </w:tc>
      </w:tr>
      <w:tr w:rsidR="002B535F" w:rsidRPr="0080644A" w14:paraId="4003F769" w14:textId="77777777" w:rsidTr="009A0F3F">
        <w:tc>
          <w:tcPr>
            <w:tcW w:w="2748" w:type="dxa"/>
          </w:tcPr>
          <w:p w14:paraId="3DED18D8" w14:textId="77777777" w:rsidR="002B535F" w:rsidRPr="008E6807" w:rsidRDefault="002B535F" w:rsidP="00337ED8">
            <w:pPr>
              <w:pStyle w:val="a6"/>
              <w:rPr>
                <w:rFonts w:asciiTheme="majorHAnsi" w:hAnsiTheme="majorHAnsi" w:cstheme="majorHAnsi"/>
                <w:i/>
                <w:iCs/>
                <w:sz w:val="24"/>
                <w:szCs w:val="24"/>
                <w:lang w:val="ro-MD"/>
              </w:rPr>
            </w:pPr>
            <w:r w:rsidRPr="008E6807">
              <w:rPr>
                <w:rFonts w:asciiTheme="majorHAnsi" w:hAnsiTheme="majorHAnsi" w:cstheme="majorHAnsi"/>
                <w:i/>
                <w:iCs/>
                <w:sz w:val="24"/>
                <w:szCs w:val="24"/>
                <w:lang w:val="ro-MD"/>
              </w:rPr>
              <w:t>Serviciul datoriei de stat</w:t>
            </w:r>
          </w:p>
        </w:tc>
        <w:tc>
          <w:tcPr>
            <w:tcW w:w="6596" w:type="dxa"/>
          </w:tcPr>
          <w:p w14:paraId="4BDEDE53" w14:textId="77777777" w:rsidR="002B535F" w:rsidRPr="008E6807" w:rsidRDefault="002B535F" w:rsidP="0083274F">
            <w:pPr>
              <w:pStyle w:val="a6"/>
              <w:jc w:val="both"/>
              <w:rPr>
                <w:rFonts w:asciiTheme="majorHAnsi" w:hAnsiTheme="majorHAnsi" w:cstheme="majorHAnsi"/>
                <w:sz w:val="24"/>
                <w:szCs w:val="24"/>
                <w:lang w:val="ro-MD"/>
              </w:rPr>
            </w:pPr>
            <w:r w:rsidRPr="008E6807">
              <w:rPr>
                <w:rFonts w:asciiTheme="majorHAnsi" w:hAnsiTheme="majorHAnsi" w:cstheme="majorHAnsi"/>
                <w:sz w:val="24"/>
                <w:szCs w:val="24"/>
                <w:lang w:val="ro-MD"/>
              </w:rPr>
              <w:t>plățile de dobândă și comisioanele aferente datoriei.</w:t>
            </w:r>
          </w:p>
        </w:tc>
      </w:tr>
      <w:tr w:rsidR="00337ED8" w:rsidRPr="0080644A" w14:paraId="269C5FA3" w14:textId="77777777" w:rsidTr="009A0F3F">
        <w:tc>
          <w:tcPr>
            <w:tcW w:w="2748" w:type="dxa"/>
          </w:tcPr>
          <w:p w14:paraId="73374824" w14:textId="299D9BEA" w:rsidR="00337ED8" w:rsidRPr="008E6807" w:rsidRDefault="003967DD" w:rsidP="00337ED8">
            <w:pPr>
              <w:pStyle w:val="a6"/>
              <w:rPr>
                <w:rFonts w:asciiTheme="majorHAnsi" w:hAnsiTheme="majorHAnsi" w:cstheme="majorHAnsi"/>
                <w:i/>
                <w:iCs/>
                <w:sz w:val="24"/>
                <w:szCs w:val="24"/>
                <w:lang w:val="ro-MD"/>
              </w:rPr>
            </w:pPr>
            <w:r>
              <w:rPr>
                <w:rFonts w:asciiTheme="majorHAnsi" w:hAnsiTheme="majorHAnsi"/>
                <w:i/>
                <w:sz w:val="24"/>
                <w:lang w:val="ro-MD"/>
              </w:rPr>
              <w:lastRenderedPageBreak/>
              <w:t>T</w:t>
            </w:r>
            <w:r w:rsidR="00337ED8" w:rsidRPr="008E6807">
              <w:rPr>
                <w:rFonts w:asciiTheme="majorHAnsi" w:hAnsiTheme="majorHAnsi"/>
                <w:i/>
                <w:sz w:val="24"/>
                <w:lang w:val="ro-MD"/>
              </w:rPr>
              <w:t>ermen scurt</w:t>
            </w:r>
          </w:p>
        </w:tc>
        <w:tc>
          <w:tcPr>
            <w:tcW w:w="6596" w:type="dxa"/>
          </w:tcPr>
          <w:p w14:paraId="2AD7747B" w14:textId="77777777" w:rsidR="00337ED8" w:rsidRPr="008E6807" w:rsidRDefault="00337ED8" w:rsidP="0083274F">
            <w:pPr>
              <w:pStyle w:val="a6"/>
              <w:jc w:val="both"/>
              <w:rPr>
                <w:rFonts w:asciiTheme="majorHAnsi" w:hAnsiTheme="majorHAnsi" w:cstheme="majorHAnsi"/>
                <w:sz w:val="24"/>
                <w:szCs w:val="24"/>
                <w:lang w:val="ro-MD"/>
              </w:rPr>
            </w:pPr>
            <w:r w:rsidRPr="008E6807">
              <w:rPr>
                <w:rFonts w:asciiTheme="majorHAnsi" w:hAnsiTheme="majorHAnsi"/>
                <w:sz w:val="24"/>
                <w:lang w:val="ro-MD"/>
              </w:rPr>
              <w:t xml:space="preserve">perioadă de rambursare de până la un an </w:t>
            </w:r>
            <w:proofErr w:type="spellStart"/>
            <w:r w:rsidRPr="008E6807">
              <w:rPr>
                <w:rFonts w:asciiTheme="majorHAnsi" w:hAnsiTheme="majorHAnsi"/>
                <w:sz w:val="24"/>
                <w:lang w:val="ro-MD"/>
              </w:rPr>
              <w:t>şi</w:t>
            </w:r>
            <w:proofErr w:type="spellEnd"/>
            <w:r w:rsidRPr="008E6807">
              <w:rPr>
                <w:rFonts w:asciiTheme="majorHAnsi" w:hAnsiTheme="majorHAnsi"/>
                <w:sz w:val="24"/>
                <w:lang w:val="ro-MD"/>
              </w:rPr>
              <w:t>/sau rambursare la solicitarea creditorului în lipsa te</w:t>
            </w:r>
            <w:r w:rsidRPr="00073F18">
              <w:rPr>
                <w:rFonts w:asciiTheme="majorHAnsi" w:hAnsiTheme="majorHAnsi"/>
                <w:sz w:val="24"/>
                <w:szCs w:val="24"/>
                <w:lang w:val="ro-MD"/>
              </w:rPr>
              <w:t>rmenului de scadență.</w:t>
            </w:r>
          </w:p>
        </w:tc>
      </w:tr>
      <w:tr w:rsidR="00337ED8" w:rsidRPr="0080644A" w14:paraId="4F302757" w14:textId="77777777" w:rsidTr="009A0F3F">
        <w:tc>
          <w:tcPr>
            <w:tcW w:w="2748" w:type="dxa"/>
          </w:tcPr>
          <w:p w14:paraId="580DB898" w14:textId="1E731A9B" w:rsidR="00337ED8" w:rsidRPr="008E6807" w:rsidRDefault="003967DD" w:rsidP="00337ED8">
            <w:pPr>
              <w:pStyle w:val="a6"/>
              <w:rPr>
                <w:rFonts w:asciiTheme="majorHAnsi" w:hAnsiTheme="majorHAnsi" w:cstheme="majorHAnsi"/>
                <w:i/>
                <w:iCs/>
                <w:sz w:val="24"/>
                <w:szCs w:val="24"/>
                <w:lang w:val="ro-MD"/>
              </w:rPr>
            </w:pPr>
            <w:r>
              <w:rPr>
                <w:rFonts w:asciiTheme="majorHAnsi" w:hAnsiTheme="majorHAnsi"/>
                <w:i/>
                <w:sz w:val="24"/>
                <w:lang w:val="ro-MD"/>
              </w:rPr>
              <w:t>T</w:t>
            </w:r>
            <w:r w:rsidR="00337ED8" w:rsidRPr="008E6807">
              <w:rPr>
                <w:rFonts w:asciiTheme="majorHAnsi" w:hAnsiTheme="majorHAnsi"/>
                <w:i/>
                <w:sz w:val="24"/>
                <w:lang w:val="ro-MD"/>
              </w:rPr>
              <w:t>ermen mediu</w:t>
            </w:r>
          </w:p>
        </w:tc>
        <w:tc>
          <w:tcPr>
            <w:tcW w:w="6596" w:type="dxa"/>
          </w:tcPr>
          <w:p w14:paraId="216F8AE5" w14:textId="1536B0D9" w:rsidR="00337ED8" w:rsidRPr="00073F18" w:rsidRDefault="00337ED8" w:rsidP="0083274F">
            <w:pPr>
              <w:spacing w:after="0" w:line="240" w:lineRule="auto"/>
              <w:jc w:val="both"/>
              <w:rPr>
                <w:rFonts w:asciiTheme="majorHAnsi" w:hAnsiTheme="majorHAnsi"/>
                <w:sz w:val="24"/>
                <w:szCs w:val="24"/>
                <w:lang w:val="ro-MD"/>
              </w:rPr>
            </w:pPr>
            <w:r w:rsidRPr="008E6807">
              <w:rPr>
                <w:rFonts w:asciiTheme="majorHAnsi" w:hAnsiTheme="majorHAnsi"/>
                <w:sz w:val="24"/>
                <w:lang w:val="ro-MD"/>
              </w:rPr>
              <w:t xml:space="preserve">perioadă de timp de 3 ani ce vizează termenul pentru care sunt stabilite obiectivele </w:t>
            </w:r>
            <w:proofErr w:type="spellStart"/>
            <w:r w:rsidRPr="008E6807">
              <w:rPr>
                <w:rFonts w:asciiTheme="majorHAnsi" w:hAnsiTheme="majorHAnsi"/>
                <w:sz w:val="24"/>
                <w:lang w:val="ro-MD"/>
              </w:rPr>
              <w:t>şi</w:t>
            </w:r>
            <w:proofErr w:type="spellEnd"/>
            <w:r w:rsidRPr="008E6807">
              <w:rPr>
                <w:rFonts w:asciiTheme="majorHAnsi" w:hAnsiTheme="majorHAnsi"/>
                <w:sz w:val="24"/>
                <w:lang w:val="ro-MD"/>
              </w:rPr>
              <w:t xml:space="preserve"> este analizată evoluția indicatorilor aferenți datoriei de stat în cadrul </w:t>
            </w:r>
            <w:r w:rsidR="003967DD">
              <w:rPr>
                <w:rFonts w:asciiTheme="majorHAnsi" w:hAnsiTheme="majorHAnsi"/>
                <w:sz w:val="24"/>
                <w:lang w:val="ro-MD"/>
              </w:rPr>
              <w:t>P</w:t>
            </w:r>
            <w:r w:rsidRPr="008E6807">
              <w:rPr>
                <w:rFonts w:asciiTheme="majorHAnsi" w:hAnsiTheme="majorHAnsi"/>
                <w:sz w:val="24"/>
                <w:lang w:val="ro-MD"/>
              </w:rPr>
              <w:t xml:space="preserve">rogramului </w:t>
            </w:r>
            <w:r w:rsidR="003967DD">
              <w:rPr>
                <w:rFonts w:asciiTheme="majorHAnsi" w:hAnsiTheme="majorHAnsi"/>
                <w:sz w:val="24"/>
                <w:lang w:val="ro-MD"/>
              </w:rPr>
              <w:t>„</w:t>
            </w:r>
            <w:r w:rsidRPr="008E6807">
              <w:rPr>
                <w:rFonts w:asciiTheme="majorHAnsi" w:hAnsiTheme="majorHAnsi"/>
                <w:sz w:val="24"/>
                <w:lang w:val="ro-MD"/>
              </w:rPr>
              <w:t>Managementul datoriei de stat pe termen medi</w:t>
            </w:r>
            <w:r w:rsidRPr="00073F18">
              <w:rPr>
                <w:rFonts w:asciiTheme="majorHAnsi" w:hAnsiTheme="majorHAnsi"/>
                <w:sz w:val="24"/>
                <w:szCs w:val="24"/>
                <w:lang w:val="ro-MD"/>
              </w:rPr>
              <w:t>u</w:t>
            </w:r>
            <w:r w:rsidR="003967DD">
              <w:rPr>
                <w:rFonts w:asciiTheme="majorHAnsi" w:hAnsiTheme="majorHAnsi"/>
                <w:sz w:val="24"/>
                <w:szCs w:val="24"/>
                <w:lang w:val="ro-MD"/>
              </w:rPr>
              <w:t>”</w:t>
            </w:r>
            <w:r w:rsidRPr="00073F18">
              <w:rPr>
                <w:rFonts w:asciiTheme="majorHAnsi" w:hAnsiTheme="majorHAnsi"/>
                <w:sz w:val="24"/>
                <w:szCs w:val="24"/>
                <w:lang w:val="ro-MD"/>
              </w:rPr>
              <w:t>.</w:t>
            </w:r>
          </w:p>
        </w:tc>
      </w:tr>
      <w:tr w:rsidR="00337ED8" w:rsidRPr="0080644A" w14:paraId="00F366C5" w14:textId="77777777" w:rsidTr="009A0F3F">
        <w:tc>
          <w:tcPr>
            <w:tcW w:w="2748" w:type="dxa"/>
          </w:tcPr>
          <w:p w14:paraId="05621EA2" w14:textId="6E2B4048" w:rsidR="00337ED8" w:rsidRPr="00073F18" w:rsidRDefault="003967DD" w:rsidP="00337ED8">
            <w:pPr>
              <w:pStyle w:val="a6"/>
              <w:rPr>
                <w:rFonts w:asciiTheme="majorHAnsi" w:hAnsiTheme="majorHAnsi"/>
                <w:i/>
                <w:iCs/>
                <w:sz w:val="24"/>
                <w:szCs w:val="24"/>
                <w:lang w:val="ro-MD"/>
              </w:rPr>
            </w:pPr>
            <w:r>
              <w:rPr>
                <w:rFonts w:asciiTheme="majorHAnsi" w:hAnsiTheme="majorHAnsi"/>
                <w:i/>
                <w:sz w:val="24"/>
                <w:lang w:val="ro-MD"/>
              </w:rPr>
              <w:t>T</w:t>
            </w:r>
            <w:r w:rsidR="00337ED8" w:rsidRPr="008E6807">
              <w:rPr>
                <w:rFonts w:asciiTheme="majorHAnsi" w:hAnsiTheme="majorHAnsi"/>
                <w:i/>
                <w:sz w:val="24"/>
                <w:lang w:val="ro-MD"/>
              </w:rPr>
              <w:t>ermen lung</w:t>
            </w:r>
          </w:p>
        </w:tc>
        <w:tc>
          <w:tcPr>
            <w:tcW w:w="6596" w:type="dxa"/>
          </w:tcPr>
          <w:p w14:paraId="203DE127" w14:textId="77777777" w:rsidR="00337ED8" w:rsidRPr="00073F18" w:rsidRDefault="00337ED8" w:rsidP="0083274F">
            <w:pPr>
              <w:spacing w:after="0" w:line="240" w:lineRule="auto"/>
              <w:jc w:val="both"/>
              <w:rPr>
                <w:rFonts w:asciiTheme="majorHAnsi" w:hAnsiTheme="majorHAnsi"/>
                <w:sz w:val="24"/>
                <w:szCs w:val="24"/>
                <w:lang w:val="ro-MD"/>
              </w:rPr>
            </w:pPr>
            <w:r w:rsidRPr="008E6807">
              <w:rPr>
                <w:rFonts w:asciiTheme="majorHAnsi" w:hAnsiTheme="majorHAnsi"/>
                <w:sz w:val="24"/>
                <w:lang w:val="ro-MD"/>
              </w:rPr>
              <w:t>perioadă de ram</w:t>
            </w:r>
            <w:r w:rsidRPr="00073F18">
              <w:rPr>
                <w:rFonts w:asciiTheme="majorHAnsi" w:hAnsiTheme="majorHAnsi"/>
                <w:sz w:val="24"/>
                <w:szCs w:val="24"/>
                <w:lang w:val="ro-MD"/>
              </w:rPr>
              <w:t xml:space="preserve">bursare de la un an </w:t>
            </w:r>
            <w:proofErr w:type="spellStart"/>
            <w:r w:rsidRPr="00073F18">
              <w:rPr>
                <w:rFonts w:asciiTheme="majorHAnsi" w:hAnsiTheme="majorHAnsi"/>
                <w:sz w:val="24"/>
                <w:szCs w:val="24"/>
                <w:lang w:val="ro-MD"/>
              </w:rPr>
              <w:t>şi</w:t>
            </w:r>
            <w:proofErr w:type="spellEnd"/>
            <w:r w:rsidRPr="00073F18">
              <w:rPr>
                <w:rFonts w:asciiTheme="majorHAnsi" w:hAnsiTheme="majorHAnsi"/>
                <w:sz w:val="24"/>
                <w:szCs w:val="24"/>
                <w:lang w:val="ro-MD"/>
              </w:rPr>
              <w:t xml:space="preserve"> mai mare.</w:t>
            </w:r>
          </w:p>
        </w:tc>
      </w:tr>
      <w:tr w:rsidR="002B535F" w:rsidRPr="0080644A" w14:paraId="35838BD6" w14:textId="77777777" w:rsidTr="009A0F3F">
        <w:tc>
          <w:tcPr>
            <w:tcW w:w="2748" w:type="dxa"/>
          </w:tcPr>
          <w:p w14:paraId="14BA3FA1" w14:textId="77777777" w:rsidR="002B535F" w:rsidRPr="008E6807" w:rsidRDefault="002B535F" w:rsidP="00337ED8">
            <w:pPr>
              <w:pStyle w:val="a6"/>
              <w:rPr>
                <w:rFonts w:asciiTheme="majorHAnsi" w:hAnsiTheme="majorHAnsi" w:cstheme="majorHAnsi"/>
                <w:i/>
                <w:iCs/>
                <w:sz w:val="24"/>
                <w:szCs w:val="24"/>
                <w:lang w:val="ro-MD"/>
              </w:rPr>
            </w:pPr>
            <w:r w:rsidRPr="008E6807">
              <w:rPr>
                <w:rFonts w:asciiTheme="majorHAnsi" w:hAnsiTheme="majorHAnsi" w:cstheme="majorHAnsi"/>
                <w:i/>
                <w:iCs/>
                <w:sz w:val="24"/>
                <w:szCs w:val="24"/>
                <w:lang w:val="ro-MD"/>
              </w:rPr>
              <w:t>Valoare mobiliară de stat</w:t>
            </w:r>
          </w:p>
        </w:tc>
        <w:tc>
          <w:tcPr>
            <w:tcW w:w="6596" w:type="dxa"/>
          </w:tcPr>
          <w:p w14:paraId="4827AF79" w14:textId="77777777" w:rsidR="002B535F" w:rsidRPr="008E6807" w:rsidRDefault="002B535F" w:rsidP="0083274F">
            <w:pPr>
              <w:pStyle w:val="a6"/>
              <w:jc w:val="both"/>
              <w:rPr>
                <w:rFonts w:asciiTheme="majorHAnsi" w:hAnsiTheme="majorHAnsi" w:cstheme="majorHAnsi"/>
                <w:sz w:val="24"/>
                <w:szCs w:val="24"/>
                <w:lang w:val="ro-MD"/>
              </w:rPr>
            </w:pPr>
            <w:r w:rsidRPr="008E6807">
              <w:rPr>
                <w:rFonts w:asciiTheme="majorHAnsi" w:hAnsiTheme="majorHAnsi" w:cstheme="majorHAnsi"/>
                <w:sz w:val="24"/>
                <w:szCs w:val="24"/>
                <w:lang w:val="ro-MD"/>
              </w:rPr>
              <w:t>instrument al datoriei de stat emis în formă de titlu financiar negociabil.</w:t>
            </w:r>
          </w:p>
        </w:tc>
      </w:tr>
      <w:tr w:rsidR="002B535F" w:rsidRPr="0080644A" w14:paraId="7208D0A1" w14:textId="77777777" w:rsidTr="009A0F3F">
        <w:tc>
          <w:tcPr>
            <w:tcW w:w="2748" w:type="dxa"/>
          </w:tcPr>
          <w:p w14:paraId="12986EDB" w14:textId="77777777" w:rsidR="002B535F" w:rsidRPr="008E6807" w:rsidRDefault="002B535F" w:rsidP="00337ED8">
            <w:pPr>
              <w:pStyle w:val="a6"/>
              <w:rPr>
                <w:rFonts w:asciiTheme="majorHAnsi" w:hAnsiTheme="majorHAnsi" w:cstheme="majorHAnsi"/>
                <w:i/>
                <w:iCs/>
                <w:sz w:val="24"/>
                <w:szCs w:val="24"/>
                <w:lang w:val="ro-MD"/>
              </w:rPr>
            </w:pPr>
            <w:r w:rsidRPr="008E6807">
              <w:rPr>
                <w:rFonts w:asciiTheme="majorHAnsi" w:hAnsiTheme="majorHAnsi" w:cstheme="majorHAnsi"/>
                <w:i/>
                <w:iCs/>
                <w:sz w:val="24"/>
                <w:szCs w:val="24"/>
                <w:lang w:val="ro-MD"/>
              </w:rPr>
              <w:t>Politica bugetar-fiscală</w:t>
            </w:r>
          </w:p>
        </w:tc>
        <w:tc>
          <w:tcPr>
            <w:tcW w:w="6596" w:type="dxa"/>
          </w:tcPr>
          <w:p w14:paraId="7CE1806D" w14:textId="77777777" w:rsidR="002B535F" w:rsidRPr="008E6807" w:rsidRDefault="002B535F" w:rsidP="0083274F">
            <w:pPr>
              <w:pStyle w:val="a6"/>
              <w:jc w:val="both"/>
              <w:rPr>
                <w:rFonts w:asciiTheme="majorHAnsi" w:hAnsiTheme="majorHAnsi" w:cstheme="majorHAnsi"/>
                <w:sz w:val="24"/>
                <w:szCs w:val="24"/>
                <w:lang w:val="ro-MD"/>
              </w:rPr>
            </w:pPr>
            <w:r w:rsidRPr="008E6807">
              <w:rPr>
                <w:rFonts w:asciiTheme="majorHAnsi" w:hAnsiTheme="majorHAnsi" w:cstheme="majorHAnsi"/>
                <w:sz w:val="24"/>
                <w:szCs w:val="24"/>
                <w:lang w:val="ro-MD"/>
              </w:rPr>
              <w:t>set de măsuri legate de formarea, administrarea și utilizarea resurselor bugetare pentru realizarea priorităților de politici economice și sociale.</w:t>
            </w:r>
          </w:p>
        </w:tc>
      </w:tr>
    </w:tbl>
    <w:p w14:paraId="57389437" w14:textId="77777777" w:rsidR="00013156" w:rsidRDefault="00013156" w:rsidP="008324CD">
      <w:pPr>
        <w:pStyle w:val="1"/>
        <w:spacing w:after="240"/>
        <w:jc w:val="center"/>
        <w:rPr>
          <w:rFonts w:asciiTheme="majorHAnsi" w:hAnsiTheme="majorHAnsi" w:cstheme="majorHAnsi"/>
          <w:b/>
          <w:color w:val="auto"/>
          <w:sz w:val="28"/>
          <w:szCs w:val="28"/>
          <w:lang w:val="ro-RO"/>
        </w:rPr>
      </w:pPr>
      <w:bookmarkStart w:id="6" w:name="_Toc515442949"/>
    </w:p>
    <w:p w14:paraId="309AF931" w14:textId="77777777" w:rsidR="001453D3" w:rsidRPr="0080644A" w:rsidRDefault="00013156" w:rsidP="00385A8D">
      <w:pPr>
        <w:jc w:val="center"/>
        <w:rPr>
          <w:rFonts w:asciiTheme="majorHAnsi" w:hAnsiTheme="majorHAnsi" w:cstheme="majorHAnsi"/>
          <w:b/>
          <w:sz w:val="28"/>
          <w:szCs w:val="28"/>
          <w:lang w:val="ro-RO" w:eastAsia="ru-RU"/>
        </w:rPr>
      </w:pPr>
      <w:r>
        <w:rPr>
          <w:rFonts w:asciiTheme="majorHAnsi" w:hAnsiTheme="majorHAnsi" w:cstheme="majorHAnsi"/>
          <w:b/>
          <w:sz w:val="28"/>
          <w:szCs w:val="28"/>
          <w:lang w:val="ro-RO"/>
        </w:rPr>
        <w:br w:type="page"/>
      </w:r>
      <w:r w:rsidR="006E4771" w:rsidRPr="0080644A">
        <w:rPr>
          <w:rFonts w:asciiTheme="majorHAnsi" w:hAnsiTheme="majorHAnsi" w:cstheme="majorHAnsi"/>
          <w:b/>
          <w:sz w:val="28"/>
          <w:szCs w:val="28"/>
          <w:lang w:val="ro-RO"/>
        </w:rPr>
        <w:lastRenderedPageBreak/>
        <w:t>SINTEZA</w:t>
      </w:r>
      <w:bookmarkEnd w:id="3"/>
      <w:bookmarkEnd w:id="6"/>
    </w:p>
    <w:p w14:paraId="4456A644" w14:textId="0B733F3B" w:rsidR="00BF4E4C" w:rsidRPr="008F3C06" w:rsidRDefault="00BF4E4C" w:rsidP="00BF4E4C">
      <w:pPr>
        <w:spacing w:after="0" w:line="276" w:lineRule="auto"/>
        <w:ind w:firstLine="709"/>
        <w:jc w:val="both"/>
        <w:rPr>
          <w:rFonts w:asciiTheme="majorHAnsi" w:hAnsiTheme="majorHAnsi" w:cstheme="majorHAnsi"/>
          <w:sz w:val="24"/>
          <w:szCs w:val="24"/>
          <w:lang w:val="ro-RO"/>
        </w:rPr>
      </w:pPr>
      <w:r>
        <w:rPr>
          <w:rFonts w:asciiTheme="majorHAnsi" w:hAnsiTheme="majorHAnsi" w:cstheme="majorHAnsi"/>
          <w:sz w:val="24"/>
          <w:szCs w:val="24"/>
          <w:lang w:val="ro-RO"/>
        </w:rPr>
        <w:t>La 31.12.2018</w:t>
      </w:r>
      <w:r w:rsidRPr="00120046">
        <w:rPr>
          <w:rFonts w:asciiTheme="majorHAnsi" w:hAnsiTheme="majorHAnsi" w:cstheme="majorHAnsi"/>
          <w:sz w:val="24"/>
          <w:szCs w:val="24"/>
          <w:lang w:val="ro-RO"/>
        </w:rPr>
        <w:t xml:space="preserve">, </w:t>
      </w:r>
      <w:r w:rsidRPr="00120046">
        <w:rPr>
          <w:rFonts w:asciiTheme="majorHAnsi" w:hAnsiTheme="majorHAnsi" w:cstheme="majorHAnsi"/>
          <w:b/>
          <w:sz w:val="24"/>
          <w:szCs w:val="24"/>
          <w:lang w:val="ro-RO"/>
        </w:rPr>
        <w:t>datoria sectorului public</w:t>
      </w:r>
      <w:r w:rsidRPr="00120046">
        <w:rPr>
          <w:rFonts w:asciiTheme="majorHAnsi" w:hAnsiTheme="majorHAnsi" w:cstheme="majorHAnsi"/>
          <w:sz w:val="24"/>
          <w:szCs w:val="24"/>
          <w:lang w:val="ro-RO"/>
        </w:rPr>
        <w:t xml:space="preserve"> </w:t>
      </w:r>
      <w:r w:rsidRPr="00FA5FDC">
        <w:rPr>
          <w:rFonts w:asciiTheme="majorHAnsi" w:eastAsiaTheme="minorHAnsi" w:hAnsiTheme="majorHAnsi" w:cstheme="majorHAnsi"/>
          <w:b/>
          <w:sz w:val="24"/>
          <w:szCs w:val="24"/>
          <w:lang w:val="ro-RO"/>
        </w:rPr>
        <w:t xml:space="preserve">a constituit 57881,3 </w:t>
      </w:r>
      <w:proofErr w:type="spellStart"/>
      <w:r w:rsidRPr="00FA5FDC">
        <w:rPr>
          <w:rFonts w:asciiTheme="majorHAnsi" w:eastAsiaTheme="minorHAnsi" w:hAnsiTheme="majorHAnsi" w:cstheme="majorHAnsi"/>
          <w:b/>
          <w:sz w:val="24"/>
          <w:szCs w:val="24"/>
          <w:lang w:val="ro-RO"/>
        </w:rPr>
        <w:t>mil.MDL</w:t>
      </w:r>
      <w:proofErr w:type="spellEnd"/>
      <w:r w:rsidRPr="00120046">
        <w:rPr>
          <w:rFonts w:asciiTheme="majorHAnsi" w:eastAsiaTheme="minorHAnsi" w:hAnsiTheme="majorHAnsi" w:cstheme="majorHAnsi"/>
          <w:sz w:val="24"/>
          <w:szCs w:val="24"/>
          <w:lang w:val="ro-RO"/>
        </w:rPr>
        <w:t>, di</w:t>
      </w:r>
      <w:r>
        <w:rPr>
          <w:rFonts w:asciiTheme="majorHAnsi" w:eastAsiaTheme="minorHAnsi" w:hAnsiTheme="majorHAnsi" w:cstheme="majorHAnsi"/>
          <w:sz w:val="24"/>
          <w:szCs w:val="24"/>
          <w:lang w:val="ro-RO"/>
        </w:rPr>
        <w:t>n care datoria externă – 33233,7</w:t>
      </w:r>
      <w:r w:rsidRPr="00120046">
        <w:rPr>
          <w:rFonts w:asciiTheme="majorHAnsi" w:eastAsiaTheme="minorHAnsi" w:hAnsiTheme="majorHAnsi" w:cstheme="majorHAnsi"/>
          <w:sz w:val="24"/>
          <w:szCs w:val="24"/>
          <w:lang w:val="ro-RO"/>
        </w:rPr>
        <w:t xml:space="preserve"> </w:t>
      </w:r>
      <w:proofErr w:type="spellStart"/>
      <w:r w:rsidRPr="00120046">
        <w:rPr>
          <w:rFonts w:asciiTheme="majorHAnsi" w:eastAsiaTheme="minorHAnsi" w:hAnsiTheme="majorHAnsi" w:cstheme="majorHAnsi"/>
          <w:sz w:val="24"/>
          <w:szCs w:val="24"/>
          <w:lang w:val="ro-RO"/>
        </w:rPr>
        <w:t>mil.MDL</w:t>
      </w:r>
      <w:proofErr w:type="spellEnd"/>
      <w:r>
        <w:rPr>
          <w:rFonts w:asciiTheme="majorHAnsi" w:eastAsiaTheme="minorHAnsi" w:hAnsiTheme="majorHAnsi" w:cstheme="majorHAnsi"/>
          <w:sz w:val="24"/>
          <w:szCs w:val="24"/>
          <w:lang w:val="ro-RO"/>
        </w:rPr>
        <w:t xml:space="preserve"> (1938,6</w:t>
      </w:r>
      <w:r w:rsidRPr="00120046">
        <w:rPr>
          <w:rFonts w:asciiTheme="majorHAnsi" w:eastAsiaTheme="minorHAnsi" w:hAnsiTheme="majorHAnsi" w:cstheme="majorHAnsi"/>
          <w:sz w:val="24"/>
          <w:szCs w:val="24"/>
          <w:lang w:val="ro-RO"/>
        </w:rPr>
        <w:t xml:space="preserve"> </w:t>
      </w:r>
      <w:proofErr w:type="spellStart"/>
      <w:r w:rsidRPr="00120046">
        <w:rPr>
          <w:rFonts w:asciiTheme="majorHAnsi" w:eastAsiaTheme="minorHAnsi" w:hAnsiTheme="majorHAnsi" w:cstheme="majorHAnsi"/>
          <w:sz w:val="24"/>
          <w:szCs w:val="24"/>
          <w:lang w:val="ro-RO"/>
        </w:rPr>
        <w:t>mil.dol.SUA</w:t>
      </w:r>
      <w:proofErr w:type="spellEnd"/>
      <w:r w:rsidRPr="00120046">
        <w:rPr>
          <w:rFonts w:asciiTheme="majorHAnsi" w:eastAsiaTheme="minorHAnsi" w:hAnsiTheme="majorHAnsi" w:cstheme="majorHAnsi"/>
          <w:sz w:val="24"/>
          <w:szCs w:val="24"/>
          <w:lang w:val="ro-RO"/>
        </w:rPr>
        <w:t>),</w:t>
      </w:r>
      <w:r>
        <w:rPr>
          <w:rFonts w:asciiTheme="majorHAnsi" w:eastAsiaTheme="minorHAnsi" w:hAnsiTheme="majorHAnsi" w:cstheme="majorHAnsi"/>
          <w:sz w:val="24"/>
          <w:szCs w:val="24"/>
          <w:lang w:val="ro-RO"/>
        </w:rPr>
        <w:t xml:space="preserve"> iar datoria internă – 24647,6</w:t>
      </w:r>
      <w:r w:rsidRPr="00120046">
        <w:rPr>
          <w:rFonts w:asciiTheme="majorHAnsi" w:eastAsiaTheme="minorHAnsi" w:hAnsiTheme="majorHAnsi" w:cstheme="majorHAnsi"/>
          <w:sz w:val="24"/>
          <w:szCs w:val="24"/>
          <w:lang w:val="ro-RO"/>
        </w:rPr>
        <w:t xml:space="preserve"> </w:t>
      </w:r>
      <w:proofErr w:type="spellStart"/>
      <w:r w:rsidRPr="00120046">
        <w:rPr>
          <w:rFonts w:asciiTheme="majorHAnsi" w:eastAsiaTheme="minorHAnsi" w:hAnsiTheme="majorHAnsi" w:cstheme="majorHAnsi"/>
          <w:sz w:val="24"/>
          <w:szCs w:val="24"/>
          <w:lang w:val="ro-RO"/>
        </w:rPr>
        <w:t>mil.MDL</w:t>
      </w:r>
      <w:proofErr w:type="spellEnd"/>
      <w:r>
        <w:rPr>
          <w:rFonts w:asciiTheme="majorHAnsi" w:eastAsiaTheme="minorHAnsi" w:hAnsiTheme="majorHAnsi" w:cstheme="majorHAnsi"/>
          <w:sz w:val="24"/>
          <w:szCs w:val="24"/>
          <w:lang w:val="ro-RO"/>
        </w:rPr>
        <w:t xml:space="preserve">. </w:t>
      </w:r>
      <w:r w:rsidRPr="000404AD">
        <w:rPr>
          <w:rFonts w:asciiTheme="majorHAnsi" w:hAnsiTheme="majorHAnsi" w:cstheme="majorHAnsi"/>
          <w:b/>
          <w:sz w:val="24"/>
          <w:szCs w:val="24"/>
          <w:lang w:val="ro-MD"/>
        </w:rPr>
        <w:t>D</w:t>
      </w:r>
      <w:proofErr w:type="spellStart"/>
      <w:r w:rsidRPr="000404AD">
        <w:rPr>
          <w:rFonts w:asciiTheme="majorHAnsi" w:hAnsiTheme="majorHAnsi"/>
          <w:b/>
          <w:sz w:val="24"/>
          <w:lang w:val="ro-RO"/>
        </w:rPr>
        <w:t>atori</w:t>
      </w:r>
      <w:proofErr w:type="spellEnd"/>
      <w:r w:rsidRPr="000404AD">
        <w:rPr>
          <w:rFonts w:asciiTheme="majorHAnsi" w:hAnsiTheme="majorHAnsi" w:cstheme="majorHAnsi"/>
          <w:b/>
          <w:sz w:val="24"/>
          <w:szCs w:val="24"/>
          <w:lang w:val="ro-MD"/>
        </w:rPr>
        <w:t>a</w:t>
      </w:r>
      <w:r w:rsidRPr="000404AD">
        <w:rPr>
          <w:rFonts w:asciiTheme="majorHAnsi" w:hAnsiTheme="majorHAnsi"/>
          <w:b/>
          <w:sz w:val="24"/>
          <w:lang w:val="ro-RO"/>
        </w:rPr>
        <w:t xml:space="preserve"> de stat </w:t>
      </w:r>
      <w:r w:rsidRPr="000404AD">
        <w:rPr>
          <w:rFonts w:asciiTheme="majorHAnsi" w:hAnsiTheme="majorHAnsi" w:cstheme="majorHAnsi"/>
          <w:sz w:val="24"/>
          <w:szCs w:val="24"/>
          <w:lang w:val="ro-MD"/>
        </w:rPr>
        <w:t>la finele anului 2018</w:t>
      </w:r>
      <w:r w:rsidRPr="000404AD">
        <w:rPr>
          <w:rFonts w:asciiTheme="majorHAnsi" w:hAnsiTheme="majorHAnsi"/>
          <w:sz w:val="24"/>
          <w:lang w:val="ro-RO"/>
        </w:rPr>
        <w:t xml:space="preserve"> a constituit 5</w:t>
      </w:r>
      <w:r w:rsidRPr="000404AD">
        <w:rPr>
          <w:rFonts w:asciiTheme="majorHAnsi" w:hAnsiTheme="majorHAnsi" w:cstheme="majorHAnsi"/>
          <w:sz w:val="24"/>
          <w:szCs w:val="24"/>
          <w:lang w:val="ro-MD"/>
        </w:rPr>
        <w:t xml:space="preserve">2012,5 </w:t>
      </w:r>
      <w:proofErr w:type="spellStart"/>
      <w:r w:rsidRPr="000404AD">
        <w:rPr>
          <w:rFonts w:asciiTheme="majorHAnsi" w:hAnsiTheme="majorHAnsi"/>
          <w:sz w:val="24"/>
          <w:lang w:val="ro-RO"/>
        </w:rPr>
        <w:t>mil.MDL</w:t>
      </w:r>
      <w:proofErr w:type="spellEnd"/>
      <w:r w:rsidRPr="000404AD">
        <w:rPr>
          <w:rFonts w:asciiTheme="majorHAnsi" w:hAnsiTheme="majorHAnsi"/>
          <w:sz w:val="24"/>
          <w:lang w:val="ro-RO"/>
        </w:rPr>
        <w:t>, din care datoria de stat externă – 2</w:t>
      </w:r>
      <w:r w:rsidRPr="000404AD">
        <w:rPr>
          <w:rFonts w:asciiTheme="majorHAnsi" w:hAnsiTheme="majorHAnsi" w:cstheme="majorHAnsi"/>
          <w:sz w:val="24"/>
          <w:szCs w:val="24"/>
          <w:lang w:val="ro-MD"/>
        </w:rPr>
        <w:t xml:space="preserve">8954,0 </w:t>
      </w:r>
      <w:proofErr w:type="spellStart"/>
      <w:r w:rsidRPr="000404AD">
        <w:rPr>
          <w:rFonts w:asciiTheme="majorHAnsi" w:hAnsiTheme="majorHAnsi"/>
          <w:sz w:val="24"/>
          <w:lang w:val="ro-RO"/>
        </w:rPr>
        <w:t>mil.MDL</w:t>
      </w:r>
      <w:proofErr w:type="spellEnd"/>
      <w:r w:rsidRPr="000404AD">
        <w:rPr>
          <w:rFonts w:asciiTheme="majorHAnsi" w:hAnsiTheme="majorHAnsi"/>
          <w:sz w:val="24"/>
          <w:lang w:val="ro-RO"/>
        </w:rPr>
        <w:t xml:space="preserve"> (1</w:t>
      </w:r>
      <w:r w:rsidRPr="000404AD">
        <w:rPr>
          <w:rFonts w:asciiTheme="majorHAnsi" w:hAnsiTheme="majorHAnsi" w:cstheme="majorHAnsi"/>
          <w:sz w:val="24"/>
          <w:szCs w:val="24"/>
          <w:lang w:val="ro-MD"/>
        </w:rPr>
        <w:t xml:space="preserve">689,0 </w:t>
      </w:r>
      <w:proofErr w:type="spellStart"/>
      <w:r w:rsidRPr="000404AD">
        <w:rPr>
          <w:rFonts w:asciiTheme="majorHAnsi" w:hAnsiTheme="majorHAnsi"/>
          <w:sz w:val="24"/>
          <w:lang w:val="ro-RO"/>
        </w:rPr>
        <w:t>mil.dol.SUA</w:t>
      </w:r>
      <w:proofErr w:type="spellEnd"/>
      <w:r w:rsidRPr="000404AD">
        <w:rPr>
          <w:rFonts w:asciiTheme="majorHAnsi" w:hAnsiTheme="majorHAnsi"/>
          <w:sz w:val="24"/>
          <w:lang w:val="ro-RO"/>
        </w:rPr>
        <w:t>), și datoria de stat internă – 2</w:t>
      </w:r>
      <w:r w:rsidRPr="000404AD">
        <w:rPr>
          <w:rFonts w:asciiTheme="majorHAnsi" w:hAnsiTheme="majorHAnsi" w:cstheme="majorHAnsi"/>
          <w:sz w:val="24"/>
          <w:szCs w:val="24"/>
          <w:lang w:val="ro-MD"/>
        </w:rPr>
        <w:t xml:space="preserve">3058,6 </w:t>
      </w:r>
      <w:proofErr w:type="spellStart"/>
      <w:r w:rsidRPr="000404AD">
        <w:rPr>
          <w:rFonts w:asciiTheme="majorHAnsi" w:hAnsiTheme="majorHAnsi"/>
          <w:sz w:val="24"/>
          <w:lang w:val="ro-RO"/>
        </w:rPr>
        <w:t>mil.MDL</w:t>
      </w:r>
      <w:proofErr w:type="spellEnd"/>
      <w:r w:rsidRPr="000404AD">
        <w:rPr>
          <w:rFonts w:asciiTheme="majorHAnsi" w:hAnsiTheme="majorHAnsi"/>
          <w:sz w:val="24"/>
          <w:lang w:val="ro-RO"/>
        </w:rPr>
        <w:t>.</w:t>
      </w:r>
      <w:r w:rsidRPr="000404AD">
        <w:rPr>
          <w:rFonts w:asciiTheme="majorHAnsi" w:hAnsiTheme="majorHAnsi" w:cstheme="majorHAnsi"/>
          <w:sz w:val="24"/>
          <w:szCs w:val="24"/>
          <w:lang w:val="ro-MD"/>
        </w:rPr>
        <w:t xml:space="preserve"> În anul 2018,</w:t>
      </w:r>
      <w:r w:rsidRPr="00120046">
        <w:rPr>
          <w:rFonts w:asciiTheme="majorHAnsi" w:hAnsiTheme="majorHAnsi" w:cstheme="majorHAnsi"/>
          <w:sz w:val="24"/>
          <w:szCs w:val="24"/>
          <w:lang w:val="ro-RO"/>
        </w:rPr>
        <w:t xml:space="preserve"> </w:t>
      </w:r>
      <w:r w:rsidRPr="000404AD">
        <w:rPr>
          <w:rFonts w:asciiTheme="majorHAnsi" w:hAnsiTheme="majorHAnsi" w:cstheme="majorHAnsi"/>
          <w:sz w:val="24"/>
          <w:szCs w:val="24"/>
          <w:lang w:val="ro-MD"/>
        </w:rPr>
        <w:t>c</w:t>
      </w:r>
      <w:r w:rsidRPr="000404AD">
        <w:rPr>
          <w:rFonts w:asciiTheme="majorHAnsi" w:hAnsiTheme="majorHAnsi"/>
          <w:sz w:val="24"/>
          <w:lang w:val="ro-RO"/>
        </w:rPr>
        <w:t xml:space="preserve">a pondere în PIB, datoria de stat </w:t>
      </w:r>
      <w:r w:rsidRPr="000404AD">
        <w:rPr>
          <w:rFonts w:asciiTheme="majorHAnsi" w:hAnsiTheme="majorHAnsi" w:cstheme="majorHAnsi"/>
          <w:sz w:val="24"/>
          <w:szCs w:val="24"/>
          <w:lang w:val="ro-MD"/>
        </w:rPr>
        <w:t>a înregistrat o descreștere față de anul 2017</w:t>
      </w:r>
      <w:r w:rsidRPr="000404AD">
        <w:rPr>
          <w:rFonts w:asciiTheme="majorHAnsi" w:hAnsiTheme="majorHAnsi"/>
          <w:sz w:val="24"/>
          <w:lang w:val="ro-RO"/>
        </w:rPr>
        <w:t xml:space="preserve"> </w:t>
      </w:r>
      <w:r w:rsidRPr="000404AD">
        <w:rPr>
          <w:rFonts w:asciiTheme="majorHAnsi" w:hAnsiTheme="majorHAnsi" w:cstheme="majorHAnsi"/>
          <w:sz w:val="24"/>
          <w:szCs w:val="24"/>
          <w:lang w:val="ro-MD"/>
        </w:rPr>
        <w:t xml:space="preserve">cu 1,5 </w:t>
      </w:r>
      <w:proofErr w:type="spellStart"/>
      <w:r w:rsidRPr="000404AD">
        <w:rPr>
          <w:rFonts w:asciiTheme="majorHAnsi" w:hAnsiTheme="majorHAnsi" w:cstheme="majorHAnsi"/>
          <w:sz w:val="24"/>
          <w:szCs w:val="24"/>
          <w:lang w:val="ro-MD"/>
        </w:rPr>
        <w:t>p.p.</w:t>
      </w:r>
      <w:proofErr w:type="spellEnd"/>
      <w:r w:rsidRPr="000404AD">
        <w:rPr>
          <w:rFonts w:asciiTheme="majorHAnsi" w:hAnsiTheme="majorHAnsi" w:cstheme="majorHAnsi"/>
          <w:sz w:val="24"/>
          <w:szCs w:val="24"/>
          <w:lang w:val="ro-MD"/>
        </w:rPr>
        <w:t xml:space="preserve">, constituind 27,4 </w:t>
      </w:r>
      <w:r w:rsidRPr="000404AD">
        <w:rPr>
          <w:rFonts w:asciiTheme="majorHAnsi" w:hAnsiTheme="majorHAnsi"/>
          <w:sz w:val="24"/>
          <w:lang w:val="ro-RO"/>
        </w:rPr>
        <w:t>%.</w:t>
      </w:r>
      <w:r w:rsidRPr="00120046">
        <w:rPr>
          <w:rFonts w:asciiTheme="majorHAnsi" w:hAnsiTheme="majorHAnsi" w:cstheme="majorHAnsi"/>
          <w:b/>
          <w:sz w:val="24"/>
          <w:szCs w:val="24"/>
          <w:lang w:val="ro-RO"/>
        </w:rPr>
        <w:t xml:space="preserve"> </w:t>
      </w:r>
      <w:r w:rsidR="00422923" w:rsidRPr="00073F18">
        <w:rPr>
          <w:rFonts w:asciiTheme="majorHAnsi" w:hAnsiTheme="majorHAnsi" w:cstheme="majorHAnsi"/>
          <w:sz w:val="24"/>
          <w:szCs w:val="24"/>
          <w:lang w:val="ro-RO"/>
        </w:rPr>
        <w:t xml:space="preserve">Parametrii de risc </w:t>
      </w:r>
      <w:r w:rsidR="00422923" w:rsidRPr="00073F18">
        <w:rPr>
          <w:rFonts w:asciiTheme="majorHAnsi" w:hAnsiTheme="majorHAnsi" w:cstheme="majorHAnsi"/>
          <w:sz w:val="24"/>
          <w:szCs w:val="24"/>
          <w:lang w:val="ro-MD"/>
        </w:rPr>
        <w:t>și</w:t>
      </w:r>
      <w:r w:rsidR="00422923">
        <w:rPr>
          <w:rFonts w:asciiTheme="majorHAnsi" w:hAnsiTheme="majorHAnsi" w:cstheme="majorHAnsi"/>
          <w:b/>
          <w:sz w:val="24"/>
          <w:szCs w:val="24"/>
          <w:lang w:val="ro-MD"/>
        </w:rPr>
        <w:t xml:space="preserve"> </w:t>
      </w:r>
      <w:r w:rsidR="00422923">
        <w:rPr>
          <w:rFonts w:asciiTheme="majorHAnsi" w:hAnsiTheme="majorHAnsi" w:cstheme="majorHAnsi"/>
          <w:sz w:val="24"/>
          <w:szCs w:val="24"/>
          <w:lang w:val="ro-RO"/>
        </w:rPr>
        <w:t>i</w:t>
      </w:r>
      <w:r w:rsidRPr="008F3C06">
        <w:rPr>
          <w:rFonts w:asciiTheme="majorHAnsi" w:hAnsiTheme="majorHAnsi" w:cstheme="majorHAnsi"/>
          <w:sz w:val="24"/>
          <w:szCs w:val="24"/>
          <w:lang w:val="ro-RO"/>
        </w:rPr>
        <w:t>ndicator</w:t>
      </w:r>
      <w:r w:rsidR="00422923">
        <w:rPr>
          <w:rFonts w:asciiTheme="majorHAnsi" w:hAnsiTheme="majorHAnsi" w:cstheme="majorHAnsi"/>
          <w:sz w:val="24"/>
          <w:szCs w:val="24"/>
          <w:lang w:val="ro-RO"/>
        </w:rPr>
        <w:t>ul</w:t>
      </w:r>
      <w:r w:rsidRPr="008F3C06">
        <w:rPr>
          <w:rFonts w:asciiTheme="majorHAnsi" w:hAnsiTheme="majorHAnsi" w:cstheme="majorHAnsi"/>
          <w:sz w:val="24"/>
          <w:szCs w:val="24"/>
          <w:lang w:val="ro-RO"/>
        </w:rPr>
        <w:t xml:space="preserve"> de sustenabilitate ai datoriei de stat s-au încadrat în limitele stabilite.</w:t>
      </w:r>
    </w:p>
    <w:p w14:paraId="4B3553E5" w14:textId="3DABC82E" w:rsidR="00BF4E4C" w:rsidRPr="00D9442A" w:rsidRDefault="00BF4E4C" w:rsidP="00FF46B4">
      <w:pPr>
        <w:spacing w:after="0" w:line="276" w:lineRule="auto"/>
        <w:ind w:firstLine="709"/>
        <w:jc w:val="both"/>
        <w:rPr>
          <w:rFonts w:asciiTheme="majorHAnsi" w:hAnsiTheme="majorHAnsi" w:cstheme="majorHAnsi"/>
          <w:sz w:val="24"/>
          <w:szCs w:val="24"/>
          <w:lang w:val="ro-RO"/>
        </w:rPr>
      </w:pPr>
      <w:r w:rsidRPr="008F3C06">
        <w:rPr>
          <w:rFonts w:asciiTheme="majorHAnsi" w:hAnsiTheme="majorHAnsi" w:cstheme="majorHAnsi"/>
          <w:sz w:val="24"/>
          <w:szCs w:val="24"/>
          <w:lang w:val="ro-RO"/>
        </w:rPr>
        <w:t xml:space="preserve">În totalul </w:t>
      </w:r>
      <w:r w:rsidRPr="008F3C06">
        <w:rPr>
          <w:rFonts w:asciiTheme="majorHAnsi" w:hAnsiTheme="majorHAnsi" w:cstheme="majorHAnsi"/>
          <w:b/>
          <w:sz w:val="24"/>
          <w:szCs w:val="24"/>
          <w:lang w:val="ro-RO"/>
        </w:rPr>
        <w:t>datoriei de stat interne</w:t>
      </w:r>
      <w:r w:rsidRPr="008F3C06">
        <w:rPr>
          <w:rFonts w:asciiTheme="majorHAnsi" w:hAnsiTheme="majorHAnsi" w:cstheme="majorHAnsi"/>
          <w:sz w:val="24"/>
          <w:szCs w:val="24"/>
          <w:lang w:val="ro-RO"/>
        </w:rPr>
        <w:t xml:space="preserve"> </w:t>
      </w:r>
      <w:r w:rsidRPr="00FA5FDC">
        <w:rPr>
          <w:rFonts w:asciiTheme="majorHAnsi" w:hAnsiTheme="majorHAnsi" w:cstheme="majorHAnsi"/>
          <w:b/>
          <w:sz w:val="24"/>
          <w:szCs w:val="24"/>
          <w:lang w:val="ro-RO"/>
        </w:rPr>
        <w:t>(</w:t>
      </w:r>
      <w:r w:rsidRPr="000404AD">
        <w:rPr>
          <w:rFonts w:asciiTheme="majorHAnsi" w:hAnsiTheme="majorHAnsi" w:cstheme="majorHAnsi"/>
          <w:b/>
          <w:sz w:val="24"/>
          <w:szCs w:val="24"/>
          <w:lang w:val="ro-MD"/>
        </w:rPr>
        <w:t xml:space="preserve">23058,6 </w:t>
      </w:r>
      <w:proofErr w:type="spellStart"/>
      <w:r w:rsidRPr="00FA5FDC">
        <w:rPr>
          <w:rFonts w:asciiTheme="majorHAnsi" w:hAnsiTheme="majorHAnsi" w:cstheme="majorHAnsi"/>
          <w:b/>
          <w:sz w:val="24"/>
          <w:szCs w:val="24"/>
          <w:lang w:val="ro-RO"/>
        </w:rPr>
        <w:t>mil.MDL</w:t>
      </w:r>
      <w:proofErr w:type="spellEnd"/>
      <w:r w:rsidRPr="00FA5FDC">
        <w:rPr>
          <w:rFonts w:asciiTheme="majorHAnsi" w:hAnsiTheme="majorHAnsi" w:cstheme="majorHAnsi"/>
          <w:b/>
          <w:sz w:val="24"/>
          <w:szCs w:val="24"/>
          <w:lang w:val="ro-RO"/>
        </w:rPr>
        <w:t>),</w:t>
      </w:r>
      <w:r w:rsidRPr="008F3C06">
        <w:rPr>
          <w:rFonts w:asciiTheme="majorHAnsi" w:hAnsiTheme="majorHAnsi" w:cstheme="majorHAnsi"/>
          <w:sz w:val="24"/>
          <w:szCs w:val="24"/>
          <w:lang w:val="ro-RO"/>
        </w:rPr>
        <w:t xml:space="preserve"> </w:t>
      </w:r>
      <w:r w:rsidRPr="00F558F1">
        <w:rPr>
          <w:rFonts w:asciiTheme="majorHAnsi" w:hAnsiTheme="majorHAnsi" w:cstheme="majorHAnsi"/>
          <w:color w:val="000000" w:themeColor="text1"/>
          <w:sz w:val="24"/>
          <w:szCs w:val="24"/>
          <w:lang w:val="ro-RO"/>
        </w:rPr>
        <w:t>VMS</w:t>
      </w:r>
      <w:r w:rsidRPr="00F558F1">
        <w:rPr>
          <w:rStyle w:val="HTML"/>
          <w:rFonts w:asciiTheme="majorHAnsi" w:hAnsiTheme="majorHAnsi" w:cstheme="majorHAnsi"/>
          <w:color w:val="000000" w:themeColor="text1"/>
          <w:sz w:val="24"/>
          <w:szCs w:val="24"/>
          <w:vertAlign w:val="superscript"/>
          <w:lang w:val="ro-RO"/>
        </w:rPr>
        <w:footnoteReference w:id="2"/>
      </w:r>
      <w:r w:rsidRPr="00F558F1">
        <w:rPr>
          <w:rFonts w:asciiTheme="majorHAnsi" w:hAnsiTheme="majorHAnsi" w:cstheme="majorHAnsi"/>
          <w:color w:val="000000" w:themeColor="text1"/>
          <w:sz w:val="24"/>
          <w:szCs w:val="24"/>
          <w:lang w:val="ro-RO"/>
        </w:rPr>
        <w:t xml:space="preserve"> emise pe piața primară constituie 7</w:t>
      </w:r>
      <w:r>
        <w:rPr>
          <w:rFonts w:asciiTheme="majorHAnsi" w:hAnsiTheme="majorHAnsi" w:cstheme="majorHAnsi"/>
          <w:color w:val="000000" w:themeColor="text1"/>
          <w:sz w:val="24"/>
          <w:szCs w:val="24"/>
          <w:lang w:val="ro-RO"/>
        </w:rPr>
        <w:t xml:space="preserve">914,0 </w:t>
      </w:r>
      <w:proofErr w:type="spellStart"/>
      <w:r w:rsidRPr="00F558F1">
        <w:rPr>
          <w:rFonts w:asciiTheme="majorHAnsi" w:hAnsiTheme="majorHAnsi" w:cstheme="majorHAnsi"/>
          <w:color w:val="000000" w:themeColor="text1"/>
          <w:sz w:val="24"/>
          <w:szCs w:val="24"/>
          <w:lang w:val="ro-RO"/>
        </w:rPr>
        <w:t>mil.MDL</w:t>
      </w:r>
      <w:proofErr w:type="spellEnd"/>
      <w:r>
        <w:rPr>
          <w:rFonts w:asciiTheme="majorHAnsi" w:hAnsiTheme="majorHAnsi" w:cstheme="majorHAnsi"/>
          <w:color w:val="000000" w:themeColor="text1"/>
          <w:sz w:val="24"/>
          <w:szCs w:val="24"/>
          <w:lang w:val="ro-RO"/>
        </w:rPr>
        <w:t xml:space="preserve"> (34,3</w:t>
      </w:r>
      <w:r w:rsidRPr="00F558F1">
        <w:rPr>
          <w:rFonts w:asciiTheme="majorHAnsi" w:hAnsiTheme="majorHAnsi" w:cstheme="majorHAnsi"/>
          <w:color w:val="000000" w:themeColor="text1"/>
          <w:sz w:val="24"/>
          <w:szCs w:val="24"/>
          <w:lang w:val="ro-RO"/>
        </w:rPr>
        <w:t xml:space="preserve">%), VMS convertite – 2063,4 </w:t>
      </w:r>
      <w:proofErr w:type="spellStart"/>
      <w:r w:rsidRPr="00F558F1">
        <w:rPr>
          <w:rFonts w:asciiTheme="majorHAnsi" w:hAnsiTheme="majorHAnsi" w:cstheme="majorHAnsi"/>
          <w:color w:val="000000" w:themeColor="text1"/>
          <w:sz w:val="24"/>
          <w:szCs w:val="24"/>
          <w:lang w:val="ro-RO"/>
        </w:rPr>
        <w:t>mil.MDL</w:t>
      </w:r>
      <w:proofErr w:type="spellEnd"/>
      <w:r>
        <w:rPr>
          <w:rFonts w:asciiTheme="majorHAnsi" w:hAnsiTheme="majorHAnsi" w:cstheme="majorHAnsi"/>
          <w:color w:val="000000" w:themeColor="text1"/>
          <w:sz w:val="24"/>
          <w:szCs w:val="24"/>
          <w:lang w:val="ro-RO"/>
        </w:rPr>
        <w:t xml:space="preserve"> (</w:t>
      </w:r>
      <w:r w:rsidR="009561CB">
        <w:rPr>
          <w:rFonts w:asciiTheme="majorHAnsi" w:hAnsiTheme="majorHAnsi" w:cstheme="majorHAnsi"/>
          <w:color w:val="000000" w:themeColor="text1"/>
          <w:sz w:val="24"/>
          <w:szCs w:val="24"/>
          <w:lang w:val="ro-RO"/>
        </w:rPr>
        <w:t>9,0</w:t>
      </w:r>
      <w:r w:rsidRPr="00F558F1">
        <w:rPr>
          <w:rFonts w:asciiTheme="majorHAnsi" w:hAnsiTheme="majorHAnsi" w:cstheme="majorHAnsi"/>
          <w:color w:val="000000" w:themeColor="text1"/>
          <w:sz w:val="24"/>
          <w:szCs w:val="24"/>
          <w:lang w:val="ro-RO"/>
        </w:rPr>
        <w:t xml:space="preserve">%), și VMS emise pentru </w:t>
      </w:r>
      <w:r w:rsidRPr="000404AD">
        <w:rPr>
          <w:rFonts w:asciiTheme="majorHAnsi" w:hAnsiTheme="majorHAnsi"/>
          <w:color w:val="000000" w:themeColor="text1"/>
          <w:sz w:val="24"/>
          <w:lang w:val="ro-RO"/>
        </w:rPr>
        <w:t>obligațiile de plată derivate din garanțiile de stat</w:t>
      </w:r>
      <w:r w:rsidRPr="00F558F1">
        <w:rPr>
          <w:rStyle w:val="ae"/>
          <w:rFonts w:asciiTheme="majorHAnsi" w:hAnsiTheme="majorHAnsi" w:cstheme="majorHAnsi"/>
          <w:color w:val="000000" w:themeColor="text1"/>
          <w:lang w:val="ro-RO"/>
        </w:rPr>
        <w:footnoteReference w:id="3"/>
      </w:r>
      <w:r w:rsidRPr="00F558F1">
        <w:rPr>
          <w:rFonts w:asciiTheme="majorHAnsi" w:hAnsiTheme="majorHAnsi" w:cstheme="majorHAnsi"/>
          <w:color w:val="000000" w:themeColor="text1"/>
          <w:sz w:val="24"/>
          <w:szCs w:val="24"/>
          <w:lang w:val="ro-RO"/>
        </w:rPr>
        <w:t xml:space="preserve"> – 13</w:t>
      </w:r>
      <w:r>
        <w:rPr>
          <w:rFonts w:asciiTheme="majorHAnsi" w:hAnsiTheme="majorHAnsi" w:cstheme="majorHAnsi"/>
          <w:color w:val="000000" w:themeColor="text1"/>
          <w:sz w:val="24"/>
          <w:szCs w:val="24"/>
          <w:lang w:val="ro-RO"/>
        </w:rPr>
        <w:t xml:space="preserve">081,2 </w:t>
      </w:r>
      <w:proofErr w:type="spellStart"/>
      <w:r w:rsidRPr="00F558F1">
        <w:rPr>
          <w:rFonts w:asciiTheme="majorHAnsi" w:hAnsiTheme="majorHAnsi" w:cstheme="majorHAnsi"/>
          <w:color w:val="000000" w:themeColor="text1"/>
          <w:sz w:val="24"/>
          <w:szCs w:val="24"/>
          <w:lang w:val="ro-RO"/>
        </w:rPr>
        <w:t>mil.MDL</w:t>
      </w:r>
      <w:proofErr w:type="spellEnd"/>
      <w:r>
        <w:rPr>
          <w:rFonts w:asciiTheme="majorHAnsi" w:hAnsiTheme="majorHAnsi" w:cstheme="majorHAnsi"/>
          <w:color w:val="000000" w:themeColor="text1"/>
          <w:sz w:val="24"/>
          <w:szCs w:val="24"/>
          <w:lang w:val="ro-RO"/>
        </w:rPr>
        <w:t xml:space="preserve"> (56,7</w:t>
      </w:r>
      <w:r w:rsidRPr="00F558F1">
        <w:rPr>
          <w:rFonts w:asciiTheme="majorHAnsi" w:hAnsiTheme="majorHAnsi" w:cstheme="majorHAnsi"/>
          <w:color w:val="000000" w:themeColor="text1"/>
          <w:sz w:val="24"/>
          <w:szCs w:val="24"/>
          <w:lang w:val="ro-RO"/>
        </w:rPr>
        <w:t xml:space="preserve">%). </w:t>
      </w:r>
      <w:r w:rsidRPr="00F558F1">
        <w:rPr>
          <w:rFonts w:asciiTheme="majorHAnsi" w:hAnsiTheme="majorHAnsi" w:cstheme="majorHAnsi"/>
          <w:sz w:val="24"/>
          <w:szCs w:val="24"/>
          <w:lang w:val="ro-RO"/>
        </w:rPr>
        <w:t xml:space="preserve">Comparativ cu anul precedent, datoria de stat internă a crescut cu </w:t>
      </w:r>
      <w:r>
        <w:rPr>
          <w:rFonts w:asciiTheme="majorHAnsi" w:hAnsiTheme="majorHAnsi" w:cstheme="majorHAnsi"/>
          <w:sz w:val="24"/>
          <w:szCs w:val="24"/>
          <w:lang w:val="ro-RO"/>
        </w:rPr>
        <w:t>480,0</w:t>
      </w:r>
      <w:r w:rsidRPr="00F558F1">
        <w:rPr>
          <w:rFonts w:asciiTheme="majorHAnsi" w:hAnsiTheme="majorHAnsi" w:cstheme="majorHAnsi"/>
          <w:sz w:val="24"/>
          <w:szCs w:val="24"/>
          <w:lang w:val="ro-RO"/>
        </w:rPr>
        <w:t xml:space="preserve"> </w:t>
      </w:r>
      <w:proofErr w:type="spellStart"/>
      <w:r w:rsidRPr="00F558F1">
        <w:rPr>
          <w:rFonts w:asciiTheme="majorHAnsi" w:hAnsiTheme="majorHAnsi" w:cstheme="majorHAnsi"/>
          <w:sz w:val="24"/>
          <w:szCs w:val="24"/>
          <w:lang w:val="ro-RO"/>
        </w:rPr>
        <w:t>mil.MDL</w:t>
      </w:r>
      <w:proofErr w:type="spellEnd"/>
      <w:r>
        <w:rPr>
          <w:rFonts w:asciiTheme="majorHAnsi" w:hAnsiTheme="majorHAnsi" w:cstheme="majorHAnsi"/>
          <w:sz w:val="24"/>
          <w:szCs w:val="24"/>
          <w:lang w:val="ro-RO"/>
        </w:rPr>
        <w:t xml:space="preserve"> (+2,1</w:t>
      </w:r>
      <w:r w:rsidRPr="00F558F1">
        <w:rPr>
          <w:rFonts w:asciiTheme="majorHAnsi" w:hAnsiTheme="majorHAnsi" w:cstheme="majorHAnsi"/>
          <w:sz w:val="24"/>
          <w:szCs w:val="24"/>
          <w:lang w:val="ro-RO"/>
        </w:rPr>
        <w:t xml:space="preserve">%), datorită majorării emisiunii </w:t>
      </w:r>
      <w:r w:rsidR="009561CB">
        <w:rPr>
          <w:rFonts w:asciiTheme="majorHAnsi" w:hAnsiTheme="majorHAnsi" w:cstheme="majorHAnsi"/>
          <w:sz w:val="24"/>
          <w:szCs w:val="24"/>
          <w:lang w:val="ro-RO"/>
        </w:rPr>
        <w:t xml:space="preserve">nete a </w:t>
      </w:r>
      <w:r w:rsidRPr="00F558F1">
        <w:rPr>
          <w:rFonts w:asciiTheme="majorHAnsi" w:hAnsiTheme="majorHAnsi" w:cstheme="majorHAnsi"/>
          <w:sz w:val="24"/>
          <w:szCs w:val="24"/>
          <w:lang w:val="ro-RO"/>
        </w:rPr>
        <w:t>VMS pe piața primară (+</w:t>
      </w:r>
      <w:r>
        <w:rPr>
          <w:rFonts w:asciiTheme="majorHAnsi" w:hAnsiTheme="majorHAnsi" w:cstheme="majorHAnsi"/>
          <w:sz w:val="24"/>
          <w:szCs w:val="24"/>
          <w:lang w:val="ro-RO"/>
        </w:rPr>
        <w:t>690,0</w:t>
      </w:r>
      <w:r w:rsidRPr="00F558F1">
        <w:rPr>
          <w:rFonts w:asciiTheme="majorHAnsi" w:hAnsiTheme="majorHAnsi" w:cstheme="majorHAnsi"/>
          <w:sz w:val="24"/>
          <w:szCs w:val="24"/>
          <w:lang w:val="ro-RO"/>
        </w:rPr>
        <w:t xml:space="preserve"> </w:t>
      </w:r>
      <w:proofErr w:type="spellStart"/>
      <w:r w:rsidRPr="00F558F1">
        <w:rPr>
          <w:rFonts w:asciiTheme="majorHAnsi" w:hAnsiTheme="majorHAnsi" w:cstheme="majorHAnsi"/>
          <w:sz w:val="24"/>
          <w:szCs w:val="24"/>
          <w:lang w:val="ro-RO"/>
        </w:rPr>
        <w:t>mil.MDL</w:t>
      </w:r>
      <w:proofErr w:type="spellEnd"/>
      <w:r w:rsidRPr="00F558F1">
        <w:rPr>
          <w:rFonts w:asciiTheme="majorHAnsi" w:hAnsiTheme="majorHAnsi" w:cstheme="majorHAnsi"/>
          <w:sz w:val="24"/>
          <w:szCs w:val="24"/>
          <w:lang w:val="ro-RO"/>
        </w:rPr>
        <w:t xml:space="preserve">) și </w:t>
      </w:r>
      <w:r>
        <w:rPr>
          <w:rFonts w:asciiTheme="majorHAnsi" w:hAnsiTheme="majorHAnsi" w:cstheme="majorHAnsi"/>
          <w:sz w:val="24"/>
          <w:szCs w:val="24"/>
          <w:lang w:val="ro-RO"/>
        </w:rPr>
        <w:t xml:space="preserve">răscumpărării VMS emise pentru executarea obligațiilor de plată derivate din garanțiile de stat (-210,0 </w:t>
      </w:r>
      <w:proofErr w:type="spellStart"/>
      <w:r>
        <w:rPr>
          <w:rFonts w:asciiTheme="majorHAnsi" w:hAnsiTheme="majorHAnsi" w:cstheme="majorHAnsi"/>
          <w:sz w:val="24"/>
          <w:szCs w:val="24"/>
          <w:lang w:val="ro-RO"/>
        </w:rPr>
        <w:t>mil.MDL</w:t>
      </w:r>
      <w:proofErr w:type="spellEnd"/>
      <w:r>
        <w:rPr>
          <w:rFonts w:asciiTheme="majorHAnsi" w:hAnsiTheme="majorHAnsi" w:cstheme="majorHAnsi"/>
          <w:sz w:val="24"/>
          <w:szCs w:val="24"/>
          <w:lang w:val="ro-RO"/>
        </w:rPr>
        <w:t xml:space="preserve">). </w:t>
      </w:r>
      <w:r w:rsidRPr="000404AD">
        <w:rPr>
          <w:rFonts w:asciiTheme="majorHAnsi" w:hAnsiTheme="majorHAnsi"/>
          <w:sz w:val="24"/>
          <w:lang w:val="ro-RO"/>
        </w:rPr>
        <w:t xml:space="preserve">Concomitent, auditul atestă că, </w:t>
      </w:r>
      <w:r>
        <w:rPr>
          <w:rFonts w:asciiTheme="majorHAnsi" w:hAnsiTheme="majorHAnsi" w:cstheme="majorHAnsi"/>
          <w:sz w:val="24"/>
          <w:szCs w:val="24"/>
          <w:lang w:val="ro-RO"/>
        </w:rPr>
        <w:t>în anul 2018</w:t>
      </w:r>
      <w:r w:rsidRPr="00F558F1">
        <w:rPr>
          <w:rFonts w:asciiTheme="majorHAnsi" w:hAnsiTheme="majorHAnsi" w:cstheme="majorHAnsi"/>
          <w:sz w:val="24"/>
          <w:szCs w:val="24"/>
          <w:lang w:val="ro-RO"/>
        </w:rPr>
        <w:t xml:space="preserve">, din valorificarea activelor </w:t>
      </w:r>
      <w:r w:rsidR="00BE5570">
        <w:rPr>
          <w:rFonts w:asciiTheme="majorHAnsi" w:hAnsiTheme="majorHAnsi" w:cstheme="majorHAnsi"/>
          <w:sz w:val="24"/>
          <w:szCs w:val="24"/>
          <w:lang w:val="ro-RO"/>
        </w:rPr>
        <w:t xml:space="preserve">celor 3 </w:t>
      </w:r>
      <w:r w:rsidRPr="00F558F1">
        <w:rPr>
          <w:rFonts w:asciiTheme="majorHAnsi" w:hAnsiTheme="majorHAnsi" w:cstheme="majorHAnsi"/>
          <w:sz w:val="24"/>
          <w:szCs w:val="24"/>
          <w:lang w:val="ro-RO"/>
        </w:rPr>
        <w:t>bănci supuse lichidării</w:t>
      </w:r>
      <w:r w:rsidR="00BE5570">
        <w:rPr>
          <w:rFonts w:asciiTheme="majorHAnsi" w:hAnsiTheme="majorHAnsi" w:cstheme="majorHAnsi"/>
          <w:sz w:val="24"/>
          <w:szCs w:val="24"/>
          <w:lang w:val="ro-RO"/>
        </w:rPr>
        <w:t xml:space="preserve"> (</w:t>
      </w:r>
      <w:r w:rsidR="003967DD">
        <w:rPr>
          <w:rFonts w:asciiTheme="majorHAnsi" w:hAnsiTheme="majorHAnsi" w:cstheme="majorHAnsi"/>
          <w:sz w:val="24"/>
          <w:szCs w:val="24"/>
          <w:lang w:val="ro-RO"/>
        </w:rPr>
        <w:t>„</w:t>
      </w:r>
      <w:r w:rsidR="00BE5570" w:rsidRPr="00BE5570">
        <w:rPr>
          <w:rFonts w:asciiTheme="majorHAnsi" w:hAnsiTheme="majorHAnsi" w:cstheme="majorHAnsi"/>
          <w:sz w:val="24"/>
          <w:szCs w:val="24"/>
          <w:lang w:val="ro-RO"/>
        </w:rPr>
        <w:t>Banca de Economii</w:t>
      </w:r>
      <w:r w:rsidR="00BE5570">
        <w:rPr>
          <w:rFonts w:asciiTheme="majorHAnsi" w:hAnsiTheme="majorHAnsi" w:cstheme="majorHAnsi"/>
          <w:sz w:val="24"/>
          <w:szCs w:val="24"/>
          <w:lang w:val="ro-RO"/>
        </w:rPr>
        <w:t xml:space="preserve">” S.A., BC </w:t>
      </w:r>
      <w:r w:rsidR="003967DD">
        <w:rPr>
          <w:rFonts w:asciiTheme="majorHAnsi" w:hAnsiTheme="majorHAnsi" w:cstheme="majorHAnsi"/>
          <w:sz w:val="24"/>
          <w:szCs w:val="24"/>
          <w:lang w:val="ro-RO"/>
        </w:rPr>
        <w:t>„</w:t>
      </w:r>
      <w:r w:rsidR="00BE5570">
        <w:rPr>
          <w:rFonts w:asciiTheme="majorHAnsi" w:hAnsiTheme="majorHAnsi" w:cstheme="majorHAnsi"/>
          <w:sz w:val="24"/>
          <w:szCs w:val="24"/>
          <w:lang w:val="ro-RO"/>
        </w:rPr>
        <w:t xml:space="preserve">Banca Socială” S.A., </w:t>
      </w:r>
      <w:r w:rsidR="00BE5570" w:rsidRPr="00BE5570">
        <w:rPr>
          <w:rFonts w:asciiTheme="majorHAnsi" w:hAnsiTheme="majorHAnsi" w:cstheme="majorHAnsi"/>
          <w:sz w:val="24"/>
          <w:szCs w:val="24"/>
          <w:lang w:val="ro-RO"/>
        </w:rPr>
        <w:t xml:space="preserve">BC </w:t>
      </w:r>
      <w:r w:rsidR="003967DD">
        <w:rPr>
          <w:rFonts w:asciiTheme="majorHAnsi" w:hAnsiTheme="majorHAnsi" w:cstheme="majorHAnsi"/>
          <w:sz w:val="24"/>
          <w:szCs w:val="24"/>
          <w:lang w:val="ro-RO"/>
        </w:rPr>
        <w:t>„</w:t>
      </w:r>
      <w:proofErr w:type="spellStart"/>
      <w:r w:rsidR="00BE5570" w:rsidRPr="00BE5570">
        <w:rPr>
          <w:rFonts w:asciiTheme="majorHAnsi" w:hAnsiTheme="majorHAnsi" w:cstheme="majorHAnsi"/>
          <w:sz w:val="24"/>
          <w:szCs w:val="24"/>
          <w:lang w:val="ro-RO"/>
        </w:rPr>
        <w:t>Unibank</w:t>
      </w:r>
      <w:proofErr w:type="spellEnd"/>
      <w:r w:rsidR="00BE5570" w:rsidRPr="00BE5570">
        <w:rPr>
          <w:rFonts w:asciiTheme="majorHAnsi" w:hAnsiTheme="majorHAnsi" w:cstheme="majorHAnsi"/>
          <w:sz w:val="24"/>
          <w:szCs w:val="24"/>
          <w:lang w:val="ro-RO"/>
        </w:rPr>
        <w:t>” S.A</w:t>
      </w:r>
      <w:r w:rsidR="00BE5570">
        <w:rPr>
          <w:rFonts w:asciiTheme="majorHAnsi" w:hAnsiTheme="majorHAnsi" w:cstheme="majorHAnsi"/>
          <w:sz w:val="24"/>
          <w:szCs w:val="24"/>
          <w:lang w:val="ro-RO"/>
        </w:rPr>
        <w:t>)</w:t>
      </w:r>
      <w:r w:rsidRPr="009561CB">
        <w:rPr>
          <w:rFonts w:asciiTheme="majorHAnsi" w:hAnsiTheme="majorHAnsi" w:cstheme="majorHAnsi"/>
          <w:sz w:val="24"/>
          <w:szCs w:val="24"/>
          <w:lang w:val="ro-RO"/>
        </w:rPr>
        <w:t>,</w:t>
      </w:r>
      <w:r w:rsidRPr="00F558F1">
        <w:rPr>
          <w:rFonts w:asciiTheme="majorHAnsi" w:hAnsiTheme="majorHAnsi" w:cstheme="majorHAnsi"/>
          <w:sz w:val="24"/>
          <w:szCs w:val="24"/>
          <w:lang w:val="ro-RO"/>
        </w:rPr>
        <w:t xml:space="preserve"> la contul bugetului de stat s-au încasat </w:t>
      </w:r>
      <w:r w:rsidR="001B50FE">
        <w:rPr>
          <w:rFonts w:asciiTheme="majorHAnsi" w:hAnsiTheme="majorHAnsi" w:cstheme="majorHAnsi"/>
          <w:color w:val="000000" w:themeColor="text1"/>
          <w:sz w:val="24"/>
          <w:szCs w:val="24"/>
          <w:lang w:val="ro-RO"/>
        </w:rPr>
        <w:t>678,8</w:t>
      </w:r>
      <w:r w:rsidRPr="00145755">
        <w:rPr>
          <w:rFonts w:asciiTheme="majorHAnsi" w:hAnsiTheme="majorHAnsi" w:cstheme="majorHAnsi"/>
          <w:color w:val="000000" w:themeColor="text1"/>
          <w:sz w:val="24"/>
          <w:szCs w:val="24"/>
          <w:lang w:val="ro-RO"/>
        </w:rPr>
        <w:t xml:space="preserve"> </w:t>
      </w:r>
      <w:proofErr w:type="spellStart"/>
      <w:r w:rsidRPr="00145755">
        <w:rPr>
          <w:rFonts w:asciiTheme="majorHAnsi" w:hAnsiTheme="majorHAnsi" w:cstheme="majorHAnsi"/>
          <w:color w:val="000000" w:themeColor="text1"/>
          <w:sz w:val="24"/>
          <w:szCs w:val="24"/>
          <w:lang w:val="ro-RO"/>
        </w:rPr>
        <w:t>mil.</w:t>
      </w:r>
      <w:r w:rsidRPr="00F558F1">
        <w:rPr>
          <w:rFonts w:asciiTheme="majorHAnsi" w:hAnsiTheme="majorHAnsi" w:cstheme="majorHAnsi"/>
          <w:sz w:val="24"/>
          <w:szCs w:val="24"/>
          <w:lang w:val="ro-RO"/>
        </w:rPr>
        <w:t>MDL</w:t>
      </w:r>
      <w:proofErr w:type="spellEnd"/>
      <w:r w:rsidRPr="00F558F1">
        <w:rPr>
          <w:rFonts w:asciiTheme="majorHAnsi" w:hAnsiTheme="majorHAnsi" w:cstheme="majorHAnsi"/>
          <w:sz w:val="24"/>
          <w:szCs w:val="24"/>
          <w:lang w:val="ro-RO"/>
        </w:rPr>
        <w:t xml:space="preserve">. Astfel, datoria băncilor supuse lichidării </w:t>
      </w:r>
      <w:r>
        <w:rPr>
          <w:rFonts w:asciiTheme="majorHAnsi" w:hAnsiTheme="majorHAnsi" w:cstheme="majorHAnsi"/>
          <w:sz w:val="24"/>
          <w:szCs w:val="24"/>
          <w:lang w:val="ro-RO"/>
        </w:rPr>
        <w:t>la finele anului 2018</w:t>
      </w:r>
      <w:r w:rsidRPr="00F558F1">
        <w:rPr>
          <w:rFonts w:asciiTheme="majorHAnsi" w:hAnsiTheme="majorHAnsi" w:cstheme="majorHAnsi"/>
          <w:sz w:val="24"/>
          <w:szCs w:val="24"/>
          <w:lang w:val="ro-RO"/>
        </w:rPr>
        <w:t xml:space="preserve"> a constituit </w:t>
      </w:r>
      <w:r>
        <w:rPr>
          <w:rFonts w:asciiTheme="majorHAnsi" w:hAnsiTheme="majorHAnsi" w:cstheme="majorHAnsi"/>
          <w:sz w:val="24"/>
          <w:szCs w:val="24"/>
          <w:lang w:val="ro-RO"/>
        </w:rPr>
        <w:t>12371,8</w:t>
      </w:r>
      <w:r w:rsidRPr="00F558F1">
        <w:rPr>
          <w:rFonts w:asciiTheme="majorHAnsi" w:hAnsiTheme="majorHAnsi" w:cstheme="majorHAnsi"/>
          <w:sz w:val="24"/>
          <w:szCs w:val="24"/>
          <w:lang w:val="ro-RO"/>
        </w:rPr>
        <w:t xml:space="preserve"> </w:t>
      </w:r>
      <w:proofErr w:type="spellStart"/>
      <w:r w:rsidRPr="00F558F1">
        <w:rPr>
          <w:rFonts w:asciiTheme="majorHAnsi" w:hAnsiTheme="majorHAnsi" w:cstheme="majorHAnsi"/>
          <w:sz w:val="24"/>
          <w:szCs w:val="24"/>
          <w:lang w:val="ro-RO"/>
        </w:rPr>
        <w:t>mil.MDL</w:t>
      </w:r>
      <w:proofErr w:type="spellEnd"/>
      <w:r w:rsidRPr="00F558F1">
        <w:rPr>
          <w:rFonts w:asciiTheme="majorHAnsi" w:hAnsiTheme="majorHAnsi" w:cstheme="majorHAnsi"/>
          <w:sz w:val="24"/>
          <w:szCs w:val="24"/>
          <w:lang w:val="ro-RO"/>
        </w:rPr>
        <w:t>.</w:t>
      </w:r>
      <w:r w:rsidR="00FF46B4">
        <w:rPr>
          <w:rFonts w:asciiTheme="majorHAnsi" w:hAnsiTheme="majorHAnsi" w:cstheme="majorHAnsi"/>
          <w:sz w:val="24"/>
          <w:szCs w:val="24"/>
          <w:lang w:val="ro-RO"/>
        </w:rPr>
        <w:t xml:space="preserve"> În același timp</w:t>
      </w:r>
      <w:r w:rsidR="000C1F71">
        <w:rPr>
          <w:rFonts w:asciiTheme="majorHAnsi" w:hAnsiTheme="majorHAnsi" w:cstheme="majorHAnsi"/>
          <w:sz w:val="24"/>
          <w:szCs w:val="24"/>
          <w:lang w:val="ro-RO"/>
        </w:rPr>
        <w:t>,</w:t>
      </w:r>
      <w:r w:rsidR="00FF46B4">
        <w:rPr>
          <w:rFonts w:asciiTheme="majorHAnsi" w:hAnsiTheme="majorHAnsi" w:cstheme="majorHAnsi"/>
          <w:sz w:val="24"/>
          <w:szCs w:val="24"/>
          <w:lang w:val="ro-RO"/>
        </w:rPr>
        <w:t xml:space="preserve"> datoria MF față de BNM a constituit 13081,2 </w:t>
      </w:r>
      <w:proofErr w:type="spellStart"/>
      <w:r w:rsidR="00FF46B4">
        <w:rPr>
          <w:rFonts w:asciiTheme="majorHAnsi" w:hAnsiTheme="majorHAnsi" w:cstheme="majorHAnsi"/>
          <w:sz w:val="24"/>
          <w:szCs w:val="24"/>
          <w:lang w:val="ro-RO"/>
        </w:rPr>
        <w:t>mil.MDL</w:t>
      </w:r>
      <w:proofErr w:type="spellEnd"/>
      <w:r w:rsidR="000C1F71">
        <w:rPr>
          <w:rFonts w:asciiTheme="majorHAnsi" w:hAnsiTheme="majorHAnsi" w:cstheme="majorHAnsi"/>
          <w:sz w:val="24"/>
          <w:szCs w:val="24"/>
          <w:lang w:val="ro-RO"/>
        </w:rPr>
        <w:t>,</w:t>
      </w:r>
      <w:r w:rsidR="006F5A0A">
        <w:rPr>
          <w:rFonts w:asciiTheme="majorHAnsi" w:hAnsiTheme="majorHAnsi" w:cstheme="majorHAnsi"/>
          <w:sz w:val="24"/>
          <w:szCs w:val="24"/>
          <w:lang w:val="ro-RO"/>
        </w:rPr>
        <w:t xml:space="preserve"> sau cu </w:t>
      </w:r>
      <w:r w:rsidR="00036C24">
        <w:rPr>
          <w:rFonts w:asciiTheme="majorHAnsi" w:hAnsiTheme="majorHAnsi" w:cstheme="majorHAnsi"/>
          <w:sz w:val="24"/>
          <w:szCs w:val="24"/>
          <w:lang w:val="ro-RO"/>
        </w:rPr>
        <w:t xml:space="preserve">210,0 </w:t>
      </w:r>
      <w:proofErr w:type="spellStart"/>
      <w:r w:rsidR="00036C24">
        <w:rPr>
          <w:rFonts w:asciiTheme="majorHAnsi" w:hAnsiTheme="majorHAnsi" w:cstheme="majorHAnsi"/>
          <w:sz w:val="24"/>
          <w:szCs w:val="24"/>
          <w:lang w:val="ro-RO"/>
        </w:rPr>
        <w:t>mil.MDL</w:t>
      </w:r>
      <w:proofErr w:type="spellEnd"/>
      <w:r w:rsidR="00036C24">
        <w:rPr>
          <w:rFonts w:asciiTheme="majorHAnsi" w:hAnsiTheme="majorHAnsi" w:cstheme="majorHAnsi"/>
          <w:sz w:val="24"/>
          <w:szCs w:val="24"/>
          <w:lang w:val="ro-RO"/>
        </w:rPr>
        <w:t xml:space="preserve"> </w:t>
      </w:r>
      <w:r w:rsidR="006F5A0A">
        <w:rPr>
          <w:rFonts w:asciiTheme="majorHAnsi" w:hAnsiTheme="majorHAnsi" w:cstheme="majorHAnsi"/>
          <w:sz w:val="24"/>
          <w:szCs w:val="24"/>
          <w:lang w:val="ro-RO"/>
        </w:rPr>
        <w:t xml:space="preserve">mai puțin față de </w:t>
      </w:r>
      <w:r w:rsidR="00036C24">
        <w:rPr>
          <w:rFonts w:asciiTheme="majorHAnsi" w:hAnsiTheme="majorHAnsi" w:cstheme="majorHAnsi"/>
          <w:sz w:val="24"/>
          <w:szCs w:val="24"/>
          <w:lang w:val="ro-RO"/>
        </w:rPr>
        <w:t>situația de la începutul anului</w:t>
      </w:r>
      <w:r w:rsidR="00FF46B4">
        <w:rPr>
          <w:rFonts w:asciiTheme="majorHAnsi" w:hAnsiTheme="majorHAnsi" w:cstheme="majorHAnsi"/>
          <w:sz w:val="24"/>
          <w:szCs w:val="24"/>
          <w:lang w:val="ro-RO"/>
        </w:rPr>
        <w:t>.</w:t>
      </w:r>
    </w:p>
    <w:p w14:paraId="57E0662F" w14:textId="10E336ED" w:rsidR="00BF4E4C" w:rsidRPr="000404AD" w:rsidRDefault="00BF4E4C" w:rsidP="00BF4E4C">
      <w:pPr>
        <w:tabs>
          <w:tab w:val="left" w:pos="567"/>
          <w:tab w:val="left" w:pos="709"/>
        </w:tabs>
        <w:spacing w:after="0" w:line="276" w:lineRule="auto"/>
        <w:jc w:val="both"/>
        <w:rPr>
          <w:rFonts w:asciiTheme="majorHAnsi" w:hAnsiTheme="majorHAnsi" w:cstheme="majorHAnsi"/>
          <w:sz w:val="24"/>
          <w:szCs w:val="24"/>
          <w:lang w:val="ro-MD"/>
        </w:rPr>
      </w:pPr>
      <w:r w:rsidRPr="000404AD">
        <w:rPr>
          <w:rFonts w:asciiTheme="majorHAnsi" w:hAnsiTheme="majorHAnsi"/>
          <w:sz w:val="24"/>
          <w:lang w:val="ro-RO"/>
        </w:rPr>
        <w:tab/>
        <w:t xml:space="preserve">Soldul </w:t>
      </w:r>
      <w:r w:rsidRPr="000404AD">
        <w:rPr>
          <w:rFonts w:asciiTheme="majorHAnsi" w:hAnsiTheme="majorHAnsi"/>
          <w:b/>
          <w:sz w:val="24"/>
          <w:lang w:val="ro-RO"/>
        </w:rPr>
        <w:t>datoriei de stat externe</w:t>
      </w:r>
      <w:r w:rsidRPr="000404AD">
        <w:rPr>
          <w:rFonts w:asciiTheme="majorHAnsi" w:hAnsiTheme="majorHAnsi" w:cstheme="majorHAnsi"/>
          <w:b/>
          <w:sz w:val="24"/>
          <w:szCs w:val="24"/>
          <w:lang w:val="ro-MD"/>
        </w:rPr>
        <w:t xml:space="preserve"> la finele anului 2018 a constituit </w:t>
      </w:r>
      <w:r w:rsidR="009B1C09">
        <w:rPr>
          <w:rFonts w:asciiTheme="majorHAnsi" w:hAnsiTheme="majorHAnsi" w:cstheme="majorHAnsi"/>
          <w:b/>
          <w:sz w:val="24"/>
          <w:szCs w:val="24"/>
          <w:lang w:val="ro-RO"/>
        </w:rPr>
        <w:t>1689,0</w:t>
      </w:r>
      <w:r w:rsidRPr="000404AD">
        <w:rPr>
          <w:rFonts w:asciiTheme="majorHAnsi" w:hAnsiTheme="majorHAnsi" w:cstheme="majorHAnsi"/>
          <w:b/>
          <w:sz w:val="24"/>
          <w:szCs w:val="24"/>
          <w:lang w:val="ro-MD"/>
        </w:rPr>
        <w:t xml:space="preserve"> </w:t>
      </w:r>
      <w:proofErr w:type="spellStart"/>
      <w:r w:rsidRPr="000404AD">
        <w:rPr>
          <w:rFonts w:asciiTheme="majorHAnsi" w:hAnsiTheme="majorHAnsi" w:cstheme="majorHAnsi"/>
          <w:b/>
          <w:sz w:val="24"/>
          <w:szCs w:val="24"/>
          <w:lang w:val="ro-MD"/>
        </w:rPr>
        <w:t>mil.dol.SUA</w:t>
      </w:r>
      <w:proofErr w:type="spellEnd"/>
      <w:r w:rsidRPr="000404AD">
        <w:rPr>
          <w:rFonts w:asciiTheme="majorHAnsi" w:hAnsiTheme="majorHAnsi"/>
          <w:sz w:val="24"/>
          <w:lang w:val="ro-RO"/>
        </w:rPr>
        <w:t xml:space="preserve">, sau cu </w:t>
      </w:r>
      <w:r w:rsidRPr="000404AD">
        <w:rPr>
          <w:rFonts w:asciiTheme="majorHAnsi" w:hAnsiTheme="majorHAnsi" w:cstheme="majorHAnsi"/>
          <w:sz w:val="24"/>
          <w:szCs w:val="24"/>
          <w:lang w:val="ro-MD"/>
        </w:rPr>
        <w:t>11,</w:t>
      </w:r>
      <w:r w:rsidR="009B1C09">
        <w:rPr>
          <w:rFonts w:asciiTheme="majorHAnsi" w:hAnsiTheme="majorHAnsi" w:cstheme="majorHAnsi"/>
          <w:sz w:val="24"/>
          <w:szCs w:val="24"/>
          <w:lang w:val="ro-RO"/>
        </w:rPr>
        <w:t>7</w:t>
      </w:r>
      <w:r w:rsidRPr="000404AD">
        <w:rPr>
          <w:rFonts w:asciiTheme="majorHAnsi" w:hAnsiTheme="majorHAnsi" w:cstheme="majorHAnsi"/>
          <w:sz w:val="24"/>
          <w:szCs w:val="24"/>
          <w:lang w:val="ro-MD"/>
        </w:rPr>
        <w:t xml:space="preserve"> </w:t>
      </w:r>
      <w:proofErr w:type="spellStart"/>
      <w:r w:rsidRPr="000404AD">
        <w:rPr>
          <w:rFonts w:asciiTheme="majorHAnsi" w:hAnsiTheme="majorHAnsi" w:cstheme="majorHAnsi"/>
          <w:sz w:val="24"/>
          <w:szCs w:val="24"/>
          <w:lang w:val="ro-MD"/>
        </w:rPr>
        <w:t>mil.dol.SUA</w:t>
      </w:r>
      <w:proofErr w:type="spellEnd"/>
      <w:r w:rsidRPr="000404AD">
        <w:rPr>
          <w:rFonts w:asciiTheme="majorHAnsi" w:hAnsiTheme="majorHAnsi" w:cstheme="majorHAnsi"/>
          <w:sz w:val="24"/>
          <w:szCs w:val="24"/>
          <w:lang w:val="ro-MD"/>
        </w:rPr>
        <w:t xml:space="preserve"> (-0,7</w:t>
      </w:r>
      <w:r w:rsidRPr="000404AD">
        <w:rPr>
          <w:rFonts w:asciiTheme="majorHAnsi" w:hAnsiTheme="majorHAnsi"/>
          <w:sz w:val="24"/>
          <w:lang w:val="ro-RO"/>
        </w:rPr>
        <w:t xml:space="preserve">%) mai </w:t>
      </w:r>
      <w:r w:rsidRPr="000404AD">
        <w:rPr>
          <w:rFonts w:asciiTheme="majorHAnsi" w:hAnsiTheme="majorHAnsi" w:cstheme="majorHAnsi"/>
          <w:sz w:val="24"/>
          <w:szCs w:val="24"/>
          <w:lang w:val="ro-MD"/>
        </w:rPr>
        <w:t>puțin</w:t>
      </w:r>
      <w:r w:rsidRPr="000404AD">
        <w:rPr>
          <w:rFonts w:asciiTheme="majorHAnsi" w:hAnsiTheme="majorHAnsi"/>
          <w:sz w:val="24"/>
          <w:lang w:val="ro-RO"/>
        </w:rPr>
        <w:t xml:space="preserve"> față de soldul î</w:t>
      </w:r>
      <w:proofErr w:type="spellStart"/>
      <w:r w:rsidRPr="000404AD">
        <w:rPr>
          <w:rFonts w:asciiTheme="majorHAnsi" w:hAnsiTheme="majorHAnsi" w:cstheme="majorHAnsi"/>
          <w:sz w:val="24"/>
          <w:szCs w:val="24"/>
          <w:lang w:val="ro-MD"/>
        </w:rPr>
        <w:t>nregistrat</w:t>
      </w:r>
      <w:proofErr w:type="spellEnd"/>
      <w:r w:rsidRPr="000404AD">
        <w:rPr>
          <w:rFonts w:asciiTheme="majorHAnsi" w:hAnsiTheme="majorHAnsi" w:cstheme="majorHAnsi"/>
          <w:sz w:val="24"/>
          <w:szCs w:val="24"/>
          <w:lang w:val="ro-MD"/>
        </w:rPr>
        <w:t xml:space="preserve"> la finele anului 2017 (1700,</w:t>
      </w:r>
      <w:r w:rsidR="004E1933" w:rsidRPr="000404AD">
        <w:rPr>
          <w:rFonts w:asciiTheme="majorHAnsi" w:hAnsiTheme="majorHAnsi"/>
          <w:sz w:val="24"/>
          <w:lang w:val="ro-RO"/>
        </w:rPr>
        <w:t xml:space="preserve">7 </w:t>
      </w:r>
      <w:proofErr w:type="spellStart"/>
      <w:r w:rsidRPr="000404AD">
        <w:rPr>
          <w:rFonts w:asciiTheme="majorHAnsi" w:hAnsiTheme="majorHAnsi"/>
          <w:sz w:val="24"/>
          <w:lang w:val="ro-RO"/>
        </w:rPr>
        <w:t>mil.dol.SUA</w:t>
      </w:r>
      <w:proofErr w:type="spellEnd"/>
      <w:r w:rsidRPr="003F0D63">
        <w:rPr>
          <w:rFonts w:asciiTheme="majorHAnsi" w:hAnsiTheme="majorHAnsi"/>
          <w:sz w:val="24"/>
          <w:lang w:val="ro-RO"/>
        </w:rPr>
        <w:t>). Această micșorare a fost determinată de diminuarea intrărilor de împrumuturi de stat externe (pentru proiecte investiționale – cu 820</w:t>
      </w:r>
      <w:r w:rsidR="009B1C09">
        <w:rPr>
          <w:rFonts w:asciiTheme="majorHAnsi" w:hAnsiTheme="majorHAnsi" w:cstheme="majorHAnsi"/>
          <w:sz w:val="24"/>
          <w:szCs w:val="24"/>
          <w:lang w:val="ro-RO"/>
        </w:rPr>
        <w:t>,5</w:t>
      </w:r>
      <w:r w:rsidRPr="003F0D63">
        <w:rPr>
          <w:rFonts w:asciiTheme="majorHAnsi" w:hAnsiTheme="majorHAnsi"/>
          <w:sz w:val="24"/>
          <w:lang w:val="ro-RO"/>
        </w:rPr>
        <w:t xml:space="preserve"> </w:t>
      </w:r>
      <w:proofErr w:type="spellStart"/>
      <w:r w:rsidRPr="003F0D63">
        <w:rPr>
          <w:rFonts w:asciiTheme="majorHAnsi" w:hAnsiTheme="majorHAnsi"/>
          <w:sz w:val="24"/>
          <w:lang w:val="ro-RO"/>
        </w:rPr>
        <w:t>mil.MDL</w:t>
      </w:r>
      <w:proofErr w:type="spellEnd"/>
      <w:r w:rsidRPr="003F0D63">
        <w:rPr>
          <w:rFonts w:asciiTheme="majorHAnsi" w:hAnsiTheme="majorHAnsi"/>
          <w:sz w:val="24"/>
          <w:lang w:val="ro-RO"/>
        </w:rPr>
        <w:t xml:space="preserve">, pentru susținerea bugetului – cu 1049,3 </w:t>
      </w:r>
      <w:proofErr w:type="spellStart"/>
      <w:r w:rsidRPr="003F0D63">
        <w:rPr>
          <w:rFonts w:asciiTheme="majorHAnsi" w:hAnsiTheme="majorHAnsi"/>
          <w:sz w:val="24"/>
          <w:lang w:val="ro-RO"/>
        </w:rPr>
        <w:t>mil.MDL</w:t>
      </w:r>
      <w:proofErr w:type="spellEnd"/>
      <w:r w:rsidRPr="003F0D63">
        <w:rPr>
          <w:rFonts w:asciiTheme="majorHAnsi" w:hAnsiTheme="majorHAnsi"/>
          <w:sz w:val="24"/>
          <w:lang w:val="ro-RO"/>
        </w:rPr>
        <w:t>)</w:t>
      </w:r>
      <w:r w:rsidRPr="000404AD">
        <w:rPr>
          <w:rFonts w:asciiTheme="majorHAnsi" w:hAnsiTheme="majorHAnsi" w:cstheme="majorHAnsi"/>
          <w:sz w:val="24"/>
          <w:szCs w:val="24"/>
          <w:lang w:val="ro-MD"/>
        </w:rPr>
        <w:t xml:space="preserve"> și </w:t>
      </w:r>
      <w:r w:rsidR="000C1F71">
        <w:rPr>
          <w:rFonts w:asciiTheme="majorHAnsi" w:hAnsiTheme="majorHAnsi" w:cstheme="majorHAnsi"/>
          <w:sz w:val="24"/>
          <w:szCs w:val="24"/>
          <w:lang w:val="ro-MD"/>
        </w:rPr>
        <w:t xml:space="preserve">de </w:t>
      </w:r>
      <w:r w:rsidR="009B1C09">
        <w:rPr>
          <w:rFonts w:asciiTheme="majorHAnsi" w:hAnsiTheme="majorHAnsi" w:cstheme="majorHAnsi"/>
          <w:sz w:val="24"/>
          <w:szCs w:val="24"/>
          <w:lang w:val="ro-RO"/>
        </w:rPr>
        <w:t>fluctuațiile cursului valutar al dolarului SUA față de alte valute</w:t>
      </w:r>
      <w:r w:rsidRPr="000404AD">
        <w:rPr>
          <w:rFonts w:asciiTheme="majorHAnsi" w:hAnsiTheme="majorHAnsi" w:cstheme="majorHAnsi"/>
          <w:sz w:val="24"/>
          <w:szCs w:val="24"/>
          <w:lang w:val="ro-MD"/>
        </w:rPr>
        <w:t>.</w:t>
      </w:r>
    </w:p>
    <w:p w14:paraId="56BD0BCA" w14:textId="6D3C2314" w:rsidR="00BF4E4C" w:rsidRPr="008E62BA" w:rsidRDefault="00BF4E4C" w:rsidP="00BF4E4C">
      <w:pPr>
        <w:spacing w:after="0" w:line="276" w:lineRule="auto"/>
        <w:ind w:firstLine="720"/>
        <w:jc w:val="both"/>
        <w:rPr>
          <w:rFonts w:asciiTheme="majorHAnsi" w:hAnsiTheme="majorHAnsi" w:cstheme="majorHAnsi"/>
          <w:sz w:val="24"/>
          <w:szCs w:val="24"/>
          <w:lang w:val="ro-RO"/>
        </w:rPr>
      </w:pPr>
      <w:r>
        <w:rPr>
          <w:rFonts w:asciiTheme="majorHAnsi" w:hAnsiTheme="majorHAnsi" w:cstheme="majorHAnsi"/>
          <w:sz w:val="24"/>
          <w:szCs w:val="24"/>
          <w:lang w:val="ro-RO"/>
        </w:rPr>
        <w:t>În anul 2018</w:t>
      </w:r>
      <w:r w:rsidRPr="0054751A">
        <w:rPr>
          <w:rFonts w:asciiTheme="majorHAnsi" w:hAnsiTheme="majorHAnsi" w:cstheme="majorHAnsi"/>
          <w:sz w:val="24"/>
          <w:szCs w:val="24"/>
          <w:lang w:val="ro-RO"/>
        </w:rPr>
        <w:t xml:space="preserve">, debursările de împrumuturi externe au constituit </w:t>
      </w:r>
      <w:r>
        <w:rPr>
          <w:rFonts w:asciiTheme="majorHAnsi" w:hAnsiTheme="majorHAnsi" w:cstheme="majorHAnsi"/>
          <w:sz w:val="24"/>
          <w:szCs w:val="24"/>
          <w:lang w:val="ro-RO"/>
        </w:rPr>
        <w:t>144,8</w:t>
      </w:r>
      <w:r w:rsidRPr="0054751A">
        <w:rPr>
          <w:rFonts w:asciiTheme="majorHAnsi" w:hAnsiTheme="majorHAnsi" w:cstheme="majorHAnsi"/>
          <w:sz w:val="24"/>
          <w:szCs w:val="24"/>
          <w:lang w:val="ro-RO"/>
        </w:rPr>
        <w:t xml:space="preserve"> </w:t>
      </w:r>
      <w:proofErr w:type="spellStart"/>
      <w:r w:rsidRPr="0054751A">
        <w:rPr>
          <w:rFonts w:asciiTheme="majorHAnsi" w:hAnsiTheme="majorHAnsi" w:cstheme="majorHAnsi"/>
          <w:sz w:val="24"/>
          <w:szCs w:val="24"/>
          <w:lang w:val="ro-RO"/>
        </w:rPr>
        <w:t>mil.dol.SUA</w:t>
      </w:r>
      <w:proofErr w:type="spellEnd"/>
      <w:r w:rsidRPr="0054751A">
        <w:rPr>
          <w:rFonts w:asciiTheme="majorHAnsi" w:hAnsiTheme="majorHAnsi" w:cstheme="majorHAnsi"/>
          <w:sz w:val="24"/>
          <w:szCs w:val="24"/>
          <w:lang w:val="ro-RO"/>
        </w:rPr>
        <w:t xml:space="preserve">, înregistrând o scădere cu </w:t>
      </w:r>
      <w:r>
        <w:rPr>
          <w:rFonts w:asciiTheme="majorHAnsi" w:hAnsiTheme="majorHAnsi" w:cstheme="majorHAnsi"/>
          <w:sz w:val="24"/>
          <w:szCs w:val="24"/>
          <w:lang w:val="ro-RO"/>
        </w:rPr>
        <w:t>50,8</w:t>
      </w:r>
      <w:r w:rsidRPr="0054751A">
        <w:rPr>
          <w:rFonts w:asciiTheme="majorHAnsi" w:hAnsiTheme="majorHAnsi" w:cstheme="majorHAnsi"/>
          <w:sz w:val="24"/>
          <w:szCs w:val="24"/>
          <w:lang w:val="ro-RO"/>
        </w:rPr>
        <w:t xml:space="preserve"> </w:t>
      </w:r>
      <w:proofErr w:type="spellStart"/>
      <w:r w:rsidRPr="0054751A">
        <w:rPr>
          <w:rFonts w:asciiTheme="majorHAnsi" w:hAnsiTheme="majorHAnsi" w:cstheme="majorHAnsi"/>
          <w:sz w:val="24"/>
          <w:szCs w:val="24"/>
          <w:lang w:val="ro-RO"/>
        </w:rPr>
        <w:t>mil.dol.SUA</w:t>
      </w:r>
      <w:proofErr w:type="spellEnd"/>
      <w:r w:rsidRPr="0054751A">
        <w:rPr>
          <w:rFonts w:asciiTheme="majorHAnsi" w:hAnsiTheme="majorHAnsi" w:cstheme="majorHAnsi"/>
          <w:sz w:val="24"/>
          <w:szCs w:val="24"/>
          <w:lang w:val="ro-RO"/>
        </w:rPr>
        <w:t xml:space="preserve">, sau cu </w:t>
      </w:r>
      <w:r w:rsidR="004E1933">
        <w:rPr>
          <w:rFonts w:asciiTheme="majorHAnsi" w:hAnsiTheme="majorHAnsi" w:cstheme="majorHAnsi"/>
          <w:sz w:val="24"/>
          <w:szCs w:val="24"/>
          <w:lang w:val="ro-RO"/>
        </w:rPr>
        <w:t>26,0</w:t>
      </w:r>
      <w:r w:rsidRPr="0054751A">
        <w:rPr>
          <w:rFonts w:asciiTheme="majorHAnsi" w:hAnsiTheme="majorHAnsi" w:cstheme="majorHAnsi"/>
          <w:sz w:val="24"/>
          <w:szCs w:val="24"/>
          <w:lang w:val="ro-RO"/>
        </w:rPr>
        <w:t>%</w:t>
      </w:r>
      <w:r w:rsidR="00122D71">
        <w:rPr>
          <w:rFonts w:asciiTheme="majorHAnsi" w:hAnsiTheme="majorHAnsi" w:cstheme="majorHAnsi"/>
          <w:sz w:val="24"/>
          <w:szCs w:val="24"/>
          <w:lang w:val="ro-RO"/>
        </w:rPr>
        <w:t>,</w:t>
      </w:r>
      <w:r w:rsidRPr="0054751A">
        <w:rPr>
          <w:rFonts w:asciiTheme="majorHAnsi" w:hAnsiTheme="majorHAnsi" w:cstheme="majorHAnsi"/>
          <w:sz w:val="24"/>
          <w:szCs w:val="24"/>
          <w:lang w:val="ro-RO"/>
        </w:rPr>
        <w:t xml:space="preserve"> față de anul </w:t>
      </w:r>
      <w:r>
        <w:rPr>
          <w:rFonts w:asciiTheme="majorHAnsi" w:hAnsiTheme="majorHAnsi" w:cstheme="majorHAnsi"/>
          <w:sz w:val="24"/>
          <w:szCs w:val="24"/>
          <w:lang w:val="ro-RO"/>
        </w:rPr>
        <w:t>2017</w:t>
      </w:r>
      <w:r w:rsidRPr="0054751A">
        <w:rPr>
          <w:rFonts w:asciiTheme="majorHAnsi" w:hAnsiTheme="majorHAnsi" w:cstheme="majorHAnsi"/>
          <w:sz w:val="24"/>
          <w:szCs w:val="24"/>
          <w:lang w:val="ro-RO"/>
        </w:rPr>
        <w:t xml:space="preserve">. </w:t>
      </w:r>
      <w:r w:rsidRPr="008C4F3C">
        <w:rPr>
          <w:rFonts w:asciiTheme="majorHAnsi" w:hAnsiTheme="majorHAnsi" w:cstheme="majorHAnsi"/>
          <w:sz w:val="24"/>
          <w:szCs w:val="24"/>
          <w:lang w:val="ro-RO"/>
        </w:rPr>
        <w:t>Auditul a constatat că nivelul redus de debursare a surselor de finanțare din contul îm</w:t>
      </w:r>
      <w:r>
        <w:rPr>
          <w:rFonts w:asciiTheme="majorHAnsi" w:hAnsiTheme="majorHAnsi" w:cstheme="majorHAnsi"/>
          <w:sz w:val="24"/>
          <w:szCs w:val="24"/>
          <w:lang w:val="ro-RO"/>
        </w:rPr>
        <w:t>prumuturilor externe</w:t>
      </w:r>
      <w:r w:rsidR="00C45AA7">
        <w:rPr>
          <w:rFonts w:asciiTheme="majorHAnsi" w:hAnsiTheme="majorHAnsi" w:cstheme="majorHAnsi"/>
          <w:sz w:val="24"/>
          <w:szCs w:val="24"/>
          <w:lang w:val="ro-RO"/>
        </w:rPr>
        <w:t xml:space="preserve"> este determinat de</w:t>
      </w:r>
      <w:r>
        <w:rPr>
          <w:rFonts w:asciiTheme="majorHAnsi" w:hAnsiTheme="majorHAnsi" w:cstheme="majorHAnsi"/>
          <w:sz w:val="24"/>
          <w:szCs w:val="24"/>
          <w:lang w:val="ro-RO"/>
        </w:rPr>
        <w:t xml:space="preserve"> </w:t>
      </w:r>
      <w:r w:rsidRPr="008C4F3C">
        <w:rPr>
          <w:rFonts w:asciiTheme="majorHAnsi" w:hAnsiTheme="majorHAnsi" w:cstheme="majorHAnsi"/>
          <w:sz w:val="24"/>
          <w:szCs w:val="24"/>
          <w:lang w:val="ro-RO"/>
        </w:rPr>
        <w:t xml:space="preserve"> nerespectarea de către </w:t>
      </w:r>
      <w:r>
        <w:rPr>
          <w:rFonts w:asciiTheme="majorHAnsi" w:hAnsiTheme="majorHAnsi" w:cstheme="majorHAnsi"/>
          <w:sz w:val="24"/>
          <w:szCs w:val="24"/>
          <w:lang w:val="ro-RO"/>
        </w:rPr>
        <w:t>beneficiarii împrumuturilor</w:t>
      </w:r>
      <w:r w:rsidRPr="008C4F3C">
        <w:rPr>
          <w:rFonts w:asciiTheme="majorHAnsi" w:hAnsiTheme="majorHAnsi" w:cstheme="majorHAnsi"/>
          <w:sz w:val="24"/>
          <w:szCs w:val="24"/>
          <w:lang w:val="ro-RO"/>
        </w:rPr>
        <w:t xml:space="preserve"> a termenului de implementare, principala cauză fiind neîndeplinirea în termen a precondițiilor de debursare prevă</w:t>
      </w:r>
      <w:r>
        <w:rPr>
          <w:rFonts w:asciiTheme="majorHAnsi" w:hAnsiTheme="majorHAnsi" w:cstheme="majorHAnsi"/>
          <w:sz w:val="24"/>
          <w:szCs w:val="24"/>
          <w:lang w:val="ro-RO"/>
        </w:rPr>
        <w:t>zute în</w:t>
      </w:r>
      <w:r w:rsidR="00FA5FDC">
        <w:rPr>
          <w:rFonts w:asciiTheme="majorHAnsi" w:hAnsiTheme="majorHAnsi" w:cstheme="majorHAnsi"/>
          <w:sz w:val="24"/>
          <w:szCs w:val="24"/>
          <w:lang w:val="ro-RO"/>
        </w:rPr>
        <w:t xml:space="preserve"> contractele de împrumut. Totodată</w:t>
      </w:r>
      <w:r>
        <w:rPr>
          <w:rFonts w:asciiTheme="majorHAnsi" w:hAnsiTheme="majorHAnsi" w:cstheme="majorHAnsi"/>
          <w:sz w:val="24"/>
          <w:szCs w:val="24"/>
          <w:lang w:val="ro-RO"/>
        </w:rPr>
        <w:t xml:space="preserve">, nivelul redus de debursare a unor împrumuturi impune costuri suplimentare pentru bugetul de stat, din comisioanele achitate pentru </w:t>
      </w:r>
      <w:proofErr w:type="spellStart"/>
      <w:r>
        <w:rPr>
          <w:rFonts w:asciiTheme="majorHAnsi" w:hAnsiTheme="majorHAnsi" w:cstheme="majorHAnsi"/>
          <w:sz w:val="24"/>
          <w:szCs w:val="24"/>
          <w:lang w:val="ro-RO"/>
        </w:rPr>
        <w:t>nedebursare</w:t>
      </w:r>
      <w:proofErr w:type="spellEnd"/>
      <w:r>
        <w:rPr>
          <w:rFonts w:asciiTheme="majorHAnsi" w:hAnsiTheme="majorHAnsi" w:cstheme="majorHAnsi"/>
          <w:sz w:val="24"/>
          <w:szCs w:val="24"/>
          <w:lang w:val="ro-RO"/>
        </w:rPr>
        <w:t xml:space="preserve">. </w:t>
      </w:r>
    </w:p>
    <w:p w14:paraId="2D7A21BF" w14:textId="14DD021B" w:rsidR="00BF4E4C" w:rsidRDefault="00BF4E4C" w:rsidP="00BF4E4C">
      <w:pPr>
        <w:tabs>
          <w:tab w:val="left" w:pos="567"/>
          <w:tab w:val="left" w:pos="709"/>
        </w:tabs>
        <w:spacing w:after="0" w:line="276" w:lineRule="auto"/>
        <w:jc w:val="both"/>
        <w:rPr>
          <w:rFonts w:asciiTheme="majorHAnsi" w:hAnsiTheme="majorHAnsi" w:cstheme="majorHAnsi"/>
          <w:sz w:val="24"/>
          <w:szCs w:val="24"/>
          <w:lang w:val="ro-RO"/>
        </w:rPr>
      </w:pPr>
      <w:r w:rsidRPr="00406372">
        <w:rPr>
          <w:rFonts w:asciiTheme="majorHAnsi" w:hAnsiTheme="majorHAnsi" w:cstheme="majorHAnsi"/>
          <w:b/>
          <w:i/>
          <w:sz w:val="24"/>
          <w:szCs w:val="24"/>
          <w:lang w:val="ro-RO"/>
        </w:rPr>
        <w:tab/>
      </w:r>
      <w:r w:rsidRPr="00406372">
        <w:rPr>
          <w:rFonts w:asciiTheme="majorHAnsi" w:hAnsiTheme="majorHAnsi" w:cstheme="majorHAnsi"/>
          <w:sz w:val="24"/>
          <w:szCs w:val="24"/>
          <w:lang w:val="ro-RO"/>
        </w:rPr>
        <w:t xml:space="preserve">Cheltuielile totale destinate </w:t>
      </w:r>
      <w:r w:rsidRPr="00406372">
        <w:rPr>
          <w:rFonts w:asciiTheme="majorHAnsi" w:hAnsiTheme="majorHAnsi" w:cstheme="majorHAnsi"/>
          <w:b/>
          <w:sz w:val="24"/>
          <w:szCs w:val="24"/>
          <w:lang w:val="ro-RO"/>
        </w:rPr>
        <w:t>deservirii datoriei de stat</w:t>
      </w:r>
      <w:r w:rsidRPr="00FA5FDC">
        <w:rPr>
          <w:rFonts w:asciiTheme="majorHAnsi" w:hAnsiTheme="majorHAnsi" w:cstheme="majorHAnsi"/>
          <w:b/>
          <w:sz w:val="24"/>
          <w:szCs w:val="24"/>
          <w:lang w:val="ro-RO"/>
        </w:rPr>
        <w:t xml:space="preserve"> în anul 2018 au constituit 15820,7 </w:t>
      </w:r>
      <w:proofErr w:type="spellStart"/>
      <w:r w:rsidRPr="00FA5FDC">
        <w:rPr>
          <w:rFonts w:asciiTheme="majorHAnsi" w:hAnsiTheme="majorHAnsi" w:cstheme="majorHAnsi"/>
          <w:b/>
          <w:sz w:val="24"/>
          <w:szCs w:val="24"/>
          <w:lang w:val="ro-RO"/>
        </w:rPr>
        <w:t>mil.MDL</w:t>
      </w:r>
      <w:proofErr w:type="spellEnd"/>
      <w:r w:rsidRPr="00FA5FDC">
        <w:rPr>
          <w:rFonts w:asciiTheme="majorHAnsi" w:hAnsiTheme="majorHAnsi" w:cstheme="majorHAnsi"/>
          <w:b/>
          <w:sz w:val="24"/>
          <w:szCs w:val="24"/>
          <w:lang w:val="ro-RO"/>
        </w:rPr>
        <w:t xml:space="preserve">, </w:t>
      </w:r>
      <w:r w:rsidRPr="00C45AA7">
        <w:rPr>
          <w:rFonts w:asciiTheme="majorHAnsi" w:hAnsiTheme="majorHAnsi" w:cstheme="majorHAnsi"/>
          <w:sz w:val="24"/>
          <w:szCs w:val="24"/>
          <w:lang w:val="ro-RO"/>
        </w:rPr>
        <w:t xml:space="preserve">comparativ cu anul precedent, </w:t>
      </w:r>
      <w:r w:rsidR="00D02D70" w:rsidRPr="00C45AA7">
        <w:rPr>
          <w:rFonts w:asciiTheme="majorHAnsi" w:hAnsiTheme="majorHAnsi" w:cstheme="majorHAnsi"/>
          <w:sz w:val="24"/>
          <w:szCs w:val="24"/>
          <w:lang w:val="ro-RO"/>
        </w:rPr>
        <w:t>fiind</w:t>
      </w:r>
      <w:r w:rsidRPr="00C45AA7">
        <w:rPr>
          <w:rFonts w:asciiTheme="majorHAnsi" w:hAnsiTheme="majorHAnsi" w:cstheme="majorHAnsi"/>
          <w:sz w:val="24"/>
          <w:szCs w:val="24"/>
          <w:lang w:val="ro-RO"/>
        </w:rPr>
        <w:t xml:space="preserve"> redus</w:t>
      </w:r>
      <w:r w:rsidR="00D02D70" w:rsidRPr="00C45AA7">
        <w:rPr>
          <w:rFonts w:asciiTheme="majorHAnsi" w:hAnsiTheme="majorHAnsi" w:cstheme="majorHAnsi"/>
          <w:sz w:val="24"/>
          <w:szCs w:val="24"/>
          <w:lang w:val="ro-RO"/>
        </w:rPr>
        <w:t>e</w:t>
      </w:r>
      <w:r w:rsidRPr="00C45AA7">
        <w:rPr>
          <w:rFonts w:asciiTheme="majorHAnsi" w:hAnsiTheme="majorHAnsi" w:cstheme="majorHAnsi"/>
          <w:sz w:val="24"/>
          <w:szCs w:val="24"/>
          <w:lang w:val="ro-RO"/>
        </w:rPr>
        <w:t xml:space="preserve"> cu 4532</w:t>
      </w:r>
      <w:r>
        <w:rPr>
          <w:rFonts w:asciiTheme="majorHAnsi" w:hAnsiTheme="majorHAnsi" w:cstheme="majorHAnsi"/>
          <w:sz w:val="24"/>
          <w:szCs w:val="24"/>
          <w:lang w:val="ro-RO"/>
        </w:rPr>
        <w:t>,9</w:t>
      </w:r>
      <w:r w:rsidRPr="00406372">
        <w:rPr>
          <w:rFonts w:asciiTheme="majorHAnsi" w:hAnsiTheme="majorHAnsi" w:cstheme="majorHAnsi"/>
          <w:sz w:val="24"/>
          <w:szCs w:val="24"/>
          <w:lang w:val="ro-RO"/>
        </w:rPr>
        <w:t xml:space="preserve"> </w:t>
      </w:r>
      <w:proofErr w:type="spellStart"/>
      <w:r w:rsidRPr="00406372">
        <w:rPr>
          <w:rFonts w:asciiTheme="majorHAnsi" w:hAnsiTheme="majorHAnsi" w:cstheme="majorHAnsi"/>
          <w:sz w:val="24"/>
          <w:szCs w:val="24"/>
          <w:lang w:val="ro-RO"/>
        </w:rPr>
        <w:t>mil.MDL</w:t>
      </w:r>
      <w:proofErr w:type="spellEnd"/>
      <w:r w:rsidRPr="00406372">
        <w:rPr>
          <w:rFonts w:asciiTheme="majorHAnsi" w:hAnsiTheme="majorHAnsi" w:cstheme="majorHAnsi"/>
          <w:sz w:val="24"/>
          <w:szCs w:val="24"/>
          <w:lang w:val="ro-RO"/>
        </w:rPr>
        <w:t>. Din totalul plăților destina</w:t>
      </w:r>
      <w:r>
        <w:rPr>
          <w:rFonts w:asciiTheme="majorHAnsi" w:hAnsiTheme="majorHAnsi" w:cstheme="majorHAnsi"/>
          <w:sz w:val="24"/>
          <w:szCs w:val="24"/>
          <w:lang w:val="ro-RO"/>
        </w:rPr>
        <w:t>te deservirii datoriei de stat</w:t>
      </w:r>
      <w:r w:rsidRPr="00406372">
        <w:rPr>
          <w:rFonts w:asciiTheme="majorHAnsi" w:hAnsiTheme="majorHAnsi" w:cstheme="majorHAnsi"/>
          <w:sz w:val="24"/>
          <w:szCs w:val="24"/>
          <w:lang w:val="ro-RO"/>
        </w:rPr>
        <w:t xml:space="preserve">, </w:t>
      </w:r>
      <w:r w:rsidRPr="0052221C">
        <w:rPr>
          <w:rFonts w:asciiTheme="majorHAnsi" w:hAnsiTheme="majorHAnsi" w:cstheme="majorHAnsi"/>
          <w:sz w:val="24"/>
          <w:szCs w:val="24"/>
          <w:lang w:val="ro-RO"/>
        </w:rPr>
        <w:t xml:space="preserve">pentru achitarea sumei principale au fost direcționate </w:t>
      </w:r>
      <w:r>
        <w:rPr>
          <w:rFonts w:asciiTheme="majorHAnsi" w:hAnsiTheme="majorHAnsi" w:cstheme="majorHAnsi"/>
          <w:sz w:val="24"/>
          <w:szCs w:val="24"/>
          <w:lang w:val="ro-RO"/>
        </w:rPr>
        <w:t>14315,</w:t>
      </w:r>
      <w:r w:rsidR="004E1933">
        <w:rPr>
          <w:rFonts w:asciiTheme="majorHAnsi" w:hAnsiTheme="majorHAnsi" w:cstheme="majorHAnsi"/>
          <w:sz w:val="24"/>
          <w:szCs w:val="24"/>
          <w:lang w:val="ro-RO"/>
        </w:rPr>
        <w:t xml:space="preserve">8 </w:t>
      </w:r>
      <w:proofErr w:type="spellStart"/>
      <w:r>
        <w:rPr>
          <w:rFonts w:asciiTheme="majorHAnsi" w:hAnsiTheme="majorHAnsi" w:cstheme="majorHAnsi"/>
          <w:sz w:val="24"/>
          <w:szCs w:val="24"/>
          <w:lang w:val="ro-RO"/>
        </w:rPr>
        <w:t>mil</w:t>
      </w:r>
      <w:r w:rsidRPr="0052221C">
        <w:rPr>
          <w:rFonts w:asciiTheme="majorHAnsi" w:hAnsiTheme="majorHAnsi" w:cstheme="majorHAnsi"/>
          <w:sz w:val="24"/>
          <w:szCs w:val="24"/>
          <w:lang w:val="ro-RO"/>
        </w:rPr>
        <w:t>.MDL</w:t>
      </w:r>
      <w:proofErr w:type="spellEnd"/>
      <w:r w:rsidRPr="0052221C">
        <w:rPr>
          <w:rFonts w:asciiTheme="majorHAnsi" w:hAnsiTheme="majorHAnsi" w:cstheme="majorHAnsi"/>
          <w:sz w:val="24"/>
          <w:szCs w:val="24"/>
          <w:lang w:val="ro-RO"/>
        </w:rPr>
        <w:t>, iar pentru achitar</w:t>
      </w:r>
      <w:r>
        <w:rPr>
          <w:rFonts w:asciiTheme="majorHAnsi" w:hAnsiTheme="majorHAnsi" w:cstheme="majorHAnsi"/>
          <w:sz w:val="24"/>
          <w:szCs w:val="24"/>
          <w:lang w:val="ro-RO"/>
        </w:rPr>
        <w:t xml:space="preserve">ea ratelor de dobândă – 1504,8 </w:t>
      </w:r>
      <w:proofErr w:type="spellStart"/>
      <w:r>
        <w:rPr>
          <w:rFonts w:asciiTheme="majorHAnsi" w:hAnsiTheme="majorHAnsi" w:cstheme="majorHAnsi"/>
          <w:sz w:val="24"/>
          <w:szCs w:val="24"/>
          <w:lang w:val="ro-RO"/>
        </w:rPr>
        <w:t>mil</w:t>
      </w:r>
      <w:r w:rsidRPr="0052221C">
        <w:rPr>
          <w:rFonts w:asciiTheme="majorHAnsi" w:hAnsiTheme="majorHAnsi" w:cstheme="majorHAnsi"/>
          <w:sz w:val="24"/>
          <w:szCs w:val="24"/>
          <w:lang w:val="ro-RO"/>
        </w:rPr>
        <w:t>.MDL</w:t>
      </w:r>
      <w:proofErr w:type="spellEnd"/>
      <w:r w:rsidRPr="0052221C">
        <w:rPr>
          <w:rFonts w:asciiTheme="majorHAnsi" w:hAnsiTheme="majorHAnsi" w:cstheme="majorHAnsi"/>
          <w:sz w:val="24"/>
          <w:szCs w:val="24"/>
          <w:lang w:val="ro-RO"/>
        </w:rPr>
        <w:t>. Astfel, pentru deservirea</w:t>
      </w:r>
      <w:r w:rsidRPr="0052221C">
        <w:rPr>
          <w:rFonts w:asciiTheme="majorHAnsi" w:hAnsiTheme="majorHAnsi" w:cstheme="majorHAnsi"/>
          <w:b/>
          <w:sz w:val="24"/>
          <w:szCs w:val="24"/>
          <w:lang w:val="ro-RO"/>
        </w:rPr>
        <w:t xml:space="preserve"> </w:t>
      </w:r>
      <w:r w:rsidRPr="0052221C">
        <w:rPr>
          <w:rFonts w:asciiTheme="majorHAnsi" w:hAnsiTheme="majorHAnsi" w:cstheme="majorHAnsi"/>
          <w:sz w:val="24"/>
          <w:szCs w:val="24"/>
          <w:lang w:val="ro-RO"/>
        </w:rPr>
        <w:t>datoriei de stat interne</w:t>
      </w:r>
      <w:r w:rsidRPr="0052221C">
        <w:rPr>
          <w:rFonts w:asciiTheme="majorHAnsi" w:hAnsiTheme="majorHAnsi" w:cstheme="majorHAnsi"/>
          <w:b/>
          <w:sz w:val="24"/>
          <w:szCs w:val="24"/>
          <w:lang w:val="ro-RO"/>
        </w:rPr>
        <w:t xml:space="preserve"> </w:t>
      </w:r>
      <w:r w:rsidRPr="0052221C">
        <w:rPr>
          <w:rFonts w:asciiTheme="majorHAnsi" w:hAnsiTheme="majorHAnsi" w:cstheme="majorHAnsi"/>
          <w:sz w:val="24"/>
          <w:szCs w:val="24"/>
          <w:lang w:val="ro-RO"/>
        </w:rPr>
        <w:t xml:space="preserve">au fost utilizate </w:t>
      </w:r>
      <w:r>
        <w:rPr>
          <w:rFonts w:asciiTheme="majorHAnsi" w:hAnsiTheme="majorHAnsi" w:cstheme="majorHAnsi"/>
          <w:sz w:val="24"/>
          <w:szCs w:val="24"/>
          <w:lang w:val="ro-RO"/>
        </w:rPr>
        <w:t>13567,</w:t>
      </w:r>
      <w:r w:rsidR="004E1933">
        <w:rPr>
          <w:rFonts w:asciiTheme="majorHAnsi" w:hAnsiTheme="majorHAnsi" w:cstheme="majorHAnsi"/>
          <w:sz w:val="24"/>
          <w:szCs w:val="24"/>
          <w:lang w:val="ro-RO"/>
        </w:rPr>
        <w:t>7</w:t>
      </w:r>
      <w:r w:rsidR="004E1933" w:rsidRPr="0052221C">
        <w:rPr>
          <w:rFonts w:asciiTheme="majorHAnsi" w:hAnsiTheme="majorHAnsi" w:cstheme="majorHAnsi"/>
          <w:sz w:val="24"/>
          <w:szCs w:val="24"/>
          <w:lang w:val="ro-RO"/>
        </w:rPr>
        <w:t xml:space="preserve"> </w:t>
      </w:r>
      <w:proofErr w:type="spellStart"/>
      <w:r w:rsidRPr="0052221C">
        <w:rPr>
          <w:rFonts w:asciiTheme="majorHAnsi" w:hAnsiTheme="majorHAnsi" w:cstheme="majorHAnsi"/>
          <w:sz w:val="24"/>
          <w:szCs w:val="24"/>
          <w:lang w:val="ro-RO"/>
        </w:rPr>
        <w:t>mil.MDL</w:t>
      </w:r>
      <w:proofErr w:type="spellEnd"/>
      <w:r w:rsidRPr="0052221C">
        <w:rPr>
          <w:rFonts w:asciiTheme="majorHAnsi" w:hAnsiTheme="majorHAnsi" w:cstheme="majorHAnsi"/>
          <w:sz w:val="24"/>
          <w:szCs w:val="24"/>
          <w:lang w:val="ro-RO"/>
        </w:rPr>
        <w:t>, iar pentru deservirea</w:t>
      </w:r>
      <w:r>
        <w:rPr>
          <w:rFonts w:asciiTheme="majorHAnsi" w:hAnsiTheme="majorHAnsi" w:cstheme="majorHAnsi"/>
          <w:sz w:val="24"/>
          <w:szCs w:val="24"/>
          <w:lang w:val="ro-RO"/>
        </w:rPr>
        <w:t xml:space="preserve"> datoriei de stat externe – 134,5</w:t>
      </w:r>
      <w:r w:rsidRPr="0052221C">
        <w:rPr>
          <w:rFonts w:asciiTheme="majorHAnsi" w:hAnsiTheme="majorHAnsi" w:cstheme="majorHAnsi"/>
          <w:sz w:val="24"/>
          <w:szCs w:val="24"/>
          <w:lang w:val="ro-RO"/>
        </w:rPr>
        <w:t xml:space="preserve"> </w:t>
      </w:r>
      <w:proofErr w:type="spellStart"/>
      <w:r w:rsidRPr="0052221C">
        <w:rPr>
          <w:rFonts w:asciiTheme="majorHAnsi" w:hAnsiTheme="majorHAnsi" w:cstheme="majorHAnsi"/>
          <w:sz w:val="24"/>
          <w:szCs w:val="24"/>
          <w:lang w:val="ro-RO"/>
        </w:rPr>
        <w:t>mil.dol.SUA</w:t>
      </w:r>
      <w:proofErr w:type="spellEnd"/>
      <w:r w:rsidRPr="0052221C">
        <w:rPr>
          <w:rFonts w:asciiTheme="majorHAnsi" w:hAnsiTheme="majorHAnsi" w:cstheme="majorHAnsi"/>
          <w:sz w:val="24"/>
          <w:szCs w:val="24"/>
          <w:lang w:val="ro-RO"/>
        </w:rPr>
        <w:t xml:space="preserve"> (echivalentul a </w:t>
      </w:r>
      <w:r>
        <w:rPr>
          <w:rFonts w:asciiTheme="majorHAnsi" w:hAnsiTheme="majorHAnsi" w:cstheme="majorHAnsi"/>
          <w:sz w:val="24"/>
          <w:szCs w:val="24"/>
          <w:lang w:val="ro-RO"/>
        </w:rPr>
        <w:t>2252,9</w:t>
      </w:r>
      <w:r w:rsidRPr="0052221C">
        <w:rPr>
          <w:rFonts w:asciiTheme="majorHAnsi" w:hAnsiTheme="majorHAnsi" w:cstheme="majorHAnsi"/>
          <w:sz w:val="24"/>
          <w:szCs w:val="24"/>
          <w:lang w:val="ro-RO"/>
        </w:rPr>
        <w:t xml:space="preserve"> </w:t>
      </w:r>
      <w:proofErr w:type="spellStart"/>
      <w:r w:rsidRPr="0052221C">
        <w:rPr>
          <w:rFonts w:asciiTheme="majorHAnsi" w:hAnsiTheme="majorHAnsi" w:cstheme="majorHAnsi"/>
          <w:sz w:val="24"/>
          <w:szCs w:val="24"/>
          <w:lang w:val="ro-RO"/>
        </w:rPr>
        <w:t>mil.MDL</w:t>
      </w:r>
      <w:proofErr w:type="spellEnd"/>
      <w:r w:rsidRPr="0052221C">
        <w:rPr>
          <w:rFonts w:asciiTheme="majorHAnsi" w:hAnsiTheme="majorHAnsi" w:cstheme="majorHAnsi"/>
          <w:sz w:val="24"/>
          <w:szCs w:val="24"/>
          <w:lang w:val="ro-RO"/>
        </w:rPr>
        <w:t xml:space="preserve">). </w:t>
      </w:r>
    </w:p>
    <w:p w14:paraId="416D5C4D" w14:textId="7DA67C34" w:rsidR="00BF4E4C" w:rsidRDefault="00BF4E4C" w:rsidP="00BF4E4C">
      <w:pPr>
        <w:shd w:val="clear" w:color="auto" w:fill="FFFFFF"/>
        <w:spacing w:after="0" w:line="276" w:lineRule="auto"/>
        <w:ind w:firstLine="720"/>
        <w:jc w:val="both"/>
        <w:rPr>
          <w:rFonts w:asciiTheme="majorHAnsi" w:hAnsiTheme="majorHAnsi" w:cstheme="majorHAnsi"/>
          <w:sz w:val="24"/>
          <w:szCs w:val="24"/>
          <w:lang w:val="ro-RO"/>
        </w:rPr>
      </w:pPr>
      <w:r>
        <w:rPr>
          <w:rFonts w:asciiTheme="majorHAnsi" w:hAnsiTheme="majorHAnsi" w:cstheme="majorHAnsi"/>
          <w:sz w:val="24"/>
          <w:szCs w:val="24"/>
          <w:lang w:val="ro-RO"/>
        </w:rPr>
        <w:t xml:space="preserve">La situația din 31.12.2018, soldul </w:t>
      </w:r>
      <w:r w:rsidRPr="00656A7C">
        <w:rPr>
          <w:rFonts w:asciiTheme="majorHAnsi" w:hAnsiTheme="majorHAnsi" w:cstheme="majorHAnsi"/>
          <w:b/>
          <w:sz w:val="24"/>
          <w:szCs w:val="24"/>
          <w:lang w:val="ro-RO"/>
        </w:rPr>
        <w:t>garanțiilor de stat</w:t>
      </w:r>
      <w:r>
        <w:rPr>
          <w:rFonts w:asciiTheme="majorHAnsi" w:hAnsiTheme="majorHAnsi" w:cstheme="majorHAnsi"/>
          <w:sz w:val="24"/>
          <w:szCs w:val="24"/>
          <w:lang w:val="ro-RO"/>
        </w:rPr>
        <w:t xml:space="preserve"> </w:t>
      </w:r>
      <w:r w:rsidRPr="00FA5FDC">
        <w:rPr>
          <w:rFonts w:asciiTheme="majorHAnsi" w:hAnsiTheme="majorHAnsi" w:cstheme="majorHAnsi"/>
          <w:b/>
          <w:sz w:val="24"/>
          <w:szCs w:val="24"/>
          <w:lang w:val="ro-RO"/>
        </w:rPr>
        <w:t xml:space="preserve">a constituit 258,3 </w:t>
      </w:r>
      <w:proofErr w:type="spellStart"/>
      <w:r w:rsidRPr="00FA5FDC">
        <w:rPr>
          <w:rFonts w:asciiTheme="majorHAnsi" w:hAnsiTheme="majorHAnsi" w:cstheme="majorHAnsi"/>
          <w:b/>
          <w:sz w:val="24"/>
          <w:szCs w:val="24"/>
          <w:lang w:val="ro-RO"/>
        </w:rPr>
        <w:t>mil.MDL</w:t>
      </w:r>
      <w:proofErr w:type="spellEnd"/>
      <w:r>
        <w:rPr>
          <w:rFonts w:asciiTheme="majorHAnsi" w:hAnsiTheme="majorHAnsi" w:cstheme="majorHAnsi"/>
          <w:sz w:val="24"/>
          <w:szCs w:val="24"/>
          <w:lang w:val="ro-RO"/>
        </w:rPr>
        <w:t xml:space="preserve">, acestea fiind emise în anul 2018 pentru garantarea creditelor ipotecare destinate procurării locuințelor în cadrul </w:t>
      </w:r>
      <w:r w:rsidRPr="007C1935">
        <w:rPr>
          <w:rFonts w:asciiTheme="majorHAnsi" w:hAnsiTheme="majorHAnsi" w:cstheme="majorHAnsi"/>
          <w:sz w:val="24"/>
          <w:szCs w:val="24"/>
          <w:lang w:val="ro-RO"/>
        </w:rPr>
        <w:t xml:space="preserve">Programului de </w:t>
      </w:r>
      <w:r w:rsidR="007C1935" w:rsidRPr="00FA5323">
        <w:rPr>
          <w:rFonts w:asciiTheme="majorHAnsi" w:hAnsiTheme="majorHAnsi" w:cstheme="majorHAnsi"/>
          <w:sz w:val="24"/>
          <w:szCs w:val="24"/>
          <w:lang w:val="ro-RO"/>
        </w:rPr>
        <w:t>s</w:t>
      </w:r>
      <w:r w:rsidRPr="007C1935">
        <w:rPr>
          <w:rFonts w:asciiTheme="majorHAnsi" w:hAnsiTheme="majorHAnsi" w:cstheme="majorHAnsi"/>
          <w:sz w:val="24"/>
          <w:szCs w:val="24"/>
          <w:lang w:val="ro-RO"/>
        </w:rPr>
        <w:t>tat</w:t>
      </w:r>
      <w:r>
        <w:rPr>
          <w:rFonts w:asciiTheme="majorHAnsi" w:hAnsiTheme="majorHAnsi" w:cstheme="majorHAnsi"/>
          <w:sz w:val="24"/>
          <w:szCs w:val="24"/>
          <w:lang w:val="ro-RO"/>
        </w:rPr>
        <w:t xml:space="preserve"> „Prima casă”.</w:t>
      </w:r>
    </w:p>
    <w:p w14:paraId="1B7ACD7E" w14:textId="1BF019AC" w:rsidR="00BF4E4C" w:rsidRPr="003626CF" w:rsidRDefault="00BF4E4C" w:rsidP="00BF4E4C">
      <w:pPr>
        <w:shd w:val="clear" w:color="auto" w:fill="FFFFFF"/>
        <w:spacing w:after="0" w:line="276" w:lineRule="auto"/>
        <w:ind w:firstLine="720"/>
        <w:jc w:val="both"/>
        <w:rPr>
          <w:rFonts w:asciiTheme="majorHAnsi" w:hAnsiTheme="majorHAnsi" w:cstheme="majorHAnsi"/>
          <w:sz w:val="24"/>
          <w:szCs w:val="24"/>
          <w:lang w:val="ro-RO"/>
        </w:rPr>
      </w:pPr>
      <w:r w:rsidRPr="00FA5FDC">
        <w:rPr>
          <w:rFonts w:asciiTheme="majorHAnsi" w:hAnsiTheme="majorHAnsi" w:cstheme="majorHAnsi"/>
          <w:b/>
          <w:sz w:val="24"/>
          <w:szCs w:val="24"/>
          <w:lang w:val="ro-RO"/>
        </w:rPr>
        <w:lastRenderedPageBreak/>
        <w:t>Soldul datoriei</w:t>
      </w:r>
      <w:r w:rsidRPr="00E66143">
        <w:rPr>
          <w:rFonts w:asciiTheme="majorHAnsi" w:hAnsiTheme="majorHAnsi" w:cstheme="majorHAnsi"/>
          <w:sz w:val="24"/>
          <w:szCs w:val="24"/>
          <w:lang w:val="ro-RO"/>
        </w:rPr>
        <w:t xml:space="preserve"> </w:t>
      </w:r>
      <w:r w:rsidRPr="00E66143">
        <w:rPr>
          <w:rFonts w:asciiTheme="majorHAnsi" w:hAnsiTheme="majorHAnsi" w:cstheme="majorHAnsi"/>
          <w:b/>
          <w:sz w:val="24"/>
          <w:szCs w:val="24"/>
          <w:lang w:val="ro-RO"/>
        </w:rPr>
        <w:t>debitorilor garantați</w:t>
      </w:r>
      <w:r w:rsidRPr="00E66143">
        <w:rPr>
          <w:rFonts w:asciiTheme="majorHAnsi" w:hAnsiTheme="majorHAnsi" w:cstheme="majorHAnsi"/>
          <w:sz w:val="24"/>
          <w:szCs w:val="24"/>
          <w:lang w:val="ro-RO"/>
        </w:rPr>
        <w:t xml:space="preserve"> față de MF, </w:t>
      </w:r>
      <w:r w:rsidRPr="00C45AA7">
        <w:rPr>
          <w:rFonts w:asciiTheme="majorHAnsi" w:hAnsiTheme="majorHAnsi" w:cstheme="majorHAnsi"/>
          <w:sz w:val="24"/>
          <w:szCs w:val="24"/>
          <w:lang w:val="ro-RO"/>
        </w:rPr>
        <w:t>formată</w:t>
      </w:r>
      <w:r w:rsidRPr="00E66143">
        <w:rPr>
          <w:rFonts w:asciiTheme="majorHAnsi" w:hAnsiTheme="majorHAnsi" w:cstheme="majorHAnsi"/>
          <w:sz w:val="24"/>
          <w:szCs w:val="24"/>
          <w:lang w:val="ro-RO"/>
        </w:rPr>
        <w:t xml:space="preserve"> în urma executării garanțiilor de stat pentru împrumuturile interne și externe, </w:t>
      </w:r>
      <w:r w:rsidRPr="00FA5FDC">
        <w:rPr>
          <w:rFonts w:asciiTheme="majorHAnsi" w:hAnsiTheme="majorHAnsi" w:cstheme="majorHAnsi"/>
          <w:b/>
          <w:sz w:val="24"/>
          <w:szCs w:val="24"/>
          <w:lang w:val="ro-RO"/>
        </w:rPr>
        <w:t xml:space="preserve">a constituit 426,2 </w:t>
      </w:r>
      <w:proofErr w:type="spellStart"/>
      <w:r w:rsidRPr="00FA5FDC">
        <w:rPr>
          <w:rFonts w:asciiTheme="majorHAnsi" w:hAnsiTheme="majorHAnsi" w:cstheme="majorHAnsi"/>
          <w:b/>
          <w:sz w:val="24"/>
          <w:szCs w:val="24"/>
          <w:lang w:val="ro-RO"/>
        </w:rPr>
        <w:t>mil.MDL</w:t>
      </w:r>
      <w:proofErr w:type="spellEnd"/>
      <w:r w:rsidR="00D60AB9">
        <w:rPr>
          <w:rFonts w:asciiTheme="majorHAnsi" w:hAnsiTheme="majorHAnsi" w:cstheme="majorHAnsi"/>
          <w:sz w:val="24"/>
          <w:szCs w:val="24"/>
          <w:lang w:val="ro-RO"/>
        </w:rPr>
        <w:t>.</w:t>
      </w:r>
      <w:r>
        <w:rPr>
          <w:rFonts w:asciiTheme="majorHAnsi" w:hAnsiTheme="majorHAnsi" w:cstheme="majorHAnsi"/>
          <w:sz w:val="24"/>
          <w:szCs w:val="24"/>
          <w:lang w:val="ro-RO"/>
        </w:rPr>
        <w:t xml:space="preserve"> </w:t>
      </w:r>
      <w:r w:rsidR="00D60AB9">
        <w:rPr>
          <w:rFonts w:asciiTheme="majorHAnsi" w:hAnsiTheme="majorHAnsi"/>
          <w:sz w:val="24"/>
          <w:lang w:val="ro-RO"/>
        </w:rPr>
        <w:t>C</w:t>
      </w:r>
      <w:r w:rsidRPr="003F0D63">
        <w:rPr>
          <w:rFonts w:asciiTheme="majorHAnsi" w:hAnsiTheme="majorHAnsi"/>
          <w:sz w:val="24"/>
          <w:lang w:val="ro-RO"/>
        </w:rPr>
        <w:t>omparativ cu sfârșitul anului 2017</w:t>
      </w:r>
      <w:r w:rsidR="002C6489">
        <w:rPr>
          <w:rFonts w:asciiTheme="majorHAnsi" w:hAnsiTheme="majorHAnsi"/>
          <w:sz w:val="24"/>
          <w:lang w:val="ro-RO"/>
        </w:rPr>
        <w:t>,</w:t>
      </w:r>
      <w:r w:rsidRPr="003F0D63">
        <w:rPr>
          <w:rFonts w:asciiTheme="majorHAnsi" w:hAnsiTheme="majorHAnsi"/>
          <w:sz w:val="24"/>
          <w:lang w:val="ro-RO"/>
        </w:rPr>
        <w:t xml:space="preserve"> soldul datoriilor beneficiarilor garantați </w:t>
      </w:r>
      <w:r w:rsidRPr="00C45AA7">
        <w:rPr>
          <w:rFonts w:asciiTheme="majorHAnsi" w:hAnsiTheme="majorHAnsi"/>
          <w:sz w:val="24"/>
          <w:lang w:val="ro-RO"/>
        </w:rPr>
        <w:t>raporta</w:t>
      </w:r>
      <w:r w:rsidR="002C6489" w:rsidRPr="00C45AA7">
        <w:rPr>
          <w:rFonts w:asciiTheme="majorHAnsi" w:hAnsiTheme="majorHAnsi"/>
          <w:sz w:val="24"/>
          <w:lang w:val="ro-RO"/>
        </w:rPr>
        <w:t>t</w:t>
      </w:r>
      <w:r w:rsidRPr="00C45AA7">
        <w:rPr>
          <w:rFonts w:asciiTheme="majorHAnsi" w:hAnsiTheme="majorHAnsi"/>
          <w:sz w:val="24"/>
          <w:lang w:val="ro-RO"/>
        </w:rPr>
        <w:t xml:space="preserve"> în </w:t>
      </w:r>
      <w:r w:rsidR="006E2EF6" w:rsidRPr="00C45AA7">
        <w:rPr>
          <w:rFonts w:asciiTheme="majorHAnsi" w:hAnsiTheme="majorHAnsi"/>
          <w:sz w:val="24"/>
          <w:lang w:val="ro-RO"/>
        </w:rPr>
        <w:t>MDL</w:t>
      </w:r>
      <w:r w:rsidRPr="00C45AA7">
        <w:rPr>
          <w:rFonts w:asciiTheme="majorHAnsi" w:hAnsiTheme="majorHAnsi"/>
          <w:sz w:val="24"/>
          <w:lang w:val="ro-RO"/>
        </w:rPr>
        <w:t xml:space="preserve"> și dolari SUA a rămas același,</w:t>
      </w:r>
      <w:r w:rsidRPr="00C45AA7">
        <w:rPr>
          <w:rFonts w:asciiTheme="majorHAnsi" w:hAnsiTheme="majorHAnsi" w:cstheme="majorHAnsi"/>
          <w:sz w:val="24"/>
          <w:szCs w:val="24"/>
          <w:lang w:val="ro-RO"/>
        </w:rPr>
        <w:t xml:space="preserve"> nefiind efectuate achitări, însă s-a majorat cu 0</w:t>
      </w:r>
      <w:r w:rsidR="002C6489" w:rsidRPr="00C45AA7">
        <w:rPr>
          <w:rFonts w:asciiTheme="majorHAnsi" w:hAnsiTheme="majorHAnsi" w:cstheme="majorHAnsi"/>
          <w:sz w:val="24"/>
          <w:szCs w:val="24"/>
          <w:lang w:val="ro-RO"/>
        </w:rPr>
        <w:t>,</w:t>
      </w:r>
      <w:r w:rsidRPr="00C45AA7">
        <w:rPr>
          <w:rFonts w:asciiTheme="majorHAnsi" w:hAnsiTheme="majorHAnsi" w:cstheme="majorHAnsi"/>
          <w:sz w:val="24"/>
          <w:szCs w:val="24"/>
          <w:lang w:val="ro-RO"/>
        </w:rPr>
        <w:t xml:space="preserve">4 </w:t>
      </w:r>
      <w:proofErr w:type="spellStart"/>
      <w:r w:rsidRPr="00C45AA7">
        <w:rPr>
          <w:rFonts w:asciiTheme="majorHAnsi" w:hAnsiTheme="majorHAnsi" w:cstheme="majorHAnsi"/>
          <w:sz w:val="24"/>
          <w:szCs w:val="24"/>
          <w:lang w:val="ro-RO"/>
        </w:rPr>
        <w:t>mil.euro</w:t>
      </w:r>
      <w:proofErr w:type="spellEnd"/>
      <w:r w:rsidRPr="00C45AA7">
        <w:rPr>
          <w:rFonts w:asciiTheme="majorHAnsi" w:hAnsiTheme="majorHAnsi" w:cstheme="majorHAnsi"/>
          <w:sz w:val="24"/>
          <w:szCs w:val="24"/>
          <w:lang w:val="ro-RO"/>
        </w:rPr>
        <w:t>. Totodată, soldul datoriilor beneficiarilor garantați raporta</w:t>
      </w:r>
      <w:r w:rsidR="002C6489" w:rsidRPr="00C45AA7">
        <w:rPr>
          <w:rFonts w:asciiTheme="majorHAnsi" w:hAnsiTheme="majorHAnsi" w:cstheme="majorHAnsi"/>
          <w:sz w:val="24"/>
          <w:szCs w:val="24"/>
          <w:lang w:val="ro-RO"/>
        </w:rPr>
        <w:t>t</w:t>
      </w:r>
      <w:r w:rsidRPr="00C45AA7">
        <w:rPr>
          <w:rFonts w:asciiTheme="majorHAnsi" w:hAnsiTheme="majorHAnsi" w:cstheme="majorHAnsi"/>
          <w:sz w:val="24"/>
          <w:szCs w:val="24"/>
          <w:lang w:val="ro-RO"/>
        </w:rPr>
        <w:t xml:space="preserve"> </w:t>
      </w:r>
      <w:r w:rsidR="00D60AB9" w:rsidRPr="00C45AA7">
        <w:rPr>
          <w:rFonts w:asciiTheme="majorHAnsi" w:hAnsiTheme="majorHAnsi" w:cstheme="majorHAnsi"/>
          <w:sz w:val="24"/>
          <w:szCs w:val="24"/>
          <w:lang w:val="ro-RO"/>
        </w:rPr>
        <w:t xml:space="preserve">în valută, </w:t>
      </w:r>
      <w:r w:rsidR="00505827" w:rsidRPr="00C45AA7">
        <w:rPr>
          <w:rFonts w:asciiTheme="majorHAnsi" w:hAnsiTheme="majorHAnsi" w:cstheme="majorHAnsi"/>
          <w:sz w:val="24"/>
          <w:szCs w:val="24"/>
          <w:lang w:val="ro-RO"/>
        </w:rPr>
        <w:t xml:space="preserve">recalculat </w:t>
      </w:r>
      <w:r w:rsidRPr="00C45AA7">
        <w:rPr>
          <w:rFonts w:asciiTheme="majorHAnsi" w:hAnsiTheme="majorHAnsi" w:cstheme="majorHAnsi"/>
          <w:sz w:val="24"/>
          <w:szCs w:val="24"/>
          <w:lang w:val="ro-RO"/>
        </w:rPr>
        <w:t xml:space="preserve">în </w:t>
      </w:r>
      <w:r w:rsidR="006E2EF6" w:rsidRPr="00C45AA7">
        <w:rPr>
          <w:rFonts w:asciiTheme="majorHAnsi" w:hAnsiTheme="majorHAnsi" w:cstheme="majorHAnsi"/>
          <w:sz w:val="24"/>
          <w:szCs w:val="24"/>
          <w:lang w:val="ro-RO"/>
        </w:rPr>
        <w:t>MDL</w:t>
      </w:r>
      <w:r w:rsidR="00403AA7" w:rsidRPr="00C45AA7">
        <w:rPr>
          <w:rFonts w:asciiTheme="majorHAnsi" w:hAnsiTheme="majorHAnsi" w:cstheme="majorHAnsi"/>
          <w:sz w:val="24"/>
          <w:szCs w:val="24"/>
          <w:lang w:val="ro-RO"/>
        </w:rPr>
        <w:t>,</w:t>
      </w:r>
      <w:r w:rsidRPr="00C45AA7">
        <w:rPr>
          <w:rFonts w:asciiTheme="majorHAnsi" w:hAnsiTheme="majorHAnsi" w:cstheme="majorHAnsi"/>
          <w:sz w:val="24"/>
          <w:szCs w:val="24"/>
          <w:lang w:val="ro-RO"/>
        </w:rPr>
        <w:t xml:space="preserve"> s-a micșo</w:t>
      </w:r>
      <w:r>
        <w:rPr>
          <w:rFonts w:asciiTheme="majorHAnsi" w:hAnsiTheme="majorHAnsi" w:cstheme="majorHAnsi"/>
          <w:sz w:val="24"/>
          <w:szCs w:val="24"/>
          <w:lang w:val="ro-RO"/>
        </w:rPr>
        <w:t>rat</w:t>
      </w:r>
      <w:r w:rsidRPr="00672AD5">
        <w:rPr>
          <w:rFonts w:asciiTheme="majorHAnsi" w:hAnsiTheme="majorHAnsi" w:cstheme="majorHAnsi"/>
          <w:sz w:val="24"/>
          <w:szCs w:val="24"/>
          <w:lang w:val="ro-RO"/>
        </w:rPr>
        <w:t xml:space="preserve"> față de </w:t>
      </w:r>
      <w:r>
        <w:rPr>
          <w:rFonts w:asciiTheme="majorHAnsi" w:hAnsiTheme="majorHAnsi" w:cstheme="majorHAnsi"/>
          <w:sz w:val="24"/>
          <w:szCs w:val="24"/>
          <w:lang w:val="ro-RO"/>
        </w:rPr>
        <w:t xml:space="preserve">sfârșitul </w:t>
      </w:r>
      <w:r w:rsidRPr="00672AD5">
        <w:rPr>
          <w:rFonts w:asciiTheme="majorHAnsi" w:hAnsiTheme="majorHAnsi" w:cstheme="majorHAnsi"/>
          <w:sz w:val="24"/>
          <w:szCs w:val="24"/>
          <w:lang w:val="ro-RO"/>
        </w:rPr>
        <w:t>anul</w:t>
      </w:r>
      <w:r>
        <w:rPr>
          <w:rFonts w:asciiTheme="majorHAnsi" w:hAnsiTheme="majorHAnsi" w:cstheme="majorHAnsi"/>
          <w:sz w:val="24"/>
          <w:szCs w:val="24"/>
          <w:lang w:val="ro-RO"/>
        </w:rPr>
        <w:t>ui</w:t>
      </w:r>
      <w:r w:rsidRPr="00672AD5">
        <w:rPr>
          <w:rFonts w:asciiTheme="majorHAnsi" w:hAnsiTheme="majorHAnsi" w:cstheme="majorHAnsi"/>
          <w:sz w:val="24"/>
          <w:szCs w:val="24"/>
          <w:lang w:val="ro-RO"/>
        </w:rPr>
        <w:t xml:space="preserve"> 2017 cu 9,</w:t>
      </w:r>
      <w:r w:rsidR="004E1933">
        <w:rPr>
          <w:rFonts w:asciiTheme="majorHAnsi" w:hAnsiTheme="majorHAnsi" w:cstheme="majorHAnsi"/>
          <w:sz w:val="24"/>
          <w:szCs w:val="24"/>
          <w:lang w:val="ro-RO"/>
        </w:rPr>
        <w:t>1</w:t>
      </w:r>
      <w:r w:rsidR="004E1933" w:rsidRPr="00672AD5">
        <w:rPr>
          <w:rFonts w:asciiTheme="majorHAnsi" w:hAnsiTheme="majorHAnsi" w:cstheme="majorHAnsi"/>
          <w:sz w:val="24"/>
          <w:szCs w:val="24"/>
          <w:lang w:val="ro-RO"/>
        </w:rPr>
        <w:t xml:space="preserve"> </w:t>
      </w:r>
      <w:proofErr w:type="spellStart"/>
      <w:r w:rsidRPr="00672AD5">
        <w:rPr>
          <w:rFonts w:asciiTheme="majorHAnsi" w:hAnsiTheme="majorHAnsi" w:cstheme="majorHAnsi"/>
          <w:sz w:val="24"/>
          <w:szCs w:val="24"/>
          <w:lang w:val="ro-RO"/>
        </w:rPr>
        <w:t>mil.MDL</w:t>
      </w:r>
      <w:proofErr w:type="spellEnd"/>
      <w:r>
        <w:rPr>
          <w:rFonts w:asciiTheme="majorHAnsi" w:hAnsiTheme="majorHAnsi" w:cstheme="majorHAnsi"/>
          <w:sz w:val="24"/>
          <w:szCs w:val="24"/>
          <w:lang w:val="ro-RO"/>
        </w:rPr>
        <w:t xml:space="preserve">, datorită cursului valutar. </w:t>
      </w:r>
      <w:r w:rsidRPr="00E66143">
        <w:rPr>
          <w:rFonts w:asciiTheme="majorHAnsi" w:hAnsiTheme="majorHAnsi" w:cstheme="majorHAnsi"/>
          <w:sz w:val="24"/>
          <w:szCs w:val="24"/>
          <w:lang w:val="ro-RO"/>
        </w:rPr>
        <w:t xml:space="preserve">În totalul datoriilor debitorilor garantați, datoriile pentru împrumuturile interne au constituit 2,4 </w:t>
      </w:r>
      <w:proofErr w:type="spellStart"/>
      <w:r w:rsidRPr="00E66143">
        <w:rPr>
          <w:rFonts w:asciiTheme="majorHAnsi" w:hAnsiTheme="majorHAnsi" w:cstheme="majorHAnsi"/>
          <w:sz w:val="24"/>
          <w:szCs w:val="24"/>
          <w:lang w:val="ro-RO"/>
        </w:rPr>
        <w:t>mil.MDL</w:t>
      </w:r>
      <w:proofErr w:type="spellEnd"/>
      <w:r w:rsidR="00403AA7">
        <w:rPr>
          <w:rFonts w:asciiTheme="majorHAnsi" w:hAnsiTheme="majorHAnsi" w:cstheme="majorHAnsi"/>
          <w:sz w:val="24"/>
          <w:szCs w:val="24"/>
          <w:lang w:val="ro-RO"/>
        </w:rPr>
        <w:t>, iar</w:t>
      </w:r>
      <w:r w:rsidRPr="00E66143">
        <w:rPr>
          <w:rFonts w:asciiTheme="majorHAnsi" w:hAnsiTheme="majorHAnsi" w:cstheme="majorHAnsi"/>
          <w:sz w:val="24"/>
          <w:szCs w:val="24"/>
          <w:lang w:val="ro-RO"/>
        </w:rPr>
        <w:t xml:space="preserve"> cele pent</w:t>
      </w:r>
      <w:r>
        <w:rPr>
          <w:rFonts w:asciiTheme="majorHAnsi" w:hAnsiTheme="majorHAnsi" w:cstheme="majorHAnsi"/>
          <w:sz w:val="24"/>
          <w:szCs w:val="24"/>
          <w:lang w:val="ro-RO"/>
        </w:rPr>
        <w:t xml:space="preserve">ru împrumuturile externe – </w:t>
      </w:r>
      <w:r w:rsidR="008C6272">
        <w:rPr>
          <w:rFonts w:asciiTheme="majorHAnsi" w:hAnsiTheme="majorHAnsi" w:cstheme="majorHAnsi"/>
          <w:sz w:val="24"/>
          <w:szCs w:val="24"/>
          <w:lang w:val="ro-RO"/>
        </w:rPr>
        <w:t>423</w:t>
      </w:r>
      <w:r>
        <w:rPr>
          <w:rFonts w:asciiTheme="majorHAnsi" w:hAnsiTheme="majorHAnsi" w:cstheme="majorHAnsi"/>
          <w:sz w:val="24"/>
          <w:szCs w:val="24"/>
          <w:lang w:val="ro-RO"/>
        </w:rPr>
        <w:t xml:space="preserve">,8 </w:t>
      </w:r>
      <w:proofErr w:type="spellStart"/>
      <w:r>
        <w:rPr>
          <w:rFonts w:asciiTheme="majorHAnsi" w:hAnsiTheme="majorHAnsi" w:cstheme="majorHAnsi"/>
          <w:sz w:val="24"/>
          <w:szCs w:val="24"/>
          <w:lang w:val="ro-RO"/>
        </w:rPr>
        <w:t>mil.MDL</w:t>
      </w:r>
      <w:proofErr w:type="spellEnd"/>
      <w:r>
        <w:rPr>
          <w:rFonts w:asciiTheme="majorHAnsi" w:hAnsiTheme="majorHAnsi" w:cstheme="majorHAnsi"/>
          <w:sz w:val="24"/>
          <w:szCs w:val="24"/>
          <w:lang w:val="ro-RO"/>
        </w:rPr>
        <w:t>, fiind în totalitate cu termenul de achitare expirat.</w:t>
      </w:r>
      <w:r w:rsidRPr="00E66143">
        <w:rPr>
          <w:rFonts w:asciiTheme="majorHAnsi" w:hAnsiTheme="majorHAnsi" w:cstheme="majorHAnsi"/>
          <w:sz w:val="24"/>
          <w:szCs w:val="24"/>
          <w:lang w:val="ro-RO"/>
        </w:rPr>
        <w:t xml:space="preserve"> </w:t>
      </w:r>
    </w:p>
    <w:p w14:paraId="512A143E" w14:textId="409DA8C9" w:rsidR="00BF4E4C" w:rsidRPr="00D23C4B" w:rsidRDefault="00BF4E4C" w:rsidP="00BF4E4C">
      <w:pPr>
        <w:spacing w:after="0" w:line="276" w:lineRule="auto"/>
        <w:ind w:firstLine="720"/>
        <w:jc w:val="both"/>
        <w:rPr>
          <w:rFonts w:asciiTheme="majorHAnsi" w:hAnsiTheme="majorHAnsi" w:cstheme="majorHAnsi"/>
          <w:sz w:val="24"/>
          <w:szCs w:val="24"/>
          <w:shd w:val="clear" w:color="auto" w:fill="FFFFFF"/>
          <w:lang w:val="ro-RO"/>
        </w:rPr>
      </w:pPr>
      <w:r w:rsidRPr="00D23C4B">
        <w:rPr>
          <w:rFonts w:asciiTheme="majorHAnsi" w:hAnsiTheme="majorHAnsi" w:cstheme="majorHAnsi"/>
          <w:b/>
          <w:sz w:val="24"/>
          <w:szCs w:val="24"/>
          <w:lang w:val="ro-RO"/>
        </w:rPr>
        <w:t xml:space="preserve"> </w:t>
      </w:r>
      <w:r>
        <w:rPr>
          <w:rFonts w:asciiTheme="majorHAnsi" w:hAnsiTheme="majorHAnsi" w:cstheme="majorHAnsi"/>
          <w:sz w:val="24"/>
          <w:szCs w:val="24"/>
          <w:lang w:val="ro-RO"/>
        </w:rPr>
        <w:t>În anul 2018</w:t>
      </w:r>
      <w:r w:rsidRPr="00D23C4B">
        <w:rPr>
          <w:rFonts w:asciiTheme="majorHAnsi" w:hAnsiTheme="majorHAnsi" w:cstheme="majorHAnsi"/>
          <w:sz w:val="24"/>
          <w:szCs w:val="24"/>
          <w:lang w:val="ro-RO"/>
        </w:rPr>
        <w:t xml:space="preserve"> s-a înregistrat o </w:t>
      </w:r>
      <w:r>
        <w:rPr>
          <w:rFonts w:asciiTheme="majorHAnsi" w:hAnsiTheme="majorHAnsi" w:cstheme="majorHAnsi"/>
          <w:sz w:val="24"/>
          <w:szCs w:val="24"/>
          <w:lang w:val="ro-RO"/>
        </w:rPr>
        <w:t>des</w:t>
      </w:r>
      <w:r w:rsidRPr="00D23C4B">
        <w:rPr>
          <w:rFonts w:asciiTheme="majorHAnsi" w:hAnsiTheme="majorHAnsi" w:cstheme="majorHAnsi"/>
          <w:sz w:val="24"/>
          <w:szCs w:val="24"/>
          <w:lang w:val="ro-RO"/>
        </w:rPr>
        <w:t xml:space="preserve">creștere a volumului mijloacelor financiare direcționate spre </w:t>
      </w:r>
      <w:r w:rsidRPr="00D23C4B">
        <w:rPr>
          <w:rFonts w:asciiTheme="majorHAnsi" w:hAnsiTheme="majorHAnsi" w:cstheme="majorHAnsi"/>
          <w:b/>
          <w:sz w:val="24"/>
          <w:szCs w:val="24"/>
          <w:lang w:val="ro-RO"/>
        </w:rPr>
        <w:t>recreditarea de stat,</w:t>
      </w:r>
      <w:r>
        <w:rPr>
          <w:rFonts w:asciiTheme="majorHAnsi" w:hAnsiTheme="majorHAnsi" w:cstheme="majorHAnsi"/>
          <w:b/>
          <w:sz w:val="24"/>
          <w:szCs w:val="24"/>
          <w:lang w:val="ro-RO"/>
        </w:rPr>
        <w:t xml:space="preserve"> </w:t>
      </w:r>
      <w:r>
        <w:rPr>
          <w:rFonts w:asciiTheme="majorHAnsi" w:hAnsiTheme="majorHAnsi" w:cstheme="majorHAnsi"/>
          <w:sz w:val="24"/>
          <w:szCs w:val="24"/>
          <w:lang w:val="ro-RO"/>
        </w:rPr>
        <w:t>datorită cererii reduse de recreditare din parte</w:t>
      </w:r>
      <w:r w:rsidR="00FA5FDC">
        <w:rPr>
          <w:rFonts w:asciiTheme="majorHAnsi" w:hAnsiTheme="majorHAnsi" w:cstheme="majorHAnsi"/>
          <w:sz w:val="24"/>
          <w:szCs w:val="24"/>
          <w:lang w:val="ro-RO"/>
        </w:rPr>
        <w:t>a</w:t>
      </w:r>
      <w:r>
        <w:rPr>
          <w:rFonts w:asciiTheme="majorHAnsi" w:hAnsiTheme="majorHAnsi" w:cstheme="majorHAnsi"/>
          <w:sz w:val="24"/>
          <w:szCs w:val="24"/>
          <w:lang w:val="ro-RO"/>
        </w:rPr>
        <w:t xml:space="preserve"> beneficiarilor în scopul</w:t>
      </w:r>
      <w:r w:rsidRPr="00D23C4B">
        <w:rPr>
          <w:rFonts w:asciiTheme="majorHAnsi" w:hAnsiTheme="majorHAnsi" w:cstheme="majorHAnsi"/>
          <w:sz w:val="24"/>
          <w:szCs w:val="24"/>
          <w:lang w:val="ro-RO"/>
        </w:rPr>
        <w:t xml:space="preserve"> implementării proiectelor finanțate din surse externe.</w:t>
      </w:r>
      <w:r w:rsidRPr="00D23C4B">
        <w:rPr>
          <w:rFonts w:asciiTheme="majorHAnsi" w:hAnsiTheme="majorHAnsi" w:cstheme="majorHAnsi"/>
          <w:sz w:val="24"/>
          <w:szCs w:val="24"/>
          <w:lang w:val="ro-RO" w:eastAsia="ru-RU"/>
        </w:rPr>
        <w:t xml:space="preserve"> Astfel, sumele </w:t>
      </w:r>
      <w:proofErr w:type="spellStart"/>
      <w:r w:rsidRPr="00D23C4B">
        <w:rPr>
          <w:rFonts w:asciiTheme="majorHAnsi" w:hAnsiTheme="majorHAnsi" w:cstheme="majorHAnsi"/>
          <w:sz w:val="24"/>
          <w:szCs w:val="24"/>
          <w:lang w:val="ro-RO" w:eastAsia="ru-RU"/>
        </w:rPr>
        <w:t>recreditate</w:t>
      </w:r>
      <w:proofErr w:type="spellEnd"/>
      <w:r w:rsidRPr="00D23C4B">
        <w:rPr>
          <w:rFonts w:asciiTheme="majorHAnsi" w:hAnsiTheme="majorHAnsi" w:cstheme="majorHAnsi"/>
          <w:sz w:val="24"/>
          <w:szCs w:val="24"/>
          <w:lang w:val="ro-RO" w:eastAsia="ru-RU"/>
        </w:rPr>
        <w:t xml:space="preserve"> prin intermediul MF au constituit cca </w:t>
      </w:r>
      <w:r>
        <w:rPr>
          <w:rFonts w:asciiTheme="majorHAnsi" w:hAnsiTheme="majorHAnsi" w:cstheme="majorHAnsi"/>
          <w:sz w:val="24"/>
          <w:szCs w:val="24"/>
          <w:lang w:val="ro-RO" w:eastAsia="ru-RU"/>
        </w:rPr>
        <w:t>403,7</w:t>
      </w:r>
      <w:r w:rsidRPr="00D23C4B">
        <w:rPr>
          <w:rFonts w:asciiTheme="majorHAnsi" w:hAnsiTheme="majorHAnsi" w:cstheme="majorHAnsi"/>
          <w:sz w:val="24"/>
          <w:szCs w:val="24"/>
          <w:lang w:val="ro-RO" w:eastAsia="ru-RU"/>
        </w:rPr>
        <w:t xml:space="preserve"> </w:t>
      </w:r>
      <w:proofErr w:type="spellStart"/>
      <w:r w:rsidRPr="00D23C4B">
        <w:rPr>
          <w:rFonts w:asciiTheme="majorHAnsi" w:hAnsiTheme="majorHAnsi" w:cstheme="majorHAnsi"/>
          <w:sz w:val="24"/>
          <w:szCs w:val="24"/>
          <w:lang w:val="ro-RO" w:eastAsia="ru-RU"/>
        </w:rPr>
        <w:t>mil.MDL</w:t>
      </w:r>
      <w:proofErr w:type="spellEnd"/>
      <w:r>
        <w:rPr>
          <w:rFonts w:asciiTheme="majorHAnsi" w:hAnsiTheme="majorHAnsi" w:cstheme="majorHAnsi"/>
          <w:sz w:val="24"/>
          <w:szCs w:val="24"/>
          <w:lang w:val="ro-RO" w:eastAsia="ru-RU"/>
        </w:rPr>
        <w:t xml:space="preserve"> (6,7 </w:t>
      </w:r>
      <w:proofErr w:type="spellStart"/>
      <w:r>
        <w:rPr>
          <w:rFonts w:asciiTheme="majorHAnsi" w:hAnsiTheme="majorHAnsi" w:cstheme="majorHAnsi"/>
          <w:sz w:val="24"/>
          <w:szCs w:val="24"/>
          <w:lang w:val="ro-RO" w:eastAsia="ru-RU"/>
        </w:rPr>
        <w:t>mil.dol.SUA</w:t>
      </w:r>
      <w:proofErr w:type="spellEnd"/>
      <w:r>
        <w:rPr>
          <w:rFonts w:asciiTheme="majorHAnsi" w:hAnsiTheme="majorHAnsi" w:cstheme="majorHAnsi"/>
          <w:sz w:val="24"/>
          <w:szCs w:val="24"/>
          <w:lang w:val="ro-RO" w:eastAsia="ru-RU"/>
        </w:rPr>
        <w:t>, 14,8</w:t>
      </w:r>
      <w:r w:rsidRPr="00D23C4B">
        <w:rPr>
          <w:rFonts w:asciiTheme="majorHAnsi" w:hAnsiTheme="majorHAnsi" w:cstheme="majorHAnsi"/>
          <w:sz w:val="24"/>
          <w:szCs w:val="24"/>
          <w:lang w:val="ro-RO" w:eastAsia="ru-RU"/>
        </w:rPr>
        <w:t xml:space="preserve"> </w:t>
      </w:r>
      <w:proofErr w:type="spellStart"/>
      <w:r w:rsidRPr="00D23C4B">
        <w:rPr>
          <w:rFonts w:asciiTheme="majorHAnsi" w:hAnsiTheme="majorHAnsi" w:cstheme="majorHAnsi"/>
          <w:sz w:val="24"/>
          <w:szCs w:val="24"/>
          <w:lang w:val="ro-RO" w:eastAsia="ru-RU"/>
        </w:rPr>
        <w:t>mil.euro</w:t>
      </w:r>
      <w:proofErr w:type="spellEnd"/>
      <w:r w:rsidRPr="00D23C4B">
        <w:rPr>
          <w:rFonts w:asciiTheme="majorHAnsi" w:hAnsiTheme="majorHAnsi" w:cstheme="majorHAnsi"/>
          <w:sz w:val="24"/>
          <w:szCs w:val="24"/>
          <w:lang w:val="ro-RO" w:eastAsia="ru-RU"/>
        </w:rPr>
        <w:t xml:space="preserve">), prin DLC – cca </w:t>
      </w:r>
      <w:r>
        <w:rPr>
          <w:rFonts w:asciiTheme="majorHAnsi" w:hAnsiTheme="majorHAnsi" w:cstheme="majorHAnsi"/>
          <w:sz w:val="24"/>
          <w:szCs w:val="24"/>
          <w:lang w:val="ro-RO" w:eastAsia="ru-RU"/>
        </w:rPr>
        <w:t>425,8</w:t>
      </w:r>
      <w:r w:rsidRPr="00D23C4B">
        <w:rPr>
          <w:rFonts w:asciiTheme="majorHAnsi" w:hAnsiTheme="majorHAnsi" w:cstheme="majorHAnsi"/>
          <w:sz w:val="24"/>
          <w:szCs w:val="24"/>
          <w:lang w:val="ro-RO" w:eastAsia="ru-RU"/>
        </w:rPr>
        <w:t xml:space="preserve"> </w:t>
      </w:r>
      <w:proofErr w:type="spellStart"/>
      <w:r w:rsidRPr="00D23C4B">
        <w:rPr>
          <w:rFonts w:asciiTheme="majorHAnsi" w:hAnsiTheme="majorHAnsi" w:cstheme="majorHAnsi"/>
          <w:sz w:val="24"/>
          <w:szCs w:val="24"/>
          <w:lang w:val="ro-RO" w:eastAsia="ru-RU"/>
        </w:rPr>
        <w:t>mil.MDL</w:t>
      </w:r>
      <w:proofErr w:type="spellEnd"/>
      <w:r>
        <w:rPr>
          <w:rFonts w:asciiTheme="majorHAnsi" w:hAnsiTheme="majorHAnsi" w:cstheme="majorHAnsi"/>
          <w:sz w:val="24"/>
          <w:szCs w:val="24"/>
          <w:lang w:val="ro-RO" w:eastAsia="ru-RU"/>
        </w:rPr>
        <w:t xml:space="preserve"> (181,9 </w:t>
      </w:r>
      <w:proofErr w:type="spellStart"/>
      <w:r w:rsidRPr="00D23C4B">
        <w:rPr>
          <w:rFonts w:asciiTheme="majorHAnsi" w:hAnsiTheme="majorHAnsi" w:cstheme="majorHAnsi"/>
          <w:sz w:val="24"/>
          <w:szCs w:val="24"/>
          <w:lang w:val="ro-RO" w:eastAsia="ru-RU"/>
        </w:rPr>
        <w:t>mil.MDL</w:t>
      </w:r>
      <w:proofErr w:type="spellEnd"/>
      <w:r>
        <w:rPr>
          <w:rFonts w:asciiTheme="majorHAnsi" w:hAnsiTheme="majorHAnsi" w:cstheme="majorHAnsi"/>
          <w:sz w:val="24"/>
          <w:szCs w:val="24"/>
          <w:lang w:val="ro-RO" w:eastAsia="ru-RU"/>
        </w:rPr>
        <w:t xml:space="preserve">, 0,09 </w:t>
      </w:r>
      <w:proofErr w:type="spellStart"/>
      <w:r>
        <w:rPr>
          <w:rFonts w:asciiTheme="majorHAnsi" w:hAnsiTheme="majorHAnsi" w:cstheme="majorHAnsi"/>
          <w:sz w:val="24"/>
          <w:szCs w:val="24"/>
          <w:lang w:val="ro-RO" w:eastAsia="ru-RU"/>
        </w:rPr>
        <w:t>mil.dol.SUA</w:t>
      </w:r>
      <w:proofErr w:type="spellEnd"/>
      <w:r>
        <w:rPr>
          <w:rFonts w:asciiTheme="majorHAnsi" w:hAnsiTheme="majorHAnsi" w:cstheme="majorHAnsi"/>
          <w:sz w:val="24"/>
          <w:szCs w:val="24"/>
          <w:lang w:val="ro-RO" w:eastAsia="ru-RU"/>
        </w:rPr>
        <w:t xml:space="preserve"> și 12,4</w:t>
      </w:r>
      <w:r w:rsidRPr="00D23C4B">
        <w:rPr>
          <w:rFonts w:asciiTheme="majorHAnsi" w:hAnsiTheme="majorHAnsi" w:cstheme="majorHAnsi"/>
          <w:sz w:val="24"/>
          <w:szCs w:val="24"/>
          <w:lang w:val="ro-RO" w:eastAsia="ru-RU"/>
        </w:rPr>
        <w:t xml:space="preserve"> </w:t>
      </w:r>
      <w:proofErr w:type="spellStart"/>
      <w:r w:rsidRPr="00D23C4B">
        <w:rPr>
          <w:rFonts w:asciiTheme="majorHAnsi" w:hAnsiTheme="majorHAnsi" w:cstheme="majorHAnsi"/>
          <w:sz w:val="24"/>
          <w:szCs w:val="24"/>
          <w:lang w:val="ro-RO" w:eastAsia="ru-RU"/>
        </w:rPr>
        <w:t>mil.euro</w:t>
      </w:r>
      <w:proofErr w:type="spellEnd"/>
      <w:r w:rsidR="009565FF">
        <w:rPr>
          <w:rStyle w:val="ae"/>
          <w:rFonts w:asciiTheme="majorHAnsi" w:hAnsiTheme="majorHAnsi"/>
          <w:sz w:val="24"/>
          <w:szCs w:val="24"/>
          <w:lang w:val="ro-RO" w:eastAsia="ru-RU"/>
        </w:rPr>
        <w:footnoteReference w:id="4"/>
      </w:r>
      <w:r w:rsidRPr="00D23C4B">
        <w:rPr>
          <w:rFonts w:asciiTheme="majorHAnsi" w:hAnsiTheme="majorHAnsi" w:cstheme="majorHAnsi"/>
          <w:sz w:val="24"/>
          <w:szCs w:val="24"/>
          <w:lang w:val="ro-RO" w:eastAsia="ru-RU"/>
        </w:rPr>
        <w:t xml:space="preserve">), și prin UCIP FIDA – cca </w:t>
      </w:r>
      <w:r>
        <w:rPr>
          <w:rFonts w:asciiTheme="majorHAnsi" w:hAnsiTheme="majorHAnsi" w:cstheme="majorHAnsi"/>
          <w:sz w:val="24"/>
          <w:szCs w:val="24"/>
          <w:lang w:val="ro-RO" w:eastAsia="ru-RU"/>
        </w:rPr>
        <w:t>37,2</w:t>
      </w:r>
      <w:r w:rsidRPr="00D23C4B">
        <w:rPr>
          <w:rFonts w:asciiTheme="majorHAnsi" w:hAnsiTheme="majorHAnsi" w:cstheme="majorHAnsi"/>
          <w:sz w:val="24"/>
          <w:szCs w:val="24"/>
          <w:lang w:val="ro-RO" w:eastAsia="ru-RU"/>
        </w:rPr>
        <w:t xml:space="preserve"> </w:t>
      </w:r>
      <w:proofErr w:type="spellStart"/>
      <w:r w:rsidRPr="00D23C4B">
        <w:rPr>
          <w:rFonts w:asciiTheme="majorHAnsi" w:hAnsiTheme="majorHAnsi" w:cstheme="majorHAnsi"/>
          <w:sz w:val="24"/>
          <w:szCs w:val="24"/>
          <w:lang w:val="ro-RO" w:eastAsia="ru-RU"/>
        </w:rPr>
        <w:t>mil.MDL</w:t>
      </w:r>
      <w:proofErr w:type="spellEnd"/>
      <w:r w:rsidRPr="00D23C4B">
        <w:rPr>
          <w:rFonts w:asciiTheme="majorHAnsi" w:hAnsiTheme="majorHAnsi" w:cstheme="majorHAnsi"/>
          <w:sz w:val="24"/>
          <w:szCs w:val="24"/>
          <w:lang w:val="ro-RO" w:eastAsia="ru-RU"/>
        </w:rPr>
        <w:t xml:space="preserve"> (</w:t>
      </w:r>
      <w:r>
        <w:rPr>
          <w:rFonts w:asciiTheme="majorHAnsi" w:hAnsiTheme="majorHAnsi" w:cstheme="majorHAnsi"/>
          <w:sz w:val="24"/>
          <w:szCs w:val="24"/>
          <w:lang w:val="ro-RO" w:eastAsia="ru-RU"/>
        </w:rPr>
        <w:t>35,8</w:t>
      </w:r>
      <w:r w:rsidRPr="00D23C4B">
        <w:rPr>
          <w:rFonts w:asciiTheme="majorHAnsi" w:hAnsiTheme="majorHAnsi" w:cstheme="majorHAnsi"/>
          <w:sz w:val="24"/>
          <w:szCs w:val="24"/>
          <w:lang w:val="ro-RO" w:eastAsia="ru-RU"/>
        </w:rPr>
        <w:t xml:space="preserve"> </w:t>
      </w:r>
      <w:proofErr w:type="spellStart"/>
      <w:r w:rsidRPr="00D23C4B">
        <w:rPr>
          <w:rFonts w:asciiTheme="majorHAnsi" w:hAnsiTheme="majorHAnsi" w:cstheme="majorHAnsi"/>
          <w:sz w:val="24"/>
          <w:szCs w:val="24"/>
          <w:lang w:val="ro-RO" w:eastAsia="ru-RU"/>
        </w:rPr>
        <w:t>mil.MDL</w:t>
      </w:r>
      <w:proofErr w:type="spellEnd"/>
      <w:r w:rsidRPr="00D23C4B">
        <w:rPr>
          <w:rFonts w:asciiTheme="majorHAnsi" w:hAnsiTheme="majorHAnsi" w:cstheme="majorHAnsi"/>
          <w:sz w:val="24"/>
          <w:szCs w:val="24"/>
          <w:lang w:val="ro-RO" w:eastAsia="ru-RU"/>
        </w:rPr>
        <w:t xml:space="preserve"> și 0,1 </w:t>
      </w:r>
      <w:proofErr w:type="spellStart"/>
      <w:r w:rsidRPr="00D23C4B">
        <w:rPr>
          <w:rFonts w:asciiTheme="majorHAnsi" w:hAnsiTheme="majorHAnsi" w:cstheme="majorHAnsi"/>
          <w:sz w:val="24"/>
          <w:szCs w:val="24"/>
          <w:lang w:val="ro-RO" w:eastAsia="ru-RU"/>
        </w:rPr>
        <w:t>mil.euro</w:t>
      </w:r>
      <w:proofErr w:type="spellEnd"/>
      <w:r w:rsidRPr="00D23C4B">
        <w:rPr>
          <w:rFonts w:asciiTheme="majorHAnsi" w:hAnsiTheme="majorHAnsi" w:cstheme="majorHAnsi"/>
          <w:sz w:val="24"/>
          <w:szCs w:val="24"/>
          <w:lang w:val="ro-RO" w:eastAsia="ru-RU"/>
        </w:rPr>
        <w:t>).</w:t>
      </w:r>
      <w:r>
        <w:rPr>
          <w:rFonts w:asciiTheme="majorHAnsi" w:hAnsiTheme="majorHAnsi" w:cstheme="majorHAnsi"/>
          <w:sz w:val="24"/>
          <w:szCs w:val="24"/>
          <w:lang w:val="ro-RO"/>
        </w:rPr>
        <w:t xml:space="preserve"> La situația din 31.12.2018</w:t>
      </w:r>
      <w:r w:rsidRPr="00D23C4B">
        <w:rPr>
          <w:rFonts w:asciiTheme="majorHAnsi" w:hAnsiTheme="majorHAnsi" w:cstheme="majorHAnsi"/>
          <w:sz w:val="24"/>
          <w:szCs w:val="24"/>
          <w:lang w:val="ro-RO"/>
        </w:rPr>
        <w:t xml:space="preserve">, soldul </w:t>
      </w:r>
      <w:r w:rsidRPr="00E06A9C">
        <w:rPr>
          <w:rFonts w:asciiTheme="majorHAnsi" w:hAnsiTheme="majorHAnsi" w:cstheme="majorHAnsi"/>
          <w:b/>
          <w:sz w:val="24"/>
          <w:szCs w:val="24"/>
          <w:lang w:val="ro-RO"/>
        </w:rPr>
        <w:t xml:space="preserve">datoriilor beneficiarilor </w:t>
      </w:r>
      <w:proofErr w:type="spellStart"/>
      <w:r w:rsidRPr="00E06A9C">
        <w:rPr>
          <w:rFonts w:asciiTheme="majorHAnsi" w:hAnsiTheme="majorHAnsi" w:cstheme="majorHAnsi"/>
          <w:b/>
          <w:sz w:val="24"/>
          <w:szCs w:val="24"/>
          <w:lang w:val="ro-RO"/>
        </w:rPr>
        <w:t>recreditați</w:t>
      </w:r>
      <w:proofErr w:type="spellEnd"/>
      <w:r w:rsidRPr="00E06A9C">
        <w:rPr>
          <w:rFonts w:asciiTheme="majorHAnsi" w:hAnsiTheme="majorHAnsi" w:cstheme="majorHAnsi"/>
          <w:b/>
          <w:sz w:val="24"/>
          <w:szCs w:val="24"/>
          <w:lang w:val="ro-RO"/>
        </w:rPr>
        <w:t xml:space="preserve"> a</w:t>
      </w:r>
      <w:r w:rsidRPr="00D23C4B">
        <w:rPr>
          <w:rFonts w:asciiTheme="majorHAnsi" w:hAnsiTheme="majorHAnsi" w:cstheme="majorHAnsi"/>
          <w:sz w:val="24"/>
          <w:szCs w:val="24"/>
          <w:lang w:val="ro-RO"/>
        </w:rPr>
        <w:t xml:space="preserve"> constituit 1</w:t>
      </w:r>
      <w:r>
        <w:rPr>
          <w:rFonts w:asciiTheme="majorHAnsi" w:hAnsiTheme="majorHAnsi" w:cstheme="majorHAnsi"/>
          <w:sz w:val="24"/>
          <w:szCs w:val="24"/>
          <w:lang w:val="ro-RO"/>
        </w:rPr>
        <w:t xml:space="preserve">112,9 </w:t>
      </w:r>
      <w:proofErr w:type="spellStart"/>
      <w:r w:rsidRPr="00D23C4B">
        <w:rPr>
          <w:rFonts w:asciiTheme="majorHAnsi" w:hAnsiTheme="majorHAnsi" w:cstheme="majorHAnsi"/>
          <w:sz w:val="24"/>
          <w:szCs w:val="24"/>
          <w:lang w:val="ro-RO"/>
        </w:rPr>
        <w:t>mil.MDL</w:t>
      </w:r>
      <w:proofErr w:type="spellEnd"/>
      <w:r w:rsidRPr="00D23C4B">
        <w:rPr>
          <w:rFonts w:asciiTheme="majorHAnsi" w:hAnsiTheme="majorHAnsi" w:cstheme="majorHAnsi"/>
          <w:sz w:val="24"/>
          <w:szCs w:val="24"/>
          <w:lang w:val="ro-RO"/>
        </w:rPr>
        <w:t>, 8</w:t>
      </w:r>
      <w:r>
        <w:rPr>
          <w:rFonts w:asciiTheme="majorHAnsi" w:hAnsiTheme="majorHAnsi" w:cstheme="majorHAnsi"/>
          <w:sz w:val="24"/>
          <w:szCs w:val="24"/>
          <w:lang w:val="ro-RO"/>
        </w:rPr>
        <w:t xml:space="preserve">5,2 </w:t>
      </w:r>
      <w:proofErr w:type="spellStart"/>
      <w:r w:rsidRPr="00D23C4B">
        <w:rPr>
          <w:rFonts w:asciiTheme="majorHAnsi" w:hAnsiTheme="majorHAnsi" w:cstheme="majorHAnsi"/>
          <w:sz w:val="24"/>
          <w:szCs w:val="24"/>
          <w:lang w:val="ro-RO"/>
        </w:rPr>
        <w:t>mil.dol.SUA</w:t>
      </w:r>
      <w:proofErr w:type="spellEnd"/>
      <w:r w:rsidRPr="00D23C4B">
        <w:rPr>
          <w:rFonts w:asciiTheme="majorHAnsi" w:hAnsiTheme="majorHAnsi" w:cstheme="majorHAnsi"/>
          <w:sz w:val="24"/>
          <w:szCs w:val="24"/>
          <w:lang w:val="ro-RO"/>
        </w:rPr>
        <w:t xml:space="preserve">, </w:t>
      </w:r>
      <w:r>
        <w:rPr>
          <w:rFonts w:asciiTheme="majorHAnsi" w:hAnsiTheme="majorHAnsi" w:cstheme="majorHAnsi"/>
          <w:sz w:val="24"/>
          <w:szCs w:val="24"/>
          <w:lang w:val="ro-RO"/>
        </w:rPr>
        <w:t>87,6</w:t>
      </w:r>
      <w:r w:rsidRPr="00D23C4B">
        <w:rPr>
          <w:rFonts w:asciiTheme="majorHAnsi" w:hAnsiTheme="majorHAnsi" w:cstheme="majorHAnsi"/>
          <w:sz w:val="24"/>
          <w:szCs w:val="24"/>
          <w:lang w:val="ro-RO"/>
        </w:rPr>
        <w:t xml:space="preserve"> </w:t>
      </w:r>
      <w:proofErr w:type="spellStart"/>
      <w:r w:rsidRPr="00D23C4B">
        <w:rPr>
          <w:rFonts w:asciiTheme="majorHAnsi" w:hAnsiTheme="majorHAnsi" w:cstheme="majorHAnsi"/>
          <w:sz w:val="24"/>
          <w:szCs w:val="24"/>
          <w:lang w:val="ro-RO"/>
        </w:rPr>
        <w:t>mil.euro</w:t>
      </w:r>
      <w:proofErr w:type="spellEnd"/>
      <w:r w:rsidRPr="00D23C4B">
        <w:rPr>
          <w:rFonts w:asciiTheme="majorHAnsi" w:hAnsiTheme="majorHAnsi" w:cstheme="majorHAnsi"/>
          <w:sz w:val="24"/>
          <w:szCs w:val="24"/>
          <w:lang w:val="ro-RO"/>
        </w:rPr>
        <w:t xml:space="preserve"> și 896,9 </w:t>
      </w:r>
      <w:proofErr w:type="spellStart"/>
      <w:r w:rsidRPr="00D23C4B">
        <w:rPr>
          <w:rFonts w:asciiTheme="majorHAnsi" w:hAnsiTheme="majorHAnsi" w:cstheme="majorHAnsi"/>
          <w:sz w:val="24"/>
          <w:szCs w:val="24"/>
          <w:lang w:val="ro-RO"/>
        </w:rPr>
        <w:t>mil.yeni</w:t>
      </w:r>
      <w:proofErr w:type="spellEnd"/>
      <w:r w:rsidRPr="00D23C4B">
        <w:rPr>
          <w:rFonts w:asciiTheme="majorHAnsi" w:hAnsiTheme="majorHAnsi" w:cstheme="majorHAnsi"/>
          <w:sz w:val="24"/>
          <w:szCs w:val="24"/>
          <w:lang w:val="ro-RO"/>
        </w:rPr>
        <w:t xml:space="preserve"> japonezi (</w:t>
      </w:r>
      <w:r w:rsidRPr="00FA5FDC">
        <w:rPr>
          <w:rFonts w:asciiTheme="majorHAnsi" w:hAnsiTheme="majorHAnsi" w:cstheme="majorHAnsi"/>
          <w:b/>
          <w:sz w:val="24"/>
          <w:szCs w:val="24"/>
          <w:lang w:val="ro-RO"/>
        </w:rPr>
        <w:t xml:space="preserve">echivalentul a 4420,5 </w:t>
      </w:r>
      <w:proofErr w:type="spellStart"/>
      <w:r w:rsidRPr="00FA5FDC">
        <w:rPr>
          <w:rFonts w:asciiTheme="majorHAnsi" w:hAnsiTheme="majorHAnsi" w:cstheme="majorHAnsi"/>
          <w:b/>
          <w:sz w:val="24"/>
          <w:szCs w:val="24"/>
          <w:lang w:val="ro-RO"/>
        </w:rPr>
        <w:t>mil.MDL</w:t>
      </w:r>
      <w:proofErr w:type="spellEnd"/>
      <w:r w:rsidRPr="00D23C4B">
        <w:rPr>
          <w:rFonts w:asciiTheme="majorHAnsi" w:hAnsiTheme="majorHAnsi" w:cstheme="majorHAnsi"/>
          <w:sz w:val="24"/>
          <w:szCs w:val="24"/>
          <w:lang w:val="ro-RO"/>
        </w:rPr>
        <w:t>), micșorându-se față d</w:t>
      </w:r>
      <w:r>
        <w:rPr>
          <w:rFonts w:asciiTheme="majorHAnsi" w:hAnsiTheme="majorHAnsi" w:cstheme="majorHAnsi"/>
          <w:sz w:val="24"/>
          <w:szCs w:val="24"/>
          <w:lang w:val="ro-RO"/>
        </w:rPr>
        <w:t>e sfârșitul anului 2017</w:t>
      </w:r>
      <w:r w:rsidRPr="00D23C4B">
        <w:rPr>
          <w:rFonts w:asciiTheme="majorHAnsi" w:hAnsiTheme="majorHAnsi" w:cstheme="majorHAnsi"/>
          <w:sz w:val="24"/>
          <w:szCs w:val="24"/>
          <w:lang w:val="ro-RO"/>
        </w:rPr>
        <w:t xml:space="preserve"> cu </w:t>
      </w:r>
      <w:r w:rsidR="00A467EB">
        <w:rPr>
          <w:rFonts w:asciiTheme="majorHAnsi" w:hAnsiTheme="majorHAnsi" w:cstheme="majorHAnsi"/>
          <w:sz w:val="24"/>
          <w:szCs w:val="24"/>
          <w:lang w:val="ro-RO"/>
        </w:rPr>
        <w:t>255,3</w:t>
      </w:r>
      <w:r w:rsidRPr="00D23C4B">
        <w:rPr>
          <w:rFonts w:asciiTheme="majorHAnsi" w:hAnsiTheme="majorHAnsi" w:cstheme="majorHAnsi"/>
          <w:sz w:val="24"/>
          <w:szCs w:val="24"/>
          <w:lang w:val="ro-RO"/>
        </w:rPr>
        <w:t xml:space="preserve"> </w:t>
      </w:r>
      <w:proofErr w:type="spellStart"/>
      <w:r w:rsidRPr="00D23C4B">
        <w:rPr>
          <w:rFonts w:asciiTheme="majorHAnsi" w:hAnsiTheme="majorHAnsi" w:cstheme="majorHAnsi"/>
          <w:sz w:val="24"/>
          <w:szCs w:val="24"/>
          <w:lang w:val="ro-RO"/>
        </w:rPr>
        <w:t>mil.MDL</w:t>
      </w:r>
      <w:proofErr w:type="spellEnd"/>
      <w:r w:rsidRPr="00D23C4B">
        <w:rPr>
          <w:rFonts w:asciiTheme="majorHAnsi" w:hAnsiTheme="majorHAnsi" w:cstheme="majorHAnsi"/>
          <w:sz w:val="24"/>
          <w:szCs w:val="24"/>
          <w:lang w:val="ro-RO"/>
        </w:rPr>
        <w:t xml:space="preserve"> (-</w:t>
      </w:r>
      <w:r w:rsidR="00A467EB">
        <w:rPr>
          <w:rFonts w:asciiTheme="majorHAnsi" w:hAnsiTheme="majorHAnsi" w:cstheme="majorHAnsi"/>
          <w:sz w:val="24"/>
          <w:szCs w:val="24"/>
          <w:lang w:val="ro-RO"/>
        </w:rPr>
        <w:t>5,5</w:t>
      </w:r>
      <w:r w:rsidRPr="00D23C4B">
        <w:rPr>
          <w:rFonts w:asciiTheme="majorHAnsi" w:hAnsiTheme="majorHAnsi" w:cstheme="majorHAnsi"/>
          <w:sz w:val="24"/>
          <w:szCs w:val="24"/>
          <w:lang w:val="ro-RO"/>
        </w:rPr>
        <w:t xml:space="preserve">%), din care datorii cu termenul de achitare expirat </w:t>
      </w:r>
      <w:r>
        <w:rPr>
          <w:rFonts w:asciiTheme="majorHAnsi" w:hAnsiTheme="majorHAnsi" w:cstheme="majorHAnsi"/>
          <w:sz w:val="24"/>
          <w:szCs w:val="24"/>
          <w:lang w:val="ro-RO"/>
        </w:rPr>
        <w:t>–</w:t>
      </w:r>
      <w:r w:rsidRPr="00D23C4B">
        <w:rPr>
          <w:rFonts w:asciiTheme="majorHAnsi" w:hAnsiTheme="majorHAnsi" w:cstheme="majorHAnsi"/>
          <w:sz w:val="24"/>
          <w:szCs w:val="24"/>
          <w:lang w:val="ro-RO"/>
        </w:rPr>
        <w:t xml:space="preserve"> </w:t>
      </w:r>
      <w:r>
        <w:rPr>
          <w:rFonts w:asciiTheme="majorHAnsi" w:hAnsiTheme="majorHAnsi" w:cstheme="majorHAnsi"/>
          <w:sz w:val="24"/>
          <w:szCs w:val="24"/>
          <w:lang w:val="ro-RO"/>
        </w:rPr>
        <w:t>265,7</w:t>
      </w:r>
      <w:r w:rsidRPr="00D23C4B">
        <w:rPr>
          <w:rFonts w:asciiTheme="majorHAnsi" w:hAnsiTheme="majorHAnsi" w:cstheme="majorHAnsi"/>
          <w:sz w:val="24"/>
          <w:szCs w:val="24"/>
          <w:lang w:val="ro-RO"/>
        </w:rPr>
        <w:t xml:space="preserve"> </w:t>
      </w:r>
      <w:proofErr w:type="spellStart"/>
      <w:r w:rsidRPr="00D23C4B">
        <w:rPr>
          <w:rFonts w:asciiTheme="majorHAnsi" w:hAnsiTheme="majorHAnsi" w:cstheme="majorHAnsi"/>
          <w:sz w:val="24"/>
          <w:szCs w:val="24"/>
          <w:lang w:val="ro-RO"/>
        </w:rPr>
        <w:t>mil.MDL</w:t>
      </w:r>
      <w:proofErr w:type="spellEnd"/>
      <w:r>
        <w:rPr>
          <w:rFonts w:asciiTheme="majorHAnsi" w:hAnsiTheme="majorHAnsi" w:cstheme="majorHAnsi"/>
          <w:sz w:val="24"/>
          <w:szCs w:val="24"/>
          <w:lang w:val="ro-RO"/>
        </w:rPr>
        <w:t xml:space="preserve"> (6,0</w:t>
      </w:r>
      <w:r w:rsidRPr="00D23C4B">
        <w:rPr>
          <w:rFonts w:asciiTheme="majorHAnsi" w:hAnsiTheme="majorHAnsi" w:cstheme="majorHAnsi"/>
          <w:sz w:val="24"/>
          <w:szCs w:val="24"/>
          <w:lang w:val="ro-RO"/>
        </w:rPr>
        <w:t xml:space="preserve">% din suma datoriilor totale), </w:t>
      </w:r>
      <w:r w:rsidR="00403AA7">
        <w:rPr>
          <w:rFonts w:asciiTheme="majorHAnsi" w:hAnsiTheme="majorHAnsi" w:cstheme="majorHAnsi"/>
          <w:sz w:val="24"/>
          <w:szCs w:val="24"/>
          <w:lang w:val="ro-RO"/>
        </w:rPr>
        <w:t xml:space="preserve">și  </w:t>
      </w:r>
      <w:r w:rsidRPr="00D23C4B">
        <w:rPr>
          <w:rFonts w:asciiTheme="majorHAnsi" w:hAnsiTheme="majorHAnsi" w:cstheme="majorHAnsi"/>
          <w:sz w:val="24"/>
          <w:szCs w:val="24"/>
          <w:lang w:val="ro-RO"/>
        </w:rPr>
        <w:t>înregistrând,</w:t>
      </w:r>
      <w:r>
        <w:rPr>
          <w:rFonts w:asciiTheme="majorHAnsi" w:hAnsiTheme="majorHAnsi" w:cstheme="majorHAnsi"/>
          <w:sz w:val="24"/>
          <w:szCs w:val="24"/>
          <w:lang w:val="ro-RO"/>
        </w:rPr>
        <w:t xml:space="preserve"> față de anul 2017</w:t>
      </w:r>
      <w:r w:rsidRPr="00D23C4B">
        <w:rPr>
          <w:rFonts w:asciiTheme="majorHAnsi" w:hAnsiTheme="majorHAnsi" w:cstheme="majorHAnsi"/>
          <w:sz w:val="24"/>
          <w:szCs w:val="24"/>
          <w:lang w:val="ro-RO"/>
        </w:rPr>
        <w:t xml:space="preserve">, o diminuare cu </w:t>
      </w:r>
      <w:r w:rsidR="00A467EB">
        <w:rPr>
          <w:rFonts w:asciiTheme="majorHAnsi" w:hAnsiTheme="majorHAnsi" w:cstheme="majorHAnsi"/>
          <w:sz w:val="24"/>
          <w:szCs w:val="24"/>
          <w:lang w:val="ro-RO"/>
        </w:rPr>
        <w:t>47,1</w:t>
      </w:r>
      <w:r w:rsidRPr="00D23C4B">
        <w:rPr>
          <w:rFonts w:asciiTheme="majorHAnsi" w:hAnsiTheme="majorHAnsi" w:cstheme="majorHAnsi"/>
          <w:sz w:val="24"/>
          <w:szCs w:val="24"/>
          <w:lang w:val="ro-RO"/>
        </w:rPr>
        <w:t xml:space="preserve"> </w:t>
      </w:r>
      <w:proofErr w:type="spellStart"/>
      <w:r w:rsidRPr="00D23C4B">
        <w:rPr>
          <w:rFonts w:asciiTheme="majorHAnsi" w:hAnsiTheme="majorHAnsi" w:cstheme="majorHAnsi"/>
          <w:sz w:val="24"/>
          <w:szCs w:val="24"/>
          <w:lang w:val="ro-RO"/>
        </w:rPr>
        <w:t>mil.MDL</w:t>
      </w:r>
      <w:proofErr w:type="spellEnd"/>
      <w:r w:rsidRPr="00D23C4B">
        <w:rPr>
          <w:rFonts w:asciiTheme="majorHAnsi" w:hAnsiTheme="majorHAnsi" w:cstheme="majorHAnsi"/>
          <w:sz w:val="24"/>
          <w:szCs w:val="24"/>
          <w:lang w:val="ro-RO"/>
        </w:rPr>
        <w:t>.</w:t>
      </w:r>
    </w:p>
    <w:p w14:paraId="56577493" w14:textId="77777777" w:rsidR="001049AB" w:rsidRPr="00775266" w:rsidRDefault="001049AB" w:rsidP="00013156">
      <w:pPr>
        <w:spacing w:after="0" w:line="276" w:lineRule="auto"/>
        <w:ind w:firstLine="567"/>
        <w:jc w:val="both"/>
        <w:rPr>
          <w:rFonts w:asciiTheme="majorHAnsi" w:hAnsiTheme="majorHAnsi" w:cstheme="majorHAnsi"/>
          <w:sz w:val="28"/>
          <w:szCs w:val="28"/>
          <w:lang w:val="ro-RO"/>
        </w:rPr>
      </w:pPr>
    </w:p>
    <w:p w14:paraId="74201460" w14:textId="77777777" w:rsidR="001049AB" w:rsidRPr="00775266" w:rsidRDefault="001049AB" w:rsidP="0098323F">
      <w:pPr>
        <w:spacing w:after="0" w:line="276" w:lineRule="auto"/>
        <w:ind w:firstLine="567"/>
        <w:jc w:val="both"/>
        <w:rPr>
          <w:rFonts w:asciiTheme="majorHAnsi" w:hAnsiTheme="majorHAnsi" w:cstheme="majorHAnsi"/>
          <w:sz w:val="28"/>
          <w:szCs w:val="28"/>
          <w:lang w:val="ro-RO"/>
        </w:rPr>
      </w:pPr>
    </w:p>
    <w:p w14:paraId="0DBA9313" w14:textId="77777777" w:rsidR="001049AB" w:rsidRPr="00775266" w:rsidRDefault="001049AB" w:rsidP="00013156">
      <w:pPr>
        <w:spacing w:after="0" w:line="276" w:lineRule="auto"/>
        <w:jc w:val="both"/>
        <w:rPr>
          <w:rFonts w:asciiTheme="majorHAnsi" w:hAnsiTheme="majorHAnsi" w:cstheme="majorHAnsi"/>
          <w:sz w:val="28"/>
          <w:szCs w:val="28"/>
          <w:lang w:val="ro-RO"/>
        </w:rPr>
      </w:pPr>
    </w:p>
    <w:p w14:paraId="49A8FE78" w14:textId="77777777" w:rsidR="00013156" w:rsidRDefault="00013156">
      <w:pPr>
        <w:rPr>
          <w:rFonts w:asciiTheme="majorHAnsi" w:hAnsiTheme="majorHAnsi" w:cstheme="majorHAnsi"/>
          <w:b/>
          <w:sz w:val="28"/>
          <w:szCs w:val="28"/>
          <w:lang w:val="ro-RO" w:eastAsia="ru-RU"/>
        </w:rPr>
      </w:pPr>
      <w:bookmarkStart w:id="7" w:name="_Toc484003877"/>
      <w:bookmarkStart w:id="8" w:name="_Toc515442950"/>
      <w:r>
        <w:rPr>
          <w:rFonts w:asciiTheme="majorHAnsi" w:hAnsiTheme="majorHAnsi" w:cstheme="majorHAnsi"/>
          <w:b/>
          <w:sz w:val="28"/>
          <w:szCs w:val="28"/>
          <w:lang w:val="ro-RO"/>
        </w:rPr>
        <w:br w:type="page"/>
      </w:r>
    </w:p>
    <w:p w14:paraId="73370EC4" w14:textId="5CBDB191" w:rsidR="006E4771" w:rsidRPr="00775266" w:rsidRDefault="00754482" w:rsidP="00034599">
      <w:pPr>
        <w:pStyle w:val="1"/>
        <w:numPr>
          <w:ilvl w:val="0"/>
          <w:numId w:val="27"/>
        </w:numPr>
        <w:spacing w:after="240"/>
        <w:ind w:firstLine="1755"/>
        <w:rPr>
          <w:rFonts w:asciiTheme="majorHAnsi" w:hAnsiTheme="majorHAnsi" w:cstheme="majorHAnsi"/>
          <w:b/>
          <w:color w:val="auto"/>
          <w:sz w:val="28"/>
          <w:szCs w:val="28"/>
          <w:lang w:val="ro-RO"/>
        </w:rPr>
      </w:pPr>
      <w:bookmarkStart w:id="9" w:name="_Toc10106675"/>
      <w:bookmarkEnd w:id="7"/>
      <w:bookmarkEnd w:id="8"/>
      <w:r>
        <w:rPr>
          <w:rFonts w:asciiTheme="majorHAnsi" w:hAnsiTheme="majorHAnsi" w:cstheme="majorHAnsi"/>
          <w:b/>
          <w:color w:val="auto"/>
          <w:sz w:val="28"/>
          <w:szCs w:val="28"/>
          <w:lang w:val="ro-RO"/>
        </w:rPr>
        <w:lastRenderedPageBreak/>
        <w:t>PREZENTARE</w:t>
      </w:r>
      <w:r w:rsidR="00403AA7">
        <w:rPr>
          <w:rFonts w:asciiTheme="majorHAnsi" w:hAnsiTheme="majorHAnsi" w:cstheme="majorHAnsi"/>
          <w:b/>
          <w:color w:val="auto"/>
          <w:sz w:val="28"/>
          <w:szCs w:val="28"/>
          <w:lang w:val="ro-RO"/>
        </w:rPr>
        <w:t>A</w:t>
      </w:r>
      <w:r>
        <w:rPr>
          <w:rFonts w:asciiTheme="majorHAnsi" w:hAnsiTheme="majorHAnsi" w:cstheme="majorHAnsi"/>
          <w:b/>
          <w:color w:val="auto"/>
          <w:sz w:val="28"/>
          <w:szCs w:val="28"/>
          <w:lang w:val="ro-RO"/>
        </w:rPr>
        <w:t xml:space="preserve"> GENERALĂ</w:t>
      </w:r>
      <w:bookmarkEnd w:id="9"/>
    </w:p>
    <w:p w14:paraId="223E78DB" w14:textId="77777777" w:rsidR="00C644E0" w:rsidRPr="001360C9" w:rsidRDefault="00D46B58" w:rsidP="00C644E0">
      <w:pPr>
        <w:pStyle w:val="a6"/>
        <w:spacing w:line="276" w:lineRule="auto"/>
        <w:ind w:firstLine="720"/>
        <w:jc w:val="both"/>
        <w:rPr>
          <w:rFonts w:asciiTheme="majorHAnsi" w:hAnsiTheme="majorHAnsi" w:cstheme="majorHAnsi"/>
          <w:sz w:val="24"/>
          <w:szCs w:val="24"/>
          <w:lang w:val="ro-MD"/>
        </w:rPr>
      </w:pPr>
      <w:r w:rsidRPr="001360C9">
        <w:rPr>
          <w:rFonts w:asciiTheme="majorHAnsi" w:hAnsiTheme="majorHAnsi" w:cstheme="majorHAnsi"/>
          <w:sz w:val="24"/>
          <w:szCs w:val="24"/>
          <w:lang w:val="ro-MD"/>
        </w:rPr>
        <w:t>În prezent, datoria de stat</w:t>
      </w:r>
      <w:r w:rsidR="00183572" w:rsidRPr="001360C9">
        <w:rPr>
          <w:rFonts w:asciiTheme="majorHAnsi" w:hAnsiTheme="majorHAnsi" w:cstheme="majorHAnsi"/>
          <w:sz w:val="24"/>
          <w:szCs w:val="24"/>
          <w:lang w:val="ro-MD"/>
        </w:rPr>
        <w:t xml:space="preserve"> este una dintre cele mai importante și mai comp</w:t>
      </w:r>
      <w:r w:rsidR="00FA7256" w:rsidRPr="001360C9">
        <w:rPr>
          <w:rFonts w:asciiTheme="majorHAnsi" w:hAnsiTheme="majorHAnsi" w:cstheme="majorHAnsi"/>
          <w:sz w:val="24"/>
          <w:szCs w:val="24"/>
          <w:lang w:val="ro-MD"/>
        </w:rPr>
        <w:t>lexe probleme ale unei economii</w:t>
      </w:r>
      <w:r w:rsidR="00183572" w:rsidRPr="001360C9">
        <w:rPr>
          <w:rFonts w:asciiTheme="majorHAnsi" w:hAnsiTheme="majorHAnsi" w:cstheme="majorHAnsi"/>
          <w:sz w:val="24"/>
          <w:szCs w:val="24"/>
          <w:lang w:val="ro-MD"/>
        </w:rPr>
        <w:t xml:space="preserve"> cu care se poate confrunta economia globală. </w:t>
      </w:r>
    </w:p>
    <w:p w14:paraId="51AF2294" w14:textId="77777777" w:rsidR="00456DC5" w:rsidRPr="001360C9" w:rsidRDefault="00C644E0" w:rsidP="00C644E0">
      <w:pPr>
        <w:pStyle w:val="a6"/>
        <w:spacing w:line="276" w:lineRule="auto"/>
        <w:ind w:firstLine="720"/>
        <w:jc w:val="both"/>
        <w:rPr>
          <w:rFonts w:asciiTheme="majorHAnsi" w:hAnsiTheme="majorHAnsi" w:cstheme="majorHAnsi"/>
          <w:sz w:val="24"/>
          <w:szCs w:val="24"/>
          <w:lang w:val="ro-MD"/>
        </w:rPr>
      </w:pPr>
      <w:r w:rsidRPr="00C644E0">
        <w:rPr>
          <w:rFonts w:asciiTheme="majorHAnsi" w:hAnsiTheme="majorHAnsi" w:cstheme="majorHAnsi"/>
          <w:sz w:val="24"/>
          <w:szCs w:val="24"/>
          <w:lang w:val="ro-RO"/>
        </w:rPr>
        <w:t>Obiectivul</w:t>
      </w:r>
      <w:r w:rsidR="00456DC5" w:rsidRPr="00C644E0">
        <w:rPr>
          <w:rFonts w:asciiTheme="majorHAnsi" w:hAnsiTheme="majorHAnsi" w:cstheme="majorHAnsi"/>
          <w:sz w:val="24"/>
          <w:szCs w:val="24"/>
          <w:lang w:val="ro-RO"/>
        </w:rPr>
        <w:t xml:space="preserve"> managementului datoriei sectorului public, în special al datoriei de stat, este de a</w:t>
      </w:r>
      <w:r>
        <w:rPr>
          <w:rFonts w:asciiTheme="majorHAnsi" w:hAnsiTheme="majorHAnsi" w:cstheme="majorHAnsi"/>
          <w:sz w:val="24"/>
          <w:szCs w:val="24"/>
          <w:lang w:val="ro-RO"/>
        </w:rPr>
        <w:t xml:space="preserve"> satisface nevoile financiare ale statului prin furnizarea</w:t>
      </w:r>
      <w:r w:rsidR="00456DC5" w:rsidRPr="00C644E0">
        <w:rPr>
          <w:rFonts w:asciiTheme="majorHAnsi" w:hAnsiTheme="majorHAnsi" w:cstheme="majorHAnsi"/>
          <w:sz w:val="24"/>
          <w:szCs w:val="24"/>
          <w:lang w:val="ro-RO"/>
        </w:rPr>
        <w:t xml:space="preserve"> lichidități</w:t>
      </w:r>
      <w:r>
        <w:rPr>
          <w:rFonts w:asciiTheme="majorHAnsi" w:hAnsiTheme="majorHAnsi" w:cstheme="majorHAnsi"/>
          <w:sz w:val="24"/>
          <w:szCs w:val="24"/>
          <w:lang w:val="ro-RO"/>
        </w:rPr>
        <w:t>lor</w:t>
      </w:r>
      <w:r w:rsidR="00456DC5" w:rsidRPr="00C644E0">
        <w:rPr>
          <w:rFonts w:asciiTheme="majorHAnsi" w:hAnsiTheme="majorHAnsi" w:cstheme="majorHAnsi"/>
          <w:sz w:val="24"/>
          <w:szCs w:val="24"/>
          <w:lang w:val="ro-RO"/>
        </w:rPr>
        <w:t xml:space="preserve"> pentru trezorerie. Aceasta înseamnă nu doar asigurarea lichidităților la datele scadente ale datoriei, ci asigurarea trezoreriei cu un numerar adecvat, care să permită Guvernului să îndeplinească obligațiunile sale pe termen scurt, prin menținerea unui echilibru între cost și stabilitate, precum și prin dezvoltarea și menținerea unei funcționalități efective a pieței interne de capital și minimizarea costurilor serviciului datoriei.</w:t>
      </w:r>
    </w:p>
    <w:p w14:paraId="46CE6A5F" w14:textId="77777777" w:rsidR="00BC063B" w:rsidRPr="001360C9" w:rsidRDefault="00BC063B" w:rsidP="00BC063B">
      <w:pPr>
        <w:tabs>
          <w:tab w:val="left" w:pos="993"/>
        </w:tabs>
        <w:spacing w:after="0" w:line="276" w:lineRule="auto"/>
        <w:jc w:val="both"/>
        <w:rPr>
          <w:rFonts w:asciiTheme="majorHAnsi" w:hAnsiTheme="majorHAnsi" w:cstheme="majorHAnsi"/>
          <w:sz w:val="24"/>
          <w:szCs w:val="24"/>
          <w:lang w:val="ro-MD"/>
        </w:rPr>
      </w:pPr>
      <w:r w:rsidRPr="001360C9">
        <w:rPr>
          <w:rFonts w:asciiTheme="majorHAnsi" w:hAnsiTheme="majorHAnsi" w:cstheme="majorHAnsi"/>
          <w:bCs/>
          <w:sz w:val="24"/>
          <w:szCs w:val="24"/>
          <w:lang w:val="ro-MD"/>
        </w:rPr>
        <w:tab/>
      </w:r>
      <w:r w:rsidR="006E4771" w:rsidRPr="001360C9">
        <w:rPr>
          <w:rFonts w:asciiTheme="majorHAnsi" w:hAnsiTheme="majorHAnsi" w:cstheme="majorHAnsi"/>
          <w:bCs/>
          <w:sz w:val="24"/>
          <w:szCs w:val="24"/>
          <w:lang w:val="ro-MD"/>
        </w:rPr>
        <w:t>Ministerul Finanțelor, autorizat de Guvern,</w:t>
      </w:r>
      <w:r w:rsidR="006E4771" w:rsidRPr="001360C9">
        <w:rPr>
          <w:rFonts w:asciiTheme="majorHAnsi" w:hAnsiTheme="majorHAnsi" w:cstheme="majorHAnsi"/>
          <w:b/>
          <w:bCs/>
          <w:sz w:val="24"/>
          <w:szCs w:val="24"/>
          <w:lang w:val="ro-MD"/>
        </w:rPr>
        <w:t xml:space="preserve"> </w:t>
      </w:r>
      <w:r w:rsidR="00E80D41" w:rsidRPr="001360C9">
        <w:rPr>
          <w:rFonts w:asciiTheme="majorHAnsi" w:hAnsiTheme="majorHAnsi" w:cstheme="majorHAnsi"/>
          <w:sz w:val="24"/>
          <w:szCs w:val="24"/>
          <w:lang w:val="ro-MD"/>
        </w:rPr>
        <w:t>are</w:t>
      </w:r>
      <w:r w:rsidR="006E4771" w:rsidRPr="001360C9">
        <w:rPr>
          <w:rFonts w:asciiTheme="majorHAnsi" w:hAnsiTheme="majorHAnsi" w:cstheme="majorHAnsi"/>
          <w:sz w:val="24"/>
          <w:szCs w:val="24"/>
          <w:lang w:val="ro-MD"/>
        </w:rPr>
        <w:t xml:space="preserve"> responsabil</w:t>
      </w:r>
      <w:r w:rsidR="00E80D41" w:rsidRPr="001360C9">
        <w:rPr>
          <w:rFonts w:asciiTheme="majorHAnsi" w:hAnsiTheme="majorHAnsi" w:cstheme="majorHAnsi"/>
          <w:sz w:val="24"/>
          <w:szCs w:val="24"/>
          <w:lang w:val="ro-MD"/>
        </w:rPr>
        <w:t>itatea</w:t>
      </w:r>
      <w:r w:rsidR="006E4771" w:rsidRPr="001360C9">
        <w:rPr>
          <w:rFonts w:asciiTheme="majorHAnsi" w:hAnsiTheme="majorHAnsi" w:cstheme="majorHAnsi"/>
          <w:sz w:val="24"/>
          <w:szCs w:val="24"/>
          <w:lang w:val="ro-MD"/>
        </w:rPr>
        <w:t xml:space="preserve"> de a administra datoria de stat, </w:t>
      </w:r>
      <w:proofErr w:type="spellStart"/>
      <w:r w:rsidR="006E4771" w:rsidRPr="001360C9">
        <w:rPr>
          <w:rFonts w:asciiTheme="majorHAnsi" w:hAnsiTheme="majorHAnsi" w:cstheme="majorHAnsi"/>
          <w:sz w:val="24"/>
          <w:szCs w:val="24"/>
          <w:lang w:val="ro-MD"/>
        </w:rPr>
        <w:t>garanţiile</w:t>
      </w:r>
      <w:proofErr w:type="spellEnd"/>
      <w:r w:rsidR="006E4771" w:rsidRPr="001360C9">
        <w:rPr>
          <w:rFonts w:asciiTheme="majorHAnsi" w:hAnsiTheme="majorHAnsi" w:cstheme="majorHAnsi"/>
          <w:sz w:val="24"/>
          <w:szCs w:val="24"/>
          <w:lang w:val="ro-MD"/>
        </w:rPr>
        <w:t xml:space="preserve"> de stat </w:t>
      </w:r>
      <w:proofErr w:type="spellStart"/>
      <w:r w:rsidR="006E4771" w:rsidRPr="001360C9">
        <w:rPr>
          <w:rFonts w:asciiTheme="majorHAnsi" w:hAnsiTheme="majorHAnsi" w:cstheme="majorHAnsi"/>
          <w:sz w:val="24"/>
          <w:szCs w:val="24"/>
          <w:lang w:val="ro-MD"/>
        </w:rPr>
        <w:t>şi</w:t>
      </w:r>
      <w:proofErr w:type="spellEnd"/>
      <w:r w:rsidR="006E4771" w:rsidRPr="001360C9">
        <w:rPr>
          <w:rFonts w:asciiTheme="majorHAnsi" w:hAnsiTheme="majorHAnsi" w:cstheme="majorHAnsi"/>
          <w:sz w:val="24"/>
          <w:szCs w:val="24"/>
          <w:lang w:val="ro-MD"/>
        </w:rPr>
        <w:t xml:space="preserve"> recreditarea de stat, de a monitoriza și </w:t>
      </w:r>
      <w:r w:rsidR="00E80D41" w:rsidRPr="001360C9">
        <w:rPr>
          <w:rFonts w:asciiTheme="majorHAnsi" w:hAnsiTheme="majorHAnsi" w:cstheme="majorHAnsi"/>
          <w:sz w:val="24"/>
          <w:szCs w:val="24"/>
          <w:lang w:val="ro-MD"/>
        </w:rPr>
        <w:t xml:space="preserve">a </w:t>
      </w:r>
      <w:r w:rsidR="006E4771" w:rsidRPr="001360C9">
        <w:rPr>
          <w:rFonts w:asciiTheme="majorHAnsi" w:hAnsiTheme="majorHAnsi" w:cstheme="majorHAnsi"/>
          <w:sz w:val="24"/>
          <w:szCs w:val="24"/>
          <w:lang w:val="ro-MD"/>
        </w:rPr>
        <w:t xml:space="preserve">organiza deservirea datoriei de stat, precum și de a înregistra toate achitările efectuate. </w:t>
      </w:r>
    </w:p>
    <w:p w14:paraId="77D399D9" w14:textId="77777777" w:rsidR="00BC063B" w:rsidRPr="001360C9" w:rsidRDefault="00BC063B" w:rsidP="00BC063B">
      <w:pPr>
        <w:tabs>
          <w:tab w:val="left" w:pos="993"/>
        </w:tabs>
        <w:spacing w:after="0" w:line="276" w:lineRule="auto"/>
        <w:jc w:val="both"/>
        <w:rPr>
          <w:rFonts w:asciiTheme="majorHAnsi" w:hAnsiTheme="majorHAnsi" w:cstheme="majorHAnsi"/>
          <w:sz w:val="24"/>
          <w:szCs w:val="24"/>
          <w:lang w:val="ro-MD" w:eastAsia="ru-RU"/>
        </w:rPr>
      </w:pPr>
      <w:r w:rsidRPr="001360C9">
        <w:rPr>
          <w:rFonts w:asciiTheme="majorHAnsi" w:hAnsiTheme="majorHAnsi" w:cstheme="majorHAnsi"/>
          <w:sz w:val="24"/>
          <w:szCs w:val="24"/>
          <w:lang w:val="ro-MD" w:eastAsia="ru-RU"/>
        </w:rPr>
        <w:tab/>
      </w:r>
      <w:r w:rsidR="006E4771" w:rsidRPr="001360C9">
        <w:rPr>
          <w:rFonts w:asciiTheme="majorHAnsi" w:hAnsiTheme="majorHAnsi" w:cstheme="majorHAnsi"/>
          <w:sz w:val="24"/>
          <w:szCs w:val="24"/>
          <w:lang w:val="ro-MD" w:eastAsia="ru-RU"/>
        </w:rPr>
        <w:t xml:space="preserve">Directoratul Liniei de Credit </w:t>
      </w:r>
      <w:r w:rsidR="006020D3" w:rsidRPr="001360C9">
        <w:rPr>
          <w:rFonts w:asciiTheme="majorHAnsi" w:hAnsiTheme="majorHAnsi" w:cstheme="majorHAnsi"/>
          <w:color w:val="000000"/>
          <w:sz w:val="24"/>
          <w:szCs w:val="24"/>
          <w:lang w:val="ro-MD"/>
        </w:rPr>
        <w:t xml:space="preserve">este o instituție publică în care Ministerul </w:t>
      </w:r>
      <w:proofErr w:type="spellStart"/>
      <w:r w:rsidR="006020D3" w:rsidRPr="001360C9">
        <w:rPr>
          <w:rFonts w:asciiTheme="majorHAnsi" w:hAnsiTheme="majorHAnsi" w:cstheme="majorHAnsi"/>
          <w:color w:val="000000"/>
          <w:sz w:val="24"/>
          <w:szCs w:val="24"/>
          <w:lang w:val="ro-MD"/>
        </w:rPr>
        <w:t>Finanţelor</w:t>
      </w:r>
      <w:proofErr w:type="spellEnd"/>
      <w:r w:rsidR="006020D3" w:rsidRPr="001360C9">
        <w:rPr>
          <w:rFonts w:asciiTheme="majorHAnsi" w:hAnsiTheme="majorHAnsi" w:cstheme="majorHAnsi"/>
          <w:color w:val="000000"/>
          <w:sz w:val="24"/>
          <w:szCs w:val="24"/>
          <w:lang w:val="ro-MD"/>
        </w:rPr>
        <w:t xml:space="preserve"> are calitatea de fondator, fiind responsabil de </w:t>
      </w:r>
      <w:r w:rsidR="006020D3" w:rsidRPr="001360C9">
        <w:rPr>
          <w:rFonts w:asciiTheme="majorHAnsi" w:hAnsiTheme="majorHAnsi" w:cstheme="majorHAnsi"/>
          <w:sz w:val="24"/>
          <w:szCs w:val="24"/>
          <w:lang w:val="ro-MD" w:eastAsia="ru-RU"/>
        </w:rPr>
        <w:t>re</w:t>
      </w:r>
      <w:r w:rsidR="006E4771" w:rsidRPr="001360C9">
        <w:rPr>
          <w:rFonts w:asciiTheme="majorHAnsi" w:hAnsiTheme="majorHAnsi" w:cstheme="majorHAnsi"/>
          <w:sz w:val="24"/>
          <w:szCs w:val="24"/>
          <w:lang w:val="ro-MD" w:eastAsia="ru-RU"/>
        </w:rPr>
        <w:t>creditare</w:t>
      </w:r>
      <w:r w:rsidR="006020D3" w:rsidRPr="001360C9">
        <w:rPr>
          <w:rFonts w:asciiTheme="majorHAnsi" w:hAnsiTheme="majorHAnsi" w:cstheme="majorHAnsi"/>
          <w:sz w:val="24"/>
          <w:szCs w:val="24"/>
          <w:lang w:val="ro-MD" w:eastAsia="ru-RU"/>
        </w:rPr>
        <w:t>a, administrare</w:t>
      </w:r>
      <w:r w:rsidR="006E4771" w:rsidRPr="001360C9">
        <w:rPr>
          <w:rFonts w:asciiTheme="majorHAnsi" w:hAnsiTheme="majorHAnsi" w:cstheme="majorHAnsi"/>
          <w:sz w:val="24"/>
          <w:szCs w:val="24"/>
          <w:lang w:val="ro-MD" w:eastAsia="ru-RU"/>
        </w:rPr>
        <w:t xml:space="preserve">a </w:t>
      </w:r>
      <w:r w:rsidR="006020D3" w:rsidRPr="001360C9">
        <w:rPr>
          <w:rFonts w:asciiTheme="majorHAnsi" w:hAnsiTheme="majorHAnsi" w:cstheme="majorHAnsi"/>
          <w:sz w:val="24"/>
          <w:szCs w:val="24"/>
          <w:lang w:val="ro-MD" w:eastAsia="ru-RU"/>
        </w:rPr>
        <w:t xml:space="preserve">și monitorizarea </w:t>
      </w:r>
      <w:r w:rsidR="006E4771" w:rsidRPr="001360C9">
        <w:rPr>
          <w:rFonts w:asciiTheme="majorHAnsi" w:hAnsiTheme="majorHAnsi" w:cstheme="majorHAnsi"/>
          <w:sz w:val="24"/>
          <w:szCs w:val="24"/>
          <w:lang w:val="ro-MD" w:eastAsia="ru-RU"/>
        </w:rPr>
        <w:t xml:space="preserve">resurselor proiectelor </w:t>
      </w:r>
      <w:r w:rsidR="006020D3" w:rsidRPr="001360C9">
        <w:rPr>
          <w:rFonts w:asciiTheme="majorHAnsi" w:hAnsiTheme="majorHAnsi" w:cstheme="majorHAnsi"/>
          <w:sz w:val="24"/>
          <w:szCs w:val="24"/>
          <w:lang w:val="ro-MD" w:eastAsia="ru-RU"/>
        </w:rPr>
        <w:t>investiționale</w:t>
      </w:r>
      <w:r w:rsidR="006E4771" w:rsidRPr="001360C9">
        <w:rPr>
          <w:rFonts w:asciiTheme="majorHAnsi" w:hAnsiTheme="majorHAnsi" w:cstheme="majorHAnsi"/>
          <w:sz w:val="24"/>
          <w:szCs w:val="24"/>
          <w:lang w:val="ro-MD" w:eastAsia="ru-RU"/>
        </w:rPr>
        <w:t xml:space="preserve"> </w:t>
      </w:r>
      <w:proofErr w:type="spellStart"/>
      <w:r w:rsidR="006E4771" w:rsidRPr="001360C9">
        <w:rPr>
          <w:rFonts w:asciiTheme="majorHAnsi" w:hAnsiTheme="majorHAnsi" w:cstheme="majorHAnsi"/>
          <w:sz w:val="24"/>
          <w:szCs w:val="24"/>
          <w:lang w:val="ro-MD" w:eastAsia="ru-RU"/>
        </w:rPr>
        <w:t>finanţate</w:t>
      </w:r>
      <w:proofErr w:type="spellEnd"/>
      <w:r w:rsidR="006E4771" w:rsidRPr="001360C9">
        <w:rPr>
          <w:rFonts w:asciiTheme="majorHAnsi" w:hAnsiTheme="majorHAnsi" w:cstheme="majorHAnsi"/>
          <w:sz w:val="24"/>
          <w:szCs w:val="24"/>
          <w:lang w:val="ro-MD" w:eastAsia="ru-RU"/>
        </w:rPr>
        <w:t xml:space="preserve"> din </w:t>
      </w:r>
      <w:r w:rsidR="006020D3" w:rsidRPr="001360C9">
        <w:rPr>
          <w:rFonts w:asciiTheme="majorHAnsi" w:hAnsiTheme="majorHAnsi" w:cstheme="majorHAnsi"/>
          <w:sz w:val="24"/>
          <w:szCs w:val="24"/>
          <w:lang w:val="ro-MD" w:eastAsia="ru-RU"/>
        </w:rPr>
        <w:t>fondurile împrumuturilor externe de stat,</w:t>
      </w:r>
      <w:r w:rsidR="006E4771" w:rsidRPr="001360C9">
        <w:rPr>
          <w:rFonts w:asciiTheme="majorHAnsi" w:hAnsiTheme="majorHAnsi" w:cstheme="majorHAnsi"/>
          <w:sz w:val="24"/>
          <w:szCs w:val="24"/>
          <w:lang w:val="ro-MD" w:eastAsia="ru-RU"/>
        </w:rPr>
        <w:t xml:space="preserve"> acordate </w:t>
      </w:r>
      <w:r w:rsidR="006020D3" w:rsidRPr="001360C9">
        <w:rPr>
          <w:rFonts w:asciiTheme="majorHAnsi" w:hAnsiTheme="majorHAnsi" w:cstheme="majorHAnsi"/>
          <w:sz w:val="24"/>
          <w:szCs w:val="24"/>
          <w:lang w:val="ro-MD" w:eastAsia="ru-RU"/>
        </w:rPr>
        <w:t xml:space="preserve">de Instituțiile Financiare Internaționale pentru dezvoltarea sectorului privat. </w:t>
      </w:r>
    </w:p>
    <w:p w14:paraId="0BC203C9" w14:textId="77777777" w:rsidR="004D099B" w:rsidRPr="001360C9" w:rsidRDefault="004D099B" w:rsidP="004D099B">
      <w:pPr>
        <w:pStyle w:val="a6"/>
        <w:spacing w:line="276" w:lineRule="auto"/>
        <w:ind w:firstLine="720"/>
        <w:jc w:val="both"/>
        <w:rPr>
          <w:rFonts w:asciiTheme="majorHAnsi" w:hAnsiTheme="majorHAnsi" w:cstheme="majorHAnsi"/>
          <w:sz w:val="24"/>
          <w:szCs w:val="24"/>
          <w:lang w:val="ro-MD"/>
        </w:rPr>
      </w:pPr>
      <w:r w:rsidRPr="001360C9">
        <w:rPr>
          <w:rFonts w:asciiTheme="majorHAnsi" w:hAnsiTheme="majorHAnsi" w:cstheme="majorHAnsi"/>
          <w:sz w:val="24"/>
          <w:szCs w:val="24"/>
          <w:lang w:val="ro-MD"/>
        </w:rPr>
        <w:t>Datoria sectorului public reprezintă totalitatea datoriei de stat, a datoriei UAT, a datoriei BNM, a datoriei care rezultă din împrumuturile interne și externe ale întreprinderilor de stat/municipale și ale societăților comerciale cu capital integral sau majoritar public</w:t>
      </w:r>
      <w:r w:rsidRPr="001360C9">
        <w:rPr>
          <w:rStyle w:val="ae"/>
          <w:rFonts w:asciiTheme="majorHAnsi" w:hAnsiTheme="majorHAnsi" w:cstheme="majorHAnsi"/>
          <w:sz w:val="24"/>
          <w:szCs w:val="24"/>
          <w:lang w:val="ro-MD"/>
        </w:rPr>
        <w:footnoteReference w:id="5"/>
      </w:r>
      <w:r w:rsidRPr="001360C9">
        <w:rPr>
          <w:rFonts w:asciiTheme="majorHAnsi" w:hAnsiTheme="majorHAnsi" w:cstheme="majorHAnsi"/>
          <w:sz w:val="24"/>
          <w:szCs w:val="24"/>
          <w:lang w:val="ro-MD"/>
        </w:rPr>
        <w:t xml:space="preserve">. </w:t>
      </w:r>
    </w:p>
    <w:p w14:paraId="2D17E381" w14:textId="77777777" w:rsidR="002E7169" w:rsidRPr="00252028" w:rsidRDefault="002E7169" w:rsidP="002E7169">
      <w:pPr>
        <w:spacing w:after="0" w:line="276" w:lineRule="auto"/>
        <w:ind w:firstLine="720"/>
        <w:jc w:val="both"/>
        <w:rPr>
          <w:rFonts w:asciiTheme="majorHAnsi" w:eastAsiaTheme="minorHAnsi" w:hAnsiTheme="majorHAnsi" w:cstheme="majorHAnsi"/>
          <w:sz w:val="24"/>
          <w:szCs w:val="24"/>
          <w:lang w:val="ro-RO"/>
        </w:rPr>
      </w:pPr>
      <w:r w:rsidRPr="00252028">
        <w:rPr>
          <w:rFonts w:asciiTheme="majorHAnsi" w:eastAsiaTheme="minorHAnsi" w:hAnsiTheme="majorHAnsi" w:cstheme="majorHAnsi"/>
          <w:sz w:val="24"/>
          <w:szCs w:val="24"/>
          <w:lang w:val="ro-RO"/>
        </w:rPr>
        <w:t xml:space="preserve">Potrivit datelor Raportului privind situația în domeniul datoriei sectorului public, garanțiilor de stat și recreditării de stat pe anul 2018, soldul datoriei sectorului public la situația din 31.12.2018 a constituit 57881,3 </w:t>
      </w:r>
      <w:proofErr w:type="spellStart"/>
      <w:r w:rsidRPr="00252028">
        <w:rPr>
          <w:rFonts w:asciiTheme="majorHAnsi" w:eastAsiaTheme="minorHAnsi" w:hAnsiTheme="majorHAnsi" w:cstheme="majorHAnsi"/>
          <w:sz w:val="24"/>
          <w:szCs w:val="24"/>
          <w:lang w:val="ro-RO"/>
        </w:rPr>
        <w:t>mil.MDL</w:t>
      </w:r>
      <w:proofErr w:type="spellEnd"/>
      <w:r w:rsidRPr="00252028">
        <w:rPr>
          <w:rFonts w:asciiTheme="majorHAnsi" w:eastAsiaTheme="minorHAnsi" w:hAnsiTheme="majorHAnsi" w:cstheme="majorHAnsi"/>
          <w:sz w:val="24"/>
          <w:szCs w:val="24"/>
          <w:lang w:val="ro-RO"/>
        </w:rPr>
        <w:t xml:space="preserve">, din care datoria externă – 33233,7 </w:t>
      </w:r>
      <w:proofErr w:type="spellStart"/>
      <w:r w:rsidRPr="00252028">
        <w:rPr>
          <w:rFonts w:asciiTheme="majorHAnsi" w:eastAsiaTheme="minorHAnsi" w:hAnsiTheme="majorHAnsi" w:cstheme="majorHAnsi"/>
          <w:sz w:val="24"/>
          <w:szCs w:val="24"/>
          <w:lang w:val="ro-RO"/>
        </w:rPr>
        <w:t>mil.MDL</w:t>
      </w:r>
      <w:proofErr w:type="spellEnd"/>
      <w:r w:rsidRPr="00252028">
        <w:rPr>
          <w:rFonts w:asciiTheme="majorHAnsi" w:eastAsiaTheme="minorHAnsi" w:hAnsiTheme="majorHAnsi" w:cstheme="majorHAnsi"/>
          <w:sz w:val="24"/>
          <w:szCs w:val="24"/>
          <w:lang w:val="ro-RO"/>
        </w:rPr>
        <w:t xml:space="preserve"> (1938,6 </w:t>
      </w:r>
      <w:proofErr w:type="spellStart"/>
      <w:r w:rsidRPr="00252028">
        <w:rPr>
          <w:rFonts w:asciiTheme="majorHAnsi" w:eastAsiaTheme="minorHAnsi" w:hAnsiTheme="majorHAnsi" w:cstheme="majorHAnsi"/>
          <w:sz w:val="24"/>
          <w:szCs w:val="24"/>
          <w:lang w:val="ro-RO"/>
        </w:rPr>
        <w:t>mil.dol.SUA</w:t>
      </w:r>
      <w:proofErr w:type="spellEnd"/>
      <w:r w:rsidRPr="00252028">
        <w:rPr>
          <w:rFonts w:asciiTheme="majorHAnsi" w:eastAsiaTheme="minorHAnsi" w:hAnsiTheme="majorHAnsi" w:cstheme="majorHAnsi"/>
          <w:sz w:val="24"/>
          <w:szCs w:val="24"/>
          <w:lang w:val="ro-RO"/>
        </w:rPr>
        <w:t xml:space="preserve">) și datoria internă – 24647,6 </w:t>
      </w:r>
      <w:proofErr w:type="spellStart"/>
      <w:r w:rsidRPr="00252028">
        <w:rPr>
          <w:rFonts w:asciiTheme="majorHAnsi" w:eastAsiaTheme="minorHAnsi" w:hAnsiTheme="majorHAnsi" w:cstheme="majorHAnsi"/>
          <w:sz w:val="24"/>
          <w:szCs w:val="24"/>
          <w:lang w:val="ro-RO"/>
        </w:rPr>
        <w:t>mil.MDL</w:t>
      </w:r>
      <w:proofErr w:type="spellEnd"/>
      <w:r w:rsidRPr="00252028">
        <w:rPr>
          <w:rFonts w:asciiTheme="majorHAnsi" w:eastAsiaTheme="minorHAnsi" w:hAnsiTheme="majorHAnsi" w:cstheme="majorHAnsi"/>
          <w:sz w:val="24"/>
          <w:szCs w:val="24"/>
          <w:lang w:val="ro-RO"/>
        </w:rPr>
        <w:t xml:space="preserve">. </w:t>
      </w:r>
    </w:p>
    <w:p w14:paraId="087F8929" w14:textId="724EE4E0" w:rsidR="00034599" w:rsidRDefault="004D099B" w:rsidP="00161207">
      <w:pPr>
        <w:pStyle w:val="a6"/>
        <w:spacing w:line="276" w:lineRule="auto"/>
        <w:ind w:firstLine="720"/>
        <w:jc w:val="both"/>
        <w:rPr>
          <w:rFonts w:asciiTheme="majorHAnsi" w:hAnsiTheme="majorHAnsi" w:cstheme="majorHAnsi"/>
          <w:sz w:val="24"/>
          <w:szCs w:val="24"/>
          <w:lang w:val="ro-MD"/>
        </w:rPr>
      </w:pPr>
      <w:r w:rsidRPr="001360C9">
        <w:rPr>
          <w:rFonts w:asciiTheme="majorHAnsi" w:hAnsiTheme="majorHAnsi" w:cstheme="majorHAnsi"/>
          <w:sz w:val="24"/>
          <w:szCs w:val="24"/>
          <w:lang w:val="ro-MD"/>
        </w:rPr>
        <w:t xml:space="preserve">În </w:t>
      </w:r>
      <w:r w:rsidR="00CA67D3">
        <w:rPr>
          <w:rFonts w:asciiTheme="majorHAnsi" w:hAnsiTheme="majorHAnsi" w:cstheme="majorHAnsi"/>
          <w:sz w:val="24"/>
          <w:szCs w:val="24"/>
          <w:lang w:val="ro-MD"/>
        </w:rPr>
        <w:t>D</w:t>
      </w:r>
      <w:r w:rsidR="00803F95" w:rsidRPr="001360C9">
        <w:rPr>
          <w:rFonts w:asciiTheme="majorHAnsi" w:hAnsiTheme="majorHAnsi" w:cstheme="majorHAnsi"/>
          <w:sz w:val="24"/>
          <w:szCs w:val="24"/>
          <w:lang w:val="ro-MD"/>
        </w:rPr>
        <w:t>iagrama</w:t>
      </w:r>
      <w:r w:rsidR="00222EC5" w:rsidRPr="001360C9">
        <w:rPr>
          <w:rFonts w:asciiTheme="majorHAnsi" w:hAnsiTheme="majorHAnsi" w:cstheme="majorHAnsi"/>
          <w:sz w:val="24"/>
          <w:szCs w:val="24"/>
          <w:lang w:val="ro-MD"/>
        </w:rPr>
        <w:t xml:space="preserve"> </w:t>
      </w:r>
      <w:r w:rsidRPr="001360C9">
        <w:rPr>
          <w:rFonts w:asciiTheme="majorHAnsi" w:hAnsiTheme="majorHAnsi" w:cstheme="majorHAnsi"/>
          <w:sz w:val="24"/>
          <w:szCs w:val="24"/>
          <w:lang w:val="ro-MD"/>
        </w:rPr>
        <w:t>nr.1 este prezentată</w:t>
      </w:r>
      <w:r w:rsidR="00222EC5" w:rsidRPr="001360C9">
        <w:rPr>
          <w:rFonts w:asciiTheme="majorHAnsi" w:hAnsiTheme="majorHAnsi" w:cstheme="majorHAnsi"/>
          <w:sz w:val="24"/>
          <w:szCs w:val="24"/>
          <w:lang w:val="ro-MD"/>
        </w:rPr>
        <w:t xml:space="preserve"> structura datoriei sectorului public la situația din 31.12.2018, în aspectul componentelor acesteia.</w:t>
      </w:r>
    </w:p>
    <w:p w14:paraId="364432C6" w14:textId="5AE2B9E1" w:rsidR="001767F1" w:rsidRDefault="001767F1" w:rsidP="00161207">
      <w:pPr>
        <w:pStyle w:val="a6"/>
        <w:spacing w:line="276" w:lineRule="auto"/>
        <w:ind w:firstLine="720"/>
        <w:jc w:val="both"/>
        <w:rPr>
          <w:rFonts w:asciiTheme="majorHAnsi" w:hAnsiTheme="majorHAnsi" w:cstheme="majorHAnsi"/>
          <w:sz w:val="24"/>
          <w:szCs w:val="24"/>
          <w:lang w:val="ro-MD"/>
        </w:rPr>
      </w:pPr>
    </w:p>
    <w:p w14:paraId="4701D364" w14:textId="50BC2D2C" w:rsidR="001767F1" w:rsidRDefault="001767F1" w:rsidP="00161207">
      <w:pPr>
        <w:pStyle w:val="a6"/>
        <w:spacing w:line="276" w:lineRule="auto"/>
        <w:ind w:firstLine="720"/>
        <w:jc w:val="both"/>
        <w:rPr>
          <w:rFonts w:asciiTheme="majorHAnsi" w:hAnsiTheme="majorHAnsi" w:cstheme="majorHAnsi"/>
          <w:sz w:val="24"/>
          <w:szCs w:val="24"/>
          <w:lang w:val="ro-MD"/>
        </w:rPr>
      </w:pPr>
    </w:p>
    <w:p w14:paraId="5E1DC6DA" w14:textId="5121D44D" w:rsidR="001767F1" w:rsidRDefault="001767F1" w:rsidP="00161207">
      <w:pPr>
        <w:pStyle w:val="a6"/>
        <w:spacing w:line="276" w:lineRule="auto"/>
        <w:ind w:firstLine="720"/>
        <w:jc w:val="both"/>
        <w:rPr>
          <w:rFonts w:asciiTheme="majorHAnsi" w:hAnsiTheme="majorHAnsi" w:cstheme="majorHAnsi"/>
          <w:sz w:val="24"/>
          <w:szCs w:val="24"/>
          <w:lang w:val="ro-MD"/>
        </w:rPr>
      </w:pPr>
    </w:p>
    <w:p w14:paraId="19DA7EAB" w14:textId="2E8D5AD0" w:rsidR="001767F1" w:rsidRDefault="001767F1" w:rsidP="00161207">
      <w:pPr>
        <w:pStyle w:val="a6"/>
        <w:spacing w:line="276" w:lineRule="auto"/>
        <w:ind w:firstLine="720"/>
        <w:jc w:val="both"/>
        <w:rPr>
          <w:rFonts w:asciiTheme="majorHAnsi" w:hAnsiTheme="majorHAnsi" w:cstheme="majorHAnsi"/>
          <w:sz w:val="24"/>
          <w:szCs w:val="24"/>
          <w:lang w:val="ro-MD"/>
        </w:rPr>
      </w:pPr>
    </w:p>
    <w:p w14:paraId="7FE1BB12" w14:textId="31E381FB" w:rsidR="001767F1" w:rsidRDefault="001767F1" w:rsidP="00161207">
      <w:pPr>
        <w:pStyle w:val="a6"/>
        <w:spacing w:line="276" w:lineRule="auto"/>
        <w:ind w:firstLine="720"/>
        <w:jc w:val="both"/>
        <w:rPr>
          <w:rFonts w:asciiTheme="majorHAnsi" w:hAnsiTheme="majorHAnsi" w:cstheme="majorHAnsi"/>
          <w:sz w:val="24"/>
          <w:szCs w:val="24"/>
          <w:lang w:val="ro-MD"/>
        </w:rPr>
      </w:pPr>
    </w:p>
    <w:p w14:paraId="7FFE403D" w14:textId="20BBC7AB" w:rsidR="001767F1" w:rsidRDefault="001767F1" w:rsidP="00161207">
      <w:pPr>
        <w:pStyle w:val="a6"/>
        <w:spacing w:line="276" w:lineRule="auto"/>
        <w:ind w:firstLine="720"/>
        <w:jc w:val="both"/>
        <w:rPr>
          <w:rFonts w:asciiTheme="majorHAnsi" w:hAnsiTheme="majorHAnsi" w:cstheme="majorHAnsi"/>
          <w:sz w:val="24"/>
          <w:szCs w:val="24"/>
          <w:lang w:val="ro-MD"/>
        </w:rPr>
      </w:pPr>
    </w:p>
    <w:p w14:paraId="5EE7A2CB" w14:textId="3BE5314D" w:rsidR="001767F1" w:rsidRDefault="001767F1" w:rsidP="00161207">
      <w:pPr>
        <w:pStyle w:val="a6"/>
        <w:spacing w:line="276" w:lineRule="auto"/>
        <w:ind w:firstLine="720"/>
        <w:jc w:val="both"/>
        <w:rPr>
          <w:rFonts w:asciiTheme="majorHAnsi" w:hAnsiTheme="majorHAnsi" w:cstheme="majorHAnsi"/>
          <w:sz w:val="24"/>
          <w:szCs w:val="24"/>
          <w:lang w:val="ro-MD"/>
        </w:rPr>
      </w:pPr>
    </w:p>
    <w:p w14:paraId="62A12E0A" w14:textId="290B9735" w:rsidR="001767F1" w:rsidRDefault="001767F1" w:rsidP="00161207">
      <w:pPr>
        <w:pStyle w:val="a6"/>
        <w:spacing w:line="276" w:lineRule="auto"/>
        <w:ind w:firstLine="720"/>
        <w:jc w:val="both"/>
        <w:rPr>
          <w:rFonts w:asciiTheme="majorHAnsi" w:hAnsiTheme="majorHAnsi" w:cstheme="majorHAnsi"/>
          <w:sz w:val="24"/>
          <w:szCs w:val="24"/>
          <w:lang w:val="ro-MD"/>
        </w:rPr>
      </w:pPr>
    </w:p>
    <w:p w14:paraId="3CB4A767" w14:textId="63E63990" w:rsidR="001767F1" w:rsidRDefault="001767F1" w:rsidP="00161207">
      <w:pPr>
        <w:pStyle w:val="a6"/>
        <w:spacing w:line="276" w:lineRule="auto"/>
        <w:ind w:firstLine="720"/>
        <w:jc w:val="both"/>
        <w:rPr>
          <w:rFonts w:asciiTheme="majorHAnsi" w:hAnsiTheme="majorHAnsi" w:cstheme="majorHAnsi"/>
          <w:sz w:val="24"/>
          <w:szCs w:val="24"/>
          <w:lang w:val="ro-MD"/>
        </w:rPr>
      </w:pPr>
    </w:p>
    <w:p w14:paraId="123B2FAB" w14:textId="631828F8" w:rsidR="001767F1" w:rsidRDefault="001767F1" w:rsidP="00161207">
      <w:pPr>
        <w:pStyle w:val="a6"/>
        <w:spacing w:line="276" w:lineRule="auto"/>
        <w:ind w:firstLine="720"/>
        <w:jc w:val="both"/>
        <w:rPr>
          <w:rFonts w:asciiTheme="majorHAnsi" w:hAnsiTheme="majorHAnsi" w:cstheme="majorHAnsi"/>
          <w:sz w:val="24"/>
          <w:szCs w:val="24"/>
          <w:lang w:val="ro-MD"/>
        </w:rPr>
      </w:pPr>
    </w:p>
    <w:p w14:paraId="30E8A423" w14:textId="1379972D" w:rsidR="001767F1" w:rsidRDefault="001767F1" w:rsidP="00161207">
      <w:pPr>
        <w:pStyle w:val="a6"/>
        <w:spacing w:line="276" w:lineRule="auto"/>
        <w:ind w:firstLine="720"/>
        <w:jc w:val="both"/>
        <w:rPr>
          <w:rFonts w:asciiTheme="majorHAnsi" w:hAnsiTheme="majorHAnsi" w:cstheme="majorHAnsi"/>
          <w:sz w:val="24"/>
          <w:szCs w:val="24"/>
          <w:lang w:val="ro-MD"/>
        </w:rPr>
      </w:pPr>
    </w:p>
    <w:p w14:paraId="3AA95E6F" w14:textId="60F9286C" w:rsidR="001767F1" w:rsidRDefault="001767F1" w:rsidP="00161207">
      <w:pPr>
        <w:pStyle w:val="a6"/>
        <w:spacing w:line="276" w:lineRule="auto"/>
        <w:ind w:firstLine="720"/>
        <w:jc w:val="both"/>
        <w:rPr>
          <w:rFonts w:asciiTheme="majorHAnsi" w:hAnsiTheme="majorHAnsi" w:cstheme="majorHAnsi"/>
          <w:sz w:val="24"/>
          <w:szCs w:val="24"/>
          <w:lang w:val="ro-MD"/>
        </w:rPr>
      </w:pPr>
    </w:p>
    <w:p w14:paraId="7C68AC11" w14:textId="3E66D8A5" w:rsidR="001767F1" w:rsidRDefault="001767F1" w:rsidP="0029009C">
      <w:pPr>
        <w:pStyle w:val="a6"/>
        <w:spacing w:line="276" w:lineRule="auto"/>
        <w:jc w:val="both"/>
        <w:rPr>
          <w:rFonts w:asciiTheme="majorHAnsi" w:hAnsiTheme="majorHAnsi" w:cstheme="majorHAnsi"/>
          <w:sz w:val="24"/>
          <w:szCs w:val="24"/>
          <w:lang w:val="ro-MD"/>
        </w:rPr>
      </w:pPr>
    </w:p>
    <w:p w14:paraId="0A921959" w14:textId="77777777" w:rsidR="0029009C" w:rsidRPr="001360C9" w:rsidRDefault="0029009C" w:rsidP="0029009C">
      <w:pPr>
        <w:pStyle w:val="a6"/>
        <w:spacing w:line="276" w:lineRule="auto"/>
        <w:jc w:val="both"/>
        <w:rPr>
          <w:rFonts w:asciiTheme="majorHAnsi" w:hAnsiTheme="majorHAnsi" w:cstheme="majorHAnsi"/>
          <w:sz w:val="24"/>
          <w:szCs w:val="24"/>
          <w:lang w:val="ro-MD"/>
        </w:rPr>
      </w:pPr>
    </w:p>
    <w:p w14:paraId="1FBD8D57" w14:textId="77777777" w:rsidR="00222EC5" w:rsidRPr="001360C9" w:rsidRDefault="00803F95" w:rsidP="00803F95">
      <w:pPr>
        <w:jc w:val="right"/>
        <w:rPr>
          <w:rFonts w:asciiTheme="majorHAnsi" w:hAnsiTheme="majorHAnsi" w:cstheme="majorHAnsi"/>
          <w:b/>
          <w:sz w:val="24"/>
          <w:szCs w:val="24"/>
          <w:lang w:val="ro-MD"/>
        </w:rPr>
      </w:pPr>
      <w:r w:rsidRPr="001360C9">
        <w:rPr>
          <w:rFonts w:asciiTheme="majorHAnsi" w:hAnsiTheme="majorHAnsi" w:cstheme="majorHAnsi"/>
          <w:b/>
          <w:sz w:val="24"/>
          <w:szCs w:val="24"/>
          <w:lang w:val="ro-MD"/>
        </w:rPr>
        <w:lastRenderedPageBreak/>
        <w:t>Diagrama nr.1</w:t>
      </w:r>
    </w:p>
    <w:p w14:paraId="45E3F2DC" w14:textId="5ED04396" w:rsidR="00BC64C8" w:rsidRPr="001360C9" w:rsidRDefault="00F756AF" w:rsidP="00BC64C8">
      <w:r>
        <w:rPr>
          <w:noProof/>
          <w:lang w:val="ru-RU" w:eastAsia="ru-RU"/>
        </w:rPr>
        <w:drawing>
          <wp:inline distT="0" distB="0" distL="0" distR="0" wp14:anchorId="49A4F31B" wp14:editId="084D0D34">
            <wp:extent cx="5908431" cy="2872154"/>
            <wp:effectExtent l="38100" t="57150" r="54610" b="4254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C64C8" w:rsidRPr="00F86F1B">
        <w:rPr>
          <w:rFonts w:asciiTheme="majorHAnsi" w:hAnsiTheme="majorHAnsi" w:cstheme="majorHAnsi"/>
          <w:b/>
          <w:i/>
          <w:sz w:val="20"/>
          <w:szCs w:val="20"/>
          <w:lang w:val="ro-RO" w:eastAsia="ru-RU"/>
        </w:rPr>
        <w:t>Sursă</w:t>
      </w:r>
      <w:r w:rsidR="00BC64C8" w:rsidRPr="00F86F1B">
        <w:rPr>
          <w:rFonts w:asciiTheme="majorHAnsi" w:hAnsiTheme="majorHAnsi" w:cstheme="majorHAnsi"/>
          <w:sz w:val="20"/>
          <w:szCs w:val="20"/>
          <w:lang w:val="ro-RO" w:eastAsia="ru-RU"/>
        </w:rPr>
        <w:t>:</w:t>
      </w:r>
      <w:r w:rsidR="00BC64C8" w:rsidRPr="00BC64C8">
        <w:rPr>
          <w:rFonts w:asciiTheme="majorHAnsi" w:hAnsiTheme="majorHAnsi" w:cstheme="majorHAnsi"/>
          <w:sz w:val="20"/>
          <w:szCs w:val="20"/>
          <w:lang w:val="ro-RO" w:eastAsia="ru-RU"/>
        </w:rPr>
        <w:t xml:space="preserve"> </w:t>
      </w:r>
      <w:r w:rsidR="00FA5323">
        <w:rPr>
          <w:rFonts w:asciiTheme="majorHAnsi" w:hAnsiTheme="majorHAnsi" w:cstheme="majorHAnsi"/>
          <w:sz w:val="20"/>
          <w:szCs w:val="20"/>
          <w:lang w:val="ro-RO" w:eastAsia="ru-RU"/>
        </w:rPr>
        <w:t>D</w:t>
      </w:r>
      <w:r w:rsidR="00BC64C8" w:rsidRPr="00BC64C8">
        <w:rPr>
          <w:rFonts w:asciiTheme="majorHAnsi" w:hAnsiTheme="majorHAnsi" w:cstheme="majorHAnsi"/>
          <w:sz w:val="20"/>
          <w:szCs w:val="20"/>
          <w:lang w:val="ro-RO" w:eastAsia="ru-RU"/>
        </w:rPr>
        <w:t>atel</w:t>
      </w:r>
      <w:r w:rsidR="00FA5323">
        <w:rPr>
          <w:rFonts w:asciiTheme="majorHAnsi" w:hAnsiTheme="majorHAnsi" w:cstheme="majorHAnsi"/>
          <w:sz w:val="20"/>
          <w:szCs w:val="20"/>
          <w:lang w:val="ro-RO" w:eastAsia="ru-RU"/>
        </w:rPr>
        <w:t>e</w:t>
      </w:r>
      <w:r w:rsidR="00E346BC">
        <w:rPr>
          <w:rFonts w:asciiTheme="majorHAnsi" w:hAnsiTheme="majorHAnsi" w:cstheme="majorHAnsi"/>
          <w:sz w:val="20"/>
          <w:szCs w:val="20"/>
          <w:lang w:val="ro-RO" w:eastAsia="ru-RU"/>
        </w:rPr>
        <w:t xml:space="preserve"> Raportului privind situația în domeniul datoriei sectorului public, garanțiilor de stat și recreditării de stat pe anul 2018</w:t>
      </w:r>
      <w:r w:rsidR="00BC64C8" w:rsidRPr="00BC64C8">
        <w:rPr>
          <w:rFonts w:asciiTheme="majorHAnsi" w:hAnsiTheme="majorHAnsi" w:cstheme="majorHAnsi"/>
          <w:sz w:val="20"/>
          <w:szCs w:val="20"/>
          <w:lang w:val="ro-RO" w:eastAsia="ru-RU"/>
        </w:rPr>
        <w:t>.</w:t>
      </w:r>
    </w:p>
    <w:p w14:paraId="54E8BADC" w14:textId="77777777" w:rsidR="002E7169" w:rsidRPr="001360C9" w:rsidRDefault="002E7169" w:rsidP="00BC063B">
      <w:pPr>
        <w:tabs>
          <w:tab w:val="left" w:pos="993"/>
        </w:tabs>
        <w:spacing w:after="0" w:line="276" w:lineRule="auto"/>
        <w:jc w:val="both"/>
        <w:rPr>
          <w:rFonts w:asciiTheme="majorHAnsi" w:hAnsiTheme="majorHAnsi" w:cstheme="majorHAnsi"/>
          <w:sz w:val="24"/>
          <w:szCs w:val="24"/>
          <w:lang w:val="ro-MD"/>
        </w:rPr>
      </w:pPr>
    </w:p>
    <w:p w14:paraId="7F557B0F" w14:textId="77777777" w:rsidR="00161207" w:rsidRDefault="00161207" w:rsidP="00161207">
      <w:pPr>
        <w:spacing w:after="0" w:line="276" w:lineRule="auto"/>
        <w:ind w:firstLine="720"/>
        <w:jc w:val="both"/>
        <w:rPr>
          <w:rFonts w:asciiTheme="majorHAnsi" w:hAnsiTheme="majorHAnsi" w:cstheme="majorHAnsi"/>
          <w:bCs/>
          <w:sz w:val="24"/>
          <w:szCs w:val="24"/>
          <w:lang w:val="ro-RO"/>
        </w:rPr>
      </w:pPr>
      <w:bookmarkStart w:id="10" w:name="_Toc484003878"/>
      <w:r w:rsidRPr="00252028">
        <w:rPr>
          <w:rFonts w:asciiTheme="majorHAnsi" w:eastAsiaTheme="minorHAnsi" w:hAnsiTheme="majorHAnsi" w:cstheme="majorHAnsi"/>
          <w:sz w:val="24"/>
          <w:szCs w:val="24"/>
          <w:lang w:val="ro-RO"/>
        </w:rPr>
        <w:t>În structura datoriei secto</w:t>
      </w:r>
      <w:r>
        <w:rPr>
          <w:rFonts w:asciiTheme="majorHAnsi" w:eastAsiaTheme="minorHAnsi" w:hAnsiTheme="majorHAnsi" w:cstheme="majorHAnsi"/>
          <w:sz w:val="24"/>
          <w:szCs w:val="24"/>
          <w:lang w:val="ro-RO"/>
        </w:rPr>
        <w:t>rului public, exprimată în MDL</w:t>
      </w:r>
      <w:r w:rsidRPr="00252028">
        <w:rPr>
          <w:rFonts w:asciiTheme="majorHAnsi" w:eastAsiaTheme="minorHAnsi" w:hAnsiTheme="majorHAnsi" w:cstheme="majorHAnsi"/>
          <w:sz w:val="24"/>
          <w:szCs w:val="24"/>
          <w:lang w:val="ro-RO"/>
        </w:rPr>
        <w:t xml:space="preserve">, </w:t>
      </w:r>
      <w:r w:rsidRPr="00252028">
        <w:rPr>
          <w:rFonts w:asciiTheme="majorHAnsi" w:eastAsiaTheme="minorHAnsi" w:hAnsiTheme="majorHAnsi" w:cstheme="majorHAnsi"/>
          <w:b/>
          <w:sz w:val="24"/>
          <w:szCs w:val="24"/>
          <w:lang w:val="ro-RO"/>
        </w:rPr>
        <w:t>ponderea majoră revine datoriei de stat - 89,9%,</w:t>
      </w:r>
      <w:r w:rsidRPr="00252028">
        <w:rPr>
          <w:rFonts w:asciiTheme="majorHAnsi" w:eastAsiaTheme="minorHAnsi" w:hAnsiTheme="majorHAnsi" w:cstheme="majorHAnsi"/>
          <w:sz w:val="24"/>
          <w:szCs w:val="24"/>
          <w:lang w:val="ro-RO"/>
        </w:rPr>
        <w:t xml:space="preserve"> fiind urmată de datoria BNM - 6,5%, datoria UAT și datoria întreprinderilor din sectorul public, cărora, în total, le revin 3,6%.</w:t>
      </w:r>
      <w:r w:rsidRPr="00803F95">
        <w:rPr>
          <w:rFonts w:asciiTheme="majorHAnsi" w:hAnsiTheme="majorHAnsi" w:cstheme="majorHAnsi"/>
          <w:bCs/>
          <w:sz w:val="24"/>
          <w:szCs w:val="24"/>
          <w:lang w:val="ro-RO"/>
        </w:rPr>
        <w:t xml:space="preserve"> </w:t>
      </w:r>
    </w:p>
    <w:p w14:paraId="0D5EF94B" w14:textId="0B157138" w:rsidR="00161207" w:rsidRDefault="00161207" w:rsidP="00161207">
      <w:pPr>
        <w:spacing w:after="0" w:line="276" w:lineRule="auto"/>
        <w:ind w:firstLine="720"/>
        <w:jc w:val="both"/>
        <w:rPr>
          <w:rFonts w:asciiTheme="majorHAnsi" w:hAnsiTheme="majorHAnsi" w:cstheme="majorHAnsi"/>
          <w:bCs/>
          <w:sz w:val="24"/>
          <w:szCs w:val="24"/>
          <w:lang w:val="ro-RO"/>
        </w:rPr>
      </w:pPr>
      <w:r w:rsidRPr="00880B73">
        <w:rPr>
          <w:rFonts w:asciiTheme="majorHAnsi" w:hAnsiTheme="majorHAnsi" w:cstheme="majorHAnsi"/>
          <w:bCs/>
          <w:sz w:val="24"/>
          <w:szCs w:val="24"/>
          <w:lang w:val="ro-RO"/>
        </w:rPr>
        <w:t>La situația din 31 decembrie 2018</w:t>
      </w:r>
      <w:r w:rsidR="00CA67D3">
        <w:rPr>
          <w:rFonts w:asciiTheme="majorHAnsi" w:hAnsiTheme="majorHAnsi" w:cstheme="majorHAnsi"/>
          <w:bCs/>
          <w:sz w:val="24"/>
          <w:szCs w:val="24"/>
          <w:lang w:val="ro-RO"/>
        </w:rPr>
        <w:t>,</w:t>
      </w:r>
      <w:r w:rsidRPr="00880B73">
        <w:rPr>
          <w:rFonts w:asciiTheme="majorHAnsi" w:hAnsiTheme="majorHAnsi" w:cstheme="majorHAnsi"/>
          <w:bCs/>
          <w:sz w:val="24"/>
          <w:szCs w:val="24"/>
          <w:lang w:val="ro-RO"/>
        </w:rPr>
        <w:t xml:space="preserve"> comparativ cu aceeași perioadă a anului 2017</w:t>
      </w:r>
      <w:r w:rsidR="00CA67D3">
        <w:rPr>
          <w:rFonts w:asciiTheme="majorHAnsi" w:hAnsiTheme="majorHAnsi" w:cstheme="majorHAnsi"/>
          <w:bCs/>
          <w:sz w:val="24"/>
          <w:szCs w:val="24"/>
          <w:lang w:val="ro-RO"/>
        </w:rPr>
        <w:t>,</w:t>
      </w:r>
      <w:r w:rsidRPr="00880B73">
        <w:rPr>
          <w:rFonts w:asciiTheme="majorHAnsi" w:hAnsiTheme="majorHAnsi" w:cstheme="majorHAnsi"/>
          <w:bCs/>
          <w:sz w:val="24"/>
          <w:szCs w:val="24"/>
          <w:lang w:val="ro-RO"/>
        </w:rPr>
        <w:t xml:space="preserve"> se atestă descreșterea ponderii datoriei sectorului public în PIB</w:t>
      </w:r>
      <w:r>
        <w:rPr>
          <w:rStyle w:val="ae"/>
          <w:rFonts w:asciiTheme="majorHAnsi" w:hAnsiTheme="majorHAnsi"/>
          <w:bCs/>
          <w:sz w:val="24"/>
          <w:szCs w:val="24"/>
          <w:lang w:val="ro-RO"/>
        </w:rPr>
        <w:footnoteReference w:id="6"/>
      </w:r>
      <w:r>
        <w:rPr>
          <w:rFonts w:asciiTheme="majorHAnsi" w:hAnsiTheme="majorHAnsi" w:cstheme="majorHAnsi"/>
          <w:bCs/>
          <w:sz w:val="24"/>
          <w:szCs w:val="24"/>
          <w:lang w:val="ro-RO"/>
        </w:rPr>
        <w:t xml:space="preserve"> cu </w:t>
      </w:r>
      <w:r w:rsidR="00BA0221">
        <w:rPr>
          <w:rFonts w:asciiTheme="majorHAnsi" w:hAnsiTheme="majorHAnsi" w:cstheme="majorHAnsi"/>
          <w:bCs/>
          <w:sz w:val="24"/>
          <w:szCs w:val="24"/>
          <w:lang w:val="ro-RO"/>
        </w:rPr>
        <w:t>2,2</w:t>
      </w:r>
      <w:r>
        <w:rPr>
          <w:rFonts w:asciiTheme="majorHAnsi" w:hAnsiTheme="majorHAnsi" w:cstheme="majorHAnsi"/>
          <w:bCs/>
          <w:sz w:val="24"/>
          <w:szCs w:val="24"/>
          <w:lang w:val="ro-RO"/>
        </w:rPr>
        <w:t xml:space="preserve"> </w:t>
      </w:r>
      <w:proofErr w:type="spellStart"/>
      <w:r>
        <w:rPr>
          <w:rFonts w:asciiTheme="majorHAnsi" w:hAnsiTheme="majorHAnsi" w:cstheme="majorHAnsi"/>
          <w:bCs/>
          <w:sz w:val="24"/>
          <w:szCs w:val="24"/>
          <w:lang w:val="ro-RO"/>
        </w:rPr>
        <w:t>p.p.</w:t>
      </w:r>
      <w:proofErr w:type="spellEnd"/>
      <w:r>
        <w:rPr>
          <w:rFonts w:asciiTheme="majorHAnsi" w:hAnsiTheme="majorHAnsi" w:cstheme="majorHAnsi"/>
          <w:bCs/>
          <w:sz w:val="24"/>
          <w:szCs w:val="24"/>
          <w:lang w:val="ro-RO"/>
        </w:rPr>
        <w:t>,</w:t>
      </w:r>
      <w:r w:rsidRPr="00880B73">
        <w:rPr>
          <w:rFonts w:asciiTheme="majorHAnsi" w:hAnsiTheme="majorHAnsi" w:cstheme="majorHAnsi"/>
          <w:bCs/>
          <w:sz w:val="24"/>
          <w:szCs w:val="24"/>
          <w:lang w:val="ro-RO"/>
        </w:rPr>
        <w:t xml:space="preserve"> constituind 30,5%.</w:t>
      </w:r>
    </w:p>
    <w:p w14:paraId="0F8E7C0E" w14:textId="77777777" w:rsidR="006E4771" w:rsidRPr="00E92F8E" w:rsidRDefault="006E4771" w:rsidP="00E92F8E">
      <w:pPr>
        <w:spacing w:line="276" w:lineRule="auto"/>
        <w:rPr>
          <w:rFonts w:asciiTheme="majorHAnsi" w:hAnsiTheme="majorHAnsi" w:cstheme="majorHAnsi"/>
          <w:sz w:val="24"/>
          <w:szCs w:val="24"/>
          <w:lang w:val="ro-RO" w:eastAsia="ru-RU"/>
        </w:rPr>
      </w:pPr>
    </w:p>
    <w:p w14:paraId="6839D556" w14:textId="77777777" w:rsidR="0055448C" w:rsidRPr="00075B05" w:rsidRDefault="006E4771" w:rsidP="00075B05">
      <w:pPr>
        <w:pStyle w:val="1"/>
        <w:numPr>
          <w:ilvl w:val="0"/>
          <w:numId w:val="27"/>
        </w:numPr>
        <w:tabs>
          <w:tab w:val="left" w:pos="1843"/>
        </w:tabs>
        <w:spacing w:after="240" w:line="276" w:lineRule="auto"/>
        <w:jc w:val="center"/>
        <w:rPr>
          <w:rFonts w:asciiTheme="majorHAnsi" w:hAnsiTheme="majorHAnsi" w:cstheme="majorHAnsi"/>
          <w:b/>
          <w:color w:val="auto"/>
          <w:sz w:val="24"/>
          <w:szCs w:val="24"/>
          <w:lang w:val="ro-RO"/>
        </w:rPr>
      </w:pPr>
      <w:bookmarkStart w:id="11" w:name="_Toc515442951"/>
      <w:bookmarkStart w:id="12" w:name="_Toc10106676"/>
      <w:r w:rsidRPr="00E92F8E">
        <w:rPr>
          <w:rFonts w:asciiTheme="majorHAnsi" w:hAnsiTheme="majorHAnsi" w:cstheme="majorHAnsi"/>
          <w:b/>
          <w:color w:val="auto"/>
          <w:sz w:val="24"/>
          <w:szCs w:val="24"/>
          <w:lang w:val="ro-RO"/>
        </w:rPr>
        <w:t>SFERA ȘI ABORDAREA AUDITULUI</w:t>
      </w:r>
      <w:bookmarkEnd w:id="10"/>
      <w:bookmarkEnd w:id="11"/>
      <w:bookmarkEnd w:id="12"/>
    </w:p>
    <w:p w14:paraId="0DBA438C" w14:textId="65CE21E4" w:rsidR="006E4771" w:rsidRDefault="006E4771" w:rsidP="00F25357">
      <w:pPr>
        <w:spacing w:after="0" w:line="276" w:lineRule="auto"/>
        <w:ind w:firstLine="720"/>
        <w:jc w:val="both"/>
        <w:rPr>
          <w:rFonts w:ascii="Times New Roman" w:hAnsi="Times New Roman"/>
          <w:sz w:val="28"/>
          <w:szCs w:val="28"/>
          <w:lang w:val="ro-RO" w:eastAsia="ru-RU"/>
        </w:rPr>
      </w:pPr>
      <w:r w:rsidRPr="001360C9">
        <w:rPr>
          <w:rFonts w:asciiTheme="majorHAnsi" w:hAnsiTheme="majorHAnsi" w:cstheme="majorHAnsi"/>
          <w:sz w:val="24"/>
          <w:szCs w:val="24"/>
          <w:lang w:val="ro-MD"/>
        </w:rPr>
        <w:t xml:space="preserve">Politicile statului trebuie să fie orientate </w:t>
      </w:r>
      <w:r w:rsidR="00CA67D3">
        <w:rPr>
          <w:rFonts w:asciiTheme="majorHAnsi" w:hAnsiTheme="majorHAnsi" w:cstheme="majorHAnsi"/>
          <w:sz w:val="24"/>
          <w:szCs w:val="24"/>
          <w:lang w:val="ro-MD"/>
        </w:rPr>
        <w:t>s</w:t>
      </w:r>
      <w:r w:rsidRPr="001360C9">
        <w:rPr>
          <w:rFonts w:asciiTheme="majorHAnsi" w:hAnsiTheme="majorHAnsi" w:cstheme="majorHAnsi"/>
          <w:sz w:val="24"/>
          <w:szCs w:val="24"/>
          <w:lang w:val="ro-MD"/>
        </w:rPr>
        <w:t>p</w:t>
      </w:r>
      <w:r w:rsidR="00CA67D3">
        <w:rPr>
          <w:rFonts w:asciiTheme="majorHAnsi" w:hAnsiTheme="majorHAnsi" w:cstheme="majorHAnsi"/>
          <w:sz w:val="24"/>
          <w:szCs w:val="24"/>
          <w:lang w:val="ro-MD"/>
        </w:rPr>
        <w:t>r</w:t>
      </w:r>
      <w:r w:rsidRPr="001360C9">
        <w:rPr>
          <w:rFonts w:asciiTheme="majorHAnsi" w:hAnsiTheme="majorHAnsi" w:cstheme="majorHAnsi"/>
          <w:sz w:val="24"/>
          <w:szCs w:val="24"/>
          <w:lang w:val="ro-MD"/>
        </w:rPr>
        <w:t>e menținerea unui nivel adecvat a</w:t>
      </w:r>
      <w:r w:rsidR="00F775F6" w:rsidRPr="001360C9">
        <w:rPr>
          <w:rFonts w:asciiTheme="majorHAnsi" w:hAnsiTheme="majorHAnsi" w:cstheme="majorHAnsi"/>
          <w:sz w:val="24"/>
          <w:szCs w:val="24"/>
          <w:lang w:val="ro-MD"/>
        </w:rPr>
        <w:t xml:space="preserve">l </w:t>
      </w:r>
      <w:r w:rsidRPr="001360C9">
        <w:rPr>
          <w:rFonts w:asciiTheme="majorHAnsi" w:hAnsiTheme="majorHAnsi" w:cstheme="majorHAnsi"/>
          <w:sz w:val="24"/>
          <w:szCs w:val="24"/>
          <w:lang w:val="ro-MD"/>
        </w:rPr>
        <w:t xml:space="preserve"> sustenabilității finanțelor publice și să aibă ca obiectiv </w:t>
      </w:r>
      <w:r w:rsidR="004613BF">
        <w:rPr>
          <w:rFonts w:asciiTheme="majorHAnsi" w:hAnsiTheme="majorHAnsi" w:cstheme="majorHAnsi"/>
          <w:sz w:val="24"/>
          <w:szCs w:val="24"/>
          <w:lang w:val="ro-MD"/>
        </w:rPr>
        <w:t>menținerea sustenabilității</w:t>
      </w:r>
      <w:r w:rsidR="004613BF" w:rsidRPr="001360C9">
        <w:rPr>
          <w:rFonts w:asciiTheme="majorHAnsi" w:hAnsiTheme="majorHAnsi" w:cstheme="majorHAnsi"/>
          <w:sz w:val="24"/>
          <w:szCs w:val="24"/>
          <w:lang w:val="ro-MD"/>
        </w:rPr>
        <w:t xml:space="preserve"> </w:t>
      </w:r>
      <w:r w:rsidRPr="001360C9">
        <w:rPr>
          <w:rFonts w:asciiTheme="majorHAnsi" w:hAnsiTheme="majorHAnsi" w:cstheme="majorHAnsi"/>
          <w:sz w:val="24"/>
          <w:szCs w:val="24"/>
          <w:lang w:val="ro-MD"/>
        </w:rPr>
        <w:t>datoriei și creșterea economiei.</w:t>
      </w:r>
      <w:r w:rsidR="00F25357" w:rsidRPr="00F25357">
        <w:rPr>
          <w:rFonts w:ascii="Times New Roman" w:hAnsi="Times New Roman"/>
          <w:sz w:val="28"/>
          <w:szCs w:val="28"/>
          <w:lang w:val="ro-RO" w:eastAsia="ru-RU"/>
        </w:rPr>
        <w:t xml:space="preserve"> </w:t>
      </w:r>
      <w:r w:rsidR="00F25357" w:rsidRPr="0055448C">
        <w:rPr>
          <w:rFonts w:asciiTheme="majorHAnsi" w:hAnsiTheme="majorHAnsi" w:cstheme="majorHAnsi"/>
          <w:sz w:val="24"/>
          <w:szCs w:val="24"/>
          <w:lang w:val="ro-RO" w:eastAsia="ru-RU"/>
        </w:rPr>
        <w:t>În aceste circumstanțe, managerii datoriei de stat trebuie să fie responsabili de identificarea și aplicarea în practică a unor politici solide privind datoria de stat, în vederea protejării veniturilor bugetare.</w:t>
      </w:r>
    </w:p>
    <w:p w14:paraId="3DBE1CA3" w14:textId="77777777" w:rsidR="006E4771" w:rsidRPr="001360C9" w:rsidRDefault="0055448C" w:rsidP="00F94FF6">
      <w:pPr>
        <w:spacing w:after="0" w:line="276" w:lineRule="auto"/>
        <w:ind w:firstLine="720"/>
        <w:jc w:val="both"/>
        <w:rPr>
          <w:rFonts w:asciiTheme="majorHAnsi" w:hAnsiTheme="majorHAnsi" w:cstheme="majorHAnsi"/>
          <w:color w:val="000000"/>
          <w:sz w:val="24"/>
          <w:szCs w:val="24"/>
          <w:lang w:val="ro-MD"/>
        </w:rPr>
      </w:pPr>
      <w:r w:rsidRPr="001360C9">
        <w:rPr>
          <w:rFonts w:asciiTheme="majorHAnsi" w:hAnsiTheme="majorHAnsi" w:cstheme="majorHAnsi"/>
          <w:color w:val="000000"/>
          <w:sz w:val="24"/>
          <w:szCs w:val="24"/>
          <w:lang w:val="ro-MD"/>
        </w:rPr>
        <w:t>A</w:t>
      </w:r>
      <w:r w:rsidR="006E4771" w:rsidRPr="001360C9">
        <w:rPr>
          <w:rFonts w:asciiTheme="majorHAnsi" w:hAnsiTheme="majorHAnsi" w:cstheme="majorHAnsi"/>
          <w:color w:val="000000"/>
          <w:sz w:val="24"/>
          <w:szCs w:val="24"/>
          <w:lang w:val="ro-MD"/>
        </w:rPr>
        <w:t xml:space="preserve">uditul datoriei </w:t>
      </w:r>
      <w:r w:rsidRPr="001360C9">
        <w:rPr>
          <w:rFonts w:asciiTheme="majorHAnsi" w:hAnsiTheme="majorHAnsi" w:cstheme="majorHAnsi"/>
          <w:color w:val="000000"/>
          <w:sz w:val="24"/>
          <w:szCs w:val="24"/>
          <w:lang w:val="ro-MD"/>
        </w:rPr>
        <w:t xml:space="preserve"> de stat, garanțiilor de stat și recreditării de stat </w:t>
      </w:r>
      <w:r w:rsidR="006E4771" w:rsidRPr="001360C9">
        <w:rPr>
          <w:rFonts w:asciiTheme="majorHAnsi" w:hAnsiTheme="majorHAnsi" w:cstheme="majorHAnsi"/>
          <w:color w:val="000000"/>
          <w:sz w:val="24"/>
          <w:szCs w:val="24"/>
          <w:lang w:val="ro-MD"/>
        </w:rPr>
        <w:t xml:space="preserve">ar </w:t>
      </w:r>
      <w:r w:rsidR="00B60A90" w:rsidRPr="001360C9">
        <w:rPr>
          <w:rFonts w:asciiTheme="majorHAnsi" w:hAnsiTheme="majorHAnsi" w:cstheme="majorHAnsi"/>
          <w:color w:val="000000"/>
          <w:sz w:val="24"/>
          <w:szCs w:val="24"/>
          <w:lang w:val="ro-MD"/>
        </w:rPr>
        <w:t xml:space="preserve">putea </w:t>
      </w:r>
      <w:r w:rsidR="00F775F6" w:rsidRPr="001360C9">
        <w:rPr>
          <w:rFonts w:asciiTheme="majorHAnsi" w:hAnsiTheme="majorHAnsi" w:cstheme="majorHAnsi"/>
          <w:color w:val="000000"/>
          <w:sz w:val="24"/>
          <w:szCs w:val="24"/>
          <w:lang w:val="ro-MD"/>
        </w:rPr>
        <w:t xml:space="preserve">să </w:t>
      </w:r>
      <w:r w:rsidR="006E4771" w:rsidRPr="001360C9">
        <w:rPr>
          <w:rFonts w:asciiTheme="majorHAnsi" w:hAnsiTheme="majorHAnsi" w:cstheme="majorHAnsi"/>
          <w:color w:val="000000"/>
          <w:sz w:val="24"/>
          <w:szCs w:val="24"/>
          <w:lang w:val="ro-MD"/>
        </w:rPr>
        <w:t>contribui</w:t>
      </w:r>
      <w:r w:rsidR="00F775F6" w:rsidRPr="001360C9">
        <w:rPr>
          <w:rFonts w:asciiTheme="majorHAnsi" w:hAnsiTheme="majorHAnsi" w:cstheme="majorHAnsi"/>
          <w:color w:val="000000"/>
          <w:sz w:val="24"/>
          <w:szCs w:val="24"/>
          <w:lang w:val="ro-MD"/>
        </w:rPr>
        <w:t>e</w:t>
      </w:r>
      <w:r w:rsidR="006E4771" w:rsidRPr="001360C9">
        <w:rPr>
          <w:rFonts w:asciiTheme="majorHAnsi" w:hAnsiTheme="majorHAnsi" w:cstheme="majorHAnsi"/>
          <w:color w:val="000000"/>
          <w:sz w:val="24"/>
          <w:szCs w:val="24"/>
          <w:lang w:val="ro-MD"/>
        </w:rPr>
        <w:t xml:space="preserve"> la </w:t>
      </w:r>
      <w:r w:rsidR="00CB2763" w:rsidRPr="001360C9">
        <w:rPr>
          <w:rFonts w:asciiTheme="majorHAnsi" w:hAnsiTheme="majorHAnsi" w:cstheme="majorHAnsi"/>
          <w:color w:val="000000"/>
          <w:sz w:val="24"/>
          <w:szCs w:val="24"/>
          <w:lang w:val="ro-MD"/>
        </w:rPr>
        <w:t xml:space="preserve">accentuarea </w:t>
      </w:r>
      <w:r w:rsidR="006E4771" w:rsidRPr="001360C9">
        <w:rPr>
          <w:rFonts w:asciiTheme="majorHAnsi" w:hAnsiTheme="majorHAnsi" w:cstheme="majorHAnsi"/>
          <w:color w:val="000000"/>
          <w:sz w:val="24"/>
          <w:szCs w:val="24"/>
          <w:lang w:val="ro-MD"/>
        </w:rPr>
        <w:t xml:space="preserve">semnificației și </w:t>
      </w:r>
      <w:r w:rsidR="00CB2763" w:rsidRPr="001360C9">
        <w:rPr>
          <w:rFonts w:asciiTheme="majorHAnsi" w:hAnsiTheme="majorHAnsi" w:cstheme="majorHAnsi"/>
          <w:color w:val="000000"/>
          <w:sz w:val="24"/>
          <w:szCs w:val="24"/>
          <w:lang w:val="ro-MD"/>
        </w:rPr>
        <w:t xml:space="preserve">la </w:t>
      </w:r>
      <w:r w:rsidR="006E4771" w:rsidRPr="001360C9">
        <w:rPr>
          <w:rFonts w:asciiTheme="majorHAnsi" w:hAnsiTheme="majorHAnsi" w:cstheme="majorHAnsi"/>
          <w:color w:val="000000"/>
          <w:sz w:val="24"/>
          <w:szCs w:val="24"/>
          <w:lang w:val="ro-MD"/>
        </w:rPr>
        <w:t xml:space="preserve">beneficiile gestionării </w:t>
      </w:r>
      <w:r w:rsidR="00F94FF6" w:rsidRPr="001360C9">
        <w:rPr>
          <w:rFonts w:asciiTheme="majorHAnsi" w:hAnsiTheme="majorHAnsi" w:cstheme="majorHAnsi"/>
          <w:color w:val="000000"/>
          <w:sz w:val="24"/>
          <w:szCs w:val="24"/>
          <w:lang w:val="ro-MD"/>
        </w:rPr>
        <w:t>acestuia</w:t>
      </w:r>
      <w:r w:rsidR="00CB2763" w:rsidRPr="001360C9">
        <w:rPr>
          <w:rFonts w:asciiTheme="majorHAnsi" w:hAnsiTheme="majorHAnsi" w:cstheme="majorHAnsi"/>
          <w:color w:val="000000"/>
          <w:sz w:val="24"/>
          <w:szCs w:val="24"/>
          <w:lang w:val="ro-MD"/>
        </w:rPr>
        <w:t>, precum</w:t>
      </w:r>
      <w:r w:rsidR="006E4771" w:rsidRPr="001360C9">
        <w:rPr>
          <w:rFonts w:asciiTheme="majorHAnsi" w:hAnsiTheme="majorHAnsi" w:cstheme="majorHAnsi"/>
          <w:color w:val="000000"/>
          <w:sz w:val="24"/>
          <w:szCs w:val="24"/>
          <w:lang w:val="ro-MD"/>
        </w:rPr>
        <w:t xml:space="preserve"> și să ajute factorii de decizie s</w:t>
      </w:r>
      <w:r w:rsidR="00F94FF6" w:rsidRPr="001360C9">
        <w:rPr>
          <w:rFonts w:asciiTheme="majorHAnsi" w:hAnsiTheme="majorHAnsi" w:cstheme="majorHAnsi"/>
          <w:color w:val="000000"/>
          <w:sz w:val="24"/>
          <w:szCs w:val="24"/>
          <w:lang w:val="ro-MD"/>
        </w:rPr>
        <w:t>ă înțeleagă riscurile datoriei</w:t>
      </w:r>
      <w:r w:rsidR="006E4771" w:rsidRPr="001360C9">
        <w:rPr>
          <w:rFonts w:asciiTheme="majorHAnsi" w:hAnsiTheme="majorHAnsi" w:cstheme="majorHAnsi"/>
          <w:color w:val="000000"/>
          <w:sz w:val="24"/>
          <w:szCs w:val="24"/>
          <w:lang w:val="ro-MD"/>
        </w:rPr>
        <w:t>. De asemenea, audit</w:t>
      </w:r>
      <w:r w:rsidR="00B60A90" w:rsidRPr="001360C9">
        <w:rPr>
          <w:rFonts w:asciiTheme="majorHAnsi" w:hAnsiTheme="majorHAnsi" w:cstheme="majorHAnsi"/>
          <w:color w:val="000000"/>
          <w:sz w:val="24"/>
          <w:szCs w:val="24"/>
          <w:lang w:val="ro-MD"/>
        </w:rPr>
        <w:t>ul contribuie la</w:t>
      </w:r>
      <w:r w:rsidR="006E4771" w:rsidRPr="001360C9">
        <w:rPr>
          <w:rFonts w:asciiTheme="majorHAnsi" w:hAnsiTheme="majorHAnsi" w:cstheme="majorHAnsi"/>
          <w:color w:val="000000"/>
          <w:sz w:val="24"/>
          <w:szCs w:val="24"/>
          <w:lang w:val="ro-MD"/>
        </w:rPr>
        <w:t xml:space="preserve"> consolida</w:t>
      </w:r>
      <w:r w:rsidR="00B60A90" w:rsidRPr="001360C9">
        <w:rPr>
          <w:rFonts w:asciiTheme="majorHAnsi" w:hAnsiTheme="majorHAnsi" w:cstheme="majorHAnsi"/>
          <w:color w:val="000000"/>
          <w:sz w:val="24"/>
          <w:szCs w:val="24"/>
          <w:lang w:val="ro-MD"/>
        </w:rPr>
        <w:t>rea transparenței</w:t>
      </w:r>
      <w:r w:rsidR="006E4771" w:rsidRPr="001360C9">
        <w:rPr>
          <w:rFonts w:asciiTheme="majorHAnsi" w:hAnsiTheme="majorHAnsi" w:cstheme="majorHAnsi"/>
          <w:color w:val="000000"/>
          <w:sz w:val="24"/>
          <w:szCs w:val="24"/>
          <w:lang w:val="ro-MD"/>
        </w:rPr>
        <w:t xml:space="preserve"> și responsabilit</w:t>
      </w:r>
      <w:r w:rsidR="00B60A90" w:rsidRPr="001360C9">
        <w:rPr>
          <w:rFonts w:asciiTheme="majorHAnsi" w:hAnsiTheme="majorHAnsi" w:cstheme="majorHAnsi"/>
          <w:color w:val="000000"/>
          <w:sz w:val="24"/>
          <w:szCs w:val="24"/>
          <w:lang w:val="ro-MD"/>
        </w:rPr>
        <w:t>ății</w:t>
      </w:r>
      <w:r w:rsidR="006E4771" w:rsidRPr="001360C9">
        <w:rPr>
          <w:rFonts w:asciiTheme="majorHAnsi" w:hAnsiTheme="majorHAnsi" w:cstheme="majorHAnsi"/>
          <w:color w:val="000000"/>
          <w:sz w:val="24"/>
          <w:szCs w:val="24"/>
          <w:lang w:val="ro-MD"/>
        </w:rPr>
        <w:t xml:space="preserve"> managerilor datoriei.</w:t>
      </w:r>
    </w:p>
    <w:p w14:paraId="415D7DB2" w14:textId="55CC383F" w:rsidR="000B7421" w:rsidRPr="001360C9" w:rsidRDefault="000B7421" w:rsidP="000B7421">
      <w:pPr>
        <w:spacing w:after="0" w:line="276" w:lineRule="auto"/>
        <w:ind w:firstLine="720"/>
        <w:jc w:val="both"/>
        <w:rPr>
          <w:rFonts w:asciiTheme="majorHAnsi" w:hAnsiTheme="majorHAnsi" w:cstheme="majorHAnsi"/>
          <w:color w:val="000000"/>
          <w:sz w:val="24"/>
          <w:szCs w:val="24"/>
          <w:highlight w:val="yellow"/>
          <w:lang w:val="ro-MD"/>
        </w:rPr>
      </w:pPr>
      <w:r w:rsidRPr="001360C9">
        <w:rPr>
          <w:rFonts w:asciiTheme="majorHAnsi" w:hAnsiTheme="majorHAnsi" w:cstheme="majorHAnsi"/>
          <w:b/>
          <w:bCs/>
          <w:sz w:val="24"/>
          <w:szCs w:val="24"/>
          <w:lang w:val="ro-MD"/>
        </w:rPr>
        <w:t>O</w:t>
      </w:r>
      <w:r w:rsidR="006E4771" w:rsidRPr="001360C9">
        <w:rPr>
          <w:rFonts w:asciiTheme="majorHAnsi" w:hAnsiTheme="majorHAnsi" w:cstheme="majorHAnsi"/>
          <w:b/>
          <w:bCs/>
          <w:sz w:val="24"/>
          <w:szCs w:val="24"/>
          <w:lang w:val="ro-MD"/>
        </w:rPr>
        <w:t>biectivul general</w:t>
      </w:r>
      <w:r w:rsidR="006E4771" w:rsidRPr="001360C9">
        <w:rPr>
          <w:rFonts w:asciiTheme="majorHAnsi" w:hAnsiTheme="majorHAnsi" w:cstheme="majorHAnsi"/>
          <w:bCs/>
          <w:sz w:val="24"/>
          <w:szCs w:val="24"/>
          <w:lang w:val="ro-MD"/>
        </w:rPr>
        <w:t xml:space="preserve"> al auditului a constat în </w:t>
      </w:r>
      <w:r w:rsidRPr="001360C9">
        <w:rPr>
          <w:rFonts w:asciiTheme="majorHAnsi" w:hAnsiTheme="majorHAnsi" w:cstheme="majorHAnsi"/>
          <w:bCs/>
          <w:sz w:val="24"/>
          <w:szCs w:val="24"/>
          <w:lang w:val="ro-MD"/>
        </w:rPr>
        <w:t xml:space="preserve">evaluarea modului de administrare a datoriei de stat, garanțiilor de stat și recreditării de stat de către Ministerul Finanțelor, precum și de </w:t>
      </w:r>
      <w:r w:rsidRPr="001360C9">
        <w:rPr>
          <w:rFonts w:asciiTheme="majorHAnsi" w:hAnsiTheme="majorHAnsi" w:cstheme="majorHAnsi"/>
          <w:sz w:val="24"/>
          <w:szCs w:val="24"/>
          <w:lang w:val="ro-MD"/>
        </w:rPr>
        <w:t xml:space="preserve">monitorizare și organizare a deservirii datoriei de stat, </w:t>
      </w:r>
      <w:r w:rsidRPr="001360C9">
        <w:rPr>
          <w:rFonts w:asciiTheme="majorHAnsi" w:hAnsiTheme="majorHAnsi" w:cstheme="majorHAnsi"/>
          <w:bCs/>
          <w:sz w:val="24"/>
          <w:szCs w:val="24"/>
          <w:lang w:val="ro-MD"/>
        </w:rPr>
        <w:t>prin prisma atribuțiilor c</w:t>
      </w:r>
      <w:r w:rsidR="00BE3DA1">
        <w:rPr>
          <w:rFonts w:asciiTheme="majorHAnsi" w:hAnsiTheme="majorHAnsi" w:cstheme="majorHAnsi"/>
          <w:bCs/>
          <w:sz w:val="24"/>
          <w:szCs w:val="24"/>
          <w:lang w:val="ro-MD"/>
        </w:rPr>
        <w:t>ar</w:t>
      </w:r>
      <w:r w:rsidRPr="001360C9">
        <w:rPr>
          <w:rFonts w:asciiTheme="majorHAnsi" w:hAnsiTheme="majorHAnsi" w:cstheme="majorHAnsi"/>
          <w:bCs/>
          <w:sz w:val="24"/>
          <w:szCs w:val="24"/>
          <w:lang w:val="ro-MD"/>
        </w:rPr>
        <w:t>e îi revin.</w:t>
      </w:r>
    </w:p>
    <w:p w14:paraId="3AABDF65" w14:textId="45023EAB" w:rsidR="006E4771" w:rsidRDefault="006E4771" w:rsidP="00E92F8E">
      <w:pPr>
        <w:spacing w:after="0" w:line="276" w:lineRule="auto"/>
        <w:ind w:firstLine="720"/>
        <w:jc w:val="both"/>
        <w:rPr>
          <w:rFonts w:asciiTheme="majorHAnsi" w:hAnsiTheme="majorHAnsi" w:cstheme="majorHAnsi"/>
          <w:sz w:val="24"/>
          <w:szCs w:val="24"/>
          <w:lang w:val="ro-RO"/>
        </w:rPr>
      </w:pPr>
      <w:r w:rsidRPr="00850A27">
        <w:rPr>
          <w:rFonts w:asciiTheme="majorHAnsi" w:hAnsiTheme="majorHAnsi" w:cstheme="majorHAnsi"/>
          <w:sz w:val="24"/>
          <w:szCs w:val="24"/>
          <w:lang w:val="ro-RO"/>
        </w:rPr>
        <w:t xml:space="preserve">În scopul atingerii obiectivului general, </w:t>
      </w:r>
      <w:r w:rsidR="00F86F1B">
        <w:rPr>
          <w:rFonts w:asciiTheme="majorHAnsi" w:hAnsiTheme="majorHAnsi" w:cstheme="majorHAnsi"/>
          <w:sz w:val="24"/>
          <w:szCs w:val="24"/>
          <w:lang w:val="ro-RO"/>
        </w:rPr>
        <w:t xml:space="preserve">auditul public extern a stabilit </w:t>
      </w:r>
      <w:r w:rsidRPr="00850A27">
        <w:rPr>
          <w:rFonts w:asciiTheme="majorHAnsi" w:hAnsiTheme="majorHAnsi" w:cstheme="majorHAnsi"/>
          <w:sz w:val="24"/>
          <w:szCs w:val="24"/>
          <w:lang w:val="ro-RO"/>
        </w:rPr>
        <w:t xml:space="preserve"> următoarele obiective specifice</w:t>
      </w:r>
      <w:r w:rsidR="00F63CD9" w:rsidRPr="00850A27">
        <w:rPr>
          <w:rFonts w:asciiTheme="majorHAnsi" w:hAnsiTheme="majorHAnsi" w:cstheme="majorHAnsi"/>
          <w:sz w:val="24"/>
          <w:szCs w:val="24"/>
          <w:lang w:val="ro-RO"/>
        </w:rPr>
        <w:t xml:space="preserve">, </w:t>
      </w:r>
      <w:r w:rsidRPr="00850A27">
        <w:rPr>
          <w:rFonts w:asciiTheme="majorHAnsi" w:hAnsiTheme="majorHAnsi" w:cstheme="majorHAnsi"/>
          <w:sz w:val="24"/>
          <w:szCs w:val="24"/>
          <w:lang w:val="ro-RO"/>
        </w:rPr>
        <w:t>dar nu s</w:t>
      </w:r>
      <w:r w:rsidR="00F86F1B">
        <w:rPr>
          <w:rFonts w:asciiTheme="majorHAnsi" w:hAnsiTheme="majorHAnsi" w:cstheme="majorHAnsi"/>
          <w:sz w:val="24"/>
          <w:szCs w:val="24"/>
          <w:lang w:val="ro-RO"/>
        </w:rPr>
        <w:t>-au</w:t>
      </w:r>
      <w:r w:rsidRPr="00850A27">
        <w:rPr>
          <w:rFonts w:asciiTheme="majorHAnsi" w:hAnsiTheme="majorHAnsi" w:cstheme="majorHAnsi"/>
          <w:sz w:val="24"/>
          <w:szCs w:val="24"/>
          <w:lang w:val="ro-RO"/>
        </w:rPr>
        <w:t xml:space="preserve"> limit</w:t>
      </w:r>
      <w:r w:rsidR="00F86F1B">
        <w:rPr>
          <w:rFonts w:asciiTheme="majorHAnsi" w:hAnsiTheme="majorHAnsi" w:cstheme="majorHAnsi"/>
          <w:sz w:val="24"/>
          <w:szCs w:val="24"/>
          <w:lang w:val="ro-RO"/>
        </w:rPr>
        <w:t>at</w:t>
      </w:r>
      <w:r w:rsidRPr="00850A27">
        <w:rPr>
          <w:rFonts w:asciiTheme="majorHAnsi" w:hAnsiTheme="majorHAnsi" w:cstheme="majorHAnsi"/>
          <w:sz w:val="24"/>
          <w:szCs w:val="24"/>
          <w:lang w:val="ro-RO"/>
        </w:rPr>
        <w:t xml:space="preserve"> la acestea:</w:t>
      </w:r>
    </w:p>
    <w:p w14:paraId="6EA5F556" w14:textId="77777777" w:rsidR="00BB7FAC" w:rsidRPr="008E6807" w:rsidRDefault="00BB7FAC" w:rsidP="00BB7FAC">
      <w:pPr>
        <w:tabs>
          <w:tab w:val="left" w:pos="284"/>
          <w:tab w:val="left" w:pos="567"/>
        </w:tabs>
        <w:spacing w:after="0"/>
        <w:jc w:val="both"/>
        <w:rPr>
          <w:rFonts w:asciiTheme="majorHAnsi" w:hAnsiTheme="majorHAnsi"/>
          <w:sz w:val="24"/>
          <w:lang w:val="ro-RO"/>
        </w:rPr>
      </w:pPr>
      <w:r w:rsidRPr="008E6807">
        <w:rPr>
          <w:b/>
          <w:lang w:val="ro-RO"/>
        </w:rPr>
        <w:lastRenderedPageBreak/>
        <w:tab/>
      </w:r>
      <w:r w:rsidRPr="008E6807">
        <w:rPr>
          <w:b/>
          <w:lang w:val="ro-RO"/>
        </w:rPr>
        <w:tab/>
      </w:r>
      <w:r w:rsidRPr="008E6807">
        <w:rPr>
          <w:rFonts w:asciiTheme="majorHAnsi" w:hAnsiTheme="majorHAnsi"/>
          <w:b/>
          <w:sz w:val="24"/>
          <w:lang w:val="ro-RO"/>
        </w:rPr>
        <w:t>Obiectivul specific I.</w:t>
      </w:r>
      <w:r w:rsidRPr="008E6807">
        <w:rPr>
          <w:rFonts w:asciiTheme="majorHAnsi" w:hAnsiTheme="majorHAnsi"/>
          <w:sz w:val="24"/>
          <w:lang w:val="ro-RO"/>
        </w:rPr>
        <w:t xml:space="preserve"> Evaluarea structurii portofoliului datoriei de stat</w:t>
      </w:r>
      <w:r w:rsidR="00034599" w:rsidRPr="008E6807">
        <w:rPr>
          <w:rFonts w:asciiTheme="majorHAnsi" w:hAnsiTheme="majorHAnsi"/>
          <w:sz w:val="24"/>
          <w:lang w:val="ro-RO"/>
        </w:rPr>
        <w:t xml:space="preserve"> și on</w:t>
      </w:r>
      <w:r w:rsidR="00317DEE" w:rsidRPr="008E6807">
        <w:rPr>
          <w:rFonts w:asciiTheme="majorHAnsi" w:hAnsiTheme="majorHAnsi"/>
          <w:sz w:val="24"/>
          <w:lang w:val="ro-RO"/>
        </w:rPr>
        <w:t xml:space="preserve">orarea </w:t>
      </w:r>
      <w:proofErr w:type="spellStart"/>
      <w:r w:rsidR="00317DEE" w:rsidRPr="008E6807">
        <w:rPr>
          <w:rFonts w:asciiTheme="majorHAnsi" w:hAnsiTheme="majorHAnsi"/>
          <w:sz w:val="24"/>
          <w:lang w:val="ro-RO"/>
        </w:rPr>
        <w:t>obligaţiunilor</w:t>
      </w:r>
      <w:proofErr w:type="spellEnd"/>
      <w:r w:rsidR="00317DEE" w:rsidRPr="008E6807">
        <w:rPr>
          <w:rFonts w:asciiTheme="majorHAnsi" w:hAnsiTheme="majorHAnsi"/>
          <w:sz w:val="24"/>
          <w:lang w:val="ro-RO"/>
        </w:rPr>
        <w:t xml:space="preserve"> statului </w:t>
      </w:r>
      <w:r w:rsidR="00B852E2" w:rsidRPr="00A44A4E">
        <w:rPr>
          <w:rFonts w:asciiTheme="majorHAnsi" w:hAnsiTheme="majorHAnsi"/>
          <w:sz w:val="24"/>
          <w:lang w:val="ro-RO"/>
        </w:rPr>
        <w:t xml:space="preserve">privind </w:t>
      </w:r>
      <w:r w:rsidR="00317DEE" w:rsidRPr="00A44A4E">
        <w:rPr>
          <w:rFonts w:asciiTheme="majorHAnsi" w:hAnsiTheme="majorHAnsi"/>
          <w:sz w:val="24"/>
          <w:lang w:val="ro-RO"/>
        </w:rPr>
        <w:t>deservire</w:t>
      </w:r>
      <w:r w:rsidR="00B852E2" w:rsidRPr="00A44A4E">
        <w:rPr>
          <w:rFonts w:asciiTheme="majorHAnsi" w:hAnsiTheme="majorHAnsi"/>
          <w:sz w:val="24"/>
          <w:lang w:val="ro-RO"/>
        </w:rPr>
        <w:t>a</w:t>
      </w:r>
      <w:r w:rsidR="00A02E2D" w:rsidRPr="00A44A4E">
        <w:rPr>
          <w:rFonts w:asciiTheme="majorHAnsi" w:hAnsiTheme="majorHAnsi"/>
          <w:sz w:val="24"/>
          <w:lang w:val="ro-RO"/>
        </w:rPr>
        <w:t xml:space="preserve"> datoriei</w:t>
      </w:r>
      <w:r w:rsidRPr="00A44A4E">
        <w:rPr>
          <w:rFonts w:asciiTheme="majorHAnsi" w:hAnsiTheme="majorHAnsi"/>
          <w:sz w:val="24"/>
          <w:lang w:val="ro-RO"/>
        </w:rPr>
        <w:t>.</w:t>
      </w:r>
    </w:p>
    <w:p w14:paraId="6FC1E7AA" w14:textId="77777777" w:rsidR="00BB7FAC" w:rsidRPr="008E6807" w:rsidRDefault="00BB7FAC" w:rsidP="00BB7FAC">
      <w:pPr>
        <w:tabs>
          <w:tab w:val="left" w:pos="284"/>
          <w:tab w:val="left" w:pos="567"/>
        </w:tabs>
        <w:spacing w:after="0"/>
        <w:jc w:val="both"/>
        <w:rPr>
          <w:rFonts w:asciiTheme="majorHAnsi" w:hAnsiTheme="majorHAnsi"/>
          <w:sz w:val="24"/>
          <w:lang w:val="ro-RO"/>
        </w:rPr>
      </w:pPr>
      <w:r w:rsidRPr="008E6807">
        <w:rPr>
          <w:rFonts w:asciiTheme="majorHAnsi" w:hAnsiTheme="majorHAnsi"/>
          <w:sz w:val="24"/>
          <w:lang w:val="ro-RO"/>
        </w:rPr>
        <w:tab/>
      </w:r>
      <w:r w:rsidRPr="008E6807">
        <w:rPr>
          <w:rFonts w:asciiTheme="majorHAnsi" w:hAnsiTheme="majorHAnsi"/>
          <w:sz w:val="24"/>
          <w:lang w:val="ro-RO"/>
        </w:rPr>
        <w:tab/>
      </w:r>
      <w:r w:rsidRPr="008E6807">
        <w:rPr>
          <w:rFonts w:asciiTheme="majorHAnsi" w:hAnsiTheme="majorHAnsi"/>
          <w:b/>
          <w:sz w:val="24"/>
          <w:lang w:val="ro-RO"/>
        </w:rPr>
        <w:t>Obiectivul specific II.</w:t>
      </w:r>
      <w:r w:rsidR="00035B66" w:rsidRPr="008E6807">
        <w:rPr>
          <w:rFonts w:asciiTheme="majorHAnsi" w:hAnsiTheme="majorHAnsi"/>
          <w:sz w:val="24"/>
          <w:lang w:val="ro-RO"/>
        </w:rPr>
        <w:t xml:space="preserve"> E</w:t>
      </w:r>
      <w:r w:rsidR="00077096" w:rsidRPr="008E6807">
        <w:rPr>
          <w:rFonts w:asciiTheme="majorHAnsi" w:hAnsiTheme="majorHAnsi"/>
          <w:sz w:val="24"/>
          <w:lang w:val="ro-RO"/>
        </w:rPr>
        <w:t xml:space="preserve">valuarea </w:t>
      </w:r>
      <w:r w:rsidR="004C2D5A" w:rsidRPr="008E6807">
        <w:rPr>
          <w:rFonts w:asciiTheme="majorHAnsi" w:hAnsiTheme="majorHAnsi"/>
          <w:sz w:val="24"/>
          <w:lang w:val="ro-RO"/>
        </w:rPr>
        <w:t>tendințelor de acordare</w:t>
      </w:r>
      <w:r w:rsidRPr="008E6807">
        <w:rPr>
          <w:rFonts w:asciiTheme="majorHAnsi" w:hAnsiTheme="majorHAnsi"/>
          <w:sz w:val="24"/>
          <w:lang w:val="ro-RO"/>
        </w:rPr>
        <w:t xml:space="preserve"> a garanțiilor de stat</w:t>
      </w:r>
      <w:r w:rsidR="00754482" w:rsidRPr="008E6807">
        <w:rPr>
          <w:rFonts w:asciiTheme="majorHAnsi" w:hAnsiTheme="majorHAnsi"/>
          <w:sz w:val="24"/>
          <w:lang w:val="ro-RO"/>
        </w:rPr>
        <w:t>.</w:t>
      </w:r>
      <w:r w:rsidR="000865B3" w:rsidRPr="008E6807">
        <w:rPr>
          <w:rFonts w:asciiTheme="majorHAnsi" w:hAnsiTheme="majorHAnsi"/>
          <w:sz w:val="24"/>
          <w:lang w:val="ro-RO"/>
        </w:rPr>
        <w:t xml:space="preserve"> </w:t>
      </w:r>
    </w:p>
    <w:p w14:paraId="7CE155AC" w14:textId="713D346F" w:rsidR="00BB7FAC" w:rsidRPr="008E6807" w:rsidRDefault="00BB7FAC" w:rsidP="00A21C06">
      <w:pPr>
        <w:tabs>
          <w:tab w:val="left" w:pos="284"/>
          <w:tab w:val="left" w:pos="567"/>
        </w:tabs>
        <w:spacing w:after="0"/>
        <w:jc w:val="both"/>
        <w:rPr>
          <w:rFonts w:asciiTheme="majorHAnsi" w:hAnsiTheme="majorHAnsi"/>
          <w:sz w:val="24"/>
          <w:lang w:val="ro-RO"/>
        </w:rPr>
      </w:pPr>
      <w:r w:rsidRPr="008E6807">
        <w:rPr>
          <w:rFonts w:asciiTheme="majorHAnsi" w:hAnsiTheme="majorHAnsi"/>
          <w:sz w:val="24"/>
          <w:lang w:val="ro-RO"/>
        </w:rPr>
        <w:tab/>
      </w:r>
      <w:r w:rsidRPr="008E6807">
        <w:rPr>
          <w:rFonts w:asciiTheme="majorHAnsi" w:hAnsiTheme="majorHAnsi"/>
          <w:sz w:val="24"/>
          <w:lang w:val="ro-RO"/>
        </w:rPr>
        <w:tab/>
      </w:r>
      <w:r w:rsidRPr="008E6807">
        <w:rPr>
          <w:rFonts w:asciiTheme="majorHAnsi" w:hAnsiTheme="majorHAnsi"/>
          <w:b/>
          <w:sz w:val="24"/>
          <w:lang w:val="ro-RO"/>
        </w:rPr>
        <w:t xml:space="preserve">Obiectivul specific III. </w:t>
      </w:r>
      <w:r w:rsidRPr="008E6807">
        <w:rPr>
          <w:rFonts w:asciiTheme="majorHAnsi" w:hAnsiTheme="majorHAnsi"/>
          <w:sz w:val="24"/>
          <w:lang w:val="ro-RO"/>
        </w:rPr>
        <w:t>Evalua</w:t>
      </w:r>
      <w:r w:rsidR="000865B3" w:rsidRPr="008E6807">
        <w:rPr>
          <w:rFonts w:asciiTheme="majorHAnsi" w:hAnsiTheme="majorHAnsi"/>
          <w:sz w:val="24"/>
          <w:lang w:val="ro-RO"/>
        </w:rPr>
        <w:t>rea direcțiilor</w:t>
      </w:r>
      <w:r w:rsidRPr="008E6807">
        <w:rPr>
          <w:rFonts w:asciiTheme="majorHAnsi" w:hAnsiTheme="majorHAnsi"/>
          <w:sz w:val="24"/>
          <w:lang w:val="ro-RO"/>
        </w:rPr>
        <w:t xml:space="preserve"> de recreditare din contul îm</w:t>
      </w:r>
      <w:r w:rsidR="00027CE1" w:rsidRPr="008E6807">
        <w:rPr>
          <w:rFonts w:asciiTheme="majorHAnsi" w:hAnsiTheme="majorHAnsi"/>
          <w:sz w:val="24"/>
          <w:lang w:val="ro-RO"/>
        </w:rPr>
        <w:t xml:space="preserve">prumuturilor externe și </w:t>
      </w:r>
      <w:r w:rsidR="005854C0">
        <w:rPr>
          <w:rFonts w:asciiTheme="majorHAnsi" w:hAnsiTheme="majorHAnsi"/>
          <w:sz w:val="24"/>
          <w:lang w:val="ro-RO"/>
        </w:rPr>
        <w:t xml:space="preserve">a </w:t>
      </w:r>
      <w:r w:rsidR="00027CE1" w:rsidRPr="008E6807">
        <w:rPr>
          <w:rFonts w:asciiTheme="majorHAnsi" w:hAnsiTheme="majorHAnsi"/>
          <w:sz w:val="24"/>
          <w:lang w:val="ro-RO"/>
        </w:rPr>
        <w:t>respect</w:t>
      </w:r>
      <w:r w:rsidR="005854C0">
        <w:rPr>
          <w:rFonts w:asciiTheme="majorHAnsi" w:hAnsiTheme="majorHAnsi"/>
          <w:sz w:val="24"/>
          <w:lang w:val="ro-RO"/>
        </w:rPr>
        <w:t>ării</w:t>
      </w:r>
      <w:r w:rsidRPr="008E6807">
        <w:rPr>
          <w:rFonts w:asciiTheme="majorHAnsi" w:hAnsiTheme="majorHAnsi"/>
          <w:sz w:val="24"/>
          <w:lang w:val="ro-RO"/>
        </w:rPr>
        <w:t xml:space="preserve"> obligațiunilor beneficiarilor </w:t>
      </w:r>
      <w:proofErr w:type="spellStart"/>
      <w:r w:rsidRPr="008E6807">
        <w:rPr>
          <w:rFonts w:asciiTheme="majorHAnsi" w:hAnsiTheme="majorHAnsi"/>
          <w:sz w:val="24"/>
          <w:lang w:val="ro-RO"/>
        </w:rPr>
        <w:t>recreditați</w:t>
      </w:r>
      <w:proofErr w:type="spellEnd"/>
      <w:r w:rsidRPr="008E6807">
        <w:rPr>
          <w:rFonts w:asciiTheme="majorHAnsi" w:hAnsiTheme="majorHAnsi"/>
          <w:sz w:val="24"/>
          <w:lang w:val="ro-RO"/>
        </w:rPr>
        <w:t>.</w:t>
      </w:r>
    </w:p>
    <w:p w14:paraId="6BA09D7E" w14:textId="77777777" w:rsidR="00B919D2" w:rsidRPr="001360C9" w:rsidRDefault="006E4771" w:rsidP="00B919D2">
      <w:pPr>
        <w:tabs>
          <w:tab w:val="left" w:pos="284"/>
          <w:tab w:val="left" w:pos="567"/>
        </w:tabs>
        <w:spacing w:after="0"/>
        <w:ind w:firstLine="567"/>
        <w:jc w:val="both"/>
        <w:rPr>
          <w:rFonts w:asciiTheme="majorHAnsi" w:hAnsiTheme="majorHAnsi" w:cstheme="majorHAnsi"/>
          <w:sz w:val="24"/>
          <w:szCs w:val="24"/>
          <w:lang w:val="ro-MD"/>
        </w:rPr>
      </w:pPr>
      <w:r w:rsidRPr="00A21C06">
        <w:rPr>
          <w:rFonts w:asciiTheme="majorHAnsi" w:hAnsiTheme="majorHAnsi" w:cstheme="majorHAnsi"/>
          <w:b/>
          <w:bCs/>
          <w:sz w:val="24"/>
          <w:szCs w:val="24"/>
          <w:lang w:val="ro-RO"/>
        </w:rPr>
        <w:t>Sfera auditului</w:t>
      </w:r>
      <w:r w:rsidRPr="00A21C06">
        <w:rPr>
          <w:rFonts w:asciiTheme="majorHAnsi" w:hAnsiTheme="majorHAnsi" w:cstheme="majorHAnsi"/>
          <w:sz w:val="24"/>
          <w:szCs w:val="24"/>
          <w:lang w:val="ro-RO"/>
        </w:rPr>
        <w:t xml:space="preserve"> a cuprins examinarea măsurilor întreprinse de MF în calitate de autoritate a administrației publice </w:t>
      </w:r>
      <w:r w:rsidRPr="00A21C06">
        <w:rPr>
          <w:rFonts w:asciiTheme="majorHAnsi" w:hAnsiTheme="majorHAnsi" w:cstheme="majorHAnsi"/>
          <w:bCs/>
          <w:sz w:val="24"/>
          <w:szCs w:val="24"/>
          <w:lang w:val="ro-RO"/>
        </w:rPr>
        <w:t>centrale de specialitate responsabilă de a</w:t>
      </w:r>
      <w:r w:rsidR="00A32A67" w:rsidRPr="00A21C06">
        <w:rPr>
          <w:rFonts w:asciiTheme="majorHAnsi" w:hAnsiTheme="majorHAnsi" w:cstheme="majorHAnsi"/>
          <w:sz w:val="24"/>
          <w:szCs w:val="24"/>
          <w:lang w:val="ro-RO"/>
        </w:rPr>
        <w:t>dministrarea datoriei de stat, garanțiilor de stat și recreditării de stat,</w:t>
      </w:r>
      <w:r w:rsidRPr="00A21C06">
        <w:rPr>
          <w:rFonts w:asciiTheme="majorHAnsi" w:hAnsiTheme="majorHAnsi" w:cstheme="majorHAnsi"/>
          <w:sz w:val="24"/>
          <w:szCs w:val="24"/>
          <w:lang w:val="ro-RO"/>
        </w:rPr>
        <w:t xml:space="preserve"> precum și de </w:t>
      </w:r>
      <w:r w:rsidR="00A32A67" w:rsidRPr="001360C9">
        <w:rPr>
          <w:rFonts w:asciiTheme="majorHAnsi" w:hAnsiTheme="majorHAnsi" w:cstheme="majorHAnsi"/>
          <w:sz w:val="24"/>
          <w:szCs w:val="24"/>
          <w:lang w:val="ro-MD"/>
        </w:rPr>
        <w:t>monitorizare</w:t>
      </w:r>
      <w:r w:rsidR="00E459E9" w:rsidRPr="001360C9">
        <w:rPr>
          <w:rFonts w:asciiTheme="majorHAnsi" w:hAnsiTheme="majorHAnsi" w:cstheme="majorHAnsi"/>
          <w:sz w:val="24"/>
          <w:szCs w:val="24"/>
          <w:lang w:val="ro-MD"/>
        </w:rPr>
        <w:t>a și organizare</w:t>
      </w:r>
      <w:r w:rsidR="00A32A67" w:rsidRPr="001360C9">
        <w:rPr>
          <w:rFonts w:asciiTheme="majorHAnsi" w:hAnsiTheme="majorHAnsi" w:cstheme="majorHAnsi"/>
          <w:sz w:val="24"/>
          <w:szCs w:val="24"/>
          <w:lang w:val="ro-MD"/>
        </w:rPr>
        <w:t>a deservirii datoriei de stat</w:t>
      </w:r>
      <w:r w:rsidR="00573075" w:rsidRPr="001360C9">
        <w:rPr>
          <w:rFonts w:asciiTheme="majorHAnsi" w:hAnsiTheme="majorHAnsi" w:cstheme="majorHAnsi"/>
          <w:sz w:val="24"/>
          <w:szCs w:val="24"/>
          <w:lang w:val="ro-MD"/>
        </w:rPr>
        <w:t xml:space="preserve">, </w:t>
      </w:r>
      <w:r w:rsidRPr="00A21C06">
        <w:rPr>
          <w:rFonts w:asciiTheme="majorHAnsi" w:hAnsiTheme="majorHAnsi" w:cstheme="majorHAnsi"/>
          <w:sz w:val="24"/>
          <w:szCs w:val="24"/>
          <w:lang w:val="ro-RO"/>
        </w:rPr>
        <w:t xml:space="preserve">în vederea atingerii obiectivelor managementului datoriei </w:t>
      </w:r>
      <w:r w:rsidR="00A21C06" w:rsidRPr="00A21C06">
        <w:rPr>
          <w:rFonts w:asciiTheme="majorHAnsi" w:hAnsiTheme="majorHAnsi" w:cstheme="majorHAnsi"/>
          <w:sz w:val="24"/>
          <w:szCs w:val="24"/>
          <w:lang w:val="ro-RO"/>
        </w:rPr>
        <w:t>de stat pe ani</w:t>
      </w:r>
      <w:r w:rsidR="00E459E9">
        <w:rPr>
          <w:rFonts w:asciiTheme="majorHAnsi" w:hAnsiTheme="majorHAnsi" w:cstheme="majorHAnsi"/>
          <w:sz w:val="24"/>
          <w:szCs w:val="24"/>
          <w:lang w:val="ro-RO"/>
        </w:rPr>
        <w:t>i</w:t>
      </w:r>
      <w:r w:rsidR="00A21C06" w:rsidRPr="00A21C06">
        <w:rPr>
          <w:rFonts w:asciiTheme="majorHAnsi" w:hAnsiTheme="majorHAnsi" w:cstheme="majorHAnsi"/>
          <w:sz w:val="24"/>
          <w:szCs w:val="24"/>
          <w:lang w:val="ro-RO"/>
        </w:rPr>
        <w:t xml:space="preserve"> 2018-2020</w:t>
      </w:r>
      <w:r w:rsidR="0090610B">
        <w:rPr>
          <w:rFonts w:asciiTheme="majorHAnsi" w:hAnsiTheme="majorHAnsi" w:cstheme="majorHAnsi"/>
          <w:sz w:val="24"/>
          <w:szCs w:val="24"/>
          <w:lang w:val="ro-RO"/>
        </w:rPr>
        <w:t xml:space="preserve"> stabilite în Programul</w:t>
      </w:r>
      <w:r w:rsidR="001C76E2">
        <w:rPr>
          <w:rFonts w:asciiTheme="majorHAnsi" w:hAnsiTheme="majorHAnsi" w:cstheme="majorHAnsi"/>
          <w:sz w:val="24"/>
          <w:szCs w:val="24"/>
          <w:lang w:val="ro-RO"/>
        </w:rPr>
        <w:t xml:space="preserve"> „Managementul datoriei de stat pe termen mediu (2018-2020)”</w:t>
      </w:r>
      <w:r w:rsidR="001C76E2">
        <w:rPr>
          <w:rStyle w:val="ae"/>
          <w:rFonts w:asciiTheme="majorHAnsi" w:hAnsiTheme="majorHAnsi"/>
          <w:sz w:val="24"/>
          <w:szCs w:val="24"/>
          <w:lang w:val="ro-RO"/>
        </w:rPr>
        <w:footnoteReference w:id="7"/>
      </w:r>
      <w:r w:rsidR="001C76E2">
        <w:rPr>
          <w:rFonts w:asciiTheme="majorHAnsi" w:hAnsiTheme="majorHAnsi" w:cstheme="majorHAnsi"/>
          <w:sz w:val="24"/>
          <w:szCs w:val="24"/>
          <w:lang w:val="ro-RO"/>
        </w:rPr>
        <w:t>.</w:t>
      </w:r>
    </w:p>
    <w:p w14:paraId="0BC6EE47" w14:textId="4DA99624" w:rsidR="006E4771" w:rsidRPr="00AD6B98" w:rsidRDefault="006E4771" w:rsidP="00AD6B98">
      <w:pPr>
        <w:tabs>
          <w:tab w:val="left" w:pos="284"/>
          <w:tab w:val="left" w:pos="567"/>
        </w:tabs>
        <w:ind w:firstLine="567"/>
        <w:jc w:val="both"/>
        <w:rPr>
          <w:rFonts w:asciiTheme="majorHAnsi" w:hAnsiTheme="majorHAnsi" w:cstheme="majorHAnsi"/>
          <w:iCs/>
          <w:sz w:val="24"/>
          <w:szCs w:val="24"/>
          <w:lang w:val="ro-RO"/>
        </w:rPr>
      </w:pPr>
      <w:r w:rsidRPr="001A078D">
        <w:rPr>
          <w:rFonts w:asciiTheme="majorHAnsi" w:hAnsiTheme="majorHAnsi" w:cstheme="majorHAnsi"/>
          <w:b/>
          <w:bCs/>
          <w:sz w:val="24"/>
          <w:szCs w:val="24"/>
          <w:lang w:val="ro-RO"/>
        </w:rPr>
        <w:t>Abordarea de audit</w:t>
      </w:r>
      <w:r w:rsidRPr="001A078D">
        <w:rPr>
          <w:rFonts w:asciiTheme="majorHAnsi" w:hAnsiTheme="majorHAnsi" w:cstheme="majorHAnsi"/>
          <w:sz w:val="24"/>
          <w:szCs w:val="24"/>
          <w:lang w:val="ro-RO"/>
        </w:rPr>
        <w:t xml:space="preserve"> este una combinată (mixtă), </w:t>
      </w:r>
      <w:r w:rsidR="00B919D2" w:rsidRPr="001A078D">
        <w:rPr>
          <w:rFonts w:asciiTheme="majorHAnsi" w:hAnsiTheme="majorHAnsi" w:cstheme="majorHAnsi"/>
          <w:sz w:val="24"/>
          <w:szCs w:val="24"/>
          <w:lang w:val="ro-RO"/>
        </w:rPr>
        <w:t>bazată</w:t>
      </w:r>
      <w:r w:rsidRPr="001A078D">
        <w:rPr>
          <w:rFonts w:asciiTheme="majorHAnsi" w:hAnsiTheme="majorHAnsi" w:cstheme="majorHAnsi"/>
          <w:sz w:val="24"/>
          <w:szCs w:val="24"/>
          <w:lang w:val="ro-RO"/>
        </w:rPr>
        <w:t xml:space="preserve"> atât pe probleme</w:t>
      </w:r>
      <w:r w:rsidR="001A078D" w:rsidRPr="001A078D">
        <w:rPr>
          <w:rFonts w:asciiTheme="majorHAnsi" w:hAnsiTheme="majorHAnsi" w:cstheme="majorHAnsi"/>
          <w:sz w:val="24"/>
          <w:szCs w:val="24"/>
          <w:lang w:val="ro-RO"/>
        </w:rPr>
        <w:t>le</w:t>
      </w:r>
      <w:r w:rsidRPr="001A078D">
        <w:rPr>
          <w:rFonts w:asciiTheme="majorHAnsi" w:hAnsiTheme="majorHAnsi" w:cstheme="majorHAnsi"/>
          <w:sz w:val="24"/>
          <w:szCs w:val="24"/>
          <w:lang w:val="ro-RO"/>
        </w:rPr>
        <w:t xml:space="preserve"> </w:t>
      </w:r>
      <w:r w:rsidR="001A078D" w:rsidRPr="00C45AA7">
        <w:rPr>
          <w:rFonts w:asciiTheme="majorHAnsi" w:hAnsiTheme="majorHAnsi" w:cstheme="majorHAnsi"/>
          <w:sz w:val="24"/>
          <w:szCs w:val="24"/>
          <w:lang w:val="ro-RO"/>
        </w:rPr>
        <w:t xml:space="preserve">identificate </w:t>
      </w:r>
      <w:r w:rsidRPr="00C45AA7">
        <w:rPr>
          <w:rFonts w:asciiTheme="majorHAnsi" w:hAnsiTheme="majorHAnsi" w:cstheme="majorHAnsi"/>
          <w:sz w:val="24"/>
          <w:szCs w:val="24"/>
          <w:lang w:val="ro-RO"/>
        </w:rPr>
        <w:t xml:space="preserve">și </w:t>
      </w:r>
      <w:r w:rsidRPr="00C45AA7">
        <w:rPr>
          <w:rFonts w:asciiTheme="majorHAnsi" w:hAnsiTheme="majorHAnsi" w:cstheme="majorHAnsi"/>
          <w:iCs/>
          <w:sz w:val="24"/>
          <w:szCs w:val="24"/>
          <w:lang w:val="ro-RO"/>
        </w:rPr>
        <w:t xml:space="preserve">analiza deficiențelor cu impact asupra managementului datoriei </w:t>
      </w:r>
      <w:r w:rsidR="00B919D2" w:rsidRPr="00C45AA7">
        <w:rPr>
          <w:rFonts w:asciiTheme="majorHAnsi" w:hAnsiTheme="majorHAnsi" w:cstheme="majorHAnsi"/>
          <w:iCs/>
          <w:sz w:val="24"/>
          <w:szCs w:val="24"/>
          <w:lang w:val="ro-RO"/>
        </w:rPr>
        <w:t>de stat</w:t>
      </w:r>
      <w:r w:rsidRPr="00C45AA7">
        <w:rPr>
          <w:rFonts w:asciiTheme="majorHAnsi" w:hAnsiTheme="majorHAnsi" w:cstheme="majorHAnsi"/>
          <w:sz w:val="24"/>
          <w:szCs w:val="24"/>
          <w:lang w:val="ro-RO"/>
        </w:rPr>
        <w:t xml:space="preserve">, </w:t>
      </w:r>
      <w:r w:rsidR="00E459E9" w:rsidRPr="00C45AA7">
        <w:rPr>
          <w:rFonts w:asciiTheme="majorHAnsi" w:hAnsiTheme="majorHAnsi" w:cstheme="majorHAnsi"/>
          <w:sz w:val="24"/>
          <w:szCs w:val="24"/>
          <w:lang w:val="ro-RO"/>
        </w:rPr>
        <w:t>garanțiilor de stat</w:t>
      </w:r>
      <w:r w:rsidR="00E459E9" w:rsidRPr="001A078D">
        <w:rPr>
          <w:rFonts w:asciiTheme="majorHAnsi" w:hAnsiTheme="majorHAnsi" w:cstheme="majorHAnsi"/>
          <w:sz w:val="24"/>
          <w:szCs w:val="24"/>
          <w:lang w:val="ro-RO"/>
        </w:rPr>
        <w:t xml:space="preserve"> și recreditării de stat, </w:t>
      </w:r>
      <w:r w:rsidRPr="001A078D">
        <w:rPr>
          <w:rFonts w:asciiTheme="majorHAnsi" w:hAnsiTheme="majorHAnsi" w:cstheme="majorHAnsi"/>
          <w:sz w:val="24"/>
          <w:szCs w:val="24"/>
          <w:lang w:val="ro-RO"/>
        </w:rPr>
        <w:t>cât și pe rezultate</w:t>
      </w:r>
      <w:r w:rsidR="00877E57">
        <w:rPr>
          <w:rFonts w:asciiTheme="majorHAnsi" w:hAnsiTheme="majorHAnsi" w:cstheme="majorHAnsi"/>
          <w:sz w:val="24"/>
          <w:szCs w:val="24"/>
          <w:lang w:val="ro-RO"/>
        </w:rPr>
        <w:t>,</w:t>
      </w:r>
      <w:r w:rsidRPr="001A078D">
        <w:rPr>
          <w:rFonts w:asciiTheme="majorHAnsi" w:hAnsiTheme="majorHAnsi" w:cstheme="majorHAnsi"/>
          <w:iCs/>
          <w:sz w:val="24"/>
          <w:szCs w:val="24"/>
          <w:lang w:val="ro-RO"/>
        </w:rPr>
        <w:t xml:space="preserve"> în contextul analizei performanțelor obținute în mod eficient și eficace</w:t>
      </w:r>
      <w:r w:rsidR="001A078D" w:rsidRPr="001A078D">
        <w:rPr>
          <w:rFonts w:asciiTheme="majorHAnsi" w:hAnsiTheme="majorHAnsi" w:cstheme="majorHAnsi"/>
          <w:iCs/>
          <w:sz w:val="24"/>
          <w:szCs w:val="24"/>
          <w:lang w:val="ro-RO"/>
        </w:rPr>
        <w:t>.</w:t>
      </w:r>
    </w:p>
    <w:p w14:paraId="69AFC4E0" w14:textId="77777777" w:rsidR="006E4771" w:rsidRPr="00E92F8E" w:rsidRDefault="006E4771" w:rsidP="00E92F8E">
      <w:pPr>
        <w:spacing w:after="0" w:line="276" w:lineRule="auto"/>
        <w:ind w:firstLine="720"/>
        <w:jc w:val="both"/>
        <w:rPr>
          <w:rFonts w:asciiTheme="majorHAnsi" w:hAnsiTheme="majorHAnsi" w:cstheme="majorHAnsi"/>
          <w:sz w:val="24"/>
          <w:szCs w:val="24"/>
          <w:lang w:val="ro-RO"/>
        </w:rPr>
      </w:pPr>
      <w:r w:rsidRPr="00E92F8E">
        <w:rPr>
          <w:rFonts w:asciiTheme="majorHAnsi" w:hAnsiTheme="majorHAnsi" w:cstheme="majorHAnsi"/>
          <w:b/>
          <w:bCs/>
          <w:sz w:val="24"/>
          <w:szCs w:val="24"/>
          <w:lang w:val="ro-RO"/>
        </w:rPr>
        <w:t>Domeniul de aplicare și metodologia de audit sunt prezentate în Anexa nr.1 la prezentul Raport de audit.</w:t>
      </w:r>
    </w:p>
    <w:p w14:paraId="1720B03A" w14:textId="77777777" w:rsidR="005433B7" w:rsidRPr="00637B82" w:rsidRDefault="00EC01E8" w:rsidP="00637B82">
      <w:pPr>
        <w:pStyle w:val="1"/>
        <w:jc w:val="center"/>
        <w:rPr>
          <w:rFonts w:asciiTheme="majorHAnsi" w:hAnsiTheme="majorHAnsi" w:cstheme="majorHAnsi"/>
          <w:b/>
          <w:color w:val="auto"/>
          <w:sz w:val="28"/>
          <w:szCs w:val="28"/>
          <w:lang w:val="ro-RO"/>
        </w:rPr>
      </w:pPr>
      <w:bookmarkStart w:id="13" w:name="_Toc484003879"/>
      <w:bookmarkStart w:id="14" w:name="_Toc515442952"/>
      <w:bookmarkStart w:id="15" w:name="_Toc10106677"/>
      <w:r>
        <w:rPr>
          <w:rFonts w:asciiTheme="majorHAnsi" w:hAnsiTheme="majorHAnsi" w:cstheme="majorHAnsi"/>
          <w:b/>
          <w:color w:val="auto"/>
          <w:sz w:val="28"/>
          <w:szCs w:val="28"/>
          <w:lang w:val="ro-RO"/>
        </w:rPr>
        <w:t xml:space="preserve">III. </w:t>
      </w:r>
      <w:r w:rsidR="006E4771" w:rsidRPr="00775266">
        <w:rPr>
          <w:rFonts w:asciiTheme="majorHAnsi" w:hAnsiTheme="majorHAnsi" w:cstheme="majorHAnsi"/>
          <w:b/>
          <w:color w:val="auto"/>
          <w:sz w:val="28"/>
          <w:szCs w:val="28"/>
          <w:lang w:val="ro-RO"/>
        </w:rPr>
        <w:t>CONSTATĂRI</w:t>
      </w:r>
      <w:bookmarkEnd w:id="13"/>
      <w:bookmarkEnd w:id="14"/>
      <w:bookmarkEnd w:id="15"/>
    </w:p>
    <w:p w14:paraId="5C15554B" w14:textId="36979BAA" w:rsidR="000951E1" w:rsidRPr="00775266" w:rsidRDefault="001B27BE" w:rsidP="001B27BE">
      <w:pPr>
        <w:pStyle w:val="1"/>
        <w:ind w:firstLine="567"/>
        <w:jc w:val="both"/>
        <w:rPr>
          <w:rFonts w:asciiTheme="majorHAnsi" w:hAnsiTheme="majorHAnsi" w:cstheme="majorHAnsi"/>
          <w:b/>
          <w:color w:val="auto"/>
          <w:sz w:val="28"/>
          <w:szCs w:val="28"/>
          <w:lang w:val="ro-RO"/>
        </w:rPr>
      </w:pPr>
      <w:bookmarkStart w:id="16" w:name="_Toc484003886"/>
      <w:bookmarkStart w:id="17" w:name="_Toc515442958"/>
      <w:bookmarkStart w:id="18" w:name="_Toc10106678"/>
      <w:r>
        <w:rPr>
          <w:rFonts w:asciiTheme="majorHAnsi" w:hAnsiTheme="majorHAnsi" w:cstheme="majorHAnsi"/>
          <w:b/>
          <w:color w:val="auto"/>
          <w:sz w:val="28"/>
          <w:szCs w:val="28"/>
          <w:lang w:val="ro-RO"/>
        </w:rPr>
        <w:t>3.1</w:t>
      </w:r>
      <w:r w:rsidR="00E567C6" w:rsidRPr="00775266">
        <w:rPr>
          <w:rFonts w:asciiTheme="majorHAnsi" w:hAnsiTheme="majorHAnsi" w:cstheme="majorHAnsi"/>
          <w:b/>
          <w:color w:val="auto"/>
          <w:sz w:val="28"/>
          <w:szCs w:val="28"/>
          <w:lang w:val="ro-RO"/>
        </w:rPr>
        <w:t xml:space="preserve">. </w:t>
      </w:r>
      <w:r w:rsidR="00637B82">
        <w:rPr>
          <w:rFonts w:asciiTheme="majorHAnsi" w:hAnsiTheme="majorHAnsi" w:cstheme="majorHAnsi"/>
          <w:b/>
          <w:color w:val="auto"/>
          <w:sz w:val="28"/>
          <w:szCs w:val="28"/>
          <w:lang w:val="ro-RO"/>
        </w:rPr>
        <w:t xml:space="preserve">Obiectivul specific </w:t>
      </w:r>
      <w:r w:rsidR="006E4771" w:rsidRPr="00775266">
        <w:rPr>
          <w:rFonts w:asciiTheme="majorHAnsi" w:hAnsiTheme="majorHAnsi" w:cstheme="majorHAnsi"/>
          <w:b/>
          <w:color w:val="auto"/>
          <w:sz w:val="28"/>
          <w:szCs w:val="28"/>
          <w:lang w:val="ro-RO"/>
        </w:rPr>
        <w:t>I. Evaluarea structurii portofoliului datoriei de stat</w:t>
      </w:r>
      <w:bookmarkEnd w:id="16"/>
      <w:r w:rsidR="00EC01E8">
        <w:rPr>
          <w:rFonts w:asciiTheme="majorHAnsi" w:hAnsiTheme="majorHAnsi" w:cstheme="majorHAnsi"/>
          <w:b/>
          <w:color w:val="auto"/>
          <w:sz w:val="28"/>
          <w:szCs w:val="28"/>
          <w:lang w:val="ro-RO"/>
        </w:rPr>
        <w:t xml:space="preserve"> și onorarea obligațiunilor </w:t>
      </w:r>
      <w:r w:rsidR="001C76E2">
        <w:rPr>
          <w:rFonts w:asciiTheme="majorHAnsi" w:hAnsiTheme="majorHAnsi" w:cstheme="majorHAnsi"/>
          <w:b/>
          <w:color w:val="auto"/>
          <w:sz w:val="28"/>
          <w:szCs w:val="28"/>
          <w:lang w:val="ro-RO"/>
        </w:rPr>
        <w:t xml:space="preserve">statului </w:t>
      </w:r>
      <w:r w:rsidR="005C3E3F">
        <w:rPr>
          <w:rFonts w:asciiTheme="majorHAnsi" w:hAnsiTheme="majorHAnsi" w:cstheme="majorHAnsi"/>
          <w:b/>
          <w:color w:val="auto"/>
          <w:sz w:val="28"/>
          <w:szCs w:val="28"/>
          <w:lang w:val="ro-RO"/>
        </w:rPr>
        <w:t xml:space="preserve">privind </w:t>
      </w:r>
      <w:r w:rsidR="001C76E2">
        <w:rPr>
          <w:rFonts w:asciiTheme="majorHAnsi" w:hAnsiTheme="majorHAnsi" w:cstheme="majorHAnsi"/>
          <w:b/>
          <w:color w:val="auto"/>
          <w:sz w:val="28"/>
          <w:szCs w:val="28"/>
          <w:lang w:val="ro-RO"/>
        </w:rPr>
        <w:t xml:space="preserve"> deservire</w:t>
      </w:r>
      <w:r w:rsidR="005C3E3F">
        <w:rPr>
          <w:rFonts w:asciiTheme="majorHAnsi" w:hAnsiTheme="majorHAnsi" w:cstheme="majorHAnsi"/>
          <w:b/>
          <w:color w:val="auto"/>
          <w:sz w:val="28"/>
          <w:szCs w:val="28"/>
          <w:lang w:val="ro-RO"/>
        </w:rPr>
        <w:t>a datoriei</w:t>
      </w:r>
      <w:r w:rsidR="00F63CD9" w:rsidRPr="00775266">
        <w:rPr>
          <w:rFonts w:asciiTheme="majorHAnsi" w:hAnsiTheme="majorHAnsi" w:cstheme="majorHAnsi"/>
          <w:b/>
          <w:color w:val="auto"/>
          <w:sz w:val="28"/>
          <w:szCs w:val="28"/>
          <w:lang w:val="ro-RO"/>
        </w:rPr>
        <w:t>.</w:t>
      </w:r>
      <w:bookmarkEnd w:id="17"/>
      <w:bookmarkEnd w:id="18"/>
      <w:r w:rsidR="006E4771" w:rsidRPr="00775266">
        <w:rPr>
          <w:rFonts w:asciiTheme="majorHAnsi" w:hAnsiTheme="majorHAnsi" w:cstheme="majorHAnsi"/>
          <w:b/>
          <w:color w:val="auto"/>
          <w:sz w:val="28"/>
          <w:szCs w:val="28"/>
          <w:lang w:val="ro-RO"/>
        </w:rPr>
        <w:t xml:space="preserve"> </w:t>
      </w:r>
    </w:p>
    <w:p w14:paraId="39760F3D" w14:textId="77777777" w:rsidR="009B3E2A" w:rsidRPr="002838B7" w:rsidRDefault="009B3E2A" w:rsidP="002838B7">
      <w:pPr>
        <w:spacing w:line="276" w:lineRule="auto"/>
        <w:rPr>
          <w:rFonts w:asciiTheme="majorHAnsi" w:hAnsiTheme="majorHAnsi" w:cstheme="majorHAnsi"/>
          <w:sz w:val="24"/>
          <w:szCs w:val="24"/>
          <w:lang w:val="ro-RO" w:eastAsia="ru-RU"/>
        </w:rPr>
      </w:pPr>
    </w:p>
    <w:p w14:paraId="01336DB5" w14:textId="66FA674C" w:rsidR="00AD0650" w:rsidRPr="001360C9" w:rsidRDefault="00AD0650" w:rsidP="002838B7">
      <w:pPr>
        <w:tabs>
          <w:tab w:val="left" w:pos="-284"/>
        </w:tabs>
        <w:spacing w:after="0" w:line="276" w:lineRule="auto"/>
        <w:ind w:firstLine="567"/>
        <w:jc w:val="both"/>
        <w:rPr>
          <w:rFonts w:asciiTheme="majorHAnsi" w:hAnsiTheme="majorHAnsi" w:cstheme="majorHAnsi"/>
          <w:sz w:val="24"/>
          <w:szCs w:val="24"/>
          <w:lang w:val="ro-MD"/>
        </w:rPr>
      </w:pPr>
      <w:r w:rsidRPr="002838B7">
        <w:rPr>
          <w:rFonts w:asciiTheme="majorHAnsi" w:hAnsiTheme="majorHAnsi" w:cstheme="majorHAnsi"/>
          <w:i/>
          <w:sz w:val="24"/>
          <w:szCs w:val="24"/>
          <w:lang w:val="ro-RO"/>
        </w:rPr>
        <w:t xml:space="preserve">Soldul datoriei de stat continuă să înregistreze un trend ascendent, iar ca pondere în PIB a scăzut cu 1,5 </w:t>
      </w:r>
      <w:proofErr w:type="spellStart"/>
      <w:r w:rsidRPr="002838B7">
        <w:rPr>
          <w:rFonts w:asciiTheme="majorHAnsi" w:hAnsiTheme="majorHAnsi" w:cstheme="majorHAnsi"/>
          <w:i/>
          <w:sz w:val="24"/>
          <w:szCs w:val="24"/>
          <w:lang w:val="ro-RO"/>
        </w:rPr>
        <w:t>p.p.</w:t>
      </w:r>
      <w:proofErr w:type="spellEnd"/>
      <w:r w:rsidRPr="002838B7">
        <w:rPr>
          <w:rFonts w:asciiTheme="majorHAnsi" w:hAnsiTheme="majorHAnsi" w:cstheme="majorHAnsi"/>
          <w:i/>
          <w:sz w:val="24"/>
          <w:szCs w:val="24"/>
          <w:lang w:val="ro-RO"/>
        </w:rPr>
        <w:t xml:space="preserve">, creșterea fiind condiționată de </w:t>
      </w:r>
      <w:r w:rsidRPr="001360C9">
        <w:rPr>
          <w:rFonts w:asciiTheme="majorHAnsi" w:hAnsiTheme="majorHAnsi" w:cstheme="majorHAnsi"/>
          <w:i/>
          <w:sz w:val="24"/>
          <w:szCs w:val="24"/>
          <w:lang w:val="ro-MD"/>
        </w:rPr>
        <w:t>finanțarea internă netă pozitivă a VMS emis</w:t>
      </w:r>
      <w:r w:rsidR="007D5EF8">
        <w:rPr>
          <w:rFonts w:asciiTheme="majorHAnsi" w:hAnsiTheme="majorHAnsi" w:cstheme="majorHAnsi"/>
          <w:i/>
          <w:sz w:val="24"/>
          <w:szCs w:val="24"/>
          <w:lang w:val="ro-RO"/>
        </w:rPr>
        <w:t>e</w:t>
      </w:r>
      <w:r w:rsidRPr="001360C9">
        <w:rPr>
          <w:rFonts w:asciiTheme="majorHAnsi" w:hAnsiTheme="majorHAnsi" w:cstheme="majorHAnsi"/>
          <w:i/>
          <w:sz w:val="24"/>
          <w:szCs w:val="24"/>
          <w:lang w:val="ro-MD"/>
        </w:rPr>
        <w:t xml:space="preserve"> pe piața primară, </w:t>
      </w:r>
      <w:r w:rsidR="00B7268E" w:rsidRPr="001360C9">
        <w:rPr>
          <w:rFonts w:asciiTheme="majorHAnsi" w:hAnsiTheme="majorHAnsi"/>
          <w:i/>
          <w:sz w:val="24"/>
          <w:lang w:val="ro-RO"/>
        </w:rPr>
        <w:t>inclusiv de completarea</w:t>
      </w:r>
      <w:r w:rsidRPr="001360C9">
        <w:rPr>
          <w:rFonts w:asciiTheme="majorHAnsi" w:hAnsiTheme="majorHAnsi" w:cstheme="majorHAnsi"/>
          <w:i/>
          <w:sz w:val="24"/>
          <w:szCs w:val="24"/>
          <w:lang w:val="ro-MD"/>
        </w:rPr>
        <w:t xml:space="preserve"> rezervei de lichidități.</w:t>
      </w:r>
    </w:p>
    <w:p w14:paraId="2D04645D" w14:textId="7DE55315" w:rsidR="00AD0650" w:rsidRPr="002838B7" w:rsidRDefault="00AD0650" w:rsidP="002838B7">
      <w:pPr>
        <w:spacing w:after="0" w:line="276" w:lineRule="auto"/>
        <w:ind w:firstLine="567"/>
        <w:jc w:val="both"/>
        <w:rPr>
          <w:rFonts w:asciiTheme="majorHAnsi" w:hAnsiTheme="majorHAnsi" w:cstheme="majorHAnsi"/>
          <w:i/>
          <w:sz w:val="24"/>
          <w:szCs w:val="24"/>
          <w:lang w:val="ro-RO"/>
        </w:rPr>
      </w:pPr>
      <w:r w:rsidRPr="002838B7">
        <w:rPr>
          <w:rFonts w:asciiTheme="majorHAnsi" w:hAnsiTheme="majorHAnsi" w:cstheme="majorHAnsi"/>
          <w:i/>
          <w:sz w:val="24"/>
          <w:szCs w:val="24"/>
          <w:lang w:val="ro-RO"/>
        </w:rPr>
        <w:t xml:space="preserve">Ponderea majoră în portofoliul datoriei de stat o dețin împrumuturile de stat externe, după maturitatea rămasă - datoria pe termen lung, care constituie </w:t>
      </w:r>
      <w:r w:rsidR="00AF0E62" w:rsidRPr="001A078D">
        <w:rPr>
          <w:rFonts w:asciiTheme="majorHAnsi" w:hAnsiTheme="majorHAnsi" w:cstheme="majorHAnsi"/>
          <w:i/>
          <w:sz w:val="24"/>
          <w:szCs w:val="24"/>
          <w:lang w:val="ro-RO"/>
        </w:rPr>
        <w:t>79,2</w:t>
      </w:r>
      <w:r w:rsidRPr="001A078D">
        <w:rPr>
          <w:rFonts w:asciiTheme="majorHAnsi" w:hAnsiTheme="majorHAnsi" w:cstheme="majorHAnsi"/>
          <w:i/>
          <w:sz w:val="24"/>
          <w:szCs w:val="24"/>
          <w:lang w:val="ro-RO"/>
        </w:rPr>
        <w:t xml:space="preserve">%, </w:t>
      </w:r>
      <w:r w:rsidRPr="00AF0E62">
        <w:rPr>
          <w:rFonts w:asciiTheme="majorHAnsi" w:hAnsiTheme="majorHAnsi" w:cstheme="majorHAnsi"/>
          <w:i/>
          <w:sz w:val="24"/>
          <w:szCs w:val="24"/>
          <w:lang w:val="ro-RO"/>
        </w:rPr>
        <w:t>iar</w:t>
      </w:r>
      <w:r w:rsidRPr="002838B7">
        <w:rPr>
          <w:rFonts w:asciiTheme="majorHAnsi" w:hAnsiTheme="majorHAnsi" w:cstheme="majorHAnsi"/>
          <w:i/>
          <w:sz w:val="24"/>
          <w:szCs w:val="24"/>
          <w:lang w:val="ro-RO"/>
        </w:rPr>
        <w:t xml:space="preserve"> după tipul de dobândă – datoria cu rată fixă, respectiv 83,2%. Analiza </w:t>
      </w:r>
      <w:r w:rsidR="005C3E3F">
        <w:rPr>
          <w:rFonts w:asciiTheme="majorHAnsi" w:hAnsiTheme="majorHAnsi" w:cstheme="majorHAnsi"/>
          <w:i/>
          <w:sz w:val="24"/>
          <w:szCs w:val="24"/>
          <w:lang w:val="ro-RO"/>
        </w:rPr>
        <w:t xml:space="preserve">parametrilor de risc și </w:t>
      </w:r>
      <w:r w:rsidR="00877E57">
        <w:rPr>
          <w:rFonts w:asciiTheme="majorHAnsi" w:hAnsiTheme="majorHAnsi" w:cstheme="majorHAnsi"/>
          <w:i/>
          <w:sz w:val="24"/>
          <w:szCs w:val="24"/>
          <w:lang w:val="ro-RO"/>
        </w:rPr>
        <w:t xml:space="preserve">a </w:t>
      </w:r>
      <w:r w:rsidRPr="002838B7">
        <w:rPr>
          <w:rFonts w:asciiTheme="majorHAnsi" w:hAnsiTheme="majorHAnsi" w:cstheme="majorHAnsi"/>
          <w:i/>
          <w:sz w:val="24"/>
          <w:szCs w:val="24"/>
          <w:lang w:val="ro-RO"/>
        </w:rPr>
        <w:t>indicator</w:t>
      </w:r>
      <w:r w:rsidR="005C3E3F">
        <w:rPr>
          <w:rFonts w:asciiTheme="majorHAnsi" w:hAnsiTheme="majorHAnsi" w:cstheme="majorHAnsi"/>
          <w:i/>
          <w:sz w:val="24"/>
          <w:szCs w:val="24"/>
          <w:lang w:val="ro-RO"/>
        </w:rPr>
        <w:t>ului</w:t>
      </w:r>
      <w:r w:rsidRPr="002838B7">
        <w:rPr>
          <w:rFonts w:asciiTheme="majorHAnsi" w:hAnsiTheme="majorHAnsi" w:cstheme="majorHAnsi"/>
          <w:i/>
          <w:sz w:val="24"/>
          <w:szCs w:val="24"/>
          <w:lang w:val="ro-RO"/>
        </w:rPr>
        <w:t xml:space="preserve"> de sustenabilitate</w:t>
      </w:r>
      <w:r w:rsidR="00265C2E">
        <w:rPr>
          <w:rFonts w:asciiTheme="majorHAnsi" w:hAnsiTheme="majorHAnsi" w:cstheme="majorHAnsi"/>
          <w:i/>
          <w:sz w:val="24"/>
          <w:szCs w:val="24"/>
          <w:lang w:val="ro-RO"/>
        </w:rPr>
        <w:t xml:space="preserve"> </w:t>
      </w:r>
      <w:r w:rsidRPr="002838B7">
        <w:rPr>
          <w:rFonts w:asciiTheme="majorHAnsi" w:hAnsiTheme="majorHAnsi" w:cstheme="majorHAnsi"/>
          <w:i/>
          <w:sz w:val="24"/>
          <w:szCs w:val="24"/>
          <w:lang w:val="ro-RO"/>
        </w:rPr>
        <w:t>ai datoriei de stat denotă că aceștia s-au încadrat în limitele stabilite. Totodată, se atestă un risc înalt al ratei  de dobândă, determinat de ponderea ridicată a datoriei de stat interne scadente în decurs de 1 an.</w:t>
      </w:r>
    </w:p>
    <w:p w14:paraId="1C8B12B0" w14:textId="77777777" w:rsidR="00AD0650" w:rsidRPr="002838B7" w:rsidRDefault="00AD0650" w:rsidP="00AD0650">
      <w:pPr>
        <w:spacing w:after="0" w:line="240" w:lineRule="auto"/>
        <w:ind w:firstLine="720"/>
        <w:jc w:val="both"/>
        <w:rPr>
          <w:rFonts w:asciiTheme="majorHAnsi" w:hAnsiTheme="majorHAnsi" w:cstheme="majorHAnsi"/>
          <w:i/>
          <w:sz w:val="24"/>
          <w:szCs w:val="24"/>
          <w:lang w:val="ro-RO"/>
        </w:rPr>
      </w:pPr>
    </w:p>
    <w:p w14:paraId="1E58B32F" w14:textId="77777777" w:rsidR="00AD0650" w:rsidRPr="002838B7" w:rsidRDefault="00AD0650" w:rsidP="001B27BE">
      <w:pPr>
        <w:pStyle w:val="2"/>
        <w:numPr>
          <w:ilvl w:val="2"/>
          <w:numId w:val="47"/>
        </w:numPr>
        <w:tabs>
          <w:tab w:val="left" w:pos="284"/>
        </w:tabs>
        <w:spacing w:after="240" w:line="240" w:lineRule="auto"/>
        <w:ind w:hanging="11"/>
        <w:jc w:val="both"/>
        <w:rPr>
          <w:rFonts w:asciiTheme="majorHAnsi" w:hAnsiTheme="majorHAnsi" w:cstheme="majorHAnsi"/>
          <w:b/>
          <w:color w:val="auto"/>
          <w:sz w:val="24"/>
          <w:szCs w:val="24"/>
          <w:lang w:val="ro-RO"/>
        </w:rPr>
      </w:pPr>
      <w:bookmarkStart w:id="19" w:name="_Toc10106679"/>
      <w:r w:rsidRPr="002838B7">
        <w:rPr>
          <w:rFonts w:asciiTheme="majorHAnsi" w:hAnsiTheme="majorHAnsi" w:cstheme="majorHAnsi"/>
          <w:b/>
          <w:color w:val="auto"/>
          <w:sz w:val="24"/>
          <w:szCs w:val="24"/>
          <w:lang w:val="ro-RO"/>
        </w:rPr>
        <w:t>Soldul datoriei de stat continuă să înregistreze un trend ascendent.</w:t>
      </w:r>
      <w:bookmarkEnd w:id="19"/>
      <w:r w:rsidRPr="002838B7">
        <w:rPr>
          <w:rFonts w:asciiTheme="majorHAnsi" w:hAnsiTheme="majorHAnsi" w:cstheme="majorHAnsi"/>
          <w:b/>
          <w:color w:val="auto"/>
          <w:sz w:val="24"/>
          <w:szCs w:val="24"/>
          <w:lang w:val="ro-RO"/>
        </w:rPr>
        <w:t xml:space="preserve"> </w:t>
      </w:r>
    </w:p>
    <w:p w14:paraId="4BDEC79C" w14:textId="05E96B31" w:rsidR="00AD0650" w:rsidRDefault="00AD0650" w:rsidP="00AD0650">
      <w:pPr>
        <w:spacing w:before="240" w:after="0" w:line="276" w:lineRule="auto"/>
        <w:ind w:left="212" w:firstLine="426"/>
        <w:jc w:val="both"/>
        <w:rPr>
          <w:rFonts w:asciiTheme="majorHAnsi" w:hAnsiTheme="majorHAnsi" w:cstheme="majorHAnsi"/>
          <w:i/>
          <w:sz w:val="24"/>
          <w:szCs w:val="24"/>
          <w:lang w:val="ro-MD"/>
        </w:rPr>
      </w:pPr>
      <w:r w:rsidRPr="001360C9">
        <w:rPr>
          <w:rFonts w:asciiTheme="majorHAnsi" w:hAnsiTheme="majorHAnsi" w:cstheme="majorHAnsi"/>
          <w:sz w:val="24"/>
          <w:szCs w:val="24"/>
          <w:lang w:val="ro-MD"/>
        </w:rPr>
        <w:t>Soldul datoriei de stat la finele anului</w:t>
      </w:r>
      <w:r w:rsidR="006A4647">
        <w:rPr>
          <w:rFonts w:asciiTheme="majorHAnsi" w:hAnsiTheme="majorHAnsi" w:cstheme="majorHAnsi"/>
          <w:sz w:val="24"/>
          <w:szCs w:val="24"/>
          <w:lang w:val="ro-MD"/>
        </w:rPr>
        <w:t xml:space="preserve"> 2018 a constituit 52012,5 </w:t>
      </w:r>
      <w:proofErr w:type="spellStart"/>
      <w:r w:rsidR="006A4647">
        <w:rPr>
          <w:rFonts w:asciiTheme="majorHAnsi" w:hAnsiTheme="majorHAnsi" w:cstheme="majorHAnsi"/>
          <w:sz w:val="24"/>
          <w:szCs w:val="24"/>
          <w:lang w:val="ro-MD"/>
        </w:rPr>
        <w:t>mil.</w:t>
      </w:r>
      <w:r w:rsidRPr="001360C9">
        <w:rPr>
          <w:rFonts w:asciiTheme="majorHAnsi" w:hAnsiTheme="majorHAnsi" w:cstheme="majorHAnsi"/>
          <w:sz w:val="24"/>
          <w:szCs w:val="24"/>
          <w:lang w:val="ro-MD"/>
        </w:rPr>
        <w:t>MDL</w:t>
      </w:r>
      <w:proofErr w:type="spellEnd"/>
      <w:r w:rsidRPr="001360C9">
        <w:rPr>
          <w:rFonts w:asciiTheme="majorHAnsi" w:hAnsiTheme="majorHAnsi" w:cstheme="majorHAnsi"/>
          <w:sz w:val="24"/>
          <w:szCs w:val="24"/>
          <w:lang w:val="ro-MD"/>
        </w:rPr>
        <w:t xml:space="preserve">, din care datoria de stat externă </w:t>
      </w:r>
      <w:r w:rsidR="006A4647">
        <w:rPr>
          <w:rFonts w:asciiTheme="majorHAnsi" w:hAnsiTheme="majorHAnsi" w:cstheme="majorHAnsi"/>
          <w:sz w:val="24"/>
          <w:szCs w:val="24"/>
          <w:lang w:val="ro-MD"/>
        </w:rPr>
        <w:t xml:space="preserve">– 28954,0 </w:t>
      </w:r>
      <w:proofErr w:type="spellStart"/>
      <w:r w:rsidR="006A4647">
        <w:rPr>
          <w:rFonts w:asciiTheme="majorHAnsi" w:hAnsiTheme="majorHAnsi" w:cstheme="majorHAnsi"/>
          <w:sz w:val="24"/>
          <w:szCs w:val="24"/>
          <w:lang w:val="ro-MD"/>
        </w:rPr>
        <w:t>mil.MDL</w:t>
      </w:r>
      <w:proofErr w:type="spellEnd"/>
      <w:r w:rsidR="006A4647">
        <w:rPr>
          <w:rFonts w:asciiTheme="majorHAnsi" w:hAnsiTheme="majorHAnsi" w:cstheme="majorHAnsi"/>
          <w:sz w:val="24"/>
          <w:szCs w:val="24"/>
          <w:lang w:val="ro-MD"/>
        </w:rPr>
        <w:t xml:space="preserve"> (1689,0 </w:t>
      </w:r>
      <w:proofErr w:type="spellStart"/>
      <w:r w:rsidR="006A4647">
        <w:rPr>
          <w:rFonts w:asciiTheme="majorHAnsi" w:hAnsiTheme="majorHAnsi" w:cstheme="majorHAnsi"/>
          <w:sz w:val="24"/>
          <w:szCs w:val="24"/>
          <w:lang w:val="ro-MD"/>
        </w:rPr>
        <w:t>mil.dol.</w:t>
      </w:r>
      <w:r w:rsidRPr="001360C9">
        <w:rPr>
          <w:rFonts w:asciiTheme="majorHAnsi" w:hAnsiTheme="majorHAnsi" w:cstheme="majorHAnsi"/>
          <w:sz w:val="24"/>
          <w:szCs w:val="24"/>
          <w:lang w:val="ro-MD"/>
        </w:rPr>
        <w:t>SUA</w:t>
      </w:r>
      <w:proofErr w:type="spellEnd"/>
      <w:r w:rsidRPr="001360C9">
        <w:rPr>
          <w:rFonts w:asciiTheme="majorHAnsi" w:hAnsiTheme="majorHAnsi" w:cstheme="majorHAnsi"/>
          <w:sz w:val="24"/>
          <w:szCs w:val="24"/>
          <w:lang w:val="ro-MD"/>
        </w:rPr>
        <w:t>), și datoria</w:t>
      </w:r>
      <w:r w:rsidR="006A4647">
        <w:rPr>
          <w:rFonts w:asciiTheme="majorHAnsi" w:hAnsiTheme="majorHAnsi" w:cstheme="majorHAnsi"/>
          <w:sz w:val="24"/>
          <w:szCs w:val="24"/>
          <w:lang w:val="ro-MD"/>
        </w:rPr>
        <w:t xml:space="preserve"> de stat internă –               23058,6 </w:t>
      </w:r>
      <w:proofErr w:type="spellStart"/>
      <w:r w:rsidR="006A4647">
        <w:rPr>
          <w:rFonts w:asciiTheme="majorHAnsi" w:hAnsiTheme="majorHAnsi" w:cstheme="majorHAnsi"/>
          <w:sz w:val="24"/>
          <w:szCs w:val="24"/>
          <w:lang w:val="ro-MD"/>
        </w:rPr>
        <w:t>mil.</w:t>
      </w:r>
      <w:r w:rsidRPr="001360C9">
        <w:rPr>
          <w:rFonts w:asciiTheme="majorHAnsi" w:hAnsiTheme="majorHAnsi" w:cstheme="majorHAnsi"/>
          <w:sz w:val="24"/>
          <w:szCs w:val="24"/>
          <w:lang w:val="ro-MD"/>
        </w:rPr>
        <w:t>MDL</w:t>
      </w:r>
      <w:proofErr w:type="spellEnd"/>
      <w:r w:rsidRPr="001360C9">
        <w:rPr>
          <w:rFonts w:asciiTheme="majorHAnsi" w:hAnsiTheme="majorHAnsi" w:cstheme="majorHAnsi"/>
          <w:sz w:val="24"/>
          <w:szCs w:val="24"/>
          <w:lang w:val="ro-MD"/>
        </w:rPr>
        <w:t xml:space="preserve">. </w:t>
      </w:r>
      <w:r w:rsidR="001B3577" w:rsidRPr="001360C9">
        <w:rPr>
          <w:rFonts w:asciiTheme="majorHAnsi" w:hAnsiTheme="majorHAnsi" w:cstheme="majorHAnsi"/>
          <w:i/>
          <w:sz w:val="24"/>
          <w:szCs w:val="24"/>
          <w:lang w:val="ro-MD"/>
        </w:rPr>
        <w:t>Evoluția în</w:t>
      </w:r>
      <w:r w:rsidR="001B3577" w:rsidRPr="001360C9">
        <w:rPr>
          <w:rFonts w:asciiTheme="majorHAnsi" w:hAnsiTheme="majorHAnsi" w:cstheme="majorHAnsi"/>
          <w:sz w:val="24"/>
          <w:szCs w:val="24"/>
          <w:lang w:val="ro-MD"/>
        </w:rPr>
        <w:t xml:space="preserve"> </w:t>
      </w:r>
      <w:r w:rsidR="001B3577" w:rsidRPr="001360C9">
        <w:rPr>
          <w:rFonts w:asciiTheme="majorHAnsi" w:hAnsiTheme="majorHAnsi" w:cstheme="majorHAnsi"/>
          <w:i/>
          <w:sz w:val="24"/>
          <w:szCs w:val="24"/>
          <w:lang w:val="ro-MD"/>
        </w:rPr>
        <w:t>structură a</w:t>
      </w:r>
      <w:r w:rsidRPr="001360C9">
        <w:rPr>
          <w:rFonts w:asciiTheme="majorHAnsi" w:hAnsiTheme="majorHAnsi" w:cstheme="majorHAnsi"/>
          <w:i/>
          <w:sz w:val="24"/>
          <w:szCs w:val="24"/>
          <w:lang w:val="ro-MD"/>
        </w:rPr>
        <w:t xml:space="preserve"> datoriei de stat în anii 2016-2018</w:t>
      </w:r>
      <w:r w:rsidR="00F86CB0" w:rsidRPr="001360C9">
        <w:rPr>
          <w:rFonts w:asciiTheme="majorHAnsi" w:hAnsiTheme="majorHAnsi" w:cstheme="majorHAnsi"/>
          <w:i/>
          <w:sz w:val="24"/>
          <w:szCs w:val="24"/>
          <w:lang w:val="ro-MD"/>
        </w:rPr>
        <w:t xml:space="preserve"> este redată în Tabelul nr.1</w:t>
      </w:r>
      <w:r w:rsidRPr="001360C9">
        <w:rPr>
          <w:rFonts w:asciiTheme="majorHAnsi" w:hAnsiTheme="majorHAnsi" w:cstheme="majorHAnsi"/>
          <w:i/>
          <w:sz w:val="24"/>
          <w:szCs w:val="24"/>
          <w:lang w:val="ro-MD"/>
        </w:rPr>
        <w:t>.</w:t>
      </w:r>
    </w:p>
    <w:p w14:paraId="159BA673" w14:textId="00824A60" w:rsidR="001767F1" w:rsidRDefault="001767F1" w:rsidP="00AD0650">
      <w:pPr>
        <w:spacing w:before="240" w:after="0" w:line="276" w:lineRule="auto"/>
        <w:ind w:left="212" w:firstLine="426"/>
        <w:jc w:val="both"/>
        <w:rPr>
          <w:rFonts w:asciiTheme="majorHAnsi" w:hAnsiTheme="majorHAnsi" w:cstheme="majorHAnsi"/>
          <w:i/>
          <w:sz w:val="24"/>
          <w:szCs w:val="24"/>
          <w:lang w:val="ro-MD"/>
        </w:rPr>
      </w:pPr>
    </w:p>
    <w:p w14:paraId="216BF535" w14:textId="40A55BDC" w:rsidR="001767F1" w:rsidRDefault="001767F1" w:rsidP="00AD0650">
      <w:pPr>
        <w:spacing w:before="240" w:after="0" w:line="276" w:lineRule="auto"/>
        <w:ind w:left="212" w:firstLine="426"/>
        <w:jc w:val="both"/>
        <w:rPr>
          <w:rFonts w:asciiTheme="majorHAnsi" w:hAnsiTheme="majorHAnsi" w:cstheme="majorHAnsi"/>
          <w:i/>
          <w:sz w:val="24"/>
          <w:szCs w:val="24"/>
          <w:lang w:val="ro-MD"/>
        </w:rPr>
      </w:pPr>
    </w:p>
    <w:p w14:paraId="22C1D06E" w14:textId="77777777" w:rsidR="001767F1" w:rsidRPr="001360C9" w:rsidRDefault="001767F1" w:rsidP="00AD0650">
      <w:pPr>
        <w:spacing w:before="240" w:after="0" w:line="276" w:lineRule="auto"/>
        <w:ind w:left="212" w:firstLine="426"/>
        <w:jc w:val="both"/>
        <w:rPr>
          <w:rFonts w:asciiTheme="majorHAnsi" w:hAnsiTheme="majorHAnsi" w:cstheme="majorHAnsi"/>
          <w:i/>
          <w:sz w:val="24"/>
          <w:szCs w:val="24"/>
          <w:lang w:val="ro-MD"/>
        </w:rPr>
      </w:pPr>
    </w:p>
    <w:p w14:paraId="3C9C9057" w14:textId="77777777" w:rsidR="00AD0650" w:rsidRPr="001360C9" w:rsidRDefault="00F86CB0" w:rsidP="00AD0650">
      <w:pPr>
        <w:spacing w:after="0" w:line="276" w:lineRule="auto"/>
        <w:jc w:val="right"/>
        <w:rPr>
          <w:rFonts w:asciiTheme="majorHAnsi" w:hAnsiTheme="majorHAnsi" w:cstheme="majorHAnsi"/>
          <w:iCs/>
          <w:sz w:val="24"/>
          <w:szCs w:val="24"/>
          <w:lang w:val="ro-MD"/>
        </w:rPr>
      </w:pPr>
      <w:r w:rsidRPr="001360C9">
        <w:rPr>
          <w:rFonts w:asciiTheme="majorHAnsi" w:hAnsiTheme="majorHAnsi" w:cstheme="majorHAnsi"/>
          <w:b/>
          <w:iCs/>
          <w:sz w:val="24"/>
          <w:szCs w:val="24"/>
          <w:lang w:val="ro-MD"/>
        </w:rPr>
        <w:t>Tabelul nr.1</w:t>
      </w:r>
      <w:r w:rsidR="00AD0650" w:rsidRPr="001360C9">
        <w:rPr>
          <w:rFonts w:asciiTheme="majorHAnsi" w:hAnsiTheme="majorHAnsi" w:cstheme="majorHAnsi"/>
          <w:iCs/>
          <w:sz w:val="24"/>
          <w:szCs w:val="24"/>
          <w:lang w:val="ro-MD"/>
        </w:rPr>
        <w:t xml:space="preserve"> </w:t>
      </w:r>
    </w:p>
    <w:p w14:paraId="5D5A2189" w14:textId="77777777" w:rsidR="00AD0650" w:rsidRPr="001360C9" w:rsidRDefault="001B3577" w:rsidP="00AD0650">
      <w:pPr>
        <w:spacing w:after="0" w:line="276" w:lineRule="auto"/>
        <w:jc w:val="center"/>
        <w:rPr>
          <w:rFonts w:asciiTheme="majorHAnsi" w:hAnsiTheme="majorHAnsi" w:cstheme="majorHAnsi"/>
          <w:sz w:val="24"/>
          <w:szCs w:val="24"/>
          <w:lang w:val="ro-MD"/>
        </w:rPr>
      </w:pPr>
      <w:r w:rsidRPr="001360C9">
        <w:rPr>
          <w:rFonts w:asciiTheme="majorHAnsi" w:hAnsiTheme="majorHAnsi" w:cstheme="majorHAnsi"/>
          <w:b/>
          <w:bCs/>
          <w:sz w:val="24"/>
          <w:szCs w:val="24"/>
          <w:lang w:val="ro-MD"/>
        </w:rPr>
        <w:t>Evoluția în structură a</w:t>
      </w:r>
      <w:r w:rsidR="00AD0650" w:rsidRPr="001360C9">
        <w:rPr>
          <w:rFonts w:asciiTheme="majorHAnsi" w:hAnsiTheme="majorHAnsi" w:cstheme="majorHAnsi"/>
          <w:b/>
          <w:bCs/>
          <w:sz w:val="24"/>
          <w:szCs w:val="24"/>
          <w:lang w:val="ro-MD"/>
        </w:rPr>
        <w:t xml:space="preserve"> datoriei de stat în anii 2016-2018</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1595"/>
        <w:gridCol w:w="1313"/>
        <w:gridCol w:w="1877"/>
        <w:gridCol w:w="1412"/>
        <w:gridCol w:w="1842"/>
      </w:tblGrid>
      <w:tr w:rsidR="00AD0650" w:rsidRPr="002838B7" w14:paraId="59A8D6E7" w14:textId="77777777" w:rsidTr="00B41A0F">
        <w:tc>
          <w:tcPr>
            <w:tcW w:w="1595" w:type="dxa"/>
            <w:vMerge w:val="restart"/>
            <w:shd w:val="clear" w:color="auto" w:fill="E7E6E6"/>
            <w:vAlign w:val="center"/>
          </w:tcPr>
          <w:p w14:paraId="65C56CFE" w14:textId="77777777" w:rsidR="00AD0650" w:rsidRPr="001360C9" w:rsidRDefault="00AD0650" w:rsidP="00B41A0F">
            <w:pPr>
              <w:pStyle w:val="a6"/>
              <w:rPr>
                <w:rFonts w:asciiTheme="majorHAnsi" w:hAnsiTheme="majorHAnsi" w:cstheme="majorHAnsi"/>
                <w:b/>
                <w:sz w:val="20"/>
                <w:szCs w:val="20"/>
                <w:lang w:val="ro-MD"/>
              </w:rPr>
            </w:pPr>
            <w:r w:rsidRPr="001360C9">
              <w:rPr>
                <w:rFonts w:asciiTheme="majorHAnsi" w:hAnsiTheme="majorHAnsi" w:cstheme="majorHAnsi"/>
                <w:b/>
                <w:sz w:val="20"/>
                <w:szCs w:val="20"/>
                <w:lang w:val="ro-MD"/>
              </w:rPr>
              <w:t>Anul</w:t>
            </w:r>
          </w:p>
        </w:tc>
        <w:tc>
          <w:tcPr>
            <w:tcW w:w="1595" w:type="dxa"/>
            <w:vMerge w:val="restart"/>
            <w:shd w:val="clear" w:color="auto" w:fill="E7E6E6"/>
            <w:vAlign w:val="center"/>
          </w:tcPr>
          <w:p w14:paraId="61F33F83" w14:textId="52EA5BDD" w:rsidR="00AD0650" w:rsidRPr="001360C9" w:rsidRDefault="00AD0650" w:rsidP="00B41A0F">
            <w:pPr>
              <w:pStyle w:val="a6"/>
              <w:rPr>
                <w:rFonts w:asciiTheme="majorHAnsi" w:hAnsiTheme="majorHAnsi" w:cstheme="majorHAnsi"/>
                <w:b/>
                <w:sz w:val="20"/>
                <w:szCs w:val="20"/>
                <w:lang w:val="ro-MD"/>
              </w:rPr>
            </w:pPr>
            <w:r w:rsidRPr="001360C9">
              <w:rPr>
                <w:rFonts w:asciiTheme="majorHAnsi" w:hAnsiTheme="majorHAnsi" w:cstheme="majorHAnsi"/>
                <w:b/>
                <w:sz w:val="20"/>
                <w:szCs w:val="20"/>
                <w:lang w:val="ro-MD"/>
              </w:rPr>
              <w:t xml:space="preserve">Datoria de stat, </w:t>
            </w:r>
            <w:proofErr w:type="spellStart"/>
            <w:r w:rsidR="002D0D0D">
              <w:rPr>
                <w:rFonts w:asciiTheme="majorHAnsi" w:hAnsiTheme="majorHAnsi" w:cstheme="majorHAnsi"/>
                <w:b/>
                <w:sz w:val="20"/>
                <w:szCs w:val="20"/>
                <w:lang w:val="ro-MD"/>
              </w:rPr>
              <w:t>mil.MDL</w:t>
            </w:r>
            <w:proofErr w:type="spellEnd"/>
          </w:p>
        </w:tc>
        <w:tc>
          <w:tcPr>
            <w:tcW w:w="3190" w:type="dxa"/>
            <w:gridSpan w:val="2"/>
            <w:shd w:val="clear" w:color="auto" w:fill="E7E6E6"/>
            <w:vAlign w:val="center"/>
          </w:tcPr>
          <w:p w14:paraId="4BD86C5D" w14:textId="77777777" w:rsidR="00AD0650" w:rsidRPr="001360C9" w:rsidRDefault="00AD0650" w:rsidP="00B41A0F">
            <w:pPr>
              <w:pStyle w:val="a6"/>
              <w:rPr>
                <w:rFonts w:asciiTheme="majorHAnsi" w:hAnsiTheme="majorHAnsi" w:cstheme="majorHAnsi"/>
                <w:b/>
                <w:sz w:val="20"/>
                <w:szCs w:val="20"/>
                <w:lang w:val="ro-MD"/>
              </w:rPr>
            </w:pPr>
            <w:r w:rsidRPr="001360C9">
              <w:rPr>
                <w:rFonts w:asciiTheme="majorHAnsi" w:hAnsiTheme="majorHAnsi" w:cstheme="majorHAnsi"/>
                <w:b/>
                <w:sz w:val="20"/>
                <w:szCs w:val="20"/>
                <w:lang w:val="ro-MD"/>
              </w:rPr>
              <w:t>Datoria de stat externă</w:t>
            </w:r>
          </w:p>
        </w:tc>
        <w:tc>
          <w:tcPr>
            <w:tcW w:w="3254" w:type="dxa"/>
            <w:gridSpan w:val="2"/>
            <w:shd w:val="clear" w:color="auto" w:fill="E7E6E6"/>
            <w:vAlign w:val="center"/>
          </w:tcPr>
          <w:p w14:paraId="48C21B94" w14:textId="77777777" w:rsidR="00AD0650" w:rsidRPr="001360C9" w:rsidRDefault="00AD0650" w:rsidP="00B41A0F">
            <w:pPr>
              <w:pStyle w:val="a6"/>
              <w:rPr>
                <w:rFonts w:asciiTheme="majorHAnsi" w:hAnsiTheme="majorHAnsi" w:cstheme="majorHAnsi"/>
                <w:b/>
                <w:sz w:val="20"/>
                <w:szCs w:val="20"/>
                <w:lang w:val="ro-MD"/>
              </w:rPr>
            </w:pPr>
            <w:r w:rsidRPr="001360C9">
              <w:rPr>
                <w:rFonts w:asciiTheme="majorHAnsi" w:hAnsiTheme="majorHAnsi" w:cstheme="majorHAnsi"/>
                <w:b/>
                <w:sz w:val="20"/>
                <w:szCs w:val="20"/>
                <w:lang w:val="ro-MD"/>
              </w:rPr>
              <w:t>Datoria de stat internă</w:t>
            </w:r>
          </w:p>
        </w:tc>
      </w:tr>
      <w:tr w:rsidR="00AD0650" w:rsidRPr="002838B7" w14:paraId="1BC250D1" w14:textId="77777777" w:rsidTr="00B41A0F">
        <w:trPr>
          <w:trHeight w:val="347"/>
        </w:trPr>
        <w:tc>
          <w:tcPr>
            <w:tcW w:w="1595" w:type="dxa"/>
            <w:vMerge/>
            <w:shd w:val="clear" w:color="auto" w:fill="E7E6E6"/>
            <w:vAlign w:val="center"/>
          </w:tcPr>
          <w:p w14:paraId="3D494977" w14:textId="77777777" w:rsidR="00AD0650" w:rsidRPr="008E6807" w:rsidRDefault="00AD0650" w:rsidP="00B41A0F">
            <w:pPr>
              <w:pStyle w:val="a6"/>
              <w:rPr>
                <w:rFonts w:asciiTheme="majorHAnsi" w:hAnsiTheme="majorHAnsi"/>
                <w:b/>
                <w:sz w:val="20"/>
                <w:lang w:val="ro-RO"/>
              </w:rPr>
            </w:pPr>
          </w:p>
        </w:tc>
        <w:tc>
          <w:tcPr>
            <w:tcW w:w="1595" w:type="dxa"/>
            <w:vMerge/>
            <w:shd w:val="clear" w:color="auto" w:fill="E7E6E6"/>
            <w:vAlign w:val="center"/>
          </w:tcPr>
          <w:p w14:paraId="3F942323" w14:textId="77777777" w:rsidR="00AD0650" w:rsidRPr="008E6807" w:rsidRDefault="00AD0650" w:rsidP="00B41A0F">
            <w:pPr>
              <w:pStyle w:val="a6"/>
              <w:rPr>
                <w:rFonts w:asciiTheme="majorHAnsi" w:hAnsiTheme="majorHAnsi"/>
                <w:b/>
                <w:sz w:val="20"/>
                <w:lang w:val="ro-RO"/>
              </w:rPr>
            </w:pPr>
          </w:p>
        </w:tc>
        <w:tc>
          <w:tcPr>
            <w:tcW w:w="1313" w:type="dxa"/>
            <w:shd w:val="clear" w:color="auto" w:fill="E7E6E6"/>
            <w:vAlign w:val="center"/>
          </w:tcPr>
          <w:p w14:paraId="3114C571" w14:textId="77777777" w:rsidR="00AD0650" w:rsidRPr="008E6807" w:rsidRDefault="00AD0650" w:rsidP="00B41A0F">
            <w:pPr>
              <w:pStyle w:val="a6"/>
              <w:rPr>
                <w:rFonts w:asciiTheme="majorHAnsi" w:hAnsiTheme="majorHAnsi"/>
                <w:b/>
                <w:sz w:val="20"/>
                <w:lang w:val="ro-RO"/>
              </w:rPr>
            </w:pPr>
            <w:r w:rsidRPr="008E6807">
              <w:rPr>
                <w:rFonts w:asciiTheme="majorHAnsi" w:hAnsiTheme="majorHAnsi"/>
                <w:b/>
                <w:sz w:val="20"/>
                <w:lang w:val="ro-RO"/>
              </w:rPr>
              <w:t xml:space="preserve">suma, </w:t>
            </w:r>
            <w:proofErr w:type="spellStart"/>
            <w:r w:rsidRPr="008E6807">
              <w:rPr>
                <w:rFonts w:asciiTheme="majorHAnsi" w:hAnsiTheme="majorHAnsi"/>
                <w:b/>
                <w:sz w:val="20"/>
                <w:lang w:val="ro-RO"/>
              </w:rPr>
              <w:t>mil.</w:t>
            </w:r>
            <w:r w:rsidR="00F040EE" w:rsidRPr="008E6807">
              <w:rPr>
                <w:rFonts w:asciiTheme="majorHAnsi" w:hAnsiTheme="majorHAnsi"/>
                <w:b/>
                <w:sz w:val="20"/>
                <w:lang w:val="ro-RO"/>
              </w:rPr>
              <w:t>MDL</w:t>
            </w:r>
            <w:proofErr w:type="spellEnd"/>
          </w:p>
        </w:tc>
        <w:tc>
          <w:tcPr>
            <w:tcW w:w="1877" w:type="dxa"/>
            <w:shd w:val="clear" w:color="auto" w:fill="E7E6E6"/>
            <w:vAlign w:val="center"/>
          </w:tcPr>
          <w:p w14:paraId="04E73DB8" w14:textId="77777777" w:rsidR="00AD0650" w:rsidRPr="008E6807" w:rsidRDefault="00AD0650" w:rsidP="00B41A0F">
            <w:pPr>
              <w:pStyle w:val="a6"/>
              <w:rPr>
                <w:rFonts w:asciiTheme="majorHAnsi" w:hAnsiTheme="majorHAnsi"/>
                <w:b/>
                <w:sz w:val="20"/>
                <w:lang w:val="ro-RO"/>
              </w:rPr>
            </w:pPr>
            <w:r w:rsidRPr="008E6807">
              <w:rPr>
                <w:rFonts w:asciiTheme="majorHAnsi" w:hAnsiTheme="majorHAnsi"/>
                <w:b/>
                <w:sz w:val="20"/>
                <w:lang w:val="ro-RO"/>
              </w:rPr>
              <w:t>ponderea în datoria de stat, %</w:t>
            </w:r>
          </w:p>
        </w:tc>
        <w:tc>
          <w:tcPr>
            <w:tcW w:w="1412" w:type="dxa"/>
            <w:shd w:val="clear" w:color="auto" w:fill="E7E6E6"/>
            <w:vAlign w:val="center"/>
          </w:tcPr>
          <w:p w14:paraId="36378221" w14:textId="54548ACF" w:rsidR="00AD0650" w:rsidRPr="008E6807" w:rsidRDefault="00AD0650" w:rsidP="00B41A0F">
            <w:pPr>
              <w:pStyle w:val="a6"/>
              <w:rPr>
                <w:rFonts w:asciiTheme="majorHAnsi" w:hAnsiTheme="majorHAnsi"/>
                <w:b/>
                <w:sz w:val="20"/>
                <w:lang w:val="ro-RO"/>
              </w:rPr>
            </w:pPr>
            <w:r w:rsidRPr="008E6807">
              <w:rPr>
                <w:rFonts w:asciiTheme="majorHAnsi" w:hAnsiTheme="majorHAnsi"/>
                <w:b/>
                <w:sz w:val="20"/>
                <w:lang w:val="ro-RO"/>
              </w:rPr>
              <w:t xml:space="preserve">suma, </w:t>
            </w:r>
            <w:proofErr w:type="spellStart"/>
            <w:r w:rsidR="002D0D0D">
              <w:rPr>
                <w:rFonts w:asciiTheme="majorHAnsi" w:hAnsiTheme="majorHAnsi"/>
                <w:b/>
                <w:sz w:val="20"/>
                <w:lang w:val="ro-RO"/>
              </w:rPr>
              <w:t>mil.MDL</w:t>
            </w:r>
            <w:proofErr w:type="spellEnd"/>
          </w:p>
        </w:tc>
        <w:tc>
          <w:tcPr>
            <w:tcW w:w="1842" w:type="dxa"/>
            <w:shd w:val="clear" w:color="auto" w:fill="E7E6E6"/>
            <w:vAlign w:val="center"/>
          </w:tcPr>
          <w:p w14:paraId="0A87EE01" w14:textId="77777777" w:rsidR="00AD0650" w:rsidRPr="008E6807" w:rsidRDefault="00AD0650" w:rsidP="00B41A0F">
            <w:pPr>
              <w:pStyle w:val="a6"/>
              <w:rPr>
                <w:rFonts w:asciiTheme="majorHAnsi" w:hAnsiTheme="majorHAnsi"/>
                <w:b/>
                <w:sz w:val="20"/>
                <w:lang w:val="ro-RO"/>
              </w:rPr>
            </w:pPr>
            <w:r w:rsidRPr="008E6807">
              <w:rPr>
                <w:rFonts w:asciiTheme="majorHAnsi" w:hAnsiTheme="majorHAnsi"/>
                <w:b/>
                <w:sz w:val="20"/>
                <w:lang w:val="ro-RO"/>
              </w:rPr>
              <w:t>ponderea în datoria de stat, %</w:t>
            </w:r>
          </w:p>
        </w:tc>
      </w:tr>
      <w:tr w:rsidR="00AD0650" w:rsidRPr="002838B7" w14:paraId="451C2B3F" w14:textId="77777777" w:rsidTr="00B41A0F">
        <w:trPr>
          <w:trHeight w:val="257"/>
        </w:trPr>
        <w:tc>
          <w:tcPr>
            <w:tcW w:w="1595" w:type="dxa"/>
            <w:shd w:val="clear" w:color="auto" w:fill="auto"/>
            <w:vAlign w:val="center"/>
          </w:tcPr>
          <w:p w14:paraId="08A31B1A" w14:textId="77777777" w:rsidR="00AD0650" w:rsidRPr="001360C9" w:rsidRDefault="00AD0650" w:rsidP="00B41A0F">
            <w:pPr>
              <w:pStyle w:val="a6"/>
              <w:rPr>
                <w:rFonts w:asciiTheme="majorHAnsi" w:hAnsiTheme="majorHAnsi" w:cstheme="majorHAnsi"/>
                <w:sz w:val="20"/>
                <w:szCs w:val="20"/>
                <w:lang w:val="en-US"/>
              </w:rPr>
            </w:pPr>
            <w:r w:rsidRPr="001360C9">
              <w:rPr>
                <w:rFonts w:asciiTheme="majorHAnsi" w:hAnsiTheme="majorHAnsi" w:cstheme="majorHAnsi"/>
                <w:sz w:val="20"/>
                <w:szCs w:val="20"/>
                <w:lang w:val="en-US"/>
              </w:rPr>
              <w:t>2018</w:t>
            </w:r>
          </w:p>
        </w:tc>
        <w:tc>
          <w:tcPr>
            <w:tcW w:w="1595" w:type="dxa"/>
            <w:shd w:val="clear" w:color="auto" w:fill="auto"/>
            <w:vAlign w:val="center"/>
          </w:tcPr>
          <w:p w14:paraId="74535842" w14:textId="77777777" w:rsidR="00AD0650" w:rsidRPr="001360C9" w:rsidRDefault="00AD0650" w:rsidP="00B41A0F">
            <w:pPr>
              <w:pStyle w:val="a6"/>
              <w:rPr>
                <w:rFonts w:asciiTheme="majorHAnsi" w:hAnsiTheme="majorHAnsi" w:cstheme="majorHAnsi"/>
                <w:sz w:val="20"/>
                <w:szCs w:val="20"/>
                <w:lang w:val="en-US"/>
              </w:rPr>
            </w:pPr>
            <w:r w:rsidRPr="001360C9">
              <w:rPr>
                <w:rFonts w:asciiTheme="majorHAnsi" w:hAnsiTheme="majorHAnsi" w:cstheme="majorHAnsi"/>
                <w:sz w:val="20"/>
                <w:szCs w:val="20"/>
                <w:lang w:val="en-US"/>
              </w:rPr>
              <w:t>52012,5</w:t>
            </w:r>
          </w:p>
        </w:tc>
        <w:tc>
          <w:tcPr>
            <w:tcW w:w="1313" w:type="dxa"/>
            <w:shd w:val="clear" w:color="auto" w:fill="auto"/>
            <w:vAlign w:val="center"/>
          </w:tcPr>
          <w:p w14:paraId="3C6DD570" w14:textId="77777777" w:rsidR="00AD0650" w:rsidRPr="001360C9" w:rsidRDefault="00AD0650" w:rsidP="00B41A0F">
            <w:pPr>
              <w:pStyle w:val="a6"/>
              <w:rPr>
                <w:rFonts w:asciiTheme="majorHAnsi" w:hAnsiTheme="majorHAnsi" w:cstheme="majorHAnsi"/>
                <w:sz w:val="20"/>
                <w:szCs w:val="20"/>
                <w:lang w:val="en-US"/>
              </w:rPr>
            </w:pPr>
            <w:r w:rsidRPr="001360C9">
              <w:rPr>
                <w:rFonts w:asciiTheme="majorHAnsi" w:hAnsiTheme="majorHAnsi" w:cstheme="majorHAnsi"/>
                <w:sz w:val="20"/>
                <w:szCs w:val="20"/>
                <w:lang w:val="en-US"/>
              </w:rPr>
              <w:t>28954,0</w:t>
            </w:r>
          </w:p>
        </w:tc>
        <w:tc>
          <w:tcPr>
            <w:tcW w:w="1877" w:type="dxa"/>
            <w:shd w:val="clear" w:color="auto" w:fill="auto"/>
            <w:vAlign w:val="center"/>
          </w:tcPr>
          <w:p w14:paraId="5CA1EE18" w14:textId="77777777" w:rsidR="00AD0650" w:rsidRPr="001360C9" w:rsidRDefault="00AD0650" w:rsidP="00B41A0F">
            <w:pPr>
              <w:pStyle w:val="a6"/>
              <w:rPr>
                <w:rFonts w:asciiTheme="majorHAnsi" w:hAnsiTheme="majorHAnsi" w:cstheme="majorHAnsi"/>
                <w:sz w:val="20"/>
                <w:szCs w:val="20"/>
                <w:lang w:val="en-US"/>
              </w:rPr>
            </w:pPr>
            <w:r w:rsidRPr="001360C9">
              <w:rPr>
                <w:rFonts w:asciiTheme="majorHAnsi" w:hAnsiTheme="majorHAnsi" w:cstheme="majorHAnsi"/>
                <w:sz w:val="20"/>
                <w:szCs w:val="20"/>
                <w:lang w:val="en-US"/>
              </w:rPr>
              <w:t>55,7%</w:t>
            </w:r>
          </w:p>
        </w:tc>
        <w:tc>
          <w:tcPr>
            <w:tcW w:w="1412" w:type="dxa"/>
            <w:shd w:val="clear" w:color="auto" w:fill="auto"/>
            <w:vAlign w:val="center"/>
          </w:tcPr>
          <w:p w14:paraId="4B3808B4" w14:textId="77777777" w:rsidR="00AD0650" w:rsidRPr="001360C9" w:rsidRDefault="00AD0650" w:rsidP="00B41A0F">
            <w:pPr>
              <w:pStyle w:val="a6"/>
              <w:rPr>
                <w:rFonts w:asciiTheme="majorHAnsi" w:hAnsiTheme="majorHAnsi" w:cstheme="majorHAnsi"/>
                <w:sz w:val="20"/>
                <w:szCs w:val="20"/>
                <w:lang w:val="en-US"/>
              </w:rPr>
            </w:pPr>
            <w:r w:rsidRPr="001360C9">
              <w:rPr>
                <w:rFonts w:asciiTheme="majorHAnsi" w:hAnsiTheme="majorHAnsi" w:cstheme="majorHAnsi"/>
                <w:sz w:val="20"/>
                <w:szCs w:val="20"/>
                <w:lang w:val="en-US"/>
              </w:rPr>
              <w:t>23058,6</w:t>
            </w:r>
          </w:p>
        </w:tc>
        <w:tc>
          <w:tcPr>
            <w:tcW w:w="1842" w:type="dxa"/>
            <w:shd w:val="clear" w:color="auto" w:fill="auto"/>
            <w:vAlign w:val="center"/>
          </w:tcPr>
          <w:p w14:paraId="3FB2B024" w14:textId="77777777" w:rsidR="00AD0650" w:rsidRPr="001360C9" w:rsidRDefault="00AD0650" w:rsidP="00B41A0F">
            <w:pPr>
              <w:pStyle w:val="a6"/>
              <w:rPr>
                <w:rFonts w:asciiTheme="majorHAnsi" w:hAnsiTheme="majorHAnsi" w:cstheme="majorHAnsi"/>
                <w:sz w:val="20"/>
                <w:szCs w:val="20"/>
                <w:lang w:val="en-US"/>
              </w:rPr>
            </w:pPr>
            <w:r w:rsidRPr="001360C9">
              <w:rPr>
                <w:rFonts w:asciiTheme="majorHAnsi" w:hAnsiTheme="majorHAnsi" w:cstheme="majorHAnsi"/>
                <w:sz w:val="20"/>
                <w:szCs w:val="20"/>
                <w:lang w:val="en-US"/>
              </w:rPr>
              <w:t>44,3%</w:t>
            </w:r>
          </w:p>
        </w:tc>
      </w:tr>
      <w:tr w:rsidR="00AD0650" w:rsidRPr="002838B7" w14:paraId="723D5252" w14:textId="77777777" w:rsidTr="00B41A0F">
        <w:tc>
          <w:tcPr>
            <w:tcW w:w="1595" w:type="dxa"/>
            <w:shd w:val="clear" w:color="auto" w:fill="auto"/>
            <w:vAlign w:val="center"/>
          </w:tcPr>
          <w:p w14:paraId="64B3E561" w14:textId="77777777" w:rsidR="00AD0650" w:rsidRPr="001360C9" w:rsidRDefault="00AD0650" w:rsidP="00B41A0F">
            <w:pPr>
              <w:pStyle w:val="a6"/>
              <w:rPr>
                <w:rFonts w:asciiTheme="majorHAnsi" w:hAnsiTheme="majorHAnsi" w:cstheme="majorHAnsi"/>
                <w:sz w:val="20"/>
                <w:szCs w:val="20"/>
              </w:rPr>
            </w:pPr>
            <w:r w:rsidRPr="001360C9">
              <w:rPr>
                <w:rFonts w:asciiTheme="majorHAnsi" w:hAnsiTheme="majorHAnsi" w:cstheme="majorHAnsi"/>
                <w:sz w:val="20"/>
                <w:szCs w:val="20"/>
              </w:rPr>
              <w:t>2017</w:t>
            </w:r>
          </w:p>
        </w:tc>
        <w:tc>
          <w:tcPr>
            <w:tcW w:w="1595" w:type="dxa"/>
            <w:shd w:val="clear" w:color="auto" w:fill="auto"/>
            <w:vAlign w:val="center"/>
          </w:tcPr>
          <w:p w14:paraId="64739DBE" w14:textId="77777777" w:rsidR="00AD0650" w:rsidRPr="001360C9" w:rsidRDefault="00AD0650" w:rsidP="00B41A0F">
            <w:pPr>
              <w:pStyle w:val="a6"/>
              <w:rPr>
                <w:rFonts w:asciiTheme="majorHAnsi" w:hAnsiTheme="majorHAnsi" w:cstheme="majorHAnsi"/>
                <w:sz w:val="20"/>
                <w:szCs w:val="20"/>
              </w:rPr>
            </w:pPr>
            <w:r w:rsidRPr="001360C9">
              <w:rPr>
                <w:rFonts w:asciiTheme="majorHAnsi" w:hAnsiTheme="majorHAnsi" w:cstheme="majorHAnsi"/>
                <w:sz w:val="20"/>
                <w:szCs w:val="20"/>
              </w:rPr>
              <w:t>51660,3</w:t>
            </w:r>
          </w:p>
        </w:tc>
        <w:tc>
          <w:tcPr>
            <w:tcW w:w="1313" w:type="dxa"/>
            <w:shd w:val="clear" w:color="auto" w:fill="auto"/>
            <w:vAlign w:val="center"/>
          </w:tcPr>
          <w:p w14:paraId="42776441" w14:textId="77777777" w:rsidR="00AD0650" w:rsidRPr="001360C9" w:rsidRDefault="00AD0650" w:rsidP="00B41A0F">
            <w:pPr>
              <w:pStyle w:val="a6"/>
              <w:rPr>
                <w:rFonts w:asciiTheme="majorHAnsi" w:hAnsiTheme="majorHAnsi" w:cstheme="majorHAnsi"/>
                <w:sz w:val="20"/>
                <w:szCs w:val="20"/>
              </w:rPr>
            </w:pPr>
            <w:r w:rsidRPr="001360C9">
              <w:rPr>
                <w:rFonts w:asciiTheme="majorHAnsi" w:hAnsiTheme="majorHAnsi" w:cstheme="majorHAnsi"/>
                <w:sz w:val="20"/>
                <w:szCs w:val="20"/>
              </w:rPr>
              <w:t>29081,8</w:t>
            </w:r>
          </w:p>
        </w:tc>
        <w:tc>
          <w:tcPr>
            <w:tcW w:w="1877" w:type="dxa"/>
            <w:shd w:val="clear" w:color="auto" w:fill="auto"/>
            <w:vAlign w:val="center"/>
          </w:tcPr>
          <w:p w14:paraId="794DF078" w14:textId="77777777" w:rsidR="00AD0650" w:rsidRPr="001360C9" w:rsidRDefault="00AD0650" w:rsidP="00B41A0F">
            <w:pPr>
              <w:pStyle w:val="a6"/>
              <w:rPr>
                <w:rFonts w:asciiTheme="majorHAnsi" w:hAnsiTheme="majorHAnsi" w:cstheme="majorHAnsi"/>
                <w:sz w:val="20"/>
                <w:szCs w:val="20"/>
              </w:rPr>
            </w:pPr>
            <w:r w:rsidRPr="001360C9">
              <w:rPr>
                <w:rFonts w:asciiTheme="majorHAnsi" w:hAnsiTheme="majorHAnsi" w:cstheme="majorHAnsi"/>
                <w:sz w:val="20"/>
                <w:szCs w:val="20"/>
              </w:rPr>
              <w:t>56,3%</w:t>
            </w:r>
          </w:p>
        </w:tc>
        <w:tc>
          <w:tcPr>
            <w:tcW w:w="1412" w:type="dxa"/>
            <w:shd w:val="clear" w:color="auto" w:fill="auto"/>
            <w:vAlign w:val="center"/>
          </w:tcPr>
          <w:p w14:paraId="3E0F2A26" w14:textId="77777777" w:rsidR="00AD0650" w:rsidRPr="001360C9" w:rsidRDefault="00AD0650" w:rsidP="00B41A0F">
            <w:pPr>
              <w:pStyle w:val="a6"/>
              <w:rPr>
                <w:rFonts w:asciiTheme="majorHAnsi" w:hAnsiTheme="majorHAnsi" w:cstheme="majorHAnsi"/>
                <w:sz w:val="20"/>
                <w:szCs w:val="20"/>
              </w:rPr>
            </w:pPr>
            <w:r w:rsidRPr="001360C9">
              <w:rPr>
                <w:rFonts w:asciiTheme="majorHAnsi" w:hAnsiTheme="majorHAnsi" w:cstheme="majorHAnsi"/>
                <w:sz w:val="20"/>
                <w:szCs w:val="20"/>
              </w:rPr>
              <w:t>22578,5</w:t>
            </w:r>
          </w:p>
        </w:tc>
        <w:tc>
          <w:tcPr>
            <w:tcW w:w="1842" w:type="dxa"/>
            <w:shd w:val="clear" w:color="auto" w:fill="auto"/>
            <w:vAlign w:val="center"/>
          </w:tcPr>
          <w:p w14:paraId="66D0C5B3" w14:textId="77777777" w:rsidR="00AD0650" w:rsidRPr="001360C9" w:rsidRDefault="00AD0650" w:rsidP="00B41A0F">
            <w:pPr>
              <w:pStyle w:val="a6"/>
              <w:rPr>
                <w:rFonts w:asciiTheme="majorHAnsi" w:hAnsiTheme="majorHAnsi" w:cstheme="majorHAnsi"/>
                <w:sz w:val="20"/>
                <w:szCs w:val="20"/>
              </w:rPr>
            </w:pPr>
            <w:r w:rsidRPr="001360C9">
              <w:rPr>
                <w:rFonts w:asciiTheme="majorHAnsi" w:hAnsiTheme="majorHAnsi" w:cstheme="majorHAnsi"/>
                <w:sz w:val="20"/>
                <w:szCs w:val="20"/>
              </w:rPr>
              <w:t>43,7%</w:t>
            </w:r>
          </w:p>
        </w:tc>
      </w:tr>
      <w:tr w:rsidR="00AD0650" w:rsidRPr="002838B7" w14:paraId="702B8488" w14:textId="77777777" w:rsidTr="00B41A0F">
        <w:tc>
          <w:tcPr>
            <w:tcW w:w="1595" w:type="dxa"/>
            <w:vAlign w:val="center"/>
          </w:tcPr>
          <w:p w14:paraId="358BFC04" w14:textId="77777777" w:rsidR="00AD0650" w:rsidRPr="001360C9" w:rsidRDefault="00AD0650" w:rsidP="00B41A0F">
            <w:pPr>
              <w:pStyle w:val="a6"/>
              <w:rPr>
                <w:rFonts w:asciiTheme="majorHAnsi" w:hAnsiTheme="majorHAnsi" w:cstheme="majorHAnsi"/>
                <w:sz w:val="20"/>
                <w:szCs w:val="20"/>
              </w:rPr>
            </w:pPr>
            <w:r w:rsidRPr="001360C9">
              <w:rPr>
                <w:rFonts w:asciiTheme="majorHAnsi" w:hAnsiTheme="majorHAnsi" w:cstheme="majorHAnsi"/>
                <w:sz w:val="20"/>
                <w:szCs w:val="20"/>
              </w:rPr>
              <w:t>2016</w:t>
            </w:r>
          </w:p>
        </w:tc>
        <w:tc>
          <w:tcPr>
            <w:tcW w:w="1595" w:type="dxa"/>
            <w:vAlign w:val="center"/>
          </w:tcPr>
          <w:p w14:paraId="564FF267" w14:textId="77777777" w:rsidR="00AD0650" w:rsidRPr="001360C9" w:rsidRDefault="00AD0650" w:rsidP="00B41A0F">
            <w:pPr>
              <w:pStyle w:val="a6"/>
              <w:rPr>
                <w:rFonts w:asciiTheme="majorHAnsi" w:hAnsiTheme="majorHAnsi" w:cstheme="majorHAnsi"/>
                <w:sz w:val="20"/>
                <w:szCs w:val="20"/>
              </w:rPr>
            </w:pPr>
            <w:r w:rsidRPr="001360C9">
              <w:rPr>
                <w:rFonts w:asciiTheme="majorHAnsi" w:hAnsiTheme="majorHAnsi" w:cstheme="majorHAnsi"/>
                <w:sz w:val="20"/>
                <w:szCs w:val="20"/>
              </w:rPr>
              <w:t>50785,8</w:t>
            </w:r>
          </w:p>
        </w:tc>
        <w:tc>
          <w:tcPr>
            <w:tcW w:w="1313" w:type="dxa"/>
            <w:vAlign w:val="center"/>
          </w:tcPr>
          <w:p w14:paraId="54134829" w14:textId="77777777" w:rsidR="00AD0650" w:rsidRPr="001360C9" w:rsidRDefault="00AD0650" w:rsidP="00B41A0F">
            <w:pPr>
              <w:pStyle w:val="a6"/>
              <w:rPr>
                <w:rFonts w:asciiTheme="majorHAnsi" w:hAnsiTheme="majorHAnsi" w:cstheme="majorHAnsi"/>
                <w:sz w:val="20"/>
                <w:szCs w:val="20"/>
              </w:rPr>
            </w:pPr>
            <w:r w:rsidRPr="001360C9">
              <w:rPr>
                <w:rFonts w:asciiTheme="majorHAnsi" w:hAnsiTheme="majorHAnsi" w:cstheme="majorHAnsi"/>
                <w:sz w:val="20"/>
                <w:szCs w:val="20"/>
              </w:rPr>
              <w:t>29266,2</w:t>
            </w:r>
          </w:p>
        </w:tc>
        <w:tc>
          <w:tcPr>
            <w:tcW w:w="1877" w:type="dxa"/>
            <w:vAlign w:val="center"/>
          </w:tcPr>
          <w:p w14:paraId="02C43892" w14:textId="77777777" w:rsidR="00AD0650" w:rsidRPr="001360C9" w:rsidRDefault="00AD0650" w:rsidP="00B41A0F">
            <w:pPr>
              <w:pStyle w:val="a6"/>
              <w:rPr>
                <w:rFonts w:asciiTheme="majorHAnsi" w:hAnsiTheme="majorHAnsi" w:cstheme="majorHAnsi"/>
                <w:sz w:val="20"/>
                <w:szCs w:val="20"/>
              </w:rPr>
            </w:pPr>
            <w:r w:rsidRPr="001360C9">
              <w:rPr>
                <w:rFonts w:asciiTheme="majorHAnsi" w:hAnsiTheme="majorHAnsi" w:cstheme="majorHAnsi"/>
                <w:sz w:val="20"/>
                <w:szCs w:val="20"/>
              </w:rPr>
              <w:t>57,6%</w:t>
            </w:r>
          </w:p>
        </w:tc>
        <w:tc>
          <w:tcPr>
            <w:tcW w:w="1412" w:type="dxa"/>
            <w:vAlign w:val="center"/>
          </w:tcPr>
          <w:p w14:paraId="3CBAED31" w14:textId="77777777" w:rsidR="00AD0650" w:rsidRPr="001360C9" w:rsidRDefault="00AD0650" w:rsidP="00B41A0F">
            <w:pPr>
              <w:pStyle w:val="a6"/>
              <w:rPr>
                <w:rFonts w:asciiTheme="majorHAnsi" w:hAnsiTheme="majorHAnsi" w:cstheme="majorHAnsi"/>
                <w:sz w:val="20"/>
                <w:szCs w:val="20"/>
              </w:rPr>
            </w:pPr>
            <w:r w:rsidRPr="001360C9">
              <w:rPr>
                <w:rFonts w:asciiTheme="majorHAnsi" w:hAnsiTheme="majorHAnsi" w:cstheme="majorHAnsi"/>
                <w:sz w:val="20"/>
                <w:szCs w:val="20"/>
              </w:rPr>
              <w:t>21519,6</w:t>
            </w:r>
          </w:p>
        </w:tc>
        <w:tc>
          <w:tcPr>
            <w:tcW w:w="1842" w:type="dxa"/>
            <w:vAlign w:val="center"/>
          </w:tcPr>
          <w:p w14:paraId="6A2A3476" w14:textId="77777777" w:rsidR="00AD0650" w:rsidRPr="001360C9" w:rsidRDefault="00AD0650" w:rsidP="00B41A0F">
            <w:pPr>
              <w:pStyle w:val="a6"/>
              <w:rPr>
                <w:rFonts w:asciiTheme="majorHAnsi" w:hAnsiTheme="majorHAnsi" w:cstheme="majorHAnsi"/>
                <w:sz w:val="20"/>
                <w:szCs w:val="20"/>
              </w:rPr>
            </w:pPr>
            <w:r w:rsidRPr="001360C9">
              <w:rPr>
                <w:rFonts w:asciiTheme="majorHAnsi" w:hAnsiTheme="majorHAnsi" w:cstheme="majorHAnsi"/>
                <w:sz w:val="20"/>
                <w:szCs w:val="20"/>
              </w:rPr>
              <w:t>42,4%</w:t>
            </w:r>
          </w:p>
        </w:tc>
      </w:tr>
    </w:tbl>
    <w:p w14:paraId="5088444D" w14:textId="7C633CD9" w:rsidR="00AD0650" w:rsidRPr="001360C9" w:rsidRDefault="00AD0650" w:rsidP="00AD0650">
      <w:pPr>
        <w:spacing w:line="276" w:lineRule="auto"/>
        <w:jc w:val="both"/>
        <w:rPr>
          <w:rFonts w:asciiTheme="majorHAnsi" w:hAnsiTheme="majorHAnsi" w:cstheme="majorHAnsi"/>
          <w:sz w:val="20"/>
          <w:szCs w:val="20"/>
          <w:lang w:val="ro-MD"/>
        </w:rPr>
      </w:pPr>
      <w:r w:rsidRPr="001360C9">
        <w:rPr>
          <w:rFonts w:asciiTheme="majorHAnsi" w:hAnsiTheme="majorHAnsi" w:cstheme="majorHAnsi"/>
          <w:b/>
          <w:bCs/>
          <w:i/>
          <w:iCs/>
          <w:sz w:val="20"/>
          <w:szCs w:val="20"/>
          <w:lang w:val="ro-MD"/>
        </w:rPr>
        <w:t>Sursă:</w:t>
      </w:r>
      <w:r w:rsidRPr="001360C9">
        <w:rPr>
          <w:rFonts w:asciiTheme="majorHAnsi" w:hAnsiTheme="majorHAnsi" w:cstheme="majorHAnsi"/>
          <w:sz w:val="20"/>
          <w:szCs w:val="20"/>
          <w:lang w:val="ro-MD"/>
        </w:rPr>
        <w:t xml:space="preserve"> </w:t>
      </w:r>
      <w:r w:rsidR="00F86F1B">
        <w:rPr>
          <w:rFonts w:asciiTheme="majorHAnsi" w:hAnsiTheme="majorHAnsi" w:cstheme="majorHAnsi"/>
          <w:sz w:val="20"/>
          <w:szCs w:val="20"/>
          <w:lang w:val="ro-RO"/>
        </w:rPr>
        <w:t>D</w:t>
      </w:r>
      <w:r w:rsidRPr="002838B7">
        <w:rPr>
          <w:rFonts w:asciiTheme="majorHAnsi" w:hAnsiTheme="majorHAnsi" w:cstheme="majorHAnsi"/>
          <w:sz w:val="20"/>
          <w:szCs w:val="20"/>
          <w:lang w:val="ro-RO"/>
        </w:rPr>
        <w:t>atel</w:t>
      </w:r>
      <w:r w:rsidR="00F86F1B">
        <w:rPr>
          <w:rFonts w:asciiTheme="majorHAnsi" w:hAnsiTheme="majorHAnsi" w:cstheme="majorHAnsi"/>
          <w:sz w:val="20"/>
          <w:szCs w:val="20"/>
          <w:lang w:val="ro-RO"/>
        </w:rPr>
        <w:t>e</w:t>
      </w:r>
      <w:r w:rsidRPr="002838B7">
        <w:rPr>
          <w:rFonts w:asciiTheme="majorHAnsi" w:hAnsiTheme="majorHAnsi" w:cstheme="majorHAnsi"/>
          <w:sz w:val="20"/>
          <w:szCs w:val="20"/>
          <w:lang w:val="ro-RO"/>
        </w:rPr>
        <w:t xml:space="preserve"> </w:t>
      </w:r>
      <w:r w:rsidRPr="001360C9">
        <w:rPr>
          <w:rFonts w:asciiTheme="majorHAnsi" w:hAnsiTheme="majorHAnsi" w:cstheme="majorHAnsi"/>
          <w:sz w:val="20"/>
          <w:szCs w:val="20"/>
          <w:lang w:val="ro-MD"/>
        </w:rPr>
        <w:t>Rapoartelor privind datoria de stat la situațiile din 31.12.2016, 31.12.2017 și 31.12.2018.</w:t>
      </w:r>
    </w:p>
    <w:p w14:paraId="16B11139" w14:textId="768C1097" w:rsidR="00AD0650" w:rsidRPr="001360C9" w:rsidRDefault="00AD0650" w:rsidP="00AD0650">
      <w:pPr>
        <w:tabs>
          <w:tab w:val="left" w:pos="-284"/>
        </w:tabs>
        <w:spacing w:after="0" w:line="276" w:lineRule="auto"/>
        <w:ind w:firstLine="567"/>
        <w:jc w:val="both"/>
        <w:rPr>
          <w:rFonts w:asciiTheme="majorHAnsi" w:hAnsiTheme="majorHAnsi" w:cstheme="majorHAnsi"/>
          <w:sz w:val="24"/>
          <w:szCs w:val="24"/>
          <w:lang w:val="ro-MD"/>
        </w:rPr>
      </w:pPr>
      <w:r w:rsidRPr="001360C9">
        <w:rPr>
          <w:rFonts w:asciiTheme="majorHAnsi" w:hAnsiTheme="majorHAnsi" w:cstheme="majorHAnsi"/>
          <w:sz w:val="24"/>
          <w:szCs w:val="24"/>
          <w:lang w:val="ro-MD"/>
        </w:rPr>
        <w:t xml:space="preserve">Analiza datelor denotă că în anul 2018 ponderea datoriei de stat externe în totalul datoriei de stat a scăzut cu 0,6 </w:t>
      </w:r>
      <w:proofErr w:type="spellStart"/>
      <w:r w:rsidRPr="001360C9">
        <w:rPr>
          <w:rFonts w:asciiTheme="majorHAnsi" w:hAnsiTheme="majorHAnsi" w:cstheme="majorHAnsi"/>
          <w:sz w:val="24"/>
          <w:szCs w:val="24"/>
          <w:lang w:val="ro-MD"/>
        </w:rPr>
        <w:t>p.p.</w:t>
      </w:r>
      <w:proofErr w:type="spellEnd"/>
      <w:r w:rsidRPr="001360C9">
        <w:rPr>
          <w:rFonts w:asciiTheme="majorHAnsi" w:hAnsiTheme="majorHAnsi" w:cstheme="majorHAnsi"/>
          <w:sz w:val="24"/>
          <w:szCs w:val="24"/>
          <w:lang w:val="ro-MD"/>
        </w:rPr>
        <w:t xml:space="preserve"> față de anul 2017. </w:t>
      </w:r>
      <w:r w:rsidR="001B3577" w:rsidRPr="001360C9">
        <w:rPr>
          <w:rFonts w:asciiTheme="majorHAnsi" w:hAnsiTheme="majorHAnsi" w:cstheme="majorHAnsi"/>
          <w:sz w:val="24"/>
          <w:szCs w:val="24"/>
          <w:lang w:val="ro-MD"/>
        </w:rPr>
        <w:t>A</w:t>
      </w:r>
      <w:r w:rsidRPr="001360C9">
        <w:rPr>
          <w:rFonts w:asciiTheme="majorHAnsi" w:hAnsiTheme="majorHAnsi" w:cstheme="majorHAnsi"/>
          <w:sz w:val="24"/>
          <w:szCs w:val="24"/>
          <w:lang w:val="ro-MD"/>
        </w:rPr>
        <w:t xml:space="preserve">uditul relevă tendința de diminuare treptată a ponderii datoriei de stat externe în totalul datoriei de stat (de la 57,6% în anul 2016 până la 55,7% în anul 2018), </w:t>
      </w:r>
      <w:r w:rsidR="001B3577" w:rsidRPr="001360C9">
        <w:rPr>
          <w:rFonts w:asciiTheme="majorHAnsi" w:hAnsiTheme="majorHAnsi" w:cstheme="majorHAnsi"/>
          <w:sz w:val="24"/>
          <w:szCs w:val="24"/>
          <w:lang w:val="ro-MD"/>
        </w:rPr>
        <w:t xml:space="preserve">în timp ce </w:t>
      </w:r>
      <w:r w:rsidRPr="001360C9">
        <w:rPr>
          <w:rFonts w:asciiTheme="majorHAnsi" w:hAnsiTheme="majorHAnsi" w:cstheme="majorHAnsi"/>
          <w:sz w:val="24"/>
          <w:szCs w:val="24"/>
          <w:lang w:val="ro-MD"/>
        </w:rPr>
        <w:t>ponderea datoriei de stat interne în</w:t>
      </w:r>
      <w:r w:rsidR="001B3577" w:rsidRPr="001360C9">
        <w:rPr>
          <w:rFonts w:asciiTheme="majorHAnsi" w:hAnsiTheme="majorHAnsi" w:cstheme="majorHAnsi"/>
          <w:sz w:val="24"/>
          <w:szCs w:val="24"/>
          <w:lang w:val="ro-MD"/>
        </w:rPr>
        <w:t xml:space="preserve"> acest</w:t>
      </w:r>
      <w:r w:rsidRPr="001360C9">
        <w:rPr>
          <w:rFonts w:asciiTheme="majorHAnsi" w:hAnsiTheme="majorHAnsi" w:cstheme="majorHAnsi"/>
          <w:sz w:val="24"/>
          <w:szCs w:val="24"/>
          <w:lang w:val="ro-MD"/>
        </w:rPr>
        <w:t xml:space="preserve"> t</w:t>
      </w:r>
      <w:r w:rsidR="001B3577" w:rsidRPr="001360C9">
        <w:rPr>
          <w:rFonts w:asciiTheme="majorHAnsi" w:hAnsiTheme="majorHAnsi" w:cstheme="majorHAnsi"/>
          <w:sz w:val="24"/>
          <w:szCs w:val="24"/>
          <w:lang w:val="ro-MD"/>
        </w:rPr>
        <w:t xml:space="preserve">otal </w:t>
      </w:r>
      <w:r w:rsidRPr="001360C9">
        <w:rPr>
          <w:rFonts w:asciiTheme="majorHAnsi" w:hAnsiTheme="majorHAnsi" w:cstheme="majorHAnsi"/>
          <w:sz w:val="24"/>
          <w:szCs w:val="24"/>
          <w:lang w:val="ro-MD"/>
        </w:rPr>
        <w:t>înreg</w:t>
      </w:r>
      <w:r w:rsidR="001B3577" w:rsidRPr="001360C9">
        <w:rPr>
          <w:rFonts w:asciiTheme="majorHAnsi" w:hAnsiTheme="majorHAnsi" w:cstheme="majorHAnsi"/>
          <w:sz w:val="24"/>
          <w:szCs w:val="24"/>
          <w:lang w:val="ro-MD"/>
        </w:rPr>
        <w:t xml:space="preserve">istrează </w:t>
      </w:r>
      <w:r w:rsidR="00877E57">
        <w:rPr>
          <w:rFonts w:asciiTheme="majorHAnsi" w:hAnsiTheme="majorHAnsi" w:cstheme="majorHAnsi"/>
          <w:sz w:val="24"/>
          <w:szCs w:val="24"/>
          <w:lang w:val="ro-MD"/>
        </w:rPr>
        <w:t xml:space="preserve">o </w:t>
      </w:r>
      <w:r w:rsidR="001B3577" w:rsidRPr="001360C9">
        <w:rPr>
          <w:rFonts w:asciiTheme="majorHAnsi" w:hAnsiTheme="majorHAnsi" w:cstheme="majorHAnsi"/>
          <w:sz w:val="24"/>
          <w:szCs w:val="24"/>
          <w:lang w:val="ro-MD"/>
        </w:rPr>
        <w:t xml:space="preserve">creștere </w:t>
      </w:r>
      <w:r w:rsidR="0056425A">
        <w:rPr>
          <w:rFonts w:asciiTheme="majorHAnsi" w:hAnsiTheme="majorHAnsi" w:cstheme="majorHAnsi"/>
          <w:sz w:val="24"/>
          <w:szCs w:val="24"/>
          <w:lang w:val="ro-RO"/>
        </w:rPr>
        <w:t>în ace</w:t>
      </w:r>
      <w:r w:rsidR="00877E57">
        <w:rPr>
          <w:rFonts w:asciiTheme="majorHAnsi" w:hAnsiTheme="majorHAnsi" w:cstheme="majorHAnsi"/>
          <w:sz w:val="24"/>
          <w:szCs w:val="24"/>
          <w:lang w:val="ro-RO"/>
        </w:rPr>
        <w:t>e</w:t>
      </w:r>
      <w:r w:rsidR="0056425A">
        <w:rPr>
          <w:rFonts w:asciiTheme="majorHAnsi" w:hAnsiTheme="majorHAnsi" w:cstheme="majorHAnsi"/>
          <w:sz w:val="24"/>
          <w:szCs w:val="24"/>
          <w:lang w:val="ro-RO"/>
        </w:rPr>
        <w:t>ași mărime</w:t>
      </w:r>
      <w:r w:rsidR="001B3577" w:rsidRPr="001360C9">
        <w:rPr>
          <w:rFonts w:asciiTheme="majorHAnsi" w:hAnsiTheme="majorHAnsi" w:cstheme="majorHAnsi"/>
          <w:sz w:val="24"/>
          <w:szCs w:val="24"/>
          <w:lang w:val="ro-MD"/>
        </w:rPr>
        <w:t xml:space="preserve"> (</w:t>
      </w:r>
      <w:r w:rsidRPr="001360C9">
        <w:rPr>
          <w:rFonts w:asciiTheme="majorHAnsi" w:hAnsiTheme="majorHAnsi" w:cstheme="majorHAnsi"/>
          <w:sz w:val="24"/>
          <w:szCs w:val="24"/>
          <w:lang w:val="ro-MD"/>
        </w:rPr>
        <w:t xml:space="preserve">de la 42,4% în anul 2016 până la 44,3% în anul 2018). </w:t>
      </w:r>
    </w:p>
    <w:p w14:paraId="21EE639E" w14:textId="5C97A3FD" w:rsidR="00564A73" w:rsidRPr="001360C9" w:rsidRDefault="00AD0650" w:rsidP="00AD0650">
      <w:pPr>
        <w:tabs>
          <w:tab w:val="left" w:pos="-284"/>
        </w:tabs>
        <w:spacing w:after="0" w:line="276" w:lineRule="auto"/>
        <w:ind w:firstLine="567"/>
        <w:jc w:val="both"/>
        <w:rPr>
          <w:rFonts w:asciiTheme="majorHAnsi" w:hAnsiTheme="majorHAnsi" w:cstheme="majorHAnsi"/>
          <w:sz w:val="24"/>
          <w:szCs w:val="24"/>
          <w:lang w:val="ro-MD"/>
        </w:rPr>
      </w:pPr>
      <w:r w:rsidRPr="001360C9">
        <w:rPr>
          <w:rFonts w:asciiTheme="majorHAnsi" w:hAnsiTheme="majorHAnsi" w:cstheme="majorHAnsi"/>
          <w:sz w:val="24"/>
          <w:szCs w:val="24"/>
          <w:lang w:val="ro-MD"/>
        </w:rPr>
        <w:t>Majorarea soldului datoriei de stat interne</w:t>
      </w:r>
      <w:r w:rsidR="00564A73" w:rsidRPr="001360C9">
        <w:rPr>
          <w:rFonts w:asciiTheme="majorHAnsi" w:hAnsiTheme="majorHAnsi" w:cstheme="majorHAnsi"/>
          <w:sz w:val="24"/>
          <w:szCs w:val="24"/>
          <w:lang w:val="ro-MD"/>
        </w:rPr>
        <w:t xml:space="preserve"> în anul 2018 a fost </w:t>
      </w:r>
      <w:r w:rsidR="00564A73" w:rsidRPr="009561CB">
        <w:rPr>
          <w:rFonts w:asciiTheme="majorHAnsi" w:hAnsiTheme="majorHAnsi" w:cstheme="majorHAnsi"/>
          <w:sz w:val="24"/>
          <w:szCs w:val="24"/>
          <w:lang w:val="ro-RO"/>
        </w:rPr>
        <w:t>cauzat</w:t>
      </w:r>
      <w:r w:rsidR="00D1768E">
        <w:rPr>
          <w:rFonts w:asciiTheme="majorHAnsi" w:hAnsiTheme="majorHAnsi" w:cstheme="majorHAnsi"/>
          <w:sz w:val="24"/>
          <w:szCs w:val="24"/>
          <w:lang w:val="ro-RO"/>
        </w:rPr>
        <w:t>ă</w:t>
      </w:r>
      <w:r w:rsidR="00564A73" w:rsidRPr="001360C9">
        <w:rPr>
          <w:rFonts w:asciiTheme="majorHAnsi" w:hAnsiTheme="majorHAnsi" w:cstheme="majorHAnsi"/>
          <w:sz w:val="24"/>
          <w:szCs w:val="24"/>
          <w:lang w:val="ro-MD"/>
        </w:rPr>
        <w:t xml:space="preserve"> </w:t>
      </w:r>
      <w:r w:rsidR="001B3577" w:rsidRPr="001360C9">
        <w:rPr>
          <w:rFonts w:asciiTheme="majorHAnsi" w:hAnsiTheme="majorHAnsi" w:cstheme="majorHAnsi"/>
          <w:sz w:val="24"/>
          <w:szCs w:val="24"/>
          <w:lang w:val="ro-MD"/>
        </w:rPr>
        <w:t xml:space="preserve">de </w:t>
      </w:r>
      <w:r w:rsidR="00564A73" w:rsidRPr="001360C9">
        <w:rPr>
          <w:rFonts w:asciiTheme="majorHAnsi" w:hAnsiTheme="majorHAnsi" w:cstheme="majorHAnsi"/>
          <w:sz w:val="24"/>
          <w:szCs w:val="24"/>
          <w:lang w:val="ro-MD"/>
        </w:rPr>
        <w:t xml:space="preserve">emisiunea netă a VMS pe piața primară în sumă de 690,0 </w:t>
      </w:r>
      <w:proofErr w:type="spellStart"/>
      <w:r w:rsidR="00564A73" w:rsidRPr="001360C9">
        <w:rPr>
          <w:rFonts w:asciiTheme="majorHAnsi" w:hAnsiTheme="majorHAnsi" w:cstheme="majorHAnsi"/>
          <w:sz w:val="24"/>
          <w:szCs w:val="24"/>
          <w:lang w:val="ro-MD"/>
        </w:rPr>
        <w:t>mil.MDL</w:t>
      </w:r>
      <w:proofErr w:type="spellEnd"/>
      <w:r w:rsidR="00564A73" w:rsidRPr="001360C9">
        <w:rPr>
          <w:rFonts w:asciiTheme="majorHAnsi" w:hAnsiTheme="majorHAnsi" w:cstheme="majorHAnsi"/>
          <w:sz w:val="24"/>
          <w:szCs w:val="24"/>
          <w:lang w:val="ro-MD"/>
        </w:rPr>
        <w:t xml:space="preserve"> și </w:t>
      </w:r>
      <w:r w:rsidR="0000774B">
        <w:rPr>
          <w:rFonts w:asciiTheme="majorHAnsi" w:hAnsiTheme="majorHAnsi" w:cstheme="majorHAnsi"/>
          <w:sz w:val="24"/>
          <w:szCs w:val="24"/>
          <w:lang w:val="ro-MD"/>
        </w:rPr>
        <w:t>de</w:t>
      </w:r>
      <w:r w:rsidR="00424FF7" w:rsidRPr="001360C9">
        <w:rPr>
          <w:rFonts w:asciiTheme="majorHAnsi" w:hAnsiTheme="majorHAnsi" w:cstheme="majorHAnsi"/>
          <w:sz w:val="24"/>
          <w:szCs w:val="24"/>
          <w:lang w:val="ro-MD"/>
        </w:rPr>
        <w:t xml:space="preserve"> </w:t>
      </w:r>
      <w:r w:rsidR="00564A73" w:rsidRPr="001360C9">
        <w:rPr>
          <w:rFonts w:asciiTheme="majorHAnsi" w:hAnsiTheme="majorHAnsi" w:cstheme="majorHAnsi"/>
          <w:sz w:val="24"/>
          <w:szCs w:val="24"/>
          <w:lang w:val="ro-MD"/>
        </w:rPr>
        <w:t>răscumpăr</w:t>
      </w:r>
      <w:r w:rsidR="0000774B">
        <w:rPr>
          <w:rFonts w:asciiTheme="majorHAnsi" w:hAnsiTheme="majorHAnsi" w:cstheme="majorHAnsi"/>
          <w:sz w:val="24"/>
          <w:szCs w:val="24"/>
          <w:lang w:val="ro-MD"/>
        </w:rPr>
        <w:t>area</w:t>
      </w:r>
      <w:r w:rsidR="00564A73" w:rsidRPr="001360C9">
        <w:rPr>
          <w:rFonts w:asciiTheme="majorHAnsi" w:hAnsiTheme="majorHAnsi" w:cstheme="majorHAnsi"/>
          <w:sz w:val="24"/>
          <w:szCs w:val="24"/>
          <w:lang w:val="ro-MD"/>
        </w:rPr>
        <w:t xml:space="preserve"> VMS emise pentru executarea obligațiilor de plată derivate din garanțiile de stat în su</w:t>
      </w:r>
      <w:r w:rsidR="00424FF7" w:rsidRPr="001360C9">
        <w:rPr>
          <w:rFonts w:asciiTheme="majorHAnsi" w:hAnsiTheme="majorHAnsi" w:cstheme="majorHAnsi"/>
          <w:sz w:val="24"/>
          <w:szCs w:val="24"/>
          <w:lang w:val="ro-MD"/>
        </w:rPr>
        <w:t xml:space="preserve">mă de 210,0 </w:t>
      </w:r>
      <w:proofErr w:type="spellStart"/>
      <w:r w:rsidR="00424FF7" w:rsidRPr="001360C9">
        <w:rPr>
          <w:rFonts w:asciiTheme="majorHAnsi" w:hAnsiTheme="majorHAnsi" w:cstheme="majorHAnsi"/>
          <w:sz w:val="24"/>
          <w:szCs w:val="24"/>
          <w:lang w:val="ro-MD"/>
        </w:rPr>
        <w:t>mil.MDL</w:t>
      </w:r>
      <w:proofErr w:type="spellEnd"/>
      <w:r w:rsidR="00424FF7" w:rsidRPr="001360C9">
        <w:rPr>
          <w:rFonts w:asciiTheme="majorHAnsi" w:hAnsiTheme="majorHAnsi" w:cstheme="majorHAnsi"/>
          <w:sz w:val="24"/>
          <w:szCs w:val="24"/>
          <w:lang w:val="ro-MD"/>
        </w:rPr>
        <w:t>.</w:t>
      </w:r>
    </w:p>
    <w:p w14:paraId="517068CF" w14:textId="08C97A2F" w:rsidR="00AD0650" w:rsidRPr="001360C9" w:rsidRDefault="00AD0650" w:rsidP="00AD0650">
      <w:pPr>
        <w:tabs>
          <w:tab w:val="left" w:pos="-284"/>
        </w:tabs>
        <w:spacing w:after="0" w:line="276" w:lineRule="auto"/>
        <w:ind w:firstLine="567"/>
        <w:jc w:val="both"/>
        <w:rPr>
          <w:rFonts w:asciiTheme="majorHAnsi" w:hAnsiTheme="majorHAnsi" w:cstheme="majorHAnsi"/>
          <w:sz w:val="24"/>
          <w:szCs w:val="24"/>
          <w:lang w:val="ro-MD"/>
        </w:rPr>
      </w:pPr>
      <w:r w:rsidRPr="005B64CD">
        <w:rPr>
          <w:rFonts w:asciiTheme="majorHAnsi" w:hAnsiTheme="majorHAnsi" w:cstheme="majorHAnsi"/>
          <w:sz w:val="24"/>
          <w:szCs w:val="24"/>
          <w:lang w:val="ro-MD"/>
        </w:rPr>
        <w:t>În comparație</w:t>
      </w:r>
      <w:r w:rsidRPr="001360C9">
        <w:rPr>
          <w:rFonts w:asciiTheme="majorHAnsi" w:hAnsiTheme="majorHAnsi" w:cstheme="majorHAnsi"/>
          <w:sz w:val="24"/>
          <w:szCs w:val="24"/>
          <w:lang w:val="ro-MD"/>
        </w:rPr>
        <w:t xml:space="preserve"> cu anul 2017, datoria de stat a înregistrat o creștere cu 352,2 </w:t>
      </w:r>
      <w:proofErr w:type="spellStart"/>
      <w:r w:rsidRPr="001360C9">
        <w:rPr>
          <w:rFonts w:asciiTheme="majorHAnsi" w:hAnsiTheme="majorHAnsi" w:cstheme="majorHAnsi"/>
          <w:sz w:val="24"/>
          <w:szCs w:val="24"/>
          <w:lang w:val="ro-MD"/>
        </w:rPr>
        <w:t>mil.</w:t>
      </w:r>
      <w:r w:rsidR="00F040EE" w:rsidRPr="001360C9">
        <w:rPr>
          <w:rFonts w:asciiTheme="majorHAnsi" w:hAnsiTheme="majorHAnsi" w:cstheme="majorHAnsi"/>
          <w:sz w:val="24"/>
          <w:szCs w:val="24"/>
          <w:lang w:val="ro-MD"/>
        </w:rPr>
        <w:t>MDL</w:t>
      </w:r>
      <w:proofErr w:type="spellEnd"/>
      <w:r w:rsidRPr="001360C9">
        <w:rPr>
          <w:rFonts w:asciiTheme="majorHAnsi" w:hAnsiTheme="majorHAnsi" w:cstheme="majorHAnsi"/>
          <w:sz w:val="24"/>
          <w:szCs w:val="24"/>
          <w:lang w:val="ro-MD"/>
        </w:rPr>
        <w:t xml:space="preserve"> (0,7%), concomitent</w:t>
      </w:r>
      <w:r w:rsidR="005B64CD">
        <w:rPr>
          <w:rFonts w:asciiTheme="majorHAnsi" w:hAnsiTheme="majorHAnsi" w:cstheme="majorHAnsi"/>
          <w:sz w:val="24"/>
          <w:szCs w:val="24"/>
          <w:lang w:val="ro-MD"/>
        </w:rPr>
        <w:t>,</w:t>
      </w:r>
      <w:r w:rsidRPr="001360C9">
        <w:rPr>
          <w:rFonts w:asciiTheme="majorHAnsi" w:hAnsiTheme="majorHAnsi" w:cstheme="majorHAnsi"/>
          <w:sz w:val="24"/>
          <w:szCs w:val="24"/>
          <w:lang w:val="ro-MD"/>
        </w:rPr>
        <w:t xml:space="preserve"> datoria de stat externă</w:t>
      </w:r>
      <w:r w:rsidR="00F86CB0" w:rsidRPr="001360C9">
        <w:rPr>
          <w:rFonts w:asciiTheme="majorHAnsi" w:hAnsiTheme="majorHAnsi" w:cstheme="majorHAnsi"/>
          <w:sz w:val="24"/>
          <w:szCs w:val="24"/>
          <w:lang w:val="ro-MD"/>
        </w:rPr>
        <w:t xml:space="preserve"> </w:t>
      </w:r>
      <w:r w:rsidR="00F86CB0" w:rsidRPr="00C45AA7">
        <w:rPr>
          <w:rFonts w:asciiTheme="majorHAnsi" w:hAnsiTheme="majorHAnsi" w:cstheme="majorHAnsi"/>
          <w:sz w:val="24"/>
          <w:szCs w:val="24"/>
          <w:lang w:val="ro-MD"/>
        </w:rPr>
        <w:t>exprimată în MDL</w:t>
      </w:r>
      <w:r w:rsidRPr="00C45AA7">
        <w:rPr>
          <w:rFonts w:asciiTheme="majorHAnsi" w:hAnsiTheme="majorHAnsi" w:cstheme="majorHAnsi"/>
          <w:sz w:val="24"/>
          <w:szCs w:val="24"/>
          <w:lang w:val="ro-MD"/>
        </w:rPr>
        <w:t xml:space="preserve"> fiind în descreștere cu 127,</w:t>
      </w:r>
      <w:r w:rsidR="00D707B7" w:rsidRPr="00C45AA7">
        <w:rPr>
          <w:rFonts w:asciiTheme="majorHAnsi" w:hAnsiTheme="majorHAnsi" w:cstheme="majorHAnsi"/>
          <w:sz w:val="24"/>
          <w:szCs w:val="24"/>
          <w:lang w:val="ro-MD"/>
        </w:rPr>
        <w:t xml:space="preserve">9 </w:t>
      </w:r>
      <w:proofErr w:type="spellStart"/>
      <w:r w:rsidRPr="00C45AA7">
        <w:rPr>
          <w:rFonts w:asciiTheme="majorHAnsi" w:hAnsiTheme="majorHAnsi" w:cstheme="majorHAnsi"/>
          <w:sz w:val="24"/>
          <w:szCs w:val="24"/>
          <w:lang w:val="ro-MD"/>
        </w:rPr>
        <w:t>mil.</w:t>
      </w:r>
      <w:r w:rsidR="00F040EE" w:rsidRPr="00C45AA7">
        <w:rPr>
          <w:rFonts w:asciiTheme="majorHAnsi" w:hAnsiTheme="majorHAnsi" w:cstheme="majorHAnsi"/>
          <w:sz w:val="24"/>
          <w:szCs w:val="24"/>
          <w:lang w:val="ro-MD"/>
        </w:rPr>
        <w:t>MDL</w:t>
      </w:r>
      <w:proofErr w:type="spellEnd"/>
      <w:r w:rsidR="00A02E2D" w:rsidRPr="001360C9">
        <w:rPr>
          <w:rFonts w:asciiTheme="majorHAnsi" w:hAnsiTheme="majorHAnsi" w:cstheme="majorHAnsi"/>
          <w:sz w:val="24"/>
          <w:szCs w:val="24"/>
          <w:lang w:val="ro-MD"/>
        </w:rPr>
        <w:t xml:space="preserve">            </w:t>
      </w:r>
      <w:r w:rsidRPr="001360C9">
        <w:rPr>
          <w:rFonts w:asciiTheme="majorHAnsi" w:hAnsiTheme="majorHAnsi" w:cstheme="majorHAnsi"/>
          <w:sz w:val="24"/>
          <w:szCs w:val="24"/>
          <w:lang w:val="ro-MD"/>
        </w:rPr>
        <w:t xml:space="preserve"> (-0,4%), iar datoria de stat internă - în creștere cu 480,</w:t>
      </w:r>
      <w:r w:rsidR="00D707B7" w:rsidRPr="001360C9">
        <w:rPr>
          <w:rFonts w:asciiTheme="majorHAnsi" w:hAnsiTheme="majorHAnsi"/>
          <w:sz w:val="24"/>
          <w:lang w:val="ro-RO"/>
        </w:rPr>
        <w:t>0</w:t>
      </w:r>
      <w:r w:rsidR="00D707B7" w:rsidRPr="001360C9">
        <w:rPr>
          <w:rFonts w:asciiTheme="majorHAnsi" w:hAnsiTheme="majorHAnsi" w:cstheme="majorHAnsi"/>
          <w:sz w:val="24"/>
          <w:szCs w:val="24"/>
          <w:lang w:val="ro-MD"/>
        </w:rPr>
        <w:t xml:space="preserve"> </w:t>
      </w:r>
      <w:proofErr w:type="spellStart"/>
      <w:r w:rsidRPr="001360C9">
        <w:rPr>
          <w:rFonts w:asciiTheme="majorHAnsi" w:hAnsiTheme="majorHAnsi" w:cstheme="majorHAnsi"/>
          <w:sz w:val="24"/>
          <w:szCs w:val="24"/>
          <w:lang w:val="ro-MD"/>
        </w:rPr>
        <w:t>mil.</w:t>
      </w:r>
      <w:r w:rsidR="00F040EE" w:rsidRPr="001360C9">
        <w:rPr>
          <w:rFonts w:asciiTheme="majorHAnsi" w:hAnsiTheme="majorHAnsi" w:cstheme="majorHAnsi"/>
          <w:sz w:val="24"/>
          <w:szCs w:val="24"/>
          <w:lang w:val="ro-MD"/>
        </w:rPr>
        <w:t>MDL</w:t>
      </w:r>
      <w:proofErr w:type="spellEnd"/>
      <w:r w:rsidRPr="001360C9">
        <w:rPr>
          <w:rFonts w:asciiTheme="majorHAnsi" w:hAnsiTheme="majorHAnsi" w:cstheme="majorHAnsi"/>
          <w:sz w:val="24"/>
          <w:szCs w:val="24"/>
          <w:lang w:val="ro-MD"/>
        </w:rPr>
        <w:t xml:space="preserve"> (+2,1%).</w:t>
      </w:r>
    </w:p>
    <w:p w14:paraId="6071A0D1" w14:textId="2671B8D8" w:rsidR="00AD0650" w:rsidRPr="001360C9" w:rsidRDefault="006F7F94" w:rsidP="00AD0650">
      <w:pPr>
        <w:tabs>
          <w:tab w:val="left" w:pos="-284"/>
        </w:tabs>
        <w:spacing w:after="0" w:line="276" w:lineRule="auto"/>
        <w:ind w:firstLine="567"/>
        <w:jc w:val="both"/>
        <w:rPr>
          <w:rFonts w:asciiTheme="majorHAnsi" w:hAnsiTheme="majorHAnsi" w:cstheme="majorHAnsi"/>
          <w:i/>
          <w:sz w:val="24"/>
          <w:szCs w:val="24"/>
          <w:lang w:val="ro-MD"/>
        </w:rPr>
      </w:pPr>
      <w:r w:rsidRPr="001360C9">
        <w:rPr>
          <w:rFonts w:asciiTheme="majorHAnsi" w:hAnsiTheme="majorHAnsi" w:cstheme="majorHAnsi"/>
          <w:sz w:val="24"/>
          <w:szCs w:val="24"/>
          <w:lang w:val="ro-MD"/>
        </w:rPr>
        <w:t>În anul 2018, c</w:t>
      </w:r>
      <w:r w:rsidR="00AD0650" w:rsidRPr="001360C9">
        <w:rPr>
          <w:rFonts w:asciiTheme="majorHAnsi" w:hAnsiTheme="majorHAnsi" w:cstheme="majorHAnsi"/>
          <w:sz w:val="24"/>
          <w:szCs w:val="24"/>
          <w:lang w:val="ro-MD"/>
        </w:rPr>
        <w:t xml:space="preserve">a pondere în PIB, datoria de stat a înregistrat o descreștere față de anul 2017 cu 1,5 </w:t>
      </w:r>
      <w:proofErr w:type="spellStart"/>
      <w:r w:rsidR="00AD0650" w:rsidRPr="001360C9">
        <w:rPr>
          <w:rFonts w:asciiTheme="majorHAnsi" w:hAnsiTheme="majorHAnsi" w:cstheme="majorHAnsi"/>
          <w:sz w:val="24"/>
          <w:szCs w:val="24"/>
          <w:lang w:val="ro-MD"/>
        </w:rPr>
        <w:t>p.p.</w:t>
      </w:r>
      <w:proofErr w:type="spellEnd"/>
      <w:r w:rsidR="00AD0650" w:rsidRPr="001360C9">
        <w:rPr>
          <w:rFonts w:asciiTheme="majorHAnsi" w:hAnsiTheme="majorHAnsi" w:cstheme="majorHAnsi"/>
          <w:sz w:val="24"/>
          <w:szCs w:val="24"/>
          <w:lang w:val="ro-MD"/>
        </w:rPr>
        <w:t xml:space="preserve">, </w:t>
      </w:r>
      <w:r w:rsidRPr="001360C9">
        <w:rPr>
          <w:rFonts w:asciiTheme="majorHAnsi" w:hAnsiTheme="majorHAnsi" w:cstheme="majorHAnsi"/>
          <w:sz w:val="24"/>
          <w:szCs w:val="24"/>
          <w:lang w:val="ro-MD"/>
        </w:rPr>
        <w:t>constituind 27,4%</w:t>
      </w:r>
      <w:r w:rsidR="005B64CD">
        <w:rPr>
          <w:rFonts w:asciiTheme="majorHAnsi" w:hAnsiTheme="majorHAnsi" w:cstheme="majorHAnsi"/>
          <w:sz w:val="24"/>
          <w:szCs w:val="24"/>
          <w:lang w:val="ro-MD"/>
        </w:rPr>
        <w:t>. E</w:t>
      </w:r>
      <w:r w:rsidR="00AD0650" w:rsidRPr="001360C9">
        <w:rPr>
          <w:rFonts w:asciiTheme="majorHAnsi" w:hAnsiTheme="majorHAnsi" w:cstheme="majorHAnsi"/>
          <w:sz w:val="24"/>
          <w:szCs w:val="24"/>
          <w:lang w:val="ro-MD"/>
        </w:rPr>
        <w:t xml:space="preserve">voluția ponderii datoriei de stat în PIB </w:t>
      </w:r>
      <w:r w:rsidR="005B64CD">
        <w:rPr>
          <w:rFonts w:asciiTheme="majorHAnsi" w:hAnsiTheme="majorHAnsi" w:cstheme="majorHAnsi"/>
          <w:sz w:val="24"/>
          <w:szCs w:val="24"/>
          <w:lang w:val="ro-MD"/>
        </w:rPr>
        <w:t>este</w:t>
      </w:r>
      <w:r w:rsidR="00AD0650" w:rsidRPr="001360C9">
        <w:rPr>
          <w:rFonts w:asciiTheme="majorHAnsi" w:hAnsiTheme="majorHAnsi" w:cstheme="majorHAnsi"/>
          <w:sz w:val="24"/>
          <w:szCs w:val="24"/>
          <w:lang w:val="ro-MD"/>
        </w:rPr>
        <w:t xml:space="preserve"> prezentată în Diagrama nr.2.</w:t>
      </w:r>
    </w:p>
    <w:p w14:paraId="0233670B" w14:textId="77777777" w:rsidR="00AD0650" w:rsidRPr="001360C9" w:rsidRDefault="00AD0650" w:rsidP="00AD0650">
      <w:pPr>
        <w:jc w:val="right"/>
        <w:rPr>
          <w:rFonts w:asciiTheme="majorHAnsi" w:hAnsiTheme="majorHAnsi" w:cstheme="majorHAnsi"/>
          <w:b/>
          <w:sz w:val="24"/>
          <w:szCs w:val="24"/>
        </w:rPr>
      </w:pPr>
      <w:r w:rsidRPr="00DC55EC">
        <w:rPr>
          <w:rFonts w:asciiTheme="majorHAnsi" w:hAnsiTheme="majorHAnsi" w:cstheme="majorHAnsi"/>
          <w:b/>
          <w:sz w:val="24"/>
          <w:szCs w:val="24"/>
          <w:lang w:val="ro-RO"/>
        </w:rPr>
        <w:t>Diagrama nr.2</w:t>
      </w:r>
    </w:p>
    <w:p w14:paraId="0904C0CE" w14:textId="520E8021" w:rsidR="00AD0650" w:rsidRPr="001360C9" w:rsidRDefault="00AD0650" w:rsidP="00AD0650">
      <w:pPr>
        <w:spacing w:line="276" w:lineRule="auto"/>
        <w:jc w:val="both"/>
        <w:rPr>
          <w:rFonts w:asciiTheme="majorHAnsi" w:hAnsiTheme="majorHAnsi" w:cstheme="majorHAnsi"/>
          <w:sz w:val="24"/>
          <w:szCs w:val="24"/>
          <w:lang w:val="ro-MD"/>
        </w:rPr>
      </w:pPr>
      <w:r w:rsidRPr="002838B7">
        <w:rPr>
          <w:rFonts w:asciiTheme="majorHAnsi" w:hAnsiTheme="majorHAnsi" w:cstheme="majorHAnsi"/>
          <w:noProof/>
          <w:sz w:val="24"/>
          <w:szCs w:val="24"/>
          <w:lang w:val="ru-RU" w:eastAsia="ru-RU"/>
        </w:rPr>
        <w:drawing>
          <wp:inline distT="0" distB="0" distL="0" distR="0" wp14:anchorId="26AC8AA3" wp14:editId="29E7B045">
            <wp:extent cx="5985163" cy="2209800"/>
            <wp:effectExtent l="0" t="0" r="1587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838B7">
        <w:rPr>
          <w:rFonts w:asciiTheme="majorHAnsi" w:hAnsiTheme="majorHAnsi" w:cstheme="majorHAnsi"/>
          <w:b/>
          <w:i/>
          <w:sz w:val="20"/>
          <w:szCs w:val="20"/>
          <w:lang w:val="ro-RO"/>
        </w:rPr>
        <w:t>Sursă:</w:t>
      </w:r>
      <w:r w:rsidRPr="002838B7">
        <w:rPr>
          <w:rFonts w:asciiTheme="majorHAnsi" w:hAnsiTheme="majorHAnsi" w:cstheme="majorHAnsi"/>
          <w:b/>
          <w:sz w:val="20"/>
          <w:szCs w:val="20"/>
          <w:lang w:val="ro-RO"/>
        </w:rPr>
        <w:t xml:space="preserve"> </w:t>
      </w:r>
      <w:r w:rsidR="0088155C">
        <w:rPr>
          <w:rFonts w:asciiTheme="majorHAnsi" w:hAnsiTheme="majorHAnsi" w:cstheme="majorHAnsi"/>
          <w:sz w:val="20"/>
          <w:szCs w:val="20"/>
          <w:lang w:val="ro-RO"/>
        </w:rPr>
        <w:t>D</w:t>
      </w:r>
      <w:r w:rsidRPr="002838B7">
        <w:rPr>
          <w:rFonts w:asciiTheme="majorHAnsi" w:hAnsiTheme="majorHAnsi" w:cstheme="majorHAnsi"/>
          <w:sz w:val="20"/>
          <w:szCs w:val="20"/>
          <w:lang w:val="ro-RO"/>
        </w:rPr>
        <w:t>atel</w:t>
      </w:r>
      <w:r w:rsidR="0088155C">
        <w:rPr>
          <w:rFonts w:asciiTheme="majorHAnsi" w:hAnsiTheme="majorHAnsi" w:cstheme="majorHAnsi"/>
          <w:sz w:val="20"/>
          <w:szCs w:val="20"/>
          <w:lang w:val="ro-RO"/>
        </w:rPr>
        <w:t>e</w:t>
      </w:r>
      <w:r w:rsidRPr="002838B7">
        <w:rPr>
          <w:rFonts w:asciiTheme="majorHAnsi" w:hAnsiTheme="majorHAnsi" w:cstheme="majorHAnsi"/>
          <w:sz w:val="20"/>
          <w:szCs w:val="20"/>
          <w:lang w:val="ro-RO"/>
        </w:rPr>
        <w:t xml:space="preserve"> </w:t>
      </w:r>
      <w:r w:rsidRPr="001360C9">
        <w:rPr>
          <w:rFonts w:asciiTheme="majorHAnsi" w:hAnsiTheme="majorHAnsi" w:cstheme="majorHAnsi"/>
          <w:sz w:val="20"/>
          <w:szCs w:val="20"/>
          <w:lang w:val="ro-MD"/>
        </w:rPr>
        <w:t>Rapoartelor privind datoria de stat la situațiile din 31.12.2016, 31.12.2017 și 31.12.2018.</w:t>
      </w:r>
    </w:p>
    <w:p w14:paraId="16654DF9" w14:textId="35EA1E39" w:rsidR="00AD0650" w:rsidRDefault="00AD0650" w:rsidP="002838B7">
      <w:pPr>
        <w:ind w:firstLine="720"/>
        <w:jc w:val="both"/>
        <w:rPr>
          <w:rFonts w:asciiTheme="majorHAnsi" w:hAnsiTheme="majorHAnsi" w:cstheme="majorHAnsi"/>
          <w:i/>
          <w:sz w:val="24"/>
          <w:szCs w:val="24"/>
          <w:lang w:val="ro-RO"/>
        </w:rPr>
      </w:pPr>
      <w:r w:rsidRPr="002838B7">
        <w:rPr>
          <w:rFonts w:asciiTheme="majorHAnsi" w:hAnsiTheme="majorHAnsi" w:cstheme="majorHAnsi"/>
          <w:sz w:val="24"/>
          <w:szCs w:val="24"/>
          <w:lang w:val="ro-RO"/>
        </w:rPr>
        <w:t xml:space="preserve">Auditul </w:t>
      </w:r>
      <w:r w:rsidR="006F7F94">
        <w:rPr>
          <w:rFonts w:asciiTheme="majorHAnsi" w:hAnsiTheme="majorHAnsi" w:cstheme="majorHAnsi"/>
          <w:sz w:val="24"/>
          <w:szCs w:val="24"/>
          <w:lang w:val="ro-RO"/>
        </w:rPr>
        <w:t>denotă</w:t>
      </w:r>
      <w:r w:rsidRPr="002838B7">
        <w:rPr>
          <w:rFonts w:asciiTheme="majorHAnsi" w:hAnsiTheme="majorHAnsi" w:cstheme="majorHAnsi"/>
          <w:sz w:val="24"/>
          <w:szCs w:val="24"/>
          <w:lang w:val="ro-RO"/>
        </w:rPr>
        <w:t xml:space="preserve"> că în anul 2018 ritmul de creștere a datoriei de stat este inferior ritmul</w:t>
      </w:r>
      <w:r w:rsidR="004B250E">
        <w:rPr>
          <w:rFonts w:asciiTheme="majorHAnsi" w:hAnsiTheme="majorHAnsi" w:cstheme="majorHAnsi"/>
          <w:sz w:val="24"/>
          <w:szCs w:val="24"/>
          <w:lang w:val="ro-RO"/>
        </w:rPr>
        <w:t xml:space="preserve">ui </w:t>
      </w:r>
      <w:r w:rsidRPr="002838B7">
        <w:rPr>
          <w:rFonts w:asciiTheme="majorHAnsi" w:hAnsiTheme="majorHAnsi" w:cstheme="majorHAnsi"/>
          <w:sz w:val="24"/>
          <w:szCs w:val="24"/>
          <w:lang w:val="ro-RO"/>
        </w:rPr>
        <w:t xml:space="preserve"> de creștere a exporturilor și ritmul</w:t>
      </w:r>
      <w:r w:rsidR="004B250E">
        <w:rPr>
          <w:rFonts w:asciiTheme="majorHAnsi" w:hAnsiTheme="majorHAnsi" w:cstheme="majorHAnsi"/>
          <w:sz w:val="24"/>
          <w:szCs w:val="24"/>
          <w:lang w:val="ro-RO"/>
        </w:rPr>
        <w:t>ui</w:t>
      </w:r>
      <w:r w:rsidRPr="002838B7">
        <w:rPr>
          <w:rFonts w:asciiTheme="majorHAnsi" w:hAnsiTheme="majorHAnsi" w:cstheme="majorHAnsi"/>
          <w:sz w:val="24"/>
          <w:szCs w:val="24"/>
          <w:lang w:val="ro-RO"/>
        </w:rPr>
        <w:t xml:space="preserve"> de creștere a PIB, ca rezultat</w:t>
      </w:r>
      <w:r w:rsidR="004B250E">
        <w:rPr>
          <w:rFonts w:asciiTheme="majorHAnsi" w:hAnsiTheme="majorHAnsi" w:cstheme="majorHAnsi"/>
          <w:sz w:val="24"/>
          <w:szCs w:val="24"/>
          <w:lang w:val="ro-RO"/>
        </w:rPr>
        <w:t>,</w:t>
      </w:r>
      <w:r w:rsidRPr="002838B7">
        <w:rPr>
          <w:rFonts w:asciiTheme="majorHAnsi" w:hAnsiTheme="majorHAnsi" w:cstheme="majorHAnsi"/>
          <w:sz w:val="24"/>
          <w:szCs w:val="24"/>
          <w:lang w:val="ro-RO"/>
        </w:rPr>
        <w:t xml:space="preserve"> diminuându-se riscul de solvabilitate. </w:t>
      </w:r>
      <w:r w:rsidRPr="002838B7">
        <w:rPr>
          <w:rFonts w:asciiTheme="majorHAnsi" w:hAnsiTheme="majorHAnsi" w:cstheme="majorHAnsi"/>
          <w:i/>
          <w:sz w:val="24"/>
          <w:szCs w:val="24"/>
          <w:lang w:val="ro-RO"/>
        </w:rPr>
        <w:t xml:space="preserve">Situația </w:t>
      </w:r>
      <w:r w:rsidR="00F86CB0">
        <w:rPr>
          <w:rFonts w:asciiTheme="majorHAnsi" w:hAnsiTheme="majorHAnsi" w:cstheme="majorHAnsi"/>
          <w:i/>
          <w:sz w:val="24"/>
          <w:szCs w:val="24"/>
          <w:lang w:val="ro-RO"/>
        </w:rPr>
        <w:t>dată este redată în Tabelul nr.2</w:t>
      </w:r>
      <w:r w:rsidRPr="002838B7">
        <w:rPr>
          <w:rFonts w:asciiTheme="majorHAnsi" w:hAnsiTheme="majorHAnsi" w:cstheme="majorHAnsi"/>
          <w:i/>
          <w:sz w:val="24"/>
          <w:szCs w:val="24"/>
          <w:lang w:val="ro-RO"/>
        </w:rPr>
        <w:t>.</w:t>
      </w:r>
    </w:p>
    <w:p w14:paraId="5D06E0AA" w14:textId="4409475A" w:rsidR="001767F1" w:rsidRDefault="001767F1" w:rsidP="002838B7">
      <w:pPr>
        <w:ind w:firstLine="720"/>
        <w:jc w:val="both"/>
        <w:rPr>
          <w:rFonts w:asciiTheme="majorHAnsi" w:hAnsiTheme="majorHAnsi" w:cstheme="majorHAnsi"/>
          <w:i/>
          <w:sz w:val="24"/>
          <w:szCs w:val="24"/>
          <w:lang w:val="ro-RO"/>
        </w:rPr>
      </w:pPr>
    </w:p>
    <w:p w14:paraId="330322BC" w14:textId="7E2F335D" w:rsidR="001767F1" w:rsidRDefault="001767F1" w:rsidP="002838B7">
      <w:pPr>
        <w:ind w:firstLine="720"/>
        <w:jc w:val="both"/>
        <w:rPr>
          <w:rFonts w:asciiTheme="majorHAnsi" w:hAnsiTheme="majorHAnsi" w:cstheme="majorHAnsi"/>
          <w:i/>
          <w:sz w:val="24"/>
          <w:szCs w:val="24"/>
          <w:lang w:val="ro-RO"/>
        </w:rPr>
      </w:pPr>
    </w:p>
    <w:p w14:paraId="73D26FF1" w14:textId="77777777" w:rsidR="006F4148" w:rsidRDefault="006F4148" w:rsidP="002838B7">
      <w:pPr>
        <w:ind w:firstLine="720"/>
        <w:jc w:val="both"/>
        <w:rPr>
          <w:rFonts w:asciiTheme="majorHAnsi" w:hAnsiTheme="majorHAnsi" w:cstheme="majorHAnsi"/>
          <w:i/>
          <w:sz w:val="24"/>
          <w:szCs w:val="24"/>
          <w:lang w:val="ro-RO"/>
        </w:rPr>
      </w:pPr>
    </w:p>
    <w:p w14:paraId="3BC423E1" w14:textId="77777777" w:rsidR="001767F1" w:rsidRPr="002838B7" w:rsidRDefault="001767F1" w:rsidP="002838B7">
      <w:pPr>
        <w:ind w:firstLine="720"/>
        <w:jc w:val="both"/>
        <w:rPr>
          <w:rFonts w:asciiTheme="majorHAnsi" w:hAnsiTheme="majorHAnsi" w:cstheme="majorHAnsi"/>
          <w:sz w:val="24"/>
          <w:szCs w:val="24"/>
          <w:lang w:val="ro-RO"/>
        </w:rPr>
      </w:pPr>
    </w:p>
    <w:p w14:paraId="7FFEE692" w14:textId="33F9E109" w:rsidR="004B250E" w:rsidRPr="002838B7" w:rsidRDefault="00F86CB0" w:rsidP="006F4148">
      <w:pPr>
        <w:spacing w:after="0"/>
        <w:jc w:val="right"/>
        <w:rPr>
          <w:rFonts w:asciiTheme="majorHAnsi" w:hAnsiTheme="majorHAnsi" w:cstheme="majorHAnsi"/>
          <w:b/>
          <w:sz w:val="24"/>
          <w:szCs w:val="24"/>
          <w:lang w:val="ro-RO"/>
        </w:rPr>
      </w:pPr>
      <w:r>
        <w:rPr>
          <w:rFonts w:asciiTheme="majorHAnsi" w:hAnsiTheme="majorHAnsi" w:cstheme="majorHAnsi"/>
          <w:b/>
          <w:sz w:val="24"/>
          <w:szCs w:val="24"/>
          <w:lang w:val="ro-RO"/>
        </w:rPr>
        <w:t>Tabelul nr.2</w:t>
      </w:r>
    </w:p>
    <w:p w14:paraId="3A555C5A" w14:textId="77777777" w:rsidR="00AD0650" w:rsidRPr="002838B7" w:rsidRDefault="00AD0650" w:rsidP="00AD0650">
      <w:pPr>
        <w:spacing w:after="0"/>
        <w:jc w:val="center"/>
        <w:rPr>
          <w:rFonts w:asciiTheme="majorHAnsi" w:hAnsiTheme="majorHAnsi" w:cstheme="majorHAnsi"/>
          <w:b/>
          <w:i/>
          <w:sz w:val="24"/>
          <w:szCs w:val="24"/>
          <w:lang w:val="ro-RO"/>
        </w:rPr>
      </w:pPr>
      <w:r w:rsidRPr="002838B7">
        <w:rPr>
          <w:rFonts w:asciiTheme="majorHAnsi" w:hAnsiTheme="majorHAnsi" w:cstheme="majorHAnsi"/>
          <w:b/>
          <w:bCs/>
          <w:sz w:val="24"/>
          <w:szCs w:val="24"/>
          <w:lang w:val="ro-RO"/>
        </w:rPr>
        <w:t>Evoluția ritmului de creștere a datoriei de stat, a exporturilor de bunuri/servicii și a PIB în anii 2016-2018</w:t>
      </w:r>
    </w:p>
    <w:tbl>
      <w:tblPr>
        <w:tblW w:w="9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3402"/>
        <w:gridCol w:w="2548"/>
      </w:tblGrid>
      <w:tr w:rsidR="00AD0650" w:rsidRPr="002838B7" w14:paraId="503CE5EA" w14:textId="77777777" w:rsidTr="00B41A0F">
        <w:trPr>
          <w:trHeight w:val="547"/>
        </w:trPr>
        <w:tc>
          <w:tcPr>
            <w:tcW w:w="851" w:type="dxa"/>
            <w:shd w:val="clear" w:color="auto" w:fill="D9D9D9" w:themeFill="background1" w:themeFillShade="D9"/>
          </w:tcPr>
          <w:p w14:paraId="77C4B69E" w14:textId="77777777" w:rsidR="00AD0650" w:rsidRPr="002838B7" w:rsidRDefault="00AD0650" w:rsidP="00B41A0F">
            <w:pPr>
              <w:pStyle w:val="Default"/>
              <w:jc w:val="both"/>
              <w:rPr>
                <w:rFonts w:asciiTheme="majorHAnsi" w:hAnsiTheme="majorHAnsi" w:cstheme="majorHAnsi"/>
                <w:sz w:val="20"/>
                <w:szCs w:val="20"/>
                <w:lang w:val="ro-RO"/>
              </w:rPr>
            </w:pPr>
            <w:r w:rsidRPr="002838B7">
              <w:rPr>
                <w:rFonts w:asciiTheme="majorHAnsi" w:hAnsiTheme="majorHAnsi" w:cstheme="majorHAnsi"/>
                <w:b/>
                <w:bCs/>
                <w:sz w:val="20"/>
                <w:szCs w:val="20"/>
                <w:lang w:val="ro-RO"/>
              </w:rPr>
              <w:t xml:space="preserve">Anul </w:t>
            </w:r>
          </w:p>
        </w:tc>
        <w:tc>
          <w:tcPr>
            <w:tcW w:w="2551" w:type="dxa"/>
            <w:shd w:val="clear" w:color="auto" w:fill="D9D9D9" w:themeFill="background1" w:themeFillShade="D9"/>
          </w:tcPr>
          <w:p w14:paraId="509EC801" w14:textId="77777777" w:rsidR="00AD0650" w:rsidRPr="002838B7" w:rsidRDefault="00AD0650" w:rsidP="00B41A0F">
            <w:pPr>
              <w:pStyle w:val="Default"/>
              <w:jc w:val="both"/>
              <w:rPr>
                <w:rFonts w:asciiTheme="majorHAnsi" w:hAnsiTheme="majorHAnsi" w:cstheme="majorHAnsi"/>
                <w:sz w:val="20"/>
                <w:szCs w:val="20"/>
                <w:lang w:val="ro-RO"/>
              </w:rPr>
            </w:pPr>
            <w:r w:rsidRPr="002838B7">
              <w:rPr>
                <w:rFonts w:asciiTheme="majorHAnsi" w:hAnsiTheme="majorHAnsi" w:cstheme="majorHAnsi"/>
                <w:b/>
                <w:bCs/>
                <w:sz w:val="20"/>
                <w:szCs w:val="20"/>
                <w:lang w:val="ro-RO"/>
              </w:rPr>
              <w:t>Ritmul de creștere (scădere) a datoriei de stat</w:t>
            </w:r>
            <w:r w:rsidRPr="002838B7">
              <w:rPr>
                <w:rFonts w:asciiTheme="majorHAnsi" w:hAnsiTheme="majorHAnsi" w:cstheme="majorHAnsi"/>
                <w:sz w:val="20"/>
                <w:szCs w:val="20"/>
                <w:lang w:val="ro-RO"/>
              </w:rPr>
              <w:t xml:space="preserve">, % </w:t>
            </w:r>
          </w:p>
        </w:tc>
        <w:tc>
          <w:tcPr>
            <w:tcW w:w="3402" w:type="dxa"/>
            <w:shd w:val="clear" w:color="auto" w:fill="D9D9D9" w:themeFill="background1" w:themeFillShade="D9"/>
          </w:tcPr>
          <w:p w14:paraId="766BAAE6" w14:textId="77777777" w:rsidR="00AD0650" w:rsidRPr="002838B7" w:rsidRDefault="00AD0650" w:rsidP="00B41A0F">
            <w:pPr>
              <w:pStyle w:val="Default"/>
              <w:jc w:val="both"/>
              <w:rPr>
                <w:rFonts w:asciiTheme="majorHAnsi" w:hAnsiTheme="majorHAnsi" w:cstheme="majorHAnsi"/>
                <w:sz w:val="20"/>
                <w:szCs w:val="20"/>
                <w:lang w:val="ro-RO"/>
              </w:rPr>
            </w:pPr>
            <w:r w:rsidRPr="002838B7">
              <w:rPr>
                <w:rFonts w:asciiTheme="majorHAnsi" w:hAnsiTheme="majorHAnsi" w:cstheme="majorHAnsi"/>
                <w:b/>
                <w:bCs/>
                <w:sz w:val="20"/>
                <w:szCs w:val="20"/>
                <w:lang w:val="ro-RO"/>
              </w:rPr>
              <w:t>Ritmul de creștere/scădere a  exporturilor de bunuri și servicii</w:t>
            </w:r>
            <w:r w:rsidRPr="002838B7">
              <w:rPr>
                <w:rFonts w:asciiTheme="majorHAnsi" w:hAnsiTheme="majorHAnsi" w:cstheme="majorHAnsi"/>
                <w:sz w:val="20"/>
                <w:szCs w:val="20"/>
                <w:lang w:val="ro-RO"/>
              </w:rPr>
              <w:t xml:space="preserve">, % </w:t>
            </w:r>
          </w:p>
        </w:tc>
        <w:tc>
          <w:tcPr>
            <w:tcW w:w="2548" w:type="dxa"/>
            <w:shd w:val="clear" w:color="auto" w:fill="D9D9D9" w:themeFill="background1" w:themeFillShade="D9"/>
          </w:tcPr>
          <w:p w14:paraId="1B881FE9" w14:textId="77777777" w:rsidR="00AD0650" w:rsidRPr="002838B7" w:rsidRDefault="00AD0650" w:rsidP="00B41A0F">
            <w:pPr>
              <w:pStyle w:val="Default"/>
              <w:jc w:val="both"/>
              <w:rPr>
                <w:rFonts w:asciiTheme="majorHAnsi" w:hAnsiTheme="majorHAnsi" w:cstheme="majorHAnsi"/>
                <w:b/>
                <w:bCs/>
                <w:sz w:val="20"/>
                <w:szCs w:val="20"/>
                <w:lang w:val="ro-RO"/>
              </w:rPr>
            </w:pPr>
            <w:r w:rsidRPr="002838B7">
              <w:rPr>
                <w:rFonts w:asciiTheme="majorHAnsi" w:hAnsiTheme="majorHAnsi" w:cstheme="majorHAnsi"/>
                <w:b/>
                <w:bCs/>
                <w:sz w:val="20"/>
                <w:szCs w:val="20"/>
                <w:lang w:val="ro-RO"/>
              </w:rPr>
              <w:t>Ritmul de creștere/scădere a PIB, %</w:t>
            </w:r>
          </w:p>
        </w:tc>
      </w:tr>
      <w:tr w:rsidR="00AD0650" w:rsidRPr="002838B7" w14:paraId="56ADDCB7" w14:textId="77777777" w:rsidTr="00B41A0F">
        <w:trPr>
          <w:trHeight w:val="94"/>
        </w:trPr>
        <w:tc>
          <w:tcPr>
            <w:tcW w:w="851" w:type="dxa"/>
          </w:tcPr>
          <w:p w14:paraId="4B4D2BA8" w14:textId="77777777" w:rsidR="00AD0650" w:rsidRPr="002838B7" w:rsidRDefault="00AD0650" w:rsidP="00B41A0F">
            <w:pPr>
              <w:pStyle w:val="Default"/>
              <w:jc w:val="center"/>
              <w:rPr>
                <w:rFonts w:asciiTheme="majorHAnsi" w:hAnsiTheme="majorHAnsi" w:cstheme="majorHAnsi"/>
                <w:b/>
                <w:sz w:val="20"/>
                <w:szCs w:val="20"/>
                <w:lang w:val="ro-RO"/>
              </w:rPr>
            </w:pPr>
            <w:r w:rsidRPr="002838B7">
              <w:rPr>
                <w:rFonts w:asciiTheme="majorHAnsi" w:hAnsiTheme="majorHAnsi" w:cstheme="majorHAnsi"/>
                <w:b/>
                <w:bCs/>
                <w:sz w:val="20"/>
                <w:szCs w:val="20"/>
                <w:lang w:val="ro-RO"/>
              </w:rPr>
              <w:t>1</w:t>
            </w:r>
          </w:p>
        </w:tc>
        <w:tc>
          <w:tcPr>
            <w:tcW w:w="2551" w:type="dxa"/>
          </w:tcPr>
          <w:p w14:paraId="6A90AA37" w14:textId="77777777" w:rsidR="00AD0650" w:rsidRPr="002838B7" w:rsidRDefault="00AD0650" w:rsidP="00B41A0F">
            <w:pPr>
              <w:pStyle w:val="Default"/>
              <w:jc w:val="center"/>
              <w:rPr>
                <w:rFonts w:asciiTheme="majorHAnsi" w:hAnsiTheme="majorHAnsi" w:cstheme="majorHAnsi"/>
                <w:b/>
                <w:sz w:val="20"/>
                <w:szCs w:val="20"/>
                <w:lang w:val="ro-RO"/>
              </w:rPr>
            </w:pPr>
            <w:r w:rsidRPr="002838B7">
              <w:rPr>
                <w:rFonts w:asciiTheme="majorHAnsi" w:hAnsiTheme="majorHAnsi" w:cstheme="majorHAnsi"/>
                <w:b/>
                <w:sz w:val="20"/>
                <w:szCs w:val="20"/>
                <w:lang w:val="ro-RO"/>
              </w:rPr>
              <w:t>2</w:t>
            </w:r>
          </w:p>
        </w:tc>
        <w:tc>
          <w:tcPr>
            <w:tcW w:w="3402" w:type="dxa"/>
          </w:tcPr>
          <w:p w14:paraId="4ADEE62F" w14:textId="77777777" w:rsidR="00AD0650" w:rsidRPr="002838B7" w:rsidRDefault="00AD0650" w:rsidP="00B41A0F">
            <w:pPr>
              <w:pStyle w:val="Default"/>
              <w:jc w:val="center"/>
              <w:rPr>
                <w:rFonts w:asciiTheme="majorHAnsi" w:hAnsiTheme="majorHAnsi" w:cstheme="majorHAnsi"/>
                <w:b/>
                <w:sz w:val="20"/>
                <w:szCs w:val="20"/>
                <w:lang w:val="ro-RO"/>
              </w:rPr>
            </w:pPr>
            <w:r w:rsidRPr="002838B7">
              <w:rPr>
                <w:rFonts w:asciiTheme="majorHAnsi" w:hAnsiTheme="majorHAnsi" w:cstheme="majorHAnsi"/>
                <w:b/>
                <w:sz w:val="20"/>
                <w:szCs w:val="20"/>
                <w:lang w:val="ro-RO"/>
              </w:rPr>
              <w:t>3</w:t>
            </w:r>
          </w:p>
        </w:tc>
        <w:tc>
          <w:tcPr>
            <w:tcW w:w="2548" w:type="dxa"/>
          </w:tcPr>
          <w:p w14:paraId="6431699F" w14:textId="77777777" w:rsidR="00AD0650" w:rsidRPr="002838B7" w:rsidRDefault="00AD0650" w:rsidP="00B41A0F">
            <w:pPr>
              <w:pStyle w:val="Default"/>
              <w:jc w:val="center"/>
              <w:rPr>
                <w:rFonts w:asciiTheme="majorHAnsi" w:hAnsiTheme="majorHAnsi" w:cstheme="majorHAnsi"/>
                <w:b/>
                <w:sz w:val="20"/>
                <w:szCs w:val="20"/>
                <w:lang w:val="ro-RO"/>
              </w:rPr>
            </w:pPr>
            <w:r w:rsidRPr="002838B7">
              <w:rPr>
                <w:rFonts w:asciiTheme="majorHAnsi" w:hAnsiTheme="majorHAnsi" w:cstheme="majorHAnsi"/>
                <w:b/>
                <w:sz w:val="20"/>
                <w:szCs w:val="20"/>
                <w:lang w:val="ro-RO"/>
              </w:rPr>
              <w:t>4</w:t>
            </w:r>
          </w:p>
        </w:tc>
      </w:tr>
      <w:tr w:rsidR="00AD0650" w:rsidRPr="002838B7" w14:paraId="2F8A64F3" w14:textId="77777777" w:rsidTr="00B41A0F">
        <w:trPr>
          <w:trHeight w:val="94"/>
        </w:trPr>
        <w:tc>
          <w:tcPr>
            <w:tcW w:w="851" w:type="dxa"/>
          </w:tcPr>
          <w:p w14:paraId="66F93E28" w14:textId="77777777" w:rsidR="00AD0650" w:rsidRPr="002838B7" w:rsidRDefault="00AD0650" w:rsidP="00B41A0F">
            <w:pPr>
              <w:pStyle w:val="Default"/>
              <w:jc w:val="center"/>
              <w:rPr>
                <w:rFonts w:asciiTheme="majorHAnsi" w:hAnsiTheme="majorHAnsi" w:cstheme="majorHAnsi"/>
                <w:b/>
                <w:sz w:val="20"/>
                <w:szCs w:val="20"/>
                <w:lang w:val="ro-RO"/>
              </w:rPr>
            </w:pPr>
            <w:r w:rsidRPr="002838B7">
              <w:rPr>
                <w:rFonts w:asciiTheme="majorHAnsi" w:hAnsiTheme="majorHAnsi" w:cstheme="majorHAnsi"/>
                <w:b/>
                <w:sz w:val="20"/>
                <w:szCs w:val="20"/>
                <w:lang w:val="ro-RO"/>
              </w:rPr>
              <w:t>2018</w:t>
            </w:r>
          </w:p>
        </w:tc>
        <w:tc>
          <w:tcPr>
            <w:tcW w:w="2551" w:type="dxa"/>
          </w:tcPr>
          <w:p w14:paraId="02D27108" w14:textId="77777777" w:rsidR="00AD0650" w:rsidRPr="002838B7" w:rsidRDefault="00AD0650" w:rsidP="00B41A0F">
            <w:pPr>
              <w:pStyle w:val="Default"/>
              <w:jc w:val="center"/>
              <w:rPr>
                <w:rFonts w:asciiTheme="majorHAnsi" w:hAnsiTheme="majorHAnsi" w:cstheme="majorHAnsi"/>
                <w:sz w:val="20"/>
                <w:szCs w:val="20"/>
                <w:lang w:val="ro-RO"/>
              </w:rPr>
            </w:pPr>
            <w:r w:rsidRPr="002838B7">
              <w:rPr>
                <w:rFonts w:asciiTheme="majorHAnsi" w:hAnsiTheme="majorHAnsi" w:cstheme="majorHAnsi"/>
                <w:sz w:val="20"/>
                <w:szCs w:val="20"/>
                <w:lang w:val="ro-RO"/>
              </w:rPr>
              <w:t>0,7</w:t>
            </w:r>
          </w:p>
        </w:tc>
        <w:tc>
          <w:tcPr>
            <w:tcW w:w="3402" w:type="dxa"/>
          </w:tcPr>
          <w:p w14:paraId="5E46F3FB" w14:textId="77777777" w:rsidR="00AD0650" w:rsidRPr="002838B7" w:rsidRDefault="00AD0650" w:rsidP="00B41A0F">
            <w:pPr>
              <w:pStyle w:val="Default"/>
              <w:jc w:val="center"/>
              <w:rPr>
                <w:rFonts w:asciiTheme="majorHAnsi" w:hAnsiTheme="majorHAnsi" w:cstheme="majorHAnsi"/>
                <w:sz w:val="20"/>
                <w:szCs w:val="20"/>
                <w:lang w:val="ro-RO"/>
              </w:rPr>
            </w:pPr>
            <w:r w:rsidRPr="002838B7">
              <w:rPr>
                <w:rFonts w:asciiTheme="majorHAnsi" w:hAnsiTheme="majorHAnsi" w:cstheme="majorHAnsi"/>
                <w:sz w:val="20"/>
                <w:szCs w:val="20"/>
                <w:lang w:val="ro-RO"/>
              </w:rPr>
              <w:t>11,6</w:t>
            </w:r>
          </w:p>
        </w:tc>
        <w:tc>
          <w:tcPr>
            <w:tcW w:w="2548" w:type="dxa"/>
          </w:tcPr>
          <w:p w14:paraId="630AC73D" w14:textId="77777777" w:rsidR="00AD0650" w:rsidRPr="002838B7" w:rsidRDefault="00AD0650" w:rsidP="00B41A0F">
            <w:pPr>
              <w:pStyle w:val="Default"/>
              <w:jc w:val="center"/>
              <w:rPr>
                <w:rFonts w:asciiTheme="majorHAnsi" w:hAnsiTheme="majorHAnsi" w:cstheme="majorHAnsi"/>
                <w:sz w:val="20"/>
                <w:szCs w:val="20"/>
                <w:lang w:val="ro-RO"/>
              </w:rPr>
            </w:pPr>
            <w:r w:rsidRPr="002838B7">
              <w:rPr>
                <w:rFonts w:asciiTheme="majorHAnsi" w:hAnsiTheme="majorHAnsi" w:cstheme="majorHAnsi"/>
                <w:sz w:val="20"/>
                <w:szCs w:val="20"/>
                <w:lang w:val="ro-RO"/>
              </w:rPr>
              <w:t>6,2</w:t>
            </w:r>
          </w:p>
        </w:tc>
      </w:tr>
      <w:tr w:rsidR="00AD0650" w:rsidRPr="002838B7" w14:paraId="6589D9E3" w14:textId="77777777" w:rsidTr="00B41A0F">
        <w:trPr>
          <w:trHeight w:val="94"/>
        </w:trPr>
        <w:tc>
          <w:tcPr>
            <w:tcW w:w="851" w:type="dxa"/>
          </w:tcPr>
          <w:p w14:paraId="6B4F866E" w14:textId="77777777" w:rsidR="00AD0650" w:rsidRPr="002838B7" w:rsidRDefault="00AD0650" w:rsidP="00B41A0F">
            <w:pPr>
              <w:pStyle w:val="Default"/>
              <w:jc w:val="center"/>
              <w:rPr>
                <w:rFonts w:asciiTheme="majorHAnsi" w:hAnsiTheme="majorHAnsi" w:cstheme="majorHAnsi"/>
                <w:b/>
                <w:sz w:val="20"/>
                <w:szCs w:val="20"/>
                <w:lang w:val="ro-RO"/>
              </w:rPr>
            </w:pPr>
            <w:r w:rsidRPr="002838B7">
              <w:rPr>
                <w:rFonts w:asciiTheme="majorHAnsi" w:hAnsiTheme="majorHAnsi" w:cstheme="majorHAnsi"/>
                <w:b/>
                <w:sz w:val="20"/>
                <w:szCs w:val="20"/>
                <w:lang w:val="ro-RO"/>
              </w:rPr>
              <w:t>2017</w:t>
            </w:r>
          </w:p>
        </w:tc>
        <w:tc>
          <w:tcPr>
            <w:tcW w:w="2551" w:type="dxa"/>
          </w:tcPr>
          <w:p w14:paraId="64E52717" w14:textId="77777777" w:rsidR="00AD0650" w:rsidRPr="002838B7" w:rsidRDefault="00AD0650" w:rsidP="00B41A0F">
            <w:pPr>
              <w:pStyle w:val="Default"/>
              <w:jc w:val="center"/>
              <w:rPr>
                <w:rFonts w:asciiTheme="majorHAnsi" w:hAnsiTheme="majorHAnsi" w:cstheme="majorHAnsi"/>
                <w:sz w:val="20"/>
                <w:szCs w:val="20"/>
                <w:lang w:val="ro-RO"/>
              </w:rPr>
            </w:pPr>
            <w:r w:rsidRPr="002838B7">
              <w:rPr>
                <w:rFonts w:asciiTheme="majorHAnsi" w:hAnsiTheme="majorHAnsi" w:cstheme="majorHAnsi"/>
                <w:sz w:val="20"/>
                <w:szCs w:val="20"/>
                <w:lang w:val="ro-RO"/>
              </w:rPr>
              <w:t>1,7</w:t>
            </w:r>
          </w:p>
        </w:tc>
        <w:tc>
          <w:tcPr>
            <w:tcW w:w="3402" w:type="dxa"/>
          </w:tcPr>
          <w:p w14:paraId="46198462" w14:textId="77777777" w:rsidR="00AD0650" w:rsidRPr="002838B7" w:rsidRDefault="00AD0650" w:rsidP="00B41A0F">
            <w:pPr>
              <w:pStyle w:val="Default"/>
              <w:jc w:val="center"/>
              <w:rPr>
                <w:rFonts w:asciiTheme="majorHAnsi" w:hAnsiTheme="majorHAnsi" w:cstheme="majorHAnsi"/>
                <w:sz w:val="20"/>
                <w:szCs w:val="20"/>
                <w:lang w:val="ro-RO"/>
              </w:rPr>
            </w:pPr>
            <w:r w:rsidRPr="002838B7">
              <w:rPr>
                <w:rFonts w:asciiTheme="majorHAnsi" w:hAnsiTheme="majorHAnsi" w:cstheme="majorHAnsi"/>
                <w:sz w:val="20"/>
                <w:szCs w:val="20"/>
                <w:lang w:val="ro-RO"/>
              </w:rPr>
              <w:t>18,6</w:t>
            </w:r>
          </w:p>
        </w:tc>
        <w:tc>
          <w:tcPr>
            <w:tcW w:w="2548" w:type="dxa"/>
          </w:tcPr>
          <w:p w14:paraId="5BF87413" w14:textId="76079CAF" w:rsidR="00AD0650" w:rsidRPr="002838B7" w:rsidRDefault="00AD0650" w:rsidP="00B41A0F">
            <w:pPr>
              <w:pStyle w:val="Default"/>
              <w:jc w:val="center"/>
              <w:rPr>
                <w:rFonts w:asciiTheme="majorHAnsi" w:hAnsiTheme="majorHAnsi" w:cstheme="majorHAnsi"/>
                <w:sz w:val="20"/>
                <w:szCs w:val="20"/>
                <w:lang w:val="ro-RO"/>
              </w:rPr>
            </w:pPr>
            <w:r w:rsidRPr="002838B7">
              <w:rPr>
                <w:rFonts w:asciiTheme="majorHAnsi" w:hAnsiTheme="majorHAnsi" w:cstheme="majorHAnsi"/>
                <w:sz w:val="20"/>
                <w:szCs w:val="20"/>
                <w:lang w:val="ro-RO"/>
              </w:rPr>
              <w:t>11,</w:t>
            </w:r>
            <w:r w:rsidR="00D707B7">
              <w:rPr>
                <w:rFonts w:asciiTheme="majorHAnsi" w:hAnsiTheme="majorHAnsi" w:cstheme="majorHAnsi"/>
                <w:sz w:val="20"/>
                <w:szCs w:val="20"/>
                <w:lang w:val="ro-RO"/>
              </w:rPr>
              <w:t>2</w:t>
            </w:r>
          </w:p>
        </w:tc>
      </w:tr>
      <w:tr w:rsidR="00AD0650" w:rsidRPr="002838B7" w14:paraId="19DCAF04" w14:textId="77777777" w:rsidTr="00B41A0F">
        <w:trPr>
          <w:trHeight w:val="94"/>
        </w:trPr>
        <w:tc>
          <w:tcPr>
            <w:tcW w:w="851" w:type="dxa"/>
          </w:tcPr>
          <w:p w14:paraId="7478C343" w14:textId="77777777" w:rsidR="00AD0650" w:rsidRPr="002838B7" w:rsidRDefault="00AD0650" w:rsidP="00B41A0F">
            <w:pPr>
              <w:pStyle w:val="Default"/>
              <w:jc w:val="center"/>
              <w:rPr>
                <w:rFonts w:asciiTheme="majorHAnsi" w:hAnsiTheme="majorHAnsi" w:cstheme="majorHAnsi"/>
                <w:b/>
                <w:sz w:val="20"/>
                <w:szCs w:val="20"/>
                <w:lang w:val="ro-RO"/>
              </w:rPr>
            </w:pPr>
            <w:r w:rsidRPr="002838B7">
              <w:rPr>
                <w:rFonts w:asciiTheme="majorHAnsi" w:hAnsiTheme="majorHAnsi" w:cstheme="majorHAnsi"/>
                <w:b/>
                <w:sz w:val="20"/>
                <w:szCs w:val="20"/>
                <w:lang w:val="ro-RO"/>
              </w:rPr>
              <w:t>2016</w:t>
            </w:r>
          </w:p>
        </w:tc>
        <w:tc>
          <w:tcPr>
            <w:tcW w:w="2551" w:type="dxa"/>
          </w:tcPr>
          <w:p w14:paraId="57E7CD76" w14:textId="77777777" w:rsidR="00AD0650" w:rsidRPr="002838B7" w:rsidRDefault="00AD0650" w:rsidP="00B41A0F">
            <w:pPr>
              <w:pStyle w:val="Default"/>
              <w:jc w:val="center"/>
              <w:rPr>
                <w:rFonts w:asciiTheme="majorHAnsi" w:hAnsiTheme="majorHAnsi" w:cstheme="majorHAnsi"/>
                <w:sz w:val="20"/>
                <w:szCs w:val="20"/>
                <w:lang w:val="ro-RO"/>
              </w:rPr>
            </w:pPr>
            <w:r w:rsidRPr="002838B7">
              <w:rPr>
                <w:rFonts w:asciiTheme="majorHAnsi" w:hAnsiTheme="majorHAnsi" w:cstheme="majorHAnsi"/>
                <w:sz w:val="20"/>
                <w:szCs w:val="20"/>
                <w:lang w:val="ro-RO"/>
              </w:rPr>
              <w:t>51,6</w:t>
            </w:r>
          </w:p>
        </w:tc>
        <w:tc>
          <w:tcPr>
            <w:tcW w:w="3402" w:type="dxa"/>
          </w:tcPr>
          <w:p w14:paraId="72C205E6" w14:textId="77777777" w:rsidR="00AD0650" w:rsidRPr="002838B7" w:rsidRDefault="00AD0650" w:rsidP="00B41A0F">
            <w:pPr>
              <w:pStyle w:val="Default"/>
              <w:jc w:val="center"/>
              <w:rPr>
                <w:rFonts w:asciiTheme="majorHAnsi" w:hAnsiTheme="majorHAnsi" w:cstheme="majorHAnsi"/>
                <w:sz w:val="20"/>
                <w:szCs w:val="20"/>
                <w:lang w:val="ro-RO"/>
              </w:rPr>
            </w:pPr>
            <w:r w:rsidRPr="002838B7">
              <w:rPr>
                <w:rFonts w:asciiTheme="majorHAnsi" w:hAnsiTheme="majorHAnsi" w:cstheme="majorHAnsi"/>
                <w:sz w:val="20"/>
                <w:szCs w:val="20"/>
                <w:lang w:val="ro-RO"/>
              </w:rPr>
              <w:t>4,0</w:t>
            </w:r>
          </w:p>
        </w:tc>
        <w:tc>
          <w:tcPr>
            <w:tcW w:w="2548" w:type="dxa"/>
          </w:tcPr>
          <w:p w14:paraId="18694730" w14:textId="3ED857E0" w:rsidR="00AD0650" w:rsidRPr="002838B7" w:rsidRDefault="00AD0650" w:rsidP="00D707B7">
            <w:pPr>
              <w:pStyle w:val="Default"/>
              <w:jc w:val="center"/>
              <w:rPr>
                <w:rFonts w:asciiTheme="majorHAnsi" w:hAnsiTheme="majorHAnsi" w:cstheme="majorHAnsi"/>
                <w:sz w:val="20"/>
                <w:szCs w:val="20"/>
                <w:vertAlign w:val="superscript"/>
                <w:lang w:val="ro-RO"/>
              </w:rPr>
            </w:pPr>
            <w:r w:rsidRPr="002838B7">
              <w:rPr>
                <w:rFonts w:asciiTheme="majorHAnsi" w:hAnsiTheme="majorHAnsi" w:cstheme="majorHAnsi"/>
                <w:sz w:val="20"/>
                <w:szCs w:val="20"/>
                <w:lang w:val="ro-RO"/>
              </w:rPr>
              <w:t>10,</w:t>
            </w:r>
            <w:r w:rsidR="00D707B7">
              <w:rPr>
                <w:rFonts w:asciiTheme="majorHAnsi" w:hAnsiTheme="majorHAnsi" w:cstheme="majorHAnsi"/>
                <w:sz w:val="20"/>
                <w:szCs w:val="20"/>
                <w:lang w:val="ro-RO"/>
              </w:rPr>
              <w:t>3</w:t>
            </w:r>
            <w:r w:rsidRPr="002838B7">
              <w:rPr>
                <w:rFonts w:asciiTheme="majorHAnsi" w:hAnsiTheme="majorHAnsi" w:cstheme="majorHAnsi"/>
                <w:sz w:val="20"/>
                <w:szCs w:val="20"/>
                <w:vertAlign w:val="superscript"/>
                <w:lang w:val="ro-RO"/>
              </w:rPr>
              <w:t>*</w:t>
            </w:r>
          </w:p>
        </w:tc>
      </w:tr>
    </w:tbl>
    <w:p w14:paraId="4232F73B" w14:textId="7133F988" w:rsidR="00AD0650" w:rsidRPr="006F4148" w:rsidRDefault="00AD0650" w:rsidP="00AD0650">
      <w:pPr>
        <w:pStyle w:val="a6"/>
        <w:jc w:val="both"/>
        <w:rPr>
          <w:rFonts w:asciiTheme="majorHAnsi" w:hAnsiTheme="majorHAnsi" w:cstheme="majorHAnsi"/>
          <w:sz w:val="20"/>
          <w:szCs w:val="20"/>
          <w:lang w:val="ro-MD"/>
        </w:rPr>
      </w:pPr>
      <w:r w:rsidRPr="006F4148">
        <w:rPr>
          <w:rFonts w:asciiTheme="majorHAnsi" w:hAnsiTheme="majorHAnsi" w:cstheme="majorHAnsi"/>
          <w:b/>
          <w:i/>
          <w:sz w:val="20"/>
          <w:szCs w:val="20"/>
          <w:lang w:val="ro-MD"/>
        </w:rPr>
        <w:t>Sursă:</w:t>
      </w:r>
      <w:r w:rsidRPr="006F4148">
        <w:rPr>
          <w:rFonts w:asciiTheme="majorHAnsi" w:hAnsiTheme="majorHAnsi" w:cstheme="majorHAnsi"/>
          <w:b/>
          <w:sz w:val="20"/>
          <w:szCs w:val="20"/>
          <w:lang w:val="ro-MD"/>
        </w:rPr>
        <w:t xml:space="preserve"> </w:t>
      </w:r>
      <w:r w:rsidR="0088155C" w:rsidRPr="006F4148">
        <w:rPr>
          <w:rFonts w:asciiTheme="majorHAnsi" w:hAnsiTheme="majorHAnsi" w:cstheme="majorHAnsi"/>
          <w:sz w:val="20"/>
          <w:szCs w:val="20"/>
          <w:lang w:val="ro-MD"/>
        </w:rPr>
        <w:t>D</w:t>
      </w:r>
      <w:r w:rsidRPr="006F4148">
        <w:rPr>
          <w:rFonts w:asciiTheme="majorHAnsi" w:hAnsiTheme="majorHAnsi" w:cstheme="majorHAnsi"/>
          <w:sz w:val="20"/>
          <w:szCs w:val="20"/>
          <w:lang w:val="ro-MD"/>
        </w:rPr>
        <w:t>atel</w:t>
      </w:r>
      <w:r w:rsidR="0088155C" w:rsidRPr="006F4148">
        <w:rPr>
          <w:rFonts w:asciiTheme="majorHAnsi" w:hAnsiTheme="majorHAnsi" w:cstheme="majorHAnsi"/>
          <w:sz w:val="20"/>
          <w:szCs w:val="20"/>
          <w:lang w:val="ro-MD"/>
        </w:rPr>
        <w:t>e</w:t>
      </w:r>
      <w:r w:rsidRPr="006F4148">
        <w:rPr>
          <w:rFonts w:asciiTheme="majorHAnsi" w:hAnsiTheme="majorHAnsi" w:cstheme="majorHAnsi"/>
          <w:sz w:val="20"/>
          <w:szCs w:val="20"/>
          <w:lang w:val="ro-MD"/>
        </w:rPr>
        <w:t xml:space="preserve"> Rapoartelor privind datoria de stat la situațiile din 31.12.2016, 31.12.2017 și 31.12.2018 și </w:t>
      </w:r>
      <w:r w:rsidR="004B250E" w:rsidRPr="006F4148">
        <w:rPr>
          <w:rFonts w:asciiTheme="majorHAnsi" w:hAnsiTheme="majorHAnsi" w:cstheme="majorHAnsi"/>
          <w:sz w:val="20"/>
          <w:szCs w:val="20"/>
          <w:lang w:val="ro-MD"/>
        </w:rPr>
        <w:t xml:space="preserve">a </w:t>
      </w:r>
      <w:r w:rsidRPr="006F4148">
        <w:rPr>
          <w:rFonts w:asciiTheme="majorHAnsi" w:hAnsiTheme="majorHAnsi" w:cstheme="majorHAnsi"/>
          <w:sz w:val="20"/>
          <w:szCs w:val="20"/>
          <w:lang w:val="ro-MD"/>
        </w:rPr>
        <w:t xml:space="preserve">informațiilor plasate de BNS pe site-ul </w:t>
      </w:r>
      <w:hyperlink r:id="rId13" w:history="1">
        <w:r w:rsidRPr="006F4148">
          <w:rPr>
            <w:rStyle w:val="a3"/>
            <w:rFonts w:asciiTheme="majorHAnsi" w:hAnsiTheme="majorHAnsi" w:cstheme="majorHAnsi"/>
            <w:bCs/>
            <w:sz w:val="20"/>
            <w:szCs w:val="20"/>
            <w:lang w:val="ro-MD"/>
          </w:rPr>
          <w:t>www.statistica.md</w:t>
        </w:r>
      </w:hyperlink>
      <w:r w:rsidRPr="006F4148">
        <w:rPr>
          <w:rFonts w:asciiTheme="majorHAnsi" w:hAnsiTheme="majorHAnsi" w:cstheme="majorHAnsi"/>
          <w:sz w:val="20"/>
          <w:szCs w:val="20"/>
          <w:lang w:val="ro-MD"/>
        </w:rPr>
        <w:t>.</w:t>
      </w:r>
    </w:p>
    <w:p w14:paraId="384376EA" w14:textId="77777777" w:rsidR="00AD0650" w:rsidRPr="006F4148" w:rsidRDefault="00AD0650" w:rsidP="00AD0650">
      <w:pPr>
        <w:pStyle w:val="a6"/>
        <w:jc w:val="both"/>
        <w:rPr>
          <w:rFonts w:asciiTheme="majorHAnsi" w:hAnsiTheme="majorHAnsi" w:cstheme="majorHAnsi"/>
          <w:sz w:val="20"/>
          <w:szCs w:val="20"/>
          <w:lang w:val="ro-MD"/>
        </w:rPr>
      </w:pPr>
      <w:r w:rsidRPr="006F4148">
        <w:rPr>
          <w:rFonts w:asciiTheme="majorHAnsi" w:hAnsiTheme="majorHAnsi" w:cstheme="majorHAnsi"/>
          <w:sz w:val="20"/>
          <w:szCs w:val="20"/>
          <w:lang w:val="ro-MD"/>
        </w:rPr>
        <w:t>*PIB actualizat pentru anul 2017.</w:t>
      </w:r>
    </w:p>
    <w:p w14:paraId="0F35B8BE" w14:textId="77777777" w:rsidR="00AD0650" w:rsidRPr="002838B7" w:rsidRDefault="00AD0650" w:rsidP="00AD0650">
      <w:pPr>
        <w:spacing w:after="0" w:line="240" w:lineRule="auto"/>
        <w:jc w:val="both"/>
        <w:rPr>
          <w:rFonts w:asciiTheme="majorHAnsi" w:hAnsiTheme="majorHAnsi" w:cstheme="majorHAnsi"/>
          <w:sz w:val="24"/>
          <w:szCs w:val="24"/>
          <w:lang w:val="ro-RO"/>
        </w:rPr>
      </w:pPr>
    </w:p>
    <w:p w14:paraId="1AFCFA50" w14:textId="4164C8BC" w:rsidR="00AD0650" w:rsidRDefault="00AD0650" w:rsidP="00AD0650">
      <w:pPr>
        <w:spacing w:after="0" w:line="276" w:lineRule="auto"/>
        <w:ind w:firstLine="720"/>
        <w:jc w:val="both"/>
        <w:rPr>
          <w:rFonts w:asciiTheme="majorHAnsi" w:hAnsiTheme="majorHAnsi" w:cstheme="majorHAnsi"/>
          <w:sz w:val="24"/>
          <w:szCs w:val="24"/>
          <w:lang w:val="ro-RO"/>
        </w:rPr>
      </w:pPr>
      <w:r w:rsidRPr="00F27049">
        <w:rPr>
          <w:rFonts w:asciiTheme="majorHAnsi" w:hAnsiTheme="majorHAnsi" w:cstheme="majorHAnsi"/>
          <w:sz w:val="24"/>
          <w:szCs w:val="24"/>
          <w:lang w:val="ro-RO"/>
        </w:rPr>
        <w:t>Auditul relevă că în anul 2018 datoria de stat a înregistrat o creștere</w:t>
      </w:r>
      <w:r w:rsidRPr="00F27049">
        <w:rPr>
          <w:rFonts w:asciiTheme="majorHAnsi" w:hAnsiTheme="majorHAnsi" w:cstheme="majorHAnsi"/>
          <w:i/>
          <w:sz w:val="24"/>
          <w:szCs w:val="24"/>
          <w:lang w:val="ro-RO"/>
        </w:rPr>
        <w:t>.</w:t>
      </w:r>
      <w:r w:rsidRPr="002838B7">
        <w:rPr>
          <w:rFonts w:asciiTheme="majorHAnsi" w:hAnsiTheme="majorHAnsi" w:cstheme="majorHAnsi"/>
          <w:i/>
          <w:sz w:val="24"/>
          <w:szCs w:val="24"/>
          <w:lang w:val="ro-RO"/>
        </w:rPr>
        <w:t xml:space="preserve"> </w:t>
      </w:r>
      <w:r w:rsidRPr="002838B7">
        <w:rPr>
          <w:rFonts w:asciiTheme="majorHAnsi" w:hAnsiTheme="majorHAnsi" w:cstheme="majorHAnsi"/>
          <w:sz w:val="24"/>
          <w:szCs w:val="24"/>
          <w:lang w:val="ro-RO"/>
        </w:rPr>
        <w:t xml:space="preserve">În aceeași perioadă, indicatorii </w:t>
      </w:r>
      <w:r w:rsidRPr="00E14C43">
        <w:rPr>
          <w:rFonts w:asciiTheme="majorHAnsi" w:hAnsiTheme="majorHAnsi" w:cstheme="majorHAnsi"/>
          <w:sz w:val="24"/>
          <w:szCs w:val="24"/>
          <w:lang w:val="ro-RO"/>
        </w:rPr>
        <w:t>de îndatorare</w:t>
      </w:r>
      <w:r w:rsidRPr="00E14C43">
        <w:rPr>
          <w:rStyle w:val="ae"/>
          <w:rFonts w:asciiTheme="majorHAnsi" w:hAnsiTheme="majorHAnsi" w:cstheme="majorHAnsi"/>
          <w:sz w:val="24"/>
          <w:szCs w:val="24"/>
          <w:lang w:val="ro-RO"/>
        </w:rPr>
        <w:footnoteReference w:id="8"/>
      </w:r>
      <w:r w:rsidRPr="00E14C43">
        <w:rPr>
          <w:rFonts w:asciiTheme="majorHAnsi" w:hAnsiTheme="majorHAnsi" w:cstheme="majorHAnsi"/>
          <w:sz w:val="24"/>
          <w:szCs w:val="24"/>
          <w:lang w:val="ro-RO"/>
        </w:rPr>
        <w:t xml:space="preserve"> a datoriei</w:t>
      </w:r>
      <w:r w:rsidRPr="002838B7">
        <w:rPr>
          <w:rFonts w:asciiTheme="majorHAnsi" w:hAnsiTheme="majorHAnsi" w:cstheme="majorHAnsi"/>
          <w:sz w:val="24"/>
          <w:szCs w:val="24"/>
          <w:lang w:val="ro-RO"/>
        </w:rPr>
        <w:t xml:space="preserve"> de stat interne și a datoriei de stat externe </w:t>
      </w:r>
      <w:r w:rsidR="004B250E">
        <w:rPr>
          <w:rFonts w:asciiTheme="majorHAnsi" w:hAnsiTheme="majorHAnsi" w:cstheme="majorHAnsi"/>
          <w:sz w:val="24"/>
          <w:szCs w:val="24"/>
          <w:lang w:val="ro-RO"/>
        </w:rPr>
        <w:t xml:space="preserve">s-au diminuat  </w:t>
      </w:r>
      <w:r w:rsidRPr="002838B7">
        <w:rPr>
          <w:rFonts w:asciiTheme="majorHAnsi" w:hAnsiTheme="majorHAnsi" w:cstheme="majorHAnsi"/>
          <w:sz w:val="24"/>
          <w:szCs w:val="24"/>
          <w:lang w:val="ro-RO"/>
        </w:rPr>
        <w:t xml:space="preserve"> nesemnificativ față de anul 2017, constituind la datoria de stat internă – 12,1%</w:t>
      </w:r>
      <w:r w:rsidRPr="002838B7">
        <w:rPr>
          <w:rStyle w:val="ae"/>
          <w:rFonts w:asciiTheme="majorHAnsi" w:hAnsiTheme="majorHAnsi" w:cstheme="majorHAnsi"/>
          <w:sz w:val="24"/>
          <w:szCs w:val="24"/>
          <w:lang w:val="ro-RO"/>
        </w:rPr>
        <w:footnoteReference w:id="9"/>
      </w:r>
      <w:r w:rsidRPr="002838B7">
        <w:rPr>
          <w:rFonts w:asciiTheme="majorHAnsi" w:hAnsiTheme="majorHAnsi" w:cstheme="majorHAnsi"/>
          <w:sz w:val="24"/>
          <w:szCs w:val="24"/>
          <w:lang w:val="ro-RO"/>
        </w:rPr>
        <w:t>, iar la datoria de stat externă – 15,2%</w:t>
      </w:r>
      <w:r w:rsidRPr="002838B7">
        <w:rPr>
          <w:rStyle w:val="ae"/>
          <w:rFonts w:asciiTheme="majorHAnsi" w:hAnsiTheme="majorHAnsi" w:cstheme="majorHAnsi"/>
          <w:sz w:val="24"/>
          <w:szCs w:val="24"/>
          <w:lang w:val="ro-RO"/>
        </w:rPr>
        <w:footnoteReference w:id="10"/>
      </w:r>
      <w:r w:rsidRPr="002838B7">
        <w:rPr>
          <w:rFonts w:asciiTheme="majorHAnsi" w:hAnsiTheme="majorHAnsi" w:cstheme="majorHAnsi"/>
          <w:sz w:val="24"/>
          <w:szCs w:val="24"/>
          <w:lang w:val="ro-RO"/>
        </w:rPr>
        <w:t xml:space="preserve">. </w:t>
      </w:r>
    </w:p>
    <w:p w14:paraId="761B85C2" w14:textId="77777777" w:rsidR="00591D7A" w:rsidRDefault="00591D7A" w:rsidP="00AD0650">
      <w:pPr>
        <w:spacing w:after="0" w:line="276" w:lineRule="auto"/>
        <w:ind w:firstLine="720"/>
        <w:jc w:val="both"/>
        <w:rPr>
          <w:rFonts w:asciiTheme="majorHAnsi" w:hAnsiTheme="majorHAnsi" w:cstheme="majorHAnsi"/>
          <w:sz w:val="24"/>
          <w:szCs w:val="24"/>
          <w:lang w:val="ro-RO"/>
        </w:rPr>
      </w:pPr>
    </w:p>
    <w:p w14:paraId="18E7543F" w14:textId="77777777" w:rsidR="00AD0650" w:rsidRPr="00452966" w:rsidRDefault="00AD0650" w:rsidP="00AD0650">
      <w:pPr>
        <w:spacing w:after="0" w:line="240" w:lineRule="auto"/>
        <w:jc w:val="both"/>
        <w:rPr>
          <w:rFonts w:asciiTheme="majorHAnsi" w:hAnsiTheme="majorHAnsi" w:cstheme="majorHAnsi"/>
          <w:sz w:val="24"/>
          <w:szCs w:val="24"/>
        </w:rPr>
      </w:pPr>
    </w:p>
    <w:p w14:paraId="7D97B698" w14:textId="77777777" w:rsidR="00AD0650" w:rsidRPr="001B27BE" w:rsidRDefault="00AD0650" w:rsidP="00455178">
      <w:pPr>
        <w:pStyle w:val="a4"/>
        <w:numPr>
          <w:ilvl w:val="2"/>
          <w:numId w:val="47"/>
        </w:numPr>
        <w:tabs>
          <w:tab w:val="left" w:pos="851"/>
          <w:tab w:val="left" w:pos="1134"/>
        </w:tabs>
        <w:spacing w:after="0" w:line="240" w:lineRule="auto"/>
        <w:ind w:hanging="153"/>
        <w:jc w:val="both"/>
        <w:outlineLvl w:val="1"/>
        <w:rPr>
          <w:rFonts w:asciiTheme="majorHAnsi" w:hAnsiTheme="majorHAnsi" w:cstheme="majorHAnsi"/>
          <w:b/>
          <w:sz w:val="24"/>
          <w:szCs w:val="24"/>
          <w:lang w:val="ro-RO"/>
        </w:rPr>
      </w:pPr>
      <w:bookmarkStart w:id="20" w:name="_Toc10106680"/>
      <w:r w:rsidRPr="001B27BE">
        <w:rPr>
          <w:rFonts w:asciiTheme="majorHAnsi" w:hAnsiTheme="majorHAnsi" w:cstheme="majorHAnsi"/>
          <w:b/>
          <w:sz w:val="24"/>
          <w:szCs w:val="24"/>
          <w:lang w:val="ro-RO"/>
        </w:rPr>
        <w:t>Ponderea majoră în portofoliul datoriei de stat o constituie împrumuturile de stat externe.</w:t>
      </w:r>
      <w:bookmarkEnd w:id="20"/>
    </w:p>
    <w:p w14:paraId="4044F0E3" w14:textId="77777777" w:rsidR="00AD0650" w:rsidRPr="002838B7" w:rsidRDefault="00AD0650" w:rsidP="00AD0650">
      <w:pPr>
        <w:pStyle w:val="a4"/>
        <w:spacing w:after="0" w:line="240" w:lineRule="auto"/>
        <w:ind w:left="932"/>
        <w:jc w:val="both"/>
        <w:rPr>
          <w:rFonts w:asciiTheme="majorHAnsi" w:hAnsiTheme="majorHAnsi" w:cstheme="majorHAnsi"/>
          <w:b/>
          <w:sz w:val="24"/>
          <w:szCs w:val="24"/>
          <w:lang w:val="ro-RO"/>
        </w:rPr>
      </w:pPr>
    </w:p>
    <w:p w14:paraId="2FD9FE1F" w14:textId="77777777" w:rsidR="00AD0650" w:rsidRPr="002838B7" w:rsidRDefault="00AD0650" w:rsidP="00AD0650">
      <w:pPr>
        <w:spacing w:after="0" w:line="276" w:lineRule="auto"/>
        <w:ind w:firstLine="720"/>
        <w:jc w:val="both"/>
        <w:rPr>
          <w:rFonts w:asciiTheme="majorHAnsi" w:hAnsiTheme="majorHAnsi" w:cstheme="majorHAnsi"/>
          <w:sz w:val="24"/>
          <w:szCs w:val="24"/>
          <w:lang w:val="ro-RO"/>
        </w:rPr>
      </w:pPr>
      <w:r w:rsidRPr="002838B7">
        <w:rPr>
          <w:rFonts w:asciiTheme="majorHAnsi" w:hAnsiTheme="majorHAnsi" w:cstheme="majorHAnsi"/>
          <w:sz w:val="24"/>
          <w:szCs w:val="24"/>
          <w:lang w:val="ro-RO"/>
        </w:rPr>
        <w:t xml:space="preserve">Auditul a analizat structura datoriei de stat prin prisma a patru aspecte, și anume: </w:t>
      </w:r>
      <w:r w:rsidRPr="002838B7">
        <w:rPr>
          <w:rFonts w:asciiTheme="majorHAnsi" w:hAnsiTheme="majorHAnsi" w:cstheme="majorHAnsi"/>
          <w:i/>
          <w:sz w:val="24"/>
          <w:szCs w:val="24"/>
          <w:lang w:val="ro-RO"/>
        </w:rPr>
        <w:t>instrumentele datoriei, maturitatea, rata dobânzii și valuta.</w:t>
      </w:r>
    </w:p>
    <w:p w14:paraId="58F6B3F1" w14:textId="0AC85B03" w:rsidR="00AD0650" w:rsidRPr="002838B7" w:rsidRDefault="00AD0650" w:rsidP="00AD0650">
      <w:pPr>
        <w:spacing w:after="0" w:line="276" w:lineRule="auto"/>
        <w:ind w:firstLine="720"/>
        <w:jc w:val="both"/>
        <w:rPr>
          <w:rFonts w:asciiTheme="majorHAnsi" w:hAnsiTheme="majorHAnsi" w:cstheme="majorHAnsi"/>
          <w:sz w:val="24"/>
          <w:szCs w:val="24"/>
          <w:lang w:val="ro-RO"/>
        </w:rPr>
      </w:pPr>
      <w:r w:rsidRPr="002838B7">
        <w:rPr>
          <w:rFonts w:asciiTheme="majorHAnsi" w:hAnsiTheme="majorHAnsi" w:cstheme="majorHAnsi"/>
          <w:sz w:val="24"/>
          <w:szCs w:val="24"/>
          <w:lang w:val="ro-RO"/>
        </w:rPr>
        <w:t xml:space="preserve">Astfel, analiza efectuată de audit referitor la </w:t>
      </w:r>
      <w:r w:rsidRPr="002838B7">
        <w:rPr>
          <w:rFonts w:asciiTheme="majorHAnsi" w:hAnsiTheme="majorHAnsi" w:cstheme="majorHAnsi"/>
          <w:b/>
          <w:i/>
          <w:sz w:val="24"/>
          <w:szCs w:val="24"/>
          <w:lang w:val="ro-RO"/>
        </w:rPr>
        <w:t>structura datoriei de stat pe instrumente</w:t>
      </w:r>
      <w:r w:rsidRPr="002838B7">
        <w:rPr>
          <w:rFonts w:asciiTheme="majorHAnsi" w:hAnsiTheme="majorHAnsi" w:cstheme="majorHAnsi"/>
          <w:sz w:val="24"/>
          <w:szCs w:val="24"/>
          <w:lang w:val="ro-RO"/>
        </w:rPr>
        <w:t xml:space="preserve"> relevă că portofoliul datoriei de stat include: </w:t>
      </w:r>
      <w:r w:rsidRPr="002838B7">
        <w:rPr>
          <w:rFonts w:asciiTheme="majorHAnsi" w:hAnsiTheme="majorHAnsi" w:cstheme="majorHAnsi"/>
          <w:b/>
          <w:sz w:val="24"/>
          <w:szCs w:val="24"/>
          <w:lang w:val="ro-RO"/>
        </w:rPr>
        <w:t>(1)</w:t>
      </w:r>
      <w:r w:rsidRPr="002838B7">
        <w:rPr>
          <w:rFonts w:asciiTheme="majorHAnsi" w:hAnsiTheme="majorHAnsi" w:cstheme="majorHAnsi"/>
          <w:sz w:val="24"/>
          <w:szCs w:val="24"/>
          <w:lang w:val="ro-RO"/>
        </w:rPr>
        <w:t xml:space="preserve"> împrumuturile de stat externe (50,3%), </w:t>
      </w:r>
      <w:r w:rsidRPr="002838B7">
        <w:rPr>
          <w:rFonts w:asciiTheme="majorHAnsi" w:hAnsiTheme="majorHAnsi" w:cstheme="majorHAnsi"/>
          <w:b/>
          <w:sz w:val="24"/>
          <w:szCs w:val="24"/>
          <w:lang w:val="ro-RO"/>
        </w:rPr>
        <w:t>(2)</w:t>
      </w:r>
      <w:r w:rsidRPr="002838B7">
        <w:rPr>
          <w:rFonts w:asciiTheme="majorHAnsi" w:hAnsiTheme="majorHAnsi" w:cstheme="majorHAnsi"/>
          <w:sz w:val="24"/>
          <w:szCs w:val="24"/>
          <w:lang w:val="ro-RO"/>
        </w:rPr>
        <w:t xml:space="preserve"> VMS emise pentru executarea obligațiunilor de plată derivate din  garanțiile de stat (25,2%), </w:t>
      </w:r>
      <w:r w:rsidRPr="002838B7">
        <w:rPr>
          <w:rFonts w:asciiTheme="majorHAnsi" w:hAnsiTheme="majorHAnsi" w:cstheme="majorHAnsi"/>
          <w:b/>
          <w:sz w:val="24"/>
          <w:szCs w:val="24"/>
          <w:lang w:val="ro-RO"/>
        </w:rPr>
        <w:t>(3)</w:t>
      </w:r>
      <w:r w:rsidRPr="002838B7">
        <w:rPr>
          <w:rFonts w:asciiTheme="majorHAnsi" w:hAnsiTheme="majorHAnsi" w:cstheme="majorHAnsi"/>
          <w:sz w:val="24"/>
          <w:szCs w:val="24"/>
          <w:lang w:val="ro-RO"/>
        </w:rPr>
        <w:t xml:space="preserve"> VMS emise pe piața primară (15,2%), </w:t>
      </w:r>
      <w:r w:rsidRPr="002838B7">
        <w:rPr>
          <w:rFonts w:asciiTheme="majorHAnsi" w:hAnsiTheme="majorHAnsi" w:cstheme="majorHAnsi"/>
          <w:b/>
          <w:sz w:val="24"/>
          <w:szCs w:val="24"/>
          <w:lang w:val="ro-RO"/>
        </w:rPr>
        <w:t>(4)</w:t>
      </w:r>
      <w:r w:rsidRPr="002838B7">
        <w:rPr>
          <w:rFonts w:asciiTheme="majorHAnsi" w:hAnsiTheme="majorHAnsi" w:cstheme="majorHAnsi"/>
          <w:sz w:val="24"/>
          <w:szCs w:val="24"/>
          <w:lang w:val="ro-RO"/>
        </w:rPr>
        <w:t xml:space="preserve"> alocările DST (5,4%), </w:t>
      </w:r>
      <w:r w:rsidRPr="002838B7">
        <w:rPr>
          <w:rFonts w:asciiTheme="majorHAnsi" w:hAnsiTheme="majorHAnsi" w:cstheme="majorHAnsi"/>
          <w:b/>
          <w:sz w:val="24"/>
          <w:szCs w:val="24"/>
          <w:lang w:val="ro-RO"/>
        </w:rPr>
        <w:t>(5)</w:t>
      </w:r>
      <w:r w:rsidRPr="002838B7">
        <w:rPr>
          <w:rFonts w:asciiTheme="majorHAnsi" w:hAnsiTheme="majorHAnsi" w:cstheme="majorHAnsi"/>
          <w:sz w:val="24"/>
          <w:szCs w:val="24"/>
          <w:lang w:val="ro-RO"/>
        </w:rPr>
        <w:t xml:space="preserve"> VMS convertite (</w:t>
      </w:r>
      <w:r w:rsidR="00D707B7">
        <w:rPr>
          <w:rFonts w:asciiTheme="majorHAnsi" w:hAnsiTheme="majorHAnsi" w:cstheme="majorHAnsi"/>
          <w:sz w:val="24"/>
          <w:szCs w:val="24"/>
          <w:lang w:val="ro-RO"/>
        </w:rPr>
        <w:t>4,0</w:t>
      </w:r>
      <w:r w:rsidRPr="002838B7">
        <w:rPr>
          <w:rFonts w:asciiTheme="majorHAnsi" w:hAnsiTheme="majorHAnsi" w:cstheme="majorHAnsi"/>
          <w:sz w:val="24"/>
          <w:szCs w:val="24"/>
          <w:lang w:val="ro-RO"/>
        </w:rPr>
        <w:t xml:space="preserve">%). </w:t>
      </w:r>
    </w:p>
    <w:p w14:paraId="0B6205BC" w14:textId="04872A58" w:rsidR="00AD0650" w:rsidRPr="002838B7" w:rsidRDefault="00AD0650" w:rsidP="00AD0650">
      <w:pPr>
        <w:spacing w:after="0" w:line="276" w:lineRule="auto"/>
        <w:ind w:firstLine="720"/>
        <w:jc w:val="both"/>
        <w:rPr>
          <w:rFonts w:asciiTheme="majorHAnsi" w:hAnsiTheme="majorHAnsi" w:cstheme="majorHAnsi"/>
          <w:sz w:val="24"/>
          <w:szCs w:val="24"/>
          <w:lang w:val="ro-RO"/>
        </w:rPr>
      </w:pPr>
      <w:r w:rsidRPr="002838B7">
        <w:rPr>
          <w:rFonts w:asciiTheme="majorHAnsi" w:hAnsiTheme="majorHAnsi" w:cstheme="majorHAnsi"/>
          <w:sz w:val="24"/>
          <w:szCs w:val="24"/>
          <w:lang w:val="ro-RO"/>
        </w:rPr>
        <w:t xml:space="preserve">Comparativ cu anul 2017, ponderea împrumuturilor externe în totalul datoriei de stat a înregistrat o diminuare cu 0,5 </w:t>
      </w:r>
      <w:proofErr w:type="spellStart"/>
      <w:r w:rsidRPr="002838B7">
        <w:rPr>
          <w:rFonts w:asciiTheme="majorHAnsi" w:hAnsiTheme="majorHAnsi" w:cstheme="majorHAnsi"/>
          <w:sz w:val="24"/>
          <w:szCs w:val="24"/>
          <w:lang w:val="ro-RO"/>
        </w:rPr>
        <w:t>p.p.</w:t>
      </w:r>
      <w:proofErr w:type="spellEnd"/>
      <w:r w:rsidRPr="002838B7">
        <w:rPr>
          <w:rFonts w:asciiTheme="majorHAnsi" w:hAnsiTheme="majorHAnsi" w:cstheme="majorHAnsi"/>
          <w:sz w:val="24"/>
          <w:szCs w:val="24"/>
          <w:lang w:val="ro-RO"/>
        </w:rPr>
        <w:t xml:space="preserve">, </w:t>
      </w:r>
      <w:r w:rsidR="00C33556">
        <w:rPr>
          <w:rFonts w:asciiTheme="majorHAnsi" w:hAnsiTheme="majorHAnsi" w:cstheme="majorHAnsi"/>
          <w:sz w:val="24"/>
          <w:szCs w:val="24"/>
          <w:lang w:val="ro-RO"/>
        </w:rPr>
        <w:t xml:space="preserve">a </w:t>
      </w:r>
      <w:r w:rsidRPr="002838B7">
        <w:rPr>
          <w:rFonts w:asciiTheme="majorHAnsi" w:hAnsiTheme="majorHAnsi" w:cstheme="majorHAnsi"/>
          <w:sz w:val="24"/>
          <w:szCs w:val="24"/>
          <w:lang w:val="ro-RO"/>
        </w:rPr>
        <w:t>alocăril</w:t>
      </w:r>
      <w:r w:rsidR="00C33556">
        <w:rPr>
          <w:rFonts w:asciiTheme="majorHAnsi" w:hAnsiTheme="majorHAnsi" w:cstheme="majorHAnsi"/>
          <w:sz w:val="24"/>
          <w:szCs w:val="24"/>
          <w:lang w:val="ro-RO"/>
        </w:rPr>
        <w:t>or</w:t>
      </w:r>
      <w:r w:rsidRPr="002838B7">
        <w:rPr>
          <w:rFonts w:asciiTheme="majorHAnsi" w:hAnsiTheme="majorHAnsi" w:cstheme="majorHAnsi"/>
          <w:sz w:val="24"/>
          <w:szCs w:val="24"/>
          <w:lang w:val="ro-RO"/>
        </w:rPr>
        <w:t xml:space="preserve"> DST – cu 0,1 </w:t>
      </w:r>
      <w:proofErr w:type="spellStart"/>
      <w:r w:rsidRPr="002838B7">
        <w:rPr>
          <w:rFonts w:asciiTheme="majorHAnsi" w:hAnsiTheme="majorHAnsi" w:cstheme="majorHAnsi"/>
          <w:sz w:val="24"/>
          <w:szCs w:val="24"/>
          <w:lang w:val="ro-RO"/>
        </w:rPr>
        <w:t>p.p.</w:t>
      </w:r>
      <w:proofErr w:type="spellEnd"/>
      <w:r w:rsidRPr="002838B7">
        <w:rPr>
          <w:rFonts w:asciiTheme="majorHAnsi" w:hAnsiTheme="majorHAnsi" w:cstheme="majorHAnsi"/>
          <w:sz w:val="24"/>
          <w:szCs w:val="24"/>
          <w:lang w:val="ro-RO"/>
        </w:rPr>
        <w:t xml:space="preserve">, </w:t>
      </w:r>
      <w:r w:rsidR="00C33556">
        <w:rPr>
          <w:rFonts w:asciiTheme="majorHAnsi" w:hAnsiTheme="majorHAnsi" w:cstheme="majorHAnsi"/>
          <w:sz w:val="24"/>
          <w:szCs w:val="24"/>
          <w:lang w:val="ro-RO"/>
        </w:rPr>
        <w:t xml:space="preserve">a </w:t>
      </w:r>
      <w:r w:rsidRPr="002838B7">
        <w:rPr>
          <w:rFonts w:asciiTheme="majorHAnsi" w:hAnsiTheme="majorHAnsi" w:cstheme="majorHAnsi"/>
          <w:sz w:val="24"/>
          <w:szCs w:val="24"/>
          <w:lang w:val="ro-RO"/>
        </w:rPr>
        <w:t xml:space="preserve">VMS emise pentru executarea obligațiunilor de plată derivate din  garanțiile de stat – cu 0,5 </w:t>
      </w:r>
      <w:proofErr w:type="spellStart"/>
      <w:r w:rsidRPr="002838B7">
        <w:rPr>
          <w:rFonts w:asciiTheme="majorHAnsi" w:hAnsiTheme="majorHAnsi" w:cstheme="majorHAnsi"/>
          <w:sz w:val="24"/>
          <w:szCs w:val="24"/>
          <w:lang w:val="ro-RO"/>
        </w:rPr>
        <w:t>p.p.</w:t>
      </w:r>
      <w:proofErr w:type="spellEnd"/>
      <w:r w:rsidRPr="002838B7">
        <w:rPr>
          <w:rFonts w:asciiTheme="majorHAnsi" w:hAnsiTheme="majorHAnsi" w:cstheme="majorHAnsi"/>
          <w:sz w:val="24"/>
          <w:szCs w:val="24"/>
          <w:lang w:val="ro-RO"/>
        </w:rPr>
        <w:t xml:space="preserve">,  </w:t>
      </w:r>
      <w:r w:rsidR="00C33556">
        <w:rPr>
          <w:rFonts w:asciiTheme="majorHAnsi" w:hAnsiTheme="majorHAnsi" w:cstheme="majorHAnsi"/>
          <w:sz w:val="24"/>
          <w:szCs w:val="24"/>
          <w:lang w:val="ro-RO"/>
        </w:rPr>
        <w:t xml:space="preserve">în timp ce </w:t>
      </w:r>
      <w:r w:rsidRPr="002838B7">
        <w:rPr>
          <w:rFonts w:asciiTheme="majorHAnsi" w:hAnsiTheme="majorHAnsi" w:cstheme="majorHAnsi"/>
          <w:sz w:val="24"/>
          <w:szCs w:val="24"/>
          <w:lang w:val="ro-RO"/>
        </w:rPr>
        <w:t xml:space="preserve">ponderea VMS emise pe piața primară s-a majorat cu 1,2 </w:t>
      </w:r>
      <w:proofErr w:type="spellStart"/>
      <w:r w:rsidRPr="002838B7">
        <w:rPr>
          <w:rFonts w:asciiTheme="majorHAnsi" w:hAnsiTheme="majorHAnsi" w:cstheme="majorHAnsi"/>
          <w:sz w:val="24"/>
          <w:szCs w:val="24"/>
          <w:lang w:val="ro-RO"/>
        </w:rPr>
        <w:t>p.p.</w:t>
      </w:r>
      <w:proofErr w:type="spellEnd"/>
      <w:r w:rsidR="007030E0">
        <w:rPr>
          <w:rFonts w:asciiTheme="majorHAnsi" w:hAnsiTheme="majorHAnsi" w:cstheme="majorHAnsi"/>
          <w:sz w:val="24"/>
          <w:szCs w:val="24"/>
          <w:lang w:val="ro-RO"/>
        </w:rPr>
        <w:t>, iar</w:t>
      </w:r>
      <w:r w:rsidR="007030E0" w:rsidRPr="007030E0">
        <w:rPr>
          <w:rFonts w:asciiTheme="majorHAnsi" w:hAnsiTheme="majorHAnsi" w:cstheme="majorHAnsi"/>
          <w:sz w:val="24"/>
          <w:szCs w:val="24"/>
          <w:lang w:val="ro-RO"/>
        </w:rPr>
        <w:t xml:space="preserve"> </w:t>
      </w:r>
      <w:r w:rsidR="007030E0" w:rsidRPr="002838B7">
        <w:rPr>
          <w:rFonts w:asciiTheme="majorHAnsi" w:hAnsiTheme="majorHAnsi" w:cstheme="majorHAnsi"/>
          <w:sz w:val="24"/>
          <w:szCs w:val="24"/>
          <w:lang w:val="ro-RO"/>
        </w:rPr>
        <w:t xml:space="preserve">VMS convertite </w:t>
      </w:r>
      <w:r w:rsidR="007030E0">
        <w:rPr>
          <w:rFonts w:asciiTheme="majorHAnsi" w:hAnsiTheme="majorHAnsi" w:cstheme="majorHAnsi"/>
          <w:sz w:val="24"/>
          <w:szCs w:val="24"/>
          <w:lang w:val="ro-RO"/>
        </w:rPr>
        <w:t xml:space="preserve"> au rămas la același nivel</w:t>
      </w:r>
      <w:r w:rsidRPr="002838B7">
        <w:rPr>
          <w:rFonts w:asciiTheme="majorHAnsi" w:hAnsiTheme="majorHAnsi" w:cstheme="majorHAnsi"/>
          <w:sz w:val="24"/>
          <w:szCs w:val="24"/>
          <w:lang w:val="ro-RO"/>
        </w:rPr>
        <w:t>.</w:t>
      </w:r>
    </w:p>
    <w:p w14:paraId="4A82C753" w14:textId="50701FC0" w:rsidR="00AD0650" w:rsidRPr="002838B7" w:rsidRDefault="00AD0650" w:rsidP="00AD0650">
      <w:pPr>
        <w:spacing w:after="0" w:line="276" w:lineRule="auto"/>
        <w:ind w:firstLine="720"/>
        <w:jc w:val="both"/>
        <w:rPr>
          <w:rFonts w:asciiTheme="majorHAnsi" w:hAnsiTheme="majorHAnsi" w:cstheme="majorHAnsi"/>
          <w:sz w:val="24"/>
          <w:szCs w:val="24"/>
          <w:lang w:val="ro-RO"/>
        </w:rPr>
      </w:pPr>
      <w:r w:rsidRPr="00110CAF">
        <w:rPr>
          <w:rFonts w:asciiTheme="majorHAnsi" w:hAnsiTheme="majorHAnsi" w:cstheme="majorHAnsi"/>
          <w:sz w:val="24"/>
          <w:szCs w:val="24"/>
          <w:lang w:val="ro-RO"/>
        </w:rPr>
        <w:t xml:space="preserve">Potrivit </w:t>
      </w:r>
      <w:r w:rsidRPr="00110CAF">
        <w:rPr>
          <w:rFonts w:asciiTheme="majorHAnsi" w:hAnsiTheme="majorHAnsi" w:cstheme="majorHAnsi"/>
          <w:b/>
          <w:i/>
          <w:sz w:val="24"/>
          <w:szCs w:val="24"/>
          <w:lang w:val="ro-RO"/>
        </w:rPr>
        <w:t>maturității rămase</w:t>
      </w:r>
      <w:r w:rsidRPr="00110CAF">
        <w:rPr>
          <w:rStyle w:val="ae"/>
          <w:rFonts w:asciiTheme="majorHAnsi" w:hAnsiTheme="majorHAnsi" w:cstheme="majorHAnsi"/>
          <w:sz w:val="24"/>
          <w:szCs w:val="24"/>
          <w:lang w:val="ro-RO"/>
        </w:rPr>
        <w:footnoteReference w:id="11"/>
      </w:r>
      <w:r w:rsidRPr="00110CAF">
        <w:rPr>
          <w:rFonts w:asciiTheme="majorHAnsi" w:hAnsiTheme="majorHAnsi" w:cstheme="majorHAnsi"/>
          <w:sz w:val="24"/>
          <w:szCs w:val="24"/>
          <w:lang w:val="ro-RO"/>
        </w:rPr>
        <w:t>, ponderea majoră în portofoliul datoriei de st</w:t>
      </w:r>
      <w:r w:rsidR="00110CAF" w:rsidRPr="00110CAF">
        <w:rPr>
          <w:rFonts w:asciiTheme="majorHAnsi" w:hAnsiTheme="majorHAnsi" w:cstheme="majorHAnsi"/>
          <w:sz w:val="24"/>
          <w:szCs w:val="24"/>
          <w:lang w:val="ro-RO"/>
        </w:rPr>
        <w:t>at, c</w:t>
      </w:r>
      <w:r w:rsidR="00C33556">
        <w:rPr>
          <w:rFonts w:asciiTheme="majorHAnsi" w:hAnsiTheme="majorHAnsi" w:cstheme="majorHAnsi"/>
          <w:sz w:val="24"/>
          <w:szCs w:val="24"/>
          <w:lang w:val="ro-RO"/>
        </w:rPr>
        <w:t>ar</w:t>
      </w:r>
      <w:r w:rsidR="00110CAF" w:rsidRPr="00110CAF">
        <w:rPr>
          <w:rFonts w:asciiTheme="majorHAnsi" w:hAnsiTheme="majorHAnsi" w:cstheme="majorHAnsi"/>
          <w:sz w:val="24"/>
          <w:szCs w:val="24"/>
          <w:lang w:val="ro-RO"/>
        </w:rPr>
        <w:t>e constituie 79,2</w:t>
      </w:r>
      <w:r w:rsidRPr="00110CAF">
        <w:rPr>
          <w:rFonts w:asciiTheme="majorHAnsi" w:hAnsiTheme="majorHAnsi" w:cstheme="majorHAnsi"/>
          <w:sz w:val="24"/>
          <w:szCs w:val="24"/>
          <w:lang w:val="ro-RO"/>
        </w:rPr>
        <w:t>%, o deține datoria de stat pe termen lung, cele mai lungi perioade ale maturității revenind împrumuturilor de stat externe și VMS emise pentru executarea garanțiilor de stat. Datoriei de sta</w:t>
      </w:r>
      <w:r w:rsidR="00110CAF" w:rsidRPr="00110CAF">
        <w:rPr>
          <w:rFonts w:asciiTheme="majorHAnsi" w:hAnsiTheme="majorHAnsi" w:cstheme="majorHAnsi"/>
          <w:sz w:val="24"/>
          <w:szCs w:val="24"/>
          <w:lang w:val="ro-RO"/>
        </w:rPr>
        <w:t>t pe termen scurt îi revin 20,8</w:t>
      </w:r>
      <w:r w:rsidRPr="00110CAF">
        <w:rPr>
          <w:rFonts w:asciiTheme="majorHAnsi" w:hAnsiTheme="majorHAnsi" w:cstheme="majorHAnsi"/>
          <w:sz w:val="24"/>
          <w:szCs w:val="24"/>
          <w:lang w:val="ro-RO"/>
        </w:rPr>
        <w:t>% din totalul datoriei de stat.</w:t>
      </w:r>
    </w:p>
    <w:p w14:paraId="1625A6AD" w14:textId="787EE1E9" w:rsidR="00AD0650" w:rsidRPr="002838B7" w:rsidRDefault="00AD0650" w:rsidP="00AD0650">
      <w:pPr>
        <w:spacing w:after="0" w:line="276" w:lineRule="auto"/>
        <w:ind w:firstLine="720"/>
        <w:jc w:val="both"/>
        <w:rPr>
          <w:rFonts w:asciiTheme="majorHAnsi" w:hAnsiTheme="majorHAnsi" w:cstheme="majorHAnsi"/>
          <w:sz w:val="24"/>
          <w:szCs w:val="24"/>
          <w:lang w:val="ro-RO"/>
        </w:rPr>
      </w:pPr>
      <w:r w:rsidRPr="002838B7">
        <w:rPr>
          <w:rFonts w:asciiTheme="majorHAnsi" w:hAnsiTheme="majorHAnsi" w:cstheme="majorHAnsi"/>
          <w:sz w:val="24"/>
          <w:szCs w:val="24"/>
          <w:lang w:val="ro-RO"/>
        </w:rPr>
        <w:t xml:space="preserve">În structura portofoliului total al datoriei de stat pe </w:t>
      </w:r>
      <w:r w:rsidRPr="002838B7">
        <w:rPr>
          <w:rFonts w:asciiTheme="majorHAnsi" w:hAnsiTheme="majorHAnsi" w:cstheme="majorHAnsi"/>
          <w:b/>
          <w:i/>
          <w:sz w:val="24"/>
          <w:szCs w:val="24"/>
          <w:lang w:val="ro-RO"/>
        </w:rPr>
        <w:t>tipuri de rată a dobânzii</w:t>
      </w:r>
      <w:r w:rsidRPr="002838B7">
        <w:rPr>
          <w:rFonts w:asciiTheme="majorHAnsi" w:hAnsiTheme="majorHAnsi" w:cstheme="majorHAnsi"/>
          <w:sz w:val="24"/>
          <w:szCs w:val="24"/>
          <w:lang w:val="ro-RO"/>
        </w:rPr>
        <w:t>, datoriei de stat cu rata fixă îi revin 83,2%</w:t>
      </w:r>
      <w:r w:rsidRPr="00C83CD7">
        <w:rPr>
          <w:rFonts w:asciiTheme="majorHAnsi" w:hAnsiTheme="majorHAnsi" w:cstheme="majorHAnsi"/>
          <w:sz w:val="24"/>
          <w:szCs w:val="24"/>
          <w:lang w:val="ro-RO"/>
        </w:rPr>
        <w:t>, iar datoriei cu rata flotantă – 16,8%. În comparație cu anul 2017, se atestă o diminuare a datori</w:t>
      </w:r>
      <w:r w:rsidR="00C83CD7" w:rsidRPr="00DF20D7">
        <w:rPr>
          <w:rFonts w:asciiTheme="majorHAnsi" w:hAnsiTheme="majorHAnsi" w:cstheme="majorHAnsi"/>
          <w:sz w:val="24"/>
          <w:szCs w:val="24"/>
          <w:lang w:val="ro-RO"/>
        </w:rPr>
        <w:t>ei</w:t>
      </w:r>
      <w:r w:rsidRPr="002838B7">
        <w:rPr>
          <w:rFonts w:asciiTheme="majorHAnsi" w:hAnsiTheme="majorHAnsi" w:cstheme="majorHAnsi"/>
          <w:sz w:val="24"/>
          <w:szCs w:val="24"/>
          <w:lang w:val="ro-RO"/>
        </w:rPr>
        <w:t xml:space="preserve"> de stat cu rata fixă cu 2,3 </w:t>
      </w:r>
      <w:proofErr w:type="spellStart"/>
      <w:r w:rsidRPr="002838B7">
        <w:rPr>
          <w:rFonts w:asciiTheme="majorHAnsi" w:hAnsiTheme="majorHAnsi" w:cstheme="majorHAnsi"/>
          <w:sz w:val="24"/>
          <w:szCs w:val="24"/>
          <w:lang w:val="ro-RO"/>
        </w:rPr>
        <w:t>p.p.</w:t>
      </w:r>
      <w:proofErr w:type="spellEnd"/>
      <w:r w:rsidRPr="002838B7">
        <w:rPr>
          <w:rFonts w:asciiTheme="majorHAnsi" w:hAnsiTheme="majorHAnsi" w:cstheme="majorHAnsi"/>
          <w:sz w:val="24"/>
          <w:szCs w:val="24"/>
          <w:lang w:val="ro-RO"/>
        </w:rPr>
        <w:t xml:space="preserve"> și o majorare a datoriei de stat cu rata flotantă în aceeași mărime. Analiza situației date este redată în </w:t>
      </w:r>
      <w:r w:rsidR="00F86CB0">
        <w:rPr>
          <w:rFonts w:asciiTheme="majorHAnsi" w:hAnsiTheme="majorHAnsi" w:cstheme="majorHAnsi"/>
          <w:i/>
          <w:sz w:val="24"/>
          <w:szCs w:val="24"/>
          <w:lang w:val="ro-RO"/>
        </w:rPr>
        <w:t>Tabelul nr.1</w:t>
      </w:r>
      <w:r w:rsidRPr="002838B7">
        <w:rPr>
          <w:rFonts w:asciiTheme="majorHAnsi" w:hAnsiTheme="majorHAnsi" w:cstheme="majorHAnsi"/>
          <w:i/>
          <w:sz w:val="24"/>
          <w:szCs w:val="24"/>
          <w:lang w:val="ro-RO"/>
        </w:rPr>
        <w:t xml:space="preserve"> din Anexa nr.2 la prezentul Raport de audit.</w:t>
      </w:r>
    </w:p>
    <w:p w14:paraId="3D78076D" w14:textId="531F115D" w:rsidR="00AD0650" w:rsidRPr="002838B7" w:rsidRDefault="00AD0650" w:rsidP="00AD0650">
      <w:pPr>
        <w:spacing w:after="0" w:line="276" w:lineRule="auto"/>
        <w:ind w:firstLine="720"/>
        <w:jc w:val="both"/>
        <w:rPr>
          <w:rFonts w:asciiTheme="majorHAnsi" w:hAnsiTheme="majorHAnsi" w:cstheme="majorHAnsi"/>
          <w:sz w:val="24"/>
          <w:szCs w:val="24"/>
          <w:lang w:val="ro-RO"/>
        </w:rPr>
      </w:pPr>
      <w:r w:rsidRPr="002838B7">
        <w:rPr>
          <w:rFonts w:asciiTheme="majorHAnsi" w:hAnsiTheme="majorHAnsi" w:cstheme="majorHAnsi"/>
          <w:sz w:val="24"/>
          <w:szCs w:val="24"/>
          <w:lang w:val="ro-RO"/>
        </w:rPr>
        <w:lastRenderedPageBreak/>
        <w:t xml:space="preserve">În aspectul structurii </w:t>
      </w:r>
      <w:r w:rsidRPr="002838B7">
        <w:rPr>
          <w:rFonts w:asciiTheme="majorHAnsi" w:hAnsiTheme="majorHAnsi" w:cstheme="majorHAnsi"/>
          <w:b/>
          <w:i/>
          <w:sz w:val="24"/>
          <w:szCs w:val="24"/>
          <w:lang w:val="ro-RO"/>
        </w:rPr>
        <w:t>valutelor</w:t>
      </w:r>
      <w:r w:rsidRPr="002838B7">
        <w:rPr>
          <w:rFonts w:asciiTheme="majorHAnsi" w:hAnsiTheme="majorHAnsi" w:cstheme="majorHAnsi"/>
          <w:sz w:val="24"/>
          <w:szCs w:val="24"/>
          <w:lang w:val="ro-RO"/>
        </w:rPr>
        <w:t xml:space="preserve"> datoriei de stat, ponderea majoră îi revine datoriei de stat interne în </w:t>
      </w:r>
      <w:r w:rsidR="00F040EE">
        <w:rPr>
          <w:rFonts w:asciiTheme="majorHAnsi" w:hAnsiTheme="majorHAnsi" w:cstheme="majorHAnsi"/>
          <w:sz w:val="24"/>
          <w:szCs w:val="24"/>
          <w:lang w:val="ro-RO"/>
        </w:rPr>
        <w:t>MDL</w:t>
      </w:r>
      <w:r w:rsidRPr="002838B7">
        <w:rPr>
          <w:rFonts w:asciiTheme="majorHAnsi" w:hAnsiTheme="majorHAnsi" w:cstheme="majorHAnsi"/>
          <w:sz w:val="24"/>
          <w:szCs w:val="24"/>
          <w:lang w:val="ro-RO"/>
        </w:rPr>
        <w:t xml:space="preserve"> – 44,3%, urmată de cea a împrumuturilor  de stat externe denominate în coșul valutar DST – 30,7%. Pe următoarele poziții se clasează eur</w:t>
      </w:r>
      <w:r w:rsidR="00C9334B">
        <w:rPr>
          <w:rFonts w:asciiTheme="majorHAnsi" w:hAnsiTheme="majorHAnsi" w:cstheme="majorHAnsi"/>
          <w:sz w:val="24"/>
          <w:szCs w:val="24"/>
          <w:lang w:val="ro-RO"/>
        </w:rPr>
        <w:t>o – 17,4%, dolarul SUA – 5,6%, yenul j</w:t>
      </w:r>
      <w:r w:rsidRPr="002838B7">
        <w:rPr>
          <w:rFonts w:asciiTheme="majorHAnsi" w:hAnsiTheme="majorHAnsi" w:cstheme="majorHAnsi"/>
          <w:sz w:val="24"/>
          <w:szCs w:val="24"/>
          <w:lang w:val="ro-RO"/>
        </w:rPr>
        <w:t xml:space="preserve">aponez – 1,9% și lira sterlină - 0,01%.  </w:t>
      </w:r>
    </w:p>
    <w:p w14:paraId="40C1AC80" w14:textId="77777777" w:rsidR="00AD0650" w:rsidRPr="002838B7" w:rsidRDefault="00AD0650" w:rsidP="00AD0650">
      <w:pPr>
        <w:spacing w:after="0" w:line="240" w:lineRule="auto"/>
        <w:jc w:val="both"/>
        <w:rPr>
          <w:rFonts w:asciiTheme="majorHAnsi" w:hAnsiTheme="majorHAnsi" w:cstheme="majorHAnsi"/>
          <w:sz w:val="24"/>
          <w:szCs w:val="24"/>
          <w:lang w:val="ro-RO"/>
        </w:rPr>
      </w:pPr>
    </w:p>
    <w:p w14:paraId="6103846A" w14:textId="77777777" w:rsidR="00AD0650" w:rsidRPr="002838B7" w:rsidRDefault="00AD0650" w:rsidP="00455178">
      <w:pPr>
        <w:pStyle w:val="2"/>
        <w:numPr>
          <w:ilvl w:val="2"/>
          <w:numId w:val="47"/>
        </w:numPr>
        <w:ind w:hanging="11"/>
        <w:jc w:val="both"/>
        <w:rPr>
          <w:rFonts w:asciiTheme="majorHAnsi" w:hAnsiTheme="majorHAnsi" w:cstheme="majorHAnsi"/>
          <w:b/>
          <w:color w:val="auto"/>
          <w:sz w:val="24"/>
          <w:szCs w:val="24"/>
          <w:lang w:val="ro-RO"/>
        </w:rPr>
      </w:pPr>
      <w:r w:rsidRPr="002838B7">
        <w:rPr>
          <w:rFonts w:asciiTheme="majorHAnsi" w:hAnsiTheme="majorHAnsi" w:cstheme="majorHAnsi"/>
          <w:b/>
          <w:color w:val="auto"/>
          <w:sz w:val="24"/>
          <w:szCs w:val="24"/>
          <w:lang w:val="ro-RO"/>
        </w:rPr>
        <w:t xml:space="preserve"> </w:t>
      </w:r>
      <w:bookmarkStart w:id="21" w:name="_Toc10106681"/>
      <w:r w:rsidRPr="002838B7">
        <w:rPr>
          <w:rFonts w:asciiTheme="majorHAnsi" w:hAnsiTheme="majorHAnsi" w:cstheme="majorHAnsi"/>
          <w:b/>
          <w:color w:val="auto"/>
          <w:sz w:val="24"/>
          <w:szCs w:val="24"/>
          <w:lang w:val="ro-RO"/>
        </w:rPr>
        <w:t>Parametrii de risc și de sustenabilitate ai datoriei de stat s-au încadrat în limitele stabilite.</w:t>
      </w:r>
      <w:bookmarkEnd w:id="21"/>
    </w:p>
    <w:p w14:paraId="5EFBAF25" w14:textId="77777777" w:rsidR="00AD0650" w:rsidRPr="002838B7" w:rsidRDefault="00AD0650" w:rsidP="00AD0650">
      <w:pPr>
        <w:pStyle w:val="a6"/>
        <w:jc w:val="both"/>
        <w:rPr>
          <w:rFonts w:asciiTheme="majorHAnsi" w:hAnsiTheme="majorHAnsi" w:cstheme="majorHAnsi"/>
          <w:sz w:val="24"/>
          <w:szCs w:val="24"/>
          <w:lang w:val="ro-RO"/>
        </w:rPr>
      </w:pPr>
    </w:p>
    <w:p w14:paraId="787B1A12" w14:textId="2D03D194" w:rsidR="00AD0650" w:rsidRPr="002838B7" w:rsidRDefault="00AD0650" w:rsidP="00AD0650">
      <w:pPr>
        <w:pStyle w:val="a6"/>
        <w:spacing w:line="276" w:lineRule="auto"/>
        <w:ind w:firstLine="720"/>
        <w:jc w:val="both"/>
        <w:rPr>
          <w:rFonts w:asciiTheme="majorHAnsi" w:hAnsiTheme="majorHAnsi" w:cstheme="majorHAnsi"/>
          <w:i/>
          <w:sz w:val="24"/>
          <w:szCs w:val="24"/>
          <w:lang w:val="ro-RO"/>
        </w:rPr>
      </w:pPr>
      <w:r w:rsidRPr="002838B7">
        <w:rPr>
          <w:rFonts w:asciiTheme="majorHAnsi" w:hAnsiTheme="majorHAnsi" w:cstheme="majorHAnsi"/>
          <w:sz w:val="24"/>
          <w:szCs w:val="24"/>
          <w:lang w:val="ro-RO"/>
        </w:rPr>
        <w:t>Auditul denotă că, în vederea monitorizării nivelului parametrilor de risc și de sustenabilitate aferenți portofoliului datoriei de stat, a fost aprobat Programul „Managementul datoriei de stat pe termen mediu (2018-2020)”</w:t>
      </w:r>
      <w:r w:rsidRPr="002838B7">
        <w:rPr>
          <w:rStyle w:val="ae"/>
          <w:rFonts w:asciiTheme="majorHAnsi" w:hAnsiTheme="majorHAnsi" w:cstheme="majorHAnsi"/>
          <w:sz w:val="24"/>
          <w:szCs w:val="24"/>
          <w:lang w:val="ro-RO"/>
        </w:rPr>
        <w:footnoteReference w:id="12"/>
      </w:r>
      <w:r w:rsidRPr="002838B7">
        <w:rPr>
          <w:rFonts w:asciiTheme="majorHAnsi" w:hAnsiTheme="majorHAnsi" w:cstheme="majorHAnsi"/>
          <w:sz w:val="24"/>
          <w:szCs w:val="24"/>
          <w:lang w:val="ro-RO"/>
        </w:rPr>
        <w:t xml:space="preserve">. </w:t>
      </w:r>
      <w:r w:rsidR="006F7F94" w:rsidRPr="00C45AA7">
        <w:rPr>
          <w:rFonts w:asciiTheme="majorHAnsi" w:hAnsiTheme="majorHAnsi" w:cstheme="majorHAnsi"/>
          <w:i/>
          <w:sz w:val="24"/>
          <w:szCs w:val="24"/>
          <w:lang w:val="ro-RO"/>
        </w:rPr>
        <w:t xml:space="preserve">Analiza </w:t>
      </w:r>
      <w:r w:rsidR="00C45AA7" w:rsidRPr="00292F23">
        <w:rPr>
          <w:rFonts w:asciiTheme="majorHAnsi" w:hAnsiTheme="majorHAnsi" w:cstheme="majorHAnsi"/>
          <w:i/>
          <w:sz w:val="24"/>
          <w:szCs w:val="24"/>
          <w:lang w:val="ro-RO"/>
        </w:rPr>
        <w:t xml:space="preserve">efectuată de </w:t>
      </w:r>
      <w:r w:rsidR="006F7F94" w:rsidRPr="00C45AA7">
        <w:rPr>
          <w:rFonts w:asciiTheme="majorHAnsi" w:hAnsiTheme="majorHAnsi" w:cstheme="majorHAnsi"/>
          <w:i/>
          <w:sz w:val="24"/>
          <w:szCs w:val="24"/>
          <w:lang w:val="ro-RO"/>
        </w:rPr>
        <w:t>audit referitor la</w:t>
      </w:r>
      <w:r w:rsidR="006F7F94">
        <w:rPr>
          <w:rFonts w:asciiTheme="majorHAnsi" w:hAnsiTheme="majorHAnsi" w:cstheme="majorHAnsi"/>
          <w:sz w:val="24"/>
          <w:szCs w:val="24"/>
          <w:lang w:val="ro-RO"/>
        </w:rPr>
        <w:t xml:space="preserve"> </w:t>
      </w:r>
      <w:r w:rsidR="006F7F94">
        <w:rPr>
          <w:rFonts w:asciiTheme="majorHAnsi" w:hAnsiTheme="majorHAnsi" w:cstheme="majorHAnsi"/>
          <w:i/>
          <w:sz w:val="24"/>
          <w:szCs w:val="24"/>
          <w:lang w:val="ro-RO"/>
        </w:rPr>
        <w:t>s</w:t>
      </w:r>
      <w:r w:rsidRPr="002838B7">
        <w:rPr>
          <w:rFonts w:asciiTheme="majorHAnsi" w:hAnsiTheme="majorHAnsi" w:cstheme="majorHAnsi"/>
          <w:i/>
          <w:sz w:val="24"/>
          <w:szCs w:val="24"/>
          <w:lang w:val="ro-RO"/>
        </w:rPr>
        <w:t>ituația privind încadrarea parametrilor datoriei de stat pe anul 2018 în limitele stabilite pentru anumite tipuri de risc</w:t>
      </w:r>
      <w:r w:rsidR="00F86CB0">
        <w:rPr>
          <w:rFonts w:asciiTheme="majorHAnsi" w:hAnsiTheme="majorHAnsi" w:cstheme="majorHAnsi"/>
          <w:i/>
          <w:sz w:val="24"/>
          <w:szCs w:val="24"/>
          <w:lang w:val="ro-RO"/>
        </w:rPr>
        <w:t xml:space="preserve"> este prezentată în Tabelul nr.3</w:t>
      </w:r>
      <w:r w:rsidRPr="002838B7">
        <w:rPr>
          <w:rFonts w:asciiTheme="majorHAnsi" w:hAnsiTheme="majorHAnsi" w:cstheme="majorHAnsi"/>
          <w:i/>
          <w:sz w:val="24"/>
          <w:szCs w:val="24"/>
          <w:lang w:val="ro-RO"/>
        </w:rPr>
        <w:t>.</w:t>
      </w:r>
    </w:p>
    <w:p w14:paraId="25A41981" w14:textId="77777777" w:rsidR="00F040EE" w:rsidRPr="002838B7" w:rsidRDefault="00F040EE" w:rsidP="00AD0650">
      <w:pPr>
        <w:pStyle w:val="a6"/>
        <w:jc w:val="both"/>
        <w:rPr>
          <w:rFonts w:asciiTheme="majorHAnsi" w:hAnsiTheme="majorHAnsi" w:cstheme="majorHAnsi"/>
          <w:i/>
          <w:sz w:val="24"/>
          <w:szCs w:val="24"/>
          <w:lang w:val="ro-RO"/>
        </w:rPr>
      </w:pPr>
    </w:p>
    <w:p w14:paraId="2373322C" w14:textId="77777777" w:rsidR="00AD0650" w:rsidRPr="002838B7" w:rsidRDefault="00F86CB0" w:rsidP="00AD0650">
      <w:pPr>
        <w:spacing w:after="0" w:line="240" w:lineRule="auto"/>
        <w:jc w:val="right"/>
        <w:rPr>
          <w:rFonts w:asciiTheme="majorHAnsi" w:hAnsiTheme="majorHAnsi" w:cstheme="majorHAnsi"/>
          <w:b/>
          <w:sz w:val="24"/>
          <w:szCs w:val="24"/>
          <w:lang w:val="ro-RO"/>
        </w:rPr>
      </w:pPr>
      <w:r>
        <w:rPr>
          <w:rFonts w:asciiTheme="majorHAnsi" w:hAnsiTheme="majorHAnsi" w:cstheme="majorHAnsi"/>
          <w:b/>
          <w:sz w:val="24"/>
          <w:szCs w:val="24"/>
          <w:lang w:val="ro-RO"/>
        </w:rPr>
        <w:t>Tabelul nr.3</w:t>
      </w:r>
      <w:r w:rsidR="00AD0650" w:rsidRPr="002838B7">
        <w:rPr>
          <w:rFonts w:asciiTheme="majorHAnsi" w:hAnsiTheme="majorHAnsi" w:cstheme="majorHAnsi"/>
          <w:b/>
          <w:sz w:val="24"/>
          <w:szCs w:val="24"/>
          <w:lang w:val="ro-RO"/>
        </w:rPr>
        <w:t xml:space="preserve"> </w:t>
      </w:r>
    </w:p>
    <w:p w14:paraId="15588054" w14:textId="77777777" w:rsidR="00AD0650" w:rsidRPr="002838B7" w:rsidRDefault="00AD0650" w:rsidP="00AD0650">
      <w:pPr>
        <w:spacing w:after="0" w:line="240" w:lineRule="auto"/>
        <w:jc w:val="center"/>
        <w:rPr>
          <w:rFonts w:asciiTheme="majorHAnsi" w:hAnsiTheme="majorHAnsi" w:cstheme="majorHAnsi"/>
          <w:b/>
          <w:sz w:val="24"/>
          <w:szCs w:val="24"/>
          <w:lang w:val="ro-RO"/>
        </w:rPr>
      </w:pPr>
      <w:r w:rsidRPr="002838B7">
        <w:rPr>
          <w:rFonts w:asciiTheme="majorHAnsi" w:hAnsiTheme="majorHAnsi" w:cstheme="majorHAnsi"/>
          <w:b/>
          <w:sz w:val="24"/>
          <w:szCs w:val="24"/>
          <w:lang w:val="ro-RO"/>
        </w:rPr>
        <w:t>Analiza parametrilor de risc și de sustenabilitate aferenți datoriei de stat în anii 2016-2018, în comparație cu limitele stabilite, %</w:t>
      </w:r>
    </w:p>
    <w:tbl>
      <w:tblPr>
        <w:tblW w:w="93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9"/>
        <w:gridCol w:w="1701"/>
        <w:gridCol w:w="712"/>
        <w:gridCol w:w="853"/>
        <w:gridCol w:w="845"/>
        <w:gridCol w:w="9"/>
      </w:tblGrid>
      <w:tr w:rsidR="00AD0650" w:rsidRPr="00804518" w14:paraId="1893DAAD" w14:textId="77777777" w:rsidTr="00B41A0F">
        <w:trPr>
          <w:gridAfter w:val="1"/>
          <w:wAfter w:w="9" w:type="dxa"/>
          <w:trHeight w:val="104"/>
        </w:trPr>
        <w:tc>
          <w:tcPr>
            <w:tcW w:w="5269" w:type="dxa"/>
            <w:vMerge w:val="restart"/>
            <w:shd w:val="clear" w:color="auto" w:fill="E7E6E6"/>
          </w:tcPr>
          <w:p w14:paraId="7F3FCEC9" w14:textId="77777777" w:rsidR="00AD0650" w:rsidRPr="00804518" w:rsidRDefault="00AD0650" w:rsidP="00B41A0F">
            <w:pPr>
              <w:pStyle w:val="a6"/>
              <w:jc w:val="center"/>
              <w:rPr>
                <w:rFonts w:asciiTheme="majorHAnsi" w:hAnsiTheme="majorHAnsi" w:cstheme="majorHAnsi"/>
                <w:b/>
                <w:sz w:val="20"/>
                <w:szCs w:val="20"/>
                <w:lang w:val="ro-RO"/>
              </w:rPr>
            </w:pPr>
          </w:p>
          <w:p w14:paraId="4DECDEAB" w14:textId="77777777" w:rsidR="00AD0650" w:rsidRPr="00804518" w:rsidRDefault="00AD0650" w:rsidP="00B41A0F">
            <w:pPr>
              <w:pStyle w:val="a6"/>
              <w:jc w:val="center"/>
              <w:rPr>
                <w:rFonts w:asciiTheme="majorHAnsi" w:hAnsiTheme="majorHAnsi" w:cstheme="majorHAnsi"/>
                <w:b/>
                <w:sz w:val="20"/>
                <w:szCs w:val="20"/>
                <w:lang w:val="ro-RO"/>
              </w:rPr>
            </w:pPr>
            <w:r w:rsidRPr="00804518">
              <w:rPr>
                <w:rFonts w:asciiTheme="majorHAnsi" w:hAnsiTheme="majorHAnsi" w:cstheme="majorHAnsi"/>
                <w:b/>
                <w:sz w:val="20"/>
                <w:szCs w:val="20"/>
                <w:lang w:val="ro-RO"/>
              </w:rPr>
              <w:t>Parametrii de risc</w:t>
            </w:r>
          </w:p>
        </w:tc>
        <w:tc>
          <w:tcPr>
            <w:tcW w:w="1701" w:type="dxa"/>
            <w:vMerge w:val="restart"/>
            <w:shd w:val="clear" w:color="auto" w:fill="E7E6E6"/>
          </w:tcPr>
          <w:p w14:paraId="13272475" w14:textId="77777777" w:rsidR="00AD0650" w:rsidRPr="00804518" w:rsidRDefault="00AD0650" w:rsidP="00B41A0F">
            <w:pPr>
              <w:pStyle w:val="a6"/>
              <w:jc w:val="center"/>
              <w:rPr>
                <w:rFonts w:asciiTheme="majorHAnsi" w:hAnsiTheme="majorHAnsi" w:cstheme="majorHAnsi"/>
                <w:b/>
                <w:sz w:val="20"/>
                <w:szCs w:val="20"/>
                <w:lang w:val="ro-RO"/>
              </w:rPr>
            </w:pPr>
            <w:r w:rsidRPr="00804518">
              <w:rPr>
                <w:rFonts w:asciiTheme="majorHAnsi" w:hAnsiTheme="majorHAnsi" w:cstheme="majorHAnsi"/>
                <w:b/>
                <w:sz w:val="20"/>
                <w:szCs w:val="20"/>
                <w:lang w:val="ro-RO"/>
              </w:rPr>
              <w:t>Limitele stabilite pentru perioada 2018-2020</w:t>
            </w:r>
          </w:p>
        </w:tc>
        <w:tc>
          <w:tcPr>
            <w:tcW w:w="712" w:type="dxa"/>
            <w:shd w:val="clear" w:color="auto" w:fill="E7E6E6"/>
          </w:tcPr>
          <w:p w14:paraId="5FAE6A47" w14:textId="77777777" w:rsidR="00AD0650" w:rsidRPr="00804518" w:rsidRDefault="00AD0650" w:rsidP="00B41A0F">
            <w:pPr>
              <w:pStyle w:val="a6"/>
              <w:jc w:val="center"/>
              <w:rPr>
                <w:rFonts w:asciiTheme="majorHAnsi" w:hAnsiTheme="majorHAnsi" w:cstheme="majorHAnsi"/>
                <w:b/>
                <w:sz w:val="20"/>
                <w:szCs w:val="20"/>
                <w:lang w:val="ro-RO"/>
              </w:rPr>
            </w:pPr>
            <w:r w:rsidRPr="00804518">
              <w:rPr>
                <w:rFonts w:asciiTheme="majorHAnsi" w:hAnsiTheme="majorHAnsi" w:cstheme="majorHAnsi"/>
                <w:b/>
                <w:sz w:val="20"/>
                <w:szCs w:val="20"/>
                <w:lang w:val="ro-RO"/>
              </w:rPr>
              <w:t>2016</w:t>
            </w:r>
          </w:p>
        </w:tc>
        <w:tc>
          <w:tcPr>
            <w:tcW w:w="853" w:type="dxa"/>
            <w:shd w:val="clear" w:color="auto" w:fill="E7E6E6"/>
          </w:tcPr>
          <w:p w14:paraId="41301476" w14:textId="77777777" w:rsidR="00AD0650" w:rsidRPr="00804518" w:rsidRDefault="00AD0650" w:rsidP="00B41A0F">
            <w:pPr>
              <w:pStyle w:val="a6"/>
              <w:jc w:val="center"/>
              <w:rPr>
                <w:rFonts w:asciiTheme="majorHAnsi" w:hAnsiTheme="majorHAnsi" w:cstheme="majorHAnsi"/>
                <w:b/>
                <w:sz w:val="20"/>
                <w:szCs w:val="20"/>
                <w:lang w:val="ro-RO"/>
              </w:rPr>
            </w:pPr>
            <w:r w:rsidRPr="00804518">
              <w:rPr>
                <w:rFonts w:asciiTheme="majorHAnsi" w:hAnsiTheme="majorHAnsi" w:cstheme="majorHAnsi"/>
                <w:b/>
                <w:sz w:val="20"/>
                <w:szCs w:val="20"/>
                <w:lang w:val="ro-RO"/>
              </w:rPr>
              <w:t>2017</w:t>
            </w:r>
          </w:p>
        </w:tc>
        <w:tc>
          <w:tcPr>
            <w:tcW w:w="845" w:type="dxa"/>
            <w:shd w:val="clear" w:color="auto" w:fill="E7E6E6"/>
          </w:tcPr>
          <w:p w14:paraId="6C8DD792" w14:textId="77777777" w:rsidR="00AD0650" w:rsidRPr="00804518" w:rsidRDefault="00AD0650" w:rsidP="00B41A0F">
            <w:pPr>
              <w:pStyle w:val="a6"/>
              <w:jc w:val="center"/>
              <w:rPr>
                <w:rFonts w:asciiTheme="majorHAnsi" w:hAnsiTheme="majorHAnsi" w:cstheme="majorHAnsi"/>
                <w:b/>
                <w:sz w:val="20"/>
                <w:szCs w:val="20"/>
                <w:lang w:val="ro-RO"/>
              </w:rPr>
            </w:pPr>
            <w:r w:rsidRPr="00804518">
              <w:rPr>
                <w:rFonts w:asciiTheme="majorHAnsi" w:hAnsiTheme="majorHAnsi" w:cstheme="majorHAnsi"/>
                <w:b/>
                <w:sz w:val="20"/>
                <w:szCs w:val="20"/>
                <w:lang w:val="ro-RO"/>
              </w:rPr>
              <w:t>2018</w:t>
            </w:r>
          </w:p>
        </w:tc>
      </w:tr>
      <w:tr w:rsidR="00AD0650" w:rsidRPr="00804518" w14:paraId="1C3B59F4" w14:textId="77777777" w:rsidTr="00B41A0F">
        <w:trPr>
          <w:gridAfter w:val="1"/>
          <w:wAfter w:w="9" w:type="dxa"/>
          <w:trHeight w:val="102"/>
        </w:trPr>
        <w:tc>
          <w:tcPr>
            <w:tcW w:w="5269" w:type="dxa"/>
            <w:vMerge/>
            <w:shd w:val="clear" w:color="auto" w:fill="E7E6E6"/>
          </w:tcPr>
          <w:p w14:paraId="7B38E234" w14:textId="77777777" w:rsidR="00AD0650" w:rsidRPr="00804518" w:rsidRDefault="00AD0650" w:rsidP="00B41A0F">
            <w:pPr>
              <w:pStyle w:val="a6"/>
              <w:rPr>
                <w:rFonts w:asciiTheme="majorHAnsi" w:hAnsiTheme="majorHAnsi" w:cstheme="majorHAnsi"/>
                <w:b/>
                <w:sz w:val="20"/>
                <w:szCs w:val="20"/>
                <w:lang w:val="ro-RO"/>
              </w:rPr>
            </w:pPr>
          </w:p>
        </w:tc>
        <w:tc>
          <w:tcPr>
            <w:tcW w:w="1701" w:type="dxa"/>
            <w:vMerge/>
            <w:shd w:val="clear" w:color="auto" w:fill="E7E6E6"/>
          </w:tcPr>
          <w:p w14:paraId="504AF068" w14:textId="77777777" w:rsidR="00AD0650" w:rsidRPr="00804518" w:rsidRDefault="00AD0650" w:rsidP="00B41A0F">
            <w:pPr>
              <w:pStyle w:val="a6"/>
              <w:rPr>
                <w:rFonts w:asciiTheme="majorHAnsi" w:hAnsiTheme="majorHAnsi" w:cstheme="majorHAnsi"/>
                <w:b/>
                <w:sz w:val="20"/>
                <w:szCs w:val="20"/>
                <w:lang w:val="ro-RO"/>
              </w:rPr>
            </w:pPr>
          </w:p>
        </w:tc>
        <w:tc>
          <w:tcPr>
            <w:tcW w:w="2410" w:type="dxa"/>
            <w:gridSpan w:val="3"/>
            <w:shd w:val="clear" w:color="auto" w:fill="E7E6E6"/>
          </w:tcPr>
          <w:p w14:paraId="65F5A803" w14:textId="77777777" w:rsidR="00AD0650" w:rsidRPr="00804518" w:rsidRDefault="00AD0650" w:rsidP="00B41A0F">
            <w:pPr>
              <w:pStyle w:val="a6"/>
              <w:jc w:val="center"/>
              <w:rPr>
                <w:rFonts w:asciiTheme="majorHAnsi" w:hAnsiTheme="majorHAnsi" w:cstheme="majorHAnsi"/>
                <w:b/>
                <w:sz w:val="20"/>
                <w:szCs w:val="20"/>
                <w:lang w:val="ro-RO"/>
              </w:rPr>
            </w:pPr>
            <w:r w:rsidRPr="00804518">
              <w:rPr>
                <w:rFonts w:asciiTheme="majorHAnsi" w:hAnsiTheme="majorHAnsi" w:cstheme="majorHAnsi"/>
                <w:b/>
                <w:sz w:val="20"/>
                <w:szCs w:val="20"/>
                <w:lang w:val="ro-RO"/>
              </w:rPr>
              <w:t>realizat</w:t>
            </w:r>
          </w:p>
        </w:tc>
      </w:tr>
      <w:tr w:rsidR="00AD0650" w:rsidRPr="00804518" w14:paraId="2E1DA86B" w14:textId="77777777" w:rsidTr="00B41A0F">
        <w:trPr>
          <w:trHeight w:val="149"/>
        </w:trPr>
        <w:tc>
          <w:tcPr>
            <w:tcW w:w="9389" w:type="dxa"/>
            <w:gridSpan w:val="6"/>
          </w:tcPr>
          <w:p w14:paraId="2BF69778" w14:textId="623B6987" w:rsidR="00AD0650" w:rsidRPr="00804518" w:rsidRDefault="00AD0650" w:rsidP="00DE034D">
            <w:pPr>
              <w:pStyle w:val="a6"/>
              <w:jc w:val="center"/>
              <w:rPr>
                <w:rFonts w:asciiTheme="majorHAnsi" w:hAnsiTheme="majorHAnsi" w:cstheme="majorHAnsi"/>
                <w:b/>
                <w:sz w:val="20"/>
                <w:szCs w:val="20"/>
                <w:lang w:val="ro-RO"/>
              </w:rPr>
            </w:pPr>
            <w:r w:rsidRPr="00804518">
              <w:rPr>
                <w:rFonts w:asciiTheme="majorHAnsi" w:hAnsiTheme="majorHAnsi" w:cstheme="majorHAnsi"/>
                <w:b/>
                <w:sz w:val="20"/>
                <w:szCs w:val="20"/>
                <w:lang w:val="ro-RO"/>
              </w:rPr>
              <w:t xml:space="preserve">Parametrii de risc pentru perioada </w:t>
            </w:r>
            <w:r w:rsidR="00DE034D" w:rsidRPr="00804518">
              <w:rPr>
                <w:rFonts w:asciiTheme="majorHAnsi" w:hAnsiTheme="majorHAnsi" w:cstheme="majorHAnsi"/>
                <w:b/>
                <w:sz w:val="20"/>
                <w:szCs w:val="20"/>
                <w:lang w:val="ro-RO"/>
              </w:rPr>
              <w:t>2018</w:t>
            </w:r>
            <w:r w:rsidRPr="00804518">
              <w:rPr>
                <w:rFonts w:asciiTheme="majorHAnsi" w:hAnsiTheme="majorHAnsi" w:cstheme="majorHAnsi"/>
                <w:b/>
                <w:sz w:val="20"/>
                <w:szCs w:val="20"/>
                <w:lang w:val="ro-RO"/>
              </w:rPr>
              <w:t>-</w:t>
            </w:r>
            <w:r w:rsidR="00DE034D" w:rsidRPr="00804518">
              <w:rPr>
                <w:rFonts w:asciiTheme="majorHAnsi" w:hAnsiTheme="majorHAnsi" w:cstheme="majorHAnsi"/>
                <w:b/>
                <w:sz w:val="20"/>
                <w:szCs w:val="20"/>
                <w:lang w:val="ro-RO"/>
              </w:rPr>
              <w:t>2020</w:t>
            </w:r>
          </w:p>
        </w:tc>
      </w:tr>
      <w:tr w:rsidR="00AD0650" w:rsidRPr="00804518" w14:paraId="7812228E" w14:textId="77777777" w:rsidTr="00B41A0F">
        <w:trPr>
          <w:gridAfter w:val="1"/>
          <w:wAfter w:w="9" w:type="dxa"/>
          <w:trHeight w:val="77"/>
        </w:trPr>
        <w:tc>
          <w:tcPr>
            <w:tcW w:w="5269" w:type="dxa"/>
          </w:tcPr>
          <w:p w14:paraId="42D2D1D6" w14:textId="77777777" w:rsidR="00AD0650" w:rsidRPr="00804518" w:rsidRDefault="00AD0650" w:rsidP="00B41A0F">
            <w:pPr>
              <w:pStyle w:val="a6"/>
              <w:rPr>
                <w:rFonts w:asciiTheme="majorHAnsi" w:hAnsiTheme="majorHAnsi" w:cstheme="majorHAnsi"/>
                <w:sz w:val="20"/>
                <w:szCs w:val="20"/>
                <w:lang w:val="ro-RO"/>
              </w:rPr>
            </w:pPr>
            <w:r w:rsidRPr="00804518">
              <w:rPr>
                <w:rFonts w:asciiTheme="majorHAnsi" w:hAnsiTheme="majorHAnsi" w:cstheme="majorHAnsi"/>
                <w:sz w:val="20"/>
                <w:szCs w:val="20"/>
                <w:lang w:val="ro-RO"/>
              </w:rPr>
              <w:t>Ponderea datoriei de stat interne în totalul datoriei de stat</w:t>
            </w:r>
          </w:p>
        </w:tc>
        <w:tc>
          <w:tcPr>
            <w:tcW w:w="1701" w:type="dxa"/>
          </w:tcPr>
          <w:p w14:paraId="2CC8C4BA" w14:textId="6B6CEA49" w:rsidR="00AD0650" w:rsidRPr="00804518" w:rsidRDefault="00AD0650" w:rsidP="00B41A0F">
            <w:pPr>
              <w:pStyle w:val="a6"/>
              <w:jc w:val="center"/>
              <w:rPr>
                <w:rFonts w:asciiTheme="majorHAnsi" w:hAnsiTheme="majorHAnsi" w:cstheme="majorHAnsi"/>
                <w:sz w:val="20"/>
                <w:szCs w:val="20"/>
                <w:lang w:val="ro-RO"/>
              </w:rPr>
            </w:pPr>
            <w:r w:rsidRPr="00804518">
              <w:rPr>
                <w:rFonts w:asciiTheme="majorHAnsi" w:hAnsiTheme="majorHAnsi" w:cstheme="majorHAnsi"/>
                <w:sz w:val="20"/>
                <w:szCs w:val="20"/>
                <w:lang w:val="ro-RO"/>
              </w:rPr>
              <w:t>≥ 25%</w:t>
            </w:r>
            <w:r w:rsidR="00322ECD" w:rsidRPr="00804518">
              <w:rPr>
                <w:rFonts w:asciiTheme="majorHAnsi" w:hAnsiTheme="majorHAnsi" w:cstheme="majorHAnsi"/>
                <w:sz w:val="20"/>
                <w:szCs w:val="20"/>
                <w:lang w:val="ro-RO"/>
              </w:rPr>
              <w:t>*</w:t>
            </w:r>
          </w:p>
        </w:tc>
        <w:tc>
          <w:tcPr>
            <w:tcW w:w="712" w:type="dxa"/>
          </w:tcPr>
          <w:p w14:paraId="2D2FE013" w14:textId="77777777" w:rsidR="00AD0650" w:rsidRPr="00804518" w:rsidRDefault="00AD0650" w:rsidP="00B41A0F">
            <w:pPr>
              <w:pStyle w:val="a6"/>
              <w:jc w:val="center"/>
              <w:rPr>
                <w:rFonts w:asciiTheme="majorHAnsi" w:hAnsiTheme="majorHAnsi" w:cstheme="majorHAnsi"/>
                <w:sz w:val="20"/>
                <w:szCs w:val="20"/>
                <w:lang w:val="ro-RO"/>
              </w:rPr>
            </w:pPr>
            <w:r w:rsidRPr="00804518">
              <w:rPr>
                <w:rFonts w:asciiTheme="majorHAnsi" w:hAnsiTheme="majorHAnsi" w:cstheme="majorHAnsi"/>
                <w:sz w:val="20"/>
                <w:szCs w:val="20"/>
                <w:lang w:val="ro-RO"/>
              </w:rPr>
              <w:t>42,4</w:t>
            </w:r>
          </w:p>
        </w:tc>
        <w:tc>
          <w:tcPr>
            <w:tcW w:w="853" w:type="dxa"/>
          </w:tcPr>
          <w:p w14:paraId="20B3FDD7" w14:textId="77777777" w:rsidR="00AD0650" w:rsidRPr="00804518" w:rsidRDefault="00AD0650" w:rsidP="00B41A0F">
            <w:pPr>
              <w:pStyle w:val="a6"/>
              <w:rPr>
                <w:rFonts w:asciiTheme="majorHAnsi" w:hAnsiTheme="majorHAnsi" w:cstheme="majorHAnsi"/>
                <w:sz w:val="20"/>
                <w:szCs w:val="20"/>
                <w:lang w:val="ro-RO"/>
              </w:rPr>
            </w:pPr>
            <w:r w:rsidRPr="00804518">
              <w:rPr>
                <w:rFonts w:asciiTheme="majorHAnsi" w:hAnsiTheme="majorHAnsi" w:cstheme="majorHAnsi"/>
                <w:sz w:val="20"/>
                <w:szCs w:val="20"/>
                <w:lang w:val="ro-RO"/>
              </w:rPr>
              <w:t>43,7</w:t>
            </w:r>
          </w:p>
        </w:tc>
        <w:tc>
          <w:tcPr>
            <w:tcW w:w="845" w:type="dxa"/>
          </w:tcPr>
          <w:p w14:paraId="341DD8C7" w14:textId="77777777" w:rsidR="00AD0650" w:rsidRPr="00804518" w:rsidRDefault="00AD0650" w:rsidP="00B41A0F">
            <w:pPr>
              <w:pStyle w:val="a6"/>
              <w:rPr>
                <w:rFonts w:asciiTheme="majorHAnsi" w:hAnsiTheme="majorHAnsi" w:cstheme="majorHAnsi"/>
                <w:sz w:val="20"/>
                <w:szCs w:val="20"/>
                <w:lang w:val="ro-RO"/>
              </w:rPr>
            </w:pPr>
            <w:r w:rsidRPr="00804518">
              <w:rPr>
                <w:rFonts w:asciiTheme="majorHAnsi" w:hAnsiTheme="majorHAnsi" w:cstheme="majorHAnsi"/>
                <w:sz w:val="20"/>
                <w:szCs w:val="20"/>
                <w:lang w:val="ro-RO"/>
              </w:rPr>
              <w:t>44,3</w:t>
            </w:r>
          </w:p>
        </w:tc>
      </w:tr>
      <w:tr w:rsidR="00AD0650" w:rsidRPr="00804518" w14:paraId="71D793E4" w14:textId="77777777" w:rsidTr="00B41A0F">
        <w:trPr>
          <w:gridAfter w:val="1"/>
          <w:wAfter w:w="9" w:type="dxa"/>
          <w:trHeight w:val="193"/>
        </w:trPr>
        <w:tc>
          <w:tcPr>
            <w:tcW w:w="5269" w:type="dxa"/>
          </w:tcPr>
          <w:p w14:paraId="6AC4A0BD" w14:textId="77777777" w:rsidR="00AD0650" w:rsidRPr="00804518" w:rsidRDefault="00AD0650" w:rsidP="00B41A0F">
            <w:pPr>
              <w:pStyle w:val="a6"/>
              <w:rPr>
                <w:rFonts w:asciiTheme="majorHAnsi" w:hAnsiTheme="majorHAnsi" w:cstheme="majorHAnsi"/>
                <w:sz w:val="20"/>
                <w:szCs w:val="20"/>
                <w:lang w:val="ro-RO"/>
              </w:rPr>
            </w:pPr>
            <w:r w:rsidRPr="00804518">
              <w:rPr>
                <w:rFonts w:asciiTheme="majorHAnsi" w:hAnsiTheme="majorHAnsi" w:cstheme="majorHAnsi"/>
                <w:sz w:val="20"/>
                <w:szCs w:val="20"/>
                <w:lang w:val="ro-RO"/>
              </w:rPr>
              <w:t>Ponderea datoriei de stat într-o anumită valută străină în totalul datoriei de stat (euro)</w:t>
            </w:r>
          </w:p>
        </w:tc>
        <w:tc>
          <w:tcPr>
            <w:tcW w:w="1701" w:type="dxa"/>
          </w:tcPr>
          <w:p w14:paraId="145755F1" w14:textId="77777777" w:rsidR="00AD0650" w:rsidRPr="00804518" w:rsidRDefault="00AD0650" w:rsidP="00B41A0F">
            <w:pPr>
              <w:pStyle w:val="a6"/>
              <w:jc w:val="center"/>
              <w:rPr>
                <w:rFonts w:asciiTheme="majorHAnsi" w:hAnsiTheme="majorHAnsi" w:cstheme="majorHAnsi"/>
                <w:sz w:val="20"/>
                <w:szCs w:val="20"/>
                <w:lang w:val="ro-RO"/>
              </w:rPr>
            </w:pPr>
            <w:r w:rsidRPr="00804518">
              <w:rPr>
                <w:rFonts w:asciiTheme="majorHAnsi" w:hAnsiTheme="majorHAnsi" w:cstheme="majorHAnsi"/>
                <w:sz w:val="20"/>
                <w:szCs w:val="20"/>
                <w:lang w:val="ro-RO"/>
              </w:rPr>
              <w:t>≤ 50%</w:t>
            </w:r>
          </w:p>
        </w:tc>
        <w:tc>
          <w:tcPr>
            <w:tcW w:w="712" w:type="dxa"/>
          </w:tcPr>
          <w:p w14:paraId="7588CBF3" w14:textId="77777777" w:rsidR="00AD0650" w:rsidRPr="00804518" w:rsidRDefault="00AD0650" w:rsidP="00B41A0F">
            <w:pPr>
              <w:pStyle w:val="a6"/>
              <w:jc w:val="center"/>
              <w:rPr>
                <w:rFonts w:asciiTheme="majorHAnsi" w:hAnsiTheme="majorHAnsi" w:cstheme="majorHAnsi"/>
                <w:sz w:val="20"/>
                <w:szCs w:val="20"/>
                <w:lang w:val="ro-RO"/>
              </w:rPr>
            </w:pPr>
            <w:r w:rsidRPr="00804518">
              <w:rPr>
                <w:rFonts w:asciiTheme="majorHAnsi" w:hAnsiTheme="majorHAnsi" w:cstheme="majorHAnsi"/>
                <w:sz w:val="20"/>
                <w:szCs w:val="20"/>
                <w:lang w:val="ro-RO"/>
              </w:rPr>
              <w:t>24,3</w:t>
            </w:r>
          </w:p>
        </w:tc>
        <w:tc>
          <w:tcPr>
            <w:tcW w:w="853" w:type="dxa"/>
          </w:tcPr>
          <w:p w14:paraId="1C051B78" w14:textId="77777777" w:rsidR="00AD0650" w:rsidRPr="00804518" w:rsidRDefault="00AD0650" w:rsidP="00B41A0F">
            <w:pPr>
              <w:pStyle w:val="a6"/>
              <w:rPr>
                <w:rFonts w:asciiTheme="majorHAnsi" w:hAnsiTheme="majorHAnsi" w:cstheme="majorHAnsi"/>
                <w:sz w:val="20"/>
                <w:szCs w:val="20"/>
                <w:lang w:val="ro-RO"/>
              </w:rPr>
            </w:pPr>
            <w:r w:rsidRPr="00804518">
              <w:rPr>
                <w:rFonts w:asciiTheme="majorHAnsi" w:hAnsiTheme="majorHAnsi" w:cstheme="majorHAnsi"/>
                <w:sz w:val="20"/>
                <w:szCs w:val="20"/>
                <w:lang w:val="ro-RO"/>
              </w:rPr>
              <w:t>27,1</w:t>
            </w:r>
          </w:p>
        </w:tc>
        <w:tc>
          <w:tcPr>
            <w:tcW w:w="845" w:type="dxa"/>
          </w:tcPr>
          <w:p w14:paraId="0AFB9D8B" w14:textId="77777777" w:rsidR="00AD0650" w:rsidRPr="00804518" w:rsidRDefault="00AD0650" w:rsidP="00B41A0F">
            <w:pPr>
              <w:pStyle w:val="a6"/>
              <w:rPr>
                <w:rFonts w:asciiTheme="majorHAnsi" w:hAnsiTheme="majorHAnsi" w:cstheme="majorHAnsi"/>
                <w:sz w:val="20"/>
                <w:szCs w:val="20"/>
                <w:lang w:val="ro-RO"/>
              </w:rPr>
            </w:pPr>
            <w:r w:rsidRPr="00804518">
              <w:rPr>
                <w:rFonts w:asciiTheme="majorHAnsi" w:hAnsiTheme="majorHAnsi" w:cstheme="majorHAnsi"/>
                <w:sz w:val="20"/>
                <w:szCs w:val="20"/>
                <w:lang w:val="ro-RO"/>
              </w:rPr>
              <w:t>27,2</w:t>
            </w:r>
          </w:p>
        </w:tc>
      </w:tr>
      <w:tr w:rsidR="00AD0650" w:rsidRPr="00804518" w14:paraId="771DEE28" w14:textId="77777777" w:rsidTr="00B41A0F">
        <w:trPr>
          <w:gridAfter w:val="1"/>
          <w:wAfter w:w="9" w:type="dxa"/>
          <w:trHeight w:val="328"/>
        </w:trPr>
        <w:tc>
          <w:tcPr>
            <w:tcW w:w="5269" w:type="dxa"/>
          </w:tcPr>
          <w:p w14:paraId="76518D15" w14:textId="77777777" w:rsidR="00AD0650" w:rsidRPr="00804518" w:rsidRDefault="00AD0650" w:rsidP="00B41A0F">
            <w:pPr>
              <w:pStyle w:val="a6"/>
              <w:rPr>
                <w:rFonts w:asciiTheme="majorHAnsi" w:hAnsiTheme="majorHAnsi" w:cstheme="majorHAnsi"/>
                <w:sz w:val="20"/>
                <w:szCs w:val="20"/>
                <w:lang w:val="ro-MD"/>
              </w:rPr>
            </w:pPr>
            <w:r w:rsidRPr="00804518">
              <w:rPr>
                <w:rFonts w:asciiTheme="majorHAnsi" w:hAnsiTheme="majorHAnsi" w:cstheme="majorHAnsi"/>
                <w:sz w:val="20"/>
                <w:szCs w:val="20"/>
                <w:lang w:val="ro-RO"/>
              </w:rPr>
              <w:t xml:space="preserve">Ponderea datoriei de stat cu rata dobânzii variabilă în totalul datoriei de stat </w:t>
            </w:r>
          </w:p>
        </w:tc>
        <w:tc>
          <w:tcPr>
            <w:tcW w:w="1701" w:type="dxa"/>
          </w:tcPr>
          <w:p w14:paraId="319E5731" w14:textId="7EE982F1" w:rsidR="00AD0650" w:rsidRPr="00804518" w:rsidRDefault="00AD0650" w:rsidP="00B41A0F">
            <w:pPr>
              <w:pStyle w:val="a6"/>
              <w:jc w:val="center"/>
              <w:rPr>
                <w:rFonts w:asciiTheme="majorHAnsi" w:hAnsiTheme="majorHAnsi" w:cstheme="majorHAnsi"/>
                <w:sz w:val="20"/>
                <w:szCs w:val="20"/>
                <w:vertAlign w:val="superscript"/>
                <w:lang w:val="ro-RO"/>
              </w:rPr>
            </w:pPr>
            <w:r w:rsidRPr="00804518">
              <w:rPr>
                <w:rFonts w:asciiTheme="majorHAnsi" w:hAnsiTheme="majorHAnsi" w:cstheme="majorHAnsi"/>
                <w:sz w:val="20"/>
                <w:szCs w:val="20"/>
                <w:lang w:val="ro-RO"/>
              </w:rPr>
              <w:t>≤ 40%</w:t>
            </w:r>
            <w:r w:rsidR="00322ECD" w:rsidRPr="00804518">
              <w:rPr>
                <w:rFonts w:asciiTheme="majorHAnsi" w:hAnsiTheme="majorHAnsi" w:cstheme="majorHAnsi"/>
                <w:sz w:val="20"/>
                <w:szCs w:val="20"/>
                <w:lang w:val="ro-RO"/>
              </w:rPr>
              <w:t>*</w:t>
            </w:r>
          </w:p>
        </w:tc>
        <w:tc>
          <w:tcPr>
            <w:tcW w:w="712" w:type="dxa"/>
          </w:tcPr>
          <w:p w14:paraId="2283B052" w14:textId="77777777" w:rsidR="00AD0650" w:rsidRPr="00804518" w:rsidRDefault="00AD0650" w:rsidP="00B41A0F">
            <w:pPr>
              <w:pStyle w:val="a6"/>
              <w:jc w:val="center"/>
              <w:rPr>
                <w:rFonts w:asciiTheme="majorHAnsi" w:hAnsiTheme="majorHAnsi" w:cstheme="majorHAnsi"/>
                <w:sz w:val="20"/>
                <w:szCs w:val="20"/>
                <w:lang w:val="ro-RO"/>
              </w:rPr>
            </w:pPr>
            <w:r w:rsidRPr="00804518">
              <w:rPr>
                <w:rFonts w:asciiTheme="majorHAnsi" w:hAnsiTheme="majorHAnsi" w:cstheme="majorHAnsi"/>
                <w:sz w:val="20"/>
                <w:szCs w:val="20"/>
                <w:lang w:val="ro-RO"/>
              </w:rPr>
              <w:t>30,9</w:t>
            </w:r>
          </w:p>
        </w:tc>
        <w:tc>
          <w:tcPr>
            <w:tcW w:w="853" w:type="dxa"/>
          </w:tcPr>
          <w:p w14:paraId="310FF223" w14:textId="77777777" w:rsidR="00AD0650" w:rsidRPr="00804518" w:rsidRDefault="00AD0650" w:rsidP="00B41A0F">
            <w:pPr>
              <w:pStyle w:val="a6"/>
              <w:rPr>
                <w:rFonts w:asciiTheme="majorHAnsi" w:hAnsiTheme="majorHAnsi" w:cstheme="majorHAnsi"/>
                <w:sz w:val="20"/>
                <w:szCs w:val="20"/>
                <w:lang w:val="ro-RO"/>
              </w:rPr>
            </w:pPr>
            <w:r w:rsidRPr="00804518">
              <w:rPr>
                <w:rFonts w:asciiTheme="majorHAnsi" w:hAnsiTheme="majorHAnsi" w:cstheme="majorHAnsi"/>
                <w:sz w:val="20"/>
                <w:szCs w:val="20"/>
                <w:lang w:val="ro-RO"/>
              </w:rPr>
              <w:t>30,2</w:t>
            </w:r>
          </w:p>
        </w:tc>
        <w:tc>
          <w:tcPr>
            <w:tcW w:w="845" w:type="dxa"/>
          </w:tcPr>
          <w:p w14:paraId="4BC8F2F8" w14:textId="77777777" w:rsidR="00AD0650" w:rsidRPr="00804518" w:rsidRDefault="009264D2" w:rsidP="00B41A0F">
            <w:pPr>
              <w:pStyle w:val="a6"/>
              <w:rPr>
                <w:rFonts w:asciiTheme="majorHAnsi" w:hAnsiTheme="majorHAnsi" w:cstheme="majorHAnsi"/>
                <w:sz w:val="20"/>
                <w:szCs w:val="20"/>
                <w:highlight w:val="yellow"/>
                <w:lang w:val="ro-RO"/>
              </w:rPr>
            </w:pPr>
            <w:r w:rsidRPr="00804518">
              <w:rPr>
                <w:rFonts w:asciiTheme="majorHAnsi" w:hAnsiTheme="majorHAnsi" w:cstheme="majorHAnsi"/>
                <w:sz w:val="20"/>
                <w:szCs w:val="20"/>
                <w:lang w:val="ro-RO"/>
              </w:rPr>
              <w:t>31,5</w:t>
            </w:r>
          </w:p>
        </w:tc>
      </w:tr>
      <w:tr w:rsidR="00AD0650" w:rsidRPr="00804518" w14:paraId="281B8C6B" w14:textId="77777777" w:rsidTr="00B41A0F">
        <w:trPr>
          <w:gridAfter w:val="1"/>
          <w:wAfter w:w="9" w:type="dxa"/>
          <w:trHeight w:val="163"/>
        </w:trPr>
        <w:tc>
          <w:tcPr>
            <w:tcW w:w="5269" w:type="dxa"/>
          </w:tcPr>
          <w:p w14:paraId="52465B1B" w14:textId="77777777" w:rsidR="00AD0650" w:rsidRPr="00804518" w:rsidRDefault="00AD0650" w:rsidP="00B41A0F">
            <w:pPr>
              <w:pStyle w:val="a6"/>
              <w:rPr>
                <w:rFonts w:asciiTheme="majorHAnsi" w:hAnsiTheme="majorHAnsi" w:cstheme="majorHAnsi"/>
                <w:sz w:val="20"/>
                <w:szCs w:val="20"/>
                <w:lang w:val="ro-RO"/>
              </w:rPr>
            </w:pPr>
            <w:r w:rsidRPr="00804518">
              <w:rPr>
                <w:rFonts w:asciiTheme="majorHAnsi" w:hAnsiTheme="majorHAnsi" w:cstheme="majorHAnsi"/>
                <w:sz w:val="20"/>
                <w:szCs w:val="20"/>
                <w:lang w:val="ro-RO"/>
              </w:rPr>
              <w:t>Ponderea datoriei de stat scadentă în decurs de un an în totalul datoriei de stat</w:t>
            </w:r>
          </w:p>
        </w:tc>
        <w:tc>
          <w:tcPr>
            <w:tcW w:w="1701" w:type="dxa"/>
          </w:tcPr>
          <w:p w14:paraId="70220E45" w14:textId="0553C868" w:rsidR="00AD0650" w:rsidRPr="00804518" w:rsidRDefault="00AD0650" w:rsidP="00B41A0F">
            <w:pPr>
              <w:pStyle w:val="a6"/>
              <w:jc w:val="center"/>
              <w:rPr>
                <w:rFonts w:asciiTheme="majorHAnsi" w:hAnsiTheme="majorHAnsi" w:cstheme="majorHAnsi"/>
                <w:sz w:val="20"/>
                <w:szCs w:val="20"/>
                <w:vertAlign w:val="superscript"/>
                <w:lang w:val="ro-RO"/>
              </w:rPr>
            </w:pPr>
            <w:r w:rsidRPr="00804518">
              <w:rPr>
                <w:rFonts w:asciiTheme="majorHAnsi" w:hAnsiTheme="majorHAnsi" w:cstheme="majorHAnsi"/>
                <w:sz w:val="20"/>
                <w:szCs w:val="20"/>
                <w:lang w:val="ro-RO"/>
              </w:rPr>
              <w:t>≤25%</w:t>
            </w:r>
            <w:r w:rsidR="00322ECD" w:rsidRPr="00804518">
              <w:rPr>
                <w:rFonts w:asciiTheme="majorHAnsi" w:hAnsiTheme="majorHAnsi" w:cstheme="majorHAnsi"/>
                <w:sz w:val="20"/>
                <w:szCs w:val="20"/>
                <w:lang w:val="ro-RO"/>
              </w:rPr>
              <w:t>*</w:t>
            </w:r>
          </w:p>
        </w:tc>
        <w:tc>
          <w:tcPr>
            <w:tcW w:w="712" w:type="dxa"/>
          </w:tcPr>
          <w:p w14:paraId="658A69BF" w14:textId="77777777" w:rsidR="00AD0650" w:rsidRPr="00804518" w:rsidRDefault="00AD0650" w:rsidP="00B41A0F">
            <w:pPr>
              <w:pStyle w:val="a6"/>
              <w:jc w:val="center"/>
              <w:rPr>
                <w:rFonts w:asciiTheme="majorHAnsi" w:hAnsiTheme="majorHAnsi" w:cstheme="majorHAnsi"/>
                <w:sz w:val="20"/>
                <w:szCs w:val="20"/>
                <w:lang w:val="ro-RO"/>
              </w:rPr>
            </w:pPr>
            <w:r w:rsidRPr="00804518">
              <w:rPr>
                <w:rFonts w:asciiTheme="majorHAnsi" w:hAnsiTheme="majorHAnsi" w:cstheme="majorHAnsi"/>
                <w:sz w:val="20"/>
                <w:szCs w:val="20"/>
                <w:lang w:val="ro-RO"/>
              </w:rPr>
              <w:t>18,7</w:t>
            </w:r>
          </w:p>
        </w:tc>
        <w:tc>
          <w:tcPr>
            <w:tcW w:w="853" w:type="dxa"/>
          </w:tcPr>
          <w:p w14:paraId="0A07A7D2" w14:textId="77777777" w:rsidR="00AD0650" w:rsidRPr="00804518" w:rsidRDefault="00AD0650" w:rsidP="00B41A0F">
            <w:pPr>
              <w:pStyle w:val="a6"/>
              <w:rPr>
                <w:rFonts w:asciiTheme="majorHAnsi" w:hAnsiTheme="majorHAnsi" w:cstheme="majorHAnsi"/>
                <w:sz w:val="20"/>
                <w:szCs w:val="20"/>
                <w:lang w:val="ro-RO"/>
              </w:rPr>
            </w:pPr>
            <w:r w:rsidRPr="00804518">
              <w:rPr>
                <w:rFonts w:asciiTheme="majorHAnsi" w:hAnsiTheme="majorHAnsi" w:cstheme="majorHAnsi"/>
                <w:sz w:val="20"/>
                <w:szCs w:val="20"/>
                <w:lang w:val="ro-RO"/>
              </w:rPr>
              <w:t>20,6</w:t>
            </w:r>
          </w:p>
        </w:tc>
        <w:tc>
          <w:tcPr>
            <w:tcW w:w="845" w:type="dxa"/>
          </w:tcPr>
          <w:p w14:paraId="62BDD830" w14:textId="77777777" w:rsidR="00AD0650" w:rsidRPr="00804518" w:rsidRDefault="009264D2" w:rsidP="00B41A0F">
            <w:pPr>
              <w:pStyle w:val="a6"/>
              <w:rPr>
                <w:rFonts w:asciiTheme="majorHAnsi" w:hAnsiTheme="majorHAnsi" w:cstheme="majorHAnsi"/>
                <w:sz w:val="20"/>
                <w:szCs w:val="20"/>
                <w:lang w:val="ro-RO"/>
              </w:rPr>
            </w:pPr>
            <w:r w:rsidRPr="00804518">
              <w:rPr>
                <w:rFonts w:asciiTheme="majorHAnsi" w:hAnsiTheme="majorHAnsi" w:cstheme="majorHAnsi"/>
                <w:sz w:val="20"/>
                <w:szCs w:val="20"/>
                <w:lang w:val="ro-RO"/>
              </w:rPr>
              <w:t>20,8</w:t>
            </w:r>
          </w:p>
        </w:tc>
      </w:tr>
      <w:tr w:rsidR="00AD0650" w:rsidRPr="00804518" w14:paraId="05E18149" w14:textId="77777777" w:rsidTr="00B41A0F">
        <w:trPr>
          <w:trHeight w:val="205"/>
        </w:trPr>
        <w:tc>
          <w:tcPr>
            <w:tcW w:w="9389" w:type="dxa"/>
            <w:gridSpan w:val="6"/>
          </w:tcPr>
          <w:p w14:paraId="43E6BCB0" w14:textId="1AD5482C" w:rsidR="00AD0650" w:rsidRPr="00804518" w:rsidRDefault="00AD0650" w:rsidP="00B41A0F">
            <w:pPr>
              <w:pStyle w:val="a6"/>
              <w:jc w:val="center"/>
              <w:rPr>
                <w:rFonts w:asciiTheme="majorHAnsi" w:hAnsiTheme="majorHAnsi" w:cstheme="majorHAnsi"/>
                <w:b/>
                <w:sz w:val="20"/>
                <w:szCs w:val="20"/>
                <w:lang w:val="ro-RO"/>
              </w:rPr>
            </w:pPr>
            <w:r w:rsidRPr="00804518">
              <w:rPr>
                <w:rFonts w:asciiTheme="majorHAnsi" w:hAnsiTheme="majorHAnsi" w:cstheme="majorHAnsi"/>
                <w:b/>
                <w:sz w:val="20"/>
                <w:szCs w:val="20"/>
                <w:lang w:val="ro-RO"/>
              </w:rPr>
              <w:t>Parametrii de sustenabilitate pentru perioada 201</w:t>
            </w:r>
            <w:r w:rsidR="00DE034D" w:rsidRPr="00804518">
              <w:rPr>
                <w:rFonts w:asciiTheme="majorHAnsi" w:hAnsiTheme="majorHAnsi" w:cstheme="majorHAnsi"/>
                <w:b/>
                <w:sz w:val="20"/>
                <w:szCs w:val="20"/>
                <w:lang w:val="ro-RO"/>
              </w:rPr>
              <w:t>8</w:t>
            </w:r>
            <w:r w:rsidRPr="00804518">
              <w:rPr>
                <w:rFonts w:asciiTheme="majorHAnsi" w:hAnsiTheme="majorHAnsi" w:cstheme="majorHAnsi"/>
                <w:b/>
                <w:sz w:val="20"/>
                <w:szCs w:val="20"/>
                <w:lang w:val="ro-RO"/>
              </w:rPr>
              <w:t>-20</w:t>
            </w:r>
            <w:r w:rsidR="00DE034D" w:rsidRPr="00804518">
              <w:rPr>
                <w:rFonts w:asciiTheme="majorHAnsi" w:hAnsiTheme="majorHAnsi" w:cstheme="majorHAnsi"/>
                <w:b/>
                <w:sz w:val="20"/>
                <w:szCs w:val="20"/>
                <w:lang w:val="ro-RO"/>
              </w:rPr>
              <w:t>20</w:t>
            </w:r>
          </w:p>
        </w:tc>
      </w:tr>
      <w:tr w:rsidR="00AD0650" w:rsidRPr="00804518" w14:paraId="37139F49" w14:textId="77777777" w:rsidTr="00B41A0F">
        <w:trPr>
          <w:gridAfter w:val="1"/>
          <w:wAfter w:w="9" w:type="dxa"/>
          <w:trHeight w:val="298"/>
        </w:trPr>
        <w:tc>
          <w:tcPr>
            <w:tcW w:w="5269" w:type="dxa"/>
          </w:tcPr>
          <w:p w14:paraId="37297CBA" w14:textId="77777777" w:rsidR="00AD0650" w:rsidRPr="00804518" w:rsidRDefault="00AD0650" w:rsidP="00B41A0F">
            <w:pPr>
              <w:pStyle w:val="a6"/>
              <w:jc w:val="both"/>
              <w:rPr>
                <w:rFonts w:asciiTheme="majorHAnsi" w:hAnsiTheme="majorHAnsi" w:cstheme="majorHAnsi"/>
                <w:sz w:val="20"/>
                <w:szCs w:val="20"/>
                <w:lang w:val="ro-RO"/>
              </w:rPr>
            </w:pPr>
            <w:r w:rsidRPr="00804518">
              <w:rPr>
                <w:rFonts w:asciiTheme="majorHAnsi" w:hAnsiTheme="majorHAnsi" w:cstheme="majorHAnsi"/>
                <w:sz w:val="20"/>
                <w:szCs w:val="20"/>
                <w:lang w:val="ro-RO"/>
              </w:rPr>
              <w:t xml:space="preserve">Serviciul datoriei de stat (%, în raport cu veniturile bugetului de stat - granturi) </w:t>
            </w:r>
          </w:p>
        </w:tc>
        <w:tc>
          <w:tcPr>
            <w:tcW w:w="1701" w:type="dxa"/>
          </w:tcPr>
          <w:p w14:paraId="4DA2AFAE" w14:textId="77777777" w:rsidR="00AD0650" w:rsidRPr="00804518" w:rsidRDefault="00AD0650" w:rsidP="00B41A0F">
            <w:pPr>
              <w:pStyle w:val="a6"/>
              <w:jc w:val="center"/>
              <w:rPr>
                <w:rFonts w:asciiTheme="majorHAnsi" w:hAnsiTheme="majorHAnsi" w:cstheme="majorHAnsi"/>
                <w:sz w:val="20"/>
                <w:szCs w:val="20"/>
                <w:lang w:val="ro-RO"/>
              </w:rPr>
            </w:pPr>
            <w:r w:rsidRPr="00804518">
              <w:rPr>
                <w:rFonts w:asciiTheme="majorHAnsi" w:hAnsiTheme="majorHAnsi" w:cstheme="majorHAnsi"/>
                <w:sz w:val="20"/>
                <w:szCs w:val="20"/>
                <w:lang w:val="ro-RO"/>
              </w:rPr>
              <w:t>≤ 15%</w:t>
            </w:r>
          </w:p>
        </w:tc>
        <w:tc>
          <w:tcPr>
            <w:tcW w:w="712" w:type="dxa"/>
          </w:tcPr>
          <w:p w14:paraId="753A8451" w14:textId="3DB4B186" w:rsidR="00AD0650" w:rsidRPr="00804518" w:rsidRDefault="0091696B" w:rsidP="00DE034D">
            <w:pPr>
              <w:pStyle w:val="a6"/>
              <w:jc w:val="center"/>
              <w:rPr>
                <w:rFonts w:asciiTheme="majorHAnsi" w:hAnsiTheme="majorHAnsi" w:cstheme="majorHAnsi"/>
                <w:sz w:val="20"/>
                <w:szCs w:val="20"/>
                <w:lang w:val="ro-RO"/>
              </w:rPr>
            </w:pPr>
            <w:r w:rsidRPr="00804518">
              <w:rPr>
                <w:rFonts w:asciiTheme="majorHAnsi" w:hAnsiTheme="majorHAnsi" w:cstheme="majorHAnsi"/>
                <w:sz w:val="20"/>
                <w:szCs w:val="20"/>
                <w:lang w:val="ro-RO"/>
              </w:rPr>
              <w:t>6,</w:t>
            </w:r>
            <w:r w:rsidR="00DE034D" w:rsidRPr="00804518">
              <w:rPr>
                <w:rFonts w:asciiTheme="majorHAnsi" w:hAnsiTheme="majorHAnsi" w:cstheme="majorHAnsi"/>
                <w:sz w:val="20"/>
                <w:szCs w:val="20"/>
                <w:lang w:val="ro-RO"/>
              </w:rPr>
              <w:t>3</w:t>
            </w:r>
          </w:p>
        </w:tc>
        <w:tc>
          <w:tcPr>
            <w:tcW w:w="853" w:type="dxa"/>
          </w:tcPr>
          <w:p w14:paraId="60F31D05" w14:textId="3F3BA0C9" w:rsidR="00AD0650" w:rsidRPr="00804518" w:rsidRDefault="0091696B" w:rsidP="00B41A0F">
            <w:pPr>
              <w:pStyle w:val="a6"/>
              <w:rPr>
                <w:rFonts w:asciiTheme="majorHAnsi" w:hAnsiTheme="majorHAnsi" w:cstheme="majorHAnsi"/>
                <w:sz w:val="20"/>
                <w:szCs w:val="20"/>
                <w:lang w:val="ro-RO"/>
              </w:rPr>
            </w:pPr>
            <w:r w:rsidRPr="00804518">
              <w:rPr>
                <w:rFonts w:asciiTheme="majorHAnsi" w:hAnsiTheme="majorHAnsi" w:cstheme="majorHAnsi"/>
                <w:sz w:val="20"/>
                <w:szCs w:val="20"/>
                <w:lang w:val="ro-RO"/>
              </w:rPr>
              <w:t>5,</w:t>
            </w:r>
            <w:r w:rsidR="00DE034D" w:rsidRPr="00804518">
              <w:rPr>
                <w:rFonts w:asciiTheme="majorHAnsi" w:hAnsiTheme="majorHAnsi" w:cstheme="majorHAnsi"/>
                <w:sz w:val="20"/>
                <w:szCs w:val="20"/>
                <w:lang w:val="ro-RO"/>
              </w:rPr>
              <w:t>9</w:t>
            </w:r>
          </w:p>
        </w:tc>
        <w:tc>
          <w:tcPr>
            <w:tcW w:w="845" w:type="dxa"/>
          </w:tcPr>
          <w:p w14:paraId="69AD43EC" w14:textId="0A9948B5" w:rsidR="00AD0650" w:rsidRPr="00804518" w:rsidRDefault="009264D2" w:rsidP="00B41A0F">
            <w:pPr>
              <w:pStyle w:val="a6"/>
              <w:rPr>
                <w:rFonts w:asciiTheme="majorHAnsi" w:hAnsiTheme="majorHAnsi" w:cstheme="majorHAnsi"/>
                <w:sz w:val="20"/>
                <w:szCs w:val="20"/>
                <w:highlight w:val="yellow"/>
                <w:lang w:val="ro-RO"/>
              </w:rPr>
            </w:pPr>
            <w:r w:rsidRPr="00804518">
              <w:rPr>
                <w:rFonts w:asciiTheme="majorHAnsi" w:hAnsiTheme="majorHAnsi" w:cstheme="majorHAnsi"/>
                <w:sz w:val="20"/>
                <w:szCs w:val="20"/>
                <w:lang w:val="ro-RO"/>
              </w:rPr>
              <w:t>4,</w:t>
            </w:r>
            <w:r w:rsidR="00DE034D" w:rsidRPr="00804518">
              <w:rPr>
                <w:rFonts w:asciiTheme="majorHAnsi" w:hAnsiTheme="majorHAnsi" w:cstheme="majorHAnsi"/>
                <w:sz w:val="20"/>
                <w:szCs w:val="20"/>
                <w:lang w:val="ro-RO"/>
              </w:rPr>
              <w:t>2</w:t>
            </w:r>
          </w:p>
        </w:tc>
      </w:tr>
    </w:tbl>
    <w:p w14:paraId="06D2723D" w14:textId="00353257" w:rsidR="00AD0650" w:rsidRDefault="00AD0650" w:rsidP="00AD0650">
      <w:pPr>
        <w:spacing w:after="0" w:line="276" w:lineRule="auto"/>
        <w:jc w:val="both"/>
        <w:rPr>
          <w:rFonts w:asciiTheme="majorHAnsi" w:hAnsiTheme="majorHAnsi" w:cstheme="majorHAnsi"/>
          <w:sz w:val="20"/>
          <w:szCs w:val="20"/>
          <w:lang w:val="ro-MD"/>
        </w:rPr>
      </w:pPr>
      <w:r w:rsidRPr="00DA27DA">
        <w:rPr>
          <w:rFonts w:asciiTheme="majorHAnsi" w:hAnsiTheme="majorHAnsi" w:cstheme="majorHAnsi"/>
          <w:b/>
          <w:sz w:val="20"/>
          <w:szCs w:val="20"/>
          <w:lang w:val="ro-RO"/>
        </w:rPr>
        <w:t xml:space="preserve"> </w:t>
      </w:r>
      <w:r w:rsidRPr="00292F23">
        <w:rPr>
          <w:rFonts w:asciiTheme="majorHAnsi" w:hAnsiTheme="majorHAnsi" w:cstheme="majorHAnsi"/>
          <w:b/>
          <w:i/>
          <w:sz w:val="20"/>
          <w:szCs w:val="20"/>
          <w:lang w:val="ro-RO"/>
        </w:rPr>
        <w:t>Sursă:</w:t>
      </w:r>
      <w:r w:rsidRPr="00292F23">
        <w:rPr>
          <w:rFonts w:asciiTheme="majorHAnsi" w:hAnsiTheme="majorHAnsi" w:cstheme="majorHAnsi"/>
          <w:sz w:val="20"/>
          <w:szCs w:val="20"/>
          <w:lang w:val="ro-RO"/>
        </w:rPr>
        <w:t xml:space="preserve"> </w:t>
      </w:r>
      <w:r w:rsidR="00DF20D7">
        <w:rPr>
          <w:rFonts w:asciiTheme="majorHAnsi" w:hAnsiTheme="majorHAnsi" w:cstheme="majorHAnsi"/>
          <w:sz w:val="20"/>
          <w:szCs w:val="20"/>
          <w:lang w:val="ro-RO"/>
        </w:rPr>
        <w:t>D</w:t>
      </w:r>
      <w:r w:rsidRPr="00DA27DA">
        <w:rPr>
          <w:rFonts w:asciiTheme="majorHAnsi" w:hAnsiTheme="majorHAnsi" w:cstheme="majorHAnsi"/>
          <w:sz w:val="20"/>
          <w:szCs w:val="20"/>
          <w:lang w:val="ro-RO"/>
        </w:rPr>
        <w:t>atel</w:t>
      </w:r>
      <w:r w:rsidR="00DF20D7">
        <w:rPr>
          <w:rFonts w:asciiTheme="majorHAnsi" w:hAnsiTheme="majorHAnsi" w:cstheme="majorHAnsi"/>
          <w:sz w:val="20"/>
          <w:szCs w:val="20"/>
          <w:lang w:val="ro-RO"/>
        </w:rPr>
        <w:t>e</w:t>
      </w:r>
      <w:r w:rsidRPr="00DA27DA">
        <w:rPr>
          <w:rFonts w:asciiTheme="majorHAnsi" w:hAnsiTheme="majorHAnsi" w:cstheme="majorHAnsi"/>
          <w:sz w:val="20"/>
          <w:szCs w:val="20"/>
          <w:lang w:val="ro-RO"/>
        </w:rPr>
        <w:t xml:space="preserve"> </w:t>
      </w:r>
      <w:r w:rsidRPr="00452966">
        <w:rPr>
          <w:rFonts w:asciiTheme="majorHAnsi" w:hAnsiTheme="majorHAnsi" w:cstheme="majorHAnsi"/>
          <w:sz w:val="20"/>
          <w:szCs w:val="20"/>
          <w:lang w:val="ro-MD"/>
        </w:rPr>
        <w:t>Rapoartelor privind datoria de stat la situațiile din 31.1</w:t>
      </w:r>
      <w:r w:rsidR="00DA27DA" w:rsidRPr="00452966">
        <w:rPr>
          <w:rFonts w:asciiTheme="majorHAnsi" w:hAnsiTheme="majorHAnsi" w:cstheme="majorHAnsi"/>
          <w:sz w:val="20"/>
          <w:szCs w:val="20"/>
          <w:lang w:val="ro-MD"/>
        </w:rPr>
        <w:t>2.2016, 31.12.2017 și 31.12.2018</w:t>
      </w:r>
      <w:r w:rsidRPr="00452966">
        <w:rPr>
          <w:rFonts w:asciiTheme="majorHAnsi" w:hAnsiTheme="majorHAnsi" w:cstheme="majorHAnsi"/>
          <w:sz w:val="20"/>
          <w:szCs w:val="20"/>
          <w:lang w:val="ro-MD"/>
        </w:rPr>
        <w:t>.</w:t>
      </w:r>
    </w:p>
    <w:p w14:paraId="13D8E9B5" w14:textId="77777777" w:rsidR="00804518" w:rsidRPr="00452966" w:rsidRDefault="00804518" w:rsidP="00AD0650">
      <w:pPr>
        <w:spacing w:after="0" w:line="276" w:lineRule="auto"/>
        <w:jc w:val="both"/>
        <w:rPr>
          <w:rFonts w:asciiTheme="majorHAnsi" w:hAnsiTheme="majorHAnsi" w:cstheme="majorHAnsi"/>
          <w:sz w:val="20"/>
          <w:szCs w:val="20"/>
          <w:lang w:val="ro-MD"/>
        </w:rPr>
      </w:pPr>
    </w:p>
    <w:p w14:paraId="527542E9" w14:textId="2106D507" w:rsidR="00AD0650" w:rsidRPr="00452966" w:rsidRDefault="00AD0650" w:rsidP="007101F2">
      <w:pPr>
        <w:spacing w:after="0" w:line="240" w:lineRule="auto"/>
        <w:ind w:firstLine="720"/>
        <w:jc w:val="both"/>
        <w:rPr>
          <w:rFonts w:asciiTheme="majorHAnsi" w:hAnsiTheme="majorHAnsi" w:cstheme="majorHAnsi"/>
          <w:sz w:val="24"/>
          <w:szCs w:val="24"/>
          <w:lang w:val="ro-MD"/>
        </w:rPr>
      </w:pPr>
      <w:r w:rsidRPr="00DA27DA">
        <w:rPr>
          <w:rFonts w:asciiTheme="majorHAnsi" w:hAnsiTheme="majorHAnsi" w:cstheme="majorHAnsi"/>
          <w:b/>
          <w:i/>
          <w:sz w:val="24"/>
          <w:szCs w:val="24"/>
          <w:lang w:val="ro-RO"/>
        </w:rPr>
        <w:t>Nota</w:t>
      </w:r>
      <w:r w:rsidR="008B23A1">
        <w:rPr>
          <w:rFonts w:asciiTheme="majorHAnsi" w:hAnsiTheme="majorHAnsi" w:cstheme="majorHAnsi"/>
          <w:b/>
          <w:i/>
          <w:sz w:val="24"/>
          <w:szCs w:val="24"/>
          <w:lang w:val="ro-RO"/>
        </w:rPr>
        <w:t xml:space="preserve"> 1</w:t>
      </w:r>
      <w:r w:rsidRPr="00DA27DA">
        <w:rPr>
          <w:rFonts w:asciiTheme="majorHAnsi" w:hAnsiTheme="majorHAnsi" w:cstheme="majorHAnsi"/>
          <w:b/>
          <w:i/>
          <w:sz w:val="24"/>
          <w:szCs w:val="24"/>
          <w:lang w:val="ro-RO"/>
        </w:rPr>
        <w:t xml:space="preserve">: </w:t>
      </w:r>
      <w:r w:rsidRPr="00452966">
        <w:rPr>
          <w:rFonts w:asciiTheme="majorHAnsi" w:hAnsiTheme="majorHAnsi" w:cstheme="majorHAnsi"/>
          <w:sz w:val="24"/>
          <w:szCs w:val="24"/>
          <w:lang w:val="ro-MD"/>
        </w:rPr>
        <w:t>*Valori ajustate comparativ cu Programul „Managementul datoriei de stat pe termen mediu (201</w:t>
      </w:r>
      <w:r w:rsidR="0074654E">
        <w:rPr>
          <w:rFonts w:asciiTheme="majorHAnsi" w:hAnsiTheme="majorHAnsi" w:cstheme="majorHAnsi"/>
          <w:sz w:val="24"/>
          <w:szCs w:val="24"/>
          <w:lang w:val="ro-MD"/>
        </w:rPr>
        <w:t>7</w:t>
      </w:r>
      <w:r w:rsidRPr="00452966">
        <w:rPr>
          <w:rFonts w:asciiTheme="majorHAnsi" w:hAnsiTheme="majorHAnsi" w:cstheme="majorHAnsi"/>
          <w:sz w:val="24"/>
          <w:szCs w:val="24"/>
          <w:lang w:val="ro-MD"/>
        </w:rPr>
        <w:t>-201</w:t>
      </w:r>
      <w:r w:rsidR="0074654E">
        <w:rPr>
          <w:rFonts w:asciiTheme="majorHAnsi" w:hAnsiTheme="majorHAnsi" w:cstheme="majorHAnsi"/>
          <w:sz w:val="24"/>
          <w:szCs w:val="24"/>
          <w:lang w:val="ro-MD"/>
        </w:rPr>
        <w:t>9</w:t>
      </w:r>
      <w:r w:rsidRPr="00452966">
        <w:rPr>
          <w:rFonts w:asciiTheme="majorHAnsi" w:hAnsiTheme="majorHAnsi" w:cstheme="majorHAnsi"/>
          <w:sz w:val="24"/>
          <w:szCs w:val="24"/>
          <w:lang w:val="ro-MD"/>
        </w:rPr>
        <w:t xml:space="preserve">), ca urmare a emisiunii de către MF a </w:t>
      </w:r>
      <w:proofErr w:type="spellStart"/>
      <w:r w:rsidRPr="00452966">
        <w:rPr>
          <w:rFonts w:asciiTheme="majorHAnsi" w:hAnsiTheme="majorHAnsi" w:cstheme="majorHAnsi"/>
          <w:sz w:val="24"/>
          <w:szCs w:val="24"/>
          <w:lang w:val="ro-MD"/>
        </w:rPr>
        <w:t>obligaţiunilor</w:t>
      </w:r>
      <w:proofErr w:type="spellEnd"/>
      <w:r w:rsidRPr="00452966">
        <w:rPr>
          <w:rFonts w:asciiTheme="majorHAnsi" w:hAnsiTheme="majorHAnsi" w:cstheme="majorHAnsi"/>
          <w:sz w:val="24"/>
          <w:szCs w:val="24"/>
          <w:lang w:val="ro-MD"/>
        </w:rPr>
        <w:t xml:space="preserve"> de stat cu scadența cuprinsă între 1 și 25 ani, conform Legii nr.235 din 03.10.2016</w:t>
      </w:r>
      <w:r w:rsidR="00DF20D7">
        <w:rPr>
          <w:rStyle w:val="ae"/>
          <w:rFonts w:asciiTheme="majorHAnsi" w:hAnsiTheme="majorHAnsi"/>
          <w:sz w:val="24"/>
          <w:szCs w:val="24"/>
          <w:lang w:val="ro-MD"/>
        </w:rPr>
        <w:footnoteReference w:id="13"/>
      </w:r>
      <w:r w:rsidRPr="00452966">
        <w:rPr>
          <w:rFonts w:asciiTheme="majorHAnsi" w:hAnsiTheme="majorHAnsi" w:cstheme="majorHAnsi"/>
          <w:sz w:val="24"/>
          <w:szCs w:val="24"/>
          <w:lang w:val="ro-MD"/>
        </w:rPr>
        <w:t>.</w:t>
      </w:r>
    </w:p>
    <w:p w14:paraId="7794B9AF" w14:textId="77777777" w:rsidR="008B23A1" w:rsidRPr="002A67D0" w:rsidRDefault="007101F2" w:rsidP="007101F2">
      <w:pPr>
        <w:tabs>
          <w:tab w:val="left" w:pos="284"/>
          <w:tab w:val="left" w:pos="426"/>
        </w:tabs>
        <w:spacing w:after="0" w:line="240" w:lineRule="auto"/>
        <w:jc w:val="both"/>
        <w:rPr>
          <w:rFonts w:asciiTheme="majorHAnsi" w:hAnsiTheme="majorHAnsi" w:cstheme="majorHAnsi"/>
          <w:sz w:val="24"/>
          <w:szCs w:val="24"/>
          <w:lang w:val="ro-RO"/>
        </w:rPr>
      </w:pPr>
      <w:r>
        <w:rPr>
          <w:rFonts w:asciiTheme="majorHAnsi" w:hAnsiTheme="majorHAnsi" w:cstheme="majorHAnsi"/>
          <w:b/>
          <w:sz w:val="24"/>
          <w:szCs w:val="24"/>
          <w:lang w:val="ro-RO"/>
        </w:rPr>
        <w:tab/>
      </w:r>
      <w:r>
        <w:rPr>
          <w:rFonts w:asciiTheme="majorHAnsi" w:hAnsiTheme="majorHAnsi" w:cstheme="majorHAnsi"/>
          <w:b/>
          <w:sz w:val="24"/>
          <w:szCs w:val="24"/>
          <w:lang w:val="ro-RO"/>
        </w:rPr>
        <w:tab/>
      </w:r>
      <w:r>
        <w:rPr>
          <w:rFonts w:asciiTheme="majorHAnsi" w:hAnsiTheme="majorHAnsi" w:cstheme="majorHAnsi"/>
          <w:b/>
          <w:sz w:val="24"/>
          <w:szCs w:val="24"/>
          <w:lang w:val="ro-RO"/>
        </w:rPr>
        <w:tab/>
      </w:r>
      <w:r w:rsidR="008B23A1" w:rsidRPr="007101F2">
        <w:rPr>
          <w:rFonts w:asciiTheme="majorHAnsi" w:hAnsiTheme="majorHAnsi" w:cstheme="majorHAnsi"/>
          <w:b/>
          <w:i/>
          <w:sz w:val="24"/>
          <w:szCs w:val="24"/>
          <w:lang w:val="ro-RO"/>
        </w:rPr>
        <w:t>Nota 2:</w:t>
      </w:r>
      <w:r w:rsidR="008B23A1" w:rsidRPr="002A67D0">
        <w:rPr>
          <w:rFonts w:asciiTheme="majorHAnsi" w:hAnsiTheme="majorHAnsi" w:cstheme="majorHAnsi"/>
          <w:sz w:val="24"/>
          <w:szCs w:val="24"/>
          <w:lang w:val="ro-RO"/>
        </w:rPr>
        <w:t xml:space="preserve"> În contextul analizei ponderii </w:t>
      </w:r>
      <w:r w:rsidR="002A67D0" w:rsidRPr="002A67D0">
        <w:rPr>
          <w:rFonts w:asciiTheme="majorHAnsi" w:hAnsiTheme="majorHAnsi" w:cstheme="majorHAnsi"/>
          <w:sz w:val="24"/>
          <w:szCs w:val="24"/>
          <w:lang w:val="ro-RO"/>
        </w:rPr>
        <w:t>datoriei de stat cu rata dobânzii variabilă</w:t>
      </w:r>
      <w:r w:rsidR="008B23A1" w:rsidRPr="002A67D0">
        <w:rPr>
          <w:rFonts w:asciiTheme="majorHAnsi" w:hAnsiTheme="majorHAnsi" w:cstheme="majorHAnsi"/>
          <w:sz w:val="24"/>
          <w:szCs w:val="24"/>
          <w:lang w:val="ro-RO"/>
        </w:rPr>
        <w:t>, datoria de stat internă cu maturitatea de până la un an și purtătoare de rată a dobânzii fixă va fi atribuită la categoria da</w:t>
      </w:r>
      <w:r w:rsidR="002A67D0" w:rsidRPr="002A67D0">
        <w:rPr>
          <w:rFonts w:asciiTheme="majorHAnsi" w:hAnsiTheme="majorHAnsi" w:cstheme="majorHAnsi"/>
          <w:sz w:val="24"/>
          <w:szCs w:val="24"/>
          <w:lang w:val="ro-RO"/>
        </w:rPr>
        <w:t>toriei cu rata dobânzii variabilă</w:t>
      </w:r>
      <w:r w:rsidR="008B23A1" w:rsidRPr="002A67D0">
        <w:rPr>
          <w:rFonts w:asciiTheme="majorHAnsi" w:hAnsiTheme="majorHAnsi" w:cstheme="majorHAnsi"/>
          <w:sz w:val="24"/>
          <w:szCs w:val="24"/>
          <w:lang w:val="ro-RO"/>
        </w:rPr>
        <w:t>, întrucât, din cauza maturității reduse, aceasta va fi refinanțată în fiecare an, la condiții noi de piață, fiind supusă riscului ratei de dobândă.</w:t>
      </w:r>
    </w:p>
    <w:p w14:paraId="1FA474FF" w14:textId="77777777" w:rsidR="00AD0650" w:rsidRPr="002838B7" w:rsidRDefault="00AD0650" w:rsidP="00AD0650">
      <w:pPr>
        <w:spacing w:after="0" w:line="240" w:lineRule="auto"/>
        <w:jc w:val="both"/>
        <w:rPr>
          <w:rFonts w:asciiTheme="majorHAnsi" w:hAnsiTheme="majorHAnsi" w:cstheme="majorHAnsi"/>
          <w:sz w:val="24"/>
          <w:szCs w:val="24"/>
          <w:highlight w:val="yellow"/>
          <w:lang w:val="ro-RO"/>
        </w:rPr>
      </w:pPr>
    </w:p>
    <w:p w14:paraId="03292F62" w14:textId="10EC2D3A" w:rsidR="00AD0650" w:rsidRPr="00912DE4" w:rsidRDefault="00AD0650" w:rsidP="00AD0650">
      <w:pPr>
        <w:spacing w:after="0" w:line="276" w:lineRule="auto"/>
        <w:ind w:right="-6" w:firstLine="720"/>
        <w:jc w:val="both"/>
        <w:rPr>
          <w:rFonts w:asciiTheme="majorHAnsi" w:hAnsiTheme="majorHAnsi" w:cstheme="majorHAnsi"/>
          <w:sz w:val="24"/>
          <w:szCs w:val="24"/>
          <w:lang w:val="ro-RO"/>
        </w:rPr>
      </w:pPr>
      <w:r w:rsidRPr="00912DE4">
        <w:rPr>
          <w:rFonts w:asciiTheme="majorHAnsi" w:hAnsiTheme="majorHAnsi" w:cstheme="majorHAnsi"/>
          <w:sz w:val="24"/>
          <w:szCs w:val="24"/>
          <w:lang w:val="ro-RO"/>
        </w:rPr>
        <w:t>Analiza indicatorilor de risc privind datoria</w:t>
      </w:r>
      <w:r w:rsidR="00912DE4" w:rsidRPr="00912DE4">
        <w:rPr>
          <w:rFonts w:asciiTheme="majorHAnsi" w:hAnsiTheme="majorHAnsi" w:cstheme="majorHAnsi"/>
          <w:sz w:val="24"/>
          <w:szCs w:val="24"/>
          <w:lang w:val="ro-RO"/>
        </w:rPr>
        <w:t xml:space="preserve"> de stat relevă că în anul 2018</w:t>
      </w:r>
      <w:r w:rsidRPr="00912DE4">
        <w:rPr>
          <w:rFonts w:asciiTheme="majorHAnsi" w:hAnsiTheme="majorHAnsi" w:cstheme="majorHAnsi"/>
          <w:sz w:val="24"/>
          <w:szCs w:val="24"/>
          <w:lang w:val="ro-RO"/>
        </w:rPr>
        <w:t xml:space="preserve"> toți parametrii de risc s-au încadrat în limitele stabilite, aceștia înregistrând tendințe neuniforme, ca urmare a impactului fluctuațiilor ratelor de schimb și ratelor de dobândă asupra datoriei de stat, care rămâne a fi semnificativă.</w:t>
      </w:r>
    </w:p>
    <w:p w14:paraId="5E0B86C9" w14:textId="77777777" w:rsidR="00AD0650" w:rsidRPr="002838B7" w:rsidRDefault="00AD0650" w:rsidP="00AD0650">
      <w:pPr>
        <w:spacing w:after="0" w:line="276" w:lineRule="auto"/>
        <w:ind w:right="-6" w:firstLine="720"/>
        <w:jc w:val="both"/>
        <w:rPr>
          <w:rFonts w:asciiTheme="majorHAnsi" w:hAnsiTheme="majorHAnsi" w:cstheme="majorHAnsi"/>
          <w:sz w:val="24"/>
          <w:szCs w:val="24"/>
          <w:lang w:val="ro-RO"/>
        </w:rPr>
      </w:pPr>
      <w:r w:rsidRPr="00912DE4">
        <w:rPr>
          <w:rFonts w:asciiTheme="majorHAnsi" w:hAnsiTheme="majorHAnsi" w:cstheme="majorHAnsi"/>
          <w:sz w:val="24"/>
          <w:szCs w:val="24"/>
          <w:lang w:val="ro-RO"/>
        </w:rPr>
        <w:lastRenderedPageBreak/>
        <w:t xml:space="preserve">Indicatorii datoriei </w:t>
      </w:r>
      <w:r w:rsidR="006F7F94">
        <w:rPr>
          <w:rFonts w:asciiTheme="majorHAnsi" w:hAnsiTheme="majorHAnsi" w:cstheme="majorHAnsi"/>
          <w:sz w:val="24"/>
          <w:szCs w:val="24"/>
          <w:lang w:val="ro-RO"/>
        </w:rPr>
        <w:t>de stat</w:t>
      </w:r>
      <w:r w:rsidRPr="00912DE4">
        <w:rPr>
          <w:rFonts w:asciiTheme="majorHAnsi" w:hAnsiTheme="majorHAnsi" w:cstheme="majorHAnsi"/>
          <w:sz w:val="24"/>
          <w:szCs w:val="24"/>
          <w:lang w:val="ro-RO"/>
        </w:rPr>
        <w:t xml:space="preserve"> ne oferă o primă abordare în ceea ce privește sustenabilitatea acesteia. Astfel, analiza efectuată de audit privind sinteza evoluției indicatorilor de sustenabilitate a datoriei de stat potrivit standardelor de audit ISSAI</w:t>
      </w:r>
      <w:r w:rsidRPr="00912DE4">
        <w:rPr>
          <w:rStyle w:val="ae"/>
          <w:rFonts w:asciiTheme="majorHAnsi" w:hAnsiTheme="majorHAnsi" w:cstheme="majorHAnsi"/>
          <w:sz w:val="24"/>
          <w:szCs w:val="24"/>
          <w:lang w:val="ro-RO"/>
        </w:rPr>
        <w:footnoteReference w:id="14"/>
      </w:r>
      <w:r w:rsidR="00912DE4" w:rsidRPr="00912DE4">
        <w:rPr>
          <w:rFonts w:asciiTheme="majorHAnsi" w:hAnsiTheme="majorHAnsi" w:cstheme="majorHAnsi"/>
          <w:sz w:val="24"/>
          <w:szCs w:val="24"/>
          <w:lang w:val="ro-RO"/>
        </w:rPr>
        <w:t xml:space="preserve"> în anii 2016-2018</w:t>
      </w:r>
      <w:r w:rsidRPr="00912DE4">
        <w:rPr>
          <w:rFonts w:asciiTheme="majorHAnsi" w:hAnsiTheme="majorHAnsi" w:cstheme="majorHAnsi"/>
          <w:sz w:val="24"/>
          <w:szCs w:val="24"/>
          <w:lang w:val="ro-RO"/>
        </w:rPr>
        <w:t xml:space="preserve"> (</w:t>
      </w:r>
      <w:r w:rsidRPr="00912DE4">
        <w:rPr>
          <w:rFonts w:asciiTheme="majorHAnsi" w:hAnsiTheme="majorHAnsi" w:cstheme="majorHAnsi"/>
          <w:i/>
          <w:sz w:val="24"/>
          <w:szCs w:val="24"/>
          <w:lang w:val="ro-RO"/>
        </w:rPr>
        <w:t>vezi</w:t>
      </w:r>
      <w:r w:rsidRPr="00912DE4">
        <w:rPr>
          <w:rFonts w:asciiTheme="majorHAnsi" w:hAnsiTheme="majorHAnsi" w:cstheme="majorHAnsi"/>
          <w:sz w:val="24"/>
          <w:szCs w:val="24"/>
          <w:lang w:val="ro-RO"/>
        </w:rPr>
        <w:t xml:space="preserve"> </w:t>
      </w:r>
      <w:r w:rsidRPr="00912DE4">
        <w:rPr>
          <w:rFonts w:asciiTheme="majorHAnsi" w:hAnsiTheme="majorHAnsi" w:cstheme="majorHAnsi"/>
          <w:i/>
          <w:sz w:val="24"/>
          <w:szCs w:val="24"/>
          <w:lang w:val="ro-RO"/>
        </w:rPr>
        <w:t>Tabelul nr.</w:t>
      </w:r>
      <w:r w:rsidR="00F86CB0">
        <w:rPr>
          <w:rFonts w:asciiTheme="majorHAnsi" w:hAnsiTheme="majorHAnsi" w:cstheme="majorHAnsi"/>
          <w:i/>
          <w:sz w:val="24"/>
          <w:szCs w:val="24"/>
          <w:lang w:val="ro-RO"/>
        </w:rPr>
        <w:t>2</w:t>
      </w:r>
      <w:r w:rsidRPr="00912DE4">
        <w:rPr>
          <w:rFonts w:asciiTheme="majorHAnsi" w:hAnsiTheme="majorHAnsi" w:cstheme="majorHAnsi"/>
          <w:i/>
          <w:sz w:val="24"/>
          <w:szCs w:val="24"/>
          <w:lang w:val="ro-RO"/>
        </w:rPr>
        <w:t xml:space="preserve"> din Anexa nr.2 la prezentul Raport de audit)</w:t>
      </w:r>
      <w:r w:rsidRPr="00912DE4">
        <w:rPr>
          <w:rFonts w:asciiTheme="majorHAnsi" w:hAnsiTheme="majorHAnsi" w:cstheme="majorHAnsi"/>
          <w:sz w:val="24"/>
          <w:szCs w:val="24"/>
          <w:lang w:val="ro-RO"/>
        </w:rPr>
        <w:t xml:space="preserve"> relevă următoarele:</w:t>
      </w:r>
    </w:p>
    <w:p w14:paraId="7B3EB219" w14:textId="4F8FCFE7" w:rsidR="00AD0650" w:rsidRPr="002838B7" w:rsidRDefault="00AD0650" w:rsidP="002838B7">
      <w:pPr>
        <w:numPr>
          <w:ilvl w:val="0"/>
          <w:numId w:val="3"/>
        </w:numPr>
        <w:tabs>
          <w:tab w:val="left" w:pos="284"/>
          <w:tab w:val="left" w:pos="426"/>
          <w:tab w:val="left" w:pos="993"/>
        </w:tabs>
        <w:spacing w:after="0" w:line="276" w:lineRule="auto"/>
        <w:ind w:left="0" w:firstLine="709"/>
        <w:jc w:val="both"/>
        <w:rPr>
          <w:rFonts w:asciiTheme="majorHAnsi" w:hAnsiTheme="majorHAnsi" w:cstheme="majorHAnsi"/>
          <w:sz w:val="24"/>
          <w:szCs w:val="24"/>
          <w:lang w:val="ro-RO"/>
        </w:rPr>
      </w:pPr>
      <w:r w:rsidRPr="002838B7">
        <w:rPr>
          <w:rFonts w:asciiTheme="majorHAnsi" w:hAnsiTheme="majorHAnsi" w:cstheme="majorHAnsi"/>
          <w:i/>
          <w:sz w:val="24"/>
          <w:szCs w:val="24"/>
          <w:lang w:val="ro-RO"/>
        </w:rPr>
        <w:t xml:space="preserve">Ponderea datoriei de stat în PIB </w:t>
      </w:r>
      <w:r w:rsidRPr="002838B7">
        <w:rPr>
          <w:rFonts w:asciiTheme="majorHAnsi" w:hAnsiTheme="majorHAnsi" w:cstheme="majorHAnsi"/>
          <w:sz w:val="24"/>
          <w:szCs w:val="24"/>
          <w:lang w:val="ro-RO"/>
        </w:rPr>
        <w:t xml:space="preserve">a înregistrat o diminuare față de anul 2017 cu 1,5 </w:t>
      </w:r>
      <w:proofErr w:type="spellStart"/>
      <w:r w:rsidRPr="002838B7">
        <w:rPr>
          <w:rFonts w:asciiTheme="majorHAnsi" w:hAnsiTheme="majorHAnsi" w:cstheme="majorHAnsi"/>
          <w:sz w:val="24"/>
          <w:szCs w:val="24"/>
          <w:lang w:val="ro-RO"/>
        </w:rPr>
        <w:t>p.p.</w:t>
      </w:r>
      <w:proofErr w:type="spellEnd"/>
      <w:r w:rsidRPr="002838B7">
        <w:rPr>
          <w:rFonts w:asciiTheme="majorHAnsi" w:hAnsiTheme="majorHAnsi" w:cstheme="majorHAnsi"/>
          <w:sz w:val="24"/>
          <w:szCs w:val="24"/>
          <w:lang w:val="ro-RO"/>
        </w:rPr>
        <w:t xml:space="preserve">, constituind 27,4%, și </w:t>
      </w:r>
      <w:r w:rsidRPr="00CA40CA">
        <w:rPr>
          <w:rFonts w:asciiTheme="majorHAnsi" w:hAnsiTheme="majorHAnsi" w:cstheme="majorHAnsi"/>
          <w:sz w:val="24"/>
          <w:szCs w:val="24"/>
          <w:lang w:val="ro-RO"/>
        </w:rPr>
        <w:t xml:space="preserve">cu 4,2 </w:t>
      </w:r>
      <w:proofErr w:type="spellStart"/>
      <w:r w:rsidRPr="00CA40CA">
        <w:rPr>
          <w:rFonts w:asciiTheme="majorHAnsi" w:hAnsiTheme="majorHAnsi" w:cstheme="majorHAnsi"/>
          <w:sz w:val="24"/>
          <w:szCs w:val="24"/>
          <w:lang w:val="ro-RO"/>
        </w:rPr>
        <w:t>p.p.</w:t>
      </w:r>
      <w:proofErr w:type="spellEnd"/>
      <w:r w:rsidRPr="00CA40CA">
        <w:rPr>
          <w:rFonts w:asciiTheme="majorHAnsi" w:hAnsiTheme="majorHAnsi" w:cstheme="majorHAnsi"/>
          <w:sz w:val="24"/>
          <w:szCs w:val="24"/>
          <w:lang w:val="ro-RO"/>
        </w:rPr>
        <w:t xml:space="preserve"> față de anul 2016.</w:t>
      </w:r>
      <w:r w:rsidRPr="002838B7">
        <w:rPr>
          <w:rFonts w:asciiTheme="majorHAnsi" w:hAnsiTheme="majorHAnsi" w:cstheme="majorHAnsi"/>
          <w:sz w:val="24"/>
          <w:szCs w:val="24"/>
          <w:lang w:val="ro-RO"/>
        </w:rPr>
        <w:t xml:space="preserve"> De asemenea, în anul 2018 se constată diminuarea ponderii datoriei de stat externe în PIB cu 1,0 </w:t>
      </w:r>
      <w:proofErr w:type="spellStart"/>
      <w:r w:rsidRPr="002838B7">
        <w:rPr>
          <w:rFonts w:asciiTheme="majorHAnsi" w:hAnsiTheme="majorHAnsi" w:cstheme="majorHAnsi"/>
          <w:sz w:val="24"/>
          <w:szCs w:val="24"/>
          <w:lang w:val="ro-RO"/>
        </w:rPr>
        <w:t>p.p.</w:t>
      </w:r>
      <w:proofErr w:type="spellEnd"/>
      <w:r w:rsidRPr="002838B7">
        <w:rPr>
          <w:rFonts w:asciiTheme="majorHAnsi" w:hAnsiTheme="majorHAnsi" w:cstheme="majorHAnsi"/>
          <w:sz w:val="24"/>
          <w:szCs w:val="24"/>
          <w:lang w:val="ro-RO"/>
        </w:rPr>
        <w:t xml:space="preserve"> și a ponderii datoriei de stat interne în PIB - cu 0,5 </w:t>
      </w:r>
      <w:proofErr w:type="spellStart"/>
      <w:r w:rsidRPr="002838B7">
        <w:rPr>
          <w:rFonts w:asciiTheme="majorHAnsi" w:hAnsiTheme="majorHAnsi" w:cstheme="majorHAnsi"/>
          <w:sz w:val="24"/>
          <w:szCs w:val="24"/>
          <w:lang w:val="ro-RO"/>
        </w:rPr>
        <w:t>p.p.</w:t>
      </w:r>
      <w:proofErr w:type="spellEnd"/>
      <w:r w:rsidRPr="002838B7">
        <w:rPr>
          <w:rFonts w:asciiTheme="majorHAnsi" w:hAnsiTheme="majorHAnsi" w:cstheme="majorHAnsi"/>
          <w:sz w:val="24"/>
          <w:szCs w:val="24"/>
          <w:lang w:val="ro-RO"/>
        </w:rPr>
        <w:t>, constituind 15,2% și, respectiv, 12,1%.</w:t>
      </w:r>
    </w:p>
    <w:p w14:paraId="2F435B33" w14:textId="1D781303" w:rsidR="00AD0650" w:rsidRPr="002838B7" w:rsidRDefault="00AD0650" w:rsidP="002838B7">
      <w:pPr>
        <w:numPr>
          <w:ilvl w:val="0"/>
          <w:numId w:val="3"/>
        </w:numPr>
        <w:tabs>
          <w:tab w:val="left" w:pos="284"/>
          <w:tab w:val="left" w:pos="426"/>
          <w:tab w:val="left" w:pos="993"/>
        </w:tabs>
        <w:spacing w:after="0" w:line="276" w:lineRule="auto"/>
        <w:ind w:left="0" w:firstLine="709"/>
        <w:jc w:val="both"/>
        <w:rPr>
          <w:rFonts w:asciiTheme="majorHAnsi" w:hAnsiTheme="majorHAnsi" w:cstheme="majorHAnsi"/>
          <w:sz w:val="24"/>
          <w:szCs w:val="24"/>
          <w:lang w:val="ro-RO"/>
        </w:rPr>
      </w:pPr>
      <w:r w:rsidRPr="002838B7">
        <w:rPr>
          <w:rFonts w:asciiTheme="majorHAnsi" w:hAnsiTheme="majorHAnsi" w:cstheme="majorHAnsi"/>
          <w:i/>
          <w:sz w:val="24"/>
          <w:szCs w:val="24"/>
          <w:lang w:val="ro-RO"/>
        </w:rPr>
        <w:t>Ponderea datoriei de stat în veniturile bugetului de stat</w:t>
      </w:r>
      <w:r w:rsidRPr="002838B7">
        <w:rPr>
          <w:rFonts w:asciiTheme="majorHAnsi" w:hAnsiTheme="majorHAnsi" w:cstheme="majorHAnsi"/>
          <w:b/>
          <w:sz w:val="24"/>
          <w:szCs w:val="24"/>
          <w:lang w:val="ro-RO"/>
        </w:rPr>
        <w:t xml:space="preserve"> </w:t>
      </w:r>
      <w:r w:rsidRPr="002838B7">
        <w:rPr>
          <w:rFonts w:asciiTheme="majorHAnsi" w:hAnsiTheme="majorHAnsi" w:cstheme="majorHAnsi"/>
          <w:sz w:val="24"/>
          <w:szCs w:val="24"/>
          <w:lang w:val="ro-RO"/>
        </w:rPr>
        <w:t>a înregistrat o scădere față de anul 2017 cu 9,</w:t>
      </w:r>
      <w:r w:rsidR="00DE034D">
        <w:rPr>
          <w:rFonts w:asciiTheme="majorHAnsi" w:hAnsiTheme="majorHAnsi" w:cstheme="majorHAnsi"/>
          <w:sz w:val="24"/>
          <w:szCs w:val="24"/>
          <w:lang w:val="ro-RO"/>
        </w:rPr>
        <w:t>3</w:t>
      </w:r>
      <w:r w:rsidR="00DE034D" w:rsidRPr="002838B7">
        <w:rPr>
          <w:rFonts w:asciiTheme="majorHAnsi" w:hAnsiTheme="majorHAnsi" w:cstheme="majorHAnsi"/>
          <w:sz w:val="24"/>
          <w:szCs w:val="24"/>
          <w:lang w:val="ro-RO"/>
        </w:rPr>
        <w:t xml:space="preserve"> </w:t>
      </w:r>
      <w:proofErr w:type="spellStart"/>
      <w:r w:rsidRPr="002838B7">
        <w:rPr>
          <w:rFonts w:asciiTheme="majorHAnsi" w:hAnsiTheme="majorHAnsi" w:cstheme="majorHAnsi"/>
          <w:sz w:val="24"/>
          <w:szCs w:val="24"/>
          <w:lang w:val="ro-RO"/>
        </w:rPr>
        <w:t>p.p.</w:t>
      </w:r>
      <w:proofErr w:type="spellEnd"/>
      <w:r w:rsidRPr="002838B7">
        <w:rPr>
          <w:rFonts w:asciiTheme="majorHAnsi" w:hAnsiTheme="majorHAnsi" w:cstheme="majorHAnsi"/>
          <w:sz w:val="24"/>
          <w:szCs w:val="24"/>
          <w:lang w:val="ro-RO"/>
        </w:rPr>
        <w:t>, constituind 142,</w:t>
      </w:r>
      <w:r w:rsidR="006D07C7">
        <w:rPr>
          <w:rFonts w:asciiTheme="majorHAnsi" w:hAnsiTheme="majorHAnsi" w:cstheme="majorHAnsi"/>
          <w:sz w:val="24"/>
          <w:szCs w:val="24"/>
          <w:lang w:val="ro-RO"/>
        </w:rPr>
        <w:t>8</w:t>
      </w:r>
      <w:r w:rsidRPr="002838B7">
        <w:rPr>
          <w:rFonts w:asciiTheme="majorHAnsi" w:hAnsiTheme="majorHAnsi" w:cstheme="majorHAnsi"/>
          <w:sz w:val="24"/>
          <w:szCs w:val="24"/>
          <w:lang w:val="ro-RO"/>
        </w:rPr>
        <w:t>%. De asemenea, ponderea datoriei de stat externe în veniturile bugetului de stat a înregistrat o scădere cu 6,</w:t>
      </w:r>
      <w:r w:rsidR="00DE034D">
        <w:rPr>
          <w:rFonts w:asciiTheme="majorHAnsi" w:hAnsiTheme="majorHAnsi" w:cstheme="majorHAnsi"/>
          <w:sz w:val="24"/>
          <w:szCs w:val="24"/>
          <w:lang w:val="ro-RO"/>
        </w:rPr>
        <w:t>1</w:t>
      </w:r>
      <w:r w:rsidRPr="002838B7">
        <w:rPr>
          <w:rFonts w:asciiTheme="majorHAnsi" w:hAnsiTheme="majorHAnsi" w:cstheme="majorHAnsi"/>
          <w:sz w:val="24"/>
          <w:szCs w:val="24"/>
          <w:lang w:val="ro-RO"/>
        </w:rPr>
        <w:t xml:space="preserve"> </w:t>
      </w:r>
      <w:proofErr w:type="spellStart"/>
      <w:r w:rsidRPr="002838B7">
        <w:rPr>
          <w:rFonts w:asciiTheme="majorHAnsi" w:hAnsiTheme="majorHAnsi" w:cstheme="majorHAnsi"/>
          <w:sz w:val="24"/>
          <w:szCs w:val="24"/>
          <w:lang w:val="ro-RO"/>
        </w:rPr>
        <w:t>p.p.</w:t>
      </w:r>
      <w:proofErr w:type="spellEnd"/>
      <w:r w:rsidRPr="002838B7">
        <w:rPr>
          <w:rFonts w:asciiTheme="majorHAnsi" w:hAnsiTheme="majorHAnsi" w:cstheme="majorHAnsi"/>
          <w:sz w:val="24"/>
          <w:szCs w:val="24"/>
          <w:lang w:val="ro-RO"/>
        </w:rPr>
        <w:t xml:space="preserve">, iar ponderea datoriei de stat interne în veniturile bugetului de stat - cu 3,2 </w:t>
      </w:r>
      <w:proofErr w:type="spellStart"/>
      <w:r w:rsidRPr="002838B7">
        <w:rPr>
          <w:rFonts w:asciiTheme="majorHAnsi" w:hAnsiTheme="majorHAnsi" w:cstheme="majorHAnsi"/>
          <w:sz w:val="24"/>
          <w:szCs w:val="24"/>
          <w:lang w:val="ro-RO"/>
        </w:rPr>
        <w:t>p.p.</w:t>
      </w:r>
      <w:proofErr w:type="spellEnd"/>
      <w:r w:rsidRPr="002838B7">
        <w:rPr>
          <w:rFonts w:asciiTheme="majorHAnsi" w:hAnsiTheme="majorHAnsi" w:cstheme="majorHAnsi"/>
          <w:sz w:val="24"/>
          <w:szCs w:val="24"/>
          <w:lang w:val="ro-RO"/>
        </w:rPr>
        <w:t>, constituind 79,5 % și, respectiv, 63,3%.</w:t>
      </w:r>
    </w:p>
    <w:p w14:paraId="460E7F94" w14:textId="77777777" w:rsidR="00AD0650" w:rsidRPr="002838B7" w:rsidRDefault="00AD0650" w:rsidP="002838B7">
      <w:pPr>
        <w:numPr>
          <w:ilvl w:val="0"/>
          <w:numId w:val="3"/>
        </w:numPr>
        <w:tabs>
          <w:tab w:val="left" w:pos="284"/>
          <w:tab w:val="left" w:pos="426"/>
          <w:tab w:val="left" w:pos="993"/>
        </w:tabs>
        <w:spacing w:after="0" w:line="276" w:lineRule="auto"/>
        <w:ind w:left="0" w:firstLine="709"/>
        <w:jc w:val="both"/>
        <w:rPr>
          <w:rFonts w:asciiTheme="majorHAnsi" w:hAnsiTheme="majorHAnsi" w:cstheme="majorHAnsi"/>
          <w:sz w:val="24"/>
          <w:szCs w:val="24"/>
          <w:lang w:val="ro-RO"/>
        </w:rPr>
      </w:pPr>
      <w:r w:rsidRPr="002838B7">
        <w:rPr>
          <w:rFonts w:asciiTheme="majorHAnsi" w:hAnsiTheme="majorHAnsi" w:cstheme="majorHAnsi"/>
          <w:i/>
          <w:sz w:val="24"/>
          <w:szCs w:val="24"/>
          <w:lang w:val="ro-RO"/>
        </w:rPr>
        <w:t xml:space="preserve">Ponderea serviciului datoriei de stat în PIB </w:t>
      </w:r>
      <w:r w:rsidRPr="002838B7">
        <w:rPr>
          <w:rFonts w:asciiTheme="majorHAnsi" w:hAnsiTheme="majorHAnsi" w:cstheme="majorHAnsi"/>
          <w:sz w:val="24"/>
          <w:szCs w:val="24"/>
          <w:lang w:val="ro-RO"/>
        </w:rPr>
        <w:t xml:space="preserve">s-a redus cu 0,3 </w:t>
      </w:r>
      <w:proofErr w:type="spellStart"/>
      <w:r w:rsidRPr="002838B7">
        <w:rPr>
          <w:rFonts w:asciiTheme="majorHAnsi" w:hAnsiTheme="majorHAnsi" w:cstheme="majorHAnsi"/>
          <w:sz w:val="24"/>
          <w:szCs w:val="24"/>
          <w:lang w:val="ro-RO"/>
        </w:rPr>
        <w:t>p.p.</w:t>
      </w:r>
      <w:proofErr w:type="spellEnd"/>
      <w:r w:rsidRPr="002838B7">
        <w:rPr>
          <w:rFonts w:asciiTheme="majorHAnsi" w:hAnsiTheme="majorHAnsi" w:cstheme="majorHAnsi"/>
          <w:sz w:val="24"/>
          <w:szCs w:val="24"/>
          <w:lang w:val="ro-RO"/>
        </w:rPr>
        <w:t xml:space="preserve">. Dacă ponderea serviciului datoriei de stat externe se menține la același nivel 3 ani consecutiv (0,2%), atunci ponderea serviciului datoriei de stat interne în PIB a înregistrat o diminuare față de anul 2017 cu 0,3 </w:t>
      </w:r>
      <w:proofErr w:type="spellStart"/>
      <w:r w:rsidRPr="002838B7">
        <w:rPr>
          <w:rFonts w:asciiTheme="majorHAnsi" w:hAnsiTheme="majorHAnsi" w:cstheme="majorHAnsi"/>
          <w:sz w:val="24"/>
          <w:szCs w:val="24"/>
          <w:lang w:val="ro-RO"/>
        </w:rPr>
        <w:t>p.p.</w:t>
      </w:r>
      <w:proofErr w:type="spellEnd"/>
    </w:p>
    <w:p w14:paraId="3541389E" w14:textId="227E1104" w:rsidR="00AD0650" w:rsidRPr="002838B7" w:rsidRDefault="00AD0650" w:rsidP="002838B7">
      <w:pPr>
        <w:numPr>
          <w:ilvl w:val="0"/>
          <w:numId w:val="3"/>
        </w:numPr>
        <w:tabs>
          <w:tab w:val="left" w:pos="284"/>
          <w:tab w:val="left" w:pos="426"/>
          <w:tab w:val="left" w:pos="993"/>
        </w:tabs>
        <w:spacing w:after="0" w:line="276" w:lineRule="auto"/>
        <w:ind w:left="0" w:firstLine="709"/>
        <w:jc w:val="both"/>
        <w:rPr>
          <w:rFonts w:asciiTheme="majorHAnsi" w:hAnsiTheme="majorHAnsi" w:cstheme="majorHAnsi"/>
          <w:sz w:val="24"/>
          <w:szCs w:val="24"/>
          <w:lang w:val="ro-RO"/>
        </w:rPr>
      </w:pPr>
      <w:r w:rsidRPr="002838B7">
        <w:rPr>
          <w:rFonts w:asciiTheme="majorHAnsi" w:hAnsiTheme="majorHAnsi" w:cstheme="majorHAnsi"/>
          <w:i/>
          <w:sz w:val="24"/>
          <w:szCs w:val="24"/>
          <w:lang w:val="ro-RO"/>
        </w:rPr>
        <w:t xml:space="preserve">Ponderea serviciului datoriei de stat în veniturile bugetului de stat, </w:t>
      </w:r>
      <w:r w:rsidRPr="002838B7">
        <w:rPr>
          <w:rFonts w:asciiTheme="majorHAnsi" w:hAnsiTheme="majorHAnsi" w:cstheme="majorHAnsi"/>
          <w:sz w:val="24"/>
          <w:szCs w:val="24"/>
          <w:lang w:val="ro-RO"/>
        </w:rPr>
        <w:t xml:space="preserve">comparativ cu anul 2017, este în scădere cu 1,6 </w:t>
      </w:r>
      <w:proofErr w:type="spellStart"/>
      <w:r w:rsidRPr="002838B7">
        <w:rPr>
          <w:rFonts w:asciiTheme="majorHAnsi" w:hAnsiTheme="majorHAnsi" w:cstheme="majorHAnsi"/>
          <w:sz w:val="24"/>
          <w:szCs w:val="24"/>
          <w:lang w:val="ro-RO"/>
        </w:rPr>
        <w:t>p.p.</w:t>
      </w:r>
      <w:proofErr w:type="spellEnd"/>
      <w:r w:rsidRPr="002838B7">
        <w:rPr>
          <w:rFonts w:asciiTheme="majorHAnsi" w:hAnsiTheme="majorHAnsi" w:cstheme="majorHAnsi"/>
          <w:sz w:val="24"/>
          <w:szCs w:val="24"/>
          <w:lang w:val="ro-RO"/>
        </w:rPr>
        <w:t xml:space="preserve">. De asemenea, se atestă micșorarea cu 0.1 </w:t>
      </w:r>
      <w:proofErr w:type="spellStart"/>
      <w:r w:rsidRPr="002838B7">
        <w:rPr>
          <w:rFonts w:asciiTheme="majorHAnsi" w:hAnsiTheme="majorHAnsi" w:cstheme="majorHAnsi"/>
          <w:sz w:val="24"/>
          <w:szCs w:val="24"/>
          <w:lang w:val="ro-RO"/>
        </w:rPr>
        <w:t>p.p.</w:t>
      </w:r>
      <w:proofErr w:type="spellEnd"/>
      <w:r w:rsidRPr="002838B7">
        <w:rPr>
          <w:rFonts w:asciiTheme="majorHAnsi" w:hAnsiTheme="majorHAnsi" w:cstheme="majorHAnsi"/>
          <w:sz w:val="24"/>
          <w:szCs w:val="24"/>
          <w:lang w:val="ro-RO"/>
        </w:rPr>
        <w:t xml:space="preserve"> a ponderii serviciului datoriei de stat externe în veniturile bugetului de stat. Ponderea serviciului datoriei de stat interne în veniturile bugetului de stat, la fel, s-a diminuat cu 1,5 </w:t>
      </w:r>
      <w:proofErr w:type="spellStart"/>
      <w:r w:rsidRPr="002838B7">
        <w:rPr>
          <w:rFonts w:asciiTheme="majorHAnsi" w:hAnsiTheme="majorHAnsi" w:cstheme="majorHAnsi"/>
          <w:sz w:val="24"/>
          <w:szCs w:val="24"/>
          <w:lang w:val="ro-RO"/>
        </w:rPr>
        <w:t>p.p</w:t>
      </w:r>
      <w:r w:rsidRPr="002838B7">
        <w:rPr>
          <w:rFonts w:asciiTheme="majorHAnsi" w:hAnsiTheme="majorHAnsi" w:cstheme="majorHAnsi"/>
          <w:i/>
          <w:sz w:val="24"/>
          <w:szCs w:val="24"/>
          <w:lang w:val="ro-RO"/>
        </w:rPr>
        <w:t>.</w:t>
      </w:r>
      <w:proofErr w:type="spellEnd"/>
      <w:r w:rsidRPr="002838B7">
        <w:rPr>
          <w:rFonts w:asciiTheme="majorHAnsi" w:hAnsiTheme="majorHAnsi" w:cstheme="majorHAnsi"/>
          <w:i/>
          <w:sz w:val="24"/>
          <w:szCs w:val="24"/>
          <w:lang w:val="ro-RO"/>
        </w:rPr>
        <w:t>.</w:t>
      </w:r>
    </w:p>
    <w:p w14:paraId="2225D5CC" w14:textId="312F1FEC" w:rsidR="00AD0650" w:rsidRPr="002838B7" w:rsidRDefault="00AD0650" w:rsidP="002838B7">
      <w:pPr>
        <w:numPr>
          <w:ilvl w:val="0"/>
          <w:numId w:val="3"/>
        </w:numPr>
        <w:tabs>
          <w:tab w:val="left" w:pos="284"/>
          <w:tab w:val="left" w:pos="426"/>
          <w:tab w:val="left" w:pos="993"/>
        </w:tabs>
        <w:spacing w:after="0" w:line="276" w:lineRule="auto"/>
        <w:ind w:left="0" w:firstLine="709"/>
        <w:jc w:val="both"/>
        <w:rPr>
          <w:rFonts w:asciiTheme="majorHAnsi" w:hAnsiTheme="majorHAnsi" w:cstheme="majorHAnsi"/>
          <w:sz w:val="24"/>
          <w:szCs w:val="24"/>
          <w:lang w:val="ro-RO"/>
        </w:rPr>
      </w:pPr>
      <w:r w:rsidRPr="002838B7">
        <w:rPr>
          <w:rFonts w:asciiTheme="majorHAnsi" w:hAnsiTheme="majorHAnsi" w:cstheme="majorHAnsi"/>
          <w:i/>
          <w:sz w:val="24"/>
          <w:szCs w:val="24"/>
          <w:lang w:val="ro-RO"/>
        </w:rPr>
        <w:t xml:space="preserve">Ponderea serviciului datoriei de stat în cheltuielile bugetului de stat </w:t>
      </w:r>
      <w:r w:rsidRPr="002838B7">
        <w:rPr>
          <w:rFonts w:asciiTheme="majorHAnsi" w:hAnsiTheme="majorHAnsi" w:cstheme="majorHAnsi"/>
          <w:sz w:val="24"/>
          <w:szCs w:val="24"/>
          <w:lang w:val="ro-RO"/>
        </w:rPr>
        <w:t>a constituit 3,9%, fiind în sc</w:t>
      </w:r>
      <w:r w:rsidRPr="006D07C7">
        <w:rPr>
          <w:rFonts w:asciiTheme="majorHAnsi" w:hAnsiTheme="majorHAnsi"/>
          <w:sz w:val="24"/>
          <w:lang w:val="ro-RO"/>
        </w:rPr>
        <w:t>ădere</w:t>
      </w:r>
      <w:r w:rsidRPr="002838B7">
        <w:rPr>
          <w:rFonts w:asciiTheme="majorHAnsi" w:hAnsiTheme="majorHAnsi" w:cstheme="majorHAnsi"/>
          <w:sz w:val="24"/>
          <w:szCs w:val="24"/>
          <w:lang w:val="ro-RO"/>
        </w:rPr>
        <w:t xml:space="preserve"> față de anul 2017 cu 1,5 </w:t>
      </w:r>
      <w:proofErr w:type="spellStart"/>
      <w:r w:rsidRPr="002838B7">
        <w:rPr>
          <w:rFonts w:asciiTheme="majorHAnsi" w:hAnsiTheme="majorHAnsi" w:cstheme="majorHAnsi"/>
          <w:sz w:val="24"/>
          <w:szCs w:val="24"/>
          <w:lang w:val="ro-RO"/>
        </w:rPr>
        <w:t>p.p.</w:t>
      </w:r>
      <w:proofErr w:type="spellEnd"/>
      <w:r w:rsidRPr="002838B7">
        <w:rPr>
          <w:rFonts w:asciiTheme="majorHAnsi" w:hAnsiTheme="majorHAnsi" w:cstheme="majorHAnsi"/>
          <w:sz w:val="24"/>
          <w:szCs w:val="24"/>
          <w:lang w:val="ro-RO"/>
        </w:rPr>
        <w:t xml:space="preserve">. Astfel, ponderea serviciului datoriei de stat externe în cheltuieli a rămas la același nivel, iar a serviciului datoriei de stat interne s-a diminuat cu 1,5 </w:t>
      </w:r>
      <w:proofErr w:type="spellStart"/>
      <w:r w:rsidRPr="002838B7">
        <w:rPr>
          <w:rFonts w:asciiTheme="majorHAnsi" w:hAnsiTheme="majorHAnsi" w:cstheme="majorHAnsi"/>
          <w:sz w:val="24"/>
          <w:szCs w:val="24"/>
          <w:lang w:val="ro-RO"/>
        </w:rPr>
        <w:t>p.p.</w:t>
      </w:r>
      <w:proofErr w:type="spellEnd"/>
      <w:r w:rsidRPr="002838B7">
        <w:rPr>
          <w:rFonts w:asciiTheme="majorHAnsi" w:hAnsiTheme="majorHAnsi" w:cstheme="majorHAnsi"/>
          <w:sz w:val="24"/>
          <w:szCs w:val="24"/>
          <w:lang w:val="ro-RO"/>
        </w:rPr>
        <w:t xml:space="preserve"> față de anul 2017. </w:t>
      </w:r>
    </w:p>
    <w:p w14:paraId="2087C921" w14:textId="5844DEBA" w:rsidR="00AD0650" w:rsidRPr="002838B7" w:rsidRDefault="00AD0650" w:rsidP="002838B7">
      <w:pPr>
        <w:numPr>
          <w:ilvl w:val="0"/>
          <w:numId w:val="3"/>
        </w:numPr>
        <w:tabs>
          <w:tab w:val="left" w:pos="284"/>
          <w:tab w:val="left" w:pos="426"/>
          <w:tab w:val="left" w:pos="993"/>
        </w:tabs>
        <w:spacing w:after="0" w:line="276" w:lineRule="auto"/>
        <w:ind w:left="0" w:firstLine="709"/>
        <w:jc w:val="both"/>
        <w:rPr>
          <w:rFonts w:asciiTheme="majorHAnsi" w:hAnsiTheme="majorHAnsi" w:cstheme="majorHAnsi"/>
          <w:sz w:val="24"/>
          <w:szCs w:val="24"/>
          <w:lang w:val="ro-RO"/>
        </w:rPr>
      </w:pPr>
      <w:r w:rsidRPr="002838B7">
        <w:rPr>
          <w:rFonts w:asciiTheme="majorHAnsi" w:hAnsiTheme="majorHAnsi" w:cstheme="majorHAnsi"/>
          <w:i/>
          <w:sz w:val="24"/>
          <w:szCs w:val="24"/>
          <w:lang w:val="ro-RO"/>
        </w:rPr>
        <w:t xml:space="preserve">Ponderea serviciului datoriei de stat în totalul </w:t>
      </w:r>
      <w:r w:rsidRPr="002838B7">
        <w:rPr>
          <w:rFonts w:asciiTheme="majorHAnsi" w:hAnsiTheme="majorHAnsi" w:cstheme="majorHAnsi"/>
          <w:i/>
          <w:sz w:val="24"/>
          <w:szCs w:val="24"/>
          <w:shd w:val="clear" w:color="auto" w:fill="FFFFFF"/>
          <w:lang w:val="ro-RO"/>
        </w:rPr>
        <w:t>exporturilor</w:t>
      </w:r>
      <w:r w:rsidRPr="002838B7">
        <w:rPr>
          <w:rStyle w:val="HTML"/>
          <w:rFonts w:asciiTheme="majorHAnsi" w:hAnsiTheme="majorHAnsi" w:cstheme="majorHAnsi"/>
          <w:i/>
          <w:sz w:val="24"/>
          <w:szCs w:val="24"/>
          <w:shd w:val="clear" w:color="auto" w:fill="FFFFFF"/>
          <w:vertAlign w:val="superscript"/>
          <w:lang w:val="ro-RO"/>
        </w:rPr>
        <w:footnoteReference w:id="15"/>
      </w:r>
      <w:r w:rsidRPr="002838B7">
        <w:rPr>
          <w:rFonts w:asciiTheme="majorHAnsi" w:hAnsiTheme="majorHAnsi" w:cstheme="majorHAnsi"/>
          <w:i/>
          <w:sz w:val="24"/>
          <w:szCs w:val="24"/>
          <w:shd w:val="clear" w:color="auto" w:fill="FFFFFF"/>
          <w:lang w:val="ro-RO"/>
        </w:rPr>
        <w:t xml:space="preserve"> </w:t>
      </w:r>
      <w:r w:rsidRPr="002838B7">
        <w:rPr>
          <w:rFonts w:asciiTheme="majorHAnsi" w:hAnsiTheme="majorHAnsi" w:cstheme="majorHAnsi"/>
          <w:sz w:val="24"/>
          <w:szCs w:val="24"/>
          <w:lang w:val="ro-RO"/>
        </w:rPr>
        <w:t>în anul 2018 a constituit 3,</w:t>
      </w:r>
      <w:r w:rsidR="0025661A">
        <w:rPr>
          <w:rFonts w:asciiTheme="majorHAnsi" w:hAnsiTheme="majorHAnsi" w:cstheme="majorHAnsi"/>
          <w:sz w:val="24"/>
          <w:szCs w:val="24"/>
          <w:lang w:val="ro-RO"/>
        </w:rPr>
        <w:t>3</w:t>
      </w:r>
      <w:r w:rsidRPr="002838B7">
        <w:rPr>
          <w:rFonts w:asciiTheme="majorHAnsi" w:hAnsiTheme="majorHAnsi" w:cstheme="majorHAnsi"/>
          <w:sz w:val="24"/>
          <w:szCs w:val="24"/>
          <w:lang w:val="ro-RO"/>
        </w:rPr>
        <w:t>%, cu 1,</w:t>
      </w:r>
      <w:r w:rsidR="0025661A">
        <w:rPr>
          <w:rFonts w:asciiTheme="majorHAnsi" w:hAnsiTheme="majorHAnsi" w:cstheme="majorHAnsi"/>
          <w:sz w:val="24"/>
          <w:szCs w:val="24"/>
          <w:lang w:val="ro-RO"/>
        </w:rPr>
        <w:t>0</w:t>
      </w:r>
      <w:r w:rsidRPr="002838B7">
        <w:rPr>
          <w:rFonts w:asciiTheme="majorHAnsi" w:hAnsiTheme="majorHAnsi" w:cstheme="majorHAnsi"/>
          <w:sz w:val="24"/>
          <w:szCs w:val="24"/>
          <w:lang w:val="ro-RO"/>
        </w:rPr>
        <w:t xml:space="preserve"> </w:t>
      </w:r>
      <w:proofErr w:type="spellStart"/>
      <w:r w:rsidRPr="002838B7">
        <w:rPr>
          <w:rFonts w:asciiTheme="majorHAnsi" w:hAnsiTheme="majorHAnsi" w:cstheme="majorHAnsi"/>
          <w:sz w:val="24"/>
          <w:szCs w:val="24"/>
          <w:lang w:val="ro-RO"/>
        </w:rPr>
        <w:t>p.p</w:t>
      </w:r>
      <w:proofErr w:type="spellEnd"/>
      <w:r w:rsidRPr="002838B7">
        <w:rPr>
          <w:rFonts w:asciiTheme="majorHAnsi" w:hAnsiTheme="majorHAnsi" w:cstheme="majorHAnsi"/>
          <w:sz w:val="24"/>
          <w:szCs w:val="24"/>
          <w:lang w:val="ro-RO"/>
        </w:rPr>
        <w:t xml:space="preserve"> mai puțin față de anul 2017. Indicatorii aferenți serviciului datoriei de stat externe au</w:t>
      </w:r>
      <w:r w:rsidR="0025661A">
        <w:rPr>
          <w:rFonts w:asciiTheme="majorHAnsi" w:hAnsiTheme="majorHAnsi" w:cstheme="majorHAnsi"/>
          <w:sz w:val="24"/>
          <w:szCs w:val="24"/>
          <w:lang w:val="ro-RO"/>
        </w:rPr>
        <w:t xml:space="preserve"> rămas la același nivel</w:t>
      </w:r>
      <w:r w:rsidRPr="002838B7">
        <w:rPr>
          <w:rFonts w:asciiTheme="majorHAnsi" w:hAnsiTheme="majorHAnsi" w:cstheme="majorHAnsi"/>
          <w:sz w:val="24"/>
          <w:szCs w:val="24"/>
          <w:lang w:val="ro-RO"/>
        </w:rPr>
        <w:t>, constituind 0,8%, iar ai serviciului datoriei de stat interne s-au diminuat cu 1,</w:t>
      </w:r>
      <w:r w:rsidR="0025661A">
        <w:rPr>
          <w:rFonts w:asciiTheme="majorHAnsi" w:hAnsiTheme="majorHAnsi" w:cstheme="majorHAnsi"/>
          <w:sz w:val="24"/>
          <w:szCs w:val="24"/>
          <w:lang w:val="ro-RO"/>
        </w:rPr>
        <w:t>0</w:t>
      </w:r>
      <w:r w:rsidR="0025661A" w:rsidRPr="002838B7">
        <w:rPr>
          <w:rFonts w:asciiTheme="majorHAnsi" w:hAnsiTheme="majorHAnsi" w:cstheme="majorHAnsi"/>
          <w:sz w:val="24"/>
          <w:szCs w:val="24"/>
          <w:lang w:val="ro-RO"/>
        </w:rPr>
        <w:t xml:space="preserve"> </w:t>
      </w:r>
      <w:proofErr w:type="spellStart"/>
      <w:r w:rsidRPr="002838B7">
        <w:rPr>
          <w:rFonts w:asciiTheme="majorHAnsi" w:hAnsiTheme="majorHAnsi" w:cstheme="majorHAnsi"/>
          <w:sz w:val="24"/>
          <w:szCs w:val="24"/>
          <w:lang w:val="ro-RO"/>
        </w:rPr>
        <w:t>p.p.</w:t>
      </w:r>
      <w:proofErr w:type="spellEnd"/>
      <w:r w:rsidRPr="002838B7">
        <w:rPr>
          <w:rFonts w:asciiTheme="majorHAnsi" w:hAnsiTheme="majorHAnsi" w:cstheme="majorHAnsi"/>
          <w:sz w:val="24"/>
          <w:szCs w:val="24"/>
          <w:lang w:val="ro-RO"/>
        </w:rPr>
        <w:t>.</w:t>
      </w:r>
    </w:p>
    <w:p w14:paraId="143BBE8C" w14:textId="3391CFA6" w:rsidR="00AD0650" w:rsidRPr="002838B7" w:rsidRDefault="00AD0650" w:rsidP="002838B7">
      <w:pPr>
        <w:numPr>
          <w:ilvl w:val="0"/>
          <w:numId w:val="3"/>
        </w:numPr>
        <w:tabs>
          <w:tab w:val="left" w:pos="284"/>
          <w:tab w:val="left" w:pos="426"/>
          <w:tab w:val="left" w:pos="993"/>
        </w:tabs>
        <w:spacing w:after="0" w:line="276" w:lineRule="auto"/>
        <w:ind w:left="0" w:firstLine="709"/>
        <w:jc w:val="both"/>
        <w:rPr>
          <w:rFonts w:asciiTheme="majorHAnsi" w:hAnsiTheme="majorHAnsi" w:cstheme="majorHAnsi"/>
          <w:sz w:val="24"/>
          <w:szCs w:val="24"/>
          <w:lang w:val="ro-RO"/>
        </w:rPr>
      </w:pPr>
      <w:r w:rsidRPr="002838B7">
        <w:rPr>
          <w:rFonts w:asciiTheme="majorHAnsi" w:hAnsiTheme="majorHAnsi" w:cstheme="majorHAnsi"/>
          <w:i/>
          <w:sz w:val="24"/>
          <w:szCs w:val="24"/>
          <w:lang w:val="ro-RO"/>
        </w:rPr>
        <w:t>Ponderea datoriei de stat externe în totalul exporturilor</w:t>
      </w:r>
      <w:r w:rsidRPr="002838B7">
        <w:rPr>
          <w:rStyle w:val="HTML"/>
          <w:rFonts w:asciiTheme="majorHAnsi" w:hAnsiTheme="majorHAnsi" w:cstheme="majorHAnsi"/>
          <w:i/>
          <w:sz w:val="24"/>
          <w:szCs w:val="24"/>
          <w:vertAlign w:val="superscript"/>
          <w:lang w:val="ro-RO"/>
        </w:rPr>
        <w:footnoteReference w:id="16"/>
      </w:r>
      <w:r w:rsidRPr="002838B7">
        <w:rPr>
          <w:rFonts w:asciiTheme="majorHAnsi" w:hAnsiTheme="majorHAnsi" w:cstheme="majorHAnsi"/>
          <w:i/>
          <w:sz w:val="24"/>
          <w:szCs w:val="24"/>
          <w:lang w:val="ro-RO"/>
        </w:rPr>
        <w:t xml:space="preserve"> </w:t>
      </w:r>
      <w:r w:rsidRPr="002838B7">
        <w:rPr>
          <w:rFonts w:asciiTheme="majorHAnsi" w:hAnsiTheme="majorHAnsi" w:cstheme="majorHAnsi"/>
          <w:sz w:val="24"/>
          <w:szCs w:val="24"/>
          <w:lang w:val="ro-RO"/>
        </w:rPr>
        <w:t>s-a realizat la nivel de 6</w:t>
      </w:r>
      <w:r w:rsidR="00DE2A20">
        <w:rPr>
          <w:rFonts w:asciiTheme="majorHAnsi" w:hAnsiTheme="majorHAnsi" w:cstheme="majorHAnsi"/>
          <w:sz w:val="24"/>
          <w:szCs w:val="24"/>
          <w:lang w:val="ro-RO"/>
        </w:rPr>
        <w:t>3</w:t>
      </w:r>
      <w:r w:rsidRPr="002838B7">
        <w:rPr>
          <w:rFonts w:asciiTheme="majorHAnsi" w:hAnsiTheme="majorHAnsi" w:cstheme="majorHAnsi"/>
          <w:sz w:val="24"/>
          <w:szCs w:val="24"/>
          <w:lang w:val="ro-RO"/>
        </w:rPr>
        <w:t>,</w:t>
      </w:r>
      <w:r w:rsidR="00DE2A20">
        <w:rPr>
          <w:rFonts w:asciiTheme="majorHAnsi" w:hAnsiTheme="majorHAnsi" w:cstheme="majorHAnsi"/>
          <w:sz w:val="24"/>
          <w:szCs w:val="24"/>
          <w:lang w:val="ro-RO"/>
        </w:rPr>
        <w:t>7</w:t>
      </w:r>
      <w:r w:rsidRPr="002838B7">
        <w:rPr>
          <w:rFonts w:asciiTheme="majorHAnsi" w:hAnsiTheme="majorHAnsi" w:cstheme="majorHAnsi"/>
          <w:sz w:val="24"/>
          <w:szCs w:val="24"/>
          <w:lang w:val="ro-RO"/>
        </w:rPr>
        <w:t xml:space="preserve">%, înregistrând o scădere cu </w:t>
      </w:r>
      <w:r w:rsidR="00DE2A20">
        <w:rPr>
          <w:rFonts w:asciiTheme="majorHAnsi" w:hAnsiTheme="majorHAnsi" w:cstheme="majorHAnsi"/>
          <w:sz w:val="24"/>
          <w:szCs w:val="24"/>
          <w:lang w:val="ro-RO"/>
        </w:rPr>
        <w:t>1</w:t>
      </w:r>
      <w:r w:rsidRPr="002838B7">
        <w:rPr>
          <w:rFonts w:asciiTheme="majorHAnsi" w:hAnsiTheme="majorHAnsi" w:cstheme="majorHAnsi"/>
          <w:sz w:val="24"/>
          <w:szCs w:val="24"/>
          <w:lang w:val="ro-RO"/>
        </w:rPr>
        <w:t>,</w:t>
      </w:r>
      <w:r w:rsidR="00DE2A20">
        <w:rPr>
          <w:rFonts w:asciiTheme="majorHAnsi" w:hAnsiTheme="majorHAnsi" w:cstheme="majorHAnsi"/>
          <w:sz w:val="24"/>
          <w:szCs w:val="24"/>
          <w:lang w:val="ro-RO"/>
        </w:rPr>
        <w:t>2</w:t>
      </w:r>
      <w:r w:rsidRPr="002838B7">
        <w:rPr>
          <w:rFonts w:asciiTheme="majorHAnsi" w:hAnsiTheme="majorHAnsi" w:cstheme="majorHAnsi"/>
          <w:sz w:val="24"/>
          <w:szCs w:val="24"/>
          <w:lang w:val="ro-RO"/>
        </w:rPr>
        <w:t xml:space="preserve"> </w:t>
      </w:r>
      <w:proofErr w:type="spellStart"/>
      <w:r w:rsidRPr="002838B7">
        <w:rPr>
          <w:rFonts w:asciiTheme="majorHAnsi" w:hAnsiTheme="majorHAnsi" w:cstheme="majorHAnsi"/>
          <w:sz w:val="24"/>
          <w:szCs w:val="24"/>
          <w:lang w:val="ro-RO"/>
        </w:rPr>
        <w:t>p.p.</w:t>
      </w:r>
      <w:proofErr w:type="spellEnd"/>
      <w:r w:rsidRPr="002838B7">
        <w:rPr>
          <w:rFonts w:asciiTheme="majorHAnsi" w:hAnsiTheme="majorHAnsi" w:cstheme="majorHAnsi"/>
          <w:sz w:val="24"/>
          <w:szCs w:val="24"/>
          <w:lang w:val="ro-RO"/>
        </w:rPr>
        <w:t xml:space="preserve"> față de anul 2017.</w:t>
      </w:r>
    </w:p>
    <w:p w14:paraId="5309C63E" w14:textId="6151D702" w:rsidR="00AD0650" w:rsidRPr="002838B7" w:rsidRDefault="00AD0650" w:rsidP="002838B7">
      <w:pPr>
        <w:numPr>
          <w:ilvl w:val="0"/>
          <w:numId w:val="3"/>
        </w:numPr>
        <w:tabs>
          <w:tab w:val="left" w:pos="284"/>
          <w:tab w:val="left" w:pos="426"/>
          <w:tab w:val="left" w:pos="993"/>
        </w:tabs>
        <w:spacing w:after="0" w:line="276" w:lineRule="auto"/>
        <w:ind w:left="0" w:firstLine="709"/>
        <w:jc w:val="both"/>
        <w:rPr>
          <w:rFonts w:asciiTheme="majorHAnsi" w:hAnsiTheme="majorHAnsi" w:cstheme="majorHAnsi"/>
          <w:sz w:val="24"/>
          <w:szCs w:val="24"/>
          <w:lang w:val="ro-RO"/>
        </w:rPr>
      </w:pPr>
      <w:r w:rsidRPr="002838B7">
        <w:rPr>
          <w:rFonts w:asciiTheme="majorHAnsi" w:hAnsiTheme="majorHAnsi" w:cstheme="majorHAnsi"/>
          <w:i/>
          <w:sz w:val="24"/>
          <w:szCs w:val="24"/>
          <w:lang w:val="ro-RO"/>
        </w:rPr>
        <w:t>Datoria de stat externă pe cap de locuitor</w:t>
      </w:r>
      <w:r w:rsidRPr="002838B7">
        <w:rPr>
          <w:rFonts w:asciiTheme="majorHAnsi" w:hAnsiTheme="majorHAnsi" w:cstheme="majorHAnsi"/>
          <w:b/>
          <w:sz w:val="24"/>
          <w:szCs w:val="24"/>
          <w:lang w:val="ro-RO"/>
        </w:rPr>
        <w:t xml:space="preserve"> </w:t>
      </w:r>
      <w:r w:rsidRPr="002838B7">
        <w:rPr>
          <w:rFonts w:asciiTheme="majorHAnsi" w:hAnsiTheme="majorHAnsi" w:cstheme="majorHAnsi"/>
          <w:sz w:val="24"/>
          <w:szCs w:val="24"/>
          <w:lang w:val="ro-RO"/>
        </w:rPr>
        <w:t>în dol. SUA a fost în descreștere față de anul 2017 cu 2,</w:t>
      </w:r>
      <w:r w:rsidR="0025661A">
        <w:rPr>
          <w:rFonts w:asciiTheme="majorHAnsi" w:hAnsiTheme="majorHAnsi" w:cstheme="majorHAnsi"/>
          <w:sz w:val="24"/>
          <w:szCs w:val="24"/>
          <w:lang w:val="ro-RO"/>
        </w:rPr>
        <w:t>8</w:t>
      </w:r>
      <w:r w:rsidRPr="002838B7">
        <w:rPr>
          <w:rFonts w:asciiTheme="majorHAnsi" w:hAnsiTheme="majorHAnsi" w:cstheme="majorHAnsi"/>
          <w:sz w:val="24"/>
          <w:szCs w:val="24"/>
          <w:lang w:val="ro-RO"/>
        </w:rPr>
        <w:t xml:space="preserve"> </w:t>
      </w:r>
      <w:proofErr w:type="spellStart"/>
      <w:r w:rsidRPr="002838B7">
        <w:rPr>
          <w:rFonts w:asciiTheme="majorHAnsi" w:hAnsiTheme="majorHAnsi" w:cstheme="majorHAnsi"/>
          <w:sz w:val="24"/>
          <w:szCs w:val="24"/>
          <w:lang w:val="ro-RO"/>
        </w:rPr>
        <w:t>dol.SUA</w:t>
      </w:r>
      <w:proofErr w:type="spellEnd"/>
      <w:r w:rsidRPr="002838B7">
        <w:rPr>
          <w:rFonts w:asciiTheme="majorHAnsi" w:hAnsiTheme="majorHAnsi" w:cstheme="majorHAnsi"/>
          <w:sz w:val="24"/>
          <w:szCs w:val="24"/>
          <w:lang w:val="ro-RO"/>
        </w:rPr>
        <w:t xml:space="preserve">, constituind 476,1 </w:t>
      </w:r>
      <w:proofErr w:type="spellStart"/>
      <w:r w:rsidRPr="002838B7">
        <w:rPr>
          <w:rFonts w:asciiTheme="majorHAnsi" w:hAnsiTheme="majorHAnsi" w:cstheme="majorHAnsi"/>
          <w:sz w:val="24"/>
          <w:szCs w:val="24"/>
          <w:lang w:val="ro-RO"/>
        </w:rPr>
        <w:t>dol.SUA</w:t>
      </w:r>
      <w:proofErr w:type="spellEnd"/>
      <w:r w:rsidRPr="002838B7">
        <w:rPr>
          <w:rFonts w:asciiTheme="majorHAnsi" w:hAnsiTheme="majorHAnsi" w:cstheme="majorHAnsi"/>
          <w:sz w:val="24"/>
          <w:szCs w:val="24"/>
          <w:lang w:val="ro-RO"/>
        </w:rPr>
        <w:t>.</w:t>
      </w:r>
      <w:r w:rsidRPr="002838B7">
        <w:rPr>
          <w:rFonts w:asciiTheme="majorHAnsi" w:hAnsiTheme="majorHAnsi" w:cstheme="majorHAnsi"/>
          <w:b/>
          <w:sz w:val="24"/>
          <w:szCs w:val="24"/>
          <w:lang w:val="ro-RO"/>
        </w:rPr>
        <w:t xml:space="preserve"> </w:t>
      </w:r>
      <w:r w:rsidRPr="002838B7">
        <w:rPr>
          <w:rFonts w:asciiTheme="majorHAnsi" w:hAnsiTheme="majorHAnsi" w:cstheme="majorHAnsi"/>
          <w:sz w:val="24"/>
          <w:szCs w:val="24"/>
          <w:lang w:val="ro-RO"/>
        </w:rPr>
        <w:t xml:space="preserve">Datoria de stat externă pe cap de locuitor exprimată în </w:t>
      </w:r>
      <w:r w:rsidR="00F040EE">
        <w:rPr>
          <w:rFonts w:asciiTheme="majorHAnsi" w:hAnsiTheme="majorHAnsi" w:cstheme="majorHAnsi"/>
          <w:sz w:val="24"/>
          <w:szCs w:val="24"/>
          <w:lang w:val="ro-RO"/>
        </w:rPr>
        <w:t>MDL</w:t>
      </w:r>
      <w:r w:rsidRPr="002838B7">
        <w:rPr>
          <w:rFonts w:asciiTheme="majorHAnsi" w:hAnsiTheme="majorHAnsi" w:cstheme="majorHAnsi"/>
          <w:sz w:val="24"/>
          <w:szCs w:val="24"/>
          <w:lang w:val="ro-RO"/>
        </w:rPr>
        <w:t xml:space="preserve"> a scăzut față de indicatorul din anul 2017 cu 28,4 </w:t>
      </w:r>
      <w:r w:rsidR="00F040EE">
        <w:rPr>
          <w:rFonts w:asciiTheme="majorHAnsi" w:hAnsiTheme="majorHAnsi" w:cstheme="majorHAnsi"/>
          <w:sz w:val="24"/>
          <w:szCs w:val="24"/>
          <w:lang w:val="ro-RO"/>
        </w:rPr>
        <w:t>MDL</w:t>
      </w:r>
      <w:r w:rsidRPr="002838B7">
        <w:rPr>
          <w:rFonts w:asciiTheme="majorHAnsi" w:hAnsiTheme="majorHAnsi" w:cstheme="majorHAnsi"/>
          <w:sz w:val="24"/>
          <w:szCs w:val="24"/>
          <w:lang w:val="ro-RO"/>
        </w:rPr>
        <w:t xml:space="preserve">, constituind 8161,7 </w:t>
      </w:r>
      <w:r w:rsidR="00F040EE">
        <w:rPr>
          <w:rFonts w:asciiTheme="majorHAnsi" w:hAnsiTheme="majorHAnsi" w:cstheme="majorHAnsi"/>
          <w:sz w:val="24"/>
          <w:szCs w:val="24"/>
          <w:lang w:val="ro-RO"/>
        </w:rPr>
        <w:t>MDL</w:t>
      </w:r>
      <w:r w:rsidRPr="002838B7">
        <w:rPr>
          <w:rFonts w:asciiTheme="majorHAnsi" w:hAnsiTheme="majorHAnsi" w:cstheme="majorHAnsi"/>
          <w:sz w:val="24"/>
          <w:szCs w:val="24"/>
          <w:lang w:val="ro-RO"/>
        </w:rPr>
        <w:t xml:space="preserve">. </w:t>
      </w:r>
    </w:p>
    <w:p w14:paraId="0BCEDDF6" w14:textId="045DFD35" w:rsidR="00DE2A20" w:rsidRPr="002838B7" w:rsidRDefault="00DE2A20" w:rsidP="00DE2A20">
      <w:pPr>
        <w:numPr>
          <w:ilvl w:val="0"/>
          <w:numId w:val="3"/>
        </w:numPr>
        <w:tabs>
          <w:tab w:val="left" w:pos="284"/>
          <w:tab w:val="left" w:pos="426"/>
          <w:tab w:val="left" w:pos="993"/>
        </w:tabs>
        <w:spacing w:after="0" w:line="276" w:lineRule="auto"/>
        <w:ind w:left="0" w:firstLine="709"/>
        <w:jc w:val="both"/>
        <w:rPr>
          <w:rFonts w:asciiTheme="majorHAnsi" w:hAnsiTheme="majorHAnsi" w:cstheme="majorHAnsi"/>
          <w:b/>
          <w:sz w:val="24"/>
          <w:szCs w:val="24"/>
          <w:lang w:val="ro-RO"/>
        </w:rPr>
      </w:pPr>
      <w:r w:rsidRPr="002838B7">
        <w:rPr>
          <w:rFonts w:asciiTheme="majorHAnsi" w:hAnsiTheme="majorHAnsi" w:cstheme="majorHAnsi"/>
          <w:i/>
          <w:sz w:val="24"/>
          <w:szCs w:val="24"/>
          <w:lang w:val="ro-RO"/>
        </w:rPr>
        <w:t>PIB pe cap de locuitor</w:t>
      </w:r>
      <w:r w:rsidRPr="002838B7">
        <w:rPr>
          <w:rStyle w:val="HTML"/>
          <w:rFonts w:asciiTheme="majorHAnsi" w:hAnsiTheme="majorHAnsi" w:cstheme="majorHAnsi"/>
          <w:i/>
          <w:sz w:val="24"/>
          <w:szCs w:val="24"/>
          <w:vertAlign w:val="superscript"/>
          <w:lang w:val="ro-RO"/>
        </w:rPr>
        <w:footnoteReference w:id="17"/>
      </w:r>
      <w:r w:rsidRPr="002838B7">
        <w:rPr>
          <w:rFonts w:asciiTheme="majorHAnsi" w:hAnsiTheme="majorHAnsi" w:cstheme="majorHAnsi"/>
          <w:i/>
          <w:sz w:val="24"/>
          <w:szCs w:val="24"/>
          <w:lang w:val="ro-RO"/>
        </w:rPr>
        <w:t xml:space="preserve"> </w:t>
      </w:r>
      <w:r w:rsidRPr="002838B7">
        <w:rPr>
          <w:rFonts w:asciiTheme="majorHAnsi" w:hAnsiTheme="majorHAnsi" w:cstheme="majorHAnsi"/>
          <w:sz w:val="24"/>
          <w:szCs w:val="24"/>
          <w:lang w:val="ro-RO"/>
        </w:rPr>
        <w:t>exprimat în moneda națională a înregistrat o c</w:t>
      </w:r>
      <w:r>
        <w:rPr>
          <w:rFonts w:asciiTheme="majorHAnsi" w:hAnsiTheme="majorHAnsi" w:cstheme="majorHAnsi"/>
          <w:sz w:val="24"/>
          <w:szCs w:val="24"/>
          <w:lang w:val="ro-RO"/>
        </w:rPr>
        <w:t>reștere continuă (de la 45,3 mii</w:t>
      </w:r>
      <w:r w:rsidRPr="002838B7">
        <w:rPr>
          <w:rFonts w:asciiTheme="majorHAnsi" w:hAnsiTheme="majorHAnsi" w:cstheme="majorHAnsi"/>
          <w:sz w:val="24"/>
          <w:szCs w:val="24"/>
          <w:lang w:val="ro-RO"/>
        </w:rPr>
        <w:t xml:space="preserve"> </w:t>
      </w:r>
      <w:r w:rsidRPr="00F86CB0">
        <w:rPr>
          <w:rFonts w:asciiTheme="majorHAnsi" w:hAnsiTheme="majorHAnsi" w:cstheme="majorHAnsi"/>
          <w:sz w:val="24"/>
          <w:szCs w:val="24"/>
          <w:lang w:val="ro-RO"/>
        </w:rPr>
        <w:t>MDL în</w:t>
      </w:r>
      <w:r>
        <w:rPr>
          <w:rFonts w:asciiTheme="majorHAnsi" w:hAnsiTheme="majorHAnsi" w:cstheme="majorHAnsi"/>
          <w:sz w:val="24"/>
          <w:szCs w:val="24"/>
          <w:lang w:val="ro-RO"/>
        </w:rPr>
        <w:t xml:space="preserve"> anul 2016 până la 53,6 mii</w:t>
      </w:r>
      <w:r w:rsidRPr="002838B7">
        <w:rPr>
          <w:rFonts w:asciiTheme="majorHAnsi" w:hAnsiTheme="majorHAnsi" w:cstheme="majorHAnsi"/>
          <w:sz w:val="24"/>
          <w:szCs w:val="24"/>
          <w:lang w:val="ro-RO"/>
        </w:rPr>
        <w:t xml:space="preserve"> </w:t>
      </w:r>
      <w:r>
        <w:rPr>
          <w:rFonts w:asciiTheme="majorHAnsi" w:hAnsiTheme="majorHAnsi" w:cstheme="majorHAnsi"/>
          <w:sz w:val="24"/>
          <w:szCs w:val="24"/>
          <w:lang w:val="ro-RO"/>
        </w:rPr>
        <w:t>MDL</w:t>
      </w:r>
      <w:r w:rsidRPr="002838B7">
        <w:rPr>
          <w:rFonts w:asciiTheme="majorHAnsi" w:hAnsiTheme="majorHAnsi" w:cstheme="majorHAnsi"/>
          <w:sz w:val="24"/>
          <w:szCs w:val="24"/>
          <w:lang w:val="ro-RO"/>
        </w:rPr>
        <w:t xml:space="preserve"> în anul 2018), iar cel î</w:t>
      </w:r>
      <w:r>
        <w:rPr>
          <w:rFonts w:asciiTheme="majorHAnsi" w:hAnsiTheme="majorHAnsi" w:cstheme="majorHAnsi"/>
          <w:sz w:val="24"/>
          <w:szCs w:val="24"/>
          <w:lang w:val="ro-RO"/>
        </w:rPr>
        <w:t xml:space="preserve">n </w:t>
      </w:r>
      <w:proofErr w:type="spellStart"/>
      <w:r>
        <w:rPr>
          <w:rFonts w:asciiTheme="majorHAnsi" w:hAnsiTheme="majorHAnsi" w:cstheme="majorHAnsi"/>
          <w:sz w:val="24"/>
          <w:szCs w:val="24"/>
          <w:lang w:val="ro-RO"/>
        </w:rPr>
        <w:t>dol.SUA</w:t>
      </w:r>
      <w:proofErr w:type="spellEnd"/>
      <w:r>
        <w:rPr>
          <w:rFonts w:asciiTheme="majorHAnsi" w:hAnsiTheme="majorHAnsi" w:cstheme="majorHAnsi"/>
          <w:sz w:val="24"/>
          <w:szCs w:val="24"/>
          <w:lang w:val="ro-RO"/>
        </w:rPr>
        <w:t xml:space="preserve"> a crescut de la 2,2 mii</w:t>
      </w:r>
      <w:r w:rsidRPr="002838B7">
        <w:rPr>
          <w:rFonts w:asciiTheme="majorHAnsi" w:hAnsiTheme="majorHAnsi" w:cstheme="majorHAnsi"/>
          <w:sz w:val="24"/>
          <w:szCs w:val="24"/>
          <w:lang w:val="ro-RO"/>
        </w:rPr>
        <w:t xml:space="preserve"> </w:t>
      </w:r>
      <w:proofErr w:type="spellStart"/>
      <w:r w:rsidRPr="002838B7">
        <w:rPr>
          <w:rFonts w:asciiTheme="majorHAnsi" w:hAnsiTheme="majorHAnsi" w:cstheme="majorHAnsi"/>
          <w:sz w:val="24"/>
          <w:szCs w:val="24"/>
          <w:lang w:val="ro-RO"/>
        </w:rPr>
        <w:t>dol</w:t>
      </w:r>
      <w:r w:rsidR="00CF603A">
        <w:rPr>
          <w:rFonts w:asciiTheme="majorHAnsi" w:hAnsiTheme="majorHAnsi" w:cstheme="majorHAnsi"/>
          <w:sz w:val="24"/>
          <w:szCs w:val="24"/>
          <w:lang w:val="ro-RO"/>
        </w:rPr>
        <w:t>.SUA</w:t>
      </w:r>
      <w:proofErr w:type="spellEnd"/>
      <w:r w:rsidR="00CF603A">
        <w:rPr>
          <w:rFonts w:asciiTheme="majorHAnsi" w:hAnsiTheme="majorHAnsi" w:cstheme="majorHAnsi"/>
          <w:sz w:val="24"/>
          <w:szCs w:val="24"/>
          <w:lang w:val="ro-RO"/>
        </w:rPr>
        <w:t xml:space="preserve"> în anul 2016 până la 3,1 mii</w:t>
      </w:r>
      <w:r w:rsidRPr="002838B7">
        <w:rPr>
          <w:rFonts w:asciiTheme="majorHAnsi" w:hAnsiTheme="majorHAnsi" w:cstheme="majorHAnsi"/>
          <w:sz w:val="24"/>
          <w:szCs w:val="24"/>
          <w:lang w:val="ro-RO"/>
        </w:rPr>
        <w:t xml:space="preserve"> dol. SUA în anul 2018. </w:t>
      </w:r>
    </w:p>
    <w:p w14:paraId="607D7E44" w14:textId="77777777" w:rsidR="006E4771" w:rsidRPr="009E75C6" w:rsidRDefault="006E4771" w:rsidP="005433B7">
      <w:pPr>
        <w:spacing w:after="0" w:line="240" w:lineRule="auto"/>
        <w:jc w:val="both"/>
        <w:rPr>
          <w:rFonts w:asciiTheme="majorHAnsi" w:hAnsiTheme="majorHAnsi" w:cstheme="majorHAnsi"/>
          <w:sz w:val="28"/>
          <w:szCs w:val="28"/>
          <w:lang w:val="ro-RO"/>
        </w:rPr>
      </w:pPr>
    </w:p>
    <w:p w14:paraId="4961D1BE" w14:textId="35795ABF" w:rsidR="006E4771" w:rsidRPr="00455178" w:rsidRDefault="00455178" w:rsidP="00455178">
      <w:pPr>
        <w:pStyle w:val="2"/>
        <w:numPr>
          <w:ilvl w:val="2"/>
          <w:numId w:val="47"/>
        </w:numPr>
        <w:ind w:left="0" w:firstLine="851"/>
        <w:jc w:val="both"/>
        <w:rPr>
          <w:rFonts w:asciiTheme="majorHAnsi" w:hAnsiTheme="majorHAnsi" w:cstheme="majorHAnsi"/>
          <w:b/>
          <w:color w:val="auto"/>
          <w:sz w:val="24"/>
          <w:szCs w:val="24"/>
          <w:lang w:val="ro-RO"/>
        </w:rPr>
      </w:pPr>
      <w:bookmarkStart w:id="22" w:name="_Toc515442962"/>
      <w:bookmarkStart w:id="23" w:name="_Toc10106682"/>
      <w:bookmarkStart w:id="24" w:name="_Toc484003893"/>
      <w:r>
        <w:rPr>
          <w:rFonts w:asciiTheme="majorHAnsi" w:hAnsiTheme="majorHAnsi" w:cstheme="majorHAnsi"/>
          <w:b/>
          <w:color w:val="auto"/>
          <w:sz w:val="24"/>
          <w:szCs w:val="24"/>
          <w:lang w:val="ro-RO"/>
        </w:rPr>
        <w:lastRenderedPageBreak/>
        <w:t>P</w:t>
      </w:r>
      <w:r w:rsidR="00731AED" w:rsidRPr="00455178">
        <w:rPr>
          <w:rFonts w:asciiTheme="majorHAnsi" w:hAnsiTheme="majorHAnsi" w:cstheme="majorHAnsi"/>
          <w:b/>
          <w:color w:val="auto"/>
          <w:sz w:val="24"/>
          <w:szCs w:val="24"/>
          <w:lang w:val="ro-RO"/>
        </w:rPr>
        <w:t>onderea ridicată a datoriei de stat inte</w:t>
      </w:r>
      <w:r w:rsidR="00CA40CA">
        <w:rPr>
          <w:rFonts w:asciiTheme="majorHAnsi" w:hAnsiTheme="majorHAnsi" w:cstheme="majorHAnsi"/>
          <w:b/>
          <w:color w:val="auto"/>
          <w:sz w:val="24"/>
          <w:szCs w:val="24"/>
          <w:lang w:val="ro-RO"/>
        </w:rPr>
        <w:t>rn</w:t>
      </w:r>
      <w:r w:rsidR="00731AED" w:rsidRPr="00455178">
        <w:rPr>
          <w:rFonts w:asciiTheme="majorHAnsi" w:hAnsiTheme="majorHAnsi" w:cstheme="majorHAnsi"/>
          <w:b/>
          <w:color w:val="auto"/>
          <w:sz w:val="24"/>
          <w:szCs w:val="24"/>
          <w:lang w:val="ro-RO"/>
        </w:rPr>
        <w:t>e scadente în decurs de 1 an determină prezența</w:t>
      </w:r>
      <w:r w:rsidR="006E4771" w:rsidRPr="00455178">
        <w:rPr>
          <w:rFonts w:asciiTheme="majorHAnsi" w:hAnsiTheme="majorHAnsi" w:cstheme="majorHAnsi"/>
          <w:b/>
          <w:color w:val="auto"/>
          <w:sz w:val="24"/>
          <w:szCs w:val="24"/>
          <w:lang w:val="ro-RO"/>
        </w:rPr>
        <w:t xml:space="preserve"> un</w:t>
      </w:r>
      <w:r w:rsidR="00731AED" w:rsidRPr="00455178">
        <w:rPr>
          <w:rFonts w:asciiTheme="majorHAnsi" w:hAnsiTheme="majorHAnsi" w:cstheme="majorHAnsi"/>
          <w:b/>
          <w:color w:val="auto"/>
          <w:sz w:val="24"/>
          <w:szCs w:val="24"/>
          <w:lang w:val="ro-RO"/>
        </w:rPr>
        <w:t>ui</w:t>
      </w:r>
      <w:r w:rsidR="006E4771" w:rsidRPr="00455178">
        <w:rPr>
          <w:rFonts w:asciiTheme="majorHAnsi" w:hAnsiTheme="majorHAnsi" w:cstheme="majorHAnsi"/>
          <w:b/>
          <w:color w:val="auto"/>
          <w:sz w:val="24"/>
          <w:szCs w:val="24"/>
          <w:lang w:val="ro-RO"/>
        </w:rPr>
        <w:t xml:space="preserve"> risc înalt al ratei  de dobândă</w:t>
      </w:r>
      <w:r w:rsidR="00A25DFA" w:rsidRPr="00455178">
        <w:rPr>
          <w:rFonts w:asciiTheme="majorHAnsi" w:hAnsiTheme="majorHAnsi" w:cstheme="majorHAnsi"/>
          <w:b/>
          <w:color w:val="auto"/>
          <w:sz w:val="24"/>
          <w:szCs w:val="24"/>
          <w:lang w:val="ro-RO"/>
        </w:rPr>
        <w:t>, dar și un risc de refinanțare</w:t>
      </w:r>
      <w:r w:rsidR="006E4771" w:rsidRPr="00455178">
        <w:rPr>
          <w:rFonts w:asciiTheme="majorHAnsi" w:hAnsiTheme="majorHAnsi" w:cstheme="majorHAnsi"/>
          <w:b/>
          <w:color w:val="auto"/>
          <w:sz w:val="24"/>
          <w:szCs w:val="24"/>
          <w:lang w:val="ro-RO"/>
        </w:rPr>
        <w:t>.</w:t>
      </w:r>
      <w:bookmarkEnd w:id="22"/>
      <w:bookmarkEnd w:id="23"/>
      <w:r w:rsidR="006E4771" w:rsidRPr="00455178">
        <w:rPr>
          <w:rFonts w:asciiTheme="majorHAnsi" w:hAnsiTheme="majorHAnsi" w:cstheme="majorHAnsi"/>
          <w:b/>
          <w:color w:val="auto"/>
          <w:sz w:val="24"/>
          <w:szCs w:val="24"/>
          <w:lang w:val="ro-RO"/>
        </w:rPr>
        <w:t xml:space="preserve"> </w:t>
      </w:r>
    </w:p>
    <w:p w14:paraId="48B83419" w14:textId="77777777" w:rsidR="005C1DBE" w:rsidRDefault="005C1DBE" w:rsidP="008946D4">
      <w:pPr>
        <w:tabs>
          <w:tab w:val="left" w:pos="284"/>
          <w:tab w:val="left" w:pos="426"/>
          <w:tab w:val="left" w:pos="993"/>
        </w:tabs>
        <w:spacing w:after="0" w:line="276" w:lineRule="auto"/>
        <w:jc w:val="both"/>
        <w:rPr>
          <w:rFonts w:asciiTheme="majorHAnsi" w:hAnsiTheme="majorHAnsi" w:cstheme="majorHAnsi"/>
          <w:sz w:val="28"/>
          <w:szCs w:val="28"/>
          <w:highlight w:val="yellow"/>
          <w:lang w:val="ro-RO"/>
        </w:rPr>
      </w:pPr>
    </w:p>
    <w:p w14:paraId="5DB38742" w14:textId="77777777" w:rsidR="006E4771" w:rsidRPr="008E6807" w:rsidRDefault="005C1DBE" w:rsidP="002047F4">
      <w:pPr>
        <w:spacing w:line="276" w:lineRule="auto"/>
        <w:ind w:firstLine="720"/>
        <w:jc w:val="both"/>
        <w:rPr>
          <w:rFonts w:asciiTheme="majorHAnsi" w:hAnsiTheme="majorHAnsi"/>
          <w:sz w:val="24"/>
          <w:lang w:val="ro-RO"/>
        </w:rPr>
      </w:pPr>
      <w:r w:rsidRPr="008E6807">
        <w:rPr>
          <w:rFonts w:asciiTheme="majorHAnsi" w:hAnsiTheme="majorHAnsi"/>
          <w:sz w:val="24"/>
          <w:lang w:val="ro-RO"/>
        </w:rPr>
        <w:t>Cadrul de politici privind gestionarea riscurilor constituie legătura critică dintre formularea și implementarea deciziilor privind managementul datoriei.</w:t>
      </w:r>
      <w:r w:rsidR="00AB053B" w:rsidRPr="008E6807">
        <w:rPr>
          <w:rFonts w:asciiTheme="majorHAnsi" w:hAnsiTheme="majorHAnsi"/>
          <w:sz w:val="24"/>
          <w:lang w:val="ro-RO"/>
        </w:rPr>
        <w:t xml:space="preserve"> Acest cadru de riscuri include următoarele</w:t>
      </w:r>
      <w:r w:rsidR="00E17456" w:rsidRPr="008E6807">
        <w:rPr>
          <w:rFonts w:asciiTheme="majorHAnsi" w:hAnsiTheme="majorHAnsi"/>
          <w:sz w:val="24"/>
          <w:lang w:val="ro-RO"/>
        </w:rPr>
        <w:t xml:space="preserve"> riscuri</w:t>
      </w:r>
      <w:r w:rsidR="00A202CC" w:rsidRPr="008E6807">
        <w:rPr>
          <w:rFonts w:asciiTheme="majorHAnsi" w:hAnsiTheme="majorHAnsi"/>
          <w:sz w:val="24"/>
          <w:lang w:val="ro-RO"/>
        </w:rPr>
        <w:t xml:space="preserve"> de piață</w:t>
      </w:r>
      <w:r w:rsidR="00AB053B" w:rsidRPr="008E6807">
        <w:rPr>
          <w:rFonts w:asciiTheme="majorHAnsi" w:hAnsiTheme="majorHAnsi"/>
          <w:sz w:val="24"/>
          <w:lang w:val="ro-RO"/>
        </w:rPr>
        <w:t xml:space="preserve">: riscul valutar, riscul de refinanțare și riscul ratei de dobândă. </w:t>
      </w:r>
      <w:r w:rsidR="006E4771" w:rsidRPr="002047F4">
        <w:rPr>
          <w:rFonts w:asciiTheme="majorHAnsi" w:hAnsiTheme="majorHAnsi" w:cstheme="majorHAnsi"/>
          <w:i/>
          <w:sz w:val="24"/>
          <w:szCs w:val="24"/>
          <w:lang w:val="ro-RO"/>
        </w:rPr>
        <w:t>Analiza indicatorilor de piață aferenți datoriei de stat</w:t>
      </w:r>
      <w:r w:rsidR="00F86CB0">
        <w:rPr>
          <w:rFonts w:asciiTheme="majorHAnsi" w:hAnsiTheme="majorHAnsi" w:cstheme="majorHAnsi"/>
          <w:i/>
          <w:sz w:val="24"/>
          <w:szCs w:val="24"/>
          <w:lang w:val="ro-RO"/>
        </w:rPr>
        <w:t xml:space="preserve"> este prezentată în Tabelul nr.4</w:t>
      </w:r>
    </w:p>
    <w:p w14:paraId="4B58E98F" w14:textId="77777777" w:rsidR="006E4771" w:rsidRPr="002047F4" w:rsidRDefault="00F86CB0" w:rsidP="006E4771">
      <w:pPr>
        <w:tabs>
          <w:tab w:val="left" w:pos="284"/>
          <w:tab w:val="left" w:pos="426"/>
          <w:tab w:val="left" w:pos="993"/>
        </w:tabs>
        <w:spacing w:after="0" w:line="240" w:lineRule="auto"/>
        <w:jc w:val="right"/>
        <w:rPr>
          <w:rFonts w:asciiTheme="majorHAnsi" w:hAnsiTheme="majorHAnsi" w:cstheme="majorHAnsi"/>
          <w:b/>
          <w:sz w:val="24"/>
          <w:szCs w:val="24"/>
          <w:lang w:val="ro-RO"/>
        </w:rPr>
      </w:pPr>
      <w:r>
        <w:rPr>
          <w:rFonts w:asciiTheme="majorHAnsi" w:hAnsiTheme="majorHAnsi" w:cstheme="majorHAnsi"/>
          <w:b/>
          <w:sz w:val="24"/>
          <w:szCs w:val="24"/>
          <w:lang w:val="ro-RO"/>
        </w:rPr>
        <w:t>Tabelul nr.4</w:t>
      </w:r>
    </w:p>
    <w:p w14:paraId="2D04F315" w14:textId="77777777" w:rsidR="00AB053B" w:rsidRPr="002047F4" w:rsidRDefault="00AB053B" w:rsidP="006E4771">
      <w:pPr>
        <w:tabs>
          <w:tab w:val="left" w:pos="284"/>
          <w:tab w:val="left" w:pos="426"/>
          <w:tab w:val="left" w:pos="993"/>
        </w:tabs>
        <w:spacing w:after="0" w:line="240" w:lineRule="auto"/>
        <w:jc w:val="right"/>
        <w:rPr>
          <w:rFonts w:asciiTheme="majorHAnsi" w:hAnsiTheme="majorHAnsi" w:cstheme="majorHAnsi"/>
          <w:b/>
          <w:sz w:val="24"/>
          <w:szCs w:val="24"/>
          <w:lang w:val="ro-RO"/>
        </w:rPr>
      </w:pPr>
    </w:p>
    <w:p w14:paraId="31EE4831" w14:textId="77777777" w:rsidR="002047F4" w:rsidRDefault="006E4771" w:rsidP="006E4771">
      <w:pPr>
        <w:tabs>
          <w:tab w:val="left" w:pos="284"/>
          <w:tab w:val="left" w:pos="426"/>
          <w:tab w:val="left" w:pos="993"/>
        </w:tabs>
        <w:spacing w:after="0" w:line="240" w:lineRule="auto"/>
        <w:jc w:val="center"/>
        <w:rPr>
          <w:rFonts w:asciiTheme="majorHAnsi" w:hAnsiTheme="majorHAnsi" w:cstheme="majorHAnsi"/>
          <w:b/>
          <w:sz w:val="24"/>
          <w:szCs w:val="24"/>
          <w:lang w:val="ro-RO"/>
        </w:rPr>
      </w:pPr>
      <w:r w:rsidRPr="002047F4">
        <w:rPr>
          <w:rFonts w:asciiTheme="majorHAnsi" w:hAnsiTheme="majorHAnsi" w:cstheme="majorHAnsi"/>
          <w:b/>
          <w:sz w:val="24"/>
          <w:szCs w:val="24"/>
          <w:lang w:val="ro-RO"/>
        </w:rPr>
        <w:t xml:space="preserve">Indicatorii riscurilor de piață aferenți datoriei de stat la </w:t>
      </w:r>
      <w:r w:rsidR="00AB053B" w:rsidRPr="002047F4">
        <w:rPr>
          <w:rFonts w:asciiTheme="majorHAnsi" w:hAnsiTheme="majorHAnsi" w:cstheme="majorHAnsi"/>
          <w:b/>
          <w:sz w:val="24"/>
          <w:szCs w:val="24"/>
          <w:lang w:val="ro-RO"/>
        </w:rPr>
        <w:t>31.12.2018</w:t>
      </w:r>
      <w:r w:rsidR="00FA6A7D" w:rsidRPr="002047F4">
        <w:rPr>
          <w:rFonts w:asciiTheme="majorHAnsi" w:hAnsiTheme="majorHAnsi" w:cstheme="majorHAnsi"/>
          <w:b/>
          <w:sz w:val="24"/>
          <w:szCs w:val="24"/>
          <w:lang w:val="ro-RO"/>
        </w:rPr>
        <w:t>,</w:t>
      </w:r>
      <w:r w:rsidR="008B1271" w:rsidRPr="002047F4">
        <w:rPr>
          <w:rFonts w:asciiTheme="majorHAnsi" w:hAnsiTheme="majorHAnsi" w:cstheme="majorHAnsi"/>
          <w:b/>
          <w:sz w:val="24"/>
          <w:szCs w:val="24"/>
          <w:lang w:val="ro-RO"/>
        </w:rPr>
        <w:t xml:space="preserve"> în comparație cu </w:t>
      </w:r>
      <w:r w:rsidRPr="002047F4">
        <w:rPr>
          <w:rFonts w:asciiTheme="majorHAnsi" w:hAnsiTheme="majorHAnsi" w:cstheme="majorHAnsi"/>
          <w:b/>
          <w:sz w:val="24"/>
          <w:szCs w:val="24"/>
          <w:lang w:val="ro-RO"/>
        </w:rPr>
        <w:t>31.12</w:t>
      </w:r>
      <w:r w:rsidR="00AB053B" w:rsidRPr="002047F4">
        <w:rPr>
          <w:rFonts w:asciiTheme="majorHAnsi" w:hAnsiTheme="majorHAnsi" w:cstheme="majorHAnsi"/>
          <w:b/>
          <w:sz w:val="24"/>
          <w:szCs w:val="24"/>
          <w:lang w:val="ro-RO"/>
        </w:rPr>
        <w:t>.2017</w:t>
      </w:r>
    </w:p>
    <w:p w14:paraId="1D54584B" w14:textId="77777777" w:rsidR="006E4771" w:rsidRPr="002047F4" w:rsidRDefault="008B1271" w:rsidP="006E4771">
      <w:pPr>
        <w:tabs>
          <w:tab w:val="left" w:pos="284"/>
          <w:tab w:val="left" w:pos="426"/>
          <w:tab w:val="left" w:pos="993"/>
        </w:tabs>
        <w:spacing w:after="0" w:line="240" w:lineRule="auto"/>
        <w:jc w:val="center"/>
        <w:rPr>
          <w:rFonts w:asciiTheme="majorHAnsi" w:hAnsiTheme="majorHAnsi" w:cstheme="majorHAnsi"/>
          <w:b/>
          <w:sz w:val="24"/>
          <w:szCs w:val="24"/>
          <w:lang w:val="ro-RO"/>
        </w:rPr>
      </w:pPr>
      <w:r w:rsidRPr="002047F4">
        <w:rPr>
          <w:rFonts w:asciiTheme="majorHAnsi" w:hAnsiTheme="majorHAnsi" w:cstheme="majorHAnsi"/>
          <w:b/>
          <w:sz w:val="24"/>
          <w:szCs w:val="24"/>
          <w:lang w:val="ro-RO"/>
        </w:rPr>
        <w:t xml:space="preserve"> </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9"/>
        <w:gridCol w:w="729"/>
        <w:gridCol w:w="698"/>
        <w:gridCol w:w="913"/>
        <w:gridCol w:w="722"/>
        <w:gridCol w:w="696"/>
        <w:gridCol w:w="754"/>
        <w:gridCol w:w="836"/>
        <w:gridCol w:w="819"/>
        <w:gridCol w:w="705"/>
      </w:tblGrid>
      <w:tr w:rsidR="007559C0" w:rsidRPr="004570EB" w14:paraId="70946D41" w14:textId="77777777" w:rsidTr="00280E71">
        <w:trPr>
          <w:trHeight w:val="252"/>
          <w:jc w:val="center"/>
        </w:trPr>
        <w:tc>
          <w:tcPr>
            <w:tcW w:w="1326"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14:paraId="47CBFC94" w14:textId="77777777" w:rsidR="006E4771" w:rsidRPr="004570EB" w:rsidRDefault="006E4771" w:rsidP="00DB2609">
            <w:pPr>
              <w:pStyle w:val="a6"/>
              <w:jc w:val="center"/>
              <w:rPr>
                <w:rFonts w:asciiTheme="majorHAnsi" w:hAnsiTheme="majorHAnsi"/>
                <w:b/>
                <w:sz w:val="20"/>
                <w:szCs w:val="20"/>
                <w:lang w:val="ro-RO"/>
              </w:rPr>
            </w:pPr>
            <w:r w:rsidRPr="004570EB">
              <w:rPr>
                <w:rFonts w:asciiTheme="majorHAnsi" w:hAnsiTheme="majorHAnsi"/>
                <w:b/>
                <w:sz w:val="20"/>
                <w:szCs w:val="20"/>
                <w:lang w:val="ro-RO"/>
              </w:rPr>
              <w:t>Indicatori</w:t>
            </w:r>
          </w:p>
        </w:tc>
        <w:tc>
          <w:tcPr>
            <w:tcW w:w="1251" w:type="pct"/>
            <w:gridSpan w:val="3"/>
            <w:tcBorders>
              <w:top w:val="single" w:sz="4" w:space="0" w:color="17365D"/>
              <w:left w:val="single" w:sz="4" w:space="0" w:color="17365D"/>
              <w:bottom w:val="single" w:sz="4" w:space="0" w:color="17365D"/>
              <w:right w:val="single" w:sz="4" w:space="0" w:color="17365D"/>
            </w:tcBorders>
            <w:shd w:val="clear" w:color="auto" w:fill="E7E6E6" w:themeFill="background2"/>
            <w:vAlign w:val="center"/>
          </w:tcPr>
          <w:p w14:paraId="77A5909B" w14:textId="77777777" w:rsidR="006E4771" w:rsidRPr="004570EB" w:rsidRDefault="006E4771" w:rsidP="00DB2609">
            <w:pPr>
              <w:pStyle w:val="a6"/>
              <w:jc w:val="center"/>
              <w:rPr>
                <w:rFonts w:asciiTheme="majorHAnsi" w:hAnsiTheme="majorHAnsi"/>
                <w:b/>
                <w:sz w:val="20"/>
                <w:szCs w:val="20"/>
                <w:lang w:val="ro-RO"/>
              </w:rPr>
            </w:pPr>
            <w:r w:rsidRPr="004570EB">
              <w:rPr>
                <w:rFonts w:asciiTheme="majorHAnsi" w:hAnsiTheme="majorHAnsi"/>
                <w:b/>
                <w:sz w:val="20"/>
                <w:szCs w:val="20"/>
                <w:lang w:val="ro-RO"/>
              </w:rPr>
              <w:t>Datoria de stat internă</w:t>
            </w:r>
          </w:p>
        </w:tc>
        <w:tc>
          <w:tcPr>
            <w:tcW w:w="1161" w:type="pct"/>
            <w:gridSpan w:val="3"/>
            <w:tcBorders>
              <w:top w:val="single" w:sz="4" w:space="0" w:color="17365D"/>
              <w:left w:val="single" w:sz="4" w:space="0" w:color="17365D"/>
              <w:bottom w:val="single" w:sz="4" w:space="0" w:color="17365D"/>
              <w:right w:val="single" w:sz="4" w:space="0" w:color="17365D"/>
            </w:tcBorders>
            <w:shd w:val="clear" w:color="auto" w:fill="E7E6E6" w:themeFill="background2"/>
            <w:vAlign w:val="center"/>
          </w:tcPr>
          <w:p w14:paraId="25A97828" w14:textId="77777777" w:rsidR="006E4771" w:rsidRPr="004570EB" w:rsidRDefault="006E4771" w:rsidP="00DB2609">
            <w:pPr>
              <w:pStyle w:val="a6"/>
              <w:jc w:val="center"/>
              <w:rPr>
                <w:rFonts w:asciiTheme="majorHAnsi" w:hAnsiTheme="majorHAnsi"/>
                <w:b/>
                <w:sz w:val="20"/>
                <w:szCs w:val="20"/>
                <w:lang w:val="ro-RO"/>
              </w:rPr>
            </w:pPr>
            <w:r w:rsidRPr="004570EB">
              <w:rPr>
                <w:rFonts w:asciiTheme="majorHAnsi" w:hAnsiTheme="majorHAnsi"/>
                <w:b/>
                <w:sz w:val="20"/>
                <w:szCs w:val="20"/>
                <w:lang w:val="ro-RO"/>
              </w:rPr>
              <w:t>Datoria de stat externă</w:t>
            </w:r>
          </w:p>
        </w:tc>
        <w:tc>
          <w:tcPr>
            <w:tcW w:w="1263" w:type="pct"/>
            <w:gridSpan w:val="3"/>
            <w:tcBorders>
              <w:top w:val="single" w:sz="4" w:space="0" w:color="17365D"/>
              <w:left w:val="single" w:sz="4" w:space="0" w:color="17365D"/>
              <w:bottom w:val="single" w:sz="4" w:space="0" w:color="17365D"/>
              <w:right w:val="single" w:sz="4" w:space="0" w:color="17365D"/>
            </w:tcBorders>
            <w:shd w:val="clear" w:color="auto" w:fill="E7E6E6" w:themeFill="background2"/>
            <w:vAlign w:val="center"/>
          </w:tcPr>
          <w:p w14:paraId="71735518" w14:textId="77777777" w:rsidR="006E4771" w:rsidRPr="004570EB" w:rsidRDefault="006E4771" w:rsidP="00DB2609">
            <w:pPr>
              <w:pStyle w:val="a6"/>
              <w:jc w:val="center"/>
              <w:rPr>
                <w:rFonts w:asciiTheme="majorHAnsi" w:hAnsiTheme="majorHAnsi"/>
                <w:b/>
                <w:sz w:val="20"/>
                <w:szCs w:val="20"/>
                <w:lang w:val="ro-RO"/>
              </w:rPr>
            </w:pPr>
            <w:r w:rsidRPr="004570EB">
              <w:rPr>
                <w:rFonts w:asciiTheme="majorHAnsi" w:hAnsiTheme="majorHAnsi"/>
                <w:b/>
                <w:sz w:val="20"/>
                <w:szCs w:val="20"/>
                <w:lang w:val="ro-RO"/>
              </w:rPr>
              <w:t>Totalul datoriei de stat</w:t>
            </w:r>
          </w:p>
        </w:tc>
      </w:tr>
      <w:tr w:rsidR="007B3619" w:rsidRPr="004570EB" w14:paraId="7473C654" w14:textId="77777777" w:rsidTr="00280E71">
        <w:trPr>
          <w:trHeight w:val="252"/>
          <w:jc w:val="center"/>
        </w:trPr>
        <w:tc>
          <w:tcPr>
            <w:tcW w:w="1326"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14:paraId="09305A6A" w14:textId="77777777" w:rsidR="008C052F" w:rsidRPr="004570EB" w:rsidRDefault="008C052F" w:rsidP="00DB2609">
            <w:pPr>
              <w:pStyle w:val="a6"/>
              <w:jc w:val="center"/>
              <w:rPr>
                <w:rFonts w:asciiTheme="majorHAnsi" w:hAnsiTheme="majorHAnsi"/>
                <w:b/>
                <w:sz w:val="20"/>
                <w:szCs w:val="20"/>
                <w:lang w:val="ro-RO"/>
              </w:rPr>
            </w:pPr>
          </w:p>
        </w:tc>
        <w:tc>
          <w:tcPr>
            <w:tcW w:w="390" w:type="pct"/>
            <w:tcBorders>
              <w:top w:val="single" w:sz="4" w:space="0" w:color="17365D"/>
              <w:left w:val="single" w:sz="4" w:space="0" w:color="17365D"/>
              <w:bottom w:val="single" w:sz="4" w:space="0" w:color="17365D"/>
              <w:right w:val="single" w:sz="4" w:space="0" w:color="auto"/>
            </w:tcBorders>
            <w:shd w:val="clear" w:color="auto" w:fill="E7E6E6" w:themeFill="background2"/>
            <w:vAlign w:val="center"/>
          </w:tcPr>
          <w:p w14:paraId="1F095B78" w14:textId="77777777" w:rsidR="008C052F" w:rsidRPr="004570EB" w:rsidRDefault="00144BA0" w:rsidP="00DB2609">
            <w:pPr>
              <w:pStyle w:val="a6"/>
              <w:jc w:val="center"/>
              <w:rPr>
                <w:rFonts w:asciiTheme="majorHAnsi" w:hAnsiTheme="majorHAnsi"/>
                <w:b/>
                <w:sz w:val="20"/>
                <w:szCs w:val="20"/>
                <w:lang w:val="ro-RO"/>
              </w:rPr>
            </w:pPr>
            <w:r w:rsidRPr="004570EB">
              <w:rPr>
                <w:rFonts w:asciiTheme="majorHAnsi" w:hAnsiTheme="majorHAnsi"/>
                <w:b/>
                <w:sz w:val="20"/>
                <w:szCs w:val="20"/>
                <w:lang w:val="ro-RO"/>
              </w:rPr>
              <w:t>2017</w:t>
            </w:r>
          </w:p>
        </w:tc>
        <w:tc>
          <w:tcPr>
            <w:tcW w:w="373"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14:paraId="4506BE98" w14:textId="77777777" w:rsidR="008C052F" w:rsidRPr="004570EB" w:rsidRDefault="00144BA0" w:rsidP="00DB2609">
            <w:pPr>
              <w:pStyle w:val="a6"/>
              <w:jc w:val="center"/>
              <w:rPr>
                <w:rFonts w:asciiTheme="majorHAnsi" w:hAnsiTheme="majorHAnsi"/>
                <w:b/>
                <w:sz w:val="20"/>
                <w:szCs w:val="20"/>
                <w:lang w:val="ro-RO"/>
              </w:rPr>
            </w:pPr>
            <w:r w:rsidRPr="004570EB">
              <w:rPr>
                <w:rFonts w:asciiTheme="majorHAnsi" w:hAnsiTheme="majorHAnsi"/>
                <w:b/>
                <w:sz w:val="20"/>
                <w:szCs w:val="20"/>
                <w:lang w:val="ro-RO"/>
              </w:rPr>
              <w:t>2018</w:t>
            </w:r>
          </w:p>
        </w:tc>
        <w:tc>
          <w:tcPr>
            <w:tcW w:w="488"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14:paraId="2ECAA94F" w14:textId="77777777" w:rsidR="008C052F" w:rsidRPr="004570EB" w:rsidRDefault="008B1271" w:rsidP="00356E99">
            <w:pPr>
              <w:pStyle w:val="a6"/>
              <w:jc w:val="center"/>
              <w:rPr>
                <w:rFonts w:asciiTheme="majorHAnsi" w:hAnsiTheme="majorHAnsi"/>
                <w:b/>
                <w:sz w:val="20"/>
                <w:szCs w:val="20"/>
                <w:lang w:val="ro-RO"/>
              </w:rPr>
            </w:pPr>
            <w:r w:rsidRPr="004570EB">
              <w:rPr>
                <w:rFonts w:asciiTheme="majorHAnsi" w:hAnsiTheme="majorHAnsi"/>
                <w:b/>
                <w:sz w:val="20"/>
                <w:szCs w:val="20"/>
                <w:lang w:val="ro-RO"/>
              </w:rPr>
              <w:t>Creștere/</w:t>
            </w:r>
            <w:r w:rsidR="00FA6A7D" w:rsidRPr="004570EB">
              <w:rPr>
                <w:rFonts w:asciiTheme="majorHAnsi" w:hAnsiTheme="majorHAnsi"/>
                <w:b/>
                <w:sz w:val="20"/>
                <w:szCs w:val="20"/>
                <w:lang w:val="ro-RO"/>
              </w:rPr>
              <w:t>d</w:t>
            </w:r>
            <w:r w:rsidRPr="004570EB">
              <w:rPr>
                <w:rFonts w:asciiTheme="majorHAnsi" w:hAnsiTheme="majorHAnsi"/>
                <w:b/>
                <w:sz w:val="20"/>
                <w:szCs w:val="20"/>
                <w:lang w:val="ro-RO"/>
              </w:rPr>
              <w:t>escreștere</w:t>
            </w:r>
          </w:p>
        </w:tc>
        <w:tc>
          <w:tcPr>
            <w:tcW w:w="386" w:type="pct"/>
            <w:tcBorders>
              <w:top w:val="single" w:sz="4" w:space="0" w:color="17365D"/>
              <w:left w:val="single" w:sz="4" w:space="0" w:color="17365D"/>
              <w:bottom w:val="single" w:sz="4" w:space="0" w:color="17365D"/>
              <w:right w:val="single" w:sz="4" w:space="0" w:color="auto"/>
            </w:tcBorders>
            <w:shd w:val="clear" w:color="auto" w:fill="E7E6E6" w:themeFill="background2"/>
            <w:vAlign w:val="center"/>
          </w:tcPr>
          <w:p w14:paraId="2FCDF83E" w14:textId="77777777" w:rsidR="008C052F" w:rsidRPr="004570EB" w:rsidRDefault="00144BA0" w:rsidP="00DB2609">
            <w:pPr>
              <w:pStyle w:val="a6"/>
              <w:jc w:val="center"/>
              <w:rPr>
                <w:rFonts w:asciiTheme="majorHAnsi" w:hAnsiTheme="majorHAnsi"/>
                <w:b/>
                <w:sz w:val="20"/>
                <w:szCs w:val="20"/>
                <w:lang w:val="ro-RO"/>
              </w:rPr>
            </w:pPr>
            <w:r w:rsidRPr="004570EB">
              <w:rPr>
                <w:rFonts w:asciiTheme="majorHAnsi" w:hAnsiTheme="majorHAnsi"/>
                <w:b/>
                <w:sz w:val="20"/>
                <w:szCs w:val="20"/>
                <w:lang w:val="ro-RO"/>
              </w:rPr>
              <w:t>2017</w:t>
            </w:r>
          </w:p>
        </w:tc>
        <w:tc>
          <w:tcPr>
            <w:tcW w:w="372"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14:paraId="0BB93360" w14:textId="77777777" w:rsidR="008C052F" w:rsidRPr="004570EB" w:rsidRDefault="00144BA0" w:rsidP="00DB2609">
            <w:pPr>
              <w:pStyle w:val="a6"/>
              <w:jc w:val="center"/>
              <w:rPr>
                <w:rFonts w:asciiTheme="majorHAnsi" w:hAnsiTheme="majorHAnsi"/>
                <w:b/>
                <w:sz w:val="20"/>
                <w:szCs w:val="20"/>
                <w:lang w:val="ro-RO"/>
              </w:rPr>
            </w:pPr>
            <w:r w:rsidRPr="004570EB">
              <w:rPr>
                <w:rFonts w:asciiTheme="majorHAnsi" w:hAnsiTheme="majorHAnsi"/>
                <w:b/>
                <w:sz w:val="20"/>
                <w:szCs w:val="20"/>
                <w:lang w:val="ro-RO"/>
              </w:rPr>
              <w:t>2018</w:t>
            </w:r>
          </w:p>
        </w:tc>
        <w:tc>
          <w:tcPr>
            <w:tcW w:w="403"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14:paraId="5AF49CFA" w14:textId="77777777" w:rsidR="008C052F" w:rsidRPr="004570EB" w:rsidRDefault="008B1271" w:rsidP="00356E99">
            <w:pPr>
              <w:pStyle w:val="a6"/>
              <w:jc w:val="center"/>
              <w:rPr>
                <w:rFonts w:asciiTheme="majorHAnsi" w:hAnsiTheme="majorHAnsi"/>
                <w:b/>
                <w:sz w:val="20"/>
                <w:szCs w:val="20"/>
                <w:lang w:val="ro-RO"/>
              </w:rPr>
            </w:pPr>
            <w:r w:rsidRPr="004570EB">
              <w:rPr>
                <w:rFonts w:asciiTheme="majorHAnsi" w:hAnsiTheme="majorHAnsi"/>
                <w:b/>
                <w:sz w:val="20"/>
                <w:szCs w:val="20"/>
                <w:lang w:val="ro-RO"/>
              </w:rPr>
              <w:t>Creștere/</w:t>
            </w:r>
            <w:r w:rsidR="00FA6A7D" w:rsidRPr="004570EB">
              <w:rPr>
                <w:rFonts w:asciiTheme="majorHAnsi" w:hAnsiTheme="majorHAnsi"/>
                <w:b/>
                <w:sz w:val="20"/>
                <w:szCs w:val="20"/>
                <w:lang w:val="ro-RO"/>
              </w:rPr>
              <w:t>d</w:t>
            </w:r>
            <w:r w:rsidRPr="004570EB">
              <w:rPr>
                <w:rFonts w:asciiTheme="majorHAnsi" w:hAnsiTheme="majorHAnsi"/>
                <w:b/>
                <w:sz w:val="20"/>
                <w:szCs w:val="20"/>
                <w:lang w:val="ro-RO"/>
              </w:rPr>
              <w:t>escreștere</w:t>
            </w:r>
          </w:p>
        </w:tc>
        <w:tc>
          <w:tcPr>
            <w:tcW w:w="447" w:type="pct"/>
            <w:tcBorders>
              <w:top w:val="single" w:sz="4" w:space="0" w:color="17365D"/>
              <w:left w:val="single" w:sz="4" w:space="0" w:color="17365D"/>
              <w:bottom w:val="single" w:sz="4" w:space="0" w:color="17365D"/>
              <w:right w:val="single" w:sz="4" w:space="0" w:color="auto"/>
            </w:tcBorders>
            <w:shd w:val="clear" w:color="auto" w:fill="E7E6E6" w:themeFill="background2"/>
            <w:vAlign w:val="center"/>
          </w:tcPr>
          <w:p w14:paraId="7536F803" w14:textId="77777777" w:rsidR="008C052F" w:rsidRPr="004570EB" w:rsidRDefault="00144BA0" w:rsidP="00DB2609">
            <w:pPr>
              <w:pStyle w:val="a6"/>
              <w:jc w:val="center"/>
              <w:rPr>
                <w:rFonts w:asciiTheme="majorHAnsi" w:hAnsiTheme="majorHAnsi"/>
                <w:b/>
                <w:sz w:val="20"/>
                <w:szCs w:val="20"/>
                <w:lang w:val="ro-RO"/>
              </w:rPr>
            </w:pPr>
            <w:r w:rsidRPr="004570EB">
              <w:rPr>
                <w:rFonts w:asciiTheme="majorHAnsi" w:hAnsiTheme="majorHAnsi"/>
                <w:b/>
                <w:sz w:val="20"/>
                <w:szCs w:val="20"/>
                <w:lang w:val="ro-RO"/>
              </w:rPr>
              <w:t>2017</w:t>
            </w:r>
          </w:p>
        </w:tc>
        <w:tc>
          <w:tcPr>
            <w:tcW w:w="438"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14:paraId="58D57915" w14:textId="77777777" w:rsidR="008C052F" w:rsidRPr="004570EB" w:rsidRDefault="008C052F" w:rsidP="00144BA0">
            <w:pPr>
              <w:pStyle w:val="a6"/>
              <w:jc w:val="center"/>
              <w:rPr>
                <w:rFonts w:asciiTheme="majorHAnsi" w:hAnsiTheme="majorHAnsi"/>
                <w:b/>
                <w:sz w:val="20"/>
                <w:szCs w:val="20"/>
                <w:lang w:val="ro-RO"/>
              </w:rPr>
            </w:pPr>
            <w:r w:rsidRPr="004570EB">
              <w:rPr>
                <w:rFonts w:asciiTheme="majorHAnsi" w:hAnsiTheme="majorHAnsi"/>
                <w:b/>
                <w:sz w:val="20"/>
                <w:szCs w:val="20"/>
                <w:lang w:val="ro-RO"/>
              </w:rPr>
              <w:t>201</w:t>
            </w:r>
            <w:r w:rsidR="00144BA0" w:rsidRPr="004570EB">
              <w:rPr>
                <w:rFonts w:asciiTheme="majorHAnsi" w:hAnsiTheme="majorHAnsi"/>
                <w:b/>
                <w:sz w:val="20"/>
                <w:szCs w:val="20"/>
                <w:lang w:val="ro-RO"/>
              </w:rPr>
              <w:t>8</w:t>
            </w:r>
          </w:p>
        </w:tc>
        <w:tc>
          <w:tcPr>
            <w:tcW w:w="378" w:type="pct"/>
            <w:tcBorders>
              <w:top w:val="single" w:sz="4" w:space="0" w:color="17365D"/>
              <w:left w:val="single" w:sz="4" w:space="0" w:color="auto"/>
              <w:bottom w:val="single" w:sz="4" w:space="0" w:color="17365D"/>
              <w:right w:val="single" w:sz="4" w:space="0" w:color="17365D"/>
            </w:tcBorders>
            <w:shd w:val="clear" w:color="auto" w:fill="E7E6E6" w:themeFill="background2"/>
            <w:vAlign w:val="center"/>
          </w:tcPr>
          <w:p w14:paraId="10930D59" w14:textId="77777777" w:rsidR="008C052F" w:rsidRPr="004570EB" w:rsidRDefault="008B1271" w:rsidP="008C052F">
            <w:pPr>
              <w:pStyle w:val="a6"/>
              <w:jc w:val="center"/>
              <w:rPr>
                <w:rFonts w:asciiTheme="majorHAnsi" w:hAnsiTheme="majorHAnsi"/>
                <w:b/>
                <w:sz w:val="20"/>
                <w:szCs w:val="20"/>
                <w:lang w:val="ro-RO"/>
              </w:rPr>
            </w:pPr>
            <w:r w:rsidRPr="004570EB">
              <w:rPr>
                <w:rFonts w:asciiTheme="majorHAnsi" w:hAnsiTheme="majorHAnsi"/>
                <w:b/>
                <w:sz w:val="20"/>
                <w:szCs w:val="20"/>
                <w:lang w:val="ro-RO"/>
              </w:rPr>
              <w:t>Creștere/</w:t>
            </w:r>
            <w:r w:rsidR="00FA6A7D" w:rsidRPr="004570EB">
              <w:rPr>
                <w:rFonts w:asciiTheme="majorHAnsi" w:hAnsiTheme="majorHAnsi"/>
                <w:b/>
                <w:sz w:val="20"/>
                <w:szCs w:val="20"/>
                <w:lang w:val="ro-RO"/>
              </w:rPr>
              <w:t>d</w:t>
            </w:r>
            <w:r w:rsidRPr="004570EB">
              <w:rPr>
                <w:rFonts w:asciiTheme="majorHAnsi" w:hAnsiTheme="majorHAnsi"/>
                <w:b/>
                <w:sz w:val="20"/>
                <w:szCs w:val="20"/>
                <w:lang w:val="ro-RO"/>
              </w:rPr>
              <w:t>escreștere</w:t>
            </w:r>
          </w:p>
        </w:tc>
      </w:tr>
      <w:tr w:rsidR="00D446AC" w:rsidRPr="004570EB" w14:paraId="5DE9C556" w14:textId="77777777" w:rsidTr="00280E71">
        <w:trPr>
          <w:trHeight w:val="216"/>
          <w:jc w:val="center"/>
        </w:trPr>
        <w:tc>
          <w:tcPr>
            <w:tcW w:w="5000" w:type="pct"/>
            <w:gridSpan w:val="10"/>
            <w:tcBorders>
              <w:top w:val="single" w:sz="4" w:space="0" w:color="17365D"/>
              <w:left w:val="single" w:sz="4" w:space="0" w:color="auto"/>
              <w:bottom w:val="single" w:sz="4" w:space="0" w:color="17365D"/>
              <w:right w:val="single" w:sz="4" w:space="0" w:color="17365D"/>
            </w:tcBorders>
          </w:tcPr>
          <w:p w14:paraId="188C6ACC" w14:textId="77777777" w:rsidR="006E4771" w:rsidRPr="004570EB" w:rsidRDefault="006E4771" w:rsidP="00DB2609">
            <w:pPr>
              <w:pStyle w:val="a6"/>
              <w:rPr>
                <w:rFonts w:asciiTheme="majorHAnsi" w:hAnsiTheme="majorHAnsi"/>
                <w:b/>
                <w:sz w:val="20"/>
                <w:szCs w:val="20"/>
                <w:lang w:val="ro-RO"/>
              </w:rPr>
            </w:pPr>
            <w:r w:rsidRPr="004570EB">
              <w:rPr>
                <w:rFonts w:asciiTheme="majorHAnsi" w:hAnsiTheme="majorHAnsi"/>
                <w:b/>
                <w:sz w:val="20"/>
                <w:szCs w:val="20"/>
                <w:lang w:val="ro-RO"/>
              </w:rPr>
              <w:t>1. Riscul de refinanțare</w:t>
            </w:r>
          </w:p>
        </w:tc>
      </w:tr>
      <w:tr w:rsidR="007B3619" w:rsidRPr="004570EB" w14:paraId="0676CC9F" w14:textId="77777777" w:rsidTr="00280E71">
        <w:trPr>
          <w:trHeight w:val="287"/>
          <w:jc w:val="center"/>
        </w:trPr>
        <w:tc>
          <w:tcPr>
            <w:tcW w:w="1326" w:type="pct"/>
            <w:tcBorders>
              <w:top w:val="single" w:sz="4" w:space="0" w:color="17365D"/>
              <w:left w:val="single" w:sz="4" w:space="0" w:color="auto"/>
              <w:bottom w:val="single" w:sz="4" w:space="0" w:color="17365D"/>
              <w:right w:val="single" w:sz="4" w:space="0" w:color="17365D"/>
            </w:tcBorders>
          </w:tcPr>
          <w:p w14:paraId="6C445B0B" w14:textId="77777777" w:rsidR="00144BA0" w:rsidRPr="004570EB" w:rsidRDefault="00144BA0" w:rsidP="00144BA0">
            <w:pPr>
              <w:pStyle w:val="a6"/>
              <w:rPr>
                <w:rFonts w:asciiTheme="majorHAnsi" w:hAnsiTheme="majorHAnsi"/>
                <w:sz w:val="20"/>
                <w:szCs w:val="20"/>
                <w:lang w:val="ro-RO"/>
              </w:rPr>
            </w:pPr>
            <w:r w:rsidRPr="004570EB">
              <w:rPr>
                <w:rFonts w:asciiTheme="majorHAnsi" w:hAnsiTheme="majorHAnsi"/>
                <w:sz w:val="20"/>
                <w:szCs w:val="20"/>
                <w:lang w:val="ro-RO"/>
              </w:rPr>
              <w:t xml:space="preserve">a) Perioada medie de maturitate a datoriei de stat (ATM), </w:t>
            </w:r>
            <w:r w:rsidRPr="004570EB">
              <w:rPr>
                <w:rFonts w:asciiTheme="majorHAnsi" w:hAnsiTheme="majorHAnsi"/>
                <w:b/>
                <w:sz w:val="20"/>
                <w:szCs w:val="20"/>
                <w:lang w:val="ro-RO"/>
              </w:rPr>
              <w:t>ani</w:t>
            </w:r>
          </w:p>
        </w:tc>
        <w:tc>
          <w:tcPr>
            <w:tcW w:w="390" w:type="pct"/>
            <w:tcBorders>
              <w:top w:val="single" w:sz="4" w:space="0" w:color="17365D"/>
              <w:left w:val="single" w:sz="4" w:space="0" w:color="17365D"/>
              <w:bottom w:val="single" w:sz="4" w:space="0" w:color="17365D"/>
              <w:right w:val="single" w:sz="4" w:space="0" w:color="auto"/>
            </w:tcBorders>
            <w:vAlign w:val="center"/>
          </w:tcPr>
          <w:p w14:paraId="156596EE" w14:textId="77777777" w:rsidR="00144BA0" w:rsidRPr="004570EB" w:rsidRDefault="00144BA0" w:rsidP="00280E71">
            <w:pPr>
              <w:pStyle w:val="a6"/>
              <w:jc w:val="center"/>
              <w:rPr>
                <w:rFonts w:asciiTheme="majorHAnsi" w:hAnsiTheme="majorHAnsi"/>
                <w:sz w:val="20"/>
                <w:szCs w:val="20"/>
                <w:lang w:val="ro-RO"/>
              </w:rPr>
            </w:pPr>
            <w:r w:rsidRPr="004570EB">
              <w:rPr>
                <w:rFonts w:asciiTheme="majorHAnsi" w:hAnsiTheme="majorHAnsi"/>
                <w:sz w:val="20"/>
                <w:szCs w:val="20"/>
                <w:lang w:val="ro-RO"/>
              </w:rPr>
              <w:t>9,1</w:t>
            </w:r>
          </w:p>
        </w:tc>
        <w:tc>
          <w:tcPr>
            <w:tcW w:w="373" w:type="pct"/>
            <w:tcBorders>
              <w:top w:val="single" w:sz="4" w:space="0" w:color="17365D"/>
              <w:left w:val="single" w:sz="4" w:space="0" w:color="auto"/>
              <w:bottom w:val="single" w:sz="4" w:space="0" w:color="17365D"/>
              <w:right w:val="single" w:sz="4" w:space="0" w:color="17365D"/>
            </w:tcBorders>
            <w:vAlign w:val="center"/>
          </w:tcPr>
          <w:p w14:paraId="755BEB85" w14:textId="77777777" w:rsidR="00144BA0" w:rsidRPr="004570EB" w:rsidRDefault="00E17456" w:rsidP="00280E71">
            <w:pPr>
              <w:pStyle w:val="a6"/>
              <w:jc w:val="center"/>
              <w:rPr>
                <w:rFonts w:asciiTheme="majorHAnsi" w:hAnsiTheme="majorHAnsi"/>
                <w:sz w:val="20"/>
                <w:szCs w:val="20"/>
                <w:lang w:val="ro-RO"/>
              </w:rPr>
            </w:pPr>
            <w:r w:rsidRPr="004570EB">
              <w:rPr>
                <w:rFonts w:asciiTheme="majorHAnsi" w:hAnsiTheme="majorHAnsi"/>
                <w:sz w:val="20"/>
                <w:szCs w:val="20"/>
                <w:lang w:val="ro-RO"/>
              </w:rPr>
              <w:t>8,5</w:t>
            </w:r>
          </w:p>
        </w:tc>
        <w:tc>
          <w:tcPr>
            <w:tcW w:w="488" w:type="pct"/>
            <w:tcBorders>
              <w:top w:val="single" w:sz="4" w:space="0" w:color="17365D"/>
              <w:left w:val="single" w:sz="4" w:space="0" w:color="auto"/>
              <w:bottom w:val="single" w:sz="4" w:space="0" w:color="17365D"/>
              <w:right w:val="single" w:sz="4" w:space="0" w:color="17365D"/>
            </w:tcBorders>
            <w:vAlign w:val="center"/>
          </w:tcPr>
          <w:p w14:paraId="62673CF5" w14:textId="77777777" w:rsidR="00144BA0" w:rsidRPr="004570EB" w:rsidRDefault="006F3C71" w:rsidP="00280E71">
            <w:pPr>
              <w:pStyle w:val="a6"/>
              <w:jc w:val="center"/>
              <w:rPr>
                <w:rFonts w:asciiTheme="majorHAnsi" w:hAnsiTheme="majorHAnsi"/>
                <w:sz w:val="20"/>
                <w:szCs w:val="20"/>
                <w:lang w:val="ro-RO"/>
              </w:rPr>
            </w:pPr>
            <w:r w:rsidRPr="004570EB">
              <w:rPr>
                <w:rFonts w:asciiTheme="majorHAnsi" w:hAnsiTheme="majorHAnsi"/>
                <w:sz w:val="20"/>
                <w:szCs w:val="20"/>
                <w:lang w:val="ro-RO"/>
              </w:rPr>
              <w:t>-0,6</w:t>
            </w:r>
          </w:p>
        </w:tc>
        <w:tc>
          <w:tcPr>
            <w:tcW w:w="386" w:type="pct"/>
            <w:tcBorders>
              <w:top w:val="single" w:sz="4" w:space="0" w:color="17365D"/>
              <w:left w:val="single" w:sz="4" w:space="0" w:color="17365D"/>
              <w:bottom w:val="single" w:sz="4" w:space="0" w:color="17365D"/>
              <w:right w:val="single" w:sz="4" w:space="0" w:color="auto"/>
            </w:tcBorders>
            <w:vAlign w:val="center"/>
          </w:tcPr>
          <w:p w14:paraId="2D9A75B8" w14:textId="77777777" w:rsidR="00144BA0" w:rsidRPr="004570EB" w:rsidRDefault="00144BA0" w:rsidP="00280E71">
            <w:pPr>
              <w:pStyle w:val="a6"/>
              <w:jc w:val="center"/>
              <w:rPr>
                <w:rFonts w:asciiTheme="majorHAnsi" w:hAnsiTheme="majorHAnsi"/>
                <w:sz w:val="20"/>
                <w:szCs w:val="20"/>
                <w:lang w:val="ro-RO"/>
              </w:rPr>
            </w:pPr>
            <w:r w:rsidRPr="004570EB">
              <w:rPr>
                <w:rFonts w:asciiTheme="majorHAnsi" w:hAnsiTheme="majorHAnsi"/>
                <w:sz w:val="20"/>
                <w:szCs w:val="20"/>
                <w:lang w:val="ro-RO"/>
              </w:rPr>
              <w:t>8,8</w:t>
            </w:r>
          </w:p>
        </w:tc>
        <w:tc>
          <w:tcPr>
            <w:tcW w:w="372" w:type="pct"/>
            <w:tcBorders>
              <w:top w:val="single" w:sz="4" w:space="0" w:color="17365D"/>
              <w:left w:val="single" w:sz="4" w:space="0" w:color="auto"/>
              <w:bottom w:val="single" w:sz="4" w:space="0" w:color="17365D"/>
              <w:right w:val="single" w:sz="4" w:space="0" w:color="17365D"/>
            </w:tcBorders>
            <w:vAlign w:val="center"/>
          </w:tcPr>
          <w:p w14:paraId="19A2F135" w14:textId="77777777" w:rsidR="00144BA0" w:rsidRPr="004570EB" w:rsidRDefault="00E17456" w:rsidP="00280E71">
            <w:pPr>
              <w:pStyle w:val="a6"/>
              <w:jc w:val="center"/>
              <w:rPr>
                <w:rFonts w:asciiTheme="majorHAnsi" w:hAnsiTheme="majorHAnsi"/>
                <w:sz w:val="20"/>
                <w:szCs w:val="20"/>
                <w:lang w:val="ro-RO"/>
              </w:rPr>
            </w:pPr>
            <w:r w:rsidRPr="004570EB">
              <w:rPr>
                <w:rFonts w:asciiTheme="majorHAnsi" w:hAnsiTheme="majorHAnsi"/>
                <w:sz w:val="20"/>
                <w:szCs w:val="20"/>
                <w:lang w:val="ro-RO"/>
              </w:rPr>
              <w:t>8,8</w:t>
            </w:r>
          </w:p>
        </w:tc>
        <w:tc>
          <w:tcPr>
            <w:tcW w:w="403" w:type="pct"/>
            <w:tcBorders>
              <w:top w:val="single" w:sz="4" w:space="0" w:color="17365D"/>
              <w:left w:val="single" w:sz="4" w:space="0" w:color="auto"/>
              <w:bottom w:val="single" w:sz="4" w:space="0" w:color="17365D"/>
              <w:right w:val="single" w:sz="4" w:space="0" w:color="17365D"/>
            </w:tcBorders>
            <w:vAlign w:val="center"/>
          </w:tcPr>
          <w:p w14:paraId="1B0C3E2C" w14:textId="77777777" w:rsidR="00144BA0" w:rsidRPr="004570EB" w:rsidRDefault="006F3C71" w:rsidP="00280E71">
            <w:pPr>
              <w:pStyle w:val="a6"/>
              <w:jc w:val="center"/>
              <w:rPr>
                <w:rFonts w:asciiTheme="majorHAnsi" w:hAnsiTheme="majorHAnsi"/>
                <w:sz w:val="20"/>
                <w:szCs w:val="20"/>
                <w:lang w:val="ro-RO"/>
              </w:rPr>
            </w:pPr>
            <w:r w:rsidRPr="004570EB">
              <w:rPr>
                <w:rFonts w:asciiTheme="majorHAnsi" w:hAnsiTheme="majorHAnsi"/>
                <w:sz w:val="20"/>
                <w:szCs w:val="20"/>
                <w:lang w:val="ro-RO"/>
              </w:rPr>
              <w:t>0</w:t>
            </w:r>
            <w:r w:rsidR="006D130B" w:rsidRPr="004570EB">
              <w:rPr>
                <w:rFonts w:asciiTheme="majorHAnsi" w:hAnsiTheme="majorHAnsi"/>
                <w:sz w:val="20"/>
                <w:szCs w:val="20"/>
                <w:lang w:val="ro-RO"/>
              </w:rPr>
              <w:t>,0</w:t>
            </w:r>
          </w:p>
        </w:tc>
        <w:tc>
          <w:tcPr>
            <w:tcW w:w="447" w:type="pct"/>
            <w:tcBorders>
              <w:top w:val="single" w:sz="4" w:space="0" w:color="17365D"/>
              <w:left w:val="single" w:sz="4" w:space="0" w:color="17365D"/>
              <w:bottom w:val="single" w:sz="4" w:space="0" w:color="17365D"/>
              <w:right w:val="single" w:sz="4" w:space="0" w:color="auto"/>
            </w:tcBorders>
            <w:vAlign w:val="center"/>
          </w:tcPr>
          <w:p w14:paraId="3FB9CF23" w14:textId="77777777" w:rsidR="00144BA0" w:rsidRPr="004570EB" w:rsidRDefault="00144BA0" w:rsidP="00280E71">
            <w:pPr>
              <w:pStyle w:val="a6"/>
              <w:jc w:val="center"/>
              <w:rPr>
                <w:rFonts w:asciiTheme="majorHAnsi" w:hAnsiTheme="majorHAnsi"/>
                <w:sz w:val="20"/>
                <w:szCs w:val="20"/>
                <w:lang w:val="ro-RO"/>
              </w:rPr>
            </w:pPr>
            <w:r w:rsidRPr="004570EB">
              <w:rPr>
                <w:rFonts w:asciiTheme="majorHAnsi" w:hAnsiTheme="majorHAnsi"/>
                <w:sz w:val="20"/>
                <w:szCs w:val="20"/>
                <w:lang w:val="ro-RO"/>
              </w:rPr>
              <w:t>9,0</w:t>
            </w:r>
          </w:p>
        </w:tc>
        <w:tc>
          <w:tcPr>
            <w:tcW w:w="438" w:type="pct"/>
            <w:tcBorders>
              <w:top w:val="single" w:sz="4" w:space="0" w:color="17365D"/>
              <w:left w:val="single" w:sz="4" w:space="0" w:color="auto"/>
              <w:bottom w:val="single" w:sz="4" w:space="0" w:color="17365D"/>
              <w:right w:val="single" w:sz="4" w:space="0" w:color="17365D"/>
            </w:tcBorders>
            <w:vAlign w:val="center"/>
          </w:tcPr>
          <w:p w14:paraId="564C518C" w14:textId="77777777" w:rsidR="00144BA0" w:rsidRPr="004570EB" w:rsidRDefault="00E17456" w:rsidP="00280E71">
            <w:pPr>
              <w:pStyle w:val="a6"/>
              <w:jc w:val="center"/>
              <w:rPr>
                <w:rFonts w:asciiTheme="majorHAnsi" w:hAnsiTheme="majorHAnsi"/>
                <w:sz w:val="20"/>
                <w:szCs w:val="20"/>
                <w:lang w:val="ro-RO"/>
              </w:rPr>
            </w:pPr>
            <w:r w:rsidRPr="004570EB">
              <w:rPr>
                <w:rFonts w:asciiTheme="majorHAnsi" w:hAnsiTheme="majorHAnsi"/>
                <w:sz w:val="20"/>
                <w:szCs w:val="20"/>
                <w:lang w:val="ro-RO"/>
              </w:rPr>
              <w:t>8,6</w:t>
            </w:r>
          </w:p>
        </w:tc>
        <w:tc>
          <w:tcPr>
            <w:tcW w:w="378" w:type="pct"/>
            <w:tcBorders>
              <w:top w:val="single" w:sz="4" w:space="0" w:color="17365D"/>
              <w:left w:val="single" w:sz="4" w:space="0" w:color="auto"/>
              <w:bottom w:val="single" w:sz="4" w:space="0" w:color="17365D"/>
              <w:right w:val="single" w:sz="4" w:space="0" w:color="17365D"/>
            </w:tcBorders>
            <w:vAlign w:val="center"/>
          </w:tcPr>
          <w:p w14:paraId="48E14DE9" w14:textId="77777777" w:rsidR="00144BA0" w:rsidRPr="004570EB" w:rsidRDefault="006F3C71" w:rsidP="00280E71">
            <w:pPr>
              <w:pStyle w:val="a6"/>
              <w:jc w:val="center"/>
              <w:rPr>
                <w:rFonts w:asciiTheme="majorHAnsi" w:hAnsiTheme="majorHAnsi"/>
                <w:sz w:val="20"/>
                <w:szCs w:val="20"/>
                <w:lang w:val="ro-RO"/>
              </w:rPr>
            </w:pPr>
            <w:r w:rsidRPr="004570EB">
              <w:rPr>
                <w:rFonts w:asciiTheme="majorHAnsi" w:hAnsiTheme="majorHAnsi"/>
                <w:sz w:val="20"/>
                <w:szCs w:val="20"/>
                <w:lang w:val="ro-RO"/>
              </w:rPr>
              <w:t>-0,4</w:t>
            </w:r>
          </w:p>
        </w:tc>
      </w:tr>
      <w:tr w:rsidR="007B3619" w:rsidRPr="004570EB" w14:paraId="488A2BBB" w14:textId="77777777" w:rsidTr="00280E71">
        <w:trPr>
          <w:trHeight w:val="287"/>
          <w:jc w:val="center"/>
        </w:trPr>
        <w:tc>
          <w:tcPr>
            <w:tcW w:w="1326" w:type="pct"/>
            <w:tcBorders>
              <w:top w:val="single" w:sz="4" w:space="0" w:color="17365D"/>
              <w:left w:val="single" w:sz="4" w:space="0" w:color="auto"/>
              <w:bottom w:val="single" w:sz="4" w:space="0" w:color="17365D"/>
              <w:right w:val="single" w:sz="4" w:space="0" w:color="17365D"/>
            </w:tcBorders>
          </w:tcPr>
          <w:p w14:paraId="1694B599" w14:textId="77777777" w:rsidR="00144BA0" w:rsidRPr="004570EB" w:rsidRDefault="00144BA0" w:rsidP="00144BA0">
            <w:pPr>
              <w:pStyle w:val="a6"/>
              <w:rPr>
                <w:rFonts w:asciiTheme="majorHAnsi" w:hAnsiTheme="majorHAnsi"/>
                <w:sz w:val="20"/>
                <w:szCs w:val="20"/>
                <w:lang w:val="ro-RO"/>
              </w:rPr>
            </w:pPr>
            <w:r w:rsidRPr="004570EB">
              <w:rPr>
                <w:rFonts w:asciiTheme="majorHAnsi" w:hAnsiTheme="majorHAnsi"/>
                <w:sz w:val="20"/>
                <w:szCs w:val="20"/>
                <w:lang w:val="ro-RO"/>
              </w:rPr>
              <w:t>b) Datoria scadentă în decurs de 1 an, (</w:t>
            </w:r>
            <w:r w:rsidRPr="004570EB">
              <w:rPr>
                <w:rFonts w:asciiTheme="majorHAnsi" w:hAnsiTheme="majorHAnsi"/>
                <w:b/>
                <w:sz w:val="20"/>
                <w:szCs w:val="20"/>
                <w:lang w:val="ro-RO"/>
              </w:rPr>
              <w:t xml:space="preserve">% </w:t>
            </w:r>
            <w:r w:rsidRPr="004570EB">
              <w:rPr>
                <w:rFonts w:asciiTheme="majorHAnsi" w:hAnsiTheme="majorHAnsi"/>
                <w:sz w:val="20"/>
                <w:szCs w:val="20"/>
                <w:lang w:val="ro-RO"/>
              </w:rPr>
              <w:t>din total)</w:t>
            </w:r>
          </w:p>
        </w:tc>
        <w:tc>
          <w:tcPr>
            <w:tcW w:w="390" w:type="pct"/>
            <w:tcBorders>
              <w:top w:val="single" w:sz="4" w:space="0" w:color="17365D"/>
              <w:left w:val="single" w:sz="4" w:space="0" w:color="17365D"/>
              <w:bottom w:val="single" w:sz="4" w:space="0" w:color="17365D"/>
              <w:right w:val="single" w:sz="4" w:space="0" w:color="auto"/>
            </w:tcBorders>
            <w:vAlign w:val="center"/>
          </w:tcPr>
          <w:p w14:paraId="62076D25" w14:textId="77777777" w:rsidR="00144BA0" w:rsidRPr="004570EB" w:rsidRDefault="00E17456" w:rsidP="00280E71">
            <w:pPr>
              <w:pStyle w:val="a6"/>
              <w:jc w:val="center"/>
              <w:rPr>
                <w:rFonts w:asciiTheme="majorHAnsi" w:hAnsiTheme="majorHAnsi"/>
                <w:sz w:val="20"/>
                <w:szCs w:val="20"/>
                <w:lang w:val="ro-RO"/>
              </w:rPr>
            </w:pPr>
            <w:r w:rsidRPr="004570EB">
              <w:rPr>
                <w:rFonts w:asciiTheme="majorHAnsi" w:hAnsiTheme="majorHAnsi"/>
                <w:sz w:val="20"/>
                <w:szCs w:val="20"/>
                <w:lang w:val="ro-RO"/>
              </w:rPr>
              <w:t>38,3</w:t>
            </w:r>
          </w:p>
        </w:tc>
        <w:tc>
          <w:tcPr>
            <w:tcW w:w="373" w:type="pct"/>
            <w:tcBorders>
              <w:top w:val="single" w:sz="4" w:space="0" w:color="17365D"/>
              <w:left w:val="single" w:sz="4" w:space="0" w:color="auto"/>
              <w:bottom w:val="single" w:sz="4" w:space="0" w:color="17365D"/>
              <w:right w:val="single" w:sz="4" w:space="0" w:color="17365D"/>
            </w:tcBorders>
            <w:vAlign w:val="center"/>
          </w:tcPr>
          <w:p w14:paraId="51F317FB" w14:textId="77777777" w:rsidR="00144BA0" w:rsidRPr="004570EB" w:rsidRDefault="00E17456" w:rsidP="00280E71">
            <w:pPr>
              <w:pStyle w:val="a6"/>
              <w:jc w:val="center"/>
              <w:rPr>
                <w:rFonts w:asciiTheme="majorHAnsi" w:hAnsiTheme="majorHAnsi"/>
                <w:sz w:val="20"/>
                <w:szCs w:val="20"/>
                <w:lang w:val="ro-RO"/>
              </w:rPr>
            </w:pPr>
            <w:r w:rsidRPr="004570EB">
              <w:rPr>
                <w:rFonts w:asciiTheme="majorHAnsi" w:hAnsiTheme="majorHAnsi"/>
                <w:sz w:val="20"/>
                <w:szCs w:val="20"/>
                <w:lang w:val="ro-RO"/>
              </w:rPr>
              <w:t>37,0</w:t>
            </w:r>
          </w:p>
        </w:tc>
        <w:tc>
          <w:tcPr>
            <w:tcW w:w="488" w:type="pct"/>
            <w:tcBorders>
              <w:top w:val="single" w:sz="4" w:space="0" w:color="17365D"/>
              <w:left w:val="single" w:sz="4" w:space="0" w:color="auto"/>
              <w:bottom w:val="single" w:sz="4" w:space="0" w:color="17365D"/>
              <w:right w:val="single" w:sz="4" w:space="0" w:color="17365D"/>
            </w:tcBorders>
            <w:vAlign w:val="center"/>
          </w:tcPr>
          <w:p w14:paraId="75EBD577" w14:textId="77777777" w:rsidR="00144BA0" w:rsidRPr="004570EB" w:rsidRDefault="006F3C71" w:rsidP="00280E71">
            <w:pPr>
              <w:pStyle w:val="a6"/>
              <w:jc w:val="center"/>
              <w:rPr>
                <w:rFonts w:asciiTheme="majorHAnsi" w:hAnsiTheme="majorHAnsi"/>
                <w:sz w:val="20"/>
                <w:szCs w:val="20"/>
                <w:lang w:val="ro-RO"/>
              </w:rPr>
            </w:pPr>
            <w:r w:rsidRPr="004570EB">
              <w:rPr>
                <w:rFonts w:asciiTheme="majorHAnsi" w:hAnsiTheme="majorHAnsi"/>
                <w:sz w:val="20"/>
                <w:szCs w:val="20"/>
                <w:lang w:val="ro-RO"/>
              </w:rPr>
              <w:t>-1,3</w:t>
            </w:r>
          </w:p>
        </w:tc>
        <w:tc>
          <w:tcPr>
            <w:tcW w:w="386" w:type="pct"/>
            <w:tcBorders>
              <w:top w:val="single" w:sz="4" w:space="0" w:color="17365D"/>
              <w:left w:val="single" w:sz="4" w:space="0" w:color="17365D"/>
              <w:bottom w:val="single" w:sz="4" w:space="0" w:color="17365D"/>
              <w:right w:val="single" w:sz="4" w:space="0" w:color="auto"/>
            </w:tcBorders>
            <w:vAlign w:val="center"/>
          </w:tcPr>
          <w:p w14:paraId="73693BE6" w14:textId="77777777" w:rsidR="00144BA0" w:rsidRPr="004570EB" w:rsidRDefault="00E17456" w:rsidP="00280E71">
            <w:pPr>
              <w:pStyle w:val="a6"/>
              <w:jc w:val="center"/>
              <w:rPr>
                <w:rFonts w:asciiTheme="majorHAnsi" w:hAnsiTheme="majorHAnsi"/>
                <w:sz w:val="20"/>
                <w:szCs w:val="20"/>
                <w:lang w:val="ro-RO"/>
              </w:rPr>
            </w:pPr>
            <w:r w:rsidRPr="004570EB">
              <w:rPr>
                <w:rFonts w:asciiTheme="majorHAnsi" w:hAnsiTheme="majorHAnsi"/>
                <w:sz w:val="20"/>
                <w:szCs w:val="20"/>
                <w:lang w:val="ro-RO"/>
              </w:rPr>
              <w:t>6,8</w:t>
            </w:r>
          </w:p>
        </w:tc>
        <w:tc>
          <w:tcPr>
            <w:tcW w:w="372" w:type="pct"/>
            <w:tcBorders>
              <w:top w:val="single" w:sz="4" w:space="0" w:color="17365D"/>
              <w:left w:val="single" w:sz="4" w:space="0" w:color="auto"/>
              <w:bottom w:val="single" w:sz="4" w:space="0" w:color="17365D"/>
              <w:right w:val="single" w:sz="4" w:space="0" w:color="17365D"/>
            </w:tcBorders>
            <w:vAlign w:val="center"/>
          </w:tcPr>
          <w:p w14:paraId="272BE88F" w14:textId="77777777" w:rsidR="00144BA0" w:rsidRPr="004570EB" w:rsidRDefault="00E17456" w:rsidP="00280E71">
            <w:pPr>
              <w:pStyle w:val="a6"/>
              <w:jc w:val="center"/>
              <w:rPr>
                <w:rFonts w:asciiTheme="majorHAnsi" w:hAnsiTheme="majorHAnsi"/>
                <w:sz w:val="20"/>
                <w:szCs w:val="20"/>
                <w:lang w:val="ro-RO"/>
              </w:rPr>
            </w:pPr>
            <w:r w:rsidRPr="004570EB">
              <w:rPr>
                <w:rFonts w:asciiTheme="majorHAnsi" w:hAnsiTheme="majorHAnsi"/>
                <w:sz w:val="20"/>
                <w:szCs w:val="20"/>
                <w:lang w:val="ro-RO"/>
              </w:rPr>
              <w:t>7,8</w:t>
            </w:r>
          </w:p>
        </w:tc>
        <w:tc>
          <w:tcPr>
            <w:tcW w:w="403" w:type="pct"/>
            <w:tcBorders>
              <w:top w:val="single" w:sz="4" w:space="0" w:color="17365D"/>
              <w:left w:val="single" w:sz="4" w:space="0" w:color="auto"/>
              <w:bottom w:val="single" w:sz="4" w:space="0" w:color="17365D"/>
              <w:right w:val="single" w:sz="4" w:space="0" w:color="17365D"/>
            </w:tcBorders>
            <w:vAlign w:val="center"/>
          </w:tcPr>
          <w:p w14:paraId="5A856F1E" w14:textId="3EB49115" w:rsidR="00144BA0" w:rsidRPr="004570EB" w:rsidRDefault="00884501" w:rsidP="00280E71">
            <w:pPr>
              <w:pStyle w:val="a6"/>
              <w:jc w:val="center"/>
              <w:rPr>
                <w:rFonts w:asciiTheme="majorHAnsi" w:hAnsiTheme="majorHAnsi"/>
                <w:sz w:val="20"/>
                <w:szCs w:val="20"/>
                <w:lang w:val="ro-RO"/>
              </w:rPr>
            </w:pPr>
            <w:r w:rsidRPr="004570EB">
              <w:rPr>
                <w:rFonts w:asciiTheme="majorHAnsi" w:hAnsiTheme="majorHAnsi" w:cstheme="majorHAnsi"/>
                <w:sz w:val="20"/>
                <w:szCs w:val="20"/>
                <w:lang w:val="ro-MD"/>
              </w:rPr>
              <w:t>+</w:t>
            </w:r>
            <w:r w:rsidR="006F3C71" w:rsidRPr="004570EB">
              <w:rPr>
                <w:rFonts w:asciiTheme="majorHAnsi" w:hAnsiTheme="majorHAnsi"/>
                <w:sz w:val="20"/>
                <w:szCs w:val="20"/>
                <w:lang w:val="ro-RO"/>
              </w:rPr>
              <w:t>1,0</w:t>
            </w:r>
          </w:p>
        </w:tc>
        <w:tc>
          <w:tcPr>
            <w:tcW w:w="447" w:type="pct"/>
            <w:tcBorders>
              <w:top w:val="single" w:sz="4" w:space="0" w:color="17365D"/>
              <w:left w:val="single" w:sz="4" w:space="0" w:color="17365D"/>
              <w:bottom w:val="single" w:sz="4" w:space="0" w:color="17365D"/>
              <w:right w:val="single" w:sz="4" w:space="0" w:color="auto"/>
            </w:tcBorders>
            <w:vAlign w:val="center"/>
          </w:tcPr>
          <w:p w14:paraId="4C04C271" w14:textId="77777777" w:rsidR="00144BA0" w:rsidRPr="004570EB" w:rsidRDefault="00E17456" w:rsidP="00280E71">
            <w:pPr>
              <w:pStyle w:val="a6"/>
              <w:jc w:val="center"/>
              <w:rPr>
                <w:rFonts w:asciiTheme="majorHAnsi" w:hAnsiTheme="majorHAnsi"/>
                <w:sz w:val="20"/>
                <w:szCs w:val="20"/>
                <w:lang w:val="ro-RO"/>
              </w:rPr>
            </w:pPr>
            <w:r w:rsidRPr="004570EB">
              <w:rPr>
                <w:rFonts w:asciiTheme="majorHAnsi" w:hAnsiTheme="majorHAnsi"/>
                <w:sz w:val="20"/>
                <w:szCs w:val="20"/>
                <w:lang w:val="ro-RO"/>
              </w:rPr>
              <w:t>20,6</w:t>
            </w:r>
          </w:p>
        </w:tc>
        <w:tc>
          <w:tcPr>
            <w:tcW w:w="438" w:type="pct"/>
            <w:tcBorders>
              <w:top w:val="single" w:sz="4" w:space="0" w:color="17365D"/>
              <w:left w:val="single" w:sz="4" w:space="0" w:color="auto"/>
              <w:bottom w:val="single" w:sz="4" w:space="0" w:color="17365D"/>
              <w:right w:val="single" w:sz="4" w:space="0" w:color="17365D"/>
            </w:tcBorders>
            <w:vAlign w:val="center"/>
          </w:tcPr>
          <w:p w14:paraId="6DA43C25" w14:textId="77777777" w:rsidR="00144BA0" w:rsidRPr="004570EB" w:rsidRDefault="00E17456" w:rsidP="00280E71">
            <w:pPr>
              <w:pStyle w:val="a6"/>
              <w:jc w:val="center"/>
              <w:rPr>
                <w:rFonts w:asciiTheme="majorHAnsi" w:hAnsiTheme="majorHAnsi"/>
                <w:sz w:val="20"/>
                <w:szCs w:val="20"/>
                <w:lang w:val="ro-RO"/>
              </w:rPr>
            </w:pPr>
            <w:r w:rsidRPr="004570EB">
              <w:rPr>
                <w:rFonts w:asciiTheme="majorHAnsi" w:hAnsiTheme="majorHAnsi"/>
                <w:sz w:val="20"/>
                <w:szCs w:val="20"/>
                <w:lang w:val="ro-RO"/>
              </w:rPr>
              <w:t>20,8</w:t>
            </w:r>
          </w:p>
        </w:tc>
        <w:tc>
          <w:tcPr>
            <w:tcW w:w="378" w:type="pct"/>
            <w:tcBorders>
              <w:top w:val="single" w:sz="4" w:space="0" w:color="17365D"/>
              <w:left w:val="single" w:sz="4" w:space="0" w:color="auto"/>
              <w:bottom w:val="single" w:sz="4" w:space="0" w:color="17365D"/>
              <w:right w:val="single" w:sz="4" w:space="0" w:color="17365D"/>
            </w:tcBorders>
            <w:vAlign w:val="center"/>
          </w:tcPr>
          <w:p w14:paraId="50A44223" w14:textId="77777777" w:rsidR="00144BA0" w:rsidRPr="004570EB" w:rsidRDefault="006D130B" w:rsidP="00280E71">
            <w:pPr>
              <w:pStyle w:val="a6"/>
              <w:jc w:val="center"/>
              <w:rPr>
                <w:rFonts w:asciiTheme="majorHAnsi" w:hAnsiTheme="majorHAnsi"/>
                <w:sz w:val="20"/>
                <w:szCs w:val="20"/>
                <w:lang w:val="ro-RO"/>
              </w:rPr>
            </w:pPr>
            <w:r w:rsidRPr="004570EB">
              <w:rPr>
                <w:rFonts w:asciiTheme="majorHAnsi" w:hAnsiTheme="majorHAnsi"/>
                <w:sz w:val="20"/>
                <w:szCs w:val="20"/>
                <w:lang w:val="ro-RO"/>
              </w:rPr>
              <w:t>+</w:t>
            </w:r>
            <w:r w:rsidR="006F3C71" w:rsidRPr="004570EB">
              <w:rPr>
                <w:rFonts w:asciiTheme="majorHAnsi" w:hAnsiTheme="majorHAnsi"/>
                <w:sz w:val="20"/>
                <w:szCs w:val="20"/>
                <w:lang w:val="ro-RO"/>
              </w:rPr>
              <w:t>0,2</w:t>
            </w:r>
          </w:p>
        </w:tc>
      </w:tr>
      <w:tr w:rsidR="00144BA0" w:rsidRPr="004570EB" w14:paraId="144CEFA2" w14:textId="77777777" w:rsidTr="00280E71">
        <w:trPr>
          <w:trHeight w:val="287"/>
          <w:jc w:val="center"/>
        </w:trPr>
        <w:tc>
          <w:tcPr>
            <w:tcW w:w="5000" w:type="pct"/>
            <w:gridSpan w:val="10"/>
            <w:tcBorders>
              <w:top w:val="single" w:sz="4" w:space="0" w:color="17365D"/>
              <w:left w:val="single" w:sz="4" w:space="0" w:color="auto"/>
              <w:bottom w:val="single" w:sz="4" w:space="0" w:color="17365D"/>
              <w:right w:val="single" w:sz="4" w:space="0" w:color="17365D"/>
            </w:tcBorders>
          </w:tcPr>
          <w:p w14:paraId="77BC77CD" w14:textId="77777777" w:rsidR="00144BA0" w:rsidRPr="004570EB" w:rsidRDefault="00144BA0" w:rsidP="00144BA0">
            <w:pPr>
              <w:pStyle w:val="a6"/>
              <w:rPr>
                <w:rFonts w:asciiTheme="majorHAnsi" w:hAnsiTheme="majorHAnsi"/>
                <w:b/>
                <w:sz w:val="20"/>
                <w:szCs w:val="20"/>
                <w:lang w:val="ro-RO"/>
              </w:rPr>
            </w:pPr>
            <w:r w:rsidRPr="004570EB">
              <w:rPr>
                <w:rFonts w:asciiTheme="majorHAnsi" w:hAnsiTheme="majorHAnsi"/>
                <w:b/>
                <w:sz w:val="20"/>
                <w:szCs w:val="20"/>
                <w:lang w:val="ro-RO"/>
              </w:rPr>
              <w:t>2. Riscul valutar</w:t>
            </w:r>
          </w:p>
        </w:tc>
      </w:tr>
      <w:tr w:rsidR="007B3619" w:rsidRPr="004570EB" w14:paraId="1B8229DA" w14:textId="77777777" w:rsidTr="00280E71">
        <w:trPr>
          <w:trHeight w:val="64"/>
          <w:jc w:val="center"/>
        </w:trPr>
        <w:tc>
          <w:tcPr>
            <w:tcW w:w="1326" w:type="pct"/>
            <w:tcBorders>
              <w:top w:val="single" w:sz="4" w:space="0" w:color="17365D"/>
              <w:left w:val="single" w:sz="4" w:space="0" w:color="auto"/>
              <w:bottom w:val="single" w:sz="4" w:space="0" w:color="17365D"/>
              <w:right w:val="single" w:sz="4" w:space="0" w:color="17365D"/>
            </w:tcBorders>
          </w:tcPr>
          <w:p w14:paraId="6691CC93" w14:textId="77777777" w:rsidR="00144BA0" w:rsidRPr="004570EB" w:rsidRDefault="00144BA0" w:rsidP="00144BA0">
            <w:pPr>
              <w:pStyle w:val="a6"/>
              <w:rPr>
                <w:rFonts w:asciiTheme="majorHAnsi" w:hAnsiTheme="majorHAnsi"/>
                <w:sz w:val="20"/>
                <w:szCs w:val="20"/>
                <w:lang w:val="ro-RO"/>
              </w:rPr>
            </w:pPr>
            <w:r w:rsidRPr="004570EB">
              <w:rPr>
                <w:rFonts w:asciiTheme="majorHAnsi" w:hAnsiTheme="majorHAnsi"/>
                <w:sz w:val="20"/>
                <w:szCs w:val="20"/>
                <w:lang w:val="ro-RO"/>
              </w:rPr>
              <w:t>Structura datoriei de stat pe componente (</w:t>
            </w:r>
            <w:r w:rsidRPr="004570EB">
              <w:rPr>
                <w:rFonts w:asciiTheme="majorHAnsi" w:hAnsiTheme="majorHAnsi"/>
                <w:b/>
                <w:sz w:val="20"/>
                <w:szCs w:val="20"/>
                <w:lang w:val="ro-RO"/>
              </w:rPr>
              <w:t xml:space="preserve">% </w:t>
            </w:r>
            <w:r w:rsidRPr="004570EB">
              <w:rPr>
                <w:rFonts w:asciiTheme="majorHAnsi" w:hAnsiTheme="majorHAnsi"/>
                <w:sz w:val="20"/>
                <w:szCs w:val="20"/>
                <w:lang w:val="ro-RO"/>
              </w:rPr>
              <w:t>din total)</w:t>
            </w:r>
          </w:p>
        </w:tc>
        <w:tc>
          <w:tcPr>
            <w:tcW w:w="390" w:type="pct"/>
            <w:tcBorders>
              <w:top w:val="single" w:sz="4" w:space="0" w:color="17365D"/>
              <w:left w:val="single" w:sz="4" w:space="0" w:color="17365D"/>
              <w:bottom w:val="single" w:sz="4" w:space="0" w:color="17365D"/>
              <w:right w:val="single" w:sz="4" w:space="0" w:color="auto"/>
            </w:tcBorders>
            <w:vAlign w:val="center"/>
          </w:tcPr>
          <w:p w14:paraId="0262227C" w14:textId="77777777" w:rsidR="00144BA0" w:rsidRPr="004570EB" w:rsidRDefault="007F63FC" w:rsidP="00144BA0">
            <w:pPr>
              <w:pStyle w:val="a6"/>
              <w:rPr>
                <w:rFonts w:asciiTheme="majorHAnsi" w:hAnsiTheme="majorHAnsi"/>
                <w:sz w:val="20"/>
                <w:szCs w:val="20"/>
                <w:lang w:val="ro-RO"/>
              </w:rPr>
            </w:pPr>
            <w:r w:rsidRPr="004570EB">
              <w:rPr>
                <w:rFonts w:asciiTheme="majorHAnsi" w:hAnsiTheme="majorHAnsi"/>
                <w:sz w:val="20"/>
                <w:szCs w:val="20"/>
                <w:lang w:val="ro-RO"/>
              </w:rPr>
              <w:t>43,7</w:t>
            </w:r>
          </w:p>
        </w:tc>
        <w:tc>
          <w:tcPr>
            <w:tcW w:w="373" w:type="pct"/>
            <w:tcBorders>
              <w:top w:val="single" w:sz="4" w:space="0" w:color="17365D"/>
              <w:left w:val="single" w:sz="4" w:space="0" w:color="auto"/>
              <w:bottom w:val="single" w:sz="4" w:space="0" w:color="17365D"/>
              <w:right w:val="single" w:sz="4" w:space="0" w:color="17365D"/>
            </w:tcBorders>
            <w:vAlign w:val="center"/>
          </w:tcPr>
          <w:p w14:paraId="09D1A4ED" w14:textId="77777777" w:rsidR="00144BA0" w:rsidRPr="004570EB" w:rsidRDefault="001717DC" w:rsidP="00144BA0">
            <w:pPr>
              <w:pStyle w:val="a6"/>
              <w:rPr>
                <w:rFonts w:asciiTheme="majorHAnsi" w:hAnsiTheme="majorHAnsi"/>
                <w:sz w:val="20"/>
                <w:szCs w:val="20"/>
                <w:lang w:val="ro-RO"/>
              </w:rPr>
            </w:pPr>
            <w:r w:rsidRPr="004570EB">
              <w:rPr>
                <w:rFonts w:asciiTheme="majorHAnsi" w:hAnsiTheme="majorHAnsi"/>
                <w:sz w:val="20"/>
                <w:szCs w:val="20"/>
                <w:lang w:val="ro-RO"/>
              </w:rPr>
              <w:t>44,3</w:t>
            </w:r>
          </w:p>
        </w:tc>
        <w:tc>
          <w:tcPr>
            <w:tcW w:w="488" w:type="pct"/>
            <w:tcBorders>
              <w:top w:val="single" w:sz="4" w:space="0" w:color="17365D"/>
              <w:left w:val="single" w:sz="4" w:space="0" w:color="auto"/>
              <w:bottom w:val="single" w:sz="4" w:space="0" w:color="17365D"/>
              <w:right w:val="single" w:sz="4" w:space="0" w:color="17365D"/>
            </w:tcBorders>
            <w:vAlign w:val="center"/>
          </w:tcPr>
          <w:p w14:paraId="4AB0BC37" w14:textId="77777777" w:rsidR="00144BA0" w:rsidRPr="004570EB" w:rsidRDefault="001D3FA6" w:rsidP="00144BA0">
            <w:pPr>
              <w:pStyle w:val="a6"/>
              <w:rPr>
                <w:rFonts w:asciiTheme="majorHAnsi" w:hAnsiTheme="majorHAnsi"/>
                <w:sz w:val="20"/>
                <w:szCs w:val="20"/>
                <w:lang w:val="ro-RO"/>
              </w:rPr>
            </w:pPr>
            <w:r w:rsidRPr="004570EB">
              <w:rPr>
                <w:rFonts w:asciiTheme="majorHAnsi" w:hAnsiTheme="majorHAnsi"/>
                <w:sz w:val="20"/>
                <w:szCs w:val="20"/>
                <w:lang w:val="ro-RO"/>
              </w:rPr>
              <w:t>+0,6</w:t>
            </w:r>
          </w:p>
        </w:tc>
        <w:tc>
          <w:tcPr>
            <w:tcW w:w="386" w:type="pct"/>
            <w:tcBorders>
              <w:top w:val="single" w:sz="4" w:space="0" w:color="17365D"/>
              <w:left w:val="single" w:sz="4" w:space="0" w:color="17365D"/>
              <w:bottom w:val="single" w:sz="4" w:space="0" w:color="17365D"/>
              <w:right w:val="single" w:sz="4" w:space="0" w:color="auto"/>
            </w:tcBorders>
            <w:vAlign w:val="center"/>
          </w:tcPr>
          <w:p w14:paraId="79316994" w14:textId="77777777" w:rsidR="00144BA0" w:rsidRPr="004570EB" w:rsidRDefault="007F63FC" w:rsidP="00144BA0">
            <w:pPr>
              <w:pStyle w:val="a6"/>
              <w:rPr>
                <w:rFonts w:asciiTheme="majorHAnsi" w:hAnsiTheme="majorHAnsi"/>
                <w:sz w:val="20"/>
                <w:szCs w:val="20"/>
                <w:lang w:val="ro-RO"/>
              </w:rPr>
            </w:pPr>
            <w:r w:rsidRPr="004570EB">
              <w:rPr>
                <w:rFonts w:asciiTheme="majorHAnsi" w:hAnsiTheme="majorHAnsi"/>
                <w:sz w:val="20"/>
                <w:szCs w:val="20"/>
                <w:lang w:val="ro-RO"/>
              </w:rPr>
              <w:t>56,3</w:t>
            </w:r>
          </w:p>
        </w:tc>
        <w:tc>
          <w:tcPr>
            <w:tcW w:w="372" w:type="pct"/>
            <w:tcBorders>
              <w:top w:val="single" w:sz="4" w:space="0" w:color="17365D"/>
              <w:left w:val="single" w:sz="4" w:space="0" w:color="auto"/>
              <w:bottom w:val="single" w:sz="4" w:space="0" w:color="17365D"/>
              <w:right w:val="single" w:sz="4" w:space="0" w:color="17365D"/>
            </w:tcBorders>
            <w:vAlign w:val="center"/>
          </w:tcPr>
          <w:p w14:paraId="77AC3AFD" w14:textId="77777777" w:rsidR="00144BA0" w:rsidRPr="004570EB" w:rsidRDefault="001717DC" w:rsidP="00144BA0">
            <w:pPr>
              <w:pStyle w:val="a6"/>
              <w:rPr>
                <w:rFonts w:asciiTheme="majorHAnsi" w:hAnsiTheme="majorHAnsi"/>
                <w:sz w:val="20"/>
                <w:szCs w:val="20"/>
                <w:lang w:val="ro-RO"/>
              </w:rPr>
            </w:pPr>
            <w:r w:rsidRPr="004570EB">
              <w:rPr>
                <w:rFonts w:asciiTheme="majorHAnsi" w:hAnsiTheme="majorHAnsi"/>
                <w:sz w:val="20"/>
                <w:szCs w:val="20"/>
                <w:lang w:val="ro-RO"/>
              </w:rPr>
              <w:t>55,7</w:t>
            </w:r>
          </w:p>
        </w:tc>
        <w:tc>
          <w:tcPr>
            <w:tcW w:w="403" w:type="pct"/>
            <w:tcBorders>
              <w:top w:val="single" w:sz="4" w:space="0" w:color="17365D"/>
              <w:left w:val="single" w:sz="4" w:space="0" w:color="auto"/>
              <w:bottom w:val="single" w:sz="4" w:space="0" w:color="17365D"/>
              <w:right w:val="single" w:sz="4" w:space="0" w:color="17365D"/>
            </w:tcBorders>
            <w:vAlign w:val="center"/>
          </w:tcPr>
          <w:p w14:paraId="255FEF3A" w14:textId="77777777" w:rsidR="00144BA0" w:rsidRPr="004570EB" w:rsidRDefault="001D3FA6" w:rsidP="00144BA0">
            <w:pPr>
              <w:pStyle w:val="a6"/>
              <w:rPr>
                <w:rFonts w:asciiTheme="majorHAnsi" w:hAnsiTheme="majorHAnsi"/>
                <w:sz w:val="20"/>
                <w:szCs w:val="20"/>
                <w:lang w:val="ro-RO"/>
              </w:rPr>
            </w:pPr>
            <w:r w:rsidRPr="004570EB">
              <w:rPr>
                <w:rFonts w:asciiTheme="majorHAnsi" w:hAnsiTheme="majorHAnsi"/>
                <w:sz w:val="20"/>
                <w:szCs w:val="20"/>
                <w:lang w:val="ro-RO"/>
              </w:rPr>
              <w:t>-0,6</w:t>
            </w:r>
          </w:p>
        </w:tc>
        <w:tc>
          <w:tcPr>
            <w:tcW w:w="447" w:type="pct"/>
            <w:tcBorders>
              <w:top w:val="single" w:sz="4" w:space="0" w:color="17365D"/>
              <w:left w:val="single" w:sz="4" w:space="0" w:color="17365D"/>
              <w:bottom w:val="single" w:sz="4" w:space="0" w:color="17365D"/>
              <w:right w:val="single" w:sz="4" w:space="0" w:color="auto"/>
            </w:tcBorders>
            <w:vAlign w:val="center"/>
          </w:tcPr>
          <w:p w14:paraId="6C694C86" w14:textId="77777777" w:rsidR="00144BA0" w:rsidRPr="004570EB" w:rsidRDefault="00144BA0" w:rsidP="00144BA0">
            <w:pPr>
              <w:pStyle w:val="a6"/>
              <w:rPr>
                <w:rFonts w:asciiTheme="majorHAnsi" w:hAnsiTheme="majorHAnsi"/>
                <w:sz w:val="20"/>
                <w:szCs w:val="20"/>
                <w:lang w:val="ro-RO"/>
              </w:rPr>
            </w:pPr>
            <w:r w:rsidRPr="004570EB">
              <w:rPr>
                <w:rFonts w:asciiTheme="majorHAnsi" w:hAnsiTheme="majorHAnsi"/>
                <w:sz w:val="20"/>
                <w:szCs w:val="20"/>
                <w:lang w:val="ro-RO"/>
              </w:rPr>
              <w:t>10</w:t>
            </w:r>
            <w:r w:rsidR="007F63FC" w:rsidRPr="004570EB">
              <w:rPr>
                <w:rFonts w:asciiTheme="majorHAnsi" w:hAnsiTheme="majorHAnsi"/>
                <w:sz w:val="20"/>
                <w:szCs w:val="20"/>
                <w:lang w:val="ro-RO"/>
              </w:rPr>
              <w:t>0,0</w:t>
            </w:r>
          </w:p>
        </w:tc>
        <w:tc>
          <w:tcPr>
            <w:tcW w:w="438" w:type="pct"/>
            <w:tcBorders>
              <w:top w:val="single" w:sz="4" w:space="0" w:color="17365D"/>
              <w:left w:val="single" w:sz="4" w:space="0" w:color="auto"/>
              <w:bottom w:val="single" w:sz="4" w:space="0" w:color="17365D"/>
              <w:right w:val="single" w:sz="4" w:space="0" w:color="17365D"/>
            </w:tcBorders>
            <w:vAlign w:val="center"/>
          </w:tcPr>
          <w:p w14:paraId="1EA9A353" w14:textId="77777777" w:rsidR="00144BA0" w:rsidRPr="004570EB" w:rsidRDefault="007B3619" w:rsidP="00144BA0">
            <w:pPr>
              <w:pStyle w:val="a6"/>
              <w:rPr>
                <w:rFonts w:asciiTheme="majorHAnsi" w:hAnsiTheme="majorHAnsi"/>
                <w:sz w:val="20"/>
                <w:szCs w:val="20"/>
                <w:lang w:val="ro-RO"/>
              </w:rPr>
            </w:pPr>
            <w:r w:rsidRPr="004570EB">
              <w:rPr>
                <w:rFonts w:asciiTheme="majorHAnsi" w:hAnsiTheme="majorHAnsi"/>
                <w:sz w:val="20"/>
                <w:szCs w:val="20"/>
                <w:lang w:val="ro-RO"/>
              </w:rPr>
              <w:t>100,0</w:t>
            </w:r>
          </w:p>
        </w:tc>
        <w:tc>
          <w:tcPr>
            <w:tcW w:w="378" w:type="pct"/>
            <w:tcBorders>
              <w:top w:val="single" w:sz="4" w:space="0" w:color="17365D"/>
              <w:left w:val="single" w:sz="4" w:space="0" w:color="auto"/>
              <w:bottom w:val="single" w:sz="4" w:space="0" w:color="17365D"/>
              <w:right w:val="single" w:sz="4" w:space="0" w:color="17365D"/>
            </w:tcBorders>
            <w:vAlign w:val="center"/>
          </w:tcPr>
          <w:p w14:paraId="6CEB5754" w14:textId="77777777" w:rsidR="00144BA0" w:rsidRPr="004570EB" w:rsidRDefault="007B3619" w:rsidP="00144BA0">
            <w:pPr>
              <w:pStyle w:val="a6"/>
              <w:rPr>
                <w:rFonts w:asciiTheme="majorHAnsi" w:hAnsiTheme="majorHAnsi"/>
                <w:sz w:val="20"/>
                <w:szCs w:val="20"/>
                <w:lang w:val="ro-RO"/>
              </w:rPr>
            </w:pPr>
            <w:r w:rsidRPr="004570EB">
              <w:rPr>
                <w:rFonts w:asciiTheme="majorHAnsi" w:hAnsiTheme="majorHAnsi"/>
                <w:sz w:val="20"/>
                <w:szCs w:val="20"/>
                <w:lang w:val="ro-RO"/>
              </w:rPr>
              <w:t>0</w:t>
            </w:r>
          </w:p>
        </w:tc>
      </w:tr>
      <w:tr w:rsidR="00144BA0" w:rsidRPr="004570EB" w14:paraId="1945F853" w14:textId="77777777" w:rsidTr="00280E71">
        <w:trPr>
          <w:trHeight w:val="64"/>
          <w:jc w:val="center"/>
        </w:trPr>
        <w:tc>
          <w:tcPr>
            <w:tcW w:w="4184" w:type="pct"/>
            <w:gridSpan w:val="8"/>
            <w:tcBorders>
              <w:top w:val="single" w:sz="4" w:space="0" w:color="17365D"/>
              <w:left w:val="single" w:sz="4" w:space="0" w:color="auto"/>
              <w:bottom w:val="single" w:sz="4" w:space="0" w:color="17365D"/>
              <w:right w:val="single" w:sz="4" w:space="0" w:color="17365D"/>
            </w:tcBorders>
          </w:tcPr>
          <w:p w14:paraId="6B8C5F3E" w14:textId="77777777" w:rsidR="00144BA0" w:rsidRPr="004570EB" w:rsidRDefault="00144BA0" w:rsidP="00144BA0">
            <w:pPr>
              <w:pStyle w:val="a6"/>
              <w:rPr>
                <w:rFonts w:asciiTheme="majorHAnsi" w:hAnsiTheme="majorHAnsi"/>
                <w:b/>
                <w:sz w:val="20"/>
                <w:szCs w:val="20"/>
                <w:vertAlign w:val="superscript"/>
                <w:lang w:val="ro-RO"/>
              </w:rPr>
            </w:pPr>
            <w:r w:rsidRPr="004570EB">
              <w:rPr>
                <w:rFonts w:asciiTheme="majorHAnsi" w:hAnsiTheme="majorHAnsi"/>
                <w:b/>
                <w:sz w:val="20"/>
                <w:szCs w:val="20"/>
                <w:lang w:val="ro-RO"/>
              </w:rPr>
              <w:t>3. Riscul ratei de dobândă</w:t>
            </w:r>
            <w:r w:rsidRPr="004570EB">
              <w:rPr>
                <w:rFonts w:asciiTheme="majorHAnsi" w:hAnsiTheme="majorHAnsi"/>
                <w:b/>
                <w:sz w:val="20"/>
                <w:szCs w:val="20"/>
                <w:vertAlign w:val="superscript"/>
                <w:lang w:val="ro-RO"/>
              </w:rPr>
              <w:t>*</w:t>
            </w:r>
          </w:p>
        </w:tc>
        <w:tc>
          <w:tcPr>
            <w:tcW w:w="438" w:type="pct"/>
            <w:tcBorders>
              <w:top w:val="single" w:sz="4" w:space="0" w:color="17365D"/>
              <w:left w:val="single" w:sz="4" w:space="0" w:color="auto"/>
              <w:bottom w:val="single" w:sz="4" w:space="0" w:color="17365D"/>
              <w:right w:val="single" w:sz="4" w:space="0" w:color="17365D"/>
            </w:tcBorders>
          </w:tcPr>
          <w:p w14:paraId="032EBF91" w14:textId="77777777" w:rsidR="00144BA0" w:rsidRPr="004570EB" w:rsidRDefault="00144BA0" w:rsidP="00144BA0">
            <w:pPr>
              <w:pStyle w:val="a6"/>
              <w:rPr>
                <w:rFonts w:asciiTheme="majorHAnsi" w:hAnsiTheme="majorHAnsi"/>
                <w:b/>
                <w:sz w:val="20"/>
                <w:szCs w:val="20"/>
                <w:lang w:val="ro-RO"/>
              </w:rPr>
            </w:pPr>
          </w:p>
        </w:tc>
        <w:tc>
          <w:tcPr>
            <w:tcW w:w="378" w:type="pct"/>
            <w:tcBorders>
              <w:top w:val="single" w:sz="4" w:space="0" w:color="17365D"/>
              <w:left w:val="single" w:sz="4" w:space="0" w:color="auto"/>
              <w:bottom w:val="single" w:sz="4" w:space="0" w:color="17365D"/>
              <w:right w:val="single" w:sz="4" w:space="0" w:color="17365D"/>
            </w:tcBorders>
          </w:tcPr>
          <w:p w14:paraId="3377E2D6" w14:textId="77777777" w:rsidR="00144BA0" w:rsidRPr="004570EB" w:rsidRDefault="00144BA0" w:rsidP="00144BA0">
            <w:pPr>
              <w:pStyle w:val="a6"/>
              <w:rPr>
                <w:rFonts w:asciiTheme="majorHAnsi" w:hAnsiTheme="majorHAnsi"/>
                <w:b/>
                <w:sz w:val="20"/>
                <w:szCs w:val="20"/>
                <w:lang w:val="ro-RO"/>
              </w:rPr>
            </w:pPr>
          </w:p>
        </w:tc>
      </w:tr>
      <w:tr w:rsidR="007B3619" w:rsidRPr="004570EB" w14:paraId="05A6A49E" w14:textId="77777777" w:rsidTr="00280E71">
        <w:trPr>
          <w:trHeight w:val="252"/>
          <w:jc w:val="center"/>
        </w:trPr>
        <w:tc>
          <w:tcPr>
            <w:tcW w:w="1326" w:type="pct"/>
            <w:tcBorders>
              <w:top w:val="single" w:sz="4" w:space="0" w:color="17365D"/>
              <w:left w:val="single" w:sz="4" w:space="0" w:color="auto"/>
              <w:bottom w:val="single" w:sz="4" w:space="0" w:color="17365D"/>
              <w:right w:val="single" w:sz="4" w:space="0" w:color="17365D"/>
            </w:tcBorders>
          </w:tcPr>
          <w:p w14:paraId="2C5444B2" w14:textId="77777777" w:rsidR="00144BA0" w:rsidRPr="004570EB" w:rsidRDefault="00144BA0" w:rsidP="00144BA0">
            <w:pPr>
              <w:pStyle w:val="a6"/>
              <w:rPr>
                <w:rFonts w:asciiTheme="majorHAnsi" w:hAnsiTheme="majorHAnsi"/>
                <w:sz w:val="20"/>
                <w:szCs w:val="20"/>
                <w:lang w:val="ro-RO"/>
              </w:rPr>
            </w:pPr>
            <w:r w:rsidRPr="004570EB">
              <w:rPr>
                <w:rFonts w:asciiTheme="majorHAnsi" w:hAnsiTheme="majorHAnsi"/>
                <w:sz w:val="20"/>
                <w:szCs w:val="20"/>
                <w:lang w:val="ro-RO"/>
              </w:rPr>
              <w:t>a) Datoria cu rata dobânzii flotantă (</w:t>
            </w:r>
            <w:r w:rsidRPr="004570EB">
              <w:rPr>
                <w:rFonts w:asciiTheme="majorHAnsi" w:hAnsiTheme="majorHAnsi"/>
                <w:b/>
                <w:sz w:val="20"/>
                <w:szCs w:val="20"/>
                <w:lang w:val="ro-RO"/>
              </w:rPr>
              <w:t xml:space="preserve">% </w:t>
            </w:r>
            <w:r w:rsidRPr="004570EB">
              <w:rPr>
                <w:rFonts w:asciiTheme="majorHAnsi" w:hAnsiTheme="majorHAnsi"/>
                <w:sz w:val="20"/>
                <w:szCs w:val="20"/>
                <w:lang w:val="ro-RO"/>
              </w:rPr>
              <w:t>din total)</w:t>
            </w:r>
          </w:p>
        </w:tc>
        <w:tc>
          <w:tcPr>
            <w:tcW w:w="390" w:type="pct"/>
            <w:tcBorders>
              <w:top w:val="single" w:sz="4" w:space="0" w:color="17365D"/>
              <w:left w:val="single" w:sz="4" w:space="0" w:color="17365D"/>
              <w:bottom w:val="single" w:sz="4" w:space="0" w:color="17365D"/>
              <w:right w:val="single" w:sz="4" w:space="0" w:color="auto"/>
            </w:tcBorders>
            <w:vAlign w:val="center"/>
          </w:tcPr>
          <w:p w14:paraId="37DC3183" w14:textId="77777777" w:rsidR="00144BA0" w:rsidRPr="004570EB" w:rsidRDefault="00E17456" w:rsidP="00144BA0">
            <w:pPr>
              <w:pStyle w:val="a6"/>
              <w:rPr>
                <w:rFonts w:asciiTheme="majorHAnsi" w:hAnsiTheme="majorHAnsi"/>
                <w:sz w:val="20"/>
                <w:szCs w:val="20"/>
                <w:lang w:val="ro-RO"/>
              </w:rPr>
            </w:pPr>
            <w:r w:rsidRPr="004570EB">
              <w:rPr>
                <w:rFonts w:asciiTheme="majorHAnsi" w:hAnsiTheme="majorHAnsi"/>
                <w:sz w:val="20"/>
                <w:szCs w:val="20"/>
                <w:lang w:val="ro-RO"/>
              </w:rPr>
              <w:t>37,2</w:t>
            </w:r>
          </w:p>
        </w:tc>
        <w:tc>
          <w:tcPr>
            <w:tcW w:w="373" w:type="pct"/>
            <w:tcBorders>
              <w:top w:val="single" w:sz="4" w:space="0" w:color="17365D"/>
              <w:left w:val="single" w:sz="4" w:space="0" w:color="auto"/>
              <w:bottom w:val="single" w:sz="4" w:space="0" w:color="17365D"/>
              <w:right w:val="single" w:sz="4" w:space="0" w:color="17365D"/>
            </w:tcBorders>
            <w:vAlign w:val="center"/>
          </w:tcPr>
          <w:p w14:paraId="1564480F" w14:textId="77777777" w:rsidR="00144BA0" w:rsidRPr="004570EB" w:rsidRDefault="00E17456" w:rsidP="00144BA0">
            <w:pPr>
              <w:pStyle w:val="a6"/>
              <w:rPr>
                <w:rFonts w:asciiTheme="majorHAnsi" w:hAnsiTheme="majorHAnsi"/>
                <w:sz w:val="20"/>
                <w:szCs w:val="20"/>
                <w:lang w:val="ro-RO"/>
              </w:rPr>
            </w:pPr>
            <w:r w:rsidRPr="004570EB">
              <w:rPr>
                <w:rFonts w:asciiTheme="majorHAnsi" w:hAnsiTheme="majorHAnsi"/>
                <w:sz w:val="20"/>
                <w:szCs w:val="20"/>
                <w:lang w:val="ro-RO"/>
              </w:rPr>
              <w:t>34,3</w:t>
            </w:r>
          </w:p>
        </w:tc>
        <w:tc>
          <w:tcPr>
            <w:tcW w:w="488" w:type="pct"/>
            <w:tcBorders>
              <w:top w:val="single" w:sz="4" w:space="0" w:color="17365D"/>
              <w:left w:val="single" w:sz="4" w:space="0" w:color="auto"/>
              <w:bottom w:val="single" w:sz="4" w:space="0" w:color="17365D"/>
              <w:right w:val="single" w:sz="4" w:space="0" w:color="17365D"/>
            </w:tcBorders>
            <w:vAlign w:val="center"/>
          </w:tcPr>
          <w:p w14:paraId="432D1648" w14:textId="77777777" w:rsidR="00144BA0" w:rsidRPr="004570EB" w:rsidRDefault="006F3C71" w:rsidP="00144BA0">
            <w:pPr>
              <w:pStyle w:val="a6"/>
              <w:rPr>
                <w:rFonts w:asciiTheme="majorHAnsi" w:hAnsiTheme="majorHAnsi"/>
                <w:sz w:val="20"/>
                <w:szCs w:val="20"/>
                <w:lang w:val="ro-RO"/>
              </w:rPr>
            </w:pPr>
            <w:r w:rsidRPr="004570EB">
              <w:rPr>
                <w:rFonts w:asciiTheme="majorHAnsi" w:hAnsiTheme="majorHAnsi"/>
                <w:sz w:val="20"/>
                <w:szCs w:val="20"/>
                <w:lang w:val="ro-RO"/>
              </w:rPr>
              <w:t>-2,9</w:t>
            </w:r>
          </w:p>
        </w:tc>
        <w:tc>
          <w:tcPr>
            <w:tcW w:w="386" w:type="pct"/>
            <w:tcBorders>
              <w:top w:val="single" w:sz="4" w:space="0" w:color="17365D"/>
              <w:left w:val="single" w:sz="4" w:space="0" w:color="17365D"/>
              <w:bottom w:val="single" w:sz="4" w:space="0" w:color="17365D"/>
              <w:right w:val="single" w:sz="4" w:space="0" w:color="auto"/>
            </w:tcBorders>
            <w:vAlign w:val="center"/>
          </w:tcPr>
          <w:p w14:paraId="33BC8FCA" w14:textId="77777777" w:rsidR="00144BA0" w:rsidRPr="004570EB" w:rsidRDefault="00E17456" w:rsidP="00144BA0">
            <w:pPr>
              <w:pStyle w:val="a6"/>
              <w:rPr>
                <w:rFonts w:asciiTheme="majorHAnsi" w:hAnsiTheme="majorHAnsi"/>
                <w:sz w:val="20"/>
                <w:szCs w:val="20"/>
                <w:lang w:val="ro-RO"/>
              </w:rPr>
            </w:pPr>
            <w:r w:rsidRPr="004570EB">
              <w:rPr>
                <w:rFonts w:asciiTheme="majorHAnsi" w:hAnsiTheme="majorHAnsi"/>
                <w:sz w:val="20"/>
                <w:szCs w:val="20"/>
                <w:lang w:val="ro-RO"/>
              </w:rPr>
              <w:t>24,8</w:t>
            </w:r>
          </w:p>
        </w:tc>
        <w:tc>
          <w:tcPr>
            <w:tcW w:w="372" w:type="pct"/>
            <w:tcBorders>
              <w:top w:val="single" w:sz="4" w:space="0" w:color="17365D"/>
              <w:left w:val="single" w:sz="4" w:space="0" w:color="auto"/>
              <w:bottom w:val="single" w:sz="4" w:space="0" w:color="17365D"/>
              <w:right w:val="single" w:sz="4" w:space="0" w:color="17365D"/>
            </w:tcBorders>
            <w:vAlign w:val="center"/>
          </w:tcPr>
          <w:p w14:paraId="63E504BC" w14:textId="77777777" w:rsidR="00144BA0" w:rsidRPr="004570EB" w:rsidRDefault="00E17456" w:rsidP="00144BA0">
            <w:pPr>
              <w:pStyle w:val="a6"/>
              <w:rPr>
                <w:rFonts w:asciiTheme="majorHAnsi" w:hAnsiTheme="majorHAnsi"/>
                <w:sz w:val="20"/>
                <w:szCs w:val="20"/>
                <w:lang w:val="ro-RO"/>
              </w:rPr>
            </w:pPr>
            <w:r w:rsidRPr="004570EB">
              <w:rPr>
                <w:rFonts w:asciiTheme="majorHAnsi" w:hAnsiTheme="majorHAnsi"/>
                <w:sz w:val="20"/>
                <w:szCs w:val="20"/>
                <w:lang w:val="ro-RO"/>
              </w:rPr>
              <w:t>29,2</w:t>
            </w:r>
          </w:p>
        </w:tc>
        <w:tc>
          <w:tcPr>
            <w:tcW w:w="403" w:type="pct"/>
            <w:tcBorders>
              <w:top w:val="single" w:sz="4" w:space="0" w:color="17365D"/>
              <w:left w:val="single" w:sz="4" w:space="0" w:color="auto"/>
              <w:bottom w:val="single" w:sz="4" w:space="0" w:color="17365D"/>
              <w:right w:val="single" w:sz="4" w:space="0" w:color="17365D"/>
            </w:tcBorders>
            <w:vAlign w:val="center"/>
          </w:tcPr>
          <w:p w14:paraId="63F37DA8" w14:textId="77777777" w:rsidR="00144BA0" w:rsidRPr="004570EB" w:rsidRDefault="006D130B" w:rsidP="00144BA0">
            <w:pPr>
              <w:pStyle w:val="a6"/>
              <w:rPr>
                <w:rFonts w:asciiTheme="majorHAnsi" w:hAnsiTheme="majorHAnsi"/>
                <w:sz w:val="20"/>
                <w:szCs w:val="20"/>
                <w:lang w:val="ro-RO"/>
              </w:rPr>
            </w:pPr>
            <w:r w:rsidRPr="004570EB">
              <w:rPr>
                <w:rFonts w:asciiTheme="majorHAnsi" w:hAnsiTheme="majorHAnsi"/>
                <w:sz w:val="20"/>
                <w:szCs w:val="20"/>
                <w:lang w:val="ro-RO"/>
              </w:rPr>
              <w:t>+4,4</w:t>
            </w:r>
          </w:p>
        </w:tc>
        <w:tc>
          <w:tcPr>
            <w:tcW w:w="447" w:type="pct"/>
            <w:tcBorders>
              <w:top w:val="single" w:sz="4" w:space="0" w:color="17365D"/>
              <w:left w:val="single" w:sz="4" w:space="0" w:color="17365D"/>
              <w:bottom w:val="single" w:sz="4" w:space="0" w:color="17365D"/>
              <w:right w:val="single" w:sz="4" w:space="0" w:color="auto"/>
            </w:tcBorders>
            <w:vAlign w:val="center"/>
          </w:tcPr>
          <w:p w14:paraId="0F287C50" w14:textId="77777777" w:rsidR="00144BA0" w:rsidRPr="004570EB" w:rsidRDefault="00E17456" w:rsidP="00144BA0">
            <w:pPr>
              <w:pStyle w:val="a6"/>
              <w:rPr>
                <w:rFonts w:asciiTheme="majorHAnsi" w:hAnsiTheme="majorHAnsi"/>
                <w:sz w:val="20"/>
                <w:szCs w:val="20"/>
                <w:lang w:val="ro-RO"/>
              </w:rPr>
            </w:pPr>
            <w:r w:rsidRPr="004570EB">
              <w:rPr>
                <w:rFonts w:asciiTheme="majorHAnsi" w:hAnsiTheme="majorHAnsi"/>
                <w:sz w:val="20"/>
                <w:szCs w:val="20"/>
                <w:lang w:val="ro-RO"/>
              </w:rPr>
              <w:t>30,2</w:t>
            </w:r>
          </w:p>
        </w:tc>
        <w:tc>
          <w:tcPr>
            <w:tcW w:w="438" w:type="pct"/>
            <w:tcBorders>
              <w:top w:val="single" w:sz="4" w:space="0" w:color="17365D"/>
              <w:left w:val="single" w:sz="4" w:space="0" w:color="auto"/>
              <w:bottom w:val="single" w:sz="4" w:space="0" w:color="17365D"/>
              <w:right w:val="single" w:sz="4" w:space="0" w:color="17365D"/>
            </w:tcBorders>
            <w:vAlign w:val="center"/>
          </w:tcPr>
          <w:p w14:paraId="1F35BA38" w14:textId="77777777" w:rsidR="00144BA0" w:rsidRPr="004570EB" w:rsidRDefault="00E17456" w:rsidP="00144BA0">
            <w:pPr>
              <w:pStyle w:val="a6"/>
              <w:rPr>
                <w:rFonts w:asciiTheme="majorHAnsi" w:hAnsiTheme="majorHAnsi"/>
                <w:sz w:val="20"/>
                <w:szCs w:val="20"/>
                <w:lang w:val="ro-RO"/>
              </w:rPr>
            </w:pPr>
            <w:r w:rsidRPr="004570EB">
              <w:rPr>
                <w:rFonts w:asciiTheme="majorHAnsi" w:hAnsiTheme="majorHAnsi"/>
                <w:sz w:val="20"/>
                <w:szCs w:val="20"/>
                <w:lang w:val="ro-RO"/>
              </w:rPr>
              <w:t>31,5</w:t>
            </w:r>
          </w:p>
        </w:tc>
        <w:tc>
          <w:tcPr>
            <w:tcW w:w="378" w:type="pct"/>
            <w:tcBorders>
              <w:top w:val="single" w:sz="4" w:space="0" w:color="17365D"/>
              <w:left w:val="single" w:sz="4" w:space="0" w:color="auto"/>
              <w:bottom w:val="single" w:sz="4" w:space="0" w:color="17365D"/>
              <w:right w:val="single" w:sz="4" w:space="0" w:color="17365D"/>
            </w:tcBorders>
            <w:vAlign w:val="center"/>
          </w:tcPr>
          <w:p w14:paraId="6B35AFD0" w14:textId="77777777" w:rsidR="00144BA0" w:rsidRPr="004570EB" w:rsidRDefault="006D130B" w:rsidP="00144BA0">
            <w:pPr>
              <w:pStyle w:val="a6"/>
              <w:rPr>
                <w:rFonts w:asciiTheme="majorHAnsi" w:hAnsiTheme="majorHAnsi"/>
                <w:sz w:val="20"/>
                <w:szCs w:val="20"/>
                <w:lang w:val="ro-RO"/>
              </w:rPr>
            </w:pPr>
            <w:r w:rsidRPr="004570EB">
              <w:rPr>
                <w:rFonts w:asciiTheme="majorHAnsi" w:hAnsiTheme="majorHAnsi"/>
                <w:sz w:val="20"/>
                <w:szCs w:val="20"/>
                <w:lang w:val="ro-RO"/>
              </w:rPr>
              <w:t>+1,3</w:t>
            </w:r>
          </w:p>
        </w:tc>
      </w:tr>
      <w:tr w:rsidR="007B3619" w:rsidRPr="004570EB" w14:paraId="0B5ACA77" w14:textId="77777777" w:rsidTr="00280E71">
        <w:trPr>
          <w:trHeight w:val="252"/>
          <w:jc w:val="center"/>
        </w:trPr>
        <w:tc>
          <w:tcPr>
            <w:tcW w:w="1326" w:type="pct"/>
            <w:tcBorders>
              <w:top w:val="single" w:sz="4" w:space="0" w:color="17365D"/>
              <w:left w:val="single" w:sz="4" w:space="0" w:color="auto"/>
              <w:bottom w:val="single" w:sz="4" w:space="0" w:color="17365D"/>
              <w:right w:val="single" w:sz="4" w:space="0" w:color="17365D"/>
            </w:tcBorders>
          </w:tcPr>
          <w:p w14:paraId="65060428" w14:textId="77777777" w:rsidR="00144BA0" w:rsidRPr="004570EB" w:rsidRDefault="00144BA0" w:rsidP="00144BA0">
            <w:pPr>
              <w:pStyle w:val="a6"/>
              <w:rPr>
                <w:rFonts w:asciiTheme="majorHAnsi" w:hAnsiTheme="majorHAnsi"/>
                <w:sz w:val="20"/>
                <w:szCs w:val="20"/>
                <w:lang w:val="ro-RO"/>
              </w:rPr>
            </w:pPr>
            <w:r w:rsidRPr="004570EB">
              <w:rPr>
                <w:rFonts w:asciiTheme="majorHAnsi" w:hAnsiTheme="majorHAnsi"/>
                <w:sz w:val="20"/>
                <w:szCs w:val="20"/>
                <w:lang w:val="ro-RO"/>
              </w:rPr>
              <w:t xml:space="preserve">b) Perioada medie de refixare a datoriei de stat (ATR), </w:t>
            </w:r>
            <w:r w:rsidRPr="004570EB">
              <w:rPr>
                <w:rFonts w:asciiTheme="majorHAnsi" w:hAnsiTheme="majorHAnsi"/>
                <w:b/>
                <w:sz w:val="20"/>
                <w:szCs w:val="20"/>
                <w:lang w:val="ro-RO"/>
              </w:rPr>
              <w:t>ani</w:t>
            </w:r>
          </w:p>
        </w:tc>
        <w:tc>
          <w:tcPr>
            <w:tcW w:w="390" w:type="pct"/>
            <w:tcBorders>
              <w:top w:val="single" w:sz="4" w:space="0" w:color="17365D"/>
              <w:left w:val="single" w:sz="4" w:space="0" w:color="17365D"/>
              <w:bottom w:val="single" w:sz="4" w:space="0" w:color="17365D"/>
              <w:right w:val="single" w:sz="4" w:space="0" w:color="auto"/>
            </w:tcBorders>
            <w:vAlign w:val="center"/>
          </w:tcPr>
          <w:p w14:paraId="32DA6CAA" w14:textId="77777777" w:rsidR="00144BA0" w:rsidRPr="004570EB" w:rsidRDefault="00144BA0" w:rsidP="00144BA0">
            <w:pPr>
              <w:pStyle w:val="a6"/>
              <w:rPr>
                <w:rFonts w:asciiTheme="majorHAnsi" w:hAnsiTheme="majorHAnsi"/>
                <w:sz w:val="20"/>
                <w:szCs w:val="20"/>
                <w:lang w:val="ro-RO"/>
              </w:rPr>
            </w:pPr>
            <w:r w:rsidRPr="004570EB">
              <w:rPr>
                <w:rFonts w:asciiTheme="majorHAnsi" w:hAnsiTheme="majorHAnsi"/>
                <w:sz w:val="20"/>
                <w:szCs w:val="20"/>
                <w:lang w:val="ro-RO"/>
              </w:rPr>
              <w:t>9,1</w:t>
            </w:r>
          </w:p>
        </w:tc>
        <w:tc>
          <w:tcPr>
            <w:tcW w:w="373" w:type="pct"/>
            <w:tcBorders>
              <w:top w:val="single" w:sz="4" w:space="0" w:color="17365D"/>
              <w:left w:val="single" w:sz="4" w:space="0" w:color="auto"/>
              <w:bottom w:val="single" w:sz="4" w:space="0" w:color="17365D"/>
              <w:right w:val="single" w:sz="4" w:space="0" w:color="17365D"/>
            </w:tcBorders>
            <w:vAlign w:val="center"/>
          </w:tcPr>
          <w:p w14:paraId="00879273" w14:textId="77777777" w:rsidR="00144BA0" w:rsidRPr="004570EB" w:rsidRDefault="007F63FC" w:rsidP="00144BA0">
            <w:pPr>
              <w:pStyle w:val="a6"/>
              <w:rPr>
                <w:rFonts w:asciiTheme="majorHAnsi" w:hAnsiTheme="majorHAnsi"/>
                <w:sz w:val="20"/>
                <w:szCs w:val="20"/>
                <w:lang w:val="ro-RO"/>
              </w:rPr>
            </w:pPr>
            <w:r w:rsidRPr="004570EB">
              <w:rPr>
                <w:rFonts w:asciiTheme="majorHAnsi" w:hAnsiTheme="majorHAnsi"/>
                <w:sz w:val="20"/>
                <w:szCs w:val="20"/>
                <w:lang w:val="ro-RO"/>
              </w:rPr>
              <w:t>8,5</w:t>
            </w:r>
          </w:p>
        </w:tc>
        <w:tc>
          <w:tcPr>
            <w:tcW w:w="488" w:type="pct"/>
            <w:tcBorders>
              <w:top w:val="single" w:sz="4" w:space="0" w:color="17365D"/>
              <w:left w:val="single" w:sz="4" w:space="0" w:color="auto"/>
              <w:bottom w:val="single" w:sz="4" w:space="0" w:color="17365D"/>
              <w:right w:val="single" w:sz="4" w:space="0" w:color="17365D"/>
            </w:tcBorders>
            <w:vAlign w:val="center"/>
          </w:tcPr>
          <w:p w14:paraId="6C09ED56" w14:textId="77777777" w:rsidR="00144BA0" w:rsidRPr="004570EB" w:rsidRDefault="006F3C71" w:rsidP="00144BA0">
            <w:pPr>
              <w:pStyle w:val="a6"/>
              <w:rPr>
                <w:rFonts w:asciiTheme="majorHAnsi" w:hAnsiTheme="majorHAnsi"/>
                <w:sz w:val="20"/>
                <w:szCs w:val="20"/>
                <w:lang w:val="ro-RO"/>
              </w:rPr>
            </w:pPr>
            <w:r w:rsidRPr="004570EB">
              <w:rPr>
                <w:rFonts w:asciiTheme="majorHAnsi" w:hAnsiTheme="majorHAnsi"/>
                <w:sz w:val="20"/>
                <w:szCs w:val="20"/>
                <w:lang w:val="ro-RO"/>
              </w:rPr>
              <w:t>-0,6</w:t>
            </w:r>
          </w:p>
        </w:tc>
        <w:tc>
          <w:tcPr>
            <w:tcW w:w="386" w:type="pct"/>
            <w:tcBorders>
              <w:top w:val="single" w:sz="4" w:space="0" w:color="17365D"/>
              <w:left w:val="single" w:sz="4" w:space="0" w:color="17365D"/>
              <w:bottom w:val="single" w:sz="4" w:space="0" w:color="17365D"/>
              <w:right w:val="single" w:sz="4" w:space="0" w:color="auto"/>
            </w:tcBorders>
            <w:vAlign w:val="center"/>
          </w:tcPr>
          <w:p w14:paraId="53E2F8D9" w14:textId="77777777" w:rsidR="00144BA0" w:rsidRPr="004570EB" w:rsidRDefault="00144BA0" w:rsidP="00144BA0">
            <w:pPr>
              <w:pStyle w:val="a6"/>
              <w:rPr>
                <w:rFonts w:asciiTheme="majorHAnsi" w:hAnsiTheme="majorHAnsi"/>
                <w:sz w:val="20"/>
                <w:szCs w:val="20"/>
                <w:lang w:val="ro-RO"/>
              </w:rPr>
            </w:pPr>
            <w:r w:rsidRPr="004570EB">
              <w:rPr>
                <w:rFonts w:asciiTheme="majorHAnsi" w:hAnsiTheme="majorHAnsi"/>
                <w:sz w:val="20"/>
                <w:szCs w:val="20"/>
                <w:lang w:val="ro-RO"/>
              </w:rPr>
              <w:t>7,1</w:t>
            </w:r>
          </w:p>
        </w:tc>
        <w:tc>
          <w:tcPr>
            <w:tcW w:w="372" w:type="pct"/>
            <w:tcBorders>
              <w:top w:val="single" w:sz="4" w:space="0" w:color="17365D"/>
              <w:left w:val="single" w:sz="4" w:space="0" w:color="auto"/>
              <w:bottom w:val="single" w:sz="4" w:space="0" w:color="17365D"/>
              <w:right w:val="single" w:sz="4" w:space="0" w:color="17365D"/>
            </w:tcBorders>
            <w:vAlign w:val="center"/>
          </w:tcPr>
          <w:p w14:paraId="457184E8" w14:textId="77777777" w:rsidR="00144BA0" w:rsidRPr="004570EB" w:rsidRDefault="007F63FC" w:rsidP="00144BA0">
            <w:pPr>
              <w:pStyle w:val="a6"/>
              <w:rPr>
                <w:rFonts w:asciiTheme="majorHAnsi" w:hAnsiTheme="majorHAnsi"/>
                <w:sz w:val="20"/>
                <w:szCs w:val="20"/>
                <w:lang w:val="ro-RO"/>
              </w:rPr>
            </w:pPr>
            <w:r w:rsidRPr="004570EB">
              <w:rPr>
                <w:rFonts w:asciiTheme="majorHAnsi" w:hAnsiTheme="majorHAnsi"/>
                <w:sz w:val="20"/>
                <w:szCs w:val="20"/>
                <w:lang w:val="ro-RO"/>
              </w:rPr>
              <w:t>6,7</w:t>
            </w:r>
          </w:p>
        </w:tc>
        <w:tc>
          <w:tcPr>
            <w:tcW w:w="403" w:type="pct"/>
            <w:tcBorders>
              <w:top w:val="single" w:sz="4" w:space="0" w:color="17365D"/>
              <w:left w:val="single" w:sz="4" w:space="0" w:color="auto"/>
              <w:bottom w:val="single" w:sz="4" w:space="0" w:color="17365D"/>
              <w:right w:val="single" w:sz="4" w:space="0" w:color="17365D"/>
            </w:tcBorders>
            <w:vAlign w:val="center"/>
          </w:tcPr>
          <w:p w14:paraId="2F049D96" w14:textId="77777777" w:rsidR="00144BA0" w:rsidRPr="004570EB" w:rsidRDefault="006D130B" w:rsidP="00144BA0">
            <w:pPr>
              <w:pStyle w:val="a6"/>
              <w:rPr>
                <w:rFonts w:asciiTheme="majorHAnsi" w:hAnsiTheme="majorHAnsi"/>
                <w:sz w:val="20"/>
                <w:szCs w:val="20"/>
                <w:lang w:val="ro-RO"/>
              </w:rPr>
            </w:pPr>
            <w:r w:rsidRPr="004570EB">
              <w:rPr>
                <w:rFonts w:asciiTheme="majorHAnsi" w:hAnsiTheme="majorHAnsi"/>
                <w:sz w:val="20"/>
                <w:szCs w:val="20"/>
                <w:lang w:val="ro-RO"/>
              </w:rPr>
              <w:t>-0,4</w:t>
            </w:r>
          </w:p>
        </w:tc>
        <w:tc>
          <w:tcPr>
            <w:tcW w:w="447" w:type="pct"/>
            <w:tcBorders>
              <w:top w:val="single" w:sz="4" w:space="0" w:color="17365D"/>
              <w:left w:val="single" w:sz="4" w:space="0" w:color="17365D"/>
              <w:bottom w:val="single" w:sz="4" w:space="0" w:color="17365D"/>
              <w:right w:val="single" w:sz="4" w:space="0" w:color="auto"/>
            </w:tcBorders>
            <w:vAlign w:val="center"/>
          </w:tcPr>
          <w:p w14:paraId="5F1E4D25" w14:textId="77777777" w:rsidR="00144BA0" w:rsidRPr="004570EB" w:rsidRDefault="00144BA0" w:rsidP="00144BA0">
            <w:pPr>
              <w:pStyle w:val="a6"/>
              <w:rPr>
                <w:rFonts w:asciiTheme="majorHAnsi" w:hAnsiTheme="majorHAnsi"/>
                <w:sz w:val="20"/>
                <w:szCs w:val="20"/>
                <w:lang w:val="ro-RO"/>
              </w:rPr>
            </w:pPr>
            <w:r w:rsidRPr="004570EB">
              <w:rPr>
                <w:rFonts w:asciiTheme="majorHAnsi" w:hAnsiTheme="majorHAnsi"/>
                <w:sz w:val="20"/>
                <w:szCs w:val="20"/>
                <w:lang w:val="ro-RO"/>
              </w:rPr>
              <w:t>8,0</w:t>
            </w:r>
          </w:p>
        </w:tc>
        <w:tc>
          <w:tcPr>
            <w:tcW w:w="438" w:type="pct"/>
            <w:tcBorders>
              <w:top w:val="single" w:sz="4" w:space="0" w:color="17365D"/>
              <w:left w:val="single" w:sz="4" w:space="0" w:color="auto"/>
              <w:bottom w:val="single" w:sz="4" w:space="0" w:color="17365D"/>
              <w:right w:val="single" w:sz="4" w:space="0" w:color="17365D"/>
            </w:tcBorders>
            <w:vAlign w:val="center"/>
          </w:tcPr>
          <w:p w14:paraId="2882737D" w14:textId="77777777" w:rsidR="00144BA0" w:rsidRPr="004570EB" w:rsidRDefault="007F63FC" w:rsidP="00144BA0">
            <w:pPr>
              <w:pStyle w:val="a6"/>
              <w:rPr>
                <w:rFonts w:asciiTheme="majorHAnsi" w:hAnsiTheme="majorHAnsi"/>
                <w:sz w:val="20"/>
                <w:szCs w:val="20"/>
                <w:lang w:val="ro-RO"/>
              </w:rPr>
            </w:pPr>
            <w:r w:rsidRPr="004570EB">
              <w:rPr>
                <w:rFonts w:asciiTheme="majorHAnsi" w:hAnsiTheme="majorHAnsi"/>
                <w:sz w:val="20"/>
                <w:szCs w:val="20"/>
                <w:lang w:val="ro-RO"/>
              </w:rPr>
              <w:t>7,5</w:t>
            </w:r>
          </w:p>
        </w:tc>
        <w:tc>
          <w:tcPr>
            <w:tcW w:w="378" w:type="pct"/>
            <w:tcBorders>
              <w:top w:val="single" w:sz="4" w:space="0" w:color="17365D"/>
              <w:left w:val="single" w:sz="4" w:space="0" w:color="auto"/>
              <w:bottom w:val="single" w:sz="4" w:space="0" w:color="17365D"/>
              <w:right w:val="single" w:sz="4" w:space="0" w:color="17365D"/>
            </w:tcBorders>
            <w:vAlign w:val="center"/>
          </w:tcPr>
          <w:p w14:paraId="2F953D3B" w14:textId="77777777" w:rsidR="00144BA0" w:rsidRPr="004570EB" w:rsidRDefault="006D130B" w:rsidP="00144BA0">
            <w:pPr>
              <w:pStyle w:val="a6"/>
              <w:rPr>
                <w:rFonts w:asciiTheme="majorHAnsi" w:hAnsiTheme="majorHAnsi"/>
                <w:sz w:val="20"/>
                <w:szCs w:val="20"/>
                <w:lang w:val="ro-RO"/>
              </w:rPr>
            </w:pPr>
            <w:r w:rsidRPr="004570EB">
              <w:rPr>
                <w:rFonts w:asciiTheme="majorHAnsi" w:hAnsiTheme="majorHAnsi"/>
                <w:sz w:val="20"/>
                <w:szCs w:val="20"/>
                <w:lang w:val="ro-RO"/>
              </w:rPr>
              <w:t>-0,5</w:t>
            </w:r>
          </w:p>
        </w:tc>
      </w:tr>
      <w:tr w:rsidR="007B3619" w:rsidRPr="004570EB" w14:paraId="2822EE06" w14:textId="77777777" w:rsidTr="00280E71">
        <w:trPr>
          <w:trHeight w:val="252"/>
          <w:jc w:val="center"/>
        </w:trPr>
        <w:tc>
          <w:tcPr>
            <w:tcW w:w="1326" w:type="pct"/>
            <w:tcBorders>
              <w:top w:val="single" w:sz="4" w:space="0" w:color="17365D"/>
              <w:left w:val="single" w:sz="4" w:space="0" w:color="auto"/>
              <w:bottom w:val="single" w:sz="4" w:space="0" w:color="17365D"/>
              <w:right w:val="single" w:sz="4" w:space="0" w:color="17365D"/>
            </w:tcBorders>
          </w:tcPr>
          <w:p w14:paraId="3515FC64" w14:textId="77777777" w:rsidR="00144BA0" w:rsidRPr="004570EB" w:rsidRDefault="00144BA0" w:rsidP="00144BA0">
            <w:pPr>
              <w:pStyle w:val="a6"/>
              <w:rPr>
                <w:rFonts w:asciiTheme="majorHAnsi" w:hAnsiTheme="majorHAnsi"/>
                <w:sz w:val="20"/>
                <w:szCs w:val="20"/>
                <w:lang w:val="ro-RO"/>
              </w:rPr>
            </w:pPr>
            <w:r w:rsidRPr="004570EB">
              <w:rPr>
                <w:rFonts w:asciiTheme="majorHAnsi" w:hAnsiTheme="majorHAnsi"/>
                <w:sz w:val="20"/>
                <w:szCs w:val="20"/>
                <w:lang w:val="ro-RO"/>
              </w:rPr>
              <w:t>c) Datoria cu rata dobânzii ce urmează a fi refixată în decurs de 1 an (</w:t>
            </w:r>
            <w:r w:rsidRPr="004570EB">
              <w:rPr>
                <w:rFonts w:asciiTheme="majorHAnsi" w:hAnsiTheme="majorHAnsi"/>
                <w:b/>
                <w:sz w:val="20"/>
                <w:szCs w:val="20"/>
                <w:lang w:val="ro-RO"/>
              </w:rPr>
              <w:t xml:space="preserve">% </w:t>
            </w:r>
            <w:r w:rsidRPr="004570EB">
              <w:rPr>
                <w:rFonts w:asciiTheme="majorHAnsi" w:hAnsiTheme="majorHAnsi"/>
                <w:sz w:val="20"/>
                <w:szCs w:val="20"/>
                <w:lang w:val="ro-RO"/>
              </w:rPr>
              <w:t>din total)</w:t>
            </w:r>
          </w:p>
        </w:tc>
        <w:tc>
          <w:tcPr>
            <w:tcW w:w="390" w:type="pct"/>
            <w:tcBorders>
              <w:top w:val="single" w:sz="4" w:space="0" w:color="17365D"/>
              <w:left w:val="single" w:sz="4" w:space="0" w:color="17365D"/>
              <w:bottom w:val="single" w:sz="4" w:space="0" w:color="17365D"/>
              <w:right w:val="single" w:sz="4" w:space="0" w:color="auto"/>
            </w:tcBorders>
            <w:vAlign w:val="center"/>
          </w:tcPr>
          <w:p w14:paraId="278054E8" w14:textId="77777777" w:rsidR="00144BA0" w:rsidRPr="004570EB" w:rsidRDefault="007F63FC" w:rsidP="00144BA0">
            <w:pPr>
              <w:pStyle w:val="a6"/>
              <w:rPr>
                <w:rFonts w:asciiTheme="majorHAnsi" w:hAnsiTheme="majorHAnsi"/>
                <w:sz w:val="20"/>
                <w:szCs w:val="20"/>
                <w:lang w:val="ro-RO"/>
              </w:rPr>
            </w:pPr>
            <w:r w:rsidRPr="004570EB">
              <w:rPr>
                <w:rFonts w:asciiTheme="majorHAnsi" w:hAnsiTheme="majorHAnsi"/>
                <w:sz w:val="20"/>
                <w:szCs w:val="20"/>
                <w:lang w:val="ro-RO"/>
              </w:rPr>
              <w:t>38,9</w:t>
            </w:r>
          </w:p>
        </w:tc>
        <w:tc>
          <w:tcPr>
            <w:tcW w:w="373" w:type="pct"/>
            <w:tcBorders>
              <w:top w:val="single" w:sz="4" w:space="0" w:color="17365D"/>
              <w:left w:val="single" w:sz="4" w:space="0" w:color="auto"/>
              <w:bottom w:val="single" w:sz="4" w:space="0" w:color="17365D"/>
              <w:right w:val="single" w:sz="4" w:space="0" w:color="17365D"/>
            </w:tcBorders>
            <w:vAlign w:val="center"/>
          </w:tcPr>
          <w:p w14:paraId="01461430" w14:textId="77777777" w:rsidR="00144BA0" w:rsidRPr="004570EB" w:rsidRDefault="007F63FC" w:rsidP="00144BA0">
            <w:pPr>
              <w:pStyle w:val="a6"/>
              <w:rPr>
                <w:rFonts w:asciiTheme="majorHAnsi" w:hAnsiTheme="majorHAnsi"/>
                <w:sz w:val="20"/>
                <w:szCs w:val="20"/>
                <w:lang w:val="ro-RO"/>
              </w:rPr>
            </w:pPr>
            <w:r w:rsidRPr="004570EB">
              <w:rPr>
                <w:rFonts w:asciiTheme="majorHAnsi" w:hAnsiTheme="majorHAnsi"/>
                <w:sz w:val="20"/>
                <w:szCs w:val="20"/>
                <w:lang w:val="ro-RO"/>
              </w:rPr>
              <w:t>37,7</w:t>
            </w:r>
          </w:p>
        </w:tc>
        <w:tc>
          <w:tcPr>
            <w:tcW w:w="488" w:type="pct"/>
            <w:tcBorders>
              <w:top w:val="single" w:sz="4" w:space="0" w:color="17365D"/>
              <w:left w:val="single" w:sz="4" w:space="0" w:color="auto"/>
              <w:bottom w:val="single" w:sz="4" w:space="0" w:color="17365D"/>
              <w:right w:val="single" w:sz="4" w:space="0" w:color="17365D"/>
            </w:tcBorders>
            <w:vAlign w:val="center"/>
          </w:tcPr>
          <w:p w14:paraId="788128FC" w14:textId="77777777" w:rsidR="00144BA0" w:rsidRPr="004570EB" w:rsidRDefault="006F3C71" w:rsidP="00144BA0">
            <w:pPr>
              <w:pStyle w:val="a6"/>
              <w:rPr>
                <w:rFonts w:asciiTheme="majorHAnsi" w:hAnsiTheme="majorHAnsi"/>
                <w:sz w:val="20"/>
                <w:szCs w:val="20"/>
                <w:lang w:val="ro-RO"/>
              </w:rPr>
            </w:pPr>
            <w:r w:rsidRPr="004570EB">
              <w:rPr>
                <w:rFonts w:asciiTheme="majorHAnsi" w:hAnsiTheme="majorHAnsi"/>
                <w:sz w:val="20"/>
                <w:szCs w:val="20"/>
                <w:lang w:val="ro-RO"/>
              </w:rPr>
              <w:t>-1,2</w:t>
            </w:r>
          </w:p>
        </w:tc>
        <w:tc>
          <w:tcPr>
            <w:tcW w:w="386" w:type="pct"/>
            <w:tcBorders>
              <w:top w:val="single" w:sz="4" w:space="0" w:color="17365D"/>
              <w:left w:val="single" w:sz="4" w:space="0" w:color="17365D"/>
              <w:bottom w:val="single" w:sz="4" w:space="0" w:color="17365D"/>
              <w:right w:val="single" w:sz="4" w:space="0" w:color="auto"/>
            </w:tcBorders>
            <w:vAlign w:val="center"/>
          </w:tcPr>
          <w:p w14:paraId="0E0E4A8E" w14:textId="77777777" w:rsidR="00144BA0" w:rsidRPr="004570EB" w:rsidRDefault="007F63FC" w:rsidP="00144BA0">
            <w:pPr>
              <w:pStyle w:val="a6"/>
              <w:rPr>
                <w:rFonts w:asciiTheme="majorHAnsi" w:hAnsiTheme="majorHAnsi"/>
                <w:sz w:val="20"/>
                <w:szCs w:val="20"/>
                <w:lang w:val="ro-RO"/>
              </w:rPr>
            </w:pPr>
            <w:r w:rsidRPr="004570EB">
              <w:rPr>
                <w:rFonts w:asciiTheme="majorHAnsi" w:hAnsiTheme="majorHAnsi"/>
                <w:sz w:val="20"/>
                <w:szCs w:val="20"/>
                <w:lang w:val="ro-RO"/>
              </w:rPr>
              <w:t>30,2</w:t>
            </w:r>
          </w:p>
        </w:tc>
        <w:tc>
          <w:tcPr>
            <w:tcW w:w="372" w:type="pct"/>
            <w:tcBorders>
              <w:top w:val="single" w:sz="4" w:space="0" w:color="17365D"/>
              <w:left w:val="single" w:sz="4" w:space="0" w:color="auto"/>
              <w:bottom w:val="single" w:sz="4" w:space="0" w:color="17365D"/>
              <w:right w:val="single" w:sz="4" w:space="0" w:color="17365D"/>
            </w:tcBorders>
            <w:vAlign w:val="center"/>
          </w:tcPr>
          <w:p w14:paraId="554EE41B" w14:textId="77777777" w:rsidR="00144BA0" w:rsidRPr="004570EB" w:rsidRDefault="007F63FC" w:rsidP="00144BA0">
            <w:pPr>
              <w:pStyle w:val="a6"/>
              <w:rPr>
                <w:rFonts w:asciiTheme="majorHAnsi" w:hAnsiTheme="majorHAnsi"/>
                <w:sz w:val="20"/>
                <w:szCs w:val="20"/>
                <w:lang w:val="ro-RO"/>
              </w:rPr>
            </w:pPr>
            <w:r w:rsidRPr="004570EB">
              <w:rPr>
                <w:rFonts w:asciiTheme="majorHAnsi" w:hAnsiTheme="majorHAnsi"/>
                <w:sz w:val="20"/>
                <w:szCs w:val="20"/>
                <w:lang w:val="ro-RO"/>
              </w:rPr>
              <w:t>35,1</w:t>
            </w:r>
          </w:p>
        </w:tc>
        <w:tc>
          <w:tcPr>
            <w:tcW w:w="403" w:type="pct"/>
            <w:tcBorders>
              <w:top w:val="single" w:sz="4" w:space="0" w:color="17365D"/>
              <w:left w:val="single" w:sz="4" w:space="0" w:color="auto"/>
              <w:bottom w:val="single" w:sz="4" w:space="0" w:color="17365D"/>
              <w:right w:val="single" w:sz="4" w:space="0" w:color="17365D"/>
            </w:tcBorders>
            <w:vAlign w:val="center"/>
          </w:tcPr>
          <w:p w14:paraId="4E91B454" w14:textId="77777777" w:rsidR="00144BA0" w:rsidRPr="004570EB" w:rsidRDefault="006D130B" w:rsidP="00144BA0">
            <w:pPr>
              <w:pStyle w:val="a6"/>
              <w:rPr>
                <w:rFonts w:asciiTheme="majorHAnsi" w:hAnsiTheme="majorHAnsi"/>
                <w:sz w:val="20"/>
                <w:szCs w:val="20"/>
                <w:lang w:val="ro-RO"/>
              </w:rPr>
            </w:pPr>
            <w:r w:rsidRPr="004570EB">
              <w:rPr>
                <w:rFonts w:asciiTheme="majorHAnsi" w:hAnsiTheme="majorHAnsi"/>
                <w:sz w:val="20"/>
                <w:szCs w:val="20"/>
                <w:lang w:val="ro-RO"/>
              </w:rPr>
              <w:t>+4,9</w:t>
            </w:r>
          </w:p>
        </w:tc>
        <w:tc>
          <w:tcPr>
            <w:tcW w:w="447" w:type="pct"/>
            <w:tcBorders>
              <w:top w:val="single" w:sz="4" w:space="0" w:color="17365D"/>
              <w:left w:val="single" w:sz="4" w:space="0" w:color="17365D"/>
              <w:bottom w:val="single" w:sz="4" w:space="0" w:color="17365D"/>
              <w:right w:val="single" w:sz="4" w:space="0" w:color="auto"/>
            </w:tcBorders>
            <w:vAlign w:val="center"/>
          </w:tcPr>
          <w:p w14:paraId="46BFD029" w14:textId="77777777" w:rsidR="00144BA0" w:rsidRPr="004570EB" w:rsidRDefault="007F63FC" w:rsidP="00144BA0">
            <w:pPr>
              <w:pStyle w:val="a6"/>
              <w:rPr>
                <w:rFonts w:asciiTheme="majorHAnsi" w:hAnsiTheme="majorHAnsi"/>
                <w:sz w:val="20"/>
                <w:szCs w:val="20"/>
                <w:lang w:val="ro-RO"/>
              </w:rPr>
            </w:pPr>
            <w:r w:rsidRPr="004570EB">
              <w:rPr>
                <w:rFonts w:asciiTheme="majorHAnsi" w:hAnsiTheme="majorHAnsi"/>
                <w:sz w:val="20"/>
                <w:szCs w:val="20"/>
                <w:lang w:val="ro-RO"/>
              </w:rPr>
              <w:t>34,0</w:t>
            </w:r>
          </w:p>
        </w:tc>
        <w:tc>
          <w:tcPr>
            <w:tcW w:w="438" w:type="pct"/>
            <w:tcBorders>
              <w:top w:val="single" w:sz="4" w:space="0" w:color="17365D"/>
              <w:left w:val="single" w:sz="4" w:space="0" w:color="auto"/>
              <w:bottom w:val="single" w:sz="4" w:space="0" w:color="17365D"/>
              <w:right w:val="single" w:sz="4" w:space="0" w:color="17365D"/>
            </w:tcBorders>
            <w:vAlign w:val="center"/>
          </w:tcPr>
          <w:p w14:paraId="47A17FF9" w14:textId="77777777" w:rsidR="00144BA0" w:rsidRPr="004570EB" w:rsidRDefault="007F63FC" w:rsidP="00144BA0">
            <w:pPr>
              <w:pStyle w:val="a6"/>
              <w:rPr>
                <w:rFonts w:asciiTheme="majorHAnsi" w:hAnsiTheme="majorHAnsi"/>
                <w:sz w:val="20"/>
                <w:szCs w:val="20"/>
                <w:lang w:val="ro-RO"/>
              </w:rPr>
            </w:pPr>
            <w:r w:rsidRPr="004570EB">
              <w:rPr>
                <w:rFonts w:asciiTheme="majorHAnsi" w:hAnsiTheme="majorHAnsi"/>
                <w:sz w:val="20"/>
                <w:szCs w:val="20"/>
                <w:lang w:val="ro-RO"/>
              </w:rPr>
              <w:t>36,2</w:t>
            </w:r>
          </w:p>
        </w:tc>
        <w:tc>
          <w:tcPr>
            <w:tcW w:w="378" w:type="pct"/>
            <w:tcBorders>
              <w:top w:val="single" w:sz="4" w:space="0" w:color="17365D"/>
              <w:left w:val="single" w:sz="4" w:space="0" w:color="auto"/>
              <w:bottom w:val="single" w:sz="4" w:space="0" w:color="17365D"/>
              <w:right w:val="single" w:sz="4" w:space="0" w:color="17365D"/>
            </w:tcBorders>
            <w:vAlign w:val="center"/>
          </w:tcPr>
          <w:p w14:paraId="19B74D73" w14:textId="77777777" w:rsidR="00144BA0" w:rsidRPr="004570EB" w:rsidRDefault="006D130B" w:rsidP="00144BA0">
            <w:pPr>
              <w:pStyle w:val="a6"/>
              <w:rPr>
                <w:rFonts w:asciiTheme="majorHAnsi" w:hAnsiTheme="majorHAnsi"/>
                <w:sz w:val="20"/>
                <w:szCs w:val="20"/>
                <w:lang w:val="ro-RO"/>
              </w:rPr>
            </w:pPr>
            <w:r w:rsidRPr="004570EB">
              <w:rPr>
                <w:rFonts w:asciiTheme="majorHAnsi" w:hAnsiTheme="majorHAnsi"/>
                <w:sz w:val="20"/>
                <w:szCs w:val="20"/>
                <w:lang w:val="ro-RO"/>
              </w:rPr>
              <w:t>+2,2</w:t>
            </w:r>
          </w:p>
        </w:tc>
      </w:tr>
    </w:tbl>
    <w:p w14:paraId="5F122D53" w14:textId="0D519034" w:rsidR="006E4771" w:rsidRPr="004570EB" w:rsidRDefault="006E4771" w:rsidP="006E4771">
      <w:pPr>
        <w:tabs>
          <w:tab w:val="left" w:pos="284"/>
          <w:tab w:val="left" w:pos="426"/>
          <w:tab w:val="left" w:pos="993"/>
        </w:tabs>
        <w:spacing w:after="0" w:line="240" w:lineRule="auto"/>
        <w:jc w:val="both"/>
        <w:rPr>
          <w:rFonts w:asciiTheme="majorHAnsi" w:hAnsiTheme="majorHAnsi" w:cstheme="majorHAnsi"/>
          <w:sz w:val="20"/>
          <w:szCs w:val="20"/>
          <w:lang w:val="ro-RO"/>
        </w:rPr>
      </w:pPr>
      <w:r w:rsidRPr="004570EB">
        <w:rPr>
          <w:rFonts w:asciiTheme="majorHAnsi" w:hAnsiTheme="majorHAnsi" w:cstheme="majorHAnsi"/>
          <w:b/>
          <w:i/>
          <w:sz w:val="20"/>
          <w:szCs w:val="20"/>
          <w:lang w:val="ro-RO"/>
        </w:rPr>
        <w:t xml:space="preserve">Sursă: </w:t>
      </w:r>
      <w:r w:rsidR="00426B6B" w:rsidRPr="004570EB">
        <w:rPr>
          <w:rFonts w:asciiTheme="majorHAnsi" w:hAnsiTheme="majorHAnsi" w:cstheme="majorHAnsi"/>
          <w:b/>
          <w:i/>
          <w:sz w:val="20"/>
          <w:szCs w:val="20"/>
          <w:lang w:val="ro-RO"/>
        </w:rPr>
        <w:t xml:space="preserve"> </w:t>
      </w:r>
      <w:r w:rsidR="00C51950" w:rsidRPr="004570EB">
        <w:rPr>
          <w:rFonts w:asciiTheme="majorHAnsi" w:hAnsiTheme="majorHAnsi" w:cstheme="majorHAnsi"/>
          <w:sz w:val="20"/>
          <w:szCs w:val="20"/>
          <w:lang w:val="ro-RO"/>
        </w:rPr>
        <w:t>D</w:t>
      </w:r>
      <w:r w:rsidR="00E532AD" w:rsidRPr="004570EB">
        <w:rPr>
          <w:rFonts w:asciiTheme="majorHAnsi" w:hAnsiTheme="majorHAnsi" w:cstheme="majorHAnsi"/>
          <w:sz w:val="20"/>
          <w:szCs w:val="20"/>
          <w:lang w:val="ro-RO"/>
        </w:rPr>
        <w:t>atel</w:t>
      </w:r>
      <w:r w:rsidR="00C51950" w:rsidRPr="004570EB">
        <w:rPr>
          <w:rFonts w:asciiTheme="majorHAnsi" w:hAnsiTheme="majorHAnsi" w:cstheme="majorHAnsi"/>
          <w:sz w:val="20"/>
          <w:szCs w:val="20"/>
          <w:lang w:val="ro-RO"/>
        </w:rPr>
        <w:t>e</w:t>
      </w:r>
      <w:r w:rsidR="00E532AD" w:rsidRPr="004570EB">
        <w:rPr>
          <w:rFonts w:asciiTheme="majorHAnsi" w:hAnsiTheme="majorHAnsi" w:cstheme="majorHAnsi"/>
          <w:b/>
          <w:i/>
          <w:sz w:val="20"/>
          <w:szCs w:val="20"/>
          <w:lang w:val="ro-RO"/>
        </w:rPr>
        <w:t xml:space="preserve"> </w:t>
      </w:r>
      <w:r w:rsidRPr="004570EB">
        <w:rPr>
          <w:rFonts w:asciiTheme="majorHAnsi" w:hAnsiTheme="majorHAnsi" w:cstheme="majorHAnsi"/>
          <w:sz w:val="20"/>
          <w:szCs w:val="20"/>
          <w:lang w:val="ro-RO"/>
        </w:rPr>
        <w:t>Raportul</w:t>
      </w:r>
      <w:r w:rsidR="00426B6B" w:rsidRPr="004570EB">
        <w:rPr>
          <w:rFonts w:asciiTheme="majorHAnsi" w:hAnsiTheme="majorHAnsi" w:cstheme="majorHAnsi"/>
          <w:sz w:val="20"/>
          <w:szCs w:val="20"/>
          <w:lang w:val="ro-RO"/>
        </w:rPr>
        <w:t>ui</w:t>
      </w:r>
      <w:r w:rsidRPr="004570EB">
        <w:rPr>
          <w:rFonts w:asciiTheme="majorHAnsi" w:hAnsiTheme="majorHAnsi" w:cstheme="majorHAnsi"/>
          <w:sz w:val="20"/>
          <w:szCs w:val="20"/>
          <w:lang w:val="ro-RO"/>
        </w:rPr>
        <w:t xml:space="preserve"> privind situația în domeniul datoriei sectorului public, garanțiilor de stat și r</w:t>
      </w:r>
      <w:r w:rsidR="00144BA0" w:rsidRPr="004570EB">
        <w:rPr>
          <w:rFonts w:asciiTheme="majorHAnsi" w:hAnsiTheme="majorHAnsi" w:cstheme="majorHAnsi"/>
          <w:sz w:val="20"/>
          <w:szCs w:val="20"/>
          <w:lang w:val="ro-RO"/>
        </w:rPr>
        <w:t>ecreditării de stat pe anul 2018</w:t>
      </w:r>
      <w:r w:rsidR="00426B6B" w:rsidRPr="004570EB">
        <w:rPr>
          <w:rFonts w:asciiTheme="majorHAnsi" w:hAnsiTheme="majorHAnsi" w:cstheme="majorHAnsi"/>
          <w:sz w:val="20"/>
          <w:szCs w:val="20"/>
          <w:lang w:val="ro-RO"/>
        </w:rPr>
        <w:t>.</w:t>
      </w:r>
    </w:p>
    <w:p w14:paraId="5761BE7D" w14:textId="77777777" w:rsidR="008B1271" w:rsidRPr="00775266" w:rsidRDefault="008B1271" w:rsidP="006E4771">
      <w:pPr>
        <w:tabs>
          <w:tab w:val="left" w:pos="284"/>
          <w:tab w:val="left" w:pos="426"/>
          <w:tab w:val="left" w:pos="993"/>
        </w:tabs>
        <w:spacing w:after="0" w:line="240" w:lineRule="auto"/>
        <w:jc w:val="both"/>
        <w:rPr>
          <w:rFonts w:asciiTheme="majorHAnsi" w:hAnsiTheme="majorHAnsi" w:cstheme="majorHAnsi"/>
          <w:sz w:val="28"/>
          <w:szCs w:val="28"/>
          <w:highlight w:val="yellow"/>
          <w:lang w:val="ro-RO"/>
        </w:rPr>
      </w:pPr>
    </w:p>
    <w:p w14:paraId="5BD5AC7B" w14:textId="0D15D9C2" w:rsidR="006E4771" w:rsidRPr="002047F4" w:rsidRDefault="006E4771" w:rsidP="006E4771">
      <w:pPr>
        <w:tabs>
          <w:tab w:val="left" w:pos="284"/>
          <w:tab w:val="left" w:pos="426"/>
          <w:tab w:val="left" w:pos="993"/>
        </w:tabs>
        <w:spacing w:after="0" w:line="240" w:lineRule="auto"/>
        <w:jc w:val="both"/>
        <w:rPr>
          <w:rFonts w:asciiTheme="majorHAnsi" w:hAnsiTheme="majorHAnsi" w:cstheme="majorHAnsi"/>
          <w:sz w:val="24"/>
          <w:szCs w:val="24"/>
          <w:lang w:val="ro-RO"/>
        </w:rPr>
      </w:pPr>
      <w:r w:rsidRPr="002047F4">
        <w:rPr>
          <w:rFonts w:asciiTheme="majorHAnsi" w:hAnsiTheme="majorHAnsi" w:cstheme="majorHAnsi"/>
          <w:b/>
          <w:sz w:val="24"/>
          <w:szCs w:val="24"/>
          <w:lang w:val="ro-RO"/>
        </w:rPr>
        <w:t>*Notă:</w:t>
      </w:r>
      <w:r w:rsidRPr="002047F4">
        <w:rPr>
          <w:rFonts w:asciiTheme="majorHAnsi" w:hAnsiTheme="majorHAnsi" w:cstheme="majorHAnsi"/>
          <w:sz w:val="24"/>
          <w:szCs w:val="24"/>
          <w:lang w:val="ro-RO"/>
        </w:rPr>
        <w:t xml:space="preserve"> </w:t>
      </w:r>
      <w:r w:rsidRPr="002047F4">
        <w:rPr>
          <w:rFonts w:asciiTheme="majorHAnsi" w:hAnsiTheme="majorHAnsi" w:cstheme="majorHAnsi"/>
          <w:i/>
          <w:sz w:val="24"/>
          <w:szCs w:val="24"/>
          <w:lang w:val="ro-RO"/>
        </w:rPr>
        <w:t>În contextul analizei riscului ratei de dobândă, datoria de stat internă cu maturitatea de până la un an și purtătoare de rată a dobânzii fixă va fi atribuită la categoria dator</w:t>
      </w:r>
      <w:r w:rsidRPr="00C51950">
        <w:rPr>
          <w:rFonts w:asciiTheme="majorHAnsi" w:hAnsiTheme="majorHAnsi" w:cstheme="majorHAnsi"/>
          <w:i/>
          <w:sz w:val="24"/>
          <w:szCs w:val="24"/>
          <w:lang w:val="ro-RO"/>
        </w:rPr>
        <w:t>i</w:t>
      </w:r>
      <w:r w:rsidR="002E1058" w:rsidRPr="00E02CD8">
        <w:rPr>
          <w:rFonts w:asciiTheme="majorHAnsi" w:hAnsiTheme="majorHAnsi" w:cstheme="majorHAnsi"/>
          <w:i/>
          <w:sz w:val="24"/>
          <w:szCs w:val="24"/>
          <w:lang w:val="ro-RO"/>
        </w:rPr>
        <w:t>a</w:t>
      </w:r>
      <w:r w:rsidRPr="002047F4">
        <w:rPr>
          <w:rFonts w:asciiTheme="majorHAnsi" w:hAnsiTheme="majorHAnsi" w:cstheme="majorHAnsi"/>
          <w:i/>
          <w:sz w:val="24"/>
          <w:szCs w:val="24"/>
          <w:lang w:val="ro-RO"/>
        </w:rPr>
        <w:t xml:space="preserve"> cu rata dobânzii flotantă, întrucât</w:t>
      </w:r>
      <w:r w:rsidR="0091633E" w:rsidRPr="002047F4">
        <w:rPr>
          <w:rFonts w:asciiTheme="majorHAnsi" w:hAnsiTheme="majorHAnsi" w:cstheme="majorHAnsi"/>
          <w:i/>
          <w:sz w:val="24"/>
          <w:szCs w:val="24"/>
          <w:lang w:val="ro-RO"/>
        </w:rPr>
        <w:t>,</w:t>
      </w:r>
      <w:r w:rsidRPr="002047F4">
        <w:rPr>
          <w:rFonts w:asciiTheme="majorHAnsi" w:hAnsiTheme="majorHAnsi" w:cstheme="majorHAnsi"/>
          <w:i/>
          <w:sz w:val="24"/>
          <w:szCs w:val="24"/>
          <w:lang w:val="ro-RO"/>
        </w:rPr>
        <w:t xml:space="preserve"> din cauza maturității reduse</w:t>
      </w:r>
      <w:r w:rsidR="0091633E" w:rsidRPr="002047F4">
        <w:rPr>
          <w:rFonts w:asciiTheme="majorHAnsi" w:hAnsiTheme="majorHAnsi" w:cstheme="majorHAnsi"/>
          <w:i/>
          <w:sz w:val="24"/>
          <w:szCs w:val="24"/>
          <w:lang w:val="ro-RO"/>
        </w:rPr>
        <w:t>,</w:t>
      </w:r>
      <w:r w:rsidRPr="002047F4">
        <w:rPr>
          <w:rFonts w:asciiTheme="majorHAnsi" w:hAnsiTheme="majorHAnsi" w:cstheme="majorHAnsi"/>
          <w:i/>
          <w:sz w:val="24"/>
          <w:szCs w:val="24"/>
          <w:lang w:val="ro-RO"/>
        </w:rPr>
        <w:t xml:space="preserve"> aceasta va fi refinanțată în fiecare an</w:t>
      </w:r>
      <w:r w:rsidR="0091633E" w:rsidRPr="002047F4">
        <w:rPr>
          <w:rFonts w:asciiTheme="majorHAnsi" w:hAnsiTheme="majorHAnsi" w:cstheme="majorHAnsi"/>
          <w:i/>
          <w:sz w:val="24"/>
          <w:szCs w:val="24"/>
          <w:lang w:val="ro-RO"/>
        </w:rPr>
        <w:t>,</w:t>
      </w:r>
      <w:r w:rsidRPr="002047F4">
        <w:rPr>
          <w:rFonts w:asciiTheme="majorHAnsi" w:hAnsiTheme="majorHAnsi" w:cstheme="majorHAnsi"/>
          <w:i/>
          <w:sz w:val="24"/>
          <w:szCs w:val="24"/>
          <w:lang w:val="ro-RO"/>
        </w:rPr>
        <w:t xml:space="preserve"> la condiții noi de piață, fiind su</w:t>
      </w:r>
      <w:r w:rsidR="00426B6B" w:rsidRPr="002047F4">
        <w:rPr>
          <w:rFonts w:asciiTheme="majorHAnsi" w:hAnsiTheme="majorHAnsi" w:cstheme="majorHAnsi"/>
          <w:i/>
          <w:sz w:val="24"/>
          <w:szCs w:val="24"/>
          <w:lang w:val="ro-RO"/>
        </w:rPr>
        <w:t>pusă riscului ratei de dobândă.</w:t>
      </w:r>
    </w:p>
    <w:p w14:paraId="2F46DA2E" w14:textId="77777777" w:rsidR="00426B6B" w:rsidRPr="002047F4" w:rsidRDefault="00426B6B" w:rsidP="006E4771">
      <w:pPr>
        <w:tabs>
          <w:tab w:val="left" w:pos="284"/>
          <w:tab w:val="left" w:pos="426"/>
          <w:tab w:val="left" w:pos="993"/>
        </w:tabs>
        <w:spacing w:after="0" w:line="240" w:lineRule="auto"/>
        <w:jc w:val="both"/>
        <w:rPr>
          <w:rFonts w:asciiTheme="majorHAnsi" w:hAnsiTheme="majorHAnsi" w:cstheme="majorHAnsi"/>
          <w:sz w:val="24"/>
          <w:szCs w:val="24"/>
          <w:lang w:val="ro-RO"/>
        </w:rPr>
      </w:pPr>
    </w:p>
    <w:p w14:paraId="4C2CD4FA" w14:textId="7706BBC1" w:rsidR="004F4F72" w:rsidRPr="002047F4" w:rsidRDefault="006B3D5E" w:rsidP="009A751F">
      <w:pPr>
        <w:tabs>
          <w:tab w:val="left" w:pos="567"/>
          <w:tab w:val="left" w:pos="993"/>
        </w:tabs>
        <w:spacing w:after="0" w:line="276" w:lineRule="auto"/>
        <w:jc w:val="both"/>
        <w:rPr>
          <w:rFonts w:asciiTheme="majorHAnsi" w:hAnsiTheme="majorHAnsi" w:cstheme="majorHAnsi"/>
          <w:sz w:val="24"/>
          <w:szCs w:val="24"/>
          <w:lang w:val="ro-RO"/>
        </w:rPr>
      </w:pPr>
      <w:r w:rsidRPr="002047F4">
        <w:rPr>
          <w:rFonts w:asciiTheme="majorHAnsi" w:hAnsiTheme="majorHAnsi" w:cstheme="majorHAnsi"/>
          <w:sz w:val="24"/>
          <w:szCs w:val="24"/>
          <w:lang w:val="ro-RO"/>
        </w:rPr>
        <w:tab/>
        <w:t>Auditul denotă că</w:t>
      </w:r>
      <w:r w:rsidR="00804979">
        <w:rPr>
          <w:rFonts w:asciiTheme="majorHAnsi" w:hAnsiTheme="majorHAnsi" w:cstheme="majorHAnsi"/>
          <w:sz w:val="24"/>
          <w:szCs w:val="24"/>
          <w:lang w:val="ro-RO"/>
        </w:rPr>
        <w:t>,</w:t>
      </w:r>
      <w:r w:rsidRPr="002047F4">
        <w:rPr>
          <w:rFonts w:asciiTheme="majorHAnsi" w:hAnsiTheme="majorHAnsi" w:cstheme="majorHAnsi"/>
          <w:sz w:val="24"/>
          <w:szCs w:val="24"/>
          <w:lang w:val="ro-RO"/>
        </w:rPr>
        <w:t xml:space="preserve"> la situația din 31.12.2018, 37,0% </w:t>
      </w:r>
      <w:r w:rsidR="006E4771" w:rsidRPr="002047F4">
        <w:rPr>
          <w:rFonts w:asciiTheme="majorHAnsi" w:hAnsiTheme="majorHAnsi" w:cstheme="majorHAnsi"/>
          <w:sz w:val="24"/>
          <w:szCs w:val="24"/>
          <w:lang w:val="ro-RO"/>
        </w:rPr>
        <w:t>din datoria de sta</w:t>
      </w:r>
      <w:r w:rsidR="0077158C" w:rsidRPr="002047F4">
        <w:rPr>
          <w:rFonts w:asciiTheme="majorHAnsi" w:hAnsiTheme="majorHAnsi" w:cstheme="majorHAnsi"/>
          <w:sz w:val="24"/>
          <w:szCs w:val="24"/>
          <w:lang w:val="ro-RO"/>
        </w:rPr>
        <w:t>t internă</w:t>
      </w:r>
      <w:r w:rsidR="001612A3" w:rsidRPr="002047F4">
        <w:rPr>
          <w:rFonts w:asciiTheme="majorHAnsi" w:hAnsiTheme="majorHAnsi" w:cstheme="majorHAnsi"/>
          <w:sz w:val="24"/>
          <w:szCs w:val="24"/>
          <w:lang w:val="ro-RO"/>
        </w:rPr>
        <w:t xml:space="preserve"> </w:t>
      </w:r>
      <w:r w:rsidR="00623237" w:rsidRPr="002047F4">
        <w:rPr>
          <w:rFonts w:asciiTheme="majorHAnsi" w:hAnsiTheme="majorHAnsi" w:cstheme="majorHAnsi"/>
          <w:sz w:val="24"/>
          <w:szCs w:val="24"/>
          <w:lang w:val="ro-RO"/>
        </w:rPr>
        <w:t>urmează să ajungă la</w:t>
      </w:r>
      <w:r w:rsidR="0077158C" w:rsidRPr="002047F4">
        <w:rPr>
          <w:rFonts w:asciiTheme="majorHAnsi" w:hAnsiTheme="majorHAnsi" w:cstheme="majorHAnsi"/>
          <w:sz w:val="24"/>
          <w:szCs w:val="24"/>
          <w:lang w:val="ro-RO"/>
        </w:rPr>
        <w:t xml:space="preserve"> scadență </w:t>
      </w:r>
      <w:r w:rsidR="001612A3" w:rsidRPr="002047F4">
        <w:rPr>
          <w:rFonts w:asciiTheme="majorHAnsi" w:hAnsiTheme="majorHAnsi" w:cstheme="majorHAnsi"/>
          <w:sz w:val="24"/>
          <w:szCs w:val="24"/>
          <w:lang w:val="ro-RO"/>
        </w:rPr>
        <w:t xml:space="preserve">pe parcursul anului </w:t>
      </w:r>
      <w:r w:rsidR="00623237" w:rsidRPr="002047F4">
        <w:rPr>
          <w:rFonts w:asciiTheme="majorHAnsi" w:hAnsiTheme="majorHAnsi" w:cstheme="majorHAnsi"/>
          <w:sz w:val="24"/>
          <w:szCs w:val="24"/>
          <w:lang w:val="ro-RO"/>
        </w:rPr>
        <w:t>2019</w:t>
      </w:r>
      <w:r w:rsidR="006E4771" w:rsidRPr="002047F4">
        <w:rPr>
          <w:rFonts w:asciiTheme="majorHAnsi" w:hAnsiTheme="majorHAnsi" w:cstheme="majorHAnsi"/>
          <w:sz w:val="24"/>
          <w:szCs w:val="24"/>
          <w:lang w:val="ro-RO"/>
        </w:rPr>
        <w:t>, ceea ce denot</w:t>
      </w:r>
      <w:r w:rsidR="00623237" w:rsidRPr="002047F4">
        <w:rPr>
          <w:rFonts w:asciiTheme="majorHAnsi" w:hAnsiTheme="majorHAnsi" w:cstheme="majorHAnsi"/>
          <w:sz w:val="24"/>
          <w:szCs w:val="24"/>
          <w:lang w:val="ro-RO"/>
        </w:rPr>
        <w:t>ă că datoria nouă contractată poate</w:t>
      </w:r>
      <w:r w:rsidR="006E4771" w:rsidRPr="002047F4">
        <w:rPr>
          <w:rFonts w:asciiTheme="majorHAnsi" w:hAnsiTheme="majorHAnsi" w:cstheme="majorHAnsi"/>
          <w:sz w:val="24"/>
          <w:szCs w:val="24"/>
          <w:lang w:val="ro-RO"/>
        </w:rPr>
        <w:t xml:space="preserve"> fi supusă riscului ratei de dobândă, în contextul unor eventuale majorări ale ratelor de dobândă pe piața internă. </w:t>
      </w:r>
      <w:r w:rsidR="00FB7B04" w:rsidRPr="002047F4">
        <w:rPr>
          <w:rFonts w:asciiTheme="majorHAnsi" w:hAnsiTheme="majorHAnsi" w:cstheme="majorHAnsi"/>
          <w:sz w:val="24"/>
          <w:szCs w:val="24"/>
          <w:lang w:val="ro-RO"/>
        </w:rPr>
        <w:t>Comparativ cu anul 2017</w:t>
      </w:r>
      <w:r w:rsidR="006E4771" w:rsidRPr="002047F4">
        <w:rPr>
          <w:rFonts w:asciiTheme="majorHAnsi" w:hAnsiTheme="majorHAnsi" w:cstheme="majorHAnsi"/>
          <w:sz w:val="24"/>
          <w:szCs w:val="24"/>
          <w:lang w:val="ro-RO"/>
        </w:rPr>
        <w:t xml:space="preserve">, datoria </w:t>
      </w:r>
      <w:r w:rsidR="001612A3" w:rsidRPr="002047F4">
        <w:rPr>
          <w:rFonts w:asciiTheme="majorHAnsi" w:hAnsiTheme="majorHAnsi" w:cstheme="majorHAnsi"/>
          <w:sz w:val="24"/>
          <w:szCs w:val="24"/>
          <w:lang w:val="ro-RO"/>
        </w:rPr>
        <w:t xml:space="preserve">de stat internă </w:t>
      </w:r>
      <w:r w:rsidR="006E4771" w:rsidRPr="002047F4">
        <w:rPr>
          <w:rFonts w:asciiTheme="majorHAnsi" w:hAnsiTheme="majorHAnsi" w:cstheme="majorHAnsi"/>
          <w:sz w:val="24"/>
          <w:szCs w:val="24"/>
          <w:lang w:val="ro-RO"/>
        </w:rPr>
        <w:t xml:space="preserve">scadentă în decurs de 1 an s-a </w:t>
      </w:r>
      <w:r w:rsidR="00FB7B04" w:rsidRPr="002047F4">
        <w:rPr>
          <w:rFonts w:asciiTheme="majorHAnsi" w:hAnsiTheme="majorHAnsi" w:cstheme="majorHAnsi"/>
          <w:sz w:val="24"/>
          <w:szCs w:val="24"/>
          <w:lang w:val="ro-RO"/>
        </w:rPr>
        <w:t xml:space="preserve">micșorat cu 1,3 </w:t>
      </w:r>
      <w:proofErr w:type="spellStart"/>
      <w:r w:rsidR="00FB7B04" w:rsidRPr="002047F4">
        <w:rPr>
          <w:rFonts w:asciiTheme="majorHAnsi" w:hAnsiTheme="majorHAnsi" w:cstheme="majorHAnsi"/>
          <w:sz w:val="24"/>
          <w:szCs w:val="24"/>
          <w:lang w:val="ro-RO"/>
        </w:rPr>
        <w:t>p.p.</w:t>
      </w:r>
      <w:proofErr w:type="spellEnd"/>
      <w:r w:rsidR="00FB7B04" w:rsidRPr="002047F4">
        <w:rPr>
          <w:rFonts w:asciiTheme="majorHAnsi" w:hAnsiTheme="majorHAnsi" w:cstheme="majorHAnsi"/>
          <w:sz w:val="24"/>
          <w:szCs w:val="24"/>
          <w:lang w:val="ro-RO"/>
        </w:rPr>
        <w:t>,</w:t>
      </w:r>
      <w:r w:rsidR="004F4F72" w:rsidRPr="002047F4">
        <w:rPr>
          <w:rFonts w:asciiTheme="majorHAnsi" w:hAnsiTheme="majorHAnsi" w:cstheme="majorHAnsi"/>
          <w:sz w:val="24"/>
          <w:szCs w:val="24"/>
          <w:lang w:val="ro-RO"/>
        </w:rPr>
        <w:t xml:space="preserve"> datorită majorării ponderii OS cu maturitatea de 2 și 3 ani în circulație, dar și emisiunii OS cu maturitatea de 5 ani. De asemenea, </w:t>
      </w:r>
      <w:r w:rsidR="006E4771" w:rsidRPr="002047F4">
        <w:rPr>
          <w:rFonts w:asciiTheme="majorHAnsi" w:hAnsiTheme="majorHAnsi" w:cstheme="majorHAnsi"/>
          <w:sz w:val="24"/>
          <w:szCs w:val="24"/>
          <w:lang w:val="ro-RO"/>
        </w:rPr>
        <w:t>perioada medie</w:t>
      </w:r>
      <w:r w:rsidR="00FB7B04" w:rsidRPr="002047F4">
        <w:rPr>
          <w:rFonts w:asciiTheme="majorHAnsi" w:hAnsiTheme="majorHAnsi" w:cstheme="majorHAnsi"/>
          <w:sz w:val="24"/>
          <w:szCs w:val="24"/>
          <w:lang w:val="ro-RO"/>
        </w:rPr>
        <w:t xml:space="preserve"> de maturitate s-a diminuat cu 0,6 ani</w:t>
      </w:r>
      <w:r w:rsidR="006F2253" w:rsidRPr="002047F4">
        <w:rPr>
          <w:rFonts w:asciiTheme="majorHAnsi" w:hAnsiTheme="majorHAnsi" w:cstheme="majorHAnsi"/>
          <w:sz w:val="24"/>
          <w:szCs w:val="24"/>
          <w:lang w:val="ro-RO"/>
        </w:rPr>
        <w:t>, datorită</w:t>
      </w:r>
      <w:r w:rsidR="00613D58">
        <w:rPr>
          <w:rFonts w:asciiTheme="majorHAnsi" w:hAnsiTheme="majorHAnsi" w:cstheme="majorHAnsi"/>
          <w:sz w:val="24"/>
          <w:szCs w:val="24"/>
          <w:lang w:val="ro-RO"/>
        </w:rPr>
        <w:t xml:space="preserve"> răscumpărării în anul 2018</w:t>
      </w:r>
      <w:r w:rsidR="00884501">
        <w:rPr>
          <w:rFonts w:asciiTheme="majorHAnsi" w:hAnsiTheme="majorHAnsi" w:cstheme="majorHAnsi"/>
          <w:sz w:val="24"/>
          <w:szCs w:val="24"/>
          <w:lang w:val="ro-RO"/>
        </w:rPr>
        <w:t xml:space="preserve"> </w:t>
      </w:r>
      <w:r w:rsidR="00FD0FEF">
        <w:rPr>
          <w:rFonts w:asciiTheme="majorHAnsi" w:hAnsiTheme="majorHAnsi" w:cstheme="majorHAnsi"/>
          <w:sz w:val="24"/>
          <w:szCs w:val="24"/>
          <w:lang w:val="ro-RO"/>
        </w:rPr>
        <w:t xml:space="preserve">a </w:t>
      </w:r>
      <w:r w:rsidR="00884501">
        <w:rPr>
          <w:rFonts w:asciiTheme="majorHAnsi" w:hAnsiTheme="majorHAnsi" w:cstheme="majorHAnsi"/>
          <w:sz w:val="24"/>
          <w:szCs w:val="24"/>
          <w:lang w:val="ro-RO"/>
        </w:rPr>
        <w:t xml:space="preserve">sumelor de principal care </w:t>
      </w:r>
      <w:r w:rsidR="00FD0FEF">
        <w:rPr>
          <w:rFonts w:asciiTheme="majorHAnsi" w:hAnsiTheme="majorHAnsi" w:cstheme="majorHAnsi"/>
          <w:sz w:val="24"/>
          <w:szCs w:val="24"/>
          <w:lang w:val="ro-RO"/>
        </w:rPr>
        <w:t xml:space="preserve">au fost </w:t>
      </w:r>
      <w:r w:rsidR="00884501">
        <w:rPr>
          <w:rFonts w:asciiTheme="majorHAnsi" w:hAnsiTheme="majorHAnsi" w:cstheme="majorHAnsi"/>
          <w:sz w:val="24"/>
          <w:szCs w:val="24"/>
          <w:lang w:val="ro-RO"/>
        </w:rPr>
        <w:t xml:space="preserve">achitate în contextul </w:t>
      </w:r>
      <w:r w:rsidR="006F2253" w:rsidRPr="002047F4">
        <w:rPr>
          <w:rFonts w:asciiTheme="majorHAnsi" w:hAnsiTheme="majorHAnsi" w:cstheme="majorHAnsi"/>
          <w:sz w:val="24"/>
          <w:szCs w:val="24"/>
          <w:lang w:val="ro-RO"/>
        </w:rPr>
        <w:t xml:space="preserve">emisiunii OS în luna octombrie a anului 2016 pentru executarea de către MF a obligațiilor de plată </w:t>
      </w:r>
      <w:r w:rsidR="006F2253" w:rsidRPr="002047F4">
        <w:rPr>
          <w:rFonts w:asciiTheme="majorHAnsi" w:hAnsiTheme="majorHAnsi" w:cstheme="majorHAnsi"/>
          <w:sz w:val="24"/>
          <w:szCs w:val="24"/>
          <w:lang w:val="ro-RO"/>
        </w:rPr>
        <w:lastRenderedPageBreak/>
        <w:t xml:space="preserve">derivate din garanțiile de stat, dar </w:t>
      </w:r>
      <w:r w:rsidR="00884501">
        <w:rPr>
          <w:rFonts w:asciiTheme="majorHAnsi" w:hAnsiTheme="majorHAnsi" w:cstheme="majorHAnsi"/>
          <w:sz w:val="24"/>
          <w:szCs w:val="24"/>
          <w:lang w:val="ro-RO"/>
        </w:rPr>
        <w:t xml:space="preserve">și datorită răscumpărării OS emise  pentru </w:t>
      </w:r>
      <w:r w:rsidR="006F2253" w:rsidRPr="002047F4">
        <w:rPr>
          <w:rFonts w:asciiTheme="majorHAnsi" w:hAnsiTheme="majorHAnsi" w:cstheme="majorHAnsi"/>
          <w:sz w:val="24"/>
          <w:szCs w:val="24"/>
          <w:lang w:val="ro-RO"/>
        </w:rPr>
        <w:t>crearea rezerve</w:t>
      </w:r>
      <w:r w:rsidR="00884501">
        <w:rPr>
          <w:rFonts w:asciiTheme="majorHAnsi" w:hAnsiTheme="majorHAnsi" w:cstheme="majorHAnsi"/>
          <w:sz w:val="24"/>
          <w:szCs w:val="24"/>
          <w:lang w:val="ro-RO"/>
        </w:rPr>
        <w:t>i</w:t>
      </w:r>
      <w:r w:rsidR="006F2253" w:rsidRPr="002047F4">
        <w:rPr>
          <w:rFonts w:asciiTheme="majorHAnsi" w:hAnsiTheme="majorHAnsi" w:cstheme="majorHAnsi"/>
          <w:sz w:val="24"/>
          <w:szCs w:val="24"/>
          <w:lang w:val="ro-RO"/>
        </w:rPr>
        <w:t xml:space="preserve"> de lichidități în luna martie a anului 2017.  </w:t>
      </w:r>
    </w:p>
    <w:p w14:paraId="6EF3527C" w14:textId="3D33A3FB" w:rsidR="00FB328F" w:rsidRPr="002047F4" w:rsidRDefault="009A751F" w:rsidP="009A751F">
      <w:pPr>
        <w:tabs>
          <w:tab w:val="left" w:pos="567"/>
          <w:tab w:val="left" w:pos="993"/>
        </w:tabs>
        <w:spacing w:after="0" w:line="276" w:lineRule="auto"/>
        <w:jc w:val="both"/>
        <w:rPr>
          <w:rFonts w:asciiTheme="majorHAnsi" w:hAnsiTheme="majorHAnsi" w:cstheme="majorHAnsi"/>
          <w:sz w:val="24"/>
          <w:szCs w:val="24"/>
          <w:lang w:val="ro-RO"/>
        </w:rPr>
      </w:pPr>
      <w:r w:rsidRPr="002047F4">
        <w:rPr>
          <w:rFonts w:asciiTheme="majorHAnsi" w:hAnsiTheme="majorHAnsi" w:cstheme="majorHAnsi"/>
          <w:sz w:val="24"/>
          <w:szCs w:val="24"/>
          <w:lang w:val="ro-RO"/>
        </w:rPr>
        <w:tab/>
        <w:t xml:space="preserve">Referitor la datoria de stat externă scadentă în decurs de 1 an, se constată că aceasta </w:t>
      </w:r>
      <w:r w:rsidR="00E73943">
        <w:rPr>
          <w:rFonts w:asciiTheme="majorHAnsi" w:hAnsiTheme="majorHAnsi" w:cstheme="majorHAnsi"/>
          <w:sz w:val="24"/>
          <w:szCs w:val="24"/>
          <w:lang w:val="ro-RO"/>
        </w:rPr>
        <w:t>constituie</w:t>
      </w:r>
      <w:r w:rsidRPr="002047F4">
        <w:rPr>
          <w:rFonts w:asciiTheme="majorHAnsi" w:hAnsiTheme="majorHAnsi" w:cstheme="majorHAnsi"/>
          <w:sz w:val="24"/>
          <w:szCs w:val="24"/>
          <w:lang w:val="ro-RO"/>
        </w:rPr>
        <w:t xml:space="preserve"> 7,8%, </w:t>
      </w:r>
      <w:r w:rsidR="00E73943" w:rsidRPr="00E02CD8">
        <w:rPr>
          <w:rFonts w:asciiTheme="majorHAnsi" w:hAnsiTheme="majorHAnsi" w:cstheme="majorHAnsi"/>
          <w:sz w:val="24"/>
          <w:szCs w:val="24"/>
          <w:lang w:val="ro-RO"/>
        </w:rPr>
        <w:t>sau</w:t>
      </w:r>
      <w:r w:rsidRPr="00E73943">
        <w:rPr>
          <w:rFonts w:asciiTheme="majorHAnsi" w:hAnsiTheme="majorHAnsi" w:cstheme="majorHAnsi"/>
          <w:sz w:val="24"/>
          <w:szCs w:val="24"/>
          <w:lang w:val="ro-RO"/>
        </w:rPr>
        <w:t xml:space="preserve"> cu 1,0 </w:t>
      </w:r>
      <w:proofErr w:type="spellStart"/>
      <w:r w:rsidRPr="00E73943">
        <w:rPr>
          <w:rFonts w:asciiTheme="majorHAnsi" w:hAnsiTheme="majorHAnsi" w:cstheme="majorHAnsi"/>
          <w:sz w:val="24"/>
          <w:szCs w:val="24"/>
          <w:lang w:val="ro-RO"/>
        </w:rPr>
        <w:t>p.p</w:t>
      </w:r>
      <w:r w:rsidR="006E7E17" w:rsidRPr="00E73943">
        <w:rPr>
          <w:rFonts w:asciiTheme="majorHAnsi" w:hAnsiTheme="majorHAnsi" w:cstheme="majorHAnsi"/>
          <w:sz w:val="24"/>
          <w:szCs w:val="24"/>
          <w:lang w:val="ro-RO"/>
        </w:rPr>
        <w:t>.</w:t>
      </w:r>
      <w:proofErr w:type="spellEnd"/>
      <w:r w:rsidRPr="00E73943">
        <w:rPr>
          <w:rFonts w:asciiTheme="majorHAnsi" w:hAnsiTheme="majorHAnsi" w:cstheme="majorHAnsi"/>
          <w:sz w:val="24"/>
          <w:szCs w:val="24"/>
          <w:lang w:val="ro-RO"/>
        </w:rPr>
        <w:t xml:space="preserve"> </w:t>
      </w:r>
      <w:r w:rsidR="00E73943" w:rsidRPr="00E02CD8">
        <w:rPr>
          <w:rFonts w:asciiTheme="majorHAnsi" w:hAnsiTheme="majorHAnsi" w:cstheme="majorHAnsi"/>
          <w:sz w:val="24"/>
          <w:szCs w:val="24"/>
          <w:lang w:val="ro-RO"/>
        </w:rPr>
        <w:t xml:space="preserve">mai mult </w:t>
      </w:r>
      <w:r w:rsidRPr="00E73943">
        <w:rPr>
          <w:rFonts w:asciiTheme="majorHAnsi" w:hAnsiTheme="majorHAnsi" w:cstheme="majorHAnsi"/>
          <w:sz w:val="24"/>
          <w:szCs w:val="24"/>
          <w:lang w:val="ro-RO"/>
        </w:rPr>
        <w:t>față de anul 2017, încadrându-se în limite sigure.</w:t>
      </w:r>
    </w:p>
    <w:p w14:paraId="07B04CD2" w14:textId="77777777" w:rsidR="006E4771" w:rsidRPr="002047F4" w:rsidRDefault="009A751F" w:rsidP="009A751F">
      <w:pPr>
        <w:tabs>
          <w:tab w:val="left" w:pos="567"/>
          <w:tab w:val="left" w:pos="993"/>
        </w:tabs>
        <w:spacing w:after="0" w:line="276" w:lineRule="auto"/>
        <w:jc w:val="both"/>
        <w:rPr>
          <w:rFonts w:asciiTheme="majorHAnsi" w:hAnsiTheme="majorHAnsi" w:cstheme="majorHAnsi"/>
          <w:sz w:val="24"/>
          <w:szCs w:val="24"/>
          <w:lang w:val="ro-RO"/>
        </w:rPr>
      </w:pPr>
      <w:r w:rsidRPr="002047F4">
        <w:rPr>
          <w:rFonts w:asciiTheme="majorHAnsi" w:hAnsiTheme="majorHAnsi" w:cstheme="majorHAnsi"/>
          <w:sz w:val="24"/>
          <w:szCs w:val="24"/>
          <w:lang w:val="ro-RO"/>
        </w:rPr>
        <w:tab/>
      </w:r>
      <w:r w:rsidR="006E4771" w:rsidRPr="002047F4">
        <w:rPr>
          <w:rFonts w:asciiTheme="majorHAnsi" w:hAnsiTheme="majorHAnsi" w:cstheme="majorHAnsi"/>
          <w:sz w:val="24"/>
          <w:szCs w:val="24"/>
          <w:lang w:val="ro-RO"/>
        </w:rPr>
        <w:t xml:space="preserve">În totalul datoriei de stat, </w:t>
      </w:r>
      <w:r w:rsidR="000B33C7" w:rsidRPr="002047F4">
        <w:rPr>
          <w:rFonts w:asciiTheme="majorHAnsi" w:hAnsiTheme="majorHAnsi" w:cstheme="majorHAnsi"/>
          <w:sz w:val="24"/>
          <w:szCs w:val="24"/>
          <w:lang w:val="ro-RO"/>
        </w:rPr>
        <w:t>20,8</w:t>
      </w:r>
      <w:r w:rsidR="00080151" w:rsidRPr="002047F4">
        <w:rPr>
          <w:rFonts w:asciiTheme="majorHAnsi" w:hAnsiTheme="majorHAnsi" w:cstheme="majorHAnsi"/>
          <w:sz w:val="24"/>
          <w:szCs w:val="24"/>
          <w:lang w:val="ro-RO"/>
        </w:rPr>
        <w:t xml:space="preserve">% reprezintă </w:t>
      </w:r>
      <w:r w:rsidR="006E4771" w:rsidRPr="002047F4">
        <w:rPr>
          <w:rFonts w:asciiTheme="majorHAnsi" w:hAnsiTheme="majorHAnsi" w:cstheme="majorHAnsi"/>
          <w:sz w:val="24"/>
          <w:szCs w:val="24"/>
          <w:lang w:val="ro-RO"/>
        </w:rPr>
        <w:t>datoria de stat scadentă în decurs de 1 an</w:t>
      </w:r>
      <w:r w:rsidR="0091633E" w:rsidRPr="002047F4">
        <w:rPr>
          <w:rFonts w:asciiTheme="majorHAnsi" w:hAnsiTheme="majorHAnsi" w:cstheme="majorHAnsi"/>
          <w:sz w:val="24"/>
          <w:szCs w:val="24"/>
          <w:lang w:val="ro-RO"/>
        </w:rPr>
        <w:t>,</w:t>
      </w:r>
      <w:r w:rsidR="006E4771" w:rsidRPr="002047F4">
        <w:rPr>
          <w:rFonts w:asciiTheme="majorHAnsi" w:hAnsiTheme="majorHAnsi" w:cstheme="majorHAnsi"/>
          <w:sz w:val="24"/>
          <w:szCs w:val="24"/>
          <w:lang w:val="ro-RO"/>
        </w:rPr>
        <w:t xml:space="preserve"> </w:t>
      </w:r>
      <w:r w:rsidR="00080151" w:rsidRPr="002047F4">
        <w:rPr>
          <w:rFonts w:asciiTheme="majorHAnsi" w:hAnsiTheme="majorHAnsi" w:cstheme="majorHAnsi"/>
          <w:sz w:val="24"/>
          <w:szCs w:val="24"/>
          <w:lang w:val="ro-RO"/>
        </w:rPr>
        <w:t xml:space="preserve">fapt </w:t>
      </w:r>
      <w:r w:rsidR="006E4771" w:rsidRPr="002047F4">
        <w:rPr>
          <w:rFonts w:asciiTheme="majorHAnsi" w:hAnsiTheme="majorHAnsi" w:cstheme="majorHAnsi"/>
          <w:sz w:val="24"/>
          <w:szCs w:val="24"/>
          <w:lang w:val="ro-RO"/>
        </w:rPr>
        <w:t xml:space="preserve">ce </w:t>
      </w:r>
      <w:r w:rsidR="00080151" w:rsidRPr="002047F4">
        <w:rPr>
          <w:rFonts w:asciiTheme="majorHAnsi" w:hAnsiTheme="majorHAnsi" w:cstheme="majorHAnsi"/>
          <w:sz w:val="24"/>
          <w:szCs w:val="24"/>
          <w:lang w:val="ro-RO"/>
        </w:rPr>
        <w:t>denotă</w:t>
      </w:r>
      <w:r w:rsidR="006E4771" w:rsidRPr="002047F4">
        <w:rPr>
          <w:rFonts w:asciiTheme="majorHAnsi" w:hAnsiTheme="majorHAnsi" w:cstheme="majorHAnsi"/>
          <w:sz w:val="24"/>
          <w:szCs w:val="24"/>
          <w:lang w:val="ro-RO"/>
        </w:rPr>
        <w:t xml:space="preserve"> un risc de refinanțare moderat.</w:t>
      </w:r>
    </w:p>
    <w:p w14:paraId="117FCBD0" w14:textId="0126B3F2" w:rsidR="006E4771" w:rsidRPr="002047F4" w:rsidRDefault="000E6BF2" w:rsidP="000E6BF2">
      <w:pPr>
        <w:tabs>
          <w:tab w:val="left" w:pos="567"/>
          <w:tab w:val="left" w:pos="993"/>
        </w:tabs>
        <w:spacing w:after="0" w:line="276" w:lineRule="auto"/>
        <w:jc w:val="both"/>
        <w:rPr>
          <w:rFonts w:asciiTheme="majorHAnsi" w:hAnsiTheme="majorHAnsi" w:cstheme="majorHAnsi"/>
          <w:sz w:val="24"/>
          <w:szCs w:val="24"/>
          <w:lang w:val="ro-RO"/>
        </w:rPr>
      </w:pPr>
      <w:r w:rsidRPr="002047F4">
        <w:rPr>
          <w:rFonts w:asciiTheme="majorHAnsi" w:hAnsiTheme="majorHAnsi" w:cstheme="majorHAnsi"/>
          <w:sz w:val="24"/>
          <w:szCs w:val="24"/>
          <w:lang w:val="ro-RO"/>
        </w:rPr>
        <w:tab/>
        <w:t xml:space="preserve">Dat fiind faptul că 55,7% </w:t>
      </w:r>
      <w:r w:rsidR="006E4771" w:rsidRPr="002047F4">
        <w:rPr>
          <w:rFonts w:asciiTheme="majorHAnsi" w:hAnsiTheme="majorHAnsi" w:cstheme="majorHAnsi"/>
          <w:sz w:val="24"/>
          <w:szCs w:val="24"/>
          <w:lang w:val="ro-RO"/>
        </w:rPr>
        <w:t>din portofoliul datoriei de stat revine datoriei de stat externe,</w:t>
      </w:r>
      <w:r w:rsidRPr="002047F4">
        <w:rPr>
          <w:rFonts w:asciiTheme="majorHAnsi" w:hAnsiTheme="majorHAnsi" w:cstheme="majorHAnsi"/>
          <w:sz w:val="24"/>
          <w:szCs w:val="24"/>
          <w:lang w:val="ro-RO"/>
        </w:rPr>
        <w:t xml:space="preserve"> </w:t>
      </w:r>
      <w:r w:rsidR="00E73943">
        <w:rPr>
          <w:rFonts w:asciiTheme="majorHAnsi" w:hAnsiTheme="majorHAnsi" w:cstheme="majorHAnsi"/>
          <w:sz w:val="24"/>
          <w:szCs w:val="24"/>
          <w:lang w:val="ro-RO"/>
        </w:rPr>
        <w:t>care este</w:t>
      </w:r>
      <w:r w:rsidRPr="002047F4">
        <w:rPr>
          <w:rFonts w:asciiTheme="majorHAnsi" w:hAnsiTheme="majorHAnsi" w:cstheme="majorHAnsi"/>
          <w:sz w:val="24"/>
          <w:szCs w:val="24"/>
          <w:lang w:val="ro-RO"/>
        </w:rPr>
        <w:t xml:space="preserve"> în totalitate denominată în valută străină</w:t>
      </w:r>
      <w:r w:rsidR="00FD0FEF">
        <w:rPr>
          <w:rFonts w:asciiTheme="majorHAnsi" w:hAnsiTheme="majorHAnsi" w:cstheme="majorHAnsi"/>
          <w:sz w:val="24"/>
          <w:szCs w:val="24"/>
          <w:lang w:val="ro-RO"/>
        </w:rPr>
        <w:t>,</w:t>
      </w:r>
      <w:r w:rsidR="00847122" w:rsidRPr="002047F4">
        <w:rPr>
          <w:rFonts w:asciiTheme="majorHAnsi" w:hAnsiTheme="majorHAnsi" w:cstheme="majorHAnsi"/>
          <w:sz w:val="24"/>
          <w:szCs w:val="24"/>
          <w:lang w:val="ro-RO"/>
        </w:rPr>
        <w:t xml:space="preserve"> </w:t>
      </w:r>
      <w:r w:rsidRPr="002047F4">
        <w:rPr>
          <w:rFonts w:asciiTheme="majorHAnsi" w:hAnsiTheme="majorHAnsi" w:cstheme="majorHAnsi"/>
          <w:sz w:val="24"/>
          <w:szCs w:val="24"/>
          <w:lang w:val="ro-RO"/>
        </w:rPr>
        <w:t xml:space="preserve">se atestă </w:t>
      </w:r>
      <w:r w:rsidRPr="00C45AA7">
        <w:rPr>
          <w:rFonts w:asciiTheme="majorHAnsi" w:hAnsiTheme="majorHAnsi" w:cstheme="majorHAnsi"/>
          <w:sz w:val="24"/>
          <w:szCs w:val="24"/>
          <w:lang w:val="ro-RO"/>
        </w:rPr>
        <w:t>prezența înaltă</w:t>
      </w:r>
      <w:r w:rsidRPr="002047F4">
        <w:rPr>
          <w:rFonts w:asciiTheme="majorHAnsi" w:hAnsiTheme="majorHAnsi" w:cstheme="majorHAnsi"/>
          <w:sz w:val="24"/>
          <w:szCs w:val="24"/>
          <w:lang w:val="ro-RO"/>
        </w:rPr>
        <w:t xml:space="preserve"> a</w:t>
      </w:r>
      <w:r w:rsidR="0058675F" w:rsidRPr="002047F4">
        <w:rPr>
          <w:rFonts w:asciiTheme="majorHAnsi" w:hAnsiTheme="majorHAnsi" w:cstheme="majorHAnsi"/>
          <w:sz w:val="24"/>
          <w:szCs w:val="24"/>
          <w:lang w:val="ro-RO"/>
        </w:rPr>
        <w:t xml:space="preserve"> riscului valutar. Comparativ</w:t>
      </w:r>
      <w:r w:rsidR="006E4771" w:rsidRPr="002047F4">
        <w:rPr>
          <w:rFonts w:asciiTheme="majorHAnsi" w:hAnsiTheme="majorHAnsi" w:cstheme="majorHAnsi"/>
          <w:sz w:val="24"/>
          <w:szCs w:val="24"/>
          <w:lang w:val="ro-RO"/>
        </w:rPr>
        <w:t xml:space="preserve"> cu anul </w:t>
      </w:r>
      <w:r w:rsidR="0058675F" w:rsidRPr="002047F4">
        <w:rPr>
          <w:rFonts w:asciiTheme="majorHAnsi" w:hAnsiTheme="majorHAnsi" w:cstheme="majorHAnsi"/>
          <w:sz w:val="24"/>
          <w:szCs w:val="24"/>
          <w:lang w:val="ro-RO"/>
        </w:rPr>
        <w:t>2017</w:t>
      </w:r>
      <w:r w:rsidR="00522D29" w:rsidRPr="002047F4">
        <w:rPr>
          <w:rFonts w:asciiTheme="majorHAnsi" w:hAnsiTheme="majorHAnsi" w:cstheme="majorHAnsi"/>
          <w:sz w:val="24"/>
          <w:szCs w:val="24"/>
          <w:lang w:val="ro-RO"/>
        </w:rPr>
        <w:t xml:space="preserve">, </w:t>
      </w:r>
      <w:r w:rsidR="006E4771" w:rsidRPr="002047F4">
        <w:rPr>
          <w:rFonts w:asciiTheme="majorHAnsi" w:hAnsiTheme="majorHAnsi" w:cstheme="majorHAnsi"/>
          <w:sz w:val="24"/>
          <w:szCs w:val="24"/>
          <w:lang w:val="ro-RO"/>
        </w:rPr>
        <w:t xml:space="preserve"> ponderea datoriei de </w:t>
      </w:r>
      <w:r w:rsidR="0058675F" w:rsidRPr="002047F4">
        <w:rPr>
          <w:rFonts w:asciiTheme="majorHAnsi" w:hAnsiTheme="majorHAnsi" w:cstheme="majorHAnsi"/>
          <w:sz w:val="24"/>
          <w:szCs w:val="24"/>
          <w:lang w:val="ro-RO"/>
        </w:rPr>
        <w:t>stat externe s-a diminuat cu 0,6</w:t>
      </w:r>
      <w:r w:rsidR="006E4771" w:rsidRPr="002047F4">
        <w:rPr>
          <w:rFonts w:asciiTheme="majorHAnsi" w:hAnsiTheme="majorHAnsi" w:cstheme="majorHAnsi"/>
          <w:sz w:val="24"/>
          <w:szCs w:val="24"/>
          <w:lang w:val="ro-RO"/>
        </w:rPr>
        <w:t xml:space="preserve"> </w:t>
      </w:r>
      <w:proofErr w:type="spellStart"/>
      <w:r w:rsidR="006E4771" w:rsidRPr="002047F4">
        <w:rPr>
          <w:rFonts w:asciiTheme="majorHAnsi" w:hAnsiTheme="majorHAnsi" w:cstheme="majorHAnsi"/>
          <w:sz w:val="24"/>
          <w:szCs w:val="24"/>
          <w:lang w:val="ro-RO"/>
        </w:rPr>
        <w:t>p.p.</w:t>
      </w:r>
      <w:proofErr w:type="spellEnd"/>
      <w:r w:rsidR="006E4771" w:rsidRPr="002047F4">
        <w:rPr>
          <w:rFonts w:asciiTheme="majorHAnsi" w:hAnsiTheme="majorHAnsi" w:cstheme="majorHAnsi"/>
          <w:sz w:val="24"/>
          <w:szCs w:val="24"/>
          <w:lang w:val="ro-RO"/>
        </w:rPr>
        <w:t xml:space="preserve">, </w:t>
      </w:r>
      <w:r w:rsidR="00522D29" w:rsidRPr="002047F4">
        <w:rPr>
          <w:rFonts w:asciiTheme="majorHAnsi" w:hAnsiTheme="majorHAnsi" w:cstheme="majorHAnsi"/>
          <w:sz w:val="24"/>
          <w:szCs w:val="24"/>
          <w:lang w:val="ro-RO"/>
        </w:rPr>
        <w:t>ceea ce se</w:t>
      </w:r>
      <w:r w:rsidR="006E4771" w:rsidRPr="002047F4">
        <w:rPr>
          <w:rFonts w:asciiTheme="majorHAnsi" w:hAnsiTheme="majorHAnsi" w:cstheme="majorHAnsi"/>
          <w:sz w:val="24"/>
          <w:szCs w:val="24"/>
          <w:lang w:val="ro-RO"/>
        </w:rPr>
        <w:t xml:space="preserve"> dator</w:t>
      </w:r>
      <w:r w:rsidR="00522D29" w:rsidRPr="002047F4">
        <w:rPr>
          <w:rFonts w:asciiTheme="majorHAnsi" w:hAnsiTheme="majorHAnsi" w:cstheme="majorHAnsi"/>
          <w:sz w:val="24"/>
          <w:szCs w:val="24"/>
          <w:lang w:val="ro-RO"/>
        </w:rPr>
        <w:t xml:space="preserve">ează </w:t>
      </w:r>
      <w:r w:rsidR="006E4771" w:rsidRPr="002047F4">
        <w:rPr>
          <w:rFonts w:asciiTheme="majorHAnsi" w:hAnsiTheme="majorHAnsi" w:cstheme="majorHAnsi"/>
          <w:sz w:val="24"/>
          <w:szCs w:val="24"/>
          <w:lang w:val="ro-RO"/>
        </w:rPr>
        <w:t xml:space="preserve"> majorării ponderii datoriei de stat interne din contul VMS </w:t>
      </w:r>
      <w:r w:rsidR="001612A3" w:rsidRPr="002047F4">
        <w:rPr>
          <w:rFonts w:asciiTheme="majorHAnsi" w:hAnsiTheme="majorHAnsi" w:cstheme="majorHAnsi"/>
          <w:sz w:val="24"/>
          <w:szCs w:val="24"/>
          <w:lang w:val="ro-RO"/>
        </w:rPr>
        <w:t>emise pe piața primară.</w:t>
      </w:r>
    </w:p>
    <w:p w14:paraId="6EBAB4E4" w14:textId="47E24AF3" w:rsidR="006E4771" w:rsidRPr="002047F4" w:rsidRDefault="00386F79" w:rsidP="006E4771">
      <w:pPr>
        <w:tabs>
          <w:tab w:val="left" w:pos="284"/>
          <w:tab w:val="left" w:pos="426"/>
          <w:tab w:val="left" w:pos="993"/>
        </w:tabs>
        <w:spacing w:after="0" w:line="276" w:lineRule="auto"/>
        <w:jc w:val="both"/>
        <w:rPr>
          <w:rFonts w:asciiTheme="majorHAnsi" w:hAnsiTheme="majorHAnsi" w:cstheme="majorHAnsi"/>
          <w:sz w:val="24"/>
          <w:szCs w:val="24"/>
          <w:highlight w:val="yellow"/>
          <w:lang w:val="ro-RO"/>
        </w:rPr>
      </w:pPr>
      <w:r w:rsidRPr="002047F4">
        <w:rPr>
          <w:rFonts w:asciiTheme="majorHAnsi" w:hAnsiTheme="majorHAnsi" w:cstheme="majorHAnsi"/>
          <w:sz w:val="24"/>
          <w:szCs w:val="24"/>
          <w:lang w:val="ro-RO"/>
        </w:rPr>
        <w:tab/>
      </w:r>
      <w:r w:rsidR="00A908B9">
        <w:rPr>
          <w:rFonts w:asciiTheme="majorHAnsi" w:hAnsiTheme="majorHAnsi" w:cstheme="majorHAnsi"/>
          <w:sz w:val="24"/>
          <w:szCs w:val="24"/>
          <w:lang w:val="ro-RO"/>
        </w:rPr>
        <w:t xml:space="preserve">     </w:t>
      </w:r>
      <w:r w:rsidRPr="002047F4">
        <w:rPr>
          <w:rFonts w:asciiTheme="majorHAnsi" w:hAnsiTheme="majorHAnsi" w:cstheme="majorHAnsi"/>
          <w:sz w:val="24"/>
          <w:szCs w:val="24"/>
          <w:lang w:val="ro-RO"/>
        </w:rPr>
        <w:t xml:space="preserve">Auditul </w:t>
      </w:r>
      <w:r w:rsidR="00A908B9">
        <w:rPr>
          <w:rFonts w:asciiTheme="majorHAnsi" w:hAnsiTheme="majorHAnsi" w:cstheme="majorHAnsi"/>
          <w:sz w:val="24"/>
          <w:szCs w:val="24"/>
          <w:lang w:val="ro-RO"/>
        </w:rPr>
        <w:t>relevă</w:t>
      </w:r>
      <w:r w:rsidRPr="002047F4">
        <w:rPr>
          <w:rFonts w:asciiTheme="majorHAnsi" w:hAnsiTheme="majorHAnsi" w:cstheme="majorHAnsi"/>
          <w:sz w:val="24"/>
          <w:szCs w:val="24"/>
          <w:lang w:val="ro-RO"/>
        </w:rPr>
        <w:t xml:space="preserve"> că p</w:t>
      </w:r>
      <w:r w:rsidR="006E4771" w:rsidRPr="002047F4">
        <w:rPr>
          <w:rFonts w:asciiTheme="majorHAnsi" w:hAnsiTheme="majorHAnsi" w:cstheme="majorHAnsi"/>
          <w:sz w:val="24"/>
          <w:szCs w:val="24"/>
          <w:lang w:val="ro-RO"/>
        </w:rPr>
        <w:t xml:space="preserve">onderea datoriei cu rata dobânzii flotantă </w:t>
      </w:r>
      <w:r w:rsidR="00907E42" w:rsidRPr="002047F4">
        <w:rPr>
          <w:rFonts w:asciiTheme="majorHAnsi" w:hAnsiTheme="majorHAnsi" w:cstheme="majorHAnsi"/>
          <w:sz w:val="24"/>
          <w:szCs w:val="24"/>
          <w:lang w:val="ro-RO"/>
        </w:rPr>
        <w:t>în totalul datoriei de stat interne</w:t>
      </w:r>
      <w:r w:rsidR="00A908B9">
        <w:rPr>
          <w:rFonts w:asciiTheme="majorHAnsi" w:hAnsiTheme="majorHAnsi" w:cstheme="majorHAnsi"/>
          <w:sz w:val="24"/>
          <w:szCs w:val="24"/>
          <w:lang w:val="ro-RO"/>
        </w:rPr>
        <w:t xml:space="preserve">, </w:t>
      </w:r>
      <w:r w:rsidR="00907E42" w:rsidRPr="002047F4">
        <w:rPr>
          <w:rFonts w:asciiTheme="majorHAnsi" w:hAnsiTheme="majorHAnsi" w:cstheme="majorHAnsi"/>
          <w:sz w:val="24"/>
          <w:szCs w:val="24"/>
          <w:lang w:val="ro-RO"/>
        </w:rPr>
        <w:t xml:space="preserve">la situația din 31.12.2018, </w:t>
      </w:r>
      <w:r w:rsidRPr="002047F4">
        <w:rPr>
          <w:rFonts w:asciiTheme="majorHAnsi" w:hAnsiTheme="majorHAnsi" w:cstheme="majorHAnsi"/>
          <w:sz w:val="24"/>
          <w:szCs w:val="24"/>
          <w:lang w:val="ro-RO"/>
        </w:rPr>
        <w:t>constituie 34,3</w:t>
      </w:r>
      <w:r w:rsidR="006E4771" w:rsidRPr="002047F4">
        <w:rPr>
          <w:rFonts w:asciiTheme="majorHAnsi" w:hAnsiTheme="majorHAnsi" w:cstheme="majorHAnsi"/>
          <w:sz w:val="24"/>
          <w:szCs w:val="24"/>
          <w:lang w:val="ro-RO"/>
        </w:rPr>
        <w:t xml:space="preserve">%, </w:t>
      </w:r>
      <w:r w:rsidR="00522D29" w:rsidRPr="002047F4">
        <w:rPr>
          <w:rFonts w:asciiTheme="majorHAnsi" w:hAnsiTheme="majorHAnsi" w:cstheme="majorHAnsi"/>
          <w:sz w:val="24"/>
          <w:szCs w:val="24"/>
          <w:lang w:val="ro-RO"/>
        </w:rPr>
        <w:t>sau</w:t>
      </w:r>
      <w:r w:rsidRPr="002047F4">
        <w:rPr>
          <w:rFonts w:asciiTheme="majorHAnsi" w:hAnsiTheme="majorHAnsi" w:cstheme="majorHAnsi"/>
          <w:sz w:val="24"/>
          <w:szCs w:val="24"/>
          <w:lang w:val="ro-RO"/>
        </w:rPr>
        <w:t xml:space="preserve"> cu 2,9</w:t>
      </w:r>
      <w:r w:rsidR="006E4771" w:rsidRPr="002047F4">
        <w:rPr>
          <w:rFonts w:asciiTheme="majorHAnsi" w:hAnsiTheme="majorHAnsi" w:cstheme="majorHAnsi"/>
          <w:sz w:val="24"/>
          <w:szCs w:val="24"/>
          <w:lang w:val="ro-RO"/>
        </w:rPr>
        <w:t xml:space="preserve"> </w:t>
      </w:r>
      <w:proofErr w:type="spellStart"/>
      <w:r w:rsidR="006E4771" w:rsidRPr="002047F4">
        <w:rPr>
          <w:rFonts w:asciiTheme="majorHAnsi" w:hAnsiTheme="majorHAnsi" w:cstheme="majorHAnsi"/>
          <w:sz w:val="24"/>
          <w:szCs w:val="24"/>
          <w:lang w:val="ro-RO"/>
        </w:rPr>
        <w:t>p.p.</w:t>
      </w:r>
      <w:proofErr w:type="spellEnd"/>
      <w:r w:rsidR="006E4771" w:rsidRPr="002047F4">
        <w:rPr>
          <w:rFonts w:asciiTheme="majorHAnsi" w:hAnsiTheme="majorHAnsi" w:cstheme="majorHAnsi"/>
          <w:sz w:val="24"/>
          <w:szCs w:val="24"/>
          <w:lang w:val="ro-RO"/>
        </w:rPr>
        <w:t xml:space="preserve"> mai puțin com</w:t>
      </w:r>
      <w:r w:rsidRPr="002047F4">
        <w:rPr>
          <w:rFonts w:asciiTheme="majorHAnsi" w:hAnsiTheme="majorHAnsi" w:cstheme="majorHAnsi"/>
          <w:sz w:val="24"/>
          <w:szCs w:val="24"/>
          <w:lang w:val="ro-RO"/>
        </w:rPr>
        <w:t>parativ cu sfârșitul anului 2017</w:t>
      </w:r>
      <w:r w:rsidR="006E4771" w:rsidRPr="002047F4">
        <w:rPr>
          <w:rFonts w:asciiTheme="majorHAnsi" w:hAnsiTheme="majorHAnsi" w:cstheme="majorHAnsi"/>
          <w:sz w:val="24"/>
          <w:szCs w:val="24"/>
          <w:lang w:val="ro-RO"/>
        </w:rPr>
        <w:t xml:space="preserve">. </w:t>
      </w:r>
      <w:r w:rsidR="00D23D3A" w:rsidRPr="002047F4">
        <w:rPr>
          <w:rFonts w:asciiTheme="majorHAnsi" w:hAnsiTheme="majorHAnsi" w:cstheme="majorHAnsi"/>
          <w:sz w:val="24"/>
          <w:szCs w:val="24"/>
          <w:lang w:val="ro-RO"/>
        </w:rPr>
        <w:t xml:space="preserve">Totodată, ponderea datoriei cu rata dobânzii flotantă în totalul datoriei externe a crescut cu 4,4 </w:t>
      </w:r>
      <w:proofErr w:type="spellStart"/>
      <w:r w:rsidR="00D23D3A" w:rsidRPr="002047F4">
        <w:rPr>
          <w:rFonts w:asciiTheme="majorHAnsi" w:hAnsiTheme="majorHAnsi" w:cstheme="majorHAnsi"/>
          <w:sz w:val="24"/>
          <w:szCs w:val="24"/>
          <w:lang w:val="ro-RO"/>
        </w:rPr>
        <w:t>p.p.</w:t>
      </w:r>
      <w:proofErr w:type="spellEnd"/>
      <w:r w:rsidR="00A908B9">
        <w:rPr>
          <w:rFonts w:asciiTheme="majorHAnsi" w:hAnsiTheme="majorHAnsi" w:cstheme="majorHAnsi"/>
          <w:sz w:val="24"/>
          <w:szCs w:val="24"/>
          <w:lang w:val="ro-RO"/>
        </w:rPr>
        <w:t>,</w:t>
      </w:r>
      <w:r w:rsidR="00D23D3A" w:rsidRPr="002047F4">
        <w:rPr>
          <w:rFonts w:asciiTheme="majorHAnsi" w:hAnsiTheme="majorHAnsi" w:cstheme="majorHAnsi"/>
          <w:sz w:val="24"/>
          <w:szCs w:val="24"/>
          <w:lang w:val="ro-RO"/>
        </w:rPr>
        <w:t xml:space="preserve"> constituind 29,2%. </w:t>
      </w:r>
      <w:r w:rsidR="006E4771" w:rsidRPr="002047F4">
        <w:rPr>
          <w:rFonts w:asciiTheme="majorHAnsi" w:hAnsiTheme="majorHAnsi" w:cstheme="majorHAnsi"/>
          <w:sz w:val="24"/>
          <w:szCs w:val="24"/>
          <w:lang w:val="ro-RO"/>
        </w:rPr>
        <w:t xml:space="preserve">Ponderea relativ înaltă a dobânzii flotante și a instrumentelor cu maturitate de până la 1 an prezintă un risc al ratei de dobândă, </w:t>
      </w:r>
      <w:r w:rsidR="00522D29" w:rsidRPr="002047F4">
        <w:rPr>
          <w:rFonts w:asciiTheme="majorHAnsi" w:hAnsiTheme="majorHAnsi" w:cstheme="majorHAnsi"/>
          <w:sz w:val="24"/>
          <w:szCs w:val="24"/>
          <w:lang w:val="ro-RO"/>
        </w:rPr>
        <w:t>precum</w:t>
      </w:r>
      <w:r w:rsidR="006E4771" w:rsidRPr="002047F4">
        <w:rPr>
          <w:rFonts w:asciiTheme="majorHAnsi" w:hAnsiTheme="majorHAnsi" w:cstheme="majorHAnsi"/>
          <w:sz w:val="24"/>
          <w:szCs w:val="24"/>
          <w:lang w:val="ro-RO"/>
        </w:rPr>
        <w:t xml:space="preserve"> și un risc </w:t>
      </w:r>
      <w:r w:rsidR="00522D29" w:rsidRPr="002047F4">
        <w:rPr>
          <w:rFonts w:asciiTheme="majorHAnsi" w:hAnsiTheme="majorHAnsi" w:cstheme="majorHAnsi"/>
          <w:sz w:val="24"/>
          <w:szCs w:val="24"/>
          <w:lang w:val="ro-RO"/>
        </w:rPr>
        <w:t xml:space="preserve">ridicat </w:t>
      </w:r>
      <w:r w:rsidR="006E4771" w:rsidRPr="002047F4">
        <w:rPr>
          <w:rFonts w:asciiTheme="majorHAnsi" w:hAnsiTheme="majorHAnsi" w:cstheme="majorHAnsi"/>
          <w:sz w:val="24"/>
          <w:szCs w:val="24"/>
          <w:lang w:val="ro-RO"/>
        </w:rPr>
        <w:t>de refinanțare.</w:t>
      </w:r>
    </w:p>
    <w:p w14:paraId="0BBA6FDD" w14:textId="44CC96D6" w:rsidR="001E7899" w:rsidRPr="002047F4" w:rsidRDefault="006E4771" w:rsidP="006E4771">
      <w:pPr>
        <w:tabs>
          <w:tab w:val="left" w:pos="284"/>
          <w:tab w:val="left" w:pos="426"/>
          <w:tab w:val="left" w:pos="993"/>
        </w:tabs>
        <w:spacing w:after="0" w:line="276" w:lineRule="auto"/>
        <w:jc w:val="both"/>
        <w:rPr>
          <w:rFonts w:asciiTheme="majorHAnsi" w:hAnsiTheme="majorHAnsi" w:cstheme="majorHAnsi"/>
          <w:sz w:val="24"/>
          <w:szCs w:val="24"/>
          <w:lang w:val="ro-RO"/>
        </w:rPr>
      </w:pPr>
      <w:r w:rsidRPr="002047F4">
        <w:rPr>
          <w:rFonts w:asciiTheme="majorHAnsi" w:hAnsiTheme="majorHAnsi" w:cstheme="majorHAnsi"/>
          <w:sz w:val="24"/>
          <w:szCs w:val="24"/>
          <w:lang w:val="ro-RO"/>
        </w:rPr>
        <w:tab/>
        <w:t xml:space="preserve"> </w:t>
      </w:r>
      <w:r w:rsidR="00A908B9">
        <w:rPr>
          <w:rFonts w:asciiTheme="majorHAnsi" w:hAnsiTheme="majorHAnsi" w:cstheme="majorHAnsi"/>
          <w:sz w:val="24"/>
          <w:szCs w:val="24"/>
          <w:lang w:val="ro-RO"/>
        </w:rPr>
        <w:t xml:space="preserve">     </w:t>
      </w:r>
      <w:r w:rsidRPr="002047F4">
        <w:rPr>
          <w:rFonts w:asciiTheme="majorHAnsi" w:hAnsiTheme="majorHAnsi" w:cstheme="majorHAnsi"/>
          <w:sz w:val="24"/>
          <w:szCs w:val="24"/>
          <w:lang w:val="ro-RO"/>
        </w:rPr>
        <w:t xml:space="preserve">Indicatorul </w:t>
      </w:r>
      <w:r w:rsidR="00080151" w:rsidRPr="002047F4">
        <w:rPr>
          <w:rFonts w:asciiTheme="majorHAnsi" w:hAnsiTheme="majorHAnsi" w:cstheme="majorHAnsi"/>
          <w:sz w:val="24"/>
          <w:szCs w:val="24"/>
          <w:lang w:val="ro-RO"/>
        </w:rPr>
        <w:t xml:space="preserve">privind </w:t>
      </w:r>
      <w:r w:rsidRPr="002047F4">
        <w:rPr>
          <w:rFonts w:asciiTheme="majorHAnsi" w:hAnsiTheme="majorHAnsi" w:cstheme="majorHAnsi"/>
          <w:sz w:val="24"/>
          <w:szCs w:val="24"/>
          <w:lang w:val="ro-RO"/>
        </w:rPr>
        <w:t xml:space="preserve">perioada medie de refixare este cu atât mai sigur cu cât deține o valoare mai mare, la fel ca și indicatorul de </w:t>
      </w:r>
      <w:r w:rsidRPr="00C45AA7">
        <w:rPr>
          <w:rFonts w:asciiTheme="majorHAnsi" w:hAnsiTheme="majorHAnsi" w:cstheme="majorHAnsi"/>
          <w:sz w:val="24"/>
          <w:szCs w:val="24"/>
          <w:lang w:val="ro-RO"/>
        </w:rPr>
        <w:t xml:space="preserve">refinanțare </w:t>
      </w:r>
      <w:r w:rsidR="008403FC" w:rsidRPr="00C45AA7">
        <w:rPr>
          <w:rFonts w:asciiTheme="majorHAnsi" w:hAnsiTheme="majorHAnsi" w:cstheme="majorHAnsi"/>
          <w:sz w:val="24"/>
          <w:szCs w:val="24"/>
          <w:lang w:val="ro-RO"/>
        </w:rPr>
        <w:t>– perioada medie de maturitate.</w:t>
      </w:r>
      <w:r w:rsidR="008403FC" w:rsidRPr="002047F4">
        <w:rPr>
          <w:rFonts w:asciiTheme="majorHAnsi" w:hAnsiTheme="majorHAnsi" w:cstheme="majorHAnsi"/>
          <w:sz w:val="24"/>
          <w:szCs w:val="24"/>
          <w:lang w:val="ro-RO"/>
        </w:rPr>
        <w:t xml:space="preserve"> </w:t>
      </w:r>
      <w:r w:rsidRPr="002047F4">
        <w:rPr>
          <w:rFonts w:asciiTheme="majorHAnsi" w:hAnsiTheme="majorHAnsi" w:cstheme="majorHAnsi"/>
          <w:sz w:val="24"/>
          <w:szCs w:val="24"/>
          <w:lang w:val="ro-RO"/>
        </w:rPr>
        <w:t xml:space="preserve">Astfel, auditul relevă că datoria de stat internă este mai mult expusă </w:t>
      </w:r>
      <w:r w:rsidR="008B1271" w:rsidRPr="002047F4">
        <w:rPr>
          <w:rFonts w:asciiTheme="majorHAnsi" w:hAnsiTheme="majorHAnsi" w:cstheme="majorHAnsi"/>
          <w:sz w:val="24"/>
          <w:szCs w:val="24"/>
          <w:lang w:val="ro-RO"/>
        </w:rPr>
        <w:t>riscului ratei de dobândă</w:t>
      </w:r>
      <w:r w:rsidR="00A46CED" w:rsidRPr="002047F4">
        <w:rPr>
          <w:rFonts w:asciiTheme="majorHAnsi" w:hAnsiTheme="majorHAnsi" w:cstheme="majorHAnsi"/>
          <w:sz w:val="24"/>
          <w:szCs w:val="24"/>
          <w:lang w:val="ro-RO"/>
        </w:rPr>
        <w:t>,</w:t>
      </w:r>
      <w:r w:rsidRPr="002047F4">
        <w:rPr>
          <w:rFonts w:asciiTheme="majorHAnsi" w:hAnsiTheme="majorHAnsi" w:cstheme="majorHAnsi"/>
          <w:sz w:val="24"/>
          <w:szCs w:val="24"/>
          <w:lang w:val="ro-RO"/>
        </w:rPr>
        <w:t xml:space="preserve"> față de datori</w:t>
      </w:r>
      <w:r w:rsidR="001E7899" w:rsidRPr="002047F4">
        <w:rPr>
          <w:rFonts w:asciiTheme="majorHAnsi" w:hAnsiTheme="majorHAnsi" w:cstheme="majorHAnsi"/>
          <w:sz w:val="24"/>
          <w:szCs w:val="24"/>
          <w:lang w:val="ro-RO"/>
        </w:rPr>
        <w:t>a de stat externă, deoarece 37,7</w:t>
      </w:r>
      <w:r w:rsidRPr="002047F4">
        <w:rPr>
          <w:rFonts w:asciiTheme="majorHAnsi" w:hAnsiTheme="majorHAnsi" w:cstheme="majorHAnsi"/>
          <w:sz w:val="24"/>
          <w:szCs w:val="24"/>
          <w:lang w:val="ro-RO"/>
        </w:rPr>
        <w:t>% din datoria de stat internă urmează să fie refixată la rate noi de dobândă în decurs de 1 an.</w:t>
      </w:r>
      <w:r w:rsidR="001E7899" w:rsidRPr="002047F4">
        <w:rPr>
          <w:rFonts w:asciiTheme="majorHAnsi" w:hAnsiTheme="majorHAnsi" w:cstheme="majorHAnsi"/>
          <w:sz w:val="24"/>
          <w:szCs w:val="24"/>
          <w:lang w:val="ro-RO"/>
        </w:rPr>
        <w:t xml:space="preserve"> Datoria de stat externă cu rata dobânzii ce urmează a fi refixată</w:t>
      </w:r>
      <w:r w:rsidR="008403FC" w:rsidRPr="002047F4">
        <w:rPr>
          <w:rFonts w:asciiTheme="majorHAnsi" w:hAnsiTheme="majorHAnsi" w:cstheme="majorHAnsi"/>
          <w:sz w:val="24"/>
          <w:szCs w:val="24"/>
          <w:lang w:val="ro-RO"/>
        </w:rPr>
        <w:t xml:space="preserve"> constituie 35,1% din totalul datoriei de stat externe</w:t>
      </w:r>
      <w:r w:rsidR="008F379B">
        <w:rPr>
          <w:rFonts w:asciiTheme="majorHAnsi" w:hAnsiTheme="majorHAnsi" w:cstheme="majorHAnsi"/>
          <w:sz w:val="24"/>
          <w:szCs w:val="24"/>
          <w:lang w:val="ro-RO"/>
        </w:rPr>
        <w:t>,</w:t>
      </w:r>
      <w:r w:rsidR="008403FC" w:rsidRPr="002047F4">
        <w:rPr>
          <w:rFonts w:asciiTheme="majorHAnsi" w:hAnsiTheme="majorHAnsi" w:cstheme="majorHAnsi"/>
          <w:sz w:val="24"/>
          <w:szCs w:val="24"/>
          <w:lang w:val="ro-RO"/>
        </w:rPr>
        <w:t xml:space="preserve"> sau cu 4,9 </w:t>
      </w:r>
      <w:proofErr w:type="spellStart"/>
      <w:r w:rsidR="008403FC" w:rsidRPr="002047F4">
        <w:rPr>
          <w:rFonts w:asciiTheme="majorHAnsi" w:hAnsiTheme="majorHAnsi" w:cstheme="majorHAnsi"/>
          <w:sz w:val="24"/>
          <w:szCs w:val="24"/>
          <w:lang w:val="ro-RO"/>
        </w:rPr>
        <w:t>p.p.</w:t>
      </w:r>
      <w:proofErr w:type="spellEnd"/>
      <w:r w:rsidR="008403FC" w:rsidRPr="002047F4">
        <w:rPr>
          <w:rFonts w:asciiTheme="majorHAnsi" w:hAnsiTheme="majorHAnsi" w:cstheme="majorHAnsi"/>
          <w:sz w:val="24"/>
          <w:szCs w:val="24"/>
          <w:lang w:val="ro-RO"/>
        </w:rPr>
        <w:t xml:space="preserve"> mai mult față de anul 2017.</w:t>
      </w:r>
    </w:p>
    <w:p w14:paraId="0A622D75" w14:textId="4CFF9971" w:rsidR="006E4771" w:rsidRPr="002047F4" w:rsidRDefault="006E4771" w:rsidP="006E4771">
      <w:pPr>
        <w:tabs>
          <w:tab w:val="left" w:pos="284"/>
          <w:tab w:val="left" w:pos="426"/>
          <w:tab w:val="left" w:pos="993"/>
        </w:tabs>
        <w:spacing w:after="0" w:line="276" w:lineRule="auto"/>
        <w:jc w:val="both"/>
        <w:rPr>
          <w:rFonts w:asciiTheme="majorHAnsi" w:hAnsiTheme="majorHAnsi" w:cstheme="majorHAnsi"/>
          <w:sz w:val="24"/>
          <w:szCs w:val="24"/>
          <w:lang w:val="ro-RO"/>
        </w:rPr>
      </w:pPr>
      <w:r w:rsidRPr="002047F4">
        <w:rPr>
          <w:rFonts w:asciiTheme="majorHAnsi" w:hAnsiTheme="majorHAnsi" w:cstheme="majorHAnsi"/>
          <w:sz w:val="24"/>
          <w:szCs w:val="24"/>
          <w:lang w:val="ro-RO"/>
        </w:rPr>
        <w:t xml:space="preserve">Perioada </w:t>
      </w:r>
      <w:r w:rsidR="00884501">
        <w:rPr>
          <w:rFonts w:asciiTheme="majorHAnsi" w:hAnsiTheme="majorHAnsi" w:cstheme="majorHAnsi"/>
          <w:sz w:val="24"/>
          <w:szCs w:val="24"/>
          <w:lang w:val="ro-RO"/>
        </w:rPr>
        <w:t xml:space="preserve">medie </w:t>
      </w:r>
      <w:r w:rsidRPr="002047F4">
        <w:rPr>
          <w:rFonts w:asciiTheme="majorHAnsi" w:hAnsiTheme="majorHAnsi" w:cstheme="majorHAnsi"/>
          <w:sz w:val="24"/>
          <w:szCs w:val="24"/>
          <w:lang w:val="ro-RO"/>
        </w:rPr>
        <w:t>de refix</w:t>
      </w:r>
      <w:r w:rsidR="001E7899" w:rsidRPr="002047F4">
        <w:rPr>
          <w:rFonts w:asciiTheme="majorHAnsi" w:hAnsiTheme="majorHAnsi" w:cstheme="majorHAnsi"/>
          <w:sz w:val="24"/>
          <w:szCs w:val="24"/>
          <w:lang w:val="ro-RO"/>
        </w:rPr>
        <w:t>are a datoriei de stat este de 7,5 ani, 36,2</w:t>
      </w:r>
      <w:r w:rsidRPr="002047F4">
        <w:rPr>
          <w:rFonts w:asciiTheme="majorHAnsi" w:hAnsiTheme="majorHAnsi" w:cstheme="majorHAnsi"/>
          <w:sz w:val="24"/>
          <w:szCs w:val="24"/>
          <w:lang w:val="ro-RO"/>
        </w:rPr>
        <w:t>% din aceasta urm</w:t>
      </w:r>
      <w:r w:rsidR="00A46CED" w:rsidRPr="002047F4">
        <w:rPr>
          <w:rFonts w:asciiTheme="majorHAnsi" w:hAnsiTheme="majorHAnsi" w:cstheme="majorHAnsi"/>
          <w:sz w:val="24"/>
          <w:szCs w:val="24"/>
          <w:lang w:val="ro-RO"/>
        </w:rPr>
        <w:t>ând</w:t>
      </w:r>
      <w:r w:rsidRPr="002047F4">
        <w:rPr>
          <w:rFonts w:asciiTheme="majorHAnsi" w:hAnsiTheme="majorHAnsi" w:cstheme="majorHAnsi"/>
          <w:sz w:val="24"/>
          <w:szCs w:val="24"/>
          <w:lang w:val="ro-RO"/>
        </w:rPr>
        <w:t xml:space="preserve"> a fi refixată la rate noi de dobândă în decurs de 1 an.</w:t>
      </w:r>
    </w:p>
    <w:p w14:paraId="73768F82" w14:textId="77777777" w:rsidR="00AD5AF9" w:rsidRPr="002E2369" w:rsidRDefault="00AD5AF9" w:rsidP="006E4771">
      <w:pPr>
        <w:tabs>
          <w:tab w:val="left" w:pos="284"/>
          <w:tab w:val="left" w:pos="426"/>
          <w:tab w:val="left" w:pos="993"/>
        </w:tabs>
        <w:spacing w:after="0" w:line="276" w:lineRule="auto"/>
        <w:jc w:val="both"/>
        <w:rPr>
          <w:rFonts w:asciiTheme="majorHAnsi" w:hAnsiTheme="majorHAnsi" w:cstheme="majorHAnsi"/>
          <w:sz w:val="24"/>
          <w:szCs w:val="24"/>
          <w:lang w:val="ro-RO"/>
        </w:rPr>
      </w:pPr>
    </w:p>
    <w:p w14:paraId="266C5C4C" w14:textId="27BCD7F7" w:rsidR="00D82280" w:rsidRPr="002E2369" w:rsidRDefault="008F7F02" w:rsidP="00455178">
      <w:pPr>
        <w:pStyle w:val="2"/>
        <w:numPr>
          <w:ilvl w:val="2"/>
          <w:numId w:val="47"/>
        </w:numPr>
        <w:spacing w:after="240" w:line="276" w:lineRule="auto"/>
        <w:ind w:left="0" w:firstLine="556"/>
        <w:jc w:val="both"/>
        <w:rPr>
          <w:rFonts w:asciiTheme="majorHAnsi" w:hAnsiTheme="majorHAnsi" w:cstheme="majorHAnsi"/>
          <w:b/>
          <w:color w:val="auto"/>
          <w:sz w:val="24"/>
          <w:szCs w:val="24"/>
          <w:lang w:val="ro-RO"/>
        </w:rPr>
      </w:pPr>
      <w:bookmarkStart w:id="25" w:name="_Toc10106683"/>
      <w:r>
        <w:rPr>
          <w:rFonts w:asciiTheme="majorHAnsi" w:hAnsiTheme="majorHAnsi" w:cstheme="majorHAnsi"/>
          <w:b/>
          <w:color w:val="auto"/>
          <w:sz w:val="24"/>
          <w:szCs w:val="24"/>
          <w:lang w:val="ro-RO"/>
        </w:rPr>
        <w:t>Față de anii precedenți</w:t>
      </w:r>
      <w:r w:rsidR="00A343B9">
        <w:rPr>
          <w:rFonts w:asciiTheme="majorHAnsi" w:hAnsiTheme="majorHAnsi" w:cstheme="majorHAnsi"/>
          <w:b/>
          <w:color w:val="auto"/>
          <w:sz w:val="24"/>
          <w:szCs w:val="24"/>
          <w:lang w:val="ro-RO"/>
        </w:rPr>
        <w:t>,</w:t>
      </w:r>
      <w:r>
        <w:rPr>
          <w:rFonts w:asciiTheme="majorHAnsi" w:hAnsiTheme="majorHAnsi" w:cstheme="majorHAnsi"/>
          <w:b/>
          <w:color w:val="auto"/>
          <w:sz w:val="24"/>
          <w:szCs w:val="24"/>
          <w:lang w:val="ro-RO"/>
        </w:rPr>
        <w:t xml:space="preserve"> în anul 2018 c</w:t>
      </w:r>
      <w:r w:rsidR="00D82280" w:rsidRPr="002E2369">
        <w:rPr>
          <w:rFonts w:asciiTheme="majorHAnsi" w:hAnsiTheme="majorHAnsi" w:cstheme="majorHAnsi"/>
          <w:b/>
          <w:color w:val="auto"/>
          <w:sz w:val="24"/>
          <w:szCs w:val="24"/>
          <w:lang w:val="ro-RO"/>
        </w:rPr>
        <w:t>heltuielile pentru deservirea datoriei de stat</w:t>
      </w:r>
      <w:r>
        <w:rPr>
          <w:rFonts w:asciiTheme="majorHAnsi" w:hAnsiTheme="majorHAnsi" w:cstheme="majorHAnsi"/>
          <w:b/>
          <w:color w:val="auto"/>
          <w:sz w:val="24"/>
          <w:szCs w:val="24"/>
          <w:lang w:val="ro-RO"/>
        </w:rPr>
        <w:t xml:space="preserve"> interne au fost în scădere, iar pentru deservirea datoriei de stat externe </w:t>
      </w:r>
      <w:r w:rsidR="008F379B">
        <w:rPr>
          <w:rFonts w:asciiTheme="majorHAnsi" w:hAnsiTheme="majorHAnsi" w:cstheme="majorHAnsi"/>
          <w:b/>
          <w:color w:val="auto"/>
          <w:sz w:val="24"/>
          <w:szCs w:val="24"/>
          <w:lang w:val="ro-RO"/>
        </w:rPr>
        <w:t xml:space="preserve">- </w:t>
      </w:r>
      <w:r>
        <w:rPr>
          <w:rFonts w:asciiTheme="majorHAnsi" w:hAnsiTheme="majorHAnsi" w:cstheme="majorHAnsi"/>
          <w:b/>
          <w:color w:val="auto"/>
          <w:sz w:val="24"/>
          <w:szCs w:val="24"/>
          <w:lang w:val="ro-RO"/>
        </w:rPr>
        <w:t>în creștere</w:t>
      </w:r>
      <w:r w:rsidR="00D82280" w:rsidRPr="002E2369">
        <w:rPr>
          <w:rFonts w:asciiTheme="majorHAnsi" w:hAnsiTheme="majorHAnsi" w:cstheme="majorHAnsi"/>
          <w:b/>
          <w:color w:val="auto"/>
          <w:sz w:val="24"/>
          <w:szCs w:val="24"/>
          <w:lang w:val="ro-RO"/>
        </w:rPr>
        <w:t>.</w:t>
      </w:r>
      <w:bookmarkEnd w:id="25"/>
      <w:r w:rsidR="00D82280" w:rsidRPr="002E2369">
        <w:rPr>
          <w:rFonts w:asciiTheme="majorHAnsi" w:hAnsiTheme="majorHAnsi" w:cstheme="majorHAnsi"/>
          <w:b/>
          <w:color w:val="auto"/>
          <w:sz w:val="24"/>
          <w:szCs w:val="24"/>
          <w:lang w:val="ro-RO"/>
        </w:rPr>
        <w:t xml:space="preserve"> </w:t>
      </w:r>
    </w:p>
    <w:p w14:paraId="261DA302" w14:textId="77777777" w:rsidR="00A93083" w:rsidRDefault="00A93083" w:rsidP="002E2369">
      <w:pPr>
        <w:shd w:val="clear" w:color="auto" w:fill="FFFFFF"/>
        <w:spacing w:after="0" w:line="276" w:lineRule="auto"/>
        <w:ind w:firstLine="720"/>
        <w:jc w:val="both"/>
        <w:rPr>
          <w:rFonts w:asciiTheme="majorHAnsi" w:hAnsiTheme="majorHAnsi" w:cstheme="majorHAnsi"/>
          <w:sz w:val="24"/>
          <w:szCs w:val="24"/>
          <w:lang w:val="ro-RO"/>
        </w:rPr>
      </w:pPr>
      <w:r>
        <w:rPr>
          <w:rFonts w:asciiTheme="majorHAnsi" w:hAnsiTheme="majorHAnsi" w:cstheme="majorHAnsi"/>
          <w:sz w:val="24"/>
          <w:szCs w:val="24"/>
          <w:lang w:val="ro-RO"/>
        </w:rPr>
        <w:t xml:space="preserve">Deservirea datoriei reprezintă </w:t>
      </w:r>
      <w:r w:rsidRPr="00ED0314">
        <w:rPr>
          <w:rFonts w:asciiTheme="majorHAnsi" w:hAnsiTheme="majorHAnsi" w:cstheme="majorHAnsi"/>
          <w:sz w:val="24"/>
          <w:szCs w:val="24"/>
          <w:lang w:val="ro-RO"/>
        </w:rPr>
        <w:t>plata sumei principale, a dobânzii și a altor sume aferente, prevăzute în contractele din care rezultă datoria</w:t>
      </w:r>
      <w:r>
        <w:rPr>
          <w:rFonts w:asciiTheme="majorHAnsi" w:hAnsiTheme="majorHAnsi" w:cstheme="majorHAnsi"/>
          <w:sz w:val="24"/>
          <w:szCs w:val="24"/>
          <w:lang w:val="ro-RO"/>
        </w:rPr>
        <w:t>.</w:t>
      </w:r>
    </w:p>
    <w:p w14:paraId="5A033D92" w14:textId="4F621D33" w:rsidR="00567A8B" w:rsidRDefault="00DB3910" w:rsidP="002E2369">
      <w:pPr>
        <w:shd w:val="clear" w:color="auto" w:fill="FFFFFF"/>
        <w:spacing w:after="0" w:line="276" w:lineRule="auto"/>
        <w:ind w:firstLine="720"/>
        <w:jc w:val="both"/>
        <w:rPr>
          <w:rFonts w:asciiTheme="majorHAnsi" w:hAnsiTheme="majorHAnsi" w:cstheme="majorHAnsi"/>
          <w:sz w:val="24"/>
          <w:szCs w:val="24"/>
          <w:lang w:val="ro-RO"/>
        </w:rPr>
      </w:pPr>
      <w:r w:rsidRPr="002E1D44">
        <w:rPr>
          <w:rFonts w:asciiTheme="majorHAnsi" w:hAnsiTheme="majorHAnsi" w:cstheme="majorHAnsi"/>
          <w:sz w:val="24"/>
          <w:szCs w:val="24"/>
          <w:lang w:val="ro-RO"/>
        </w:rPr>
        <w:t>Pe parcursul anului</w:t>
      </w:r>
      <w:r w:rsidR="008F379B">
        <w:rPr>
          <w:rFonts w:asciiTheme="majorHAnsi" w:hAnsiTheme="majorHAnsi" w:cstheme="majorHAnsi"/>
          <w:sz w:val="24"/>
          <w:szCs w:val="24"/>
          <w:lang w:val="ro-RO"/>
        </w:rPr>
        <w:t>,</w:t>
      </w:r>
      <w:r w:rsidR="006C76B9" w:rsidRPr="002E1D44">
        <w:rPr>
          <w:rFonts w:asciiTheme="majorHAnsi" w:hAnsiTheme="majorHAnsi" w:cstheme="majorHAnsi"/>
          <w:sz w:val="24"/>
          <w:szCs w:val="24"/>
          <w:lang w:val="ro-RO"/>
        </w:rPr>
        <w:t xml:space="preserve"> pentru deservirea datoriei de stat</w:t>
      </w:r>
      <w:r w:rsidR="00C061A9">
        <w:rPr>
          <w:rFonts w:asciiTheme="majorHAnsi" w:hAnsiTheme="majorHAnsi" w:cstheme="majorHAnsi"/>
          <w:sz w:val="24"/>
          <w:szCs w:val="24"/>
          <w:lang w:val="ro-RO"/>
        </w:rPr>
        <w:t xml:space="preserve"> au fost efectuate plăți </w:t>
      </w:r>
      <w:r w:rsidR="00BA65BD">
        <w:rPr>
          <w:rFonts w:asciiTheme="majorHAnsi" w:hAnsiTheme="majorHAnsi" w:cstheme="majorHAnsi"/>
          <w:sz w:val="24"/>
          <w:szCs w:val="24"/>
          <w:lang w:val="ro-RO"/>
        </w:rPr>
        <w:t xml:space="preserve">în sumă de </w:t>
      </w:r>
      <w:r w:rsidR="00FA3C85">
        <w:rPr>
          <w:rFonts w:asciiTheme="majorHAnsi" w:hAnsiTheme="majorHAnsi" w:cstheme="majorHAnsi"/>
          <w:sz w:val="24"/>
          <w:szCs w:val="24"/>
          <w:lang w:val="ro-RO"/>
        </w:rPr>
        <w:t xml:space="preserve">15820,7 </w:t>
      </w:r>
      <w:proofErr w:type="spellStart"/>
      <w:r w:rsidR="00FA3C85">
        <w:rPr>
          <w:rFonts w:asciiTheme="majorHAnsi" w:hAnsiTheme="majorHAnsi" w:cstheme="majorHAnsi"/>
          <w:sz w:val="24"/>
          <w:szCs w:val="24"/>
          <w:lang w:val="ro-RO"/>
        </w:rPr>
        <w:t>mil.MDL</w:t>
      </w:r>
      <w:proofErr w:type="spellEnd"/>
      <w:r w:rsidR="00FA3C85">
        <w:rPr>
          <w:rFonts w:asciiTheme="majorHAnsi" w:hAnsiTheme="majorHAnsi" w:cstheme="majorHAnsi"/>
          <w:sz w:val="24"/>
          <w:szCs w:val="24"/>
          <w:lang w:val="ro-RO"/>
        </w:rPr>
        <w:t>.</w:t>
      </w:r>
      <w:r w:rsidR="00A93083">
        <w:rPr>
          <w:rFonts w:asciiTheme="majorHAnsi" w:hAnsiTheme="majorHAnsi" w:cstheme="majorHAnsi"/>
          <w:sz w:val="24"/>
          <w:szCs w:val="24"/>
          <w:lang w:val="ro-RO"/>
        </w:rPr>
        <w:t xml:space="preserve"> </w:t>
      </w:r>
    </w:p>
    <w:p w14:paraId="495DEC92" w14:textId="02070DF7" w:rsidR="00802EDF" w:rsidRPr="00C25870" w:rsidRDefault="00A93083" w:rsidP="00C25870">
      <w:pPr>
        <w:shd w:val="clear" w:color="auto" w:fill="FFFFFF"/>
        <w:spacing w:after="0" w:line="276" w:lineRule="auto"/>
        <w:ind w:firstLine="720"/>
        <w:jc w:val="both"/>
        <w:rPr>
          <w:rFonts w:asciiTheme="majorHAnsi" w:hAnsiTheme="majorHAnsi" w:cstheme="majorHAnsi"/>
          <w:b/>
          <w:i/>
          <w:sz w:val="18"/>
          <w:szCs w:val="18"/>
          <w:lang w:val="ro-RO"/>
        </w:rPr>
      </w:pPr>
      <w:r>
        <w:rPr>
          <w:rFonts w:asciiTheme="majorHAnsi" w:hAnsiTheme="majorHAnsi" w:cstheme="majorHAnsi"/>
          <w:sz w:val="24"/>
          <w:szCs w:val="24"/>
          <w:lang w:val="ro-RO"/>
        </w:rPr>
        <w:t>Din totalul plăților efectuate pentru deservirea datoriei de stat</w:t>
      </w:r>
      <w:r w:rsidR="003B77B5">
        <w:rPr>
          <w:rFonts w:asciiTheme="majorHAnsi" w:hAnsiTheme="majorHAnsi" w:cstheme="majorHAnsi"/>
          <w:sz w:val="24"/>
          <w:szCs w:val="24"/>
          <w:lang w:val="ro-RO"/>
        </w:rPr>
        <w:t>,</w:t>
      </w:r>
      <w:r>
        <w:rPr>
          <w:rFonts w:asciiTheme="majorHAnsi" w:hAnsiTheme="majorHAnsi" w:cstheme="majorHAnsi"/>
          <w:sz w:val="24"/>
          <w:szCs w:val="24"/>
          <w:lang w:val="ro-RO"/>
        </w:rPr>
        <w:t xml:space="preserve"> </w:t>
      </w:r>
      <w:r w:rsidR="00C25870">
        <w:rPr>
          <w:rFonts w:asciiTheme="majorHAnsi" w:hAnsiTheme="majorHAnsi" w:cstheme="majorHAnsi"/>
          <w:sz w:val="24"/>
          <w:szCs w:val="24"/>
          <w:lang w:val="ro-RO"/>
        </w:rPr>
        <w:t xml:space="preserve">rambursarea sumelor </w:t>
      </w:r>
      <w:r w:rsidR="002E16A7">
        <w:rPr>
          <w:rFonts w:asciiTheme="majorHAnsi" w:hAnsiTheme="majorHAnsi" w:cstheme="majorHAnsi"/>
          <w:sz w:val="24"/>
          <w:szCs w:val="24"/>
          <w:lang w:val="ro-RO"/>
        </w:rPr>
        <w:t xml:space="preserve">principale </w:t>
      </w:r>
      <w:r w:rsidR="00C25870">
        <w:rPr>
          <w:rFonts w:asciiTheme="majorHAnsi" w:hAnsiTheme="majorHAnsi" w:cstheme="majorHAnsi"/>
          <w:sz w:val="24"/>
          <w:szCs w:val="24"/>
          <w:lang w:val="ro-RO"/>
        </w:rPr>
        <w:t>a</w:t>
      </w:r>
      <w:r w:rsidR="00EA3A99">
        <w:rPr>
          <w:rFonts w:asciiTheme="majorHAnsi" w:hAnsiTheme="majorHAnsi" w:cstheme="majorHAnsi"/>
          <w:sz w:val="24"/>
          <w:szCs w:val="24"/>
          <w:lang w:val="ro-RO"/>
        </w:rPr>
        <w:t>le</w:t>
      </w:r>
      <w:r w:rsidR="00C25870">
        <w:rPr>
          <w:rFonts w:asciiTheme="majorHAnsi" w:hAnsiTheme="majorHAnsi" w:cstheme="majorHAnsi"/>
          <w:sz w:val="24"/>
          <w:szCs w:val="24"/>
          <w:lang w:val="ro-RO"/>
        </w:rPr>
        <w:t xml:space="preserve"> datoriei de stat </w:t>
      </w:r>
      <w:r w:rsidR="002E16A7">
        <w:rPr>
          <w:rFonts w:asciiTheme="majorHAnsi" w:hAnsiTheme="majorHAnsi" w:cstheme="majorHAnsi"/>
          <w:sz w:val="24"/>
          <w:szCs w:val="24"/>
          <w:lang w:val="ro-RO"/>
        </w:rPr>
        <w:t>a constituit 14315,</w:t>
      </w:r>
      <w:r w:rsidR="00CC29E3">
        <w:rPr>
          <w:rFonts w:asciiTheme="majorHAnsi" w:hAnsiTheme="majorHAnsi" w:cstheme="majorHAnsi"/>
          <w:sz w:val="24"/>
          <w:szCs w:val="24"/>
          <w:lang w:val="ro-RO"/>
        </w:rPr>
        <w:t xml:space="preserve">8 </w:t>
      </w:r>
      <w:proofErr w:type="spellStart"/>
      <w:r w:rsidR="002E16A7">
        <w:rPr>
          <w:rFonts w:asciiTheme="majorHAnsi" w:hAnsiTheme="majorHAnsi" w:cstheme="majorHAnsi"/>
          <w:sz w:val="24"/>
          <w:szCs w:val="24"/>
          <w:lang w:val="ro-RO"/>
        </w:rPr>
        <w:t>mil.MDL</w:t>
      </w:r>
      <w:proofErr w:type="spellEnd"/>
      <w:r w:rsidR="002E16A7">
        <w:rPr>
          <w:rFonts w:asciiTheme="majorHAnsi" w:hAnsiTheme="majorHAnsi" w:cstheme="majorHAnsi"/>
          <w:sz w:val="24"/>
          <w:szCs w:val="24"/>
          <w:lang w:val="ro-RO"/>
        </w:rPr>
        <w:t>, din care</w:t>
      </w:r>
      <w:r w:rsidR="003520AD">
        <w:rPr>
          <w:rFonts w:asciiTheme="majorHAnsi" w:hAnsiTheme="majorHAnsi" w:cstheme="majorHAnsi"/>
          <w:sz w:val="24"/>
          <w:szCs w:val="24"/>
          <w:lang w:val="ro-RO"/>
        </w:rPr>
        <w:t xml:space="preserve"> pentru rambursarea sumelor principale </w:t>
      </w:r>
      <w:r w:rsidR="00EA3A99">
        <w:rPr>
          <w:rFonts w:asciiTheme="majorHAnsi" w:hAnsiTheme="majorHAnsi" w:cstheme="majorHAnsi"/>
          <w:sz w:val="24"/>
          <w:szCs w:val="24"/>
          <w:lang w:val="ro-RO"/>
        </w:rPr>
        <w:t xml:space="preserve">ale </w:t>
      </w:r>
      <w:r w:rsidR="003B77B5">
        <w:rPr>
          <w:rFonts w:asciiTheme="majorHAnsi" w:hAnsiTheme="majorHAnsi" w:cstheme="majorHAnsi"/>
          <w:sz w:val="24"/>
          <w:szCs w:val="24"/>
          <w:lang w:val="ro-RO"/>
        </w:rPr>
        <w:t xml:space="preserve">datoriei externe </w:t>
      </w:r>
      <w:r w:rsidR="00655F09">
        <w:rPr>
          <w:rFonts w:asciiTheme="majorHAnsi" w:hAnsiTheme="majorHAnsi" w:cstheme="majorHAnsi"/>
          <w:sz w:val="24"/>
          <w:szCs w:val="24"/>
          <w:lang w:val="ro-RO"/>
        </w:rPr>
        <w:t>–</w:t>
      </w:r>
      <w:r w:rsidR="003B77B5">
        <w:rPr>
          <w:rFonts w:asciiTheme="majorHAnsi" w:hAnsiTheme="majorHAnsi" w:cstheme="majorHAnsi"/>
          <w:sz w:val="24"/>
          <w:szCs w:val="24"/>
          <w:lang w:val="ro-RO"/>
        </w:rPr>
        <w:t xml:space="preserve"> </w:t>
      </w:r>
      <w:r w:rsidR="00655F09">
        <w:rPr>
          <w:rFonts w:asciiTheme="majorHAnsi" w:hAnsiTheme="majorHAnsi" w:cstheme="majorHAnsi"/>
          <w:sz w:val="24"/>
          <w:szCs w:val="24"/>
          <w:lang w:val="ro-RO"/>
        </w:rPr>
        <w:t xml:space="preserve">1873,4 </w:t>
      </w:r>
      <w:proofErr w:type="spellStart"/>
      <w:r w:rsidR="00655F09">
        <w:rPr>
          <w:rFonts w:asciiTheme="majorHAnsi" w:hAnsiTheme="majorHAnsi" w:cstheme="majorHAnsi"/>
          <w:sz w:val="24"/>
          <w:szCs w:val="24"/>
          <w:lang w:val="ro-RO"/>
        </w:rPr>
        <w:t>mil.MDL</w:t>
      </w:r>
      <w:proofErr w:type="spellEnd"/>
      <w:r w:rsidR="00655F09">
        <w:rPr>
          <w:rFonts w:asciiTheme="majorHAnsi" w:hAnsiTheme="majorHAnsi" w:cstheme="majorHAnsi"/>
          <w:sz w:val="24"/>
          <w:szCs w:val="24"/>
          <w:lang w:val="ro-RO"/>
        </w:rPr>
        <w:t xml:space="preserve">, </w:t>
      </w:r>
      <w:r w:rsidR="00EA3A99">
        <w:rPr>
          <w:rFonts w:asciiTheme="majorHAnsi" w:hAnsiTheme="majorHAnsi" w:cstheme="majorHAnsi"/>
          <w:sz w:val="24"/>
          <w:szCs w:val="24"/>
          <w:lang w:val="ro-RO"/>
        </w:rPr>
        <w:t>și</w:t>
      </w:r>
      <w:r w:rsidR="00655F09">
        <w:rPr>
          <w:rFonts w:asciiTheme="majorHAnsi" w:hAnsiTheme="majorHAnsi" w:cstheme="majorHAnsi"/>
          <w:sz w:val="24"/>
          <w:szCs w:val="24"/>
          <w:lang w:val="ro-RO"/>
        </w:rPr>
        <w:t xml:space="preserve"> pentru rambursarea sumelor principale </w:t>
      </w:r>
      <w:r w:rsidR="00996794">
        <w:rPr>
          <w:rFonts w:asciiTheme="majorHAnsi" w:hAnsiTheme="majorHAnsi" w:cstheme="majorHAnsi"/>
          <w:sz w:val="24"/>
          <w:szCs w:val="24"/>
          <w:lang w:val="ro-RO"/>
        </w:rPr>
        <w:t>a</w:t>
      </w:r>
      <w:r w:rsidR="00EA3A99">
        <w:rPr>
          <w:rFonts w:asciiTheme="majorHAnsi" w:hAnsiTheme="majorHAnsi" w:cstheme="majorHAnsi"/>
          <w:sz w:val="24"/>
          <w:szCs w:val="24"/>
          <w:lang w:val="ro-RO"/>
        </w:rPr>
        <w:t xml:space="preserve">le </w:t>
      </w:r>
      <w:r w:rsidR="00996794">
        <w:rPr>
          <w:rFonts w:asciiTheme="majorHAnsi" w:hAnsiTheme="majorHAnsi" w:cstheme="majorHAnsi"/>
          <w:sz w:val="24"/>
          <w:szCs w:val="24"/>
          <w:lang w:val="ro-RO"/>
        </w:rPr>
        <w:t xml:space="preserve"> datoriei </w:t>
      </w:r>
      <w:r w:rsidR="00655F09">
        <w:rPr>
          <w:rFonts w:asciiTheme="majorHAnsi" w:hAnsiTheme="majorHAnsi" w:cstheme="majorHAnsi"/>
          <w:sz w:val="24"/>
          <w:szCs w:val="24"/>
          <w:lang w:val="ro-RO"/>
        </w:rPr>
        <w:t>interne, ce reprezintă răscumpărarea valorilor mobiliare</w:t>
      </w:r>
      <w:r w:rsidR="00FD0FEF">
        <w:rPr>
          <w:rFonts w:asciiTheme="majorHAnsi" w:hAnsiTheme="majorHAnsi" w:cstheme="majorHAnsi"/>
          <w:sz w:val="24"/>
          <w:szCs w:val="24"/>
          <w:lang w:val="ro-RO"/>
        </w:rPr>
        <w:t xml:space="preserve"> </w:t>
      </w:r>
      <w:r w:rsidR="004E301B">
        <w:rPr>
          <w:rFonts w:asciiTheme="majorHAnsi" w:hAnsiTheme="majorHAnsi" w:cstheme="majorHAnsi"/>
          <w:sz w:val="24"/>
          <w:szCs w:val="24"/>
          <w:lang w:val="ro-RO"/>
        </w:rPr>
        <w:t>de stat</w:t>
      </w:r>
      <w:r w:rsidR="00655F09">
        <w:rPr>
          <w:rFonts w:asciiTheme="majorHAnsi" w:hAnsiTheme="majorHAnsi" w:cstheme="majorHAnsi"/>
          <w:sz w:val="24"/>
          <w:szCs w:val="24"/>
          <w:lang w:val="ro-RO"/>
        </w:rPr>
        <w:t xml:space="preserve">– 12442,5 </w:t>
      </w:r>
      <w:proofErr w:type="spellStart"/>
      <w:r w:rsidR="00655F09">
        <w:rPr>
          <w:rFonts w:asciiTheme="majorHAnsi" w:hAnsiTheme="majorHAnsi" w:cstheme="majorHAnsi"/>
          <w:sz w:val="24"/>
          <w:szCs w:val="24"/>
          <w:lang w:val="ro-RO"/>
        </w:rPr>
        <w:t>mil.MDL</w:t>
      </w:r>
      <w:proofErr w:type="spellEnd"/>
      <w:r w:rsidR="00655F09">
        <w:rPr>
          <w:rFonts w:asciiTheme="majorHAnsi" w:hAnsiTheme="majorHAnsi" w:cstheme="majorHAnsi"/>
          <w:sz w:val="24"/>
          <w:szCs w:val="24"/>
          <w:lang w:val="ro-RO"/>
        </w:rPr>
        <w:t>.</w:t>
      </w:r>
      <w:r w:rsidR="00802EDF">
        <w:rPr>
          <w:rFonts w:asciiTheme="majorHAnsi" w:hAnsiTheme="majorHAnsi" w:cstheme="majorHAnsi"/>
          <w:sz w:val="24"/>
          <w:szCs w:val="24"/>
          <w:lang w:val="ro-RO"/>
        </w:rPr>
        <w:t xml:space="preserve"> </w:t>
      </w:r>
    </w:p>
    <w:p w14:paraId="33497169" w14:textId="7AC77947" w:rsidR="00E135C3" w:rsidRPr="00584E3D" w:rsidRDefault="00567A8B" w:rsidP="00584E3D">
      <w:pPr>
        <w:shd w:val="clear" w:color="auto" w:fill="FFFFFF"/>
        <w:spacing w:after="0" w:line="276" w:lineRule="auto"/>
        <w:ind w:firstLine="720"/>
        <w:jc w:val="both"/>
        <w:rPr>
          <w:rFonts w:asciiTheme="majorHAnsi" w:hAnsiTheme="majorHAnsi"/>
          <w:sz w:val="24"/>
          <w:szCs w:val="24"/>
          <w:lang w:val="ro-RO"/>
        </w:rPr>
      </w:pPr>
      <w:r>
        <w:rPr>
          <w:rFonts w:asciiTheme="majorHAnsi" w:hAnsiTheme="majorHAnsi" w:cstheme="majorHAnsi"/>
          <w:sz w:val="24"/>
          <w:szCs w:val="24"/>
          <w:lang w:val="ro-RO"/>
        </w:rPr>
        <w:t>Din totalul plăților efectuate pentru deservirea datoriei de stat,</w:t>
      </w:r>
      <w:r w:rsidR="00CD7591">
        <w:rPr>
          <w:rFonts w:asciiTheme="majorHAnsi" w:hAnsiTheme="majorHAnsi" w:cstheme="majorHAnsi"/>
          <w:sz w:val="24"/>
          <w:szCs w:val="24"/>
          <w:lang w:val="ro-RO"/>
        </w:rPr>
        <w:t xml:space="preserve"> </w:t>
      </w:r>
      <w:r>
        <w:rPr>
          <w:rFonts w:asciiTheme="majorHAnsi" w:hAnsiTheme="majorHAnsi" w:cstheme="majorHAnsi"/>
          <w:sz w:val="24"/>
          <w:szCs w:val="24"/>
          <w:lang w:val="ro-RO"/>
        </w:rPr>
        <w:t>serviciul datoriei de stat</w:t>
      </w:r>
      <w:r w:rsidR="00CD7591">
        <w:rPr>
          <w:rFonts w:asciiTheme="majorHAnsi" w:hAnsiTheme="majorHAnsi"/>
          <w:sz w:val="24"/>
          <w:szCs w:val="24"/>
          <w:lang w:val="ro-RO"/>
        </w:rPr>
        <w:t xml:space="preserve">  (plăți de dobândă și comisioane) a constituit 1504,8 </w:t>
      </w:r>
      <w:proofErr w:type="spellStart"/>
      <w:r w:rsidR="00CD7591">
        <w:rPr>
          <w:rFonts w:asciiTheme="majorHAnsi" w:hAnsiTheme="majorHAnsi"/>
          <w:sz w:val="24"/>
          <w:szCs w:val="24"/>
          <w:lang w:val="ro-RO"/>
        </w:rPr>
        <w:t>mil.MDL</w:t>
      </w:r>
      <w:proofErr w:type="spellEnd"/>
      <w:r w:rsidR="00CD7591">
        <w:rPr>
          <w:rFonts w:asciiTheme="majorHAnsi" w:hAnsiTheme="majorHAnsi"/>
          <w:sz w:val="24"/>
          <w:szCs w:val="24"/>
          <w:lang w:val="ro-RO"/>
        </w:rPr>
        <w:t xml:space="preserve">, din care dobânzile și comisioanele datoriei de stat externe </w:t>
      </w:r>
      <w:r w:rsidR="00E135C3">
        <w:rPr>
          <w:rFonts w:asciiTheme="majorHAnsi" w:hAnsiTheme="majorHAnsi"/>
          <w:sz w:val="24"/>
          <w:szCs w:val="24"/>
          <w:lang w:val="ro-RO"/>
        </w:rPr>
        <w:t>–</w:t>
      </w:r>
      <w:r w:rsidR="00CD7591">
        <w:rPr>
          <w:rFonts w:asciiTheme="majorHAnsi" w:hAnsiTheme="majorHAnsi"/>
          <w:sz w:val="24"/>
          <w:szCs w:val="24"/>
          <w:lang w:val="ro-RO"/>
        </w:rPr>
        <w:t xml:space="preserve"> </w:t>
      </w:r>
      <w:r w:rsidR="00E135C3">
        <w:rPr>
          <w:rFonts w:asciiTheme="majorHAnsi" w:hAnsiTheme="majorHAnsi"/>
          <w:sz w:val="24"/>
          <w:szCs w:val="24"/>
          <w:lang w:val="ro-RO"/>
        </w:rPr>
        <w:t xml:space="preserve">379,5 </w:t>
      </w:r>
      <w:proofErr w:type="spellStart"/>
      <w:r w:rsidR="00E135C3">
        <w:rPr>
          <w:rFonts w:asciiTheme="majorHAnsi" w:hAnsiTheme="majorHAnsi"/>
          <w:sz w:val="24"/>
          <w:szCs w:val="24"/>
          <w:lang w:val="ro-RO"/>
        </w:rPr>
        <w:t>mil.MDL</w:t>
      </w:r>
      <w:proofErr w:type="spellEnd"/>
      <w:r w:rsidR="00E135C3">
        <w:rPr>
          <w:rFonts w:asciiTheme="majorHAnsi" w:hAnsiTheme="majorHAnsi"/>
          <w:sz w:val="24"/>
          <w:szCs w:val="24"/>
          <w:lang w:val="ro-RO"/>
        </w:rPr>
        <w:t xml:space="preserve">, </w:t>
      </w:r>
      <w:r w:rsidR="00EA3A99">
        <w:rPr>
          <w:rFonts w:asciiTheme="majorHAnsi" w:hAnsiTheme="majorHAnsi"/>
          <w:sz w:val="24"/>
          <w:szCs w:val="24"/>
          <w:lang w:val="ro-RO"/>
        </w:rPr>
        <w:t>și</w:t>
      </w:r>
      <w:r w:rsidR="00E135C3">
        <w:rPr>
          <w:rFonts w:asciiTheme="majorHAnsi" w:hAnsiTheme="majorHAnsi"/>
          <w:sz w:val="24"/>
          <w:szCs w:val="24"/>
          <w:lang w:val="ro-RO"/>
        </w:rPr>
        <w:t xml:space="preserve"> dobânzile datoriei de stat interne -1125,3 </w:t>
      </w:r>
      <w:proofErr w:type="spellStart"/>
      <w:r w:rsidR="00E135C3">
        <w:rPr>
          <w:rFonts w:asciiTheme="majorHAnsi" w:hAnsiTheme="majorHAnsi"/>
          <w:sz w:val="24"/>
          <w:szCs w:val="24"/>
          <w:lang w:val="ro-RO"/>
        </w:rPr>
        <w:t>mil.MDL</w:t>
      </w:r>
      <w:proofErr w:type="spellEnd"/>
      <w:r w:rsidR="00E135C3">
        <w:rPr>
          <w:rFonts w:asciiTheme="majorHAnsi" w:hAnsiTheme="majorHAnsi"/>
          <w:sz w:val="24"/>
          <w:szCs w:val="24"/>
          <w:lang w:val="ro-RO"/>
        </w:rPr>
        <w:t>.</w:t>
      </w:r>
      <w:r w:rsidR="007C5D3C">
        <w:rPr>
          <w:rFonts w:asciiTheme="majorHAnsi" w:hAnsiTheme="majorHAnsi"/>
          <w:sz w:val="24"/>
          <w:szCs w:val="24"/>
          <w:lang w:val="ro-RO"/>
        </w:rPr>
        <w:t xml:space="preserve"> </w:t>
      </w:r>
      <w:r w:rsidR="007C5D3C" w:rsidRPr="007C5D3C">
        <w:rPr>
          <w:rFonts w:asciiTheme="majorHAnsi" w:hAnsiTheme="majorHAnsi" w:cstheme="majorHAnsi"/>
          <w:sz w:val="24"/>
          <w:szCs w:val="24"/>
          <w:lang w:val="ro-RO"/>
        </w:rPr>
        <w:t xml:space="preserve">Astfel, auditul relevă că în anul 2018 serviciul datoriei de stat interne a depășit de 3 ori serviciul datoriei de stat externe. </w:t>
      </w:r>
    </w:p>
    <w:p w14:paraId="239090DA" w14:textId="3FDC548A" w:rsidR="00D82280" w:rsidRPr="00605298" w:rsidRDefault="00D82280" w:rsidP="00605298">
      <w:pPr>
        <w:shd w:val="clear" w:color="auto" w:fill="FFFFFF"/>
        <w:spacing w:after="0" w:line="276" w:lineRule="auto"/>
        <w:ind w:firstLine="720"/>
        <w:jc w:val="both"/>
        <w:rPr>
          <w:rFonts w:asciiTheme="majorHAnsi" w:hAnsiTheme="majorHAnsi" w:cstheme="majorHAnsi"/>
          <w:sz w:val="24"/>
          <w:szCs w:val="24"/>
          <w:lang w:val="ro-RO"/>
        </w:rPr>
      </w:pPr>
      <w:r w:rsidRPr="00605298">
        <w:rPr>
          <w:rFonts w:asciiTheme="majorHAnsi" w:hAnsiTheme="majorHAnsi" w:cstheme="majorHAnsi"/>
          <w:sz w:val="24"/>
          <w:szCs w:val="24"/>
          <w:lang w:val="ro-RO"/>
        </w:rPr>
        <w:t>A</w:t>
      </w:r>
      <w:r w:rsidR="00584E3D" w:rsidRPr="00605298">
        <w:rPr>
          <w:rFonts w:asciiTheme="majorHAnsi" w:hAnsiTheme="majorHAnsi" w:cstheme="majorHAnsi"/>
          <w:sz w:val="24"/>
          <w:szCs w:val="24"/>
          <w:lang w:val="ro-RO"/>
        </w:rPr>
        <w:t>naliza efectuată de audit</w:t>
      </w:r>
      <w:r w:rsidRPr="00605298">
        <w:rPr>
          <w:rFonts w:asciiTheme="majorHAnsi" w:hAnsiTheme="majorHAnsi" w:cstheme="majorHAnsi"/>
          <w:sz w:val="24"/>
          <w:szCs w:val="24"/>
          <w:lang w:val="ro-RO"/>
        </w:rPr>
        <w:t xml:space="preserve"> </w:t>
      </w:r>
      <w:r w:rsidR="00584E3D" w:rsidRPr="00605298">
        <w:rPr>
          <w:rFonts w:asciiTheme="majorHAnsi" w:hAnsiTheme="majorHAnsi" w:cstheme="majorHAnsi"/>
          <w:sz w:val="24"/>
          <w:szCs w:val="24"/>
          <w:lang w:val="ro-RO"/>
        </w:rPr>
        <w:t xml:space="preserve">denotă </w:t>
      </w:r>
      <w:r w:rsidRPr="00605298">
        <w:rPr>
          <w:rFonts w:asciiTheme="majorHAnsi" w:hAnsiTheme="majorHAnsi" w:cstheme="majorHAnsi"/>
          <w:sz w:val="24"/>
          <w:szCs w:val="24"/>
          <w:lang w:val="ro-RO"/>
        </w:rPr>
        <w:t>că cheltuielile totale destinate deservirii datoriei d</w:t>
      </w:r>
      <w:r w:rsidR="00584E3D" w:rsidRPr="00605298">
        <w:rPr>
          <w:rFonts w:asciiTheme="majorHAnsi" w:hAnsiTheme="majorHAnsi" w:cstheme="majorHAnsi"/>
          <w:sz w:val="24"/>
          <w:szCs w:val="24"/>
          <w:lang w:val="ro-RO"/>
        </w:rPr>
        <w:t>e stat, comparativ cu anul 2017</w:t>
      </w:r>
      <w:r w:rsidR="00EA3A99">
        <w:rPr>
          <w:rFonts w:asciiTheme="majorHAnsi" w:hAnsiTheme="majorHAnsi" w:cstheme="majorHAnsi"/>
          <w:sz w:val="24"/>
          <w:szCs w:val="24"/>
          <w:lang w:val="ro-RO"/>
        </w:rPr>
        <w:t>,</w:t>
      </w:r>
      <w:r w:rsidRPr="00605298">
        <w:rPr>
          <w:rFonts w:asciiTheme="majorHAnsi" w:hAnsiTheme="majorHAnsi" w:cstheme="majorHAnsi"/>
          <w:sz w:val="24"/>
          <w:szCs w:val="24"/>
          <w:lang w:val="ro-RO"/>
        </w:rPr>
        <w:t xml:space="preserve"> s-au </w:t>
      </w:r>
      <w:r w:rsidR="00862D5A" w:rsidRPr="00605298">
        <w:rPr>
          <w:rFonts w:asciiTheme="majorHAnsi" w:hAnsiTheme="majorHAnsi" w:cstheme="majorHAnsi"/>
          <w:sz w:val="24"/>
          <w:szCs w:val="24"/>
          <w:lang w:val="ro-RO"/>
        </w:rPr>
        <w:t>redus</w:t>
      </w:r>
      <w:r w:rsidRPr="00605298">
        <w:rPr>
          <w:rFonts w:asciiTheme="majorHAnsi" w:hAnsiTheme="majorHAnsi" w:cstheme="majorHAnsi"/>
          <w:sz w:val="24"/>
          <w:szCs w:val="24"/>
          <w:lang w:val="ro-RO"/>
        </w:rPr>
        <w:t xml:space="preserve"> cu </w:t>
      </w:r>
      <w:r w:rsidR="005F5F20" w:rsidRPr="00605298">
        <w:rPr>
          <w:rFonts w:asciiTheme="majorHAnsi" w:hAnsiTheme="majorHAnsi" w:cstheme="majorHAnsi"/>
          <w:sz w:val="24"/>
          <w:szCs w:val="24"/>
          <w:lang w:val="ro-RO"/>
        </w:rPr>
        <w:t>4532,9</w:t>
      </w:r>
      <w:r w:rsidR="00605298" w:rsidRPr="00605298">
        <w:rPr>
          <w:rFonts w:asciiTheme="majorHAnsi" w:hAnsiTheme="majorHAnsi" w:cstheme="majorHAnsi"/>
          <w:sz w:val="24"/>
          <w:szCs w:val="24"/>
          <w:lang w:val="ro-RO"/>
        </w:rPr>
        <w:t xml:space="preserve"> </w:t>
      </w:r>
      <w:proofErr w:type="spellStart"/>
      <w:r w:rsidR="00605298" w:rsidRPr="00605298">
        <w:rPr>
          <w:rFonts w:asciiTheme="majorHAnsi" w:hAnsiTheme="majorHAnsi" w:cstheme="majorHAnsi"/>
          <w:sz w:val="24"/>
          <w:szCs w:val="24"/>
          <w:lang w:val="ro-RO"/>
        </w:rPr>
        <w:t>mil.MDL</w:t>
      </w:r>
      <w:proofErr w:type="spellEnd"/>
      <w:r w:rsidR="00605298" w:rsidRPr="00605298">
        <w:rPr>
          <w:rFonts w:asciiTheme="majorHAnsi" w:hAnsiTheme="majorHAnsi" w:cstheme="majorHAnsi"/>
          <w:sz w:val="24"/>
          <w:szCs w:val="24"/>
          <w:lang w:val="ro-RO"/>
        </w:rPr>
        <w:t xml:space="preserve">, </w:t>
      </w:r>
      <w:r w:rsidR="00605298">
        <w:rPr>
          <w:rFonts w:asciiTheme="majorHAnsi" w:hAnsiTheme="majorHAnsi" w:cstheme="majorHAnsi"/>
          <w:sz w:val="24"/>
          <w:szCs w:val="24"/>
          <w:lang w:val="ro-RO"/>
        </w:rPr>
        <w:t>fiind condiționate în principal</w:t>
      </w:r>
      <w:r w:rsidR="005F5F20" w:rsidRPr="00605298">
        <w:rPr>
          <w:rFonts w:asciiTheme="majorHAnsi" w:hAnsiTheme="majorHAnsi" w:cstheme="majorHAnsi"/>
          <w:sz w:val="24"/>
          <w:szCs w:val="24"/>
          <w:lang w:val="ro-RO"/>
        </w:rPr>
        <w:t xml:space="preserve"> de </w:t>
      </w:r>
      <w:r w:rsidR="00605298" w:rsidRPr="00605298">
        <w:rPr>
          <w:rFonts w:asciiTheme="majorHAnsi" w:hAnsiTheme="majorHAnsi" w:cstheme="majorHAnsi"/>
          <w:sz w:val="24"/>
          <w:szCs w:val="24"/>
          <w:lang w:val="ro-RO"/>
        </w:rPr>
        <w:t>volumul VMS ajunse la scadență</w:t>
      </w:r>
      <w:r w:rsidR="00862D5A" w:rsidRPr="00605298">
        <w:rPr>
          <w:rFonts w:asciiTheme="majorHAnsi" w:hAnsiTheme="majorHAnsi" w:cstheme="majorHAnsi"/>
          <w:sz w:val="24"/>
          <w:szCs w:val="24"/>
          <w:lang w:val="ro-RO"/>
        </w:rPr>
        <w:t xml:space="preserve"> </w:t>
      </w:r>
      <w:r w:rsidR="00605298" w:rsidRPr="00605298">
        <w:rPr>
          <w:rFonts w:asciiTheme="majorHAnsi" w:hAnsiTheme="majorHAnsi" w:cstheme="majorHAnsi"/>
          <w:sz w:val="24"/>
          <w:szCs w:val="24"/>
          <w:lang w:val="ro-RO"/>
        </w:rPr>
        <w:t>în perioada de referință</w:t>
      </w:r>
      <w:r w:rsidR="00605298">
        <w:rPr>
          <w:rFonts w:asciiTheme="majorHAnsi" w:hAnsiTheme="majorHAnsi" w:cstheme="majorHAnsi"/>
          <w:sz w:val="24"/>
          <w:szCs w:val="24"/>
          <w:lang w:val="ro-RO"/>
        </w:rPr>
        <w:t xml:space="preserve">, dar și </w:t>
      </w:r>
      <w:r w:rsidR="00605298" w:rsidRPr="00605298">
        <w:rPr>
          <w:rFonts w:asciiTheme="majorHAnsi" w:hAnsiTheme="majorHAnsi" w:cstheme="majorHAnsi"/>
          <w:sz w:val="24"/>
          <w:szCs w:val="24"/>
          <w:lang w:val="ro-RO"/>
        </w:rPr>
        <w:t>de</w:t>
      </w:r>
      <w:r w:rsidRPr="00605298">
        <w:rPr>
          <w:rFonts w:asciiTheme="majorHAnsi" w:hAnsiTheme="majorHAnsi" w:cstheme="majorHAnsi"/>
          <w:sz w:val="24"/>
          <w:szCs w:val="24"/>
          <w:lang w:val="ro-RO"/>
        </w:rPr>
        <w:t xml:space="preserve"> cheltuielile pentru plata dobânzii și </w:t>
      </w:r>
      <w:r w:rsidRPr="00605298">
        <w:rPr>
          <w:rFonts w:asciiTheme="majorHAnsi" w:hAnsiTheme="majorHAnsi" w:cstheme="majorHAnsi"/>
          <w:sz w:val="24"/>
          <w:szCs w:val="24"/>
          <w:lang w:val="ro-RO"/>
        </w:rPr>
        <w:lastRenderedPageBreak/>
        <w:t>comisioanelor</w:t>
      </w:r>
      <w:r w:rsidR="00605298" w:rsidRPr="00605298">
        <w:rPr>
          <w:rFonts w:asciiTheme="majorHAnsi" w:hAnsiTheme="majorHAnsi" w:cstheme="majorHAnsi"/>
          <w:sz w:val="24"/>
          <w:szCs w:val="24"/>
          <w:lang w:val="ro-RO"/>
        </w:rPr>
        <w:t>.</w:t>
      </w:r>
      <w:r w:rsidRPr="00605298">
        <w:rPr>
          <w:rFonts w:asciiTheme="majorHAnsi" w:hAnsiTheme="majorHAnsi" w:cstheme="majorHAnsi"/>
          <w:sz w:val="24"/>
          <w:szCs w:val="24"/>
          <w:lang w:val="ro-RO"/>
        </w:rPr>
        <w:t xml:space="preserve"> </w:t>
      </w:r>
      <w:r w:rsidR="00605298">
        <w:rPr>
          <w:rFonts w:asciiTheme="majorHAnsi" w:hAnsiTheme="majorHAnsi" w:cstheme="majorHAnsi"/>
          <w:sz w:val="24"/>
          <w:szCs w:val="24"/>
          <w:lang w:val="ro-RO"/>
        </w:rPr>
        <w:t xml:space="preserve"> </w:t>
      </w:r>
      <w:r w:rsidRPr="00605298">
        <w:rPr>
          <w:rFonts w:asciiTheme="majorHAnsi" w:hAnsiTheme="majorHAnsi" w:cstheme="majorHAnsi"/>
          <w:i/>
          <w:sz w:val="24"/>
          <w:szCs w:val="24"/>
          <w:lang w:val="ro-RO"/>
        </w:rPr>
        <w:t>Situația privind evoluția cheltuielilor pentru deservirea datoriei de stat în anii 201</w:t>
      </w:r>
      <w:r w:rsidR="00605298" w:rsidRPr="00605298">
        <w:rPr>
          <w:rFonts w:asciiTheme="majorHAnsi" w:hAnsiTheme="majorHAnsi" w:cstheme="majorHAnsi"/>
          <w:i/>
          <w:sz w:val="24"/>
          <w:szCs w:val="24"/>
          <w:lang w:val="ro-RO"/>
        </w:rPr>
        <w:t>6-2018</w:t>
      </w:r>
      <w:r w:rsidRPr="00605298">
        <w:rPr>
          <w:rFonts w:asciiTheme="majorHAnsi" w:hAnsiTheme="majorHAnsi" w:cstheme="majorHAnsi"/>
          <w:i/>
          <w:sz w:val="24"/>
          <w:szCs w:val="24"/>
          <w:lang w:val="ro-RO"/>
        </w:rPr>
        <w:t xml:space="preserve"> este</w:t>
      </w:r>
      <w:r w:rsidR="00F86CB0">
        <w:rPr>
          <w:rFonts w:asciiTheme="majorHAnsi" w:hAnsiTheme="majorHAnsi" w:cstheme="majorHAnsi"/>
          <w:i/>
          <w:sz w:val="24"/>
          <w:szCs w:val="24"/>
          <w:lang w:val="ro-RO"/>
        </w:rPr>
        <w:t xml:space="preserve"> prezentată în Tabelul nr.5</w:t>
      </w:r>
      <w:r w:rsidRPr="00605298">
        <w:rPr>
          <w:rFonts w:asciiTheme="majorHAnsi" w:hAnsiTheme="majorHAnsi" w:cstheme="majorHAnsi"/>
          <w:i/>
          <w:sz w:val="24"/>
          <w:szCs w:val="24"/>
          <w:lang w:val="ro-RO"/>
        </w:rPr>
        <w:t>.</w:t>
      </w:r>
    </w:p>
    <w:p w14:paraId="7C11CE83" w14:textId="77777777" w:rsidR="00D82280" w:rsidRPr="003A4E32" w:rsidRDefault="00F86CB0" w:rsidP="002E2369">
      <w:pPr>
        <w:spacing w:before="240" w:after="0" w:line="276" w:lineRule="auto"/>
        <w:jc w:val="right"/>
        <w:rPr>
          <w:rFonts w:asciiTheme="majorHAnsi" w:hAnsiTheme="majorHAnsi" w:cstheme="majorHAnsi"/>
          <w:b/>
          <w:sz w:val="24"/>
          <w:szCs w:val="24"/>
          <w:lang w:val="ro-RO"/>
        </w:rPr>
      </w:pPr>
      <w:r>
        <w:rPr>
          <w:rFonts w:asciiTheme="majorHAnsi" w:hAnsiTheme="majorHAnsi" w:cstheme="majorHAnsi"/>
          <w:b/>
          <w:sz w:val="24"/>
          <w:szCs w:val="24"/>
          <w:lang w:val="ro-RO"/>
        </w:rPr>
        <w:t>Tabelul nr.5</w:t>
      </w:r>
    </w:p>
    <w:p w14:paraId="522C7731" w14:textId="77777777" w:rsidR="00D82280" w:rsidRPr="003A4E32" w:rsidRDefault="00D82280" w:rsidP="002E2369">
      <w:pPr>
        <w:spacing w:after="0" w:line="276" w:lineRule="auto"/>
        <w:jc w:val="center"/>
        <w:rPr>
          <w:rFonts w:asciiTheme="majorHAnsi" w:hAnsiTheme="majorHAnsi" w:cstheme="majorHAnsi"/>
          <w:b/>
          <w:sz w:val="24"/>
          <w:szCs w:val="24"/>
          <w:lang w:val="ro-RO"/>
        </w:rPr>
      </w:pPr>
      <w:r w:rsidRPr="003A4E32">
        <w:rPr>
          <w:rFonts w:asciiTheme="majorHAnsi" w:hAnsiTheme="majorHAnsi" w:cstheme="majorHAnsi"/>
          <w:b/>
          <w:sz w:val="24"/>
          <w:szCs w:val="24"/>
          <w:lang w:val="ro-RO"/>
        </w:rPr>
        <w:t>Evoluția cheltuielilor pentru deservir</w:t>
      </w:r>
      <w:r w:rsidR="00862D5A" w:rsidRPr="003A4E32">
        <w:rPr>
          <w:rFonts w:asciiTheme="majorHAnsi" w:hAnsiTheme="majorHAnsi" w:cstheme="majorHAnsi"/>
          <w:b/>
          <w:sz w:val="24"/>
          <w:szCs w:val="24"/>
          <w:lang w:val="ro-RO"/>
        </w:rPr>
        <w:t>ea datoriei de stat în anii 2016-2018</w:t>
      </w:r>
      <w:r w:rsidRPr="003A4E32">
        <w:rPr>
          <w:rFonts w:asciiTheme="majorHAnsi" w:hAnsiTheme="majorHAnsi" w:cstheme="majorHAnsi"/>
          <w:b/>
          <w:sz w:val="24"/>
          <w:szCs w:val="24"/>
          <w:lang w:val="ro-RO"/>
        </w:rPr>
        <w:t xml:space="preserve">, </w:t>
      </w:r>
      <w:proofErr w:type="spellStart"/>
      <w:r w:rsidRPr="003A4E32">
        <w:rPr>
          <w:rFonts w:asciiTheme="majorHAnsi" w:hAnsiTheme="majorHAnsi" w:cstheme="majorHAnsi"/>
          <w:b/>
          <w:sz w:val="24"/>
          <w:szCs w:val="24"/>
          <w:lang w:val="ro-RO"/>
        </w:rPr>
        <w:t>mil.MDL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1435"/>
        <w:gridCol w:w="1318"/>
        <w:gridCol w:w="1318"/>
        <w:gridCol w:w="1312"/>
      </w:tblGrid>
      <w:tr w:rsidR="00D82280" w:rsidRPr="004570EB" w14:paraId="43B6ECBE" w14:textId="77777777" w:rsidTr="002D437F">
        <w:tc>
          <w:tcPr>
            <w:tcW w:w="3961" w:type="dxa"/>
            <w:shd w:val="clear" w:color="auto" w:fill="DDD9C3"/>
          </w:tcPr>
          <w:p w14:paraId="0EE57988" w14:textId="77777777" w:rsidR="00D82280" w:rsidRPr="004570EB" w:rsidRDefault="00D82280" w:rsidP="002E2369">
            <w:pPr>
              <w:pStyle w:val="a6"/>
              <w:jc w:val="center"/>
              <w:rPr>
                <w:rFonts w:asciiTheme="majorHAnsi" w:hAnsiTheme="majorHAnsi"/>
                <w:b/>
                <w:sz w:val="20"/>
                <w:szCs w:val="20"/>
                <w:lang w:val="ro-RO"/>
              </w:rPr>
            </w:pPr>
            <w:r w:rsidRPr="004570EB">
              <w:rPr>
                <w:rFonts w:asciiTheme="majorHAnsi" w:hAnsiTheme="majorHAnsi"/>
                <w:b/>
                <w:sz w:val="20"/>
                <w:szCs w:val="20"/>
                <w:lang w:val="ro-RO"/>
              </w:rPr>
              <w:t>Anul</w:t>
            </w:r>
          </w:p>
        </w:tc>
        <w:tc>
          <w:tcPr>
            <w:tcW w:w="1435" w:type="dxa"/>
            <w:shd w:val="clear" w:color="auto" w:fill="DDD9C3"/>
          </w:tcPr>
          <w:p w14:paraId="14740B02" w14:textId="77777777" w:rsidR="00D82280" w:rsidRPr="004570EB" w:rsidRDefault="002D437F" w:rsidP="002E2369">
            <w:pPr>
              <w:pStyle w:val="a6"/>
              <w:jc w:val="center"/>
              <w:rPr>
                <w:rFonts w:asciiTheme="majorHAnsi" w:hAnsiTheme="majorHAnsi"/>
                <w:b/>
                <w:sz w:val="20"/>
                <w:szCs w:val="20"/>
                <w:lang w:val="ro-RO"/>
              </w:rPr>
            </w:pPr>
            <w:r w:rsidRPr="004570EB">
              <w:rPr>
                <w:rFonts w:asciiTheme="majorHAnsi" w:hAnsiTheme="majorHAnsi"/>
                <w:b/>
                <w:sz w:val="20"/>
                <w:szCs w:val="20"/>
                <w:lang w:val="ro-RO"/>
              </w:rPr>
              <w:t>2016</w:t>
            </w:r>
          </w:p>
        </w:tc>
        <w:tc>
          <w:tcPr>
            <w:tcW w:w="1318" w:type="dxa"/>
            <w:shd w:val="clear" w:color="auto" w:fill="DDD9C3"/>
          </w:tcPr>
          <w:p w14:paraId="42D712D5" w14:textId="77777777" w:rsidR="00D82280" w:rsidRPr="004570EB" w:rsidRDefault="002D437F" w:rsidP="002E2369">
            <w:pPr>
              <w:pStyle w:val="a6"/>
              <w:jc w:val="center"/>
              <w:rPr>
                <w:rFonts w:asciiTheme="majorHAnsi" w:hAnsiTheme="majorHAnsi"/>
                <w:b/>
                <w:sz w:val="20"/>
                <w:szCs w:val="20"/>
                <w:lang w:val="ro-RO"/>
              </w:rPr>
            </w:pPr>
            <w:r w:rsidRPr="004570EB">
              <w:rPr>
                <w:rFonts w:asciiTheme="majorHAnsi" w:hAnsiTheme="majorHAnsi"/>
                <w:b/>
                <w:sz w:val="20"/>
                <w:szCs w:val="20"/>
                <w:lang w:val="ro-RO"/>
              </w:rPr>
              <w:t>2017</w:t>
            </w:r>
          </w:p>
        </w:tc>
        <w:tc>
          <w:tcPr>
            <w:tcW w:w="1318" w:type="dxa"/>
            <w:shd w:val="clear" w:color="auto" w:fill="DDD9C3"/>
          </w:tcPr>
          <w:p w14:paraId="4FFA5DAE" w14:textId="77777777" w:rsidR="00D82280" w:rsidRPr="004570EB" w:rsidRDefault="002D437F" w:rsidP="002E2369">
            <w:pPr>
              <w:pStyle w:val="a6"/>
              <w:jc w:val="center"/>
              <w:rPr>
                <w:rFonts w:asciiTheme="majorHAnsi" w:hAnsiTheme="majorHAnsi"/>
                <w:b/>
                <w:sz w:val="20"/>
                <w:szCs w:val="20"/>
                <w:lang w:val="ro-RO"/>
              </w:rPr>
            </w:pPr>
            <w:r w:rsidRPr="004570EB">
              <w:rPr>
                <w:rFonts w:asciiTheme="majorHAnsi" w:hAnsiTheme="majorHAnsi"/>
                <w:b/>
                <w:sz w:val="20"/>
                <w:szCs w:val="20"/>
                <w:lang w:val="ro-RO"/>
              </w:rPr>
              <w:t>2018</w:t>
            </w:r>
          </w:p>
        </w:tc>
        <w:tc>
          <w:tcPr>
            <w:tcW w:w="1312" w:type="dxa"/>
            <w:shd w:val="clear" w:color="auto" w:fill="DDD9C3"/>
          </w:tcPr>
          <w:p w14:paraId="52E8B00E" w14:textId="77777777" w:rsidR="00D82280" w:rsidRPr="004570EB" w:rsidRDefault="00D82280" w:rsidP="002E2369">
            <w:pPr>
              <w:pStyle w:val="a6"/>
              <w:jc w:val="center"/>
              <w:rPr>
                <w:rFonts w:asciiTheme="majorHAnsi" w:hAnsiTheme="majorHAnsi"/>
                <w:b/>
                <w:sz w:val="20"/>
                <w:szCs w:val="20"/>
                <w:lang w:val="ro-RO"/>
              </w:rPr>
            </w:pPr>
            <w:r w:rsidRPr="004570EB">
              <w:rPr>
                <w:rFonts w:asciiTheme="majorHAnsi" w:hAnsiTheme="majorHAnsi"/>
                <w:b/>
                <w:sz w:val="20"/>
                <w:szCs w:val="20"/>
                <w:lang w:val="ro-RO"/>
              </w:rPr>
              <w:t>Devieri</w:t>
            </w:r>
            <w:r w:rsidRPr="004570EB">
              <w:rPr>
                <w:rFonts w:asciiTheme="majorHAnsi" w:hAnsiTheme="majorHAnsi" w:cstheme="majorHAnsi"/>
                <w:b/>
                <w:sz w:val="20"/>
                <w:szCs w:val="20"/>
                <w:lang w:val="ro-RO"/>
              </w:rPr>
              <w:t>,</w:t>
            </w:r>
            <w:r w:rsidR="003A4E32" w:rsidRPr="004570EB">
              <w:rPr>
                <w:rFonts w:asciiTheme="majorHAnsi" w:hAnsiTheme="majorHAnsi"/>
                <w:b/>
                <w:sz w:val="20"/>
                <w:szCs w:val="20"/>
                <w:lang w:val="ro-RO"/>
              </w:rPr>
              <w:t xml:space="preserve"> 2018</w:t>
            </w:r>
            <w:r w:rsidRPr="004570EB">
              <w:rPr>
                <w:rFonts w:asciiTheme="majorHAnsi" w:hAnsiTheme="majorHAnsi"/>
                <w:b/>
                <w:sz w:val="20"/>
                <w:szCs w:val="20"/>
                <w:lang w:val="ro-RO"/>
              </w:rPr>
              <w:t xml:space="preserve"> f</w:t>
            </w:r>
            <w:r w:rsidR="003A4E32" w:rsidRPr="004570EB">
              <w:rPr>
                <w:rFonts w:asciiTheme="majorHAnsi" w:hAnsiTheme="majorHAnsi"/>
                <w:b/>
                <w:sz w:val="20"/>
                <w:szCs w:val="20"/>
                <w:lang w:val="ro-RO"/>
              </w:rPr>
              <w:t>ață de 2017</w:t>
            </w:r>
          </w:p>
        </w:tc>
      </w:tr>
      <w:tr w:rsidR="00D82280" w:rsidRPr="004570EB" w14:paraId="1DCF15B4" w14:textId="77777777" w:rsidTr="002D437F">
        <w:tc>
          <w:tcPr>
            <w:tcW w:w="3961" w:type="dxa"/>
          </w:tcPr>
          <w:p w14:paraId="5BA4FED4" w14:textId="77777777" w:rsidR="00D82280" w:rsidRPr="004570EB" w:rsidRDefault="00D82280"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1</w:t>
            </w:r>
          </w:p>
        </w:tc>
        <w:tc>
          <w:tcPr>
            <w:tcW w:w="1435" w:type="dxa"/>
          </w:tcPr>
          <w:p w14:paraId="63D0E1A2" w14:textId="77777777" w:rsidR="00D82280" w:rsidRPr="004570EB" w:rsidRDefault="00D82280"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2</w:t>
            </w:r>
          </w:p>
        </w:tc>
        <w:tc>
          <w:tcPr>
            <w:tcW w:w="1318" w:type="dxa"/>
          </w:tcPr>
          <w:p w14:paraId="5F6CDCCA" w14:textId="77777777" w:rsidR="00D82280" w:rsidRPr="004570EB" w:rsidRDefault="00D82280"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3</w:t>
            </w:r>
          </w:p>
        </w:tc>
        <w:tc>
          <w:tcPr>
            <w:tcW w:w="1318" w:type="dxa"/>
          </w:tcPr>
          <w:p w14:paraId="6E5F2286" w14:textId="77777777" w:rsidR="00D82280" w:rsidRPr="004570EB" w:rsidRDefault="00D82280"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4</w:t>
            </w:r>
          </w:p>
        </w:tc>
        <w:tc>
          <w:tcPr>
            <w:tcW w:w="1312" w:type="dxa"/>
          </w:tcPr>
          <w:p w14:paraId="52BC5328" w14:textId="77777777" w:rsidR="00D82280" w:rsidRPr="004570EB" w:rsidRDefault="00D82280"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5=4-3</w:t>
            </w:r>
          </w:p>
        </w:tc>
      </w:tr>
      <w:tr w:rsidR="002D437F" w:rsidRPr="004570EB" w14:paraId="6B09D68C" w14:textId="77777777" w:rsidTr="002D437F">
        <w:tc>
          <w:tcPr>
            <w:tcW w:w="3961" w:type="dxa"/>
          </w:tcPr>
          <w:p w14:paraId="2C804AA5" w14:textId="77777777" w:rsidR="002D437F" w:rsidRPr="004570EB" w:rsidRDefault="002D437F" w:rsidP="002E2369">
            <w:pPr>
              <w:pStyle w:val="a6"/>
              <w:rPr>
                <w:rFonts w:asciiTheme="majorHAnsi" w:hAnsiTheme="majorHAnsi"/>
                <w:b/>
                <w:sz w:val="20"/>
                <w:szCs w:val="20"/>
                <w:lang w:val="ro-RO"/>
              </w:rPr>
            </w:pPr>
            <w:r w:rsidRPr="004570EB">
              <w:rPr>
                <w:rFonts w:asciiTheme="majorHAnsi" w:hAnsiTheme="majorHAnsi"/>
                <w:b/>
                <w:sz w:val="20"/>
                <w:szCs w:val="20"/>
                <w:lang w:val="ro-RO"/>
              </w:rPr>
              <w:t>Deservirea datoriei de stat, din care:</w:t>
            </w:r>
          </w:p>
        </w:tc>
        <w:tc>
          <w:tcPr>
            <w:tcW w:w="1435" w:type="dxa"/>
            <w:vAlign w:val="center"/>
          </w:tcPr>
          <w:p w14:paraId="50BC74E1" w14:textId="77777777" w:rsidR="002D437F" w:rsidRPr="004570EB" w:rsidRDefault="002D437F" w:rsidP="002E2369">
            <w:pPr>
              <w:pStyle w:val="a6"/>
              <w:jc w:val="center"/>
              <w:rPr>
                <w:rFonts w:asciiTheme="majorHAnsi" w:hAnsiTheme="majorHAnsi"/>
                <w:b/>
                <w:sz w:val="20"/>
                <w:szCs w:val="20"/>
                <w:lang w:val="ro-RO"/>
              </w:rPr>
            </w:pPr>
            <w:r w:rsidRPr="004570EB">
              <w:rPr>
                <w:rFonts w:asciiTheme="majorHAnsi" w:hAnsiTheme="majorHAnsi"/>
                <w:b/>
                <w:sz w:val="20"/>
                <w:szCs w:val="20"/>
                <w:lang w:val="ro-RO"/>
              </w:rPr>
              <w:t>20235,3</w:t>
            </w:r>
          </w:p>
        </w:tc>
        <w:tc>
          <w:tcPr>
            <w:tcW w:w="1318" w:type="dxa"/>
            <w:vAlign w:val="center"/>
          </w:tcPr>
          <w:p w14:paraId="68DCCCE1" w14:textId="77777777" w:rsidR="002D437F" w:rsidRPr="004570EB" w:rsidRDefault="002D437F" w:rsidP="002E2369">
            <w:pPr>
              <w:pStyle w:val="a6"/>
              <w:jc w:val="center"/>
              <w:rPr>
                <w:rFonts w:asciiTheme="majorHAnsi" w:hAnsiTheme="majorHAnsi"/>
                <w:b/>
                <w:sz w:val="20"/>
                <w:szCs w:val="20"/>
                <w:lang w:val="ro-RO"/>
              </w:rPr>
            </w:pPr>
            <w:r w:rsidRPr="004570EB">
              <w:rPr>
                <w:rFonts w:asciiTheme="majorHAnsi" w:hAnsiTheme="majorHAnsi"/>
                <w:b/>
                <w:sz w:val="20"/>
                <w:szCs w:val="20"/>
                <w:lang w:val="ro-RO"/>
              </w:rPr>
              <w:t>20353,6</w:t>
            </w:r>
          </w:p>
        </w:tc>
        <w:tc>
          <w:tcPr>
            <w:tcW w:w="1318" w:type="dxa"/>
            <w:vAlign w:val="center"/>
          </w:tcPr>
          <w:p w14:paraId="79ACB837" w14:textId="77777777" w:rsidR="002D437F" w:rsidRPr="004570EB" w:rsidRDefault="00213A95" w:rsidP="002E2369">
            <w:pPr>
              <w:pStyle w:val="a6"/>
              <w:jc w:val="center"/>
              <w:rPr>
                <w:rFonts w:asciiTheme="majorHAnsi" w:hAnsiTheme="majorHAnsi"/>
                <w:b/>
                <w:sz w:val="20"/>
                <w:szCs w:val="20"/>
                <w:lang w:val="ro-RO"/>
              </w:rPr>
            </w:pPr>
            <w:r w:rsidRPr="004570EB">
              <w:rPr>
                <w:rFonts w:asciiTheme="majorHAnsi" w:hAnsiTheme="majorHAnsi"/>
                <w:b/>
                <w:sz w:val="20"/>
                <w:szCs w:val="20"/>
                <w:lang w:val="ro-RO"/>
              </w:rPr>
              <w:t>15820,7</w:t>
            </w:r>
          </w:p>
        </w:tc>
        <w:tc>
          <w:tcPr>
            <w:tcW w:w="1312" w:type="dxa"/>
            <w:vAlign w:val="center"/>
          </w:tcPr>
          <w:p w14:paraId="72240612" w14:textId="77777777" w:rsidR="002D437F" w:rsidRPr="004570EB" w:rsidRDefault="00B315F0" w:rsidP="002E2369">
            <w:pPr>
              <w:pStyle w:val="a6"/>
              <w:jc w:val="center"/>
              <w:rPr>
                <w:rFonts w:asciiTheme="majorHAnsi" w:hAnsiTheme="majorHAnsi"/>
                <w:b/>
                <w:color w:val="000000"/>
                <w:sz w:val="20"/>
                <w:szCs w:val="20"/>
                <w:lang w:val="ro-RO"/>
              </w:rPr>
            </w:pPr>
            <w:r w:rsidRPr="004570EB">
              <w:rPr>
                <w:rFonts w:asciiTheme="majorHAnsi" w:hAnsiTheme="majorHAnsi"/>
                <w:b/>
                <w:color w:val="000000"/>
                <w:sz w:val="20"/>
                <w:szCs w:val="20"/>
                <w:lang w:val="ro-RO"/>
              </w:rPr>
              <w:t>-4532,9</w:t>
            </w:r>
          </w:p>
        </w:tc>
      </w:tr>
      <w:tr w:rsidR="002D437F" w:rsidRPr="004570EB" w14:paraId="2EB0FA09" w14:textId="77777777" w:rsidTr="002D437F">
        <w:tc>
          <w:tcPr>
            <w:tcW w:w="3961" w:type="dxa"/>
          </w:tcPr>
          <w:p w14:paraId="7378BC5B" w14:textId="77777777" w:rsidR="002D437F" w:rsidRPr="004570EB" w:rsidRDefault="002D437F" w:rsidP="002E2369">
            <w:pPr>
              <w:pStyle w:val="a6"/>
              <w:rPr>
                <w:rFonts w:asciiTheme="majorHAnsi" w:hAnsiTheme="majorHAnsi"/>
                <w:i/>
                <w:sz w:val="20"/>
                <w:szCs w:val="20"/>
                <w:lang w:val="ro-RO"/>
              </w:rPr>
            </w:pPr>
            <w:r w:rsidRPr="004570EB">
              <w:rPr>
                <w:rFonts w:asciiTheme="majorHAnsi" w:hAnsiTheme="majorHAnsi"/>
                <w:i/>
                <w:sz w:val="20"/>
                <w:szCs w:val="20"/>
                <w:lang w:val="ro-RO"/>
              </w:rPr>
              <w:t>rambursarea sumei principale</w:t>
            </w:r>
            <w:r w:rsidR="007C5D3C" w:rsidRPr="004570EB">
              <w:rPr>
                <w:rFonts w:asciiTheme="majorHAnsi" w:hAnsiTheme="majorHAnsi"/>
                <w:i/>
                <w:sz w:val="20"/>
                <w:szCs w:val="20"/>
                <w:lang w:val="ro-RO"/>
              </w:rPr>
              <w:t>, inclusiv răscumpărarea VMS</w:t>
            </w:r>
          </w:p>
        </w:tc>
        <w:tc>
          <w:tcPr>
            <w:tcW w:w="1435" w:type="dxa"/>
            <w:vAlign w:val="center"/>
          </w:tcPr>
          <w:p w14:paraId="79DEE6DE" w14:textId="77777777"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18488,1</w:t>
            </w:r>
          </w:p>
        </w:tc>
        <w:tc>
          <w:tcPr>
            <w:tcW w:w="1318" w:type="dxa"/>
            <w:vAlign w:val="center"/>
          </w:tcPr>
          <w:p w14:paraId="774BBD91" w14:textId="77777777"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18424,6</w:t>
            </w:r>
          </w:p>
        </w:tc>
        <w:tc>
          <w:tcPr>
            <w:tcW w:w="1318" w:type="dxa"/>
            <w:vAlign w:val="center"/>
          </w:tcPr>
          <w:p w14:paraId="2FB46BAC" w14:textId="766A6085" w:rsidR="002D437F" w:rsidRPr="004570EB" w:rsidRDefault="00213A95"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14315,</w:t>
            </w:r>
            <w:r w:rsidR="00CC29E3" w:rsidRPr="004570EB">
              <w:rPr>
                <w:rFonts w:asciiTheme="majorHAnsi" w:hAnsiTheme="majorHAnsi" w:cstheme="majorHAnsi"/>
                <w:sz w:val="20"/>
                <w:szCs w:val="20"/>
                <w:lang w:val="ro-MD"/>
              </w:rPr>
              <w:t>8</w:t>
            </w:r>
          </w:p>
        </w:tc>
        <w:tc>
          <w:tcPr>
            <w:tcW w:w="1312" w:type="dxa"/>
            <w:vAlign w:val="center"/>
          </w:tcPr>
          <w:p w14:paraId="37937309" w14:textId="77777777" w:rsidR="002D437F" w:rsidRPr="004570EB" w:rsidRDefault="00B315F0" w:rsidP="002E2369">
            <w:pPr>
              <w:pStyle w:val="a6"/>
              <w:jc w:val="center"/>
              <w:rPr>
                <w:rFonts w:asciiTheme="majorHAnsi" w:hAnsiTheme="majorHAnsi"/>
                <w:color w:val="000000"/>
                <w:sz w:val="20"/>
                <w:szCs w:val="20"/>
                <w:lang w:val="ro-RO"/>
              </w:rPr>
            </w:pPr>
            <w:r w:rsidRPr="004570EB">
              <w:rPr>
                <w:rFonts w:asciiTheme="majorHAnsi" w:hAnsiTheme="majorHAnsi"/>
                <w:color w:val="000000"/>
                <w:sz w:val="20"/>
                <w:szCs w:val="20"/>
                <w:lang w:val="ro-RO"/>
              </w:rPr>
              <w:t>-4108,7</w:t>
            </w:r>
          </w:p>
        </w:tc>
      </w:tr>
      <w:tr w:rsidR="002D437F" w:rsidRPr="004570EB" w14:paraId="4BCF3491" w14:textId="77777777" w:rsidTr="002D437F">
        <w:tc>
          <w:tcPr>
            <w:tcW w:w="3961" w:type="dxa"/>
          </w:tcPr>
          <w:p w14:paraId="5674F5F9" w14:textId="77777777" w:rsidR="002D437F" w:rsidRPr="004570EB" w:rsidRDefault="002D437F" w:rsidP="002E2369">
            <w:pPr>
              <w:pStyle w:val="a6"/>
              <w:rPr>
                <w:rFonts w:asciiTheme="majorHAnsi" w:hAnsiTheme="majorHAnsi"/>
                <w:i/>
                <w:sz w:val="20"/>
                <w:szCs w:val="20"/>
                <w:lang w:val="ro-RO"/>
              </w:rPr>
            </w:pPr>
            <w:r w:rsidRPr="004570EB">
              <w:rPr>
                <w:rFonts w:asciiTheme="majorHAnsi" w:hAnsiTheme="majorHAnsi"/>
                <w:i/>
                <w:sz w:val="20"/>
                <w:szCs w:val="20"/>
                <w:lang w:val="ro-RO"/>
              </w:rPr>
              <w:t>plata dobânzii și comisioanelor</w:t>
            </w:r>
          </w:p>
        </w:tc>
        <w:tc>
          <w:tcPr>
            <w:tcW w:w="1435" w:type="dxa"/>
            <w:vAlign w:val="center"/>
          </w:tcPr>
          <w:p w14:paraId="600D2EF7" w14:textId="77777777"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1747,2</w:t>
            </w:r>
          </w:p>
        </w:tc>
        <w:tc>
          <w:tcPr>
            <w:tcW w:w="1318" w:type="dxa"/>
            <w:vAlign w:val="center"/>
          </w:tcPr>
          <w:p w14:paraId="74CFADF1" w14:textId="77777777"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1929,0</w:t>
            </w:r>
          </w:p>
        </w:tc>
        <w:tc>
          <w:tcPr>
            <w:tcW w:w="1318" w:type="dxa"/>
            <w:vAlign w:val="center"/>
          </w:tcPr>
          <w:p w14:paraId="5E50EC30" w14:textId="77777777"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1504,8</w:t>
            </w:r>
          </w:p>
        </w:tc>
        <w:tc>
          <w:tcPr>
            <w:tcW w:w="1312" w:type="dxa"/>
            <w:vAlign w:val="center"/>
          </w:tcPr>
          <w:p w14:paraId="6181CE2B" w14:textId="77777777" w:rsidR="002D437F" w:rsidRPr="004570EB" w:rsidRDefault="00B315F0" w:rsidP="002E2369">
            <w:pPr>
              <w:pStyle w:val="a6"/>
              <w:jc w:val="center"/>
              <w:rPr>
                <w:rFonts w:asciiTheme="majorHAnsi" w:hAnsiTheme="majorHAnsi"/>
                <w:color w:val="000000"/>
                <w:sz w:val="20"/>
                <w:szCs w:val="20"/>
                <w:lang w:val="ro-RO"/>
              </w:rPr>
            </w:pPr>
            <w:r w:rsidRPr="004570EB">
              <w:rPr>
                <w:rFonts w:asciiTheme="majorHAnsi" w:hAnsiTheme="majorHAnsi"/>
                <w:color w:val="000000"/>
                <w:sz w:val="20"/>
                <w:szCs w:val="20"/>
                <w:lang w:val="ro-RO"/>
              </w:rPr>
              <w:t>-424,2</w:t>
            </w:r>
          </w:p>
        </w:tc>
      </w:tr>
      <w:tr w:rsidR="002D437F" w:rsidRPr="004570EB" w14:paraId="6236943B" w14:textId="77777777" w:rsidTr="002D437F">
        <w:tc>
          <w:tcPr>
            <w:tcW w:w="3961" w:type="dxa"/>
          </w:tcPr>
          <w:p w14:paraId="67207C8F" w14:textId="77777777" w:rsidR="002D437F" w:rsidRPr="004570EB" w:rsidRDefault="002D437F" w:rsidP="002E2369">
            <w:pPr>
              <w:pStyle w:val="a6"/>
              <w:rPr>
                <w:rFonts w:asciiTheme="majorHAnsi" w:hAnsiTheme="majorHAnsi"/>
                <w:b/>
                <w:sz w:val="20"/>
                <w:szCs w:val="20"/>
                <w:lang w:val="ro-RO"/>
              </w:rPr>
            </w:pPr>
            <w:r w:rsidRPr="004570EB">
              <w:rPr>
                <w:rFonts w:asciiTheme="majorHAnsi" w:hAnsiTheme="majorHAnsi"/>
                <w:b/>
                <w:sz w:val="20"/>
                <w:szCs w:val="20"/>
                <w:lang w:val="ro-RO"/>
              </w:rPr>
              <w:t>Deservirea datoriei de stat interne, din care:</w:t>
            </w:r>
          </w:p>
        </w:tc>
        <w:tc>
          <w:tcPr>
            <w:tcW w:w="1435" w:type="dxa"/>
            <w:vAlign w:val="center"/>
          </w:tcPr>
          <w:p w14:paraId="64576AA4" w14:textId="77777777" w:rsidR="002D437F" w:rsidRPr="004570EB" w:rsidRDefault="002D437F" w:rsidP="002E2369">
            <w:pPr>
              <w:pStyle w:val="a6"/>
              <w:jc w:val="center"/>
              <w:rPr>
                <w:rFonts w:asciiTheme="majorHAnsi" w:hAnsiTheme="majorHAnsi"/>
                <w:b/>
                <w:sz w:val="20"/>
                <w:szCs w:val="20"/>
                <w:lang w:val="ro-RO"/>
              </w:rPr>
            </w:pPr>
            <w:r w:rsidRPr="004570EB">
              <w:rPr>
                <w:rFonts w:asciiTheme="majorHAnsi" w:hAnsiTheme="majorHAnsi"/>
                <w:b/>
                <w:sz w:val="20"/>
                <w:szCs w:val="20"/>
                <w:lang w:val="ro-RO"/>
              </w:rPr>
              <w:t>18843,3</w:t>
            </w:r>
          </w:p>
        </w:tc>
        <w:tc>
          <w:tcPr>
            <w:tcW w:w="1318" w:type="dxa"/>
            <w:vAlign w:val="center"/>
          </w:tcPr>
          <w:p w14:paraId="08A2F69D" w14:textId="77777777" w:rsidR="002D437F" w:rsidRPr="004570EB" w:rsidRDefault="002D437F" w:rsidP="002E2369">
            <w:pPr>
              <w:pStyle w:val="a6"/>
              <w:jc w:val="center"/>
              <w:rPr>
                <w:rFonts w:asciiTheme="majorHAnsi" w:hAnsiTheme="majorHAnsi"/>
                <w:b/>
                <w:sz w:val="20"/>
                <w:szCs w:val="20"/>
                <w:lang w:val="ro-RO"/>
              </w:rPr>
            </w:pPr>
            <w:r w:rsidRPr="004570EB">
              <w:rPr>
                <w:rFonts w:asciiTheme="majorHAnsi" w:hAnsiTheme="majorHAnsi"/>
                <w:b/>
                <w:sz w:val="20"/>
                <w:szCs w:val="20"/>
                <w:lang w:val="ro-RO"/>
              </w:rPr>
              <w:t>18666,0</w:t>
            </w:r>
          </w:p>
        </w:tc>
        <w:tc>
          <w:tcPr>
            <w:tcW w:w="1318" w:type="dxa"/>
            <w:vAlign w:val="center"/>
          </w:tcPr>
          <w:p w14:paraId="6EDBA120" w14:textId="2DD2F45F" w:rsidR="002D437F" w:rsidRPr="004570EB" w:rsidRDefault="00213A95" w:rsidP="00CC29E3">
            <w:pPr>
              <w:pStyle w:val="a6"/>
              <w:jc w:val="center"/>
              <w:rPr>
                <w:rFonts w:asciiTheme="majorHAnsi" w:hAnsiTheme="majorHAnsi"/>
                <w:b/>
                <w:sz w:val="20"/>
                <w:szCs w:val="20"/>
                <w:lang w:val="ro-RO"/>
              </w:rPr>
            </w:pPr>
            <w:r w:rsidRPr="004570EB">
              <w:rPr>
                <w:rFonts w:asciiTheme="majorHAnsi" w:hAnsiTheme="majorHAnsi"/>
                <w:b/>
                <w:sz w:val="20"/>
                <w:szCs w:val="20"/>
                <w:lang w:val="ro-RO"/>
              </w:rPr>
              <w:t>13567,</w:t>
            </w:r>
            <w:r w:rsidR="00CC29E3" w:rsidRPr="004570EB">
              <w:rPr>
                <w:rFonts w:asciiTheme="majorHAnsi" w:hAnsiTheme="majorHAnsi" w:cstheme="majorHAnsi"/>
                <w:b/>
                <w:sz w:val="20"/>
                <w:szCs w:val="20"/>
                <w:lang w:val="ro-MD"/>
              </w:rPr>
              <w:t>7</w:t>
            </w:r>
          </w:p>
        </w:tc>
        <w:tc>
          <w:tcPr>
            <w:tcW w:w="1312" w:type="dxa"/>
            <w:vAlign w:val="center"/>
          </w:tcPr>
          <w:p w14:paraId="7AC13C63" w14:textId="77777777" w:rsidR="002D437F" w:rsidRPr="004570EB" w:rsidRDefault="00BA58DB" w:rsidP="002E2369">
            <w:pPr>
              <w:pStyle w:val="a6"/>
              <w:jc w:val="center"/>
              <w:rPr>
                <w:rFonts w:asciiTheme="majorHAnsi" w:hAnsiTheme="majorHAnsi"/>
                <w:b/>
                <w:color w:val="000000"/>
                <w:sz w:val="20"/>
                <w:szCs w:val="20"/>
                <w:lang w:val="ro-RO"/>
              </w:rPr>
            </w:pPr>
            <w:r w:rsidRPr="004570EB">
              <w:rPr>
                <w:rFonts w:asciiTheme="majorHAnsi" w:hAnsiTheme="majorHAnsi"/>
                <w:b/>
                <w:color w:val="000000"/>
                <w:sz w:val="20"/>
                <w:szCs w:val="20"/>
                <w:lang w:val="ro-RO"/>
              </w:rPr>
              <w:t>-5098,2</w:t>
            </w:r>
          </w:p>
        </w:tc>
      </w:tr>
      <w:tr w:rsidR="002D437F" w:rsidRPr="004570EB" w14:paraId="74DBDE83" w14:textId="77777777" w:rsidTr="002D437F">
        <w:tc>
          <w:tcPr>
            <w:tcW w:w="3961" w:type="dxa"/>
          </w:tcPr>
          <w:p w14:paraId="62E1756C" w14:textId="77777777" w:rsidR="002D437F" w:rsidRPr="004570EB" w:rsidRDefault="00213A95" w:rsidP="002E2369">
            <w:pPr>
              <w:pStyle w:val="a6"/>
              <w:rPr>
                <w:rFonts w:asciiTheme="majorHAnsi" w:hAnsiTheme="majorHAnsi"/>
                <w:i/>
                <w:sz w:val="20"/>
                <w:szCs w:val="20"/>
                <w:lang w:val="ro-RO"/>
              </w:rPr>
            </w:pPr>
            <w:r w:rsidRPr="004570EB">
              <w:rPr>
                <w:rFonts w:asciiTheme="majorHAnsi" w:hAnsiTheme="majorHAnsi"/>
                <w:i/>
                <w:sz w:val="20"/>
                <w:szCs w:val="20"/>
                <w:lang w:val="ro-RO"/>
              </w:rPr>
              <w:t xml:space="preserve">răscumpărarea VMS </w:t>
            </w:r>
          </w:p>
        </w:tc>
        <w:tc>
          <w:tcPr>
            <w:tcW w:w="1435" w:type="dxa"/>
            <w:vAlign w:val="center"/>
          </w:tcPr>
          <w:p w14:paraId="7E628FD7" w14:textId="77777777"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17380,8</w:t>
            </w:r>
          </w:p>
        </w:tc>
        <w:tc>
          <w:tcPr>
            <w:tcW w:w="1318" w:type="dxa"/>
            <w:vAlign w:val="center"/>
          </w:tcPr>
          <w:p w14:paraId="2635229E" w14:textId="77777777"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17094,9</w:t>
            </w:r>
          </w:p>
        </w:tc>
        <w:tc>
          <w:tcPr>
            <w:tcW w:w="1318" w:type="dxa"/>
            <w:vAlign w:val="center"/>
          </w:tcPr>
          <w:p w14:paraId="5F7DD672" w14:textId="77777777" w:rsidR="002D437F" w:rsidRPr="004570EB" w:rsidRDefault="00213A95"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12442,5</w:t>
            </w:r>
          </w:p>
        </w:tc>
        <w:tc>
          <w:tcPr>
            <w:tcW w:w="1312" w:type="dxa"/>
            <w:vAlign w:val="center"/>
          </w:tcPr>
          <w:p w14:paraId="7998C574" w14:textId="77777777" w:rsidR="002D437F" w:rsidRPr="004570EB" w:rsidRDefault="00174B40" w:rsidP="002E2369">
            <w:pPr>
              <w:pStyle w:val="a6"/>
              <w:jc w:val="center"/>
              <w:rPr>
                <w:rFonts w:asciiTheme="majorHAnsi" w:hAnsiTheme="majorHAnsi"/>
                <w:color w:val="000000"/>
                <w:sz w:val="20"/>
                <w:szCs w:val="20"/>
                <w:lang w:val="ro-RO"/>
              </w:rPr>
            </w:pPr>
            <w:r w:rsidRPr="004570EB">
              <w:rPr>
                <w:rFonts w:asciiTheme="majorHAnsi" w:hAnsiTheme="majorHAnsi"/>
                <w:color w:val="000000"/>
                <w:sz w:val="20"/>
                <w:szCs w:val="20"/>
                <w:lang w:val="ro-RO"/>
              </w:rPr>
              <w:t>-4652,4</w:t>
            </w:r>
          </w:p>
        </w:tc>
      </w:tr>
      <w:tr w:rsidR="002D437F" w:rsidRPr="004570EB" w14:paraId="7E3E9B0B" w14:textId="77777777" w:rsidTr="002D437F">
        <w:tc>
          <w:tcPr>
            <w:tcW w:w="3961" w:type="dxa"/>
          </w:tcPr>
          <w:p w14:paraId="31F42CAB" w14:textId="77777777" w:rsidR="002D437F" w:rsidRPr="004570EB" w:rsidRDefault="002D437F" w:rsidP="002E2369">
            <w:pPr>
              <w:pStyle w:val="a6"/>
              <w:rPr>
                <w:rFonts w:asciiTheme="majorHAnsi" w:hAnsiTheme="majorHAnsi"/>
                <w:i/>
                <w:sz w:val="20"/>
                <w:szCs w:val="20"/>
                <w:lang w:val="ro-RO"/>
              </w:rPr>
            </w:pPr>
            <w:r w:rsidRPr="004570EB">
              <w:rPr>
                <w:rFonts w:asciiTheme="majorHAnsi" w:hAnsiTheme="majorHAnsi"/>
                <w:i/>
                <w:sz w:val="20"/>
                <w:szCs w:val="20"/>
                <w:lang w:val="ro-RO"/>
              </w:rPr>
              <w:t>plata dobânzii</w:t>
            </w:r>
          </w:p>
        </w:tc>
        <w:tc>
          <w:tcPr>
            <w:tcW w:w="1435" w:type="dxa"/>
            <w:vAlign w:val="center"/>
          </w:tcPr>
          <w:p w14:paraId="7F62774E" w14:textId="77777777"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1462,5</w:t>
            </w:r>
          </w:p>
        </w:tc>
        <w:tc>
          <w:tcPr>
            <w:tcW w:w="1318" w:type="dxa"/>
            <w:vAlign w:val="center"/>
          </w:tcPr>
          <w:p w14:paraId="7F87EDB5" w14:textId="77777777"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1571,1</w:t>
            </w:r>
          </w:p>
        </w:tc>
        <w:tc>
          <w:tcPr>
            <w:tcW w:w="1318" w:type="dxa"/>
            <w:vAlign w:val="center"/>
          </w:tcPr>
          <w:p w14:paraId="1CB73B0F" w14:textId="77777777"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1125,3</w:t>
            </w:r>
          </w:p>
        </w:tc>
        <w:tc>
          <w:tcPr>
            <w:tcW w:w="1312" w:type="dxa"/>
            <w:vAlign w:val="center"/>
          </w:tcPr>
          <w:p w14:paraId="3C615D21" w14:textId="77777777" w:rsidR="002D437F" w:rsidRPr="004570EB" w:rsidRDefault="00174B40" w:rsidP="002E2369">
            <w:pPr>
              <w:pStyle w:val="a6"/>
              <w:jc w:val="center"/>
              <w:rPr>
                <w:rFonts w:asciiTheme="majorHAnsi" w:hAnsiTheme="majorHAnsi"/>
                <w:color w:val="000000"/>
                <w:sz w:val="20"/>
                <w:szCs w:val="20"/>
                <w:lang w:val="ro-RO"/>
              </w:rPr>
            </w:pPr>
            <w:r w:rsidRPr="004570EB">
              <w:rPr>
                <w:rFonts w:asciiTheme="majorHAnsi" w:hAnsiTheme="majorHAnsi"/>
                <w:color w:val="000000"/>
                <w:sz w:val="20"/>
                <w:szCs w:val="20"/>
                <w:lang w:val="ro-RO"/>
              </w:rPr>
              <w:t>-445,8</w:t>
            </w:r>
          </w:p>
        </w:tc>
      </w:tr>
      <w:tr w:rsidR="002D437F" w:rsidRPr="004570EB" w14:paraId="095AF524" w14:textId="77777777" w:rsidTr="002D437F">
        <w:tc>
          <w:tcPr>
            <w:tcW w:w="3961" w:type="dxa"/>
          </w:tcPr>
          <w:p w14:paraId="42CEEFF4" w14:textId="77777777" w:rsidR="002D437F" w:rsidRPr="004570EB" w:rsidRDefault="002D437F" w:rsidP="002E2369">
            <w:pPr>
              <w:pStyle w:val="a6"/>
              <w:rPr>
                <w:rFonts w:asciiTheme="majorHAnsi" w:hAnsiTheme="majorHAnsi"/>
                <w:b/>
                <w:sz w:val="20"/>
                <w:szCs w:val="20"/>
                <w:lang w:val="ro-RO"/>
              </w:rPr>
            </w:pPr>
            <w:r w:rsidRPr="004570EB">
              <w:rPr>
                <w:rFonts w:asciiTheme="majorHAnsi" w:hAnsiTheme="majorHAnsi"/>
                <w:b/>
                <w:sz w:val="20"/>
                <w:szCs w:val="20"/>
                <w:lang w:val="ro-RO"/>
              </w:rPr>
              <w:t>Deservirea datoriei de stat externe, din care:</w:t>
            </w:r>
          </w:p>
        </w:tc>
        <w:tc>
          <w:tcPr>
            <w:tcW w:w="1435" w:type="dxa"/>
            <w:vAlign w:val="center"/>
          </w:tcPr>
          <w:p w14:paraId="17D84054" w14:textId="77777777" w:rsidR="002D437F" w:rsidRPr="004570EB" w:rsidRDefault="002D437F" w:rsidP="002E2369">
            <w:pPr>
              <w:pStyle w:val="a6"/>
              <w:jc w:val="center"/>
              <w:rPr>
                <w:rFonts w:asciiTheme="majorHAnsi" w:hAnsiTheme="majorHAnsi"/>
                <w:b/>
                <w:sz w:val="20"/>
                <w:szCs w:val="20"/>
                <w:lang w:val="ro-RO"/>
              </w:rPr>
            </w:pPr>
            <w:r w:rsidRPr="004570EB">
              <w:rPr>
                <w:rFonts w:asciiTheme="majorHAnsi" w:hAnsiTheme="majorHAnsi"/>
                <w:b/>
                <w:sz w:val="20"/>
                <w:szCs w:val="20"/>
                <w:lang w:val="ro-RO"/>
              </w:rPr>
              <w:t>1392,0</w:t>
            </w:r>
          </w:p>
        </w:tc>
        <w:tc>
          <w:tcPr>
            <w:tcW w:w="1318" w:type="dxa"/>
            <w:vAlign w:val="center"/>
          </w:tcPr>
          <w:p w14:paraId="5E28A471" w14:textId="77777777" w:rsidR="002D437F" w:rsidRPr="004570EB" w:rsidRDefault="002D437F" w:rsidP="002E2369">
            <w:pPr>
              <w:pStyle w:val="a6"/>
              <w:jc w:val="center"/>
              <w:rPr>
                <w:rFonts w:asciiTheme="majorHAnsi" w:hAnsiTheme="majorHAnsi"/>
                <w:b/>
                <w:sz w:val="20"/>
                <w:szCs w:val="20"/>
                <w:lang w:val="ro-RO"/>
              </w:rPr>
            </w:pPr>
            <w:r w:rsidRPr="004570EB">
              <w:rPr>
                <w:rFonts w:asciiTheme="majorHAnsi" w:hAnsiTheme="majorHAnsi"/>
                <w:b/>
                <w:sz w:val="20"/>
                <w:szCs w:val="20"/>
                <w:lang w:val="ro-RO"/>
              </w:rPr>
              <w:t>1687,6</w:t>
            </w:r>
          </w:p>
        </w:tc>
        <w:tc>
          <w:tcPr>
            <w:tcW w:w="1318" w:type="dxa"/>
            <w:vAlign w:val="center"/>
          </w:tcPr>
          <w:p w14:paraId="5839594B" w14:textId="77777777" w:rsidR="002D437F" w:rsidRPr="004570EB" w:rsidRDefault="002D437F" w:rsidP="002E2369">
            <w:pPr>
              <w:pStyle w:val="a6"/>
              <w:jc w:val="center"/>
              <w:rPr>
                <w:rFonts w:asciiTheme="majorHAnsi" w:hAnsiTheme="majorHAnsi"/>
                <w:b/>
                <w:sz w:val="20"/>
                <w:szCs w:val="20"/>
                <w:lang w:val="ro-RO"/>
              </w:rPr>
            </w:pPr>
            <w:r w:rsidRPr="004570EB">
              <w:rPr>
                <w:rFonts w:asciiTheme="majorHAnsi" w:hAnsiTheme="majorHAnsi"/>
                <w:b/>
                <w:sz w:val="20"/>
                <w:szCs w:val="20"/>
                <w:lang w:val="ro-RO"/>
              </w:rPr>
              <w:t>2252,9</w:t>
            </w:r>
          </w:p>
        </w:tc>
        <w:tc>
          <w:tcPr>
            <w:tcW w:w="1312" w:type="dxa"/>
            <w:vAlign w:val="center"/>
          </w:tcPr>
          <w:p w14:paraId="2B236EB6" w14:textId="77777777" w:rsidR="002D437F" w:rsidRPr="004570EB" w:rsidRDefault="00174B40" w:rsidP="002E2369">
            <w:pPr>
              <w:pStyle w:val="a6"/>
              <w:jc w:val="center"/>
              <w:rPr>
                <w:rFonts w:asciiTheme="majorHAnsi" w:hAnsiTheme="majorHAnsi"/>
                <w:b/>
                <w:color w:val="000000"/>
                <w:sz w:val="20"/>
                <w:szCs w:val="20"/>
                <w:lang w:val="ro-RO"/>
              </w:rPr>
            </w:pPr>
            <w:r w:rsidRPr="004570EB">
              <w:rPr>
                <w:rFonts w:asciiTheme="majorHAnsi" w:hAnsiTheme="majorHAnsi"/>
                <w:b/>
                <w:color w:val="000000"/>
                <w:sz w:val="20"/>
                <w:szCs w:val="20"/>
                <w:lang w:val="ro-RO"/>
              </w:rPr>
              <w:t>+565,3</w:t>
            </w:r>
          </w:p>
        </w:tc>
      </w:tr>
      <w:tr w:rsidR="002D437F" w:rsidRPr="004570EB" w14:paraId="7CB32CAE" w14:textId="77777777" w:rsidTr="002D437F">
        <w:tc>
          <w:tcPr>
            <w:tcW w:w="3961" w:type="dxa"/>
          </w:tcPr>
          <w:p w14:paraId="017B2253" w14:textId="77777777" w:rsidR="002D437F" w:rsidRPr="004570EB" w:rsidRDefault="002D437F" w:rsidP="002E2369">
            <w:pPr>
              <w:pStyle w:val="a6"/>
              <w:rPr>
                <w:rFonts w:asciiTheme="majorHAnsi" w:hAnsiTheme="majorHAnsi"/>
                <w:i/>
                <w:sz w:val="20"/>
                <w:szCs w:val="20"/>
                <w:lang w:val="ro-RO"/>
              </w:rPr>
            </w:pPr>
            <w:r w:rsidRPr="004570EB">
              <w:rPr>
                <w:rFonts w:asciiTheme="majorHAnsi" w:hAnsiTheme="majorHAnsi"/>
                <w:i/>
                <w:sz w:val="20"/>
                <w:szCs w:val="20"/>
                <w:lang w:val="ro-RO"/>
              </w:rPr>
              <w:t>rambursarea sumei principale</w:t>
            </w:r>
          </w:p>
        </w:tc>
        <w:tc>
          <w:tcPr>
            <w:tcW w:w="1435" w:type="dxa"/>
            <w:vAlign w:val="center"/>
          </w:tcPr>
          <w:p w14:paraId="6BE07F20" w14:textId="77777777"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1107,3</w:t>
            </w:r>
          </w:p>
        </w:tc>
        <w:tc>
          <w:tcPr>
            <w:tcW w:w="1318" w:type="dxa"/>
            <w:vAlign w:val="center"/>
          </w:tcPr>
          <w:p w14:paraId="1E79D894" w14:textId="77777777"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1329,7</w:t>
            </w:r>
          </w:p>
        </w:tc>
        <w:tc>
          <w:tcPr>
            <w:tcW w:w="1318" w:type="dxa"/>
            <w:vAlign w:val="center"/>
          </w:tcPr>
          <w:p w14:paraId="43765EA3" w14:textId="77777777"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1873,4</w:t>
            </w:r>
          </w:p>
        </w:tc>
        <w:tc>
          <w:tcPr>
            <w:tcW w:w="1312" w:type="dxa"/>
            <w:vAlign w:val="center"/>
          </w:tcPr>
          <w:p w14:paraId="2F1967E3" w14:textId="77777777" w:rsidR="002D437F" w:rsidRPr="004570EB" w:rsidRDefault="00174B40" w:rsidP="002E2369">
            <w:pPr>
              <w:pStyle w:val="a6"/>
              <w:jc w:val="center"/>
              <w:rPr>
                <w:rFonts w:asciiTheme="majorHAnsi" w:hAnsiTheme="majorHAnsi"/>
                <w:color w:val="000000"/>
                <w:sz w:val="20"/>
                <w:szCs w:val="20"/>
                <w:lang w:val="ro-RO"/>
              </w:rPr>
            </w:pPr>
            <w:r w:rsidRPr="004570EB">
              <w:rPr>
                <w:rFonts w:asciiTheme="majorHAnsi" w:hAnsiTheme="majorHAnsi"/>
                <w:color w:val="000000"/>
                <w:sz w:val="20"/>
                <w:szCs w:val="20"/>
                <w:lang w:val="ro-RO"/>
              </w:rPr>
              <w:t>+543,7</w:t>
            </w:r>
          </w:p>
        </w:tc>
      </w:tr>
      <w:tr w:rsidR="002D437F" w:rsidRPr="004570EB" w14:paraId="018EDEE1" w14:textId="77777777" w:rsidTr="002D437F">
        <w:tc>
          <w:tcPr>
            <w:tcW w:w="3961" w:type="dxa"/>
          </w:tcPr>
          <w:p w14:paraId="00C5F86A" w14:textId="77777777" w:rsidR="002D437F" w:rsidRPr="004570EB" w:rsidRDefault="002D437F" w:rsidP="002E2369">
            <w:pPr>
              <w:pStyle w:val="a6"/>
              <w:rPr>
                <w:rFonts w:asciiTheme="majorHAnsi" w:hAnsiTheme="majorHAnsi"/>
                <w:i/>
                <w:sz w:val="20"/>
                <w:szCs w:val="20"/>
                <w:lang w:val="ro-RO"/>
              </w:rPr>
            </w:pPr>
            <w:r w:rsidRPr="004570EB">
              <w:rPr>
                <w:rFonts w:asciiTheme="majorHAnsi" w:hAnsiTheme="majorHAnsi"/>
                <w:i/>
                <w:sz w:val="20"/>
                <w:szCs w:val="20"/>
                <w:lang w:val="ro-RO"/>
              </w:rPr>
              <w:t>plata dobânzii și comisioanelor</w:t>
            </w:r>
          </w:p>
        </w:tc>
        <w:tc>
          <w:tcPr>
            <w:tcW w:w="1435" w:type="dxa"/>
            <w:vAlign w:val="center"/>
          </w:tcPr>
          <w:p w14:paraId="45D7AEE2" w14:textId="77777777"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284,6</w:t>
            </w:r>
          </w:p>
        </w:tc>
        <w:tc>
          <w:tcPr>
            <w:tcW w:w="1318" w:type="dxa"/>
            <w:vAlign w:val="center"/>
          </w:tcPr>
          <w:p w14:paraId="7E5CECAA" w14:textId="77777777"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357,9</w:t>
            </w:r>
          </w:p>
        </w:tc>
        <w:tc>
          <w:tcPr>
            <w:tcW w:w="1318" w:type="dxa"/>
            <w:vAlign w:val="center"/>
          </w:tcPr>
          <w:p w14:paraId="4DF035E2" w14:textId="77777777"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379,5</w:t>
            </w:r>
          </w:p>
        </w:tc>
        <w:tc>
          <w:tcPr>
            <w:tcW w:w="1312" w:type="dxa"/>
            <w:vAlign w:val="center"/>
          </w:tcPr>
          <w:p w14:paraId="13501052" w14:textId="77777777" w:rsidR="002D437F" w:rsidRPr="004570EB" w:rsidRDefault="00174B40" w:rsidP="002E2369">
            <w:pPr>
              <w:pStyle w:val="a6"/>
              <w:jc w:val="center"/>
              <w:rPr>
                <w:rFonts w:asciiTheme="majorHAnsi" w:hAnsiTheme="majorHAnsi"/>
                <w:color w:val="000000"/>
                <w:sz w:val="20"/>
                <w:szCs w:val="20"/>
                <w:lang w:val="ro-RO"/>
              </w:rPr>
            </w:pPr>
            <w:r w:rsidRPr="004570EB">
              <w:rPr>
                <w:rFonts w:asciiTheme="majorHAnsi" w:hAnsiTheme="majorHAnsi"/>
                <w:color w:val="000000"/>
                <w:sz w:val="20"/>
                <w:szCs w:val="20"/>
                <w:lang w:val="ro-RO"/>
              </w:rPr>
              <w:t>+21,6</w:t>
            </w:r>
          </w:p>
        </w:tc>
      </w:tr>
      <w:tr w:rsidR="002D437F" w:rsidRPr="004570EB" w14:paraId="2288A736" w14:textId="77777777" w:rsidTr="002D437F">
        <w:tc>
          <w:tcPr>
            <w:tcW w:w="3961" w:type="dxa"/>
          </w:tcPr>
          <w:p w14:paraId="6108FCFB" w14:textId="77777777" w:rsidR="002D437F" w:rsidRPr="004570EB" w:rsidRDefault="002D437F" w:rsidP="002E2369">
            <w:pPr>
              <w:pStyle w:val="a6"/>
              <w:rPr>
                <w:rFonts w:asciiTheme="majorHAnsi" w:hAnsiTheme="majorHAnsi"/>
                <w:sz w:val="20"/>
                <w:szCs w:val="20"/>
                <w:lang w:val="ro-RO"/>
              </w:rPr>
            </w:pPr>
            <w:r w:rsidRPr="004570EB">
              <w:rPr>
                <w:rFonts w:asciiTheme="majorHAnsi" w:hAnsiTheme="majorHAnsi"/>
                <w:sz w:val="20"/>
                <w:szCs w:val="20"/>
                <w:lang w:val="ro-RO"/>
              </w:rPr>
              <w:t>Ritmul de creștere a serviciului datoriei de stat, %</w:t>
            </w:r>
          </w:p>
        </w:tc>
        <w:tc>
          <w:tcPr>
            <w:tcW w:w="1435" w:type="dxa"/>
            <w:vAlign w:val="center"/>
          </w:tcPr>
          <w:p w14:paraId="30DE1F93" w14:textId="77777777"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+67,5</w:t>
            </w:r>
          </w:p>
        </w:tc>
        <w:tc>
          <w:tcPr>
            <w:tcW w:w="1318" w:type="dxa"/>
            <w:vAlign w:val="center"/>
          </w:tcPr>
          <w:p w14:paraId="546E090B" w14:textId="77777777"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+10,4</w:t>
            </w:r>
          </w:p>
        </w:tc>
        <w:tc>
          <w:tcPr>
            <w:tcW w:w="1318" w:type="dxa"/>
            <w:vAlign w:val="center"/>
          </w:tcPr>
          <w:p w14:paraId="1C5DBF25" w14:textId="77777777" w:rsidR="002D437F" w:rsidRPr="004570EB" w:rsidRDefault="00106272"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-22,0</w:t>
            </w:r>
          </w:p>
        </w:tc>
        <w:tc>
          <w:tcPr>
            <w:tcW w:w="1312" w:type="dxa"/>
            <w:vAlign w:val="center"/>
          </w:tcPr>
          <w:p w14:paraId="537AA13E" w14:textId="77777777" w:rsidR="002D437F" w:rsidRPr="004570EB" w:rsidRDefault="002D437F" w:rsidP="002E2369">
            <w:pPr>
              <w:pStyle w:val="a6"/>
              <w:jc w:val="center"/>
              <w:rPr>
                <w:rFonts w:asciiTheme="majorHAnsi" w:hAnsiTheme="majorHAnsi"/>
                <w:color w:val="FF0000"/>
                <w:sz w:val="20"/>
                <w:szCs w:val="20"/>
                <w:lang w:val="ro-RO"/>
              </w:rPr>
            </w:pPr>
            <w:r w:rsidRPr="004570EB">
              <w:rPr>
                <w:rFonts w:asciiTheme="majorHAnsi" w:hAnsiTheme="majorHAnsi"/>
                <w:color w:val="000000"/>
                <w:sz w:val="20"/>
                <w:szCs w:val="20"/>
                <w:lang w:val="ro-RO"/>
              </w:rPr>
              <w:t>x</w:t>
            </w:r>
          </w:p>
        </w:tc>
      </w:tr>
      <w:tr w:rsidR="002D437F" w:rsidRPr="004570EB" w14:paraId="03363695" w14:textId="77777777" w:rsidTr="002D437F">
        <w:tc>
          <w:tcPr>
            <w:tcW w:w="3961" w:type="dxa"/>
          </w:tcPr>
          <w:p w14:paraId="6F83745E" w14:textId="77777777" w:rsidR="002D437F" w:rsidRPr="004570EB" w:rsidRDefault="002D437F" w:rsidP="002E2369">
            <w:pPr>
              <w:pStyle w:val="a6"/>
              <w:rPr>
                <w:rFonts w:asciiTheme="majorHAnsi" w:hAnsiTheme="majorHAnsi"/>
                <w:sz w:val="20"/>
                <w:szCs w:val="20"/>
                <w:lang w:val="ro-RO"/>
              </w:rPr>
            </w:pPr>
            <w:r w:rsidRPr="004570EB">
              <w:rPr>
                <w:rFonts w:asciiTheme="majorHAnsi" w:hAnsiTheme="majorHAnsi"/>
                <w:sz w:val="20"/>
                <w:szCs w:val="20"/>
                <w:lang w:val="ro-RO"/>
              </w:rPr>
              <w:t>Ritmul de creștere a PIB, %</w:t>
            </w:r>
          </w:p>
        </w:tc>
        <w:tc>
          <w:tcPr>
            <w:tcW w:w="1435" w:type="dxa"/>
            <w:vAlign w:val="center"/>
          </w:tcPr>
          <w:p w14:paraId="21142B5E" w14:textId="5F8735D5"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+10,</w:t>
            </w:r>
            <w:r w:rsidR="00CC29E3" w:rsidRPr="004570EB">
              <w:rPr>
                <w:rFonts w:asciiTheme="majorHAnsi" w:hAnsiTheme="majorHAnsi" w:cstheme="majorHAnsi"/>
                <w:sz w:val="20"/>
                <w:szCs w:val="20"/>
                <w:lang w:val="ro-MD"/>
              </w:rPr>
              <w:t>3</w:t>
            </w:r>
          </w:p>
        </w:tc>
        <w:tc>
          <w:tcPr>
            <w:tcW w:w="1318" w:type="dxa"/>
            <w:vAlign w:val="center"/>
          </w:tcPr>
          <w:p w14:paraId="1DD07A4F" w14:textId="5796394A"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+11,</w:t>
            </w:r>
            <w:r w:rsidR="00CC29E3" w:rsidRPr="004570EB">
              <w:rPr>
                <w:rFonts w:asciiTheme="majorHAnsi" w:hAnsiTheme="majorHAnsi" w:cstheme="majorHAnsi"/>
                <w:sz w:val="20"/>
                <w:szCs w:val="20"/>
                <w:lang w:val="ro-MD"/>
              </w:rPr>
              <w:t>2</w:t>
            </w:r>
          </w:p>
        </w:tc>
        <w:tc>
          <w:tcPr>
            <w:tcW w:w="1318" w:type="dxa"/>
            <w:vAlign w:val="center"/>
          </w:tcPr>
          <w:p w14:paraId="61F0F546" w14:textId="77777777" w:rsidR="002D437F" w:rsidRPr="004570EB" w:rsidRDefault="00F36E4A"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+6,2</w:t>
            </w:r>
          </w:p>
        </w:tc>
        <w:tc>
          <w:tcPr>
            <w:tcW w:w="1312" w:type="dxa"/>
            <w:vAlign w:val="center"/>
          </w:tcPr>
          <w:p w14:paraId="73FE70B1" w14:textId="77777777" w:rsidR="002D437F" w:rsidRPr="004570EB" w:rsidRDefault="002D437F" w:rsidP="002E2369">
            <w:pPr>
              <w:pStyle w:val="a6"/>
              <w:jc w:val="center"/>
              <w:rPr>
                <w:rFonts w:asciiTheme="majorHAnsi" w:hAnsiTheme="majorHAnsi"/>
                <w:color w:val="000000"/>
                <w:sz w:val="20"/>
                <w:szCs w:val="20"/>
                <w:lang w:val="ro-RO"/>
              </w:rPr>
            </w:pPr>
            <w:r w:rsidRPr="004570EB">
              <w:rPr>
                <w:rFonts w:asciiTheme="majorHAnsi" w:hAnsiTheme="majorHAnsi"/>
                <w:color w:val="000000"/>
                <w:sz w:val="20"/>
                <w:szCs w:val="20"/>
                <w:lang w:val="ro-RO"/>
              </w:rPr>
              <w:t>x</w:t>
            </w:r>
          </w:p>
        </w:tc>
      </w:tr>
      <w:tr w:rsidR="002D437F" w:rsidRPr="004570EB" w14:paraId="15051940" w14:textId="77777777" w:rsidTr="002D437F">
        <w:tc>
          <w:tcPr>
            <w:tcW w:w="3961" w:type="dxa"/>
          </w:tcPr>
          <w:p w14:paraId="51D8A468" w14:textId="77777777" w:rsidR="002D437F" w:rsidRPr="004570EB" w:rsidRDefault="002D437F" w:rsidP="002E2369">
            <w:pPr>
              <w:pStyle w:val="a6"/>
              <w:rPr>
                <w:rFonts w:asciiTheme="majorHAnsi" w:hAnsiTheme="majorHAnsi"/>
                <w:sz w:val="20"/>
                <w:szCs w:val="20"/>
                <w:lang w:val="ro-RO"/>
              </w:rPr>
            </w:pPr>
            <w:r w:rsidRPr="004570EB">
              <w:rPr>
                <w:rFonts w:asciiTheme="majorHAnsi" w:hAnsiTheme="majorHAnsi"/>
                <w:sz w:val="20"/>
                <w:szCs w:val="20"/>
                <w:lang w:val="ro-RO"/>
              </w:rPr>
              <w:t>Ritmul de creștere a cheltuielilor bugetului de stat, %</w:t>
            </w:r>
          </w:p>
        </w:tc>
        <w:tc>
          <w:tcPr>
            <w:tcW w:w="1435" w:type="dxa"/>
            <w:vAlign w:val="center"/>
          </w:tcPr>
          <w:p w14:paraId="7F27FF0C" w14:textId="77777777"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+7,3</w:t>
            </w:r>
          </w:p>
        </w:tc>
        <w:tc>
          <w:tcPr>
            <w:tcW w:w="1318" w:type="dxa"/>
            <w:vAlign w:val="center"/>
          </w:tcPr>
          <w:p w14:paraId="3C707B53" w14:textId="77777777" w:rsidR="002D437F" w:rsidRPr="004570EB" w:rsidRDefault="002D437F"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+9,9</w:t>
            </w:r>
          </w:p>
        </w:tc>
        <w:tc>
          <w:tcPr>
            <w:tcW w:w="1318" w:type="dxa"/>
            <w:vAlign w:val="center"/>
          </w:tcPr>
          <w:p w14:paraId="423804AE" w14:textId="77777777" w:rsidR="002D437F" w:rsidRPr="004570EB" w:rsidRDefault="00F36E4A" w:rsidP="002E2369">
            <w:pPr>
              <w:pStyle w:val="a6"/>
              <w:jc w:val="center"/>
              <w:rPr>
                <w:rFonts w:asciiTheme="majorHAnsi" w:hAnsiTheme="majorHAnsi"/>
                <w:sz w:val="20"/>
                <w:szCs w:val="20"/>
                <w:lang w:val="ro-RO"/>
              </w:rPr>
            </w:pPr>
            <w:r w:rsidRPr="004570EB">
              <w:rPr>
                <w:rFonts w:asciiTheme="majorHAnsi" w:hAnsiTheme="majorHAnsi"/>
                <w:sz w:val="20"/>
                <w:szCs w:val="20"/>
                <w:lang w:val="ro-RO"/>
              </w:rPr>
              <w:t>+9,0</w:t>
            </w:r>
          </w:p>
        </w:tc>
        <w:tc>
          <w:tcPr>
            <w:tcW w:w="1312" w:type="dxa"/>
            <w:vAlign w:val="center"/>
          </w:tcPr>
          <w:p w14:paraId="7A1865C4" w14:textId="77777777" w:rsidR="002D437F" w:rsidRPr="004570EB" w:rsidRDefault="00F36E4A" w:rsidP="002E2369">
            <w:pPr>
              <w:pStyle w:val="a6"/>
              <w:rPr>
                <w:rFonts w:asciiTheme="majorHAnsi" w:hAnsiTheme="majorHAnsi"/>
                <w:color w:val="000000"/>
                <w:sz w:val="20"/>
                <w:szCs w:val="20"/>
                <w:lang w:val="ro-RO"/>
              </w:rPr>
            </w:pPr>
            <w:r w:rsidRPr="004570EB">
              <w:rPr>
                <w:rFonts w:asciiTheme="majorHAnsi" w:hAnsiTheme="majorHAnsi"/>
                <w:color w:val="000000"/>
                <w:sz w:val="20"/>
                <w:szCs w:val="20"/>
                <w:lang w:val="ro-RO"/>
              </w:rPr>
              <w:t xml:space="preserve">         </w:t>
            </w:r>
            <w:r w:rsidR="002D437F" w:rsidRPr="004570EB">
              <w:rPr>
                <w:rFonts w:asciiTheme="majorHAnsi" w:hAnsiTheme="majorHAnsi"/>
                <w:color w:val="000000"/>
                <w:sz w:val="20"/>
                <w:szCs w:val="20"/>
                <w:lang w:val="ro-RO"/>
              </w:rPr>
              <w:t>x</w:t>
            </w:r>
          </w:p>
        </w:tc>
      </w:tr>
    </w:tbl>
    <w:p w14:paraId="7FA66844" w14:textId="18292592" w:rsidR="00D82280" w:rsidRPr="007C5D3C" w:rsidRDefault="00D82280" w:rsidP="007C5D3C">
      <w:pPr>
        <w:spacing w:line="276" w:lineRule="auto"/>
        <w:jc w:val="both"/>
        <w:rPr>
          <w:rFonts w:asciiTheme="majorHAnsi" w:hAnsiTheme="majorHAnsi" w:cstheme="majorHAnsi"/>
          <w:sz w:val="20"/>
          <w:szCs w:val="20"/>
          <w:lang w:val="ro-RO"/>
        </w:rPr>
      </w:pPr>
      <w:r w:rsidRPr="007C5D3C">
        <w:rPr>
          <w:rFonts w:asciiTheme="majorHAnsi" w:hAnsiTheme="majorHAnsi" w:cstheme="majorHAnsi"/>
          <w:b/>
          <w:i/>
          <w:sz w:val="20"/>
          <w:szCs w:val="20"/>
          <w:lang w:val="ro-RO"/>
        </w:rPr>
        <w:t xml:space="preserve"> Sursă: </w:t>
      </w:r>
      <w:r w:rsidR="00A443B3">
        <w:rPr>
          <w:rFonts w:asciiTheme="majorHAnsi" w:hAnsiTheme="majorHAnsi" w:cstheme="majorHAnsi"/>
          <w:sz w:val="20"/>
          <w:szCs w:val="20"/>
          <w:lang w:val="ro-RO"/>
        </w:rPr>
        <w:t>I</w:t>
      </w:r>
      <w:r w:rsidRPr="007C5D3C">
        <w:rPr>
          <w:rFonts w:asciiTheme="majorHAnsi" w:hAnsiTheme="majorHAnsi" w:cstheme="majorHAnsi"/>
          <w:sz w:val="20"/>
          <w:szCs w:val="20"/>
          <w:lang w:val="ro-RO"/>
        </w:rPr>
        <w:t>nformați</w:t>
      </w:r>
      <w:r w:rsidR="00A443B3">
        <w:rPr>
          <w:rFonts w:asciiTheme="majorHAnsi" w:hAnsiTheme="majorHAnsi" w:cstheme="majorHAnsi"/>
          <w:sz w:val="20"/>
          <w:szCs w:val="20"/>
          <w:lang w:val="ro-RO"/>
        </w:rPr>
        <w:t>a</w:t>
      </w:r>
      <w:r w:rsidRPr="007C5D3C">
        <w:rPr>
          <w:rFonts w:asciiTheme="majorHAnsi" w:hAnsiTheme="majorHAnsi" w:cstheme="majorHAnsi"/>
          <w:sz w:val="20"/>
          <w:szCs w:val="20"/>
          <w:lang w:val="ro-RO"/>
        </w:rPr>
        <w:t xml:space="preserve"> privind deservirea datoriei de stat interne și ex</w:t>
      </w:r>
      <w:r w:rsidR="007C5D3C" w:rsidRPr="007C5D3C">
        <w:rPr>
          <w:rFonts w:asciiTheme="majorHAnsi" w:hAnsiTheme="majorHAnsi" w:cstheme="majorHAnsi"/>
          <w:sz w:val="20"/>
          <w:szCs w:val="20"/>
          <w:lang w:val="ro-RO"/>
        </w:rPr>
        <w:t>terne la situația din 31.12.2018</w:t>
      </w:r>
      <w:r w:rsidRPr="007C5D3C">
        <w:rPr>
          <w:rFonts w:asciiTheme="majorHAnsi" w:hAnsiTheme="majorHAnsi" w:cstheme="majorHAnsi"/>
          <w:sz w:val="20"/>
          <w:szCs w:val="20"/>
          <w:lang w:val="ro-RO"/>
        </w:rPr>
        <w:t>.</w:t>
      </w:r>
    </w:p>
    <w:p w14:paraId="2DFAE580" w14:textId="416894CC" w:rsidR="00802EDF" w:rsidRPr="00873B46" w:rsidRDefault="00513FC1" w:rsidP="00873B46">
      <w:pPr>
        <w:autoSpaceDE w:val="0"/>
        <w:autoSpaceDN w:val="0"/>
        <w:adjustRightInd w:val="0"/>
        <w:spacing w:after="0" w:line="276" w:lineRule="auto"/>
        <w:ind w:firstLine="720"/>
        <w:jc w:val="both"/>
        <w:rPr>
          <w:rFonts w:asciiTheme="majorHAnsi" w:hAnsiTheme="majorHAnsi" w:cstheme="majorHAnsi"/>
          <w:color w:val="000000"/>
          <w:sz w:val="24"/>
          <w:szCs w:val="24"/>
          <w:lang w:val="ro-RO"/>
        </w:rPr>
      </w:pPr>
      <w:r w:rsidRPr="007B41C9">
        <w:rPr>
          <w:rFonts w:asciiTheme="majorHAnsi" w:hAnsiTheme="majorHAnsi" w:cstheme="majorHAnsi"/>
          <w:color w:val="000000"/>
          <w:sz w:val="24"/>
          <w:szCs w:val="24"/>
          <w:lang w:val="ro-RO"/>
        </w:rPr>
        <w:t>De asemenea, auditul denotă că în anul 2018</w:t>
      </w:r>
      <w:r w:rsidR="00D82280" w:rsidRPr="007B41C9">
        <w:rPr>
          <w:rFonts w:asciiTheme="majorHAnsi" w:hAnsiTheme="majorHAnsi" w:cstheme="majorHAnsi"/>
          <w:color w:val="000000"/>
          <w:sz w:val="24"/>
          <w:szCs w:val="24"/>
          <w:lang w:val="ro-RO"/>
        </w:rPr>
        <w:t xml:space="preserve"> ritmul de creștere a serviciului datoriei </w:t>
      </w:r>
      <w:r w:rsidR="007B41C9" w:rsidRPr="007B41C9">
        <w:rPr>
          <w:rFonts w:asciiTheme="majorHAnsi" w:hAnsiTheme="majorHAnsi" w:cstheme="majorHAnsi"/>
          <w:color w:val="000000"/>
          <w:sz w:val="24"/>
          <w:szCs w:val="24"/>
          <w:lang w:val="ro-RO"/>
        </w:rPr>
        <w:t xml:space="preserve"> a fost în </w:t>
      </w:r>
      <w:r w:rsidR="007B41C9">
        <w:rPr>
          <w:rFonts w:asciiTheme="majorHAnsi" w:hAnsiTheme="majorHAnsi" w:cstheme="majorHAnsi"/>
          <w:color w:val="000000"/>
          <w:sz w:val="24"/>
          <w:szCs w:val="24"/>
          <w:lang w:val="ro-RO"/>
        </w:rPr>
        <w:t>descreștere</w:t>
      </w:r>
      <w:r w:rsidR="007B41C9" w:rsidRPr="007B41C9">
        <w:rPr>
          <w:rFonts w:asciiTheme="majorHAnsi" w:hAnsiTheme="majorHAnsi" w:cstheme="majorHAnsi"/>
          <w:color w:val="000000"/>
          <w:sz w:val="24"/>
          <w:szCs w:val="24"/>
          <w:lang w:val="ro-RO"/>
        </w:rPr>
        <w:t xml:space="preserve"> (-22,0%) față de ritmul de creștere a PIB-ului (+6,2%) și</w:t>
      </w:r>
      <w:r w:rsidR="00D82280" w:rsidRPr="007B41C9">
        <w:rPr>
          <w:rFonts w:asciiTheme="majorHAnsi" w:hAnsiTheme="majorHAnsi" w:cstheme="majorHAnsi"/>
          <w:color w:val="000000"/>
          <w:sz w:val="24"/>
          <w:szCs w:val="24"/>
          <w:lang w:val="ro-RO"/>
        </w:rPr>
        <w:t xml:space="preserve"> </w:t>
      </w:r>
      <w:r w:rsidR="00F72BEF">
        <w:rPr>
          <w:rFonts w:asciiTheme="majorHAnsi" w:hAnsiTheme="majorHAnsi" w:cstheme="majorHAnsi"/>
          <w:color w:val="000000"/>
          <w:sz w:val="24"/>
          <w:szCs w:val="24"/>
          <w:lang w:val="ro-RO"/>
        </w:rPr>
        <w:t xml:space="preserve">de </w:t>
      </w:r>
      <w:r w:rsidR="00D82280" w:rsidRPr="007B41C9">
        <w:rPr>
          <w:rFonts w:asciiTheme="majorHAnsi" w:hAnsiTheme="majorHAnsi" w:cstheme="majorHAnsi"/>
          <w:color w:val="000000"/>
          <w:sz w:val="24"/>
          <w:szCs w:val="24"/>
          <w:lang w:val="ro-RO"/>
        </w:rPr>
        <w:t>ritmul de creștere a cheltuielilor bugetului de sta</w:t>
      </w:r>
      <w:r w:rsidR="007B41C9" w:rsidRPr="007B41C9">
        <w:rPr>
          <w:rFonts w:asciiTheme="majorHAnsi" w:hAnsiTheme="majorHAnsi" w:cstheme="majorHAnsi"/>
          <w:color w:val="000000"/>
          <w:sz w:val="24"/>
          <w:szCs w:val="24"/>
          <w:lang w:val="ro-RO"/>
        </w:rPr>
        <w:t>t (+9,0</w:t>
      </w:r>
      <w:r w:rsidR="00D82280" w:rsidRPr="007B41C9">
        <w:rPr>
          <w:rFonts w:asciiTheme="majorHAnsi" w:hAnsiTheme="majorHAnsi" w:cstheme="majorHAnsi"/>
          <w:color w:val="000000"/>
          <w:sz w:val="24"/>
          <w:szCs w:val="24"/>
          <w:lang w:val="ro-RO"/>
        </w:rPr>
        <w:t>%).</w:t>
      </w:r>
    </w:p>
    <w:p w14:paraId="5A7EC6DA" w14:textId="6F4DBB34" w:rsidR="00804518" w:rsidRPr="001D4180" w:rsidRDefault="00873B46" w:rsidP="004570EB">
      <w:pPr>
        <w:shd w:val="clear" w:color="auto" w:fill="FFFFFF"/>
        <w:spacing w:after="0" w:line="276" w:lineRule="auto"/>
        <w:ind w:firstLine="720"/>
        <w:jc w:val="both"/>
        <w:rPr>
          <w:rFonts w:asciiTheme="majorHAnsi" w:hAnsiTheme="majorHAnsi" w:cstheme="majorHAnsi"/>
          <w:sz w:val="24"/>
          <w:szCs w:val="24"/>
          <w:shd w:val="clear" w:color="auto" w:fill="FFFFFF"/>
          <w:lang w:val="ro-RO"/>
        </w:rPr>
      </w:pPr>
      <w:r>
        <w:rPr>
          <w:rFonts w:asciiTheme="majorHAnsi" w:hAnsiTheme="majorHAnsi" w:cstheme="majorHAnsi"/>
          <w:sz w:val="24"/>
          <w:szCs w:val="24"/>
          <w:shd w:val="clear" w:color="auto" w:fill="FFFFFF"/>
          <w:lang w:val="ro-RO"/>
        </w:rPr>
        <w:t xml:space="preserve">Pentru </w:t>
      </w:r>
      <w:r w:rsidRPr="00873B46">
        <w:rPr>
          <w:rFonts w:asciiTheme="majorHAnsi" w:hAnsiTheme="majorHAnsi" w:cstheme="majorHAnsi"/>
          <w:b/>
          <w:sz w:val="24"/>
          <w:szCs w:val="24"/>
          <w:shd w:val="clear" w:color="auto" w:fill="FFFFFF"/>
          <w:lang w:val="ro-RO"/>
        </w:rPr>
        <w:t>d</w:t>
      </w:r>
      <w:r w:rsidR="00802EDF" w:rsidRPr="00873B46">
        <w:rPr>
          <w:rFonts w:asciiTheme="majorHAnsi" w:hAnsiTheme="majorHAnsi" w:cstheme="majorHAnsi"/>
          <w:b/>
          <w:sz w:val="24"/>
          <w:szCs w:val="24"/>
          <w:shd w:val="clear" w:color="auto" w:fill="FFFFFF"/>
          <w:lang w:val="ro-RO"/>
        </w:rPr>
        <w:t xml:space="preserve">eservirea datoriei de stat interne </w:t>
      </w:r>
      <w:r w:rsidR="00802EDF">
        <w:rPr>
          <w:rFonts w:asciiTheme="majorHAnsi" w:hAnsiTheme="majorHAnsi" w:cstheme="majorHAnsi"/>
          <w:sz w:val="24"/>
          <w:szCs w:val="24"/>
          <w:shd w:val="clear" w:color="auto" w:fill="FFFFFF"/>
          <w:lang w:val="ro-RO"/>
        </w:rPr>
        <w:t xml:space="preserve">au fost efectuate plăți în sumă de 13567,8 </w:t>
      </w:r>
      <w:proofErr w:type="spellStart"/>
      <w:r w:rsidR="00802EDF">
        <w:rPr>
          <w:rFonts w:asciiTheme="majorHAnsi" w:hAnsiTheme="majorHAnsi" w:cstheme="majorHAnsi"/>
          <w:sz w:val="24"/>
          <w:szCs w:val="24"/>
          <w:shd w:val="clear" w:color="auto" w:fill="FFFFFF"/>
          <w:lang w:val="ro-RO"/>
        </w:rPr>
        <w:t>mil.MDL</w:t>
      </w:r>
      <w:proofErr w:type="spellEnd"/>
      <w:r w:rsidR="00802EDF">
        <w:rPr>
          <w:rFonts w:asciiTheme="majorHAnsi" w:hAnsiTheme="majorHAnsi" w:cstheme="majorHAnsi"/>
          <w:sz w:val="24"/>
          <w:szCs w:val="24"/>
          <w:shd w:val="clear" w:color="auto" w:fill="FFFFFF"/>
          <w:lang w:val="ro-RO"/>
        </w:rPr>
        <w:t>, din care</w:t>
      </w:r>
      <w:r>
        <w:rPr>
          <w:rFonts w:asciiTheme="majorHAnsi" w:hAnsiTheme="majorHAnsi" w:cstheme="majorHAnsi"/>
          <w:sz w:val="24"/>
          <w:szCs w:val="24"/>
          <w:shd w:val="clear" w:color="auto" w:fill="FFFFFF"/>
          <w:lang w:val="ro-RO"/>
        </w:rPr>
        <w:t xml:space="preserve"> </w:t>
      </w:r>
      <w:r w:rsidR="00A343B9">
        <w:rPr>
          <w:rFonts w:asciiTheme="majorHAnsi" w:hAnsiTheme="majorHAnsi" w:cstheme="majorHAnsi"/>
          <w:sz w:val="24"/>
          <w:szCs w:val="24"/>
          <w:shd w:val="clear" w:color="auto" w:fill="FFFFFF"/>
          <w:lang w:val="ro-RO"/>
        </w:rPr>
        <w:t xml:space="preserve">pentru </w:t>
      </w:r>
      <w:r>
        <w:rPr>
          <w:rFonts w:asciiTheme="majorHAnsi" w:hAnsiTheme="majorHAnsi" w:cstheme="majorHAnsi"/>
          <w:sz w:val="24"/>
          <w:szCs w:val="24"/>
          <w:lang w:val="ro-RO"/>
        </w:rPr>
        <w:t xml:space="preserve">rambursarea sumelor principale sau răscumpărarea valorilor mobiliare </w:t>
      </w:r>
      <w:r w:rsidR="00ED707F">
        <w:rPr>
          <w:rFonts w:asciiTheme="majorHAnsi" w:hAnsiTheme="majorHAnsi" w:cstheme="majorHAnsi"/>
          <w:sz w:val="24"/>
          <w:szCs w:val="24"/>
          <w:lang w:val="ro-RO"/>
        </w:rPr>
        <w:t>de stat</w:t>
      </w:r>
      <w:r w:rsidR="0023527F">
        <w:rPr>
          <w:rFonts w:asciiTheme="majorHAnsi" w:hAnsiTheme="majorHAnsi" w:cstheme="majorHAnsi"/>
          <w:sz w:val="24"/>
          <w:szCs w:val="24"/>
          <w:lang w:val="ro-RO"/>
        </w:rPr>
        <w:t xml:space="preserve"> ajunse la data scadenței </w:t>
      </w:r>
      <w:r w:rsidR="00BF4D4A">
        <w:rPr>
          <w:rFonts w:asciiTheme="majorHAnsi" w:hAnsiTheme="majorHAnsi" w:cstheme="majorHAnsi"/>
          <w:sz w:val="24"/>
          <w:szCs w:val="24"/>
          <w:lang w:val="ro-RO"/>
        </w:rPr>
        <w:t xml:space="preserve">– 12442,5 </w:t>
      </w:r>
      <w:proofErr w:type="spellStart"/>
      <w:r w:rsidR="00BF4D4A">
        <w:rPr>
          <w:rFonts w:asciiTheme="majorHAnsi" w:hAnsiTheme="majorHAnsi" w:cstheme="majorHAnsi"/>
          <w:sz w:val="24"/>
          <w:szCs w:val="24"/>
          <w:lang w:val="ro-RO"/>
        </w:rPr>
        <w:t>mil.MDL</w:t>
      </w:r>
      <w:proofErr w:type="spellEnd"/>
      <w:r w:rsidR="00BF4D4A">
        <w:rPr>
          <w:rFonts w:asciiTheme="majorHAnsi" w:hAnsiTheme="majorHAnsi" w:cstheme="majorHAnsi"/>
          <w:sz w:val="24"/>
          <w:szCs w:val="24"/>
          <w:lang w:val="ro-RO"/>
        </w:rPr>
        <w:t xml:space="preserve">, și </w:t>
      </w:r>
      <w:r w:rsidR="00A343B9">
        <w:rPr>
          <w:rFonts w:asciiTheme="majorHAnsi" w:hAnsiTheme="majorHAnsi" w:cstheme="majorHAnsi"/>
          <w:sz w:val="24"/>
          <w:szCs w:val="24"/>
          <w:shd w:val="clear" w:color="auto" w:fill="FFFFFF"/>
          <w:lang w:val="ro-RO"/>
        </w:rPr>
        <w:t>pentru plata dobânzilor</w:t>
      </w:r>
      <w:r w:rsidR="00A343B9" w:rsidRPr="002047F4">
        <w:rPr>
          <w:rFonts w:asciiTheme="majorHAnsi" w:hAnsiTheme="majorHAnsi" w:cstheme="majorHAnsi"/>
          <w:sz w:val="24"/>
          <w:szCs w:val="24"/>
          <w:shd w:val="clear" w:color="auto" w:fill="FFFFFF"/>
          <w:lang w:val="ro-RO"/>
        </w:rPr>
        <w:t xml:space="preserve"> </w:t>
      </w:r>
      <w:r w:rsidR="00A343B9">
        <w:rPr>
          <w:rFonts w:asciiTheme="majorHAnsi" w:hAnsiTheme="majorHAnsi" w:cstheme="majorHAnsi"/>
          <w:sz w:val="24"/>
          <w:szCs w:val="24"/>
          <w:shd w:val="clear" w:color="auto" w:fill="FFFFFF"/>
          <w:lang w:val="ro-RO"/>
        </w:rPr>
        <w:t xml:space="preserve">- </w:t>
      </w:r>
      <w:r w:rsidR="00BF4D4A" w:rsidRPr="002047F4">
        <w:rPr>
          <w:rFonts w:asciiTheme="majorHAnsi" w:hAnsiTheme="majorHAnsi" w:cstheme="majorHAnsi"/>
          <w:sz w:val="24"/>
          <w:szCs w:val="24"/>
          <w:shd w:val="clear" w:color="auto" w:fill="FFFFFF"/>
          <w:lang w:val="ro-RO"/>
        </w:rPr>
        <w:t xml:space="preserve">1125,3 </w:t>
      </w:r>
      <w:proofErr w:type="spellStart"/>
      <w:r w:rsidR="00BF4D4A" w:rsidRPr="002047F4">
        <w:rPr>
          <w:rFonts w:asciiTheme="majorHAnsi" w:hAnsiTheme="majorHAnsi" w:cstheme="majorHAnsi"/>
          <w:sz w:val="24"/>
          <w:szCs w:val="24"/>
          <w:shd w:val="clear" w:color="auto" w:fill="FFFFFF"/>
          <w:lang w:val="ro-RO"/>
        </w:rPr>
        <w:t>mil.MDL</w:t>
      </w:r>
      <w:proofErr w:type="spellEnd"/>
      <w:r w:rsidR="00BF4D4A">
        <w:rPr>
          <w:rFonts w:asciiTheme="majorHAnsi" w:hAnsiTheme="majorHAnsi" w:cstheme="majorHAnsi"/>
          <w:sz w:val="24"/>
          <w:szCs w:val="24"/>
          <w:shd w:val="clear" w:color="auto" w:fill="FFFFFF"/>
          <w:lang w:val="ro-RO"/>
        </w:rPr>
        <w:t>.</w:t>
      </w:r>
      <w:r w:rsidR="00403604">
        <w:rPr>
          <w:rFonts w:asciiTheme="majorHAnsi" w:hAnsiTheme="majorHAnsi" w:cstheme="majorHAnsi"/>
          <w:sz w:val="24"/>
          <w:szCs w:val="24"/>
          <w:shd w:val="clear" w:color="auto" w:fill="FFFFFF"/>
          <w:lang w:val="ro-RO"/>
        </w:rPr>
        <w:t xml:space="preserve"> </w:t>
      </w:r>
      <w:r w:rsidR="00C25870" w:rsidRPr="00802EDF">
        <w:rPr>
          <w:rFonts w:asciiTheme="majorHAnsi" w:hAnsiTheme="majorHAnsi" w:cstheme="majorHAnsi"/>
          <w:i/>
          <w:sz w:val="24"/>
          <w:szCs w:val="24"/>
          <w:lang w:val="ro-RO"/>
        </w:rPr>
        <w:t>Informația privind</w:t>
      </w:r>
      <w:r w:rsidR="00C25870">
        <w:rPr>
          <w:rFonts w:asciiTheme="majorHAnsi" w:hAnsiTheme="majorHAnsi" w:cstheme="majorHAnsi"/>
          <w:i/>
          <w:sz w:val="24"/>
          <w:szCs w:val="24"/>
          <w:lang w:val="ro-RO"/>
        </w:rPr>
        <w:t xml:space="preserve"> VMS comercializate și răscumpărate în anul 2018</w:t>
      </w:r>
      <w:r w:rsidR="00C25870" w:rsidRPr="00802EDF">
        <w:rPr>
          <w:rFonts w:asciiTheme="majorHAnsi" w:hAnsiTheme="majorHAnsi" w:cstheme="majorHAnsi"/>
          <w:i/>
          <w:sz w:val="24"/>
          <w:szCs w:val="24"/>
          <w:lang w:val="ro-RO"/>
        </w:rPr>
        <w:t xml:space="preserve"> este prezentată în Tabelul nr.</w:t>
      </w:r>
      <w:r w:rsidR="00F86CB0">
        <w:rPr>
          <w:rFonts w:asciiTheme="majorHAnsi" w:hAnsiTheme="majorHAnsi" w:cstheme="majorHAnsi"/>
          <w:i/>
          <w:sz w:val="24"/>
          <w:szCs w:val="24"/>
          <w:lang w:val="ro-RO"/>
        </w:rPr>
        <w:t>6</w:t>
      </w:r>
    </w:p>
    <w:p w14:paraId="7F8C339D" w14:textId="77777777" w:rsidR="00C25870" w:rsidRPr="002047F4" w:rsidRDefault="00C25870" w:rsidP="00C25870">
      <w:pPr>
        <w:pStyle w:val="a6"/>
        <w:spacing w:line="276" w:lineRule="auto"/>
        <w:ind w:firstLine="720"/>
        <w:jc w:val="right"/>
        <w:rPr>
          <w:rFonts w:asciiTheme="majorHAnsi" w:hAnsiTheme="majorHAnsi" w:cstheme="majorHAnsi"/>
          <w:b/>
          <w:sz w:val="24"/>
          <w:szCs w:val="24"/>
          <w:lang w:val="ro-RO"/>
        </w:rPr>
      </w:pPr>
      <w:r w:rsidRPr="002047F4">
        <w:rPr>
          <w:rFonts w:asciiTheme="majorHAnsi" w:hAnsiTheme="majorHAnsi" w:cstheme="majorHAnsi"/>
          <w:b/>
          <w:sz w:val="24"/>
          <w:szCs w:val="24"/>
          <w:lang w:val="ro-RO"/>
        </w:rPr>
        <w:t>Tabelul nr.</w:t>
      </w:r>
      <w:r w:rsidR="00F86CB0">
        <w:rPr>
          <w:rFonts w:asciiTheme="majorHAnsi" w:hAnsiTheme="majorHAnsi" w:cstheme="majorHAnsi"/>
          <w:b/>
          <w:sz w:val="24"/>
          <w:szCs w:val="24"/>
          <w:lang w:val="ro-RO"/>
        </w:rPr>
        <w:t>6</w:t>
      </w:r>
    </w:p>
    <w:p w14:paraId="40A4F789" w14:textId="77777777" w:rsidR="00C25870" w:rsidRDefault="00C25870" w:rsidP="00C25870">
      <w:pPr>
        <w:pStyle w:val="a6"/>
        <w:spacing w:line="276" w:lineRule="auto"/>
        <w:jc w:val="center"/>
        <w:rPr>
          <w:rFonts w:asciiTheme="majorHAnsi" w:hAnsiTheme="majorHAnsi" w:cstheme="majorHAnsi"/>
          <w:b/>
          <w:sz w:val="24"/>
          <w:szCs w:val="24"/>
          <w:lang w:val="ro-RO"/>
        </w:rPr>
      </w:pPr>
      <w:r>
        <w:rPr>
          <w:rFonts w:asciiTheme="majorHAnsi" w:hAnsiTheme="majorHAnsi" w:cstheme="majorHAnsi"/>
          <w:b/>
          <w:sz w:val="24"/>
          <w:szCs w:val="24"/>
          <w:lang w:val="ro-RO"/>
        </w:rPr>
        <w:t xml:space="preserve">VMS comercializate și răscumpărate </w:t>
      </w:r>
      <w:r w:rsidRPr="002047F4">
        <w:rPr>
          <w:rFonts w:asciiTheme="majorHAnsi" w:hAnsiTheme="majorHAnsi" w:cstheme="majorHAnsi"/>
          <w:b/>
          <w:sz w:val="24"/>
          <w:szCs w:val="24"/>
          <w:lang w:val="ro-RO"/>
        </w:rPr>
        <w:t xml:space="preserve">în </w:t>
      </w:r>
      <w:r>
        <w:rPr>
          <w:rFonts w:asciiTheme="majorHAnsi" w:hAnsiTheme="majorHAnsi" w:cstheme="majorHAnsi"/>
          <w:b/>
          <w:sz w:val="24"/>
          <w:szCs w:val="24"/>
          <w:lang w:val="ro-RO"/>
        </w:rPr>
        <w:t xml:space="preserve">anul </w:t>
      </w:r>
      <w:r w:rsidRPr="002047F4">
        <w:rPr>
          <w:rFonts w:asciiTheme="majorHAnsi" w:hAnsiTheme="majorHAnsi" w:cstheme="majorHAnsi"/>
          <w:b/>
          <w:sz w:val="24"/>
          <w:szCs w:val="24"/>
          <w:lang w:val="ro-RO"/>
        </w:rPr>
        <w:t xml:space="preserve">2018                 </w:t>
      </w:r>
      <w:r>
        <w:rPr>
          <w:rFonts w:asciiTheme="majorHAnsi" w:hAnsiTheme="majorHAnsi" w:cstheme="majorHAnsi"/>
          <w:b/>
          <w:sz w:val="24"/>
          <w:szCs w:val="24"/>
          <w:lang w:val="ro-RO"/>
        </w:rPr>
        <w:t xml:space="preserve">                           </w:t>
      </w:r>
    </w:p>
    <w:p w14:paraId="13B91305" w14:textId="77777777" w:rsidR="00C25870" w:rsidRPr="0088207E" w:rsidRDefault="00C25870" w:rsidP="00C25870">
      <w:pPr>
        <w:pStyle w:val="a6"/>
        <w:spacing w:line="276" w:lineRule="auto"/>
        <w:jc w:val="right"/>
        <w:rPr>
          <w:rFonts w:asciiTheme="majorHAnsi" w:hAnsiTheme="majorHAnsi" w:cstheme="majorHAnsi"/>
          <w:b/>
          <w:sz w:val="24"/>
          <w:szCs w:val="24"/>
          <w:highlight w:val="yellow"/>
          <w:lang w:val="ro-RO"/>
        </w:rPr>
      </w:pPr>
      <w:r>
        <w:rPr>
          <w:rFonts w:asciiTheme="majorHAnsi" w:hAnsiTheme="majorHAnsi" w:cstheme="majorHAnsi"/>
          <w:b/>
          <w:sz w:val="24"/>
          <w:szCs w:val="24"/>
          <w:lang w:val="ro-RO"/>
        </w:rPr>
        <w:t xml:space="preserve">                                                             </w:t>
      </w:r>
      <w:proofErr w:type="spellStart"/>
      <w:r w:rsidRPr="002047F4">
        <w:rPr>
          <w:rFonts w:asciiTheme="majorHAnsi" w:hAnsiTheme="majorHAnsi" w:cstheme="majorHAnsi"/>
          <w:b/>
          <w:sz w:val="24"/>
          <w:szCs w:val="24"/>
          <w:lang w:val="ro-RO"/>
        </w:rPr>
        <w:t>mil.MDL</w:t>
      </w:r>
      <w:proofErr w:type="spellEnd"/>
    </w:p>
    <w:tbl>
      <w:tblPr>
        <w:tblStyle w:val="af9"/>
        <w:tblW w:w="9351" w:type="dxa"/>
        <w:tblLook w:val="04A0" w:firstRow="1" w:lastRow="0" w:firstColumn="1" w:lastColumn="0" w:noHBand="0" w:noVBand="1"/>
      </w:tblPr>
      <w:tblGrid>
        <w:gridCol w:w="7792"/>
        <w:gridCol w:w="1559"/>
      </w:tblGrid>
      <w:tr w:rsidR="00C25870" w:rsidRPr="0088207E" w14:paraId="159090B2" w14:textId="77777777" w:rsidTr="00F25357">
        <w:tc>
          <w:tcPr>
            <w:tcW w:w="7792" w:type="dxa"/>
            <w:shd w:val="clear" w:color="auto" w:fill="F2F2F2" w:themeFill="background1" w:themeFillShade="F2"/>
          </w:tcPr>
          <w:p w14:paraId="3E1B6EE6" w14:textId="4F45CAD0" w:rsidR="00C25870" w:rsidRPr="008E6807" w:rsidRDefault="00C25870" w:rsidP="00CC29E3">
            <w:pPr>
              <w:rPr>
                <w:rFonts w:asciiTheme="majorHAnsi" w:hAnsiTheme="majorHAnsi"/>
                <w:b/>
                <w:sz w:val="22"/>
                <w:lang w:val="ro-RO"/>
              </w:rPr>
            </w:pPr>
            <w:r w:rsidRPr="008E6807">
              <w:rPr>
                <w:rFonts w:asciiTheme="majorHAnsi" w:hAnsiTheme="majorHAnsi"/>
                <w:b/>
                <w:lang w:val="ro-RO"/>
              </w:rPr>
              <w:t xml:space="preserve">VMS </w:t>
            </w:r>
          </w:p>
        </w:tc>
        <w:tc>
          <w:tcPr>
            <w:tcW w:w="1559" w:type="dxa"/>
            <w:shd w:val="clear" w:color="auto" w:fill="F2F2F2" w:themeFill="background1" w:themeFillShade="F2"/>
          </w:tcPr>
          <w:p w14:paraId="3D7A3D5B" w14:textId="77777777" w:rsidR="00C25870" w:rsidRPr="008E6807" w:rsidRDefault="00C25870" w:rsidP="00F25357">
            <w:pPr>
              <w:rPr>
                <w:rFonts w:asciiTheme="majorHAnsi" w:hAnsiTheme="majorHAnsi"/>
                <w:b/>
                <w:sz w:val="22"/>
                <w:lang w:val="ro-RO"/>
              </w:rPr>
            </w:pPr>
            <w:r w:rsidRPr="008E6807">
              <w:rPr>
                <w:rFonts w:asciiTheme="majorHAnsi" w:hAnsiTheme="majorHAnsi"/>
                <w:b/>
                <w:lang w:val="ro-RO"/>
              </w:rPr>
              <w:t>Suma</w:t>
            </w:r>
          </w:p>
        </w:tc>
      </w:tr>
      <w:tr w:rsidR="00C25870" w:rsidRPr="0088207E" w14:paraId="22D17FB6" w14:textId="77777777" w:rsidTr="00F25357">
        <w:tc>
          <w:tcPr>
            <w:tcW w:w="7792" w:type="dxa"/>
          </w:tcPr>
          <w:p w14:paraId="660BBED3" w14:textId="77777777" w:rsidR="00C25870" w:rsidRPr="008E6807" w:rsidRDefault="00C25870" w:rsidP="00F25357">
            <w:pPr>
              <w:rPr>
                <w:rFonts w:asciiTheme="majorHAnsi" w:hAnsiTheme="majorHAnsi"/>
                <w:b/>
                <w:sz w:val="22"/>
                <w:lang w:val="ro-RO"/>
              </w:rPr>
            </w:pPr>
            <w:r w:rsidRPr="008E6807">
              <w:rPr>
                <w:rFonts w:asciiTheme="majorHAnsi" w:hAnsiTheme="majorHAnsi"/>
                <w:b/>
                <w:lang w:val="ro-RO"/>
              </w:rPr>
              <w:t>Emisiunea netă a VMS emise pe piața primară</w:t>
            </w:r>
          </w:p>
        </w:tc>
        <w:tc>
          <w:tcPr>
            <w:tcW w:w="1559" w:type="dxa"/>
          </w:tcPr>
          <w:p w14:paraId="6BA48D66" w14:textId="77777777" w:rsidR="00C25870" w:rsidRPr="008E6807" w:rsidRDefault="00C25870" w:rsidP="00F25357">
            <w:pPr>
              <w:rPr>
                <w:rFonts w:asciiTheme="majorHAnsi" w:hAnsiTheme="majorHAnsi"/>
                <w:b/>
                <w:sz w:val="22"/>
                <w:lang w:val="ro-RO"/>
              </w:rPr>
            </w:pPr>
            <w:r w:rsidRPr="008E6807">
              <w:rPr>
                <w:rFonts w:asciiTheme="majorHAnsi" w:hAnsiTheme="majorHAnsi"/>
                <w:b/>
                <w:lang w:val="ro-RO"/>
              </w:rPr>
              <w:t>+690,0</w:t>
            </w:r>
          </w:p>
        </w:tc>
      </w:tr>
      <w:tr w:rsidR="00C25870" w:rsidRPr="0088207E" w14:paraId="249219E3" w14:textId="77777777" w:rsidTr="00F25357">
        <w:tc>
          <w:tcPr>
            <w:tcW w:w="7792" w:type="dxa"/>
          </w:tcPr>
          <w:p w14:paraId="5A1D341F" w14:textId="77777777" w:rsidR="00C25870" w:rsidRPr="008E6807" w:rsidRDefault="00C25870" w:rsidP="00F25357">
            <w:pPr>
              <w:rPr>
                <w:rFonts w:asciiTheme="majorHAnsi" w:hAnsiTheme="majorHAnsi"/>
                <w:sz w:val="22"/>
                <w:lang w:val="ro-RO"/>
              </w:rPr>
            </w:pPr>
            <w:r w:rsidRPr="008E6807">
              <w:rPr>
                <w:rFonts w:asciiTheme="majorHAnsi" w:hAnsiTheme="majorHAnsi"/>
                <w:lang w:val="ro-RO"/>
              </w:rPr>
              <w:t>Comercializate</w:t>
            </w:r>
          </w:p>
        </w:tc>
        <w:tc>
          <w:tcPr>
            <w:tcW w:w="1559" w:type="dxa"/>
          </w:tcPr>
          <w:p w14:paraId="2D655C49" w14:textId="77777777" w:rsidR="00C25870" w:rsidRPr="008E6807" w:rsidRDefault="00C25870" w:rsidP="00F25357">
            <w:pPr>
              <w:rPr>
                <w:rFonts w:asciiTheme="majorHAnsi" w:hAnsiTheme="majorHAnsi"/>
                <w:sz w:val="22"/>
                <w:lang w:val="ro-RO"/>
              </w:rPr>
            </w:pPr>
            <w:r w:rsidRPr="008E6807">
              <w:rPr>
                <w:rFonts w:asciiTheme="majorHAnsi" w:hAnsiTheme="majorHAnsi"/>
                <w:lang w:val="ro-RO"/>
              </w:rPr>
              <w:t>+9779,4</w:t>
            </w:r>
          </w:p>
        </w:tc>
      </w:tr>
      <w:tr w:rsidR="00C25870" w:rsidRPr="0088207E" w14:paraId="000D1E5A" w14:textId="77777777" w:rsidTr="00F25357">
        <w:tc>
          <w:tcPr>
            <w:tcW w:w="7792" w:type="dxa"/>
          </w:tcPr>
          <w:p w14:paraId="13F7EA3E" w14:textId="77777777" w:rsidR="00C25870" w:rsidRPr="008E6807" w:rsidRDefault="00C25870" w:rsidP="00F25357">
            <w:pPr>
              <w:rPr>
                <w:rFonts w:asciiTheme="majorHAnsi" w:hAnsiTheme="majorHAnsi"/>
                <w:sz w:val="22"/>
                <w:lang w:val="ro-RO"/>
              </w:rPr>
            </w:pPr>
            <w:r w:rsidRPr="008E6807">
              <w:rPr>
                <w:rFonts w:asciiTheme="majorHAnsi" w:hAnsiTheme="majorHAnsi"/>
                <w:lang w:val="ro-RO"/>
              </w:rPr>
              <w:t>Răscumpărate</w:t>
            </w:r>
          </w:p>
        </w:tc>
        <w:tc>
          <w:tcPr>
            <w:tcW w:w="1559" w:type="dxa"/>
          </w:tcPr>
          <w:p w14:paraId="28E1F8A8" w14:textId="77777777" w:rsidR="00C25870" w:rsidRPr="008E6807" w:rsidRDefault="00C25870" w:rsidP="00F25357">
            <w:pPr>
              <w:rPr>
                <w:rFonts w:asciiTheme="majorHAnsi" w:hAnsiTheme="majorHAnsi"/>
                <w:sz w:val="22"/>
                <w:lang w:val="ro-RO"/>
              </w:rPr>
            </w:pPr>
            <w:r w:rsidRPr="008E6807">
              <w:rPr>
                <w:rFonts w:asciiTheme="majorHAnsi" w:hAnsiTheme="majorHAnsi"/>
                <w:lang w:val="ro-RO"/>
              </w:rPr>
              <w:t>-9089,4</w:t>
            </w:r>
          </w:p>
        </w:tc>
      </w:tr>
      <w:tr w:rsidR="00C25870" w:rsidRPr="0088207E" w14:paraId="6543EA31" w14:textId="77777777" w:rsidTr="00F25357">
        <w:tc>
          <w:tcPr>
            <w:tcW w:w="7792" w:type="dxa"/>
          </w:tcPr>
          <w:p w14:paraId="12520398" w14:textId="41A75637" w:rsidR="00C25870" w:rsidRPr="008E6807" w:rsidRDefault="00C25870" w:rsidP="00F25357">
            <w:pPr>
              <w:rPr>
                <w:rFonts w:asciiTheme="majorHAnsi" w:hAnsiTheme="majorHAnsi"/>
                <w:b/>
                <w:i/>
                <w:sz w:val="22"/>
                <w:lang w:val="ro-RO"/>
              </w:rPr>
            </w:pPr>
            <w:r w:rsidRPr="008E6807">
              <w:rPr>
                <w:rFonts w:asciiTheme="majorHAnsi" w:hAnsiTheme="majorHAnsi"/>
                <w:b/>
                <w:i/>
                <w:lang w:val="ro-RO"/>
              </w:rPr>
              <w:t xml:space="preserve">Inclusiv VMS emise </w:t>
            </w:r>
            <w:r w:rsidRPr="00F72BEF">
              <w:rPr>
                <w:rFonts w:asciiTheme="majorHAnsi" w:hAnsiTheme="majorHAnsi"/>
                <w:b/>
                <w:i/>
                <w:lang w:val="ro-RO"/>
              </w:rPr>
              <w:t xml:space="preserve">pentru </w:t>
            </w:r>
            <w:r w:rsidR="00ED707F" w:rsidRPr="00F72BEF">
              <w:rPr>
                <w:rFonts w:asciiTheme="majorHAnsi" w:hAnsiTheme="majorHAnsi" w:cstheme="majorHAnsi"/>
                <w:b/>
                <w:i/>
                <w:lang w:val="ro-RO"/>
              </w:rPr>
              <w:t xml:space="preserve">crearea </w:t>
            </w:r>
            <w:r w:rsidRPr="00F72BEF">
              <w:rPr>
                <w:rFonts w:asciiTheme="majorHAnsi" w:hAnsiTheme="majorHAnsi" w:cstheme="majorHAnsi"/>
                <w:b/>
                <w:i/>
                <w:lang w:val="ro-RO"/>
              </w:rPr>
              <w:t>rezerve</w:t>
            </w:r>
            <w:r w:rsidR="00ED707F" w:rsidRPr="00F72BEF">
              <w:rPr>
                <w:rFonts w:asciiTheme="majorHAnsi" w:hAnsiTheme="majorHAnsi" w:cstheme="majorHAnsi"/>
                <w:b/>
                <w:i/>
                <w:lang w:val="ro-RO"/>
              </w:rPr>
              <w:t>i</w:t>
            </w:r>
            <w:r w:rsidRPr="00F72BEF">
              <w:rPr>
                <w:rFonts w:asciiTheme="majorHAnsi" w:hAnsiTheme="majorHAnsi"/>
                <w:b/>
                <w:i/>
                <w:lang w:val="ro-RO"/>
              </w:rPr>
              <w:t xml:space="preserve"> de lichidități</w:t>
            </w:r>
          </w:p>
        </w:tc>
        <w:tc>
          <w:tcPr>
            <w:tcW w:w="1559" w:type="dxa"/>
          </w:tcPr>
          <w:p w14:paraId="6F6087BA" w14:textId="77777777" w:rsidR="00C25870" w:rsidRPr="008E6807" w:rsidRDefault="00C25870" w:rsidP="00F25357">
            <w:pPr>
              <w:rPr>
                <w:rFonts w:asciiTheme="majorHAnsi" w:hAnsiTheme="majorHAnsi"/>
                <w:b/>
                <w:sz w:val="22"/>
                <w:lang w:val="ro-RO"/>
              </w:rPr>
            </w:pPr>
            <w:r w:rsidRPr="008E6807">
              <w:rPr>
                <w:rFonts w:asciiTheme="majorHAnsi" w:hAnsiTheme="majorHAnsi"/>
                <w:b/>
                <w:lang w:val="ro-RO"/>
              </w:rPr>
              <w:t>+90,0</w:t>
            </w:r>
          </w:p>
        </w:tc>
      </w:tr>
      <w:tr w:rsidR="00C25870" w:rsidRPr="0088207E" w14:paraId="70894D5A" w14:textId="77777777" w:rsidTr="00F25357">
        <w:tc>
          <w:tcPr>
            <w:tcW w:w="7792" w:type="dxa"/>
          </w:tcPr>
          <w:p w14:paraId="797C38BB" w14:textId="77777777" w:rsidR="00C25870" w:rsidRPr="008E6807" w:rsidRDefault="00C25870" w:rsidP="00F25357">
            <w:pPr>
              <w:rPr>
                <w:rFonts w:asciiTheme="majorHAnsi" w:hAnsiTheme="majorHAnsi"/>
                <w:i/>
                <w:sz w:val="22"/>
                <w:lang w:val="ro-RO"/>
              </w:rPr>
            </w:pPr>
            <w:r w:rsidRPr="008E6807">
              <w:rPr>
                <w:rFonts w:asciiTheme="majorHAnsi" w:hAnsiTheme="majorHAnsi"/>
                <w:i/>
                <w:lang w:val="ro-RO"/>
              </w:rPr>
              <w:t>Comercializate</w:t>
            </w:r>
          </w:p>
        </w:tc>
        <w:tc>
          <w:tcPr>
            <w:tcW w:w="1559" w:type="dxa"/>
          </w:tcPr>
          <w:p w14:paraId="2D996375" w14:textId="77777777" w:rsidR="00C25870" w:rsidRPr="008E6807" w:rsidRDefault="00C25870" w:rsidP="00F25357">
            <w:pPr>
              <w:rPr>
                <w:rFonts w:asciiTheme="majorHAnsi" w:hAnsiTheme="majorHAnsi"/>
                <w:i/>
                <w:sz w:val="22"/>
                <w:lang w:val="ro-RO"/>
              </w:rPr>
            </w:pPr>
            <w:r w:rsidRPr="008E6807">
              <w:rPr>
                <w:rFonts w:asciiTheme="majorHAnsi" w:hAnsiTheme="majorHAnsi"/>
                <w:i/>
                <w:lang w:val="ro-RO"/>
              </w:rPr>
              <w:t>+253,5</w:t>
            </w:r>
          </w:p>
        </w:tc>
      </w:tr>
      <w:tr w:rsidR="00C25870" w:rsidRPr="0088207E" w14:paraId="0A84599F" w14:textId="77777777" w:rsidTr="00F25357">
        <w:tc>
          <w:tcPr>
            <w:tcW w:w="7792" w:type="dxa"/>
          </w:tcPr>
          <w:p w14:paraId="5E696B55" w14:textId="77777777" w:rsidR="00C25870" w:rsidRPr="008E6807" w:rsidRDefault="00C25870" w:rsidP="00F25357">
            <w:pPr>
              <w:rPr>
                <w:rFonts w:asciiTheme="majorHAnsi" w:hAnsiTheme="majorHAnsi"/>
                <w:i/>
                <w:sz w:val="22"/>
                <w:lang w:val="ro-RO"/>
              </w:rPr>
            </w:pPr>
            <w:r w:rsidRPr="008E6807">
              <w:rPr>
                <w:rFonts w:asciiTheme="majorHAnsi" w:hAnsiTheme="majorHAnsi"/>
                <w:i/>
                <w:lang w:val="ro-RO"/>
              </w:rPr>
              <w:t>Răscumpărate</w:t>
            </w:r>
          </w:p>
        </w:tc>
        <w:tc>
          <w:tcPr>
            <w:tcW w:w="1559" w:type="dxa"/>
          </w:tcPr>
          <w:p w14:paraId="0D477C9D" w14:textId="77777777" w:rsidR="00C25870" w:rsidRPr="008E6807" w:rsidRDefault="00C25870" w:rsidP="00F25357">
            <w:pPr>
              <w:rPr>
                <w:rFonts w:asciiTheme="majorHAnsi" w:hAnsiTheme="majorHAnsi"/>
                <w:i/>
                <w:sz w:val="22"/>
                <w:lang w:val="ro-RO"/>
              </w:rPr>
            </w:pPr>
            <w:r w:rsidRPr="008E6807">
              <w:rPr>
                <w:rFonts w:asciiTheme="majorHAnsi" w:hAnsiTheme="majorHAnsi"/>
                <w:i/>
                <w:lang w:val="ro-RO"/>
              </w:rPr>
              <w:t>-163,5</w:t>
            </w:r>
          </w:p>
        </w:tc>
      </w:tr>
      <w:tr w:rsidR="00C25870" w:rsidRPr="0088207E" w14:paraId="6CD5D7DD" w14:textId="77777777" w:rsidTr="00F25357">
        <w:tc>
          <w:tcPr>
            <w:tcW w:w="7792" w:type="dxa"/>
          </w:tcPr>
          <w:p w14:paraId="126EE049" w14:textId="77777777" w:rsidR="00C25870" w:rsidRPr="008E6807" w:rsidRDefault="00C25870" w:rsidP="00F25357">
            <w:pPr>
              <w:rPr>
                <w:rFonts w:asciiTheme="majorHAnsi" w:hAnsiTheme="majorHAnsi"/>
                <w:b/>
                <w:sz w:val="22"/>
                <w:lang w:val="ro-RO"/>
              </w:rPr>
            </w:pPr>
            <w:r w:rsidRPr="008E6807">
              <w:rPr>
                <w:rFonts w:asciiTheme="majorHAnsi" w:hAnsiTheme="majorHAnsi"/>
                <w:b/>
                <w:lang w:val="ro-RO"/>
              </w:rPr>
              <w:t>Emisiunea netă a VMS convertite</w:t>
            </w:r>
          </w:p>
        </w:tc>
        <w:tc>
          <w:tcPr>
            <w:tcW w:w="1559" w:type="dxa"/>
          </w:tcPr>
          <w:p w14:paraId="429F1AD9" w14:textId="77777777" w:rsidR="00C25870" w:rsidRPr="008E6807" w:rsidRDefault="00C25870" w:rsidP="00F25357">
            <w:pPr>
              <w:rPr>
                <w:rFonts w:asciiTheme="majorHAnsi" w:hAnsiTheme="majorHAnsi"/>
                <w:b/>
                <w:sz w:val="22"/>
                <w:lang w:val="ro-RO"/>
              </w:rPr>
            </w:pPr>
            <w:r w:rsidRPr="008E6807">
              <w:rPr>
                <w:rFonts w:asciiTheme="majorHAnsi" w:hAnsiTheme="majorHAnsi"/>
                <w:b/>
                <w:lang w:val="ro-RO"/>
              </w:rPr>
              <w:t>-0,02</w:t>
            </w:r>
          </w:p>
        </w:tc>
      </w:tr>
      <w:tr w:rsidR="00C25870" w:rsidRPr="0088207E" w14:paraId="4BC8822B" w14:textId="77777777" w:rsidTr="00F25357">
        <w:tc>
          <w:tcPr>
            <w:tcW w:w="7792" w:type="dxa"/>
          </w:tcPr>
          <w:p w14:paraId="62C71BBD" w14:textId="77777777" w:rsidR="00C25870" w:rsidRPr="008E6807" w:rsidRDefault="00C25870" w:rsidP="00F25357">
            <w:pPr>
              <w:rPr>
                <w:rFonts w:asciiTheme="majorHAnsi" w:hAnsiTheme="majorHAnsi"/>
                <w:sz w:val="22"/>
                <w:lang w:val="ro-RO"/>
              </w:rPr>
            </w:pPr>
            <w:r w:rsidRPr="008E6807">
              <w:rPr>
                <w:rFonts w:asciiTheme="majorHAnsi" w:hAnsiTheme="majorHAnsi"/>
                <w:lang w:val="ro-RO"/>
              </w:rPr>
              <w:t>Comercializate</w:t>
            </w:r>
          </w:p>
        </w:tc>
        <w:tc>
          <w:tcPr>
            <w:tcW w:w="1559" w:type="dxa"/>
          </w:tcPr>
          <w:p w14:paraId="0B801594" w14:textId="77777777" w:rsidR="00C25870" w:rsidRPr="008E6807" w:rsidRDefault="00C25870" w:rsidP="00F25357">
            <w:pPr>
              <w:rPr>
                <w:rFonts w:asciiTheme="majorHAnsi" w:hAnsiTheme="majorHAnsi"/>
                <w:sz w:val="22"/>
                <w:lang w:val="ro-RO"/>
              </w:rPr>
            </w:pPr>
            <w:r w:rsidRPr="008E6807">
              <w:rPr>
                <w:rFonts w:asciiTheme="majorHAnsi" w:hAnsiTheme="majorHAnsi"/>
                <w:lang w:val="ro-RO"/>
              </w:rPr>
              <w:t>+3143,1</w:t>
            </w:r>
          </w:p>
        </w:tc>
      </w:tr>
      <w:tr w:rsidR="00C25870" w:rsidRPr="0088207E" w14:paraId="34A5E69C" w14:textId="77777777" w:rsidTr="00F25357">
        <w:tc>
          <w:tcPr>
            <w:tcW w:w="7792" w:type="dxa"/>
          </w:tcPr>
          <w:p w14:paraId="66367653" w14:textId="77777777" w:rsidR="00C25870" w:rsidRPr="008E6807" w:rsidRDefault="00C25870" w:rsidP="00F25357">
            <w:pPr>
              <w:rPr>
                <w:rFonts w:asciiTheme="majorHAnsi" w:hAnsiTheme="majorHAnsi"/>
                <w:sz w:val="22"/>
                <w:lang w:val="ro-RO"/>
              </w:rPr>
            </w:pPr>
            <w:r w:rsidRPr="008E6807">
              <w:rPr>
                <w:rFonts w:asciiTheme="majorHAnsi" w:hAnsiTheme="majorHAnsi"/>
                <w:lang w:val="ro-RO"/>
              </w:rPr>
              <w:t>Răscumpărate</w:t>
            </w:r>
          </w:p>
        </w:tc>
        <w:tc>
          <w:tcPr>
            <w:tcW w:w="1559" w:type="dxa"/>
          </w:tcPr>
          <w:p w14:paraId="52662BA9" w14:textId="77777777" w:rsidR="00C25870" w:rsidRPr="008E6807" w:rsidRDefault="00C25870" w:rsidP="00F25357">
            <w:pPr>
              <w:rPr>
                <w:rFonts w:asciiTheme="majorHAnsi" w:hAnsiTheme="majorHAnsi"/>
                <w:sz w:val="22"/>
                <w:lang w:val="ro-RO"/>
              </w:rPr>
            </w:pPr>
            <w:r w:rsidRPr="008E6807">
              <w:rPr>
                <w:rFonts w:asciiTheme="majorHAnsi" w:hAnsiTheme="majorHAnsi"/>
                <w:lang w:val="ro-RO"/>
              </w:rPr>
              <w:t>-3143,1</w:t>
            </w:r>
          </w:p>
        </w:tc>
      </w:tr>
      <w:tr w:rsidR="00C25870" w:rsidRPr="0088207E" w14:paraId="135B6026" w14:textId="77777777" w:rsidTr="00F25357">
        <w:tc>
          <w:tcPr>
            <w:tcW w:w="7792" w:type="dxa"/>
          </w:tcPr>
          <w:p w14:paraId="5B8CBDF2" w14:textId="77777777" w:rsidR="00C25870" w:rsidRPr="008E6807" w:rsidRDefault="00C25870" w:rsidP="00F25357">
            <w:pPr>
              <w:rPr>
                <w:rFonts w:asciiTheme="majorHAnsi" w:hAnsiTheme="majorHAnsi"/>
                <w:b/>
                <w:sz w:val="22"/>
                <w:lang w:val="ro-RO"/>
              </w:rPr>
            </w:pPr>
            <w:r w:rsidRPr="008E6807">
              <w:rPr>
                <w:rFonts w:asciiTheme="majorHAnsi" w:hAnsiTheme="majorHAnsi"/>
                <w:b/>
                <w:lang w:val="ro-RO"/>
              </w:rPr>
              <w:t>Emisiunea netă a VMS emise pentru executarea obligațiilor de plată derivate din garanțiile de stat</w:t>
            </w:r>
          </w:p>
        </w:tc>
        <w:tc>
          <w:tcPr>
            <w:tcW w:w="1559" w:type="dxa"/>
          </w:tcPr>
          <w:p w14:paraId="415FCD7F" w14:textId="77777777" w:rsidR="00C25870" w:rsidRPr="008E6807" w:rsidRDefault="00C25870" w:rsidP="00F25357">
            <w:pPr>
              <w:rPr>
                <w:rFonts w:asciiTheme="majorHAnsi" w:hAnsiTheme="majorHAnsi"/>
                <w:b/>
                <w:sz w:val="22"/>
                <w:lang w:val="ro-RO"/>
              </w:rPr>
            </w:pPr>
            <w:r w:rsidRPr="008E6807">
              <w:rPr>
                <w:rFonts w:asciiTheme="majorHAnsi" w:hAnsiTheme="majorHAnsi"/>
                <w:b/>
                <w:lang w:val="ro-RO"/>
              </w:rPr>
              <w:t>-210,0</w:t>
            </w:r>
          </w:p>
        </w:tc>
      </w:tr>
      <w:tr w:rsidR="00C25870" w:rsidRPr="0088207E" w14:paraId="2DA8F07A" w14:textId="77777777" w:rsidTr="00F25357">
        <w:tc>
          <w:tcPr>
            <w:tcW w:w="7792" w:type="dxa"/>
          </w:tcPr>
          <w:p w14:paraId="33845192" w14:textId="77777777" w:rsidR="00C25870" w:rsidRPr="008E6807" w:rsidRDefault="00C25870" w:rsidP="00F25357">
            <w:pPr>
              <w:rPr>
                <w:rFonts w:asciiTheme="majorHAnsi" w:hAnsiTheme="majorHAnsi"/>
                <w:sz w:val="22"/>
                <w:lang w:val="ro-RO"/>
              </w:rPr>
            </w:pPr>
            <w:r w:rsidRPr="008E6807">
              <w:rPr>
                <w:rFonts w:asciiTheme="majorHAnsi" w:hAnsiTheme="majorHAnsi"/>
                <w:lang w:val="ro-RO"/>
              </w:rPr>
              <w:t>Comercializate</w:t>
            </w:r>
          </w:p>
        </w:tc>
        <w:tc>
          <w:tcPr>
            <w:tcW w:w="1559" w:type="dxa"/>
          </w:tcPr>
          <w:p w14:paraId="763A179E" w14:textId="77777777" w:rsidR="00C25870" w:rsidRPr="008E6807" w:rsidRDefault="00C25870" w:rsidP="00F25357">
            <w:pPr>
              <w:rPr>
                <w:rFonts w:asciiTheme="majorHAnsi" w:hAnsiTheme="majorHAnsi"/>
                <w:sz w:val="22"/>
                <w:lang w:val="ro-RO"/>
              </w:rPr>
            </w:pPr>
            <w:r w:rsidRPr="008E6807">
              <w:rPr>
                <w:rFonts w:asciiTheme="majorHAnsi" w:hAnsiTheme="majorHAnsi"/>
                <w:lang w:val="ro-RO"/>
              </w:rPr>
              <w:t>0</w:t>
            </w:r>
          </w:p>
        </w:tc>
      </w:tr>
      <w:tr w:rsidR="00C25870" w:rsidRPr="0088207E" w14:paraId="606A3F35" w14:textId="77777777" w:rsidTr="00F25357">
        <w:tc>
          <w:tcPr>
            <w:tcW w:w="7792" w:type="dxa"/>
          </w:tcPr>
          <w:p w14:paraId="451E3756" w14:textId="77777777" w:rsidR="00C25870" w:rsidRPr="00683E21" w:rsidRDefault="00C25870" w:rsidP="00F25357">
            <w:pPr>
              <w:rPr>
                <w:rFonts w:asciiTheme="majorHAnsi" w:hAnsiTheme="majorHAnsi" w:cstheme="majorHAnsi"/>
                <w:sz w:val="22"/>
                <w:szCs w:val="22"/>
                <w:lang w:val="ro-MD"/>
              </w:rPr>
            </w:pPr>
            <w:r w:rsidRPr="00683E21">
              <w:rPr>
                <w:rFonts w:asciiTheme="majorHAnsi" w:hAnsiTheme="majorHAnsi" w:cstheme="majorHAnsi"/>
                <w:lang w:val="ro-MD"/>
              </w:rPr>
              <w:t>Răscumpărate</w:t>
            </w:r>
          </w:p>
        </w:tc>
        <w:tc>
          <w:tcPr>
            <w:tcW w:w="1559" w:type="dxa"/>
          </w:tcPr>
          <w:p w14:paraId="333DAEDE" w14:textId="77777777" w:rsidR="00C25870" w:rsidRPr="00683E21" w:rsidRDefault="00C25870" w:rsidP="00F25357">
            <w:pPr>
              <w:rPr>
                <w:rFonts w:asciiTheme="majorHAnsi" w:hAnsiTheme="majorHAnsi" w:cstheme="majorHAnsi"/>
                <w:sz w:val="22"/>
                <w:szCs w:val="22"/>
                <w:lang w:val="ro-MD"/>
              </w:rPr>
            </w:pPr>
            <w:r w:rsidRPr="00683E21">
              <w:rPr>
                <w:rFonts w:asciiTheme="majorHAnsi" w:hAnsiTheme="majorHAnsi" w:cstheme="majorHAnsi"/>
                <w:lang w:val="ro-MD"/>
              </w:rPr>
              <w:t>-210,0</w:t>
            </w:r>
          </w:p>
        </w:tc>
      </w:tr>
      <w:tr w:rsidR="00C25870" w:rsidRPr="0088207E" w14:paraId="20A09075" w14:textId="77777777" w:rsidTr="00F25357">
        <w:tc>
          <w:tcPr>
            <w:tcW w:w="7792" w:type="dxa"/>
            <w:shd w:val="clear" w:color="auto" w:fill="F2F2F2" w:themeFill="background1" w:themeFillShade="F2"/>
          </w:tcPr>
          <w:p w14:paraId="6707B5CF" w14:textId="77777777" w:rsidR="00C25870" w:rsidRPr="00683E21" w:rsidRDefault="00C25870" w:rsidP="00F25357">
            <w:pPr>
              <w:rPr>
                <w:rFonts w:asciiTheme="majorHAnsi" w:hAnsiTheme="majorHAnsi" w:cstheme="majorHAnsi"/>
                <w:b/>
                <w:sz w:val="22"/>
                <w:szCs w:val="22"/>
                <w:lang w:val="ro-MD"/>
              </w:rPr>
            </w:pPr>
            <w:r w:rsidRPr="00683E21">
              <w:rPr>
                <w:rFonts w:asciiTheme="majorHAnsi" w:hAnsiTheme="majorHAnsi" w:cstheme="majorHAnsi"/>
                <w:b/>
                <w:lang w:val="ro-MD"/>
              </w:rPr>
              <w:t>Total emisiunea netă a VMS</w:t>
            </w:r>
          </w:p>
        </w:tc>
        <w:tc>
          <w:tcPr>
            <w:tcW w:w="1559" w:type="dxa"/>
            <w:shd w:val="clear" w:color="auto" w:fill="F2F2F2" w:themeFill="background1" w:themeFillShade="F2"/>
          </w:tcPr>
          <w:p w14:paraId="2DD6B312" w14:textId="77777777" w:rsidR="00C25870" w:rsidRPr="00683E21" w:rsidRDefault="00C25870" w:rsidP="00F25357">
            <w:pPr>
              <w:rPr>
                <w:rFonts w:asciiTheme="majorHAnsi" w:hAnsiTheme="majorHAnsi" w:cstheme="majorHAnsi"/>
                <w:b/>
                <w:sz w:val="22"/>
                <w:szCs w:val="22"/>
                <w:lang w:val="ro-MD"/>
              </w:rPr>
            </w:pPr>
            <w:r w:rsidRPr="00683E21">
              <w:rPr>
                <w:rFonts w:asciiTheme="majorHAnsi" w:hAnsiTheme="majorHAnsi" w:cstheme="majorHAnsi"/>
                <w:b/>
                <w:lang w:val="ro-MD"/>
              </w:rPr>
              <w:t>+480,0</w:t>
            </w:r>
          </w:p>
        </w:tc>
      </w:tr>
      <w:tr w:rsidR="00C25870" w:rsidRPr="0088207E" w14:paraId="70C6AC96" w14:textId="77777777" w:rsidTr="00F25357">
        <w:tc>
          <w:tcPr>
            <w:tcW w:w="7792" w:type="dxa"/>
            <w:shd w:val="clear" w:color="auto" w:fill="F2F2F2" w:themeFill="background1" w:themeFillShade="F2"/>
          </w:tcPr>
          <w:p w14:paraId="4AD2A6F4" w14:textId="77777777" w:rsidR="00C25870" w:rsidRPr="00683E21" w:rsidRDefault="00C25870" w:rsidP="00F25357">
            <w:pPr>
              <w:rPr>
                <w:rFonts w:asciiTheme="majorHAnsi" w:hAnsiTheme="majorHAnsi" w:cstheme="majorHAnsi"/>
                <w:b/>
                <w:sz w:val="22"/>
                <w:szCs w:val="22"/>
                <w:lang w:val="ro-MD"/>
              </w:rPr>
            </w:pPr>
            <w:r w:rsidRPr="00683E21">
              <w:rPr>
                <w:rFonts w:asciiTheme="majorHAnsi" w:hAnsiTheme="majorHAnsi" w:cstheme="majorHAnsi"/>
                <w:b/>
                <w:lang w:val="ro-MD"/>
              </w:rPr>
              <w:t>Comercializate</w:t>
            </w:r>
          </w:p>
        </w:tc>
        <w:tc>
          <w:tcPr>
            <w:tcW w:w="1559" w:type="dxa"/>
            <w:shd w:val="clear" w:color="auto" w:fill="F2F2F2" w:themeFill="background1" w:themeFillShade="F2"/>
          </w:tcPr>
          <w:p w14:paraId="0E5BBF4D" w14:textId="77777777" w:rsidR="00C25870" w:rsidRPr="00683E21" w:rsidRDefault="00C25870" w:rsidP="00F25357">
            <w:pPr>
              <w:rPr>
                <w:rFonts w:asciiTheme="majorHAnsi" w:hAnsiTheme="majorHAnsi" w:cstheme="majorHAnsi"/>
                <w:b/>
                <w:sz w:val="22"/>
                <w:szCs w:val="22"/>
                <w:lang w:val="ro-MD"/>
              </w:rPr>
            </w:pPr>
            <w:r w:rsidRPr="00683E21">
              <w:rPr>
                <w:rFonts w:asciiTheme="majorHAnsi" w:hAnsiTheme="majorHAnsi" w:cstheme="majorHAnsi"/>
                <w:b/>
                <w:lang w:val="ro-MD"/>
              </w:rPr>
              <w:t>12922,5</w:t>
            </w:r>
          </w:p>
        </w:tc>
      </w:tr>
      <w:tr w:rsidR="00C25870" w:rsidRPr="0088207E" w14:paraId="707BF6B1" w14:textId="77777777" w:rsidTr="00F25357">
        <w:tc>
          <w:tcPr>
            <w:tcW w:w="7792" w:type="dxa"/>
            <w:shd w:val="clear" w:color="auto" w:fill="F2F2F2" w:themeFill="background1" w:themeFillShade="F2"/>
          </w:tcPr>
          <w:p w14:paraId="10D7D880" w14:textId="77777777" w:rsidR="00C25870" w:rsidRPr="00683E21" w:rsidRDefault="00C25870" w:rsidP="00F25357">
            <w:pPr>
              <w:rPr>
                <w:rFonts w:asciiTheme="majorHAnsi" w:hAnsiTheme="majorHAnsi" w:cstheme="majorHAnsi"/>
                <w:b/>
                <w:sz w:val="22"/>
                <w:szCs w:val="22"/>
                <w:lang w:val="ro-MD"/>
              </w:rPr>
            </w:pPr>
            <w:r w:rsidRPr="00683E21">
              <w:rPr>
                <w:rFonts w:asciiTheme="majorHAnsi" w:hAnsiTheme="majorHAnsi" w:cstheme="majorHAnsi"/>
                <w:b/>
                <w:lang w:val="ro-MD"/>
              </w:rPr>
              <w:t>Răscumpărate</w:t>
            </w:r>
          </w:p>
        </w:tc>
        <w:tc>
          <w:tcPr>
            <w:tcW w:w="1559" w:type="dxa"/>
            <w:shd w:val="clear" w:color="auto" w:fill="F2F2F2" w:themeFill="background1" w:themeFillShade="F2"/>
          </w:tcPr>
          <w:p w14:paraId="43997074" w14:textId="77777777" w:rsidR="00C25870" w:rsidRPr="00683E21" w:rsidRDefault="00C25870" w:rsidP="00F25357">
            <w:pPr>
              <w:rPr>
                <w:rFonts w:asciiTheme="majorHAnsi" w:hAnsiTheme="majorHAnsi" w:cstheme="majorHAnsi"/>
                <w:b/>
                <w:sz w:val="22"/>
                <w:szCs w:val="22"/>
                <w:lang w:val="ro-MD"/>
              </w:rPr>
            </w:pPr>
            <w:r w:rsidRPr="00683E21">
              <w:rPr>
                <w:rFonts w:asciiTheme="majorHAnsi" w:hAnsiTheme="majorHAnsi" w:cstheme="majorHAnsi"/>
                <w:b/>
                <w:lang w:val="ro-MD"/>
              </w:rPr>
              <w:t>-12442,5</w:t>
            </w:r>
          </w:p>
        </w:tc>
      </w:tr>
    </w:tbl>
    <w:p w14:paraId="5BF19FB4" w14:textId="79BE6FCA" w:rsidR="001767F1" w:rsidRPr="004570EB" w:rsidRDefault="00C25870" w:rsidP="004570EB">
      <w:pPr>
        <w:spacing w:after="0" w:line="240" w:lineRule="auto"/>
        <w:jc w:val="both"/>
        <w:rPr>
          <w:rFonts w:asciiTheme="majorHAnsi" w:hAnsiTheme="majorHAnsi" w:cstheme="majorHAnsi"/>
          <w:b/>
          <w:i/>
          <w:sz w:val="20"/>
          <w:szCs w:val="20"/>
          <w:lang w:val="ro-RO"/>
        </w:rPr>
      </w:pPr>
      <w:r w:rsidRPr="004570EB">
        <w:rPr>
          <w:rFonts w:asciiTheme="majorHAnsi" w:hAnsiTheme="majorHAnsi" w:cstheme="majorHAnsi"/>
          <w:b/>
          <w:i/>
          <w:sz w:val="20"/>
          <w:szCs w:val="20"/>
          <w:lang w:val="ro-RO"/>
        </w:rPr>
        <w:t>Sursă:</w:t>
      </w:r>
      <w:r w:rsidRPr="004570EB">
        <w:rPr>
          <w:rFonts w:asciiTheme="majorHAnsi" w:hAnsiTheme="majorHAnsi" w:cstheme="majorHAnsi"/>
          <w:sz w:val="20"/>
          <w:szCs w:val="20"/>
          <w:lang w:val="ro-RO"/>
        </w:rPr>
        <w:t xml:space="preserve">  </w:t>
      </w:r>
      <w:r w:rsidR="00A443B3" w:rsidRPr="004570EB">
        <w:rPr>
          <w:rFonts w:asciiTheme="majorHAnsi" w:hAnsiTheme="majorHAnsi" w:cstheme="majorHAnsi"/>
          <w:sz w:val="20"/>
          <w:szCs w:val="20"/>
          <w:lang w:val="ro-RO"/>
        </w:rPr>
        <w:t>I</w:t>
      </w:r>
      <w:r w:rsidRPr="004570EB">
        <w:rPr>
          <w:rFonts w:asciiTheme="majorHAnsi" w:hAnsiTheme="majorHAnsi" w:cstheme="majorHAnsi"/>
          <w:sz w:val="20"/>
          <w:szCs w:val="20"/>
          <w:lang w:val="ro-RO"/>
        </w:rPr>
        <w:t>nformați</w:t>
      </w:r>
      <w:r w:rsidR="00A443B3" w:rsidRPr="004570EB">
        <w:rPr>
          <w:rFonts w:asciiTheme="majorHAnsi" w:hAnsiTheme="majorHAnsi" w:cstheme="majorHAnsi"/>
          <w:sz w:val="20"/>
          <w:szCs w:val="20"/>
          <w:lang w:val="ro-RO"/>
        </w:rPr>
        <w:t>a</w:t>
      </w:r>
      <w:r w:rsidRPr="004570EB">
        <w:rPr>
          <w:rFonts w:asciiTheme="majorHAnsi" w:hAnsiTheme="majorHAnsi" w:cstheme="majorHAnsi"/>
          <w:sz w:val="20"/>
          <w:szCs w:val="20"/>
          <w:lang w:val="ro-RO"/>
        </w:rPr>
        <w:t xml:space="preserve"> privind deservirea datoriei de stat interne.</w:t>
      </w:r>
    </w:p>
    <w:p w14:paraId="7870AB45" w14:textId="7C9E2114" w:rsidR="00802EDF" w:rsidRPr="002047F4" w:rsidRDefault="00802EDF" w:rsidP="00802EDF">
      <w:pPr>
        <w:spacing w:after="0" w:line="276" w:lineRule="auto"/>
        <w:ind w:firstLine="720"/>
        <w:jc w:val="both"/>
        <w:rPr>
          <w:rFonts w:asciiTheme="majorHAnsi" w:hAnsiTheme="majorHAnsi" w:cstheme="majorHAnsi"/>
          <w:sz w:val="24"/>
          <w:szCs w:val="24"/>
          <w:shd w:val="clear" w:color="auto" w:fill="FFFFFF"/>
          <w:lang w:val="ro-RO"/>
        </w:rPr>
      </w:pPr>
      <w:r w:rsidRPr="002047F4">
        <w:rPr>
          <w:rFonts w:asciiTheme="majorHAnsi" w:hAnsiTheme="majorHAnsi" w:cstheme="majorHAnsi"/>
          <w:sz w:val="24"/>
          <w:szCs w:val="24"/>
          <w:shd w:val="clear" w:color="auto" w:fill="FFFFFF"/>
          <w:lang w:val="ro-RO"/>
        </w:rPr>
        <w:lastRenderedPageBreak/>
        <w:t xml:space="preserve">Cheltuielile pentru serviciul datoriei de stat interne în anul 2018 </w:t>
      </w:r>
      <w:r w:rsidRPr="009561CB">
        <w:rPr>
          <w:rFonts w:asciiTheme="majorHAnsi" w:hAnsiTheme="majorHAnsi" w:cstheme="majorHAnsi"/>
          <w:sz w:val="24"/>
          <w:szCs w:val="24"/>
          <w:shd w:val="clear" w:color="auto" w:fill="FFFFFF"/>
          <w:lang w:val="ro-RO"/>
        </w:rPr>
        <w:t>a</w:t>
      </w:r>
      <w:r w:rsidR="00825F1E">
        <w:rPr>
          <w:rFonts w:asciiTheme="majorHAnsi" w:hAnsiTheme="majorHAnsi" w:cstheme="majorHAnsi"/>
          <w:sz w:val="24"/>
          <w:szCs w:val="24"/>
          <w:shd w:val="clear" w:color="auto" w:fill="FFFFFF"/>
          <w:lang w:val="ro-RO"/>
        </w:rPr>
        <w:t>u</w:t>
      </w:r>
      <w:r w:rsidRPr="002047F4">
        <w:rPr>
          <w:rFonts w:asciiTheme="majorHAnsi" w:hAnsiTheme="majorHAnsi" w:cstheme="majorHAnsi"/>
          <w:sz w:val="24"/>
          <w:szCs w:val="24"/>
          <w:shd w:val="clear" w:color="auto" w:fill="FFFFFF"/>
          <w:lang w:val="ro-RO"/>
        </w:rPr>
        <w:t xml:space="preserve"> constituit 1125,3 </w:t>
      </w:r>
      <w:proofErr w:type="spellStart"/>
      <w:r w:rsidRPr="002047F4">
        <w:rPr>
          <w:rFonts w:asciiTheme="majorHAnsi" w:hAnsiTheme="majorHAnsi" w:cstheme="majorHAnsi"/>
          <w:sz w:val="24"/>
          <w:szCs w:val="24"/>
          <w:shd w:val="clear" w:color="auto" w:fill="FFFFFF"/>
          <w:lang w:val="ro-RO"/>
        </w:rPr>
        <w:t>mil.MDL</w:t>
      </w:r>
      <w:proofErr w:type="spellEnd"/>
      <w:r w:rsidRPr="002047F4">
        <w:rPr>
          <w:rFonts w:asciiTheme="majorHAnsi" w:hAnsiTheme="majorHAnsi" w:cstheme="majorHAnsi"/>
          <w:sz w:val="24"/>
          <w:szCs w:val="24"/>
          <w:shd w:val="clear" w:color="auto" w:fill="FFFFFF"/>
          <w:lang w:val="ro-RO"/>
        </w:rPr>
        <w:t xml:space="preserve">, înregistrând o scădere față de anul precedent cu 445,8 </w:t>
      </w:r>
      <w:proofErr w:type="spellStart"/>
      <w:r w:rsidRPr="002047F4">
        <w:rPr>
          <w:rFonts w:asciiTheme="majorHAnsi" w:hAnsiTheme="majorHAnsi" w:cstheme="majorHAnsi"/>
          <w:sz w:val="24"/>
          <w:szCs w:val="24"/>
          <w:shd w:val="clear" w:color="auto" w:fill="FFFFFF"/>
          <w:lang w:val="ro-RO"/>
        </w:rPr>
        <w:t>mil.MDL</w:t>
      </w:r>
      <w:proofErr w:type="spellEnd"/>
      <w:r w:rsidRPr="002047F4">
        <w:rPr>
          <w:rFonts w:asciiTheme="majorHAnsi" w:hAnsiTheme="majorHAnsi" w:cstheme="majorHAnsi"/>
          <w:sz w:val="24"/>
          <w:szCs w:val="24"/>
          <w:shd w:val="clear" w:color="auto" w:fill="FFFFFF"/>
          <w:lang w:val="ro-RO"/>
        </w:rPr>
        <w:t xml:space="preserve">.  </w:t>
      </w:r>
    </w:p>
    <w:p w14:paraId="15677047" w14:textId="447A1085" w:rsidR="00802EDF" w:rsidRPr="002047F4" w:rsidRDefault="00802EDF" w:rsidP="00802EDF">
      <w:pPr>
        <w:autoSpaceDE w:val="0"/>
        <w:autoSpaceDN w:val="0"/>
        <w:adjustRightInd w:val="0"/>
        <w:spacing w:after="0" w:line="276" w:lineRule="auto"/>
        <w:ind w:firstLine="720"/>
        <w:jc w:val="both"/>
        <w:rPr>
          <w:rFonts w:asciiTheme="majorHAnsi" w:hAnsiTheme="majorHAnsi" w:cstheme="majorHAnsi"/>
          <w:color w:val="000000"/>
          <w:sz w:val="24"/>
          <w:szCs w:val="24"/>
          <w:lang w:val="ro-RO"/>
        </w:rPr>
      </w:pPr>
      <w:r w:rsidRPr="002047F4">
        <w:rPr>
          <w:rFonts w:asciiTheme="majorHAnsi" w:hAnsiTheme="majorHAnsi" w:cstheme="majorHAnsi"/>
          <w:sz w:val="24"/>
          <w:szCs w:val="24"/>
          <w:lang w:val="ro-RO"/>
        </w:rPr>
        <w:t xml:space="preserve">Din totalul cheltuielilor pentru achitarea dobânzilor datoriei interne, pentru achitarea dobânzilor la VMS emise pe piața primară au fost utilizate </w:t>
      </w:r>
      <w:r w:rsidR="00DC36F3" w:rsidRPr="007018C9">
        <w:rPr>
          <w:rFonts w:asciiTheme="majorHAnsi" w:hAnsiTheme="majorHAnsi" w:cstheme="majorHAnsi"/>
          <w:sz w:val="24"/>
          <w:szCs w:val="24"/>
          <w:lang w:val="ro-RO"/>
        </w:rPr>
        <w:t>465,2</w:t>
      </w:r>
      <w:r w:rsidRPr="002047F4">
        <w:rPr>
          <w:rFonts w:asciiTheme="majorHAnsi" w:hAnsiTheme="majorHAnsi" w:cstheme="majorHAnsi"/>
          <w:sz w:val="24"/>
          <w:szCs w:val="24"/>
          <w:lang w:val="ro-RO"/>
        </w:rPr>
        <w:t xml:space="preserve"> </w:t>
      </w:r>
      <w:proofErr w:type="spellStart"/>
      <w:r w:rsidRPr="002047F4">
        <w:rPr>
          <w:rFonts w:asciiTheme="majorHAnsi" w:hAnsiTheme="majorHAnsi" w:cstheme="majorHAnsi"/>
          <w:sz w:val="24"/>
          <w:szCs w:val="24"/>
          <w:lang w:val="ro-RO"/>
        </w:rPr>
        <w:t>mil.MDL</w:t>
      </w:r>
      <w:proofErr w:type="spellEnd"/>
      <w:r w:rsidRPr="002047F4">
        <w:rPr>
          <w:rFonts w:asciiTheme="majorHAnsi" w:hAnsiTheme="majorHAnsi" w:cstheme="majorHAnsi"/>
          <w:sz w:val="24"/>
          <w:szCs w:val="24"/>
          <w:lang w:val="ro-RO"/>
        </w:rPr>
        <w:t xml:space="preserve">,  la VMS convertite – 42,6 </w:t>
      </w:r>
      <w:proofErr w:type="spellStart"/>
      <w:r w:rsidRPr="002047F4">
        <w:rPr>
          <w:rFonts w:asciiTheme="majorHAnsi" w:hAnsiTheme="majorHAnsi" w:cstheme="majorHAnsi"/>
          <w:sz w:val="24"/>
          <w:szCs w:val="24"/>
          <w:lang w:val="ro-RO"/>
        </w:rPr>
        <w:t>mil.MDL</w:t>
      </w:r>
      <w:proofErr w:type="spellEnd"/>
      <w:r w:rsidRPr="002047F4">
        <w:rPr>
          <w:rFonts w:asciiTheme="majorHAnsi" w:hAnsiTheme="majorHAnsi" w:cstheme="majorHAnsi"/>
          <w:sz w:val="24"/>
          <w:szCs w:val="24"/>
          <w:lang w:val="ro-RO"/>
        </w:rPr>
        <w:t xml:space="preserve">, la VMS emise pentru executarea obligațiunilor de plată derivate din garanțiile de stat – 617,5 </w:t>
      </w:r>
      <w:proofErr w:type="spellStart"/>
      <w:r w:rsidRPr="002047F4">
        <w:rPr>
          <w:rFonts w:asciiTheme="majorHAnsi" w:hAnsiTheme="majorHAnsi" w:cstheme="majorHAnsi"/>
          <w:sz w:val="24"/>
          <w:szCs w:val="24"/>
          <w:lang w:val="ro-RO"/>
        </w:rPr>
        <w:t>mil.MDL</w:t>
      </w:r>
      <w:proofErr w:type="spellEnd"/>
      <w:r w:rsidRPr="002047F4">
        <w:rPr>
          <w:rFonts w:asciiTheme="majorHAnsi" w:hAnsiTheme="majorHAnsi" w:cstheme="majorHAnsi"/>
          <w:sz w:val="24"/>
          <w:szCs w:val="24"/>
          <w:lang w:val="ro-RO"/>
        </w:rPr>
        <w:t xml:space="preserve">. </w:t>
      </w:r>
      <w:r w:rsidRPr="002047F4">
        <w:rPr>
          <w:rFonts w:asciiTheme="majorHAnsi" w:hAnsiTheme="majorHAnsi" w:cstheme="majorHAnsi"/>
          <w:i/>
          <w:sz w:val="24"/>
          <w:szCs w:val="24"/>
          <w:lang w:val="ro-RO"/>
        </w:rPr>
        <w:t>Evoluția cheltuielilor pentru serviciul datoriei de stat interne este prezentată în Tabelul nr.</w:t>
      </w:r>
      <w:r w:rsidRPr="002047F4">
        <w:rPr>
          <w:rFonts w:asciiTheme="majorHAnsi" w:hAnsiTheme="majorHAnsi" w:cstheme="majorHAnsi"/>
          <w:sz w:val="24"/>
          <w:szCs w:val="24"/>
          <w:lang w:val="ro-RO"/>
        </w:rPr>
        <w:t xml:space="preserve"> </w:t>
      </w:r>
      <w:r w:rsidR="00F86CB0">
        <w:rPr>
          <w:rFonts w:asciiTheme="majorHAnsi" w:hAnsiTheme="majorHAnsi" w:cstheme="majorHAnsi"/>
          <w:sz w:val="24"/>
          <w:szCs w:val="24"/>
          <w:lang w:val="ro-RO"/>
        </w:rPr>
        <w:t>7</w:t>
      </w:r>
    </w:p>
    <w:p w14:paraId="3C4B1129" w14:textId="77777777" w:rsidR="00802EDF" w:rsidRPr="002047F4" w:rsidRDefault="00802EDF" w:rsidP="00802EDF">
      <w:pPr>
        <w:pStyle w:val="a6"/>
        <w:spacing w:line="276" w:lineRule="auto"/>
        <w:ind w:firstLine="720"/>
        <w:jc w:val="right"/>
        <w:rPr>
          <w:rFonts w:asciiTheme="majorHAnsi" w:hAnsiTheme="majorHAnsi" w:cstheme="majorHAnsi"/>
          <w:b/>
          <w:sz w:val="24"/>
          <w:szCs w:val="24"/>
          <w:lang w:val="ro-RO"/>
        </w:rPr>
      </w:pPr>
      <w:r w:rsidRPr="002047F4">
        <w:rPr>
          <w:rFonts w:asciiTheme="majorHAnsi" w:hAnsiTheme="majorHAnsi" w:cstheme="majorHAnsi"/>
          <w:b/>
          <w:sz w:val="24"/>
          <w:szCs w:val="24"/>
          <w:lang w:val="ro-RO"/>
        </w:rPr>
        <w:t>Tabelul nr.</w:t>
      </w:r>
      <w:r w:rsidR="00F86CB0">
        <w:rPr>
          <w:rFonts w:asciiTheme="majorHAnsi" w:hAnsiTheme="majorHAnsi" w:cstheme="majorHAnsi"/>
          <w:b/>
          <w:sz w:val="24"/>
          <w:szCs w:val="24"/>
          <w:lang w:val="ro-RO"/>
        </w:rPr>
        <w:t>7</w:t>
      </w:r>
    </w:p>
    <w:p w14:paraId="26DE22AB" w14:textId="77777777" w:rsidR="00802EDF" w:rsidRDefault="00802EDF" w:rsidP="00802EDF">
      <w:pPr>
        <w:pStyle w:val="a6"/>
        <w:spacing w:line="276" w:lineRule="auto"/>
        <w:jc w:val="center"/>
        <w:rPr>
          <w:rFonts w:asciiTheme="majorHAnsi" w:hAnsiTheme="majorHAnsi" w:cstheme="majorHAnsi"/>
          <w:b/>
          <w:sz w:val="24"/>
          <w:szCs w:val="24"/>
          <w:lang w:val="ro-RO"/>
        </w:rPr>
      </w:pPr>
      <w:r w:rsidRPr="002047F4">
        <w:rPr>
          <w:rFonts w:asciiTheme="majorHAnsi" w:hAnsiTheme="majorHAnsi" w:cstheme="majorHAnsi"/>
          <w:b/>
          <w:sz w:val="24"/>
          <w:szCs w:val="24"/>
          <w:lang w:val="ro-RO"/>
        </w:rPr>
        <w:t xml:space="preserve">Evoluția cheltuielilor pentru serviciul datoriei de stat interne în anii 2016-2018                 </w:t>
      </w:r>
      <w:r>
        <w:rPr>
          <w:rFonts w:asciiTheme="majorHAnsi" w:hAnsiTheme="majorHAnsi" w:cstheme="majorHAnsi"/>
          <w:b/>
          <w:sz w:val="24"/>
          <w:szCs w:val="24"/>
          <w:lang w:val="ro-RO"/>
        </w:rPr>
        <w:t xml:space="preserve">                           </w:t>
      </w:r>
    </w:p>
    <w:p w14:paraId="32E4CC9E" w14:textId="77777777" w:rsidR="00802EDF" w:rsidRPr="002047F4" w:rsidRDefault="00802EDF" w:rsidP="00802EDF">
      <w:pPr>
        <w:pStyle w:val="a6"/>
        <w:spacing w:line="276" w:lineRule="auto"/>
        <w:jc w:val="right"/>
        <w:rPr>
          <w:rFonts w:asciiTheme="majorHAnsi" w:hAnsiTheme="majorHAnsi" w:cstheme="majorHAnsi"/>
          <w:b/>
          <w:sz w:val="24"/>
          <w:szCs w:val="24"/>
          <w:highlight w:val="yellow"/>
          <w:lang w:val="ro-RO"/>
        </w:rPr>
      </w:pPr>
      <w:r>
        <w:rPr>
          <w:rFonts w:asciiTheme="majorHAnsi" w:hAnsiTheme="majorHAnsi" w:cstheme="majorHAnsi"/>
          <w:b/>
          <w:sz w:val="24"/>
          <w:szCs w:val="24"/>
          <w:lang w:val="ro-RO"/>
        </w:rPr>
        <w:t xml:space="preserve">                                                             </w:t>
      </w:r>
      <w:proofErr w:type="spellStart"/>
      <w:r w:rsidRPr="002047F4">
        <w:rPr>
          <w:rFonts w:asciiTheme="majorHAnsi" w:hAnsiTheme="majorHAnsi" w:cstheme="majorHAnsi"/>
          <w:b/>
          <w:sz w:val="24"/>
          <w:szCs w:val="24"/>
          <w:lang w:val="ro-RO"/>
        </w:rPr>
        <w:t>mil.MDL</w:t>
      </w:r>
      <w:proofErr w:type="spellEnd"/>
    </w:p>
    <w:tbl>
      <w:tblPr>
        <w:tblStyle w:val="af9"/>
        <w:tblW w:w="0" w:type="auto"/>
        <w:tblLook w:val="04A0" w:firstRow="1" w:lastRow="0" w:firstColumn="1" w:lastColumn="0" w:noHBand="0" w:noVBand="1"/>
      </w:tblPr>
      <w:tblGrid>
        <w:gridCol w:w="5524"/>
        <w:gridCol w:w="1275"/>
        <w:gridCol w:w="1276"/>
        <w:gridCol w:w="1269"/>
      </w:tblGrid>
      <w:tr w:rsidR="00802EDF" w:rsidRPr="004570EB" w14:paraId="3E9AE286" w14:textId="77777777" w:rsidTr="00F25357">
        <w:tc>
          <w:tcPr>
            <w:tcW w:w="5524" w:type="dxa"/>
            <w:vMerge w:val="restart"/>
            <w:shd w:val="clear" w:color="auto" w:fill="EDEDED" w:themeFill="accent3" w:themeFillTint="33"/>
          </w:tcPr>
          <w:p w14:paraId="0E8AA2B7" w14:textId="77777777" w:rsidR="00802EDF" w:rsidRPr="004570EB" w:rsidRDefault="00802EDF" w:rsidP="00F25357">
            <w:pPr>
              <w:pStyle w:val="a6"/>
              <w:spacing w:line="276" w:lineRule="auto"/>
              <w:jc w:val="both"/>
              <w:rPr>
                <w:rFonts w:asciiTheme="majorHAnsi" w:hAnsiTheme="majorHAnsi" w:cstheme="majorHAnsi"/>
                <w:b/>
                <w:sz w:val="20"/>
                <w:szCs w:val="20"/>
                <w:lang w:val="ro-RO"/>
              </w:rPr>
            </w:pPr>
            <w:r w:rsidRPr="004570EB">
              <w:rPr>
                <w:rFonts w:asciiTheme="majorHAnsi" w:hAnsiTheme="majorHAnsi" w:cstheme="majorHAnsi"/>
                <w:b/>
                <w:sz w:val="20"/>
                <w:szCs w:val="20"/>
                <w:lang w:val="ro-RO"/>
              </w:rPr>
              <w:t xml:space="preserve">     </w:t>
            </w:r>
          </w:p>
          <w:p w14:paraId="77910DBC" w14:textId="77777777" w:rsidR="00802EDF" w:rsidRPr="004570EB" w:rsidRDefault="00802EDF" w:rsidP="00F25357">
            <w:pPr>
              <w:pStyle w:val="a6"/>
              <w:spacing w:line="276" w:lineRule="auto"/>
              <w:jc w:val="center"/>
              <w:rPr>
                <w:rFonts w:asciiTheme="majorHAnsi" w:hAnsiTheme="majorHAnsi" w:cstheme="majorHAnsi"/>
                <w:b/>
                <w:sz w:val="20"/>
                <w:szCs w:val="20"/>
                <w:highlight w:val="yellow"/>
                <w:lang w:val="ro-RO"/>
              </w:rPr>
            </w:pPr>
            <w:r w:rsidRPr="004570EB">
              <w:rPr>
                <w:rFonts w:asciiTheme="majorHAnsi" w:hAnsiTheme="majorHAnsi" w:cstheme="majorHAnsi"/>
                <w:b/>
                <w:sz w:val="20"/>
                <w:szCs w:val="20"/>
                <w:lang w:val="ro-RO"/>
              </w:rPr>
              <w:t>Indicatori</w:t>
            </w:r>
          </w:p>
        </w:tc>
        <w:tc>
          <w:tcPr>
            <w:tcW w:w="3820" w:type="dxa"/>
            <w:gridSpan w:val="3"/>
            <w:shd w:val="clear" w:color="auto" w:fill="EDEDED" w:themeFill="accent3" w:themeFillTint="33"/>
          </w:tcPr>
          <w:p w14:paraId="12C8DB89" w14:textId="77777777" w:rsidR="00802EDF" w:rsidRPr="004570EB" w:rsidRDefault="00802EDF" w:rsidP="00F25357">
            <w:pPr>
              <w:pStyle w:val="a6"/>
              <w:spacing w:line="276" w:lineRule="auto"/>
              <w:jc w:val="center"/>
              <w:rPr>
                <w:rFonts w:asciiTheme="majorHAnsi" w:hAnsiTheme="majorHAnsi" w:cstheme="majorHAnsi"/>
                <w:b/>
                <w:sz w:val="20"/>
                <w:szCs w:val="20"/>
                <w:lang w:val="ro-RO"/>
              </w:rPr>
            </w:pPr>
            <w:r w:rsidRPr="004570EB">
              <w:rPr>
                <w:rFonts w:asciiTheme="majorHAnsi" w:hAnsiTheme="majorHAnsi" w:cstheme="majorHAnsi"/>
                <w:b/>
                <w:sz w:val="20"/>
                <w:szCs w:val="20"/>
                <w:lang w:val="ro-RO"/>
              </w:rPr>
              <w:t>Anul</w:t>
            </w:r>
          </w:p>
        </w:tc>
      </w:tr>
      <w:tr w:rsidR="00802EDF" w:rsidRPr="004570EB" w14:paraId="166E2305" w14:textId="77777777" w:rsidTr="00F25357">
        <w:tc>
          <w:tcPr>
            <w:tcW w:w="5524" w:type="dxa"/>
            <w:vMerge/>
            <w:shd w:val="clear" w:color="auto" w:fill="EDEDED" w:themeFill="accent3" w:themeFillTint="33"/>
          </w:tcPr>
          <w:p w14:paraId="56F0FAA8" w14:textId="77777777" w:rsidR="00802EDF" w:rsidRPr="004570EB" w:rsidRDefault="00802EDF" w:rsidP="00F25357">
            <w:pPr>
              <w:pStyle w:val="a6"/>
              <w:spacing w:line="276" w:lineRule="auto"/>
              <w:jc w:val="both"/>
              <w:rPr>
                <w:rFonts w:asciiTheme="majorHAnsi" w:hAnsiTheme="majorHAnsi" w:cstheme="majorHAnsi"/>
                <w:b/>
                <w:sz w:val="20"/>
                <w:szCs w:val="20"/>
                <w:highlight w:val="yellow"/>
                <w:lang w:val="ro-RO"/>
              </w:rPr>
            </w:pPr>
          </w:p>
        </w:tc>
        <w:tc>
          <w:tcPr>
            <w:tcW w:w="1275" w:type="dxa"/>
            <w:shd w:val="clear" w:color="auto" w:fill="EDEDED" w:themeFill="accent3" w:themeFillTint="33"/>
          </w:tcPr>
          <w:p w14:paraId="75CCDFE9" w14:textId="77777777" w:rsidR="00802EDF" w:rsidRPr="004570EB" w:rsidRDefault="00802EDF" w:rsidP="00F25357">
            <w:pPr>
              <w:pStyle w:val="a6"/>
              <w:spacing w:line="276" w:lineRule="auto"/>
              <w:jc w:val="center"/>
              <w:rPr>
                <w:rFonts w:asciiTheme="majorHAnsi" w:hAnsiTheme="majorHAnsi" w:cstheme="majorHAnsi"/>
                <w:b/>
                <w:sz w:val="20"/>
                <w:szCs w:val="20"/>
                <w:lang w:val="ro-RO"/>
              </w:rPr>
            </w:pPr>
            <w:r w:rsidRPr="004570EB">
              <w:rPr>
                <w:rFonts w:asciiTheme="majorHAnsi" w:hAnsiTheme="majorHAnsi" w:cstheme="majorHAnsi"/>
                <w:b/>
                <w:sz w:val="20"/>
                <w:szCs w:val="20"/>
                <w:lang w:val="ro-RO"/>
              </w:rPr>
              <w:t>2016</w:t>
            </w:r>
          </w:p>
        </w:tc>
        <w:tc>
          <w:tcPr>
            <w:tcW w:w="1276" w:type="dxa"/>
            <w:shd w:val="clear" w:color="auto" w:fill="EDEDED" w:themeFill="accent3" w:themeFillTint="33"/>
          </w:tcPr>
          <w:p w14:paraId="4FB6E887" w14:textId="77777777" w:rsidR="00802EDF" w:rsidRPr="004570EB" w:rsidRDefault="00802EDF" w:rsidP="00F25357">
            <w:pPr>
              <w:pStyle w:val="a6"/>
              <w:spacing w:line="276" w:lineRule="auto"/>
              <w:jc w:val="center"/>
              <w:rPr>
                <w:rFonts w:asciiTheme="majorHAnsi" w:hAnsiTheme="majorHAnsi" w:cstheme="majorHAnsi"/>
                <w:b/>
                <w:sz w:val="20"/>
                <w:szCs w:val="20"/>
                <w:lang w:val="ro-RO"/>
              </w:rPr>
            </w:pPr>
            <w:r w:rsidRPr="004570EB">
              <w:rPr>
                <w:rFonts w:asciiTheme="majorHAnsi" w:hAnsiTheme="majorHAnsi" w:cstheme="majorHAnsi"/>
                <w:b/>
                <w:sz w:val="20"/>
                <w:szCs w:val="20"/>
                <w:lang w:val="ro-RO"/>
              </w:rPr>
              <w:t>2017</w:t>
            </w:r>
          </w:p>
        </w:tc>
        <w:tc>
          <w:tcPr>
            <w:tcW w:w="1269" w:type="dxa"/>
            <w:shd w:val="clear" w:color="auto" w:fill="EDEDED" w:themeFill="accent3" w:themeFillTint="33"/>
          </w:tcPr>
          <w:p w14:paraId="370358B0" w14:textId="77777777" w:rsidR="00802EDF" w:rsidRPr="004570EB" w:rsidRDefault="00802EDF" w:rsidP="00F25357">
            <w:pPr>
              <w:pStyle w:val="a6"/>
              <w:spacing w:line="276" w:lineRule="auto"/>
              <w:jc w:val="center"/>
              <w:rPr>
                <w:rFonts w:asciiTheme="majorHAnsi" w:hAnsiTheme="majorHAnsi" w:cstheme="majorHAnsi"/>
                <w:b/>
                <w:sz w:val="20"/>
                <w:szCs w:val="20"/>
                <w:lang w:val="ro-RO"/>
              </w:rPr>
            </w:pPr>
            <w:r w:rsidRPr="004570EB">
              <w:rPr>
                <w:rFonts w:asciiTheme="majorHAnsi" w:hAnsiTheme="majorHAnsi" w:cstheme="majorHAnsi"/>
                <w:b/>
                <w:sz w:val="20"/>
                <w:szCs w:val="20"/>
                <w:lang w:val="ro-RO"/>
              </w:rPr>
              <w:t>2018</w:t>
            </w:r>
          </w:p>
        </w:tc>
      </w:tr>
      <w:tr w:rsidR="00802EDF" w:rsidRPr="004570EB" w14:paraId="3381918A" w14:textId="77777777" w:rsidTr="00F25357">
        <w:tc>
          <w:tcPr>
            <w:tcW w:w="5524" w:type="dxa"/>
          </w:tcPr>
          <w:p w14:paraId="1A422A72" w14:textId="77777777" w:rsidR="00802EDF" w:rsidRPr="004570EB" w:rsidRDefault="00802EDF" w:rsidP="00F25357">
            <w:pPr>
              <w:pStyle w:val="a6"/>
              <w:spacing w:line="276" w:lineRule="auto"/>
              <w:jc w:val="both"/>
              <w:rPr>
                <w:rFonts w:asciiTheme="majorHAnsi" w:hAnsiTheme="majorHAnsi" w:cstheme="majorHAnsi"/>
                <w:sz w:val="20"/>
                <w:szCs w:val="20"/>
                <w:lang w:val="ro-RO"/>
              </w:rPr>
            </w:pPr>
            <w:r w:rsidRPr="004570EB">
              <w:rPr>
                <w:rFonts w:asciiTheme="majorHAnsi" w:hAnsiTheme="majorHAnsi" w:cstheme="majorHAnsi"/>
                <w:sz w:val="20"/>
                <w:szCs w:val="20"/>
                <w:lang w:val="ro-RO"/>
              </w:rPr>
              <w:t>VMS emise pe piața primară</w:t>
            </w:r>
          </w:p>
        </w:tc>
        <w:tc>
          <w:tcPr>
            <w:tcW w:w="1275" w:type="dxa"/>
          </w:tcPr>
          <w:p w14:paraId="776310A8" w14:textId="77777777" w:rsidR="00802EDF" w:rsidRPr="004570EB" w:rsidRDefault="00802EDF" w:rsidP="00F25357">
            <w:pPr>
              <w:pStyle w:val="a6"/>
              <w:spacing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1086,1</w:t>
            </w:r>
          </w:p>
        </w:tc>
        <w:tc>
          <w:tcPr>
            <w:tcW w:w="1276" w:type="dxa"/>
          </w:tcPr>
          <w:p w14:paraId="2E82F48B" w14:textId="77777777" w:rsidR="00802EDF" w:rsidRPr="004570EB" w:rsidRDefault="00802EDF" w:rsidP="00F25357">
            <w:pPr>
              <w:pStyle w:val="a6"/>
              <w:spacing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808,2</w:t>
            </w:r>
          </w:p>
        </w:tc>
        <w:tc>
          <w:tcPr>
            <w:tcW w:w="1269" w:type="dxa"/>
          </w:tcPr>
          <w:p w14:paraId="70EC478B" w14:textId="3F5DED29" w:rsidR="00802EDF" w:rsidRPr="004570EB" w:rsidRDefault="00C7659C" w:rsidP="00F25357">
            <w:pPr>
              <w:pStyle w:val="a6"/>
              <w:spacing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465,2</w:t>
            </w:r>
          </w:p>
        </w:tc>
      </w:tr>
      <w:tr w:rsidR="00802EDF" w:rsidRPr="004570EB" w14:paraId="56108B24" w14:textId="77777777" w:rsidTr="00F25357">
        <w:tc>
          <w:tcPr>
            <w:tcW w:w="5524" w:type="dxa"/>
          </w:tcPr>
          <w:p w14:paraId="0CB9204C" w14:textId="215F841D" w:rsidR="00802EDF" w:rsidRPr="004570EB" w:rsidRDefault="00DB090E" w:rsidP="00F25357">
            <w:pPr>
              <w:pStyle w:val="a6"/>
              <w:spacing w:line="276" w:lineRule="auto"/>
              <w:jc w:val="both"/>
              <w:rPr>
                <w:rFonts w:asciiTheme="majorHAnsi" w:hAnsiTheme="majorHAnsi" w:cstheme="majorHAnsi"/>
                <w:i/>
                <w:sz w:val="20"/>
                <w:szCs w:val="20"/>
                <w:lang w:val="ro-RO"/>
              </w:rPr>
            </w:pPr>
            <w:r w:rsidRPr="004570EB">
              <w:rPr>
                <w:rFonts w:asciiTheme="majorHAnsi" w:hAnsiTheme="majorHAnsi" w:cstheme="majorHAnsi"/>
                <w:i/>
                <w:sz w:val="20"/>
                <w:szCs w:val="20"/>
                <w:lang w:val="ro-RO"/>
              </w:rPr>
              <w:t>i</w:t>
            </w:r>
            <w:r w:rsidR="00802EDF" w:rsidRPr="004570EB">
              <w:rPr>
                <w:rFonts w:asciiTheme="majorHAnsi" w:hAnsiTheme="majorHAnsi" w:cstheme="majorHAnsi"/>
                <w:i/>
                <w:sz w:val="20"/>
                <w:szCs w:val="20"/>
                <w:lang w:val="ro-RO"/>
              </w:rPr>
              <w:t>nclusiv pentru rezerve de lichidități</w:t>
            </w:r>
          </w:p>
        </w:tc>
        <w:tc>
          <w:tcPr>
            <w:tcW w:w="1275" w:type="dxa"/>
          </w:tcPr>
          <w:p w14:paraId="3518A9D3" w14:textId="77777777" w:rsidR="00802EDF" w:rsidRPr="004570EB" w:rsidRDefault="00802EDF" w:rsidP="00F25357">
            <w:pPr>
              <w:pStyle w:val="a6"/>
              <w:spacing w:line="276" w:lineRule="auto"/>
              <w:jc w:val="center"/>
              <w:rPr>
                <w:rFonts w:asciiTheme="majorHAnsi" w:hAnsiTheme="majorHAnsi" w:cstheme="majorHAnsi"/>
                <w:i/>
                <w:sz w:val="20"/>
                <w:szCs w:val="20"/>
                <w:lang w:val="ro-RO"/>
              </w:rPr>
            </w:pPr>
            <w:r w:rsidRPr="004570EB">
              <w:rPr>
                <w:rFonts w:asciiTheme="majorHAnsi" w:hAnsiTheme="majorHAnsi" w:cstheme="majorHAnsi"/>
                <w:i/>
                <w:sz w:val="20"/>
                <w:szCs w:val="20"/>
                <w:lang w:val="ro-RO"/>
              </w:rPr>
              <w:t>-</w:t>
            </w:r>
          </w:p>
        </w:tc>
        <w:tc>
          <w:tcPr>
            <w:tcW w:w="1276" w:type="dxa"/>
          </w:tcPr>
          <w:p w14:paraId="0E37CF8F" w14:textId="77777777" w:rsidR="00802EDF" w:rsidRPr="004570EB" w:rsidRDefault="00802EDF" w:rsidP="00F25357">
            <w:pPr>
              <w:pStyle w:val="a6"/>
              <w:spacing w:line="276" w:lineRule="auto"/>
              <w:jc w:val="center"/>
              <w:rPr>
                <w:rFonts w:asciiTheme="majorHAnsi" w:hAnsiTheme="majorHAnsi" w:cstheme="majorHAnsi"/>
                <w:i/>
                <w:sz w:val="20"/>
                <w:szCs w:val="20"/>
                <w:lang w:val="ro-RO"/>
              </w:rPr>
            </w:pPr>
            <w:r w:rsidRPr="004570EB">
              <w:rPr>
                <w:rFonts w:asciiTheme="majorHAnsi" w:hAnsiTheme="majorHAnsi" w:cstheme="majorHAnsi"/>
                <w:i/>
                <w:sz w:val="20"/>
                <w:szCs w:val="20"/>
                <w:lang w:val="ro-RO"/>
              </w:rPr>
              <w:t>19,4</w:t>
            </w:r>
          </w:p>
        </w:tc>
        <w:tc>
          <w:tcPr>
            <w:tcW w:w="1269" w:type="dxa"/>
          </w:tcPr>
          <w:p w14:paraId="0E225481" w14:textId="77777777" w:rsidR="00802EDF" w:rsidRPr="004570EB" w:rsidRDefault="00802EDF" w:rsidP="00F25357">
            <w:pPr>
              <w:pStyle w:val="a6"/>
              <w:spacing w:line="276" w:lineRule="auto"/>
              <w:jc w:val="center"/>
              <w:rPr>
                <w:rFonts w:asciiTheme="majorHAnsi" w:hAnsiTheme="majorHAnsi" w:cstheme="majorHAnsi"/>
                <w:i/>
                <w:sz w:val="20"/>
                <w:szCs w:val="20"/>
                <w:lang w:val="ro-RO"/>
              </w:rPr>
            </w:pPr>
            <w:r w:rsidRPr="004570EB">
              <w:rPr>
                <w:rFonts w:asciiTheme="majorHAnsi" w:hAnsiTheme="majorHAnsi" w:cstheme="majorHAnsi"/>
                <w:i/>
                <w:sz w:val="20"/>
                <w:szCs w:val="20"/>
                <w:lang w:val="ro-RO"/>
              </w:rPr>
              <w:t>37,2</w:t>
            </w:r>
          </w:p>
        </w:tc>
      </w:tr>
      <w:tr w:rsidR="00802EDF" w:rsidRPr="004570EB" w14:paraId="257B971F" w14:textId="77777777" w:rsidTr="00F25357">
        <w:tc>
          <w:tcPr>
            <w:tcW w:w="5524" w:type="dxa"/>
          </w:tcPr>
          <w:p w14:paraId="53B6B958" w14:textId="77777777" w:rsidR="00802EDF" w:rsidRPr="004570EB" w:rsidRDefault="00802EDF" w:rsidP="00F25357">
            <w:pPr>
              <w:pStyle w:val="a6"/>
              <w:spacing w:line="276" w:lineRule="auto"/>
              <w:jc w:val="both"/>
              <w:rPr>
                <w:rFonts w:asciiTheme="majorHAnsi" w:hAnsiTheme="majorHAnsi" w:cstheme="majorHAnsi"/>
                <w:sz w:val="20"/>
                <w:szCs w:val="20"/>
                <w:lang w:val="ro-RO"/>
              </w:rPr>
            </w:pPr>
            <w:r w:rsidRPr="004570EB">
              <w:rPr>
                <w:rFonts w:asciiTheme="majorHAnsi" w:hAnsiTheme="majorHAnsi" w:cstheme="majorHAnsi"/>
                <w:sz w:val="20"/>
                <w:szCs w:val="20"/>
                <w:lang w:val="ro-RO"/>
              </w:rPr>
              <w:t>VMS convertite</w:t>
            </w:r>
          </w:p>
        </w:tc>
        <w:tc>
          <w:tcPr>
            <w:tcW w:w="1275" w:type="dxa"/>
          </w:tcPr>
          <w:p w14:paraId="23F159EF" w14:textId="77777777" w:rsidR="00802EDF" w:rsidRPr="004570EB" w:rsidRDefault="00802EDF" w:rsidP="00F25357">
            <w:pPr>
              <w:pStyle w:val="a6"/>
              <w:spacing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376,4</w:t>
            </w:r>
          </w:p>
        </w:tc>
        <w:tc>
          <w:tcPr>
            <w:tcW w:w="1276" w:type="dxa"/>
          </w:tcPr>
          <w:p w14:paraId="7D13EE0D" w14:textId="076DFB29" w:rsidR="00802EDF" w:rsidRPr="004570EB" w:rsidRDefault="00802EDF" w:rsidP="00CC29E3">
            <w:pPr>
              <w:pStyle w:val="a6"/>
              <w:spacing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144,</w:t>
            </w:r>
            <w:r w:rsidR="00CC29E3" w:rsidRPr="004570EB">
              <w:rPr>
                <w:rFonts w:asciiTheme="majorHAnsi" w:hAnsiTheme="majorHAnsi" w:cstheme="majorHAnsi"/>
                <w:sz w:val="20"/>
                <w:szCs w:val="20"/>
                <w:lang w:val="ro-RO"/>
              </w:rPr>
              <w:t>8</w:t>
            </w:r>
          </w:p>
        </w:tc>
        <w:tc>
          <w:tcPr>
            <w:tcW w:w="1269" w:type="dxa"/>
          </w:tcPr>
          <w:p w14:paraId="00A06CD3" w14:textId="77777777" w:rsidR="00802EDF" w:rsidRPr="004570EB" w:rsidRDefault="00802EDF" w:rsidP="00F25357">
            <w:pPr>
              <w:pStyle w:val="a6"/>
              <w:spacing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42,6</w:t>
            </w:r>
          </w:p>
        </w:tc>
      </w:tr>
      <w:tr w:rsidR="00802EDF" w:rsidRPr="004570EB" w14:paraId="4F8BBA33" w14:textId="77777777" w:rsidTr="00F25357">
        <w:tc>
          <w:tcPr>
            <w:tcW w:w="5524" w:type="dxa"/>
          </w:tcPr>
          <w:p w14:paraId="11614A25" w14:textId="77777777" w:rsidR="00802EDF" w:rsidRPr="004570EB" w:rsidRDefault="00802EDF" w:rsidP="00F25357">
            <w:pPr>
              <w:pStyle w:val="a6"/>
              <w:spacing w:line="276" w:lineRule="auto"/>
              <w:jc w:val="both"/>
              <w:rPr>
                <w:rFonts w:asciiTheme="majorHAnsi" w:hAnsiTheme="majorHAnsi" w:cstheme="majorHAnsi"/>
                <w:sz w:val="20"/>
                <w:szCs w:val="20"/>
                <w:lang w:val="ro-RO"/>
              </w:rPr>
            </w:pPr>
            <w:r w:rsidRPr="004570EB">
              <w:rPr>
                <w:rFonts w:asciiTheme="majorHAnsi" w:hAnsiTheme="majorHAnsi" w:cstheme="majorHAnsi"/>
                <w:sz w:val="20"/>
                <w:szCs w:val="20"/>
                <w:lang w:val="ro-RO"/>
              </w:rPr>
              <w:t xml:space="preserve">VMS emise pentru executarea obligațiunilor de plată derivate din garanțiile de stat </w:t>
            </w:r>
          </w:p>
        </w:tc>
        <w:tc>
          <w:tcPr>
            <w:tcW w:w="1275" w:type="dxa"/>
          </w:tcPr>
          <w:p w14:paraId="5C66302A" w14:textId="77777777" w:rsidR="00802EDF" w:rsidRPr="004570EB" w:rsidRDefault="00802EDF" w:rsidP="00F25357">
            <w:pPr>
              <w:pStyle w:val="a6"/>
              <w:spacing w:line="276" w:lineRule="auto"/>
              <w:jc w:val="center"/>
              <w:rPr>
                <w:rFonts w:asciiTheme="majorHAnsi" w:hAnsiTheme="majorHAnsi" w:cstheme="majorHAnsi"/>
                <w:sz w:val="20"/>
                <w:szCs w:val="20"/>
                <w:lang w:val="ro-RO"/>
              </w:rPr>
            </w:pPr>
          </w:p>
          <w:p w14:paraId="57529EB9" w14:textId="77777777" w:rsidR="00802EDF" w:rsidRPr="004570EB" w:rsidRDefault="00802EDF" w:rsidP="00F25357">
            <w:pPr>
              <w:pStyle w:val="a6"/>
              <w:spacing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w:t>
            </w:r>
          </w:p>
        </w:tc>
        <w:tc>
          <w:tcPr>
            <w:tcW w:w="1276" w:type="dxa"/>
          </w:tcPr>
          <w:p w14:paraId="17A0111A" w14:textId="77777777" w:rsidR="00802EDF" w:rsidRPr="004570EB" w:rsidRDefault="00802EDF" w:rsidP="00F25357">
            <w:pPr>
              <w:pStyle w:val="a6"/>
              <w:spacing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618,2</w:t>
            </w:r>
          </w:p>
        </w:tc>
        <w:tc>
          <w:tcPr>
            <w:tcW w:w="1269" w:type="dxa"/>
          </w:tcPr>
          <w:p w14:paraId="72BCC984" w14:textId="77777777" w:rsidR="00802EDF" w:rsidRPr="004570EB" w:rsidRDefault="00802EDF" w:rsidP="00F25357">
            <w:pPr>
              <w:pStyle w:val="a6"/>
              <w:spacing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617,5</w:t>
            </w:r>
          </w:p>
        </w:tc>
      </w:tr>
      <w:tr w:rsidR="00802EDF" w:rsidRPr="004570EB" w14:paraId="45D3D272" w14:textId="77777777" w:rsidTr="00F25357">
        <w:tc>
          <w:tcPr>
            <w:tcW w:w="5524" w:type="dxa"/>
            <w:shd w:val="clear" w:color="auto" w:fill="EDEDED" w:themeFill="accent3" w:themeFillTint="33"/>
          </w:tcPr>
          <w:p w14:paraId="3E730A13" w14:textId="77777777" w:rsidR="00802EDF" w:rsidRPr="004570EB" w:rsidRDefault="00802EDF" w:rsidP="00F25357">
            <w:pPr>
              <w:pStyle w:val="a6"/>
              <w:spacing w:line="276" w:lineRule="auto"/>
              <w:jc w:val="both"/>
              <w:rPr>
                <w:rFonts w:asciiTheme="majorHAnsi" w:hAnsiTheme="majorHAnsi" w:cstheme="majorHAnsi"/>
                <w:b/>
                <w:sz w:val="20"/>
                <w:szCs w:val="20"/>
                <w:highlight w:val="yellow"/>
                <w:lang w:val="ro-RO"/>
              </w:rPr>
            </w:pPr>
            <w:r w:rsidRPr="004570EB">
              <w:rPr>
                <w:rFonts w:asciiTheme="majorHAnsi" w:hAnsiTheme="majorHAnsi" w:cstheme="majorHAnsi"/>
                <w:b/>
                <w:sz w:val="20"/>
                <w:szCs w:val="20"/>
                <w:lang w:val="ro-RO"/>
              </w:rPr>
              <w:t>Total</w:t>
            </w:r>
          </w:p>
        </w:tc>
        <w:tc>
          <w:tcPr>
            <w:tcW w:w="1275" w:type="dxa"/>
            <w:shd w:val="clear" w:color="auto" w:fill="EDEDED" w:themeFill="accent3" w:themeFillTint="33"/>
          </w:tcPr>
          <w:p w14:paraId="5E5642AF" w14:textId="77777777" w:rsidR="00802EDF" w:rsidRPr="004570EB" w:rsidRDefault="00802EDF" w:rsidP="00F25357">
            <w:pPr>
              <w:pStyle w:val="a6"/>
              <w:spacing w:line="276" w:lineRule="auto"/>
              <w:jc w:val="center"/>
              <w:rPr>
                <w:rFonts w:asciiTheme="majorHAnsi" w:hAnsiTheme="majorHAnsi" w:cstheme="majorHAnsi"/>
                <w:b/>
                <w:sz w:val="20"/>
                <w:szCs w:val="20"/>
                <w:lang w:val="ro-RO"/>
              </w:rPr>
            </w:pPr>
            <w:r w:rsidRPr="004570EB">
              <w:rPr>
                <w:rFonts w:asciiTheme="majorHAnsi" w:hAnsiTheme="majorHAnsi" w:cstheme="majorHAnsi"/>
                <w:b/>
                <w:sz w:val="20"/>
                <w:szCs w:val="20"/>
                <w:lang w:val="ro-RO"/>
              </w:rPr>
              <w:t>1462,5</w:t>
            </w:r>
          </w:p>
        </w:tc>
        <w:tc>
          <w:tcPr>
            <w:tcW w:w="1276" w:type="dxa"/>
            <w:shd w:val="clear" w:color="auto" w:fill="EDEDED" w:themeFill="accent3" w:themeFillTint="33"/>
          </w:tcPr>
          <w:p w14:paraId="2E490DDD" w14:textId="77777777" w:rsidR="00802EDF" w:rsidRPr="004570EB" w:rsidRDefault="00802EDF" w:rsidP="00F25357">
            <w:pPr>
              <w:pStyle w:val="a6"/>
              <w:spacing w:line="276" w:lineRule="auto"/>
              <w:jc w:val="center"/>
              <w:rPr>
                <w:rFonts w:asciiTheme="majorHAnsi" w:hAnsiTheme="majorHAnsi" w:cstheme="majorHAnsi"/>
                <w:b/>
                <w:sz w:val="20"/>
                <w:szCs w:val="20"/>
                <w:lang w:val="ro-RO"/>
              </w:rPr>
            </w:pPr>
            <w:r w:rsidRPr="004570EB">
              <w:rPr>
                <w:rFonts w:asciiTheme="majorHAnsi" w:hAnsiTheme="majorHAnsi" w:cstheme="majorHAnsi"/>
                <w:b/>
                <w:sz w:val="20"/>
                <w:szCs w:val="20"/>
                <w:lang w:val="ro-RO"/>
              </w:rPr>
              <w:t>1571,1</w:t>
            </w:r>
          </w:p>
        </w:tc>
        <w:tc>
          <w:tcPr>
            <w:tcW w:w="1269" w:type="dxa"/>
            <w:shd w:val="clear" w:color="auto" w:fill="EDEDED" w:themeFill="accent3" w:themeFillTint="33"/>
          </w:tcPr>
          <w:p w14:paraId="43A5AC67" w14:textId="77777777" w:rsidR="00802EDF" w:rsidRPr="004570EB" w:rsidRDefault="00802EDF" w:rsidP="00F25357">
            <w:pPr>
              <w:pStyle w:val="a6"/>
              <w:spacing w:line="276" w:lineRule="auto"/>
              <w:jc w:val="center"/>
              <w:rPr>
                <w:rFonts w:asciiTheme="majorHAnsi" w:hAnsiTheme="majorHAnsi" w:cstheme="majorHAnsi"/>
                <w:b/>
                <w:sz w:val="20"/>
                <w:szCs w:val="20"/>
                <w:highlight w:val="yellow"/>
                <w:lang w:val="ro-RO"/>
              </w:rPr>
            </w:pPr>
            <w:r w:rsidRPr="004570EB">
              <w:rPr>
                <w:rFonts w:asciiTheme="majorHAnsi" w:hAnsiTheme="majorHAnsi" w:cstheme="majorHAnsi"/>
                <w:b/>
                <w:sz w:val="20"/>
                <w:szCs w:val="20"/>
                <w:lang w:val="ro-RO"/>
              </w:rPr>
              <w:t>1125,3</w:t>
            </w:r>
          </w:p>
        </w:tc>
      </w:tr>
    </w:tbl>
    <w:p w14:paraId="6A3D2FE3" w14:textId="2B78B8BB" w:rsidR="00802EDF" w:rsidRPr="004570EB" w:rsidRDefault="00802EDF" w:rsidP="00802EDF">
      <w:pPr>
        <w:spacing w:after="0" w:line="240" w:lineRule="auto"/>
        <w:jc w:val="both"/>
        <w:rPr>
          <w:rFonts w:asciiTheme="majorHAnsi" w:hAnsiTheme="majorHAnsi" w:cstheme="majorHAnsi"/>
          <w:b/>
          <w:i/>
          <w:sz w:val="20"/>
          <w:szCs w:val="20"/>
          <w:lang w:val="ro-RO"/>
        </w:rPr>
      </w:pPr>
      <w:r w:rsidRPr="004570EB">
        <w:rPr>
          <w:rFonts w:asciiTheme="majorHAnsi" w:hAnsiTheme="majorHAnsi" w:cstheme="majorHAnsi"/>
          <w:b/>
          <w:i/>
          <w:sz w:val="20"/>
          <w:szCs w:val="20"/>
          <w:lang w:val="ro-RO"/>
        </w:rPr>
        <w:t>Sursă:</w:t>
      </w:r>
      <w:r w:rsidRPr="004570EB">
        <w:rPr>
          <w:rFonts w:asciiTheme="majorHAnsi" w:hAnsiTheme="majorHAnsi" w:cstheme="majorHAnsi"/>
          <w:sz w:val="20"/>
          <w:szCs w:val="20"/>
          <w:lang w:val="ro-RO"/>
        </w:rPr>
        <w:t xml:space="preserve"> </w:t>
      </w:r>
      <w:r w:rsidR="00A443B3" w:rsidRPr="004570EB">
        <w:rPr>
          <w:rFonts w:asciiTheme="majorHAnsi" w:hAnsiTheme="majorHAnsi" w:cstheme="majorHAnsi"/>
          <w:sz w:val="20"/>
          <w:szCs w:val="20"/>
          <w:lang w:val="ro-RO"/>
        </w:rPr>
        <w:t>I</w:t>
      </w:r>
      <w:r w:rsidRPr="004570EB">
        <w:rPr>
          <w:rFonts w:asciiTheme="majorHAnsi" w:hAnsiTheme="majorHAnsi" w:cstheme="majorHAnsi"/>
          <w:sz w:val="20"/>
          <w:szCs w:val="20"/>
          <w:lang w:val="ro-RO"/>
        </w:rPr>
        <w:t>nformați</w:t>
      </w:r>
      <w:r w:rsidR="00A443B3" w:rsidRPr="004570EB">
        <w:rPr>
          <w:rFonts w:asciiTheme="majorHAnsi" w:hAnsiTheme="majorHAnsi" w:cstheme="majorHAnsi"/>
          <w:sz w:val="20"/>
          <w:szCs w:val="20"/>
          <w:lang w:val="ro-RO"/>
        </w:rPr>
        <w:t>a</w:t>
      </w:r>
      <w:r w:rsidRPr="004570EB">
        <w:rPr>
          <w:rFonts w:asciiTheme="majorHAnsi" w:hAnsiTheme="majorHAnsi" w:cstheme="majorHAnsi"/>
          <w:sz w:val="20"/>
          <w:szCs w:val="20"/>
          <w:lang w:val="ro-RO"/>
        </w:rPr>
        <w:t xml:space="preserve"> privind serviciul datoriei de stat interne.</w:t>
      </w:r>
    </w:p>
    <w:p w14:paraId="4862F473" w14:textId="77777777" w:rsidR="00802EDF" w:rsidRDefault="00802EDF" w:rsidP="00802EDF">
      <w:pPr>
        <w:spacing w:after="0" w:line="240" w:lineRule="auto"/>
        <w:jc w:val="both"/>
        <w:rPr>
          <w:rFonts w:asciiTheme="majorHAnsi" w:hAnsiTheme="majorHAnsi" w:cstheme="majorHAnsi"/>
          <w:sz w:val="28"/>
          <w:szCs w:val="28"/>
          <w:highlight w:val="yellow"/>
          <w:lang w:val="ro-RO"/>
        </w:rPr>
      </w:pPr>
    </w:p>
    <w:p w14:paraId="1748C994" w14:textId="7C1EDE26" w:rsidR="00802EDF" w:rsidRPr="00403604" w:rsidRDefault="00802EDF" w:rsidP="006A4647">
      <w:pPr>
        <w:spacing w:after="0" w:line="276" w:lineRule="auto"/>
        <w:jc w:val="both"/>
        <w:rPr>
          <w:rFonts w:asciiTheme="majorHAnsi" w:hAnsiTheme="majorHAnsi" w:cstheme="majorHAnsi"/>
          <w:sz w:val="24"/>
          <w:szCs w:val="24"/>
          <w:lang w:val="ro-RO"/>
        </w:rPr>
      </w:pPr>
      <w:r w:rsidRPr="009679DC">
        <w:rPr>
          <w:rFonts w:asciiTheme="majorHAnsi" w:hAnsiTheme="majorHAnsi" w:cstheme="majorHAnsi"/>
          <w:sz w:val="28"/>
          <w:szCs w:val="28"/>
          <w:lang w:val="ro-RO"/>
        </w:rPr>
        <w:tab/>
      </w:r>
      <w:r w:rsidRPr="00ED0314">
        <w:rPr>
          <w:rFonts w:asciiTheme="majorHAnsi" w:hAnsiTheme="majorHAnsi" w:cstheme="majorHAnsi"/>
          <w:sz w:val="24"/>
          <w:szCs w:val="24"/>
          <w:lang w:val="ro-RO"/>
        </w:rPr>
        <w:t xml:space="preserve">Diminuarea cheltuielilor pentru serviciul datoriei de stat interne se datorează în principal deservirii </w:t>
      </w:r>
      <w:r w:rsidR="00EB3256" w:rsidRPr="00EB3256">
        <w:rPr>
          <w:rFonts w:asciiTheme="majorHAnsi" w:hAnsiTheme="majorHAnsi" w:cstheme="majorHAnsi"/>
          <w:sz w:val="24"/>
          <w:szCs w:val="24"/>
          <w:lang w:val="ro-RO"/>
        </w:rPr>
        <w:t>pe parcursul anului 2018 a VMS emise pe piața primară la costuri mai mici comparativ cu anul 2017 (rata nominală medie ponderată a dobânzii pentru VMS răscumpărate în anul 2018 a constituit 5,97%, fiind de 1,9 ori mai mică comparativ cu anul 2017</w:t>
      </w:r>
      <w:r w:rsidR="00EB3256">
        <w:rPr>
          <w:rFonts w:asciiTheme="majorHAnsi" w:hAnsiTheme="majorHAnsi" w:cstheme="majorHAnsi"/>
          <w:sz w:val="24"/>
          <w:szCs w:val="24"/>
          <w:lang w:val="ro-RO"/>
        </w:rPr>
        <w:t>)</w:t>
      </w:r>
      <w:r w:rsidR="00403604">
        <w:rPr>
          <w:rFonts w:asciiTheme="majorHAnsi" w:hAnsiTheme="majorHAnsi" w:cstheme="majorHAnsi"/>
          <w:sz w:val="24"/>
          <w:szCs w:val="24"/>
          <w:lang w:val="ro-RO"/>
        </w:rPr>
        <w:t>.</w:t>
      </w:r>
      <w:r w:rsidRPr="009E75C6">
        <w:rPr>
          <w:rFonts w:ascii="Times New Roman" w:hAnsi="Times New Roman"/>
          <w:sz w:val="28"/>
          <w:szCs w:val="28"/>
          <w:lang w:val="ro-RO"/>
        </w:rPr>
        <w:tab/>
      </w:r>
      <w:r w:rsidRPr="00D25E02">
        <w:rPr>
          <w:rFonts w:asciiTheme="majorHAnsi" w:hAnsiTheme="majorHAnsi" w:cstheme="majorHAnsi"/>
          <w:b/>
          <w:sz w:val="24"/>
          <w:szCs w:val="24"/>
          <w:lang w:val="ro-RO"/>
        </w:rPr>
        <w:t xml:space="preserve"> </w:t>
      </w:r>
    </w:p>
    <w:p w14:paraId="5E69F886" w14:textId="55EF8F7F" w:rsidR="00802EDF" w:rsidRPr="00D25E02" w:rsidRDefault="00403604" w:rsidP="002777CE">
      <w:pPr>
        <w:shd w:val="clear" w:color="auto" w:fill="FFFFFF"/>
        <w:spacing w:after="0" w:line="276" w:lineRule="auto"/>
        <w:ind w:firstLine="720"/>
        <w:jc w:val="both"/>
        <w:rPr>
          <w:rFonts w:asciiTheme="majorHAnsi" w:hAnsiTheme="majorHAnsi" w:cstheme="majorHAnsi"/>
          <w:sz w:val="24"/>
          <w:szCs w:val="24"/>
          <w:lang w:val="ro-RO"/>
        </w:rPr>
      </w:pPr>
      <w:r>
        <w:rPr>
          <w:rFonts w:asciiTheme="majorHAnsi" w:hAnsiTheme="majorHAnsi" w:cstheme="majorHAnsi"/>
          <w:sz w:val="24"/>
          <w:szCs w:val="24"/>
          <w:lang w:val="ro-RO"/>
        </w:rPr>
        <w:t>C</w:t>
      </w:r>
      <w:r w:rsidR="00802EDF" w:rsidRPr="00D25E02">
        <w:rPr>
          <w:rFonts w:asciiTheme="majorHAnsi" w:hAnsiTheme="majorHAnsi" w:cstheme="majorHAnsi"/>
          <w:sz w:val="24"/>
          <w:szCs w:val="24"/>
          <w:lang w:val="ro-RO"/>
        </w:rPr>
        <w:t xml:space="preserve">heltuielile totale </w:t>
      </w:r>
      <w:r w:rsidR="00802EDF" w:rsidRPr="00403604">
        <w:rPr>
          <w:rFonts w:asciiTheme="majorHAnsi" w:hAnsiTheme="majorHAnsi" w:cstheme="majorHAnsi"/>
          <w:b/>
          <w:sz w:val="24"/>
          <w:szCs w:val="24"/>
          <w:lang w:val="ro-RO"/>
        </w:rPr>
        <w:t>destinate deservirii datoriei de stat externe</w:t>
      </w:r>
      <w:r>
        <w:rPr>
          <w:rFonts w:asciiTheme="majorHAnsi" w:hAnsiTheme="majorHAnsi" w:cstheme="majorHAnsi"/>
          <w:sz w:val="24"/>
          <w:szCs w:val="24"/>
          <w:lang w:val="ro-RO"/>
        </w:rPr>
        <w:t xml:space="preserve"> a</w:t>
      </w:r>
      <w:r w:rsidR="00DB090E">
        <w:rPr>
          <w:rFonts w:asciiTheme="majorHAnsi" w:hAnsiTheme="majorHAnsi" w:cstheme="majorHAnsi"/>
          <w:sz w:val="24"/>
          <w:szCs w:val="24"/>
          <w:lang w:val="ro-RO"/>
        </w:rPr>
        <w:t>u</w:t>
      </w:r>
      <w:r>
        <w:rPr>
          <w:rFonts w:asciiTheme="majorHAnsi" w:hAnsiTheme="majorHAnsi" w:cstheme="majorHAnsi"/>
          <w:sz w:val="24"/>
          <w:szCs w:val="24"/>
          <w:lang w:val="ro-RO"/>
        </w:rPr>
        <w:t xml:space="preserve"> constituit 134,5 </w:t>
      </w:r>
      <w:proofErr w:type="spellStart"/>
      <w:r>
        <w:rPr>
          <w:rFonts w:asciiTheme="majorHAnsi" w:hAnsiTheme="majorHAnsi" w:cstheme="majorHAnsi"/>
          <w:sz w:val="24"/>
          <w:szCs w:val="24"/>
          <w:lang w:val="ro-RO"/>
        </w:rPr>
        <w:t>mil.dol.</w:t>
      </w:r>
      <w:r w:rsidR="00802EDF" w:rsidRPr="00D25E02">
        <w:rPr>
          <w:rFonts w:asciiTheme="majorHAnsi" w:hAnsiTheme="majorHAnsi" w:cstheme="majorHAnsi"/>
          <w:sz w:val="24"/>
          <w:szCs w:val="24"/>
          <w:lang w:val="ro-RO"/>
        </w:rPr>
        <w:t>SUA</w:t>
      </w:r>
      <w:proofErr w:type="spellEnd"/>
      <w:r w:rsidR="00802EDF" w:rsidRPr="00D25E02">
        <w:rPr>
          <w:rFonts w:asciiTheme="majorHAnsi" w:hAnsiTheme="majorHAnsi" w:cstheme="majorHAnsi"/>
          <w:sz w:val="24"/>
          <w:szCs w:val="24"/>
          <w:lang w:val="ro-RO"/>
        </w:rPr>
        <w:t xml:space="preserve">, comparativ cu anul </w:t>
      </w:r>
      <w:r>
        <w:rPr>
          <w:rFonts w:asciiTheme="majorHAnsi" w:hAnsiTheme="majorHAnsi" w:cstheme="majorHAnsi"/>
          <w:sz w:val="24"/>
          <w:szCs w:val="24"/>
          <w:lang w:val="ro-RO"/>
        </w:rPr>
        <w:t>2017, major</w:t>
      </w:r>
      <w:r w:rsidR="00DB090E">
        <w:rPr>
          <w:rFonts w:asciiTheme="majorHAnsi" w:hAnsiTheme="majorHAnsi" w:cstheme="majorHAnsi"/>
          <w:sz w:val="24"/>
          <w:szCs w:val="24"/>
          <w:lang w:val="ro-RO"/>
        </w:rPr>
        <w:t>ându-se</w:t>
      </w:r>
      <w:r>
        <w:rPr>
          <w:rFonts w:asciiTheme="majorHAnsi" w:hAnsiTheme="majorHAnsi" w:cstheme="majorHAnsi"/>
          <w:sz w:val="24"/>
          <w:szCs w:val="24"/>
          <w:lang w:val="ro-RO"/>
        </w:rPr>
        <w:t xml:space="preserve"> cu 43,4 </w:t>
      </w:r>
      <w:proofErr w:type="spellStart"/>
      <w:r>
        <w:rPr>
          <w:rFonts w:asciiTheme="majorHAnsi" w:hAnsiTheme="majorHAnsi" w:cstheme="majorHAnsi"/>
          <w:sz w:val="24"/>
          <w:szCs w:val="24"/>
          <w:lang w:val="ro-RO"/>
        </w:rPr>
        <w:t>mil.dol.</w:t>
      </w:r>
      <w:r w:rsidR="00802EDF" w:rsidRPr="00D25E02">
        <w:rPr>
          <w:rFonts w:asciiTheme="majorHAnsi" w:hAnsiTheme="majorHAnsi" w:cstheme="majorHAnsi"/>
          <w:sz w:val="24"/>
          <w:szCs w:val="24"/>
          <w:lang w:val="ro-RO"/>
        </w:rPr>
        <w:t>SUA</w:t>
      </w:r>
      <w:proofErr w:type="spellEnd"/>
      <w:r w:rsidR="00802EDF" w:rsidRPr="00D25E02">
        <w:rPr>
          <w:rFonts w:asciiTheme="majorHAnsi" w:hAnsiTheme="majorHAnsi" w:cstheme="majorHAnsi"/>
          <w:sz w:val="24"/>
          <w:szCs w:val="24"/>
          <w:lang w:val="ro-RO"/>
        </w:rPr>
        <w:t xml:space="preserve">, sau cu 47,7%. Din totalul plăților destinate deservirii datoriei de stat, pentru achitarea sumei principale au fost direcționate 111,9 </w:t>
      </w:r>
      <w:proofErr w:type="spellStart"/>
      <w:r w:rsidR="00802EDF" w:rsidRPr="00D25E02">
        <w:rPr>
          <w:rFonts w:asciiTheme="majorHAnsi" w:hAnsiTheme="majorHAnsi" w:cstheme="majorHAnsi"/>
          <w:sz w:val="24"/>
          <w:szCs w:val="24"/>
          <w:lang w:val="ro-RO"/>
        </w:rPr>
        <w:t>mi</w:t>
      </w:r>
      <w:r w:rsidR="002D0D0D">
        <w:rPr>
          <w:rFonts w:asciiTheme="majorHAnsi" w:hAnsiTheme="majorHAnsi" w:cstheme="majorHAnsi"/>
          <w:sz w:val="24"/>
          <w:szCs w:val="24"/>
          <w:lang w:val="ro-RO"/>
        </w:rPr>
        <w:t>l.</w:t>
      </w:r>
      <w:r>
        <w:rPr>
          <w:rFonts w:asciiTheme="majorHAnsi" w:hAnsiTheme="majorHAnsi" w:cstheme="majorHAnsi"/>
          <w:sz w:val="24"/>
          <w:szCs w:val="24"/>
          <w:lang w:val="ro-RO"/>
        </w:rPr>
        <w:t>dol.SUA</w:t>
      </w:r>
      <w:proofErr w:type="spellEnd"/>
      <w:r>
        <w:rPr>
          <w:rFonts w:asciiTheme="majorHAnsi" w:hAnsiTheme="majorHAnsi" w:cstheme="majorHAnsi"/>
          <w:sz w:val="24"/>
          <w:szCs w:val="24"/>
          <w:lang w:val="ro-RO"/>
        </w:rPr>
        <w:t xml:space="preserve">, </w:t>
      </w:r>
      <w:r w:rsidR="00DB090E" w:rsidRPr="00D25E02">
        <w:rPr>
          <w:rFonts w:asciiTheme="majorHAnsi" w:hAnsiTheme="majorHAnsi" w:cstheme="majorHAnsi"/>
          <w:sz w:val="24"/>
          <w:szCs w:val="24"/>
          <w:lang w:val="ro-RO"/>
        </w:rPr>
        <w:t>sau</w:t>
      </w:r>
      <w:r w:rsidR="00DB090E">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cu 40,2 </w:t>
      </w:r>
      <w:proofErr w:type="spellStart"/>
      <w:r>
        <w:rPr>
          <w:rFonts w:asciiTheme="majorHAnsi" w:hAnsiTheme="majorHAnsi" w:cstheme="majorHAnsi"/>
          <w:sz w:val="24"/>
          <w:szCs w:val="24"/>
          <w:lang w:val="ro-RO"/>
        </w:rPr>
        <w:t>mil.dol.SUA</w:t>
      </w:r>
      <w:proofErr w:type="spellEnd"/>
      <w:r w:rsidR="00DB090E">
        <w:rPr>
          <w:rFonts w:asciiTheme="majorHAnsi" w:hAnsiTheme="majorHAnsi" w:cstheme="majorHAnsi"/>
          <w:sz w:val="24"/>
          <w:szCs w:val="24"/>
          <w:lang w:val="ro-RO"/>
        </w:rPr>
        <w:t xml:space="preserve"> (</w:t>
      </w:r>
      <w:r w:rsidR="00802EDF" w:rsidRPr="00D25E02">
        <w:rPr>
          <w:rFonts w:asciiTheme="majorHAnsi" w:hAnsiTheme="majorHAnsi" w:cstheme="majorHAnsi"/>
          <w:sz w:val="24"/>
          <w:szCs w:val="24"/>
          <w:lang w:val="ro-RO"/>
        </w:rPr>
        <w:t>40,9%</w:t>
      </w:r>
      <w:r w:rsidR="00DB090E">
        <w:rPr>
          <w:rFonts w:asciiTheme="majorHAnsi" w:hAnsiTheme="majorHAnsi" w:cstheme="majorHAnsi"/>
          <w:sz w:val="24"/>
          <w:szCs w:val="24"/>
          <w:lang w:val="ro-RO"/>
        </w:rPr>
        <w:t>)</w:t>
      </w:r>
      <w:r w:rsidR="00802EDF" w:rsidRPr="00D25E02">
        <w:rPr>
          <w:rFonts w:asciiTheme="majorHAnsi" w:hAnsiTheme="majorHAnsi" w:cstheme="majorHAnsi"/>
          <w:sz w:val="24"/>
          <w:szCs w:val="24"/>
          <w:lang w:val="ro-RO"/>
        </w:rPr>
        <w:t xml:space="preserve"> mai mult față de anul precedent. Pentru achitarea ratelor dobân</w:t>
      </w:r>
      <w:r w:rsidR="00DB090E">
        <w:rPr>
          <w:rFonts w:asciiTheme="majorHAnsi" w:hAnsiTheme="majorHAnsi" w:cstheme="majorHAnsi"/>
          <w:sz w:val="24"/>
          <w:szCs w:val="24"/>
          <w:lang w:val="ro-RO"/>
        </w:rPr>
        <w:t>zii</w:t>
      </w:r>
      <w:r w:rsidR="002D0D0D">
        <w:rPr>
          <w:rFonts w:asciiTheme="majorHAnsi" w:hAnsiTheme="majorHAnsi" w:cstheme="majorHAnsi"/>
          <w:sz w:val="24"/>
          <w:szCs w:val="24"/>
          <w:lang w:val="ro-RO"/>
        </w:rPr>
        <w:t xml:space="preserve"> au fost utilizate 22,6 </w:t>
      </w:r>
      <w:proofErr w:type="spellStart"/>
      <w:r w:rsidR="002D0D0D">
        <w:rPr>
          <w:rFonts w:asciiTheme="majorHAnsi" w:hAnsiTheme="majorHAnsi" w:cstheme="majorHAnsi"/>
          <w:sz w:val="24"/>
          <w:szCs w:val="24"/>
          <w:lang w:val="ro-RO"/>
        </w:rPr>
        <w:t>mil.dol.</w:t>
      </w:r>
      <w:r w:rsidR="00802EDF" w:rsidRPr="00D25E02">
        <w:rPr>
          <w:rFonts w:asciiTheme="majorHAnsi" w:hAnsiTheme="majorHAnsi" w:cstheme="majorHAnsi"/>
          <w:sz w:val="24"/>
          <w:szCs w:val="24"/>
          <w:lang w:val="ro-RO"/>
        </w:rPr>
        <w:t>SUA</w:t>
      </w:r>
      <w:proofErr w:type="spellEnd"/>
      <w:r w:rsidR="00802EDF" w:rsidRPr="00D25E02">
        <w:rPr>
          <w:rFonts w:asciiTheme="majorHAnsi" w:hAnsiTheme="majorHAnsi" w:cstheme="majorHAnsi"/>
          <w:sz w:val="24"/>
          <w:szCs w:val="24"/>
          <w:lang w:val="ro-RO"/>
        </w:rPr>
        <w:t xml:space="preserve">, </w:t>
      </w:r>
      <w:r w:rsidR="00DB090E" w:rsidRPr="00D25E02">
        <w:rPr>
          <w:rFonts w:asciiTheme="majorHAnsi" w:hAnsiTheme="majorHAnsi" w:cstheme="majorHAnsi"/>
          <w:sz w:val="24"/>
          <w:szCs w:val="24"/>
          <w:lang w:val="ro-RO"/>
        </w:rPr>
        <w:t xml:space="preserve">sau </w:t>
      </w:r>
      <w:r w:rsidR="00802EDF" w:rsidRPr="00D25E02">
        <w:rPr>
          <w:rFonts w:asciiTheme="majorHAnsi" w:hAnsiTheme="majorHAnsi" w:cstheme="majorHAnsi"/>
          <w:sz w:val="24"/>
          <w:szCs w:val="24"/>
          <w:lang w:val="ro-RO"/>
        </w:rPr>
        <w:t>cu 3,2 mil. dol. SUA</w:t>
      </w:r>
      <w:r w:rsidR="00DB090E">
        <w:rPr>
          <w:rFonts w:asciiTheme="majorHAnsi" w:hAnsiTheme="majorHAnsi" w:cstheme="majorHAnsi"/>
          <w:sz w:val="24"/>
          <w:szCs w:val="24"/>
          <w:lang w:val="ro-RO"/>
        </w:rPr>
        <w:t xml:space="preserve"> (</w:t>
      </w:r>
      <w:r w:rsidR="00802EDF" w:rsidRPr="00D25E02">
        <w:rPr>
          <w:rFonts w:asciiTheme="majorHAnsi" w:hAnsiTheme="majorHAnsi" w:cstheme="majorHAnsi"/>
          <w:sz w:val="24"/>
          <w:szCs w:val="24"/>
          <w:lang w:val="ro-RO"/>
        </w:rPr>
        <w:t>6,0%</w:t>
      </w:r>
      <w:r w:rsidR="00DB090E">
        <w:rPr>
          <w:rFonts w:asciiTheme="majorHAnsi" w:hAnsiTheme="majorHAnsi" w:cstheme="majorHAnsi"/>
          <w:sz w:val="24"/>
          <w:szCs w:val="24"/>
          <w:lang w:val="ro-RO"/>
        </w:rPr>
        <w:t>)</w:t>
      </w:r>
      <w:r w:rsidR="00802EDF" w:rsidRPr="00D25E02">
        <w:rPr>
          <w:rFonts w:asciiTheme="majorHAnsi" w:hAnsiTheme="majorHAnsi" w:cstheme="majorHAnsi"/>
          <w:sz w:val="24"/>
          <w:szCs w:val="24"/>
          <w:lang w:val="ro-RO"/>
        </w:rPr>
        <w:t xml:space="preserve"> mai mult față de anul 2017.</w:t>
      </w:r>
      <w:r w:rsidR="002777CE">
        <w:rPr>
          <w:rFonts w:asciiTheme="majorHAnsi" w:hAnsiTheme="majorHAnsi" w:cstheme="majorHAnsi"/>
          <w:sz w:val="24"/>
          <w:szCs w:val="24"/>
          <w:lang w:val="ro-RO"/>
        </w:rPr>
        <w:t xml:space="preserve"> </w:t>
      </w:r>
      <w:r w:rsidR="002777CE" w:rsidRPr="002777CE">
        <w:rPr>
          <w:rFonts w:asciiTheme="majorHAnsi" w:hAnsiTheme="majorHAnsi" w:cstheme="majorHAnsi"/>
          <w:i/>
          <w:sz w:val="24"/>
          <w:szCs w:val="24"/>
          <w:lang w:val="ro-RO"/>
        </w:rPr>
        <w:t xml:space="preserve">Sinteza cheltuielilor </w:t>
      </w:r>
      <w:r w:rsidR="002777CE">
        <w:rPr>
          <w:rFonts w:asciiTheme="majorHAnsi" w:hAnsiTheme="majorHAnsi" w:cstheme="majorHAnsi"/>
          <w:i/>
          <w:sz w:val="24"/>
          <w:szCs w:val="24"/>
          <w:lang w:val="ro-RO"/>
        </w:rPr>
        <w:t xml:space="preserve">în anii 2016-2018 </w:t>
      </w:r>
      <w:r w:rsidR="002777CE" w:rsidRPr="002777CE">
        <w:rPr>
          <w:rFonts w:asciiTheme="majorHAnsi" w:hAnsiTheme="majorHAnsi" w:cstheme="majorHAnsi"/>
          <w:i/>
          <w:sz w:val="24"/>
          <w:szCs w:val="24"/>
          <w:lang w:val="ro-RO"/>
        </w:rPr>
        <w:t>privind deservirea de stat externă este redată în Tabelul nr.</w:t>
      </w:r>
      <w:r w:rsidR="00802EDF" w:rsidRPr="002777CE">
        <w:rPr>
          <w:rFonts w:asciiTheme="majorHAnsi" w:hAnsiTheme="majorHAnsi" w:cstheme="majorHAnsi"/>
          <w:i/>
          <w:sz w:val="24"/>
          <w:szCs w:val="24"/>
          <w:lang w:val="ro-RO"/>
        </w:rPr>
        <w:t xml:space="preserve"> </w:t>
      </w:r>
      <w:r w:rsidR="00F86CB0">
        <w:rPr>
          <w:rFonts w:asciiTheme="majorHAnsi" w:hAnsiTheme="majorHAnsi" w:cstheme="majorHAnsi"/>
          <w:i/>
          <w:sz w:val="24"/>
          <w:szCs w:val="24"/>
          <w:lang w:val="ro-RO"/>
        </w:rPr>
        <w:t>8</w:t>
      </w:r>
      <w:r w:rsidR="00DB090E">
        <w:rPr>
          <w:rFonts w:asciiTheme="majorHAnsi" w:hAnsiTheme="majorHAnsi" w:cstheme="majorHAnsi"/>
          <w:i/>
          <w:sz w:val="24"/>
          <w:szCs w:val="24"/>
          <w:lang w:val="ro-RO"/>
        </w:rPr>
        <w:t>.</w:t>
      </w:r>
    </w:p>
    <w:p w14:paraId="22700AA4" w14:textId="77777777" w:rsidR="00802EDF" w:rsidRDefault="00802EDF" w:rsidP="00802EDF">
      <w:pPr>
        <w:spacing w:after="0" w:line="276" w:lineRule="auto"/>
        <w:jc w:val="right"/>
        <w:rPr>
          <w:rFonts w:asciiTheme="majorHAnsi" w:hAnsiTheme="majorHAnsi" w:cstheme="majorHAnsi"/>
          <w:b/>
          <w:sz w:val="24"/>
          <w:szCs w:val="24"/>
          <w:lang w:val="ro-RO"/>
        </w:rPr>
      </w:pPr>
      <w:r w:rsidRPr="00D25E02">
        <w:rPr>
          <w:rFonts w:asciiTheme="majorHAnsi" w:hAnsiTheme="majorHAnsi" w:cstheme="majorHAnsi"/>
          <w:b/>
          <w:sz w:val="24"/>
          <w:szCs w:val="24"/>
          <w:lang w:val="ro-RO"/>
        </w:rPr>
        <w:t xml:space="preserve">Tabelul nr. </w:t>
      </w:r>
      <w:r w:rsidR="00F86CB0">
        <w:rPr>
          <w:rFonts w:asciiTheme="majorHAnsi" w:hAnsiTheme="majorHAnsi" w:cstheme="majorHAnsi"/>
          <w:b/>
          <w:sz w:val="24"/>
          <w:szCs w:val="24"/>
          <w:lang w:val="ro-RO"/>
        </w:rPr>
        <w:t>8</w:t>
      </w:r>
    </w:p>
    <w:p w14:paraId="3F5506E0" w14:textId="77777777" w:rsidR="00802EDF" w:rsidRPr="00D25E02" w:rsidRDefault="00802EDF" w:rsidP="00802EDF">
      <w:pPr>
        <w:spacing w:after="0" w:line="276" w:lineRule="auto"/>
        <w:jc w:val="center"/>
        <w:rPr>
          <w:rFonts w:asciiTheme="majorHAnsi" w:hAnsiTheme="majorHAnsi" w:cstheme="majorHAnsi"/>
          <w:b/>
          <w:sz w:val="24"/>
          <w:szCs w:val="24"/>
          <w:lang w:val="ro-RO"/>
        </w:rPr>
      </w:pPr>
      <w:r w:rsidRPr="00D25E02">
        <w:rPr>
          <w:rFonts w:asciiTheme="majorHAnsi" w:hAnsiTheme="majorHAnsi" w:cstheme="majorHAnsi"/>
          <w:b/>
          <w:sz w:val="24"/>
          <w:szCs w:val="24"/>
          <w:lang w:val="ro-RO"/>
        </w:rPr>
        <w:t>Deservirea datoriei de stat externe în anii 2016-2018</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6"/>
        <w:gridCol w:w="850"/>
        <w:gridCol w:w="1276"/>
        <w:gridCol w:w="1559"/>
        <w:gridCol w:w="1251"/>
        <w:gridCol w:w="1584"/>
      </w:tblGrid>
      <w:tr w:rsidR="00802EDF" w:rsidRPr="004570EB" w14:paraId="6F01E816" w14:textId="77777777" w:rsidTr="00F25357">
        <w:tc>
          <w:tcPr>
            <w:tcW w:w="1555" w:type="dxa"/>
            <w:vMerge w:val="restart"/>
            <w:shd w:val="clear" w:color="auto" w:fill="E7E6E6"/>
          </w:tcPr>
          <w:p w14:paraId="3BF59C49" w14:textId="77777777" w:rsidR="00802EDF" w:rsidRPr="004570EB" w:rsidRDefault="00802EDF" w:rsidP="00F25357">
            <w:pPr>
              <w:spacing w:after="0" w:line="276" w:lineRule="auto"/>
              <w:jc w:val="center"/>
              <w:rPr>
                <w:rFonts w:asciiTheme="majorHAnsi" w:hAnsiTheme="majorHAnsi" w:cstheme="majorHAnsi"/>
                <w:b/>
                <w:sz w:val="20"/>
                <w:szCs w:val="20"/>
                <w:lang w:val="ro-RO"/>
              </w:rPr>
            </w:pPr>
          </w:p>
          <w:p w14:paraId="58797F59" w14:textId="77777777" w:rsidR="00802EDF" w:rsidRPr="004570EB" w:rsidRDefault="00802EDF" w:rsidP="00F25357">
            <w:pPr>
              <w:spacing w:after="0" w:line="276" w:lineRule="auto"/>
              <w:jc w:val="center"/>
              <w:rPr>
                <w:rFonts w:asciiTheme="majorHAnsi" w:hAnsiTheme="majorHAnsi" w:cstheme="majorHAnsi"/>
                <w:b/>
                <w:sz w:val="20"/>
                <w:szCs w:val="20"/>
                <w:lang w:val="ro-RO"/>
              </w:rPr>
            </w:pPr>
            <w:r w:rsidRPr="004570EB">
              <w:rPr>
                <w:rFonts w:asciiTheme="majorHAnsi" w:hAnsiTheme="majorHAnsi" w:cstheme="majorHAnsi"/>
                <w:b/>
                <w:sz w:val="20"/>
                <w:szCs w:val="20"/>
                <w:lang w:val="ro-RO"/>
              </w:rPr>
              <w:t>Anul</w:t>
            </w:r>
          </w:p>
        </w:tc>
        <w:tc>
          <w:tcPr>
            <w:tcW w:w="2126" w:type="dxa"/>
            <w:gridSpan w:val="2"/>
            <w:shd w:val="clear" w:color="auto" w:fill="E7E6E6"/>
          </w:tcPr>
          <w:p w14:paraId="48176993" w14:textId="77777777" w:rsidR="00802EDF" w:rsidRPr="004570EB" w:rsidRDefault="00802EDF" w:rsidP="00F25357">
            <w:pPr>
              <w:spacing w:after="0" w:line="276" w:lineRule="auto"/>
              <w:jc w:val="center"/>
              <w:rPr>
                <w:rFonts w:asciiTheme="majorHAnsi" w:hAnsiTheme="majorHAnsi" w:cstheme="majorHAnsi"/>
                <w:b/>
                <w:sz w:val="20"/>
                <w:szCs w:val="20"/>
                <w:lang w:val="ro-RO"/>
              </w:rPr>
            </w:pPr>
            <w:r w:rsidRPr="004570EB">
              <w:rPr>
                <w:rFonts w:asciiTheme="majorHAnsi" w:hAnsiTheme="majorHAnsi" w:cstheme="majorHAnsi"/>
                <w:b/>
                <w:sz w:val="20"/>
                <w:szCs w:val="20"/>
                <w:lang w:val="ro-RO"/>
              </w:rPr>
              <w:t>Total achitat</w:t>
            </w:r>
          </w:p>
        </w:tc>
        <w:tc>
          <w:tcPr>
            <w:tcW w:w="2835" w:type="dxa"/>
            <w:gridSpan w:val="2"/>
            <w:shd w:val="clear" w:color="auto" w:fill="E7E6E6"/>
          </w:tcPr>
          <w:p w14:paraId="453A09FD" w14:textId="77777777" w:rsidR="00802EDF" w:rsidRPr="004570EB" w:rsidRDefault="00802EDF" w:rsidP="00F25357">
            <w:pPr>
              <w:spacing w:after="0" w:line="276" w:lineRule="auto"/>
              <w:jc w:val="center"/>
              <w:rPr>
                <w:rFonts w:asciiTheme="majorHAnsi" w:hAnsiTheme="majorHAnsi" w:cstheme="majorHAnsi"/>
                <w:b/>
                <w:sz w:val="20"/>
                <w:szCs w:val="20"/>
                <w:lang w:val="ro-RO"/>
              </w:rPr>
            </w:pPr>
            <w:r w:rsidRPr="004570EB">
              <w:rPr>
                <w:rFonts w:asciiTheme="majorHAnsi" w:hAnsiTheme="majorHAnsi" w:cstheme="majorHAnsi"/>
                <w:b/>
                <w:sz w:val="20"/>
                <w:szCs w:val="20"/>
                <w:lang w:val="ro-RO"/>
              </w:rPr>
              <w:t>Rambursarea principalului</w:t>
            </w:r>
          </w:p>
        </w:tc>
        <w:tc>
          <w:tcPr>
            <w:tcW w:w="2835" w:type="dxa"/>
            <w:gridSpan w:val="2"/>
            <w:shd w:val="clear" w:color="auto" w:fill="E7E6E6"/>
          </w:tcPr>
          <w:p w14:paraId="5E9E03BA" w14:textId="77777777" w:rsidR="00802EDF" w:rsidRPr="004570EB" w:rsidRDefault="00802EDF" w:rsidP="00F25357">
            <w:pPr>
              <w:spacing w:after="0" w:line="276" w:lineRule="auto"/>
              <w:jc w:val="center"/>
              <w:rPr>
                <w:rFonts w:asciiTheme="majorHAnsi" w:hAnsiTheme="majorHAnsi" w:cstheme="majorHAnsi"/>
                <w:b/>
                <w:sz w:val="20"/>
                <w:szCs w:val="20"/>
                <w:lang w:val="ro-RO"/>
              </w:rPr>
            </w:pPr>
            <w:r w:rsidRPr="004570EB">
              <w:rPr>
                <w:rFonts w:asciiTheme="majorHAnsi" w:hAnsiTheme="majorHAnsi" w:cstheme="majorHAnsi"/>
                <w:b/>
                <w:sz w:val="20"/>
                <w:szCs w:val="20"/>
                <w:lang w:val="ro-RO"/>
              </w:rPr>
              <w:t>Plata dobânzilor și comisioanelor</w:t>
            </w:r>
          </w:p>
        </w:tc>
      </w:tr>
      <w:tr w:rsidR="00802EDF" w:rsidRPr="004570EB" w14:paraId="079F45A0" w14:textId="77777777" w:rsidTr="00F25357">
        <w:tc>
          <w:tcPr>
            <w:tcW w:w="1555" w:type="dxa"/>
            <w:vMerge/>
            <w:shd w:val="clear" w:color="auto" w:fill="E7E6E6"/>
          </w:tcPr>
          <w:p w14:paraId="373174F3" w14:textId="77777777" w:rsidR="00802EDF" w:rsidRPr="004570EB" w:rsidRDefault="00802EDF" w:rsidP="00F25357">
            <w:pPr>
              <w:spacing w:after="0" w:line="276" w:lineRule="auto"/>
              <w:jc w:val="center"/>
              <w:rPr>
                <w:rFonts w:asciiTheme="majorHAnsi" w:hAnsiTheme="majorHAnsi" w:cstheme="majorHAnsi"/>
                <w:b/>
                <w:sz w:val="20"/>
                <w:szCs w:val="20"/>
                <w:lang w:val="ro-RO"/>
              </w:rPr>
            </w:pPr>
          </w:p>
        </w:tc>
        <w:tc>
          <w:tcPr>
            <w:tcW w:w="1276" w:type="dxa"/>
            <w:shd w:val="clear" w:color="auto" w:fill="E7E6E6"/>
          </w:tcPr>
          <w:p w14:paraId="7F6069E9" w14:textId="77777777" w:rsidR="00802EDF" w:rsidRPr="004570EB" w:rsidRDefault="00802EDF" w:rsidP="00F25357">
            <w:pPr>
              <w:spacing w:after="0" w:line="276" w:lineRule="auto"/>
              <w:rPr>
                <w:rFonts w:asciiTheme="majorHAnsi" w:hAnsiTheme="majorHAnsi" w:cstheme="majorHAnsi"/>
                <w:b/>
                <w:sz w:val="20"/>
                <w:szCs w:val="20"/>
                <w:lang w:val="ro-RO"/>
              </w:rPr>
            </w:pPr>
            <w:proofErr w:type="spellStart"/>
            <w:r w:rsidRPr="004570EB">
              <w:rPr>
                <w:rFonts w:asciiTheme="majorHAnsi" w:hAnsiTheme="majorHAnsi" w:cstheme="majorHAnsi"/>
                <w:b/>
                <w:sz w:val="20"/>
                <w:szCs w:val="20"/>
                <w:lang w:val="ro-RO"/>
              </w:rPr>
              <w:t>mil.dol.SUA</w:t>
            </w:r>
            <w:proofErr w:type="spellEnd"/>
          </w:p>
        </w:tc>
        <w:tc>
          <w:tcPr>
            <w:tcW w:w="850" w:type="dxa"/>
            <w:shd w:val="clear" w:color="auto" w:fill="E7E6E6"/>
          </w:tcPr>
          <w:p w14:paraId="30CC1578" w14:textId="1634CD75" w:rsidR="00802EDF" w:rsidRPr="004570EB" w:rsidRDefault="002D0D0D" w:rsidP="00F25357">
            <w:pPr>
              <w:spacing w:after="0" w:line="276" w:lineRule="auto"/>
              <w:rPr>
                <w:rFonts w:asciiTheme="majorHAnsi" w:hAnsiTheme="majorHAnsi" w:cstheme="majorHAnsi"/>
                <w:b/>
                <w:sz w:val="20"/>
                <w:szCs w:val="20"/>
                <w:lang w:val="ro-RO"/>
              </w:rPr>
            </w:pPr>
            <w:proofErr w:type="spellStart"/>
            <w:r>
              <w:rPr>
                <w:rFonts w:asciiTheme="majorHAnsi" w:hAnsiTheme="majorHAnsi" w:cstheme="majorHAnsi"/>
                <w:b/>
                <w:sz w:val="20"/>
                <w:szCs w:val="20"/>
                <w:lang w:val="ro-RO"/>
              </w:rPr>
              <w:t>mil.MDL</w:t>
            </w:r>
            <w:proofErr w:type="spellEnd"/>
          </w:p>
        </w:tc>
        <w:tc>
          <w:tcPr>
            <w:tcW w:w="1276" w:type="dxa"/>
            <w:shd w:val="clear" w:color="auto" w:fill="E7E6E6"/>
          </w:tcPr>
          <w:p w14:paraId="20605FF5" w14:textId="77777777" w:rsidR="00802EDF" w:rsidRPr="004570EB" w:rsidRDefault="00802EDF" w:rsidP="00F25357">
            <w:pPr>
              <w:spacing w:after="0" w:line="276" w:lineRule="auto"/>
              <w:rPr>
                <w:rFonts w:asciiTheme="majorHAnsi" w:hAnsiTheme="majorHAnsi" w:cstheme="majorHAnsi"/>
                <w:b/>
                <w:sz w:val="20"/>
                <w:szCs w:val="20"/>
                <w:lang w:val="ro-RO"/>
              </w:rPr>
            </w:pPr>
            <w:proofErr w:type="spellStart"/>
            <w:r w:rsidRPr="004570EB">
              <w:rPr>
                <w:rFonts w:asciiTheme="majorHAnsi" w:hAnsiTheme="majorHAnsi" w:cstheme="majorHAnsi"/>
                <w:b/>
                <w:sz w:val="20"/>
                <w:szCs w:val="20"/>
                <w:lang w:val="ro-RO"/>
              </w:rPr>
              <w:t>mil.dol.SUA</w:t>
            </w:r>
            <w:proofErr w:type="spellEnd"/>
          </w:p>
        </w:tc>
        <w:tc>
          <w:tcPr>
            <w:tcW w:w="1559" w:type="dxa"/>
            <w:shd w:val="clear" w:color="auto" w:fill="E7E6E6"/>
          </w:tcPr>
          <w:p w14:paraId="2C4DF8CC" w14:textId="77777777" w:rsidR="00802EDF" w:rsidRPr="004570EB" w:rsidRDefault="00802EDF" w:rsidP="00F25357">
            <w:pPr>
              <w:spacing w:after="0" w:line="276" w:lineRule="auto"/>
              <w:rPr>
                <w:rFonts w:asciiTheme="majorHAnsi" w:hAnsiTheme="majorHAnsi" w:cstheme="majorHAnsi"/>
                <w:b/>
                <w:sz w:val="20"/>
                <w:szCs w:val="20"/>
                <w:lang w:val="ro-RO"/>
              </w:rPr>
            </w:pPr>
            <w:proofErr w:type="spellStart"/>
            <w:r w:rsidRPr="004570EB">
              <w:rPr>
                <w:rFonts w:asciiTheme="majorHAnsi" w:hAnsiTheme="majorHAnsi" w:cstheme="majorHAnsi"/>
                <w:b/>
                <w:sz w:val="20"/>
                <w:szCs w:val="20"/>
                <w:lang w:val="ro-RO"/>
              </w:rPr>
              <w:t>mil.</w:t>
            </w:r>
            <w:r w:rsidR="00F040EE" w:rsidRPr="004570EB">
              <w:rPr>
                <w:rFonts w:asciiTheme="majorHAnsi" w:hAnsiTheme="majorHAnsi" w:cstheme="majorHAnsi"/>
                <w:b/>
                <w:sz w:val="20"/>
                <w:szCs w:val="20"/>
                <w:lang w:val="ro-RO"/>
              </w:rPr>
              <w:t>MDL</w:t>
            </w:r>
            <w:proofErr w:type="spellEnd"/>
          </w:p>
        </w:tc>
        <w:tc>
          <w:tcPr>
            <w:tcW w:w="1251" w:type="dxa"/>
            <w:shd w:val="clear" w:color="auto" w:fill="E7E6E6"/>
          </w:tcPr>
          <w:p w14:paraId="464E65D4" w14:textId="77777777" w:rsidR="00802EDF" w:rsidRPr="004570EB" w:rsidRDefault="00802EDF" w:rsidP="00F25357">
            <w:pPr>
              <w:spacing w:after="0" w:line="276" w:lineRule="auto"/>
              <w:rPr>
                <w:rFonts w:asciiTheme="majorHAnsi" w:hAnsiTheme="majorHAnsi" w:cstheme="majorHAnsi"/>
                <w:b/>
                <w:sz w:val="20"/>
                <w:szCs w:val="20"/>
                <w:lang w:val="ro-RO"/>
              </w:rPr>
            </w:pPr>
            <w:proofErr w:type="spellStart"/>
            <w:r w:rsidRPr="004570EB">
              <w:rPr>
                <w:rFonts w:asciiTheme="majorHAnsi" w:hAnsiTheme="majorHAnsi" w:cstheme="majorHAnsi"/>
                <w:b/>
                <w:sz w:val="20"/>
                <w:szCs w:val="20"/>
                <w:lang w:val="ro-RO"/>
              </w:rPr>
              <w:t>mil.dol.SUA</w:t>
            </w:r>
            <w:proofErr w:type="spellEnd"/>
          </w:p>
        </w:tc>
        <w:tc>
          <w:tcPr>
            <w:tcW w:w="1584" w:type="dxa"/>
            <w:shd w:val="clear" w:color="auto" w:fill="E7E6E6"/>
          </w:tcPr>
          <w:p w14:paraId="48A546F0" w14:textId="77777777" w:rsidR="00802EDF" w:rsidRPr="004570EB" w:rsidRDefault="00802EDF" w:rsidP="00F25357">
            <w:pPr>
              <w:spacing w:after="0" w:line="276" w:lineRule="auto"/>
              <w:rPr>
                <w:rFonts w:asciiTheme="majorHAnsi" w:hAnsiTheme="majorHAnsi" w:cstheme="majorHAnsi"/>
                <w:b/>
                <w:sz w:val="20"/>
                <w:szCs w:val="20"/>
                <w:lang w:val="ro-RO"/>
              </w:rPr>
            </w:pPr>
            <w:proofErr w:type="spellStart"/>
            <w:r w:rsidRPr="004570EB">
              <w:rPr>
                <w:rFonts w:asciiTheme="majorHAnsi" w:hAnsiTheme="majorHAnsi" w:cstheme="majorHAnsi"/>
                <w:b/>
                <w:sz w:val="20"/>
                <w:szCs w:val="20"/>
                <w:lang w:val="ro-RO"/>
              </w:rPr>
              <w:t>mil.</w:t>
            </w:r>
            <w:r w:rsidR="00F040EE" w:rsidRPr="004570EB">
              <w:rPr>
                <w:rFonts w:asciiTheme="majorHAnsi" w:hAnsiTheme="majorHAnsi" w:cstheme="majorHAnsi"/>
                <w:b/>
                <w:sz w:val="20"/>
                <w:szCs w:val="20"/>
                <w:lang w:val="ro-RO"/>
              </w:rPr>
              <w:t>MDL</w:t>
            </w:r>
            <w:proofErr w:type="spellEnd"/>
          </w:p>
        </w:tc>
      </w:tr>
      <w:tr w:rsidR="00802EDF" w:rsidRPr="004570EB" w14:paraId="38BD4E09" w14:textId="77777777" w:rsidTr="00F25357">
        <w:tc>
          <w:tcPr>
            <w:tcW w:w="1555" w:type="dxa"/>
          </w:tcPr>
          <w:p w14:paraId="043EB5D7" w14:textId="77777777" w:rsidR="00802EDF" w:rsidRPr="004570EB" w:rsidRDefault="00802EDF" w:rsidP="00F25357">
            <w:pPr>
              <w:spacing w:after="0"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2018</w:t>
            </w:r>
          </w:p>
        </w:tc>
        <w:tc>
          <w:tcPr>
            <w:tcW w:w="1276" w:type="dxa"/>
          </w:tcPr>
          <w:p w14:paraId="74D29ABF" w14:textId="77777777" w:rsidR="00802EDF" w:rsidRPr="004570EB" w:rsidRDefault="00802EDF" w:rsidP="00F25357">
            <w:pPr>
              <w:spacing w:after="0"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134,5</w:t>
            </w:r>
          </w:p>
        </w:tc>
        <w:tc>
          <w:tcPr>
            <w:tcW w:w="850" w:type="dxa"/>
          </w:tcPr>
          <w:p w14:paraId="4E878094" w14:textId="77777777" w:rsidR="00802EDF" w:rsidRPr="004570EB" w:rsidRDefault="00802EDF" w:rsidP="00F25357">
            <w:pPr>
              <w:spacing w:after="0"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2252,9</w:t>
            </w:r>
          </w:p>
        </w:tc>
        <w:tc>
          <w:tcPr>
            <w:tcW w:w="1276" w:type="dxa"/>
          </w:tcPr>
          <w:p w14:paraId="3F5C9CE2" w14:textId="77777777" w:rsidR="00802EDF" w:rsidRPr="004570EB" w:rsidRDefault="00802EDF" w:rsidP="00F25357">
            <w:pPr>
              <w:spacing w:after="0"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111,9</w:t>
            </w:r>
          </w:p>
        </w:tc>
        <w:tc>
          <w:tcPr>
            <w:tcW w:w="1559" w:type="dxa"/>
          </w:tcPr>
          <w:p w14:paraId="5EFB7240" w14:textId="77777777" w:rsidR="00802EDF" w:rsidRPr="004570EB" w:rsidRDefault="00802EDF" w:rsidP="00F25357">
            <w:pPr>
              <w:spacing w:after="0"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1873,4</w:t>
            </w:r>
          </w:p>
        </w:tc>
        <w:tc>
          <w:tcPr>
            <w:tcW w:w="1251" w:type="dxa"/>
          </w:tcPr>
          <w:p w14:paraId="6F5AED85" w14:textId="77777777" w:rsidR="00802EDF" w:rsidRPr="004570EB" w:rsidRDefault="00802EDF" w:rsidP="00F25357">
            <w:pPr>
              <w:spacing w:after="0"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22,6</w:t>
            </w:r>
          </w:p>
        </w:tc>
        <w:tc>
          <w:tcPr>
            <w:tcW w:w="1584" w:type="dxa"/>
          </w:tcPr>
          <w:p w14:paraId="0E56F337" w14:textId="77777777" w:rsidR="00802EDF" w:rsidRPr="004570EB" w:rsidRDefault="00802EDF" w:rsidP="00F25357">
            <w:pPr>
              <w:spacing w:after="0"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379,5</w:t>
            </w:r>
          </w:p>
        </w:tc>
      </w:tr>
      <w:tr w:rsidR="00802EDF" w:rsidRPr="004570EB" w14:paraId="2DACEECA" w14:textId="77777777" w:rsidTr="00F25357">
        <w:tc>
          <w:tcPr>
            <w:tcW w:w="1555" w:type="dxa"/>
          </w:tcPr>
          <w:p w14:paraId="51678CEE" w14:textId="77777777" w:rsidR="00802EDF" w:rsidRPr="004570EB" w:rsidRDefault="00802EDF" w:rsidP="00F25357">
            <w:pPr>
              <w:spacing w:after="0"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2017</w:t>
            </w:r>
          </w:p>
        </w:tc>
        <w:tc>
          <w:tcPr>
            <w:tcW w:w="1276" w:type="dxa"/>
          </w:tcPr>
          <w:p w14:paraId="0C966240" w14:textId="77777777" w:rsidR="00802EDF" w:rsidRPr="004570EB" w:rsidRDefault="00802EDF" w:rsidP="00F25357">
            <w:pPr>
              <w:spacing w:after="0"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91,1</w:t>
            </w:r>
          </w:p>
        </w:tc>
        <w:tc>
          <w:tcPr>
            <w:tcW w:w="850" w:type="dxa"/>
          </w:tcPr>
          <w:p w14:paraId="0043F849" w14:textId="77777777" w:rsidR="00802EDF" w:rsidRPr="004570EB" w:rsidRDefault="00802EDF" w:rsidP="00F25357">
            <w:pPr>
              <w:spacing w:after="0"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1687,6</w:t>
            </w:r>
          </w:p>
        </w:tc>
        <w:tc>
          <w:tcPr>
            <w:tcW w:w="1276" w:type="dxa"/>
          </w:tcPr>
          <w:p w14:paraId="4A98C37D" w14:textId="77777777" w:rsidR="00802EDF" w:rsidRPr="004570EB" w:rsidRDefault="00802EDF" w:rsidP="00F25357">
            <w:pPr>
              <w:spacing w:after="0"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71,7</w:t>
            </w:r>
          </w:p>
        </w:tc>
        <w:tc>
          <w:tcPr>
            <w:tcW w:w="1559" w:type="dxa"/>
          </w:tcPr>
          <w:p w14:paraId="61906A60" w14:textId="77777777" w:rsidR="00802EDF" w:rsidRPr="004570EB" w:rsidRDefault="00802EDF" w:rsidP="00F25357">
            <w:pPr>
              <w:spacing w:after="0"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1329,7</w:t>
            </w:r>
          </w:p>
        </w:tc>
        <w:tc>
          <w:tcPr>
            <w:tcW w:w="1251" w:type="dxa"/>
          </w:tcPr>
          <w:p w14:paraId="7C4DD68A" w14:textId="77777777" w:rsidR="00802EDF" w:rsidRPr="004570EB" w:rsidRDefault="00802EDF" w:rsidP="00F25357">
            <w:pPr>
              <w:spacing w:after="0"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19,4</w:t>
            </w:r>
          </w:p>
        </w:tc>
        <w:tc>
          <w:tcPr>
            <w:tcW w:w="1584" w:type="dxa"/>
          </w:tcPr>
          <w:p w14:paraId="512C5B07" w14:textId="77777777" w:rsidR="00802EDF" w:rsidRPr="004570EB" w:rsidRDefault="00802EDF" w:rsidP="00F25357">
            <w:pPr>
              <w:spacing w:after="0"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357,9</w:t>
            </w:r>
          </w:p>
        </w:tc>
      </w:tr>
      <w:tr w:rsidR="00802EDF" w:rsidRPr="004570EB" w14:paraId="6401A8CB" w14:textId="77777777" w:rsidTr="00F25357">
        <w:tc>
          <w:tcPr>
            <w:tcW w:w="1555" w:type="dxa"/>
          </w:tcPr>
          <w:p w14:paraId="5E518DA7" w14:textId="77777777" w:rsidR="00802EDF" w:rsidRPr="004570EB" w:rsidRDefault="00802EDF" w:rsidP="00F25357">
            <w:pPr>
              <w:spacing w:after="0"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2016</w:t>
            </w:r>
          </w:p>
        </w:tc>
        <w:tc>
          <w:tcPr>
            <w:tcW w:w="1276" w:type="dxa"/>
          </w:tcPr>
          <w:p w14:paraId="79B42A70" w14:textId="77777777" w:rsidR="00802EDF" w:rsidRPr="004570EB" w:rsidRDefault="00802EDF" w:rsidP="00F25357">
            <w:pPr>
              <w:spacing w:after="0"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69,6</w:t>
            </w:r>
          </w:p>
        </w:tc>
        <w:tc>
          <w:tcPr>
            <w:tcW w:w="850" w:type="dxa"/>
          </w:tcPr>
          <w:p w14:paraId="0FCD04AD" w14:textId="77777777" w:rsidR="00802EDF" w:rsidRPr="004570EB" w:rsidRDefault="00802EDF" w:rsidP="00F25357">
            <w:pPr>
              <w:spacing w:after="0"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1392,0</w:t>
            </w:r>
          </w:p>
        </w:tc>
        <w:tc>
          <w:tcPr>
            <w:tcW w:w="1276" w:type="dxa"/>
          </w:tcPr>
          <w:p w14:paraId="4739093C" w14:textId="77777777" w:rsidR="00802EDF" w:rsidRPr="004570EB" w:rsidRDefault="00802EDF" w:rsidP="00F25357">
            <w:pPr>
              <w:spacing w:after="0"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55,3</w:t>
            </w:r>
          </w:p>
        </w:tc>
        <w:tc>
          <w:tcPr>
            <w:tcW w:w="1559" w:type="dxa"/>
          </w:tcPr>
          <w:p w14:paraId="722418F6" w14:textId="77777777" w:rsidR="00802EDF" w:rsidRPr="004570EB" w:rsidRDefault="00802EDF" w:rsidP="00F25357">
            <w:pPr>
              <w:spacing w:after="0"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1107,3</w:t>
            </w:r>
          </w:p>
        </w:tc>
        <w:tc>
          <w:tcPr>
            <w:tcW w:w="1251" w:type="dxa"/>
          </w:tcPr>
          <w:p w14:paraId="6DDE9139" w14:textId="77777777" w:rsidR="00802EDF" w:rsidRPr="004570EB" w:rsidRDefault="00802EDF" w:rsidP="00F25357">
            <w:pPr>
              <w:spacing w:after="0"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14,3</w:t>
            </w:r>
          </w:p>
        </w:tc>
        <w:tc>
          <w:tcPr>
            <w:tcW w:w="1584" w:type="dxa"/>
          </w:tcPr>
          <w:p w14:paraId="0E761B4A" w14:textId="77777777" w:rsidR="00802EDF" w:rsidRPr="004570EB" w:rsidRDefault="00802EDF" w:rsidP="00F25357">
            <w:pPr>
              <w:spacing w:after="0" w:line="276" w:lineRule="auto"/>
              <w:jc w:val="center"/>
              <w:rPr>
                <w:rFonts w:asciiTheme="majorHAnsi" w:hAnsiTheme="majorHAnsi" w:cstheme="majorHAnsi"/>
                <w:sz w:val="20"/>
                <w:szCs w:val="20"/>
                <w:lang w:val="ro-RO"/>
              </w:rPr>
            </w:pPr>
            <w:r w:rsidRPr="004570EB">
              <w:rPr>
                <w:rFonts w:asciiTheme="majorHAnsi" w:hAnsiTheme="majorHAnsi" w:cstheme="majorHAnsi"/>
                <w:sz w:val="20"/>
                <w:szCs w:val="20"/>
                <w:lang w:val="ro-RO"/>
              </w:rPr>
              <w:t>284,6</w:t>
            </w:r>
          </w:p>
        </w:tc>
      </w:tr>
    </w:tbl>
    <w:p w14:paraId="2EB55574" w14:textId="6576BD8E" w:rsidR="00802EDF" w:rsidRPr="00D25E02" w:rsidRDefault="00802EDF" w:rsidP="00802EDF">
      <w:pPr>
        <w:spacing w:after="0" w:line="276" w:lineRule="auto"/>
        <w:rPr>
          <w:rFonts w:asciiTheme="majorHAnsi" w:hAnsiTheme="majorHAnsi" w:cstheme="majorHAnsi"/>
          <w:sz w:val="20"/>
          <w:szCs w:val="20"/>
          <w:lang w:val="ro-RO"/>
        </w:rPr>
      </w:pPr>
      <w:r w:rsidRPr="00D25E02">
        <w:rPr>
          <w:rFonts w:asciiTheme="majorHAnsi" w:hAnsiTheme="majorHAnsi" w:cstheme="majorHAnsi"/>
          <w:b/>
          <w:i/>
          <w:sz w:val="20"/>
          <w:szCs w:val="20"/>
          <w:lang w:val="ro-RO"/>
        </w:rPr>
        <w:t xml:space="preserve"> Sursă:</w:t>
      </w:r>
      <w:r w:rsidRPr="00D25E02">
        <w:rPr>
          <w:rFonts w:asciiTheme="majorHAnsi" w:hAnsiTheme="majorHAnsi" w:cstheme="majorHAnsi"/>
          <w:sz w:val="20"/>
          <w:szCs w:val="20"/>
          <w:lang w:val="ro-RO"/>
        </w:rPr>
        <w:t xml:space="preserve">  </w:t>
      </w:r>
      <w:r w:rsidR="00A443B3">
        <w:rPr>
          <w:rFonts w:asciiTheme="majorHAnsi" w:hAnsiTheme="majorHAnsi" w:cstheme="majorHAnsi"/>
          <w:sz w:val="20"/>
          <w:szCs w:val="20"/>
          <w:lang w:val="ro-RO"/>
        </w:rPr>
        <w:t>I</w:t>
      </w:r>
      <w:r w:rsidRPr="00D25E02">
        <w:rPr>
          <w:rFonts w:asciiTheme="majorHAnsi" w:hAnsiTheme="majorHAnsi" w:cstheme="majorHAnsi"/>
          <w:sz w:val="20"/>
          <w:szCs w:val="20"/>
          <w:lang w:val="ro-RO"/>
        </w:rPr>
        <w:t>nformați</w:t>
      </w:r>
      <w:r w:rsidR="00A443B3">
        <w:rPr>
          <w:rFonts w:asciiTheme="majorHAnsi" w:hAnsiTheme="majorHAnsi" w:cstheme="majorHAnsi"/>
          <w:sz w:val="20"/>
          <w:szCs w:val="20"/>
          <w:lang w:val="ro-RO"/>
        </w:rPr>
        <w:t>a</w:t>
      </w:r>
      <w:r w:rsidRPr="00D25E02">
        <w:rPr>
          <w:rFonts w:asciiTheme="majorHAnsi" w:hAnsiTheme="majorHAnsi" w:cstheme="majorHAnsi"/>
          <w:sz w:val="20"/>
          <w:szCs w:val="20"/>
          <w:lang w:val="ro-RO"/>
        </w:rPr>
        <w:t xml:space="preserve"> MF privind deservirea datoriei de stat externe, pe împrumuturi, în anii 2016-2018.</w:t>
      </w:r>
    </w:p>
    <w:p w14:paraId="7D9C1795" w14:textId="77777777" w:rsidR="00802EDF" w:rsidRPr="00D25E02" w:rsidRDefault="00802EDF" w:rsidP="00802EDF">
      <w:pPr>
        <w:shd w:val="clear" w:color="auto" w:fill="FFFFFF"/>
        <w:spacing w:after="0" w:line="276" w:lineRule="auto"/>
        <w:ind w:firstLine="720"/>
        <w:jc w:val="both"/>
        <w:rPr>
          <w:rFonts w:asciiTheme="majorHAnsi" w:hAnsiTheme="majorHAnsi" w:cstheme="majorHAnsi"/>
          <w:sz w:val="24"/>
          <w:szCs w:val="24"/>
          <w:lang w:val="ro-RO"/>
        </w:rPr>
      </w:pPr>
    </w:p>
    <w:p w14:paraId="6841A42A" w14:textId="1752D930" w:rsidR="00802EDF" w:rsidRPr="00B274DA" w:rsidRDefault="00802EDF" w:rsidP="00802EDF">
      <w:pPr>
        <w:spacing w:after="0" w:line="276" w:lineRule="auto"/>
        <w:ind w:firstLine="720"/>
        <w:jc w:val="both"/>
        <w:rPr>
          <w:rFonts w:asciiTheme="majorHAnsi" w:hAnsiTheme="majorHAnsi" w:cstheme="majorHAnsi"/>
          <w:sz w:val="24"/>
          <w:szCs w:val="24"/>
          <w:lang w:val="ro-RO"/>
        </w:rPr>
      </w:pPr>
      <w:r w:rsidRPr="00D25E02">
        <w:rPr>
          <w:rFonts w:asciiTheme="majorHAnsi" w:hAnsiTheme="majorHAnsi" w:cstheme="majorHAnsi"/>
          <w:sz w:val="24"/>
          <w:szCs w:val="24"/>
          <w:lang w:val="ro-RO"/>
        </w:rPr>
        <w:t>Creșterea cheltuielilor pentru deservirea datoriei de stat externe este cauzată preponderent</w:t>
      </w:r>
      <w:r w:rsidR="00A02E2D">
        <w:rPr>
          <w:rFonts w:asciiTheme="majorHAnsi" w:hAnsiTheme="majorHAnsi" w:cstheme="majorHAnsi"/>
          <w:sz w:val="24"/>
          <w:szCs w:val="24"/>
          <w:lang w:val="ro-RO"/>
        </w:rPr>
        <w:t xml:space="preserve"> de</w:t>
      </w:r>
      <w:r w:rsidRPr="00D25E02">
        <w:rPr>
          <w:rFonts w:asciiTheme="majorHAnsi" w:hAnsiTheme="majorHAnsi" w:cstheme="majorHAnsi"/>
          <w:sz w:val="24"/>
          <w:szCs w:val="24"/>
          <w:lang w:val="ro-RO"/>
        </w:rPr>
        <w:t xml:space="preserve"> </w:t>
      </w:r>
      <w:r w:rsidR="00F86CB0">
        <w:rPr>
          <w:rFonts w:asciiTheme="majorHAnsi" w:hAnsiTheme="majorHAnsi" w:cstheme="majorHAnsi"/>
          <w:sz w:val="24"/>
          <w:szCs w:val="24"/>
          <w:lang w:val="ro-RO"/>
        </w:rPr>
        <w:t>achitarea</w:t>
      </w:r>
      <w:r w:rsidRPr="00D25E02">
        <w:rPr>
          <w:rFonts w:asciiTheme="majorHAnsi" w:hAnsiTheme="majorHAnsi" w:cstheme="majorHAnsi"/>
          <w:sz w:val="24"/>
          <w:szCs w:val="24"/>
          <w:lang w:val="ro-RO"/>
        </w:rPr>
        <w:t xml:space="preserve"> plăților destinate rambursării sumei principale, inclusiv a împrumutului (tranș</w:t>
      </w:r>
      <w:r w:rsidR="000C4243">
        <w:rPr>
          <w:rFonts w:asciiTheme="majorHAnsi" w:hAnsiTheme="majorHAnsi" w:cstheme="majorHAnsi"/>
          <w:sz w:val="24"/>
          <w:szCs w:val="24"/>
          <w:lang w:val="ro-RO"/>
        </w:rPr>
        <w:t>ele</w:t>
      </w:r>
      <w:r w:rsidRPr="00D25E02">
        <w:rPr>
          <w:rFonts w:asciiTheme="majorHAnsi" w:hAnsiTheme="majorHAnsi" w:cstheme="majorHAnsi"/>
          <w:sz w:val="24"/>
          <w:szCs w:val="24"/>
          <w:lang w:val="ro-RO"/>
        </w:rPr>
        <w:t xml:space="preserve"> 2 și 3) acordat de România în anul 2015.</w:t>
      </w:r>
      <w:r w:rsidRPr="00775266">
        <w:rPr>
          <w:rFonts w:asciiTheme="majorHAnsi" w:hAnsiTheme="majorHAnsi" w:cstheme="majorHAnsi"/>
          <w:color w:val="000000"/>
          <w:sz w:val="28"/>
          <w:szCs w:val="28"/>
          <w:highlight w:val="yellow"/>
          <w:lang w:val="ro-RO"/>
        </w:rPr>
        <w:t xml:space="preserve"> </w:t>
      </w:r>
    </w:p>
    <w:p w14:paraId="3943D4F9" w14:textId="77777777" w:rsidR="00802EDF" w:rsidRPr="007B41C9" w:rsidRDefault="00802EDF" w:rsidP="002E2369">
      <w:pPr>
        <w:autoSpaceDE w:val="0"/>
        <w:autoSpaceDN w:val="0"/>
        <w:adjustRightInd w:val="0"/>
        <w:spacing w:after="0" w:line="276" w:lineRule="auto"/>
        <w:ind w:firstLine="720"/>
        <w:jc w:val="both"/>
        <w:rPr>
          <w:rFonts w:asciiTheme="majorHAnsi" w:hAnsiTheme="majorHAnsi" w:cstheme="majorHAnsi"/>
          <w:color w:val="000000"/>
          <w:sz w:val="24"/>
          <w:szCs w:val="24"/>
          <w:lang w:val="ro-RO"/>
        </w:rPr>
      </w:pPr>
    </w:p>
    <w:p w14:paraId="7A4E15A4" w14:textId="77777777" w:rsidR="006E4771" w:rsidRPr="002047F4" w:rsidRDefault="006E4771" w:rsidP="00455178">
      <w:pPr>
        <w:pStyle w:val="2"/>
        <w:numPr>
          <w:ilvl w:val="2"/>
          <w:numId w:val="47"/>
        </w:numPr>
        <w:ind w:hanging="11"/>
        <w:jc w:val="both"/>
        <w:rPr>
          <w:rFonts w:asciiTheme="majorHAnsi" w:hAnsiTheme="majorHAnsi" w:cstheme="majorHAnsi"/>
          <w:b/>
          <w:color w:val="auto"/>
          <w:sz w:val="24"/>
          <w:szCs w:val="24"/>
          <w:lang w:val="ro-RO"/>
        </w:rPr>
      </w:pPr>
      <w:bookmarkStart w:id="26" w:name="_Toc515442963"/>
      <w:bookmarkStart w:id="27" w:name="_Toc484003894"/>
      <w:bookmarkStart w:id="28" w:name="_Toc10106684"/>
      <w:bookmarkEnd w:id="24"/>
      <w:r w:rsidRPr="002047F4">
        <w:rPr>
          <w:rFonts w:asciiTheme="majorHAnsi" w:hAnsiTheme="majorHAnsi" w:cstheme="majorHAnsi"/>
          <w:b/>
          <w:color w:val="auto"/>
          <w:sz w:val="24"/>
          <w:szCs w:val="24"/>
          <w:lang w:val="ro-RO"/>
        </w:rPr>
        <w:lastRenderedPageBreak/>
        <w:t xml:space="preserve">Datoria de stat internă </w:t>
      </w:r>
      <w:bookmarkEnd w:id="26"/>
      <w:bookmarkEnd w:id="27"/>
      <w:r w:rsidR="00A202CC">
        <w:rPr>
          <w:rFonts w:asciiTheme="majorHAnsi" w:hAnsiTheme="majorHAnsi" w:cstheme="majorHAnsi"/>
          <w:b/>
          <w:color w:val="auto"/>
          <w:sz w:val="24"/>
          <w:szCs w:val="24"/>
          <w:lang w:val="ro-RO"/>
        </w:rPr>
        <w:t>a crescut din contul emisiunii VMS pe piața primară.</w:t>
      </w:r>
      <w:bookmarkEnd w:id="28"/>
    </w:p>
    <w:p w14:paraId="20A135D5" w14:textId="77777777" w:rsidR="00080151" w:rsidRPr="002047F4" w:rsidRDefault="00080151" w:rsidP="00080151">
      <w:pPr>
        <w:tabs>
          <w:tab w:val="left" w:pos="284"/>
          <w:tab w:val="left" w:pos="426"/>
          <w:tab w:val="left" w:pos="993"/>
        </w:tabs>
        <w:spacing w:after="0" w:line="240" w:lineRule="auto"/>
        <w:jc w:val="both"/>
        <w:rPr>
          <w:rFonts w:asciiTheme="majorHAnsi" w:hAnsiTheme="majorHAnsi" w:cstheme="majorHAnsi"/>
          <w:b/>
          <w:sz w:val="24"/>
          <w:szCs w:val="24"/>
          <w:lang w:val="ro-RO"/>
        </w:rPr>
      </w:pPr>
    </w:p>
    <w:p w14:paraId="639AEC97" w14:textId="3A933879" w:rsidR="006E4771" w:rsidRPr="002047F4" w:rsidRDefault="000909EF" w:rsidP="006E4771">
      <w:pPr>
        <w:spacing w:after="0" w:line="276" w:lineRule="auto"/>
        <w:ind w:firstLine="720"/>
        <w:jc w:val="both"/>
        <w:rPr>
          <w:rFonts w:asciiTheme="majorHAnsi" w:hAnsiTheme="majorHAnsi" w:cstheme="majorHAnsi"/>
          <w:sz w:val="24"/>
          <w:szCs w:val="24"/>
          <w:lang w:val="ro-RO"/>
        </w:rPr>
      </w:pPr>
      <w:r w:rsidRPr="002047F4">
        <w:rPr>
          <w:rFonts w:asciiTheme="majorHAnsi" w:hAnsiTheme="majorHAnsi" w:cstheme="majorHAnsi"/>
          <w:sz w:val="24"/>
          <w:szCs w:val="24"/>
          <w:lang w:val="ro-RO"/>
        </w:rPr>
        <w:t>La situația din 31.12.2018</w:t>
      </w:r>
      <w:r w:rsidR="00A46CED" w:rsidRPr="002047F4">
        <w:rPr>
          <w:rFonts w:asciiTheme="majorHAnsi" w:hAnsiTheme="majorHAnsi" w:cstheme="majorHAnsi"/>
          <w:sz w:val="24"/>
          <w:szCs w:val="24"/>
          <w:lang w:val="ro-RO"/>
        </w:rPr>
        <w:t>,</w:t>
      </w:r>
      <w:r w:rsidR="006E4771" w:rsidRPr="002047F4">
        <w:rPr>
          <w:rFonts w:asciiTheme="majorHAnsi" w:hAnsiTheme="majorHAnsi" w:cstheme="majorHAnsi"/>
          <w:sz w:val="24"/>
          <w:szCs w:val="24"/>
          <w:lang w:val="ro-RO"/>
        </w:rPr>
        <w:t xml:space="preserve"> soldul datoriei de stat interne </w:t>
      </w:r>
      <w:r w:rsidR="00BC56AE" w:rsidRPr="002047F4">
        <w:rPr>
          <w:rFonts w:asciiTheme="majorHAnsi" w:hAnsiTheme="majorHAnsi" w:cstheme="majorHAnsi"/>
          <w:sz w:val="24"/>
          <w:szCs w:val="24"/>
          <w:lang w:val="ro-RO"/>
        </w:rPr>
        <w:t>a constituit 23</w:t>
      </w:r>
      <w:r w:rsidR="0004444E" w:rsidRPr="002047F4">
        <w:rPr>
          <w:rFonts w:asciiTheme="majorHAnsi" w:hAnsiTheme="majorHAnsi" w:cstheme="majorHAnsi"/>
          <w:sz w:val="24"/>
          <w:szCs w:val="24"/>
          <w:lang w:val="ro-RO"/>
        </w:rPr>
        <w:t xml:space="preserve">058,6 </w:t>
      </w:r>
      <w:proofErr w:type="spellStart"/>
      <w:r w:rsidR="0004444E" w:rsidRPr="002047F4">
        <w:rPr>
          <w:rFonts w:asciiTheme="majorHAnsi" w:hAnsiTheme="majorHAnsi" w:cstheme="majorHAnsi"/>
          <w:sz w:val="24"/>
          <w:szCs w:val="24"/>
          <w:lang w:val="ro-RO"/>
        </w:rPr>
        <w:t>mil.</w:t>
      </w:r>
      <w:r w:rsidR="00BC56AE" w:rsidRPr="002047F4">
        <w:rPr>
          <w:rFonts w:asciiTheme="majorHAnsi" w:hAnsiTheme="majorHAnsi" w:cstheme="majorHAnsi"/>
          <w:sz w:val="24"/>
          <w:szCs w:val="24"/>
          <w:lang w:val="ro-RO"/>
        </w:rPr>
        <w:t>MDL</w:t>
      </w:r>
      <w:proofErr w:type="spellEnd"/>
      <w:r w:rsidR="000C4243">
        <w:rPr>
          <w:rFonts w:asciiTheme="majorHAnsi" w:hAnsiTheme="majorHAnsi" w:cstheme="majorHAnsi"/>
          <w:sz w:val="24"/>
          <w:szCs w:val="24"/>
          <w:lang w:val="ro-RO"/>
        </w:rPr>
        <w:t xml:space="preserve">, </w:t>
      </w:r>
      <w:r w:rsidR="00BC56AE" w:rsidRPr="002047F4">
        <w:rPr>
          <w:rFonts w:asciiTheme="majorHAnsi" w:hAnsiTheme="majorHAnsi" w:cstheme="majorHAnsi"/>
          <w:sz w:val="24"/>
          <w:szCs w:val="24"/>
          <w:lang w:val="ro-RO"/>
        </w:rPr>
        <w:t xml:space="preserve"> </w:t>
      </w:r>
      <w:r w:rsidR="004C5548" w:rsidRPr="002047F4">
        <w:rPr>
          <w:rFonts w:asciiTheme="majorHAnsi" w:hAnsiTheme="majorHAnsi" w:cstheme="majorHAnsi"/>
          <w:sz w:val="24"/>
          <w:szCs w:val="24"/>
          <w:lang w:val="ro-RO"/>
        </w:rPr>
        <w:t>încadrându-se</w:t>
      </w:r>
      <w:r w:rsidR="006E4771" w:rsidRPr="002047F4">
        <w:rPr>
          <w:rFonts w:asciiTheme="majorHAnsi" w:hAnsiTheme="majorHAnsi" w:cstheme="majorHAnsi"/>
          <w:sz w:val="24"/>
          <w:szCs w:val="24"/>
          <w:lang w:val="ro-RO"/>
        </w:rPr>
        <w:t xml:space="preserve"> în plafonul stabilit prin Legea bugetului de st</w:t>
      </w:r>
      <w:r w:rsidR="004C5548" w:rsidRPr="002047F4">
        <w:rPr>
          <w:rFonts w:asciiTheme="majorHAnsi" w:hAnsiTheme="majorHAnsi" w:cstheme="majorHAnsi"/>
          <w:sz w:val="24"/>
          <w:szCs w:val="24"/>
          <w:lang w:val="ro-RO"/>
        </w:rPr>
        <w:t>at pe anul 2018</w:t>
      </w:r>
      <w:r w:rsidR="004C5548" w:rsidRPr="002047F4">
        <w:rPr>
          <w:rStyle w:val="ae"/>
          <w:rFonts w:asciiTheme="majorHAnsi" w:hAnsiTheme="majorHAnsi" w:cstheme="majorHAnsi"/>
          <w:sz w:val="24"/>
          <w:szCs w:val="24"/>
          <w:lang w:val="ro-RO"/>
        </w:rPr>
        <w:footnoteReference w:id="18"/>
      </w:r>
      <w:r w:rsidR="0004444E" w:rsidRPr="002047F4">
        <w:rPr>
          <w:rFonts w:asciiTheme="majorHAnsi" w:hAnsiTheme="majorHAnsi" w:cstheme="majorHAnsi"/>
          <w:sz w:val="24"/>
          <w:szCs w:val="24"/>
          <w:lang w:val="ro-RO"/>
        </w:rPr>
        <w:t>.</w:t>
      </w:r>
    </w:p>
    <w:p w14:paraId="4973503F" w14:textId="2258FD4F" w:rsidR="006E4771" w:rsidRPr="002047F4" w:rsidRDefault="006E4771" w:rsidP="006E4771">
      <w:pPr>
        <w:spacing w:after="0" w:line="276" w:lineRule="auto"/>
        <w:ind w:firstLine="720"/>
        <w:jc w:val="both"/>
        <w:rPr>
          <w:rFonts w:asciiTheme="majorHAnsi" w:hAnsiTheme="majorHAnsi" w:cstheme="majorHAnsi"/>
          <w:sz w:val="24"/>
          <w:szCs w:val="24"/>
          <w:lang w:val="ro-RO"/>
        </w:rPr>
      </w:pPr>
      <w:r w:rsidRPr="002047F4">
        <w:rPr>
          <w:rFonts w:asciiTheme="majorHAnsi" w:hAnsiTheme="majorHAnsi" w:cstheme="majorHAnsi"/>
          <w:sz w:val="24"/>
          <w:szCs w:val="24"/>
          <w:lang w:val="ro-RO"/>
        </w:rPr>
        <w:t xml:space="preserve">În totalul datoriei de stat interne, VMS emise pe </w:t>
      </w:r>
      <w:r w:rsidR="00E124FF" w:rsidRPr="002047F4">
        <w:rPr>
          <w:rFonts w:asciiTheme="majorHAnsi" w:hAnsiTheme="majorHAnsi" w:cstheme="majorHAnsi"/>
          <w:sz w:val="24"/>
          <w:szCs w:val="24"/>
          <w:lang w:val="ro-RO"/>
        </w:rPr>
        <w:t xml:space="preserve">piața primară constituie 7914,0 </w:t>
      </w:r>
      <w:proofErr w:type="spellStart"/>
      <w:r w:rsidR="00E124FF" w:rsidRPr="002047F4">
        <w:rPr>
          <w:rFonts w:asciiTheme="majorHAnsi" w:hAnsiTheme="majorHAnsi" w:cstheme="majorHAnsi"/>
          <w:sz w:val="24"/>
          <w:szCs w:val="24"/>
          <w:lang w:val="ro-RO"/>
        </w:rPr>
        <w:t>mil.MDL</w:t>
      </w:r>
      <w:proofErr w:type="spellEnd"/>
      <w:r w:rsidR="00E124FF" w:rsidRPr="002047F4">
        <w:rPr>
          <w:rFonts w:asciiTheme="majorHAnsi" w:hAnsiTheme="majorHAnsi" w:cstheme="majorHAnsi"/>
          <w:sz w:val="24"/>
          <w:szCs w:val="24"/>
          <w:lang w:val="ro-RO"/>
        </w:rPr>
        <w:t xml:space="preserve"> (34,3</w:t>
      </w:r>
      <w:r w:rsidRPr="002047F4">
        <w:rPr>
          <w:rFonts w:asciiTheme="majorHAnsi" w:hAnsiTheme="majorHAnsi" w:cstheme="majorHAnsi"/>
          <w:sz w:val="24"/>
          <w:szCs w:val="24"/>
          <w:lang w:val="ro-RO"/>
        </w:rPr>
        <w:t xml:space="preserve">%), VMS </w:t>
      </w:r>
      <w:r w:rsidR="00E124FF" w:rsidRPr="002047F4">
        <w:rPr>
          <w:rFonts w:asciiTheme="majorHAnsi" w:hAnsiTheme="majorHAnsi" w:cstheme="majorHAnsi"/>
          <w:sz w:val="24"/>
          <w:szCs w:val="24"/>
          <w:lang w:val="ro-RO"/>
        </w:rPr>
        <w:t xml:space="preserve">convertite – 2063,4 </w:t>
      </w:r>
      <w:proofErr w:type="spellStart"/>
      <w:r w:rsidR="00E124FF" w:rsidRPr="002047F4">
        <w:rPr>
          <w:rFonts w:asciiTheme="majorHAnsi" w:hAnsiTheme="majorHAnsi" w:cstheme="majorHAnsi"/>
          <w:sz w:val="24"/>
          <w:szCs w:val="24"/>
          <w:lang w:val="ro-RO"/>
        </w:rPr>
        <w:t>mil.MDL</w:t>
      </w:r>
      <w:proofErr w:type="spellEnd"/>
      <w:r w:rsidR="00E124FF" w:rsidRPr="002047F4">
        <w:rPr>
          <w:rFonts w:asciiTheme="majorHAnsi" w:hAnsiTheme="majorHAnsi" w:cstheme="majorHAnsi"/>
          <w:sz w:val="24"/>
          <w:szCs w:val="24"/>
          <w:lang w:val="ro-RO"/>
        </w:rPr>
        <w:t xml:space="preserve"> (</w:t>
      </w:r>
      <w:r w:rsidR="00DA66F8">
        <w:rPr>
          <w:rFonts w:asciiTheme="majorHAnsi" w:hAnsiTheme="majorHAnsi" w:cstheme="majorHAnsi"/>
          <w:sz w:val="24"/>
          <w:szCs w:val="24"/>
          <w:lang w:val="ro-RO"/>
        </w:rPr>
        <w:t>9,0</w:t>
      </w:r>
      <w:r w:rsidRPr="002047F4">
        <w:rPr>
          <w:rFonts w:asciiTheme="majorHAnsi" w:hAnsiTheme="majorHAnsi" w:cstheme="majorHAnsi"/>
          <w:sz w:val="24"/>
          <w:szCs w:val="24"/>
          <w:lang w:val="ro-RO"/>
        </w:rPr>
        <w:t xml:space="preserve">%), și VMS emise pentru </w:t>
      </w:r>
      <w:r w:rsidR="008B1271" w:rsidRPr="00683E21">
        <w:rPr>
          <w:rFonts w:asciiTheme="majorHAnsi" w:hAnsiTheme="majorHAnsi" w:cstheme="majorHAnsi"/>
          <w:bCs/>
          <w:sz w:val="24"/>
          <w:szCs w:val="24"/>
          <w:lang w:val="ro-MD"/>
        </w:rPr>
        <w:t xml:space="preserve">obligațiile de plată derivate din </w:t>
      </w:r>
      <w:proofErr w:type="spellStart"/>
      <w:r w:rsidR="008B1271" w:rsidRPr="00683E21">
        <w:rPr>
          <w:rFonts w:asciiTheme="majorHAnsi" w:hAnsiTheme="majorHAnsi" w:cstheme="majorHAnsi"/>
          <w:bCs/>
          <w:sz w:val="24"/>
          <w:szCs w:val="24"/>
          <w:lang w:val="ro-MD"/>
        </w:rPr>
        <w:t>garanţiile</w:t>
      </w:r>
      <w:proofErr w:type="spellEnd"/>
      <w:r w:rsidR="008B1271" w:rsidRPr="00683E21">
        <w:rPr>
          <w:rFonts w:asciiTheme="majorHAnsi" w:hAnsiTheme="majorHAnsi" w:cstheme="majorHAnsi"/>
          <w:bCs/>
          <w:sz w:val="24"/>
          <w:szCs w:val="24"/>
          <w:lang w:val="ro-MD"/>
        </w:rPr>
        <w:t xml:space="preserve"> de stat</w:t>
      </w:r>
      <w:r w:rsidRPr="002047F4">
        <w:rPr>
          <w:rStyle w:val="ae"/>
          <w:rFonts w:asciiTheme="majorHAnsi" w:hAnsiTheme="majorHAnsi" w:cstheme="majorHAnsi"/>
          <w:sz w:val="24"/>
          <w:szCs w:val="24"/>
          <w:lang w:val="ro-RO"/>
        </w:rPr>
        <w:footnoteReference w:id="19"/>
      </w:r>
      <w:r w:rsidRPr="002047F4">
        <w:rPr>
          <w:rFonts w:asciiTheme="majorHAnsi" w:hAnsiTheme="majorHAnsi" w:cstheme="majorHAnsi"/>
          <w:sz w:val="24"/>
          <w:szCs w:val="24"/>
          <w:lang w:val="ro-RO"/>
        </w:rPr>
        <w:t xml:space="preserve"> – </w:t>
      </w:r>
      <w:r w:rsidR="00E124FF" w:rsidRPr="002047F4">
        <w:rPr>
          <w:rFonts w:asciiTheme="majorHAnsi" w:hAnsiTheme="majorHAnsi" w:cstheme="majorHAnsi"/>
          <w:sz w:val="24"/>
          <w:szCs w:val="24"/>
          <w:lang w:val="ro-RO"/>
        </w:rPr>
        <w:t>13081</w:t>
      </w:r>
      <w:r w:rsidRPr="002047F4">
        <w:rPr>
          <w:rFonts w:asciiTheme="majorHAnsi" w:hAnsiTheme="majorHAnsi" w:cstheme="majorHAnsi"/>
          <w:sz w:val="24"/>
          <w:szCs w:val="24"/>
          <w:lang w:val="ro-RO"/>
        </w:rPr>
        <w:t xml:space="preserve">,2 </w:t>
      </w:r>
      <w:proofErr w:type="spellStart"/>
      <w:r w:rsidRPr="002047F4">
        <w:rPr>
          <w:rFonts w:asciiTheme="majorHAnsi" w:hAnsiTheme="majorHAnsi" w:cstheme="majorHAnsi"/>
          <w:sz w:val="24"/>
          <w:szCs w:val="24"/>
          <w:lang w:val="ro-RO"/>
        </w:rPr>
        <w:t>mi</w:t>
      </w:r>
      <w:r w:rsidR="00E124FF" w:rsidRPr="002047F4">
        <w:rPr>
          <w:rFonts w:asciiTheme="majorHAnsi" w:hAnsiTheme="majorHAnsi" w:cstheme="majorHAnsi"/>
          <w:sz w:val="24"/>
          <w:szCs w:val="24"/>
          <w:lang w:val="ro-RO"/>
        </w:rPr>
        <w:t>l.MDL</w:t>
      </w:r>
      <w:proofErr w:type="spellEnd"/>
      <w:r w:rsidR="00E124FF" w:rsidRPr="002047F4">
        <w:rPr>
          <w:rFonts w:asciiTheme="majorHAnsi" w:hAnsiTheme="majorHAnsi" w:cstheme="majorHAnsi"/>
          <w:sz w:val="24"/>
          <w:szCs w:val="24"/>
          <w:lang w:val="ro-RO"/>
        </w:rPr>
        <w:t xml:space="preserve"> (56,7</w:t>
      </w:r>
      <w:r w:rsidRPr="002047F4">
        <w:rPr>
          <w:rFonts w:asciiTheme="majorHAnsi" w:hAnsiTheme="majorHAnsi" w:cstheme="majorHAnsi"/>
          <w:sz w:val="24"/>
          <w:szCs w:val="24"/>
          <w:lang w:val="ro-RO"/>
        </w:rPr>
        <w:t xml:space="preserve">%). </w:t>
      </w:r>
    </w:p>
    <w:p w14:paraId="67DA503C" w14:textId="7A8827F1" w:rsidR="008642C5" w:rsidRPr="002047F4" w:rsidRDefault="003D1B15" w:rsidP="008642C5">
      <w:pPr>
        <w:spacing w:after="0" w:line="276" w:lineRule="auto"/>
        <w:ind w:firstLine="720"/>
        <w:jc w:val="both"/>
        <w:rPr>
          <w:rFonts w:asciiTheme="majorHAnsi" w:hAnsiTheme="majorHAnsi" w:cstheme="majorHAnsi"/>
          <w:sz w:val="24"/>
          <w:szCs w:val="24"/>
          <w:lang w:val="ro-RO"/>
        </w:rPr>
      </w:pPr>
      <w:r w:rsidRPr="002047F4">
        <w:rPr>
          <w:rFonts w:asciiTheme="majorHAnsi" w:hAnsiTheme="majorHAnsi" w:cstheme="majorHAnsi"/>
          <w:sz w:val="24"/>
          <w:szCs w:val="24"/>
          <w:lang w:val="ro-RO"/>
        </w:rPr>
        <w:t xml:space="preserve">Astfel, </w:t>
      </w:r>
      <w:r w:rsidR="006E4771" w:rsidRPr="002047F4">
        <w:rPr>
          <w:rFonts w:asciiTheme="majorHAnsi" w:hAnsiTheme="majorHAnsi" w:cstheme="majorHAnsi"/>
          <w:sz w:val="24"/>
          <w:szCs w:val="24"/>
          <w:lang w:val="ro-RO"/>
        </w:rPr>
        <w:t xml:space="preserve">datoria de stat internă a crescut </w:t>
      </w:r>
      <w:r w:rsidR="00F86CB0">
        <w:rPr>
          <w:rFonts w:asciiTheme="majorHAnsi" w:hAnsiTheme="majorHAnsi" w:cstheme="majorHAnsi"/>
          <w:sz w:val="24"/>
          <w:szCs w:val="24"/>
          <w:lang w:val="ro-RO"/>
        </w:rPr>
        <w:t>în anul 2018</w:t>
      </w:r>
      <w:r w:rsidR="000C4243">
        <w:rPr>
          <w:rFonts w:asciiTheme="majorHAnsi" w:hAnsiTheme="majorHAnsi" w:cstheme="majorHAnsi"/>
          <w:sz w:val="24"/>
          <w:szCs w:val="24"/>
          <w:lang w:val="ro-RO"/>
        </w:rPr>
        <w:t>,</w:t>
      </w:r>
      <w:r w:rsidR="00F86CB0">
        <w:rPr>
          <w:rFonts w:asciiTheme="majorHAnsi" w:hAnsiTheme="majorHAnsi" w:cstheme="majorHAnsi"/>
          <w:sz w:val="24"/>
          <w:szCs w:val="24"/>
          <w:lang w:val="ro-RO"/>
        </w:rPr>
        <w:t xml:space="preserve"> față de </w:t>
      </w:r>
      <w:r w:rsidR="000C4243">
        <w:rPr>
          <w:rFonts w:asciiTheme="majorHAnsi" w:hAnsiTheme="majorHAnsi" w:cstheme="majorHAnsi"/>
          <w:sz w:val="24"/>
          <w:szCs w:val="24"/>
          <w:lang w:val="ro-RO"/>
        </w:rPr>
        <w:t xml:space="preserve">anul </w:t>
      </w:r>
      <w:r w:rsidR="00F86CB0">
        <w:rPr>
          <w:rFonts w:asciiTheme="majorHAnsi" w:hAnsiTheme="majorHAnsi" w:cstheme="majorHAnsi"/>
          <w:sz w:val="24"/>
          <w:szCs w:val="24"/>
          <w:lang w:val="ro-RO"/>
        </w:rPr>
        <w:t>2017</w:t>
      </w:r>
      <w:r w:rsidR="000C4243">
        <w:rPr>
          <w:rFonts w:asciiTheme="majorHAnsi" w:hAnsiTheme="majorHAnsi" w:cstheme="majorHAnsi"/>
          <w:sz w:val="24"/>
          <w:szCs w:val="24"/>
          <w:lang w:val="ro-RO"/>
        </w:rPr>
        <w:t>,</w:t>
      </w:r>
      <w:r w:rsidRPr="002047F4">
        <w:rPr>
          <w:rFonts w:asciiTheme="majorHAnsi" w:hAnsiTheme="majorHAnsi" w:cstheme="majorHAnsi"/>
          <w:sz w:val="24"/>
          <w:szCs w:val="24"/>
          <w:lang w:val="ro-RO"/>
        </w:rPr>
        <w:t xml:space="preserve"> </w:t>
      </w:r>
      <w:r w:rsidR="006E4771" w:rsidRPr="002047F4">
        <w:rPr>
          <w:rFonts w:asciiTheme="majorHAnsi" w:hAnsiTheme="majorHAnsi" w:cstheme="majorHAnsi"/>
          <w:sz w:val="24"/>
          <w:szCs w:val="24"/>
          <w:lang w:val="ro-RO"/>
        </w:rPr>
        <w:t xml:space="preserve">cu </w:t>
      </w:r>
      <w:r w:rsidRPr="002047F4">
        <w:rPr>
          <w:rFonts w:asciiTheme="majorHAnsi" w:hAnsiTheme="majorHAnsi" w:cstheme="majorHAnsi"/>
          <w:sz w:val="24"/>
          <w:szCs w:val="24"/>
          <w:lang w:val="ro-RO"/>
        </w:rPr>
        <w:t>480,0</w:t>
      </w:r>
      <w:r w:rsidR="006E4771" w:rsidRPr="002047F4">
        <w:rPr>
          <w:rFonts w:asciiTheme="majorHAnsi" w:hAnsiTheme="majorHAnsi" w:cstheme="majorHAnsi"/>
          <w:sz w:val="24"/>
          <w:szCs w:val="24"/>
          <w:lang w:val="ro-RO"/>
        </w:rPr>
        <w:t xml:space="preserve"> </w:t>
      </w:r>
      <w:proofErr w:type="spellStart"/>
      <w:r w:rsidR="006E4771"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006E4771" w:rsidRPr="002047F4">
        <w:rPr>
          <w:rFonts w:asciiTheme="majorHAnsi" w:hAnsiTheme="majorHAnsi" w:cstheme="majorHAnsi"/>
          <w:sz w:val="24"/>
          <w:szCs w:val="24"/>
          <w:lang w:val="ro-RO"/>
        </w:rPr>
        <w:t xml:space="preserve"> (+</w:t>
      </w:r>
      <w:r w:rsidRPr="002047F4">
        <w:rPr>
          <w:rFonts w:asciiTheme="majorHAnsi" w:hAnsiTheme="majorHAnsi" w:cstheme="majorHAnsi"/>
          <w:sz w:val="24"/>
          <w:szCs w:val="24"/>
          <w:lang w:val="ro-RO"/>
        </w:rPr>
        <w:t>2,1</w:t>
      </w:r>
      <w:r w:rsidR="005D5172" w:rsidRPr="002047F4">
        <w:rPr>
          <w:rFonts w:asciiTheme="majorHAnsi" w:hAnsiTheme="majorHAnsi" w:cstheme="majorHAnsi"/>
          <w:sz w:val="24"/>
          <w:szCs w:val="24"/>
          <w:lang w:val="ro-RO"/>
        </w:rPr>
        <w:t>%). Modificarea soldului datoriei de stat interne a fost cauzat</w:t>
      </w:r>
      <w:r w:rsidR="00C064CA">
        <w:rPr>
          <w:rFonts w:asciiTheme="majorHAnsi" w:hAnsiTheme="majorHAnsi" w:cstheme="majorHAnsi"/>
          <w:sz w:val="24"/>
          <w:szCs w:val="24"/>
          <w:lang w:val="ro-RO"/>
        </w:rPr>
        <w:t>ă</w:t>
      </w:r>
      <w:r w:rsidR="005D5172" w:rsidRPr="002047F4">
        <w:rPr>
          <w:rFonts w:asciiTheme="majorHAnsi" w:hAnsiTheme="majorHAnsi" w:cstheme="majorHAnsi"/>
          <w:sz w:val="24"/>
          <w:szCs w:val="24"/>
          <w:lang w:val="ro-RO"/>
        </w:rPr>
        <w:t xml:space="preserve"> de</w:t>
      </w:r>
      <w:r w:rsidR="006E4771" w:rsidRPr="002047F4">
        <w:rPr>
          <w:rFonts w:asciiTheme="majorHAnsi" w:hAnsiTheme="majorHAnsi" w:cstheme="majorHAnsi"/>
          <w:sz w:val="24"/>
          <w:szCs w:val="24"/>
          <w:lang w:val="ro-RO"/>
        </w:rPr>
        <w:t xml:space="preserve"> </w:t>
      </w:r>
      <w:r w:rsidR="005D5172" w:rsidRPr="002047F4">
        <w:rPr>
          <w:rFonts w:asciiTheme="majorHAnsi" w:hAnsiTheme="majorHAnsi" w:cstheme="majorHAnsi"/>
          <w:sz w:val="24"/>
          <w:szCs w:val="24"/>
          <w:lang w:val="ro-RO"/>
        </w:rPr>
        <w:t>emisiunea</w:t>
      </w:r>
      <w:r w:rsidR="006E4771" w:rsidRPr="009561CB">
        <w:rPr>
          <w:rFonts w:asciiTheme="majorHAnsi" w:hAnsiTheme="majorHAnsi" w:cstheme="majorHAnsi"/>
          <w:sz w:val="24"/>
          <w:szCs w:val="24"/>
          <w:lang w:val="ro-RO"/>
        </w:rPr>
        <w:t xml:space="preserve"> </w:t>
      </w:r>
      <w:r w:rsidR="00DA66F8">
        <w:rPr>
          <w:rFonts w:asciiTheme="majorHAnsi" w:hAnsiTheme="majorHAnsi" w:cstheme="majorHAnsi"/>
          <w:sz w:val="24"/>
          <w:szCs w:val="24"/>
          <w:lang w:val="ro-RO"/>
        </w:rPr>
        <w:t>netă a</w:t>
      </w:r>
      <w:r w:rsidR="006E4771" w:rsidRPr="002047F4">
        <w:rPr>
          <w:rFonts w:asciiTheme="majorHAnsi" w:hAnsiTheme="majorHAnsi" w:cstheme="majorHAnsi"/>
          <w:sz w:val="24"/>
          <w:szCs w:val="24"/>
          <w:lang w:val="ro-RO"/>
        </w:rPr>
        <w:t xml:space="preserve"> VMS pe piața primară (+</w:t>
      </w:r>
      <w:r w:rsidR="00A01B7C" w:rsidRPr="002047F4">
        <w:rPr>
          <w:rFonts w:asciiTheme="majorHAnsi" w:hAnsiTheme="majorHAnsi" w:cstheme="majorHAnsi"/>
          <w:sz w:val="24"/>
          <w:szCs w:val="24"/>
          <w:lang w:val="ro-RO"/>
        </w:rPr>
        <w:t>690,0</w:t>
      </w:r>
      <w:r w:rsidR="006E4771" w:rsidRPr="002047F4">
        <w:rPr>
          <w:rFonts w:asciiTheme="majorHAnsi" w:hAnsiTheme="majorHAnsi" w:cstheme="majorHAnsi"/>
          <w:sz w:val="24"/>
          <w:szCs w:val="24"/>
          <w:lang w:val="ro-RO"/>
        </w:rPr>
        <w:t xml:space="preserve"> </w:t>
      </w:r>
      <w:proofErr w:type="spellStart"/>
      <w:r w:rsidR="006E4771"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006E4771" w:rsidRPr="002047F4">
        <w:rPr>
          <w:rFonts w:asciiTheme="majorHAnsi" w:hAnsiTheme="majorHAnsi" w:cstheme="majorHAnsi"/>
          <w:sz w:val="24"/>
          <w:szCs w:val="24"/>
          <w:lang w:val="ro-RO"/>
        </w:rPr>
        <w:t xml:space="preserve">) și </w:t>
      </w:r>
      <w:r w:rsidR="00C064CA">
        <w:rPr>
          <w:rFonts w:asciiTheme="majorHAnsi" w:hAnsiTheme="majorHAnsi" w:cstheme="majorHAnsi"/>
          <w:sz w:val="24"/>
          <w:szCs w:val="24"/>
          <w:lang w:val="ro-RO"/>
        </w:rPr>
        <w:t xml:space="preserve">de </w:t>
      </w:r>
      <w:r w:rsidR="00754A71" w:rsidRPr="002047F4">
        <w:rPr>
          <w:rFonts w:asciiTheme="majorHAnsi" w:hAnsiTheme="majorHAnsi" w:cstheme="majorHAnsi"/>
          <w:sz w:val="24"/>
          <w:szCs w:val="24"/>
          <w:lang w:val="ro-RO"/>
        </w:rPr>
        <w:t>răscumpăr</w:t>
      </w:r>
      <w:r w:rsidR="00C064CA">
        <w:rPr>
          <w:rFonts w:asciiTheme="majorHAnsi" w:hAnsiTheme="majorHAnsi" w:cstheme="majorHAnsi"/>
          <w:sz w:val="24"/>
          <w:szCs w:val="24"/>
          <w:lang w:val="ro-RO"/>
        </w:rPr>
        <w:t>area</w:t>
      </w:r>
      <w:r w:rsidR="00754A71" w:rsidRPr="002047F4">
        <w:rPr>
          <w:rFonts w:asciiTheme="majorHAnsi" w:hAnsiTheme="majorHAnsi" w:cstheme="majorHAnsi"/>
          <w:sz w:val="24"/>
          <w:szCs w:val="24"/>
          <w:lang w:val="ro-RO"/>
        </w:rPr>
        <w:t xml:space="preserve"> VMS emise pentru executarea obligațiilor de plată derivate din garanțiile de stat (-210,0 </w:t>
      </w:r>
      <w:proofErr w:type="spellStart"/>
      <w:r w:rsidR="00754A71" w:rsidRPr="002047F4">
        <w:rPr>
          <w:rFonts w:asciiTheme="majorHAnsi" w:hAnsiTheme="majorHAnsi" w:cstheme="majorHAnsi"/>
          <w:sz w:val="24"/>
          <w:szCs w:val="24"/>
          <w:lang w:val="ro-RO"/>
        </w:rPr>
        <w:t>mil.MDL</w:t>
      </w:r>
      <w:proofErr w:type="spellEnd"/>
      <w:r w:rsidR="00754A71" w:rsidRPr="002047F4">
        <w:rPr>
          <w:rFonts w:asciiTheme="majorHAnsi" w:hAnsiTheme="majorHAnsi" w:cstheme="majorHAnsi"/>
          <w:sz w:val="24"/>
          <w:szCs w:val="24"/>
          <w:lang w:val="ro-RO"/>
        </w:rPr>
        <w:t>)</w:t>
      </w:r>
      <w:r w:rsidR="006E4771" w:rsidRPr="002047F4">
        <w:rPr>
          <w:rFonts w:asciiTheme="majorHAnsi" w:hAnsiTheme="majorHAnsi" w:cstheme="majorHAnsi"/>
          <w:sz w:val="24"/>
          <w:szCs w:val="24"/>
          <w:lang w:val="ro-RO"/>
        </w:rPr>
        <w:t xml:space="preserve">. </w:t>
      </w:r>
    </w:p>
    <w:p w14:paraId="3D44F559" w14:textId="54714575" w:rsidR="008642C5" w:rsidRPr="002047F4" w:rsidRDefault="008642C5" w:rsidP="0017650D">
      <w:pPr>
        <w:spacing w:after="0" w:line="276" w:lineRule="auto"/>
        <w:ind w:firstLine="720"/>
        <w:jc w:val="both"/>
        <w:rPr>
          <w:rFonts w:asciiTheme="majorHAnsi" w:hAnsiTheme="majorHAnsi" w:cstheme="majorHAnsi"/>
          <w:i/>
          <w:sz w:val="24"/>
          <w:szCs w:val="24"/>
          <w:lang w:val="ro-RO"/>
        </w:rPr>
      </w:pPr>
      <w:r w:rsidRPr="002047F4">
        <w:rPr>
          <w:rFonts w:asciiTheme="majorHAnsi" w:hAnsiTheme="majorHAnsi" w:cstheme="majorHAnsi"/>
          <w:sz w:val="24"/>
          <w:szCs w:val="24"/>
          <w:lang w:val="ro-RO"/>
        </w:rPr>
        <w:t>De asemenea, auditul relevă că ponderea datoriei după maturitatea rămasă pe termen scurt și pe termen lung s-a modificat neesențial. Astfel, ponderea datoriei de stat pe termen scurt</w:t>
      </w:r>
      <w:r w:rsidR="00C064CA">
        <w:rPr>
          <w:rFonts w:asciiTheme="majorHAnsi" w:hAnsiTheme="majorHAnsi" w:cstheme="majorHAnsi"/>
          <w:sz w:val="24"/>
          <w:szCs w:val="24"/>
          <w:lang w:val="ro-RO"/>
        </w:rPr>
        <w:t>,</w:t>
      </w:r>
      <w:r w:rsidRPr="002047F4">
        <w:rPr>
          <w:rFonts w:asciiTheme="majorHAnsi" w:hAnsiTheme="majorHAnsi" w:cstheme="majorHAnsi"/>
          <w:sz w:val="24"/>
          <w:szCs w:val="24"/>
          <w:lang w:val="ro-RO"/>
        </w:rPr>
        <w:t xml:space="preserve"> în tota</w:t>
      </w:r>
      <w:r w:rsidR="00F86CB0">
        <w:rPr>
          <w:rFonts w:asciiTheme="majorHAnsi" w:hAnsiTheme="majorHAnsi" w:cstheme="majorHAnsi"/>
          <w:sz w:val="24"/>
          <w:szCs w:val="24"/>
          <w:lang w:val="ro-RO"/>
        </w:rPr>
        <w:t>l</w:t>
      </w:r>
      <w:r w:rsidR="00C064CA">
        <w:rPr>
          <w:rFonts w:asciiTheme="majorHAnsi" w:hAnsiTheme="majorHAnsi" w:cstheme="majorHAnsi"/>
          <w:sz w:val="24"/>
          <w:szCs w:val="24"/>
          <w:lang w:val="ro-RO"/>
        </w:rPr>
        <w:t>,</w:t>
      </w:r>
      <w:r w:rsidR="00F86CB0">
        <w:rPr>
          <w:rFonts w:asciiTheme="majorHAnsi" w:hAnsiTheme="majorHAnsi" w:cstheme="majorHAnsi"/>
          <w:sz w:val="24"/>
          <w:szCs w:val="24"/>
          <w:lang w:val="ro-RO"/>
        </w:rPr>
        <w:t xml:space="preserve"> s-a diminuat față de anul 2017</w:t>
      </w:r>
      <w:r w:rsidRPr="002047F4">
        <w:rPr>
          <w:rFonts w:asciiTheme="majorHAnsi" w:hAnsiTheme="majorHAnsi" w:cstheme="majorHAnsi"/>
          <w:sz w:val="24"/>
          <w:szCs w:val="24"/>
          <w:lang w:val="ro-RO"/>
        </w:rPr>
        <w:t xml:space="preserve"> cu </w:t>
      </w:r>
      <w:r w:rsidR="0017650D" w:rsidRPr="002047F4">
        <w:rPr>
          <w:rFonts w:asciiTheme="majorHAnsi" w:hAnsiTheme="majorHAnsi" w:cstheme="majorHAnsi"/>
          <w:sz w:val="24"/>
          <w:szCs w:val="24"/>
          <w:lang w:val="ro-RO"/>
        </w:rPr>
        <w:t xml:space="preserve">1,3 </w:t>
      </w:r>
      <w:proofErr w:type="spellStart"/>
      <w:r w:rsidR="0017650D" w:rsidRPr="002047F4">
        <w:rPr>
          <w:rFonts w:asciiTheme="majorHAnsi" w:hAnsiTheme="majorHAnsi" w:cstheme="majorHAnsi"/>
          <w:sz w:val="24"/>
          <w:szCs w:val="24"/>
          <w:lang w:val="ro-RO"/>
        </w:rPr>
        <w:t>p.p.</w:t>
      </w:r>
      <w:proofErr w:type="spellEnd"/>
      <w:r w:rsidR="00C064CA">
        <w:rPr>
          <w:rFonts w:asciiTheme="majorHAnsi" w:hAnsiTheme="majorHAnsi" w:cstheme="majorHAnsi"/>
          <w:sz w:val="24"/>
          <w:szCs w:val="24"/>
          <w:lang w:val="ro-RO"/>
        </w:rPr>
        <w:t>,</w:t>
      </w:r>
      <w:r w:rsidR="0017650D" w:rsidRPr="002047F4">
        <w:rPr>
          <w:rFonts w:asciiTheme="majorHAnsi" w:hAnsiTheme="majorHAnsi" w:cstheme="majorHAnsi"/>
          <w:sz w:val="24"/>
          <w:szCs w:val="24"/>
          <w:lang w:val="ro-RO"/>
        </w:rPr>
        <w:t xml:space="preserve"> constituind 37%. </w:t>
      </w:r>
      <w:r w:rsidR="00C064CA">
        <w:rPr>
          <w:rFonts w:asciiTheme="majorHAnsi" w:hAnsiTheme="majorHAnsi" w:cstheme="majorHAnsi"/>
          <w:sz w:val="24"/>
          <w:szCs w:val="24"/>
          <w:lang w:val="ro-RO"/>
        </w:rPr>
        <w:t>Totodată</w:t>
      </w:r>
      <w:r w:rsidRPr="002047F4">
        <w:rPr>
          <w:rFonts w:asciiTheme="majorHAnsi" w:hAnsiTheme="majorHAnsi" w:cstheme="majorHAnsi"/>
          <w:sz w:val="24"/>
          <w:szCs w:val="24"/>
          <w:lang w:val="ro-RO"/>
        </w:rPr>
        <w:t xml:space="preserve">, s-a constatat că, prin menținerea datoriilor pentru VMS emise pe termen scurt în volume care nu se modifică esențial, în condițiile emisiunilor VMS cu maturitate redusă, este evidentă prezența riscului de refinanțare (ajustat la condițiile noi de piață) și a riscului ratei de dobândă. </w:t>
      </w:r>
    </w:p>
    <w:p w14:paraId="19853239" w14:textId="77777777" w:rsidR="001F6BAA" w:rsidRPr="002047F4" w:rsidRDefault="006E4771" w:rsidP="00A202CC">
      <w:pPr>
        <w:spacing w:after="0" w:line="276" w:lineRule="auto"/>
        <w:ind w:firstLine="720"/>
        <w:jc w:val="both"/>
        <w:rPr>
          <w:rFonts w:asciiTheme="majorHAnsi" w:hAnsiTheme="majorHAnsi" w:cstheme="majorHAnsi"/>
          <w:sz w:val="24"/>
          <w:szCs w:val="24"/>
          <w:lang w:val="ro-RO"/>
        </w:rPr>
      </w:pPr>
      <w:r w:rsidRPr="002047F4">
        <w:rPr>
          <w:rFonts w:asciiTheme="majorHAnsi" w:hAnsiTheme="majorHAnsi" w:cstheme="majorHAnsi"/>
          <w:i/>
          <w:sz w:val="24"/>
          <w:szCs w:val="24"/>
          <w:lang w:val="ro-RO"/>
        </w:rPr>
        <w:t>Informația detaliată privind structura datoriei de stat interne</w:t>
      </w:r>
      <w:r w:rsidR="001D5664">
        <w:rPr>
          <w:rFonts w:asciiTheme="majorHAnsi" w:hAnsiTheme="majorHAnsi" w:cstheme="majorHAnsi"/>
          <w:i/>
          <w:sz w:val="24"/>
          <w:szCs w:val="24"/>
          <w:lang w:val="ro-RO"/>
        </w:rPr>
        <w:t xml:space="preserve"> este prezentată în Tabelul nr.3</w:t>
      </w:r>
      <w:r w:rsidRPr="002047F4">
        <w:rPr>
          <w:rFonts w:asciiTheme="majorHAnsi" w:hAnsiTheme="majorHAnsi" w:cstheme="majorHAnsi"/>
          <w:i/>
          <w:sz w:val="24"/>
          <w:szCs w:val="24"/>
          <w:lang w:val="ro-RO"/>
        </w:rPr>
        <w:t xml:space="preserve"> din Anexa nr.2 la prezentul Raport de audit.</w:t>
      </w:r>
    </w:p>
    <w:p w14:paraId="25E474D9" w14:textId="77777777" w:rsidR="006E4771" w:rsidRPr="002047F4" w:rsidRDefault="00255A9F" w:rsidP="00A202CC">
      <w:pPr>
        <w:spacing w:after="0" w:line="276" w:lineRule="auto"/>
        <w:ind w:firstLine="720"/>
        <w:jc w:val="both"/>
        <w:rPr>
          <w:rFonts w:asciiTheme="majorHAnsi" w:hAnsiTheme="majorHAnsi" w:cstheme="majorHAnsi"/>
          <w:sz w:val="24"/>
          <w:szCs w:val="24"/>
          <w:lang w:val="ro-RO"/>
        </w:rPr>
      </w:pPr>
      <w:r w:rsidRPr="002047F4">
        <w:rPr>
          <w:rFonts w:asciiTheme="majorHAnsi" w:hAnsiTheme="majorHAnsi" w:cstheme="majorHAnsi"/>
          <w:sz w:val="24"/>
          <w:szCs w:val="24"/>
          <w:lang w:val="ro-RO"/>
        </w:rPr>
        <w:t>La situația din 31.12.2018</w:t>
      </w:r>
      <w:r w:rsidR="000527C5" w:rsidRPr="002047F4">
        <w:rPr>
          <w:rFonts w:asciiTheme="majorHAnsi" w:hAnsiTheme="majorHAnsi" w:cstheme="majorHAnsi"/>
          <w:sz w:val="24"/>
          <w:szCs w:val="24"/>
          <w:lang w:val="ro-RO"/>
        </w:rPr>
        <w:t>,</w:t>
      </w:r>
      <w:r w:rsidR="006E4771" w:rsidRPr="002047F4">
        <w:rPr>
          <w:rFonts w:asciiTheme="majorHAnsi" w:hAnsiTheme="majorHAnsi" w:cstheme="majorHAnsi"/>
          <w:sz w:val="24"/>
          <w:szCs w:val="24"/>
          <w:lang w:val="ro-RO"/>
        </w:rPr>
        <w:t xml:space="preserve"> v</w:t>
      </w:r>
      <w:r w:rsidR="005C421B" w:rsidRPr="002047F4">
        <w:rPr>
          <w:rFonts w:asciiTheme="majorHAnsi" w:hAnsiTheme="majorHAnsi" w:cstheme="majorHAnsi"/>
          <w:sz w:val="24"/>
          <w:szCs w:val="24"/>
          <w:lang w:val="ro-RO"/>
        </w:rPr>
        <w:t>olumul</w:t>
      </w:r>
      <w:r w:rsidR="006E4771" w:rsidRPr="002047F4">
        <w:rPr>
          <w:rFonts w:asciiTheme="majorHAnsi" w:hAnsiTheme="majorHAnsi" w:cstheme="majorHAnsi"/>
          <w:sz w:val="24"/>
          <w:szCs w:val="24"/>
          <w:lang w:val="ro-RO"/>
        </w:rPr>
        <w:t xml:space="preserve"> VMS emise pe p</w:t>
      </w:r>
      <w:r w:rsidRPr="002047F4">
        <w:rPr>
          <w:rFonts w:asciiTheme="majorHAnsi" w:hAnsiTheme="majorHAnsi" w:cstheme="majorHAnsi"/>
          <w:sz w:val="24"/>
          <w:szCs w:val="24"/>
          <w:lang w:val="ro-RO"/>
        </w:rPr>
        <w:t>iața primară a constituit 7914,0</w:t>
      </w:r>
      <w:r w:rsidR="006E4771" w:rsidRPr="002047F4">
        <w:rPr>
          <w:rFonts w:asciiTheme="majorHAnsi" w:hAnsiTheme="majorHAnsi" w:cstheme="majorHAnsi"/>
          <w:sz w:val="24"/>
          <w:szCs w:val="24"/>
          <w:lang w:val="ro-RO"/>
        </w:rPr>
        <w:t xml:space="preserve"> </w:t>
      </w:r>
      <w:proofErr w:type="spellStart"/>
      <w:r w:rsidR="006E4771"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006E4771" w:rsidRPr="002047F4">
        <w:rPr>
          <w:rFonts w:asciiTheme="majorHAnsi" w:hAnsiTheme="majorHAnsi" w:cstheme="majorHAnsi"/>
          <w:sz w:val="24"/>
          <w:szCs w:val="24"/>
          <w:lang w:val="ro-RO"/>
        </w:rPr>
        <w:t xml:space="preserve">, fiind în creștere cu </w:t>
      </w:r>
      <w:r w:rsidRPr="002047F4">
        <w:rPr>
          <w:rFonts w:asciiTheme="majorHAnsi" w:hAnsiTheme="majorHAnsi" w:cstheme="majorHAnsi"/>
          <w:sz w:val="24"/>
          <w:szCs w:val="24"/>
          <w:lang w:val="ro-RO"/>
        </w:rPr>
        <w:t>690,0</w:t>
      </w:r>
      <w:r w:rsidR="006E4771" w:rsidRPr="002047F4">
        <w:rPr>
          <w:rFonts w:asciiTheme="majorHAnsi" w:hAnsiTheme="majorHAnsi" w:cstheme="majorHAnsi"/>
          <w:sz w:val="24"/>
          <w:szCs w:val="24"/>
          <w:lang w:val="ro-RO"/>
        </w:rPr>
        <w:t xml:space="preserve"> </w:t>
      </w:r>
      <w:proofErr w:type="spellStart"/>
      <w:r w:rsidR="006E4771"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Pr="002047F4">
        <w:rPr>
          <w:rFonts w:asciiTheme="majorHAnsi" w:hAnsiTheme="majorHAnsi" w:cstheme="majorHAnsi"/>
          <w:sz w:val="24"/>
          <w:szCs w:val="24"/>
          <w:lang w:val="ro-RO"/>
        </w:rPr>
        <w:t xml:space="preserve"> față de anul 2017</w:t>
      </w:r>
      <w:r w:rsidR="006E4771" w:rsidRPr="002047F4">
        <w:rPr>
          <w:rFonts w:asciiTheme="majorHAnsi" w:hAnsiTheme="majorHAnsi" w:cstheme="majorHAnsi"/>
          <w:sz w:val="24"/>
          <w:szCs w:val="24"/>
          <w:lang w:val="ro-RO"/>
        </w:rPr>
        <w:t xml:space="preserve"> și cu </w:t>
      </w:r>
      <w:r w:rsidR="00E53EB9" w:rsidRPr="002047F4">
        <w:rPr>
          <w:rFonts w:asciiTheme="majorHAnsi" w:hAnsiTheme="majorHAnsi" w:cstheme="majorHAnsi"/>
          <w:sz w:val="24"/>
          <w:szCs w:val="24"/>
          <w:lang w:val="ro-RO"/>
        </w:rPr>
        <w:t xml:space="preserve">1799,0 </w:t>
      </w:r>
      <w:proofErr w:type="spellStart"/>
      <w:r w:rsidR="006E4771"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Pr="002047F4">
        <w:rPr>
          <w:rFonts w:asciiTheme="majorHAnsi" w:hAnsiTheme="majorHAnsi" w:cstheme="majorHAnsi"/>
          <w:sz w:val="24"/>
          <w:szCs w:val="24"/>
          <w:lang w:val="ro-RO"/>
        </w:rPr>
        <w:t xml:space="preserve"> față de anul 2016</w:t>
      </w:r>
      <w:r w:rsidR="006E4771" w:rsidRPr="002047F4">
        <w:rPr>
          <w:rFonts w:asciiTheme="majorHAnsi" w:hAnsiTheme="majorHAnsi" w:cstheme="majorHAnsi"/>
          <w:sz w:val="24"/>
          <w:szCs w:val="24"/>
          <w:lang w:val="ro-RO"/>
        </w:rPr>
        <w:t>.</w:t>
      </w:r>
    </w:p>
    <w:p w14:paraId="29A1F44D" w14:textId="0F3F0FC6" w:rsidR="006E4771" w:rsidRPr="002047F4" w:rsidRDefault="006E4771" w:rsidP="002C336A">
      <w:pPr>
        <w:spacing w:after="0" w:line="276" w:lineRule="auto"/>
        <w:ind w:firstLine="720"/>
        <w:jc w:val="both"/>
        <w:rPr>
          <w:rFonts w:asciiTheme="majorHAnsi" w:hAnsiTheme="majorHAnsi" w:cstheme="majorHAnsi"/>
          <w:sz w:val="24"/>
          <w:szCs w:val="24"/>
          <w:highlight w:val="yellow"/>
          <w:lang w:val="ro-RO"/>
        </w:rPr>
      </w:pPr>
      <w:r w:rsidRPr="002047F4">
        <w:rPr>
          <w:rFonts w:asciiTheme="majorHAnsi" w:hAnsiTheme="majorHAnsi" w:cstheme="majorHAnsi"/>
          <w:sz w:val="24"/>
          <w:szCs w:val="24"/>
          <w:lang w:val="ro-RO"/>
        </w:rPr>
        <w:t xml:space="preserve">Ca structură, VMS emise pe piața primară, aflate în circulație, sunt formate din BT și OS cu rata dobânzii fixă, în valoare de </w:t>
      </w:r>
      <w:r w:rsidR="00B64525" w:rsidRPr="002047F4">
        <w:rPr>
          <w:rFonts w:asciiTheme="majorHAnsi" w:hAnsiTheme="majorHAnsi" w:cstheme="majorHAnsi"/>
          <w:sz w:val="24"/>
          <w:szCs w:val="24"/>
          <w:lang w:val="ro-RO"/>
        </w:rPr>
        <w:t>7616,9</w:t>
      </w:r>
      <w:r w:rsidRPr="002047F4">
        <w:rPr>
          <w:rFonts w:asciiTheme="majorHAnsi" w:hAnsiTheme="majorHAnsi" w:cstheme="majorHAnsi"/>
          <w:sz w:val="24"/>
          <w:szCs w:val="24"/>
          <w:lang w:val="ro-RO"/>
        </w:rPr>
        <w:t xml:space="preserve"> </w:t>
      </w:r>
      <w:proofErr w:type="spellStart"/>
      <w:r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Pr="002047F4">
        <w:rPr>
          <w:rFonts w:asciiTheme="majorHAnsi" w:hAnsiTheme="majorHAnsi" w:cstheme="majorHAnsi"/>
          <w:sz w:val="24"/>
          <w:szCs w:val="24"/>
          <w:lang w:val="ro-RO"/>
        </w:rPr>
        <w:t xml:space="preserve"> (</w:t>
      </w:r>
      <w:r w:rsidR="00B64525" w:rsidRPr="002047F4">
        <w:rPr>
          <w:rFonts w:asciiTheme="majorHAnsi" w:hAnsiTheme="majorHAnsi" w:cstheme="majorHAnsi"/>
          <w:sz w:val="24"/>
          <w:szCs w:val="24"/>
          <w:lang w:val="ro-RO"/>
        </w:rPr>
        <w:t>96,2</w:t>
      </w:r>
      <w:r w:rsidRPr="002047F4">
        <w:rPr>
          <w:rFonts w:asciiTheme="majorHAnsi" w:hAnsiTheme="majorHAnsi" w:cstheme="majorHAnsi"/>
          <w:sz w:val="24"/>
          <w:szCs w:val="24"/>
          <w:lang w:val="ro-RO"/>
        </w:rPr>
        <w:t xml:space="preserve">%), și OS cu rata dobânzii </w:t>
      </w:r>
      <w:r w:rsidR="00566210" w:rsidRPr="002047F4">
        <w:rPr>
          <w:rFonts w:asciiTheme="majorHAnsi" w:hAnsiTheme="majorHAnsi" w:cstheme="majorHAnsi"/>
          <w:sz w:val="24"/>
          <w:szCs w:val="24"/>
          <w:lang w:val="ro-RO"/>
        </w:rPr>
        <w:t>variabilă</w:t>
      </w:r>
      <w:r w:rsidRPr="002047F4">
        <w:rPr>
          <w:rFonts w:asciiTheme="majorHAnsi" w:hAnsiTheme="majorHAnsi" w:cstheme="majorHAnsi"/>
          <w:sz w:val="24"/>
          <w:szCs w:val="24"/>
          <w:lang w:val="ro-RO"/>
        </w:rPr>
        <w:t xml:space="preserve">, în valoare de </w:t>
      </w:r>
      <w:r w:rsidR="00B64525" w:rsidRPr="002047F4">
        <w:rPr>
          <w:rFonts w:asciiTheme="majorHAnsi" w:hAnsiTheme="majorHAnsi" w:cstheme="majorHAnsi"/>
          <w:sz w:val="24"/>
          <w:szCs w:val="24"/>
          <w:lang w:val="ro-RO"/>
        </w:rPr>
        <w:t>296,9</w:t>
      </w:r>
      <w:r w:rsidRPr="002047F4">
        <w:rPr>
          <w:rFonts w:asciiTheme="majorHAnsi" w:hAnsiTheme="majorHAnsi" w:cstheme="majorHAnsi"/>
          <w:sz w:val="24"/>
          <w:szCs w:val="24"/>
          <w:lang w:val="ro-RO"/>
        </w:rPr>
        <w:t xml:space="preserve"> </w:t>
      </w:r>
      <w:proofErr w:type="spellStart"/>
      <w:r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00B64525" w:rsidRPr="002047F4">
        <w:rPr>
          <w:rFonts w:asciiTheme="majorHAnsi" w:hAnsiTheme="majorHAnsi" w:cstheme="majorHAnsi"/>
          <w:sz w:val="24"/>
          <w:szCs w:val="24"/>
          <w:lang w:val="ro-RO"/>
        </w:rPr>
        <w:t xml:space="preserve"> (3,8</w:t>
      </w:r>
      <w:r w:rsidRPr="002047F4">
        <w:rPr>
          <w:rFonts w:asciiTheme="majorHAnsi" w:hAnsiTheme="majorHAnsi" w:cstheme="majorHAnsi"/>
          <w:sz w:val="24"/>
          <w:szCs w:val="24"/>
          <w:lang w:val="ro-RO"/>
        </w:rPr>
        <w:t xml:space="preserve">%). Analiza structurală a VMS în circulație conform maturității și </w:t>
      </w:r>
      <w:r w:rsidR="00BC5A3F">
        <w:rPr>
          <w:rFonts w:asciiTheme="majorHAnsi" w:hAnsiTheme="majorHAnsi" w:cstheme="majorHAnsi"/>
          <w:sz w:val="24"/>
          <w:szCs w:val="24"/>
          <w:lang w:val="ro-RO"/>
        </w:rPr>
        <w:t xml:space="preserve">a </w:t>
      </w:r>
      <w:r w:rsidRPr="002047F4">
        <w:rPr>
          <w:rFonts w:asciiTheme="majorHAnsi" w:hAnsiTheme="majorHAnsi" w:cstheme="majorHAnsi"/>
          <w:sz w:val="24"/>
          <w:szCs w:val="24"/>
          <w:lang w:val="ro-RO"/>
        </w:rPr>
        <w:t>dobânzilor afe</w:t>
      </w:r>
      <w:r w:rsidR="000A24A6" w:rsidRPr="002047F4">
        <w:rPr>
          <w:rFonts w:asciiTheme="majorHAnsi" w:hAnsiTheme="majorHAnsi" w:cstheme="majorHAnsi"/>
          <w:sz w:val="24"/>
          <w:szCs w:val="24"/>
          <w:lang w:val="ro-RO"/>
        </w:rPr>
        <w:t>rente acestora (fixă și variabilă</w:t>
      </w:r>
      <w:r w:rsidRPr="002047F4">
        <w:rPr>
          <w:rFonts w:asciiTheme="majorHAnsi" w:hAnsiTheme="majorHAnsi" w:cstheme="majorHAnsi"/>
          <w:sz w:val="24"/>
          <w:szCs w:val="24"/>
          <w:lang w:val="ro-RO"/>
        </w:rPr>
        <w:t xml:space="preserve">) </w:t>
      </w:r>
      <w:r w:rsidR="008B33CB" w:rsidRPr="002047F4">
        <w:rPr>
          <w:rFonts w:asciiTheme="majorHAnsi" w:hAnsiTheme="majorHAnsi" w:cstheme="majorHAnsi"/>
          <w:i/>
          <w:sz w:val="24"/>
          <w:szCs w:val="24"/>
          <w:lang w:val="ro-RO"/>
        </w:rPr>
        <w:t>este prezentată în Tabelul nr.</w:t>
      </w:r>
      <w:r w:rsidR="001D5664">
        <w:rPr>
          <w:rFonts w:asciiTheme="majorHAnsi" w:hAnsiTheme="majorHAnsi" w:cstheme="majorHAnsi"/>
          <w:i/>
          <w:sz w:val="24"/>
          <w:szCs w:val="24"/>
          <w:lang w:val="ro-RO"/>
        </w:rPr>
        <w:t>4</w:t>
      </w:r>
      <w:r w:rsidRPr="002047F4">
        <w:rPr>
          <w:rFonts w:asciiTheme="majorHAnsi" w:hAnsiTheme="majorHAnsi" w:cstheme="majorHAnsi"/>
          <w:i/>
          <w:sz w:val="24"/>
          <w:szCs w:val="24"/>
          <w:lang w:val="ro-RO"/>
        </w:rPr>
        <w:t xml:space="preserve"> din Anexa nr.2 la prezentul Raport de audit.</w:t>
      </w:r>
    </w:p>
    <w:p w14:paraId="4525EEC9" w14:textId="77777777" w:rsidR="005C421B" w:rsidRPr="002047F4" w:rsidRDefault="005C421B" w:rsidP="005C421B">
      <w:pPr>
        <w:spacing w:after="0" w:line="276" w:lineRule="auto"/>
        <w:ind w:firstLine="720"/>
        <w:jc w:val="both"/>
        <w:rPr>
          <w:rFonts w:asciiTheme="majorHAnsi" w:hAnsiTheme="majorHAnsi" w:cstheme="majorHAnsi"/>
          <w:sz w:val="24"/>
          <w:szCs w:val="24"/>
          <w:lang w:val="ro-RO"/>
        </w:rPr>
      </w:pPr>
      <w:r w:rsidRPr="002047F4">
        <w:rPr>
          <w:rFonts w:asciiTheme="majorHAnsi" w:hAnsiTheme="majorHAnsi" w:cstheme="majorHAnsi"/>
          <w:sz w:val="24"/>
          <w:szCs w:val="24"/>
          <w:lang w:val="ro-RO"/>
        </w:rPr>
        <w:t>Auditul relevă că ponderea în totalul VMS emise pe piața primară a datoriei pe termen lung (cu scadența mai mare</w:t>
      </w:r>
      <w:r w:rsidR="002B05A1" w:rsidRPr="002047F4">
        <w:rPr>
          <w:rFonts w:asciiTheme="majorHAnsi" w:hAnsiTheme="majorHAnsi" w:cstheme="majorHAnsi"/>
          <w:sz w:val="24"/>
          <w:szCs w:val="24"/>
          <w:lang w:val="ro-RO"/>
        </w:rPr>
        <w:t xml:space="preserve"> de un an</w:t>
      </w:r>
      <w:r w:rsidRPr="002047F4">
        <w:rPr>
          <w:rFonts w:asciiTheme="majorHAnsi" w:hAnsiTheme="majorHAnsi" w:cstheme="majorHAnsi"/>
          <w:sz w:val="24"/>
          <w:szCs w:val="24"/>
          <w:lang w:val="ro-RO"/>
        </w:rPr>
        <w:t>)</w:t>
      </w:r>
      <w:r w:rsidR="002B05A1" w:rsidRPr="002047F4">
        <w:rPr>
          <w:rFonts w:asciiTheme="majorHAnsi" w:hAnsiTheme="majorHAnsi" w:cstheme="majorHAnsi"/>
          <w:sz w:val="24"/>
          <w:szCs w:val="24"/>
          <w:lang w:val="ro-RO"/>
        </w:rPr>
        <w:t xml:space="preserve"> a constituit 29,9</w:t>
      </w:r>
      <w:r w:rsidRPr="002047F4">
        <w:rPr>
          <w:rFonts w:asciiTheme="majorHAnsi" w:hAnsiTheme="majorHAnsi" w:cstheme="majorHAnsi"/>
          <w:sz w:val="24"/>
          <w:szCs w:val="24"/>
          <w:lang w:val="ro-RO"/>
        </w:rPr>
        <w:t>% (</w:t>
      </w:r>
      <w:r w:rsidR="002B05A1" w:rsidRPr="002047F4">
        <w:rPr>
          <w:rFonts w:asciiTheme="majorHAnsi" w:hAnsiTheme="majorHAnsi" w:cstheme="majorHAnsi"/>
          <w:sz w:val="24"/>
          <w:szCs w:val="24"/>
          <w:lang w:val="ro-RO"/>
        </w:rPr>
        <w:t>2367,6</w:t>
      </w:r>
      <w:r w:rsidRPr="002047F4">
        <w:rPr>
          <w:rFonts w:asciiTheme="majorHAnsi" w:hAnsiTheme="majorHAnsi" w:cstheme="majorHAnsi"/>
          <w:sz w:val="24"/>
          <w:szCs w:val="24"/>
          <w:lang w:val="ro-RO"/>
        </w:rPr>
        <w:t xml:space="preserve"> </w:t>
      </w:r>
      <w:proofErr w:type="spellStart"/>
      <w:r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Pr="002047F4">
        <w:rPr>
          <w:rFonts w:asciiTheme="majorHAnsi" w:hAnsiTheme="majorHAnsi" w:cstheme="majorHAnsi"/>
          <w:sz w:val="24"/>
          <w:szCs w:val="24"/>
          <w:lang w:val="ro-RO"/>
        </w:rPr>
        <w:t xml:space="preserve">), în timp ce ponderea datoriei pe termen scurt (cu scadența </w:t>
      </w:r>
      <w:r w:rsidR="00B10FB1" w:rsidRPr="002047F4">
        <w:rPr>
          <w:rFonts w:asciiTheme="majorHAnsi" w:hAnsiTheme="majorHAnsi" w:cstheme="majorHAnsi"/>
          <w:sz w:val="24"/>
          <w:szCs w:val="24"/>
          <w:lang w:val="ro-RO"/>
        </w:rPr>
        <w:t>până</w:t>
      </w:r>
      <w:r w:rsidR="002B05A1" w:rsidRPr="002047F4">
        <w:rPr>
          <w:rFonts w:asciiTheme="majorHAnsi" w:hAnsiTheme="majorHAnsi" w:cstheme="majorHAnsi"/>
          <w:sz w:val="24"/>
          <w:szCs w:val="24"/>
          <w:lang w:val="ro-RO"/>
        </w:rPr>
        <w:t xml:space="preserve"> la un an) a constituit 70,1</w:t>
      </w:r>
      <w:r w:rsidRPr="002047F4">
        <w:rPr>
          <w:rFonts w:asciiTheme="majorHAnsi" w:hAnsiTheme="majorHAnsi" w:cstheme="majorHAnsi"/>
          <w:sz w:val="24"/>
          <w:szCs w:val="24"/>
          <w:lang w:val="ro-RO"/>
        </w:rPr>
        <w:t>% (</w:t>
      </w:r>
      <w:r w:rsidR="002B05A1" w:rsidRPr="002047F4">
        <w:rPr>
          <w:rFonts w:asciiTheme="majorHAnsi" w:hAnsiTheme="majorHAnsi" w:cstheme="majorHAnsi"/>
          <w:sz w:val="24"/>
          <w:szCs w:val="24"/>
          <w:lang w:val="ro-RO"/>
        </w:rPr>
        <w:t>5546,4</w:t>
      </w:r>
      <w:r w:rsidRPr="002047F4">
        <w:rPr>
          <w:rFonts w:asciiTheme="majorHAnsi" w:hAnsiTheme="majorHAnsi" w:cstheme="majorHAnsi"/>
          <w:sz w:val="24"/>
          <w:szCs w:val="24"/>
          <w:lang w:val="ro-RO"/>
        </w:rPr>
        <w:t xml:space="preserve"> </w:t>
      </w:r>
      <w:proofErr w:type="spellStart"/>
      <w:r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Pr="002047F4">
        <w:rPr>
          <w:rFonts w:asciiTheme="majorHAnsi" w:hAnsiTheme="majorHAnsi" w:cstheme="majorHAnsi"/>
          <w:sz w:val="24"/>
          <w:szCs w:val="24"/>
          <w:lang w:val="ro-RO"/>
        </w:rPr>
        <w:t>).</w:t>
      </w:r>
    </w:p>
    <w:p w14:paraId="5B46736E" w14:textId="5D761056" w:rsidR="00355105" w:rsidRPr="002047F4" w:rsidRDefault="008D5D54" w:rsidP="00AD5AF9">
      <w:pPr>
        <w:spacing w:after="0" w:line="276" w:lineRule="auto"/>
        <w:ind w:firstLine="720"/>
        <w:jc w:val="both"/>
        <w:rPr>
          <w:rFonts w:asciiTheme="majorHAnsi" w:hAnsiTheme="majorHAnsi" w:cstheme="majorHAnsi"/>
          <w:i/>
          <w:sz w:val="24"/>
          <w:szCs w:val="24"/>
          <w:lang w:val="ro-RO"/>
        </w:rPr>
      </w:pPr>
      <w:r w:rsidRPr="002047F4">
        <w:rPr>
          <w:rFonts w:asciiTheme="majorHAnsi" w:hAnsiTheme="majorHAnsi" w:cstheme="majorHAnsi"/>
          <w:sz w:val="24"/>
          <w:szCs w:val="24"/>
          <w:lang w:val="ro-RO"/>
        </w:rPr>
        <w:t>Auditul de</w:t>
      </w:r>
      <w:r w:rsidR="00692962" w:rsidRPr="002047F4">
        <w:rPr>
          <w:rFonts w:asciiTheme="majorHAnsi" w:hAnsiTheme="majorHAnsi" w:cstheme="majorHAnsi"/>
          <w:sz w:val="24"/>
          <w:szCs w:val="24"/>
          <w:lang w:val="ro-RO"/>
        </w:rPr>
        <w:t>notă că pe parcursul anului 2018</w:t>
      </w:r>
      <w:r w:rsidRPr="002047F4">
        <w:rPr>
          <w:rFonts w:asciiTheme="majorHAnsi" w:hAnsiTheme="majorHAnsi" w:cstheme="majorHAnsi"/>
          <w:sz w:val="24"/>
          <w:szCs w:val="24"/>
          <w:lang w:val="ro-RO"/>
        </w:rPr>
        <w:t xml:space="preserve"> </w:t>
      </w:r>
      <w:r w:rsidR="003C117A" w:rsidRPr="002047F4">
        <w:rPr>
          <w:rFonts w:asciiTheme="majorHAnsi" w:hAnsiTheme="majorHAnsi" w:cstheme="majorHAnsi"/>
          <w:sz w:val="24"/>
          <w:szCs w:val="24"/>
          <w:lang w:val="ro-RO"/>
        </w:rPr>
        <w:t>s-</w:t>
      </w:r>
      <w:r w:rsidR="00692962" w:rsidRPr="002047F4">
        <w:rPr>
          <w:rFonts w:asciiTheme="majorHAnsi" w:hAnsiTheme="majorHAnsi" w:cstheme="majorHAnsi"/>
          <w:sz w:val="24"/>
          <w:szCs w:val="24"/>
          <w:lang w:val="ro-RO"/>
        </w:rPr>
        <w:t>au organizat 5</w:t>
      </w:r>
      <w:r w:rsidRPr="002047F4">
        <w:rPr>
          <w:rFonts w:asciiTheme="majorHAnsi" w:hAnsiTheme="majorHAnsi" w:cstheme="majorHAnsi"/>
          <w:sz w:val="24"/>
          <w:szCs w:val="24"/>
          <w:lang w:val="ro-RO"/>
        </w:rPr>
        <w:t>6 licitații de vânzare a VMS,</w:t>
      </w:r>
      <w:r w:rsidRPr="009561CB">
        <w:rPr>
          <w:rFonts w:asciiTheme="majorHAnsi" w:hAnsiTheme="majorHAnsi" w:cstheme="majorHAnsi"/>
          <w:sz w:val="24"/>
          <w:szCs w:val="24"/>
          <w:lang w:val="ro-RO"/>
        </w:rPr>
        <w:t xml:space="preserve"> </w:t>
      </w:r>
      <w:r w:rsidR="00986587">
        <w:rPr>
          <w:rFonts w:asciiTheme="majorHAnsi" w:hAnsiTheme="majorHAnsi" w:cstheme="majorHAnsi"/>
          <w:sz w:val="24"/>
          <w:szCs w:val="24"/>
          <w:lang w:val="ro-RO"/>
        </w:rPr>
        <w:t>la care au fost oferite spre plasare VMS</w:t>
      </w:r>
      <w:r w:rsidRPr="002047F4">
        <w:rPr>
          <w:rFonts w:asciiTheme="majorHAnsi" w:hAnsiTheme="majorHAnsi" w:cstheme="majorHAnsi"/>
          <w:sz w:val="24"/>
          <w:szCs w:val="24"/>
          <w:lang w:val="ro-RO"/>
        </w:rPr>
        <w:t xml:space="preserve"> în sumă de </w:t>
      </w:r>
      <w:r w:rsidR="00692962" w:rsidRPr="002047F4">
        <w:rPr>
          <w:rFonts w:asciiTheme="majorHAnsi" w:hAnsiTheme="majorHAnsi" w:cstheme="majorHAnsi"/>
          <w:sz w:val="24"/>
          <w:szCs w:val="24"/>
          <w:lang w:val="ro-RO"/>
        </w:rPr>
        <w:t>10790,0</w:t>
      </w:r>
      <w:r w:rsidRPr="002047F4">
        <w:rPr>
          <w:rFonts w:asciiTheme="majorHAnsi" w:hAnsiTheme="majorHAnsi" w:cstheme="majorHAnsi"/>
          <w:sz w:val="24"/>
          <w:szCs w:val="24"/>
          <w:lang w:val="ro-RO"/>
        </w:rPr>
        <w:t xml:space="preserve"> </w:t>
      </w:r>
      <w:proofErr w:type="spellStart"/>
      <w:r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Pr="002047F4">
        <w:rPr>
          <w:rFonts w:asciiTheme="majorHAnsi" w:hAnsiTheme="majorHAnsi" w:cstheme="majorHAnsi"/>
          <w:sz w:val="24"/>
          <w:szCs w:val="24"/>
          <w:lang w:val="ro-RO"/>
        </w:rPr>
        <w:t xml:space="preserve">, iar cererea la VMS a constituit </w:t>
      </w:r>
      <w:r w:rsidR="003C117A" w:rsidRPr="002047F4">
        <w:rPr>
          <w:rFonts w:asciiTheme="majorHAnsi" w:hAnsiTheme="majorHAnsi" w:cstheme="majorHAnsi"/>
          <w:sz w:val="24"/>
          <w:szCs w:val="24"/>
          <w:lang w:val="ro-RO"/>
        </w:rPr>
        <w:t xml:space="preserve">suma de </w:t>
      </w:r>
      <w:r w:rsidR="00692962" w:rsidRPr="002047F4">
        <w:rPr>
          <w:rFonts w:asciiTheme="majorHAnsi" w:hAnsiTheme="majorHAnsi" w:cstheme="majorHAnsi"/>
          <w:sz w:val="24"/>
          <w:szCs w:val="24"/>
          <w:lang w:val="ro-RO"/>
        </w:rPr>
        <w:t>14252,5</w:t>
      </w:r>
      <w:r w:rsidRPr="002047F4">
        <w:rPr>
          <w:rFonts w:asciiTheme="majorHAnsi" w:hAnsiTheme="majorHAnsi" w:cstheme="majorHAnsi"/>
          <w:sz w:val="24"/>
          <w:szCs w:val="24"/>
          <w:lang w:val="ro-RO"/>
        </w:rPr>
        <w:t xml:space="preserve"> </w:t>
      </w:r>
      <w:proofErr w:type="spellStart"/>
      <w:r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003C117A" w:rsidRPr="002047F4">
        <w:rPr>
          <w:rFonts w:asciiTheme="majorHAnsi" w:hAnsiTheme="majorHAnsi" w:cstheme="majorHAnsi"/>
          <w:sz w:val="24"/>
          <w:szCs w:val="24"/>
          <w:lang w:val="ro-RO"/>
        </w:rPr>
        <w:t>,</w:t>
      </w:r>
      <w:r w:rsidRPr="002047F4">
        <w:rPr>
          <w:rFonts w:asciiTheme="majorHAnsi" w:hAnsiTheme="majorHAnsi" w:cstheme="majorHAnsi"/>
          <w:sz w:val="24"/>
          <w:szCs w:val="24"/>
          <w:lang w:val="ro-RO"/>
        </w:rPr>
        <w:t xml:space="preserve"> sau cu </w:t>
      </w:r>
      <w:r w:rsidR="00692962" w:rsidRPr="002047F4">
        <w:rPr>
          <w:rFonts w:asciiTheme="majorHAnsi" w:hAnsiTheme="majorHAnsi" w:cstheme="majorHAnsi"/>
          <w:sz w:val="24"/>
          <w:szCs w:val="24"/>
          <w:lang w:val="ro-RO"/>
        </w:rPr>
        <w:t>3462,5</w:t>
      </w:r>
      <w:r w:rsidRPr="002047F4">
        <w:rPr>
          <w:rFonts w:asciiTheme="majorHAnsi" w:hAnsiTheme="majorHAnsi" w:cstheme="majorHAnsi"/>
          <w:sz w:val="24"/>
          <w:szCs w:val="24"/>
          <w:lang w:val="ro-RO"/>
        </w:rPr>
        <w:t xml:space="preserve"> </w:t>
      </w:r>
      <w:proofErr w:type="spellStart"/>
      <w:r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Pr="002047F4">
        <w:rPr>
          <w:rFonts w:asciiTheme="majorHAnsi" w:hAnsiTheme="majorHAnsi" w:cstheme="majorHAnsi"/>
          <w:sz w:val="24"/>
          <w:szCs w:val="24"/>
          <w:lang w:val="ro-RO"/>
        </w:rPr>
        <w:t xml:space="preserve"> mai mult</w:t>
      </w:r>
      <w:r w:rsidR="00692962" w:rsidRPr="002047F4">
        <w:rPr>
          <w:rFonts w:asciiTheme="majorHAnsi" w:hAnsiTheme="majorHAnsi" w:cstheme="majorHAnsi"/>
          <w:sz w:val="24"/>
          <w:szCs w:val="24"/>
          <w:lang w:val="ro-RO"/>
        </w:rPr>
        <w:t xml:space="preserve"> decât oferta.  </w:t>
      </w:r>
      <w:r w:rsidR="00BC5A3F">
        <w:rPr>
          <w:rFonts w:asciiTheme="majorHAnsi" w:hAnsiTheme="majorHAnsi" w:cstheme="majorHAnsi"/>
          <w:sz w:val="24"/>
          <w:szCs w:val="24"/>
          <w:lang w:val="ro-RO"/>
        </w:rPr>
        <w:t>Ca</w:t>
      </w:r>
      <w:r w:rsidRPr="002047F4">
        <w:rPr>
          <w:rFonts w:asciiTheme="majorHAnsi" w:hAnsiTheme="majorHAnsi" w:cstheme="majorHAnsi"/>
          <w:sz w:val="24"/>
          <w:szCs w:val="24"/>
          <w:lang w:val="ro-RO"/>
        </w:rPr>
        <w:t xml:space="preserve"> rezultat</w:t>
      </w:r>
      <w:r w:rsidR="00BC5A3F">
        <w:rPr>
          <w:rFonts w:asciiTheme="majorHAnsi" w:hAnsiTheme="majorHAnsi" w:cstheme="majorHAnsi"/>
          <w:sz w:val="24"/>
          <w:szCs w:val="24"/>
          <w:lang w:val="ro-RO"/>
        </w:rPr>
        <w:t xml:space="preserve">, au fost </w:t>
      </w:r>
      <w:r w:rsidRPr="002047F4">
        <w:rPr>
          <w:rFonts w:asciiTheme="majorHAnsi" w:hAnsiTheme="majorHAnsi" w:cstheme="majorHAnsi"/>
          <w:sz w:val="24"/>
          <w:szCs w:val="24"/>
          <w:lang w:val="ro-RO"/>
        </w:rPr>
        <w:t xml:space="preserve"> comercializate la prețul de cumpărare </w:t>
      </w:r>
      <w:r w:rsidR="003C117A" w:rsidRPr="002047F4">
        <w:rPr>
          <w:rFonts w:asciiTheme="majorHAnsi" w:hAnsiTheme="majorHAnsi" w:cstheme="majorHAnsi"/>
          <w:sz w:val="24"/>
          <w:szCs w:val="24"/>
          <w:lang w:val="ro-RO"/>
        </w:rPr>
        <w:t xml:space="preserve">VMS </w:t>
      </w:r>
      <w:r w:rsidRPr="002047F4">
        <w:rPr>
          <w:rFonts w:asciiTheme="majorHAnsi" w:hAnsiTheme="majorHAnsi" w:cstheme="majorHAnsi"/>
          <w:sz w:val="24"/>
          <w:szCs w:val="24"/>
          <w:lang w:val="ro-RO"/>
        </w:rPr>
        <w:t xml:space="preserve">în sumă de </w:t>
      </w:r>
      <w:r w:rsidR="00B12021" w:rsidRPr="002047F4">
        <w:rPr>
          <w:rFonts w:asciiTheme="majorHAnsi" w:hAnsiTheme="majorHAnsi" w:cstheme="majorHAnsi"/>
          <w:sz w:val="24"/>
          <w:szCs w:val="24"/>
          <w:lang w:val="ro-RO"/>
        </w:rPr>
        <w:t>9779,4</w:t>
      </w:r>
      <w:r w:rsidRPr="002047F4">
        <w:rPr>
          <w:rFonts w:asciiTheme="majorHAnsi" w:hAnsiTheme="majorHAnsi" w:cstheme="majorHAnsi"/>
          <w:sz w:val="24"/>
          <w:szCs w:val="24"/>
          <w:lang w:val="ro-RO"/>
        </w:rPr>
        <w:t xml:space="preserve"> </w:t>
      </w:r>
      <w:proofErr w:type="spellStart"/>
      <w:r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Pr="002047F4">
        <w:rPr>
          <w:rFonts w:asciiTheme="majorHAnsi" w:hAnsiTheme="majorHAnsi" w:cstheme="majorHAnsi"/>
          <w:sz w:val="24"/>
          <w:szCs w:val="24"/>
          <w:lang w:val="ro-RO"/>
        </w:rPr>
        <w:t xml:space="preserve">, </w:t>
      </w:r>
      <w:r w:rsidR="003C117A" w:rsidRPr="002047F4">
        <w:rPr>
          <w:rFonts w:asciiTheme="majorHAnsi" w:hAnsiTheme="majorHAnsi" w:cstheme="majorHAnsi"/>
          <w:sz w:val="24"/>
          <w:szCs w:val="24"/>
          <w:lang w:val="ro-RO"/>
        </w:rPr>
        <w:t>sau</w:t>
      </w:r>
      <w:r w:rsidRPr="002047F4">
        <w:rPr>
          <w:rFonts w:asciiTheme="majorHAnsi" w:hAnsiTheme="majorHAnsi" w:cstheme="majorHAnsi"/>
          <w:sz w:val="24"/>
          <w:szCs w:val="24"/>
          <w:lang w:val="ro-RO"/>
        </w:rPr>
        <w:t xml:space="preserve"> cu </w:t>
      </w:r>
      <w:r w:rsidR="00B12021" w:rsidRPr="002047F4">
        <w:rPr>
          <w:rFonts w:asciiTheme="majorHAnsi" w:hAnsiTheme="majorHAnsi" w:cstheme="majorHAnsi"/>
          <w:sz w:val="24"/>
          <w:szCs w:val="24"/>
          <w:lang w:val="ro-RO"/>
        </w:rPr>
        <w:t>120,8</w:t>
      </w:r>
      <w:r w:rsidRPr="002047F4">
        <w:rPr>
          <w:rFonts w:asciiTheme="majorHAnsi" w:hAnsiTheme="majorHAnsi" w:cstheme="majorHAnsi"/>
          <w:sz w:val="24"/>
          <w:szCs w:val="24"/>
          <w:lang w:val="ro-RO"/>
        </w:rPr>
        <w:t xml:space="preserve"> </w:t>
      </w:r>
      <w:proofErr w:type="spellStart"/>
      <w:r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Pr="002047F4">
        <w:rPr>
          <w:rFonts w:asciiTheme="majorHAnsi" w:hAnsiTheme="majorHAnsi" w:cstheme="majorHAnsi"/>
          <w:sz w:val="24"/>
          <w:szCs w:val="24"/>
          <w:lang w:val="ro-RO"/>
        </w:rPr>
        <w:t xml:space="preserve"> mai puțin decât volumul comercializat în anul 201</w:t>
      </w:r>
      <w:r w:rsidR="00B12021" w:rsidRPr="002047F4">
        <w:rPr>
          <w:rFonts w:asciiTheme="majorHAnsi" w:hAnsiTheme="majorHAnsi" w:cstheme="majorHAnsi"/>
          <w:sz w:val="24"/>
          <w:szCs w:val="24"/>
          <w:lang w:val="ro-RO"/>
        </w:rPr>
        <w:t>7</w:t>
      </w:r>
      <w:r w:rsidRPr="002047F4">
        <w:rPr>
          <w:rFonts w:asciiTheme="majorHAnsi" w:hAnsiTheme="majorHAnsi" w:cstheme="majorHAnsi"/>
          <w:sz w:val="24"/>
          <w:szCs w:val="24"/>
          <w:lang w:val="ro-RO"/>
        </w:rPr>
        <w:t xml:space="preserve">. </w:t>
      </w:r>
      <w:r w:rsidRPr="002047F4">
        <w:rPr>
          <w:rFonts w:asciiTheme="majorHAnsi" w:hAnsiTheme="majorHAnsi" w:cstheme="majorHAnsi"/>
          <w:i/>
          <w:sz w:val="24"/>
          <w:szCs w:val="24"/>
          <w:lang w:val="ro-RO"/>
        </w:rPr>
        <w:t>Situația descrisă este prezentată în Diagrama nr.3.</w:t>
      </w:r>
    </w:p>
    <w:p w14:paraId="1520E2C9" w14:textId="77777777" w:rsidR="004570EB" w:rsidRDefault="004570EB" w:rsidP="008D5D54">
      <w:pPr>
        <w:spacing w:before="240" w:after="0" w:line="240" w:lineRule="auto"/>
        <w:jc w:val="right"/>
        <w:rPr>
          <w:rFonts w:asciiTheme="majorHAnsi" w:hAnsiTheme="majorHAnsi" w:cstheme="majorHAnsi"/>
          <w:b/>
          <w:sz w:val="24"/>
          <w:szCs w:val="24"/>
          <w:lang w:val="ro-RO"/>
        </w:rPr>
      </w:pPr>
    </w:p>
    <w:p w14:paraId="56925D6E" w14:textId="77777777" w:rsidR="004570EB" w:rsidRDefault="004570EB" w:rsidP="008D5D54">
      <w:pPr>
        <w:spacing w:before="240" w:after="0" w:line="240" w:lineRule="auto"/>
        <w:jc w:val="right"/>
        <w:rPr>
          <w:rFonts w:asciiTheme="majorHAnsi" w:hAnsiTheme="majorHAnsi" w:cstheme="majorHAnsi"/>
          <w:b/>
          <w:sz w:val="24"/>
          <w:szCs w:val="24"/>
          <w:lang w:val="ro-RO"/>
        </w:rPr>
      </w:pPr>
    </w:p>
    <w:p w14:paraId="2B55DB84" w14:textId="77777777" w:rsidR="004570EB" w:rsidRDefault="004570EB" w:rsidP="008D5D54">
      <w:pPr>
        <w:spacing w:before="240" w:after="0" w:line="240" w:lineRule="auto"/>
        <w:jc w:val="right"/>
        <w:rPr>
          <w:rFonts w:asciiTheme="majorHAnsi" w:hAnsiTheme="majorHAnsi" w:cstheme="majorHAnsi"/>
          <w:b/>
          <w:sz w:val="24"/>
          <w:szCs w:val="24"/>
          <w:lang w:val="ro-RO"/>
        </w:rPr>
      </w:pPr>
    </w:p>
    <w:p w14:paraId="38C717B5" w14:textId="7DFE998E" w:rsidR="008D5D54" w:rsidRPr="002047F4" w:rsidRDefault="008D5D54" w:rsidP="008D5D54">
      <w:pPr>
        <w:spacing w:before="240" w:after="0" w:line="240" w:lineRule="auto"/>
        <w:jc w:val="right"/>
        <w:rPr>
          <w:rFonts w:asciiTheme="majorHAnsi" w:hAnsiTheme="majorHAnsi" w:cstheme="majorHAnsi"/>
          <w:b/>
          <w:sz w:val="24"/>
          <w:szCs w:val="24"/>
          <w:lang w:val="ro-RO"/>
        </w:rPr>
      </w:pPr>
      <w:r w:rsidRPr="002047F4">
        <w:rPr>
          <w:rFonts w:asciiTheme="majorHAnsi" w:hAnsiTheme="majorHAnsi" w:cstheme="majorHAnsi"/>
          <w:b/>
          <w:sz w:val="24"/>
          <w:szCs w:val="24"/>
          <w:lang w:val="ro-RO"/>
        </w:rPr>
        <w:lastRenderedPageBreak/>
        <w:t>Diagrama nr.3</w:t>
      </w:r>
    </w:p>
    <w:p w14:paraId="48E53EF0" w14:textId="77777777" w:rsidR="008D5D54" w:rsidRPr="004516AB" w:rsidRDefault="008D5D54" w:rsidP="008D5D54">
      <w:pPr>
        <w:spacing w:before="240" w:after="0" w:line="240" w:lineRule="auto"/>
        <w:jc w:val="right"/>
        <w:rPr>
          <w:rFonts w:asciiTheme="majorHAnsi" w:hAnsiTheme="majorHAnsi" w:cstheme="majorHAnsi"/>
          <w:sz w:val="28"/>
          <w:szCs w:val="28"/>
          <w:lang w:val="ro-RO"/>
        </w:rPr>
      </w:pPr>
      <w:r w:rsidRPr="004516AB">
        <w:rPr>
          <w:rFonts w:asciiTheme="majorHAnsi" w:hAnsiTheme="majorHAnsi" w:cstheme="majorHAnsi"/>
          <w:noProof/>
          <w:sz w:val="28"/>
          <w:szCs w:val="28"/>
          <w:lang w:val="ru-RU" w:eastAsia="ru-RU"/>
        </w:rPr>
        <w:drawing>
          <wp:inline distT="0" distB="0" distL="0" distR="0" wp14:anchorId="2FF7CF63" wp14:editId="50DBDCA9">
            <wp:extent cx="6026150" cy="2451100"/>
            <wp:effectExtent l="0" t="0" r="12700" b="63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DAC6245" w14:textId="17DD71DA" w:rsidR="008D5D54" w:rsidRPr="004570EB" w:rsidRDefault="008D5D54" w:rsidP="008D5D54">
      <w:pPr>
        <w:spacing w:after="0" w:line="240" w:lineRule="auto"/>
        <w:jc w:val="both"/>
        <w:rPr>
          <w:rFonts w:asciiTheme="majorHAnsi" w:hAnsiTheme="majorHAnsi" w:cstheme="majorHAnsi"/>
          <w:sz w:val="20"/>
          <w:szCs w:val="20"/>
          <w:lang w:val="ro-RO"/>
        </w:rPr>
      </w:pPr>
      <w:r w:rsidRPr="004570EB">
        <w:rPr>
          <w:rFonts w:asciiTheme="majorHAnsi" w:hAnsiTheme="majorHAnsi" w:cstheme="majorHAnsi"/>
          <w:b/>
          <w:i/>
          <w:sz w:val="20"/>
          <w:szCs w:val="20"/>
          <w:lang w:val="ro-RO"/>
        </w:rPr>
        <w:t>Sursă:</w:t>
      </w:r>
      <w:r w:rsidRPr="004570EB">
        <w:rPr>
          <w:rFonts w:asciiTheme="majorHAnsi" w:hAnsiTheme="majorHAnsi" w:cstheme="majorHAnsi"/>
          <w:sz w:val="20"/>
          <w:szCs w:val="20"/>
          <w:lang w:val="ro-RO"/>
        </w:rPr>
        <w:t xml:space="preserve"> </w:t>
      </w:r>
      <w:r w:rsidR="00A443B3" w:rsidRPr="004570EB">
        <w:rPr>
          <w:rFonts w:asciiTheme="majorHAnsi" w:hAnsiTheme="majorHAnsi" w:cstheme="majorHAnsi"/>
          <w:sz w:val="20"/>
          <w:szCs w:val="20"/>
          <w:lang w:val="ro-RO"/>
        </w:rPr>
        <w:t>I</w:t>
      </w:r>
      <w:r w:rsidRPr="004570EB">
        <w:rPr>
          <w:rFonts w:asciiTheme="majorHAnsi" w:hAnsiTheme="majorHAnsi" w:cstheme="majorHAnsi"/>
          <w:sz w:val="20"/>
          <w:szCs w:val="20"/>
          <w:lang w:val="ro-RO"/>
        </w:rPr>
        <w:t>nformați</w:t>
      </w:r>
      <w:r w:rsidR="00A443B3" w:rsidRPr="004570EB">
        <w:rPr>
          <w:rFonts w:asciiTheme="majorHAnsi" w:hAnsiTheme="majorHAnsi" w:cstheme="majorHAnsi"/>
          <w:sz w:val="20"/>
          <w:szCs w:val="20"/>
          <w:lang w:val="ro-RO"/>
        </w:rPr>
        <w:t>a</w:t>
      </w:r>
      <w:r w:rsidRPr="004570EB">
        <w:rPr>
          <w:rFonts w:asciiTheme="majorHAnsi" w:hAnsiTheme="majorHAnsi" w:cstheme="majorHAnsi"/>
          <w:sz w:val="20"/>
          <w:szCs w:val="20"/>
          <w:lang w:val="ro-RO"/>
        </w:rPr>
        <w:t xml:space="preserve"> privind dinamica ratei anuale a dobânzii la VMS în anul 201</w:t>
      </w:r>
      <w:r w:rsidR="004516AB" w:rsidRPr="004570EB">
        <w:rPr>
          <w:rFonts w:asciiTheme="majorHAnsi" w:hAnsiTheme="majorHAnsi" w:cstheme="majorHAnsi"/>
          <w:sz w:val="20"/>
          <w:szCs w:val="20"/>
          <w:lang w:val="ro-RO"/>
        </w:rPr>
        <w:t>8</w:t>
      </w:r>
      <w:r w:rsidRPr="004570EB">
        <w:rPr>
          <w:rFonts w:asciiTheme="majorHAnsi" w:hAnsiTheme="majorHAnsi" w:cstheme="majorHAnsi"/>
          <w:sz w:val="20"/>
          <w:szCs w:val="20"/>
          <w:lang w:val="ro-RO"/>
        </w:rPr>
        <w:t>; Comunicatele oficiale de plasa</w:t>
      </w:r>
      <w:r w:rsidR="004516AB" w:rsidRPr="004570EB">
        <w:rPr>
          <w:rFonts w:asciiTheme="majorHAnsi" w:hAnsiTheme="majorHAnsi" w:cstheme="majorHAnsi"/>
          <w:sz w:val="20"/>
          <w:szCs w:val="20"/>
          <w:lang w:val="ro-RO"/>
        </w:rPr>
        <w:t>re a VMS în anul 2018</w:t>
      </w:r>
      <w:r w:rsidRPr="004570EB">
        <w:rPr>
          <w:rFonts w:asciiTheme="majorHAnsi" w:hAnsiTheme="majorHAnsi" w:cstheme="majorHAnsi"/>
          <w:sz w:val="20"/>
          <w:szCs w:val="20"/>
          <w:lang w:val="ro-RO"/>
        </w:rPr>
        <w:t>; Comunicatele privind rezultatele licitațiil</w:t>
      </w:r>
      <w:r w:rsidR="004516AB" w:rsidRPr="004570EB">
        <w:rPr>
          <w:rFonts w:asciiTheme="majorHAnsi" w:hAnsiTheme="majorHAnsi" w:cstheme="majorHAnsi"/>
          <w:sz w:val="20"/>
          <w:szCs w:val="20"/>
          <w:lang w:val="ro-RO"/>
        </w:rPr>
        <w:t>or de vânzare a VMS în anul 2018</w:t>
      </w:r>
      <w:r w:rsidRPr="004570EB">
        <w:rPr>
          <w:rFonts w:asciiTheme="majorHAnsi" w:hAnsiTheme="majorHAnsi" w:cstheme="majorHAnsi"/>
          <w:sz w:val="20"/>
          <w:szCs w:val="20"/>
          <w:lang w:val="ro-RO"/>
        </w:rPr>
        <w:t>.</w:t>
      </w:r>
    </w:p>
    <w:p w14:paraId="7942A5D0" w14:textId="77777777" w:rsidR="008D5D54" w:rsidRPr="00775266" w:rsidRDefault="008D5D54" w:rsidP="008D5D54">
      <w:pPr>
        <w:spacing w:after="0" w:line="240" w:lineRule="auto"/>
        <w:jc w:val="both"/>
        <w:rPr>
          <w:rFonts w:asciiTheme="majorHAnsi" w:hAnsiTheme="majorHAnsi" w:cstheme="majorHAnsi"/>
          <w:sz w:val="28"/>
          <w:szCs w:val="28"/>
          <w:highlight w:val="yellow"/>
          <w:lang w:val="ro-RO"/>
        </w:rPr>
      </w:pPr>
    </w:p>
    <w:p w14:paraId="0CE017F9" w14:textId="25656E98" w:rsidR="008D5D54" w:rsidRPr="002047F4" w:rsidRDefault="00E60E10" w:rsidP="008D5D54">
      <w:pPr>
        <w:spacing w:after="0" w:line="276" w:lineRule="auto"/>
        <w:ind w:firstLine="720"/>
        <w:jc w:val="both"/>
        <w:rPr>
          <w:rFonts w:asciiTheme="majorHAnsi" w:hAnsiTheme="majorHAnsi" w:cstheme="majorHAnsi"/>
          <w:sz w:val="24"/>
          <w:szCs w:val="24"/>
          <w:highlight w:val="yellow"/>
          <w:lang w:val="ro-RO"/>
        </w:rPr>
      </w:pPr>
      <w:r w:rsidRPr="002047F4">
        <w:rPr>
          <w:rFonts w:asciiTheme="majorHAnsi" w:hAnsiTheme="majorHAnsi" w:cstheme="majorHAnsi"/>
          <w:sz w:val="24"/>
          <w:szCs w:val="24"/>
          <w:lang w:val="ro-RO"/>
        </w:rPr>
        <w:t>A</w:t>
      </w:r>
      <w:r w:rsidR="008D5D54" w:rsidRPr="002047F4">
        <w:rPr>
          <w:rFonts w:asciiTheme="majorHAnsi" w:hAnsiTheme="majorHAnsi" w:cstheme="majorHAnsi"/>
          <w:sz w:val="24"/>
          <w:szCs w:val="24"/>
          <w:lang w:val="ro-RO"/>
        </w:rPr>
        <w:t xml:space="preserve">uditul denotă </w:t>
      </w:r>
      <w:r w:rsidR="00EA51BC" w:rsidRPr="002047F4">
        <w:rPr>
          <w:rFonts w:asciiTheme="majorHAnsi" w:hAnsiTheme="majorHAnsi" w:cstheme="majorHAnsi"/>
          <w:sz w:val="24"/>
          <w:szCs w:val="24"/>
          <w:lang w:val="ro-RO"/>
        </w:rPr>
        <w:t xml:space="preserve">că cel mai mare volum al ofertelor </w:t>
      </w:r>
      <w:r w:rsidR="008D5D54" w:rsidRPr="002047F4">
        <w:rPr>
          <w:rFonts w:asciiTheme="majorHAnsi" w:hAnsiTheme="majorHAnsi" w:cstheme="majorHAnsi"/>
          <w:sz w:val="24"/>
          <w:szCs w:val="24"/>
          <w:lang w:val="ro-RO"/>
        </w:rPr>
        <w:t xml:space="preserve">de VMS </w:t>
      </w:r>
      <w:r w:rsidR="008E0A72" w:rsidRPr="002047F4">
        <w:rPr>
          <w:rFonts w:asciiTheme="majorHAnsi" w:hAnsiTheme="majorHAnsi" w:cstheme="majorHAnsi"/>
          <w:sz w:val="24"/>
          <w:szCs w:val="24"/>
          <w:lang w:val="ro-RO"/>
        </w:rPr>
        <w:t xml:space="preserve">a fost </w:t>
      </w:r>
      <w:r w:rsidR="008D5D54" w:rsidRPr="002047F4">
        <w:rPr>
          <w:rFonts w:asciiTheme="majorHAnsi" w:hAnsiTheme="majorHAnsi" w:cstheme="majorHAnsi"/>
          <w:sz w:val="24"/>
          <w:szCs w:val="24"/>
          <w:lang w:val="ro-RO"/>
        </w:rPr>
        <w:t xml:space="preserve">înregistrat în </w:t>
      </w:r>
      <w:r w:rsidR="00EA51BC" w:rsidRPr="002047F4">
        <w:rPr>
          <w:rFonts w:asciiTheme="majorHAnsi" w:hAnsiTheme="majorHAnsi" w:cstheme="majorHAnsi"/>
          <w:sz w:val="24"/>
          <w:szCs w:val="24"/>
          <w:lang w:val="ro-RO"/>
        </w:rPr>
        <w:t>lunile martie și</w:t>
      </w:r>
      <w:r w:rsidR="008E0A72" w:rsidRPr="002047F4">
        <w:rPr>
          <w:rFonts w:asciiTheme="majorHAnsi" w:hAnsiTheme="majorHAnsi" w:cstheme="majorHAnsi"/>
          <w:sz w:val="24"/>
          <w:szCs w:val="24"/>
          <w:lang w:val="ro-RO"/>
        </w:rPr>
        <w:t xml:space="preserve"> </w:t>
      </w:r>
      <w:r w:rsidRPr="002047F4">
        <w:rPr>
          <w:rFonts w:asciiTheme="majorHAnsi" w:hAnsiTheme="majorHAnsi" w:cstheme="majorHAnsi"/>
          <w:sz w:val="24"/>
          <w:szCs w:val="24"/>
          <w:lang w:val="ro-RO"/>
        </w:rPr>
        <w:t>septembrie 2018</w:t>
      </w:r>
      <w:r w:rsidR="00B10FB1" w:rsidRPr="002047F4">
        <w:rPr>
          <w:rFonts w:asciiTheme="majorHAnsi" w:hAnsiTheme="majorHAnsi" w:cstheme="majorHAnsi"/>
          <w:sz w:val="24"/>
          <w:szCs w:val="24"/>
          <w:lang w:val="ro-RO"/>
        </w:rPr>
        <w:t>, când MF a propus pentru plasare</w:t>
      </w:r>
      <w:r w:rsidR="008D5D54" w:rsidRPr="002047F4">
        <w:rPr>
          <w:rFonts w:asciiTheme="majorHAnsi" w:hAnsiTheme="majorHAnsi" w:cstheme="majorHAnsi"/>
          <w:sz w:val="24"/>
          <w:szCs w:val="24"/>
          <w:lang w:val="ro-RO"/>
        </w:rPr>
        <w:t xml:space="preserve"> </w:t>
      </w:r>
      <w:r w:rsidR="00B10FB1" w:rsidRPr="002047F4">
        <w:rPr>
          <w:rFonts w:asciiTheme="majorHAnsi" w:hAnsiTheme="majorHAnsi" w:cstheme="majorHAnsi"/>
          <w:sz w:val="24"/>
          <w:szCs w:val="24"/>
          <w:lang w:val="ro-RO"/>
        </w:rPr>
        <w:t>VMS în v</w:t>
      </w:r>
      <w:r w:rsidR="00BC5A3F">
        <w:rPr>
          <w:rFonts w:asciiTheme="majorHAnsi" w:hAnsiTheme="majorHAnsi" w:cstheme="majorHAnsi"/>
          <w:sz w:val="24"/>
          <w:szCs w:val="24"/>
          <w:lang w:val="ro-RO"/>
        </w:rPr>
        <w:t>aloare</w:t>
      </w:r>
      <w:r w:rsidR="00B10FB1" w:rsidRPr="002047F4">
        <w:rPr>
          <w:rFonts w:asciiTheme="majorHAnsi" w:hAnsiTheme="majorHAnsi" w:cstheme="majorHAnsi"/>
          <w:sz w:val="24"/>
          <w:szCs w:val="24"/>
          <w:lang w:val="ro-RO"/>
        </w:rPr>
        <w:t xml:space="preserve"> </w:t>
      </w:r>
      <w:r w:rsidR="003D4C0A" w:rsidRPr="002047F4">
        <w:rPr>
          <w:rFonts w:asciiTheme="majorHAnsi" w:hAnsiTheme="majorHAnsi" w:cstheme="majorHAnsi"/>
          <w:sz w:val="24"/>
          <w:szCs w:val="24"/>
          <w:lang w:val="ro-RO"/>
        </w:rPr>
        <w:t>total</w:t>
      </w:r>
      <w:r w:rsidR="00BC5A3F">
        <w:rPr>
          <w:rFonts w:asciiTheme="majorHAnsi" w:hAnsiTheme="majorHAnsi" w:cstheme="majorHAnsi"/>
          <w:sz w:val="24"/>
          <w:szCs w:val="24"/>
          <w:lang w:val="ro-RO"/>
        </w:rPr>
        <w:t>ă</w:t>
      </w:r>
      <w:r w:rsidR="003D4C0A" w:rsidRPr="002047F4">
        <w:rPr>
          <w:rFonts w:asciiTheme="majorHAnsi" w:hAnsiTheme="majorHAnsi" w:cstheme="majorHAnsi"/>
          <w:sz w:val="24"/>
          <w:szCs w:val="24"/>
          <w:lang w:val="ro-RO"/>
        </w:rPr>
        <w:t xml:space="preserve"> de 2540,0 </w:t>
      </w:r>
      <w:proofErr w:type="spellStart"/>
      <w:r w:rsidR="003D4C0A" w:rsidRPr="002047F4">
        <w:rPr>
          <w:rFonts w:asciiTheme="majorHAnsi" w:hAnsiTheme="majorHAnsi" w:cstheme="majorHAnsi"/>
          <w:sz w:val="24"/>
          <w:szCs w:val="24"/>
          <w:lang w:val="ro-RO"/>
        </w:rPr>
        <w:t>mil</w:t>
      </w:r>
      <w:r w:rsidR="008D5D54" w:rsidRPr="002047F4">
        <w:rPr>
          <w:rFonts w:asciiTheme="majorHAnsi" w:hAnsiTheme="majorHAnsi" w:cstheme="majorHAnsi"/>
          <w:sz w:val="24"/>
          <w:szCs w:val="24"/>
          <w:lang w:val="ro-RO"/>
        </w:rPr>
        <w:t>.</w:t>
      </w:r>
      <w:r w:rsidR="00E124FF" w:rsidRPr="002047F4">
        <w:rPr>
          <w:rFonts w:asciiTheme="majorHAnsi" w:hAnsiTheme="majorHAnsi" w:cstheme="majorHAnsi"/>
          <w:sz w:val="24"/>
          <w:szCs w:val="24"/>
          <w:lang w:val="ro-RO"/>
        </w:rPr>
        <w:t>MDL</w:t>
      </w:r>
      <w:proofErr w:type="spellEnd"/>
      <w:r w:rsidR="008D5D54" w:rsidRPr="002047F4">
        <w:rPr>
          <w:rFonts w:asciiTheme="majorHAnsi" w:hAnsiTheme="majorHAnsi" w:cstheme="majorHAnsi"/>
          <w:sz w:val="24"/>
          <w:szCs w:val="24"/>
          <w:lang w:val="ro-RO"/>
        </w:rPr>
        <w:t xml:space="preserve">. </w:t>
      </w:r>
    </w:p>
    <w:p w14:paraId="0C04653B" w14:textId="77777777" w:rsidR="005C6D6C" w:rsidRPr="002047F4" w:rsidRDefault="008D5D54" w:rsidP="001325F5">
      <w:pPr>
        <w:spacing w:after="0" w:line="276" w:lineRule="auto"/>
        <w:ind w:firstLine="720"/>
        <w:jc w:val="both"/>
        <w:rPr>
          <w:rFonts w:asciiTheme="majorHAnsi" w:hAnsiTheme="majorHAnsi" w:cstheme="majorHAnsi"/>
          <w:sz w:val="24"/>
          <w:szCs w:val="24"/>
          <w:lang w:val="ro-RO"/>
        </w:rPr>
      </w:pPr>
      <w:r w:rsidRPr="002047F4">
        <w:rPr>
          <w:rFonts w:asciiTheme="majorHAnsi" w:hAnsiTheme="majorHAnsi" w:cstheme="majorHAnsi"/>
          <w:sz w:val="24"/>
          <w:szCs w:val="24"/>
          <w:lang w:val="ro-RO"/>
        </w:rPr>
        <w:t>În totalul VMS emise</w:t>
      </w:r>
      <w:r w:rsidR="00F0420B" w:rsidRPr="002047F4">
        <w:rPr>
          <w:rFonts w:asciiTheme="majorHAnsi" w:hAnsiTheme="majorHAnsi" w:cstheme="majorHAnsi"/>
          <w:sz w:val="24"/>
          <w:szCs w:val="24"/>
          <w:lang w:val="ro-RO"/>
        </w:rPr>
        <w:t xml:space="preserve"> pe piața primară </w:t>
      </w:r>
      <w:r w:rsidRPr="002047F4">
        <w:rPr>
          <w:rFonts w:asciiTheme="majorHAnsi" w:hAnsiTheme="majorHAnsi" w:cstheme="majorHAnsi"/>
          <w:sz w:val="24"/>
          <w:szCs w:val="24"/>
          <w:lang w:val="ro-RO"/>
        </w:rPr>
        <w:t>(</w:t>
      </w:r>
      <w:r w:rsidR="00F0420B" w:rsidRPr="002047F4">
        <w:rPr>
          <w:rFonts w:asciiTheme="majorHAnsi" w:hAnsiTheme="majorHAnsi" w:cstheme="majorHAnsi"/>
          <w:sz w:val="24"/>
          <w:szCs w:val="24"/>
          <w:lang w:val="ro-RO"/>
        </w:rPr>
        <w:t>7914,0</w:t>
      </w:r>
      <w:r w:rsidRPr="002047F4">
        <w:rPr>
          <w:rFonts w:asciiTheme="majorHAnsi" w:hAnsiTheme="majorHAnsi" w:cstheme="majorHAnsi"/>
          <w:sz w:val="24"/>
          <w:szCs w:val="24"/>
          <w:lang w:val="ro-RO"/>
        </w:rPr>
        <w:t xml:space="preserve"> </w:t>
      </w:r>
      <w:proofErr w:type="spellStart"/>
      <w:r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Pr="002047F4">
        <w:rPr>
          <w:rFonts w:asciiTheme="majorHAnsi" w:hAnsiTheme="majorHAnsi" w:cstheme="majorHAnsi"/>
          <w:sz w:val="24"/>
          <w:szCs w:val="24"/>
          <w:lang w:val="ro-RO"/>
        </w:rPr>
        <w:t>), volumul BT cu maturitate</w:t>
      </w:r>
      <w:r w:rsidR="00F0420B" w:rsidRPr="002047F4">
        <w:rPr>
          <w:rFonts w:asciiTheme="majorHAnsi" w:hAnsiTheme="majorHAnsi" w:cstheme="majorHAnsi"/>
          <w:sz w:val="24"/>
          <w:szCs w:val="24"/>
          <w:lang w:val="ro-RO"/>
        </w:rPr>
        <w:t>a de 91 zile a constituit 418,1</w:t>
      </w:r>
      <w:r w:rsidRPr="002047F4">
        <w:rPr>
          <w:rFonts w:asciiTheme="majorHAnsi" w:hAnsiTheme="majorHAnsi" w:cstheme="majorHAnsi"/>
          <w:sz w:val="24"/>
          <w:szCs w:val="24"/>
          <w:lang w:val="ro-RO"/>
        </w:rPr>
        <w:t xml:space="preserve"> </w:t>
      </w:r>
      <w:proofErr w:type="spellStart"/>
      <w:r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00F0420B" w:rsidRPr="002047F4">
        <w:rPr>
          <w:rFonts w:asciiTheme="majorHAnsi" w:hAnsiTheme="majorHAnsi" w:cstheme="majorHAnsi"/>
          <w:sz w:val="24"/>
          <w:szCs w:val="24"/>
          <w:lang w:val="ro-RO"/>
        </w:rPr>
        <w:t xml:space="preserve"> (5</w:t>
      </w:r>
      <w:r w:rsidRPr="002047F4">
        <w:rPr>
          <w:rFonts w:asciiTheme="majorHAnsi" w:hAnsiTheme="majorHAnsi" w:cstheme="majorHAnsi"/>
          <w:sz w:val="24"/>
          <w:szCs w:val="24"/>
          <w:lang w:val="ro-RO"/>
        </w:rPr>
        <w:t xml:space="preserve">,3%); BT cu </w:t>
      </w:r>
      <w:r w:rsidR="00F0420B" w:rsidRPr="002047F4">
        <w:rPr>
          <w:rFonts w:asciiTheme="majorHAnsi" w:hAnsiTheme="majorHAnsi" w:cstheme="majorHAnsi"/>
          <w:sz w:val="24"/>
          <w:szCs w:val="24"/>
          <w:lang w:val="ro-RO"/>
        </w:rPr>
        <w:t>maturitatea de 182 zile – 1683,2</w:t>
      </w:r>
      <w:r w:rsidRPr="002047F4">
        <w:rPr>
          <w:rFonts w:asciiTheme="majorHAnsi" w:hAnsiTheme="majorHAnsi" w:cstheme="majorHAnsi"/>
          <w:sz w:val="24"/>
          <w:szCs w:val="24"/>
          <w:lang w:val="ro-RO"/>
        </w:rPr>
        <w:t xml:space="preserve"> </w:t>
      </w:r>
      <w:proofErr w:type="spellStart"/>
      <w:r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00F0420B" w:rsidRPr="002047F4">
        <w:rPr>
          <w:rFonts w:asciiTheme="majorHAnsi" w:hAnsiTheme="majorHAnsi" w:cstheme="majorHAnsi"/>
          <w:sz w:val="24"/>
          <w:szCs w:val="24"/>
          <w:lang w:val="ro-RO"/>
        </w:rPr>
        <w:t xml:space="preserve"> (21,3</w:t>
      </w:r>
      <w:r w:rsidRPr="002047F4">
        <w:rPr>
          <w:rFonts w:asciiTheme="majorHAnsi" w:hAnsiTheme="majorHAnsi" w:cstheme="majorHAnsi"/>
          <w:sz w:val="24"/>
          <w:szCs w:val="24"/>
          <w:lang w:val="ro-RO"/>
        </w:rPr>
        <w:t xml:space="preserve">%); BT cu maturitatea de 364 zile – </w:t>
      </w:r>
      <w:r w:rsidR="00F0420B" w:rsidRPr="002047F4">
        <w:rPr>
          <w:rFonts w:asciiTheme="majorHAnsi" w:hAnsiTheme="majorHAnsi" w:cstheme="majorHAnsi"/>
          <w:sz w:val="24"/>
          <w:szCs w:val="24"/>
          <w:lang w:val="ro-RO"/>
        </w:rPr>
        <w:t>3445,1</w:t>
      </w:r>
      <w:r w:rsidRPr="002047F4">
        <w:rPr>
          <w:rFonts w:asciiTheme="majorHAnsi" w:hAnsiTheme="majorHAnsi" w:cstheme="majorHAnsi"/>
          <w:sz w:val="24"/>
          <w:szCs w:val="24"/>
          <w:lang w:val="ro-RO"/>
        </w:rPr>
        <w:t xml:space="preserve"> </w:t>
      </w:r>
      <w:proofErr w:type="spellStart"/>
      <w:r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00F0420B" w:rsidRPr="002047F4">
        <w:rPr>
          <w:rFonts w:asciiTheme="majorHAnsi" w:hAnsiTheme="majorHAnsi" w:cstheme="majorHAnsi"/>
          <w:sz w:val="24"/>
          <w:szCs w:val="24"/>
          <w:lang w:val="ro-RO"/>
        </w:rPr>
        <w:t xml:space="preserve"> (43,5</w:t>
      </w:r>
      <w:r w:rsidRPr="002047F4">
        <w:rPr>
          <w:rFonts w:asciiTheme="majorHAnsi" w:hAnsiTheme="majorHAnsi" w:cstheme="majorHAnsi"/>
          <w:sz w:val="24"/>
          <w:szCs w:val="24"/>
          <w:lang w:val="ro-RO"/>
        </w:rPr>
        <w:t xml:space="preserve">%); OS cu maturitatea de 2 ani – </w:t>
      </w:r>
      <w:r w:rsidR="00F0420B" w:rsidRPr="002047F4">
        <w:rPr>
          <w:rFonts w:asciiTheme="majorHAnsi" w:hAnsiTheme="majorHAnsi" w:cstheme="majorHAnsi"/>
          <w:sz w:val="24"/>
          <w:szCs w:val="24"/>
          <w:lang w:val="ro-RO"/>
        </w:rPr>
        <w:t>1397,8</w:t>
      </w:r>
      <w:r w:rsidRPr="002047F4">
        <w:rPr>
          <w:rFonts w:asciiTheme="majorHAnsi" w:hAnsiTheme="majorHAnsi" w:cstheme="majorHAnsi"/>
          <w:sz w:val="24"/>
          <w:szCs w:val="24"/>
          <w:lang w:val="ro-RO"/>
        </w:rPr>
        <w:t xml:space="preserve"> </w:t>
      </w:r>
      <w:proofErr w:type="spellStart"/>
      <w:r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00F0420B" w:rsidRPr="002047F4">
        <w:rPr>
          <w:rFonts w:asciiTheme="majorHAnsi" w:hAnsiTheme="majorHAnsi" w:cstheme="majorHAnsi"/>
          <w:sz w:val="24"/>
          <w:szCs w:val="24"/>
          <w:lang w:val="ro-RO"/>
        </w:rPr>
        <w:t xml:space="preserve"> (17,7</w:t>
      </w:r>
      <w:r w:rsidRPr="002047F4">
        <w:rPr>
          <w:rFonts w:asciiTheme="majorHAnsi" w:hAnsiTheme="majorHAnsi" w:cstheme="majorHAnsi"/>
          <w:sz w:val="24"/>
          <w:szCs w:val="24"/>
          <w:lang w:val="ro-RO"/>
        </w:rPr>
        <w:t>%); OS</w:t>
      </w:r>
      <w:r w:rsidR="00F0420B" w:rsidRPr="002047F4">
        <w:rPr>
          <w:rFonts w:asciiTheme="majorHAnsi" w:hAnsiTheme="majorHAnsi" w:cstheme="majorHAnsi"/>
          <w:sz w:val="24"/>
          <w:szCs w:val="24"/>
          <w:lang w:val="ro-RO"/>
        </w:rPr>
        <w:t xml:space="preserve"> cu maturitatea de 3 ani – 689,7</w:t>
      </w:r>
      <w:r w:rsidRPr="002047F4">
        <w:rPr>
          <w:rFonts w:asciiTheme="majorHAnsi" w:hAnsiTheme="majorHAnsi" w:cstheme="majorHAnsi"/>
          <w:sz w:val="24"/>
          <w:szCs w:val="24"/>
          <w:lang w:val="ro-RO"/>
        </w:rPr>
        <w:t xml:space="preserve"> </w:t>
      </w:r>
      <w:proofErr w:type="spellStart"/>
      <w:r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00F0420B" w:rsidRPr="002047F4">
        <w:rPr>
          <w:rFonts w:asciiTheme="majorHAnsi" w:hAnsiTheme="majorHAnsi" w:cstheme="majorHAnsi"/>
          <w:sz w:val="24"/>
          <w:szCs w:val="24"/>
          <w:lang w:val="ro-RO"/>
        </w:rPr>
        <w:t xml:space="preserve"> (8,7</w:t>
      </w:r>
      <w:r w:rsidRPr="002047F4">
        <w:rPr>
          <w:rFonts w:asciiTheme="majorHAnsi" w:hAnsiTheme="majorHAnsi" w:cstheme="majorHAnsi"/>
          <w:sz w:val="24"/>
          <w:szCs w:val="24"/>
          <w:lang w:val="ro-RO"/>
        </w:rPr>
        <w:t>%)</w:t>
      </w:r>
      <w:r w:rsidR="00F0420B" w:rsidRPr="002047F4">
        <w:rPr>
          <w:rFonts w:asciiTheme="majorHAnsi" w:hAnsiTheme="majorHAnsi" w:cstheme="majorHAnsi"/>
          <w:sz w:val="24"/>
          <w:szCs w:val="24"/>
          <w:lang w:val="ro-RO"/>
        </w:rPr>
        <w:t>; OS</w:t>
      </w:r>
      <w:r w:rsidR="00BA0A55" w:rsidRPr="002047F4">
        <w:rPr>
          <w:rFonts w:asciiTheme="majorHAnsi" w:hAnsiTheme="majorHAnsi" w:cstheme="majorHAnsi"/>
          <w:sz w:val="24"/>
          <w:szCs w:val="24"/>
          <w:lang w:val="ro-RO"/>
        </w:rPr>
        <w:t xml:space="preserve"> cu maturitatea de 5 ani – 279,9</w:t>
      </w:r>
      <w:r w:rsidR="00F0420B" w:rsidRPr="002047F4">
        <w:rPr>
          <w:rFonts w:asciiTheme="majorHAnsi" w:hAnsiTheme="majorHAnsi" w:cstheme="majorHAnsi"/>
          <w:sz w:val="24"/>
          <w:szCs w:val="24"/>
          <w:lang w:val="ro-RO"/>
        </w:rPr>
        <w:t xml:space="preserve"> </w:t>
      </w:r>
      <w:proofErr w:type="spellStart"/>
      <w:r w:rsidR="00F0420B" w:rsidRPr="002047F4">
        <w:rPr>
          <w:rFonts w:asciiTheme="majorHAnsi" w:hAnsiTheme="majorHAnsi" w:cstheme="majorHAnsi"/>
          <w:sz w:val="24"/>
          <w:szCs w:val="24"/>
          <w:lang w:val="ro-RO"/>
        </w:rPr>
        <w:t>mil.MDL</w:t>
      </w:r>
      <w:proofErr w:type="spellEnd"/>
      <w:r w:rsidR="00BA0A55" w:rsidRPr="002047F4">
        <w:rPr>
          <w:rFonts w:asciiTheme="majorHAnsi" w:hAnsiTheme="majorHAnsi" w:cstheme="majorHAnsi"/>
          <w:sz w:val="24"/>
          <w:szCs w:val="24"/>
          <w:lang w:val="ro-RO"/>
        </w:rPr>
        <w:t xml:space="preserve"> (3,5</w:t>
      </w:r>
      <w:r w:rsidR="00F0420B" w:rsidRPr="002047F4">
        <w:rPr>
          <w:rFonts w:asciiTheme="majorHAnsi" w:hAnsiTheme="majorHAnsi" w:cstheme="majorHAnsi"/>
          <w:sz w:val="24"/>
          <w:szCs w:val="24"/>
          <w:lang w:val="ro-RO"/>
        </w:rPr>
        <w:t>%)</w:t>
      </w:r>
      <w:r w:rsidR="001325F5" w:rsidRPr="002047F4">
        <w:rPr>
          <w:rFonts w:asciiTheme="majorHAnsi" w:hAnsiTheme="majorHAnsi" w:cstheme="majorHAnsi"/>
          <w:sz w:val="24"/>
          <w:szCs w:val="24"/>
          <w:lang w:val="ro-RO"/>
        </w:rPr>
        <w:t>.</w:t>
      </w:r>
    </w:p>
    <w:p w14:paraId="1FAC3DA3" w14:textId="77777777" w:rsidR="009D7B87" w:rsidRPr="002047F4" w:rsidRDefault="008D5D54" w:rsidP="004570EB">
      <w:pPr>
        <w:spacing w:after="0" w:line="276" w:lineRule="auto"/>
        <w:ind w:firstLine="720"/>
        <w:jc w:val="both"/>
        <w:rPr>
          <w:rFonts w:asciiTheme="majorHAnsi" w:hAnsiTheme="majorHAnsi" w:cstheme="majorHAnsi"/>
          <w:sz w:val="24"/>
          <w:szCs w:val="24"/>
          <w:lang w:val="ro-RO"/>
        </w:rPr>
      </w:pPr>
      <w:r w:rsidRPr="002047F4">
        <w:rPr>
          <w:rFonts w:asciiTheme="majorHAnsi" w:hAnsiTheme="majorHAnsi" w:cstheme="majorHAnsi"/>
          <w:sz w:val="24"/>
          <w:szCs w:val="24"/>
          <w:lang w:val="ro-RO"/>
        </w:rPr>
        <w:t>Compararea volumului de VMS emise prin licitații (</w:t>
      </w:r>
      <w:r w:rsidR="009D7B87" w:rsidRPr="002047F4">
        <w:rPr>
          <w:rFonts w:asciiTheme="majorHAnsi" w:hAnsiTheme="majorHAnsi" w:cstheme="majorHAnsi"/>
          <w:sz w:val="24"/>
          <w:szCs w:val="24"/>
          <w:lang w:val="ro-RO"/>
        </w:rPr>
        <w:t>9779,4</w:t>
      </w:r>
      <w:r w:rsidRPr="002047F4">
        <w:rPr>
          <w:rFonts w:asciiTheme="majorHAnsi" w:hAnsiTheme="majorHAnsi" w:cstheme="majorHAnsi"/>
          <w:sz w:val="24"/>
          <w:szCs w:val="24"/>
          <w:lang w:val="ro-RO"/>
        </w:rPr>
        <w:t xml:space="preserve"> </w:t>
      </w:r>
      <w:proofErr w:type="spellStart"/>
      <w:r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Pr="002047F4">
        <w:rPr>
          <w:rFonts w:asciiTheme="majorHAnsi" w:hAnsiTheme="majorHAnsi" w:cstheme="majorHAnsi"/>
          <w:sz w:val="24"/>
          <w:szCs w:val="24"/>
          <w:lang w:val="ro-RO"/>
        </w:rPr>
        <w:t>) cu volumul de VMS răscumpărate (</w:t>
      </w:r>
      <w:r w:rsidR="009D7B87" w:rsidRPr="002047F4">
        <w:rPr>
          <w:rFonts w:asciiTheme="majorHAnsi" w:hAnsiTheme="majorHAnsi" w:cstheme="majorHAnsi"/>
          <w:sz w:val="24"/>
          <w:szCs w:val="24"/>
          <w:lang w:val="ro-RO"/>
        </w:rPr>
        <w:t>9089,4</w:t>
      </w:r>
      <w:r w:rsidRPr="002047F4">
        <w:rPr>
          <w:rFonts w:asciiTheme="majorHAnsi" w:hAnsiTheme="majorHAnsi" w:cstheme="majorHAnsi"/>
          <w:sz w:val="24"/>
          <w:szCs w:val="24"/>
          <w:lang w:val="ro-RO"/>
        </w:rPr>
        <w:t xml:space="preserve"> </w:t>
      </w:r>
      <w:proofErr w:type="spellStart"/>
      <w:r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Pr="002047F4">
        <w:rPr>
          <w:rFonts w:asciiTheme="majorHAnsi" w:hAnsiTheme="majorHAnsi" w:cstheme="majorHAnsi"/>
          <w:sz w:val="24"/>
          <w:szCs w:val="24"/>
          <w:lang w:val="ro-RO"/>
        </w:rPr>
        <w:t xml:space="preserve">) </w:t>
      </w:r>
      <w:r w:rsidR="008E4EA4" w:rsidRPr="002047F4">
        <w:rPr>
          <w:rFonts w:asciiTheme="majorHAnsi" w:hAnsiTheme="majorHAnsi" w:cstheme="majorHAnsi"/>
          <w:sz w:val="24"/>
          <w:szCs w:val="24"/>
          <w:lang w:val="ro-RO"/>
        </w:rPr>
        <w:t xml:space="preserve">denotă </w:t>
      </w:r>
      <w:r w:rsidR="009D7B87" w:rsidRPr="002047F4">
        <w:rPr>
          <w:rFonts w:asciiTheme="majorHAnsi" w:hAnsiTheme="majorHAnsi" w:cstheme="majorHAnsi"/>
          <w:sz w:val="24"/>
          <w:szCs w:val="24"/>
          <w:lang w:val="ro-RO"/>
        </w:rPr>
        <w:t>că, pe parcursul anului 2018</w:t>
      </w:r>
      <w:r w:rsidRPr="002047F4">
        <w:rPr>
          <w:rFonts w:asciiTheme="majorHAnsi" w:hAnsiTheme="majorHAnsi" w:cstheme="majorHAnsi"/>
          <w:sz w:val="24"/>
          <w:szCs w:val="24"/>
          <w:lang w:val="ro-RO"/>
        </w:rPr>
        <w:t xml:space="preserve">, </w:t>
      </w:r>
      <w:r w:rsidR="001325F5" w:rsidRPr="002047F4">
        <w:rPr>
          <w:rFonts w:asciiTheme="majorHAnsi" w:hAnsiTheme="majorHAnsi" w:cstheme="majorHAnsi"/>
          <w:sz w:val="24"/>
          <w:szCs w:val="24"/>
          <w:lang w:val="ro-RO"/>
        </w:rPr>
        <w:t xml:space="preserve">emisiunea netă a VMS pe piața primară a </w:t>
      </w:r>
      <w:r w:rsidR="00E73BF2" w:rsidRPr="002047F4">
        <w:rPr>
          <w:rFonts w:asciiTheme="majorHAnsi" w:hAnsiTheme="majorHAnsi" w:cstheme="majorHAnsi"/>
          <w:sz w:val="24"/>
          <w:szCs w:val="24"/>
          <w:lang w:val="ro-RO"/>
        </w:rPr>
        <w:t>însumat</w:t>
      </w:r>
      <w:r w:rsidRPr="002047F4">
        <w:rPr>
          <w:rFonts w:asciiTheme="majorHAnsi" w:hAnsiTheme="majorHAnsi" w:cstheme="majorHAnsi"/>
          <w:sz w:val="24"/>
          <w:szCs w:val="24"/>
          <w:lang w:val="ro-RO"/>
        </w:rPr>
        <w:t xml:space="preserve"> </w:t>
      </w:r>
      <w:r w:rsidR="009D7B87" w:rsidRPr="002047F4">
        <w:rPr>
          <w:rFonts w:asciiTheme="majorHAnsi" w:hAnsiTheme="majorHAnsi" w:cstheme="majorHAnsi"/>
          <w:sz w:val="24"/>
          <w:szCs w:val="24"/>
          <w:lang w:val="ro-RO"/>
        </w:rPr>
        <w:t xml:space="preserve">690,0 </w:t>
      </w:r>
      <w:proofErr w:type="spellStart"/>
      <w:r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009D7B87" w:rsidRPr="002047F4">
        <w:rPr>
          <w:rFonts w:asciiTheme="majorHAnsi" w:hAnsiTheme="majorHAnsi" w:cstheme="majorHAnsi"/>
          <w:sz w:val="24"/>
          <w:szCs w:val="24"/>
          <w:lang w:val="ro-RO"/>
        </w:rPr>
        <w:t>, fiind cu</w:t>
      </w:r>
      <w:r w:rsidR="00E73BF2" w:rsidRPr="002047F4">
        <w:rPr>
          <w:rFonts w:asciiTheme="majorHAnsi" w:hAnsiTheme="majorHAnsi" w:cstheme="majorHAnsi"/>
          <w:sz w:val="24"/>
          <w:szCs w:val="24"/>
          <w:lang w:val="ro-RO"/>
        </w:rPr>
        <w:t xml:space="preserve"> 90,0 </w:t>
      </w:r>
      <w:proofErr w:type="spellStart"/>
      <w:r w:rsidR="00E73BF2" w:rsidRPr="002047F4">
        <w:rPr>
          <w:rFonts w:asciiTheme="majorHAnsi" w:hAnsiTheme="majorHAnsi" w:cstheme="majorHAnsi"/>
          <w:sz w:val="24"/>
          <w:szCs w:val="24"/>
          <w:lang w:val="ro-RO"/>
        </w:rPr>
        <w:t>mil.</w:t>
      </w:r>
      <w:r w:rsidR="009D7B87" w:rsidRPr="002047F4">
        <w:rPr>
          <w:rFonts w:asciiTheme="majorHAnsi" w:hAnsiTheme="majorHAnsi" w:cstheme="majorHAnsi"/>
          <w:sz w:val="24"/>
          <w:szCs w:val="24"/>
          <w:lang w:val="ro-RO"/>
        </w:rPr>
        <w:t>MDL</w:t>
      </w:r>
      <w:proofErr w:type="spellEnd"/>
      <w:r w:rsidR="009D7B87" w:rsidRPr="002047F4">
        <w:rPr>
          <w:rFonts w:asciiTheme="majorHAnsi" w:hAnsiTheme="majorHAnsi" w:cstheme="majorHAnsi"/>
          <w:sz w:val="24"/>
          <w:szCs w:val="24"/>
          <w:lang w:val="ro-RO"/>
        </w:rPr>
        <w:t xml:space="preserve"> mai mult față de anul 2017</w:t>
      </w:r>
      <w:r w:rsidR="001325F5" w:rsidRPr="002047F4">
        <w:rPr>
          <w:rFonts w:asciiTheme="majorHAnsi" w:hAnsiTheme="majorHAnsi" w:cstheme="majorHAnsi"/>
          <w:sz w:val="24"/>
          <w:szCs w:val="24"/>
          <w:lang w:val="ro-RO"/>
        </w:rPr>
        <w:t>.</w:t>
      </w:r>
      <w:r w:rsidR="009D7B87" w:rsidRPr="002047F4">
        <w:rPr>
          <w:rFonts w:asciiTheme="majorHAnsi" w:hAnsiTheme="majorHAnsi" w:cstheme="majorHAnsi"/>
          <w:sz w:val="24"/>
          <w:szCs w:val="24"/>
          <w:lang w:val="ro-RO"/>
        </w:rPr>
        <w:t xml:space="preserve">  </w:t>
      </w:r>
    </w:p>
    <w:p w14:paraId="2DC54858" w14:textId="49335EA6" w:rsidR="00A847BC" w:rsidRPr="002047F4" w:rsidRDefault="00986587" w:rsidP="00A847BC">
      <w:pPr>
        <w:spacing w:after="0" w:line="276" w:lineRule="auto"/>
        <w:ind w:firstLine="720"/>
        <w:jc w:val="both"/>
        <w:rPr>
          <w:rFonts w:asciiTheme="majorHAnsi" w:hAnsiTheme="majorHAnsi" w:cstheme="majorHAnsi"/>
          <w:sz w:val="24"/>
          <w:szCs w:val="24"/>
          <w:lang w:val="ro-RO"/>
        </w:rPr>
      </w:pPr>
      <w:r>
        <w:rPr>
          <w:rFonts w:asciiTheme="majorHAnsi" w:hAnsiTheme="majorHAnsi" w:cstheme="majorHAnsi"/>
          <w:sz w:val="24"/>
          <w:szCs w:val="24"/>
          <w:lang w:val="ro-RO"/>
        </w:rPr>
        <w:t xml:space="preserve">În anul </w:t>
      </w:r>
      <w:r w:rsidR="00A847BC" w:rsidRPr="002047F4">
        <w:rPr>
          <w:rFonts w:asciiTheme="majorHAnsi" w:hAnsiTheme="majorHAnsi" w:cstheme="majorHAnsi"/>
          <w:sz w:val="24"/>
          <w:szCs w:val="24"/>
          <w:lang w:val="ro-RO"/>
        </w:rPr>
        <w:t>2018, pe piața valorilor mobiliare au activat 9 dealeri primari</w:t>
      </w:r>
      <w:r w:rsidR="00F9398A">
        <w:rPr>
          <w:rFonts w:asciiTheme="majorHAnsi" w:hAnsiTheme="majorHAnsi" w:cstheme="majorHAnsi"/>
          <w:sz w:val="24"/>
          <w:szCs w:val="24"/>
          <w:lang w:val="ro-RO"/>
        </w:rPr>
        <w:t>,</w:t>
      </w:r>
      <w:r w:rsidR="00A847BC" w:rsidRPr="002047F4">
        <w:rPr>
          <w:rFonts w:asciiTheme="majorHAnsi" w:hAnsiTheme="majorHAnsi" w:cstheme="majorHAnsi"/>
          <w:sz w:val="24"/>
          <w:szCs w:val="24"/>
          <w:lang w:val="ro-RO"/>
        </w:rPr>
        <w:t xml:space="preserve"> care au contribuit la plasarea VMS pe piața primară și la asigurarea lichidității lor pe piața secundară. </w:t>
      </w:r>
    </w:p>
    <w:p w14:paraId="1D7687C1" w14:textId="53C8A44C" w:rsidR="000C56D0" w:rsidRPr="002047F4" w:rsidRDefault="00A847BC" w:rsidP="004570EB">
      <w:pPr>
        <w:spacing w:after="0" w:line="276" w:lineRule="auto"/>
        <w:ind w:firstLine="720"/>
        <w:jc w:val="both"/>
        <w:rPr>
          <w:rFonts w:asciiTheme="majorHAnsi" w:hAnsiTheme="majorHAnsi" w:cstheme="majorHAnsi"/>
          <w:sz w:val="24"/>
          <w:szCs w:val="24"/>
          <w:lang w:val="ro-RO"/>
        </w:rPr>
      </w:pPr>
      <w:r w:rsidRPr="002047F4">
        <w:rPr>
          <w:rFonts w:asciiTheme="majorHAnsi" w:hAnsiTheme="majorHAnsi" w:cstheme="majorHAnsi"/>
          <w:sz w:val="24"/>
          <w:szCs w:val="24"/>
          <w:lang w:val="ro-RO"/>
        </w:rPr>
        <w:t xml:space="preserve">Analiza efectuată de audit privind VMS procurate în portofoliul propriu al băncilor comerciale și cele procurate în numele </w:t>
      </w:r>
      <w:r w:rsidRPr="002047F4">
        <w:rPr>
          <w:rFonts w:asciiTheme="majorHAnsi" w:hAnsiTheme="majorHAnsi" w:cstheme="majorHAnsi"/>
          <w:color w:val="000000" w:themeColor="text1"/>
          <w:sz w:val="24"/>
          <w:szCs w:val="24"/>
          <w:lang w:val="ro-RO"/>
        </w:rPr>
        <w:t xml:space="preserve">clienților denotă că </w:t>
      </w:r>
      <w:r w:rsidRPr="002047F4">
        <w:rPr>
          <w:rFonts w:asciiTheme="majorHAnsi" w:hAnsiTheme="majorHAnsi" w:cstheme="majorHAnsi"/>
          <w:sz w:val="24"/>
          <w:szCs w:val="24"/>
          <w:lang w:val="ro-RO"/>
        </w:rPr>
        <w:t xml:space="preserve">ponderea majoră </w:t>
      </w:r>
      <w:r w:rsidR="00F9398A">
        <w:rPr>
          <w:rFonts w:asciiTheme="majorHAnsi" w:hAnsiTheme="majorHAnsi" w:cstheme="majorHAnsi"/>
          <w:sz w:val="24"/>
          <w:szCs w:val="24"/>
          <w:lang w:val="ro-RO"/>
        </w:rPr>
        <w:t xml:space="preserve">- de </w:t>
      </w:r>
      <w:r w:rsidR="00F9398A" w:rsidRPr="002047F4">
        <w:rPr>
          <w:rFonts w:asciiTheme="majorHAnsi" w:hAnsiTheme="majorHAnsi" w:cstheme="majorHAnsi"/>
          <w:sz w:val="24"/>
          <w:szCs w:val="24"/>
          <w:lang w:val="ro-RO"/>
        </w:rPr>
        <w:t xml:space="preserve">84,2%, sau 8232,8 </w:t>
      </w:r>
      <w:proofErr w:type="spellStart"/>
      <w:r w:rsidR="002D0D0D">
        <w:rPr>
          <w:rFonts w:asciiTheme="majorHAnsi" w:hAnsiTheme="majorHAnsi" w:cstheme="majorHAnsi"/>
          <w:sz w:val="24"/>
          <w:szCs w:val="24"/>
          <w:lang w:val="ro-RO"/>
        </w:rPr>
        <w:t>mil.MDL</w:t>
      </w:r>
      <w:proofErr w:type="spellEnd"/>
      <w:r w:rsidR="00F9398A">
        <w:rPr>
          <w:rFonts w:asciiTheme="majorHAnsi" w:hAnsiTheme="majorHAnsi" w:cstheme="majorHAnsi"/>
          <w:sz w:val="24"/>
          <w:szCs w:val="24"/>
          <w:lang w:val="ro-RO"/>
        </w:rPr>
        <w:t>,</w:t>
      </w:r>
      <w:r w:rsidR="00F9398A" w:rsidRPr="002047F4">
        <w:rPr>
          <w:rFonts w:asciiTheme="majorHAnsi" w:hAnsiTheme="majorHAnsi" w:cstheme="majorHAnsi"/>
          <w:sz w:val="24"/>
          <w:szCs w:val="24"/>
          <w:lang w:val="ro-RO"/>
        </w:rPr>
        <w:t xml:space="preserve"> </w:t>
      </w:r>
      <w:r w:rsidRPr="002047F4">
        <w:rPr>
          <w:rFonts w:asciiTheme="majorHAnsi" w:hAnsiTheme="majorHAnsi" w:cstheme="majorHAnsi"/>
          <w:sz w:val="24"/>
          <w:szCs w:val="24"/>
          <w:lang w:val="ro-RO"/>
        </w:rPr>
        <w:t xml:space="preserve">o dețin investitorii bancari. Totodată, și </w:t>
      </w:r>
      <w:r w:rsidRPr="002047F4">
        <w:rPr>
          <w:rFonts w:asciiTheme="majorHAnsi" w:hAnsiTheme="majorHAnsi" w:cstheme="majorHAnsi"/>
          <w:color w:val="000000" w:themeColor="text1"/>
          <w:sz w:val="24"/>
          <w:szCs w:val="24"/>
          <w:lang w:val="ro-RO"/>
        </w:rPr>
        <w:t>interesul</w:t>
      </w:r>
      <w:r w:rsidRPr="002047F4">
        <w:rPr>
          <w:rFonts w:asciiTheme="majorHAnsi" w:hAnsiTheme="majorHAnsi" w:cstheme="majorHAnsi"/>
          <w:color w:val="FF0000"/>
          <w:sz w:val="24"/>
          <w:szCs w:val="24"/>
          <w:lang w:val="ro-RO"/>
        </w:rPr>
        <w:t xml:space="preserve"> </w:t>
      </w:r>
      <w:r w:rsidRPr="002047F4">
        <w:rPr>
          <w:rFonts w:asciiTheme="majorHAnsi" w:hAnsiTheme="majorHAnsi" w:cstheme="majorHAnsi"/>
          <w:sz w:val="24"/>
          <w:szCs w:val="24"/>
          <w:lang w:val="ro-RO"/>
        </w:rPr>
        <w:t>pentru VMS ale investitorilor nebancari a fost în scădere</w:t>
      </w:r>
      <w:r w:rsidR="00F9398A">
        <w:rPr>
          <w:rFonts w:asciiTheme="majorHAnsi" w:hAnsiTheme="majorHAnsi" w:cstheme="majorHAnsi"/>
          <w:sz w:val="24"/>
          <w:szCs w:val="24"/>
          <w:lang w:val="ro-RO"/>
        </w:rPr>
        <w:t>,</w:t>
      </w:r>
      <w:r w:rsidRPr="002047F4">
        <w:rPr>
          <w:rFonts w:asciiTheme="majorHAnsi" w:hAnsiTheme="majorHAnsi" w:cstheme="majorHAnsi"/>
          <w:sz w:val="24"/>
          <w:szCs w:val="24"/>
          <w:lang w:val="ro-RO"/>
        </w:rPr>
        <w:t xml:space="preserve"> comparativ cu anul 2017</w:t>
      </w:r>
      <w:r w:rsidR="00F9398A">
        <w:rPr>
          <w:rFonts w:asciiTheme="majorHAnsi" w:hAnsiTheme="majorHAnsi" w:cstheme="majorHAnsi"/>
          <w:sz w:val="24"/>
          <w:szCs w:val="24"/>
          <w:lang w:val="ro-RO"/>
        </w:rPr>
        <w:t>,</w:t>
      </w:r>
      <w:r w:rsidRPr="002047F4">
        <w:rPr>
          <w:rFonts w:asciiTheme="majorHAnsi" w:hAnsiTheme="majorHAnsi" w:cstheme="majorHAnsi"/>
          <w:sz w:val="24"/>
          <w:szCs w:val="24"/>
          <w:lang w:val="ro-RO"/>
        </w:rPr>
        <w:t xml:space="preserve"> cu 72,8 </w:t>
      </w:r>
      <w:proofErr w:type="spellStart"/>
      <w:r w:rsidRPr="002047F4">
        <w:rPr>
          <w:rFonts w:asciiTheme="majorHAnsi" w:hAnsiTheme="majorHAnsi" w:cstheme="majorHAnsi"/>
          <w:sz w:val="24"/>
          <w:szCs w:val="24"/>
          <w:lang w:val="ro-RO"/>
        </w:rPr>
        <w:t>mil.</w:t>
      </w:r>
      <w:r>
        <w:rPr>
          <w:rFonts w:asciiTheme="majorHAnsi" w:hAnsiTheme="majorHAnsi" w:cstheme="majorHAnsi"/>
          <w:sz w:val="24"/>
          <w:szCs w:val="24"/>
          <w:lang w:val="ro-RO"/>
        </w:rPr>
        <w:t>MDL</w:t>
      </w:r>
      <w:proofErr w:type="spellEnd"/>
      <w:r w:rsidRPr="002047F4">
        <w:rPr>
          <w:rFonts w:asciiTheme="majorHAnsi" w:hAnsiTheme="majorHAnsi" w:cstheme="majorHAnsi"/>
          <w:sz w:val="24"/>
          <w:szCs w:val="24"/>
          <w:lang w:val="ro-RO"/>
        </w:rPr>
        <w:t xml:space="preserve">, </w:t>
      </w:r>
      <w:r w:rsidR="00F9398A">
        <w:rPr>
          <w:rFonts w:asciiTheme="majorHAnsi" w:hAnsiTheme="majorHAnsi" w:cstheme="majorHAnsi"/>
          <w:sz w:val="24"/>
          <w:szCs w:val="24"/>
          <w:lang w:val="ro-RO"/>
        </w:rPr>
        <w:t xml:space="preserve">acestea </w:t>
      </w:r>
      <w:r w:rsidRPr="002047F4">
        <w:rPr>
          <w:rFonts w:asciiTheme="majorHAnsi" w:hAnsiTheme="majorHAnsi" w:cstheme="majorHAnsi"/>
          <w:sz w:val="24"/>
          <w:szCs w:val="24"/>
          <w:lang w:val="ro-RO"/>
        </w:rPr>
        <w:t xml:space="preserve">constituind </w:t>
      </w:r>
      <w:r w:rsidR="00F9398A">
        <w:rPr>
          <w:rFonts w:asciiTheme="majorHAnsi" w:hAnsiTheme="majorHAnsi" w:cstheme="majorHAnsi"/>
          <w:sz w:val="24"/>
          <w:szCs w:val="24"/>
          <w:lang w:val="ro-RO"/>
        </w:rPr>
        <w:t xml:space="preserve">suma de </w:t>
      </w:r>
      <w:r w:rsidRPr="002047F4">
        <w:rPr>
          <w:rFonts w:asciiTheme="majorHAnsi" w:hAnsiTheme="majorHAnsi" w:cstheme="majorHAnsi"/>
          <w:sz w:val="24"/>
          <w:szCs w:val="24"/>
          <w:lang w:val="ro-RO"/>
        </w:rPr>
        <w:t xml:space="preserve">1546,6 </w:t>
      </w:r>
      <w:proofErr w:type="spellStart"/>
      <w:r w:rsidRPr="002047F4">
        <w:rPr>
          <w:rFonts w:asciiTheme="majorHAnsi" w:hAnsiTheme="majorHAnsi" w:cstheme="majorHAnsi"/>
          <w:sz w:val="24"/>
          <w:szCs w:val="24"/>
          <w:lang w:val="ro-RO"/>
        </w:rPr>
        <w:t>mil.MDL</w:t>
      </w:r>
      <w:proofErr w:type="spellEnd"/>
      <w:r w:rsidRPr="002047F4">
        <w:rPr>
          <w:rFonts w:asciiTheme="majorHAnsi" w:hAnsiTheme="majorHAnsi" w:cstheme="majorHAnsi"/>
          <w:sz w:val="24"/>
          <w:szCs w:val="24"/>
          <w:lang w:val="ro-RO"/>
        </w:rPr>
        <w:t xml:space="preserve">. </w:t>
      </w:r>
      <w:r w:rsidRPr="002047F4">
        <w:rPr>
          <w:rFonts w:asciiTheme="majorHAnsi" w:hAnsiTheme="majorHAnsi" w:cstheme="majorHAnsi"/>
          <w:i/>
          <w:sz w:val="24"/>
          <w:szCs w:val="24"/>
          <w:lang w:val="ro-RO"/>
        </w:rPr>
        <w:t>Situația dată este expusă  în Diagrama nr.4.</w:t>
      </w:r>
      <w:r w:rsidRPr="002047F4">
        <w:rPr>
          <w:rFonts w:asciiTheme="majorHAnsi" w:hAnsiTheme="majorHAnsi" w:cstheme="majorHAnsi"/>
          <w:sz w:val="24"/>
          <w:szCs w:val="24"/>
          <w:lang w:val="ro-RO"/>
        </w:rPr>
        <w:t xml:space="preserve"> </w:t>
      </w:r>
    </w:p>
    <w:p w14:paraId="6742AF4F" w14:textId="77777777" w:rsidR="00A847BC" w:rsidRPr="002047F4" w:rsidRDefault="00A847BC" w:rsidP="00A847BC">
      <w:pPr>
        <w:spacing w:after="0" w:line="276" w:lineRule="auto"/>
        <w:jc w:val="right"/>
        <w:rPr>
          <w:rFonts w:asciiTheme="majorHAnsi" w:hAnsiTheme="majorHAnsi" w:cstheme="majorHAnsi"/>
          <w:b/>
          <w:sz w:val="24"/>
          <w:szCs w:val="24"/>
          <w:lang w:val="ro-RO"/>
        </w:rPr>
      </w:pPr>
      <w:r w:rsidRPr="002047F4">
        <w:rPr>
          <w:rFonts w:asciiTheme="majorHAnsi" w:hAnsiTheme="majorHAnsi" w:cstheme="majorHAnsi"/>
          <w:b/>
          <w:sz w:val="24"/>
          <w:szCs w:val="24"/>
          <w:lang w:val="ro-RO"/>
        </w:rPr>
        <w:t>Diagrama nr.4</w:t>
      </w:r>
    </w:p>
    <w:p w14:paraId="044C4C62" w14:textId="77777777" w:rsidR="00A847BC" w:rsidRPr="00FA5C9F" w:rsidRDefault="00A847BC" w:rsidP="00A847BC">
      <w:pPr>
        <w:spacing w:after="0" w:line="276" w:lineRule="auto"/>
        <w:jc w:val="both"/>
        <w:rPr>
          <w:rFonts w:asciiTheme="majorHAnsi" w:hAnsiTheme="majorHAnsi" w:cstheme="majorHAnsi"/>
          <w:sz w:val="28"/>
          <w:szCs w:val="28"/>
          <w:lang w:val="ro-RO"/>
        </w:rPr>
      </w:pPr>
      <w:r w:rsidRPr="00FA5C9F">
        <w:rPr>
          <w:rFonts w:asciiTheme="majorHAnsi" w:hAnsiTheme="majorHAnsi" w:cstheme="majorHAnsi"/>
          <w:noProof/>
          <w:sz w:val="28"/>
          <w:szCs w:val="28"/>
          <w:lang w:val="ru-RU" w:eastAsia="ru-RU"/>
        </w:rPr>
        <w:drawing>
          <wp:inline distT="0" distB="0" distL="0" distR="0" wp14:anchorId="1DAD151D" wp14:editId="187B7C42">
            <wp:extent cx="5873750" cy="1987550"/>
            <wp:effectExtent l="0" t="0" r="12700" b="1270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FD4552" w14:textId="7F99C944" w:rsidR="00A847BC" w:rsidRPr="004570EB" w:rsidRDefault="00A847BC" w:rsidP="004570EB">
      <w:pPr>
        <w:spacing w:after="0" w:line="276" w:lineRule="auto"/>
        <w:jc w:val="both"/>
        <w:rPr>
          <w:rFonts w:asciiTheme="majorHAnsi" w:hAnsiTheme="majorHAnsi" w:cstheme="majorHAnsi"/>
          <w:sz w:val="18"/>
          <w:szCs w:val="18"/>
          <w:lang w:val="ro-RO"/>
        </w:rPr>
      </w:pPr>
      <w:r w:rsidRPr="004570EB">
        <w:rPr>
          <w:rFonts w:asciiTheme="majorHAnsi" w:hAnsiTheme="majorHAnsi" w:cstheme="majorHAnsi"/>
          <w:b/>
          <w:i/>
          <w:sz w:val="20"/>
          <w:szCs w:val="20"/>
          <w:lang w:val="ro-RO"/>
        </w:rPr>
        <w:t xml:space="preserve"> </w:t>
      </w:r>
      <w:r w:rsidRPr="004570EB">
        <w:rPr>
          <w:rFonts w:asciiTheme="majorHAnsi" w:hAnsiTheme="majorHAnsi" w:cstheme="majorHAnsi"/>
          <w:b/>
          <w:i/>
          <w:sz w:val="18"/>
          <w:szCs w:val="18"/>
          <w:lang w:val="ro-RO"/>
        </w:rPr>
        <w:t>Sursă:</w:t>
      </w:r>
      <w:r w:rsidRPr="004570EB">
        <w:rPr>
          <w:rFonts w:asciiTheme="majorHAnsi" w:hAnsiTheme="majorHAnsi" w:cstheme="majorHAnsi"/>
          <w:sz w:val="18"/>
          <w:szCs w:val="18"/>
          <w:lang w:val="ro-RO"/>
        </w:rPr>
        <w:t xml:space="preserve"> </w:t>
      </w:r>
      <w:r w:rsidR="006608FF" w:rsidRPr="004570EB">
        <w:rPr>
          <w:rFonts w:asciiTheme="majorHAnsi" w:hAnsiTheme="majorHAnsi" w:cstheme="majorHAnsi"/>
          <w:sz w:val="18"/>
          <w:szCs w:val="18"/>
          <w:lang w:val="ro-RO"/>
        </w:rPr>
        <w:t>I</w:t>
      </w:r>
      <w:r w:rsidRPr="004570EB">
        <w:rPr>
          <w:rFonts w:asciiTheme="majorHAnsi" w:hAnsiTheme="majorHAnsi" w:cstheme="majorHAnsi"/>
          <w:sz w:val="18"/>
          <w:szCs w:val="18"/>
          <w:lang w:val="ro-RO"/>
        </w:rPr>
        <w:t xml:space="preserve">nformații privind investitorii în VMS. </w:t>
      </w:r>
    </w:p>
    <w:p w14:paraId="2859554C" w14:textId="4B2E839F" w:rsidR="00A847BC" w:rsidRPr="002047F4" w:rsidRDefault="00A847BC" w:rsidP="00A847BC">
      <w:pPr>
        <w:spacing w:after="0" w:line="276" w:lineRule="auto"/>
        <w:ind w:firstLine="720"/>
        <w:jc w:val="both"/>
        <w:rPr>
          <w:rFonts w:asciiTheme="majorHAnsi" w:hAnsiTheme="majorHAnsi" w:cstheme="majorHAnsi"/>
          <w:sz w:val="24"/>
          <w:szCs w:val="24"/>
          <w:lang w:val="ro-RO"/>
        </w:rPr>
      </w:pPr>
      <w:r w:rsidRPr="002047F4">
        <w:rPr>
          <w:rFonts w:asciiTheme="majorHAnsi" w:hAnsiTheme="majorHAnsi" w:cstheme="majorHAnsi"/>
          <w:sz w:val="24"/>
          <w:szCs w:val="24"/>
          <w:lang w:val="ro-RO"/>
        </w:rPr>
        <w:lastRenderedPageBreak/>
        <w:t>În anul 2018, printre investitori</w:t>
      </w:r>
      <w:r w:rsidR="00784D5B">
        <w:rPr>
          <w:rFonts w:asciiTheme="majorHAnsi" w:hAnsiTheme="majorHAnsi" w:cstheme="majorHAnsi"/>
          <w:sz w:val="24"/>
          <w:szCs w:val="24"/>
          <w:lang w:val="ro-RO"/>
        </w:rPr>
        <w:t>i</w:t>
      </w:r>
      <w:r w:rsidRPr="002047F4">
        <w:rPr>
          <w:rFonts w:asciiTheme="majorHAnsi" w:hAnsiTheme="majorHAnsi" w:cstheme="majorHAnsi"/>
          <w:sz w:val="24"/>
          <w:szCs w:val="24"/>
          <w:lang w:val="ro-RO"/>
        </w:rPr>
        <w:t xml:space="preserve"> bancari</w:t>
      </w:r>
      <w:r w:rsidR="00784D5B">
        <w:rPr>
          <w:rFonts w:asciiTheme="majorHAnsi" w:hAnsiTheme="majorHAnsi" w:cstheme="majorHAnsi"/>
          <w:sz w:val="24"/>
          <w:szCs w:val="24"/>
          <w:lang w:val="ro-RO"/>
        </w:rPr>
        <w:t xml:space="preserve"> care dețin portofoliu</w:t>
      </w:r>
      <w:r w:rsidR="00F9398A">
        <w:rPr>
          <w:rFonts w:asciiTheme="majorHAnsi" w:hAnsiTheme="majorHAnsi" w:cstheme="majorHAnsi"/>
          <w:sz w:val="24"/>
          <w:szCs w:val="24"/>
          <w:lang w:val="ro-RO"/>
        </w:rPr>
        <w:t>l</w:t>
      </w:r>
      <w:r w:rsidR="00784D5B">
        <w:rPr>
          <w:rFonts w:asciiTheme="majorHAnsi" w:hAnsiTheme="majorHAnsi" w:cstheme="majorHAnsi"/>
          <w:sz w:val="24"/>
          <w:szCs w:val="24"/>
          <w:lang w:val="ro-RO"/>
        </w:rPr>
        <w:t xml:space="preserve"> VMS</w:t>
      </w:r>
      <w:r w:rsidRPr="002047F4">
        <w:rPr>
          <w:rFonts w:asciiTheme="majorHAnsi" w:hAnsiTheme="majorHAnsi" w:cstheme="majorHAnsi"/>
          <w:sz w:val="24"/>
          <w:szCs w:val="24"/>
          <w:lang w:val="ro-RO"/>
        </w:rPr>
        <w:t xml:space="preserve"> pe piața primară au fost: BC „</w:t>
      </w:r>
      <w:proofErr w:type="spellStart"/>
      <w:r w:rsidRPr="002047F4">
        <w:rPr>
          <w:rFonts w:asciiTheme="majorHAnsi" w:hAnsiTheme="majorHAnsi" w:cstheme="majorHAnsi"/>
          <w:sz w:val="24"/>
          <w:szCs w:val="24"/>
          <w:lang w:val="ro-RO"/>
        </w:rPr>
        <w:t>Victoriabank</w:t>
      </w:r>
      <w:proofErr w:type="spellEnd"/>
      <w:r w:rsidRPr="002047F4">
        <w:rPr>
          <w:rFonts w:asciiTheme="majorHAnsi" w:hAnsiTheme="majorHAnsi" w:cstheme="majorHAnsi"/>
          <w:sz w:val="24"/>
          <w:szCs w:val="24"/>
          <w:lang w:val="ro-RO"/>
        </w:rPr>
        <w:t xml:space="preserve">” SA – 26,7% (2200,9 </w:t>
      </w:r>
      <w:proofErr w:type="spellStart"/>
      <w:r w:rsidRPr="002047F4">
        <w:rPr>
          <w:rFonts w:asciiTheme="majorHAnsi" w:hAnsiTheme="majorHAnsi" w:cstheme="majorHAnsi"/>
          <w:sz w:val="24"/>
          <w:szCs w:val="24"/>
          <w:lang w:val="ro-RO"/>
        </w:rPr>
        <w:t>mil.MDL</w:t>
      </w:r>
      <w:proofErr w:type="spellEnd"/>
      <w:r w:rsidRPr="002047F4">
        <w:rPr>
          <w:rFonts w:asciiTheme="majorHAnsi" w:hAnsiTheme="majorHAnsi" w:cstheme="majorHAnsi"/>
          <w:sz w:val="24"/>
          <w:szCs w:val="24"/>
          <w:lang w:val="ro-RO"/>
        </w:rPr>
        <w:t>), BC „</w:t>
      </w:r>
      <w:proofErr w:type="spellStart"/>
      <w:r w:rsidRPr="002047F4">
        <w:rPr>
          <w:rFonts w:asciiTheme="majorHAnsi" w:hAnsiTheme="majorHAnsi" w:cstheme="majorHAnsi"/>
          <w:sz w:val="24"/>
          <w:szCs w:val="24"/>
          <w:lang w:val="ro-RO"/>
        </w:rPr>
        <w:t>Moldindconbank</w:t>
      </w:r>
      <w:proofErr w:type="spellEnd"/>
      <w:r w:rsidRPr="002047F4">
        <w:rPr>
          <w:rFonts w:asciiTheme="majorHAnsi" w:hAnsiTheme="majorHAnsi" w:cstheme="majorHAnsi"/>
          <w:sz w:val="24"/>
          <w:szCs w:val="24"/>
          <w:lang w:val="ro-RO"/>
        </w:rPr>
        <w:t xml:space="preserve">” SA – 24,9% (2047,6 </w:t>
      </w:r>
      <w:proofErr w:type="spellStart"/>
      <w:r w:rsidRPr="002047F4">
        <w:rPr>
          <w:rFonts w:asciiTheme="majorHAnsi" w:hAnsiTheme="majorHAnsi" w:cstheme="majorHAnsi"/>
          <w:sz w:val="24"/>
          <w:szCs w:val="24"/>
          <w:lang w:val="ro-RO"/>
        </w:rPr>
        <w:t>mil.MDL</w:t>
      </w:r>
      <w:proofErr w:type="spellEnd"/>
      <w:r w:rsidRPr="002047F4">
        <w:rPr>
          <w:rFonts w:asciiTheme="majorHAnsi" w:hAnsiTheme="majorHAnsi" w:cstheme="majorHAnsi"/>
          <w:sz w:val="24"/>
          <w:szCs w:val="24"/>
          <w:lang w:val="ro-RO"/>
        </w:rPr>
        <w:t>), și BC „Moldova-</w:t>
      </w:r>
      <w:proofErr w:type="spellStart"/>
      <w:r w:rsidRPr="002047F4">
        <w:rPr>
          <w:rFonts w:asciiTheme="majorHAnsi" w:hAnsiTheme="majorHAnsi" w:cstheme="majorHAnsi"/>
          <w:sz w:val="24"/>
          <w:szCs w:val="24"/>
          <w:lang w:val="ro-RO"/>
        </w:rPr>
        <w:t>Agroindbank</w:t>
      </w:r>
      <w:proofErr w:type="spellEnd"/>
      <w:r w:rsidRPr="002047F4">
        <w:rPr>
          <w:rFonts w:asciiTheme="majorHAnsi" w:hAnsiTheme="majorHAnsi" w:cstheme="majorHAnsi"/>
          <w:sz w:val="24"/>
          <w:szCs w:val="24"/>
          <w:lang w:val="ro-RO"/>
        </w:rPr>
        <w:t xml:space="preserve">” SA – 17,6% (1445,6 </w:t>
      </w:r>
      <w:proofErr w:type="spellStart"/>
      <w:r w:rsidRPr="002047F4">
        <w:rPr>
          <w:rFonts w:asciiTheme="majorHAnsi" w:hAnsiTheme="majorHAnsi" w:cstheme="majorHAnsi"/>
          <w:sz w:val="24"/>
          <w:szCs w:val="24"/>
          <w:lang w:val="ro-RO"/>
        </w:rPr>
        <w:t>mil.MDL</w:t>
      </w:r>
      <w:proofErr w:type="spellEnd"/>
      <w:r w:rsidRPr="002047F4">
        <w:rPr>
          <w:rFonts w:asciiTheme="majorHAnsi" w:hAnsiTheme="majorHAnsi" w:cstheme="majorHAnsi"/>
          <w:sz w:val="24"/>
          <w:szCs w:val="24"/>
          <w:lang w:val="ro-RO"/>
        </w:rPr>
        <w:t xml:space="preserve">). </w:t>
      </w:r>
      <w:r w:rsidRPr="002047F4">
        <w:rPr>
          <w:rFonts w:asciiTheme="majorHAnsi" w:hAnsiTheme="majorHAnsi" w:cstheme="majorHAnsi"/>
          <w:i/>
          <w:sz w:val="24"/>
          <w:szCs w:val="24"/>
          <w:lang w:val="ro-RO"/>
        </w:rPr>
        <w:t>Informația detaliată privind procurarea valorilor mobiliare de stat la licitațiile din 2018 este prezentată în Tabelul nr.5 din Anexa nr.</w:t>
      </w:r>
      <w:r w:rsidR="00863487">
        <w:rPr>
          <w:rFonts w:asciiTheme="majorHAnsi" w:hAnsiTheme="majorHAnsi" w:cstheme="majorHAnsi"/>
          <w:i/>
          <w:sz w:val="24"/>
          <w:szCs w:val="24"/>
          <w:lang w:val="ro-RO"/>
        </w:rPr>
        <w:t xml:space="preserve"> </w:t>
      </w:r>
      <w:r w:rsidRPr="002047F4">
        <w:rPr>
          <w:rFonts w:asciiTheme="majorHAnsi" w:hAnsiTheme="majorHAnsi" w:cstheme="majorHAnsi"/>
          <w:i/>
          <w:sz w:val="24"/>
          <w:szCs w:val="24"/>
          <w:lang w:val="ro-RO"/>
        </w:rPr>
        <w:t>2 la prezentul Raport de audit.</w:t>
      </w:r>
    </w:p>
    <w:p w14:paraId="062A1DDA" w14:textId="77777777" w:rsidR="00E65959" w:rsidRPr="002047F4" w:rsidRDefault="00E65959" w:rsidP="005433B7">
      <w:pPr>
        <w:spacing w:line="276" w:lineRule="auto"/>
        <w:ind w:firstLine="720"/>
        <w:jc w:val="both"/>
        <w:rPr>
          <w:rFonts w:asciiTheme="majorHAnsi" w:hAnsiTheme="majorHAnsi" w:cstheme="majorHAnsi"/>
          <w:sz w:val="24"/>
          <w:szCs w:val="24"/>
          <w:lang w:val="ro-RO"/>
        </w:rPr>
      </w:pPr>
    </w:p>
    <w:p w14:paraId="18C7F47D" w14:textId="4C750E12" w:rsidR="00EA0427" w:rsidRPr="001A2D07" w:rsidRDefault="00455178" w:rsidP="00455178">
      <w:pPr>
        <w:pStyle w:val="2"/>
        <w:numPr>
          <w:ilvl w:val="2"/>
          <w:numId w:val="47"/>
        </w:numPr>
        <w:tabs>
          <w:tab w:val="left" w:pos="1134"/>
        </w:tabs>
        <w:spacing w:after="240"/>
        <w:ind w:hanging="153"/>
        <w:jc w:val="both"/>
        <w:rPr>
          <w:rFonts w:asciiTheme="majorHAnsi" w:hAnsiTheme="majorHAnsi" w:cstheme="majorHAnsi"/>
          <w:b/>
          <w:color w:val="auto"/>
          <w:sz w:val="24"/>
          <w:szCs w:val="24"/>
          <w:lang w:val="ro-MD"/>
        </w:rPr>
      </w:pPr>
      <w:bookmarkStart w:id="29" w:name="_Toc515442965"/>
      <w:r w:rsidRPr="001A2D07">
        <w:rPr>
          <w:rFonts w:asciiTheme="majorHAnsi" w:hAnsiTheme="majorHAnsi" w:cstheme="majorHAnsi"/>
          <w:b/>
          <w:color w:val="auto"/>
          <w:sz w:val="24"/>
          <w:szCs w:val="24"/>
          <w:lang w:val="ro-MD"/>
        </w:rPr>
        <w:t xml:space="preserve">  </w:t>
      </w:r>
      <w:bookmarkStart w:id="30" w:name="_Toc10106685"/>
      <w:r w:rsidR="00A9195D" w:rsidRPr="001A2D07">
        <w:rPr>
          <w:rFonts w:asciiTheme="majorHAnsi" w:hAnsiTheme="majorHAnsi" w:cstheme="majorHAnsi"/>
          <w:b/>
          <w:color w:val="auto"/>
          <w:sz w:val="24"/>
          <w:szCs w:val="24"/>
          <w:lang w:val="ro-MD"/>
        </w:rPr>
        <w:t xml:space="preserve">În anul 2018 a continuat </w:t>
      </w:r>
      <w:r w:rsidR="00986587">
        <w:rPr>
          <w:rFonts w:asciiTheme="majorHAnsi" w:hAnsiTheme="majorHAnsi" w:cstheme="majorHAnsi"/>
          <w:b/>
          <w:color w:val="auto"/>
          <w:sz w:val="24"/>
          <w:szCs w:val="24"/>
          <w:lang w:val="ro-RO"/>
        </w:rPr>
        <w:t>completarea</w:t>
      </w:r>
      <w:r w:rsidR="00986587" w:rsidRPr="009561CB">
        <w:rPr>
          <w:rFonts w:asciiTheme="majorHAnsi" w:hAnsiTheme="majorHAnsi" w:cstheme="majorHAnsi"/>
          <w:b/>
          <w:color w:val="auto"/>
          <w:sz w:val="24"/>
          <w:szCs w:val="24"/>
          <w:lang w:val="ro-RO"/>
        </w:rPr>
        <w:t xml:space="preserve"> rezerve</w:t>
      </w:r>
      <w:r w:rsidR="00986587">
        <w:rPr>
          <w:rFonts w:asciiTheme="majorHAnsi" w:hAnsiTheme="majorHAnsi" w:cstheme="majorHAnsi"/>
          <w:b/>
          <w:color w:val="auto"/>
          <w:sz w:val="24"/>
          <w:szCs w:val="24"/>
          <w:lang w:val="ro-RO"/>
        </w:rPr>
        <w:t>i</w:t>
      </w:r>
      <w:r w:rsidR="005B3D9C" w:rsidRPr="001A2D07">
        <w:rPr>
          <w:rFonts w:asciiTheme="majorHAnsi" w:hAnsiTheme="majorHAnsi" w:cstheme="majorHAnsi"/>
          <w:b/>
          <w:color w:val="auto"/>
          <w:sz w:val="24"/>
          <w:szCs w:val="24"/>
          <w:lang w:val="ro-MD"/>
        </w:rPr>
        <w:t xml:space="preserve"> de lichidități</w:t>
      </w:r>
      <w:r w:rsidR="004D01B4" w:rsidRPr="001A2D07">
        <w:rPr>
          <w:rFonts w:asciiTheme="majorHAnsi" w:hAnsiTheme="majorHAnsi" w:cstheme="majorHAnsi"/>
          <w:b/>
          <w:color w:val="auto"/>
          <w:sz w:val="24"/>
          <w:szCs w:val="24"/>
          <w:lang w:val="ro-MD"/>
        </w:rPr>
        <w:t xml:space="preserve">, </w:t>
      </w:r>
      <w:r w:rsidR="003E5C4C">
        <w:rPr>
          <w:rFonts w:asciiTheme="majorHAnsi" w:hAnsiTheme="majorHAnsi" w:cstheme="majorHAnsi"/>
          <w:b/>
          <w:color w:val="auto"/>
          <w:sz w:val="24"/>
          <w:szCs w:val="24"/>
          <w:lang w:val="ro-MD"/>
        </w:rPr>
        <w:t xml:space="preserve">ceea </w:t>
      </w:r>
      <w:r w:rsidR="004D01B4" w:rsidRPr="001A2D07">
        <w:rPr>
          <w:rFonts w:asciiTheme="majorHAnsi" w:hAnsiTheme="majorHAnsi" w:cstheme="majorHAnsi"/>
          <w:b/>
          <w:color w:val="auto"/>
          <w:sz w:val="24"/>
          <w:szCs w:val="24"/>
          <w:lang w:val="ro-MD"/>
        </w:rPr>
        <w:t xml:space="preserve">ce a </w:t>
      </w:r>
      <w:r w:rsidR="003E5C4C">
        <w:rPr>
          <w:rFonts w:asciiTheme="majorHAnsi" w:hAnsiTheme="majorHAnsi" w:cstheme="majorHAnsi"/>
          <w:b/>
          <w:color w:val="auto"/>
          <w:sz w:val="24"/>
          <w:szCs w:val="24"/>
          <w:lang w:val="ro-MD"/>
        </w:rPr>
        <w:t xml:space="preserve">determinat </w:t>
      </w:r>
      <w:r w:rsidR="005B3D9C" w:rsidRPr="001A2D07">
        <w:rPr>
          <w:rFonts w:asciiTheme="majorHAnsi" w:hAnsiTheme="majorHAnsi" w:cstheme="majorHAnsi"/>
          <w:b/>
          <w:color w:val="auto"/>
          <w:sz w:val="24"/>
          <w:szCs w:val="24"/>
          <w:lang w:val="ro-MD"/>
        </w:rPr>
        <w:t xml:space="preserve"> </w:t>
      </w:r>
      <w:r w:rsidR="004D01B4" w:rsidRPr="001A2D07">
        <w:rPr>
          <w:rFonts w:asciiTheme="majorHAnsi" w:hAnsiTheme="majorHAnsi" w:cstheme="majorHAnsi"/>
          <w:b/>
          <w:color w:val="auto"/>
          <w:sz w:val="24"/>
          <w:szCs w:val="24"/>
          <w:lang w:val="ro-MD"/>
        </w:rPr>
        <w:t>majorarea</w:t>
      </w:r>
      <w:r w:rsidR="005B3D9C" w:rsidRPr="001A2D07">
        <w:rPr>
          <w:rFonts w:asciiTheme="majorHAnsi" w:hAnsiTheme="majorHAnsi" w:cstheme="majorHAnsi"/>
          <w:b/>
          <w:color w:val="auto"/>
          <w:sz w:val="24"/>
          <w:szCs w:val="24"/>
          <w:lang w:val="ro-MD"/>
        </w:rPr>
        <w:t xml:space="preserve"> datoriei de stat</w:t>
      </w:r>
      <w:r w:rsidR="006B2E2A" w:rsidRPr="001A2D07">
        <w:rPr>
          <w:rFonts w:asciiTheme="majorHAnsi" w:hAnsiTheme="majorHAnsi" w:cstheme="majorHAnsi"/>
          <w:b/>
          <w:color w:val="auto"/>
          <w:sz w:val="24"/>
          <w:szCs w:val="24"/>
          <w:lang w:val="ro-MD"/>
        </w:rPr>
        <w:t xml:space="preserve"> interne</w:t>
      </w:r>
      <w:r w:rsidR="005B3D9C" w:rsidRPr="001A2D07">
        <w:rPr>
          <w:rFonts w:asciiTheme="majorHAnsi" w:hAnsiTheme="majorHAnsi" w:cstheme="majorHAnsi"/>
          <w:b/>
          <w:color w:val="auto"/>
          <w:sz w:val="24"/>
          <w:szCs w:val="24"/>
          <w:lang w:val="ro-MD"/>
        </w:rPr>
        <w:t>.</w:t>
      </w:r>
      <w:bookmarkEnd w:id="29"/>
      <w:bookmarkEnd w:id="30"/>
      <w:r w:rsidR="006E4771" w:rsidRPr="001A2D07">
        <w:rPr>
          <w:rFonts w:asciiTheme="majorHAnsi" w:hAnsiTheme="majorHAnsi" w:cstheme="majorHAnsi"/>
          <w:b/>
          <w:color w:val="auto"/>
          <w:sz w:val="24"/>
          <w:szCs w:val="24"/>
          <w:lang w:val="ro-MD"/>
        </w:rPr>
        <w:t xml:space="preserve"> </w:t>
      </w:r>
    </w:p>
    <w:p w14:paraId="49FB0D0B" w14:textId="40F9C37B" w:rsidR="00F22FD2" w:rsidRPr="001A2D07" w:rsidRDefault="00667527" w:rsidP="00371BEA">
      <w:pPr>
        <w:spacing w:after="0" w:line="276" w:lineRule="auto"/>
        <w:ind w:firstLine="567"/>
        <w:jc w:val="both"/>
        <w:rPr>
          <w:rFonts w:asciiTheme="majorHAnsi" w:hAnsiTheme="majorHAnsi" w:cstheme="majorHAnsi"/>
          <w:sz w:val="24"/>
          <w:szCs w:val="24"/>
          <w:lang w:val="ro-MD"/>
        </w:rPr>
      </w:pPr>
      <w:r w:rsidRPr="001A2D07">
        <w:rPr>
          <w:rFonts w:asciiTheme="majorHAnsi" w:hAnsiTheme="majorHAnsi" w:cstheme="majorHAnsi"/>
          <w:sz w:val="24"/>
          <w:szCs w:val="24"/>
          <w:lang w:val="ro-MD"/>
        </w:rPr>
        <w:t>În anul 2018 Ministerul Finanțelor a continuat completarea rezervei de lichidități</w:t>
      </w:r>
      <w:r w:rsidR="003E5C4C">
        <w:rPr>
          <w:rFonts w:asciiTheme="majorHAnsi" w:hAnsiTheme="majorHAnsi" w:cstheme="majorHAnsi"/>
          <w:sz w:val="24"/>
          <w:szCs w:val="24"/>
          <w:lang w:val="ro-MD"/>
        </w:rPr>
        <w:t>,</w:t>
      </w:r>
      <w:r w:rsidR="0037481D" w:rsidRPr="001A2D07">
        <w:rPr>
          <w:rFonts w:asciiTheme="majorHAnsi" w:hAnsiTheme="majorHAnsi" w:cstheme="majorHAnsi"/>
          <w:sz w:val="24"/>
          <w:szCs w:val="24"/>
          <w:lang w:val="ro-MD"/>
        </w:rPr>
        <w:t xml:space="preserve"> inițiată în anul 2017, cu suma</w:t>
      </w:r>
      <w:r w:rsidR="00A24930" w:rsidRPr="001A2D07">
        <w:rPr>
          <w:rFonts w:asciiTheme="majorHAnsi" w:hAnsiTheme="majorHAnsi" w:cstheme="majorHAnsi"/>
          <w:sz w:val="24"/>
          <w:szCs w:val="24"/>
          <w:lang w:val="ro-MD"/>
        </w:rPr>
        <w:t xml:space="preserve"> de 253,5 </w:t>
      </w:r>
      <w:proofErr w:type="spellStart"/>
      <w:r w:rsidR="00A24930" w:rsidRPr="001A2D07">
        <w:rPr>
          <w:rFonts w:asciiTheme="majorHAnsi" w:hAnsiTheme="majorHAnsi" w:cstheme="majorHAnsi"/>
          <w:sz w:val="24"/>
          <w:szCs w:val="24"/>
          <w:lang w:val="ro-MD"/>
        </w:rPr>
        <w:t>mil.MDL</w:t>
      </w:r>
      <w:proofErr w:type="spellEnd"/>
      <w:r w:rsidRPr="001A2D07">
        <w:rPr>
          <w:rFonts w:asciiTheme="majorHAnsi" w:hAnsiTheme="majorHAnsi" w:cstheme="majorHAnsi"/>
          <w:sz w:val="24"/>
          <w:szCs w:val="24"/>
          <w:lang w:val="ro-MD"/>
        </w:rPr>
        <w:t>.</w:t>
      </w:r>
    </w:p>
    <w:p w14:paraId="3F302A39" w14:textId="65AB5F0D" w:rsidR="00A24930" w:rsidRPr="001A2D07" w:rsidRDefault="00F22FD2" w:rsidP="00371BEA">
      <w:pPr>
        <w:spacing w:after="0" w:line="276" w:lineRule="auto"/>
        <w:ind w:firstLine="567"/>
        <w:jc w:val="both"/>
        <w:rPr>
          <w:rFonts w:asciiTheme="majorHAnsi" w:hAnsiTheme="majorHAnsi" w:cstheme="majorHAnsi"/>
          <w:sz w:val="24"/>
          <w:szCs w:val="24"/>
          <w:lang w:val="ro-MD"/>
        </w:rPr>
      </w:pPr>
      <w:r w:rsidRPr="001A2D07">
        <w:rPr>
          <w:rFonts w:asciiTheme="majorHAnsi" w:hAnsiTheme="majorHAnsi" w:cstheme="majorHAnsi"/>
          <w:sz w:val="24"/>
          <w:szCs w:val="24"/>
          <w:lang w:val="ro-MD"/>
        </w:rPr>
        <w:t>Astfel,</w:t>
      </w:r>
      <w:r w:rsidR="00667527" w:rsidRPr="001A2D07">
        <w:rPr>
          <w:rFonts w:asciiTheme="majorHAnsi" w:hAnsiTheme="majorHAnsi" w:cstheme="majorHAnsi"/>
          <w:sz w:val="24"/>
          <w:szCs w:val="24"/>
          <w:lang w:val="ro-MD"/>
        </w:rPr>
        <w:t xml:space="preserve"> </w:t>
      </w:r>
      <w:r w:rsidRPr="001A2D07">
        <w:rPr>
          <w:rFonts w:asciiTheme="majorHAnsi" w:hAnsiTheme="majorHAnsi" w:cstheme="majorHAnsi"/>
          <w:sz w:val="24"/>
          <w:szCs w:val="24"/>
          <w:lang w:val="ro-MD"/>
        </w:rPr>
        <w:t>p</w:t>
      </w:r>
      <w:r w:rsidR="00A24930" w:rsidRPr="001A2D07">
        <w:rPr>
          <w:rFonts w:asciiTheme="majorHAnsi" w:hAnsiTheme="majorHAnsi" w:cstheme="majorHAnsi"/>
          <w:sz w:val="24"/>
          <w:szCs w:val="24"/>
          <w:lang w:val="ro-MD"/>
        </w:rPr>
        <w:t xml:space="preserve">otrivit Legii nr.33 din 17.03.2017 pentru modificarea </w:t>
      </w:r>
      <w:proofErr w:type="spellStart"/>
      <w:r w:rsidR="00A24930" w:rsidRPr="001A2D07">
        <w:rPr>
          <w:rFonts w:asciiTheme="majorHAnsi" w:hAnsiTheme="majorHAnsi" w:cstheme="majorHAnsi"/>
          <w:sz w:val="24"/>
          <w:szCs w:val="24"/>
          <w:lang w:val="ro-MD"/>
        </w:rPr>
        <w:t>şi</w:t>
      </w:r>
      <w:proofErr w:type="spellEnd"/>
      <w:r w:rsidR="00A24930" w:rsidRPr="001A2D07">
        <w:rPr>
          <w:rFonts w:asciiTheme="majorHAnsi" w:hAnsiTheme="majorHAnsi" w:cstheme="majorHAnsi"/>
          <w:sz w:val="24"/>
          <w:szCs w:val="24"/>
          <w:lang w:val="ro-MD"/>
        </w:rPr>
        <w:t xml:space="preserve"> completarea Legii bugetului de stat pe anul 2017</w:t>
      </w:r>
      <w:r w:rsidR="00A24930" w:rsidRPr="001A2D07">
        <w:rPr>
          <w:rStyle w:val="ae"/>
          <w:rFonts w:asciiTheme="majorHAnsi" w:hAnsiTheme="majorHAnsi" w:cstheme="majorHAnsi"/>
          <w:sz w:val="24"/>
          <w:szCs w:val="24"/>
          <w:lang w:val="ro-MD"/>
        </w:rPr>
        <w:footnoteReference w:id="20"/>
      </w:r>
      <w:r w:rsidR="00A24930" w:rsidRPr="001A2D07">
        <w:rPr>
          <w:rFonts w:asciiTheme="majorHAnsi" w:hAnsiTheme="majorHAnsi" w:cstheme="majorHAnsi"/>
          <w:sz w:val="24"/>
          <w:szCs w:val="24"/>
          <w:lang w:val="ro-MD"/>
        </w:rPr>
        <w:t xml:space="preserve">, Ministerul Finanțelor și-a propus crearea unei rezerve de lichidități în mărime de 2,0 </w:t>
      </w:r>
      <w:proofErr w:type="spellStart"/>
      <w:r w:rsidR="00A24930" w:rsidRPr="001A2D07">
        <w:rPr>
          <w:rFonts w:asciiTheme="majorHAnsi" w:hAnsiTheme="majorHAnsi" w:cstheme="majorHAnsi"/>
          <w:sz w:val="24"/>
          <w:szCs w:val="24"/>
          <w:lang w:val="ro-MD"/>
        </w:rPr>
        <w:t>mlrd.</w:t>
      </w:r>
      <w:r w:rsidR="003E5C4C">
        <w:rPr>
          <w:rFonts w:asciiTheme="majorHAnsi" w:hAnsiTheme="majorHAnsi" w:cstheme="majorHAnsi"/>
          <w:sz w:val="24"/>
          <w:szCs w:val="24"/>
          <w:lang w:val="ro-MD"/>
        </w:rPr>
        <w:t>MDL</w:t>
      </w:r>
      <w:proofErr w:type="spellEnd"/>
      <w:r w:rsidR="00A24930" w:rsidRPr="001A2D07">
        <w:rPr>
          <w:rFonts w:asciiTheme="majorHAnsi" w:hAnsiTheme="majorHAnsi" w:cstheme="majorHAnsi"/>
          <w:sz w:val="24"/>
          <w:szCs w:val="24"/>
          <w:lang w:val="ro-MD"/>
        </w:rPr>
        <w:t>. Potrivit notei informative la proiectul de lege pentru modificarea și completarea Legii bugetului de stat pe anul 2017</w:t>
      </w:r>
      <w:r w:rsidR="003E5C4C">
        <w:rPr>
          <w:rFonts w:asciiTheme="majorHAnsi" w:hAnsiTheme="majorHAnsi" w:cstheme="majorHAnsi"/>
          <w:sz w:val="24"/>
          <w:szCs w:val="24"/>
          <w:lang w:val="ro-MD"/>
        </w:rPr>
        <w:t>,</w:t>
      </w:r>
      <w:r w:rsidR="00A24930" w:rsidRPr="001A2D07">
        <w:rPr>
          <w:rFonts w:asciiTheme="majorHAnsi" w:hAnsiTheme="majorHAnsi" w:cstheme="majorHAnsi"/>
          <w:sz w:val="24"/>
          <w:szCs w:val="24"/>
          <w:lang w:val="ro-MD"/>
        </w:rPr>
        <w:t xml:space="preserve"> </w:t>
      </w:r>
      <w:r w:rsidR="00A24930" w:rsidRPr="001A2D07">
        <w:rPr>
          <w:rFonts w:asciiTheme="majorHAnsi" w:hAnsiTheme="majorHAnsi" w:cstheme="majorHAnsi"/>
          <w:i/>
          <w:sz w:val="24"/>
          <w:szCs w:val="24"/>
          <w:lang w:val="ro-MD"/>
        </w:rPr>
        <w:t>„în scopul îmbunătățirii gestionării datoriei de stat, precum și evitării presiunilor sezoniere în asigurarea surselor de finanțare pentru acoperirea deficitului bugetar, dar și pentru a reduce riscul de refinanțare a datoriei de stat și riscurile legate de disponibilitatea de lichidități, se propune crearea unei rezerve de lichidități. Modificarea în cauză impune majorarea soldului datoriei de stat interne</w:t>
      </w:r>
      <w:r w:rsidRPr="001A2D07">
        <w:rPr>
          <w:rFonts w:asciiTheme="majorHAnsi" w:hAnsiTheme="majorHAnsi" w:cstheme="majorHAnsi"/>
          <w:i/>
          <w:sz w:val="24"/>
          <w:szCs w:val="24"/>
          <w:lang w:val="ro-MD"/>
        </w:rPr>
        <w:t xml:space="preserve">, </w:t>
      </w:r>
      <w:r w:rsidR="00A24930" w:rsidRPr="001A2D07">
        <w:rPr>
          <w:rFonts w:asciiTheme="majorHAnsi" w:hAnsiTheme="majorHAnsi" w:cstheme="majorHAnsi"/>
          <w:i/>
          <w:sz w:val="24"/>
          <w:szCs w:val="24"/>
          <w:lang w:val="ro-MD"/>
        </w:rPr>
        <w:t xml:space="preserve">precum și majorarea soldului de mijloace bănești în conturi la finele anului 2017”. </w:t>
      </w:r>
      <w:r w:rsidR="0037481D" w:rsidRPr="001A2D07">
        <w:rPr>
          <w:rFonts w:asciiTheme="majorHAnsi" w:hAnsiTheme="majorHAnsi" w:cstheme="majorHAnsi"/>
          <w:sz w:val="24"/>
          <w:szCs w:val="24"/>
          <w:lang w:val="ro-MD"/>
        </w:rPr>
        <w:t xml:space="preserve">Astfel, la licitația din 28.03.2017 </w:t>
      </w:r>
      <w:r w:rsidR="003E5C4C">
        <w:rPr>
          <w:rFonts w:asciiTheme="majorHAnsi" w:hAnsiTheme="majorHAnsi" w:cstheme="majorHAnsi"/>
          <w:sz w:val="24"/>
          <w:szCs w:val="24"/>
          <w:lang w:val="ro-MD"/>
        </w:rPr>
        <w:t>au fost</w:t>
      </w:r>
      <w:r w:rsidR="0037481D" w:rsidRPr="001A2D07">
        <w:rPr>
          <w:rFonts w:asciiTheme="majorHAnsi" w:hAnsiTheme="majorHAnsi" w:cstheme="majorHAnsi"/>
          <w:sz w:val="24"/>
          <w:szCs w:val="24"/>
          <w:lang w:val="ro-MD"/>
        </w:rPr>
        <w:t xml:space="preserve"> comercializate OS în sumă de 508,9 </w:t>
      </w:r>
      <w:proofErr w:type="spellStart"/>
      <w:r w:rsidR="0037481D" w:rsidRPr="001A2D07">
        <w:rPr>
          <w:rFonts w:asciiTheme="majorHAnsi" w:hAnsiTheme="majorHAnsi" w:cstheme="majorHAnsi"/>
          <w:sz w:val="24"/>
          <w:szCs w:val="24"/>
          <w:lang w:val="ro-MD"/>
        </w:rPr>
        <w:t>mil.</w:t>
      </w:r>
      <w:r w:rsidR="003E5C4C">
        <w:rPr>
          <w:rFonts w:asciiTheme="majorHAnsi" w:hAnsiTheme="majorHAnsi" w:cstheme="majorHAnsi"/>
          <w:sz w:val="24"/>
          <w:szCs w:val="24"/>
          <w:lang w:val="ro-MD"/>
        </w:rPr>
        <w:t>MDL</w:t>
      </w:r>
      <w:proofErr w:type="spellEnd"/>
      <w:r w:rsidR="0037481D" w:rsidRPr="001A2D07">
        <w:rPr>
          <w:rFonts w:asciiTheme="majorHAnsi" w:hAnsiTheme="majorHAnsi" w:cstheme="majorHAnsi"/>
          <w:sz w:val="24"/>
          <w:szCs w:val="24"/>
          <w:lang w:val="ro-MD"/>
        </w:rPr>
        <w:t>.</w:t>
      </w:r>
      <w:r w:rsidR="00371BEA" w:rsidRPr="001A2D07">
        <w:rPr>
          <w:rFonts w:asciiTheme="majorHAnsi" w:hAnsiTheme="majorHAnsi" w:cstheme="majorHAnsi"/>
          <w:sz w:val="24"/>
          <w:szCs w:val="24"/>
          <w:lang w:val="ro-MD"/>
        </w:rPr>
        <w:t xml:space="preserve"> Auditul relevă că în luna martie a anului 2018 au fost răscumpărate OS în sumă de 163,5 </w:t>
      </w:r>
      <w:proofErr w:type="spellStart"/>
      <w:r w:rsidR="00371BEA" w:rsidRPr="001A2D07">
        <w:rPr>
          <w:rFonts w:asciiTheme="majorHAnsi" w:hAnsiTheme="majorHAnsi" w:cstheme="majorHAnsi"/>
          <w:sz w:val="24"/>
          <w:szCs w:val="24"/>
          <w:lang w:val="ro-MD"/>
        </w:rPr>
        <w:t>mil.MDL</w:t>
      </w:r>
      <w:proofErr w:type="spellEnd"/>
      <w:r w:rsidR="003E5C4C">
        <w:rPr>
          <w:rFonts w:asciiTheme="majorHAnsi" w:hAnsiTheme="majorHAnsi" w:cstheme="majorHAnsi"/>
          <w:sz w:val="24"/>
          <w:szCs w:val="24"/>
          <w:lang w:val="ro-MD"/>
        </w:rPr>
        <w:t>,</w:t>
      </w:r>
      <w:r w:rsidR="00371BEA" w:rsidRPr="001A2D07">
        <w:rPr>
          <w:rFonts w:asciiTheme="majorHAnsi" w:hAnsiTheme="majorHAnsi" w:cstheme="majorHAnsi"/>
          <w:sz w:val="24"/>
          <w:szCs w:val="24"/>
          <w:lang w:val="ro-MD"/>
        </w:rPr>
        <w:t xml:space="preserve"> emise în luna martie a anului 2017</w:t>
      </w:r>
      <w:r w:rsidR="003E5C4C">
        <w:rPr>
          <w:rFonts w:asciiTheme="majorHAnsi" w:hAnsiTheme="majorHAnsi" w:cstheme="majorHAnsi"/>
          <w:sz w:val="24"/>
          <w:szCs w:val="24"/>
          <w:lang w:val="ro-MD"/>
        </w:rPr>
        <w:t>,</w:t>
      </w:r>
      <w:r w:rsidR="00371BEA" w:rsidRPr="001A2D07">
        <w:rPr>
          <w:rFonts w:asciiTheme="majorHAnsi" w:hAnsiTheme="majorHAnsi" w:cstheme="majorHAnsi"/>
          <w:sz w:val="24"/>
          <w:szCs w:val="24"/>
          <w:lang w:val="ro-MD"/>
        </w:rPr>
        <w:t xml:space="preserve"> cu termenul de maturitate de 1 an.</w:t>
      </w:r>
    </w:p>
    <w:p w14:paraId="35D0B4A2" w14:textId="5E7D7653" w:rsidR="00667527" w:rsidRPr="00FE133E" w:rsidRDefault="005B563B" w:rsidP="005B563B">
      <w:pPr>
        <w:spacing w:after="0" w:line="276" w:lineRule="auto"/>
        <w:ind w:firstLine="567"/>
        <w:jc w:val="both"/>
        <w:rPr>
          <w:rFonts w:asciiTheme="majorHAnsi" w:hAnsiTheme="majorHAnsi" w:cstheme="majorHAnsi"/>
          <w:sz w:val="24"/>
          <w:szCs w:val="24"/>
          <w:lang w:val="ro-MD"/>
        </w:rPr>
      </w:pPr>
      <w:r w:rsidRPr="001A2D07">
        <w:rPr>
          <w:rFonts w:asciiTheme="majorHAnsi" w:hAnsiTheme="majorHAnsi" w:cstheme="majorHAnsi"/>
          <w:sz w:val="24"/>
          <w:szCs w:val="24"/>
          <w:lang w:val="ro-MD"/>
        </w:rPr>
        <w:t>Auditul denotă că pentru anul 2018 au fost precizate</w:t>
      </w:r>
      <w:r w:rsidR="00E541DC" w:rsidRPr="001A2D07">
        <w:rPr>
          <w:rFonts w:asciiTheme="majorHAnsi" w:hAnsiTheme="majorHAnsi" w:cstheme="majorHAnsi"/>
          <w:sz w:val="24"/>
          <w:szCs w:val="24"/>
          <w:lang w:val="ro-MD"/>
        </w:rPr>
        <w:t xml:space="preserve"> spre</w:t>
      </w:r>
      <w:r w:rsidRPr="001A2D07">
        <w:rPr>
          <w:rFonts w:asciiTheme="majorHAnsi" w:hAnsiTheme="majorHAnsi" w:cstheme="majorHAnsi"/>
          <w:sz w:val="24"/>
          <w:szCs w:val="24"/>
          <w:lang w:val="ro-MD"/>
        </w:rPr>
        <w:t xml:space="preserve"> vânzare VMS pentru crearea unei rezerve de lichidități în sumă de 1491,1 </w:t>
      </w:r>
      <w:proofErr w:type="spellStart"/>
      <w:r w:rsidRPr="001A2D07">
        <w:rPr>
          <w:rFonts w:asciiTheme="majorHAnsi" w:hAnsiTheme="majorHAnsi" w:cstheme="majorHAnsi"/>
          <w:sz w:val="24"/>
          <w:szCs w:val="24"/>
          <w:lang w:val="ro-MD"/>
        </w:rPr>
        <w:t>mil.MDL</w:t>
      </w:r>
      <w:proofErr w:type="spellEnd"/>
      <w:r w:rsidRPr="001A2D07">
        <w:rPr>
          <w:rFonts w:asciiTheme="majorHAnsi" w:hAnsiTheme="majorHAnsi" w:cstheme="majorHAnsi"/>
          <w:sz w:val="24"/>
          <w:szCs w:val="24"/>
          <w:lang w:val="ro-MD"/>
        </w:rPr>
        <w:t xml:space="preserve">. </w:t>
      </w:r>
      <w:r w:rsidR="00667527" w:rsidRPr="001A2D07">
        <w:rPr>
          <w:rFonts w:asciiTheme="majorHAnsi" w:hAnsiTheme="majorHAnsi" w:cstheme="majorHAnsi"/>
          <w:sz w:val="24"/>
          <w:szCs w:val="24"/>
          <w:lang w:val="ro-MD"/>
        </w:rPr>
        <w:t xml:space="preserve">Astfel, </w:t>
      </w:r>
      <w:r w:rsidR="00457C32" w:rsidRPr="001A2D07">
        <w:rPr>
          <w:rFonts w:asciiTheme="majorHAnsi" w:hAnsiTheme="majorHAnsi" w:cstheme="majorHAnsi"/>
          <w:bCs/>
          <w:sz w:val="24"/>
          <w:szCs w:val="24"/>
          <w:lang w:val="ro-MD"/>
        </w:rPr>
        <w:t>la licitația</w:t>
      </w:r>
      <w:r w:rsidR="00667527" w:rsidRPr="001A2D07">
        <w:rPr>
          <w:rFonts w:asciiTheme="majorHAnsi" w:hAnsiTheme="majorHAnsi" w:cstheme="majorHAnsi"/>
          <w:bCs/>
          <w:sz w:val="24"/>
          <w:szCs w:val="24"/>
          <w:lang w:val="ro-MD"/>
        </w:rPr>
        <w:t xml:space="preserve"> din 28.03.2018 au fost </w:t>
      </w:r>
      <w:r w:rsidR="00004393">
        <w:rPr>
          <w:rFonts w:asciiTheme="majorHAnsi" w:hAnsiTheme="majorHAnsi" w:cstheme="majorHAnsi"/>
          <w:bCs/>
          <w:sz w:val="24"/>
          <w:szCs w:val="24"/>
          <w:lang w:val="ro-RO"/>
        </w:rPr>
        <w:t>emise</w:t>
      </w:r>
      <w:r w:rsidR="00004393" w:rsidRPr="009561CB">
        <w:rPr>
          <w:rFonts w:asciiTheme="majorHAnsi" w:hAnsiTheme="majorHAnsi" w:cstheme="majorHAnsi"/>
          <w:bCs/>
          <w:sz w:val="24"/>
          <w:szCs w:val="24"/>
          <w:lang w:val="ro-RO"/>
        </w:rPr>
        <w:t xml:space="preserve"> </w:t>
      </w:r>
      <w:r w:rsidR="00667527" w:rsidRPr="00FE133E">
        <w:rPr>
          <w:rFonts w:asciiTheme="majorHAnsi" w:hAnsiTheme="majorHAnsi" w:cstheme="majorHAnsi"/>
          <w:bCs/>
          <w:sz w:val="24"/>
          <w:szCs w:val="24"/>
          <w:lang w:val="ro-MD"/>
        </w:rPr>
        <w:t xml:space="preserve">VMS în valoare totală de 153,5 </w:t>
      </w:r>
      <w:proofErr w:type="spellStart"/>
      <w:r w:rsidR="00667527" w:rsidRPr="00FE133E">
        <w:rPr>
          <w:rFonts w:asciiTheme="majorHAnsi" w:hAnsiTheme="majorHAnsi" w:cstheme="majorHAnsi"/>
          <w:bCs/>
          <w:sz w:val="24"/>
          <w:szCs w:val="24"/>
          <w:lang w:val="ro-MD"/>
        </w:rPr>
        <w:t>mil.MDL</w:t>
      </w:r>
      <w:proofErr w:type="spellEnd"/>
      <w:r w:rsidR="00457C32" w:rsidRPr="00FE133E">
        <w:rPr>
          <w:rStyle w:val="ae"/>
          <w:rFonts w:asciiTheme="majorHAnsi" w:hAnsiTheme="majorHAnsi"/>
          <w:bCs/>
          <w:sz w:val="24"/>
          <w:szCs w:val="24"/>
          <w:lang w:val="ro-MD"/>
        </w:rPr>
        <w:footnoteReference w:id="21"/>
      </w:r>
      <w:r w:rsidR="00C5676A" w:rsidRPr="00FE133E">
        <w:rPr>
          <w:rFonts w:asciiTheme="majorHAnsi" w:hAnsiTheme="majorHAnsi" w:cstheme="majorHAnsi"/>
          <w:bCs/>
          <w:sz w:val="24"/>
          <w:szCs w:val="24"/>
          <w:lang w:val="ro-MD"/>
        </w:rPr>
        <w:t>.</w:t>
      </w:r>
      <w:r w:rsidR="00667527" w:rsidRPr="00FE133E">
        <w:rPr>
          <w:rFonts w:asciiTheme="majorHAnsi" w:hAnsiTheme="majorHAnsi" w:cstheme="majorHAnsi"/>
          <w:bCs/>
          <w:sz w:val="24"/>
          <w:szCs w:val="24"/>
          <w:lang w:val="ro-MD"/>
        </w:rPr>
        <w:t xml:space="preserve"> </w:t>
      </w:r>
      <w:r w:rsidR="00F6527B" w:rsidRPr="00FE133E">
        <w:rPr>
          <w:rFonts w:asciiTheme="majorHAnsi" w:hAnsiTheme="majorHAnsi" w:cstheme="majorHAnsi"/>
          <w:bCs/>
          <w:sz w:val="24"/>
          <w:szCs w:val="24"/>
          <w:lang w:val="ro-MD"/>
        </w:rPr>
        <w:t xml:space="preserve">Ulterior, la licitația </w:t>
      </w:r>
      <w:r w:rsidR="00CC1AC4" w:rsidRPr="00FE133E">
        <w:rPr>
          <w:rFonts w:asciiTheme="majorHAnsi" w:hAnsiTheme="majorHAnsi" w:cstheme="majorHAnsi"/>
          <w:bCs/>
          <w:sz w:val="24"/>
          <w:szCs w:val="24"/>
          <w:lang w:val="ro-MD"/>
        </w:rPr>
        <w:t>din</w:t>
      </w:r>
      <w:r w:rsidR="00EB4C6A" w:rsidRPr="00FE133E">
        <w:rPr>
          <w:rFonts w:asciiTheme="majorHAnsi" w:hAnsiTheme="majorHAnsi" w:cstheme="majorHAnsi"/>
          <w:bCs/>
          <w:sz w:val="24"/>
          <w:szCs w:val="24"/>
          <w:lang w:val="ro-MD"/>
        </w:rPr>
        <w:t xml:space="preserve"> 19.09.2018 </w:t>
      </w:r>
      <w:r w:rsidR="004C033A">
        <w:rPr>
          <w:rFonts w:asciiTheme="majorHAnsi" w:hAnsiTheme="majorHAnsi" w:cstheme="majorHAnsi"/>
          <w:bCs/>
          <w:sz w:val="24"/>
          <w:szCs w:val="24"/>
          <w:lang w:val="ro-MD"/>
        </w:rPr>
        <w:t>s-</w:t>
      </w:r>
      <w:r w:rsidR="00EB4C6A" w:rsidRPr="00FE133E">
        <w:rPr>
          <w:rFonts w:asciiTheme="majorHAnsi" w:hAnsiTheme="majorHAnsi" w:cstheme="majorHAnsi"/>
          <w:bCs/>
          <w:sz w:val="24"/>
          <w:szCs w:val="24"/>
          <w:lang w:val="ro-MD"/>
        </w:rPr>
        <w:t xml:space="preserve">au </w:t>
      </w:r>
      <w:r w:rsidR="00004393">
        <w:rPr>
          <w:rFonts w:asciiTheme="majorHAnsi" w:hAnsiTheme="majorHAnsi" w:cstheme="majorHAnsi"/>
          <w:bCs/>
          <w:sz w:val="24"/>
          <w:szCs w:val="24"/>
          <w:lang w:val="ro-RO"/>
        </w:rPr>
        <w:t>emis</w:t>
      </w:r>
      <w:r w:rsidR="00004393" w:rsidRPr="009561CB">
        <w:rPr>
          <w:rFonts w:asciiTheme="majorHAnsi" w:hAnsiTheme="majorHAnsi" w:cstheme="majorHAnsi"/>
          <w:bCs/>
          <w:sz w:val="24"/>
          <w:szCs w:val="24"/>
          <w:lang w:val="ro-RO"/>
        </w:rPr>
        <w:t xml:space="preserve"> </w:t>
      </w:r>
      <w:r w:rsidR="00EB4C6A" w:rsidRPr="00FE133E">
        <w:rPr>
          <w:rFonts w:asciiTheme="majorHAnsi" w:hAnsiTheme="majorHAnsi" w:cstheme="majorHAnsi"/>
          <w:bCs/>
          <w:sz w:val="24"/>
          <w:szCs w:val="24"/>
          <w:lang w:val="ro-MD"/>
        </w:rPr>
        <w:t xml:space="preserve">VMS în valoare totală de 224,2 </w:t>
      </w:r>
      <w:proofErr w:type="spellStart"/>
      <w:r w:rsidR="00EB4C6A" w:rsidRPr="00FE133E">
        <w:rPr>
          <w:rFonts w:asciiTheme="majorHAnsi" w:hAnsiTheme="majorHAnsi" w:cstheme="majorHAnsi"/>
          <w:bCs/>
          <w:sz w:val="24"/>
          <w:szCs w:val="24"/>
          <w:lang w:val="ro-MD"/>
        </w:rPr>
        <w:t>mil.MDL</w:t>
      </w:r>
      <w:proofErr w:type="spellEnd"/>
      <w:r w:rsidR="00457C32" w:rsidRPr="00FE133E">
        <w:rPr>
          <w:rFonts w:asciiTheme="majorHAnsi" w:hAnsiTheme="majorHAnsi" w:cstheme="majorHAnsi"/>
          <w:bCs/>
          <w:sz w:val="24"/>
          <w:szCs w:val="24"/>
          <w:lang w:val="ro-MD"/>
        </w:rPr>
        <w:t xml:space="preserve">, dintre care </w:t>
      </w:r>
      <w:r w:rsidR="00C5676A" w:rsidRPr="00FE133E">
        <w:rPr>
          <w:rFonts w:asciiTheme="majorHAnsi" w:hAnsiTheme="majorHAnsi" w:cstheme="majorHAnsi"/>
          <w:bCs/>
          <w:sz w:val="24"/>
          <w:szCs w:val="24"/>
          <w:lang w:val="ro-MD"/>
        </w:rPr>
        <w:t xml:space="preserve">100,0 </w:t>
      </w:r>
      <w:proofErr w:type="spellStart"/>
      <w:r w:rsidR="00C5676A" w:rsidRPr="00FE133E">
        <w:rPr>
          <w:rFonts w:asciiTheme="majorHAnsi" w:hAnsiTheme="majorHAnsi" w:cstheme="majorHAnsi"/>
          <w:bCs/>
          <w:sz w:val="24"/>
          <w:szCs w:val="24"/>
          <w:lang w:val="ro-MD"/>
        </w:rPr>
        <w:t>mil.MDL</w:t>
      </w:r>
      <w:proofErr w:type="spellEnd"/>
      <w:r w:rsidR="00E65959" w:rsidRPr="00FE133E">
        <w:rPr>
          <w:rStyle w:val="ae"/>
          <w:rFonts w:asciiTheme="majorHAnsi" w:hAnsiTheme="majorHAnsi"/>
          <w:bCs/>
          <w:sz w:val="24"/>
          <w:szCs w:val="24"/>
          <w:lang w:val="ro-MD"/>
        </w:rPr>
        <w:footnoteReference w:id="22"/>
      </w:r>
      <w:r w:rsidR="00C5676A" w:rsidRPr="00FE133E">
        <w:rPr>
          <w:rFonts w:asciiTheme="majorHAnsi" w:hAnsiTheme="majorHAnsi" w:cstheme="majorHAnsi"/>
          <w:bCs/>
          <w:sz w:val="24"/>
          <w:szCs w:val="24"/>
          <w:lang w:val="ro-MD"/>
        </w:rPr>
        <w:t xml:space="preserve"> </w:t>
      </w:r>
      <w:r w:rsidR="004C033A">
        <w:rPr>
          <w:rFonts w:asciiTheme="majorHAnsi" w:hAnsiTheme="majorHAnsi" w:cstheme="majorHAnsi"/>
          <w:bCs/>
          <w:sz w:val="24"/>
          <w:szCs w:val="24"/>
          <w:lang w:val="ro-MD"/>
        </w:rPr>
        <w:t xml:space="preserve">- </w:t>
      </w:r>
      <w:r w:rsidR="00427608" w:rsidRPr="00FE133E">
        <w:rPr>
          <w:rFonts w:asciiTheme="majorHAnsi" w:hAnsiTheme="majorHAnsi" w:cstheme="majorHAnsi"/>
          <w:bCs/>
          <w:sz w:val="24"/>
          <w:szCs w:val="24"/>
          <w:lang w:val="ro-MD"/>
        </w:rPr>
        <w:t xml:space="preserve">pentru </w:t>
      </w:r>
      <w:r w:rsidR="00986587">
        <w:rPr>
          <w:rFonts w:asciiTheme="majorHAnsi" w:hAnsiTheme="majorHAnsi" w:cstheme="majorHAnsi"/>
          <w:bCs/>
          <w:sz w:val="24"/>
          <w:szCs w:val="24"/>
          <w:lang w:val="ro-RO"/>
        </w:rPr>
        <w:t>completarea</w:t>
      </w:r>
      <w:r w:rsidR="00986587" w:rsidRPr="009561CB">
        <w:rPr>
          <w:rFonts w:asciiTheme="majorHAnsi" w:hAnsiTheme="majorHAnsi" w:cstheme="majorHAnsi"/>
          <w:bCs/>
          <w:sz w:val="24"/>
          <w:szCs w:val="24"/>
          <w:lang w:val="ro-RO"/>
        </w:rPr>
        <w:t xml:space="preserve"> </w:t>
      </w:r>
      <w:r w:rsidR="00427608" w:rsidRPr="009561CB">
        <w:rPr>
          <w:rFonts w:asciiTheme="majorHAnsi" w:hAnsiTheme="majorHAnsi" w:cstheme="majorHAnsi"/>
          <w:bCs/>
          <w:sz w:val="24"/>
          <w:szCs w:val="24"/>
          <w:lang w:val="ro-RO"/>
        </w:rPr>
        <w:t>rezerve</w:t>
      </w:r>
      <w:r w:rsidR="00986587">
        <w:rPr>
          <w:rFonts w:asciiTheme="majorHAnsi" w:hAnsiTheme="majorHAnsi" w:cstheme="majorHAnsi"/>
          <w:bCs/>
          <w:sz w:val="24"/>
          <w:szCs w:val="24"/>
          <w:lang w:val="ro-RO"/>
        </w:rPr>
        <w:t>i</w:t>
      </w:r>
      <w:r w:rsidR="00427608" w:rsidRPr="00FE133E">
        <w:rPr>
          <w:rFonts w:asciiTheme="majorHAnsi" w:hAnsiTheme="majorHAnsi" w:cstheme="majorHAnsi"/>
          <w:bCs/>
          <w:sz w:val="24"/>
          <w:szCs w:val="24"/>
          <w:lang w:val="ro-MD"/>
        </w:rPr>
        <w:t xml:space="preserve"> de lichidități. </w:t>
      </w:r>
      <w:r w:rsidR="00457C32" w:rsidRPr="00FE133E">
        <w:rPr>
          <w:rFonts w:asciiTheme="majorHAnsi" w:hAnsiTheme="majorHAnsi" w:cstheme="majorHAnsi"/>
          <w:bCs/>
          <w:sz w:val="24"/>
          <w:szCs w:val="24"/>
          <w:lang w:val="ro-MD"/>
        </w:rPr>
        <w:t xml:space="preserve"> </w:t>
      </w:r>
    </w:p>
    <w:p w14:paraId="22AE8238" w14:textId="55446D57" w:rsidR="007E6A12" w:rsidRPr="00FE133E" w:rsidRDefault="00657E5E" w:rsidP="00EC44BB">
      <w:pPr>
        <w:spacing w:after="0" w:line="276" w:lineRule="auto"/>
        <w:ind w:firstLine="567"/>
        <w:jc w:val="both"/>
        <w:rPr>
          <w:rFonts w:asciiTheme="majorHAnsi" w:hAnsiTheme="majorHAnsi" w:cstheme="majorHAnsi"/>
          <w:sz w:val="24"/>
          <w:szCs w:val="24"/>
          <w:lang w:val="ro-MD"/>
        </w:rPr>
      </w:pPr>
      <w:r w:rsidRPr="00FE133E">
        <w:rPr>
          <w:rFonts w:asciiTheme="majorHAnsi" w:hAnsiTheme="majorHAnsi" w:cstheme="majorHAnsi"/>
          <w:sz w:val="24"/>
          <w:szCs w:val="24"/>
          <w:lang w:val="ro-MD"/>
        </w:rPr>
        <w:t xml:space="preserve">Examinările </w:t>
      </w:r>
      <w:r w:rsidR="001C3298" w:rsidRPr="00FE133E">
        <w:rPr>
          <w:rFonts w:asciiTheme="majorHAnsi" w:hAnsiTheme="majorHAnsi" w:cstheme="majorHAnsi"/>
          <w:sz w:val="24"/>
          <w:szCs w:val="24"/>
          <w:lang w:val="ro-MD"/>
        </w:rPr>
        <w:t xml:space="preserve">efectuate de </w:t>
      </w:r>
      <w:r w:rsidRPr="00FE133E">
        <w:rPr>
          <w:rFonts w:asciiTheme="majorHAnsi" w:hAnsiTheme="majorHAnsi" w:cstheme="majorHAnsi"/>
          <w:sz w:val="24"/>
          <w:szCs w:val="24"/>
          <w:lang w:val="ro-MD"/>
        </w:rPr>
        <w:t>audit</w:t>
      </w:r>
      <w:r w:rsidR="001C3298" w:rsidRPr="00FE133E">
        <w:rPr>
          <w:rFonts w:asciiTheme="majorHAnsi" w:hAnsiTheme="majorHAnsi" w:cstheme="majorHAnsi"/>
          <w:sz w:val="24"/>
          <w:szCs w:val="24"/>
          <w:lang w:val="ro-MD"/>
        </w:rPr>
        <w:t xml:space="preserve"> relevă</w:t>
      </w:r>
      <w:r w:rsidRPr="00FE133E">
        <w:rPr>
          <w:rFonts w:asciiTheme="majorHAnsi" w:hAnsiTheme="majorHAnsi" w:cstheme="majorHAnsi"/>
          <w:sz w:val="24"/>
          <w:szCs w:val="24"/>
          <w:lang w:val="ro-MD"/>
        </w:rPr>
        <w:t xml:space="preserve"> că m</w:t>
      </w:r>
      <w:r w:rsidR="006E4771" w:rsidRPr="00FE133E">
        <w:rPr>
          <w:rFonts w:asciiTheme="majorHAnsi" w:hAnsiTheme="majorHAnsi" w:cstheme="majorHAnsi"/>
          <w:sz w:val="24"/>
          <w:szCs w:val="24"/>
          <w:lang w:val="ro-MD"/>
        </w:rPr>
        <w:t xml:space="preserve">ijloacele bănești </w:t>
      </w:r>
      <w:r w:rsidRPr="00FE133E">
        <w:rPr>
          <w:rFonts w:asciiTheme="majorHAnsi" w:hAnsiTheme="majorHAnsi" w:cstheme="majorHAnsi"/>
          <w:sz w:val="24"/>
          <w:szCs w:val="24"/>
          <w:lang w:val="ro-MD"/>
        </w:rPr>
        <w:t xml:space="preserve">obținute </w:t>
      </w:r>
      <w:r w:rsidR="00F22FD2" w:rsidRPr="00FE133E">
        <w:rPr>
          <w:rFonts w:asciiTheme="majorHAnsi" w:hAnsiTheme="majorHAnsi" w:cstheme="majorHAnsi"/>
          <w:sz w:val="24"/>
          <w:szCs w:val="24"/>
          <w:lang w:val="ro-MD"/>
        </w:rPr>
        <w:t xml:space="preserve">în anul 2018 </w:t>
      </w:r>
      <w:r w:rsidRPr="00FE133E">
        <w:rPr>
          <w:rFonts w:asciiTheme="majorHAnsi" w:hAnsiTheme="majorHAnsi" w:cstheme="majorHAnsi"/>
          <w:sz w:val="24"/>
          <w:szCs w:val="24"/>
          <w:lang w:val="ro-MD"/>
        </w:rPr>
        <w:t>din aceste tranzacții</w:t>
      </w:r>
      <w:r w:rsidR="00F22FD2" w:rsidRPr="00FE133E">
        <w:rPr>
          <w:rFonts w:asciiTheme="majorHAnsi" w:hAnsiTheme="majorHAnsi" w:cstheme="majorHAnsi"/>
          <w:sz w:val="24"/>
          <w:szCs w:val="24"/>
          <w:lang w:val="ro-MD"/>
        </w:rPr>
        <w:t xml:space="preserve"> (253,5 </w:t>
      </w:r>
      <w:proofErr w:type="spellStart"/>
      <w:r w:rsidR="00F22FD2" w:rsidRPr="00FE133E">
        <w:rPr>
          <w:rFonts w:asciiTheme="majorHAnsi" w:hAnsiTheme="majorHAnsi" w:cstheme="majorHAnsi"/>
          <w:sz w:val="24"/>
          <w:szCs w:val="24"/>
          <w:lang w:val="ro-MD"/>
        </w:rPr>
        <w:t>mil.MDL</w:t>
      </w:r>
      <w:proofErr w:type="spellEnd"/>
      <w:r w:rsidR="00F22FD2" w:rsidRPr="00FE133E">
        <w:rPr>
          <w:rFonts w:asciiTheme="majorHAnsi" w:hAnsiTheme="majorHAnsi" w:cstheme="majorHAnsi"/>
          <w:sz w:val="24"/>
          <w:szCs w:val="24"/>
          <w:lang w:val="ro-MD"/>
        </w:rPr>
        <w:t>)</w:t>
      </w:r>
      <w:r w:rsidR="007E6A12" w:rsidRPr="00FE133E">
        <w:rPr>
          <w:rFonts w:asciiTheme="majorHAnsi" w:hAnsiTheme="majorHAnsi" w:cstheme="majorHAnsi"/>
          <w:sz w:val="24"/>
          <w:szCs w:val="24"/>
          <w:lang w:val="ro-MD"/>
        </w:rPr>
        <w:t xml:space="preserve"> au fost plasate în 6</w:t>
      </w:r>
      <w:r w:rsidR="001010C0" w:rsidRPr="00FE133E">
        <w:rPr>
          <w:rFonts w:asciiTheme="majorHAnsi" w:hAnsiTheme="majorHAnsi" w:cstheme="majorHAnsi"/>
          <w:sz w:val="24"/>
          <w:szCs w:val="24"/>
          <w:lang w:val="ro-MD"/>
        </w:rPr>
        <w:t xml:space="preserve"> </w:t>
      </w:r>
      <w:r w:rsidR="006E4771" w:rsidRPr="00FE133E">
        <w:rPr>
          <w:rFonts w:asciiTheme="majorHAnsi" w:hAnsiTheme="majorHAnsi" w:cstheme="majorHAnsi"/>
          <w:sz w:val="24"/>
          <w:szCs w:val="24"/>
          <w:lang w:val="ro-MD"/>
        </w:rPr>
        <w:t>depozite la BNM, pe un termen egal cu termenul de circulație a OS vândute și la rata dobânzii echivalentă cu rata medie po</w:t>
      </w:r>
      <w:r w:rsidR="007E6A12" w:rsidRPr="00FE133E">
        <w:rPr>
          <w:rFonts w:asciiTheme="majorHAnsi" w:hAnsiTheme="majorHAnsi" w:cstheme="majorHAnsi"/>
          <w:sz w:val="24"/>
          <w:szCs w:val="24"/>
          <w:lang w:val="ro-MD"/>
        </w:rPr>
        <w:t xml:space="preserve">nderată </w:t>
      </w:r>
      <w:r w:rsidR="007E6A12" w:rsidRPr="00E14C43">
        <w:rPr>
          <w:rFonts w:asciiTheme="majorHAnsi" w:hAnsiTheme="majorHAnsi" w:cstheme="majorHAnsi"/>
          <w:sz w:val="24"/>
          <w:szCs w:val="24"/>
          <w:lang w:val="ro-MD"/>
        </w:rPr>
        <w:t>constituită la</w:t>
      </w:r>
      <w:r w:rsidR="007E6A12" w:rsidRPr="00FE133E">
        <w:rPr>
          <w:rFonts w:asciiTheme="majorHAnsi" w:hAnsiTheme="majorHAnsi" w:cstheme="majorHAnsi"/>
          <w:sz w:val="24"/>
          <w:szCs w:val="24"/>
          <w:lang w:val="ro-MD"/>
        </w:rPr>
        <w:t xml:space="preserve"> licitațiile respective</w:t>
      </w:r>
      <w:r w:rsidR="006E4771" w:rsidRPr="00FE133E">
        <w:rPr>
          <w:rFonts w:asciiTheme="majorHAnsi" w:hAnsiTheme="majorHAnsi" w:cstheme="majorHAnsi"/>
          <w:sz w:val="24"/>
          <w:szCs w:val="24"/>
          <w:lang w:val="ro-MD"/>
        </w:rPr>
        <w:t>.</w:t>
      </w:r>
      <w:r w:rsidR="001010C0" w:rsidRPr="00FE133E">
        <w:rPr>
          <w:rFonts w:asciiTheme="majorHAnsi" w:hAnsiTheme="majorHAnsi" w:cstheme="majorHAnsi"/>
          <w:sz w:val="24"/>
          <w:szCs w:val="24"/>
          <w:lang w:val="ro-MD"/>
        </w:rPr>
        <w:t xml:space="preserve"> Depozitele </w:t>
      </w:r>
      <w:r w:rsidR="003C0EA3" w:rsidRPr="00FE133E">
        <w:rPr>
          <w:rFonts w:asciiTheme="majorHAnsi" w:hAnsiTheme="majorHAnsi" w:cstheme="majorHAnsi"/>
          <w:sz w:val="24"/>
          <w:szCs w:val="24"/>
          <w:lang w:val="ro-MD"/>
        </w:rPr>
        <w:t>au fost plasate în baza ce</w:t>
      </w:r>
      <w:r w:rsidR="007E6A12" w:rsidRPr="00FE133E">
        <w:rPr>
          <w:rFonts w:asciiTheme="majorHAnsi" w:hAnsiTheme="majorHAnsi" w:cstheme="majorHAnsi"/>
          <w:sz w:val="24"/>
          <w:szCs w:val="24"/>
          <w:lang w:val="ro-MD"/>
        </w:rPr>
        <w:t>rerilor de plasare a depozitelor</w:t>
      </w:r>
      <w:r w:rsidR="003C0EA3" w:rsidRPr="00FE133E">
        <w:rPr>
          <w:rFonts w:asciiTheme="majorHAnsi" w:hAnsiTheme="majorHAnsi" w:cstheme="majorHAnsi"/>
          <w:sz w:val="24"/>
          <w:szCs w:val="24"/>
          <w:lang w:val="ro-MD"/>
        </w:rPr>
        <w:t xml:space="preserve"> </w:t>
      </w:r>
      <w:r w:rsidR="007E6A12" w:rsidRPr="00FE133E">
        <w:rPr>
          <w:rFonts w:asciiTheme="majorHAnsi" w:hAnsiTheme="majorHAnsi" w:cstheme="majorHAnsi"/>
          <w:sz w:val="24"/>
          <w:szCs w:val="24"/>
          <w:lang w:val="ro-MD"/>
        </w:rPr>
        <w:t xml:space="preserve">către BNM </w:t>
      </w:r>
      <w:r w:rsidR="00EC44BB" w:rsidRPr="00FE133E">
        <w:rPr>
          <w:rFonts w:asciiTheme="majorHAnsi" w:hAnsiTheme="majorHAnsi" w:cstheme="majorHAnsi"/>
          <w:sz w:val="24"/>
          <w:szCs w:val="24"/>
          <w:lang w:val="ro-MD"/>
        </w:rPr>
        <w:t>la următoarele date</w:t>
      </w:r>
      <w:r w:rsidR="001B603D" w:rsidRPr="00FE133E">
        <w:rPr>
          <w:rFonts w:asciiTheme="majorHAnsi" w:hAnsiTheme="majorHAnsi" w:cstheme="majorHAnsi"/>
          <w:sz w:val="24"/>
          <w:szCs w:val="24"/>
          <w:lang w:val="ro-MD"/>
        </w:rPr>
        <w:t>:</w:t>
      </w:r>
      <w:r w:rsidR="007E6A12" w:rsidRPr="00FE133E">
        <w:rPr>
          <w:rFonts w:asciiTheme="majorHAnsi" w:hAnsiTheme="majorHAnsi" w:cstheme="majorHAnsi"/>
          <w:sz w:val="24"/>
          <w:szCs w:val="24"/>
          <w:lang w:val="ro-MD"/>
        </w:rPr>
        <w:t xml:space="preserve"> 29.03.2018</w:t>
      </w:r>
      <w:r w:rsidR="001B603D" w:rsidRPr="00FE133E">
        <w:rPr>
          <w:rFonts w:asciiTheme="majorHAnsi" w:hAnsiTheme="majorHAnsi" w:cstheme="majorHAnsi"/>
          <w:sz w:val="24"/>
          <w:szCs w:val="24"/>
          <w:lang w:val="ro-MD"/>
        </w:rPr>
        <w:t xml:space="preserve"> –</w:t>
      </w:r>
      <w:r w:rsidR="007E6A12" w:rsidRPr="00FE133E">
        <w:rPr>
          <w:rFonts w:asciiTheme="majorHAnsi" w:hAnsiTheme="majorHAnsi" w:cstheme="majorHAnsi"/>
          <w:sz w:val="24"/>
          <w:szCs w:val="24"/>
          <w:lang w:val="ro-MD"/>
        </w:rPr>
        <w:t xml:space="preserve"> în</w:t>
      </w:r>
      <w:r w:rsidR="00DD3FDC" w:rsidRPr="00FE133E">
        <w:rPr>
          <w:rFonts w:asciiTheme="majorHAnsi" w:hAnsiTheme="majorHAnsi" w:cstheme="majorHAnsi"/>
          <w:sz w:val="24"/>
          <w:szCs w:val="24"/>
          <w:lang w:val="ro-MD"/>
        </w:rPr>
        <w:t xml:space="preserve"> sume</w:t>
      </w:r>
      <w:r w:rsidR="007E6A12" w:rsidRPr="00FE133E">
        <w:rPr>
          <w:rFonts w:asciiTheme="majorHAnsi" w:hAnsiTheme="majorHAnsi" w:cstheme="majorHAnsi"/>
          <w:sz w:val="24"/>
          <w:szCs w:val="24"/>
          <w:lang w:val="ro-MD"/>
        </w:rPr>
        <w:t xml:space="preserve"> de 75,8</w:t>
      </w:r>
      <w:r w:rsidR="003C0EA3" w:rsidRPr="00FE133E">
        <w:rPr>
          <w:rFonts w:asciiTheme="majorHAnsi" w:hAnsiTheme="majorHAnsi" w:cstheme="majorHAnsi"/>
          <w:sz w:val="24"/>
          <w:szCs w:val="24"/>
          <w:lang w:val="ro-MD"/>
        </w:rPr>
        <w:t xml:space="preserve"> </w:t>
      </w:r>
      <w:proofErr w:type="spellStart"/>
      <w:r w:rsidR="003C0EA3" w:rsidRPr="00FE133E">
        <w:rPr>
          <w:rFonts w:asciiTheme="majorHAnsi" w:hAnsiTheme="majorHAnsi" w:cstheme="majorHAnsi"/>
          <w:sz w:val="24"/>
          <w:szCs w:val="24"/>
          <w:lang w:val="ro-MD"/>
        </w:rPr>
        <w:t>mil.</w:t>
      </w:r>
      <w:r w:rsidR="00E124FF" w:rsidRPr="00FE133E">
        <w:rPr>
          <w:rFonts w:asciiTheme="majorHAnsi" w:hAnsiTheme="majorHAnsi" w:cstheme="majorHAnsi"/>
          <w:sz w:val="24"/>
          <w:szCs w:val="24"/>
          <w:lang w:val="ro-MD"/>
        </w:rPr>
        <w:t>MDL</w:t>
      </w:r>
      <w:proofErr w:type="spellEnd"/>
      <w:r w:rsidR="00DD3FDC" w:rsidRPr="00FE133E">
        <w:rPr>
          <w:rFonts w:asciiTheme="majorHAnsi" w:hAnsiTheme="majorHAnsi" w:cstheme="majorHAnsi"/>
          <w:sz w:val="24"/>
          <w:szCs w:val="24"/>
          <w:lang w:val="ro-MD"/>
        </w:rPr>
        <w:t>,</w:t>
      </w:r>
      <w:r w:rsidR="003C0EA3" w:rsidRPr="00FE133E">
        <w:rPr>
          <w:rFonts w:asciiTheme="majorHAnsi" w:hAnsiTheme="majorHAnsi" w:cstheme="majorHAnsi"/>
          <w:sz w:val="24"/>
          <w:szCs w:val="24"/>
          <w:lang w:val="ro-MD"/>
        </w:rPr>
        <w:t xml:space="preserve"> </w:t>
      </w:r>
      <w:r w:rsidR="007E6A12" w:rsidRPr="00FE133E">
        <w:rPr>
          <w:rFonts w:asciiTheme="majorHAnsi" w:hAnsiTheme="majorHAnsi" w:cstheme="majorHAnsi"/>
          <w:sz w:val="24"/>
          <w:szCs w:val="24"/>
          <w:lang w:val="ro-MD"/>
        </w:rPr>
        <w:t>59,4</w:t>
      </w:r>
      <w:r w:rsidR="003C0EA3" w:rsidRPr="00FE133E">
        <w:rPr>
          <w:rFonts w:asciiTheme="majorHAnsi" w:hAnsiTheme="majorHAnsi" w:cstheme="majorHAnsi"/>
          <w:sz w:val="24"/>
          <w:szCs w:val="24"/>
          <w:lang w:val="ro-MD"/>
        </w:rPr>
        <w:t xml:space="preserve"> </w:t>
      </w:r>
      <w:proofErr w:type="spellStart"/>
      <w:r w:rsidR="003C0EA3" w:rsidRPr="00FE133E">
        <w:rPr>
          <w:rFonts w:asciiTheme="majorHAnsi" w:hAnsiTheme="majorHAnsi" w:cstheme="majorHAnsi"/>
          <w:sz w:val="24"/>
          <w:szCs w:val="24"/>
          <w:lang w:val="ro-MD"/>
        </w:rPr>
        <w:t>mil.</w:t>
      </w:r>
      <w:r w:rsidR="00E124FF" w:rsidRPr="00FE133E">
        <w:rPr>
          <w:rFonts w:asciiTheme="majorHAnsi" w:hAnsiTheme="majorHAnsi" w:cstheme="majorHAnsi"/>
          <w:sz w:val="24"/>
          <w:szCs w:val="24"/>
          <w:lang w:val="ro-MD"/>
        </w:rPr>
        <w:t>MDL</w:t>
      </w:r>
      <w:proofErr w:type="spellEnd"/>
      <w:r w:rsidR="00DD3FDC" w:rsidRPr="00FE133E">
        <w:rPr>
          <w:rFonts w:asciiTheme="majorHAnsi" w:hAnsiTheme="majorHAnsi" w:cstheme="majorHAnsi"/>
          <w:sz w:val="24"/>
          <w:szCs w:val="24"/>
          <w:lang w:val="ro-MD"/>
        </w:rPr>
        <w:t xml:space="preserve">, </w:t>
      </w:r>
      <w:r w:rsidR="007E6A12" w:rsidRPr="00FE133E">
        <w:rPr>
          <w:rFonts w:asciiTheme="majorHAnsi" w:hAnsiTheme="majorHAnsi" w:cstheme="majorHAnsi"/>
          <w:sz w:val="24"/>
          <w:szCs w:val="24"/>
          <w:lang w:val="ro-MD"/>
        </w:rPr>
        <w:t xml:space="preserve">18,3 </w:t>
      </w:r>
      <w:proofErr w:type="spellStart"/>
      <w:r w:rsidR="007E6A12" w:rsidRPr="00FE133E">
        <w:rPr>
          <w:rFonts w:asciiTheme="majorHAnsi" w:hAnsiTheme="majorHAnsi" w:cstheme="majorHAnsi"/>
          <w:sz w:val="24"/>
          <w:szCs w:val="24"/>
          <w:lang w:val="ro-MD"/>
        </w:rPr>
        <w:t>mil.MDL</w:t>
      </w:r>
      <w:proofErr w:type="spellEnd"/>
      <w:r w:rsidR="004C033A">
        <w:rPr>
          <w:rFonts w:asciiTheme="majorHAnsi" w:hAnsiTheme="majorHAnsi" w:cstheme="majorHAnsi"/>
          <w:sz w:val="24"/>
          <w:szCs w:val="24"/>
          <w:lang w:val="ro-MD"/>
        </w:rPr>
        <w:t>,</w:t>
      </w:r>
      <w:r w:rsidR="00DD3FDC" w:rsidRPr="00FE133E">
        <w:rPr>
          <w:rFonts w:asciiTheme="majorHAnsi" w:hAnsiTheme="majorHAnsi" w:cstheme="majorHAnsi"/>
          <w:sz w:val="24"/>
          <w:szCs w:val="24"/>
          <w:lang w:val="ro-MD"/>
        </w:rPr>
        <w:t xml:space="preserve"> și 19.09.2018 – în sume de 30,0 </w:t>
      </w:r>
      <w:proofErr w:type="spellStart"/>
      <w:r w:rsidR="00DD3FDC" w:rsidRPr="00FE133E">
        <w:rPr>
          <w:rFonts w:asciiTheme="majorHAnsi" w:hAnsiTheme="majorHAnsi" w:cstheme="majorHAnsi"/>
          <w:sz w:val="24"/>
          <w:szCs w:val="24"/>
          <w:lang w:val="ro-MD"/>
        </w:rPr>
        <w:t>mil.MDL</w:t>
      </w:r>
      <w:proofErr w:type="spellEnd"/>
      <w:r w:rsidR="00DD3FDC" w:rsidRPr="00FE133E">
        <w:rPr>
          <w:rFonts w:asciiTheme="majorHAnsi" w:hAnsiTheme="majorHAnsi" w:cstheme="majorHAnsi"/>
          <w:sz w:val="24"/>
          <w:szCs w:val="24"/>
          <w:lang w:val="ro-MD"/>
        </w:rPr>
        <w:t xml:space="preserve">, 30,0 </w:t>
      </w:r>
      <w:proofErr w:type="spellStart"/>
      <w:r w:rsidR="00DD3FDC" w:rsidRPr="00FE133E">
        <w:rPr>
          <w:rFonts w:asciiTheme="majorHAnsi" w:hAnsiTheme="majorHAnsi" w:cstheme="majorHAnsi"/>
          <w:sz w:val="24"/>
          <w:szCs w:val="24"/>
          <w:lang w:val="ro-MD"/>
        </w:rPr>
        <w:t>mil.MDL</w:t>
      </w:r>
      <w:proofErr w:type="spellEnd"/>
      <w:r w:rsidR="00DD3FDC" w:rsidRPr="00FE133E">
        <w:rPr>
          <w:rFonts w:asciiTheme="majorHAnsi" w:hAnsiTheme="majorHAnsi" w:cstheme="majorHAnsi"/>
          <w:sz w:val="24"/>
          <w:szCs w:val="24"/>
          <w:lang w:val="ro-MD"/>
        </w:rPr>
        <w:t>,</w:t>
      </w:r>
      <w:r w:rsidR="00EC44BB" w:rsidRPr="00FE133E">
        <w:rPr>
          <w:rFonts w:asciiTheme="majorHAnsi" w:hAnsiTheme="majorHAnsi" w:cstheme="majorHAnsi"/>
          <w:sz w:val="24"/>
          <w:szCs w:val="24"/>
          <w:lang w:val="ro-MD"/>
        </w:rPr>
        <w:t xml:space="preserve"> 40,0 </w:t>
      </w:r>
      <w:proofErr w:type="spellStart"/>
      <w:r w:rsidR="00EC44BB" w:rsidRPr="00FE133E">
        <w:rPr>
          <w:rFonts w:asciiTheme="majorHAnsi" w:hAnsiTheme="majorHAnsi" w:cstheme="majorHAnsi"/>
          <w:sz w:val="24"/>
          <w:szCs w:val="24"/>
          <w:lang w:val="ro-MD"/>
        </w:rPr>
        <w:t>mil.MDL</w:t>
      </w:r>
      <w:proofErr w:type="spellEnd"/>
      <w:r w:rsidR="003C5175" w:rsidRPr="00FE133E">
        <w:rPr>
          <w:rFonts w:asciiTheme="majorHAnsi" w:hAnsiTheme="majorHAnsi" w:cstheme="majorHAnsi"/>
          <w:sz w:val="24"/>
          <w:szCs w:val="24"/>
          <w:lang w:val="ro-MD"/>
        </w:rPr>
        <w:t>.</w:t>
      </w:r>
    </w:p>
    <w:p w14:paraId="1BC6703E" w14:textId="31B229BB" w:rsidR="003F043C" w:rsidRPr="00FE133E" w:rsidRDefault="003F043C" w:rsidP="006E4771">
      <w:pPr>
        <w:spacing w:after="0" w:line="276" w:lineRule="auto"/>
        <w:ind w:firstLine="567"/>
        <w:jc w:val="both"/>
        <w:rPr>
          <w:rFonts w:asciiTheme="majorHAnsi" w:hAnsiTheme="majorHAnsi" w:cstheme="majorHAnsi"/>
          <w:sz w:val="24"/>
          <w:szCs w:val="24"/>
          <w:lang w:val="ro-MD"/>
        </w:rPr>
      </w:pPr>
      <w:r w:rsidRPr="00FE133E">
        <w:rPr>
          <w:rFonts w:asciiTheme="majorHAnsi" w:hAnsiTheme="majorHAnsi" w:cstheme="majorHAnsi"/>
          <w:sz w:val="24"/>
          <w:szCs w:val="24"/>
          <w:lang w:val="ro-MD"/>
        </w:rPr>
        <w:t>V</w:t>
      </w:r>
      <w:r w:rsidR="006E4771" w:rsidRPr="00FE133E">
        <w:rPr>
          <w:rFonts w:asciiTheme="majorHAnsi" w:hAnsiTheme="majorHAnsi" w:cstheme="majorHAnsi"/>
          <w:sz w:val="24"/>
          <w:szCs w:val="24"/>
          <w:lang w:val="ro-MD"/>
        </w:rPr>
        <w:t xml:space="preserve">erificările </w:t>
      </w:r>
      <w:r w:rsidR="000E2FA1" w:rsidRPr="00FE133E">
        <w:rPr>
          <w:rFonts w:asciiTheme="majorHAnsi" w:hAnsiTheme="majorHAnsi" w:cstheme="majorHAnsi"/>
          <w:sz w:val="24"/>
          <w:szCs w:val="24"/>
          <w:lang w:val="ro-MD"/>
        </w:rPr>
        <w:t xml:space="preserve">efectuate de </w:t>
      </w:r>
      <w:r w:rsidR="006E4771" w:rsidRPr="00FE133E">
        <w:rPr>
          <w:rFonts w:asciiTheme="majorHAnsi" w:hAnsiTheme="majorHAnsi" w:cstheme="majorHAnsi"/>
          <w:sz w:val="24"/>
          <w:szCs w:val="24"/>
          <w:lang w:val="ro-MD"/>
        </w:rPr>
        <w:t xml:space="preserve">audit </w:t>
      </w:r>
      <w:r w:rsidRPr="00FE133E">
        <w:rPr>
          <w:rFonts w:asciiTheme="majorHAnsi" w:hAnsiTheme="majorHAnsi" w:cstheme="majorHAnsi"/>
          <w:sz w:val="24"/>
          <w:szCs w:val="24"/>
          <w:lang w:val="ro-MD"/>
        </w:rPr>
        <w:t>referitor la achitarea dobânzii pentru deservirea OS comercializate și</w:t>
      </w:r>
      <w:r w:rsidR="001C3298" w:rsidRPr="00FE133E">
        <w:rPr>
          <w:rFonts w:asciiTheme="majorHAnsi" w:hAnsiTheme="majorHAnsi" w:cstheme="majorHAnsi"/>
          <w:sz w:val="24"/>
          <w:szCs w:val="24"/>
          <w:lang w:val="ro-MD"/>
        </w:rPr>
        <w:t>,</w:t>
      </w:r>
      <w:r w:rsidRPr="00FE133E">
        <w:rPr>
          <w:rFonts w:asciiTheme="majorHAnsi" w:hAnsiTheme="majorHAnsi" w:cstheme="majorHAnsi"/>
          <w:sz w:val="24"/>
          <w:szCs w:val="24"/>
          <w:lang w:val="ro-MD"/>
        </w:rPr>
        <w:t xml:space="preserve"> respectiv, </w:t>
      </w:r>
      <w:r w:rsidR="009A1C7F">
        <w:rPr>
          <w:rFonts w:asciiTheme="majorHAnsi" w:hAnsiTheme="majorHAnsi" w:cstheme="majorHAnsi"/>
          <w:sz w:val="24"/>
          <w:szCs w:val="24"/>
          <w:lang w:val="ro-MD"/>
        </w:rPr>
        <w:t xml:space="preserve">la </w:t>
      </w:r>
      <w:r w:rsidRPr="00FE133E">
        <w:rPr>
          <w:rFonts w:asciiTheme="majorHAnsi" w:hAnsiTheme="majorHAnsi" w:cstheme="majorHAnsi"/>
          <w:sz w:val="24"/>
          <w:szCs w:val="24"/>
          <w:lang w:val="ro-MD"/>
        </w:rPr>
        <w:t xml:space="preserve">încasarea dobânzilor pentru mijloacele bănești obținute </w:t>
      </w:r>
      <w:r w:rsidR="000E2FA1" w:rsidRPr="00FE133E">
        <w:rPr>
          <w:rFonts w:asciiTheme="majorHAnsi" w:hAnsiTheme="majorHAnsi" w:cstheme="majorHAnsi"/>
          <w:sz w:val="24"/>
          <w:szCs w:val="24"/>
          <w:lang w:val="ro-MD"/>
        </w:rPr>
        <w:t>în</w:t>
      </w:r>
      <w:r w:rsidRPr="00FE133E">
        <w:rPr>
          <w:rFonts w:asciiTheme="majorHAnsi" w:hAnsiTheme="majorHAnsi" w:cstheme="majorHAnsi"/>
          <w:sz w:val="24"/>
          <w:szCs w:val="24"/>
          <w:lang w:val="ro-MD"/>
        </w:rPr>
        <w:t xml:space="preserve"> rezultat</w:t>
      </w:r>
      <w:r w:rsidR="000E2FA1" w:rsidRPr="00FE133E">
        <w:rPr>
          <w:rFonts w:asciiTheme="majorHAnsi" w:hAnsiTheme="majorHAnsi" w:cstheme="majorHAnsi"/>
          <w:sz w:val="24"/>
          <w:szCs w:val="24"/>
          <w:lang w:val="ro-MD"/>
        </w:rPr>
        <w:t>u</w:t>
      </w:r>
      <w:r w:rsidRPr="00FE133E">
        <w:rPr>
          <w:rFonts w:asciiTheme="majorHAnsi" w:hAnsiTheme="majorHAnsi" w:cstheme="majorHAnsi"/>
          <w:sz w:val="24"/>
          <w:szCs w:val="24"/>
          <w:lang w:val="ro-MD"/>
        </w:rPr>
        <w:t xml:space="preserve">l comercializării OS emise în acest scop și ulterior depozitate la BNM </w:t>
      </w:r>
      <w:r w:rsidR="000E2FA1" w:rsidRPr="00FE133E">
        <w:rPr>
          <w:rFonts w:asciiTheme="majorHAnsi" w:hAnsiTheme="majorHAnsi" w:cstheme="majorHAnsi"/>
          <w:sz w:val="24"/>
          <w:szCs w:val="24"/>
          <w:lang w:val="ro-MD"/>
        </w:rPr>
        <w:t>denotă</w:t>
      </w:r>
      <w:r w:rsidRPr="00FE133E">
        <w:rPr>
          <w:rFonts w:asciiTheme="majorHAnsi" w:hAnsiTheme="majorHAnsi" w:cstheme="majorHAnsi"/>
          <w:sz w:val="24"/>
          <w:szCs w:val="24"/>
          <w:lang w:val="ro-MD"/>
        </w:rPr>
        <w:t xml:space="preserve"> următoarele. </w:t>
      </w:r>
    </w:p>
    <w:p w14:paraId="26CCC275" w14:textId="1002FF80" w:rsidR="0074550D" w:rsidRPr="00FE133E" w:rsidRDefault="00AC2C4F" w:rsidP="00A847BC">
      <w:pPr>
        <w:spacing w:after="0" w:line="276" w:lineRule="auto"/>
        <w:ind w:firstLine="567"/>
        <w:jc w:val="both"/>
        <w:rPr>
          <w:rFonts w:asciiTheme="majorHAnsi" w:hAnsiTheme="majorHAnsi" w:cstheme="majorHAnsi"/>
          <w:sz w:val="24"/>
          <w:szCs w:val="24"/>
          <w:lang w:val="ro-MD"/>
        </w:rPr>
      </w:pPr>
      <w:r>
        <w:rPr>
          <w:rFonts w:asciiTheme="majorHAnsi" w:hAnsiTheme="majorHAnsi" w:cstheme="majorHAnsi"/>
          <w:sz w:val="24"/>
          <w:szCs w:val="24"/>
          <w:lang w:val="ro-MD"/>
        </w:rPr>
        <w:t>C</w:t>
      </w:r>
      <w:r w:rsidR="006E4771" w:rsidRPr="00FE133E">
        <w:rPr>
          <w:rFonts w:asciiTheme="majorHAnsi" w:hAnsiTheme="majorHAnsi" w:cstheme="majorHAnsi"/>
          <w:sz w:val="24"/>
          <w:szCs w:val="24"/>
          <w:lang w:val="ro-MD"/>
        </w:rPr>
        <w:t>onform graf</w:t>
      </w:r>
      <w:r w:rsidR="00F22EDE" w:rsidRPr="00FE133E">
        <w:rPr>
          <w:rFonts w:asciiTheme="majorHAnsi" w:hAnsiTheme="majorHAnsi" w:cstheme="majorHAnsi"/>
          <w:sz w:val="24"/>
          <w:szCs w:val="24"/>
          <w:lang w:val="ro-MD"/>
        </w:rPr>
        <w:t>icelor de achitare a dobânzilor</w:t>
      </w:r>
      <w:r w:rsidR="00103026" w:rsidRPr="00FE133E">
        <w:rPr>
          <w:rFonts w:asciiTheme="majorHAnsi" w:hAnsiTheme="majorHAnsi" w:cstheme="majorHAnsi"/>
          <w:sz w:val="24"/>
          <w:szCs w:val="24"/>
          <w:lang w:val="ro-MD"/>
        </w:rPr>
        <w:t xml:space="preserve"> pentru OS emise în scopul creării rezervelor de lichidități</w:t>
      </w:r>
      <w:r w:rsidR="00F22EDE" w:rsidRPr="00FE133E">
        <w:rPr>
          <w:rFonts w:asciiTheme="majorHAnsi" w:hAnsiTheme="majorHAnsi" w:cstheme="majorHAnsi"/>
          <w:sz w:val="24"/>
          <w:szCs w:val="24"/>
          <w:lang w:val="ro-MD"/>
        </w:rPr>
        <w:t>, în anul 2018</w:t>
      </w:r>
      <w:r w:rsidR="006E4771" w:rsidRPr="00FE133E">
        <w:rPr>
          <w:rFonts w:asciiTheme="majorHAnsi" w:hAnsiTheme="majorHAnsi" w:cstheme="majorHAnsi"/>
          <w:sz w:val="24"/>
          <w:szCs w:val="24"/>
          <w:lang w:val="ro-MD"/>
        </w:rPr>
        <w:t xml:space="preserve"> au fost </w:t>
      </w:r>
      <w:r w:rsidR="0074550D" w:rsidRPr="00FE133E">
        <w:rPr>
          <w:rFonts w:asciiTheme="majorHAnsi" w:hAnsiTheme="majorHAnsi" w:cstheme="majorHAnsi"/>
          <w:sz w:val="24"/>
          <w:szCs w:val="24"/>
          <w:lang w:val="ro-MD"/>
        </w:rPr>
        <w:t>achitate</w:t>
      </w:r>
      <w:r w:rsidR="00F22EDE" w:rsidRPr="00FE133E">
        <w:rPr>
          <w:rFonts w:asciiTheme="majorHAnsi" w:hAnsiTheme="majorHAnsi" w:cstheme="majorHAnsi"/>
          <w:sz w:val="24"/>
          <w:szCs w:val="24"/>
          <w:lang w:val="ro-MD"/>
        </w:rPr>
        <w:t xml:space="preserve"> dobânzi</w:t>
      </w:r>
      <w:r w:rsidR="00657E5E" w:rsidRPr="00FE133E">
        <w:rPr>
          <w:rFonts w:asciiTheme="majorHAnsi" w:hAnsiTheme="majorHAnsi" w:cstheme="majorHAnsi"/>
          <w:sz w:val="24"/>
          <w:szCs w:val="24"/>
          <w:lang w:val="ro-MD"/>
        </w:rPr>
        <w:t xml:space="preserve"> în </w:t>
      </w:r>
      <w:r w:rsidR="004D1CD0" w:rsidRPr="00FE133E">
        <w:rPr>
          <w:rFonts w:asciiTheme="majorHAnsi" w:hAnsiTheme="majorHAnsi" w:cstheme="majorHAnsi"/>
          <w:sz w:val="24"/>
          <w:szCs w:val="24"/>
          <w:lang w:val="ro-MD"/>
        </w:rPr>
        <w:t>sumă</w:t>
      </w:r>
      <w:r w:rsidR="00657E5E" w:rsidRPr="00FE133E">
        <w:rPr>
          <w:rFonts w:asciiTheme="majorHAnsi" w:hAnsiTheme="majorHAnsi" w:cstheme="majorHAnsi"/>
          <w:sz w:val="24"/>
          <w:szCs w:val="24"/>
          <w:lang w:val="ro-MD"/>
        </w:rPr>
        <w:t xml:space="preserve"> de </w:t>
      </w:r>
      <w:r w:rsidR="00F22EDE" w:rsidRPr="00FE133E">
        <w:rPr>
          <w:rFonts w:asciiTheme="majorHAnsi" w:hAnsiTheme="majorHAnsi" w:cstheme="majorHAnsi"/>
          <w:sz w:val="24"/>
          <w:szCs w:val="24"/>
          <w:lang w:val="ro-MD"/>
        </w:rPr>
        <w:t>37,2</w:t>
      </w:r>
      <w:r w:rsidR="006E4771" w:rsidRPr="00FE133E">
        <w:rPr>
          <w:rFonts w:asciiTheme="majorHAnsi" w:hAnsiTheme="majorHAnsi" w:cstheme="majorHAnsi"/>
          <w:sz w:val="24"/>
          <w:szCs w:val="24"/>
          <w:lang w:val="ro-MD"/>
        </w:rPr>
        <w:t xml:space="preserve"> </w:t>
      </w:r>
      <w:proofErr w:type="spellStart"/>
      <w:r w:rsidR="006E4771" w:rsidRPr="00FE133E">
        <w:rPr>
          <w:rFonts w:asciiTheme="majorHAnsi" w:hAnsiTheme="majorHAnsi" w:cstheme="majorHAnsi"/>
          <w:sz w:val="24"/>
          <w:szCs w:val="24"/>
          <w:lang w:val="ro-MD"/>
        </w:rPr>
        <w:t>mil.</w:t>
      </w:r>
      <w:r w:rsidR="00E124FF" w:rsidRPr="00FE133E">
        <w:rPr>
          <w:rFonts w:asciiTheme="majorHAnsi" w:hAnsiTheme="majorHAnsi" w:cstheme="majorHAnsi"/>
          <w:sz w:val="24"/>
          <w:szCs w:val="24"/>
          <w:lang w:val="ro-MD"/>
        </w:rPr>
        <w:t>MDL</w:t>
      </w:r>
      <w:proofErr w:type="spellEnd"/>
      <w:r w:rsidR="00EE55B2" w:rsidRPr="00FE133E">
        <w:rPr>
          <w:rFonts w:asciiTheme="majorHAnsi" w:hAnsiTheme="majorHAnsi" w:cstheme="majorHAnsi"/>
          <w:sz w:val="24"/>
          <w:szCs w:val="24"/>
          <w:lang w:val="ro-MD"/>
        </w:rPr>
        <w:t xml:space="preserve">, dintre care </w:t>
      </w:r>
      <w:r w:rsidR="00AD2260" w:rsidRPr="00FE133E">
        <w:rPr>
          <w:rFonts w:asciiTheme="majorHAnsi" w:hAnsiTheme="majorHAnsi" w:cstheme="majorHAnsi"/>
          <w:sz w:val="24"/>
          <w:szCs w:val="24"/>
          <w:lang w:val="ro-MD"/>
        </w:rPr>
        <w:t xml:space="preserve">32,6 </w:t>
      </w:r>
      <w:proofErr w:type="spellStart"/>
      <w:r w:rsidR="00AD2260" w:rsidRPr="00FE133E">
        <w:rPr>
          <w:rFonts w:asciiTheme="majorHAnsi" w:hAnsiTheme="majorHAnsi" w:cstheme="majorHAnsi"/>
          <w:sz w:val="24"/>
          <w:szCs w:val="24"/>
          <w:lang w:val="ro-MD"/>
        </w:rPr>
        <w:t>mil.MDL</w:t>
      </w:r>
      <w:proofErr w:type="spellEnd"/>
      <w:r w:rsidR="00AD2260" w:rsidRPr="00FE133E">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 </w:t>
      </w:r>
      <w:r w:rsidR="00AD2260" w:rsidRPr="00FE133E">
        <w:rPr>
          <w:rFonts w:asciiTheme="majorHAnsi" w:hAnsiTheme="majorHAnsi" w:cstheme="majorHAnsi"/>
          <w:sz w:val="24"/>
          <w:szCs w:val="24"/>
          <w:lang w:val="ro-MD"/>
        </w:rPr>
        <w:t>pentru OS emise în anul 2017 în aceste scopuri</w:t>
      </w:r>
      <w:r>
        <w:rPr>
          <w:rFonts w:asciiTheme="majorHAnsi" w:hAnsiTheme="majorHAnsi" w:cstheme="majorHAnsi"/>
          <w:sz w:val="24"/>
          <w:szCs w:val="24"/>
          <w:lang w:val="ro-MD"/>
        </w:rPr>
        <w:t>,</w:t>
      </w:r>
      <w:r w:rsidR="00AD2260" w:rsidRPr="00FE133E">
        <w:rPr>
          <w:rFonts w:asciiTheme="majorHAnsi" w:hAnsiTheme="majorHAnsi" w:cstheme="majorHAnsi"/>
          <w:sz w:val="24"/>
          <w:szCs w:val="24"/>
          <w:lang w:val="ro-MD"/>
        </w:rPr>
        <w:t xml:space="preserve"> și 4,6 </w:t>
      </w:r>
      <w:proofErr w:type="spellStart"/>
      <w:r w:rsidR="00AD2260" w:rsidRPr="00FE133E">
        <w:rPr>
          <w:rFonts w:asciiTheme="majorHAnsi" w:hAnsiTheme="majorHAnsi" w:cstheme="majorHAnsi"/>
          <w:sz w:val="24"/>
          <w:szCs w:val="24"/>
          <w:lang w:val="ro-MD"/>
        </w:rPr>
        <w:t>mil.MDL</w:t>
      </w:r>
      <w:proofErr w:type="spellEnd"/>
      <w:r w:rsidR="00AD2260" w:rsidRPr="00FE133E">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 </w:t>
      </w:r>
      <w:r w:rsidR="00AD2260" w:rsidRPr="00FE133E">
        <w:rPr>
          <w:rFonts w:asciiTheme="majorHAnsi" w:hAnsiTheme="majorHAnsi" w:cstheme="majorHAnsi"/>
          <w:sz w:val="24"/>
          <w:szCs w:val="24"/>
          <w:lang w:val="ro-MD"/>
        </w:rPr>
        <w:t xml:space="preserve">pentru OS emise în anul 2018. </w:t>
      </w:r>
      <w:r w:rsidR="00103026" w:rsidRPr="00FE133E">
        <w:rPr>
          <w:rFonts w:asciiTheme="majorHAnsi" w:hAnsiTheme="majorHAnsi" w:cstheme="majorHAnsi"/>
          <w:sz w:val="24"/>
          <w:szCs w:val="24"/>
          <w:lang w:val="ro-MD"/>
        </w:rPr>
        <w:lastRenderedPageBreak/>
        <w:t>Auditul relevă că totalul dobânzilor estimate</w:t>
      </w:r>
      <w:r w:rsidR="004D1CD0" w:rsidRPr="00FE133E">
        <w:rPr>
          <w:rFonts w:asciiTheme="majorHAnsi" w:hAnsiTheme="majorHAnsi" w:cstheme="majorHAnsi"/>
          <w:sz w:val="24"/>
          <w:szCs w:val="24"/>
          <w:lang w:val="ro-MD"/>
        </w:rPr>
        <w:t xml:space="preserve"> pentru întreg portofoliul de OS emise </w:t>
      </w:r>
      <w:r w:rsidR="00E636DB" w:rsidRPr="00FE133E">
        <w:rPr>
          <w:rFonts w:asciiTheme="majorHAnsi" w:hAnsiTheme="majorHAnsi" w:cstheme="majorHAnsi"/>
          <w:sz w:val="24"/>
          <w:szCs w:val="24"/>
          <w:lang w:val="ro-MD"/>
        </w:rPr>
        <w:t xml:space="preserve">în anul 2018 </w:t>
      </w:r>
      <w:r w:rsidR="004D1CD0" w:rsidRPr="00FE133E">
        <w:rPr>
          <w:rFonts w:asciiTheme="majorHAnsi" w:hAnsiTheme="majorHAnsi" w:cstheme="majorHAnsi"/>
          <w:sz w:val="24"/>
          <w:szCs w:val="24"/>
          <w:lang w:val="ro-MD"/>
        </w:rPr>
        <w:t>în acest scop,</w:t>
      </w:r>
      <w:r w:rsidR="00657E5E" w:rsidRPr="00FE133E">
        <w:rPr>
          <w:rFonts w:asciiTheme="majorHAnsi" w:hAnsiTheme="majorHAnsi" w:cstheme="majorHAnsi"/>
          <w:sz w:val="24"/>
          <w:szCs w:val="24"/>
          <w:lang w:val="ro-MD"/>
        </w:rPr>
        <w:t xml:space="preserve"> pe toată perioada </w:t>
      </w:r>
      <w:r w:rsidR="0074550D" w:rsidRPr="00FE133E">
        <w:rPr>
          <w:rFonts w:asciiTheme="majorHAnsi" w:hAnsiTheme="majorHAnsi" w:cstheme="majorHAnsi"/>
          <w:sz w:val="24"/>
          <w:szCs w:val="24"/>
          <w:lang w:val="ro-MD"/>
        </w:rPr>
        <w:t>d</w:t>
      </w:r>
      <w:r w:rsidR="00E636DB" w:rsidRPr="00FE133E">
        <w:rPr>
          <w:rFonts w:asciiTheme="majorHAnsi" w:hAnsiTheme="majorHAnsi" w:cstheme="majorHAnsi"/>
          <w:sz w:val="24"/>
          <w:szCs w:val="24"/>
          <w:lang w:val="ro-MD"/>
        </w:rPr>
        <w:t xml:space="preserve">e scadență de până la 30.03.2023, </w:t>
      </w:r>
      <w:r w:rsidR="00DD157B" w:rsidRPr="00FE133E">
        <w:rPr>
          <w:rFonts w:asciiTheme="majorHAnsi" w:hAnsiTheme="majorHAnsi" w:cstheme="majorHAnsi"/>
          <w:sz w:val="24"/>
          <w:szCs w:val="24"/>
          <w:lang w:val="ro-MD"/>
        </w:rPr>
        <w:t>va constitui</w:t>
      </w:r>
      <w:r w:rsidR="00E636DB" w:rsidRPr="00FE133E">
        <w:rPr>
          <w:rFonts w:asciiTheme="majorHAnsi" w:hAnsiTheme="majorHAnsi" w:cstheme="majorHAnsi"/>
          <w:sz w:val="24"/>
          <w:szCs w:val="24"/>
          <w:lang w:val="ro-MD"/>
        </w:rPr>
        <w:t xml:space="preserve"> </w:t>
      </w:r>
      <w:r w:rsidR="003202D0" w:rsidRPr="00FE133E">
        <w:rPr>
          <w:rFonts w:asciiTheme="majorHAnsi" w:hAnsiTheme="majorHAnsi" w:cstheme="majorHAnsi"/>
          <w:sz w:val="24"/>
          <w:szCs w:val="24"/>
          <w:lang w:val="ro-MD"/>
        </w:rPr>
        <w:t xml:space="preserve">49,2 </w:t>
      </w:r>
      <w:proofErr w:type="spellStart"/>
      <w:r w:rsidR="00E636DB" w:rsidRPr="00FE133E">
        <w:rPr>
          <w:rFonts w:asciiTheme="majorHAnsi" w:hAnsiTheme="majorHAnsi" w:cstheme="majorHAnsi"/>
          <w:sz w:val="24"/>
          <w:szCs w:val="24"/>
          <w:lang w:val="ro-MD"/>
        </w:rPr>
        <w:t>mil.MDL</w:t>
      </w:r>
      <w:proofErr w:type="spellEnd"/>
      <w:r w:rsidR="0074550D" w:rsidRPr="00FE133E">
        <w:rPr>
          <w:rFonts w:asciiTheme="majorHAnsi" w:hAnsiTheme="majorHAnsi" w:cstheme="majorHAnsi"/>
          <w:sz w:val="24"/>
          <w:szCs w:val="24"/>
          <w:lang w:val="ro-MD"/>
        </w:rPr>
        <w:t xml:space="preserve">. </w:t>
      </w:r>
    </w:p>
    <w:p w14:paraId="184CC45E" w14:textId="77777777" w:rsidR="00851DC1" w:rsidRPr="00FE133E" w:rsidRDefault="0074550D" w:rsidP="00A847BC">
      <w:pPr>
        <w:spacing w:after="0" w:line="276" w:lineRule="auto"/>
        <w:ind w:firstLine="567"/>
        <w:jc w:val="both"/>
        <w:rPr>
          <w:rFonts w:asciiTheme="majorHAnsi" w:hAnsiTheme="majorHAnsi" w:cstheme="majorHAnsi"/>
          <w:sz w:val="24"/>
          <w:szCs w:val="24"/>
          <w:lang w:val="ro-MD"/>
        </w:rPr>
      </w:pPr>
      <w:r w:rsidRPr="00FE133E">
        <w:rPr>
          <w:rFonts w:asciiTheme="majorHAnsi" w:hAnsiTheme="majorHAnsi" w:cstheme="majorHAnsi"/>
          <w:sz w:val="24"/>
          <w:szCs w:val="24"/>
          <w:lang w:val="ro-MD"/>
        </w:rPr>
        <w:t>În același timp</w:t>
      </w:r>
      <w:r w:rsidR="00657E5E" w:rsidRPr="00FE133E">
        <w:rPr>
          <w:rFonts w:asciiTheme="majorHAnsi" w:hAnsiTheme="majorHAnsi" w:cstheme="majorHAnsi"/>
          <w:sz w:val="24"/>
          <w:szCs w:val="24"/>
          <w:lang w:val="ro-MD"/>
        </w:rPr>
        <w:t>,</w:t>
      </w:r>
      <w:r w:rsidR="006E4771" w:rsidRPr="00FE133E">
        <w:rPr>
          <w:rFonts w:asciiTheme="majorHAnsi" w:hAnsiTheme="majorHAnsi" w:cstheme="majorHAnsi"/>
          <w:sz w:val="24"/>
          <w:szCs w:val="24"/>
          <w:lang w:val="ro-MD"/>
        </w:rPr>
        <w:t xml:space="preserve"> </w:t>
      </w:r>
      <w:r w:rsidRPr="00FE133E">
        <w:rPr>
          <w:rFonts w:asciiTheme="majorHAnsi" w:hAnsiTheme="majorHAnsi" w:cstheme="majorHAnsi"/>
          <w:sz w:val="24"/>
          <w:szCs w:val="24"/>
          <w:lang w:val="ro-MD"/>
        </w:rPr>
        <w:t>conform cererilor de plasare a depozitelor</w:t>
      </w:r>
      <w:r w:rsidR="000E2FA1" w:rsidRPr="00FE133E">
        <w:rPr>
          <w:rFonts w:asciiTheme="majorHAnsi" w:hAnsiTheme="majorHAnsi" w:cstheme="majorHAnsi"/>
          <w:sz w:val="24"/>
          <w:szCs w:val="24"/>
          <w:lang w:val="ro-MD"/>
        </w:rPr>
        <w:t>,</w:t>
      </w:r>
      <w:r w:rsidRPr="00FE133E">
        <w:rPr>
          <w:rFonts w:asciiTheme="majorHAnsi" w:hAnsiTheme="majorHAnsi" w:cstheme="majorHAnsi"/>
          <w:sz w:val="24"/>
          <w:szCs w:val="24"/>
          <w:lang w:val="ro-MD"/>
        </w:rPr>
        <w:t xml:space="preserve"> periodicitatea achitării de către BNM a dobânzilor la cele </w:t>
      </w:r>
      <w:r w:rsidR="00DD157B" w:rsidRPr="00FE133E">
        <w:rPr>
          <w:rFonts w:asciiTheme="majorHAnsi" w:hAnsiTheme="majorHAnsi" w:cstheme="majorHAnsi"/>
          <w:sz w:val="24"/>
          <w:szCs w:val="24"/>
          <w:lang w:val="ro-MD"/>
        </w:rPr>
        <w:t>șase</w:t>
      </w:r>
      <w:r w:rsidRPr="00FE133E">
        <w:rPr>
          <w:rFonts w:asciiTheme="majorHAnsi" w:hAnsiTheme="majorHAnsi" w:cstheme="majorHAnsi"/>
          <w:sz w:val="24"/>
          <w:szCs w:val="24"/>
          <w:lang w:val="ro-MD"/>
        </w:rPr>
        <w:t xml:space="preserve"> depozite </w:t>
      </w:r>
      <w:r w:rsidR="002F54FC" w:rsidRPr="00FE133E">
        <w:rPr>
          <w:rFonts w:asciiTheme="majorHAnsi" w:hAnsiTheme="majorHAnsi" w:cstheme="majorHAnsi"/>
          <w:sz w:val="24"/>
          <w:szCs w:val="24"/>
          <w:lang w:val="ro-MD"/>
        </w:rPr>
        <w:t>este stabilită</w:t>
      </w:r>
      <w:r w:rsidR="000E2FA1" w:rsidRPr="00FE133E">
        <w:rPr>
          <w:rFonts w:asciiTheme="majorHAnsi" w:hAnsiTheme="majorHAnsi" w:cstheme="majorHAnsi"/>
          <w:sz w:val="24"/>
          <w:szCs w:val="24"/>
          <w:lang w:val="ro-MD"/>
        </w:rPr>
        <w:t xml:space="preserve"> </w:t>
      </w:r>
      <w:r w:rsidR="001B010D" w:rsidRPr="00FE133E">
        <w:rPr>
          <w:rFonts w:asciiTheme="majorHAnsi" w:hAnsiTheme="majorHAnsi" w:cstheme="majorHAnsi"/>
          <w:sz w:val="24"/>
          <w:szCs w:val="24"/>
          <w:lang w:val="ro-MD"/>
        </w:rPr>
        <w:t xml:space="preserve">ca </w:t>
      </w:r>
      <w:proofErr w:type="spellStart"/>
      <w:r w:rsidR="002F54FC" w:rsidRPr="00FE133E">
        <w:rPr>
          <w:rFonts w:asciiTheme="majorHAnsi" w:hAnsiTheme="majorHAnsi" w:cstheme="majorHAnsi"/>
          <w:sz w:val="24"/>
          <w:szCs w:val="24"/>
          <w:lang w:val="ro-MD"/>
        </w:rPr>
        <w:t>semianual</w:t>
      </w:r>
      <w:proofErr w:type="spellEnd"/>
      <w:r w:rsidR="002F54FC" w:rsidRPr="00FE133E">
        <w:rPr>
          <w:rFonts w:asciiTheme="majorHAnsi" w:hAnsiTheme="majorHAnsi" w:cstheme="majorHAnsi"/>
          <w:sz w:val="24"/>
          <w:szCs w:val="24"/>
          <w:lang w:val="ro-MD"/>
        </w:rPr>
        <w:t>.</w:t>
      </w:r>
      <w:r w:rsidRPr="00FE133E">
        <w:rPr>
          <w:rFonts w:asciiTheme="majorHAnsi" w:hAnsiTheme="majorHAnsi" w:cstheme="majorHAnsi"/>
          <w:sz w:val="24"/>
          <w:szCs w:val="24"/>
          <w:lang w:val="ro-MD"/>
        </w:rPr>
        <w:t xml:space="preserve"> </w:t>
      </w:r>
      <w:r w:rsidR="002F54FC" w:rsidRPr="00FE133E">
        <w:rPr>
          <w:rFonts w:asciiTheme="majorHAnsi" w:hAnsiTheme="majorHAnsi" w:cstheme="majorHAnsi"/>
          <w:sz w:val="24"/>
          <w:szCs w:val="24"/>
          <w:lang w:val="ro-MD"/>
        </w:rPr>
        <w:t xml:space="preserve">Astfel, </w:t>
      </w:r>
      <w:r w:rsidR="006E4771" w:rsidRPr="00FE133E">
        <w:rPr>
          <w:rFonts w:asciiTheme="majorHAnsi" w:hAnsiTheme="majorHAnsi" w:cstheme="majorHAnsi"/>
          <w:sz w:val="24"/>
          <w:szCs w:val="24"/>
          <w:lang w:val="ro-MD"/>
        </w:rPr>
        <w:t xml:space="preserve">dobânzile achitate de către BNM </w:t>
      </w:r>
      <w:r w:rsidR="00851DC1" w:rsidRPr="00FE133E">
        <w:rPr>
          <w:rFonts w:asciiTheme="majorHAnsi" w:hAnsiTheme="majorHAnsi" w:cstheme="majorHAnsi"/>
          <w:sz w:val="24"/>
          <w:szCs w:val="24"/>
          <w:lang w:val="ro-MD"/>
        </w:rPr>
        <w:t>au însumat în total 37,2</w:t>
      </w:r>
      <w:r w:rsidR="002F54FC" w:rsidRPr="00FE133E">
        <w:rPr>
          <w:rFonts w:asciiTheme="majorHAnsi" w:hAnsiTheme="majorHAnsi" w:cstheme="majorHAnsi"/>
          <w:sz w:val="24"/>
          <w:szCs w:val="24"/>
          <w:lang w:val="ro-MD"/>
        </w:rPr>
        <w:t xml:space="preserve"> </w:t>
      </w:r>
      <w:proofErr w:type="spellStart"/>
      <w:r w:rsidR="002F54FC" w:rsidRPr="00FE133E">
        <w:rPr>
          <w:rFonts w:asciiTheme="majorHAnsi" w:hAnsiTheme="majorHAnsi" w:cstheme="majorHAnsi"/>
          <w:sz w:val="24"/>
          <w:szCs w:val="24"/>
          <w:lang w:val="ro-MD"/>
        </w:rPr>
        <w:t>mil.</w:t>
      </w:r>
      <w:r w:rsidR="00E124FF" w:rsidRPr="00FE133E">
        <w:rPr>
          <w:rFonts w:asciiTheme="majorHAnsi" w:hAnsiTheme="majorHAnsi" w:cstheme="majorHAnsi"/>
          <w:sz w:val="24"/>
          <w:szCs w:val="24"/>
          <w:lang w:val="ro-MD"/>
        </w:rPr>
        <w:t>MDL</w:t>
      </w:r>
      <w:proofErr w:type="spellEnd"/>
      <w:r w:rsidR="002F54FC" w:rsidRPr="00FE133E">
        <w:rPr>
          <w:rFonts w:asciiTheme="majorHAnsi" w:hAnsiTheme="majorHAnsi" w:cstheme="majorHAnsi"/>
          <w:sz w:val="24"/>
          <w:szCs w:val="24"/>
          <w:lang w:val="ro-MD"/>
        </w:rPr>
        <w:t xml:space="preserve">, </w:t>
      </w:r>
      <w:r w:rsidR="00F673E6" w:rsidRPr="00FE133E">
        <w:rPr>
          <w:rFonts w:asciiTheme="majorHAnsi" w:hAnsiTheme="majorHAnsi" w:cstheme="majorHAnsi"/>
          <w:sz w:val="24"/>
          <w:szCs w:val="24"/>
          <w:lang w:val="ro-MD"/>
        </w:rPr>
        <w:t>sau în aceeași mărime c</w:t>
      </w:r>
      <w:r w:rsidR="001B010D" w:rsidRPr="00FE133E">
        <w:rPr>
          <w:rFonts w:asciiTheme="majorHAnsi" w:hAnsiTheme="majorHAnsi" w:cstheme="majorHAnsi"/>
          <w:sz w:val="24"/>
          <w:szCs w:val="24"/>
          <w:lang w:val="ro-MD"/>
        </w:rPr>
        <w:t>a</w:t>
      </w:r>
      <w:r w:rsidR="00F673E6" w:rsidRPr="00FE133E">
        <w:rPr>
          <w:rFonts w:asciiTheme="majorHAnsi" w:hAnsiTheme="majorHAnsi" w:cstheme="majorHAnsi"/>
          <w:sz w:val="24"/>
          <w:szCs w:val="24"/>
          <w:lang w:val="ro-MD"/>
        </w:rPr>
        <w:t xml:space="preserve"> </w:t>
      </w:r>
      <w:r w:rsidR="001B010D" w:rsidRPr="00FE133E">
        <w:rPr>
          <w:rFonts w:asciiTheme="majorHAnsi" w:hAnsiTheme="majorHAnsi" w:cstheme="majorHAnsi"/>
          <w:sz w:val="24"/>
          <w:szCs w:val="24"/>
          <w:lang w:val="ro-MD"/>
        </w:rPr>
        <w:t xml:space="preserve">și </w:t>
      </w:r>
      <w:r w:rsidR="00F673E6" w:rsidRPr="00FE133E">
        <w:rPr>
          <w:rFonts w:asciiTheme="majorHAnsi" w:hAnsiTheme="majorHAnsi" w:cstheme="majorHAnsi"/>
          <w:sz w:val="24"/>
          <w:szCs w:val="24"/>
          <w:lang w:val="ro-MD"/>
        </w:rPr>
        <w:t xml:space="preserve">suma dobânzilor achitate pentru </w:t>
      </w:r>
      <w:r w:rsidR="00851DC1" w:rsidRPr="00FE133E">
        <w:rPr>
          <w:rFonts w:asciiTheme="majorHAnsi" w:hAnsiTheme="majorHAnsi" w:cstheme="majorHAnsi"/>
          <w:sz w:val="24"/>
          <w:szCs w:val="24"/>
          <w:lang w:val="ro-MD"/>
        </w:rPr>
        <w:t>serviciul</w:t>
      </w:r>
      <w:r w:rsidR="00F673E6" w:rsidRPr="00FE133E">
        <w:rPr>
          <w:rFonts w:asciiTheme="majorHAnsi" w:hAnsiTheme="majorHAnsi" w:cstheme="majorHAnsi"/>
          <w:sz w:val="24"/>
          <w:szCs w:val="24"/>
          <w:lang w:val="ro-MD"/>
        </w:rPr>
        <w:t xml:space="preserve"> OS. </w:t>
      </w:r>
    </w:p>
    <w:p w14:paraId="54161706" w14:textId="39BC08A6" w:rsidR="00E541DC" w:rsidRPr="00FE133E" w:rsidRDefault="00FE4F9F" w:rsidP="00A847BC">
      <w:pPr>
        <w:spacing w:after="0" w:line="276" w:lineRule="auto"/>
        <w:ind w:firstLine="567"/>
        <w:jc w:val="both"/>
        <w:rPr>
          <w:rFonts w:asciiTheme="majorHAnsi" w:hAnsiTheme="majorHAnsi" w:cstheme="majorHAnsi"/>
          <w:sz w:val="24"/>
          <w:szCs w:val="24"/>
          <w:lang w:val="ro-MD"/>
        </w:rPr>
      </w:pPr>
      <w:r w:rsidRPr="00FE133E">
        <w:rPr>
          <w:rFonts w:asciiTheme="majorHAnsi" w:hAnsiTheme="majorHAnsi" w:cstheme="majorHAnsi"/>
          <w:sz w:val="24"/>
          <w:szCs w:val="24"/>
          <w:lang w:val="ro-MD"/>
        </w:rPr>
        <w:t xml:space="preserve">Auditul </w:t>
      </w:r>
      <w:r w:rsidR="00AC2C4F">
        <w:rPr>
          <w:rFonts w:asciiTheme="majorHAnsi" w:hAnsiTheme="majorHAnsi" w:cstheme="majorHAnsi"/>
          <w:sz w:val="24"/>
          <w:szCs w:val="24"/>
          <w:lang w:val="ro-MD"/>
        </w:rPr>
        <w:t>atestă</w:t>
      </w:r>
      <w:r w:rsidRPr="00FE133E">
        <w:rPr>
          <w:rFonts w:asciiTheme="majorHAnsi" w:hAnsiTheme="majorHAnsi" w:cstheme="majorHAnsi"/>
          <w:sz w:val="24"/>
          <w:szCs w:val="24"/>
          <w:lang w:val="ro-MD"/>
        </w:rPr>
        <w:t xml:space="preserve"> că la situația din 31.12.2018 MF </w:t>
      </w:r>
      <w:r w:rsidR="00F60E8B" w:rsidRPr="00FE133E">
        <w:rPr>
          <w:rFonts w:asciiTheme="majorHAnsi" w:hAnsiTheme="majorHAnsi" w:cstheme="majorHAnsi"/>
          <w:sz w:val="24"/>
          <w:szCs w:val="24"/>
          <w:lang w:val="ro-MD"/>
        </w:rPr>
        <w:t xml:space="preserve">avea plasate la BNM 7 depozite în sumă totală de 599,0 </w:t>
      </w:r>
      <w:proofErr w:type="spellStart"/>
      <w:r w:rsidR="00F60E8B" w:rsidRPr="00FE133E">
        <w:rPr>
          <w:rFonts w:asciiTheme="majorHAnsi" w:hAnsiTheme="majorHAnsi" w:cstheme="majorHAnsi"/>
          <w:sz w:val="24"/>
          <w:szCs w:val="24"/>
          <w:lang w:val="ro-MD"/>
        </w:rPr>
        <w:t>mil.MDL</w:t>
      </w:r>
      <w:proofErr w:type="spellEnd"/>
      <w:r w:rsidR="00F60E8B" w:rsidRPr="00FE133E">
        <w:rPr>
          <w:rFonts w:asciiTheme="majorHAnsi" w:hAnsiTheme="majorHAnsi" w:cstheme="majorHAnsi"/>
          <w:sz w:val="24"/>
          <w:szCs w:val="24"/>
          <w:lang w:val="ro-MD"/>
        </w:rPr>
        <w:t xml:space="preserve">. </w:t>
      </w:r>
    </w:p>
    <w:p w14:paraId="6E7E28F4" w14:textId="73BCB736" w:rsidR="00F94F31" w:rsidRPr="00FE133E" w:rsidRDefault="00773647" w:rsidP="00A847BC">
      <w:pPr>
        <w:spacing w:after="0" w:line="276" w:lineRule="auto"/>
        <w:ind w:firstLine="567"/>
        <w:jc w:val="both"/>
        <w:rPr>
          <w:rFonts w:ascii="inherit" w:hAnsi="inherit"/>
          <w:bCs/>
          <w:sz w:val="28"/>
          <w:szCs w:val="28"/>
          <w:lang w:val="ro-MD"/>
        </w:rPr>
      </w:pPr>
      <w:r w:rsidRPr="00FE133E">
        <w:rPr>
          <w:rFonts w:asciiTheme="majorHAnsi" w:hAnsiTheme="majorHAnsi" w:cstheme="majorHAnsi"/>
          <w:sz w:val="24"/>
          <w:szCs w:val="24"/>
          <w:lang w:val="ro-MD"/>
        </w:rPr>
        <w:t>R</w:t>
      </w:r>
      <w:r w:rsidR="00377875" w:rsidRPr="00FE133E">
        <w:rPr>
          <w:rFonts w:asciiTheme="majorHAnsi" w:hAnsiTheme="majorHAnsi" w:cstheme="majorHAnsi"/>
          <w:sz w:val="24"/>
          <w:szCs w:val="24"/>
          <w:lang w:val="ro-MD"/>
        </w:rPr>
        <w:t>eferitor la aspectele ce țin de constituirea acest</w:t>
      </w:r>
      <w:r w:rsidRPr="00FE133E">
        <w:rPr>
          <w:rFonts w:asciiTheme="majorHAnsi" w:hAnsiTheme="majorHAnsi" w:cstheme="majorHAnsi"/>
          <w:sz w:val="24"/>
          <w:szCs w:val="24"/>
          <w:lang w:val="ro-MD"/>
        </w:rPr>
        <w:t xml:space="preserve">or </w:t>
      </w:r>
      <w:r w:rsidR="00377875" w:rsidRPr="00FE133E">
        <w:rPr>
          <w:rFonts w:asciiTheme="majorHAnsi" w:hAnsiTheme="majorHAnsi" w:cstheme="majorHAnsi"/>
          <w:sz w:val="24"/>
          <w:szCs w:val="24"/>
          <w:lang w:val="ro-MD"/>
        </w:rPr>
        <w:t>rezerve de lichidități prin prisma prevederilor legale</w:t>
      </w:r>
      <w:r w:rsidRPr="00FE133E">
        <w:rPr>
          <w:rFonts w:asciiTheme="majorHAnsi" w:hAnsiTheme="majorHAnsi" w:cstheme="majorHAnsi"/>
          <w:sz w:val="24"/>
          <w:szCs w:val="24"/>
          <w:lang w:val="ro-MD"/>
        </w:rPr>
        <w:t>,</w:t>
      </w:r>
      <w:r w:rsidR="00377875" w:rsidRPr="00FE133E">
        <w:rPr>
          <w:rFonts w:asciiTheme="majorHAnsi" w:hAnsiTheme="majorHAnsi" w:cstheme="majorHAnsi"/>
          <w:sz w:val="24"/>
          <w:szCs w:val="24"/>
          <w:lang w:val="ro-MD"/>
        </w:rPr>
        <w:t xml:space="preserve"> </w:t>
      </w:r>
      <w:r w:rsidRPr="00FE133E">
        <w:rPr>
          <w:rFonts w:asciiTheme="majorHAnsi" w:hAnsiTheme="majorHAnsi" w:cstheme="majorHAnsi"/>
          <w:sz w:val="24"/>
          <w:szCs w:val="24"/>
          <w:lang w:val="ro-MD"/>
        </w:rPr>
        <w:t>a</w:t>
      </w:r>
      <w:r w:rsidR="0083268C" w:rsidRPr="00FE133E">
        <w:rPr>
          <w:rFonts w:asciiTheme="majorHAnsi" w:hAnsiTheme="majorHAnsi" w:cstheme="majorHAnsi"/>
          <w:sz w:val="24"/>
          <w:szCs w:val="24"/>
          <w:lang w:val="ro-MD"/>
        </w:rPr>
        <w:t>uditul</w:t>
      </w:r>
      <w:r w:rsidR="0070130C" w:rsidRPr="00FE133E">
        <w:rPr>
          <w:rFonts w:asciiTheme="majorHAnsi" w:hAnsiTheme="majorHAnsi" w:cstheme="majorHAnsi"/>
          <w:sz w:val="24"/>
          <w:szCs w:val="24"/>
          <w:lang w:val="ro-MD"/>
        </w:rPr>
        <w:t xml:space="preserve"> menționează </w:t>
      </w:r>
      <w:r w:rsidR="0083268C" w:rsidRPr="00FE133E">
        <w:rPr>
          <w:rFonts w:asciiTheme="majorHAnsi" w:hAnsiTheme="majorHAnsi" w:cstheme="majorHAnsi"/>
          <w:sz w:val="24"/>
          <w:szCs w:val="24"/>
          <w:lang w:val="ro-MD"/>
        </w:rPr>
        <w:t xml:space="preserve">că </w:t>
      </w:r>
      <w:r w:rsidR="0070130C" w:rsidRPr="00FE133E">
        <w:rPr>
          <w:rFonts w:asciiTheme="majorHAnsi" w:hAnsiTheme="majorHAnsi" w:cstheme="majorHAnsi"/>
          <w:sz w:val="24"/>
          <w:szCs w:val="24"/>
          <w:lang w:val="ro-MD"/>
        </w:rPr>
        <w:t xml:space="preserve">Legea privind datoria sectorului public, </w:t>
      </w:r>
      <w:proofErr w:type="spellStart"/>
      <w:r w:rsidR="0070130C" w:rsidRPr="00FE133E">
        <w:rPr>
          <w:rFonts w:asciiTheme="majorHAnsi" w:hAnsiTheme="majorHAnsi" w:cstheme="majorHAnsi"/>
          <w:bCs/>
          <w:sz w:val="24"/>
          <w:szCs w:val="24"/>
          <w:lang w:val="ro-MD"/>
        </w:rPr>
        <w:t>garanţiile</w:t>
      </w:r>
      <w:proofErr w:type="spellEnd"/>
      <w:r w:rsidR="0070130C" w:rsidRPr="00FE133E">
        <w:rPr>
          <w:rFonts w:asciiTheme="majorHAnsi" w:hAnsiTheme="majorHAnsi" w:cstheme="majorHAnsi"/>
          <w:bCs/>
          <w:sz w:val="24"/>
          <w:szCs w:val="24"/>
          <w:lang w:val="ro-MD"/>
        </w:rPr>
        <w:t xml:space="preserve"> de stat </w:t>
      </w:r>
      <w:proofErr w:type="spellStart"/>
      <w:r w:rsidR="0070130C" w:rsidRPr="00FE133E">
        <w:rPr>
          <w:rFonts w:asciiTheme="majorHAnsi" w:hAnsiTheme="majorHAnsi" w:cstheme="majorHAnsi"/>
          <w:bCs/>
          <w:sz w:val="24"/>
          <w:szCs w:val="24"/>
          <w:lang w:val="ro-MD"/>
        </w:rPr>
        <w:t>şi</w:t>
      </w:r>
      <w:proofErr w:type="spellEnd"/>
      <w:r w:rsidR="0070130C" w:rsidRPr="00FE133E">
        <w:rPr>
          <w:rFonts w:asciiTheme="majorHAnsi" w:hAnsiTheme="majorHAnsi" w:cstheme="majorHAnsi"/>
          <w:bCs/>
          <w:sz w:val="24"/>
          <w:szCs w:val="24"/>
          <w:lang w:val="ro-MD"/>
        </w:rPr>
        <w:t xml:space="preserve"> recreditarea de stat</w:t>
      </w:r>
      <w:r w:rsidR="0083268C" w:rsidRPr="00FE133E">
        <w:rPr>
          <w:rFonts w:asciiTheme="majorHAnsi" w:hAnsiTheme="majorHAnsi" w:cstheme="majorHAnsi"/>
          <w:bCs/>
          <w:sz w:val="24"/>
          <w:szCs w:val="24"/>
          <w:lang w:val="ro-MD"/>
        </w:rPr>
        <w:t xml:space="preserve"> și </w:t>
      </w:r>
      <w:r w:rsidR="00607E27" w:rsidRPr="00FE133E">
        <w:rPr>
          <w:rFonts w:asciiTheme="majorHAnsi" w:hAnsiTheme="majorHAnsi" w:cstheme="majorHAnsi"/>
          <w:bCs/>
          <w:sz w:val="24"/>
          <w:szCs w:val="24"/>
          <w:lang w:val="ro-MD"/>
        </w:rPr>
        <w:t>Legea finanțelor publice și responsabilității bugetar-fiscale</w:t>
      </w:r>
      <w:r w:rsidR="00DB5F73" w:rsidRPr="00FE133E">
        <w:rPr>
          <w:rStyle w:val="ae"/>
          <w:rFonts w:asciiTheme="majorHAnsi" w:hAnsiTheme="majorHAnsi" w:cstheme="majorHAnsi"/>
          <w:bCs/>
          <w:sz w:val="24"/>
          <w:szCs w:val="24"/>
          <w:lang w:val="ro-MD"/>
        </w:rPr>
        <w:footnoteReference w:id="23"/>
      </w:r>
      <w:r w:rsidR="00607E27" w:rsidRPr="00FE133E">
        <w:rPr>
          <w:rFonts w:asciiTheme="majorHAnsi" w:hAnsiTheme="majorHAnsi" w:cstheme="majorHAnsi"/>
          <w:bCs/>
          <w:sz w:val="24"/>
          <w:szCs w:val="24"/>
          <w:lang w:val="ro-MD"/>
        </w:rPr>
        <w:t xml:space="preserve"> </w:t>
      </w:r>
      <w:r w:rsidR="00B70966" w:rsidRPr="00FE133E">
        <w:rPr>
          <w:rFonts w:asciiTheme="majorHAnsi" w:hAnsiTheme="majorHAnsi" w:cstheme="majorHAnsi"/>
          <w:bCs/>
          <w:sz w:val="24"/>
          <w:szCs w:val="24"/>
          <w:lang w:val="ro-MD"/>
        </w:rPr>
        <w:t>nu</w:t>
      </w:r>
      <w:r w:rsidR="0070130C" w:rsidRPr="00FE133E">
        <w:rPr>
          <w:rFonts w:asciiTheme="majorHAnsi" w:hAnsiTheme="majorHAnsi" w:cstheme="majorHAnsi"/>
          <w:bCs/>
          <w:sz w:val="24"/>
          <w:szCs w:val="24"/>
          <w:lang w:val="ro-MD"/>
        </w:rPr>
        <w:t xml:space="preserve"> define</w:t>
      </w:r>
      <w:r w:rsidR="00AC2C4F">
        <w:rPr>
          <w:rFonts w:asciiTheme="majorHAnsi" w:hAnsiTheme="majorHAnsi" w:cstheme="majorHAnsi"/>
          <w:bCs/>
          <w:sz w:val="24"/>
          <w:szCs w:val="24"/>
          <w:lang w:val="ro-MD"/>
        </w:rPr>
        <w:t>sc</w:t>
      </w:r>
      <w:r w:rsidR="0070130C" w:rsidRPr="00FE133E">
        <w:rPr>
          <w:rFonts w:asciiTheme="majorHAnsi" w:hAnsiTheme="majorHAnsi" w:cstheme="majorHAnsi"/>
          <w:bCs/>
          <w:sz w:val="24"/>
          <w:szCs w:val="24"/>
          <w:lang w:val="ro-MD"/>
        </w:rPr>
        <w:t xml:space="preserve"> noțiunea de „rezerve de lichidități”</w:t>
      </w:r>
      <w:r w:rsidR="00DB5F73" w:rsidRPr="00FE133E">
        <w:rPr>
          <w:rFonts w:asciiTheme="majorHAnsi" w:hAnsiTheme="majorHAnsi" w:cstheme="majorHAnsi"/>
          <w:bCs/>
          <w:sz w:val="24"/>
          <w:szCs w:val="24"/>
          <w:lang w:val="ro-MD"/>
        </w:rPr>
        <w:t>,</w:t>
      </w:r>
      <w:r w:rsidR="00607E27" w:rsidRPr="00FE133E">
        <w:rPr>
          <w:rFonts w:asciiTheme="majorHAnsi" w:hAnsiTheme="majorHAnsi" w:cstheme="majorHAnsi"/>
          <w:bCs/>
          <w:sz w:val="24"/>
          <w:szCs w:val="24"/>
          <w:lang w:val="ro-MD"/>
        </w:rPr>
        <w:t xml:space="preserve"> precum și </w:t>
      </w:r>
      <w:r w:rsidR="00B70966" w:rsidRPr="00FE133E">
        <w:rPr>
          <w:rFonts w:asciiTheme="majorHAnsi" w:hAnsiTheme="majorHAnsi" w:cstheme="majorHAnsi"/>
          <w:bCs/>
          <w:sz w:val="24"/>
          <w:szCs w:val="24"/>
          <w:lang w:val="ro-MD"/>
        </w:rPr>
        <w:t xml:space="preserve">nu </w:t>
      </w:r>
      <w:r w:rsidR="0011621C" w:rsidRPr="00FE133E">
        <w:rPr>
          <w:rFonts w:asciiTheme="majorHAnsi" w:hAnsiTheme="majorHAnsi" w:cstheme="majorHAnsi"/>
          <w:bCs/>
          <w:sz w:val="24"/>
          <w:szCs w:val="24"/>
          <w:lang w:val="ro-MD"/>
        </w:rPr>
        <w:t>reglemente</w:t>
      </w:r>
      <w:r w:rsidR="00B70966" w:rsidRPr="00FE133E">
        <w:rPr>
          <w:rFonts w:asciiTheme="majorHAnsi" w:hAnsiTheme="majorHAnsi" w:cstheme="majorHAnsi"/>
          <w:bCs/>
          <w:sz w:val="24"/>
          <w:szCs w:val="24"/>
          <w:lang w:val="ro-MD"/>
        </w:rPr>
        <w:t>ază</w:t>
      </w:r>
      <w:r w:rsidR="0011621C" w:rsidRPr="00FE133E">
        <w:rPr>
          <w:rFonts w:asciiTheme="majorHAnsi" w:hAnsiTheme="majorHAnsi" w:cstheme="majorHAnsi"/>
          <w:bCs/>
          <w:sz w:val="24"/>
          <w:szCs w:val="24"/>
          <w:lang w:val="ro-MD"/>
        </w:rPr>
        <w:t xml:space="preserve"> exhaustiv</w:t>
      </w:r>
      <w:r w:rsidR="00607E27" w:rsidRPr="00FE133E">
        <w:rPr>
          <w:rFonts w:asciiTheme="majorHAnsi" w:hAnsiTheme="majorHAnsi" w:cstheme="majorHAnsi"/>
          <w:bCs/>
          <w:sz w:val="24"/>
          <w:szCs w:val="24"/>
          <w:lang w:val="ro-MD"/>
        </w:rPr>
        <w:t xml:space="preserve"> sit</w:t>
      </w:r>
      <w:r w:rsidR="00DB5F73" w:rsidRPr="00FE133E">
        <w:rPr>
          <w:rFonts w:asciiTheme="majorHAnsi" w:hAnsiTheme="majorHAnsi" w:cstheme="majorHAnsi"/>
          <w:bCs/>
          <w:sz w:val="24"/>
          <w:szCs w:val="24"/>
          <w:lang w:val="ro-MD"/>
        </w:rPr>
        <w:t>uațiile de creare și</w:t>
      </w:r>
      <w:r w:rsidR="00607E27" w:rsidRPr="00FE133E">
        <w:rPr>
          <w:rFonts w:asciiTheme="majorHAnsi" w:hAnsiTheme="majorHAnsi" w:cstheme="majorHAnsi"/>
          <w:bCs/>
          <w:sz w:val="24"/>
          <w:szCs w:val="24"/>
          <w:lang w:val="ro-MD"/>
        </w:rPr>
        <w:t xml:space="preserve"> </w:t>
      </w:r>
      <w:r w:rsidR="00AC2C4F">
        <w:rPr>
          <w:rFonts w:asciiTheme="majorHAnsi" w:hAnsiTheme="majorHAnsi" w:cstheme="majorHAnsi"/>
          <w:bCs/>
          <w:sz w:val="24"/>
          <w:szCs w:val="24"/>
          <w:lang w:val="ro-MD"/>
        </w:rPr>
        <w:t xml:space="preserve">de </w:t>
      </w:r>
      <w:r w:rsidR="00607E27" w:rsidRPr="00FE133E">
        <w:rPr>
          <w:rFonts w:asciiTheme="majorHAnsi" w:hAnsiTheme="majorHAnsi" w:cstheme="majorHAnsi"/>
          <w:bCs/>
          <w:sz w:val="24"/>
          <w:szCs w:val="24"/>
          <w:lang w:val="ro-MD"/>
        </w:rPr>
        <w:t>utilizare</w:t>
      </w:r>
      <w:r w:rsidR="00AC2C4F">
        <w:rPr>
          <w:rFonts w:asciiTheme="majorHAnsi" w:hAnsiTheme="majorHAnsi" w:cstheme="majorHAnsi"/>
          <w:bCs/>
          <w:sz w:val="24"/>
          <w:szCs w:val="24"/>
          <w:lang w:val="ro-MD"/>
        </w:rPr>
        <w:t xml:space="preserve"> a</w:t>
      </w:r>
      <w:r w:rsidR="005621D3" w:rsidRPr="00FE133E">
        <w:rPr>
          <w:rFonts w:asciiTheme="majorHAnsi" w:hAnsiTheme="majorHAnsi" w:cstheme="majorHAnsi"/>
          <w:bCs/>
          <w:sz w:val="24"/>
          <w:szCs w:val="24"/>
          <w:lang w:val="ro-MD"/>
        </w:rPr>
        <w:t xml:space="preserve"> acestora</w:t>
      </w:r>
      <w:r w:rsidR="00DB5F73" w:rsidRPr="00FE133E">
        <w:rPr>
          <w:rFonts w:asciiTheme="majorHAnsi" w:hAnsiTheme="majorHAnsi" w:cstheme="majorHAnsi"/>
          <w:bCs/>
          <w:sz w:val="24"/>
          <w:szCs w:val="24"/>
          <w:lang w:val="ro-MD"/>
        </w:rPr>
        <w:t xml:space="preserve">. </w:t>
      </w:r>
      <w:r w:rsidR="00DF1D0C">
        <w:rPr>
          <w:rFonts w:asciiTheme="majorHAnsi" w:hAnsiTheme="majorHAnsi" w:cstheme="majorHAnsi"/>
          <w:bCs/>
          <w:sz w:val="24"/>
          <w:szCs w:val="24"/>
          <w:lang w:val="ro-MD"/>
        </w:rPr>
        <w:t>Prin urmare</w:t>
      </w:r>
      <w:r w:rsidR="00F94F31" w:rsidRPr="00FE133E">
        <w:rPr>
          <w:rFonts w:asciiTheme="majorHAnsi" w:hAnsiTheme="majorHAnsi" w:cstheme="majorHAnsi"/>
          <w:bCs/>
          <w:sz w:val="24"/>
          <w:szCs w:val="24"/>
          <w:lang w:val="ro-MD"/>
        </w:rPr>
        <w:t>, prin intermediul unor astfel de tranzacții sunt imobilizate mijloacele bugetului de stat ca depozite în portofoliul BNM și în susținerea sectorului financiar.</w:t>
      </w:r>
      <w:r w:rsidR="00F94F31" w:rsidRPr="00FE133E">
        <w:rPr>
          <w:rFonts w:ascii="inherit" w:hAnsi="inherit"/>
          <w:bCs/>
          <w:sz w:val="28"/>
          <w:szCs w:val="28"/>
          <w:lang w:val="ro-MD"/>
        </w:rPr>
        <w:t xml:space="preserve"> </w:t>
      </w:r>
      <w:r w:rsidR="00D07FF9" w:rsidRPr="00FE133E">
        <w:rPr>
          <w:rFonts w:asciiTheme="majorHAnsi" w:hAnsiTheme="majorHAnsi" w:cstheme="majorHAnsi"/>
          <w:bCs/>
          <w:sz w:val="24"/>
          <w:szCs w:val="24"/>
          <w:lang w:val="ro-MD"/>
        </w:rPr>
        <w:t>În aceste circumstanțe, auditul denotă lipsa bazei legale care</w:t>
      </w:r>
      <w:r w:rsidR="00DF1D0C">
        <w:rPr>
          <w:rFonts w:asciiTheme="majorHAnsi" w:hAnsiTheme="majorHAnsi" w:cstheme="majorHAnsi"/>
          <w:bCs/>
          <w:sz w:val="24"/>
          <w:szCs w:val="24"/>
          <w:lang w:val="ro-MD"/>
        </w:rPr>
        <w:t xml:space="preserve"> ar</w:t>
      </w:r>
      <w:r w:rsidR="00D07FF9" w:rsidRPr="00FE133E">
        <w:rPr>
          <w:rFonts w:asciiTheme="majorHAnsi" w:hAnsiTheme="majorHAnsi" w:cstheme="majorHAnsi"/>
          <w:bCs/>
          <w:sz w:val="24"/>
          <w:szCs w:val="24"/>
          <w:lang w:val="ro-MD"/>
        </w:rPr>
        <w:t xml:space="preserve"> autoriz</w:t>
      </w:r>
      <w:r w:rsidR="00DF1D0C">
        <w:rPr>
          <w:rFonts w:asciiTheme="majorHAnsi" w:hAnsiTheme="majorHAnsi" w:cstheme="majorHAnsi"/>
          <w:bCs/>
          <w:sz w:val="24"/>
          <w:szCs w:val="24"/>
          <w:lang w:val="ro-MD"/>
        </w:rPr>
        <w:t xml:space="preserve">a </w:t>
      </w:r>
      <w:r w:rsidR="00D07FF9" w:rsidRPr="00FE133E">
        <w:rPr>
          <w:rFonts w:asciiTheme="majorHAnsi" w:hAnsiTheme="majorHAnsi" w:cstheme="majorHAnsi"/>
          <w:bCs/>
          <w:sz w:val="24"/>
          <w:szCs w:val="24"/>
          <w:lang w:val="ro-MD"/>
        </w:rPr>
        <w:t xml:space="preserve"> MF cu astfel de atribuții, pentru crearea acestor rezerve de lichidități, prin emiterea VMS</w:t>
      </w:r>
      <w:r w:rsidR="00AC2C4F">
        <w:rPr>
          <w:rFonts w:asciiTheme="majorHAnsi" w:hAnsiTheme="majorHAnsi" w:cstheme="majorHAnsi"/>
          <w:bCs/>
          <w:sz w:val="24"/>
          <w:szCs w:val="24"/>
          <w:lang w:val="ro-MD"/>
        </w:rPr>
        <w:t>,</w:t>
      </w:r>
      <w:r w:rsidR="00D07FF9" w:rsidRPr="00FE133E">
        <w:rPr>
          <w:rFonts w:asciiTheme="majorHAnsi" w:hAnsiTheme="majorHAnsi" w:cstheme="majorHAnsi"/>
          <w:bCs/>
          <w:sz w:val="24"/>
          <w:szCs w:val="24"/>
          <w:lang w:val="ro-MD"/>
        </w:rPr>
        <w:t xml:space="preserve"> cu majorarea concomitentă a datoriei de stat interne (în anul 2017 - </w:t>
      </w:r>
      <w:r w:rsidR="00D07FF9" w:rsidRPr="00FE133E">
        <w:rPr>
          <w:rFonts w:asciiTheme="majorHAnsi" w:hAnsiTheme="majorHAnsi" w:cstheme="majorHAnsi"/>
          <w:sz w:val="24"/>
          <w:szCs w:val="24"/>
          <w:lang w:val="ro-MD"/>
        </w:rPr>
        <w:t xml:space="preserve">508,9 </w:t>
      </w:r>
      <w:proofErr w:type="spellStart"/>
      <w:r w:rsidR="00D07FF9" w:rsidRPr="00FE133E">
        <w:rPr>
          <w:rFonts w:asciiTheme="majorHAnsi" w:hAnsiTheme="majorHAnsi" w:cstheme="majorHAnsi"/>
          <w:sz w:val="24"/>
          <w:szCs w:val="24"/>
          <w:lang w:val="ro-MD"/>
        </w:rPr>
        <w:t>mil.</w:t>
      </w:r>
      <w:r w:rsidR="00AC2C4F">
        <w:rPr>
          <w:rFonts w:asciiTheme="majorHAnsi" w:hAnsiTheme="majorHAnsi" w:cstheme="majorHAnsi"/>
          <w:sz w:val="24"/>
          <w:szCs w:val="24"/>
          <w:lang w:val="ro-MD"/>
        </w:rPr>
        <w:t>MDL</w:t>
      </w:r>
      <w:proofErr w:type="spellEnd"/>
      <w:r w:rsidR="00D07FF9" w:rsidRPr="00FE133E">
        <w:rPr>
          <w:rFonts w:asciiTheme="majorHAnsi" w:hAnsiTheme="majorHAnsi" w:cstheme="majorHAnsi"/>
          <w:sz w:val="24"/>
          <w:szCs w:val="24"/>
          <w:lang w:val="ro-MD"/>
        </w:rPr>
        <w:t xml:space="preserve">, în anul 2018 – 253,5 </w:t>
      </w:r>
      <w:proofErr w:type="spellStart"/>
      <w:r w:rsidR="002D0D0D">
        <w:rPr>
          <w:rFonts w:asciiTheme="majorHAnsi" w:hAnsiTheme="majorHAnsi" w:cstheme="majorHAnsi"/>
          <w:sz w:val="24"/>
          <w:szCs w:val="24"/>
          <w:lang w:val="ro-MD"/>
        </w:rPr>
        <w:t>mil.MDL</w:t>
      </w:r>
      <w:proofErr w:type="spellEnd"/>
      <w:r w:rsidR="00D07FF9" w:rsidRPr="00FE133E">
        <w:rPr>
          <w:rFonts w:asciiTheme="majorHAnsi" w:hAnsiTheme="majorHAnsi" w:cstheme="majorHAnsi"/>
          <w:bCs/>
          <w:sz w:val="24"/>
          <w:szCs w:val="24"/>
          <w:lang w:val="ro-MD"/>
        </w:rPr>
        <w:t>).</w:t>
      </w:r>
    </w:p>
    <w:p w14:paraId="78F6086E" w14:textId="70F09FD5" w:rsidR="006E4771" w:rsidRPr="00FE133E" w:rsidRDefault="00773647" w:rsidP="00A847BC">
      <w:pPr>
        <w:spacing w:after="0" w:line="276" w:lineRule="auto"/>
        <w:ind w:firstLine="567"/>
        <w:jc w:val="both"/>
        <w:rPr>
          <w:rFonts w:asciiTheme="majorHAnsi" w:hAnsiTheme="majorHAnsi" w:cstheme="majorHAnsi"/>
          <w:i/>
          <w:sz w:val="24"/>
          <w:szCs w:val="24"/>
          <w:lang w:val="ro-MD"/>
        </w:rPr>
      </w:pPr>
      <w:r w:rsidRPr="00FE133E">
        <w:rPr>
          <w:rFonts w:asciiTheme="majorHAnsi" w:hAnsiTheme="majorHAnsi" w:cstheme="majorHAnsi"/>
          <w:bCs/>
          <w:sz w:val="24"/>
          <w:szCs w:val="24"/>
          <w:lang w:val="ro-MD"/>
        </w:rPr>
        <w:t>Potrivit explicațiilor</w:t>
      </w:r>
      <w:r w:rsidR="008C6396" w:rsidRPr="00FE133E">
        <w:rPr>
          <w:rFonts w:asciiTheme="majorHAnsi" w:hAnsiTheme="majorHAnsi" w:cstheme="majorHAnsi"/>
          <w:bCs/>
          <w:sz w:val="24"/>
          <w:szCs w:val="24"/>
          <w:lang w:val="ro-MD"/>
        </w:rPr>
        <w:t xml:space="preserve"> MF</w:t>
      </w:r>
      <w:r w:rsidR="0026117E" w:rsidRPr="00FE133E">
        <w:rPr>
          <w:rFonts w:asciiTheme="majorHAnsi" w:hAnsiTheme="majorHAnsi" w:cstheme="majorHAnsi"/>
          <w:bCs/>
          <w:sz w:val="24"/>
          <w:szCs w:val="24"/>
          <w:lang w:val="ro-MD"/>
        </w:rPr>
        <w:t>, urmare recomandării auditului precedent</w:t>
      </w:r>
      <w:r w:rsidR="009007F2" w:rsidRPr="00FE133E">
        <w:rPr>
          <w:rFonts w:asciiTheme="majorHAnsi" w:hAnsiTheme="majorHAnsi" w:cstheme="majorHAnsi"/>
          <w:bCs/>
          <w:sz w:val="24"/>
          <w:szCs w:val="24"/>
          <w:lang w:val="ro-MD"/>
        </w:rPr>
        <w:t xml:space="preserve"> al Curții de Conturi</w:t>
      </w:r>
      <w:r w:rsidR="0026117E" w:rsidRPr="00FE133E">
        <w:rPr>
          <w:rFonts w:asciiTheme="majorHAnsi" w:hAnsiTheme="majorHAnsi" w:cstheme="majorHAnsi"/>
          <w:bCs/>
          <w:sz w:val="24"/>
          <w:szCs w:val="24"/>
          <w:lang w:val="ro-MD"/>
        </w:rPr>
        <w:t>,</w:t>
      </w:r>
      <w:r w:rsidR="008C6396" w:rsidRPr="00FE133E">
        <w:rPr>
          <w:rFonts w:asciiTheme="majorHAnsi" w:hAnsiTheme="majorHAnsi" w:cstheme="majorHAnsi"/>
          <w:bCs/>
          <w:sz w:val="24"/>
          <w:szCs w:val="24"/>
          <w:lang w:val="ro-MD"/>
        </w:rPr>
        <w:t xml:space="preserve"> </w:t>
      </w:r>
      <w:r w:rsidR="000C1E22" w:rsidRPr="00FE133E">
        <w:rPr>
          <w:rFonts w:asciiTheme="majorHAnsi" w:hAnsiTheme="majorHAnsi" w:cstheme="majorHAnsi"/>
          <w:bCs/>
          <w:sz w:val="24"/>
          <w:szCs w:val="24"/>
          <w:lang w:val="ro-MD"/>
        </w:rPr>
        <w:t xml:space="preserve">la data de 14.08.2018, </w:t>
      </w:r>
      <w:r w:rsidR="008C6396" w:rsidRPr="00FE133E">
        <w:rPr>
          <w:rFonts w:asciiTheme="majorHAnsi" w:hAnsiTheme="majorHAnsi" w:cstheme="majorHAnsi"/>
          <w:bCs/>
          <w:sz w:val="24"/>
          <w:szCs w:val="24"/>
          <w:lang w:val="ro-MD"/>
        </w:rPr>
        <w:t xml:space="preserve">proiectul de lege pentru completarea Legii cu privire la datoria sectorului public, garanțiile de stat și recreditarea de stat a fost </w:t>
      </w:r>
      <w:r w:rsidR="000C1E22" w:rsidRPr="00FE133E">
        <w:rPr>
          <w:rFonts w:asciiTheme="majorHAnsi" w:hAnsiTheme="majorHAnsi" w:cstheme="majorHAnsi"/>
          <w:bCs/>
          <w:sz w:val="24"/>
          <w:szCs w:val="24"/>
          <w:lang w:val="ro-MD"/>
        </w:rPr>
        <w:t xml:space="preserve"> expediat</w:t>
      </w:r>
      <w:r w:rsidR="00AC2C4F">
        <w:rPr>
          <w:rFonts w:asciiTheme="majorHAnsi" w:hAnsiTheme="majorHAnsi" w:cstheme="majorHAnsi"/>
          <w:bCs/>
          <w:sz w:val="24"/>
          <w:szCs w:val="24"/>
          <w:lang w:val="ro-MD"/>
        </w:rPr>
        <w:t>,</w:t>
      </w:r>
      <w:r w:rsidR="000C1E22" w:rsidRPr="00FE133E">
        <w:rPr>
          <w:rFonts w:asciiTheme="majorHAnsi" w:hAnsiTheme="majorHAnsi" w:cstheme="majorHAnsi"/>
          <w:bCs/>
          <w:sz w:val="24"/>
          <w:szCs w:val="24"/>
          <w:lang w:val="ro-MD"/>
        </w:rPr>
        <w:t xml:space="preserve"> spre avizare</w:t>
      </w:r>
      <w:r w:rsidR="00AC2C4F">
        <w:rPr>
          <w:rFonts w:asciiTheme="majorHAnsi" w:hAnsiTheme="majorHAnsi" w:cstheme="majorHAnsi"/>
          <w:bCs/>
          <w:sz w:val="24"/>
          <w:szCs w:val="24"/>
          <w:lang w:val="ro-MD"/>
        </w:rPr>
        <w:t>,</w:t>
      </w:r>
      <w:r w:rsidR="000C1E22" w:rsidRPr="00FE133E">
        <w:rPr>
          <w:rFonts w:asciiTheme="majorHAnsi" w:hAnsiTheme="majorHAnsi" w:cstheme="majorHAnsi"/>
          <w:bCs/>
          <w:sz w:val="24"/>
          <w:szCs w:val="24"/>
          <w:lang w:val="ro-MD"/>
        </w:rPr>
        <w:t xml:space="preserve"> direcțiilor de ramură din cadrul ministerului</w:t>
      </w:r>
      <w:r w:rsidR="00F82087" w:rsidRPr="00FE133E">
        <w:rPr>
          <w:rFonts w:asciiTheme="majorHAnsi" w:hAnsiTheme="majorHAnsi" w:cstheme="majorHAnsi"/>
          <w:bCs/>
          <w:sz w:val="24"/>
          <w:szCs w:val="24"/>
          <w:lang w:val="ro-MD"/>
        </w:rPr>
        <w:t xml:space="preserve">. Având în vedere </w:t>
      </w:r>
      <w:r w:rsidR="00F82087" w:rsidRPr="00FE133E">
        <w:rPr>
          <w:rFonts w:asciiTheme="majorHAnsi" w:hAnsiTheme="majorHAnsi" w:cstheme="majorHAnsi"/>
          <w:color w:val="000000" w:themeColor="text1"/>
          <w:sz w:val="24"/>
          <w:szCs w:val="24"/>
          <w:lang w:val="ro-MD"/>
        </w:rPr>
        <w:t xml:space="preserve">necesitatea consultării și analizării mai complexe de către direcțiile de ramură a situațiilor de creare și </w:t>
      </w:r>
      <w:r w:rsidR="00AC2C4F">
        <w:rPr>
          <w:rFonts w:asciiTheme="majorHAnsi" w:hAnsiTheme="majorHAnsi" w:cstheme="majorHAnsi"/>
          <w:color w:val="000000" w:themeColor="text1"/>
          <w:sz w:val="24"/>
          <w:szCs w:val="24"/>
          <w:lang w:val="ro-MD"/>
        </w:rPr>
        <w:t xml:space="preserve">de </w:t>
      </w:r>
      <w:r w:rsidR="00F82087" w:rsidRPr="00FE133E">
        <w:rPr>
          <w:rFonts w:asciiTheme="majorHAnsi" w:hAnsiTheme="majorHAnsi" w:cstheme="majorHAnsi"/>
          <w:color w:val="000000" w:themeColor="text1"/>
          <w:sz w:val="24"/>
          <w:szCs w:val="24"/>
          <w:lang w:val="ro-MD"/>
        </w:rPr>
        <w:t>utilizare a rezervei de lichiditate, varianta definitivată a proiectului respectiv va fi expediată Guvernului</w:t>
      </w:r>
      <w:r w:rsidR="00AC2C4F">
        <w:rPr>
          <w:rFonts w:asciiTheme="majorHAnsi" w:hAnsiTheme="majorHAnsi" w:cstheme="majorHAnsi"/>
          <w:color w:val="000000" w:themeColor="text1"/>
          <w:sz w:val="24"/>
          <w:szCs w:val="24"/>
          <w:lang w:val="ro-MD"/>
        </w:rPr>
        <w:t>,</w:t>
      </w:r>
      <w:r w:rsidR="00F82087" w:rsidRPr="00FE133E">
        <w:rPr>
          <w:rFonts w:asciiTheme="majorHAnsi" w:hAnsiTheme="majorHAnsi" w:cstheme="majorHAnsi"/>
          <w:color w:val="000000" w:themeColor="text1"/>
          <w:sz w:val="24"/>
          <w:szCs w:val="24"/>
          <w:lang w:val="ro-MD"/>
        </w:rPr>
        <w:t xml:space="preserve"> spre examinare</w:t>
      </w:r>
      <w:r w:rsidR="00AC2C4F">
        <w:rPr>
          <w:rFonts w:asciiTheme="majorHAnsi" w:hAnsiTheme="majorHAnsi" w:cstheme="majorHAnsi"/>
          <w:color w:val="000000" w:themeColor="text1"/>
          <w:sz w:val="24"/>
          <w:szCs w:val="24"/>
          <w:lang w:val="ro-MD"/>
        </w:rPr>
        <w:t>,</w:t>
      </w:r>
      <w:r w:rsidR="00F82087" w:rsidRPr="00FE133E">
        <w:rPr>
          <w:rFonts w:asciiTheme="majorHAnsi" w:hAnsiTheme="majorHAnsi" w:cstheme="majorHAnsi"/>
          <w:color w:val="000000" w:themeColor="text1"/>
          <w:sz w:val="24"/>
          <w:szCs w:val="24"/>
          <w:lang w:val="ro-MD"/>
        </w:rPr>
        <w:t xml:space="preserve"> în semestrul I a</w:t>
      </w:r>
      <w:r w:rsidR="00AC2C4F">
        <w:rPr>
          <w:rFonts w:asciiTheme="majorHAnsi" w:hAnsiTheme="majorHAnsi" w:cstheme="majorHAnsi"/>
          <w:color w:val="000000" w:themeColor="text1"/>
          <w:sz w:val="24"/>
          <w:szCs w:val="24"/>
          <w:lang w:val="ro-MD"/>
        </w:rPr>
        <w:t xml:space="preserve">l </w:t>
      </w:r>
      <w:r w:rsidR="00F82087" w:rsidRPr="00FE133E">
        <w:rPr>
          <w:rFonts w:asciiTheme="majorHAnsi" w:hAnsiTheme="majorHAnsi" w:cstheme="majorHAnsi"/>
          <w:color w:val="000000" w:themeColor="text1"/>
          <w:sz w:val="24"/>
          <w:szCs w:val="24"/>
          <w:lang w:val="ro-MD"/>
        </w:rPr>
        <w:t xml:space="preserve"> anului 2019.</w:t>
      </w:r>
    </w:p>
    <w:p w14:paraId="11AE6477" w14:textId="77777777" w:rsidR="006E4771" w:rsidRPr="002047F4" w:rsidRDefault="006E4771" w:rsidP="00A847BC">
      <w:pPr>
        <w:spacing w:after="0" w:line="276" w:lineRule="auto"/>
        <w:jc w:val="both"/>
        <w:rPr>
          <w:rFonts w:asciiTheme="majorHAnsi" w:hAnsiTheme="majorHAnsi" w:cstheme="majorHAnsi"/>
          <w:sz w:val="24"/>
          <w:szCs w:val="24"/>
          <w:highlight w:val="yellow"/>
          <w:lang w:val="ro-RO"/>
        </w:rPr>
      </w:pPr>
    </w:p>
    <w:p w14:paraId="6A50F07C" w14:textId="50F957BA" w:rsidR="006E4771" w:rsidRPr="002047F4" w:rsidRDefault="006E4771" w:rsidP="00455178">
      <w:pPr>
        <w:pStyle w:val="2"/>
        <w:numPr>
          <w:ilvl w:val="2"/>
          <w:numId w:val="47"/>
        </w:numPr>
        <w:tabs>
          <w:tab w:val="left" w:pos="1418"/>
        </w:tabs>
        <w:ind w:hanging="11"/>
        <w:jc w:val="both"/>
        <w:rPr>
          <w:rFonts w:asciiTheme="majorHAnsi" w:hAnsiTheme="majorHAnsi" w:cstheme="majorHAnsi"/>
          <w:b/>
          <w:color w:val="auto"/>
          <w:sz w:val="24"/>
          <w:szCs w:val="24"/>
          <w:lang w:val="ro-RO"/>
        </w:rPr>
      </w:pPr>
      <w:bookmarkStart w:id="31" w:name="_Toc484003900"/>
      <w:bookmarkStart w:id="32" w:name="_Toc515442967"/>
      <w:bookmarkStart w:id="33" w:name="_Toc10106686"/>
      <w:r w:rsidRPr="002047F4">
        <w:rPr>
          <w:rFonts w:asciiTheme="majorHAnsi" w:hAnsiTheme="majorHAnsi" w:cstheme="majorHAnsi"/>
          <w:b/>
          <w:color w:val="auto"/>
          <w:sz w:val="24"/>
          <w:szCs w:val="24"/>
          <w:lang w:val="ro-RO"/>
        </w:rPr>
        <w:t>Ratel</w:t>
      </w:r>
      <w:r w:rsidR="00376854" w:rsidRPr="002047F4">
        <w:rPr>
          <w:rFonts w:asciiTheme="majorHAnsi" w:hAnsiTheme="majorHAnsi" w:cstheme="majorHAnsi"/>
          <w:b/>
          <w:color w:val="auto"/>
          <w:sz w:val="24"/>
          <w:szCs w:val="24"/>
          <w:lang w:val="ro-RO"/>
        </w:rPr>
        <w:t>e dobânzilor la VMS în anul 2018</w:t>
      </w:r>
      <w:r w:rsidRPr="002047F4">
        <w:rPr>
          <w:rFonts w:asciiTheme="majorHAnsi" w:hAnsiTheme="majorHAnsi" w:cstheme="majorHAnsi"/>
          <w:b/>
          <w:color w:val="auto"/>
          <w:sz w:val="24"/>
          <w:szCs w:val="24"/>
          <w:lang w:val="ro-RO"/>
        </w:rPr>
        <w:t xml:space="preserve"> </w:t>
      </w:r>
      <w:bookmarkEnd w:id="31"/>
      <w:r w:rsidR="00795499" w:rsidRPr="002047F4">
        <w:rPr>
          <w:rFonts w:asciiTheme="majorHAnsi" w:hAnsiTheme="majorHAnsi" w:cstheme="majorHAnsi"/>
          <w:b/>
          <w:color w:val="auto"/>
          <w:sz w:val="24"/>
          <w:szCs w:val="24"/>
          <w:lang w:val="ro-RO"/>
        </w:rPr>
        <w:t xml:space="preserve">au fost </w:t>
      </w:r>
      <w:bookmarkEnd w:id="32"/>
      <w:r w:rsidR="00C2547B" w:rsidRPr="002047F4">
        <w:rPr>
          <w:rFonts w:asciiTheme="majorHAnsi" w:hAnsiTheme="majorHAnsi" w:cstheme="majorHAnsi"/>
          <w:b/>
          <w:color w:val="auto"/>
          <w:sz w:val="24"/>
          <w:szCs w:val="24"/>
          <w:lang w:val="ro-RO"/>
        </w:rPr>
        <w:t>mai mici față de anii 2016-2017</w:t>
      </w:r>
      <w:r w:rsidR="00B56AD2">
        <w:rPr>
          <w:rFonts w:asciiTheme="majorHAnsi" w:hAnsiTheme="majorHAnsi" w:cstheme="majorHAnsi"/>
          <w:b/>
          <w:color w:val="auto"/>
          <w:sz w:val="24"/>
          <w:szCs w:val="24"/>
          <w:lang w:val="ro-RO"/>
        </w:rPr>
        <w:t>.</w:t>
      </w:r>
      <w:bookmarkEnd w:id="33"/>
    </w:p>
    <w:p w14:paraId="6EEBAB1F" w14:textId="7FB50299" w:rsidR="009D6AEB" w:rsidRDefault="006E4771" w:rsidP="004570EB">
      <w:pPr>
        <w:spacing w:before="240" w:after="0" w:line="276" w:lineRule="auto"/>
        <w:ind w:firstLine="720"/>
        <w:jc w:val="both"/>
        <w:rPr>
          <w:rFonts w:asciiTheme="majorHAnsi" w:hAnsiTheme="majorHAnsi" w:cstheme="majorHAnsi"/>
          <w:i/>
          <w:sz w:val="24"/>
          <w:szCs w:val="24"/>
          <w:lang w:val="ro-RO"/>
        </w:rPr>
      </w:pPr>
      <w:r w:rsidRPr="002047F4">
        <w:rPr>
          <w:rFonts w:asciiTheme="majorHAnsi" w:hAnsiTheme="majorHAnsi" w:cstheme="majorHAnsi"/>
          <w:bCs/>
          <w:sz w:val="24"/>
          <w:szCs w:val="24"/>
          <w:lang w:val="ro-RO"/>
        </w:rPr>
        <w:t xml:space="preserve">Auditul </w:t>
      </w:r>
      <w:r w:rsidR="00C2547B" w:rsidRPr="002047F4">
        <w:rPr>
          <w:rFonts w:asciiTheme="majorHAnsi" w:hAnsiTheme="majorHAnsi" w:cstheme="majorHAnsi"/>
          <w:bCs/>
          <w:sz w:val="24"/>
          <w:szCs w:val="24"/>
          <w:lang w:val="ro-RO"/>
        </w:rPr>
        <w:t>relevă că în anul 2018</w:t>
      </w:r>
      <w:r w:rsidRPr="002047F4">
        <w:rPr>
          <w:rFonts w:asciiTheme="majorHAnsi" w:hAnsiTheme="majorHAnsi" w:cstheme="majorHAnsi"/>
          <w:bCs/>
          <w:sz w:val="24"/>
          <w:szCs w:val="24"/>
          <w:lang w:val="ro-RO"/>
        </w:rPr>
        <w:t xml:space="preserve"> </w:t>
      </w:r>
      <w:r w:rsidRPr="0070665E">
        <w:rPr>
          <w:rFonts w:asciiTheme="majorHAnsi" w:hAnsiTheme="majorHAnsi" w:cstheme="majorHAnsi"/>
          <w:bCs/>
          <w:sz w:val="24"/>
          <w:szCs w:val="24"/>
          <w:lang w:val="ro-RO"/>
        </w:rPr>
        <w:t>rata nominală medie anuală ponderată a dobânzilor la VMS</w:t>
      </w:r>
      <w:r w:rsidR="00C2547B" w:rsidRPr="002047F4">
        <w:rPr>
          <w:rFonts w:asciiTheme="majorHAnsi" w:hAnsiTheme="majorHAnsi" w:cstheme="majorHAnsi"/>
          <w:bCs/>
          <w:sz w:val="24"/>
          <w:szCs w:val="24"/>
          <w:lang w:val="ro-RO"/>
        </w:rPr>
        <w:t xml:space="preserve"> a variat între 4,61% (iulie) și 5,98</w:t>
      </w:r>
      <w:r w:rsidRPr="002047F4">
        <w:rPr>
          <w:rFonts w:asciiTheme="majorHAnsi" w:hAnsiTheme="majorHAnsi" w:cstheme="majorHAnsi"/>
          <w:bCs/>
          <w:sz w:val="24"/>
          <w:szCs w:val="24"/>
          <w:lang w:val="ro-RO"/>
        </w:rPr>
        <w:t>%</w:t>
      </w:r>
      <w:r w:rsidR="00C2547B" w:rsidRPr="002047F4">
        <w:rPr>
          <w:rFonts w:asciiTheme="majorHAnsi" w:hAnsiTheme="majorHAnsi" w:cstheme="majorHAnsi"/>
          <w:bCs/>
          <w:sz w:val="24"/>
          <w:szCs w:val="24"/>
          <w:lang w:val="ro-RO"/>
        </w:rPr>
        <w:t xml:space="preserve"> (decembrie)</w:t>
      </w:r>
      <w:r w:rsidRPr="002047F4">
        <w:rPr>
          <w:rFonts w:asciiTheme="majorHAnsi" w:hAnsiTheme="majorHAnsi" w:cstheme="majorHAnsi"/>
          <w:bCs/>
          <w:sz w:val="24"/>
          <w:szCs w:val="24"/>
          <w:lang w:val="ro-RO"/>
        </w:rPr>
        <w:t xml:space="preserve">. Ca rezultat, rata nominală medie ponderată </w:t>
      </w:r>
      <w:r w:rsidR="00E171DA" w:rsidRPr="002047F4">
        <w:rPr>
          <w:rFonts w:asciiTheme="majorHAnsi" w:hAnsiTheme="majorHAnsi" w:cstheme="majorHAnsi"/>
          <w:bCs/>
          <w:sz w:val="24"/>
          <w:szCs w:val="24"/>
          <w:lang w:val="ro-RO"/>
        </w:rPr>
        <w:t xml:space="preserve">a dobânzii </w:t>
      </w:r>
      <w:r w:rsidRPr="002047F4">
        <w:rPr>
          <w:rFonts w:asciiTheme="majorHAnsi" w:hAnsiTheme="majorHAnsi" w:cstheme="majorHAnsi"/>
          <w:bCs/>
          <w:sz w:val="24"/>
          <w:szCs w:val="24"/>
          <w:lang w:val="ro-RO"/>
        </w:rPr>
        <w:t xml:space="preserve">la VMS comercializate </w:t>
      </w:r>
      <w:r w:rsidR="00615783" w:rsidRPr="002047F4">
        <w:rPr>
          <w:rFonts w:asciiTheme="majorHAnsi" w:hAnsiTheme="majorHAnsi" w:cstheme="majorHAnsi"/>
          <w:bCs/>
          <w:sz w:val="24"/>
          <w:szCs w:val="24"/>
          <w:lang w:val="ro-RO"/>
        </w:rPr>
        <w:t>a constituit 4,99</w:t>
      </w:r>
      <w:r w:rsidR="00A518D7" w:rsidRPr="002047F4">
        <w:rPr>
          <w:rFonts w:asciiTheme="majorHAnsi" w:hAnsiTheme="majorHAnsi" w:cstheme="majorHAnsi"/>
          <w:bCs/>
          <w:sz w:val="24"/>
          <w:szCs w:val="24"/>
          <w:lang w:val="ro-RO"/>
        </w:rPr>
        <w:t>%, fiind cu 1,77</w:t>
      </w:r>
      <w:r w:rsidRPr="002047F4">
        <w:rPr>
          <w:rFonts w:asciiTheme="majorHAnsi" w:hAnsiTheme="majorHAnsi" w:cstheme="majorHAnsi"/>
          <w:bCs/>
          <w:sz w:val="24"/>
          <w:szCs w:val="24"/>
          <w:lang w:val="ro-RO"/>
        </w:rPr>
        <w:t xml:space="preserve"> </w:t>
      </w:r>
      <w:proofErr w:type="spellStart"/>
      <w:r w:rsidRPr="002047F4">
        <w:rPr>
          <w:rFonts w:asciiTheme="majorHAnsi" w:hAnsiTheme="majorHAnsi" w:cstheme="majorHAnsi"/>
          <w:bCs/>
          <w:sz w:val="24"/>
          <w:szCs w:val="24"/>
          <w:lang w:val="ro-RO"/>
        </w:rPr>
        <w:t>p.p.</w:t>
      </w:r>
      <w:proofErr w:type="spellEnd"/>
      <w:r w:rsidRPr="002047F4">
        <w:rPr>
          <w:rFonts w:asciiTheme="majorHAnsi" w:hAnsiTheme="majorHAnsi" w:cstheme="majorHAnsi"/>
          <w:bCs/>
          <w:sz w:val="24"/>
          <w:szCs w:val="24"/>
          <w:lang w:val="ro-RO"/>
        </w:rPr>
        <w:t xml:space="preserve"> mai mică dec</w:t>
      </w:r>
      <w:r w:rsidR="00E171DA" w:rsidRPr="002047F4">
        <w:rPr>
          <w:rFonts w:asciiTheme="majorHAnsi" w:hAnsiTheme="majorHAnsi" w:cstheme="majorHAnsi"/>
          <w:bCs/>
          <w:sz w:val="24"/>
          <w:szCs w:val="24"/>
          <w:lang w:val="ro-RO"/>
        </w:rPr>
        <w:t xml:space="preserve">ât </w:t>
      </w:r>
      <w:r w:rsidR="008941EE" w:rsidRPr="002047F4">
        <w:rPr>
          <w:rFonts w:asciiTheme="majorHAnsi" w:hAnsiTheme="majorHAnsi" w:cstheme="majorHAnsi"/>
          <w:bCs/>
          <w:sz w:val="24"/>
          <w:szCs w:val="24"/>
          <w:lang w:val="ro-RO"/>
        </w:rPr>
        <w:t xml:space="preserve">în </w:t>
      </w:r>
      <w:r w:rsidR="00A518D7" w:rsidRPr="002047F4">
        <w:rPr>
          <w:rFonts w:asciiTheme="majorHAnsi" w:hAnsiTheme="majorHAnsi" w:cstheme="majorHAnsi"/>
          <w:bCs/>
          <w:sz w:val="24"/>
          <w:szCs w:val="24"/>
          <w:lang w:val="ro-RO"/>
        </w:rPr>
        <w:t>anul 2017</w:t>
      </w:r>
      <w:r w:rsidR="00E171DA" w:rsidRPr="002047F4">
        <w:rPr>
          <w:rFonts w:asciiTheme="majorHAnsi" w:hAnsiTheme="majorHAnsi" w:cstheme="majorHAnsi"/>
          <w:bCs/>
          <w:sz w:val="24"/>
          <w:szCs w:val="24"/>
          <w:lang w:val="ro-RO"/>
        </w:rPr>
        <w:t xml:space="preserve"> și </w:t>
      </w:r>
      <w:r w:rsidR="000E5349">
        <w:rPr>
          <w:rFonts w:asciiTheme="majorHAnsi" w:hAnsiTheme="majorHAnsi" w:cstheme="majorHAnsi"/>
          <w:bCs/>
          <w:sz w:val="24"/>
          <w:szCs w:val="24"/>
          <w:lang w:val="ro-RO"/>
        </w:rPr>
        <w:t>cu</w:t>
      </w:r>
      <w:r w:rsidR="00E171DA" w:rsidRPr="000E5349">
        <w:rPr>
          <w:rFonts w:asciiTheme="majorHAnsi" w:hAnsiTheme="majorHAnsi" w:cstheme="majorHAnsi"/>
          <w:bCs/>
          <w:sz w:val="24"/>
          <w:szCs w:val="24"/>
          <w:lang w:val="ro-RO"/>
        </w:rPr>
        <w:t xml:space="preserve"> </w:t>
      </w:r>
      <w:r w:rsidR="000E5349" w:rsidRPr="000E5349">
        <w:rPr>
          <w:rFonts w:asciiTheme="majorHAnsi" w:hAnsiTheme="majorHAnsi" w:cstheme="majorHAnsi"/>
          <w:bCs/>
          <w:sz w:val="24"/>
          <w:szCs w:val="24"/>
          <w:lang w:val="ro-RO"/>
        </w:rPr>
        <w:t xml:space="preserve">10,77 </w:t>
      </w:r>
      <w:proofErr w:type="spellStart"/>
      <w:r w:rsidR="00E171DA" w:rsidRPr="000E5349">
        <w:rPr>
          <w:rFonts w:asciiTheme="majorHAnsi" w:hAnsiTheme="majorHAnsi" w:cstheme="majorHAnsi"/>
          <w:bCs/>
          <w:sz w:val="24"/>
          <w:szCs w:val="24"/>
          <w:lang w:val="ro-RO"/>
        </w:rPr>
        <w:t>p.p.</w:t>
      </w:r>
      <w:proofErr w:type="spellEnd"/>
      <w:r w:rsidR="00E171DA" w:rsidRPr="000E5349">
        <w:rPr>
          <w:rFonts w:asciiTheme="majorHAnsi" w:hAnsiTheme="majorHAnsi" w:cstheme="majorHAnsi"/>
          <w:bCs/>
          <w:sz w:val="24"/>
          <w:szCs w:val="24"/>
          <w:lang w:val="ro-RO"/>
        </w:rPr>
        <w:t xml:space="preserve"> </w:t>
      </w:r>
      <w:r w:rsidR="008941EE" w:rsidRPr="000E5349">
        <w:rPr>
          <w:rFonts w:asciiTheme="majorHAnsi" w:hAnsiTheme="majorHAnsi" w:cstheme="majorHAnsi"/>
          <w:bCs/>
          <w:sz w:val="24"/>
          <w:szCs w:val="24"/>
          <w:lang w:val="ro-RO"/>
        </w:rPr>
        <w:t xml:space="preserve">- </w:t>
      </w:r>
      <w:r w:rsidR="00E171DA" w:rsidRPr="000E5349">
        <w:rPr>
          <w:rFonts w:asciiTheme="majorHAnsi" w:hAnsiTheme="majorHAnsi" w:cstheme="majorHAnsi"/>
          <w:bCs/>
          <w:sz w:val="24"/>
          <w:szCs w:val="24"/>
          <w:lang w:val="ro-RO"/>
        </w:rPr>
        <w:t xml:space="preserve">decât </w:t>
      </w:r>
      <w:r w:rsidR="008941EE" w:rsidRPr="000E5349">
        <w:rPr>
          <w:rFonts w:asciiTheme="majorHAnsi" w:hAnsiTheme="majorHAnsi" w:cstheme="majorHAnsi"/>
          <w:bCs/>
          <w:sz w:val="24"/>
          <w:szCs w:val="24"/>
          <w:lang w:val="ro-RO"/>
        </w:rPr>
        <w:t xml:space="preserve">în anul </w:t>
      </w:r>
      <w:r w:rsidR="0070665E" w:rsidRPr="000E5349">
        <w:rPr>
          <w:rFonts w:asciiTheme="majorHAnsi" w:hAnsiTheme="majorHAnsi" w:cstheme="majorHAnsi"/>
          <w:bCs/>
          <w:sz w:val="24"/>
          <w:szCs w:val="24"/>
          <w:lang w:val="ro-RO"/>
        </w:rPr>
        <w:t>2016</w:t>
      </w:r>
      <w:r w:rsidRPr="000E5349">
        <w:rPr>
          <w:rFonts w:asciiTheme="majorHAnsi" w:hAnsiTheme="majorHAnsi" w:cstheme="majorHAnsi"/>
          <w:bCs/>
          <w:sz w:val="24"/>
          <w:szCs w:val="24"/>
          <w:lang w:val="ro-RO"/>
        </w:rPr>
        <w:t xml:space="preserve">. </w:t>
      </w:r>
      <w:r w:rsidRPr="002047F4">
        <w:rPr>
          <w:rFonts w:asciiTheme="majorHAnsi" w:hAnsiTheme="majorHAnsi" w:cstheme="majorHAnsi"/>
          <w:i/>
          <w:sz w:val="24"/>
          <w:szCs w:val="24"/>
          <w:lang w:val="ro-RO"/>
        </w:rPr>
        <w:t>Situația comparabilă cu anii 201</w:t>
      </w:r>
      <w:r w:rsidR="003001F6" w:rsidRPr="002047F4">
        <w:rPr>
          <w:rFonts w:asciiTheme="majorHAnsi" w:hAnsiTheme="majorHAnsi" w:cstheme="majorHAnsi"/>
          <w:i/>
          <w:sz w:val="24"/>
          <w:szCs w:val="24"/>
          <w:lang w:val="ro-RO"/>
        </w:rPr>
        <w:t>6 și 2017</w:t>
      </w:r>
      <w:r w:rsidRPr="002047F4">
        <w:rPr>
          <w:rFonts w:asciiTheme="majorHAnsi" w:hAnsiTheme="majorHAnsi" w:cstheme="majorHAnsi"/>
          <w:i/>
          <w:sz w:val="24"/>
          <w:szCs w:val="24"/>
          <w:lang w:val="ro-RO"/>
        </w:rPr>
        <w:t xml:space="preserve"> </w:t>
      </w:r>
      <w:r w:rsidR="008941EE" w:rsidRPr="002047F4">
        <w:rPr>
          <w:rFonts w:asciiTheme="majorHAnsi" w:hAnsiTheme="majorHAnsi" w:cstheme="majorHAnsi"/>
          <w:i/>
          <w:sz w:val="24"/>
          <w:szCs w:val="24"/>
          <w:lang w:val="ro-RO"/>
        </w:rPr>
        <w:t>este</w:t>
      </w:r>
      <w:r w:rsidRPr="002047F4">
        <w:rPr>
          <w:rFonts w:asciiTheme="majorHAnsi" w:hAnsiTheme="majorHAnsi" w:cstheme="majorHAnsi"/>
          <w:i/>
          <w:sz w:val="24"/>
          <w:szCs w:val="24"/>
          <w:lang w:val="ro-RO"/>
        </w:rPr>
        <w:t xml:space="preserve"> prez</w:t>
      </w:r>
      <w:r w:rsidR="008941EE" w:rsidRPr="002047F4">
        <w:rPr>
          <w:rFonts w:asciiTheme="majorHAnsi" w:hAnsiTheme="majorHAnsi" w:cstheme="majorHAnsi"/>
          <w:i/>
          <w:sz w:val="24"/>
          <w:szCs w:val="24"/>
          <w:lang w:val="ro-RO"/>
        </w:rPr>
        <w:t>enta</w:t>
      </w:r>
      <w:r w:rsidRPr="002047F4">
        <w:rPr>
          <w:rFonts w:asciiTheme="majorHAnsi" w:hAnsiTheme="majorHAnsi" w:cstheme="majorHAnsi"/>
          <w:i/>
          <w:sz w:val="24"/>
          <w:szCs w:val="24"/>
          <w:lang w:val="ro-RO"/>
        </w:rPr>
        <w:t>tă în Diagrama</w:t>
      </w:r>
      <w:r w:rsidR="00DA494A" w:rsidRPr="002047F4">
        <w:rPr>
          <w:rFonts w:asciiTheme="majorHAnsi" w:hAnsiTheme="majorHAnsi" w:cstheme="majorHAnsi"/>
          <w:i/>
          <w:sz w:val="24"/>
          <w:szCs w:val="24"/>
          <w:lang w:val="ro-RO"/>
        </w:rPr>
        <w:t xml:space="preserve"> nr.5</w:t>
      </w:r>
      <w:r w:rsidR="004570EB">
        <w:rPr>
          <w:rFonts w:asciiTheme="majorHAnsi" w:hAnsiTheme="majorHAnsi" w:cstheme="majorHAnsi"/>
          <w:i/>
          <w:sz w:val="24"/>
          <w:szCs w:val="24"/>
          <w:lang w:val="ro-RO"/>
        </w:rPr>
        <w:t>.</w:t>
      </w:r>
    </w:p>
    <w:p w14:paraId="5E3197C0" w14:textId="38442A81" w:rsidR="004570EB" w:rsidRDefault="004570EB" w:rsidP="004570EB">
      <w:pPr>
        <w:spacing w:before="240" w:after="0" w:line="276" w:lineRule="auto"/>
        <w:ind w:firstLine="720"/>
        <w:jc w:val="both"/>
        <w:rPr>
          <w:rFonts w:asciiTheme="majorHAnsi" w:hAnsiTheme="majorHAnsi" w:cstheme="majorHAnsi"/>
          <w:i/>
          <w:sz w:val="24"/>
          <w:szCs w:val="24"/>
          <w:lang w:val="ro-RO"/>
        </w:rPr>
      </w:pPr>
    </w:p>
    <w:p w14:paraId="2A1F7619" w14:textId="3AFB0487" w:rsidR="004570EB" w:rsidRDefault="004570EB" w:rsidP="004570EB">
      <w:pPr>
        <w:spacing w:before="240" w:after="0" w:line="276" w:lineRule="auto"/>
        <w:ind w:firstLine="720"/>
        <w:jc w:val="both"/>
        <w:rPr>
          <w:rFonts w:asciiTheme="majorHAnsi" w:hAnsiTheme="majorHAnsi" w:cstheme="majorHAnsi"/>
          <w:i/>
          <w:sz w:val="24"/>
          <w:szCs w:val="24"/>
          <w:lang w:val="ro-RO"/>
        </w:rPr>
      </w:pPr>
    </w:p>
    <w:p w14:paraId="4AE97759" w14:textId="1DA5CD2E" w:rsidR="004570EB" w:rsidRDefault="004570EB" w:rsidP="004570EB">
      <w:pPr>
        <w:spacing w:before="240" w:after="0" w:line="276" w:lineRule="auto"/>
        <w:ind w:firstLine="720"/>
        <w:jc w:val="both"/>
        <w:rPr>
          <w:rFonts w:asciiTheme="majorHAnsi" w:hAnsiTheme="majorHAnsi" w:cstheme="majorHAnsi"/>
          <w:i/>
          <w:sz w:val="24"/>
          <w:szCs w:val="24"/>
          <w:lang w:val="ro-RO"/>
        </w:rPr>
      </w:pPr>
    </w:p>
    <w:p w14:paraId="7CBD2AA9" w14:textId="7538A593" w:rsidR="004570EB" w:rsidRDefault="004570EB" w:rsidP="004570EB">
      <w:pPr>
        <w:spacing w:before="240" w:after="0" w:line="276" w:lineRule="auto"/>
        <w:ind w:firstLine="720"/>
        <w:jc w:val="both"/>
        <w:rPr>
          <w:rFonts w:asciiTheme="majorHAnsi" w:hAnsiTheme="majorHAnsi" w:cstheme="majorHAnsi"/>
          <w:i/>
          <w:sz w:val="24"/>
          <w:szCs w:val="24"/>
          <w:lang w:val="ro-RO"/>
        </w:rPr>
      </w:pPr>
    </w:p>
    <w:p w14:paraId="5778F385" w14:textId="1653265B" w:rsidR="004570EB" w:rsidRDefault="004570EB" w:rsidP="004570EB">
      <w:pPr>
        <w:spacing w:before="240" w:after="0" w:line="276" w:lineRule="auto"/>
        <w:ind w:firstLine="720"/>
        <w:jc w:val="both"/>
        <w:rPr>
          <w:rFonts w:asciiTheme="majorHAnsi" w:hAnsiTheme="majorHAnsi" w:cstheme="majorHAnsi"/>
          <w:i/>
          <w:sz w:val="24"/>
          <w:szCs w:val="24"/>
          <w:lang w:val="ro-RO"/>
        </w:rPr>
      </w:pPr>
    </w:p>
    <w:p w14:paraId="0EF322D0" w14:textId="77777777" w:rsidR="004570EB" w:rsidRPr="004570EB" w:rsidRDefault="004570EB" w:rsidP="004570EB">
      <w:pPr>
        <w:spacing w:before="240" w:after="0" w:line="276" w:lineRule="auto"/>
        <w:ind w:firstLine="720"/>
        <w:jc w:val="both"/>
        <w:rPr>
          <w:rFonts w:asciiTheme="majorHAnsi" w:hAnsiTheme="majorHAnsi" w:cstheme="majorHAnsi"/>
          <w:i/>
          <w:sz w:val="24"/>
          <w:szCs w:val="24"/>
          <w:highlight w:val="yellow"/>
          <w:lang w:val="ro-RO"/>
        </w:rPr>
      </w:pPr>
    </w:p>
    <w:p w14:paraId="6210A8AA" w14:textId="77777777" w:rsidR="006E4771" w:rsidRPr="002047F4" w:rsidRDefault="009D6AEB" w:rsidP="006E4771">
      <w:pPr>
        <w:spacing w:after="0"/>
        <w:jc w:val="right"/>
        <w:rPr>
          <w:rFonts w:asciiTheme="majorHAnsi" w:hAnsiTheme="majorHAnsi" w:cstheme="majorHAnsi"/>
          <w:b/>
          <w:sz w:val="24"/>
          <w:szCs w:val="24"/>
          <w:lang w:val="ro-RO"/>
        </w:rPr>
      </w:pPr>
      <w:r w:rsidRPr="002047F4">
        <w:rPr>
          <w:rFonts w:asciiTheme="majorHAnsi" w:hAnsiTheme="majorHAnsi" w:cstheme="majorHAnsi"/>
          <w:b/>
          <w:sz w:val="24"/>
          <w:szCs w:val="24"/>
          <w:lang w:val="ro-RO"/>
        </w:rPr>
        <w:t>D</w:t>
      </w:r>
      <w:r w:rsidR="006E4771" w:rsidRPr="002047F4">
        <w:rPr>
          <w:rFonts w:asciiTheme="majorHAnsi" w:hAnsiTheme="majorHAnsi" w:cstheme="majorHAnsi"/>
          <w:b/>
          <w:sz w:val="24"/>
          <w:szCs w:val="24"/>
          <w:lang w:val="ro-RO"/>
        </w:rPr>
        <w:t>iagrama</w:t>
      </w:r>
      <w:r w:rsidR="00DA494A" w:rsidRPr="002047F4">
        <w:rPr>
          <w:rFonts w:asciiTheme="majorHAnsi" w:hAnsiTheme="majorHAnsi" w:cstheme="majorHAnsi"/>
          <w:b/>
          <w:sz w:val="24"/>
          <w:szCs w:val="24"/>
          <w:lang w:val="ro-RO"/>
        </w:rPr>
        <w:t xml:space="preserve"> nr.5</w:t>
      </w:r>
    </w:p>
    <w:p w14:paraId="34236AE2" w14:textId="3ED8B3AD" w:rsidR="006E4771" w:rsidRPr="006C4059" w:rsidRDefault="006E4771" w:rsidP="006E4771">
      <w:pPr>
        <w:rPr>
          <w:rFonts w:asciiTheme="majorHAnsi" w:hAnsiTheme="majorHAnsi" w:cstheme="majorHAnsi"/>
          <w:sz w:val="28"/>
          <w:szCs w:val="28"/>
          <w:lang w:val="ro-RO"/>
        </w:rPr>
      </w:pPr>
      <w:r w:rsidRPr="006C4059">
        <w:rPr>
          <w:rFonts w:asciiTheme="majorHAnsi" w:hAnsiTheme="majorHAnsi" w:cstheme="majorHAnsi"/>
          <w:noProof/>
          <w:color w:val="7030A0"/>
          <w:sz w:val="28"/>
          <w:szCs w:val="28"/>
          <w:lang w:val="ru-RU" w:eastAsia="ru-RU"/>
        </w:rPr>
        <w:drawing>
          <wp:inline distT="0" distB="0" distL="0" distR="0" wp14:anchorId="3D01E8FF" wp14:editId="0D545EA0">
            <wp:extent cx="6013450" cy="2686050"/>
            <wp:effectExtent l="0" t="0" r="635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6C4059">
        <w:rPr>
          <w:rFonts w:asciiTheme="majorHAnsi" w:hAnsiTheme="majorHAnsi" w:cstheme="majorHAnsi"/>
          <w:b/>
          <w:i/>
          <w:sz w:val="20"/>
          <w:szCs w:val="20"/>
          <w:lang w:val="ro-RO"/>
        </w:rPr>
        <w:t>Sursă:</w:t>
      </w:r>
      <w:r w:rsidRPr="006C4059">
        <w:rPr>
          <w:rFonts w:asciiTheme="majorHAnsi" w:hAnsiTheme="majorHAnsi" w:cstheme="majorHAnsi"/>
          <w:sz w:val="20"/>
          <w:szCs w:val="20"/>
          <w:lang w:val="ro-RO"/>
        </w:rPr>
        <w:t xml:space="preserve"> </w:t>
      </w:r>
      <w:r w:rsidR="00DF1D0C">
        <w:rPr>
          <w:rFonts w:asciiTheme="majorHAnsi" w:hAnsiTheme="majorHAnsi" w:cstheme="majorHAnsi"/>
          <w:sz w:val="20"/>
          <w:szCs w:val="20"/>
          <w:lang w:val="ro-RO"/>
        </w:rPr>
        <w:t>I</w:t>
      </w:r>
      <w:r w:rsidR="00E532AD" w:rsidRPr="006C4059">
        <w:rPr>
          <w:rFonts w:asciiTheme="majorHAnsi" w:hAnsiTheme="majorHAnsi" w:cstheme="majorHAnsi"/>
          <w:sz w:val="20"/>
          <w:szCs w:val="20"/>
          <w:lang w:val="ro-RO"/>
        </w:rPr>
        <w:t>nformați</w:t>
      </w:r>
      <w:r w:rsidR="00DF1D0C">
        <w:rPr>
          <w:rFonts w:asciiTheme="majorHAnsi" w:hAnsiTheme="majorHAnsi" w:cstheme="majorHAnsi"/>
          <w:sz w:val="20"/>
          <w:szCs w:val="20"/>
          <w:lang w:val="ro-RO"/>
        </w:rPr>
        <w:t>a</w:t>
      </w:r>
      <w:r w:rsidR="00E532AD" w:rsidRPr="006C4059">
        <w:rPr>
          <w:rFonts w:asciiTheme="majorHAnsi" w:hAnsiTheme="majorHAnsi" w:cstheme="majorHAnsi"/>
          <w:sz w:val="20"/>
          <w:szCs w:val="20"/>
          <w:lang w:val="ro-RO"/>
        </w:rPr>
        <w:t xml:space="preserve"> privind dinamica ratei anuale a dobânzii </w:t>
      </w:r>
      <w:r w:rsidR="008941EE" w:rsidRPr="006C4059">
        <w:rPr>
          <w:rFonts w:asciiTheme="majorHAnsi" w:hAnsiTheme="majorHAnsi" w:cstheme="majorHAnsi"/>
          <w:sz w:val="20"/>
          <w:szCs w:val="20"/>
          <w:lang w:val="ro-RO"/>
        </w:rPr>
        <w:t>l</w:t>
      </w:r>
      <w:r w:rsidR="00E532AD" w:rsidRPr="006C4059">
        <w:rPr>
          <w:rFonts w:asciiTheme="majorHAnsi" w:hAnsiTheme="majorHAnsi" w:cstheme="majorHAnsi"/>
          <w:sz w:val="20"/>
          <w:szCs w:val="20"/>
          <w:lang w:val="ro-RO"/>
        </w:rPr>
        <w:t>a VMS în anii</w:t>
      </w:r>
      <w:r w:rsidR="008941EE" w:rsidRPr="006C4059">
        <w:rPr>
          <w:rFonts w:asciiTheme="majorHAnsi" w:hAnsiTheme="majorHAnsi" w:cstheme="majorHAnsi"/>
          <w:sz w:val="20"/>
          <w:szCs w:val="20"/>
          <w:lang w:val="ro-RO"/>
        </w:rPr>
        <w:t xml:space="preserve"> </w:t>
      </w:r>
      <w:r w:rsidR="006C4059" w:rsidRPr="006C4059">
        <w:rPr>
          <w:rFonts w:asciiTheme="majorHAnsi" w:hAnsiTheme="majorHAnsi" w:cstheme="majorHAnsi"/>
          <w:sz w:val="20"/>
          <w:szCs w:val="20"/>
          <w:lang w:val="ro-RO"/>
        </w:rPr>
        <w:t>2016-2018</w:t>
      </w:r>
      <w:r w:rsidR="00E532AD" w:rsidRPr="006C4059">
        <w:rPr>
          <w:rFonts w:asciiTheme="majorHAnsi" w:hAnsiTheme="majorHAnsi" w:cstheme="majorHAnsi"/>
          <w:sz w:val="20"/>
          <w:szCs w:val="20"/>
          <w:lang w:val="ro-RO"/>
        </w:rPr>
        <w:t>.</w:t>
      </w:r>
    </w:p>
    <w:p w14:paraId="4DC833DF" w14:textId="77777777" w:rsidR="006E4771" w:rsidRPr="002047F4" w:rsidRDefault="006E4771" w:rsidP="00795499">
      <w:pPr>
        <w:spacing w:after="0" w:line="276" w:lineRule="auto"/>
        <w:ind w:firstLine="720"/>
        <w:jc w:val="both"/>
        <w:rPr>
          <w:rFonts w:asciiTheme="majorHAnsi" w:hAnsiTheme="majorHAnsi" w:cstheme="majorHAnsi"/>
          <w:sz w:val="24"/>
          <w:szCs w:val="24"/>
          <w:lang w:val="ro-RO"/>
        </w:rPr>
      </w:pPr>
      <w:r w:rsidRPr="002047F4">
        <w:rPr>
          <w:rFonts w:asciiTheme="majorHAnsi" w:hAnsiTheme="majorHAnsi" w:cstheme="majorHAnsi"/>
          <w:sz w:val="24"/>
          <w:szCs w:val="24"/>
          <w:lang w:val="ro-RO"/>
        </w:rPr>
        <w:t xml:space="preserve">Tendința de reducere </w:t>
      </w:r>
      <w:r w:rsidR="00A33CAC" w:rsidRPr="002047F4">
        <w:rPr>
          <w:rFonts w:asciiTheme="majorHAnsi" w:hAnsiTheme="majorHAnsi" w:cstheme="majorHAnsi"/>
          <w:sz w:val="24"/>
          <w:szCs w:val="24"/>
          <w:lang w:val="ro-RO"/>
        </w:rPr>
        <w:t>în</w:t>
      </w:r>
      <w:r w:rsidR="008B275A" w:rsidRPr="002047F4">
        <w:rPr>
          <w:rFonts w:asciiTheme="majorHAnsi" w:hAnsiTheme="majorHAnsi" w:cstheme="majorHAnsi"/>
          <w:sz w:val="24"/>
          <w:szCs w:val="24"/>
          <w:lang w:val="ro-RO"/>
        </w:rPr>
        <w:t xml:space="preserve"> anul 2018</w:t>
      </w:r>
      <w:r w:rsidRPr="002047F4">
        <w:rPr>
          <w:rFonts w:asciiTheme="majorHAnsi" w:hAnsiTheme="majorHAnsi" w:cstheme="majorHAnsi"/>
          <w:sz w:val="24"/>
          <w:szCs w:val="24"/>
          <w:lang w:val="ro-RO"/>
        </w:rPr>
        <w:t xml:space="preserve"> a ratelor nominale medii ponderate ale dobânzilor la VMS emise pe piața primară a avut un efect pozitiv, ceea ce a determinat reducerea cheltuielilor suportate de bugetul de stat pentru servi</w:t>
      </w:r>
      <w:r w:rsidR="00795499" w:rsidRPr="002047F4">
        <w:rPr>
          <w:rFonts w:asciiTheme="majorHAnsi" w:hAnsiTheme="majorHAnsi" w:cstheme="majorHAnsi"/>
          <w:sz w:val="24"/>
          <w:szCs w:val="24"/>
          <w:lang w:val="ro-RO"/>
        </w:rPr>
        <w:t>ciul</w:t>
      </w:r>
      <w:r w:rsidR="00BF6585" w:rsidRPr="002047F4">
        <w:rPr>
          <w:rFonts w:asciiTheme="majorHAnsi" w:hAnsiTheme="majorHAnsi" w:cstheme="majorHAnsi"/>
          <w:sz w:val="24"/>
          <w:szCs w:val="24"/>
          <w:lang w:val="ro-RO"/>
        </w:rPr>
        <w:t xml:space="preserve"> VMS </w:t>
      </w:r>
      <w:r w:rsidR="008B275A" w:rsidRPr="002047F4">
        <w:rPr>
          <w:rFonts w:asciiTheme="majorHAnsi" w:hAnsiTheme="majorHAnsi" w:cstheme="majorHAnsi"/>
          <w:sz w:val="24"/>
          <w:szCs w:val="24"/>
          <w:lang w:val="ro-RO"/>
        </w:rPr>
        <w:t xml:space="preserve">cu 445,8 </w:t>
      </w:r>
      <w:proofErr w:type="spellStart"/>
      <w:r w:rsidR="008B275A" w:rsidRPr="002047F4">
        <w:rPr>
          <w:rFonts w:asciiTheme="majorHAnsi" w:hAnsiTheme="majorHAnsi" w:cstheme="majorHAnsi"/>
          <w:sz w:val="24"/>
          <w:szCs w:val="24"/>
          <w:lang w:val="ro-RO"/>
        </w:rPr>
        <w:t>mil.MDL</w:t>
      </w:r>
      <w:proofErr w:type="spellEnd"/>
      <w:r w:rsidR="008941EE" w:rsidRPr="002047F4">
        <w:rPr>
          <w:rFonts w:asciiTheme="majorHAnsi" w:hAnsiTheme="majorHAnsi" w:cstheme="majorHAnsi"/>
          <w:sz w:val="24"/>
          <w:szCs w:val="24"/>
          <w:lang w:val="ro-RO"/>
        </w:rPr>
        <w:t>,</w:t>
      </w:r>
      <w:r w:rsidR="008B275A" w:rsidRPr="002047F4">
        <w:rPr>
          <w:rFonts w:asciiTheme="majorHAnsi" w:hAnsiTheme="majorHAnsi" w:cstheme="majorHAnsi"/>
          <w:sz w:val="24"/>
          <w:szCs w:val="24"/>
          <w:lang w:val="ro-RO"/>
        </w:rPr>
        <w:t xml:space="preserve"> față de anul 2017</w:t>
      </w:r>
      <w:r w:rsidR="00795499" w:rsidRPr="002047F4">
        <w:rPr>
          <w:rFonts w:asciiTheme="majorHAnsi" w:hAnsiTheme="majorHAnsi" w:cstheme="majorHAnsi"/>
          <w:sz w:val="24"/>
          <w:szCs w:val="24"/>
          <w:lang w:val="ro-RO"/>
        </w:rPr>
        <w:t xml:space="preserve">. </w:t>
      </w:r>
    </w:p>
    <w:p w14:paraId="147ACEB3" w14:textId="77777777" w:rsidR="00FD7543" w:rsidRPr="002047F4" w:rsidRDefault="006E4771" w:rsidP="006E4771">
      <w:pPr>
        <w:spacing w:after="0" w:line="276" w:lineRule="auto"/>
        <w:ind w:firstLine="720"/>
        <w:jc w:val="both"/>
        <w:rPr>
          <w:rFonts w:asciiTheme="majorHAnsi" w:hAnsiTheme="majorHAnsi" w:cstheme="majorHAnsi"/>
          <w:sz w:val="24"/>
          <w:szCs w:val="24"/>
          <w:highlight w:val="yellow"/>
          <w:lang w:val="ro-RO"/>
        </w:rPr>
      </w:pPr>
      <w:r w:rsidRPr="002047F4">
        <w:rPr>
          <w:rFonts w:asciiTheme="majorHAnsi" w:hAnsiTheme="majorHAnsi" w:cstheme="majorHAnsi"/>
          <w:sz w:val="24"/>
          <w:szCs w:val="24"/>
          <w:lang w:val="ro-RO"/>
        </w:rPr>
        <w:t xml:space="preserve">Analiza </w:t>
      </w:r>
      <w:r w:rsidR="008941EE" w:rsidRPr="002047F4">
        <w:rPr>
          <w:rFonts w:asciiTheme="majorHAnsi" w:hAnsiTheme="majorHAnsi" w:cstheme="majorHAnsi"/>
          <w:sz w:val="24"/>
          <w:szCs w:val="24"/>
          <w:lang w:val="ro-RO"/>
        </w:rPr>
        <w:t xml:space="preserve">efectuată de </w:t>
      </w:r>
      <w:r w:rsidRPr="002047F4">
        <w:rPr>
          <w:rFonts w:asciiTheme="majorHAnsi" w:hAnsiTheme="majorHAnsi" w:cstheme="majorHAnsi"/>
          <w:sz w:val="24"/>
          <w:szCs w:val="24"/>
          <w:lang w:val="ro-RO"/>
        </w:rPr>
        <w:t>audit privind evoluția ratelor dobânzii la instr</w:t>
      </w:r>
      <w:r w:rsidR="00FD7543" w:rsidRPr="002047F4">
        <w:rPr>
          <w:rFonts w:asciiTheme="majorHAnsi" w:hAnsiTheme="majorHAnsi" w:cstheme="majorHAnsi"/>
          <w:sz w:val="24"/>
          <w:szCs w:val="24"/>
          <w:lang w:val="ro-RO"/>
        </w:rPr>
        <w:t>umentele financiare în anul 2018</w:t>
      </w:r>
      <w:r w:rsidRPr="002047F4">
        <w:rPr>
          <w:rFonts w:asciiTheme="majorHAnsi" w:hAnsiTheme="majorHAnsi" w:cstheme="majorHAnsi"/>
          <w:sz w:val="24"/>
          <w:szCs w:val="24"/>
          <w:lang w:val="ro-RO"/>
        </w:rPr>
        <w:t xml:space="preserve"> relevă o s</w:t>
      </w:r>
      <w:r w:rsidR="00A33CAC" w:rsidRPr="002047F4">
        <w:rPr>
          <w:rFonts w:asciiTheme="majorHAnsi" w:hAnsiTheme="majorHAnsi" w:cstheme="majorHAnsi"/>
          <w:sz w:val="24"/>
          <w:szCs w:val="24"/>
          <w:lang w:val="ro-RO"/>
        </w:rPr>
        <w:t>chimbare</w:t>
      </w:r>
      <w:r w:rsidRPr="002047F4">
        <w:rPr>
          <w:rFonts w:asciiTheme="majorHAnsi" w:hAnsiTheme="majorHAnsi" w:cstheme="majorHAnsi"/>
          <w:sz w:val="24"/>
          <w:szCs w:val="24"/>
          <w:lang w:val="ro-RO"/>
        </w:rPr>
        <w:t xml:space="preserve"> semnificativă a situației pe piața primară a VMS față de anul </w:t>
      </w:r>
      <w:r w:rsidR="00FD7543" w:rsidRPr="002047F4">
        <w:rPr>
          <w:rFonts w:asciiTheme="majorHAnsi" w:hAnsiTheme="majorHAnsi" w:cstheme="majorHAnsi"/>
          <w:sz w:val="24"/>
          <w:szCs w:val="24"/>
          <w:lang w:val="ro-RO"/>
        </w:rPr>
        <w:t>2017</w:t>
      </w:r>
      <w:r w:rsidRPr="002047F4">
        <w:rPr>
          <w:rFonts w:asciiTheme="majorHAnsi" w:hAnsiTheme="majorHAnsi" w:cstheme="majorHAnsi"/>
          <w:sz w:val="24"/>
          <w:szCs w:val="24"/>
          <w:lang w:val="ro-RO"/>
        </w:rPr>
        <w:t xml:space="preserve">. </w:t>
      </w:r>
      <w:r w:rsidR="00AB707E" w:rsidRPr="002047F4">
        <w:rPr>
          <w:rFonts w:asciiTheme="majorHAnsi" w:hAnsiTheme="majorHAnsi" w:cstheme="majorHAnsi"/>
          <w:sz w:val="24"/>
          <w:szCs w:val="24"/>
          <w:lang w:val="ro-RO"/>
        </w:rPr>
        <w:t>Î</w:t>
      </w:r>
      <w:r w:rsidR="00FD7543" w:rsidRPr="002047F4">
        <w:rPr>
          <w:rFonts w:asciiTheme="majorHAnsi" w:hAnsiTheme="majorHAnsi" w:cstheme="majorHAnsi"/>
          <w:sz w:val="24"/>
          <w:szCs w:val="24"/>
          <w:lang w:val="ro-RO"/>
        </w:rPr>
        <w:t>n anul 2018</w:t>
      </w:r>
      <w:r w:rsidR="008941EE" w:rsidRPr="002047F4">
        <w:rPr>
          <w:rFonts w:asciiTheme="majorHAnsi" w:hAnsiTheme="majorHAnsi" w:cstheme="majorHAnsi"/>
          <w:sz w:val="24"/>
          <w:szCs w:val="24"/>
          <w:lang w:val="ro-RO"/>
        </w:rPr>
        <w:t>,</w:t>
      </w:r>
      <w:r w:rsidRPr="002047F4">
        <w:rPr>
          <w:rFonts w:asciiTheme="majorHAnsi" w:hAnsiTheme="majorHAnsi" w:cstheme="majorHAnsi"/>
          <w:sz w:val="24"/>
          <w:szCs w:val="24"/>
          <w:lang w:val="ro-RO"/>
        </w:rPr>
        <w:t xml:space="preserve"> rata medie anuală ponderată la VMS a constituit </w:t>
      </w:r>
      <w:r w:rsidR="00FD7543" w:rsidRPr="002047F4">
        <w:rPr>
          <w:rFonts w:asciiTheme="majorHAnsi" w:hAnsiTheme="majorHAnsi" w:cstheme="majorHAnsi"/>
          <w:sz w:val="24"/>
          <w:szCs w:val="24"/>
          <w:lang w:val="ro-RO"/>
        </w:rPr>
        <w:t>4,99</w:t>
      </w:r>
      <w:r w:rsidR="00A33CAC" w:rsidRPr="002047F4">
        <w:rPr>
          <w:rFonts w:asciiTheme="majorHAnsi" w:hAnsiTheme="majorHAnsi" w:cstheme="majorHAnsi"/>
          <w:sz w:val="24"/>
          <w:szCs w:val="24"/>
          <w:lang w:val="ro-RO"/>
        </w:rPr>
        <w:t>% (-</w:t>
      </w:r>
      <w:r w:rsidR="00FD7543" w:rsidRPr="002047F4">
        <w:rPr>
          <w:rFonts w:asciiTheme="majorHAnsi" w:hAnsiTheme="majorHAnsi" w:cstheme="majorHAnsi"/>
          <w:sz w:val="24"/>
          <w:szCs w:val="24"/>
          <w:lang w:val="ro-RO"/>
        </w:rPr>
        <w:t>1,77</w:t>
      </w:r>
      <w:r w:rsidRPr="002047F4">
        <w:rPr>
          <w:rFonts w:asciiTheme="majorHAnsi" w:hAnsiTheme="majorHAnsi" w:cstheme="majorHAnsi"/>
          <w:sz w:val="24"/>
          <w:szCs w:val="24"/>
          <w:lang w:val="ro-RO"/>
        </w:rPr>
        <w:t xml:space="preserve"> </w:t>
      </w:r>
      <w:proofErr w:type="spellStart"/>
      <w:r w:rsidRPr="002047F4">
        <w:rPr>
          <w:rFonts w:asciiTheme="majorHAnsi" w:hAnsiTheme="majorHAnsi" w:cstheme="majorHAnsi"/>
          <w:sz w:val="24"/>
          <w:szCs w:val="24"/>
          <w:lang w:val="ro-RO"/>
        </w:rPr>
        <w:t>p.p.</w:t>
      </w:r>
      <w:proofErr w:type="spellEnd"/>
      <w:r w:rsidRPr="002047F4">
        <w:rPr>
          <w:rFonts w:asciiTheme="majorHAnsi" w:hAnsiTheme="majorHAnsi" w:cstheme="majorHAnsi"/>
          <w:sz w:val="24"/>
          <w:szCs w:val="24"/>
          <w:lang w:val="ro-RO"/>
        </w:rPr>
        <w:t xml:space="preserve">), </w:t>
      </w:r>
      <w:r w:rsidR="0092310B" w:rsidRPr="0092310B">
        <w:rPr>
          <w:rFonts w:asciiTheme="majorHAnsi" w:hAnsiTheme="majorHAnsi" w:cstheme="majorHAnsi"/>
          <w:sz w:val="24"/>
          <w:szCs w:val="24"/>
          <w:lang w:val="ro-RO"/>
        </w:rPr>
        <w:t>la credite – 9,10% (-1,44</w:t>
      </w:r>
      <w:r w:rsidRPr="0092310B">
        <w:rPr>
          <w:rFonts w:asciiTheme="majorHAnsi" w:hAnsiTheme="majorHAnsi" w:cstheme="majorHAnsi"/>
          <w:sz w:val="24"/>
          <w:szCs w:val="24"/>
          <w:lang w:val="ro-RO"/>
        </w:rPr>
        <w:t xml:space="preserve"> </w:t>
      </w:r>
      <w:proofErr w:type="spellStart"/>
      <w:r w:rsidRPr="0092310B">
        <w:rPr>
          <w:rFonts w:asciiTheme="majorHAnsi" w:hAnsiTheme="majorHAnsi" w:cstheme="majorHAnsi"/>
          <w:sz w:val="24"/>
          <w:szCs w:val="24"/>
          <w:lang w:val="ro-RO"/>
        </w:rPr>
        <w:t>p.p.</w:t>
      </w:r>
      <w:proofErr w:type="spellEnd"/>
      <w:r w:rsidRPr="0092310B">
        <w:rPr>
          <w:rFonts w:asciiTheme="majorHAnsi" w:hAnsiTheme="majorHAnsi" w:cstheme="majorHAnsi"/>
          <w:sz w:val="24"/>
          <w:szCs w:val="24"/>
          <w:lang w:val="ro-RO"/>
        </w:rPr>
        <w:t>)</w:t>
      </w:r>
      <w:r w:rsidR="008941EE" w:rsidRPr="0092310B">
        <w:rPr>
          <w:rFonts w:asciiTheme="majorHAnsi" w:hAnsiTheme="majorHAnsi" w:cstheme="majorHAnsi"/>
          <w:sz w:val="24"/>
          <w:szCs w:val="24"/>
          <w:lang w:val="ro-RO"/>
        </w:rPr>
        <w:t>,</w:t>
      </w:r>
      <w:r w:rsidR="0092310B" w:rsidRPr="0092310B">
        <w:rPr>
          <w:rFonts w:asciiTheme="majorHAnsi" w:hAnsiTheme="majorHAnsi" w:cstheme="majorHAnsi"/>
          <w:sz w:val="24"/>
          <w:szCs w:val="24"/>
          <w:lang w:val="ro-RO"/>
        </w:rPr>
        <w:t xml:space="preserve"> și la depozite – 4,86% (-1,66</w:t>
      </w:r>
      <w:r w:rsidRPr="0092310B">
        <w:rPr>
          <w:rFonts w:asciiTheme="majorHAnsi" w:hAnsiTheme="majorHAnsi" w:cstheme="majorHAnsi"/>
          <w:sz w:val="24"/>
          <w:szCs w:val="24"/>
          <w:lang w:val="ro-RO"/>
        </w:rPr>
        <w:t>p.p.). De</w:t>
      </w:r>
      <w:r w:rsidRPr="002047F4">
        <w:rPr>
          <w:rFonts w:asciiTheme="majorHAnsi" w:hAnsiTheme="majorHAnsi" w:cstheme="majorHAnsi"/>
          <w:sz w:val="24"/>
          <w:szCs w:val="24"/>
          <w:lang w:val="ro-RO"/>
        </w:rPr>
        <w:t xml:space="preserve"> asemenea, auditul atestă că rata de bază a BNM </w:t>
      </w:r>
      <w:r w:rsidR="00FD7543" w:rsidRPr="002047F4">
        <w:rPr>
          <w:rFonts w:asciiTheme="majorHAnsi" w:hAnsiTheme="majorHAnsi" w:cstheme="majorHAnsi"/>
          <w:sz w:val="24"/>
          <w:szCs w:val="24"/>
          <w:lang w:val="ro-RO"/>
        </w:rPr>
        <w:t>s-</w:t>
      </w:r>
      <w:r w:rsidRPr="002047F4">
        <w:rPr>
          <w:rFonts w:asciiTheme="majorHAnsi" w:hAnsiTheme="majorHAnsi" w:cstheme="majorHAnsi"/>
          <w:sz w:val="24"/>
          <w:szCs w:val="24"/>
          <w:lang w:val="ro-RO"/>
        </w:rPr>
        <w:t>a</w:t>
      </w:r>
      <w:r w:rsidR="00FD7543" w:rsidRPr="002047F4">
        <w:rPr>
          <w:rFonts w:asciiTheme="majorHAnsi" w:hAnsiTheme="majorHAnsi" w:cstheme="majorHAnsi"/>
          <w:sz w:val="24"/>
          <w:szCs w:val="24"/>
          <w:lang w:val="ro-RO"/>
        </w:rPr>
        <w:t xml:space="preserve"> menținut </w:t>
      </w:r>
      <w:r w:rsidR="00303963" w:rsidRPr="002047F4">
        <w:rPr>
          <w:rFonts w:asciiTheme="majorHAnsi" w:hAnsiTheme="majorHAnsi" w:cstheme="majorHAnsi"/>
          <w:sz w:val="24"/>
          <w:szCs w:val="24"/>
          <w:lang w:val="ro-RO"/>
        </w:rPr>
        <w:t>constantă</w:t>
      </w:r>
      <w:r w:rsidR="00FD7543" w:rsidRPr="002047F4">
        <w:rPr>
          <w:rFonts w:asciiTheme="majorHAnsi" w:hAnsiTheme="majorHAnsi" w:cstheme="majorHAnsi"/>
          <w:sz w:val="24"/>
          <w:szCs w:val="24"/>
          <w:lang w:val="ro-RO"/>
        </w:rPr>
        <w:t xml:space="preserve"> pe tot parcursul anului (6,50%). </w:t>
      </w:r>
    </w:p>
    <w:p w14:paraId="465876F4" w14:textId="77777777" w:rsidR="006E4771" w:rsidRPr="002047F4" w:rsidRDefault="006E4771" w:rsidP="006E4771">
      <w:pPr>
        <w:spacing w:after="0" w:line="276" w:lineRule="auto"/>
        <w:ind w:firstLine="720"/>
        <w:jc w:val="both"/>
        <w:rPr>
          <w:rFonts w:asciiTheme="majorHAnsi" w:hAnsiTheme="majorHAnsi" w:cstheme="majorHAnsi"/>
          <w:sz w:val="24"/>
          <w:szCs w:val="24"/>
          <w:lang w:val="ro-RO"/>
        </w:rPr>
      </w:pPr>
      <w:r w:rsidRPr="002047F4">
        <w:rPr>
          <w:rFonts w:asciiTheme="majorHAnsi" w:hAnsiTheme="majorHAnsi" w:cstheme="majorHAnsi"/>
          <w:i/>
          <w:sz w:val="24"/>
          <w:szCs w:val="24"/>
          <w:lang w:val="ro-RO"/>
        </w:rPr>
        <w:t>Analiza comparativă a evoluției ratelor dobânzii la instr</w:t>
      </w:r>
      <w:r w:rsidR="00FD7543" w:rsidRPr="002047F4">
        <w:rPr>
          <w:rFonts w:asciiTheme="majorHAnsi" w:hAnsiTheme="majorHAnsi" w:cstheme="majorHAnsi"/>
          <w:i/>
          <w:sz w:val="24"/>
          <w:szCs w:val="24"/>
          <w:lang w:val="ro-RO"/>
        </w:rPr>
        <w:t>umentele financiare în anii 2017 și 2018</w:t>
      </w:r>
      <w:r w:rsidRPr="002047F4">
        <w:rPr>
          <w:rFonts w:asciiTheme="majorHAnsi" w:hAnsiTheme="majorHAnsi" w:cstheme="majorHAnsi"/>
          <w:i/>
          <w:sz w:val="24"/>
          <w:szCs w:val="24"/>
          <w:lang w:val="ro-RO"/>
        </w:rPr>
        <w:t xml:space="preserve"> </w:t>
      </w:r>
      <w:r w:rsidR="003578A4" w:rsidRPr="002047F4">
        <w:rPr>
          <w:rFonts w:asciiTheme="majorHAnsi" w:hAnsiTheme="majorHAnsi" w:cstheme="majorHAnsi"/>
          <w:i/>
          <w:sz w:val="24"/>
          <w:szCs w:val="24"/>
          <w:lang w:val="ro-RO"/>
        </w:rPr>
        <w:t>este</w:t>
      </w:r>
      <w:r w:rsidRPr="002047F4">
        <w:rPr>
          <w:rFonts w:asciiTheme="majorHAnsi" w:hAnsiTheme="majorHAnsi" w:cstheme="majorHAnsi"/>
          <w:i/>
          <w:sz w:val="24"/>
          <w:szCs w:val="24"/>
          <w:lang w:val="ro-RO"/>
        </w:rPr>
        <w:t xml:space="preserve"> prez</w:t>
      </w:r>
      <w:r w:rsidR="003578A4" w:rsidRPr="002047F4">
        <w:rPr>
          <w:rFonts w:asciiTheme="majorHAnsi" w:hAnsiTheme="majorHAnsi" w:cstheme="majorHAnsi"/>
          <w:i/>
          <w:sz w:val="24"/>
          <w:szCs w:val="24"/>
          <w:lang w:val="ro-RO"/>
        </w:rPr>
        <w:t>enta</w:t>
      </w:r>
      <w:r w:rsidRPr="002047F4">
        <w:rPr>
          <w:rFonts w:asciiTheme="majorHAnsi" w:hAnsiTheme="majorHAnsi" w:cstheme="majorHAnsi"/>
          <w:i/>
          <w:sz w:val="24"/>
          <w:szCs w:val="24"/>
          <w:lang w:val="ro-RO"/>
        </w:rPr>
        <w:t xml:space="preserve">tă în </w:t>
      </w:r>
      <w:r w:rsidR="00CB0AB2" w:rsidRPr="002047F4">
        <w:rPr>
          <w:rFonts w:asciiTheme="majorHAnsi" w:hAnsiTheme="majorHAnsi" w:cstheme="majorHAnsi"/>
          <w:i/>
          <w:sz w:val="24"/>
          <w:szCs w:val="24"/>
          <w:lang w:val="ro-RO"/>
        </w:rPr>
        <w:t>Diagramele</w:t>
      </w:r>
      <w:r w:rsidRPr="002047F4">
        <w:rPr>
          <w:rFonts w:asciiTheme="majorHAnsi" w:hAnsiTheme="majorHAnsi" w:cstheme="majorHAnsi"/>
          <w:i/>
          <w:sz w:val="24"/>
          <w:szCs w:val="24"/>
          <w:lang w:val="ro-RO"/>
        </w:rPr>
        <w:t xml:space="preserve"> nr.1 și nr.2 din Anexa nr.3 la prezentul Raport de audit</w:t>
      </w:r>
      <w:r w:rsidRPr="002047F4">
        <w:rPr>
          <w:rFonts w:asciiTheme="majorHAnsi" w:hAnsiTheme="majorHAnsi" w:cstheme="majorHAnsi"/>
          <w:sz w:val="24"/>
          <w:szCs w:val="24"/>
          <w:lang w:val="ro-RO"/>
        </w:rPr>
        <w:t xml:space="preserve">. </w:t>
      </w:r>
    </w:p>
    <w:p w14:paraId="4AD844E2" w14:textId="77777777" w:rsidR="000338CB" w:rsidRPr="002047F4" w:rsidRDefault="000338CB" w:rsidP="006E4771">
      <w:pPr>
        <w:spacing w:after="0" w:line="276" w:lineRule="auto"/>
        <w:ind w:firstLine="720"/>
        <w:jc w:val="both"/>
        <w:rPr>
          <w:rFonts w:asciiTheme="majorHAnsi" w:hAnsiTheme="majorHAnsi" w:cstheme="majorHAnsi"/>
          <w:sz w:val="24"/>
          <w:szCs w:val="24"/>
          <w:highlight w:val="yellow"/>
          <w:lang w:val="ro-RO"/>
        </w:rPr>
      </w:pPr>
    </w:p>
    <w:p w14:paraId="65D76E90" w14:textId="1A71CA51" w:rsidR="006E4771" w:rsidRPr="002047F4" w:rsidRDefault="00DA0EC5" w:rsidP="006E4771">
      <w:pPr>
        <w:spacing w:after="0" w:line="276" w:lineRule="auto"/>
        <w:ind w:firstLine="720"/>
        <w:jc w:val="both"/>
        <w:rPr>
          <w:rFonts w:asciiTheme="majorHAnsi" w:hAnsiTheme="majorHAnsi" w:cstheme="majorHAnsi"/>
          <w:sz w:val="24"/>
          <w:szCs w:val="24"/>
          <w:highlight w:val="yellow"/>
          <w:lang w:val="ro-RO"/>
        </w:rPr>
      </w:pPr>
      <w:r w:rsidRPr="002047F4">
        <w:rPr>
          <w:rFonts w:asciiTheme="majorHAnsi" w:hAnsiTheme="majorHAnsi" w:cstheme="majorHAnsi"/>
          <w:sz w:val="24"/>
          <w:szCs w:val="24"/>
          <w:lang w:val="ro-RO"/>
        </w:rPr>
        <w:t>A</w:t>
      </w:r>
      <w:r w:rsidR="006E4771" w:rsidRPr="002047F4">
        <w:rPr>
          <w:rFonts w:asciiTheme="majorHAnsi" w:hAnsiTheme="majorHAnsi" w:cstheme="majorHAnsi"/>
          <w:sz w:val="24"/>
          <w:szCs w:val="24"/>
          <w:lang w:val="ro-RO"/>
        </w:rPr>
        <w:t xml:space="preserve">uditul denotă că pe tot parcursul anului </w:t>
      </w:r>
      <w:r w:rsidR="00BA4FC2" w:rsidRPr="002047F4">
        <w:rPr>
          <w:rFonts w:asciiTheme="majorHAnsi" w:hAnsiTheme="majorHAnsi" w:cstheme="majorHAnsi"/>
          <w:sz w:val="24"/>
          <w:szCs w:val="24"/>
          <w:lang w:val="ro-RO"/>
        </w:rPr>
        <w:t>ratele medii ponderate la VMS</w:t>
      </w:r>
      <w:r w:rsidR="00BC79E7">
        <w:rPr>
          <w:rFonts w:asciiTheme="majorHAnsi" w:hAnsiTheme="majorHAnsi" w:cstheme="majorHAnsi"/>
          <w:sz w:val="24"/>
          <w:szCs w:val="24"/>
          <w:lang w:val="ro-RO"/>
        </w:rPr>
        <w:t xml:space="preserve"> acceptate în cadrul licitațiilor</w:t>
      </w:r>
      <w:r w:rsidR="00BA4FC2" w:rsidRPr="002047F4">
        <w:rPr>
          <w:rFonts w:asciiTheme="majorHAnsi" w:hAnsiTheme="majorHAnsi" w:cstheme="majorHAnsi"/>
          <w:sz w:val="24"/>
          <w:szCs w:val="24"/>
          <w:lang w:val="ro-RO"/>
        </w:rPr>
        <w:t xml:space="preserve"> au fost inferioare atât </w:t>
      </w:r>
      <w:r w:rsidR="000A1DCB" w:rsidRPr="002047F4">
        <w:rPr>
          <w:rFonts w:asciiTheme="majorHAnsi" w:hAnsiTheme="majorHAnsi" w:cstheme="majorHAnsi"/>
          <w:sz w:val="24"/>
          <w:szCs w:val="24"/>
          <w:lang w:val="ro-RO"/>
        </w:rPr>
        <w:t>ratelor</w:t>
      </w:r>
      <w:r w:rsidR="006E4771" w:rsidRPr="002047F4">
        <w:rPr>
          <w:rFonts w:asciiTheme="majorHAnsi" w:hAnsiTheme="majorHAnsi" w:cstheme="majorHAnsi"/>
          <w:sz w:val="24"/>
          <w:szCs w:val="24"/>
          <w:lang w:val="ro-RO"/>
        </w:rPr>
        <w:t xml:space="preserve"> medii </w:t>
      </w:r>
      <w:r w:rsidR="000A1DCB" w:rsidRPr="002047F4">
        <w:rPr>
          <w:rFonts w:asciiTheme="majorHAnsi" w:hAnsiTheme="majorHAnsi" w:cstheme="majorHAnsi"/>
          <w:sz w:val="24"/>
          <w:szCs w:val="24"/>
          <w:lang w:val="ro-RO"/>
        </w:rPr>
        <w:t xml:space="preserve">lunare </w:t>
      </w:r>
      <w:r w:rsidR="006E4771" w:rsidRPr="002047F4">
        <w:rPr>
          <w:rFonts w:asciiTheme="majorHAnsi" w:hAnsiTheme="majorHAnsi" w:cstheme="majorHAnsi"/>
          <w:sz w:val="24"/>
          <w:szCs w:val="24"/>
          <w:lang w:val="ro-RO"/>
        </w:rPr>
        <w:t>pentru creditele acordate de sistemul bancar</w:t>
      </w:r>
      <w:r w:rsidR="00AA354D">
        <w:rPr>
          <w:rFonts w:asciiTheme="majorHAnsi" w:hAnsiTheme="majorHAnsi" w:cstheme="majorHAnsi"/>
          <w:sz w:val="24"/>
          <w:szCs w:val="24"/>
          <w:lang w:val="ro-RO"/>
        </w:rPr>
        <w:t>,</w:t>
      </w:r>
      <w:r w:rsidR="006E4771" w:rsidRPr="002047F4">
        <w:rPr>
          <w:rFonts w:asciiTheme="majorHAnsi" w:hAnsiTheme="majorHAnsi" w:cstheme="majorHAnsi"/>
          <w:sz w:val="24"/>
          <w:szCs w:val="24"/>
          <w:lang w:val="ro-RO"/>
        </w:rPr>
        <w:t xml:space="preserve"> </w:t>
      </w:r>
      <w:r w:rsidR="00BA4FC2" w:rsidRPr="002047F4">
        <w:rPr>
          <w:rFonts w:asciiTheme="majorHAnsi" w:hAnsiTheme="majorHAnsi" w:cstheme="majorHAnsi"/>
          <w:sz w:val="24"/>
          <w:szCs w:val="24"/>
          <w:lang w:val="ro-RO"/>
        </w:rPr>
        <w:t>cât</w:t>
      </w:r>
      <w:r w:rsidRPr="002047F4">
        <w:rPr>
          <w:rFonts w:asciiTheme="majorHAnsi" w:hAnsiTheme="majorHAnsi" w:cstheme="majorHAnsi"/>
          <w:sz w:val="24"/>
          <w:szCs w:val="24"/>
          <w:lang w:val="ro-RO"/>
        </w:rPr>
        <w:t xml:space="preserve"> și ratelor de bază ale BNM.</w:t>
      </w:r>
      <w:r w:rsidR="006E4771" w:rsidRPr="002047F4">
        <w:rPr>
          <w:rFonts w:asciiTheme="majorHAnsi" w:hAnsiTheme="majorHAnsi" w:cstheme="majorHAnsi"/>
          <w:sz w:val="24"/>
          <w:szCs w:val="24"/>
          <w:lang w:val="ro-RO"/>
        </w:rPr>
        <w:t xml:space="preserve"> </w:t>
      </w:r>
      <w:r w:rsidR="00D9032E" w:rsidRPr="002047F4">
        <w:rPr>
          <w:rFonts w:asciiTheme="majorHAnsi" w:hAnsiTheme="majorHAnsi" w:cstheme="majorHAnsi"/>
          <w:sz w:val="24"/>
          <w:szCs w:val="24"/>
          <w:lang w:val="ro-RO"/>
        </w:rPr>
        <w:t>Comparativ cu ratele medii lunare la depozite, r</w:t>
      </w:r>
      <w:r w:rsidR="000A1DCB" w:rsidRPr="002047F4">
        <w:rPr>
          <w:rFonts w:asciiTheme="majorHAnsi" w:hAnsiTheme="majorHAnsi" w:cstheme="majorHAnsi"/>
          <w:sz w:val="24"/>
          <w:szCs w:val="24"/>
          <w:lang w:val="ro-RO"/>
        </w:rPr>
        <w:t xml:space="preserve">atele anuale medii ponderate ale VMS  </w:t>
      </w:r>
      <w:r w:rsidR="00D9032E" w:rsidRPr="002047F4">
        <w:rPr>
          <w:rFonts w:asciiTheme="majorHAnsi" w:hAnsiTheme="majorHAnsi" w:cstheme="majorHAnsi"/>
          <w:sz w:val="24"/>
          <w:szCs w:val="24"/>
          <w:lang w:val="ro-RO"/>
        </w:rPr>
        <w:t>în prima jumătate a anului au</w:t>
      </w:r>
      <w:r w:rsidR="006E4771" w:rsidRPr="002047F4">
        <w:rPr>
          <w:rFonts w:asciiTheme="majorHAnsi" w:hAnsiTheme="majorHAnsi" w:cstheme="majorHAnsi"/>
          <w:sz w:val="24"/>
          <w:szCs w:val="24"/>
          <w:lang w:val="ro-RO"/>
        </w:rPr>
        <w:t xml:space="preserve"> </w:t>
      </w:r>
      <w:r w:rsidR="00D9032E" w:rsidRPr="002047F4">
        <w:rPr>
          <w:rFonts w:asciiTheme="majorHAnsi" w:hAnsiTheme="majorHAnsi" w:cstheme="majorHAnsi"/>
          <w:sz w:val="24"/>
          <w:szCs w:val="24"/>
          <w:lang w:val="ro-RO"/>
        </w:rPr>
        <w:t xml:space="preserve">fost inferioare acestora, </w:t>
      </w:r>
      <w:r w:rsidR="004E3EC5" w:rsidRPr="002047F4">
        <w:rPr>
          <w:rFonts w:asciiTheme="majorHAnsi" w:hAnsiTheme="majorHAnsi" w:cstheme="majorHAnsi"/>
          <w:sz w:val="24"/>
          <w:szCs w:val="24"/>
          <w:lang w:val="ro-RO"/>
        </w:rPr>
        <w:t>devenind superioare începând cu luna septembrie.</w:t>
      </w:r>
    </w:p>
    <w:p w14:paraId="14B969B3" w14:textId="77777777" w:rsidR="006E4771" w:rsidRPr="002047F4" w:rsidRDefault="006E4771" w:rsidP="006E4771">
      <w:pPr>
        <w:spacing w:after="0" w:line="276" w:lineRule="auto"/>
        <w:ind w:firstLine="567"/>
        <w:jc w:val="both"/>
        <w:rPr>
          <w:rFonts w:asciiTheme="majorHAnsi" w:hAnsiTheme="majorHAnsi" w:cstheme="majorHAnsi"/>
          <w:sz w:val="24"/>
          <w:szCs w:val="24"/>
          <w:highlight w:val="yellow"/>
          <w:lang w:val="ro-RO"/>
        </w:rPr>
      </w:pPr>
    </w:p>
    <w:p w14:paraId="2818B445" w14:textId="01761BB6" w:rsidR="00FE1E51" w:rsidRPr="002047F4" w:rsidRDefault="00D944B6" w:rsidP="00455178">
      <w:pPr>
        <w:pStyle w:val="2"/>
        <w:numPr>
          <w:ilvl w:val="2"/>
          <w:numId w:val="47"/>
        </w:numPr>
        <w:tabs>
          <w:tab w:val="left" w:pos="1560"/>
        </w:tabs>
        <w:ind w:firstLine="131"/>
        <w:jc w:val="both"/>
        <w:rPr>
          <w:rFonts w:asciiTheme="majorHAnsi" w:hAnsiTheme="majorHAnsi" w:cstheme="majorHAnsi"/>
          <w:b/>
          <w:color w:val="auto"/>
          <w:sz w:val="24"/>
          <w:szCs w:val="24"/>
          <w:lang w:val="ro-RO"/>
        </w:rPr>
      </w:pPr>
      <w:bookmarkStart w:id="34" w:name="_Toc515442968"/>
      <w:bookmarkStart w:id="35" w:name="_Toc10106687"/>
      <w:bookmarkStart w:id="36" w:name="_Toc484003902"/>
      <w:bookmarkStart w:id="37" w:name="_Toc482639110"/>
      <w:r w:rsidRPr="002047F4">
        <w:rPr>
          <w:rFonts w:asciiTheme="majorHAnsi" w:hAnsiTheme="majorHAnsi" w:cstheme="majorHAnsi"/>
          <w:b/>
          <w:color w:val="auto"/>
          <w:sz w:val="24"/>
          <w:szCs w:val="24"/>
          <w:lang w:val="ro-RO"/>
        </w:rPr>
        <w:t xml:space="preserve">Creanțele interne ale bugetului </w:t>
      </w:r>
      <w:r w:rsidR="00B70966">
        <w:rPr>
          <w:rFonts w:asciiTheme="majorHAnsi" w:hAnsiTheme="majorHAnsi" w:cstheme="majorHAnsi"/>
          <w:b/>
          <w:color w:val="auto"/>
          <w:sz w:val="24"/>
          <w:szCs w:val="24"/>
          <w:lang w:val="ro-RO"/>
        </w:rPr>
        <w:t xml:space="preserve">de stat </w:t>
      </w:r>
      <w:r w:rsidRPr="009007F2">
        <w:rPr>
          <w:rFonts w:asciiTheme="majorHAnsi" w:hAnsiTheme="majorHAnsi" w:cstheme="majorHAnsi"/>
          <w:b/>
          <w:color w:val="auto"/>
          <w:sz w:val="24"/>
          <w:szCs w:val="24"/>
          <w:lang w:val="ro-RO"/>
        </w:rPr>
        <w:t>față de</w:t>
      </w:r>
      <w:r w:rsidR="003578A4" w:rsidRPr="002047F4">
        <w:rPr>
          <w:rFonts w:asciiTheme="majorHAnsi" w:hAnsiTheme="majorHAnsi" w:cstheme="majorHAnsi"/>
          <w:b/>
          <w:color w:val="auto"/>
          <w:sz w:val="24"/>
          <w:szCs w:val="24"/>
          <w:lang w:val="ro-RO"/>
        </w:rPr>
        <w:t xml:space="preserve"> </w:t>
      </w:r>
      <w:r w:rsidR="00E016F4" w:rsidRPr="002047F4">
        <w:rPr>
          <w:rFonts w:asciiTheme="majorHAnsi" w:hAnsiTheme="majorHAnsi" w:cstheme="majorHAnsi"/>
          <w:b/>
          <w:color w:val="auto"/>
          <w:sz w:val="24"/>
          <w:szCs w:val="24"/>
          <w:lang w:val="ro-RO"/>
        </w:rPr>
        <w:t>băncil</w:t>
      </w:r>
      <w:r w:rsidRPr="002047F4">
        <w:rPr>
          <w:rFonts w:asciiTheme="majorHAnsi" w:hAnsiTheme="majorHAnsi" w:cstheme="majorHAnsi"/>
          <w:b/>
          <w:color w:val="auto"/>
          <w:sz w:val="24"/>
          <w:szCs w:val="24"/>
          <w:lang w:val="ro-RO"/>
        </w:rPr>
        <w:t>e</w:t>
      </w:r>
      <w:r w:rsidR="00E016F4" w:rsidRPr="002047F4">
        <w:rPr>
          <w:rFonts w:asciiTheme="majorHAnsi" w:hAnsiTheme="majorHAnsi" w:cstheme="majorHAnsi"/>
          <w:b/>
          <w:color w:val="auto"/>
          <w:sz w:val="24"/>
          <w:szCs w:val="24"/>
          <w:lang w:val="ro-RO"/>
        </w:rPr>
        <w:t xml:space="preserve"> aflate în proces de lichidare </w:t>
      </w:r>
      <w:r w:rsidRPr="002047F4">
        <w:rPr>
          <w:rFonts w:asciiTheme="majorHAnsi" w:hAnsiTheme="majorHAnsi" w:cstheme="majorHAnsi"/>
          <w:b/>
          <w:color w:val="auto"/>
          <w:sz w:val="24"/>
          <w:szCs w:val="24"/>
          <w:lang w:val="ro-RO"/>
        </w:rPr>
        <w:t>se</w:t>
      </w:r>
      <w:r w:rsidR="00FE1E51" w:rsidRPr="002047F4">
        <w:rPr>
          <w:rFonts w:asciiTheme="majorHAnsi" w:hAnsiTheme="majorHAnsi" w:cstheme="majorHAnsi"/>
          <w:b/>
          <w:color w:val="auto"/>
          <w:sz w:val="24"/>
          <w:szCs w:val="24"/>
          <w:lang w:val="ro-RO"/>
        </w:rPr>
        <w:t xml:space="preserve"> restituie </w:t>
      </w:r>
      <w:r w:rsidR="00E016F4" w:rsidRPr="002047F4">
        <w:rPr>
          <w:rFonts w:asciiTheme="majorHAnsi" w:hAnsiTheme="majorHAnsi" w:cstheme="majorHAnsi"/>
          <w:b/>
          <w:color w:val="auto"/>
          <w:sz w:val="24"/>
          <w:szCs w:val="24"/>
          <w:lang w:val="ro-RO"/>
        </w:rPr>
        <w:t xml:space="preserve">într-un ritm </w:t>
      </w:r>
      <w:r w:rsidR="001E7502">
        <w:rPr>
          <w:rFonts w:asciiTheme="majorHAnsi" w:hAnsiTheme="majorHAnsi" w:cstheme="majorHAnsi"/>
          <w:b/>
          <w:color w:val="auto"/>
          <w:sz w:val="24"/>
          <w:szCs w:val="24"/>
          <w:lang w:val="ro-RO"/>
        </w:rPr>
        <w:t>lent</w:t>
      </w:r>
      <w:r w:rsidR="00E016F4" w:rsidRPr="002047F4">
        <w:rPr>
          <w:rFonts w:asciiTheme="majorHAnsi" w:hAnsiTheme="majorHAnsi" w:cstheme="majorHAnsi"/>
          <w:b/>
          <w:color w:val="auto"/>
          <w:sz w:val="24"/>
          <w:szCs w:val="24"/>
          <w:lang w:val="ro-RO"/>
        </w:rPr>
        <w:t>.</w:t>
      </w:r>
      <w:bookmarkEnd w:id="34"/>
      <w:bookmarkEnd w:id="35"/>
      <w:r w:rsidR="00FE1E51" w:rsidRPr="002047F4">
        <w:rPr>
          <w:rFonts w:asciiTheme="majorHAnsi" w:hAnsiTheme="majorHAnsi" w:cstheme="majorHAnsi"/>
          <w:b/>
          <w:color w:val="auto"/>
          <w:sz w:val="24"/>
          <w:szCs w:val="24"/>
          <w:lang w:val="ro-RO"/>
        </w:rPr>
        <w:t xml:space="preserve"> </w:t>
      </w:r>
      <w:bookmarkEnd w:id="36"/>
      <w:bookmarkEnd w:id="37"/>
    </w:p>
    <w:p w14:paraId="56C89667" w14:textId="1A6B506E" w:rsidR="006E4771" w:rsidRPr="002047F4" w:rsidRDefault="00F155E4" w:rsidP="006E4771">
      <w:pPr>
        <w:pStyle w:val="a4"/>
        <w:tabs>
          <w:tab w:val="left" w:pos="284"/>
          <w:tab w:val="left" w:pos="851"/>
        </w:tabs>
        <w:spacing w:before="240" w:after="0" w:line="276" w:lineRule="auto"/>
        <w:ind w:left="0"/>
        <w:jc w:val="both"/>
        <w:rPr>
          <w:rFonts w:asciiTheme="majorHAnsi" w:hAnsiTheme="majorHAnsi" w:cstheme="majorHAnsi"/>
          <w:sz w:val="24"/>
          <w:szCs w:val="24"/>
          <w:lang w:val="ro-RO"/>
        </w:rPr>
      </w:pPr>
      <w:r w:rsidRPr="002047F4">
        <w:rPr>
          <w:rFonts w:asciiTheme="majorHAnsi" w:hAnsiTheme="majorHAnsi" w:cstheme="majorHAnsi"/>
          <w:sz w:val="24"/>
          <w:szCs w:val="24"/>
          <w:lang w:val="ro-RO"/>
        </w:rPr>
        <w:tab/>
      </w:r>
      <w:r w:rsidRPr="002047F4">
        <w:rPr>
          <w:rFonts w:asciiTheme="majorHAnsi" w:hAnsiTheme="majorHAnsi" w:cstheme="majorHAnsi"/>
          <w:sz w:val="24"/>
          <w:szCs w:val="24"/>
          <w:lang w:val="ro-RO"/>
        </w:rPr>
        <w:tab/>
      </w:r>
      <w:r w:rsidR="000A4790" w:rsidRPr="002047F4">
        <w:rPr>
          <w:rFonts w:asciiTheme="majorHAnsi" w:hAnsiTheme="majorHAnsi" w:cstheme="majorHAnsi"/>
          <w:sz w:val="24"/>
          <w:szCs w:val="24"/>
          <w:lang w:val="ro-RO"/>
        </w:rPr>
        <w:t>La situația din 31.12.2018</w:t>
      </w:r>
      <w:r w:rsidR="00AA354D">
        <w:rPr>
          <w:rFonts w:asciiTheme="majorHAnsi" w:hAnsiTheme="majorHAnsi" w:cstheme="majorHAnsi"/>
          <w:sz w:val="24"/>
          <w:szCs w:val="24"/>
          <w:lang w:val="ro-RO"/>
        </w:rPr>
        <w:t>,</w:t>
      </w:r>
      <w:r w:rsidR="000A4790" w:rsidRPr="002047F4">
        <w:rPr>
          <w:rFonts w:asciiTheme="majorHAnsi" w:hAnsiTheme="majorHAnsi" w:cstheme="majorHAnsi"/>
          <w:sz w:val="24"/>
          <w:szCs w:val="24"/>
          <w:lang w:val="ro-RO"/>
        </w:rPr>
        <w:t xml:space="preserve"> soldul datoriei băncilor supuse lichidării</w:t>
      </w:r>
      <w:r w:rsidR="00AA354D">
        <w:rPr>
          <w:rFonts w:asciiTheme="majorHAnsi" w:hAnsiTheme="majorHAnsi" w:cstheme="majorHAnsi"/>
          <w:sz w:val="24"/>
          <w:szCs w:val="24"/>
          <w:lang w:val="ro-RO"/>
        </w:rPr>
        <w:t>,</w:t>
      </w:r>
      <w:r w:rsidR="00F66F83" w:rsidRPr="002047F4">
        <w:rPr>
          <w:rFonts w:asciiTheme="majorHAnsi" w:hAnsiTheme="majorHAnsi" w:cstheme="majorHAnsi"/>
          <w:sz w:val="24"/>
          <w:szCs w:val="24"/>
          <w:lang w:val="ro-RO"/>
        </w:rPr>
        <w:t xml:space="preserve"> ca urmare a emiterii anterioare a VMS pentru stabilitate financiară („</w:t>
      </w:r>
      <w:proofErr w:type="spellStart"/>
      <w:r w:rsidR="00F66F83" w:rsidRPr="002047F4">
        <w:rPr>
          <w:rFonts w:asciiTheme="majorHAnsi" w:hAnsiTheme="majorHAnsi" w:cstheme="majorHAnsi"/>
          <w:sz w:val="24"/>
          <w:szCs w:val="24"/>
          <w:lang w:val="ro-RO"/>
        </w:rPr>
        <w:t>Investprivatbank</w:t>
      </w:r>
      <w:proofErr w:type="spellEnd"/>
      <w:r w:rsidR="00F66F83" w:rsidRPr="002047F4">
        <w:rPr>
          <w:rFonts w:asciiTheme="majorHAnsi" w:hAnsiTheme="majorHAnsi" w:cstheme="majorHAnsi"/>
          <w:sz w:val="24"/>
          <w:szCs w:val="24"/>
          <w:lang w:val="ro-RO"/>
        </w:rPr>
        <w:t>” SA</w:t>
      </w:r>
      <w:r w:rsidR="00F66F83" w:rsidRPr="002047F4">
        <w:rPr>
          <w:rStyle w:val="ae"/>
          <w:rFonts w:asciiTheme="majorHAnsi" w:hAnsiTheme="majorHAnsi" w:cstheme="majorHAnsi"/>
          <w:sz w:val="24"/>
          <w:szCs w:val="24"/>
          <w:lang w:val="ro-RO"/>
        </w:rPr>
        <w:footnoteReference w:id="24"/>
      </w:r>
      <w:r w:rsidR="00F66F83" w:rsidRPr="002047F4">
        <w:rPr>
          <w:rFonts w:asciiTheme="majorHAnsi" w:hAnsiTheme="majorHAnsi" w:cstheme="majorHAnsi"/>
          <w:sz w:val="24"/>
          <w:szCs w:val="24"/>
          <w:lang w:val="ro-RO"/>
        </w:rPr>
        <w:t>) și pentru executarea obligațiilor de plată derivate din garanțiile de stat („Banca de Economii” SA, BC „Banca Socială” SA, BC „</w:t>
      </w:r>
      <w:proofErr w:type="spellStart"/>
      <w:r w:rsidR="00F66F83" w:rsidRPr="002047F4">
        <w:rPr>
          <w:rFonts w:asciiTheme="majorHAnsi" w:hAnsiTheme="majorHAnsi" w:cstheme="majorHAnsi"/>
          <w:sz w:val="24"/>
          <w:szCs w:val="24"/>
          <w:lang w:val="ro-RO"/>
        </w:rPr>
        <w:t>Unibank</w:t>
      </w:r>
      <w:proofErr w:type="spellEnd"/>
      <w:r w:rsidR="00F66F83" w:rsidRPr="002047F4">
        <w:rPr>
          <w:rFonts w:asciiTheme="majorHAnsi" w:hAnsiTheme="majorHAnsi" w:cstheme="majorHAnsi"/>
          <w:sz w:val="24"/>
          <w:szCs w:val="24"/>
          <w:lang w:val="ro-RO"/>
        </w:rPr>
        <w:t>” SA</w:t>
      </w:r>
      <w:r w:rsidR="00F66F83" w:rsidRPr="002047F4">
        <w:rPr>
          <w:rStyle w:val="ae"/>
          <w:rFonts w:asciiTheme="majorHAnsi" w:hAnsiTheme="majorHAnsi" w:cstheme="majorHAnsi"/>
          <w:sz w:val="24"/>
          <w:szCs w:val="24"/>
          <w:lang w:val="ro-RO"/>
        </w:rPr>
        <w:footnoteReference w:id="25"/>
      </w:r>
      <w:r w:rsidR="00F66F83" w:rsidRPr="002047F4">
        <w:rPr>
          <w:rFonts w:asciiTheme="majorHAnsi" w:hAnsiTheme="majorHAnsi" w:cstheme="majorHAnsi"/>
          <w:sz w:val="24"/>
          <w:szCs w:val="24"/>
          <w:lang w:val="ro-RO"/>
        </w:rPr>
        <w:t xml:space="preserve">), </w:t>
      </w:r>
      <w:r w:rsidR="000A4790" w:rsidRPr="002047F4">
        <w:rPr>
          <w:rFonts w:asciiTheme="majorHAnsi" w:hAnsiTheme="majorHAnsi" w:cstheme="majorHAnsi"/>
          <w:sz w:val="24"/>
          <w:szCs w:val="24"/>
          <w:lang w:val="ro-RO"/>
        </w:rPr>
        <w:t xml:space="preserve">a constituit 12729,8 </w:t>
      </w:r>
      <w:proofErr w:type="spellStart"/>
      <w:r w:rsidR="000A4790" w:rsidRPr="002047F4">
        <w:rPr>
          <w:rFonts w:asciiTheme="majorHAnsi" w:hAnsiTheme="majorHAnsi" w:cstheme="majorHAnsi"/>
          <w:sz w:val="24"/>
          <w:szCs w:val="24"/>
          <w:lang w:val="ro-RO"/>
        </w:rPr>
        <w:t>mil.MDL</w:t>
      </w:r>
      <w:proofErr w:type="spellEnd"/>
      <w:r w:rsidR="000A4790" w:rsidRPr="002047F4">
        <w:rPr>
          <w:rFonts w:asciiTheme="majorHAnsi" w:hAnsiTheme="majorHAnsi" w:cstheme="majorHAnsi"/>
          <w:sz w:val="24"/>
          <w:szCs w:val="24"/>
          <w:lang w:val="ro-RO"/>
        </w:rPr>
        <w:t>.</w:t>
      </w:r>
      <w:r w:rsidR="00F66F83" w:rsidRPr="002047F4">
        <w:rPr>
          <w:rFonts w:asciiTheme="majorHAnsi" w:hAnsiTheme="majorHAnsi" w:cstheme="majorHAnsi"/>
          <w:sz w:val="24"/>
          <w:szCs w:val="24"/>
          <w:lang w:val="ro-RO"/>
        </w:rPr>
        <w:t xml:space="preserve"> Pe parcursul anului 2018 </w:t>
      </w:r>
      <w:r w:rsidR="00A66863" w:rsidRPr="002047F4">
        <w:rPr>
          <w:rFonts w:asciiTheme="majorHAnsi" w:hAnsiTheme="majorHAnsi" w:cstheme="majorHAnsi"/>
          <w:sz w:val="24"/>
          <w:szCs w:val="24"/>
          <w:lang w:val="ro-RO"/>
        </w:rPr>
        <w:t xml:space="preserve">au fost rambursate </w:t>
      </w:r>
      <w:r w:rsidR="00A66863" w:rsidRPr="002047F4">
        <w:rPr>
          <w:rFonts w:asciiTheme="majorHAnsi" w:hAnsiTheme="majorHAnsi" w:cstheme="majorHAnsi"/>
          <w:sz w:val="24"/>
          <w:szCs w:val="24"/>
          <w:lang w:val="ro-RO"/>
        </w:rPr>
        <w:lastRenderedPageBreak/>
        <w:t xml:space="preserve">679,1 </w:t>
      </w:r>
      <w:proofErr w:type="spellStart"/>
      <w:r w:rsidR="00A66863" w:rsidRPr="002047F4">
        <w:rPr>
          <w:rFonts w:asciiTheme="majorHAnsi" w:hAnsiTheme="majorHAnsi" w:cstheme="majorHAnsi"/>
          <w:sz w:val="24"/>
          <w:szCs w:val="24"/>
          <w:lang w:val="ro-RO"/>
        </w:rPr>
        <w:t>mil.MDL</w:t>
      </w:r>
      <w:proofErr w:type="spellEnd"/>
      <w:r w:rsidR="00A66863" w:rsidRPr="002047F4">
        <w:rPr>
          <w:rFonts w:asciiTheme="majorHAnsi" w:hAnsiTheme="majorHAnsi" w:cstheme="majorHAnsi"/>
          <w:sz w:val="24"/>
          <w:szCs w:val="24"/>
          <w:lang w:val="ro-RO"/>
        </w:rPr>
        <w:t xml:space="preserve">, date care corespund </w:t>
      </w:r>
      <w:r w:rsidR="0069118B" w:rsidRPr="002047F4">
        <w:rPr>
          <w:rFonts w:asciiTheme="majorHAnsi" w:hAnsiTheme="majorHAnsi" w:cstheme="majorHAnsi"/>
          <w:sz w:val="24"/>
          <w:szCs w:val="24"/>
          <w:lang w:val="ro-RO"/>
        </w:rPr>
        <w:t>Raportul</w:t>
      </w:r>
      <w:r w:rsidR="00A66863" w:rsidRPr="002047F4">
        <w:rPr>
          <w:rFonts w:asciiTheme="majorHAnsi" w:hAnsiTheme="majorHAnsi" w:cstheme="majorHAnsi"/>
          <w:sz w:val="24"/>
          <w:szCs w:val="24"/>
          <w:lang w:val="ro-RO"/>
        </w:rPr>
        <w:t>ui</w:t>
      </w:r>
      <w:r w:rsidR="0069118B" w:rsidRPr="002047F4">
        <w:rPr>
          <w:rFonts w:asciiTheme="majorHAnsi" w:hAnsiTheme="majorHAnsi" w:cstheme="majorHAnsi"/>
          <w:sz w:val="24"/>
          <w:szCs w:val="24"/>
          <w:lang w:val="ro-RO"/>
        </w:rPr>
        <w:t xml:space="preserve"> privind executarea bugetului conform clasificației econ</w:t>
      </w:r>
      <w:r w:rsidR="00A66863" w:rsidRPr="002047F4">
        <w:rPr>
          <w:rFonts w:asciiTheme="majorHAnsi" w:hAnsiTheme="majorHAnsi" w:cstheme="majorHAnsi"/>
          <w:sz w:val="24"/>
          <w:szCs w:val="24"/>
          <w:lang w:val="ro-RO"/>
        </w:rPr>
        <w:t>omice la situația din 31.12.2018</w:t>
      </w:r>
      <w:r w:rsidR="00775266" w:rsidRPr="002047F4">
        <w:rPr>
          <w:rStyle w:val="ae"/>
          <w:rFonts w:asciiTheme="majorHAnsi" w:hAnsiTheme="majorHAnsi" w:cstheme="majorHAnsi"/>
          <w:sz w:val="24"/>
          <w:szCs w:val="24"/>
          <w:lang w:val="ro-RO"/>
        </w:rPr>
        <w:footnoteReference w:id="26"/>
      </w:r>
      <w:r w:rsidR="007124FB" w:rsidRPr="002047F4">
        <w:rPr>
          <w:rFonts w:asciiTheme="majorHAnsi" w:hAnsiTheme="majorHAnsi" w:cstheme="majorHAnsi"/>
          <w:sz w:val="24"/>
          <w:szCs w:val="24"/>
          <w:lang w:val="ro-RO"/>
        </w:rPr>
        <w:t>.</w:t>
      </w:r>
    </w:p>
    <w:p w14:paraId="683ED75D" w14:textId="76BDA6E9" w:rsidR="006E4771" w:rsidRPr="002047F4" w:rsidRDefault="00A47CDF" w:rsidP="005F4773">
      <w:pPr>
        <w:pStyle w:val="a4"/>
        <w:tabs>
          <w:tab w:val="left" w:pos="284"/>
          <w:tab w:val="left" w:pos="851"/>
        </w:tabs>
        <w:spacing w:before="240" w:after="0" w:line="276" w:lineRule="auto"/>
        <w:ind w:left="0"/>
        <w:jc w:val="both"/>
        <w:rPr>
          <w:rFonts w:asciiTheme="majorHAnsi" w:hAnsiTheme="majorHAnsi" w:cstheme="majorHAnsi"/>
          <w:sz w:val="24"/>
          <w:szCs w:val="24"/>
          <w:lang w:val="ro-RO"/>
        </w:rPr>
      </w:pPr>
      <w:r w:rsidRPr="002047F4">
        <w:rPr>
          <w:rFonts w:asciiTheme="majorHAnsi" w:hAnsiTheme="majorHAnsi" w:cstheme="majorHAnsi"/>
          <w:sz w:val="24"/>
          <w:szCs w:val="24"/>
          <w:lang w:val="ro-RO"/>
        </w:rPr>
        <w:tab/>
      </w:r>
      <w:r w:rsidRPr="002047F4">
        <w:rPr>
          <w:rFonts w:asciiTheme="majorHAnsi" w:hAnsiTheme="majorHAnsi" w:cstheme="majorHAnsi"/>
          <w:sz w:val="24"/>
          <w:szCs w:val="24"/>
          <w:lang w:val="ro-RO"/>
        </w:rPr>
        <w:tab/>
      </w:r>
      <w:r w:rsidR="00F66F83" w:rsidRPr="002047F4">
        <w:rPr>
          <w:rFonts w:asciiTheme="majorHAnsi" w:hAnsiTheme="majorHAnsi" w:cstheme="majorHAnsi"/>
          <w:sz w:val="24"/>
          <w:szCs w:val="24"/>
          <w:lang w:val="ro-RO"/>
        </w:rPr>
        <w:t>Auditul denotă că</w:t>
      </w:r>
      <w:r w:rsidRPr="002047F4">
        <w:rPr>
          <w:rFonts w:asciiTheme="majorHAnsi" w:hAnsiTheme="majorHAnsi" w:cstheme="majorHAnsi"/>
          <w:sz w:val="24"/>
          <w:szCs w:val="24"/>
          <w:lang w:val="ro-RO"/>
        </w:rPr>
        <w:t xml:space="preserve"> soldul</w:t>
      </w:r>
      <w:r w:rsidR="007365F2" w:rsidRPr="002047F4">
        <w:rPr>
          <w:rFonts w:asciiTheme="majorHAnsi" w:hAnsiTheme="majorHAnsi" w:cstheme="majorHAnsi"/>
          <w:sz w:val="24"/>
          <w:szCs w:val="24"/>
          <w:lang w:val="ro-RO"/>
        </w:rPr>
        <w:t xml:space="preserve"> datoriei BC „</w:t>
      </w:r>
      <w:proofErr w:type="spellStart"/>
      <w:r w:rsidR="007365F2" w:rsidRPr="002047F4">
        <w:rPr>
          <w:rFonts w:asciiTheme="majorHAnsi" w:hAnsiTheme="majorHAnsi" w:cstheme="majorHAnsi"/>
          <w:sz w:val="24"/>
          <w:szCs w:val="24"/>
          <w:lang w:val="ro-RO"/>
        </w:rPr>
        <w:t>Investprivatbank</w:t>
      </w:r>
      <w:proofErr w:type="spellEnd"/>
      <w:r w:rsidR="007365F2" w:rsidRPr="002047F4">
        <w:rPr>
          <w:rFonts w:asciiTheme="majorHAnsi" w:hAnsiTheme="majorHAnsi" w:cstheme="majorHAnsi"/>
          <w:sz w:val="24"/>
          <w:szCs w:val="24"/>
          <w:lang w:val="ro-RO"/>
        </w:rPr>
        <w:t>” SA</w:t>
      </w:r>
      <w:r w:rsidR="00F66F83" w:rsidRPr="002047F4">
        <w:rPr>
          <w:rFonts w:asciiTheme="majorHAnsi" w:hAnsiTheme="majorHAnsi" w:cstheme="majorHAnsi"/>
          <w:sz w:val="24"/>
          <w:szCs w:val="24"/>
          <w:lang w:val="ro-RO"/>
        </w:rPr>
        <w:t xml:space="preserve"> față de MF</w:t>
      </w:r>
      <w:r w:rsidRPr="002047F4">
        <w:rPr>
          <w:rFonts w:asciiTheme="majorHAnsi" w:hAnsiTheme="majorHAnsi" w:cstheme="majorHAnsi"/>
          <w:sz w:val="24"/>
          <w:szCs w:val="24"/>
          <w:lang w:val="ro-RO"/>
        </w:rPr>
        <w:t xml:space="preserve"> la 31.12.2018 a constituit 358,0 </w:t>
      </w:r>
      <w:proofErr w:type="spellStart"/>
      <w:r w:rsidRPr="002047F4">
        <w:rPr>
          <w:rFonts w:asciiTheme="majorHAnsi" w:hAnsiTheme="majorHAnsi" w:cstheme="majorHAnsi"/>
          <w:sz w:val="24"/>
          <w:szCs w:val="24"/>
          <w:lang w:val="ro-RO"/>
        </w:rPr>
        <w:t>mil.MDL</w:t>
      </w:r>
      <w:proofErr w:type="spellEnd"/>
      <w:r w:rsidRPr="002047F4">
        <w:rPr>
          <w:rFonts w:asciiTheme="majorHAnsi" w:hAnsiTheme="majorHAnsi" w:cstheme="majorHAnsi"/>
          <w:sz w:val="24"/>
          <w:szCs w:val="24"/>
          <w:lang w:val="ro-RO"/>
        </w:rPr>
        <w:t xml:space="preserve">, </w:t>
      </w:r>
      <w:r w:rsidR="007578DC" w:rsidRPr="002047F4">
        <w:rPr>
          <w:rFonts w:asciiTheme="majorHAnsi" w:hAnsiTheme="majorHAnsi" w:cstheme="majorHAnsi"/>
          <w:sz w:val="24"/>
          <w:szCs w:val="24"/>
          <w:lang w:val="ro-RO"/>
        </w:rPr>
        <w:t xml:space="preserve">din totalul datoriei de 428,5 </w:t>
      </w:r>
      <w:proofErr w:type="spellStart"/>
      <w:r w:rsidR="007578DC" w:rsidRPr="002047F4">
        <w:rPr>
          <w:rFonts w:asciiTheme="majorHAnsi" w:hAnsiTheme="majorHAnsi" w:cstheme="majorHAnsi"/>
          <w:sz w:val="24"/>
          <w:szCs w:val="24"/>
          <w:lang w:val="ro-RO"/>
        </w:rPr>
        <w:t>mil.MDL</w:t>
      </w:r>
      <w:proofErr w:type="spellEnd"/>
      <w:r w:rsidR="007578DC" w:rsidRPr="002047F4">
        <w:rPr>
          <w:rFonts w:asciiTheme="majorHAnsi" w:hAnsiTheme="majorHAnsi" w:cstheme="majorHAnsi"/>
          <w:sz w:val="24"/>
          <w:szCs w:val="24"/>
          <w:lang w:val="ro-RO"/>
        </w:rPr>
        <w:t xml:space="preserve">, preluată în anul 2012 de către bugetul de stat, </w:t>
      </w:r>
      <w:r w:rsidR="00AD5C6F">
        <w:rPr>
          <w:rFonts w:asciiTheme="majorHAnsi" w:hAnsiTheme="majorHAnsi" w:cstheme="majorHAnsi"/>
          <w:sz w:val="24"/>
          <w:szCs w:val="24"/>
          <w:lang w:val="ro-RO"/>
        </w:rPr>
        <w:t>ceea ce indică</w:t>
      </w:r>
      <w:r w:rsidRPr="002047F4">
        <w:rPr>
          <w:rFonts w:asciiTheme="majorHAnsi" w:hAnsiTheme="majorHAnsi" w:cstheme="majorHAnsi"/>
          <w:sz w:val="24"/>
          <w:szCs w:val="24"/>
          <w:lang w:val="ro-RO"/>
        </w:rPr>
        <w:t xml:space="preserve"> un ritm scăzut de restituire a datoriei</w:t>
      </w:r>
      <w:r w:rsidR="007578DC" w:rsidRPr="002047F4">
        <w:rPr>
          <w:rFonts w:asciiTheme="majorHAnsi" w:hAnsiTheme="majorHAnsi" w:cstheme="majorHAnsi"/>
          <w:sz w:val="24"/>
          <w:szCs w:val="24"/>
          <w:lang w:val="ro-RO"/>
        </w:rPr>
        <w:t xml:space="preserve">. </w:t>
      </w:r>
      <w:r w:rsidR="004F0F5A" w:rsidRPr="002047F4">
        <w:rPr>
          <w:rFonts w:asciiTheme="majorHAnsi" w:hAnsiTheme="majorHAnsi" w:cstheme="majorHAnsi"/>
          <w:sz w:val="24"/>
          <w:szCs w:val="24"/>
          <w:lang w:val="ro-RO"/>
        </w:rPr>
        <w:t>Astfel, î</w:t>
      </w:r>
      <w:r w:rsidR="00A35371" w:rsidRPr="002047F4">
        <w:rPr>
          <w:rFonts w:asciiTheme="majorHAnsi" w:hAnsiTheme="majorHAnsi" w:cstheme="majorHAnsi"/>
          <w:sz w:val="24"/>
          <w:szCs w:val="24"/>
          <w:lang w:val="ro-RO"/>
        </w:rPr>
        <w:t>n anul 2018, din valorificarea activelor</w:t>
      </w:r>
      <w:r w:rsidR="005F4773" w:rsidRPr="002047F4">
        <w:rPr>
          <w:rFonts w:asciiTheme="majorHAnsi" w:hAnsiTheme="majorHAnsi" w:cstheme="majorHAnsi"/>
          <w:sz w:val="24"/>
          <w:szCs w:val="24"/>
          <w:lang w:val="ro-RO"/>
        </w:rPr>
        <w:t xml:space="preserve"> sale,</w:t>
      </w:r>
      <w:r w:rsidR="00A35371" w:rsidRPr="002047F4">
        <w:rPr>
          <w:rFonts w:asciiTheme="majorHAnsi" w:hAnsiTheme="majorHAnsi" w:cstheme="majorHAnsi"/>
          <w:sz w:val="24"/>
          <w:szCs w:val="24"/>
          <w:lang w:val="ro-RO"/>
        </w:rPr>
        <w:t xml:space="preserve"> BC „</w:t>
      </w:r>
      <w:proofErr w:type="spellStart"/>
      <w:r w:rsidR="00A35371" w:rsidRPr="002047F4">
        <w:rPr>
          <w:rFonts w:asciiTheme="majorHAnsi" w:hAnsiTheme="majorHAnsi" w:cstheme="majorHAnsi"/>
          <w:sz w:val="24"/>
          <w:szCs w:val="24"/>
          <w:lang w:val="ro-RO"/>
        </w:rPr>
        <w:t>Investprivatbank</w:t>
      </w:r>
      <w:proofErr w:type="spellEnd"/>
      <w:r w:rsidR="00A35371" w:rsidRPr="002047F4">
        <w:rPr>
          <w:rFonts w:asciiTheme="majorHAnsi" w:hAnsiTheme="majorHAnsi" w:cstheme="majorHAnsi"/>
          <w:sz w:val="24"/>
          <w:szCs w:val="24"/>
          <w:lang w:val="ro-RO"/>
        </w:rPr>
        <w:t xml:space="preserve">” SA </w:t>
      </w:r>
      <w:r w:rsidR="00C02E92" w:rsidRPr="002047F4">
        <w:rPr>
          <w:rFonts w:asciiTheme="majorHAnsi" w:hAnsiTheme="majorHAnsi" w:cstheme="majorHAnsi"/>
          <w:sz w:val="24"/>
          <w:szCs w:val="24"/>
          <w:lang w:val="ro-RO"/>
        </w:rPr>
        <w:t xml:space="preserve">a transferat la bugetul de stat </w:t>
      </w:r>
      <w:r w:rsidR="005F4773" w:rsidRPr="002047F4">
        <w:rPr>
          <w:rFonts w:asciiTheme="majorHAnsi" w:hAnsiTheme="majorHAnsi" w:cstheme="majorHAnsi"/>
          <w:sz w:val="24"/>
          <w:szCs w:val="24"/>
          <w:lang w:val="ro-RO"/>
        </w:rPr>
        <w:t xml:space="preserve">doar </w:t>
      </w:r>
      <w:r w:rsidR="00C02E92" w:rsidRPr="002047F4">
        <w:rPr>
          <w:rFonts w:asciiTheme="majorHAnsi" w:hAnsiTheme="majorHAnsi" w:cstheme="majorHAnsi"/>
          <w:sz w:val="24"/>
          <w:szCs w:val="24"/>
          <w:lang w:val="ro-RO"/>
        </w:rPr>
        <w:t xml:space="preserve">0,3 </w:t>
      </w:r>
      <w:proofErr w:type="spellStart"/>
      <w:r w:rsidR="00C02E92" w:rsidRPr="002047F4">
        <w:rPr>
          <w:rFonts w:asciiTheme="majorHAnsi" w:hAnsiTheme="majorHAnsi" w:cstheme="majorHAnsi"/>
          <w:sz w:val="24"/>
          <w:szCs w:val="24"/>
          <w:lang w:val="ro-RO"/>
        </w:rPr>
        <w:t>mil.MDL</w:t>
      </w:r>
      <w:proofErr w:type="spellEnd"/>
      <w:r w:rsidR="00C02E92" w:rsidRPr="002047F4">
        <w:rPr>
          <w:rFonts w:asciiTheme="majorHAnsi" w:hAnsiTheme="majorHAnsi" w:cstheme="majorHAnsi"/>
          <w:sz w:val="24"/>
          <w:szCs w:val="24"/>
          <w:lang w:val="ro-RO"/>
        </w:rPr>
        <w:t>.</w:t>
      </w:r>
    </w:p>
    <w:p w14:paraId="4DD904D8" w14:textId="64B92FC7" w:rsidR="00173664" w:rsidRPr="002047F4" w:rsidRDefault="00C641D4" w:rsidP="00173664">
      <w:pPr>
        <w:pStyle w:val="a4"/>
        <w:tabs>
          <w:tab w:val="left" w:pos="284"/>
          <w:tab w:val="left" w:pos="851"/>
        </w:tabs>
        <w:spacing w:before="240" w:after="0" w:line="276" w:lineRule="auto"/>
        <w:ind w:left="0"/>
        <w:jc w:val="both"/>
        <w:rPr>
          <w:rFonts w:asciiTheme="majorHAnsi" w:hAnsiTheme="majorHAnsi" w:cstheme="majorHAnsi"/>
          <w:sz w:val="24"/>
          <w:szCs w:val="24"/>
          <w:lang w:val="ro-RO"/>
        </w:rPr>
      </w:pPr>
      <w:r w:rsidRPr="002047F4">
        <w:rPr>
          <w:rFonts w:asciiTheme="majorHAnsi" w:hAnsiTheme="majorHAnsi" w:cstheme="majorHAnsi"/>
          <w:sz w:val="24"/>
          <w:szCs w:val="24"/>
          <w:lang w:val="ro-RO"/>
        </w:rPr>
        <w:tab/>
      </w:r>
      <w:r w:rsidR="00AD5C6F">
        <w:rPr>
          <w:rFonts w:asciiTheme="majorHAnsi" w:hAnsiTheme="majorHAnsi" w:cstheme="majorHAnsi"/>
          <w:sz w:val="24"/>
          <w:szCs w:val="24"/>
          <w:lang w:val="ro-RO"/>
        </w:rPr>
        <w:t xml:space="preserve">          </w:t>
      </w:r>
      <w:r w:rsidRPr="002047F4">
        <w:rPr>
          <w:rFonts w:asciiTheme="majorHAnsi" w:hAnsiTheme="majorHAnsi" w:cstheme="majorHAnsi"/>
          <w:sz w:val="24"/>
          <w:szCs w:val="24"/>
          <w:lang w:val="ro-RO"/>
        </w:rPr>
        <w:t xml:space="preserve">De asemenea, </w:t>
      </w:r>
      <w:r w:rsidR="00173664" w:rsidRPr="002047F4">
        <w:rPr>
          <w:rFonts w:asciiTheme="majorHAnsi" w:hAnsiTheme="majorHAnsi" w:cstheme="majorHAnsi"/>
          <w:sz w:val="24"/>
          <w:szCs w:val="24"/>
          <w:lang w:val="ro-RO"/>
        </w:rPr>
        <w:t xml:space="preserve">auditul </w:t>
      </w:r>
      <w:r w:rsidR="00AD5C6F">
        <w:rPr>
          <w:rFonts w:asciiTheme="majorHAnsi" w:hAnsiTheme="majorHAnsi" w:cstheme="majorHAnsi"/>
          <w:sz w:val="24"/>
          <w:szCs w:val="24"/>
          <w:lang w:val="ro-RO"/>
        </w:rPr>
        <w:t>atestă</w:t>
      </w:r>
      <w:r w:rsidR="00173664" w:rsidRPr="002047F4">
        <w:rPr>
          <w:rFonts w:asciiTheme="majorHAnsi" w:hAnsiTheme="majorHAnsi" w:cstheme="majorHAnsi"/>
          <w:sz w:val="24"/>
          <w:szCs w:val="24"/>
          <w:lang w:val="ro-RO"/>
        </w:rPr>
        <w:t xml:space="preserve"> că datoria băncilor supuse lichidării la finele anului 201</w:t>
      </w:r>
      <w:r w:rsidR="00090CD9">
        <w:rPr>
          <w:rFonts w:asciiTheme="majorHAnsi" w:hAnsiTheme="majorHAnsi" w:cstheme="majorHAnsi"/>
          <w:sz w:val="24"/>
          <w:szCs w:val="24"/>
          <w:lang w:val="ro-RO"/>
        </w:rPr>
        <w:t>8</w:t>
      </w:r>
      <w:r w:rsidR="00173664" w:rsidRPr="002047F4">
        <w:rPr>
          <w:rFonts w:asciiTheme="majorHAnsi" w:hAnsiTheme="majorHAnsi" w:cstheme="majorHAnsi"/>
          <w:sz w:val="24"/>
          <w:szCs w:val="24"/>
          <w:lang w:val="ro-RO"/>
        </w:rPr>
        <w:t xml:space="preserve"> a constituit 12371,8 </w:t>
      </w:r>
      <w:proofErr w:type="spellStart"/>
      <w:r w:rsidR="00173664" w:rsidRPr="002047F4">
        <w:rPr>
          <w:rFonts w:asciiTheme="majorHAnsi" w:hAnsiTheme="majorHAnsi" w:cstheme="majorHAnsi"/>
          <w:sz w:val="24"/>
          <w:szCs w:val="24"/>
          <w:lang w:val="ro-RO"/>
        </w:rPr>
        <w:t>mil.MDL</w:t>
      </w:r>
      <w:proofErr w:type="spellEnd"/>
      <w:r w:rsidR="00173664" w:rsidRPr="002047F4">
        <w:rPr>
          <w:rFonts w:asciiTheme="majorHAnsi" w:hAnsiTheme="majorHAnsi" w:cstheme="majorHAnsi"/>
          <w:sz w:val="24"/>
          <w:szCs w:val="24"/>
          <w:lang w:val="ro-RO"/>
        </w:rPr>
        <w:t>. Astfel, în anul 2018</w:t>
      </w:r>
      <w:r w:rsidR="006E4771" w:rsidRPr="002047F4">
        <w:rPr>
          <w:rFonts w:asciiTheme="majorHAnsi" w:hAnsiTheme="majorHAnsi" w:cstheme="majorHAnsi"/>
          <w:sz w:val="24"/>
          <w:szCs w:val="24"/>
          <w:lang w:val="ro-RO"/>
        </w:rPr>
        <w:t>, din valorificarea activel</w:t>
      </w:r>
      <w:r w:rsidR="00173664" w:rsidRPr="002047F4">
        <w:rPr>
          <w:rFonts w:asciiTheme="majorHAnsi" w:hAnsiTheme="majorHAnsi" w:cstheme="majorHAnsi"/>
          <w:sz w:val="24"/>
          <w:szCs w:val="24"/>
          <w:lang w:val="ro-RO"/>
        </w:rPr>
        <w:t>or băncilor supuse lichidării („Banca de Economii” SA, BC „Banca Socială” SA, BC „</w:t>
      </w:r>
      <w:proofErr w:type="spellStart"/>
      <w:r w:rsidR="00173664" w:rsidRPr="002047F4">
        <w:rPr>
          <w:rFonts w:asciiTheme="majorHAnsi" w:hAnsiTheme="majorHAnsi" w:cstheme="majorHAnsi"/>
          <w:sz w:val="24"/>
          <w:szCs w:val="24"/>
          <w:lang w:val="ro-RO"/>
        </w:rPr>
        <w:t>Unibank</w:t>
      </w:r>
      <w:proofErr w:type="spellEnd"/>
      <w:r w:rsidR="00173664" w:rsidRPr="002047F4">
        <w:rPr>
          <w:rFonts w:asciiTheme="majorHAnsi" w:hAnsiTheme="majorHAnsi" w:cstheme="majorHAnsi"/>
          <w:sz w:val="24"/>
          <w:szCs w:val="24"/>
          <w:lang w:val="ro-RO"/>
        </w:rPr>
        <w:t>” SA)</w:t>
      </w:r>
      <w:r w:rsidR="00AD5C6F">
        <w:rPr>
          <w:rFonts w:asciiTheme="majorHAnsi" w:hAnsiTheme="majorHAnsi" w:cstheme="majorHAnsi"/>
          <w:sz w:val="24"/>
          <w:szCs w:val="24"/>
          <w:lang w:val="ro-RO"/>
        </w:rPr>
        <w:t>,</w:t>
      </w:r>
      <w:r w:rsidR="00173664" w:rsidRPr="002047F4">
        <w:rPr>
          <w:rFonts w:asciiTheme="majorHAnsi" w:hAnsiTheme="majorHAnsi" w:cstheme="majorHAnsi"/>
          <w:sz w:val="24"/>
          <w:szCs w:val="24"/>
          <w:lang w:val="ro-RO"/>
        </w:rPr>
        <w:t xml:space="preserve"> l</w:t>
      </w:r>
      <w:r w:rsidR="006E4771" w:rsidRPr="002047F4">
        <w:rPr>
          <w:rFonts w:asciiTheme="majorHAnsi" w:hAnsiTheme="majorHAnsi" w:cstheme="majorHAnsi"/>
          <w:sz w:val="24"/>
          <w:szCs w:val="24"/>
          <w:lang w:val="ro-RO"/>
        </w:rPr>
        <w:t xml:space="preserve">a contul bugetului de stat s-au încasat mijloace </w:t>
      </w:r>
      <w:r w:rsidR="00D24508">
        <w:rPr>
          <w:rFonts w:asciiTheme="majorHAnsi" w:hAnsiTheme="majorHAnsi" w:cstheme="majorHAnsi"/>
          <w:sz w:val="24"/>
          <w:szCs w:val="24"/>
          <w:lang w:val="ro-RO"/>
        </w:rPr>
        <w:t xml:space="preserve">bănești </w:t>
      </w:r>
      <w:r w:rsidR="006E4771" w:rsidRPr="002047F4">
        <w:rPr>
          <w:rFonts w:asciiTheme="majorHAnsi" w:hAnsiTheme="majorHAnsi" w:cstheme="majorHAnsi"/>
          <w:sz w:val="24"/>
          <w:szCs w:val="24"/>
          <w:lang w:val="ro-RO"/>
        </w:rPr>
        <w:t xml:space="preserve">în sumă de </w:t>
      </w:r>
      <w:r w:rsidR="004D7077">
        <w:rPr>
          <w:rFonts w:asciiTheme="majorHAnsi" w:hAnsiTheme="majorHAnsi" w:cstheme="majorHAnsi"/>
          <w:sz w:val="24"/>
          <w:szCs w:val="24"/>
          <w:lang w:val="ro-RO"/>
        </w:rPr>
        <w:t>678,8</w:t>
      </w:r>
      <w:r w:rsidR="006E4771" w:rsidRPr="002047F4">
        <w:rPr>
          <w:rFonts w:asciiTheme="majorHAnsi" w:hAnsiTheme="majorHAnsi" w:cstheme="majorHAnsi"/>
          <w:sz w:val="24"/>
          <w:szCs w:val="24"/>
          <w:lang w:val="ro-RO"/>
        </w:rPr>
        <w:t xml:space="preserve"> </w:t>
      </w:r>
      <w:proofErr w:type="spellStart"/>
      <w:r w:rsidR="006E4771"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004D7077">
        <w:rPr>
          <w:rFonts w:asciiTheme="majorHAnsi" w:hAnsiTheme="majorHAnsi" w:cstheme="majorHAnsi"/>
          <w:sz w:val="24"/>
          <w:szCs w:val="24"/>
          <w:lang w:val="ro-RO"/>
        </w:rPr>
        <w:t>, din totalul restituit începând cu 04.10.2016</w:t>
      </w:r>
      <w:r w:rsidR="005648C9">
        <w:rPr>
          <w:rStyle w:val="ae"/>
          <w:rFonts w:asciiTheme="majorHAnsi" w:hAnsiTheme="majorHAnsi"/>
          <w:sz w:val="24"/>
          <w:szCs w:val="24"/>
          <w:lang w:val="ro-RO"/>
        </w:rPr>
        <w:footnoteReference w:id="27"/>
      </w:r>
      <w:r w:rsidR="004D7077">
        <w:rPr>
          <w:rFonts w:asciiTheme="majorHAnsi" w:hAnsiTheme="majorHAnsi" w:cstheme="majorHAnsi"/>
          <w:sz w:val="24"/>
          <w:szCs w:val="24"/>
          <w:lang w:val="ro-RO"/>
        </w:rPr>
        <w:t xml:space="preserve"> (969,4 </w:t>
      </w:r>
      <w:proofErr w:type="spellStart"/>
      <w:r w:rsidR="004D7077">
        <w:rPr>
          <w:rFonts w:asciiTheme="majorHAnsi" w:hAnsiTheme="majorHAnsi" w:cstheme="majorHAnsi"/>
          <w:sz w:val="24"/>
          <w:szCs w:val="24"/>
          <w:lang w:val="ro-RO"/>
        </w:rPr>
        <w:t>mil.MDL</w:t>
      </w:r>
      <w:proofErr w:type="spellEnd"/>
      <w:r w:rsidR="004D7077">
        <w:rPr>
          <w:rFonts w:asciiTheme="majorHAnsi" w:hAnsiTheme="majorHAnsi" w:cstheme="majorHAnsi"/>
          <w:sz w:val="24"/>
          <w:szCs w:val="24"/>
          <w:lang w:val="ro-RO"/>
        </w:rPr>
        <w:t>).</w:t>
      </w:r>
    </w:p>
    <w:p w14:paraId="199BA830" w14:textId="77777777" w:rsidR="00173664" w:rsidRPr="002047F4" w:rsidRDefault="00173664" w:rsidP="00173664">
      <w:pPr>
        <w:pStyle w:val="a4"/>
        <w:tabs>
          <w:tab w:val="left" w:pos="284"/>
          <w:tab w:val="left" w:pos="851"/>
        </w:tabs>
        <w:spacing w:before="240" w:after="0" w:line="276" w:lineRule="auto"/>
        <w:ind w:left="0"/>
        <w:jc w:val="both"/>
        <w:rPr>
          <w:rFonts w:asciiTheme="majorHAnsi" w:hAnsiTheme="majorHAnsi" w:cstheme="majorHAnsi"/>
          <w:sz w:val="24"/>
          <w:szCs w:val="24"/>
          <w:lang w:val="ro-RO"/>
        </w:rPr>
      </w:pPr>
    </w:p>
    <w:p w14:paraId="03900B7D" w14:textId="77777777" w:rsidR="006E4771" w:rsidRPr="002047F4" w:rsidRDefault="006E4771" w:rsidP="008B275A">
      <w:pPr>
        <w:pStyle w:val="a4"/>
        <w:tabs>
          <w:tab w:val="left" w:pos="284"/>
          <w:tab w:val="left" w:pos="851"/>
        </w:tabs>
        <w:spacing w:before="240" w:after="0" w:line="276" w:lineRule="auto"/>
        <w:ind w:left="0"/>
        <w:jc w:val="both"/>
        <w:rPr>
          <w:rFonts w:asciiTheme="majorHAnsi" w:hAnsiTheme="majorHAnsi" w:cstheme="majorHAnsi"/>
          <w:sz w:val="24"/>
          <w:szCs w:val="24"/>
          <w:lang w:val="ro-RO"/>
        </w:rPr>
      </w:pPr>
      <w:r w:rsidRPr="002047F4">
        <w:rPr>
          <w:rFonts w:asciiTheme="majorHAnsi" w:hAnsiTheme="majorHAnsi" w:cstheme="majorHAnsi"/>
          <w:i/>
          <w:sz w:val="24"/>
          <w:szCs w:val="24"/>
          <w:lang w:val="ro-RO"/>
        </w:rPr>
        <w:t xml:space="preserve">Situația privind soldul restant al datoriei băncilor supuse lichidării față de MF la finele anului </w:t>
      </w:r>
      <w:r w:rsidR="009B6303" w:rsidRPr="002047F4">
        <w:rPr>
          <w:rFonts w:asciiTheme="majorHAnsi" w:hAnsiTheme="majorHAnsi" w:cstheme="majorHAnsi"/>
          <w:i/>
          <w:sz w:val="24"/>
          <w:szCs w:val="24"/>
          <w:lang w:val="ro-RO"/>
        </w:rPr>
        <w:t>2</w:t>
      </w:r>
      <w:r w:rsidR="00173664" w:rsidRPr="002047F4">
        <w:rPr>
          <w:rFonts w:asciiTheme="majorHAnsi" w:hAnsiTheme="majorHAnsi" w:cstheme="majorHAnsi"/>
          <w:i/>
          <w:sz w:val="24"/>
          <w:szCs w:val="24"/>
          <w:lang w:val="ro-RO"/>
        </w:rPr>
        <w:t>018</w:t>
      </w:r>
      <w:r w:rsidR="00306618" w:rsidRPr="002047F4">
        <w:rPr>
          <w:rFonts w:asciiTheme="majorHAnsi" w:hAnsiTheme="majorHAnsi" w:cstheme="majorHAnsi"/>
          <w:i/>
          <w:sz w:val="24"/>
          <w:szCs w:val="24"/>
          <w:lang w:val="ro-RO"/>
        </w:rPr>
        <w:t xml:space="preserve"> </w:t>
      </w:r>
      <w:r w:rsidR="000E7727" w:rsidRPr="002047F4">
        <w:rPr>
          <w:rFonts w:asciiTheme="majorHAnsi" w:hAnsiTheme="majorHAnsi" w:cstheme="majorHAnsi"/>
          <w:i/>
          <w:sz w:val="24"/>
          <w:szCs w:val="24"/>
          <w:lang w:val="ro-RO"/>
        </w:rPr>
        <w:t>este</w:t>
      </w:r>
      <w:r w:rsidR="00306618" w:rsidRPr="002047F4">
        <w:rPr>
          <w:rFonts w:asciiTheme="majorHAnsi" w:hAnsiTheme="majorHAnsi" w:cstheme="majorHAnsi"/>
          <w:i/>
          <w:sz w:val="24"/>
          <w:szCs w:val="24"/>
          <w:lang w:val="ro-RO"/>
        </w:rPr>
        <w:t xml:space="preserve"> prez</w:t>
      </w:r>
      <w:r w:rsidR="000E7727" w:rsidRPr="002047F4">
        <w:rPr>
          <w:rFonts w:asciiTheme="majorHAnsi" w:hAnsiTheme="majorHAnsi" w:cstheme="majorHAnsi"/>
          <w:i/>
          <w:sz w:val="24"/>
          <w:szCs w:val="24"/>
          <w:lang w:val="ro-RO"/>
        </w:rPr>
        <w:t>enta</w:t>
      </w:r>
      <w:r w:rsidR="001D5664">
        <w:rPr>
          <w:rFonts w:asciiTheme="majorHAnsi" w:hAnsiTheme="majorHAnsi" w:cstheme="majorHAnsi"/>
          <w:i/>
          <w:sz w:val="24"/>
          <w:szCs w:val="24"/>
          <w:lang w:val="ro-RO"/>
        </w:rPr>
        <w:t>tă în Tabelul nr.9</w:t>
      </w:r>
      <w:r w:rsidRPr="002047F4">
        <w:rPr>
          <w:rFonts w:asciiTheme="majorHAnsi" w:hAnsiTheme="majorHAnsi" w:cstheme="majorHAnsi"/>
          <w:sz w:val="24"/>
          <w:szCs w:val="24"/>
          <w:lang w:val="ro-RO"/>
        </w:rPr>
        <w:t>.</w:t>
      </w:r>
    </w:p>
    <w:p w14:paraId="481569EA" w14:textId="77777777" w:rsidR="006E4771" w:rsidRPr="002047F4" w:rsidRDefault="001D5664" w:rsidP="006E4771">
      <w:pPr>
        <w:pStyle w:val="a4"/>
        <w:spacing w:after="0"/>
        <w:jc w:val="right"/>
        <w:rPr>
          <w:rFonts w:asciiTheme="majorHAnsi" w:hAnsiTheme="majorHAnsi" w:cstheme="majorHAnsi"/>
          <w:b/>
          <w:sz w:val="24"/>
          <w:szCs w:val="24"/>
          <w:lang w:val="ro-RO"/>
        </w:rPr>
      </w:pPr>
      <w:r>
        <w:rPr>
          <w:rFonts w:asciiTheme="majorHAnsi" w:hAnsiTheme="majorHAnsi" w:cstheme="majorHAnsi"/>
          <w:b/>
          <w:sz w:val="24"/>
          <w:szCs w:val="24"/>
          <w:lang w:val="ro-RO"/>
        </w:rPr>
        <w:t>Tabelul nr.9</w:t>
      </w:r>
    </w:p>
    <w:p w14:paraId="788D15FD" w14:textId="77777777" w:rsidR="006E4771" w:rsidRPr="002047F4" w:rsidRDefault="00336EF9" w:rsidP="00856879">
      <w:pPr>
        <w:pStyle w:val="a4"/>
        <w:spacing w:after="0"/>
        <w:ind w:left="0"/>
        <w:jc w:val="center"/>
        <w:rPr>
          <w:rFonts w:asciiTheme="majorHAnsi" w:hAnsiTheme="majorHAnsi" w:cstheme="majorHAnsi"/>
          <w:b/>
          <w:sz w:val="24"/>
          <w:szCs w:val="24"/>
          <w:lang w:val="ro-RO"/>
        </w:rPr>
      </w:pPr>
      <w:r w:rsidRPr="002047F4">
        <w:rPr>
          <w:rFonts w:asciiTheme="majorHAnsi" w:hAnsiTheme="majorHAnsi" w:cstheme="majorHAnsi"/>
          <w:b/>
          <w:sz w:val="24"/>
          <w:szCs w:val="24"/>
          <w:lang w:val="ro-RO"/>
        </w:rPr>
        <w:t>Evoluția datoriilor</w:t>
      </w:r>
      <w:r w:rsidR="006E4771" w:rsidRPr="002047F4">
        <w:rPr>
          <w:rFonts w:asciiTheme="majorHAnsi" w:hAnsiTheme="majorHAnsi" w:cstheme="majorHAnsi"/>
          <w:b/>
          <w:sz w:val="24"/>
          <w:szCs w:val="24"/>
          <w:lang w:val="ro-RO"/>
        </w:rPr>
        <w:t xml:space="preserve"> băncilor supuse lichidării față de MF</w:t>
      </w:r>
      <w:r w:rsidR="00A13BD4" w:rsidRPr="002047F4">
        <w:rPr>
          <w:rFonts w:asciiTheme="majorHAnsi" w:hAnsiTheme="majorHAnsi" w:cstheme="majorHAnsi"/>
          <w:b/>
          <w:sz w:val="24"/>
          <w:szCs w:val="24"/>
          <w:lang w:val="ro-RO"/>
        </w:rPr>
        <w:t xml:space="preserve">, </w:t>
      </w:r>
      <w:r w:rsidR="006E4771" w:rsidRPr="002047F4">
        <w:rPr>
          <w:rFonts w:asciiTheme="majorHAnsi" w:hAnsiTheme="majorHAnsi" w:cstheme="majorHAnsi"/>
          <w:b/>
          <w:sz w:val="24"/>
          <w:szCs w:val="24"/>
          <w:lang w:val="ro-RO"/>
        </w:rPr>
        <w:t xml:space="preserve"> </w:t>
      </w:r>
      <w:proofErr w:type="spellStart"/>
      <w:r w:rsidR="006E4771" w:rsidRPr="002047F4">
        <w:rPr>
          <w:rFonts w:asciiTheme="majorHAnsi" w:hAnsiTheme="majorHAnsi" w:cstheme="majorHAnsi"/>
          <w:b/>
          <w:sz w:val="24"/>
          <w:szCs w:val="24"/>
          <w:lang w:val="ro-RO"/>
        </w:rPr>
        <w:t>mil.</w:t>
      </w:r>
      <w:r w:rsidR="00E124FF" w:rsidRPr="002047F4">
        <w:rPr>
          <w:rFonts w:asciiTheme="majorHAnsi" w:hAnsiTheme="majorHAnsi" w:cstheme="majorHAnsi"/>
          <w:b/>
          <w:sz w:val="24"/>
          <w:szCs w:val="24"/>
          <w:lang w:val="ro-RO"/>
        </w:rPr>
        <w:t>MDL</w:t>
      </w:r>
      <w:proofErr w:type="spellEnd"/>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754"/>
        <w:gridCol w:w="738"/>
        <w:gridCol w:w="941"/>
        <w:gridCol w:w="709"/>
        <w:gridCol w:w="850"/>
        <w:gridCol w:w="791"/>
        <w:gridCol w:w="851"/>
        <w:gridCol w:w="768"/>
        <w:gridCol w:w="738"/>
        <w:gridCol w:w="738"/>
        <w:gridCol w:w="839"/>
      </w:tblGrid>
      <w:tr w:rsidR="003C5FCC" w:rsidRPr="00A3018E" w14:paraId="5CE4D13D" w14:textId="77777777" w:rsidTr="00466C72">
        <w:trPr>
          <w:cantSplit/>
          <w:trHeight w:val="1408"/>
          <w:jc w:val="center"/>
        </w:trPr>
        <w:tc>
          <w:tcPr>
            <w:tcW w:w="1106" w:type="dxa"/>
            <w:shd w:val="clear" w:color="auto" w:fill="EEECE1"/>
          </w:tcPr>
          <w:p w14:paraId="57917EE6" w14:textId="77777777" w:rsidR="003C5FCC" w:rsidRPr="00A3018E" w:rsidRDefault="003C5FCC" w:rsidP="003C5FCC">
            <w:pPr>
              <w:spacing w:after="0"/>
              <w:rPr>
                <w:rFonts w:asciiTheme="majorHAnsi" w:hAnsiTheme="majorHAnsi" w:cstheme="majorHAnsi"/>
                <w:b/>
                <w:sz w:val="18"/>
                <w:szCs w:val="18"/>
                <w:lang w:val="ro-RO"/>
              </w:rPr>
            </w:pPr>
          </w:p>
        </w:tc>
        <w:tc>
          <w:tcPr>
            <w:tcW w:w="754" w:type="dxa"/>
            <w:shd w:val="clear" w:color="auto" w:fill="EEECE1"/>
            <w:textDirection w:val="btLr"/>
          </w:tcPr>
          <w:p w14:paraId="03BE1E4B" w14:textId="77777777" w:rsidR="003C5FCC" w:rsidRPr="00A3018E" w:rsidRDefault="003C5FCC" w:rsidP="003C5FCC">
            <w:pPr>
              <w:spacing w:after="0" w:line="240" w:lineRule="auto"/>
              <w:ind w:left="113" w:right="113"/>
              <w:jc w:val="center"/>
              <w:rPr>
                <w:rFonts w:asciiTheme="majorHAnsi" w:hAnsiTheme="majorHAnsi" w:cstheme="majorHAnsi"/>
                <w:b/>
                <w:sz w:val="18"/>
                <w:szCs w:val="18"/>
                <w:lang w:val="ro-RO"/>
              </w:rPr>
            </w:pPr>
            <w:r w:rsidRPr="00A3018E">
              <w:rPr>
                <w:rFonts w:asciiTheme="majorHAnsi" w:hAnsiTheme="majorHAnsi" w:cstheme="majorHAnsi"/>
                <w:b/>
                <w:sz w:val="18"/>
                <w:szCs w:val="18"/>
                <w:lang w:val="ro-RO"/>
              </w:rPr>
              <w:t>Garanția 807ss (17.11.2014)</w:t>
            </w:r>
          </w:p>
        </w:tc>
        <w:tc>
          <w:tcPr>
            <w:tcW w:w="738" w:type="dxa"/>
            <w:shd w:val="clear" w:color="auto" w:fill="EEECE1"/>
            <w:textDirection w:val="btLr"/>
          </w:tcPr>
          <w:p w14:paraId="2F9CC377" w14:textId="77777777" w:rsidR="003C5FCC" w:rsidRPr="00A3018E" w:rsidRDefault="003C5FCC" w:rsidP="003C5FCC">
            <w:pPr>
              <w:spacing w:after="0" w:line="240" w:lineRule="auto"/>
              <w:ind w:left="113" w:right="113"/>
              <w:jc w:val="center"/>
              <w:rPr>
                <w:rFonts w:asciiTheme="majorHAnsi" w:hAnsiTheme="majorHAnsi" w:cstheme="majorHAnsi"/>
                <w:b/>
                <w:sz w:val="18"/>
                <w:szCs w:val="18"/>
                <w:lang w:val="ro-RO"/>
              </w:rPr>
            </w:pPr>
            <w:r w:rsidRPr="00A3018E">
              <w:rPr>
                <w:rFonts w:asciiTheme="majorHAnsi" w:hAnsiTheme="majorHAnsi" w:cstheme="majorHAnsi"/>
                <w:b/>
                <w:sz w:val="18"/>
                <w:szCs w:val="18"/>
                <w:lang w:val="ro-RO"/>
              </w:rPr>
              <w:t>Garanția 101ss (01.04.2015)</w:t>
            </w:r>
          </w:p>
        </w:tc>
        <w:tc>
          <w:tcPr>
            <w:tcW w:w="941" w:type="dxa"/>
            <w:shd w:val="clear" w:color="auto" w:fill="EEECE1"/>
            <w:textDirection w:val="btLr"/>
          </w:tcPr>
          <w:p w14:paraId="2C038A1E" w14:textId="77777777" w:rsidR="003C5FCC" w:rsidRDefault="003C5FCC" w:rsidP="003C5FCC">
            <w:pPr>
              <w:spacing w:after="0" w:line="240" w:lineRule="auto"/>
              <w:ind w:left="113" w:right="113"/>
              <w:jc w:val="center"/>
              <w:rPr>
                <w:rFonts w:asciiTheme="majorHAnsi" w:hAnsiTheme="majorHAnsi" w:cstheme="majorHAnsi"/>
                <w:b/>
                <w:sz w:val="18"/>
                <w:szCs w:val="18"/>
                <w:lang w:val="ro-RO"/>
              </w:rPr>
            </w:pPr>
            <w:r w:rsidRPr="00A3018E">
              <w:rPr>
                <w:rFonts w:asciiTheme="majorHAnsi" w:hAnsiTheme="majorHAnsi" w:cstheme="majorHAnsi"/>
                <w:b/>
                <w:sz w:val="18"/>
                <w:szCs w:val="18"/>
                <w:lang w:val="ro-RO"/>
              </w:rPr>
              <w:t>Total</w:t>
            </w:r>
          </w:p>
          <w:p w14:paraId="1ED66B3B" w14:textId="77777777" w:rsidR="00466C72" w:rsidRPr="00A3018E" w:rsidRDefault="00466C72" w:rsidP="003C5FCC">
            <w:pPr>
              <w:spacing w:after="0" w:line="240" w:lineRule="auto"/>
              <w:ind w:left="113" w:right="113"/>
              <w:jc w:val="center"/>
              <w:rPr>
                <w:rFonts w:asciiTheme="majorHAnsi" w:hAnsiTheme="majorHAnsi" w:cstheme="majorHAnsi"/>
                <w:b/>
                <w:sz w:val="18"/>
                <w:szCs w:val="18"/>
                <w:lang w:val="ro-RO"/>
              </w:rPr>
            </w:pPr>
            <w:r>
              <w:rPr>
                <w:rFonts w:asciiTheme="majorHAnsi" w:hAnsiTheme="majorHAnsi" w:cstheme="majorHAnsi"/>
                <w:b/>
                <w:sz w:val="18"/>
                <w:szCs w:val="18"/>
                <w:lang w:val="ro-RO"/>
              </w:rPr>
              <w:t>garanții</w:t>
            </w:r>
          </w:p>
        </w:tc>
        <w:tc>
          <w:tcPr>
            <w:tcW w:w="709" w:type="dxa"/>
            <w:shd w:val="clear" w:color="auto" w:fill="EEECE1"/>
            <w:textDirection w:val="btLr"/>
          </w:tcPr>
          <w:p w14:paraId="22DC711B" w14:textId="77777777" w:rsidR="003C5FCC" w:rsidRPr="00A3018E" w:rsidRDefault="003C5FCC" w:rsidP="003C5FCC">
            <w:pPr>
              <w:spacing w:after="0" w:line="240" w:lineRule="auto"/>
              <w:ind w:left="113" w:right="113"/>
              <w:jc w:val="center"/>
              <w:rPr>
                <w:rFonts w:asciiTheme="majorHAnsi" w:hAnsiTheme="majorHAnsi" w:cstheme="majorHAnsi"/>
                <w:b/>
                <w:sz w:val="18"/>
                <w:szCs w:val="18"/>
                <w:lang w:val="ro-RO"/>
              </w:rPr>
            </w:pPr>
            <w:r w:rsidRPr="00A3018E">
              <w:rPr>
                <w:rFonts w:asciiTheme="majorHAnsi" w:hAnsiTheme="majorHAnsi" w:cstheme="majorHAnsi"/>
                <w:b/>
                <w:sz w:val="18"/>
                <w:szCs w:val="18"/>
                <w:lang w:val="ro-RO"/>
              </w:rPr>
              <w:t>Rambursat</w:t>
            </w:r>
          </w:p>
        </w:tc>
        <w:tc>
          <w:tcPr>
            <w:tcW w:w="850" w:type="dxa"/>
            <w:shd w:val="clear" w:color="auto" w:fill="EEECE1"/>
            <w:textDirection w:val="btLr"/>
          </w:tcPr>
          <w:p w14:paraId="7DEBD4E6" w14:textId="77777777" w:rsidR="003C5FCC" w:rsidRPr="00A3018E" w:rsidRDefault="003C5FCC" w:rsidP="003C5FCC">
            <w:pPr>
              <w:spacing w:after="0" w:line="240" w:lineRule="auto"/>
              <w:ind w:left="113" w:right="113"/>
              <w:jc w:val="center"/>
              <w:rPr>
                <w:rFonts w:asciiTheme="majorHAnsi" w:hAnsiTheme="majorHAnsi" w:cstheme="majorHAnsi"/>
                <w:b/>
                <w:sz w:val="18"/>
                <w:szCs w:val="18"/>
                <w:lang w:val="ro-RO"/>
              </w:rPr>
            </w:pPr>
            <w:r w:rsidRPr="00A3018E">
              <w:rPr>
                <w:rFonts w:asciiTheme="majorHAnsi" w:hAnsiTheme="majorHAnsi" w:cstheme="majorHAnsi"/>
                <w:b/>
                <w:sz w:val="18"/>
                <w:szCs w:val="18"/>
                <w:lang w:val="ro-RO"/>
              </w:rPr>
              <w:t>Sold restant al datoriei la 31.12.2015</w:t>
            </w:r>
          </w:p>
        </w:tc>
        <w:tc>
          <w:tcPr>
            <w:tcW w:w="791" w:type="dxa"/>
            <w:shd w:val="clear" w:color="auto" w:fill="EEECE1"/>
            <w:textDirection w:val="btLr"/>
          </w:tcPr>
          <w:p w14:paraId="5B536F51" w14:textId="77777777" w:rsidR="003C5FCC" w:rsidRPr="00466C72" w:rsidRDefault="003C5FCC" w:rsidP="00466C72">
            <w:pPr>
              <w:spacing w:after="0" w:line="240" w:lineRule="auto"/>
              <w:ind w:left="113" w:right="113"/>
              <w:jc w:val="center"/>
              <w:rPr>
                <w:rFonts w:asciiTheme="majorHAnsi" w:hAnsiTheme="majorHAnsi" w:cstheme="majorHAnsi"/>
                <w:b/>
                <w:sz w:val="16"/>
                <w:szCs w:val="16"/>
                <w:lang w:val="ro-RO"/>
              </w:rPr>
            </w:pPr>
            <w:r w:rsidRPr="00466C72">
              <w:rPr>
                <w:rFonts w:asciiTheme="majorHAnsi" w:hAnsiTheme="majorHAnsi" w:cstheme="majorHAnsi"/>
                <w:b/>
                <w:sz w:val="16"/>
                <w:szCs w:val="16"/>
                <w:lang w:val="ro-RO"/>
              </w:rPr>
              <w:t>Rambursat de la 01.01.2016 până la 03.10.2016</w:t>
            </w:r>
          </w:p>
        </w:tc>
        <w:tc>
          <w:tcPr>
            <w:tcW w:w="851" w:type="dxa"/>
            <w:shd w:val="clear" w:color="auto" w:fill="EEECE1"/>
            <w:textDirection w:val="btLr"/>
          </w:tcPr>
          <w:p w14:paraId="2AE268B1" w14:textId="77777777" w:rsidR="003C5FCC" w:rsidRPr="00A3018E" w:rsidRDefault="003C5FCC" w:rsidP="003C5FCC">
            <w:pPr>
              <w:spacing w:after="0" w:line="240" w:lineRule="auto"/>
              <w:ind w:left="113" w:right="113"/>
              <w:jc w:val="center"/>
              <w:rPr>
                <w:rFonts w:asciiTheme="majorHAnsi" w:hAnsiTheme="majorHAnsi" w:cstheme="majorHAnsi"/>
                <w:b/>
                <w:sz w:val="18"/>
                <w:szCs w:val="18"/>
                <w:lang w:val="ro-RO"/>
              </w:rPr>
            </w:pPr>
            <w:r w:rsidRPr="00A3018E">
              <w:rPr>
                <w:rFonts w:asciiTheme="majorHAnsi" w:hAnsiTheme="majorHAnsi" w:cstheme="majorHAnsi"/>
                <w:b/>
                <w:sz w:val="18"/>
                <w:szCs w:val="18"/>
                <w:lang w:val="ro-RO"/>
              </w:rPr>
              <w:t xml:space="preserve">Sold restant al datoriei la </w:t>
            </w:r>
          </w:p>
          <w:p w14:paraId="4AD72837" w14:textId="77777777" w:rsidR="003C5FCC" w:rsidRPr="00A3018E" w:rsidRDefault="003C5FCC" w:rsidP="003C5FCC">
            <w:pPr>
              <w:spacing w:after="0" w:line="240" w:lineRule="auto"/>
              <w:ind w:left="113" w:right="113"/>
              <w:jc w:val="center"/>
              <w:rPr>
                <w:rFonts w:asciiTheme="majorHAnsi" w:hAnsiTheme="majorHAnsi" w:cstheme="majorHAnsi"/>
                <w:b/>
                <w:sz w:val="18"/>
                <w:szCs w:val="18"/>
                <w:lang w:val="ro-RO"/>
              </w:rPr>
            </w:pPr>
            <w:r w:rsidRPr="00A3018E">
              <w:rPr>
                <w:rFonts w:asciiTheme="majorHAnsi" w:hAnsiTheme="majorHAnsi" w:cstheme="majorHAnsi"/>
                <w:b/>
                <w:sz w:val="18"/>
                <w:szCs w:val="18"/>
                <w:lang w:val="ro-RO"/>
              </w:rPr>
              <w:t>03.10.2016</w:t>
            </w:r>
          </w:p>
        </w:tc>
        <w:tc>
          <w:tcPr>
            <w:tcW w:w="768" w:type="dxa"/>
            <w:shd w:val="clear" w:color="auto" w:fill="EEECE1"/>
            <w:textDirection w:val="btLr"/>
          </w:tcPr>
          <w:p w14:paraId="3B2E9E9F" w14:textId="77777777" w:rsidR="003C5FCC" w:rsidRPr="00A3018E" w:rsidRDefault="003C5FCC" w:rsidP="003C5FCC">
            <w:pPr>
              <w:spacing w:after="0" w:line="240" w:lineRule="auto"/>
              <w:ind w:left="113" w:right="113"/>
              <w:jc w:val="center"/>
              <w:rPr>
                <w:rFonts w:asciiTheme="majorHAnsi" w:hAnsiTheme="majorHAnsi" w:cstheme="majorHAnsi"/>
                <w:b/>
                <w:sz w:val="18"/>
                <w:szCs w:val="18"/>
                <w:lang w:val="ro-RO"/>
              </w:rPr>
            </w:pPr>
            <w:r w:rsidRPr="00A3018E">
              <w:rPr>
                <w:rFonts w:asciiTheme="majorHAnsi" w:hAnsiTheme="majorHAnsi" w:cstheme="majorHAnsi"/>
                <w:b/>
                <w:sz w:val="18"/>
                <w:szCs w:val="18"/>
                <w:lang w:val="ro-RO"/>
              </w:rPr>
              <w:t>Rambursat în  04.10.2016-31.12.2016</w:t>
            </w:r>
          </w:p>
        </w:tc>
        <w:tc>
          <w:tcPr>
            <w:tcW w:w="738" w:type="dxa"/>
            <w:shd w:val="clear" w:color="auto" w:fill="EEECE1"/>
            <w:textDirection w:val="btLr"/>
          </w:tcPr>
          <w:p w14:paraId="06880F09" w14:textId="77777777" w:rsidR="003C5FCC" w:rsidRPr="00A3018E" w:rsidRDefault="003C5FCC" w:rsidP="003C5FCC">
            <w:pPr>
              <w:spacing w:after="0" w:line="240" w:lineRule="auto"/>
              <w:ind w:left="113" w:right="113"/>
              <w:jc w:val="center"/>
              <w:rPr>
                <w:rFonts w:asciiTheme="majorHAnsi" w:hAnsiTheme="majorHAnsi" w:cstheme="majorHAnsi"/>
                <w:b/>
                <w:sz w:val="18"/>
                <w:szCs w:val="18"/>
                <w:lang w:val="ro-RO"/>
              </w:rPr>
            </w:pPr>
            <w:r w:rsidRPr="00A3018E">
              <w:rPr>
                <w:rFonts w:asciiTheme="majorHAnsi" w:hAnsiTheme="majorHAnsi" w:cstheme="majorHAnsi"/>
                <w:b/>
                <w:sz w:val="18"/>
                <w:szCs w:val="18"/>
                <w:lang w:val="ro-RO"/>
              </w:rPr>
              <w:t>Rambursat 2017</w:t>
            </w:r>
          </w:p>
        </w:tc>
        <w:tc>
          <w:tcPr>
            <w:tcW w:w="738" w:type="dxa"/>
            <w:shd w:val="clear" w:color="auto" w:fill="EEECE1"/>
            <w:textDirection w:val="btLr"/>
          </w:tcPr>
          <w:p w14:paraId="2CB57482" w14:textId="77777777" w:rsidR="003C5FCC" w:rsidRPr="00A3018E" w:rsidRDefault="003C5FCC" w:rsidP="003C5FCC">
            <w:pPr>
              <w:spacing w:after="0" w:line="240" w:lineRule="auto"/>
              <w:ind w:left="113" w:right="113"/>
              <w:jc w:val="center"/>
              <w:rPr>
                <w:rFonts w:asciiTheme="majorHAnsi" w:hAnsiTheme="majorHAnsi" w:cstheme="majorHAnsi"/>
                <w:b/>
                <w:sz w:val="18"/>
                <w:szCs w:val="18"/>
                <w:lang w:val="ro-RO"/>
              </w:rPr>
            </w:pPr>
            <w:r>
              <w:rPr>
                <w:rFonts w:asciiTheme="majorHAnsi" w:hAnsiTheme="majorHAnsi" w:cstheme="majorHAnsi"/>
                <w:b/>
                <w:sz w:val="18"/>
                <w:szCs w:val="18"/>
                <w:lang w:val="ro-RO"/>
              </w:rPr>
              <w:t>Rambursat 2018</w:t>
            </w:r>
          </w:p>
        </w:tc>
        <w:tc>
          <w:tcPr>
            <w:tcW w:w="839" w:type="dxa"/>
            <w:shd w:val="clear" w:color="auto" w:fill="EEECE1"/>
            <w:textDirection w:val="btLr"/>
          </w:tcPr>
          <w:p w14:paraId="48436775" w14:textId="77777777" w:rsidR="003C5FCC" w:rsidRPr="00A3018E" w:rsidRDefault="003C5FCC" w:rsidP="003C5FCC">
            <w:pPr>
              <w:spacing w:after="0" w:line="240" w:lineRule="auto"/>
              <w:ind w:left="113" w:right="113"/>
              <w:jc w:val="center"/>
              <w:rPr>
                <w:rFonts w:asciiTheme="majorHAnsi" w:hAnsiTheme="majorHAnsi" w:cstheme="majorHAnsi"/>
                <w:b/>
                <w:sz w:val="18"/>
                <w:szCs w:val="18"/>
                <w:lang w:val="ro-RO"/>
              </w:rPr>
            </w:pPr>
            <w:r w:rsidRPr="00A3018E">
              <w:rPr>
                <w:rFonts w:asciiTheme="majorHAnsi" w:hAnsiTheme="majorHAnsi" w:cstheme="majorHAnsi"/>
                <w:b/>
                <w:sz w:val="18"/>
                <w:szCs w:val="18"/>
                <w:lang w:val="ro-RO"/>
              </w:rPr>
              <w:t>Sold r</w:t>
            </w:r>
            <w:r>
              <w:rPr>
                <w:rFonts w:asciiTheme="majorHAnsi" w:hAnsiTheme="majorHAnsi" w:cstheme="majorHAnsi"/>
                <w:b/>
                <w:sz w:val="18"/>
                <w:szCs w:val="18"/>
                <w:lang w:val="ro-RO"/>
              </w:rPr>
              <w:t>estant al datoriei la 31.12.2018</w:t>
            </w:r>
          </w:p>
        </w:tc>
      </w:tr>
      <w:tr w:rsidR="003C5FCC" w:rsidRPr="00A3018E" w14:paraId="080C53B9" w14:textId="77777777" w:rsidTr="00466C72">
        <w:trPr>
          <w:trHeight w:val="157"/>
          <w:jc w:val="center"/>
        </w:trPr>
        <w:tc>
          <w:tcPr>
            <w:tcW w:w="1106" w:type="dxa"/>
          </w:tcPr>
          <w:p w14:paraId="513BF3EA" w14:textId="77777777" w:rsidR="003C5FCC" w:rsidRPr="00A3018E" w:rsidRDefault="003C5FCC" w:rsidP="003C5FCC">
            <w:pPr>
              <w:spacing w:after="0"/>
              <w:rPr>
                <w:rFonts w:asciiTheme="majorHAnsi" w:hAnsiTheme="majorHAnsi" w:cstheme="majorHAnsi"/>
                <w:sz w:val="18"/>
                <w:szCs w:val="18"/>
                <w:lang w:val="ro-RO"/>
              </w:rPr>
            </w:pPr>
            <w:r w:rsidRPr="00A3018E">
              <w:rPr>
                <w:rFonts w:asciiTheme="majorHAnsi" w:hAnsiTheme="majorHAnsi" w:cstheme="majorHAnsi"/>
                <w:sz w:val="18"/>
                <w:szCs w:val="18"/>
                <w:lang w:val="ro-RO"/>
              </w:rPr>
              <w:t>„Banca de Economii” SA</w:t>
            </w:r>
          </w:p>
        </w:tc>
        <w:tc>
          <w:tcPr>
            <w:tcW w:w="754" w:type="dxa"/>
            <w:vAlign w:val="center"/>
          </w:tcPr>
          <w:p w14:paraId="04094149" w14:textId="77777777" w:rsidR="003C5FCC" w:rsidRPr="00A3018E" w:rsidRDefault="003C5FCC" w:rsidP="003C5FCC">
            <w:pPr>
              <w:spacing w:after="0"/>
              <w:rPr>
                <w:rFonts w:asciiTheme="majorHAnsi" w:hAnsiTheme="majorHAnsi" w:cstheme="majorHAnsi"/>
                <w:sz w:val="18"/>
                <w:szCs w:val="18"/>
                <w:lang w:val="ro-RO"/>
              </w:rPr>
            </w:pPr>
            <w:r w:rsidRPr="00A3018E">
              <w:rPr>
                <w:rFonts w:asciiTheme="majorHAnsi" w:hAnsiTheme="majorHAnsi" w:cstheme="majorHAnsi"/>
                <w:sz w:val="18"/>
                <w:szCs w:val="18"/>
                <w:lang w:val="ro-RO"/>
              </w:rPr>
              <w:t>5273,2</w:t>
            </w:r>
          </w:p>
        </w:tc>
        <w:tc>
          <w:tcPr>
            <w:tcW w:w="738" w:type="dxa"/>
            <w:vAlign w:val="center"/>
          </w:tcPr>
          <w:p w14:paraId="721A48DC" w14:textId="77777777" w:rsidR="003C5FCC" w:rsidRPr="00A3018E" w:rsidRDefault="003C5FCC" w:rsidP="003C5FCC">
            <w:pPr>
              <w:spacing w:after="0"/>
              <w:rPr>
                <w:rFonts w:asciiTheme="majorHAnsi" w:hAnsiTheme="majorHAnsi" w:cstheme="majorHAnsi"/>
                <w:sz w:val="18"/>
                <w:szCs w:val="18"/>
                <w:lang w:val="ro-RO"/>
              </w:rPr>
            </w:pPr>
            <w:r w:rsidRPr="00A3018E">
              <w:rPr>
                <w:rFonts w:asciiTheme="majorHAnsi" w:hAnsiTheme="majorHAnsi" w:cstheme="majorHAnsi"/>
                <w:sz w:val="18"/>
                <w:szCs w:val="18"/>
                <w:lang w:val="ro-RO"/>
              </w:rPr>
              <w:t>4000,0</w:t>
            </w:r>
          </w:p>
        </w:tc>
        <w:tc>
          <w:tcPr>
            <w:tcW w:w="941" w:type="dxa"/>
            <w:vAlign w:val="center"/>
          </w:tcPr>
          <w:p w14:paraId="756A1ABA"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sz w:val="18"/>
                <w:szCs w:val="18"/>
                <w:lang w:val="ro-RO"/>
              </w:rPr>
              <w:t>9273,2</w:t>
            </w:r>
          </w:p>
        </w:tc>
        <w:tc>
          <w:tcPr>
            <w:tcW w:w="709" w:type="dxa"/>
            <w:vAlign w:val="center"/>
          </w:tcPr>
          <w:p w14:paraId="029046B0"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sz w:val="18"/>
                <w:szCs w:val="18"/>
                <w:lang w:val="ro-RO"/>
              </w:rPr>
              <w:t>69,0</w:t>
            </w:r>
          </w:p>
        </w:tc>
        <w:tc>
          <w:tcPr>
            <w:tcW w:w="850" w:type="dxa"/>
            <w:vAlign w:val="center"/>
          </w:tcPr>
          <w:p w14:paraId="73F47DD0"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sz w:val="18"/>
                <w:szCs w:val="18"/>
                <w:lang w:val="ro-RO"/>
              </w:rPr>
              <w:t>9204,2</w:t>
            </w:r>
          </w:p>
        </w:tc>
        <w:tc>
          <w:tcPr>
            <w:tcW w:w="791" w:type="dxa"/>
            <w:vAlign w:val="center"/>
          </w:tcPr>
          <w:p w14:paraId="058B9765"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sz w:val="18"/>
                <w:szCs w:val="18"/>
                <w:lang w:val="ro-RO"/>
              </w:rPr>
              <w:t>121,2</w:t>
            </w:r>
          </w:p>
        </w:tc>
        <w:tc>
          <w:tcPr>
            <w:tcW w:w="851" w:type="dxa"/>
            <w:vAlign w:val="center"/>
          </w:tcPr>
          <w:p w14:paraId="573BA76D"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sz w:val="18"/>
                <w:szCs w:val="18"/>
                <w:lang w:val="ro-RO"/>
              </w:rPr>
              <w:t>9083,0</w:t>
            </w:r>
          </w:p>
        </w:tc>
        <w:tc>
          <w:tcPr>
            <w:tcW w:w="768" w:type="dxa"/>
            <w:vAlign w:val="center"/>
          </w:tcPr>
          <w:p w14:paraId="2692E11B"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sz w:val="18"/>
                <w:szCs w:val="18"/>
                <w:lang w:val="ro-RO"/>
              </w:rPr>
              <w:t>28,2</w:t>
            </w:r>
          </w:p>
        </w:tc>
        <w:tc>
          <w:tcPr>
            <w:tcW w:w="738" w:type="dxa"/>
            <w:vAlign w:val="center"/>
          </w:tcPr>
          <w:p w14:paraId="6BD2A0D9"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sz w:val="18"/>
                <w:szCs w:val="18"/>
                <w:lang w:val="ro-RO"/>
              </w:rPr>
              <w:t>109,8</w:t>
            </w:r>
          </w:p>
        </w:tc>
        <w:tc>
          <w:tcPr>
            <w:tcW w:w="738" w:type="dxa"/>
            <w:vAlign w:val="center"/>
          </w:tcPr>
          <w:p w14:paraId="0A718F15" w14:textId="77777777" w:rsidR="003C5FCC" w:rsidRPr="00A3018E" w:rsidRDefault="003C5FCC" w:rsidP="003C5FCC">
            <w:pPr>
              <w:spacing w:after="0"/>
              <w:jc w:val="center"/>
              <w:rPr>
                <w:rFonts w:asciiTheme="majorHAnsi" w:hAnsiTheme="majorHAnsi" w:cstheme="majorHAnsi"/>
                <w:sz w:val="18"/>
                <w:szCs w:val="18"/>
                <w:lang w:val="ro-RO"/>
              </w:rPr>
            </w:pPr>
            <w:r>
              <w:rPr>
                <w:rFonts w:asciiTheme="majorHAnsi" w:hAnsiTheme="majorHAnsi" w:cstheme="majorHAnsi"/>
                <w:sz w:val="18"/>
                <w:szCs w:val="18"/>
                <w:lang w:val="ro-RO"/>
              </w:rPr>
              <w:t>544,5</w:t>
            </w:r>
          </w:p>
        </w:tc>
        <w:tc>
          <w:tcPr>
            <w:tcW w:w="839" w:type="dxa"/>
            <w:vAlign w:val="center"/>
          </w:tcPr>
          <w:p w14:paraId="418AE1FC" w14:textId="77777777" w:rsidR="003C5FCC" w:rsidRPr="00A3018E" w:rsidRDefault="003C5FCC" w:rsidP="003C5FCC">
            <w:pPr>
              <w:spacing w:after="0"/>
              <w:jc w:val="center"/>
              <w:rPr>
                <w:rFonts w:asciiTheme="majorHAnsi" w:hAnsiTheme="majorHAnsi" w:cstheme="majorHAnsi"/>
                <w:sz w:val="18"/>
                <w:szCs w:val="18"/>
                <w:lang w:val="ro-RO"/>
              </w:rPr>
            </w:pPr>
            <w:r>
              <w:rPr>
                <w:rFonts w:asciiTheme="majorHAnsi" w:hAnsiTheme="majorHAnsi" w:cstheme="majorHAnsi"/>
                <w:sz w:val="18"/>
                <w:szCs w:val="18"/>
                <w:lang w:val="ro-RO"/>
              </w:rPr>
              <w:t>8400,5</w:t>
            </w:r>
          </w:p>
        </w:tc>
      </w:tr>
      <w:tr w:rsidR="003C5FCC" w:rsidRPr="00A3018E" w14:paraId="28B085E9" w14:textId="77777777" w:rsidTr="00466C72">
        <w:trPr>
          <w:trHeight w:val="315"/>
          <w:jc w:val="center"/>
        </w:trPr>
        <w:tc>
          <w:tcPr>
            <w:tcW w:w="1106" w:type="dxa"/>
          </w:tcPr>
          <w:p w14:paraId="5BF48525" w14:textId="77777777" w:rsidR="003C5FCC" w:rsidRPr="00A3018E" w:rsidRDefault="003C5FCC" w:rsidP="003C5FCC">
            <w:pPr>
              <w:spacing w:after="0"/>
              <w:rPr>
                <w:rFonts w:asciiTheme="majorHAnsi" w:hAnsiTheme="majorHAnsi" w:cstheme="majorHAnsi"/>
                <w:sz w:val="18"/>
                <w:szCs w:val="18"/>
                <w:lang w:val="ro-RO"/>
              </w:rPr>
            </w:pPr>
            <w:r w:rsidRPr="00A3018E">
              <w:rPr>
                <w:rFonts w:asciiTheme="majorHAnsi" w:hAnsiTheme="majorHAnsi" w:cstheme="majorHAnsi"/>
                <w:sz w:val="18"/>
                <w:szCs w:val="18"/>
                <w:lang w:val="ro-RO"/>
              </w:rPr>
              <w:t>BC „Banca Socială” SA</w:t>
            </w:r>
          </w:p>
        </w:tc>
        <w:tc>
          <w:tcPr>
            <w:tcW w:w="754" w:type="dxa"/>
            <w:vAlign w:val="center"/>
          </w:tcPr>
          <w:p w14:paraId="4EA4CB56" w14:textId="77777777" w:rsidR="003C5FCC" w:rsidRPr="00A3018E" w:rsidRDefault="003C5FCC" w:rsidP="003C5FCC">
            <w:pPr>
              <w:spacing w:after="0"/>
              <w:rPr>
                <w:rFonts w:asciiTheme="majorHAnsi" w:hAnsiTheme="majorHAnsi" w:cstheme="majorHAnsi"/>
                <w:sz w:val="18"/>
                <w:szCs w:val="18"/>
                <w:lang w:val="ro-RO"/>
              </w:rPr>
            </w:pPr>
            <w:r w:rsidRPr="00A3018E">
              <w:rPr>
                <w:rFonts w:asciiTheme="majorHAnsi" w:hAnsiTheme="majorHAnsi" w:cstheme="majorHAnsi"/>
                <w:sz w:val="18"/>
                <w:szCs w:val="18"/>
                <w:lang w:val="ro-RO"/>
              </w:rPr>
              <w:t>2700,0</w:t>
            </w:r>
          </w:p>
        </w:tc>
        <w:tc>
          <w:tcPr>
            <w:tcW w:w="738" w:type="dxa"/>
            <w:vAlign w:val="center"/>
          </w:tcPr>
          <w:p w14:paraId="2319757D" w14:textId="77777777" w:rsidR="003C5FCC" w:rsidRPr="00A3018E" w:rsidRDefault="003C5FCC" w:rsidP="003C5FCC">
            <w:pPr>
              <w:spacing w:after="0"/>
              <w:rPr>
                <w:rFonts w:asciiTheme="majorHAnsi" w:hAnsiTheme="majorHAnsi" w:cstheme="majorHAnsi"/>
                <w:sz w:val="18"/>
                <w:szCs w:val="18"/>
                <w:lang w:val="ro-RO"/>
              </w:rPr>
            </w:pPr>
            <w:r w:rsidRPr="00A3018E">
              <w:rPr>
                <w:rFonts w:asciiTheme="majorHAnsi" w:hAnsiTheme="majorHAnsi" w:cstheme="majorHAnsi"/>
                <w:sz w:val="18"/>
                <w:szCs w:val="18"/>
                <w:lang w:val="ro-RO"/>
              </w:rPr>
              <w:t>-</w:t>
            </w:r>
          </w:p>
        </w:tc>
        <w:tc>
          <w:tcPr>
            <w:tcW w:w="941" w:type="dxa"/>
            <w:vAlign w:val="center"/>
          </w:tcPr>
          <w:p w14:paraId="22BD0EAF"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sz w:val="18"/>
                <w:szCs w:val="18"/>
                <w:lang w:val="ro-RO"/>
              </w:rPr>
              <w:t>2700,0</w:t>
            </w:r>
          </w:p>
        </w:tc>
        <w:tc>
          <w:tcPr>
            <w:tcW w:w="709" w:type="dxa"/>
            <w:vAlign w:val="center"/>
          </w:tcPr>
          <w:p w14:paraId="49E913FC"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sz w:val="18"/>
                <w:szCs w:val="18"/>
                <w:lang w:val="ro-RO"/>
              </w:rPr>
              <w:t>120,0</w:t>
            </w:r>
          </w:p>
        </w:tc>
        <w:tc>
          <w:tcPr>
            <w:tcW w:w="850" w:type="dxa"/>
            <w:vAlign w:val="center"/>
          </w:tcPr>
          <w:p w14:paraId="0DB07E2C"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sz w:val="18"/>
                <w:szCs w:val="18"/>
                <w:lang w:val="ro-RO"/>
              </w:rPr>
              <w:t>2580,0</w:t>
            </w:r>
          </w:p>
        </w:tc>
        <w:tc>
          <w:tcPr>
            <w:tcW w:w="791" w:type="dxa"/>
            <w:vAlign w:val="center"/>
          </w:tcPr>
          <w:p w14:paraId="46E5065F"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sz w:val="18"/>
                <w:szCs w:val="18"/>
                <w:lang w:val="ro-RO"/>
              </w:rPr>
              <w:t>188,0</w:t>
            </w:r>
          </w:p>
        </w:tc>
        <w:tc>
          <w:tcPr>
            <w:tcW w:w="851" w:type="dxa"/>
            <w:vAlign w:val="center"/>
          </w:tcPr>
          <w:p w14:paraId="5B3240AE"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sz w:val="18"/>
                <w:szCs w:val="18"/>
                <w:lang w:val="ro-RO"/>
              </w:rPr>
              <w:t>2392,0</w:t>
            </w:r>
          </w:p>
        </w:tc>
        <w:tc>
          <w:tcPr>
            <w:tcW w:w="768" w:type="dxa"/>
            <w:vAlign w:val="center"/>
          </w:tcPr>
          <w:p w14:paraId="31E828B5"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sz w:val="18"/>
                <w:szCs w:val="18"/>
                <w:lang w:val="ro-RO"/>
              </w:rPr>
              <w:t>44,0</w:t>
            </w:r>
          </w:p>
        </w:tc>
        <w:tc>
          <w:tcPr>
            <w:tcW w:w="738" w:type="dxa"/>
            <w:vAlign w:val="center"/>
          </w:tcPr>
          <w:p w14:paraId="326E64E6"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sz w:val="18"/>
                <w:szCs w:val="18"/>
                <w:lang w:val="ro-RO"/>
              </w:rPr>
              <w:t>90,0</w:t>
            </w:r>
          </w:p>
        </w:tc>
        <w:tc>
          <w:tcPr>
            <w:tcW w:w="738" w:type="dxa"/>
            <w:vAlign w:val="center"/>
          </w:tcPr>
          <w:p w14:paraId="5021876C" w14:textId="77777777" w:rsidR="003C5FCC" w:rsidRPr="00A3018E" w:rsidRDefault="003C5FCC" w:rsidP="003C5FCC">
            <w:pPr>
              <w:spacing w:after="0"/>
              <w:jc w:val="center"/>
              <w:rPr>
                <w:rFonts w:asciiTheme="majorHAnsi" w:hAnsiTheme="majorHAnsi" w:cstheme="majorHAnsi"/>
                <w:sz w:val="18"/>
                <w:szCs w:val="18"/>
                <w:lang w:val="ro-RO"/>
              </w:rPr>
            </w:pPr>
            <w:r>
              <w:rPr>
                <w:rFonts w:asciiTheme="majorHAnsi" w:hAnsiTheme="majorHAnsi" w:cstheme="majorHAnsi"/>
                <w:sz w:val="18"/>
                <w:szCs w:val="18"/>
                <w:lang w:val="ro-RO"/>
              </w:rPr>
              <w:t>127,5</w:t>
            </w:r>
          </w:p>
        </w:tc>
        <w:tc>
          <w:tcPr>
            <w:tcW w:w="839" w:type="dxa"/>
            <w:vAlign w:val="center"/>
          </w:tcPr>
          <w:p w14:paraId="31551918" w14:textId="77777777" w:rsidR="003C5FCC" w:rsidRPr="00A3018E" w:rsidRDefault="003C5FCC" w:rsidP="003C5FCC">
            <w:pPr>
              <w:spacing w:after="0"/>
              <w:jc w:val="center"/>
              <w:rPr>
                <w:rFonts w:asciiTheme="majorHAnsi" w:hAnsiTheme="majorHAnsi" w:cstheme="majorHAnsi"/>
                <w:sz w:val="18"/>
                <w:szCs w:val="18"/>
                <w:lang w:val="ro-RO"/>
              </w:rPr>
            </w:pPr>
            <w:r>
              <w:rPr>
                <w:rFonts w:asciiTheme="majorHAnsi" w:hAnsiTheme="majorHAnsi" w:cstheme="majorHAnsi"/>
                <w:sz w:val="18"/>
                <w:szCs w:val="18"/>
                <w:lang w:val="ro-RO"/>
              </w:rPr>
              <w:t>2130,5</w:t>
            </w:r>
          </w:p>
        </w:tc>
      </w:tr>
      <w:tr w:rsidR="003C5FCC" w:rsidRPr="00A3018E" w14:paraId="44B900CD" w14:textId="77777777" w:rsidTr="00466C72">
        <w:trPr>
          <w:trHeight w:val="251"/>
          <w:jc w:val="center"/>
        </w:trPr>
        <w:tc>
          <w:tcPr>
            <w:tcW w:w="1106" w:type="dxa"/>
          </w:tcPr>
          <w:p w14:paraId="170E0D78" w14:textId="77777777" w:rsidR="003C5FCC" w:rsidRPr="00A3018E" w:rsidRDefault="003C5FCC" w:rsidP="003C5FCC">
            <w:pPr>
              <w:spacing w:after="0"/>
              <w:rPr>
                <w:rFonts w:asciiTheme="majorHAnsi" w:hAnsiTheme="majorHAnsi" w:cstheme="majorHAnsi"/>
                <w:sz w:val="18"/>
                <w:szCs w:val="18"/>
                <w:lang w:val="ro-RO"/>
              </w:rPr>
            </w:pPr>
            <w:r w:rsidRPr="00A3018E">
              <w:rPr>
                <w:rFonts w:asciiTheme="majorHAnsi" w:hAnsiTheme="majorHAnsi" w:cstheme="majorHAnsi"/>
                <w:sz w:val="18"/>
                <w:szCs w:val="18"/>
                <w:lang w:val="ro-RO"/>
              </w:rPr>
              <w:t>BC „</w:t>
            </w:r>
            <w:proofErr w:type="spellStart"/>
            <w:r w:rsidRPr="00A3018E">
              <w:rPr>
                <w:rFonts w:asciiTheme="majorHAnsi" w:hAnsiTheme="majorHAnsi" w:cstheme="majorHAnsi"/>
                <w:sz w:val="18"/>
                <w:szCs w:val="18"/>
                <w:lang w:val="ro-RO"/>
              </w:rPr>
              <w:t>Unibank</w:t>
            </w:r>
            <w:proofErr w:type="spellEnd"/>
            <w:r w:rsidRPr="00A3018E">
              <w:rPr>
                <w:rFonts w:asciiTheme="majorHAnsi" w:hAnsiTheme="majorHAnsi" w:cstheme="majorHAnsi"/>
                <w:sz w:val="18"/>
                <w:szCs w:val="18"/>
                <w:lang w:val="ro-RO"/>
              </w:rPr>
              <w:t>” SA</w:t>
            </w:r>
          </w:p>
        </w:tc>
        <w:tc>
          <w:tcPr>
            <w:tcW w:w="754" w:type="dxa"/>
            <w:vAlign w:val="center"/>
          </w:tcPr>
          <w:p w14:paraId="1127758F" w14:textId="77777777" w:rsidR="003C5FCC" w:rsidRPr="00A3018E" w:rsidRDefault="003C5FCC" w:rsidP="003C5FCC">
            <w:pPr>
              <w:spacing w:after="0"/>
              <w:rPr>
                <w:rFonts w:asciiTheme="majorHAnsi" w:hAnsiTheme="majorHAnsi" w:cstheme="majorHAnsi"/>
                <w:sz w:val="18"/>
                <w:szCs w:val="18"/>
                <w:lang w:val="ro-RO"/>
              </w:rPr>
            </w:pPr>
            <w:r w:rsidRPr="00A3018E">
              <w:rPr>
                <w:rFonts w:asciiTheme="majorHAnsi" w:hAnsiTheme="majorHAnsi" w:cstheme="majorHAnsi"/>
                <w:sz w:val="18"/>
                <w:szCs w:val="18"/>
                <w:lang w:val="ro-RO"/>
              </w:rPr>
              <w:t>1353,5</w:t>
            </w:r>
          </w:p>
        </w:tc>
        <w:tc>
          <w:tcPr>
            <w:tcW w:w="738" w:type="dxa"/>
            <w:vAlign w:val="center"/>
          </w:tcPr>
          <w:p w14:paraId="31D5B4EF" w14:textId="77777777" w:rsidR="003C5FCC" w:rsidRPr="00A3018E" w:rsidRDefault="003C5FCC" w:rsidP="003C5FCC">
            <w:pPr>
              <w:spacing w:after="0"/>
              <w:rPr>
                <w:rFonts w:asciiTheme="majorHAnsi" w:hAnsiTheme="majorHAnsi" w:cstheme="majorHAnsi"/>
                <w:sz w:val="18"/>
                <w:szCs w:val="18"/>
                <w:lang w:val="ro-RO"/>
              </w:rPr>
            </w:pPr>
            <w:r w:rsidRPr="00A3018E">
              <w:rPr>
                <w:rFonts w:asciiTheme="majorHAnsi" w:hAnsiTheme="majorHAnsi" w:cstheme="majorHAnsi"/>
                <w:sz w:val="18"/>
                <w:szCs w:val="18"/>
                <w:lang w:val="ro-RO"/>
              </w:rPr>
              <w:t>795,0</w:t>
            </w:r>
          </w:p>
        </w:tc>
        <w:tc>
          <w:tcPr>
            <w:tcW w:w="941" w:type="dxa"/>
            <w:vAlign w:val="center"/>
          </w:tcPr>
          <w:p w14:paraId="6E8B0153"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sz w:val="18"/>
                <w:szCs w:val="18"/>
                <w:lang w:val="ro-RO"/>
              </w:rPr>
              <w:t>2148,5</w:t>
            </w:r>
          </w:p>
        </w:tc>
        <w:tc>
          <w:tcPr>
            <w:tcW w:w="709" w:type="dxa"/>
            <w:vAlign w:val="center"/>
          </w:tcPr>
          <w:p w14:paraId="65BEB873"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sz w:val="18"/>
                <w:szCs w:val="18"/>
                <w:lang w:val="ro-RO"/>
              </w:rPr>
              <w:t>243,5</w:t>
            </w:r>
          </w:p>
        </w:tc>
        <w:tc>
          <w:tcPr>
            <w:tcW w:w="850" w:type="dxa"/>
            <w:vAlign w:val="center"/>
          </w:tcPr>
          <w:p w14:paraId="60B6F1D0"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sz w:val="18"/>
                <w:szCs w:val="18"/>
                <w:lang w:val="ro-RO"/>
              </w:rPr>
              <w:t>1905,0</w:t>
            </w:r>
          </w:p>
        </w:tc>
        <w:tc>
          <w:tcPr>
            <w:tcW w:w="791" w:type="dxa"/>
            <w:vAlign w:val="center"/>
          </w:tcPr>
          <w:p w14:paraId="656790D3"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sz w:val="18"/>
                <w:szCs w:val="18"/>
                <w:lang w:val="ro-RO"/>
              </w:rPr>
              <w:t>38,8</w:t>
            </w:r>
          </w:p>
        </w:tc>
        <w:tc>
          <w:tcPr>
            <w:tcW w:w="851" w:type="dxa"/>
            <w:vAlign w:val="center"/>
          </w:tcPr>
          <w:p w14:paraId="512BEDCE"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sz w:val="18"/>
                <w:szCs w:val="18"/>
                <w:lang w:val="ro-RO"/>
              </w:rPr>
              <w:t>1866,2</w:t>
            </w:r>
          </w:p>
        </w:tc>
        <w:tc>
          <w:tcPr>
            <w:tcW w:w="768" w:type="dxa"/>
            <w:vAlign w:val="center"/>
          </w:tcPr>
          <w:p w14:paraId="1D4EDB0B"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sz w:val="18"/>
                <w:szCs w:val="18"/>
                <w:lang w:val="ro-RO"/>
              </w:rPr>
              <w:t>8,5</w:t>
            </w:r>
          </w:p>
        </w:tc>
        <w:tc>
          <w:tcPr>
            <w:tcW w:w="738" w:type="dxa"/>
            <w:vAlign w:val="center"/>
          </w:tcPr>
          <w:p w14:paraId="7535FB5A"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sz w:val="18"/>
                <w:szCs w:val="18"/>
                <w:lang w:val="ro-RO"/>
              </w:rPr>
              <w:t>10,1</w:t>
            </w:r>
          </w:p>
        </w:tc>
        <w:tc>
          <w:tcPr>
            <w:tcW w:w="738" w:type="dxa"/>
            <w:vAlign w:val="center"/>
          </w:tcPr>
          <w:p w14:paraId="32F89B0A" w14:textId="77777777" w:rsidR="003C5FCC" w:rsidRPr="00A3018E" w:rsidRDefault="003C5FCC" w:rsidP="003C5FCC">
            <w:pPr>
              <w:spacing w:after="0"/>
              <w:jc w:val="center"/>
              <w:rPr>
                <w:rFonts w:asciiTheme="majorHAnsi" w:hAnsiTheme="majorHAnsi" w:cstheme="majorHAnsi"/>
                <w:sz w:val="18"/>
                <w:szCs w:val="18"/>
                <w:lang w:val="ro-RO"/>
              </w:rPr>
            </w:pPr>
            <w:r>
              <w:rPr>
                <w:rFonts w:asciiTheme="majorHAnsi" w:hAnsiTheme="majorHAnsi" w:cstheme="majorHAnsi"/>
                <w:sz w:val="18"/>
                <w:szCs w:val="18"/>
                <w:lang w:val="ro-RO"/>
              </w:rPr>
              <w:t>6,8</w:t>
            </w:r>
          </w:p>
        </w:tc>
        <w:tc>
          <w:tcPr>
            <w:tcW w:w="839" w:type="dxa"/>
            <w:vAlign w:val="center"/>
          </w:tcPr>
          <w:p w14:paraId="0660A57B" w14:textId="77777777" w:rsidR="003C5FCC" w:rsidRPr="00A3018E" w:rsidRDefault="003C5FCC" w:rsidP="003C5FCC">
            <w:pPr>
              <w:spacing w:after="0"/>
              <w:jc w:val="center"/>
              <w:rPr>
                <w:rFonts w:asciiTheme="majorHAnsi" w:hAnsiTheme="majorHAnsi" w:cstheme="majorHAnsi"/>
                <w:sz w:val="18"/>
                <w:szCs w:val="18"/>
                <w:lang w:val="ro-RO"/>
              </w:rPr>
            </w:pPr>
            <w:r>
              <w:rPr>
                <w:rFonts w:asciiTheme="majorHAnsi" w:hAnsiTheme="majorHAnsi" w:cstheme="majorHAnsi"/>
                <w:sz w:val="18"/>
                <w:szCs w:val="18"/>
                <w:lang w:val="ro-RO"/>
              </w:rPr>
              <w:t>1840,8</w:t>
            </w:r>
          </w:p>
        </w:tc>
      </w:tr>
      <w:tr w:rsidR="003C5FCC" w:rsidRPr="00A3018E" w14:paraId="47688055" w14:textId="77777777" w:rsidTr="00466C72">
        <w:trPr>
          <w:trHeight w:val="268"/>
          <w:jc w:val="center"/>
        </w:trPr>
        <w:tc>
          <w:tcPr>
            <w:tcW w:w="1106" w:type="dxa"/>
            <w:shd w:val="clear" w:color="auto" w:fill="EEECE1"/>
          </w:tcPr>
          <w:p w14:paraId="08609D41" w14:textId="77777777" w:rsidR="003C5FCC" w:rsidRPr="00A3018E" w:rsidRDefault="003C5FCC" w:rsidP="003C5FCC">
            <w:pPr>
              <w:spacing w:after="0"/>
              <w:rPr>
                <w:rFonts w:asciiTheme="majorHAnsi" w:hAnsiTheme="majorHAnsi" w:cstheme="majorHAnsi"/>
                <w:b/>
                <w:sz w:val="18"/>
                <w:szCs w:val="18"/>
                <w:lang w:val="ro-RO"/>
              </w:rPr>
            </w:pPr>
            <w:r w:rsidRPr="00A3018E">
              <w:rPr>
                <w:rFonts w:asciiTheme="majorHAnsi" w:hAnsiTheme="majorHAnsi" w:cstheme="majorHAnsi"/>
                <w:b/>
                <w:sz w:val="18"/>
                <w:szCs w:val="18"/>
                <w:lang w:val="ro-RO"/>
              </w:rPr>
              <w:t>Total</w:t>
            </w:r>
          </w:p>
        </w:tc>
        <w:tc>
          <w:tcPr>
            <w:tcW w:w="754" w:type="dxa"/>
            <w:shd w:val="clear" w:color="auto" w:fill="EEECE1"/>
            <w:vAlign w:val="center"/>
          </w:tcPr>
          <w:p w14:paraId="7D7D85D9" w14:textId="77777777" w:rsidR="003C5FCC" w:rsidRPr="00A3018E" w:rsidRDefault="003C5FCC" w:rsidP="003C5FCC">
            <w:pPr>
              <w:spacing w:after="0"/>
              <w:rPr>
                <w:rFonts w:asciiTheme="majorHAnsi" w:hAnsiTheme="majorHAnsi" w:cstheme="majorHAnsi"/>
                <w:b/>
                <w:sz w:val="18"/>
                <w:szCs w:val="18"/>
                <w:lang w:val="ro-RO"/>
              </w:rPr>
            </w:pPr>
            <w:r w:rsidRPr="00A3018E">
              <w:rPr>
                <w:rFonts w:asciiTheme="majorHAnsi" w:hAnsiTheme="majorHAnsi" w:cstheme="majorHAnsi"/>
                <w:b/>
                <w:sz w:val="18"/>
                <w:szCs w:val="18"/>
                <w:lang w:val="ro-RO"/>
              </w:rPr>
              <w:t>9326,7</w:t>
            </w:r>
          </w:p>
        </w:tc>
        <w:tc>
          <w:tcPr>
            <w:tcW w:w="738" w:type="dxa"/>
            <w:shd w:val="clear" w:color="auto" w:fill="EEECE1"/>
            <w:vAlign w:val="center"/>
          </w:tcPr>
          <w:p w14:paraId="5384E1B9" w14:textId="77777777" w:rsidR="003C5FCC" w:rsidRPr="00A3018E" w:rsidRDefault="003C5FCC" w:rsidP="003C5FCC">
            <w:pPr>
              <w:spacing w:after="0"/>
              <w:rPr>
                <w:rFonts w:asciiTheme="majorHAnsi" w:hAnsiTheme="majorHAnsi" w:cstheme="majorHAnsi"/>
                <w:b/>
                <w:sz w:val="18"/>
                <w:szCs w:val="18"/>
                <w:lang w:val="ro-RO"/>
              </w:rPr>
            </w:pPr>
            <w:r w:rsidRPr="00A3018E">
              <w:rPr>
                <w:rFonts w:asciiTheme="majorHAnsi" w:hAnsiTheme="majorHAnsi" w:cstheme="majorHAnsi"/>
                <w:b/>
                <w:sz w:val="18"/>
                <w:szCs w:val="18"/>
                <w:lang w:val="ro-RO"/>
              </w:rPr>
              <w:t>4795,0</w:t>
            </w:r>
          </w:p>
        </w:tc>
        <w:tc>
          <w:tcPr>
            <w:tcW w:w="941" w:type="dxa"/>
            <w:shd w:val="clear" w:color="auto" w:fill="EEECE1"/>
            <w:vAlign w:val="center"/>
          </w:tcPr>
          <w:p w14:paraId="2BD454D8" w14:textId="77777777" w:rsidR="003C5FCC" w:rsidRPr="00A3018E" w:rsidRDefault="003C5FCC" w:rsidP="003C5FCC">
            <w:pPr>
              <w:spacing w:after="0"/>
              <w:jc w:val="center"/>
              <w:rPr>
                <w:rFonts w:asciiTheme="majorHAnsi" w:hAnsiTheme="majorHAnsi" w:cstheme="majorHAnsi"/>
                <w:b/>
                <w:sz w:val="18"/>
                <w:szCs w:val="18"/>
                <w:lang w:val="ro-RO"/>
              </w:rPr>
            </w:pPr>
            <w:r w:rsidRPr="00A3018E">
              <w:rPr>
                <w:rFonts w:asciiTheme="majorHAnsi" w:hAnsiTheme="majorHAnsi" w:cstheme="majorHAnsi"/>
                <w:b/>
                <w:sz w:val="18"/>
                <w:szCs w:val="18"/>
                <w:lang w:val="ro-RO"/>
              </w:rPr>
              <w:t>14121,7</w:t>
            </w:r>
          </w:p>
        </w:tc>
        <w:tc>
          <w:tcPr>
            <w:tcW w:w="709" w:type="dxa"/>
            <w:shd w:val="clear" w:color="auto" w:fill="EEECE1"/>
            <w:vAlign w:val="center"/>
          </w:tcPr>
          <w:p w14:paraId="0BC7A5C2" w14:textId="77777777" w:rsidR="003C5FCC" w:rsidRPr="00A3018E" w:rsidRDefault="003C5FCC" w:rsidP="003C5FCC">
            <w:pPr>
              <w:spacing w:after="0"/>
              <w:jc w:val="center"/>
              <w:rPr>
                <w:rFonts w:asciiTheme="majorHAnsi" w:hAnsiTheme="majorHAnsi" w:cstheme="majorHAnsi"/>
                <w:sz w:val="18"/>
                <w:szCs w:val="18"/>
                <w:lang w:val="ro-RO"/>
              </w:rPr>
            </w:pPr>
            <w:r w:rsidRPr="00A3018E">
              <w:rPr>
                <w:rFonts w:asciiTheme="majorHAnsi" w:hAnsiTheme="majorHAnsi" w:cstheme="majorHAnsi"/>
                <w:b/>
                <w:sz w:val="18"/>
                <w:szCs w:val="18"/>
                <w:lang w:val="ro-RO"/>
              </w:rPr>
              <w:t>432,5</w:t>
            </w:r>
          </w:p>
        </w:tc>
        <w:tc>
          <w:tcPr>
            <w:tcW w:w="850" w:type="dxa"/>
            <w:shd w:val="clear" w:color="auto" w:fill="EEECE1"/>
            <w:vAlign w:val="center"/>
          </w:tcPr>
          <w:p w14:paraId="052EBB4D" w14:textId="77777777" w:rsidR="003C5FCC" w:rsidRPr="00A3018E" w:rsidRDefault="003C5FCC" w:rsidP="003C5FCC">
            <w:pPr>
              <w:spacing w:after="0"/>
              <w:jc w:val="center"/>
              <w:rPr>
                <w:rFonts w:asciiTheme="majorHAnsi" w:hAnsiTheme="majorHAnsi" w:cstheme="majorHAnsi"/>
                <w:b/>
                <w:sz w:val="18"/>
                <w:szCs w:val="18"/>
                <w:lang w:val="ro-RO"/>
              </w:rPr>
            </w:pPr>
            <w:r w:rsidRPr="00A3018E">
              <w:rPr>
                <w:rFonts w:asciiTheme="majorHAnsi" w:hAnsiTheme="majorHAnsi" w:cstheme="majorHAnsi"/>
                <w:b/>
                <w:sz w:val="18"/>
                <w:szCs w:val="18"/>
                <w:lang w:val="ro-RO"/>
              </w:rPr>
              <w:t>13689,2</w:t>
            </w:r>
          </w:p>
        </w:tc>
        <w:tc>
          <w:tcPr>
            <w:tcW w:w="791" w:type="dxa"/>
            <w:shd w:val="clear" w:color="auto" w:fill="EEECE1"/>
            <w:vAlign w:val="center"/>
          </w:tcPr>
          <w:p w14:paraId="6CD438CF" w14:textId="77777777" w:rsidR="003C5FCC" w:rsidRPr="00A3018E" w:rsidRDefault="003C5FCC" w:rsidP="003C5FCC">
            <w:pPr>
              <w:spacing w:after="0"/>
              <w:jc w:val="center"/>
              <w:rPr>
                <w:rFonts w:asciiTheme="majorHAnsi" w:hAnsiTheme="majorHAnsi" w:cstheme="majorHAnsi"/>
                <w:b/>
                <w:strike/>
                <w:sz w:val="18"/>
                <w:szCs w:val="18"/>
                <w:lang w:val="ro-RO"/>
              </w:rPr>
            </w:pPr>
            <w:r w:rsidRPr="00A3018E">
              <w:rPr>
                <w:rFonts w:asciiTheme="majorHAnsi" w:hAnsiTheme="majorHAnsi" w:cstheme="majorHAnsi"/>
                <w:b/>
                <w:sz w:val="18"/>
                <w:szCs w:val="18"/>
                <w:lang w:val="ro-RO"/>
              </w:rPr>
              <w:t>348,0</w:t>
            </w:r>
          </w:p>
        </w:tc>
        <w:tc>
          <w:tcPr>
            <w:tcW w:w="851" w:type="dxa"/>
            <w:shd w:val="clear" w:color="auto" w:fill="EEECE1"/>
            <w:vAlign w:val="center"/>
          </w:tcPr>
          <w:p w14:paraId="2494541D" w14:textId="77777777" w:rsidR="003C5FCC" w:rsidRPr="00A3018E" w:rsidRDefault="003C5FCC" w:rsidP="003C5FCC">
            <w:pPr>
              <w:spacing w:after="0"/>
              <w:jc w:val="center"/>
              <w:rPr>
                <w:rFonts w:asciiTheme="majorHAnsi" w:hAnsiTheme="majorHAnsi" w:cstheme="majorHAnsi"/>
                <w:b/>
                <w:sz w:val="18"/>
                <w:szCs w:val="18"/>
                <w:lang w:val="ro-RO"/>
              </w:rPr>
            </w:pPr>
            <w:r w:rsidRPr="00A3018E">
              <w:rPr>
                <w:rFonts w:asciiTheme="majorHAnsi" w:hAnsiTheme="majorHAnsi" w:cstheme="majorHAnsi"/>
                <w:b/>
                <w:sz w:val="18"/>
                <w:szCs w:val="18"/>
                <w:lang w:val="ro-RO"/>
              </w:rPr>
              <w:t>13341,2</w:t>
            </w:r>
          </w:p>
        </w:tc>
        <w:tc>
          <w:tcPr>
            <w:tcW w:w="768" w:type="dxa"/>
            <w:shd w:val="clear" w:color="auto" w:fill="EEECE1"/>
            <w:vAlign w:val="center"/>
          </w:tcPr>
          <w:p w14:paraId="696B9A33" w14:textId="77777777" w:rsidR="003C5FCC" w:rsidRPr="00A3018E" w:rsidRDefault="003C5FCC" w:rsidP="003C5FCC">
            <w:pPr>
              <w:spacing w:after="0"/>
              <w:jc w:val="center"/>
              <w:rPr>
                <w:rFonts w:asciiTheme="majorHAnsi" w:hAnsiTheme="majorHAnsi" w:cstheme="majorHAnsi"/>
                <w:b/>
                <w:sz w:val="18"/>
                <w:szCs w:val="18"/>
                <w:lang w:val="ro-RO"/>
              </w:rPr>
            </w:pPr>
            <w:r w:rsidRPr="00A3018E">
              <w:rPr>
                <w:rFonts w:asciiTheme="majorHAnsi" w:hAnsiTheme="majorHAnsi" w:cstheme="majorHAnsi"/>
                <w:b/>
                <w:sz w:val="18"/>
                <w:szCs w:val="18"/>
                <w:lang w:val="ro-RO"/>
              </w:rPr>
              <w:t>80,7</w:t>
            </w:r>
          </w:p>
        </w:tc>
        <w:tc>
          <w:tcPr>
            <w:tcW w:w="738" w:type="dxa"/>
            <w:shd w:val="clear" w:color="auto" w:fill="EEECE1"/>
            <w:vAlign w:val="center"/>
          </w:tcPr>
          <w:p w14:paraId="6007832C" w14:textId="77777777" w:rsidR="003C5FCC" w:rsidRPr="00A3018E" w:rsidRDefault="003C5FCC" w:rsidP="003C5FCC">
            <w:pPr>
              <w:spacing w:after="0"/>
              <w:jc w:val="center"/>
              <w:rPr>
                <w:rFonts w:asciiTheme="majorHAnsi" w:hAnsiTheme="majorHAnsi" w:cstheme="majorHAnsi"/>
                <w:b/>
                <w:sz w:val="18"/>
                <w:szCs w:val="18"/>
                <w:lang w:val="ro-RO"/>
              </w:rPr>
            </w:pPr>
            <w:r w:rsidRPr="00A3018E">
              <w:rPr>
                <w:rFonts w:asciiTheme="majorHAnsi" w:hAnsiTheme="majorHAnsi" w:cstheme="majorHAnsi"/>
                <w:b/>
                <w:sz w:val="18"/>
                <w:szCs w:val="18"/>
                <w:lang w:val="ro-RO"/>
              </w:rPr>
              <w:t>209,9</w:t>
            </w:r>
          </w:p>
        </w:tc>
        <w:tc>
          <w:tcPr>
            <w:tcW w:w="738" w:type="dxa"/>
            <w:shd w:val="clear" w:color="auto" w:fill="EEECE1"/>
            <w:vAlign w:val="center"/>
          </w:tcPr>
          <w:p w14:paraId="1B40175D" w14:textId="77777777" w:rsidR="003C5FCC" w:rsidRPr="00A3018E" w:rsidRDefault="003C5FCC" w:rsidP="003C5FCC">
            <w:pPr>
              <w:spacing w:after="0"/>
              <w:jc w:val="center"/>
              <w:rPr>
                <w:rFonts w:asciiTheme="majorHAnsi" w:hAnsiTheme="majorHAnsi" w:cstheme="majorHAnsi"/>
                <w:b/>
                <w:sz w:val="18"/>
                <w:szCs w:val="18"/>
                <w:lang w:val="ro-RO"/>
              </w:rPr>
            </w:pPr>
            <w:r>
              <w:rPr>
                <w:rFonts w:asciiTheme="majorHAnsi" w:hAnsiTheme="majorHAnsi" w:cstheme="majorHAnsi"/>
                <w:b/>
                <w:sz w:val="18"/>
                <w:szCs w:val="18"/>
                <w:lang w:val="ro-RO"/>
              </w:rPr>
              <w:t>678,8</w:t>
            </w:r>
          </w:p>
        </w:tc>
        <w:tc>
          <w:tcPr>
            <w:tcW w:w="839" w:type="dxa"/>
            <w:shd w:val="clear" w:color="auto" w:fill="EEECE1"/>
            <w:vAlign w:val="center"/>
          </w:tcPr>
          <w:p w14:paraId="04CCFF3D" w14:textId="77777777" w:rsidR="003C5FCC" w:rsidRPr="00A3018E" w:rsidRDefault="003C5FCC" w:rsidP="003C5FCC">
            <w:pPr>
              <w:spacing w:after="0"/>
              <w:jc w:val="center"/>
              <w:rPr>
                <w:rFonts w:asciiTheme="majorHAnsi" w:hAnsiTheme="majorHAnsi" w:cstheme="majorHAnsi"/>
                <w:b/>
                <w:sz w:val="18"/>
                <w:szCs w:val="18"/>
                <w:lang w:val="ro-RO"/>
              </w:rPr>
            </w:pPr>
            <w:r>
              <w:rPr>
                <w:rFonts w:asciiTheme="majorHAnsi" w:hAnsiTheme="majorHAnsi" w:cstheme="majorHAnsi"/>
                <w:b/>
                <w:sz w:val="18"/>
                <w:szCs w:val="18"/>
                <w:lang w:val="ro-RO"/>
              </w:rPr>
              <w:t>12371,8</w:t>
            </w:r>
          </w:p>
        </w:tc>
      </w:tr>
    </w:tbl>
    <w:p w14:paraId="0F100710" w14:textId="37D552D3" w:rsidR="006E4771" w:rsidRPr="00240EC5" w:rsidRDefault="006E4771" w:rsidP="006E4771">
      <w:pPr>
        <w:pStyle w:val="a4"/>
        <w:ind w:left="0"/>
        <w:jc w:val="both"/>
        <w:rPr>
          <w:rFonts w:asciiTheme="majorHAnsi" w:hAnsiTheme="majorHAnsi" w:cstheme="majorHAnsi"/>
          <w:sz w:val="18"/>
          <w:szCs w:val="18"/>
          <w:lang w:val="ro-RO"/>
        </w:rPr>
      </w:pPr>
      <w:r w:rsidRPr="00240EC5">
        <w:rPr>
          <w:rFonts w:asciiTheme="majorHAnsi" w:hAnsiTheme="majorHAnsi" w:cstheme="majorHAnsi"/>
          <w:b/>
          <w:i/>
          <w:sz w:val="18"/>
          <w:szCs w:val="18"/>
          <w:lang w:val="ro-RO"/>
        </w:rPr>
        <w:t xml:space="preserve">Sursă: </w:t>
      </w:r>
      <w:r w:rsidR="00DF1D0C">
        <w:rPr>
          <w:rFonts w:asciiTheme="majorHAnsi" w:hAnsiTheme="majorHAnsi" w:cstheme="majorHAnsi"/>
          <w:sz w:val="18"/>
          <w:szCs w:val="18"/>
          <w:lang w:val="ro-RO"/>
        </w:rPr>
        <w:t>I</w:t>
      </w:r>
      <w:r w:rsidR="0040251A" w:rsidRPr="00240EC5">
        <w:rPr>
          <w:rFonts w:asciiTheme="majorHAnsi" w:hAnsiTheme="majorHAnsi" w:cstheme="majorHAnsi"/>
          <w:sz w:val="18"/>
          <w:szCs w:val="18"/>
          <w:lang w:val="ro-RO"/>
        </w:rPr>
        <w:t>nformații</w:t>
      </w:r>
      <w:r w:rsidR="00DF1D0C">
        <w:rPr>
          <w:rFonts w:asciiTheme="majorHAnsi" w:hAnsiTheme="majorHAnsi" w:cstheme="majorHAnsi"/>
          <w:sz w:val="18"/>
          <w:szCs w:val="18"/>
          <w:lang w:val="ro-RO"/>
        </w:rPr>
        <w:t xml:space="preserve">le </w:t>
      </w:r>
      <w:r w:rsidRPr="00240EC5">
        <w:rPr>
          <w:rFonts w:asciiTheme="majorHAnsi" w:hAnsiTheme="majorHAnsi" w:cstheme="majorHAnsi"/>
          <w:sz w:val="18"/>
          <w:szCs w:val="18"/>
          <w:lang w:val="ro-RO"/>
        </w:rPr>
        <w:t xml:space="preserve"> prezentate de MF</w:t>
      </w:r>
      <w:r w:rsidR="00DF1D0C">
        <w:rPr>
          <w:rFonts w:asciiTheme="majorHAnsi" w:hAnsiTheme="majorHAnsi" w:cstheme="majorHAnsi"/>
          <w:sz w:val="18"/>
          <w:szCs w:val="18"/>
          <w:lang w:val="ro-RO"/>
        </w:rPr>
        <w:t xml:space="preserve"> privind datoriile băncilor supuse lichidării</w:t>
      </w:r>
      <w:r w:rsidRPr="00240EC5">
        <w:rPr>
          <w:rFonts w:asciiTheme="majorHAnsi" w:hAnsiTheme="majorHAnsi" w:cstheme="majorHAnsi"/>
          <w:sz w:val="18"/>
          <w:szCs w:val="18"/>
          <w:lang w:val="ro-RO"/>
        </w:rPr>
        <w:t>.</w:t>
      </w:r>
    </w:p>
    <w:p w14:paraId="74EB9D8B" w14:textId="0AE93FFF" w:rsidR="005F1CDA" w:rsidRPr="002047F4" w:rsidRDefault="005F1CDA" w:rsidP="00957516">
      <w:pPr>
        <w:pStyle w:val="a6"/>
        <w:tabs>
          <w:tab w:val="left" w:pos="284"/>
          <w:tab w:val="left" w:pos="851"/>
        </w:tabs>
        <w:spacing w:line="276" w:lineRule="auto"/>
        <w:jc w:val="both"/>
        <w:rPr>
          <w:rFonts w:asciiTheme="majorHAnsi" w:hAnsiTheme="majorHAnsi" w:cstheme="majorHAnsi"/>
          <w:sz w:val="24"/>
          <w:szCs w:val="24"/>
          <w:lang w:val="ro-RO"/>
        </w:rPr>
      </w:pPr>
      <w:r>
        <w:rPr>
          <w:rFonts w:asciiTheme="majorHAnsi" w:hAnsiTheme="majorHAnsi" w:cstheme="majorHAnsi"/>
          <w:sz w:val="28"/>
          <w:szCs w:val="28"/>
          <w:lang w:val="ro-RO"/>
        </w:rPr>
        <w:tab/>
      </w:r>
      <w:r w:rsidRPr="002047F4">
        <w:rPr>
          <w:rFonts w:asciiTheme="majorHAnsi" w:hAnsiTheme="majorHAnsi" w:cstheme="majorHAnsi"/>
          <w:sz w:val="24"/>
          <w:szCs w:val="24"/>
          <w:lang w:val="ro-RO"/>
        </w:rPr>
        <w:t>A</w:t>
      </w:r>
      <w:r w:rsidR="009C60AA" w:rsidRPr="002047F4">
        <w:rPr>
          <w:rFonts w:asciiTheme="majorHAnsi" w:hAnsiTheme="majorHAnsi" w:cstheme="majorHAnsi"/>
          <w:sz w:val="24"/>
          <w:szCs w:val="24"/>
          <w:lang w:val="ro-RO"/>
        </w:rPr>
        <w:t>uditul atestă că,</w:t>
      </w:r>
      <w:r w:rsidR="008F6F8D" w:rsidRPr="002047F4">
        <w:rPr>
          <w:rFonts w:asciiTheme="majorHAnsi" w:hAnsiTheme="majorHAnsi" w:cstheme="majorHAnsi"/>
          <w:sz w:val="24"/>
          <w:szCs w:val="24"/>
          <w:lang w:val="ro-RO"/>
        </w:rPr>
        <w:t xml:space="preserve"> </w:t>
      </w:r>
      <w:r w:rsidR="00092DEB">
        <w:rPr>
          <w:rFonts w:asciiTheme="majorHAnsi" w:hAnsiTheme="majorHAnsi" w:cstheme="majorHAnsi"/>
          <w:sz w:val="24"/>
          <w:szCs w:val="24"/>
          <w:lang w:val="ro-RO"/>
        </w:rPr>
        <w:t>potrivit</w:t>
      </w:r>
      <w:r w:rsidR="008F6F8D" w:rsidRPr="002047F4">
        <w:rPr>
          <w:rFonts w:asciiTheme="majorHAnsi" w:hAnsiTheme="majorHAnsi" w:cstheme="majorHAnsi"/>
          <w:sz w:val="24"/>
          <w:szCs w:val="24"/>
          <w:lang w:val="ro-RO"/>
        </w:rPr>
        <w:t xml:space="preserve"> graficului de răscumpărare</w:t>
      </w:r>
      <w:r w:rsidR="00E5038E" w:rsidRPr="002047F4">
        <w:rPr>
          <w:rStyle w:val="ae"/>
          <w:rFonts w:asciiTheme="majorHAnsi" w:hAnsiTheme="majorHAnsi"/>
          <w:sz w:val="24"/>
          <w:szCs w:val="24"/>
          <w:lang w:val="ro-RO"/>
        </w:rPr>
        <w:footnoteReference w:id="28"/>
      </w:r>
      <w:r w:rsidR="008F6F8D" w:rsidRPr="002047F4">
        <w:rPr>
          <w:rFonts w:asciiTheme="majorHAnsi" w:hAnsiTheme="majorHAnsi" w:cstheme="majorHAnsi"/>
          <w:sz w:val="24"/>
          <w:szCs w:val="24"/>
          <w:lang w:val="ro-RO"/>
        </w:rPr>
        <w:t xml:space="preserve"> în vederea executării obligațiilor MF derivate din garanțiile de stat la 04.10.2018</w:t>
      </w:r>
      <w:r w:rsidR="00E36530" w:rsidRPr="002047F4">
        <w:rPr>
          <w:rFonts w:asciiTheme="majorHAnsi" w:hAnsiTheme="majorHAnsi" w:cstheme="majorHAnsi"/>
          <w:sz w:val="24"/>
          <w:szCs w:val="24"/>
          <w:lang w:val="ro-RO"/>
        </w:rPr>
        <w:t>,</w:t>
      </w:r>
      <w:r w:rsidR="009C60AA" w:rsidRPr="002047F4">
        <w:rPr>
          <w:rFonts w:asciiTheme="majorHAnsi" w:hAnsiTheme="majorHAnsi" w:cstheme="majorHAnsi"/>
          <w:sz w:val="24"/>
          <w:szCs w:val="24"/>
          <w:lang w:val="ro-RO"/>
        </w:rPr>
        <w:t xml:space="preserve"> MF a răscumpărat obligațiunile de stat cu termenul de circulație </w:t>
      </w:r>
      <w:r w:rsidR="00E36530" w:rsidRPr="002047F4">
        <w:rPr>
          <w:rFonts w:asciiTheme="majorHAnsi" w:hAnsiTheme="majorHAnsi" w:cstheme="majorHAnsi"/>
          <w:sz w:val="24"/>
          <w:szCs w:val="24"/>
          <w:lang w:val="ro-RO"/>
        </w:rPr>
        <w:t xml:space="preserve">de </w:t>
      </w:r>
      <w:r w:rsidR="008F6F8D" w:rsidRPr="002047F4">
        <w:rPr>
          <w:rFonts w:asciiTheme="majorHAnsi" w:hAnsiTheme="majorHAnsi" w:cstheme="majorHAnsi"/>
          <w:sz w:val="24"/>
          <w:szCs w:val="24"/>
          <w:lang w:val="ro-RO"/>
        </w:rPr>
        <w:t>2</w:t>
      </w:r>
      <w:r w:rsidR="009C60AA" w:rsidRPr="002047F4">
        <w:rPr>
          <w:rFonts w:asciiTheme="majorHAnsi" w:hAnsiTheme="majorHAnsi" w:cstheme="majorHAnsi"/>
          <w:sz w:val="24"/>
          <w:szCs w:val="24"/>
          <w:lang w:val="ro-RO"/>
        </w:rPr>
        <w:t xml:space="preserve"> an</w:t>
      </w:r>
      <w:r w:rsidR="008F6F8D" w:rsidRPr="002047F4">
        <w:rPr>
          <w:rFonts w:asciiTheme="majorHAnsi" w:hAnsiTheme="majorHAnsi" w:cstheme="majorHAnsi"/>
          <w:sz w:val="24"/>
          <w:szCs w:val="24"/>
          <w:lang w:val="ro-RO"/>
        </w:rPr>
        <w:t>i</w:t>
      </w:r>
      <w:r w:rsidR="009C60AA" w:rsidRPr="002047F4">
        <w:rPr>
          <w:rFonts w:asciiTheme="majorHAnsi" w:hAnsiTheme="majorHAnsi" w:cstheme="majorHAnsi"/>
          <w:sz w:val="24"/>
          <w:szCs w:val="24"/>
          <w:lang w:val="ro-RO"/>
        </w:rPr>
        <w:t xml:space="preserve"> în sumă </w:t>
      </w:r>
      <w:r w:rsidR="008F6F8D" w:rsidRPr="002047F4">
        <w:rPr>
          <w:rFonts w:asciiTheme="majorHAnsi" w:hAnsiTheme="majorHAnsi" w:cstheme="majorHAnsi"/>
          <w:sz w:val="24"/>
          <w:szCs w:val="24"/>
          <w:lang w:val="ro-RO"/>
        </w:rPr>
        <w:t>de 21</w:t>
      </w:r>
      <w:r w:rsidR="009C60AA" w:rsidRPr="002047F4">
        <w:rPr>
          <w:rFonts w:asciiTheme="majorHAnsi" w:hAnsiTheme="majorHAnsi" w:cstheme="majorHAnsi"/>
          <w:sz w:val="24"/>
          <w:szCs w:val="24"/>
          <w:lang w:val="ro-RO"/>
        </w:rPr>
        <w:t xml:space="preserve">0,0 </w:t>
      </w:r>
      <w:proofErr w:type="spellStart"/>
      <w:r w:rsidR="002D0D0D">
        <w:rPr>
          <w:rFonts w:asciiTheme="majorHAnsi" w:hAnsiTheme="majorHAnsi" w:cstheme="majorHAnsi"/>
          <w:sz w:val="24"/>
          <w:szCs w:val="24"/>
          <w:lang w:val="ro-RO"/>
        </w:rPr>
        <w:t>mil.MDL</w:t>
      </w:r>
      <w:proofErr w:type="spellEnd"/>
      <w:r w:rsidR="009C60AA" w:rsidRPr="002047F4">
        <w:rPr>
          <w:rFonts w:asciiTheme="majorHAnsi" w:hAnsiTheme="majorHAnsi" w:cstheme="majorHAnsi"/>
          <w:sz w:val="24"/>
          <w:szCs w:val="24"/>
          <w:lang w:val="ro-RO"/>
        </w:rPr>
        <w:t xml:space="preserve"> </w:t>
      </w:r>
      <w:r w:rsidRPr="002047F4">
        <w:rPr>
          <w:rFonts w:asciiTheme="majorHAnsi" w:hAnsiTheme="majorHAnsi" w:cstheme="majorHAnsi"/>
          <w:sz w:val="24"/>
          <w:szCs w:val="24"/>
          <w:lang w:val="ro-RO"/>
        </w:rPr>
        <w:t>din po</w:t>
      </w:r>
      <w:r w:rsidR="00B70966">
        <w:rPr>
          <w:rFonts w:asciiTheme="majorHAnsi" w:hAnsiTheme="majorHAnsi" w:cstheme="majorHAnsi"/>
          <w:sz w:val="24"/>
          <w:szCs w:val="24"/>
          <w:lang w:val="ro-RO"/>
        </w:rPr>
        <w:t>rtofoliul deținut de BNM. În aceste circumstanțe</w:t>
      </w:r>
      <w:r w:rsidRPr="002047F4">
        <w:rPr>
          <w:rFonts w:asciiTheme="majorHAnsi" w:hAnsiTheme="majorHAnsi" w:cstheme="majorHAnsi"/>
          <w:sz w:val="24"/>
          <w:szCs w:val="24"/>
          <w:lang w:val="ro-RO"/>
        </w:rPr>
        <w:t>,</w:t>
      </w:r>
      <w:r w:rsidR="009C60AA" w:rsidRPr="002047F4">
        <w:rPr>
          <w:rFonts w:asciiTheme="majorHAnsi" w:hAnsiTheme="majorHAnsi" w:cstheme="majorHAnsi"/>
          <w:sz w:val="24"/>
          <w:szCs w:val="24"/>
          <w:lang w:val="ro-RO"/>
        </w:rPr>
        <w:t xml:space="preserve"> datoria MF față de BNM</w:t>
      </w:r>
      <w:r w:rsidR="009007F2">
        <w:rPr>
          <w:rFonts w:asciiTheme="majorHAnsi" w:hAnsiTheme="majorHAnsi" w:cstheme="majorHAnsi"/>
          <w:sz w:val="24"/>
          <w:szCs w:val="24"/>
          <w:lang w:val="ro-RO"/>
        </w:rPr>
        <w:t xml:space="preserve"> pentru garanțiile emise celor 3 bănci supuse lichidării,</w:t>
      </w:r>
      <w:r w:rsidR="009C60AA" w:rsidRPr="002047F4">
        <w:rPr>
          <w:rFonts w:asciiTheme="majorHAnsi" w:hAnsiTheme="majorHAnsi" w:cstheme="majorHAnsi"/>
          <w:sz w:val="24"/>
          <w:szCs w:val="24"/>
          <w:lang w:val="ro-RO"/>
        </w:rPr>
        <w:t xml:space="preserve"> </w:t>
      </w:r>
      <w:r w:rsidR="008F6F8D" w:rsidRPr="002047F4">
        <w:rPr>
          <w:rFonts w:asciiTheme="majorHAnsi" w:hAnsiTheme="majorHAnsi" w:cstheme="majorHAnsi"/>
          <w:sz w:val="24"/>
          <w:szCs w:val="24"/>
          <w:lang w:val="ro-RO"/>
        </w:rPr>
        <w:t>la situația din 31.12.2018</w:t>
      </w:r>
      <w:r w:rsidR="00092DEB">
        <w:rPr>
          <w:rFonts w:asciiTheme="majorHAnsi" w:hAnsiTheme="majorHAnsi" w:cstheme="majorHAnsi"/>
          <w:sz w:val="24"/>
          <w:szCs w:val="24"/>
          <w:lang w:val="ro-RO"/>
        </w:rPr>
        <w:t>,</w:t>
      </w:r>
      <w:r w:rsidR="0014746D" w:rsidRPr="002047F4">
        <w:rPr>
          <w:rFonts w:asciiTheme="majorHAnsi" w:hAnsiTheme="majorHAnsi" w:cstheme="majorHAnsi"/>
          <w:sz w:val="24"/>
          <w:szCs w:val="24"/>
          <w:lang w:val="ro-RO"/>
        </w:rPr>
        <w:t xml:space="preserve"> </w:t>
      </w:r>
      <w:r w:rsidR="009007F2">
        <w:rPr>
          <w:rFonts w:asciiTheme="majorHAnsi" w:hAnsiTheme="majorHAnsi" w:cstheme="majorHAnsi"/>
          <w:sz w:val="24"/>
          <w:szCs w:val="24"/>
          <w:lang w:val="ro-RO"/>
        </w:rPr>
        <w:t>constitui</w:t>
      </w:r>
      <w:r w:rsidR="00F559D8">
        <w:rPr>
          <w:rFonts w:asciiTheme="majorHAnsi" w:hAnsiTheme="majorHAnsi" w:cstheme="majorHAnsi"/>
          <w:sz w:val="24"/>
          <w:szCs w:val="24"/>
          <w:lang w:val="ro-RO"/>
        </w:rPr>
        <w:t>a</w:t>
      </w:r>
      <w:r w:rsidR="008F6F8D" w:rsidRPr="002047F4">
        <w:rPr>
          <w:rFonts w:asciiTheme="majorHAnsi" w:hAnsiTheme="majorHAnsi" w:cstheme="majorHAnsi"/>
          <w:sz w:val="24"/>
          <w:szCs w:val="24"/>
          <w:lang w:val="ro-RO"/>
        </w:rPr>
        <w:t xml:space="preserve"> 13081,2</w:t>
      </w:r>
      <w:r w:rsidR="009C60AA" w:rsidRPr="002047F4">
        <w:rPr>
          <w:rFonts w:asciiTheme="majorHAnsi" w:hAnsiTheme="majorHAnsi" w:cstheme="majorHAnsi"/>
          <w:sz w:val="24"/>
          <w:szCs w:val="24"/>
          <w:lang w:val="ro-RO"/>
        </w:rPr>
        <w:t xml:space="preserve"> </w:t>
      </w:r>
      <w:proofErr w:type="spellStart"/>
      <w:r w:rsidR="009C60AA"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009C60AA" w:rsidRPr="002047F4">
        <w:rPr>
          <w:rFonts w:asciiTheme="majorHAnsi" w:hAnsiTheme="majorHAnsi" w:cstheme="majorHAnsi"/>
          <w:sz w:val="24"/>
          <w:szCs w:val="24"/>
          <w:lang w:val="ro-RO"/>
        </w:rPr>
        <w:t>.</w:t>
      </w:r>
      <w:r w:rsidR="00240EC5" w:rsidRPr="002047F4">
        <w:rPr>
          <w:rFonts w:asciiTheme="majorHAnsi" w:hAnsiTheme="majorHAnsi" w:cstheme="majorHAnsi"/>
          <w:sz w:val="24"/>
          <w:szCs w:val="24"/>
          <w:lang w:val="ro-RO"/>
        </w:rPr>
        <w:t xml:space="preserve"> </w:t>
      </w:r>
      <w:r w:rsidRPr="002047F4">
        <w:rPr>
          <w:rFonts w:asciiTheme="majorHAnsi" w:hAnsiTheme="majorHAnsi" w:cstheme="majorHAnsi"/>
          <w:sz w:val="24"/>
          <w:szCs w:val="24"/>
          <w:lang w:val="ro-RO"/>
        </w:rPr>
        <w:t xml:space="preserve"> </w:t>
      </w:r>
    </w:p>
    <w:p w14:paraId="0E07C833" w14:textId="338E1F5B" w:rsidR="006E4771" w:rsidRDefault="004A181B" w:rsidP="00957516">
      <w:pPr>
        <w:pStyle w:val="a6"/>
        <w:tabs>
          <w:tab w:val="left" w:pos="284"/>
          <w:tab w:val="left" w:pos="851"/>
        </w:tabs>
        <w:spacing w:line="276" w:lineRule="auto"/>
        <w:jc w:val="both"/>
        <w:rPr>
          <w:rFonts w:asciiTheme="majorHAnsi" w:hAnsiTheme="majorHAnsi" w:cstheme="majorHAnsi"/>
          <w:sz w:val="24"/>
          <w:szCs w:val="24"/>
          <w:lang w:val="ro-RO"/>
        </w:rPr>
      </w:pPr>
      <w:r w:rsidRPr="002047F4">
        <w:rPr>
          <w:rFonts w:asciiTheme="majorHAnsi" w:hAnsiTheme="majorHAnsi" w:cstheme="majorHAnsi"/>
          <w:sz w:val="24"/>
          <w:szCs w:val="24"/>
          <w:lang w:val="ro-RO"/>
        </w:rPr>
        <w:tab/>
      </w:r>
    </w:p>
    <w:p w14:paraId="6E55AC1D" w14:textId="1A00920E" w:rsidR="004570EB" w:rsidRDefault="004570EB" w:rsidP="00957516">
      <w:pPr>
        <w:pStyle w:val="a6"/>
        <w:tabs>
          <w:tab w:val="left" w:pos="284"/>
          <w:tab w:val="left" w:pos="851"/>
        </w:tabs>
        <w:spacing w:line="276" w:lineRule="auto"/>
        <w:jc w:val="both"/>
        <w:rPr>
          <w:rFonts w:asciiTheme="majorHAnsi" w:hAnsiTheme="majorHAnsi" w:cstheme="majorHAnsi"/>
          <w:sz w:val="24"/>
          <w:szCs w:val="24"/>
          <w:lang w:val="ro-RO"/>
        </w:rPr>
      </w:pPr>
    </w:p>
    <w:p w14:paraId="22EFE1A7" w14:textId="6D9881B8" w:rsidR="004570EB" w:rsidRDefault="004570EB" w:rsidP="00957516">
      <w:pPr>
        <w:pStyle w:val="a6"/>
        <w:tabs>
          <w:tab w:val="left" w:pos="284"/>
          <w:tab w:val="left" w:pos="851"/>
        </w:tabs>
        <w:spacing w:line="276" w:lineRule="auto"/>
        <w:jc w:val="both"/>
        <w:rPr>
          <w:rFonts w:asciiTheme="majorHAnsi" w:hAnsiTheme="majorHAnsi" w:cstheme="majorHAnsi"/>
          <w:sz w:val="24"/>
          <w:szCs w:val="24"/>
          <w:lang w:val="ro-RO"/>
        </w:rPr>
      </w:pPr>
    </w:p>
    <w:p w14:paraId="0EB56FAD" w14:textId="77777777" w:rsidR="00073285" w:rsidRDefault="00073285" w:rsidP="00957516">
      <w:pPr>
        <w:pStyle w:val="a6"/>
        <w:tabs>
          <w:tab w:val="left" w:pos="284"/>
          <w:tab w:val="left" w:pos="851"/>
        </w:tabs>
        <w:spacing w:line="276" w:lineRule="auto"/>
        <w:jc w:val="both"/>
        <w:rPr>
          <w:rFonts w:asciiTheme="majorHAnsi" w:hAnsiTheme="majorHAnsi" w:cstheme="majorHAnsi"/>
          <w:sz w:val="24"/>
          <w:szCs w:val="24"/>
          <w:lang w:val="ro-RO"/>
        </w:rPr>
      </w:pPr>
    </w:p>
    <w:p w14:paraId="61AF0F10" w14:textId="77777777" w:rsidR="004570EB" w:rsidRPr="002047F4" w:rsidRDefault="004570EB" w:rsidP="00957516">
      <w:pPr>
        <w:pStyle w:val="a6"/>
        <w:tabs>
          <w:tab w:val="left" w:pos="284"/>
          <w:tab w:val="left" w:pos="851"/>
        </w:tabs>
        <w:spacing w:line="276" w:lineRule="auto"/>
        <w:jc w:val="both"/>
        <w:rPr>
          <w:rFonts w:asciiTheme="majorHAnsi" w:hAnsiTheme="majorHAnsi" w:cstheme="majorHAnsi"/>
          <w:sz w:val="24"/>
          <w:szCs w:val="24"/>
          <w:lang w:val="ro-RO"/>
        </w:rPr>
      </w:pPr>
    </w:p>
    <w:p w14:paraId="4E3B29DF" w14:textId="08FFDECB" w:rsidR="00073285" w:rsidRDefault="00C27783" w:rsidP="00073285">
      <w:pPr>
        <w:pStyle w:val="2"/>
        <w:numPr>
          <w:ilvl w:val="2"/>
          <w:numId w:val="47"/>
        </w:numPr>
        <w:ind w:hanging="11"/>
        <w:jc w:val="both"/>
        <w:rPr>
          <w:rFonts w:asciiTheme="majorHAnsi" w:hAnsiTheme="majorHAnsi" w:cstheme="majorHAnsi"/>
          <w:b/>
          <w:color w:val="auto"/>
          <w:sz w:val="24"/>
          <w:szCs w:val="24"/>
          <w:lang w:val="ro-RO"/>
        </w:rPr>
      </w:pPr>
      <w:bookmarkStart w:id="38" w:name="_Toc10106688"/>
      <w:bookmarkStart w:id="39" w:name="_Toc482639119"/>
      <w:bookmarkStart w:id="40" w:name="_Toc484003911"/>
      <w:bookmarkStart w:id="41" w:name="_Toc515442969"/>
      <w:r w:rsidRPr="002047F4">
        <w:rPr>
          <w:rFonts w:asciiTheme="majorHAnsi" w:hAnsiTheme="majorHAnsi" w:cstheme="majorHAnsi"/>
          <w:b/>
          <w:color w:val="auto"/>
          <w:sz w:val="24"/>
          <w:szCs w:val="24"/>
          <w:lang w:val="ro-RO"/>
        </w:rPr>
        <w:lastRenderedPageBreak/>
        <w:t xml:space="preserve">Soldul VMS convertite în portofoliul BNM </w:t>
      </w:r>
      <w:r w:rsidR="00D52961" w:rsidRPr="002047F4">
        <w:rPr>
          <w:rFonts w:asciiTheme="majorHAnsi" w:hAnsiTheme="majorHAnsi" w:cstheme="majorHAnsi"/>
          <w:b/>
          <w:color w:val="auto"/>
          <w:sz w:val="24"/>
          <w:szCs w:val="24"/>
          <w:lang w:val="ro-RO"/>
        </w:rPr>
        <w:t>se menține constant.</w:t>
      </w:r>
      <w:bookmarkEnd w:id="38"/>
      <w:r w:rsidR="00D52961" w:rsidRPr="002047F4">
        <w:rPr>
          <w:rFonts w:asciiTheme="majorHAnsi" w:hAnsiTheme="majorHAnsi" w:cstheme="majorHAnsi"/>
          <w:b/>
          <w:color w:val="auto"/>
          <w:sz w:val="24"/>
          <w:szCs w:val="24"/>
          <w:lang w:val="ro-RO"/>
        </w:rPr>
        <w:t xml:space="preserve"> </w:t>
      </w:r>
      <w:bookmarkEnd w:id="39"/>
      <w:bookmarkEnd w:id="40"/>
      <w:bookmarkEnd w:id="41"/>
    </w:p>
    <w:p w14:paraId="5B12CF56" w14:textId="77777777" w:rsidR="00073285" w:rsidRPr="00073285" w:rsidRDefault="00073285" w:rsidP="00073285">
      <w:pPr>
        <w:rPr>
          <w:sz w:val="2"/>
          <w:szCs w:val="2"/>
          <w:lang w:val="ro-RO"/>
        </w:rPr>
      </w:pPr>
    </w:p>
    <w:p w14:paraId="2D837DE7" w14:textId="743FB0AF" w:rsidR="00285830" w:rsidRPr="00285830" w:rsidRDefault="00285830" w:rsidP="007D759B">
      <w:pPr>
        <w:spacing w:after="0"/>
        <w:ind w:firstLine="720"/>
        <w:jc w:val="both"/>
        <w:rPr>
          <w:rFonts w:asciiTheme="majorHAnsi" w:hAnsiTheme="majorHAnsi"/>
          <w:sz w:val="24"/>
          <w:szCs w:val="24"/>
          <w:lang w:val="ro-RO"/>
        </w:rPr>
      </w:pPr>
      <w:r w:rsidRPr="00285830">
        <w:rPr>
          <w:rFonts w:asciiTheme="majorHAnsi" w:hAnsiTheme="majorHAnsi"/>
          <w:sz w:val="24"/>
          <w:szCs w:val="24"/>
          <w:lang w:val="ro-RO"/>
        </w:rPr>
        <w:t xml:space="preserve">VMS convertite reprezintă împrumuturile acordate de către Banca Națională a </w:t>
      </w:r>
      <w:r w:rsidR="00092DEB">
        <w:rPr>
          <w:rFonts w:asciiTheme="majorHAnsi" w:hAnsiTheme="majorHAnsi"/>
          <w:sz w:val="24"/>
          <w:szCs w:val="24"/>
          <w:lang w:val="ro-RO"/>
        </w:rPr>
        <w:t>Moldovei,</w:t>
      </w:r>
      <w:r w:rsidRPr="00285830">
        <w:rPr>
          <w:rFonts w:asciiTheme="majorHAnsi" w:hAnsiTheme="majorHAnsi"/>
          <w:sz w:val="24"/>
          <w:szCs w:val="24"/>
          <w:lang w:val="ro-RO"/>
        </w:rPr>
        <w:t xml:space="preserve"> în persoana Ministerului Finanțelor</w:t>
      </w:r>
      <w:r w:rsidR="00092DEB">
        <w:rPr>
          <w:rFonts w:asciiTheme="majorHAnsi" w:hAnsiTheme="majorHAnsi"/>
          <w:sz w:val="24"/>
          <w:szCs w:val="24"/>
          <w:lang w:val="ro-RO"/>
        </w:rPr>
        <w:t>,</w:t>
      </w:r>
      <w:r w:rsidRPr="00285830">
        <w:rPr>
          <w:rFonts w:asciiTheme="majorHAnsi" w:hAnsiTheme="majorHAnsi"/>
          <w:sz w:val="24"/>
          <w:szCs w:val="24"/>
          <w:lang w:val="ro-RO"/>
        </w:rPr>
        <w:t xml:space="preserve"> în perioada anilor </w:t>
      </w:r>
      <w:r w:rsidR="000C6E68">
        <w:rPr>
          <w:rFonts w:asciiTheme="majorHAnsi" w:hAnsiTheme="majorHAnsi"/>
          <w:sz w:val="24"/>
          <w:szCs w:val="24"/>
          <w:lang w:val="ro-RO"/>
        </w:rPr>
        <w:t xml:space="preserve">1993-1995 și </w:t>
      </w:r>
      <w:r w:rsidRPr="00285830">
        <w:rPr>
          <w:rFonts w:asciiTheme="majorHAnsi" w:hAnsiTheme="majorHAnsi"/>
          <w:sz w:val="24"/>
          <w:szCs w:val="24"/>
          <w:lang w:val="ro-RO"/>
        </w:rPr>
        <w:t>1996-2004</w:t>
      </w:r>
      <w:r w:rsidR="000C6E68">
        <w:rPr>
          <w:rFonts w:asciiTheme="majorHAnsi" w:hAnsiTheme="majorHAnsi"/>
          <w:sz w:val="24"/>
          <w:szCs w:val="24"/>
          <w:lang w:val="ro-RO"/>
        </w:rPr>
        <w:t>, care au fost treptat</w:t>
      </w:r>
      <w:r w:rsidRPr="00285830">
        <w:rPr>
          <w:rFonts w:asciiTheme="majorHAnsi" w:hAnsiTheme="majorHAnsi"/>
          <w:sz w:val="24"/>
          <w:szCs w:val="24"/>
          <w:lang w:val="ro-RO"/>
        </w:rPr>
        <w:t xml:space="preserve"> </w:t>
      </w:r>
      <w:r w:rsidR="009B3AEE">
        <w:rPr>
          <w:rFonts w:asciiTheme="majorHAnsi" w:hAnsiTheme="majorHAnsi"/>
          <w:sz w:val="24"/>
          <w:szCs w:val="24"/>
          <w:lang w:val="ro-RO"/>
        </w:rPr>
        <w:t xml:space="preserve">convertite </w:t>
      </w:r>
      <w:r w:rsidRPr="00285830">
        <w:rPr>
          <w:rFonts w:asciiTheme="majorHAnsi" w:hAnsiTheme="majorHAnsi"/>
          <w:sz w:val="24"/>
          <w:szCs w:val="24"/>
          <w:lang w:val="ro-RO"/>
        </w:rPr>
        <w:t>în VMS.</w:t>
      </w:r>
      <w:r w:rsidR="009B3AEE">
        <w:rPr>
          <w:rFonts w:asciiTheme="majorHAnsi" w:hAnsiTheme="majorHAnsi"/>
          <w:sz w:val="24"/>
          <w:szCs w:val="24"/>
          <w:lang w:val="ro-RO"/>
        </w:rPr>
        <w:t xml:space="preserve"> </w:t>
      </w:r>
    </w:p>
    <w:p w14:paraId="2881E002" w14:textId="0E247D2A" w:rsidR="00C95A42" w:rsidRPr="002047F4" w:rsidRDefault="00C27783" w:rsidP="00C95A42">
      <w:pPr>
        <w:spacing w:after="0" w:line="276" w:lineRule="auto"/>
        <w:ind w:firstLine="720"/>
        <w:jc w:val="both"/>
        <w:rPr>
          <w:rFonts w:asciiTheme="majorHAnsi" w:hAnsiTheme="majorHAnsi" w:cstheme="majorHAnsi"/>
          <w:sz w:val="24"/>
          <w:szCs w:val="24"/>
          <w:lang w:val="ro-RO"/>
        </w:rPr>
      </w:pPr>
      <w:r w:rsidRPr="002047F4">
        <w:rPr>
          <w:rFonts w:asciiTheme="majorHAnsi" w:hAnsiTheme="majorHAnsi" w:cstheme="majorHAnsi"/>
          <w:sz w:val="24"/>
          <w:szCs w:val="24"/>
          <w:lang w:val="ro-RO"/>
        </w:rPr>
        <w:t>Auditul relevă că la 31.12.</w:t>
      </w:r>
      <w:r w:rsidR="00D52961" w:rsidRPr="002047F4">
        <w:rPr>
          <w:rFonts w:asciiTheme="majorHAnsi" w:hAnsiTheme="majorHAnsi" w:cstheme="majorHAnsi"/>
          <w:sz w:val="24"/>
          <w:szCs w:val="24"/>
          <w:lang w:val="ro-RO"/>
        </w:rPr>
        <w:t>2018 s</w:t>
      </w:r>
      <w:r w:rsidRPr="002047F4">
        <w:rPr>
          <w:rFonts w:asciiTheme="majorHAnsi" w:hAnsiTheme="majorHAnsi" w:cstheme="majorHAnsi"/>
          <w:sz w:val="24"/>
          <w:szCs w:val="24"/>
          <w:lang w:val="ro-RO"/>
        </w:rPr>
        <w:t xml:space="preserve">oldul VMS convertite a constituit 2063,4 </w:t>
      </w:r>
      <w:proofErr w:type="spellStart"/>
      <w:r w:rsidRPr="002047F4">
        <w:rPr>
          <w:rFonts w:asciiTheme="majorHAnsi" w:hAnsiTheme="majorHAnsi" w:cstheme="majorHAnsi"/>
          <w:sz w:val="24"/>
          <w:szCs w:val="24"/>
          <w:lang w:val="ro-RO"/>
        </w:rPr>
        <w:t>mil.</w:t>
      </w:r>
      <w:r w:rsidR="00E124FF" w:rsidRPr="002047F4">
        <w:rPr>
          <w:rFonts w:asciiTheme="majorHAnsi" w:hAnsiTheme="majorHAnsi" w:cstheme="majorHAnsi"/>
          <w:sz w:val="24"/>
          <w:szCs w:val="24"/>
          <w:lang w:val="ro-RO"/>
        </w:rPr>
        <w:t>MDL</w:t>
      </w:r>
      <w:proofErr w:type="spellEnd"/>
      <w:r w:rsidRPr="002047F4">
        <w:rPr>
          <w:rFonts w:asciiTheme="majorHAnsi" w:hAnsiTheme="majorHAnsi" w:cstheme="majorHAnsi"/>
          <w:sz w:val="24"/>
          <w:szCs w:val="24"/>
          <w:lang w:val="ro-RO"/>
        </w:rPr>
        <w:t xml:space="preserve">, </w:t>
      </w:r>
      <w:r w:rsidR="00092DEB">
        <w:rPr>
          <w:rFonts w:asciiTheme="majorHAnsi" w:hAnsiTheme="majorHAnsi" w:cstheme="majorHAnsi"/>
          <w:sz w:val="24"/>
          <w:szCs w:val="24"/>
          <w:lang w:val="ro-RO"/>
        </w:rPr>
        <w:t xml:space="preserve">care, </w:t>
      </w:r>
      <w:r w:rsidR="00A528F3" w:rsidRPr="002047F4">
        <w:rPr>
          <w:rFonts w:asciiTheme="majorHAnsi" w:hAnsiTheme="majorHAnsi" w:cstheme="majorHAnsi"/>
          <w:sz w:val="24"/>
          <w:szCs w:val="24"/>
          <w:lang w:val="ro-RO"/>
        </w:rPr>
        <w:t>comparativ cu anii precedenți</w:t>
      </w:r>
      <w:r w:rsidR="00092DEB">
        <w:rPr>
          <w:rFonts w:asciiTheme="majorHAnsi" w:hAnsiTheme="majorHAnsi" w:cstheme="majorHAnsi"/>
          <w:sz w:val="24"/>
          <w:szCs w:val="24"/>
          <w:lang w:val="ro-RO"/>
        </w:rPr>
        <w:t>, se</w:t>
      </w:r>
      <w:r w:rsidR="00A528F3" w:rsidRPr="002047F4">
        <w:rPr>
          <w:rFonts w:asciiTheme="majorHAnsi" w:hAnsiTheme="majorHAnsi" w:cstheme="majorHAnsi"/>
          <w:sz w:val="24"/>
          <w:szCs w:val="24"/>
          <w:lang w:val="ro-RO"/>
        </w:rPr>
        <w:t xml:space="preserve"> menține constant. Astfel, </w:t>
      </w:r>
      <w:r w:rsidR="0060059B" w:rsidRPr="002047F4">
        <w:rPr>
          <w:rFonts w:asciiTheme="majorHAnsi" w:hAnsiTheme="majorHAnsi" w:cstheme="majorHAnsi"/>
          <w:sz w:val="24"/>
          <w:szCs w:val="24"/>
          <w:lang w:val="ro-RO"/>
        </w:rPr>
        <w:t>conform pct. 1 a</w:t>
      </w:r>
      <w:r w:rsidR="00092DEB">
        <w:rPr>
          <w:rFonts w:asciiTheme="majorHAnsi" w:hAnsiTheme="majorHAnsi" w:cstheme="majorHAnsi"/>
          <w:sz w:val="24"/>
          <w:szCs w:val="24"/>
          <w:lang w:val="ro-RO"/>
        </w:rPr>
        <w:t>l</w:t>
      </w:r>
      <w:r w:rsidR="0060059B" w:rsidRPr="002047F4">
        <w:rPr>
          <w:rFonts w:asciiTheme="majorHAnsi" w:hAnsiTheme="majorHAnsi" w:cstheme="majorHAnsi"/>
          <w:sz w:val="24"/>
          <w:szCs w:val="24"/>
          <w:lang w:val="ro-RO"/>
        </w:rPr>
        <w:t xml:space="preserve"> Hotărârii Comitetului executiv a</w:t>
      </w:r>
      <w:r w:rsidR="00092DEB">
        <w:rPr>
          <w:rFonts w:asciiTheme="majorHAnsi" w:hAnsiTheme="majorHAnsi" w:cstheme="majorHAnsi"/>
          <w:sz w:val="24"/>
          <w:szCs w:val="24"/>
          <w:lang w:val="ro-RO"/>
        </w:rPr>
        <w:t>l</w:t>
      </w:r>
      <w:r w:rsidR="0060059B" w:rsidRPr="002047F4">
        <w:rPr>
          <w:rFonts w:asciiTheme="majorHAnsi" w:hAnsiTheme="majorHAnsi" w:cstheme="majorHAnsi"/>
          <w:sz w:val="24"/>
          <w:szCs w:val="24"/>
          <w:lang w:val="ro-RO"/>
        </w:rPr>
        <w:t xml:space="preserve"> Băncii Naționale </w:t>
      </w:r>
      <w:r w:rsidR="003D41A8">
        <w:rPr>
          <w:rFonts w:asciiTheme="majorHAnsi" w:hAnsiTheme="majorHAnsi" w:cstheme="majorHAnsi"/>
          <w:sz w:val="24"/>
          <w:szCs w:val="24"/>
          <w:lang w:val="ro-RO"/>
        </w:rPr>
        <w:t xml:space="preserve">a Moldovei </w:t>
      </w:r>
      <w:r w:rsidR="0060059B" w:rsidRPr="002047F4">
        <w:rPr>
          <w:rFonts w:asciiTheme="majorHAnsi" w:hAnsiTheme="majorHAnsi" w:cstheme="majorHAnsi"/>
          <w:sz w:val="24"/>
          <w:szCs w:val="24"/>
          <w:lang w:val="ro-RO"/>
        </w:rPr>
        <w:t>nr. 336 din 20.12.2017</w:t>
      </w:r>
      <w:r w:rsidR="00092DEB">
        <w:rPr>
          <w:rFonts w:asciiTheme="majorHAnsi" w:hAnsiTheme="majorHAnsi" w:cstheme="majorHAnsi"/>
          <w:sz w:val="24"/>
          <w:szCs w:val="24"/>
          <w:lang w:val="ro-RO"/>
        </w:rPr>
        <w:t>,</w:t>
      </w:r>
      <w:r w:rsidR="0060059B" w:rsidRPr="002047F4">
        <w:rPr>
          <w:rFonts w:asciiTheme="majorHAnsi" w:hAnsiTheme="majorHAnsi" w:cstheme="majorHAnsi"/>
          <w:sz w:val="24"/>
          <w:szCs w:val="24"/>
          <w:lang w:val="ro-RO"/>
        </w:rPr>
        <w:t xml:space="preserve"> s-a acceptat</w:t>
      </w:r>
      <w:r w:rsidR="003D6A8C" w:rsidRPr="002047F4">
        <w:rPr>
          <w:rFonts w:asciiTheme="majorHAnsi" w:hAnsiTheme="majorHAnsi" w:cstheme="majorHAnsi"/>
          <w:sz w:val="24"/>
          <w:szCs w:val="24"/>
          <w:lang w:val="ro-RO"/>
        </w:rPr>
        <w:t xml:space="preserve"> </w:t>
      </w:r>
      <w:proofErr w:type="spellStart"/>
      <w:r w:rsidR="003D6A8C" w:rsidRPr="002047F4">
        <w:rPr>
          <w:rFonts w:asciiTheme="majorHAnsi" w:hAnsiTheme="majorHAnsi" w:cstheme="majorHAnsi"/>
          <w:sz w:val="24"/>
          <w:szCs w:val="24"/>
          <w:lang w:val="ro-RO"/>
        </w:rPr>
        <w:t>reemisiunea</w:t>
      </w:r>
      <w:proofErr w:type="spellEnd"/>
      <w:r w:rsidR="003D6A8C" w:rsidRPr="002047F4">
        <w:rPr>
          <w:rFonts w:asciiTheme="majorHAnsi" w:hAnsiTheme="majorHAnsi" w:cstheme="majorHAnsi"/>
          <w:sz w:val="24"/>
          <w:szCs w:val="24"/>
          <w:lang w:val="ro-RO"/>
        </w:rPr>
        <w:t xml:space="preserve"> VMS deținute în portofoliul BNM în rezultatul convertirii datoriei statului, la data scadenței acestora, pe orice termen până la un an solicitat de către Ministerul Finanțelor</w:t>
      </w:r>
      <w:r w:rsidR="00B53D02" w:rsidRPr="002047F4">
        <w:rPr>
          <w:rFonts w:asciiTheme="majorHAnsi" w:hAnsiTheme="majorHAnsi" w:cstheme="majorHAnsi"/>
          <w:sz w:val="24"/>
          <w:szCs w:val="24"/>
          <w:lang w:val="ro-RO"/>
        </w:rPr>
        <w:t>.</w:t>
      </w:r>
      <w:r w:rsidR="00862EDA" w:rsidRPr="002047F4">
        <w:rPr>
          <w:rFonts w:asciiTheme="majorHAnsi" w:hAnsiTheme="majorHAnsi" w:cstheme="majorHAnsi"/>
          <w:sz w:val="24"/>
          <w:szCs w:val="24"/>
          <w:lang w:val="ro-RO"/>
        </w:rPr>
        <w:t xml:space="preserve"> </w:t>
      </w:r>
      <w:r w:rsidR="00315046">
        <w:rPr>
          <w:rFonts w:asciiTheme="majorHAnsi" w:hAnsiTheme="majorHAnsi" w:cstheme="majorHAnsi"/>
          <w:sz w:val="24"/>
          <w:szCs w:val="24"/>
          <w:lang w:val="ro-RO"/>
        </w:rPr>
        <w:t>P</w:t>
      </w:r>
      <w:r w:rsidR="00862EDA" w:rsidRPr="002047F4">
        <w:rPr>
          <w:rFonts w:asciiTheme="majorHAnsi" w:hAnsiTheme="majorHAnsi" w:cstheme="majorHAnsi"/>
          <w:sz w:val="24"/>
          <w:szCs w:val="24"/>
          <w:lang w:val="ro-RO"/>
        </w:rPr>
        <w:t xml:space="preserve">e parcursul anului au fost </w:t>
      </w:r>
      <w:proofErr w:type="spellStart"/>
      <w:r w:rsidR="00862EDA" w:rsidRPr="002047F4">
        <w:rPr>
          <w:rFonts w:asciiTheme="majorHAnsi" w:hAnsiTheme="majorHAnsi" w:cstheme="majorHAnsi"/>
          <w:sz w:val="24"/>
          <w:szCs w:val="24"/>
          <w:lang w:val="ro-RO"/>
        </w:rPr>
        <w:t>reemise</w:t>
      </w:r>
      <w:proofErr w:type="spellEnd"/>
      <w:r w:rsidR="00862EDA" w:rsidRPr="002047F4">
        <w:rPr>
          <w:rFonts w:asciiTheme="majorHAnsi" w:hAnsiTheme="majorHAnsi" w:cstheme="majorHAnsi"/>
          <w:sz w:val="24"/>
          <w:szCs w:val="24"/>
          <w:lang w:val="ro-RO"/>
        </w:rPr>
        <w:t xml:space="preserve"> VMS convertite în sumă totală de 3143</w:t>
      </w:r>
      <w:r w:rsidR="00F040EE">
        <w:rPr>
          <w:rFonts w:asciiTheme="majorHAnsi" w:hAnsiTheme="majorHAnsi" w:cstheme="majorHAnsi"/>
          <w:sz w:val="24"/>
          <w:szCs w:val="24"/>
          <w:lang w:val="ro-RO"/>
        </w:rPr>
        <w:t>,0</w:t>
      </w:r>
      <w:r w:rsidR="00CC3860" w:rsidRPr="002047F4">
        <w:rPr>
          <w:rFonts w:asciiTheme="majorHAnsi" w:hAnsiTheme="majorHAnsi" w:cstheme="majorHAnsi"/>
          <w:sz w:val="24"/>
          <w:szCs w:val="24"/>
          <w:lang w:val="ro-RO"/>
        </w:rPr>
        <w:t xml:space="preserve"> </w:t>
      </w:r>
      <w:proofErr w:type="spellStart"/>
      <w:r w:rsidR="00CC3860" w:rsidRPr="002047F4">
        <w:rPr>
          <w:rFonts w:asciiTheme="majorHAnsi" w:hAnsiTheme="majorHAnsi" w:cstheme="majorHAnsi"/>
          <w:sz w:val="24"/>
          <w:szCs w:val="24"/>
          <w:lang w:val="ro-RO"/>
        </w:rPr>
        <w:t>mil.</w:t>
      </w:r>
      <w:r w:rsidR="00862EDA" w:rsidRPr="002047F4">
        <w:rPr>
          <w:rFonts w:asciiTheme="majorHAnsi" w:hAnsiTheme="majorHAnsi" w:cstheme="majorHAnsi"/>
          <w:sz w:val="24"/>
          <w:szCs w:val="24"/>
          <w:lang w:val="ro-RO"/>
        </w:rPr>
        <w:t>MDL</w:t>
      </w:r>
      <w:proofErr w:type="spellEnd"/>
      <w:r w:rsidR="00315046" w:rsidRPr="00315046">
        <w:rPr>
          <w:rFonts w:asciiTheme="majorHAnsi" w:hAnsiTheme="majorHAnsi" w:cstheme="majorHAnsi"/>
          <w:sz w:val="24"/>
          <w:szCs w:val="24"/>
          <w:lang w:val="ro-RO"/>
        </w:rPr>
        <w:t xml:space="preserve"> </w:t>
      </w:r>
      <w:r w:rsidR="00315046" w:rsidRPr="002047F4">
        <w:rPr>
          <w:rFonts w:asciiTheme="majorHAnsi" w:hAnsiTheme="majorHAnsi" w:cstheme="majorHAnsi"/>
          <w:sz w:val="24"/>
          <w:szCs w:val="24"/>
          <w:lang w:val="ro-RO"/>
        </w:rPr>
        <w:t xml:space="preserve">și răscumpărate </w:t>
      </w:r>
      <w:r w:rsidR="00315046">
        <w:rPr>
          <w:rFonts w:asciiTheme="majorHAnsi" w:hAnsiTheme="majorHAnsi" w:cstheme="majorHAnsi"/>
          <w:sz w:val="24"/>
          <w:szCs w:val="24"/>
          <w:lang w:val="ro-RO"/>
        </w:rPr>
        <w:t>în aceeași mărime</w:t>
      </w:r>
      <w:r w:rsidR="00300862" w:rsidRPr="002047F4">
        <w:rPr>
          <w:rFonts w:asciiTheme="majorHAnsi" w:hAnsiTheme="majorHAnsi" w:cstheme="majorHAnsi"/>
          <w:sz w:val="24"/>
          <w:szCs w:val="24"/>
          <w:lang w:val="ro-RO"/>
        </w:rPr>
        <w:t xml:space="preserve">, </w:t>
      </w:r>
      <w:r w:rsidR="00315046">
        <w:rPr>
          <w:rFonts w:asciiTheme="majorHAnsi" w:hAnsiTheme="majorHAnsi" w:cstheme="majorHAnsi"/>
          <w:sz w:val="24"/>
          <w:szCs w:val="24"/>
          <w:lang w:val="ro-RO"/>
        </w:rPr>
        <w:t xml:space="preserve">precum și </w:t>
      </w:r>
      <w:r w:rsidR="00300862" w:rsidRPr="002047F4">
        <w:rPr>
          <w:rFonts w:asciiTheme="majorHAnsi" w:hAnsiTheme="majorHAnsi" w:cstheme="majorHAnsi"/>
          <w:sz w:val="24"/>
          <w:szCs w:val="24"/>
          <w:lang w:val="ro-RO"/>
        </w:rPr>
        <w:t xml:space="preserve">achitate dobânzi în sumă de 42,6 </w:t>
      </w:r>
      <w:proofErr w:type="spellStart"/>
      <w:r w:rsidR="00300862" w:rsidRPr="002047F4">
        <w:rPr>
          <w:rFonts w:asciiTheme="majorHAnsi" w:hAnsiTheme="majorHAnsi" w:cstheme="majorHAnsi"/>
          <w:sz w:val="24"/>
          <w:szCs w:val="24"/>
          <w:lang w:val="ro-RO"/>
        </w:rPr>
        <w:t>mil.MDL</w:t>
      </w:r>
      <w:proofErr w:type="spellEnd"/>
      <w:r w:rsidR="00862EDA" w:rsidRPr="002047F4">
        <w:rPr>
          <w:rFonts w:asciiTheme="majorHAnsi" w:hAnsiTheme="majorHAnsi" w:cstheme="majorHAnsi"/>
          <w:sz w:val="24"/>
          <w:szCs w:val="24"/>
          <w:lang w:val="ro-RO"/>
        </w:rPr>
        <w:t>.</w:t>
      </w:r>
      <w:r w:rsidR="00CC3860" w:rsidRPr="002047F4">
        <w:rPr>
          <w:rFonts w:asciiTheme="majorHAnsi" w:hAnsiTheme="majorHAnsi" w:cstheme="majorHAnsi"/>
          <w:sz w:val="24"/>
          <w:szCs w:val="24"/>
          <w:lang w:val="ro-RO"/>
        </w:rPr>
        <w:t xml:space="preserve"> </w:t>
      </w:r>
      <w:proofErr w:type="spellStart"/>
      <w:r w:rsidR="00CC3860" w:rsidRPr="002047F4">
        <w:rPr>
          <w:rFonts w:asciiTheme="majorHAnsi" w:hAnsiTheme="majorHAnsi" w:cstheme="majorHAnsi"/>
          <w:sz w:val="24"/>
          <w:szCs w:val="24"/>
          <w:lang w:val="ro-RO"/>
        </w:rPr>
        <w:t>Reemisiunea</w:t>
      </w:r>
      <w:proofErr w:type="spellEnd"/>
      <w:r w:rsidR="00CC3860" w:rsidRPr="002047F4">
        <w:rPr>
          <w:rFonts w:asciiTheme="majorHAnsi" w:hAnsiTheme="majorHAnsi" w:cstheme="majorHAnsi"/>
          <w:sz w:val="24"/>
          <w:szCs w:val="24"/>
          <w:lang w:val="ro-RO"/>
        </w:rPr>
        <w:t xml:space="preserve"> VMS a fost efectuată pe termene de 91 și 364 </w:t>
      </w:r>
      <w:r w:rsidR="00315046">
        <w:rPr>
          <w:rFonts w:asciiTheme="majorHAnsi" w:hAnsiTheme="majorHAnsi" w:cstheme="majorHAnsi"/>
          <w:sz w:val="24"/>
          <w:szCs w:val="24"/>
          <w:lang w:val="ro-RO"/>
        </w:rPr>
        <w:t xml:space="preserve">de </w:t>
      </w:r>
      <w:r w:rsidR="00CC3860" w:rsidRPr="002047F4">
        <w:rPr>
          <w:rFonts w:asciiTheme="majorHAnsi" w:hAnsiTheme="majorHAnsi" w:cstheme="majorHAnsi"/>
          <w:sz w:val="24"/>
          <w:szCs w:val="24"/>
          <w:lang w:val="ro-RO"/>
        </w:rPr>
        <w:t xml:space="preserve">zile. </w:t>
      </w:r>
      <w:r w:rsidRPr="002047F4">
        <w:rPr>
          <w:rFonts w:asciiTheme="majorHAnsi" w:hAnsiTheme="majorHAnsi" w:cstheme="majorHAnsi"/>
          <w:sz w:val="24"/>
          <w:szCs w:val="24"/>
          <w:lang w:val="ro-RO"/>
        </w:rPr>
        <w:t xml:space="preserve">Ponderea serviciului VMS convertite în totalul serviciului datoriei de stat interne s-a </w:t>
      </w:r>
      <w:r w:rsidR="00502156">
        <w:rPr>
          <w:rFonts w:asciiTheme="majorHAnsi" w:hAnsiTheme="majorHAnsi" w:cstheme="majorHAnsi"/>
          <w:sz w:val="24"/>
          <w:szCs w:val="24"/>
          <w:lang w:val="ro-RO"/>
        </w:rPr>
        <w:t xml:space="preserve">diminuat cu 5,4 </w:t>
      </w:r>
      <w:proofErr w:type="spellStart"/>
      <w:r w:rsidR="00502156">
        <w:rPr>
          <w:rFonts w:asciiTheme="majorHAnsi" w:hAnsiTheme="majorHAnsi" w:cstheme="majorHAnsi"/>
          <w:sz w:val="24"/>
          <w:szCs w:val="24"/>
          <w:lang w:val="ro-RO"/>
        </w:rPr>
        <w:t>p.p.</w:t>
      </w:r>
      <w:proofErr w:type="spellEnd"/>
      <w:r w:rsidR="00502156">
        <w:rPr>
          <w:rFonts w:asciiTheme="majorHAnsi" w:hAnsiTheme="majorHAnsi" w:cstheme="majorHAnsi"/>
          <w:sz w:val="24"/>
          <w:szCs w:val="24"/>
          <w:lang w:val="ro-RO"/>
        </w:rPr>
        <w:t xml:space="preserve"> comparativ cu anul 2017</w:t>
      </w:r>
      <w:r w:rsidR="00C95A42" w:rsidRPr="002047F4">
        <w:rPr>
          <w:rFonts w:asciiTheme="majorHAnsi" w:hAnsiTheme="majorHAnsi" w:cstheme="majorHAnsi"/>
          <w:sz w:val="24"/>
          <w:szCs w:val="24"/>
          <w:lang w:val="ro-RO"/>
        </w:rPr>
        <w:t>,</w:t>
      </w:r>
      <w:r w:rsidR="008E1C13" w:rsidRPr="002047F4">
        <w:rPr>
          <w:rFonts w:asciiTheme="majorHAnsi" w:hAnsiTheme="majorHAnsi" w:cstheme="majorHAnsi"/>
          <w:sz w:val="24"/>
          <w:szCs w:val="24"/>
          <w:lang w:val="ro-RO"/>
        </w:rPr>
        <w:t xml:space="preserve"> constituind </w:t>
      </w:r>
      <w:r w:rsidR="00502156">
        <w:rPr>
          <w:rFonts w:asciiTheme="majorHAnsi" w:hAnsiTheme="majorHAnsi" w:cstheme="majorHAnsi"/>
          <w:sz w:val="24"/>
          <w:szCs w:val="24"/>
          <w:lang w:val="ro-RO"/>
        </w:rPr>
        <w:t>3,8</w:t>
      </w:r>
      <w:r w:rsidR="00C95A42" w:rsidRPr="002047F4">
        <w:rPr>
          <w:rFonts w:asciiTheme="majorHAnsi" w:hAnsiTheme="majorHAnsi" w:cstheme="majorHAnsi"/>
          <w:sz w:val="24"/>
          <w:szCs w:val="24"/>
          <w:lang w:val="ro-RO"/>
        </w:rPr>
        <w:t>%.</w:t>
      </w:r>
      <w:r w:rsidRPr="002047F4">
        <w:rPr>
          <w:rFonts w:asciiTheme="majorHAnsi" w:hAnsiTheme="majorHAnsi" w:cstheme="majorHAnsi"/>
          <w:sz w:val="24"/>
          <w:szCs w:val="24"/>
          <w:lang w:val="ro-RO"/>
        </w:rPr>
        <w:t xml:space="preserve"> </w:t>
      </w:r>
    </w:p>
    <w:p w14:paraId="197B8572" w14:textId="28E26B55" w:rsidR="00C27783" w:rsidRPr="002047F4" w:rsidRDefault="00C27783" w:rsidP="00425587">
      <w:pPr>
        <w:spacing w:after="0" w:line="276" w:lineRule="auto"/>
        <w:ind w:firstLine="720"/>
        <w:jc w:val="both"/>
        <w:rPr>
          <w:rFonts w:asciiTheme="majorHAnsi" w:hAnsiTheme="majorHAnsi" w:cstheme="majorHAnsi"/>
          <w:sz w:val="24"/>
          <w:szCs w:val="24"/>
          <w:highlight w:val="yellow"/>
          <w:shd w:val="clear" w:color="auto" w:fill="FFFFFF"/>
          <w:lang w:val="ro-RO"/>
        </w:rPr>
      </w:pPr>
      <w:r w:rsidRPr="002047F4">
        <w:rPr>
          <w:rFonts w:asciiTheme="majorHAnsi" w:hAnsiTheme="majorHAnsi" w:cstheme="majorHAnsi"/>
          <w:sz w:val="24"/>
          <w:szCs w:val="24"/>
          <w:lang w:val="ro-RO"/>
        </w:rPr>
        <w:t xml:space="preserve">Analiza </w:t>
      </w:r>
      <w:r w:rsidR="00975C5A" w:rsidRPr="002047F4">
        <w:rPr>
          <w:rFonts w:asciiTheme="majorHAnsi" w:hAnsiTheme="majorHAnsi" w:cstheme="majorHAnsi"/>
          <w:sz w:val="24"/>
          <w:szCs w:val="24"/>
          <w:lang w:val="ro-RO"/>
        </w:rPr>
        <w:t xml:space="preserve">efectuată de </w:t>
      </w:r>
      <w:r w:rsidRPr="002047F4">
        <w:rPr>
          <w:rFonts w:asciiTheme="majorHAnsi" w:hAnsiTheme="majorHAnsi" w:cstheme="majorHAnsi"/>
          <w:sz w:val="24"/>
          <w:szCs w:val="24"/>
          <w:lang w:val="ro-RO"/>
        </w:rPr>
        <w:t xml:space="preserve">audit </w:t>
      </w:r>
      <w:r w:rsidR="00315046">
        <w:rPr>
          <w:rFonts w:asciiTheme="majorHAnsi" w:hAnsiTheme="majorHAnsi" w:cstheme="majorHAnsi"/>
          <w:sz w:val="24"/>
          <w:szCs w:val="24"/>
          <w:lang w:val="ro-RO"/>
        </w:rPr>
        <w:t xml:space="preserve">denotă </w:t>
      </w:r>
      <w:r w:rsidRPr="002047F4">
        <w:rPr>
          <w:rFonts w:asciiTheme="majorHAnsi" w:hAnsiTheme="majorHAnsi" w:cstheme="majorHAnsi"/>
          <w:sz w:val="24"/>
          <w:szCs w:val="24"/>
          <w:lang w:val="ro-RO"/>
        </w:rPr>
        <w:t xml:space="preserve">o scădere </w:t>
      </w:r>
      <w:r w:rsidR="009D5282" w:rsidRPr="002047F4">
        <w:rPr>
          <w:rFonts w:asciiTheme="majorHAnsi" w:hAnsiTheme="majorHAnsi" w:cstheme="majorHAnsi"/>
          <w:sz w:val="24"/>
          <w:szCs w:val="24"/>
          <w:lang w:val="ro-RO"/>
        </w:rPr>
        <w:t>continuă</w:t>
      </w:r>
      <w:r w:rsidRPr="002047F4">
        <w:rPr>
          <w:rFonts w:asciiTheme="majorHAnsi" w:hAnsiTheme="majorHAnsi" w:cstheme="majorHAnsi"/>
          <w:sz w:val="24"/>
          <w:szCs w:val="24"/>
          <w:lang w:val="ro-RO"/>
        </w:rPr>
        <w:t xml:space="preserve"> a ratelor medii ponderate ale dobânzi</w:t>
      </w:r>
      <w:r w:rsidR="009D5282" w:rsidRPr="002047F4">
        <w:rPr>
          <w:rFonts w:asciiTheme="majorHAnsi" w:hAnsiTheme="majorHAnsi" w:cstheme="majorHAnsi"/>
          <w:sz w:val="24"/>
          <w:szCs w:val="24"/>
          <w:lang w:val="ro-RO"/>
        </w:rPr>
        <w:t>i la VMS convertite în anul 2018 (4,6</w:t>
      </w:r>
      <w:r w:rsidRPr="002047F4">
        <w:rPr>
          <w:rFonts w:asciiTheme="majorHAnsi" w:hAnsiTheme="majorHAnsi" w:cstheme="majorHAnsi"/>
          <w:sz w:val="24"/>
          <w:szCs w:val="24"/>
          <w:lang w:val="ro-RO"/>
        </w:rPr>
        <w:t>%)</w:t>
      </w:r>
      <w:r w:rsidR="00975C5A" w:rsidRPr="002047F4">
        <w:rPr>
          <w:rFonts w:asciiTheme="majorHAnsi" w:hAnsiTheme="majorHAnsi" w:cstheme="majorHAnsi"/>
          <w:sz w:val="24"/>
          <w:szCs w:val="24"/>
          <w:lang w:val="ro-RO"/>
        </w:rPr>
        <w:t>,</w:t>
      </w:r>
      <w:r w:rsidRPr="002047F4">
        <w:rPr>
          <w:rFonts w:asciiTheme="majorHAnsi" w:hAnsiTheme="majorHAnsi" w:cstheme="majorHAnsi"/>
          <w:sz w:val="24"/>
          <w:szCs w:val="24"/>
          <w:lang w:val="ro-RO"/>
        </w:rPr>
        <w:t xml:space="preserve"> comparativ cu a</w:t>
      </w:r>
      <w:r w:rsidR="009D5282" w:rsidRPr="002047F4">
        <w:rPr>
          <w:rFonts w:asciiTheme="majorHAnsi" w:hAnsiTheme="majorHAnsi" w:cstheme="majorHAnsi"/>
          <w:sz w:val="24"/>
          <w:szCs w:val="24"/>
          <w:lang w:val="ro-RO"/>
        </w:rPr>
        <w:t>nul 2017</w:t>
      </w:r>
      <w:r w:rsidRPr="002047F4">
        <w:rPr>
          <w:rFonts w:asciiTheme="majorHAnsi" w:hAnsiTheme="majorHAnsi" w:cstheme="majorHAnsi"/>
          <w:sz w:val="24"/>
          <w:szCs w:val="24"/>
          <w:lang w:val="ro-RO"/>
        </w:rPr>
        <w:t xml:space="preserve"> (</w:t>
      </w:r>
      <w:r w:rsidR="009D5282" w:rsidRPr="002047F4">
        <w:rPr>
          <w:rFonts w:asciiTheme="majorHAnsi" w:hAnsiTheme="majorHAnsi" w:cstheme="majorHAnsi"/>
          <w:sz w:val="24"/>
          <w:szCs w:val="24"/>
          <w:lang w:val="ro-RO"/>
        </w:rPr>
        <w:t>6,</w:t>
      </w:r>
      <w:r w:rsidR="00D555C8">
        <w:rPr>
          <w:rFonts w:asciiTheme="majorHAnsi" w:hAnsiTheme="majorHAnsi" w:cstheme="majorHAnsi"/>
          <w:sz w:val="24"/>
          <w:szCs w:val="24"/>
          <w:lang w:val="ro-RO"/>
        </w:rPr>
        <w:t>5</w:t>
      </w:r>
      <w:r w:rsidRPr="002047F4">
        <w:rPr>
          <w:rFonts w:asciiTheme="majorHAnsi" w:hAnsiTheme="majorHAnsi" w:cstheme="majorHAnsi"/>
          <w:sz w:val="24"/>
          <w:szCs w:val="24"/>
          <w:lang w:val="ro-RO"/>
        </w:rPr>
        <w:t>%)</w:t>
      </w:r>
      <w:r w:rsidR="00975C5A" w:rsidRPr="002047F4">
        <w:rPr>
          <w:rFonts w:asciiTheme="majorHAnsi" w:hAnsiTheme="majorHAnsi" w:cstheme="majorHAnsi"/>
          <w:sz w:val="24"/>
          <w:szCs w:val="24"/>
          <w:lang w:val="ro-RO"/>
        </w:rPr>
        <w:t>,</w:t>
      </w:r>
      <w:r w:rsidRPr="002047F4">
        <w:rPr>
          <w:rFonts w:asciiTheme="majorHAnsi" w:hAnsiTheme="majorHAnsi" w:cstheme="majorHAnsi"/>
          <w:sz w:val="24"/>
          <w:szCs w:val="24"/>
          <w:lang w:val="ro-RO"/>
        </w:rPr>
        <w:t xml:space="preserve"> cu </w:t>
      </w:r>
      <w:r w:rsidR="00D555C8">
        <w:rPr>
          <w:rFonts w:asciiTheme="majorHAnsi" w:hAnsiTheme="majorHAnsi" w:cstheme="majorHAnsi"/>
          <w:sz w:val="24"/>
          <w:szCs w:val="24"/>
          <w:lang w:val="ro-RO"/>
        </w:rPr>
        <w:t>1,9</w:t>
      </w:r>
      <w:r w:rsidRPr="002047F4">
        <w:rPr>
          <w:rFonts w:asciiTheme="majorHAnsi" w:hAnsiTheme="majorHAnsi" w:cstheme="majorHAnsi"/>
          <w:sz w:val="24"/>
          <w:szCs w:val="24"/>
          <w:lang w:val="ro-RO"/>
        </w:rPr>
        <w:t xml:space="preserve"> </w:t>
      </w:r>
      <w:proofErr w:type="spellStart"/>
      <w:r w:rsidRPr="002047F4">
        <w:rPr>
          <w:rFonts w:asciiTheme="majorHAnsi" w:hAnsiTheme="majorHAnsi" w:cstheme="majorHAnsi"/>
          <w:sz w:val="24"/>
          <w:szCs w:val="24"/>
          <w:lang w:val="ro-RO"/>
        </w:rPr>
        <w:t>p.p.</w:t>
      </w:r>
      <w:proofErr w:type="spellEnd"/>
      <w:r w:rsidRPr="002047F4">
        <w:rPr>
          <w:rFonts w:asciiTheme="majorHAnsi" w:hAnsiTheme="majorHAnsi" w:cstheme="majorHAnsi"/>
          <w:sz w:val="24"/>
          <w:szCs w:val="24"/>
          <w:lang w:val="ro-RO"/>
        </w:rPr>
        <w:t xml:space="preserve">. </w:t>
      </w:r>
      <w:r w:rsidRPr="002047F4">
        <w:rPr>
          <w:rFonts w:asciiTheme="majorHAnsi" w:hAnsiTheme="majorHAnsi" w:cstheme="majorHAnsi"/>
          <w:i/>
          <w:sz w:val="24"/>
          <w:szCs w:val="24"/>
          <w:lang w:val="ro-RO"/>
        </w:rPr>
        <w:t>Situațiile descrise sunt prezentate în Diagrama</w:t>
      </w:r>
      <w:r w:rsidR="001D5664">
        <w:rPr>
          <w:rFonts w:asciiTheme="majorHAnsi" w:hAnsiTheme="majorHAnsi" w:cstheme="majorHAnsi"/>
          <w:i/>
          <w:sz w:val="24"/>
          <w:szCs w:val="24"/>
          <w:lang w:val="ro-RO"/>
        </w:rPr>
        <w:t xml:space="preserve"> nr.3</w:t>
      </w:r>
      <w:r w:rsidRPr="002047F4">
        <w:rPr>
          <w:rFonts w:asciiTheme="majorHAnsi" w:hAnsiTheme="majorHAnsi" w:cstheme="majorHAnsi"/>
          <w:i/>
          <w:sz w:val="24"/>
          <w:szCs w:val="24"/>
          <w:lang w:val="ro-RO"/>
        </w:rPr>
        <w:t xml:space="preserve"> din Anexa nr.3 la prezentul Raport de audit.</w:t>
      </w:r>
    </w:p>
    <w:p w14:paraId="32BB1C4A" w14:textId="77777777" w:rsidR="00425587" w:rsidRPr="002047F4" w:rsidRDefault="00425587" w:rsidP="00425587">
      <w:pPr>
        <w:spacing w:after="0" w:line="276" w:lineRule="auto"/>
        <w:ind w:firstLine="720"/>
        <w:jc w:val="both"/>
        <w:rPr>
          <w:rFonts w:asciiTheme="majorHAnsi" w:hAnsiTheme="majorHAnsi" w:cstheme="majorHAnsi"/>
          <w:sz w:val="24"/>
          <w:szCs w:val="24"/>
          <w:highlight w:val="yellow"/>
          <w:shd w:val="clear" w:color="auto" w:fill="FFFFFF"/>
          <w:lang w:val="ro-RO"/>
        </w:rPr>
      </w:pPr>
    </w:p>
    <w:p w14:paraId="4F390D5C" w14:textId="77777777" w:rsidR="00AD0650" w:rsidRPr="009E75C6" w:rsidRDefault="00AD0650" w:rsidP="00455178">
      <w:pPr>
        <w:pStyle w:val="2"/>
        <w:numPr>
          <w:ilvl w:val="2"/>
          <w:numId w:val="47"/>
        </w:numPr>
        <w:spacing w:line="276" w:lineRule="auto"/>
        <w:ind w:hanging="11"/>
        <w:jc w:val="both"/>
        <w:rPr>
          <w:rFonts w:asciiTheme="majorHAnsi" w:hAnsiTheme="majorHAnsi" w:cstheme="majorHAnsi"/>
          <w:b/>
          <w:color w:val="auto"/>
          <w:sz w:val="24"/>
          <w:szCs w:val="24"/>
          <w:lang w:val="ro-RO"/>
        </w:rPr>
      </w:pPr>
      <w:bookmarkStart w:id="42" w:name="_Toc10106689"/>
      <w:r w:rsidRPr="009E75C6">
        <w:rPr>
          <w:rFonts w:asciiTheme="majorHAnsi" w:hAnsiTheme="majorHAnsi" w:cstheme="majorHAnsi"/>
          <w:b/>
          <w:color w:val="auto"/>
          <w:sz w:val="24"/>
          <w:szCs w:val="24"/>
          <w:lang w:val="ro-RO"/>
        </w:rPr>
        <w:t>Soldul datoriei de stat externe a înregistrat un trend descendent.</w:t>
      </w:r>
      <w:bookmarkEnd w:id="42"/>
      <w:r w:rsidRPr="009E75C6">
        <w:rPr>
          <w:rFonts w:asciiTheme="majorHAnsi" w:hAnsiTheme="majorHAnsi" w:cstheme="majorHAnsi"/>
          <w:b/>
          <w:color w:val="auto"/>
          <w:sz w:val="24"/>
          <w:szCs w:val="24"/>
          <w:lang w:val="ro-RO"/>
        </w:rPr>
        <w:t xml:space="preserve"> </w:t>
      </w:r>
    </w:p>
    <w:p w14:paraId="5AC27164" w14:textId="77777777" w:rsidR="00AD0650" w:rsidRPr="00073285" w:rsidRDefault="00AD0650" w:rsidP="009E75C6">
      <w:pPr>
        <w:spacing w:after="0" w:line="276" w:lineRule="auto"/>
        <w:jc w:val="both"/>
        <w:rPr>
          <w:rFonts w:asciiTheme="majorHAnsi" w:hAnsiTheme="majorHAnsi" w:cstheme="majorHAnsi"/>
          <w:sz w:val="16"/>
          <w:szCs w:val="16"/>
          <w:lang w:val="ro-RO"/>
        </w:rPr>
      </w:pPr>
    </w:p>
    <w:p w14:paraId="7084E38A" w14:textId="3DD56515" w:rsidR="00AD0650" w:rsidRPr="009E75C6" w:rsidRDefault="00AD0650" w:rsidP="009E75C6">
      <w:pPr>
        <w:spacing w:line="276" w:lineRule="auto"/>
        <w:ind w:firstLine="720"/>
        <w:jc w:val="both"/>
        <w:rPr>
          <w:rFonts w:asciiTheme="majorHAnsi" w:eastAsia="Calibri" w:hAnsiTheme="majorHAnsi" w:cstheme="majorHAnsi"/>
          <w:sz w:val="24"/>
          <w:szCs w:val="24"/>
          <w:lang w:val="ro-RO"/>
        </w:rPr>
      </w:pPr>
      <w:r w:rsidRPr="00683E21">
        <w:rPr>
          <w:rFonts w:asciiTheme="majorHAnsi" w:hAnsiTheme="majorHAnsi" w:cstheme="majorHAnsi"/>
          <w:sz w:val="24"/>
          <w:szCs w:val="24"/>
          <w:lang w:val="ro-MD"/>
        </w:rPr>
        <w:t>Potrivit Legii bugetului de stat pe</w:t>
      </w:r>
      <w:r w:rsidR="0052092F">
        <w:rPr>
          <w:rFonts w:asciiTheme="majorHAnsi" w:hAnsiTheme="majorHAnsi" w:cstheme="majorHAnsi"/>
          <w:sz w:val="24"/>
          <w:szCs w:val="24"/>
          <w:lang w:val="ro-MD"/>
        </w:rPr>
        <w:t>ntru</w:t>
      </w:r>
      <w:r w:rsidRPr="00683E21">
        <w:rPr>
          <w:rFonts w:asciiTheme="majorHAnsi" w:hAnsiTheme="majorHAnsi" w:cstheme="majorHAnsi"/>
          <w:sz w:val="24"/>
          <w:szCs w:val="24"/>
          <w:lang w:val="ro-MD"/>
        </w:rPr>
        <w:t xml:space="preserve"> anul 2018</w:t>
      </w:r>
      <w:r w:rsidRPr="00683E21">
        <w:rPr>
          <w:rFonts w:asciiTheme="majorHAnsi" w:hAnsiTheme="majorHAnsi" w:cstheme="majorHAnsi"/>
          <w:sz w:val="24"/>
          <w:szCs w:val="24"/>
          <w:vertAlign w:val="superscript"/>
          <w:lang w:val="ro-MD"/>
        </w:rPr>
        <w:footnoteReference w:id="29"/>
      </w:r>
      <w:r w:rsidRPr="00683E21">
        <w:rPr>
          <w:rFonts w:asciiTheme="majorHAnsi" w:hAnsiTheme="majorHAnsi" w:cstheme="majorHAnsi"/>
          <w:sz w:val="24"/>
          <w:szCs w:val="24"/>
          <w:lang w:val="ro-MD"/>
        </w:rPr>
        <w:t xml:space="preserve">, datoria de stat externă a fost aprobată în sumă de 37869,9 </w:t>
      </w:r>
      <w:proofErr w:type="spellStart"/>
      <w:r w:rsidR="002D0D0D">
        <w:rPr>
          <w:rFonts w:asciiTheme="majorHAnsi" w:hAnsiTheme="majorHAnsi" w:cstheme="majorHAnsi"/>
          <w:sz w:val="24"/>
          <w:szCs w:val="24"/>
          <w:lang w:val="ro-MD"/>
        </w:rPr>
        <w:t>mil.MDL</w:t>
      </w:r>
      <w:proofErr w:type="spellEnd"/>
      <w:r w:rsidRPr="00683E21">
        <w:rPr>
          <w:rFonts w:asciiTheme="majorHAnsi" w:hAnsiTheme="majorHAnsi" w:cstheme="majorHAnsi"/>
          <w:sz w:val="24"/>
          <w:szCs w:val="24"/>
          <w:lang w:val="ro-MD"/>
        </w:rPr>
        <w:t xml:space="preserve"> (echivalentul a 2115,6 </w:t>
      </w:r>
      <w:proofErr w:type="spellStart"/>
      <w:r w:rsidRPr="00683E21">
        <w:rPr>
          <w:rFonts w:asciiTheme="majorHAnsi" w:hAnsiTheme="majorHAnsi" w:cstheme="majorHAnsi"/>
          <w:sz w:val="24"/>
          <w:szCs w:val="24"/>
          <w:lang w:val="ro-MD"/>
        </w:rPr>
        <w:t>mil.dol.SUA</w:t>
      </w:r>
      <w:proofErr w:type="spellEnd"/>
      <w:r w:rsidRPr="00683E21">
        <w:rPr>
          <w:rFonts w:asciiTheme="majorHAnsi" w:hAnsiTheme="majorHAnsi" w:cstheme="majorHAnsi"/>
          <w:sz w:val="24"/>
          <w:szCs w:val="24"/>
          <w:lang w:val="ro-MD"/>
        </w:rPr>
        <w:t>). Ulterior, prin Legea nr. 101 din 07.06.2018</w:t>
      </w:r>
      <w:r w:rsidRPr="00683E21">
        <w:rPr>
          <w:rStyle w:val="ae"/>
          <w:rFonts w:asciiTheme="majorHAnsi" w:hAnsiTheme="majorHAnsi" w:cstheme="majorHAnsi"/>
          <w:sz w:val="24"/>
          <w:szCs w:val="24"/>
          <w:lang w:val="ro-MD"/>
        </w:rPr>
        <w:footnoteReference w:id="30"/>
      </w:r>
      <w:r w:rsidR="0052092F">
        <w:rPr>
          <w:rFonts w:asciiTheme="majorHAnsi" w:hAnsiTheme="majorHAnsi" w:cstheme="majorHAnsi"/>
          <w:sz w:val="24"/>
          <w:szCs w:val="24"/>
          <w:lang w:val="ro-MD"/>
        </w:rPr>
        <w:t>,</w:t>
      </w:r>
      <w:r w:rsidRPr="00683E21">
        <w:rPr>
          <w:rFonts w:asciiTheme="majorHAnsi" w:hAnsiTheme="majorHAnsi" w:cstheme="majorHAnsi"/>
          <w:sz w:val="24"/>
          <w:szCs w:val="24"/>
          <w:lang w:val="ro-MD"/>
        </w:rPr>
        <w:t xml:space="preserve"> plafonul datoriei de stat extern</w:t>
      </w:r>
      <w:r w:rsidR="0052092F">
        <w:rPr>
          <w:rFonts w:asciiTheme="majorHAnsi" w:hAnsiTheme="majorHAnsi" w:cstheme="majorHAnsi"/>
          <w:sz w:val="24"/>
          <w:szCs w:val="24"/>
          <w:lang w:val="ro-MD"/>
        </w:rPr>
        <w:t>e</w:t>
      </w:r>
      <w:r w:rsidRPr="00683E21">
        <w:rPr>
          <w:rFonts w:asciiTheme="majorHAnsi" w:hAnsiTheme="majorHAnsi" w:cstheme="majorHAnsi"/>
          <w:sz w:val="24"/>
          <w:szCs w:val="24"/>
          <w:lang w:val="ro-MD"/>
        </w:rPr>
        <w:t xml:space="preserve"> a </w:t>
      </w:r>
      <w:r w:rsidR="00201DC6" w:rsidRPr="00683E21">
        <w:rPr>
          <w:rFonts w:asciiTheme="majorHAnsi" w:hAnsiTheme="majorHAnsi" w:cstheme="majorHAnsi"/>
          <w:sz w:val="24"/>
          <w:szCs w:val="24"/>
          <w:lang w:val="ro-MD"/>
        </w:rPr>
        <w:t>fost micșorat</w:t>
      </w:r>
      <w:r w:rsidRPr="00683E21">
        <w:rPr>
          <w:rFonts w:asciiTheme="majorHAnsi" w:hAnsiTheme="majorHAnsi" w:cstheme="majorHAnsi"/>
          <w:sz w:val="24"/>
          <w:szCs w:val="24"/>
          <w:lang w:val="ro-MD"/>
        </w:rPr>
        <w:t xml:space="preserve"> cu 5353,0 </w:t>
      </w:r>
      <w:proofErr w:type="spellStart"/>
      <w:r w:rsidR="002D0D0D">
        <w:rPr>
          <w:rFonts w:asciiTheme="majorHAnsi" w:hAnsiTheme="majorHAnsi" w:cstheme="majorHAnsi"/>
          <w:sz w:val="24"/>
          <w:szCs w:val="24"/>
          <w:lang w:val="ro-MD"/>
        </w:rPr>
        <w:t>mil.MDL</w:t>
      </w:r>
      <w:proofErr w:type="spellEnd"/>
      <w:r w:rsidRPr="00683E21">
        <w:rPr>
          <w:rFonts w:asciiTheme="majorHAnsi" w:hAnsiTheme="majorHAnsi" w:cstheme="majorHAnsi"/>
          <w:sz w:val="24"/>
          <w:szCs w:val="24"/>
          <w:lang w:val="ro-MD"/>
        </w:rPr>
        <w:t xml:space="preserve"> (178,9 </w:t>
      </w:r>
      <w:proofErr w:type="spellStart"/>
      <w:r w:rsidRPr="00683E21">
        <w:rPr>
          <w:rFonts w:asciiTheme="majorHAnsi" w:hAnsiTheme="majorHAnsi" w:cstheme="majorHAnsi"/>
          <w:sz w:val="24"/>
          <w:szCs w:val="24"/>
          <w:lang w:val="ro-MD"/>
        </w:rPr>
        <w:t>mil.dol.SUA</w:t>
      </w:r>
      <w:proofErr w:type="spellEnd"/>
      <w:r w:rsidRPr="00683E21">
        <w:rPr>
          <w:rFonts w:asciiTheme="majorHAnsi" w:hAnsiTheme="majorHAnsi" w:cstheme="majorHAnsi"/>
          <w:sz w:val="24"/>
          <w:szCs w:val="24"/>
          <w:lang w:val="ro-MD"/>
        </w:rPr>
        <w:t xml:space="preserve">). Astfel, soldul datoriei de stat externe la finele anului 2018 a constituit </w:t>
      </w:r>
      <w:r w:rsidR="005910A4">
        <w:rPr>
          <w:rFonts w:asciiTheme="majorHAnsi" w:hAnsiTheme="majorHAnsi" w:cstheme="majorHAnsi"/>
          <w:sz w:val="24"/>
          <w:szCs w:val="24"/>
          <w:lang w:val="ro-RO"/>
        </w:rPr>
        <w:t>1689,0</w:t>
      </w:r>
      <w:r w:rsidRPr="00683E21">
        <w:rPr>
          <w:rFonts w:asciiTheme="majorHAnsi" w:hAnsiTheme="majorHAnsi" w:cstheme="majorHAnsi"/>
          <w:sz w:val="24"/>
          <w:szCs w:val="24"/>
          <w:lang w:val="ro-MD"/>
        </w:rPr>
        <w:t xml:space="preserve"> </w:t>
      </w:r>
      <w:proofErr w:type="spellStart"/>
      <w:r w:rsidRPr="00683E21">
        <w:rPr>
          <w:rFonts w:asciiTheme="majorHAnsi" w:hAnsiTheme="majorHAnsi" w:cstheme="majorHAnsi"/>
          <w:sz w:val="24"/>
          <w:szCs w:val="24"/>
          <w:lang w:val="ro-MD"/>
        </w:rPr>
        <w:t>mil.dol.SUA</w:t>
      </w:r>
      <w:proofErr w:type="spellEnd"/>
      <w:r w:rsidRPr="00683E21">
        <w:rPr>
          <w:rFonts w:asciiTheme="majorHAnsi" w:hAnsiTheme="majorHAnsi" w:cstheme="majorHAnsi"/>
          <w:sz w:val="24"/>
          <w:szCs w:val="24"/>
          <w:lang w:val="ro-MD"/>
        </w:rPr>
        <w:t>, sau cu 1</w:t>
      </w:r>
      <w:r w:rsidR="00132974" w:rsidRPr="00683E21">
        <w:rPr>
          <w:rFonts w:asciiTheme="majorHAnsi" w:hAnsiTheme="majorHAnsi" w:cstheme="majorHAnsi"/>
          <w:sz w:val="24"/>
          <w:szCs w:val="24"/>
          <w:lang w:val="ro-MD"/>
        </w:rPr>
        <w:t>1,</w:t>
      </w:r>
      <w:r w:rsidR="005910A4">
        <w:rPr>
          <w:rFonts w:asciiTheme="majorHAnsi" w:hAnsiTheme="majorHAnsi" w:cstheme="majorHAnsi"/>
          <w:sz w:val="24"/>
          <w:szCs w:val="24"/>
          <w:lang w:val="ro-RO"/>
        </w:rPr>
        <w:t>7</w:t>
      </w:r>
      <w:r w:rsidR="005910A4" w:rsidRPr="009561CB">
        <w:rPr>
          <w:rFonts w:asciiTheme="majorHAnsi" w:hAnsiTheme="majorHAnsi" w:cstheme="majorHAnsi"/>
          <w:sz w:val="24"/>
          <w:szCs w:val="24"/>
          <w:lang w:val="ro-RO"/>
        </w:rPr>
        <w:t xml:space="preserve"> </w:t>
      </w:r>
      <w:proofErr w:type="spellStart"/>
      <w:r w:rsidR="00132974" w:rsidRPr="00683E21">
        <w:rPr>
          <w:rFonts w:asciiTheme="majorHAnsi" w:hAnsiTheme="majorHAnsi" w:cstheme="majorHAnsi"/>
          <w:sz w:val="24"/>
          <w:szCs w:val="24"/>
          <w:lang w:val="ro-MD"/>
        </w:rPr>
        <w:t>mil.dol.SUA</w:t>
      </w:r>
      <w:proofErr w:type="spellEnd"/>
      <w:r w:rsidR="00132974" w:rsidRPr="00683E21">
        <w:rPr>
          <w:rFonts w:asciiTheme="majorHAnsi" w:hAnsiTheme="majorHAnsi" w:cstheme="majorHAnsi"/>
          <w:sz w:val="24"/>
          <w:szCs w:val="24"/>
          <w:lang w:val="ro-MD"/>
        </w:rPr>
        <w:t xml:space="preserve"> (-0,7%) mai puți</w:t>
      </w:r>
      <w:r w:rsidRPr="00683E21">
        <w:rPr>
          <w:rFonts w:asciiTheme="majorHAnsi" w:hAnsiTheme="majorHAnsi" w:cstheme="majorHAnsi"/>
          <w:sz w:val="24"/>
          <w:szCs w:val="24"/>
          <w:lang w:val="ro-MD"/>
        </w:rPr>
        <w:t>n față de soldul înregistrat la finele anului 2017 (1700,</w:t>
      </w:r>
      <w:r w:rsidR="005910A4">
        <w:rPr>
          <w:rFonts w:asciiTheme="majorHAnsi" w:hAnsiTheme="majorHAnsi" w:cstheme="majorHAnsi"/>
          <w:sz w:val="24"/>
          <w:szCs w:val="24"/>
          <w:lang w:val="ro-RO"/>
        </w:rPr>
        <w:t>7</w:t>
      </w:r>
      <w:r w:rsidR="005910A4" w:rsidRPr="009561CB">
        <w:rPr>
          <w:rFonts w:asciiTheme="majorHAnsi" w:hAnsiTheme="majorHAnsi" w:cstheme="majorHAnsi"/>
          <w:sz w:val="24"/>
          <w:szCs w:val="24"/>
          <w:lang w:val="ro-RO"/>
        </w:rPr>
        <w:t xml:space="preserve"> </w:t>
      </w:r>
      <w:proofErr w:type="spellStart"/>
      <w:r w:rsidRPr="00683E21">
        <w:rPr>
          <w:rFonts w:asciiTheme="majorHAnsi" w:hAnsiTheme="majorHAnsi" w:cstheme="majorHAnsi"/>
          <w:sz w:val="24"/>
          <w:szCs w:val="24"/>
          <w:lang w:val="ro-MD"/>
        </w:rPr>
        <w:t>mil.dol.SUA</w:t>
      </w:r>
      <w:proofErr w:type="spellEnd"/>
      <w:r w:rsidRPr="00683E21">
        <w:rPr>
          <w:rFonts w:asciiTheme="majorHAnsi" w:hAnsiTheme="majorHAnsi" w:cstheme="majorHAnsi"/>
          <w:sz w:val="24"/>
          <w:szCs w:val="24"/>
          <w:lang w:val="ro-MD"/>
        </w:rPr>
        <w:t>). Această micșorare a fost determinată de</w:t>
      </w:r>
      <w:r w:rsidRPr="00683E21">
        <w:rPr>
          <w:rFonts w:asciiTheme="majorHAnsi" w:eastAsia="Calibri" w:hAnsiTheme="majorHAnsi" w:cstheme="majorHAnsi"/>
          <w:sz w:val="24"/>
          <w:szCs w:val="24"/>
          <w:lang w:val="ro-MD"/>
        </w:rPr>
        <w:t xml:space="preserve"> diminuarea intrărilor de împrumuturi de stat externe (pentru proiecte investiționale – cu 820,5  </w:t>
      </w:r>
      <w:proofErr w:type="spellStart"/>
      <w:r w:rsidRPr="00683E21">
        <w:rPr>
          <w:rFonts w:asciiTheme="majorHAnsi" w:eastAsia="Calibri" w:hAnsiTheme="majorHAnsi" w:cstheme="majorHAnsi"/>
          <w:sz w:val="24"/>
          <w:szCs w:val="24"/>
          <w:lang w:val="ro-MD"/>
        </w:rPr>
        <w:t>mil.</w:t>
      </w:r>
      <w:r w:rsidR="00F040EE" w:rsidRPr="00683E21">
        <w:rPr>
          <w:rFonts w:asciiTheme="majorHAnsi" w:eastAsia="Calibri" w:hAnsiTheme="majorHAnsi" w:cstheme="majorHAnsi"/>
          <w:sz w:val="24"/>
          <w:szCs w:val="24"/>
          <w:lang w:val="ro-MD"/>
        </w:rPr>
        <w:t>MDL</w:t>
      </w:r>
      <w:proofErr w:type="spellEnd"/>
      <w:r w:rsidRPr="00683E21">
        <w:rPr>
          <w:rFonts w:asciiTheme="majorHAnsi" w:eastAsia="Calibri" w:hAnsiTheme="majorHAnsi" w:cstheme="majorHAnsi"/>
          <w:sz w:val="24"/>
          <w:szCs w:val="24"/>
          <w:lang w:val="ro-MD"/>
        </w:rPr>
        <w:t xml:space="preserve">, pentru susținerea bugetului – cu 1 049,3 </w:t>
      </w:r>
      <w:proofErr w:type="spellStart"/>
      <w:r w:rsidR="002D0D0D">
        <w:rPr>
          <w:rFonts w:asciiTheme="majorHAnsi" w:eastAsia="Calibri" w:hAnsiTheme="majorHAnsi" w:cstheme="majorHAnsi"/>
          <w:sz w:val="24"/>
          <w:szCs w:val="24"/>
          <w:lang w:val="ro-MD"/>
        </w:rPr>
        <w:t>mil.MDL</w:t>
      </w:r>
      <w:proofErr w:type="spellEnd"/>
      <w:r w:rsidRPr="00683E21">
        <w:rPr>
          <w:rFonts w:asciiTheme="majorHAnsi" w:eastAsia="Calibri" w:hAnsiTheme="majorHAnsi" w:cstheme="majorHAnsi"/>
          <w:sz w:val="24"/>
          <w:szCs w:val="24"/>
          <w:lang w:val="ro-MD"/>
        </w:rPr>
        <w:t xml:space="preserve">) și </w:t>
      </w:r>
      <w:r w:rsidR="0052092F">
        <w:rPr>
          <w:rFonts w:asciiTheme="majorHAnsi" w:eastAsia="Calibri" w:hAnsiTheme="majorHAnsi" w:cstheme="majorHAnsi"/>
          <w:sz w:val="24"/>
          <w:szCs w:val="24"/>
          <w:lang w:val="ro-MD"/>
        </w:rPr>
        <w:t xml:space="preserve">de </w:t>
      </w:r>
      <w:r w:rsidR="006418D0">
        <w:rPr>
          <w:rFonts w:asciiTheme="majorHAnsi" w:eastAsia="Calibri" w:hAnsiTheme="majorHAnsi" w:cstheme="majorHAnsi"/>
          <w:sz w:val="24"/>
          <w:szCs w:val="24"/>
          <w:lang w:val="ro-RO"/>
        </w:rPr>
        <w:t>fluctuațiile cursului valutar al dolarului SUA față de alte valute</w:t>
      </w:r>
      <w:r w:rsidRPr="009561CB">
        <w:rPr>
          <w:rFonts w:asciiTheme="majorHAnsi" w:eastAsia="Calibri" w:hAnsiTheme="majorHAnsi" w:cstheme="majorHAnsi"/>
          <w:sz w:val="24"/>
          <w:szCs w:val="24"/>
          <w:lang w:val="ro-RO"/>
        </w:rPr>
        <w:t>.</w:t>
      </w:r>
      <w:r w:rsidRPr="00683E21">
        <w:rPr>
          <w:rFonts w:asciiTheme="majorHAnsi" w:eastAsia="Calibri" w:hAnsiTheme="majorHAnsi" w:cstheme="majorHAnsi"/>
          <w:sz w:val="24"/>
          <w:szCs w:val="24"/>
          <w:lang w:val="fr-FR"/>
        </w:rPr>
        <w:t xml:space="preserve"> </w:t>
      </w:r>
      <w:r w:rsidRPr="009E75C6">
        <w:rPr>
          <w:rFonts w:asciiTheme="majorHAnsi" w:eastAsia="Calibri" w:hAnsiTheme="majorHAnsi" w:cstheme="majorHAnsi"/>
          <w:sz w:val="24"/>
          <w:szCs w:val="24"/>
          <w:lang w:val="ro-RO"/>
        </w:rPr>
        <w:t xml:space="preserve">Din suma totală a împrumuturilor pentru </w:t>
      </w:r>
      <w:r w:rsidR="001D5664">
        <w:rPr>
          <w:rFonts w:asciiTheme="majorHAnsi" w:eastAsia="Calibri" w:hAnsiTheme="majorHAnsi" w:cstheme="majorHAnsi"/>
          <w:sz w:val="24"/>
          <w:szCs w:val="24"/>
          <w:lang w:val="ro-RO"/>
        </w:rPr>
        <w:t>asistența financiară</w:t>
      </w:r>
      <w:r w:rsidRPr="009E75C6">
        <w:rPr>
          <w:rFonts w:asciiTheme="majorHAnsi" w:eastAsia="Calibri" w:hAnsiTheme="majorHAnsi" w:cstheme="majorHAnsi"/>
          <w:sz w:val="24"/>
          <w:szCs w:val="24"/>
          <w:lang w:val="ro-RO"/>
        </w:rPr>
        <w:t xml:space="preserve"> a fost exclusă tranșa nr.3 aferentă asistenței macrofinanciare din partea UE în sumă de 20</w:t>
      </w:r>
      <w:r w:rsidR="0052092F">
        <w:rPr>
          <w:rFonts w:asciiTheme="majorHAnsi" w:eastAsia="Calibri" w:hAnsiTheme="majorHAnsi" w:cstheme="majorHAnsi"/>
          <w:sz w:val="24"/>
          <w:szCs w:val="24"/>
          <w:lang w:val="ro-RO"/>
        </w:rPr>
        <w:t>,0</w:t>
      </w:r>
      <w:r w:rsidRPr="009E75C6">
        <w:rPr>
          <w:rFonts w:asciiTheme="majorHAnsi" w:eastAsia="Calibri" w:hAnsiTheme="majorHAnsi" w:cstheme="majorHAnsi"/>
          <w:sz w:val="24"/>
          <w:szCs w:val="24"/>
          <w:lang w:val="ro-RO"/>
        </w:rPr>
        <w:t xml:space="preserve"> mil. euro, </w:t>
      </w:r>
      <w:r w:rsidR="001D5664">
        <w:rPr>
          <w:rFonts w:asciiTheme="majorHAnsi" w:eastAsia="Calibri" w:hAnsiTheme="majorHAnsi" w:cstheme="majorHAnsi"/>
          <w:sz w:val="24"/>
          <w:szCs w:val="24"/>
          <w:lang w:val="ro-RO"/>
        </w:rPr>
        <w:t>asistența financiară</w:t>
      </w:r>
      <w:r w:rsidR="001D5664" w:rsidRPr="009E75C6">
        <w:rPr>
          <w:rFonts w:asciiTheme="majorHAnsi" w:eastAsia="Calibri" w:hAnsiTheme="majorHAnsi" w:cstheme="majorHAnsi"/>
          <w:sz w:val="24"/>
          <w:szCs w:val="24"/>
          <w:lang w:val="ro-RO"/>
        </w:rPr>
        <w:t xml:space="preserve"> </w:t>
      </w:r>
      <w:r w:rsidRPr="009E75C6">
        <w:rPr>
          <w:rFonts w:asciiTheme="majorHAnsi" w:eastAsia="Calibri" w:hAnsiTheme="majorHAnsi" w:cstheme="majorHAnsi"/>
          <w:sz w:val="24"/>
          <w:szCs w:val="24"/>
          <w:lang w:val="ro-RO"/>
        </w:rPr>
        <w:t>oferit</w:t>
      </w:r>
      <w:r w:rsidR="001D5664">
        <w:rPr>
          <w:rFonts w:asciiTheme="majorHAnsi" w:eastAsia="Calibri" w:hAnsiTheme="majorHAnsi" w:cstheme="majorHAnsi"/>
          <w:sz w:val="24"/>
          <w:szCs w:val="24"/>
          <w:lang w:val="ro-RO"/>
        </w:rPr>
        <w:t>ă</w:t>
      </w:r>
      <w:r w:rsidRPr="009E75C6">
        <w:rPr>
          <w:rFonts w:asciiTheme="majorHAnsi" w:eastAsia="Calibri" w:hAnsiTheme="majorHAnsi" w:cstheme="majorHAnsi"/>
          <w:sz w:val="24"/>
          <w:szCs w:val="24"/>
          <w:lang w:val="ro-RO"/>
        </w:rPr>
        <w:t xml:space="preserve"> sub formă de împrumut de către Banca Mondială pentru realizarea Reformei Educației în sumă de 1,8 mil. dolari SUA și o tranșă aferentă </w:t>
      </w:r>
      <w:r w:rsidR="001D5664">
        <w:rPr>
          <w:rFonts w:asciiTheme="majorHAnsi" w:eastAsia="Calibri" w:hAnsiTheme="majorHAnsi" w:cstheme="majorHAnsi"/>
          <w:sz w:val="24"/>
          <w:szCs w:val="24"/>
          <w:lang w:val="ro-RO"/>
        </w:rPr>
        <w:t>asistenței financiare</w:t>
      </w:r>
      <w:r w:rsidR="001D5664" w:rsidRPr="009E75C6">
        <w:rPr>
          <w:rFonts w:asciiTheme="majorHAnsi" w:eastAsia="Calibri" w:hAnsiTheme="majorHAnsi" w:cstheme="majorHAnsi"/>
          <w:sz w:val="24"/>
          <w:szCs w:val="24"/>
          <w:lang w:val="ro-RO"/>
        </w:rPr>
        <w:t xml:space="preserve"> </w:t>
      </w:r>
      <w:r w:rsidRPr="009E75C6">
        <w:rPr>
          <w:rFonts w:asciiTheme="majorHAnsi" w:eastAsia="Calibri" w:hAnsiTheme="majorHAnsi" w:cstheme="majorHAnsi"/>
          <w:sz w:val="24"/>
          <w:szCs w:val="24"/>
          <w:lang w:val="ro-RO"/>
        </w:rPr>
        <w:t>oferit</w:t>
      </w:r>
      <w:r w:rsidR="001D5664">
        <w:rPr>
          <w:rFonts w:asciiTheme="majorHAnsi" w:eastAsia="Calibri" w:hAnsiTheme="majorHAnsi" w:cstheme="majorHAnsi"/>
          <w:sz w:val="24"/>
          <w:szCs w:val="24"/>
          <w:lang w:val="ro-RO"/>
        </w:rPr>
        <w:t>e</w:t>
      </w:r>
      <w:r w:rsidRPr="009E75C6">
        <w:rPr>
          <w:rFonts w:asciiTheme="majorHAnsi" w:eastAsia="Calibri" w:hAnsiTheme="majorHAnsi" w:cstheme="majorHAnsi"/>
          <w:sz w:val="24"/>
          <w:szCs w:val="24"/>
          <w:lang w:val="ro-RO"/>
        </w:rPr>
        <w:t xml:space="preserve"> de Banca Mondială (DPO) în sumă de 30</w:t>
      </w:r>
      <w:r w:rsidR="0052092F">
        <w:rPr>
          <w:rFonts w:asciiTheme="majorHAnsi" w:eastAsia="Calibri" w:hAnsiTheme="majorHAnsi" w:cstheme="majorHAnsi"/>
          <w:sz w:val="24"/>
          <w:szCs w:val="24"/>
          <w:lang w:val="ro-RO"/>
        </w:rPr>
        <w:t>,0</w:t>
      </w:r>
      <w:r w:rsidRPr="009E75C6">
        <w:rPr>
          <w:rFonts w:asciiTheme="majorHAnsi" w:eastAsia="Calibri" w:hAnsiTheme="majorHAnsi" w:cstheme="majorHAnsi"/>
          <w:sz w:val="24"/>
          <w:szCs w:val="24"/>
          <w:lang w:val="ro-RO"/>
        </w:rPr>
        <w:t xml:space="preserve"> mil. dolari SUA.</w:t>
      </w:r>
      <w:r w:rsidR="009E75C6">
        <w:rPr>
          <w:rFonts w:asciiTheme="majorHAnsi" w:eastAsia="Calibri" w:hAnsiTheme="majorHAnsi" w:cstheme="majorHAnsi"/>
          <w:sz w:val="24"/>
          <w:szCs w:val="24"/>
          <w:lang w:val="ro-RO"/>
        </w:rPr>
        <w:t xml:space="preserve"> </w:t>
      </w:r>
      <w:r w:rsidRPr="009E75C6">
        <w:rPr>
          <w:rFonts w:asciiTheme="majorHAnsi" w:hAnsiTheme="majorHAnsi" w:cstheme="majorHAnsi"/>
          <w:i/>
          <w:sz w:val="24"/>
          <w:szCs w:val="24"/>
          <w:lang w:val="ro-RO"/>
        </w:rPr>
        <w:t xml:space="preserve">Evoluția soldului datoriei de stat externe </w:t>
      </w:r>
      <w:r w:rsidR="001D5664">
        <w:rPr>
          <w:rFonts w:asciiTheme="majorHAnsi" w:hAnsiTheme="majorHAnsi" w:cstheme="majorHAnsi"/>
          <w:i/>
          <w:sz w:val="24"/>
          <w:szCs w:val="24"/>
          <w:lang w:val="ro-RO"/>
        </w:rPr>
        <w:t>este prezentată în Tabelul nr.10</w:t>
      </w:r>
      <w:r w:rsidRPr="009E75C6">
        <w:rPr>
          <w:rFonts w:asciiTheme="majorHAnsi" w:hAnsiTheme="majorHAnsi" w:cstheme="majorHAnsi"/>
          <w:i/>
          <w:sz w:val="24"/>
          <w:szCs w:val="24"/>
          <w:lang w:val="ro-RO"/>
        </w:rPr>
        <w:t>.</w:t>
      </w:r>
    </w:p>
    <w:p w14:paraId="351A19A6" w14:textId="77777777" w:rsidR="00AD0650" w:rsidRPr="009E75C6" w:rsidRDefault="001D5664" w:rsidP="009E75C6">
      <w:pPr>
        <w:spacing w:after="0" w:line="276" w:lineRule="auto"/>
        <w:jc w:val="right"/>
        <w:rPr>
          <w:rFonts w:asciiTheme="majorHAnsi" w:hAnsiTheme="majorHAnsi" w:cstheme="majorHAnsi"/>
          <w:b/>
          <w:sz w:val="24"/>
          <w:szCs w:val="24"/>
          <w:lang w:val="ro-RO"/>
        </w:rPr>
      </w:pPr>
      <w:r>
        <w:rPr>
          <w:rFonts w:asciiTheme="majorHAnsi" w:hAnsiTheme="majorHAnsi" w:cstheme="majorHAnsi"/>
          <w:b/>
          <w:sz w:val="24"/>
          <w:szCs w:val="24"/>
          <w:lang w:val="ro-RO"/>
        </w:rPr>
        <w:t>Tabelul nr.10</w:t>
      </w:r>
      <w:r w:rsidR="00AD0650" w:rsidRPr="009E75C6">
        <w:rPr>
          <w:rFonts w:asciiTheme="majorHAnsi" w:hAnsiTheme="majorHAnsi" w:cstheme="majorHAnsi"/>
          <w:b/>
          <w:sz w:val="24"/>
          <w:szCs w:val="24"/>
          <w:lang w:val="ro-RO"/>
        </w:rPr>
        <w:t xml:space="preserve"> </w:t>
      </w:r>
    </w:p>
    <w:p w14:paraId="4556BA2A" w14:textId="77777777" w:rsidR="00AD0650" w:rsidRPr="009E75C6" w:rsidRDefault="00AD0650" w:rsidP="009E75C6">
      <w:pPr>
        <w:spacing w:after="0" w:line="276" w:lineRule="auto"/>
        <w:jc w:val="both"/>
        <w:rPr>
          <w:rFonts w:asciiTheme="majorHAnsi" w:hAnsiTheme="majorHAnsi" w:cstheme="majorHAnsi"/>
          <w:b/>
          <w:sz w:val="24"/>
          <w:szCs w:val="24"/>
          <w:lang w:val="ro-RO"/>
        </w:rPr>
      </w:pPr>
      <w:r w:rsidRPr="009E75C6">
        <w:rPr>
          <w:rFonts w:asciiTheme="majorHAnsi" w:hAnsiTheme="majorHAnsi" w:cstheme="majorHAnsi"/>
          <w:b/>
          <w:sz w:val="24"/>
          <w:szCs w:val="24"/>
          <w:lang w:val="ro-RO"/>
        </w:rPr>
        <w:t xml:space="preserve">Evoluția soldului datoriei de stat externe exprimat în dolari SUA pe anii 2016-2018, </w:t>
      </w:r>
      <w:proofErr w:type="spellStart"/>
      <w:r w:rsidRPr="009E75C6">
        <w:rPr>
          <w:rFonts w:asciiTheme="majorHAnsi" w:hAnsiTheme="majorHAnsi" w:cstheme="majorHAnsi"/>
          <w:b/>
          <w:sz w:val="24"/>
          <w:szCs w:val="24"/>
          <w:lang w:val="ro-RO"/>
        </w:rPr>
        <w:t>mil.dol.SUA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605"/>
        <w:gridCol w:w="1578"/>
        <w:gridCol w:w="1633"/>
        <w:gridCol w:w="1580"/>
        <w:gridCol w:w="1600"/>
      </w:tblGrid>
      <w:tr w:rsidR="00AD0650" w:rsidRPr="009E75C6" w14:paraId="3A5673F9" w14:textId="77777777" w:rsidTr="00B41A0F">
        <w:tc>
          <w:tcPr>
            <w:tcW w:w="1348" w:type="dxa"/>
            <w:shd w:val="clear" w:color="auto" w:fill="E7E6E6"/>
          </w:tcPr>
          <w:p w14:paraId="2B30B453" w14:textId="77777777" w:rsidR="00AD0650" w:rsidRPr="009E75C6" w:rsidRDefault="00AD0650" w:rsidP="009E75C6">
            <w:pPr>
              <w:spacing w:after="0"/>
              <w:jc w:val="both"/>
              <w:rPr>
                <w:rFonts w:asciiTheme="majorHAnsi" w:hAnsiTheme="majorHAnsi" w:cstheme="majorHAnsi"/>
                <w:b/>
                <w:sz w:val="20"/>
                <w:szCs w:val="20"/>
                <w:lang w:val="ro-RO"/>
              </w:rPr>
            </w:pPr>
            <w:r w:rsidRPr="009E75C6">
              <w:rPr>
                <w:rFonts w:asciiTheme="majorHAnsi" w:hAnsiTheme="majorHAnsi" w:cstheme="majorHAnsi"/>
                <w:b/>
                <w:sz w:val="20"/>
                <w:szCs w:val="20"/>
                <w:lang w:val="ro-RO"/>
              </w:rPr>
              <w:t>Anul</w:t>
            </w:r>
          </w:p>
        </w:tc>
        <w:tc>
          <w:tcPr>
            <w:tcW w:w="1605" w:type="dxa"/>
            <w:shd w:val="clear" w:color="auto" w:fill="E7E6E6"/>
            <w:vAlign w:val="center"/>
          </w:tcPr>
          <w:p w14:paraId="0682B08B" w14:textId="77777777" w:rsidR="00AD0650" w:rsidRPr="009E75C6" w:rsidRDefault="00AD0650" w:rsidP="009E75C6">
            <w:pPr>
              <w:spacing w:after="0"/>
              <w:jc w:val="both"/>
              <w:rPr>
                <w:rFonts w:asciiTheme="majorHAnsi" w:hAnsiTheme="majorHAnsi" w:cstheme="majorHAnsi"/>
                <w:b/>
                <w:sz w:val="20"/>
                <w:szCs w:val="20"/>
                <w:lang w:val="ro-RO"/>
              </w:rPr>
            </w:pPr>
            <w:r w:rsidRPr="009E75C6">
              <w:rPr>
                <w:rFonts w:asciiTheme="majorHAnsi" w:hAnsiTheme="majorHAnsi" w:cstheme="majorHAnsi"/>
                <w:b/>
                <w:sz w:val="20"/>
                <w:szCs w:val="20"/>
                <w:lang w:val="ro-RO"/>
              </w:rPr>
              <w:t>Soldul datoriei de stat externe la începutul anului</w:t>
            </w:r>
          </w:p>
        </w:tc>
        <w:tc>
          <w:tcPr>
            <w:tcW w:w="1578" w:type="dxa"/>
            <w:shd w:val="clear" w:color="auto" w:fill="E7E6E6"/>
            <w:vAlign w:val="center"/>
          </w:tcPr>
          <w:p w14:paraId="5EBB768C" w14:textId="77777777" w:rsidR="00AD0650" w:rsidRPr="009E75C6" w:rsidRDefault="00AD0650" w:rsidP="009E75C6">
            <w:pPr>
              <w:spacing w:after="0"/>
              <w:jc w:val="both"/>
              <w:rPr>
                <w:rFonts w:asciiTheme="majorHAnsi" w:hAnsiTheme="majorHAnsi" w:cstheme="majorHAnsi"/>
                <w:b/>
                <w:sz w:val="20"/>
                <w:szCs w:val="20"/>
                <w:lang w:val="ro-RO"/>
              </w:rPr>
            </w:pPr>
            <w:r w:rsidRPr="009E75C6">
              <w:rPr>
                <w:rFonts w:asciiTheme="majorHAnsi" w:hAnsiTheme="majorHAnsi" w:cstheme="majorHAnsi"/>
                <w:b/>
                <w:sz w:val="20"/>
                <w:szCs w:val="20"/>
                <w:lang w:val="ro-RO"/>
              </w:rPr>
              <w:t>Debursat pe parcursul anului</w:t>
            </w:r>
          </w:p>
        </w:tc>
        <w:tc>
          <w:tcPr>
            <w:tcW w:w="1633" w:type="dxa"/>
            <w:shd w:val="clear" w:color="auto" w:fill="E7E6E6"/>
            <w:vAlign w:val="center"/>
          </w:tcPr>
          <w:p w14:paraId="58BFBF96" w14:textId="77777777" w:rsidR="00AD0650" w:rsidRPr="009E75C6" w:rsidRDefault="00AD0650" w:rsidP="009E75C6">
            <w:pPr>
              <w:spacing w:after="0"/>
              <w:jc w:val="both"/>
              <w:rPr>
                <w:rFonts w:asciiTheme="majorHAnsi" w:hAnsiTheme="majorHAnsi" w:cstheme="majorHAnsi"/>
                <w:b/>
                <w:sz w:val="20"/>
                <w:szCs w:val="20"/>
                <w:lang w:val="ro-RO"/>
              </w:rPr>
            </w:pPr>
            <w:r w:rsidRPr="00050169">
              <w:rPr>
                <w:rFonts w:asciiTheme="majorHAnsi" w:hAnsiTheme="majorHAnsi" w:cstheme="majorHAnsi"/>
                <w:b/>
                <w:sz w:val="20"/>
                <w:szCs w:val="20"/>
                <w:lang w:val="ro-RO"/>
              </w:rPr>
              <w:t>Rambursat principal</w:t>
            </w:r>
            <w:r w:rsidRPr="009E75C6">
              <w:rPr>
                <w:rFonts w:asciiTheme="majorHAnsi" w:hAnsiTheme="majorHAnsi" w:cstheme="majorHAnsi"/>
                <w:b/>
                <w:sz w:val="20"/>
                <w:szCs w:val="20"/>
                <w:lang w:val="ro-RO"/>
              </w:rPr>
              <w:t xml:space="preserve"> pe parcursul anului</w:t>
            </w:r>
          </w:p>
        </w:tc>
        <w:tc>
          <w:tcPr>
            <w:tcW w:w="1580" w:type="dxa"/>
            <w:shd w:val="clear" w:color="auto" w:fill="E7E6E6"/>
            <w:vAlign w:val="center"/>
          </w:tcPr>
          <w:p w14:paraId="4F25B874" w14:textId="77777777" w:rsidR="00AD0650" w:rsidRPr="009E75C6" w:rsidRDefault="00AD0650" w:rsidP="009E75C6">
            <w:pPr>
              <w:spacing w:after="0"/>
              <w:jc w:val="both"/>
              <w:rPr>
                <w:rFonts w:asciiTheme="majorHAnsi" w:hAnsiTheme="majorHAnsi" w:cstheme="majorHAnsi"/>
                <w:b/>
                <w:sz w:val="20"/>
                <w:szCs w:val="20"/>
                <w:lang w:val="ro-RO"/>
              </w:rPr>
            </w:pPr>
            <w:r w:rsidRPr="009E75C6">
              <w:rPr>
                <w:rFonts w:asciiTheme="majorHAnsi" w:hAnsiTheme="majorHAnsi" w:cstheme="majorHAnsi"/>
                <w:b/>
                <w:sz w:val="20"/>
                <w:szCs w:val="20"/>
                <w:lang w:val="ro-RO"/>
              </w:rPr>
              <w:t>Diferențe de curs valutar</w:t>
            </w:r>
          </w:p>
        </w:tc>
        <w:tc>
          <w:tcPr>
            <w:tcW w:w="1600" w:type="dxa"/>
            <w:shd w:val="clear" w:color="auto" w:fill="E7E6E6"/>
            <w:vAlign w:val="center"/>
          </w:tcPr>
          <w:p w14:paraId="7522279C" w14:textId="77777777" w:rsidR="00AD0650" w:rsidRPr="009E75C6" w:rsidRDefault="00AD0650" w:rsidP="009E75C6">
            <w:pPr>
              <w:spacing w:after="0"/>
              <w:jc w:val="both"/>
              <w:rPr>
                <w:rFonts w:asciiTheme="majorHAnsi" w:hAnsiTheme="majorHAnsi" w:cstheme="majorHAnsi"/>
                <w:b/>
                <w:sz w:val="20"/>
                <w:szCs w:val="20"/>
                <w:lang w:val="ro-RO"/>
              </w:rPr>
            </w:pPr>
            <w:r w:rsidRPr="009E75C6">
              <w:rPr>
                <w:rFonts w:asciiTheme="majorHAnsi" w:hAnsiTheme="majorHAnsi" w:cstheme="majorHAnsi"/>
                <w:b/>
                <w:sz w:val="20"/>
                <w:szCs w:val="20"/>
                <w:lang w:val="ro-RO"/>
              </w:rPr>
              <w:t>Soldul datoriei de stat externe la sfârșitul anului</w:t>
            </w:r>
          </w:p>
        </w:tc>
      </w:tr>
      <w:tr w:rsidR="00AD0650" w:rsidRPr="009E75C6" w14:paraId="1FAB4C50" w14:textId="77777777" w:rsidTr="00B41A0F">
        <w:tc>
          <w:tcPr>
            <w:tcW w:w="1348" w:type="dxa"/>
          </w:tcPr>
          <w:p w14:paraId="21ABEB4E" w14:textId="77777777" w:rsidR="00AD0650" w:rsidRPr="009E75C6" w:rsidRDefault="00AD0650" w:rsidP="009E75C6">
            <w:pPr>
              <w:spacing w:after="0"/>
              <w:jc w:val="both"/>
              <w:rPr>
                <w:rFonts w:asciiTheme="majorHAnsi" w:hAnsiTheme="majorHAnsi" w:cstheme="majorHAnsi"/>
                <w:b/>
                <w:sz w:val="20"/>
                <w:szCs w:val="20"/>
                <w:lang w:val="ro-RO"/>
              </w:rPr>
            </w:pPr>
            <w:r w:rsidRPr="009E75C6">
              <w:rPr>
                <w:rFonts w:asciiTheme="majorHAnsi" w:hAnsiTheme="majorHAnsi" w:cstheme="majorHAnsi"/>
                <w:b/>
                <w:sz w:val="20"/>
                <w:szCs w:val="20"/>
                <w:lang w:val="ro-RO"/>
              </w:rPr>
              <w:t>2018</w:t>
            </w:r>
          </w:p>
        </w:tc>
        <w:tc>
          <w:tcPr>
            <w:tcW w:w="1605" w:type="dxa"/>
            <w:vAlign w:val="center"/>
          </w:tcPr>
          <w:p w14:paraId="5B6ECCA0" w14:textId="77777777" w:rsidR="00AD0650" w:rsidRPr="009E75C6" w:rsidRDefault="00AD0650" w:rsidP="009E75C6">
            <w:pPr>
              <w:spacing w:after="0"/>
              <w:jc w:val="both"/>
              <w:rPr>
                <w:rFonts w:asciiTheme="majorHAnsi" w:hAnsiTheme="majorHAnsi" w:cstheme="majorHAnsi"/>
                <w:sz w:val="20"/>
                <w:szCs w:val="20"/>
                <w:lang w:val="ro-RO"/>
              </w:rPr>
            </w:pPr>
            <w:r w:rsidRPr="009E75C6">
              <w:rPr>
                <w:rFonts w:asciiTheme="majorHAnsi" w:hAnsiTheme="majorHAnsi" w:cstheme="majorHAnsi"/>
                <w:sz w:val="20"/>
                <w:szCs w:val="20"/>
                <w:lang w:val="ro-RO"/>
              </w:rPr>
              <w:t>1700,7</w:t>
            </w:r>
          </w:p>
        </w:tc>
        <w:tc>
          <w:tcPr>
            <w:tcW w:w="1578" w:type="dxa"/>
            <w:vAlign w:val="center"/>
          </w:tcPr>
          <w:p w14:paraId="44AD064B" w14:textId="77777777" w:rsidR="00AD0650" w:rsidRPr="009E75C6" w:rsidRDefault="00AD0650" w:rsidP="009E75C6">
            <w:pPr>
              <w:spacing w:after="0"/>
              <w:jc w:val="both"/>
              <w:rPr>
                <w:rFonts w:asciiTheme="majorHAnsi" w:hAnsiTheme="majorHAnsi" w:cstheme="majorHAnsi"/>
                <w:sz w:val="20"/>
                <w:szCs w:val="20"/>
                <w:lang w:val="ro-RO"/>
              </w:rPr>
            </w:pPr>
            <w:r w:rsidRPr="009E75C6">
              <w:rPr>
                <w:rFonts w:asciiTheme="majorHAnsi" w:hAnsiTheme="majorHAnsi" w:cstheme="majorHAnsi"/>
                <w:sz w:val="20"/>
                <w:szCs w:val="20"/>
                <w:lang w:val="ro-RO"/>
              </w:rPr>
              <w:t>144,8</w:t>
            </w:r>
          </w:p>
        </w:tc>
        <w:tc>
          <w:tcPr>
            <w:tcW w:w="1633" w:type="dxa"/>
            <w:vAlign w:val="center"/>
          </w:tcPr>
          <w:p w14:paraId="3CD741DD" w14:textId="77777777" w:rsidR="00AD0650" w:rsidRPr="009E75C6" w:rsidRDefault="00AD0650" w:rsidP="009E75C6">
            <w:pPr>
              <w:spacing w:after="0"/>
              <w:jc w:val="both"/>
              <w:rPr>
                <w:rFonts w:asciiTheme="majorHAnsi" w:hAnsiTheme="majorHAnsi" w:cstheme="majorHAnsi"/>
                <w:sz w:val="20"/>
                <w:szCs w:val="20"/>
                <w:lang w:val="ro-RO"/>
              </w:rPr>
            </w:pPr>
            <w:r w:rsidRPr="009E75C6">
              <w:rPr>
                <w:rFonts w:asciiTheme="majorHAnsi" w:hAnsiTheme="majorHAnsi" w:cstheme="majorHAnsi"/>
                <w:sz w:val="20"/>
                <w:szCs w:val="20"/>
                <w:lang w:val="ro-RO"/>
              </w:rPr>
              <w:t>111,9</w:t>
            </w:r>
          </w:p>
        </w:tc>
        <w:tc>
          <w:tcPr>
            <w:tcW w:w="1580" w:type="dxa"/>
            <w:vAlign w:val="center"/>
          </w:tcPr>
          <w:p w14:paraId="2906943A" w14:textId="77777777" w:rsidR="00AD0650" w:rsidRPr="009E75C6" w:rsidRDefault="00AD0650" w:rsidP="009E75C6">
            <w:pPr>
              <w:spacing w:after="0"/>
              <w:jc w:val="both"/>
              <w:rPr>
                <w:rFonts w:asciiTheme="majorHAnsi" w:hAnsiTheme="majorHAnsi" w:cstheme="majorHAnsi"/>
                <w:sz w:val="20"/>
                <w:szCs w:val="20"/>
                <w:lang w:val="ro-RO"/>
              </w:rPr>
            </w:pPr>
            <w:r w:rsidRPr="009E75C6">
              <w:rPr>
                <w:rFonts w:asciiTheme="majorHAnsi" w:hAnsiTheme="majorHAnsi" w:cstheme="majorHAnsi"/>
                <w:sz w:val="20"/>
                <w:szCs w:val="20"/>
                <w:lang w:val="ro-RO"/>
              </w:rPr>
              <w:t>-44,6</w:t>
            </w:r>
          </w:p>
        </w:tc>
        <w:tc>
          <w:tcPr>
            <w:tcW w:w="1600" w:type="dxa"/>
            <w:vAlign w:val="center"/>
          </w:tcPr>
          <w:p w14:paraId="7C713FD8" w14:textId="77777777" w:rsidR="00AD0650" w:rsidRPr="009E75C6" w:rsidRDefault="00AD0650" w:rsidP="009E75C6">
            <w:pPr>
              <w:spacing w:after="0"/>
              <w:jc w:val="both"/>
              <w:rPr>
                <w:rFonts w:asciiTheme="majorHAnsi" w:hAnsiTheme="majorHAnsi" w:cstheme="majorHAnsi"/>
                <w:sz w:val="20"/>
                <w:szCs w:val="20"/>
                <w:lang w:val="ro-RO"/>
              </w:rPr>
            </w:pPr>
            <w:r w:rsidRPr="009E75C6">
              <w:rPr>
                <w:rFonts w:asciiTheme="majorHAnsi" w:hAnsiTheme="majorHAnsi" w:cstheme="majorHAnsi"/>
                <w:sz w:val="20"/>
                <w:szCs w:val="20"/>
                <w:lang w:val="ro-RO"/>
              </w:rPr>
              <w:t>1689,0</w:t>
            </w:r>
          </w:p>
        </w:tc>
      </w:tr>
      <w:tr w:rsidR="00AD0650" w:rsidRPr="009E75C6" w14:paraId="4C074FC0" w14:textId="77777777" w:rsidTr="00B41A0F">
        <w:tc>
          <w:tcPr>
            <w:tcW w:w="1348" w:type="dxa"/>
          </w:tcPr>
          <w:p w14:paraId="099B62DF" w14:textId="77777777" w:rsidR="00AD0650" w:rsidRPr="009E75C6" w:rsidRDefault="00AD0650" w:rsidP="009E75C6">
            <w:pPr>
              <w:spacing w:after="0"/>
              <w:jc w:val="both"/>
              <w:rPr>
                <w:rFonts w:asciiTheme="majorHAnsi" w:hAnsiTheme="majorHAnsi" w:cstheme="majorHAnsi"/>
                <w:b/>
                <w:sz w:val="20"/>
                <w:szCs w:val="20"/>
                <w:lang w:val="ro-RO"/>
              </w:rPr>
            </w:pPr>
            <w:r w:rsidRPr="009E75C6">
              <w:rPr>
                <w:rFonts w:asciiTheme="majorHAnsi" w:hAnsiTheme="majorHAnsi" w:cstheme="majorHAnsi"/>
                <w:b/>
                <w:sz w:val="20"/>
                <w:szCs w:val="20"/>
                <w:lang w:val="ro-RO"/>
              </w:rPr>
              <w:t>2017</w:t>
            </w:r>
          </w:p>
        </w:tc>
        <w:tc>
          <w:tcPr>
            <w:tcW w:w="1605" w:type="dxa"/>
            <w:vAlign w:val="center"/>
          </w:tcPr>
          <w:p w14:paraId="292CB544" w14:textId="77777777" w:rsidR="00AD0650" w:rsidRPr="009E75C6" w:rsidRDefault="00AD0650" w:rsidP="009E75C6">
            <w:pPr>
              <w:spacing w:after="0"/>
              <w:jc w:val="both"/>
              <w:rPr>
                <w:rFonts w:asciiTheme="majorHAnsi" w:hAnsiTheme="majorHAnsi" w:cstheme="majorHAnsi"/>
                <w:sz w:val="20"/>
                <w:szCs w:val="20"/>
                <w:lang w:val="ro-RO"/>
              </w:rPr>
            </w:pPr>
            <w:r w:rsidRPr="009E75C6">
              <w:rPr>
                <w:rFonts w:asciiTheme="majorHAnsi" w:hAnsiTheme="majorHAnsi" w:cstheme="majorHAnsi"/>
                <w:sz w:val="20"/>
                <w:szCs w:val="20"/>
                <w:lang w:val="ro-RO"/>
              </w:rPr>
              <w:t>1464,7</w:t>
            </w:r>
          </w:p>
        </w:tc>
        <w:tc>
          <w:tcPr>
            <w:tcW w:w="1578" w:type="dxa"/>
            <w:vAlign w:val="center"/>
          </w:tcPr>
          <w:p w14:paraId="3332CAA5" w14:textId="77777777" w:rsidR="00AD0650" w:rsidRPr="009E75C6" w:rsidRDefault="00AD0650" w:rsidP="009E75C6">
            <w:pPr>
              <w:spacing w:after="0"/>
              <w:jc w:val="both"/>
              <w:rPr>
                <w:rFonts w:asciiTheme="majorHAnsi" w:hAnsiTheme="majorHAnsi" w:cstheme="majorHAnsi"/>
                <w:sz w:val="20"/>
                <w:szCs w:val="20"/>
                <w:lang w:val="ro-RO"/>
              </w:rPr>
            </w:pPr>
            <w:r w:rsidRPr="009E75C6">
              <w:rPr>
                <w:rFonts w:asciiTheme="majorHAnsi" w:hAnsiTheme="majorHAnsi" w:cstheme="majorHAnsi"/>
                <w:sz w:val="20"/>
                <w:szCs w:val="20"/>
                <w:lang w:val="ro-RO"/>
              </w:rPr>
              <w:t>195,6</w:t>
            </w:r>
          </w:p>
        </w:tc>
        <w:tc>
          <w:tcPr>
            <w:tcW w:w="1633" w:type="dxa"/>
            <w:vAlign w:val="center"/>
          </w:tcPr>
          <w:p w14:paraId="3E94E6B8" w14:textId="77777777" w:rsidR="00AD0650" w:rsidRPr="009E75C6" w:rsidRDefault="00AD0650" w:rsidP="009E75C6">
            <w:pPr>
              <w:spacing w:after="0"/>
              <w:jc w:val="both"/>
              <w:rPr>
                <w:rFonts w:asciiTheme="majorHAnsi" w:hAnsiTheme="majorHAnsi" w:cstheme="majorHAnsi"/>
                <w:sz w:val="20"/>
                <w:szCs w:val="20"/>
                <w:lang w:val="ro-RO"/>
              </w:rPr>
            </w:pPr>
            <w:r w:rsidRPr="009E75C6">
              <w:rPr>
                <w:rFonts w:asciiTheme="majorHAnsi" w:hAnsiTheme="majorHAnsi" w:cstheme="majorHAnsi"/>
                <w:sz w:val="20"/>
                <w:szCs w:val="20"/>
                <w:lang w:val="ro-RO"/>
              </w:rPr>
              <w:t>71,7</w:t>
            </w:r>
          </w:p>
        </w:tc>
        <w:tc>
          <w:tcPr>
            <w:tcW w:w="1580" w:type="dxa"/>
            <w:vAlign w:val="center"/>
          </w:tcPr>
          <w:p w14:paraId="71640552" w14:textId="77777777" w:rsidR="00AD0650" w:rsidRPr="009E75C6" w:rsidRDefault="00AD0650" w:rsidP="009E75C6">
            <w:pPr>
              <w:spacing w:after="0"/>
              <w:jc w:val="both"/>
              <w:rPr>
                <w:rFonts w:asciiTheme="majorHAnsi" w:hAnsiTheme="majorHAnsi" w:cstheme="majorHAnsi"/>
                <w:sz w:val="20"/>
                <w:szCs w:val="20"/>
                <w:lang w:val="ro-RO"/>
              </w:rPr>
            </w:pPr>
            <w:r w:rsidRPr="009E75C6">
              <w:rPr>
                <w:rFonts w:asciiTheme="majorHAnsi" w:hAnsiTheme="majorHAnsi" w:cstheme="majorHAnsi"/>
                <w:sz w:val="20"/>
                <w:szCs w:val="20"/>
                <w:lang w:val="ro-RO"/>
              </w:rPr>
              <w:t>+112,1</w:t>
            </w:r>
          </w:p>
        </w:tc>
        <w:tc>
          <w:tcPr>
            <w:tcW w:w="1600" w:type="dxa"/>
            <w:vAlign w:val="center"/>
          </w:tcPr>
          <w:p w14:paraId="252D0AE2" w14:textId="77777777" w:rsidR="00AD0650" w:rsidRPr="009E75C6" w:rsidRDefault="00AD0650" w:rsidP="009E75C6">
            <w:pPr>
              <w:spacing w:after="0"/>
              <w:jc w:val="both"/>
              <w:rPr>
                <w:rFonts w:asciiTheme="majorHAnsi" w:hAnsiTheme="majorHAnsi" w:cstheme="majorHAnsi"/>
                <w:sz w:val="20"/>
                <w:szCs w:val="20"/>
                <w:lang w:val="ro-RO"/>
              </w:rPr>
            </w:pPr>
            <w:r w:rsidRPr="009E75C6">
              <w:rPr>
                <w:rFonts w:asciiTheme="majorHAnsi" w:hAnsiTheme="majorHAnsi" w:cstheme="majorHAnsi"/>
                <w:sz w:val="20"/>
                <w:szCs w:val="20"/>
                <w:lang w:val="ro-RO"/>
              </w:rPr>
              <w:t>1700,7</w:t>
            </w:r>
          </w:p>
        </w:tc>
      </w:tr>
      <w:tr w:rsidR="00AD0650" w:rsidRPr="009E75C6" w14:paraId="0C7DCF61" w14:textId="77777777" w:rsidTr="004A5A44">
        <w:trPr>
          <w:trHeight w:val="289"/>
        </w:trPr>
        <w:tc>
          <w:tcPr>
            <w:tcW w:w="1348" w:type="dxa"/>
          </w:tcPr>
          <w:p w14:paraId="4F8B55CF" w14:textId="77777777" w:rsidR="00AD0650" w:rsidRPr="009E75C6" w:rsidRDefault="00AD0650" w:rsidP="009E75C6">
            <w:pPr>
              <w:spacing w:after="0"/>
              <w:jc w:val="both"/>
              <w:rPr>
                <w:rFonts w:asciiTheme="majorHAnsi" w:hAnsiTheme="majorHAnsi" w:cstheme="majorHAnsi"/>
                <w:b/>
                <w:sz w:val="20"/>
                <w:szCs w:val="20"/>
                <w:lang w:val="ro-RO"/>
              </w:rPr>
            </w:pPr>
            <w:r w:rsidRPr="009E75C6">
              <w:rPr>
                <w:rFonts w:asciiTheme="majorHAnsi" w:hAnsiTheme="majorHAnsi" w:cstheme="majorHAnsi"/>
                <w:b/>
                <w:sz w:val="20"/>
                <w:szCs w:val="20"/>
                <w:lang w:val="ro-RO"/>
              </w:rPr>
              <w:t>2016</w:t>
            </w:r>
          </w:p>
        </w:tc>
        <w:tc>
          <w:tcPr>
            <w:tcW w:w="1605" w:type="dxa"/>
            <w:vAlign w:val="center"/>
          </w:tcPr>
          <w:p w14:paraId="2F67D6F8" w14:textId="77777777" w:rsidR="00AD0650" w:rsidRPr="009E75C6" w:rsidRDefault="00AD0650" w:rsidP="009E75C6">
            <w:pPr>
              <w:spacing w:after="0"/>
              <w:jc w:val="both"/>
              <w:rPr>
                <w:rFonts w:asciiTheme="majorHAnsi" w:hAnsiTheme="majorHAnsi" w:cstheme="majorHAnsi"/>
                <w:sz w:val="20"/>
                <w:szCs w:val="20"/>
                <w:lang w:val="ro-RO"/>
              </w:rPr>
            </w:pPr>
            <w:r w:rsidRPr="009E75C6">
              <w:rPr>
                <w:rFonts w:asciiTheme="majorHAnsi" w:hAnsiTheme="majorHAnsi" w:cstheme="majorHAnsi"/>
                <w:sz w:val="20"/>
                <w:szCs w:val="20"/>
                <w:lang w:val="ro-RO"/>
              </w:rPr>
              <w:t>1337,0</w:t>
            </w:r>
          </w:p>
        </w:tc>
        <w:tc>
          <w:tcPr>
            <w:tcW w:w="1578" w:type="dxa"/>
            <w:vAlign w:val="center"/>
          </w:tcPr>
          <w:p w14:paraId="3DAEA9BB" w14:textId="77777777" w:rsidR="00AD0650" w:rsidRPr="009E75C6" w:rsidRDefault="00AD0650" w:rsidP="009E75C6">
            <w:pPr>
              <w:spacing w:after="0"/>
              <w:jc w:val="both"/>
              <w:rPr>
                <w:rFonts w:asciiTheme="majorHAnsi" w:hAnsiTheme="majorHAnsi" w:cstheme="majorHAnsi"/>
                <w:sz w:val="20"/>
                <w:szCs w:val="20"/>
                <w:lang w:val="ro-RO"/>
              </w:rPr>
            </w:pPr>
            <w:r w:rsidRPr="009E75C6">
              <w:rPr>
                <w:rFonts w:asciiTheme="majorHAnsi" w:hAnsiTheme="majorHAnsi" w:cstheme="majorHAnsi"/>
                <w:sz w:val="20"/>
                <w:szCs w:val="20"/>
                <w:lang w:val="ro-RO"/>
              </w:rPr>
              <w:t>230,3</w:t>
            </w:r>
          </w:p>
        </w:tc>
        <w:tc>
          <w:tcPr>
            <w:tcW w:w="1633" w:type="dxa"/>
            <w:vAlign w:val="center"/>
          </w:tcPr>
          <w:p w14:paraId="70B24944" w14:textId="77777777" w:rsidR="00AD0650" w:rsidRPr="009E75C6" w:rsidRDefault="00AD0650" w:rsidP="009E75C6">
            <w:pPr>
              <w:spacing w:after="0"/>
              <w:jc w:val="both"/>
              <w:rPr>
                <w:rFonts w:asciiTheme="majorHAnsi" w:hAnsiTheme="majorHAnsi" w:cstheme="majorHAnsi"/>
                <w:sz w:val="20"/>
                <w:szCs w:val="20"/>
                <w:lang w:val="ro-RO"/>
              </w:rPr>
            </w:pPr>
            <w:r w:rsidRPr="009E75C6">
              <w:rPr>
                <w:rFonts w:asciiTheme="majorHAnsi" w:hAnsiTheme="majorHAnsi" w:cstheme="majorHAnsi"/>
                <w:sz w:val="20"/>
                <w:szCs w:val="20"/>
                <w:lang w:val="ro-RO"/>
              </w:rPr>
              <w:t>55,3</w:t>
            </w:r>
          </w:p>
        </w:tc>
        <w:tc>
          <w:tcPr>
            <w:tcW w:w="1580" w:type="dxa"/>
            <w:vAlign w:val="center"/>
          </w:tcPr>
          <w:p w14:paraId="02B1A9D9" w14:textId="77777777" w:rsidR="00AD0650" w:rsidRPr="009E75C6" w:rsidRDefault="00AD0650" w:rsidP="009E75C6">
            <w:pPr>
              <w:spacing w:after="0"/>
              <w:jc w:val="both"/>
              <w:rPr>
                <w:rFonts w:asciiTheme="majorHAnsi" w:hAnsiTheme="majorHAnsi" w:cstheme="majorHAnsi"/>
                <w:sz w:val="20"/>
                <w:szCs w:val="20"/>
                <w:lang w:val="ro-RO"/>
              </w:rPr>
            </w:pPr>
            <w:r w:rsidRPr="009E75C6">
              <w:rPr>
                <w:rFonts w:asciiTheme="majorHAnsi" w:hAnsiTheme="majorHAnsi" w:cstheme="majorHAnsi"/>
                <w:sz w:val="20"/>
                <w:szCs w:val="20"/>
                <w:lang w:val="ro-RO"/>
              </w:rPr>
              <w:t>-47,4</w:t>
            </w:r>
          </w:p>
        </w:tc>
        <w:tc>
          <w:tcPr>
            <w:tcW w:w="1600" w:type="dxa"/>
            <w:vAlign w:val="center"/>
          </w:tcPr>
          <w:p w14:paraId="74CD8BEC" w14:textId="77777777" w:rsidR="00AD0650" w:rsidRPr="009E75C6" w:rsidRDefault="00AD0650" w:rsidP="009E75C6">
            <w:pPr>
              <w:spacing w:after="0"/>
              <w:jc w:val="both"/>
              <w:rPr>
                <w:rFonts w:asciiTheme="majorHAnsi" w:hAnsiTheme="majorHAnsi" w:cstheme="majorHAnsi"/>
                <w:sz w:val="20"/>
                <w:szCs w:val="20"/>
                <w:lang w:val="ro-RO"/>
              </w:rPr>
            </w:pPr>
            <w:r w:rsidRPr="009E75C6">
              <w:rPr>
                <w:rFonts w:asciiTheme="majorHAnsi" w:hAnsiTheme="majorHAnsi" w:cstheme="majorHAnsi"/>
                <w:sz w:val="20"/>
                <w:szCs w:val="20"/>
                <w:lang w:val="ro-RO"/>
              </w:rPr>
              <w:t>1464,7</w:t>
            </w:r>
          </w:p>
        </w:tc>
      </w:tr>
    </w:tbl>
    <w:p w14:paraId="51898358" w14:textId="6E12683A" w:rsidR="00AD0650" w:rsidRPr="009E75C6" w:rsidRDefault="00AD0650" w:rsidP="009E75C6">
      <w:pPr>
        <w:jc w:val="both"/>
        <w:rPr>
          <w:rFonts w:asciiTheme="majorHAnsi" w:hAnsiTheme="majorHAnsi" w:cstheme="majorHAnsi"/>
          <w:sz w:val="20"/>
          <w:szCs w:val="20"/>
          <w:lang w:val="ro-RO"/>
        </w:rPr>
      </w:pPr>
      <w:r w:rsidRPr="009E75C6">
        <w:rPr>
          <w:rFonts w:asciiTheme="majorHAnsi" w:hAnsiTheme="majorHAnsi" w:cstheme="majorHAnsi"/>
          <w:b/>
          <w:i/>
          <w:sz w:val="20"/>
          <w:szCs w:val="20"/>
          <w:lang w:val="ro-RO"/>
        </w:rPr>
        <w:t xml:space="preserve"> Sursă:</w:t>
      </w:r>
      <w:r w:rsidRPr="009E75C6">
        <w:rPr>
          <w:rFonts w:asciiTheme="majorHAnsi" w:hAnsiTheme="majorHAnsi" w:cstheme="majorHAnsi"/>
          <w:i/>
          <w:sz w:val="20"/>
          <w:szCs w:val="20"/>
          <w:lang w:val="ro-RO"/>
        </w:rPr>
        <w:t xml:space="preserve"> </w:t>
      </w:r>
      <w:r w:rsidRPr="009E75C6">
        <w:rPr>
          <w:rFonts w:asciiTheme="majorHAnsi" w:hAnsiTheme="majorHAnsi" w:cstheme="majorHAnsi"/>
          <w:sz w:val="20"/>
          <w:szCs w:val="20"/>
          <w:lang w:val="ro-RO"/>
        </w:rPr>
        <w:t>Rapo</w:t>
      </w:r>
      <w:r w:rsidR="004A5A44">
        <w:rPr>
          <w:rFonts w:asciiTheme="majorHAnsi" w:hAnsiTheme="majorHAnsi" w:cstheme="majorHAnsi"/>
          <w:sz w:val="20"/>
          <w:szCs w:val="20"/>
          <w:lang w:val="ro-RO"/>
        </w:rPr>
        <w:t>artele</w:t>
      </w:r>
      <w:r w:rsidRPr="009E75C6">
        <w:rPr>
          <w:rFonts w:asciiTheme="majorHAnsi" w:hAnsiTheme="majorHAnsi" w:cstheme="majorHAnsi"/>
          <w:sz w:val="20"/>
          <w:szCs w:val="20"/>
          <w:lang w:val="ro-RO"/>
        </w:rPr>
        <w:t xml:space="preserve"> privind dat</w:t>
      </w:r>
      <w:r w:rsidR="004A5A44">
        <w:rPr>
          <w:rFonts w:asciiTheme="majorHAnsi" w:hAnsiTheme="majorHAnsi" w:cstheme="majorHAnsi"/>
          <w:sz w:val="20"/>
          <w:szCs w:val="20"/>
          <w:lang w:val="ro-RO"/>
        </w:rPr>
        <w:t>oria de stat externă la situațiile</w:t>
      </w:r>
      <w:r w:rsidRPr="009E75C6">
        <w:rPr>
          <w:rFonts w:asciiTheme="majorHAnsi" w:hAnsiTheme="majorHAnsi" w:cstheme="majorHAnsi"/>
          <w:sz w:val="20"/>
          <w:szCs w:val="20"/>
          <w:lang w:val="ro-RO"/>
        </w:rPr>
        <w:t xml:space="preserve"> din </w:t>
      </w:r>
      <w:r w:rsidR="004A5A44">
        <w:rPr>
          <w:rFonts w:asciiTheme="majorHAnsi" w:hAnsiTheme="majorHAnsi" w:cstheme="majorHAnsi"/>
          <w:sz w:val="20"/>
          <w:szCs w:val="20"/>
          <w:lang w:val="ro-RO"/>
        </w:rPr>
        <w:t xml:space="preserve">31.12.2016, </w:t>
      </w:r>
      <w:r w:rsidRPr="009E75C6">
        <w:rPr>
          <w:rFonts w:asciiTheme="majorHAnsi" w:hAnsiTheme="majorHAnsi" w:cstheme="majorHAnsi"/>
          <w:sz w:val="20"/>
          <w:szCs w:val="20"/>
          <w:lang w:val="ro-RO"/>
        </w:rPr>
        <w:t>31.12.2017</w:t>
      </w:r>
      <w:r w:rsidR="004A5A44">
        <w:rPr>
          <w:rFonts w:asciiTheme="majorHAnsi" w:hAnsiTheme="majorHAnsi" w:cstheme="majorHAnsi"/>
          <w:sz w:val="20"/>
          <w:szCs w:val="20"/>
          <w:lang w:val="ro-RO"/>
        </w:rPr>
        <w:t>, 31.12.2018</w:t>
      </w:r>
      <w:r w:rsidR="004A5A44" w:rsidRPr="009E75C6">
        <w:rPr>
          <w:rFonts w:asciiTheme="majorHAnsi" w:hAnsiTheme="majorHAnsi" w:cstheme="majorHAnsi"/>
          <w:sz w:val="20"/>
          <w:szCs w:val="20"/>
          <w:lang w:val="ro-RO"/>
        </w:rPr>
        <w:t>.</w:t>
      </w:r>
    </w:p>
    <w:p w14:paraId="2380AF45" w14:textId="0AF7A8CA" w:rsidR="00AD0650" w:rsidRPr="009E75C6" w:rsidRDefault="00AD0650" w:rsidP="009E75C6">
      <w:pPr>
        <w:spacing w:after="0" w:line="276" w:lineRule="auto"/>
        <w:ind w:firstLine="720"/>
        <w:jc w:val="both"/>
        <w:rPr>
          <w:rFonts w:asciiTheme="majorHAnsi" w:hAnsiTheme="majorHAnsi" w:cstheme="majorHAnsi"/>
          <w:sz w:val="24"/>
          <w:szCs w:val="24"/>
          <w:lang w:val="ro-RO"/>
        </w:rPr>
      </w:pPr>
      <w:r w:rsidRPr="009E75C6">
        <w:rPr>
          <w:rFonts w:asciiTheme="majorHAnsi" w:hAnsiTheme="majorHAnsi" w:cstheme="majorHAnsi"/>
          <w:sz w:val="24"/>
          <w:szCs w:val="24"/>
          <w:lang w:val="ro-RO"/>
        </w:rPr>
        <w:lastRenderedPageBreak/>
        <w:t xml:space="preserve">Auditul relevă că datoria de stat externă, în aspectul creditorilor, include datoriile față de creditorii multilaterali – 1393,4 </w:t>
      </w:r>
      <w:proofErr w:type="spellStart"/>
      <w:r w:rsidRPr="009E75C6">
        <w:rPr>
          <w:rFonts w:asciiTheme="majorHAnsi" w:hAnsiTheme="majorHAnsi" w:cstheme="majorHAnsi"/>
          <w:sz w:val="24"/>
          <w:szCs w:val="24"/>
          <w:lang w:val="ro-RO"/>
        </w:rPr>
        <w:t>mil.dol.SUA</w:t>
      </w:r>
      <w:proofErr w:type="spellEnd"/>
      <w:r w:rsidRPr="009E75C6">
        <w:rPr>
          <w:rFonts w:asciiTheme="majorHAnsi" w:hAnsiTheme="majorHAnsi" w:cstheme="majorHAnsi"/>
          <w:sz w:val="24"/>
          <w:szCs w:val="24"/>
          <w:lang w:val="ro-RO"/>
        </w:rPr>
        <w:t xml:space="preserve"> (82,5%), sau cu 3,4 </w:t>
      </w:r>
      <w:proofErr w:type="spellStart"/>
      <w:r w:rsidRPr="009E75C6">
        <w:rPr>
          <w:rFonts w:asciiTheme="majorHAnsi" w:hAnsiTheme="majorHAnsi" w:cstheme="majorHAnsi"/>
          <w:sz w:val="24"/>
          <w:szCs w:val="24"/>
          <w:lang w:val="ro-RO"/>
        </w:rPr>
        <w:t>p.p.</w:t>
      </w:r>
      <w:proofErr w:type="spellEnd"/>
      <w:r w:rsidRPr="009E75C6">
        <w:rPr>
          <w:rFonts w:asciiTheme="majorHAnsi" w:hAnsiTheme="majorHAnsi" w:cstheme="majorHAnsi"/>
          <w:sz w:val="24"/>
          <w:szCs w:val="24"/>
          <w:lang w:val="ro-RO"/>
        </w:rPr>
        <w:t xml:space="preserve"> mai mult față de sfârșitul anului 2017, </w:t>
      </w:r>
      <w:r w:rsidR="007055DE">
        <w:rPr>
          <w:rFonts w:asciiTheme="majorHAnsi" w:hAnsiTheme="majorHAnsi" w:cstheme="majorHAnsi"/>
          <w:sz w:val="24"/>
          <w:szCs w:val="24"/>
          <w:lang w:val="ro-RO"/>
        </w:rPr>
        <w:t xml:space="preserve">și datoriile </w:t>
      </w:r>
      <w:r w:rsidRPr="009E75C6">
        <w:rPr>
          <w:rFonts w:asciiTheme="majorHAnsi" w:hAnsiTheme="majorHAnsi" w:cstheme="majorHAnsi"/>
          <w:sz w:val="24"/>
          <w:szCs w:val="24"/>
          <w:lang w:val="ro-RO"/>
        </w:rPr>
        <w:t xml:space="preserve">față de creditorii bilaterali – 295,6 </w:t>
      </w:r>
      <w:proofErr w:type="spellStart"/>
      <w:r w:rsidRPr="009E75C6">
        <w:rPr>
          <w:rFonts w:asciiTheme="majorHAnsi" w:hAnsiTheme="majorHAnsi" w:cstheme="majorHAnsi"/>
          <w:sz w:val="24"/>
          <w:szCs w:val="24"/>
          <w:lang w:val="ro-RO"/>
        </w:rPr>
        <w:t>mil.dol.SUA</w:t>
      </w:r>
      <w:proofErr w:type="spellEnd"/>
      <w:r w:rsidRPr="009E75C6">
        <w:rPr>
          <w:rFonts w:asciiTheme="majorHAnsi" w:hAnsiTheme="majorHAnsi" w:cstheme="majorHAnsi"/>
          <w:sz w:val="24"/>
          <w:szCs w:val="24"/>
          <w:lang w:val="ro-RO"/>
        </w:rPr>
        <w:t xml:space="preserve"> (17,5%). </w:t>
      </w:r>
    </w:p>
    <w:p w14:paraId="1AD0BDEA" w14:textId="41F55ACF" w:rsidR="00AD0650" w:rsidRDefault="00AD0650" w:rsidP="009E75C6">
      <w:pPr>
        <w:tabs>
          <w:tab w:val="left" w:pos="7938"/>
          <w:tab w:val="left" w:pos="9639"/>
        </w:tabs>
        <w:spacing w:after="0" w:line="276" w:lineRule="auto"/>
        <w:jc w:val="both"/>
        <w:rPr>
          <w:rFonts w:asciiTheme="majorHAnsi" w:hAnsiTheme="majorHAnsi" w:cstheme="majorHAnsi"/>
          <w:sz w:val="24"/>
          <w:szCs w:val="24"/>
          <w:lang w:val="ro-RO"/>
        </w:rPr>
      </w:pPr>
      <w:r w:rsidRPr="009E75C6">
        <w:rPr>
          <w:rFonts w:asciiTheme="majorHAnsi" w:hAnsiTheme="majorHAnsi" w:cstheme="majorHAnsi"/>
          <w:i/>
          <w:sz w:val="24"/>
          <w:szCs w:val="24"/>
          <w:lang w:val="ro-RO"/>
        </w:rPr>
        <w:t>Structura datoriei de stat externe în anii 2016-2018, pe tip de credito</w:t>
      </w:r>
      <w:r w:rsidR="001D5664">
        <w:rPr>
          <w:rFonts w:asciiTheme="majorHAnsi" w:hAnsiTheme="majorHAnsi" w:cstheme="majorHAnsi"/>
          <w:i/>
          <w:sz w:val="24"/>
          <w:szCs w:val="24"/>
          <w:lang w:val="ro-RO"/>
        </w:rPr>
        <w:t>ri, este redată în Tabelul nr.11</w:t>
      </w:r>
      <w:r w:rsidRPr="009E75C6">
        <w:rPr>
          <w:rFonts w:asciiTheme="majorHAnsi" w:hAnsiTheme="majorHAnsi" w:cstheme="majorHAnsi"/>
          <w:sz w:val="24"/>
          <w:szCs w:val="24"/>
          <w:lang w:val="ro-RO"/>
        </w:rPr>
        <w:t>.</w:t>
      </w:r>
    </w:p>
    <w:p w14:paraId="7CA9966E" w14:textId="77777777" w:rsidR="00073285" w:rsidRPr="009E75C6" w:rsidRDefault="00073285" w:rsidP="009E75C6">
      <w:pPr>
        <w:tabs>
          <w:tab w:val="left" w:pos="7938"/>
          <w:tab w:val="left" w:pos="9639"/>
        </w:tabs>
        <w:spacing w:after="0" w:line="276" w:lineRule="auto"/>
        <w:jc w:val="both"/>
        <w:rPr>
          <w:rFonts w:asciiTheme="majorHAnsi" w:hAnsiTheme="majorHAnsi" w:cstheme="majorHAnsi"/>
          <w:sz w:val="24"/>
          <w:szCs w:val="24"/>
          <w:lang w:val="ro-RO"/>
        </w:rPr>
      </w:pPr>
    </w:p>
    <w:p w14:paraId="5512774C" w14:textId="77777777" w:rsidR="00AD0650" w:rsidRPr="009E75C6" w:rsidRDefault="001D5664" w:rsidP="009E75C6">
      <w:pPr>
        <w:spacing w:after="0" w:line="276" w:lineRule="auto"/>
        <w:ind w:firstLine="142"/>
        <w:jc w:val="right"/>
        <w:rPr>
          <w:rFonts w:asciiTheme="majorHAnsi" w:hAnsiTheme="majorHAnsi" w:cstheme="majorHAnsi"/>
          <w:b/>
          <w:sz w:val="24"/>
          <w:szCs w:val="24"/>
          <w:lang w:val="ro-RO"/>
        </w:rPr>
      </w:pPr>
      <w:r>
        <w:rPr>
          <w:rFonts w:asciiTheme="majorHAnsi" w:hAnsiTheme="majorHAnsi" w:cstheme="majorHAnsi"/>
          <w:b/>
          <w:sz w:val="24"/>
          <w:szCs w:val="24"/>
          <w:lang w:val="ro-RO"/>
        </w:rPr>
        <w:t>Tabelul nr.11</w:t>
      </w:r>
    </w:p>
    <w:p w14:paraId="40778EC7" w14:textId="77777777" w:rsidR="00AD0650" w:rsidRPr="009E75C6" w:rsidRDefault="00AD0650" w:rsidP="009E75C6">
      <w:pPr>
        <w:spacing w:after="0" w:line="276" w:lineRule="auto"/>
        <w:jc w:val="center"/>
        <w:rPr>
          <w:rFonts w:asciiTheme="majorHAnsi" w:hAnsiTheme="majorHAnsi" w:cstheme="majorHAnsi"/>
          <w:b/>
          <w:sz w:val="24"/>
          <w:szCs w:val="24"/>
          <w:lang w:val="ro-RO"/>
        </w:rPr>
      </w:pPr>
      <w:r w:rsidRPr="009E75C6">
        <w:rPr>
          <w:rFonts w:asciiTheme="majorHAnsi" w:hAnsiTheme="majorHAnsi" w:cstheme="majorHAnsi"/>
          <w:b/>
          <w:sz w:val="24"/>
          <w:szCs w:val="24"/>
          <w:lang w:val="ro-RO"/>
        </w:rPr>
        <w:t>Structura dator</w:t>
      </w:r>
      <w:r w:rsidR="001D5664">
        <w:rPr>
          <w:rFonts w:asciiTheme="majorHAnsi" w:hAnsiTheme="majorHAnsi" w:cstheme="majorHAnsi"/>
          <w:b/>
          <w:sz w:val="24"/>
          <w:szCs w:val="24"/>
          <w:lang w:val="ro-RO"/>
        </w:rPr>
        <w:t>iei de stat externe în anii 2016-2018</w:t>
      </w:r>
      <w:r w:rsidRPr="009E75C6">
        <w:rPr>
          <w:rFonts w:asciiTheme="majorHAnsi" w:hAnsiTheme="majorHAnsi" w:cstheme="majorHAnsi"/>
          <w:b/>
          <w:sz w:val="24"/>
          <w:szCs w:val="24"/>
          <w:lang w:val="ro-RO"/>
        </w:rPr>
        <w:t xml:space="preserve">, în aspectul creditorilor, </w:t>
      </w:r>
      <w:proofErr w:type="spellStart"/>
      <w:r w:rsidRPr="009E75C6">
        <w:rPr>
          <w:rFonts w:asciiTheme="majorHAnsi" w:hAnsiTheme="majorHAnsi" w:cstheme="majorHAnsi"/>
          <w:b/>
          <w:sz w:val="24"/>
          <w:szCs w:val="24"/>
          <w:lang w:val="ro-RO"/>
        </w:rPr>
        <w:t>mil.dol.SUA</w:t>
      </w:r>
      <w:proofErr w:type="spellEnd"/>
    </w:p>
    <w:tbl>
      <w:tblPr>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823"/>
        <w:gridCol w:w="1823"/>
        <w:gridCol w:w="1823"/>
        <w:gridCol w:w="2058"/>
      </w:tblGrid>
      <w:tr w:rsidR="00AD0650" w:rsidRPr="00073285" w14:paraId="0744C961" w14:textId="77777777" w:rsidTr="00B41A0F">
        <w:trPr>
          <w:trHeight w:val="233"/>
        </w:trPr>
        <w:tc>
          <w:tcPr>
            <w:tcW w:w="1995" w:type="dxa"/>
            <w:shd w:val="clear" w:color="auto" w:fill="E7E6E6"/>
          </w:tcPr>
          <w:p w14:paraId="45AD3EE9" w14:textId="77777777" w:rsidR="00AD0650" w:rsidRPr="00073285" w:rsidRDefault="00AD0650" w:rsidP="009E75C6">
            <w:pPr>
              <w:spacing w:after="0"/>
              <w:jc w:val="both"/>
              <w:rPr>
                <w:rFonts w:asciiTheme="majorHAnsi" w:hAnsiTheme="majorHAnsi" w:cstheme="majorHAnsi"/>
                <w:b/>
                <w:sz w:val="20"/>
                <w:szCs w:val="20"/>
                <w:lang w:val="ro-RO"/>
              </w:rPr>
            </w:pPr>
            <w:r w:rsidRPr="00073285">
              <w:rPr>
                <w:rFonts w:asciiTheme="majorHAnsi" w:hAnsiTheme="majorHAnsi" w:cstheme="majorHAnsi"/>
                <w:b/>
                <w:sz w:val="20"/>
                <w:szCs w:val="20"/>
                <w:lang w:val="ro-RO"/>
              </w:rPr>
              <w:t>Tipul de creditori</w:t>
            </w:r>
          </w:p>
        </w:tc>
        <w:tc>
          <w:tcPr>
            <w:tcW w:w="1823" w:type="dxa"/>
            <w:shd w:val="clear" w:color="auto" w:fill="E7E6E6"/>
          </w:tcPr>
          <w:p w14:paraId="22534996" w14:textId="77777777" w:rsidR="00AD0650" w:rsidRPr="00073285" w:rsidRDefault="00AD0650" w:rsidP="009E75C6">
            <w:pPr>
              <w:spacing w:after="0"/>
              <w:jc w:val="both"/>
              <w:rPr>
                <w:rFonts w:asciiTheme="majorHAnsi" w:hAnsiTheme="majorHAnsi" w:cstheme="majorHAnsi"/>
                <w:b/>
                <w:sz w:val="20"/>
                <w:szCs w:val="20"/>
                <w:lang w:val="ro-RO"/>
              </w:rPr>
            </w:pPr>
            <w:r w:rsidRPr="00073285">
              <w:rPr>
                <w:rFonts w:asciiTheme="majorHAnsi" w:hAnsiTheme="majorHAnsi" w:cstheme="majorHAnsi"/>
                <w:b/>
                <w:sz w:val="20"/>
                <w:szCs w:val="20"/>
                <w:lang w:val="ro-RO"/>
              </w:rPr>
              <w:t>Anul 2016</w:t>
            </w:r>
          </w:p>
        </w:tc>
        <w:tc>
          <w:tcPr>
            <w:tcW w:w="1823" w:type="dxa"/>
            <w:shd w:val="clear" w:color="auto" w:fill="E7E6E6"/>
          </w:tcPr>
          <w:p w14:paraId="703ACA45" w14:textId="77777777" w:rsidR="00AD0650" w:rsidRPr="00073285" w:rsidRDefault="00AD0650" w:rsidP="009E75C6">
            <w:pPr>
              <w:spacing w:after="0"/>
              <w:jc w:val="both"/>
              <w:rPr>
                <w:rFonts w:asciiTheme="majorHAnsi" w:hAnsiTheme="majorHAnsi" w:cstheme="majorHAnsi"/>
                <w:b/>
                <w:sz w:val="20"/>
                <w:szCs w:val="20"/>
                <w:lang w:val="ro-RO"/>
              </w:rPr>
            </w:pPr>
            <w:r w:rsidRPr="00073285">
              <w:rPr>
                <w:rFonts w:asciiTheme="majorHAnsi" w:hAnsiTheme="majorHAnsi" w:cstheme="majorHAnsi"/>
                <w:b/>
                <w:sz w:val="20"/>
                <w:szCs w:val="20"/>
                <w:lang w:val="ro-RO"/>
              </w:rPr>
              <w:t>Anul 2017</w:t>
            </w:r>
          </w:p>
        </w:tc>
        <w:tc>
          <w:tcPr>
            <w:tcW w:w="1823" w:type="dxa"/>
            <w:shd w:val="clear" w:color="auto" w:fill="E7E6E6"/>
          </w:tcPr>
          <w:p w14:paraId="1A6E9D8C" w14:textId="77777777" w:rsidR="00AD0650" w:rsidRPr="00073285" w:rsidRDefault="00AD0650" w:rsidP="009E75C6">
            <w:pPr>
              <w:spacing w:after="0"/>
              <w:jc w:val="both"/>
              <w:rPr>
                <w:rFonts w:asciiTheme="majorHAnsi" w:hAnsiTheme="majorHAnsi" w:cstheme="majorHAnsi"/>
                <w:b/>
                <w:sz w:val="20"/>
                <w:szCs w:val="20"/>
                <w:lang w:val="ro-RO"/>
              </w:rPr>
            </w:pPr>
            <w:r w:rsidRPr="00073285">
              <w:rPr>
                <w:rFonts w:asciiTheme="majorHAnsi" w:hAnsiTheme="majorHAnsi" w:cstheme="majorHAnsi"/>
                <w:b/>
                <w:sz w:val="20"/>
                <w:szCs w:val="20"/>
                <w:lang w:val="ro-RO"/>
              </w:rPr>
              <w:t>Anul 2018</w:t>
            </w:r>
          </w:p>
        </w:tc>
        <w:tc>
          <w:tcPr>
            <w:tcW w:w="2058" w:type="dxa"/>
            <w:shd w:val="clear" w:color="auto" w:fill="E7E6E6"/>
          </w:tcPr>
          <w:p w14:paraId="209ECDAA" w14:textId="77777777" w:rsidR="00AD0650" w:rsidRPr="00073285" w:rsidRDefault="00AD0650" w:rsidP="009E75C6">
            <w:pPr>
              <w:spacing w:after="0"/>
              <w:jc w:val="both"/>
              <w:rPr>
                <w:rFonts w:asciiTheme="majorHAnsi" w:hAnsiTheme="majorHAnsi" w:cstheme="majorHAnsi"/>
                <w:b/>
                <w:sz w:val="20"/>
                <w:szCs w:val="20"/>
                <w:lang w:val="ro-RO"/>
              </w:rPr>
            </w:pPr>
            <w:r w:rsidRPr="00073285">
              <w:rPr>
                <w:rFonts w:asciiTheme="majorHAnsi" w:hAnsiTheme="majorHAnsi" w:cstheme="majorHAnsi"/>
                <w:b/>
                <w:sz w:val="20"/>
                <w:szCs w:val="20"/>
                <w:lang w:val="ro-RO"/>
              </w:rPr>
              <w:t>Ponderea în total, %</w:t>
            </w:r>
          </w:p>
        </w:tc>
      </w:tr>
      <w:tr w:rsidR="00AD0650" w:rsidRPr="00073285" w14:paraId="47A9F6B6" w14:textId="77777777" w:rsidTr="00B41A0F">
        <w:trPr>
          <w:trHeight w:val="226"/>
        </w:trPr>
        <w:tc>
          <w:tcPr>
            <w:tcW w:w="1995" w:type="dxa"/>
            <w:shd w:val="clear" w:color="auto" w:fill="E7E6E6"/>
          </w:tcPr>
          <w:p w14:paraId="74EE40D0" w14:textId="77777777" w:rsidR="00AD0650" w:rsidRPr="00073285" w:rsidRDefault="00AD0650" w:rsidP="009E75C6">
            <w:pPr>
              <w:spacing w:after="0"/>
              <w:jc w:val="both"/>
              <w:rPr>
                <w:rFonts w:asciiTheme="majorHAnsi" w:hAnsiTheme="majorHAnsi" w:cstheme="majorHAnsi"/>
                <w:b/>
                <w:sz w:val="20"/>
                <w:szCs w:val="20"/>
                <w:lang w:val="ro-RO"/>
              </w:rPr>
            </w:pPr>
            <w:r w:rsidRPr="00073285">
              <w:rPr>
                <w:rFonts w:asciiTheme="majorHAnsi" w:hAnsiTheme="majorHAnsi" w:cstheme="majorHAnsi"/>
                <w:b/>
                <w:sz w:val="20"/>
                <w:szCs w:val="20"/>
                <w:lang w:val="ro-RO"/>
              </w:rPr>
              <w:t>1</w:t>
            </w:r>
          </w:p>
        </w:tc>
        <w:tc>
          <w:tcPr>
            <w:tcW w:w="1823" w:type="dxa"/>
            <w:shd w:val="clear" w:color="auto" w:fill="E7E6E6"/>
          </w:tcPr>
          <w:p w14:paraId="73395CB4" w14:textId="77777777" w:rsidR="00AD0650" w:rsidRPr="00073285" w:rsidRDefault="00AD0650" w:rsidP="009E75C6">
            <w:pPr>
              <w:spacing w:after="0"/>
              <w:jc w:val="both"/>
              <w:rPr>
                <w:rFonts w:asciiTheme="majorHAnsi" w:hAnsiTheme="majorHAnsi" w:cstheme="majorHAnsi"/>
                <w:b/>
                <w:sz w:val="20"/>
                <w:szCs w:val="20"/>
                <w:lang w:val="ro-RO"/>
              </w:rPr>
            </w:pPr>
            <w:r w:rsidRPr="00073285">
              <w:rPr>
                <w:rFonts w:asciiTheme="majorHAnsi" w:hAnsiTheme="majorHAnsi" w:cstheme="majorHAnsi"/>
                <w:b/>
                <w:sz w:val="20"/>
                <w:szCs w:val="20"/>
                <w:lang w:val="ro-RO"/>
              </w:rPr>
              <w:t>2</w:t>
            </w:r>
          </w:p>
        </w:tc>
        <w:tc>
          <w:tcPr>
            <w:tcW w:w="1823" w:type="dxa"/>
            <w:shd w:val="clear" w:color="auto" w:fill="E7E6E6"/>
          </w:tcPr>
          <w:p w14:paraId="7AA64A04" w14:textId="77777777" w:rsidR="00AD0650" w:rsidRPr="00073285" w:rsidRDefault="00AD0650" w:rsidP="009E75C6">
            <w:pPr>
              <w:spacing w:after="0"/>
              <w:jc w:val="both"/>
              <w:rPr>
                <w:rFonts w:asciiTheme="majorHAnsi" w:hAnsiTheme="majorHAnsi" w:cstheme="majorHAnsi"/>
                <w:b/>
                <w:sz w:val="20"/>
                <w:szCs w:val="20"/>
                <w:lang w:val="ro-RO"/>
              </w:rPr>
            </w:pPr>
            <w:r w:rsidRPr="00073285">
              <w:rPr>
                <w:rFonts w:asciiTheme="majorHAnsi" w:hAnsiTheme="majorHAnsi" w:cstheme="majorHAnsi"/>
                <w:b/>
                <w:sz w:val="20"/>
                <w:szCs w:val="20"/>
                <w:lang w:val="ro-RO"/>
              </w:rPr>
              <w:t>3</w:t>
            </w:r>
          </w:p>
        </w:tc>
        <w:tc>
          <w:tcPr>
            <w:tcW w:w="1823" w:type="dxa"/>
            <w:shd w:val="clear" w:color="auto" w:fill="E7E6E6"/>
          </w:tcPr>
          <w:p w14:paraId="5872798E" w14:textId="77777777" w:rsidR="00AD0650" w:rsidRPr="00073285" w:rsidRDefault="00AD0650" w:rsidP="009E75C6">
            <w:pPr>
              <w:spacing w:after="0"/>
              <w:jc w:val="both"/>
              <w:rPr>
                <w:rFonts w:asciiTheme="majorHAnsi" w:hAnsiTheme="majorHAnsi" w:cstheme="majorHAnsi"/>
                <w:b/>
                <w:sz w:val="20"/>
                <w:szCs w:val="20"/>
                <w:lang w:val="ro-RO"/>
              </w:rPr>
            </w:pPr>
            <w:r w:rsidRPr="00073285">
              <w:rPr>
                <w:rFonts w:asciiTheme="majorHAnsi" w:hAnsiTheme="majorHAnsi" w:cstheme="majorHAnsi"/>
                <w:b/>
                <w:sz w:val="20"/>
                <w:szCs w:val="20"/>
                <w:lang w:val="ro-RO"/>
              </w:rPr>
              <w:t>4</w:t>
            </w:r>
          </w:p>
        </w:tc>
        <w:tc>
          <w:tcPr>
            <w:tcW w:w="2058" w:type="dxa"/>
            <w:shd w:val="clear" w:color="auto" w:fill="E7E6E6"/>
          </w:tcPr>
          <w:p w14:paraId="3AAE3166" w14:textId="77777777" w:rsidR="00AD0650" w:rsidRPr="00073285" w:rsidRDefault="00AD0650" w:rsidP="009E75C6">
            <w:pPr>
              <w:spacing w:after="0"/>
              <w:jc w:val="both"/>
              <w:rPr>
                <w:rFonts w:asciiTheme="majorHAnsi" w:hAnsiTheme="majorHAnsi" w:cstheme="majorHAnsi"/>
                <w:b/>
                <w:sz w:val="20"/>
                <w:szCs w:val="20"/>
                <w:lang w:val="ro-RO"/>
              </w:rPr>
            </w:pPr>
            <w:r w:rsidRPr="00073285">
              <w:rPr>
                <w:rFonts w:asciiTheme="majorHAnsi" w:hAnsiTheme="majorHAnsi" w:cstheme="majorHAnsi"/>
                <w:b/>
                <w:sz w:val="20"/>
                <w:szCs w:val="20"/>
                <w:lang w:val="ro-RO"/>
              </w:rPr>
              <w:t>5=4/total</w:t>
            </w:r>
          </w:p>
        </w:tc>
      </w:tr>
      <w:tr w:rsidR="00AD0650" w:rsidRPr="00073285" w14:paraId="1CAED3AB" w14:textId="77777777" w:rsidTr="00B41A0F">
        <w:trPr>
          <w:trHeight w:val="226"/>
        </w:trPr>
        <w:tc>
          <w:tcPr>
            <w:tcW w:w="1995" w:type="dxa"/>
          </w:tcPr>
          <w:p w14:paraId="5E6A8A18" w14:textId="77777777" w:rsidR="00AD0650" w:rsidRPr="00073285" w:rsidRDefault="00AD0650" w:rsidP="009E75C6">
            <w:pPr>
              <w:spacing w:after="0"/>
              <w:jc w:val="both"/>
              <w:rPr>
                <w:rFonts w:asciiTheme="majorHAnsi" w:hAnsiTheme="majorHAnsi" w:cstheme="majorHAnsi"/>
                <w:sz w:val="20"/>
                <w:szCs w:val="20"/>
                <w:lang w:val="ro-RO"/>
              </w:rPr>
            </w:pPr>
            <w:r w:rsidRPr="00073285">
              <w:rPr>
                <w:rFonts w:asciiTheme="majorHAnsi" w:hAnsiTheme="majorHAnsi" w:cstheme="majorHAnsi"/>
                <w:sz w:val="20"/>
                <w:szCs w:val="20"/>
                <w:lang w:val="ro-RO"/>
              </w:rPr>
              <w:t>Multilaterali</w:t>
            </w:r>
          </w:p>
        </w:tc>
        <w:tc>
          <w:tcPr>
            <w:tcW w:w="1823" w:type="dxa"/>
          </w:tcPr>
          <w:p w14:paraId="38409CBA" w14:textId="77777777" w:rsidR="00AD0650" w:rsidRPr="00073285" w:rsidRDefault="00AD0650" w:rsidP="009E75C6">
            <w:pPr>
              <w:spacing w:after="0"/>
              <w:jc w:val="both"/>
              <w:rPr>
                <w:rFonts w:asciiTheme="majorHAnsi" w:hAnsiTheme="majorHAnsi" w:cstheme="majorHAnsi"/>
                <w:sz w:val="20"/>
                <w:szCs w:val="20"/>
                <w:lang w:val="ro-RO"/>
              </w:rPr>
            </w:pPr>
            <w:r w:rsidRPr="00073285">
              <w:rPr>
                <w:rFonts w:asciiTheme="majorHAnsi" w:hAnsiTheme="majorHAnsi" w:cstheme="majorHAnsi"/>
                <w:sz w:val="20"/>
                <w:szCs w:val="20"/>
                <w:lang w:val="ro-RO"/>
              </w:rPr>
              <w:t>1214,3</w:t>
            </w:r>
          </w:p>
        </w:tc>
        <w:tc>
          <w:tcPr>
            <w:tcW w:w="1823" w:type="dxa"/>
          </w:tcPr>
          <w:p w14:paraId="21C95587" w14:textId="77777777" w:rsidR="00AD0650" w:rsidRPr="00073285" w:rsidRDefault="00AD0650" w:rsidP="009E75C6">
            <w:pPr>
              <w:spacing w:after="0"/>
              <w:jc w:val="both"/>
              <w:rPr>
                <w:rFonts w:asciiTheme="majorHAnsi" w:hAnsiTheme="majorHAnsi" w:cstheme="majorHAnsi"/>
                <w:sz w:val="20"/>
                <w:szCs w:val="20"/>
                <w:lang w:val="ro-RO"/>
              </w:rPr>
            </w:pPr>
            <w:r w:rsidRPr="00073285">
              <w:rPr>
                <w:rFonts w:asciiTheme="majorHAnsi" w:hAnsiTheme="majorHAnsi" w:cstheme="majorHAnsi"/>
                <w:sz w:val="20"/>
                <w:szCs w:val="20"/>
                <w:lang w:val="ro-RO"/>
              </w:rPr>
              <w:t>1345,8</w:t>
            </w:r>
          </w:p>
        </w:tc>
        <w:tc>
          <w:tcPr>
            <w:tcW w:w="1823" w:type="dxa"/>
          </w:tcPr>
          <w:p w14:paraId="43E2DA3C" w14:textId="77777777" w:rsidR="00AD0650" w:rsidRPr="00073285" w:rsidRDefault="00AD0650" w:rsidP="009E75C6">
            <w:pPr>
              <w:spacing w:after="0"/>
              <w:jc w:val="both"/>
              <w:rPr>
                <w:rFonts w:asciiTheme="majorHAnsi" w:hAnsiTheme="majorHAnsi" w:cstheme="majorHAnsi"/>
                <w:sz w:val="20"/>
                <w:szCs w:val="20"/>
                <w:lang w:val="ro-RO"/>
              </w:rPr>
            </w:pPr>
            <w:r w:rsidRPr="00073285">
              <w:rPr>
                <w:rFonts w:asciiTheme="majorHAnsi" w:hAnsiTheme="majorHAnsi" w:cstheme="majorHAnsi"/>
                <w:sz w:val="20"/>
                <w:szCs w:val="20"/>
                <w:lang w:val="ro-RO"/>
              </w:rPr>
              <w:t>1393,4</w:t>
            </w:r>
          </w:p>
        </w:tc>
        <w:tc>
          <w:tcPr>
            <w:tcW w:w="2058" w:type="dxa"/>
          </w:tcPr>
          <w:p w14:paraId="70DB007E" w14:textId="77777777" w:rsidR="00AD0650" w:rsidRPr="00073285" w:rsidRDefault="00AD0650" w:rsidP="009E75C6">
            <w:pPr>
              <w:spacing w:after="0"/>
              <w:jc w:val="both"/>
              <w:rPr>
                <w:rFonts w:asciiTheme="majorHAnsi" w:hAnsiTheme="majorHAnsi" w:cstheme="majorHAnsi"/>
                <w:sz w:val="20"/>
                <w:szCs w:val="20"/>
                <w:lang w:val="ro-RO"/>
              </w:rPr>
            </w:pPr>
            <w:r w:rsidRPr="00073285">
              <w:rPr>
                <w:rFonts w:asciiTheme="majorHAnsi" w:hAnsiTheme="majorHAnsi" w:cstheme="majorHAnsi"/>
                <w:sz w:val="20"/>
                <w:szCs w:val="20"/>
                <w:lang w:val="ro-RO"/>
              </w:rPr>
              <w:t>82,5</w:t>
            </w:r>
          </w:p>
        </w:tc>
      </w:tr>
      <w:tr w:rsidR="00AD0650" w:rsidRPr="00073285" w14:paraId="61817C90" w14:textId="77777777" w:rsidTr="00B41A0F">
        <w:trPr>
          <w:trHeight w:val="239"/>
        </w:trPr>
        <w:tc>
          <w:tcPr>
            <w:tcW w:w="1995" w:type="dxa"/>
          </w:tcPr>
          <w:p w14:paraId="79FAFE31" w14:textId="77777777" w:rsidR="00AD0650" w:rsidRPr="00073285" w:rsidRDefault="00AD0650" w:rsidP="009E75C6">
            <w:pPr>
              <w:spacing w:after="0"/>
              <w:jc w:val="both"/>
              <w:rPr>
                <w:rFonts w:asciiTheme="majorHAnsi" w:hAnsiTheme="majorHAnsi" w:cstheme="majorHAnsi"/>
                <w:sz w:val="20"/>
                <w:szCs w:val="20"/>
                <w:lang w:val="ro-RO"/>
              </w:rPr>
            </w:pPr>
            <w:r w:rsidRPr="00073285">
              <w:rPr>
                <w:rFonts w:asciiTheme="majorHAnsi" w:hAnsiTheme="majorHAnsi" w:cstheme="majorHAnsi"/>
                <w:sz w:val="20"/>
                <w:szCs w:val="20"/>
                <w:lang w:val="ro-RO"/>
              </w:rPr>
              <w:t>Bilaterali</w:t>
            </w:r>
          </w:p>
        </w:tc>
        <w:tc>
          <w:tcPr>
            <w:tcW w:w="1823" w:type="dxa"/>
          </w:tcPr>
          <w:p w14:paraId="2CF68B0C" w14:textId="77777777" w:rsidR="00AD0650" w:rsidRPr="00073285" w:rsidRDefault="00AD0650" w:rsidP="009E75C6">
            <w:pPr>
              <w:spacing w:after="0"/>
              <w:jc w:val="both"/>
              <w:rPr>
                <w:rFonts w:asciiTheme="majorHAnsi" w:hAnsiTheme="majorHAnsi" w:cstheme="majorHAnsi"/>
                <w:sz w:val="20"/>
                <w:szCs w:val="20"/>
                <w:lang w:val="ro-RO"/>
              </w:rPr>
            </w:pPr>
            <w:r w:rsidRPr="00073285">
              <w:rPr>
                <w:rFonts w:asciiTheme="majorHAnsi" w:hAnsiTheme="majorHAnsi" w:cstheme="majorHAnsi"/>
                <w:sz w:val="20"/>
                <w:szCs w:val="20"/>
                <w:lang w:val="ro-RO"/>
              </w:rPr>
              <w:t>250,4</w:t>
            </w:r>
          </w:p>
        </w:tc>
        <w:tc>
          <w:tcPr>
            <w:tcW w:w="1823" w:type="dxa"/>
          </w:tcPr>
          <w:p w14:paraId="09411EE8" w14:textId="77777777" w:rsidR="00AD0650" w:rsidRPr="00073285" w:rsidRDefault="00AD0650" w:rsidP="009E75C6">
            <w:pPr>
              <w:spacing w:after="0"/>
              <w:jc w:val="both"/>
              <w:rPr>
                <w:rFonts w:asciiTheme="majorHAnsi" w:hAnsiTheme="majorHAnsi" w:cstheme="majorHAnsi"/>
                <w:sz w:val="20"/>
                <w:szCs w:val="20"/>
                <w:lang w:val="ro-RO"/>
              </w:rPr>
            </w:pPr>
            <w:r w:rsidRPr="00073285">
              <w:rPr>
                <w:rFonts w:asciiTheme="majorHAnsi" w:hAnsiTheme="majorHAnsi" w:cstheme="majorHAnsi"/>
                <w:sz w:val="20"/>
                <w:szCs w:val="20"/>
                <w:lang w:val="ro-RO"/>
              </w:rPr>
              <w:t>354,9</w:t>
            </w:r>
          </w:p>
        </w:tc>
        <w:tc>
          <w:tcPr>
            <w:tcW w:w="1823" w:type="dxa"/>
          </w:tcPr>
          <w:p w14:paraId="224B7211" w14:textId="77777777" w:rsidR="00AD0650" w:rsidRPr="00073285" w:rsidRDefault="00AD0650" w:rsidP="009E75C6">
            <w:pPr>
              <w:spacing w:after="0"/>
              <w:jc w:val="both"/>
              <w:rPr>
                <w:rFonts w:asciiTheme="majorHAnsi" w:hAnsiTheme="majorHAnsi" w:cstheme="majorHAnsi"/>
                <w:sz w:val="20"/>
                <w:szCs w:val="20"/>
                <w:lang w:val="ro-RO"/>
              </w:rPr>
            </w:pPr>
            <w:r w:rsidRPr="00073285">
              <w:rPr>
                <w:rFonts w:asciiTheme="majorHAnsi" w:hAnsiTheme="majorHAnsi" w:cstheme="majorHAnsi"/>
                <w:sz w:val="20"/>
                <w:szCs w:val="20"/>
                <w:lang w:val="ro-RO"/>
              </w:rPr>
              <w:t>295,6</w:t>
            </w:r>
          </w:p>
        </w:tc>
        <w:tc>
          <w:tcPr>
            <w:tcW w:w="2058" w:type="dxa"/>
          </w:tcPr>
          <w:p w14:paraId="4363AA1A" w14:textId="77777777" w:rsidR="00AD0650" w:rsidRPr="00073285" w:rsidRDefault="00AD0650" w:rsidP="009E75C6">
            <w:pPr>
              <w:spacing w:after="0"/>
              <w:jc w:val="both"/>
              <w:rPr>
                <w:rFonts w:asciiTheme="majorHAnsi" w:hAnsiTheme="majorHAnsi" w:cstheme="majorHAnsi"/>
                <w:sz w:val="20"/>
                <w:szCs w:val="20"/>
                <w:lang w:val="ro-RO"/>
              </w:rPr>
            </w:pPr>
            <w:r w:rsidRPr="00073285">
              <w:rPr>
                <w:rFonts w:asciiTheme="majorHAnsi" w:hAnsiTheme="majorHAnsi" w:cstheme="majorHAnsi"/>
                <w:sz w:val="20"/>
                <w:szCs w:val="20"/>
                <w:lang w:val="ro-RO"/>
              </w:rPr>
              <w:t>17,5</w:t>
            </w:r>
          </w:p>
        </w:tc>
      </w:tr>
      <w:tr w:rsidR="00AD0650" w:rsidRPr="00073285" w14:paraId="7755AEA4" w14:textId="77777777" w:rsidTr="00B41A0F">
        <w:trPr>
          <w:trHeight w:val="226"/>
        </w:trPr>
        <w:tc>
          <w:tcPr>
            <w:tcW w:w="1995" w:type="dxa"/>
          </w:tcPr>
          <w:p w14:paraId="3F948757" w14:textId="77777777" w:rsidR="00AD0650" w:rsidRPr="00073285" w:rsidRDefault="00AD0650" w:rsidP="009E75C6">
            <w:pPr>
              <w:spacing w:after="0"/>
              <w:jc w:val="both"/>
              <w:rPr>
                <w:rFonts w:asciiTheme="majorHAnsi" w:hAnsiTheme="majorHAnsi" w:cstheme="majorHAnsi"/>
                <w:b/>
                <w:sz w:val="20"/>
                <w:szCs w:val="20"/>
                <w:lang w:val="ro-RO"/>
              </w:rPr>
            </w:pPr>
            <w:r w:rsidRPr="00073285">
              <w:rPr>
                <w:rFonts w:asciiTheme="majorHAnsi" w:hAnsiTheme="majorHAnsi" w:cstheme="majorHAnsi"/>
                <w:b/>
                <w:sz w:val="20"/>
                <w:szCs w:val="20"/>
                <w:lang w:val="ro-RO"/>
              </w:rPr>
              <w:t>Total</w:t>
            </w:r>
          </w:p>
        </w:tc>
        <w:tc>
          <w:tcPr>
            <w:tcW w:w="1823" w:type="dxa"/>
          </w:tcPr>
          <w:p w14:paraId="4018E514" w14:textId="77777777" w:rsidR="00AD0650" w:rsidRPr="00073285" w:rsidRDefault="00AD0650" w:rsidP="009E75C6">
            <w:pPr>
              <w:spacing w:after="0"/>
              <w:jc w:val="both"/>
              <w:rPr>
                <w:rFonts w:asciiTheme="majorHAnsi" w:hAnsiTheme="majorHAnsi" w:cstheme="majorHAnsi"/>
                <w:b/>
                <w:sz w:val="20"/>
                <w:szCs w:val="20"/>
                <w:lang w:val="ro-RO"/>
              </w:rPr>
            </w:pPr>
            <w:r w:rsidRPr="00073285">
              <w:rPr>
                <w:rFonts w:asciiTheme="majorHAnsi" w:hAnsiTheme="majorHAnsi" w:cstheme="majorHAnsi"/>
                <w:b/>
                <w:sz w:val="20"/>
                <w:szCs w:val="20"/>
                <w:lang w:val="ro-RO"/>
              </w:rPr>
              <w:t>1464,7</w:t>
            </w:r>
          </w:p>
        </w:tc>
        <w:tc>
          <w:tcPr>
            <w:tcW w:w="1823" w:type="dxa"/>
          </w:tcPr>
          <w:p w14:paraId="16190D41" w14:textId="77777777" w:rsidR="00AD0650" w:rsidRPr="00073285" w:rsidRDefault="00AD0650" w:rsidP="009E75C6">
            <w:pPr>
              <w:spacing w:after="0"/>
              <w:jc w:val="both"/>
              <w:rPr>
                <w:rFonts w:asciiTheme="majorHAnsi" w:hAnsiTheme="majorHAnsi" w:cstheme="majorHAnsi"/>
                <w:b/>
                <w:sz w:val="20"/>
                <w:szCs w:val="20"/>
                <w:lang w:val="ro-RO"/>
              </w:rPr>
            </w:pPr>
            <w:r w:rsidRPr="00073285">
              <w:rPr>
                <w:rFonts w:asciiTheme="majorHAnsi" w:hAnsiTheme="majorHAnsi" w:cstheme="majorHAnsi"/>
                <w:b/>
                <w:sz w:val="20"/>
                <w:szCs w:val="20"/>
                <w:lang w:val="ro-RO"/>
              </w:rPr>
              <w:t>1700,7</w:t>
            </w:r>
          </w:p>
        </w:tc>
        <w:tc>
          <w:tcPr>
            <w:tcW w:w="1823" w:type="dxa"/>
          </w:tcPr>
          <w:p w14:paraId="5A1E3A0C" w14:textId="77777777" w:rsidR="00AD0650" w:rsidRPr="00073285" w:rsidRDefault="00AD0650" w:rsidP="009E75C6">
            <w:pPr>
              <w:spacing w:after="0"/>
              <w:jc w:val="both"/>
              <w:rPr>
                <w:rFonts w:asciiTheme="majorHAnsi" w:hAnsiTheme="majorHAnsi" w:cstheme="majorHAnsi"/>
                <w:b/>
                <w:sz w:val="20"/>
                <w:szCs w:val="20"/>
                <w:lang w:val="ro-RO"/>
              </w:rPr>
            </w:pPr>
            <w:r w:rsidRPr="00073285">
              <w:rPr>
                <w:rFonts w:asciiTheme="majorHAnsi" w:hAnsiTheme="majorHAnsi" w:cstheme="majorHAnsi"/>
                <w:b/>
                <w:sz w:val="20"/>
                <w:szCs w:val="20"/>
                <w:lang w:val="ro-RO"/>
              </w:rPr>
              <w:t>1689,0</w:t>
            </w:r>
          </w:p>
        </w:tc>
        <w:tc>
          <w:tcPr>
            <w:tcW w:w="2058" w:type="dxa"/>
          </w:tcPr>
          <w:p w14:paraId="54A5CA7B" w14:textId="77777777" w:rsidR="00AD0650" w:rsidRPr="00073285" w:rsidRDefault="00AD0650" w:rsidP="009E75C6">
            <w:pPr>
              <w:spacing w:after="0"/>
              <w:jc w:val="both"/>
              <w:rPr>
                <w:rFonts w:asciiTheme="majorHAnsi" w:hAnsiTheme="majorHAnsi" w:cstheme="majorHAnsi"/>
                <w:b/>
                <w:sz w:val="20"/>
                <w:szCs w:val="20"/>
                <w:lang w:val="ro-RO"/>
              </w:rPr>
            </w:pPr>
            <w:r w:rsidRPr="00073285">
              <w:rPr>
                <w:rFonts w:asciiTheme="majorHAnsi" w:hAnsiTheme="majorHAnsi" w:cstheme="majorHAnsi"/>
                <w:b/>
                <w:sz w:val="20"/>
                <w:szCs w:val="20"/>
                <w:lang w:val="ro-RO"/>
              </w:rPr>
              <w:t>100,0</w:t>
            </w:r>
          </w:p>
        </w:tc>
      </w:tr>
    </w:tbl>
    <w:p w14:paraId="2D19C13D" w14:textId="26521DD6" w:rsidR="00AD0650" w:rsidRPr="009E75C6" w:rsidRDefault="00AD0650" w:rsidP="009E75C6">
      <w:pPr>
        <w:jc w:val="both"/>
        <w:rPr>
          <w:rFonts w:asciiTheme="majorHAnsi" w:hAnsiTheme="majorHAnsi" w:cstheme="majorHAnsi"/>
          <w:sz w:val="20"/>
          <w:szCs w:val="20"/>
          <w:lang w:val="ro-RO"/>
        </w:rPr>
      </w:pPr>
      <w:r w:rsidRPr="009E75C6">
        <w:rPr>
          <w:rFonts w:ascii="Times New Roman" w:hAnsi="Times New Roman"/>
          <w:b/>
          <w:i/>
          <w:sz w:val="20"/>
          <w:szCs w:val="20"/>
          <w:lang w:val="ro-RO"/>
        </w:rPr>
        <w:t xml:space="preserve"> </w:t>
      </w:r>
      <w:r w:rsidRPr="009E75C6">
        <w:rPr>
          <w:rFonts w:asciiTheme="majorHAnsi" w:hAnsiTheme="majorHAnsi" w:cstheme="majorHAnsi"/>
          <w:b/>
          <w:i/>
          <w:sz w:val="20"/>
          <w:szCs w:val="20"/>
          <w:lang w:val="ro-RO"/>
        </w:rPr>
        <w:t>Sursă:</w:t>
      </w:r>
      <w:r w:rsidRPr="009E75C6">
        <w:rPr>
          <w:rFonts w:asciiTheme="majorHAnsi" w:hAnsiTheme="majorHAnsi" w:cstheme="majorHAnsi"/>
          <w:i/>
          <w:sz w:val="20"/>
          <w:szCs w:val="20"/>
          <w:lang w:val="ro-RO"/>
        </w:rPr>
        <w:t xml:space="preserve"> </w:t>
      </w:r>
      <w:r w:rsidRPr="009E75C6">
        <w:rPr>
          <w:rFonts w:asciiTheme="majorHAnsi" w:hAnsiTheme="majorHAnsi" w:cstheme="majorHAnsi"/>
          <w:sz w:val="20"/>
          <w:szCs w:val="20"/>
          <w:lang w:val="ro-RO"/>
        </w:rPr>
        <w:t>Raportul privind datoria de stat externă la situația din 31.12.2017.</w:t>
      </w:r>
    </w:p>
    <w:p w14:paraId="50171E25" w14:textId="77777777" w:rsidR="00AD0650" w:rsidRPr="009E75C6" w:rsidRDefault="00AD0650" w:rsidP="009E75C6">
      <w:pPr>
        <w:spacing w:after="0" w:line="276" w:lineRule="auto"/>
        <w:ind w:firstLine="720"/>
        <w:jc w:val="both"/>
        <w:rPr>
          <w:rFonts w:asciiTheme="majorHAnsi" w:hAnsiTheme="majorHAnsi" w:cstheme="majorHAnsi"/>
          <w:sz w:val="24"/>
          <w:szCs w:val="24"/>
          <w:lang w:val="ro-RO"/>
        </w:rPr>
      </w:pPr>
      <w:r w:rsidRPr="009E75C6">
        <w:rPr>
          <w:rFonts w:asciiTheme="majorHAnsi" w:hAnsiTheme="majorHAnsi" w:cstheme="majorHAnsi"/>
          <w:sz w:val="24"/>
          <w:szCs w:val="24"/>
          <w:lang w:val="ro-RO"/>
        </w:rPr>
        <w:t xml:space="preserve">Ponderea majoră în totalul soldului datoriei de stat externe față de creditorii multilaterali revine AID – 44,4% (619,1 </w:t>
      </w:r>
      <w:proofErr w:type="spellStart"/>
      <w:r w:rsidRPr="009E75C6">
        <w:rPr>
          <w:rFonts w:asciiTheme="majorHAnsi" w:hAnsiTheme="majorHAnsi" w:cstheme="majorHAnsi"/>
          <w:sz w:val="24"/>
          <w:szCs w:val="24"/>
          <w:lang w:val="ro-RO"/>
        </w:rPr>
        <w:t>mil.dol.SUA</w:t>
      </w:r>
      <w:proofErr w:type="spellEnd"/>
      <w:r w:rsidRPr="009E75C6">
        <w:rPr>
          <w:rFonts w:asciiTheme="majorHAnsi" w:hAnsiTheme="majorHAnsi" w:cstheme="majorHAnsi"/>
          <w:sz w:val="24"/>
          <w:szCs w:val="24"/>
          <w:lang w:val="ro-RO"/>
        </w:rPr>
        <w:t xml:space="preserve">), fiind urmată de FMI – 19,8% (276,2 </w:t>
      </w:r>
      <w:proofErr w:type="spellStart"/>
      <w:r w:rsidRPr="009E75C6">
        <w:rPr>
          <w:rFonts w:asciiTheme="majorHAnsi" w:hAnsiTheme="majorHAnsi" w:cstheme="majorHAnsi"/>
          <w:sz w:val="24"/>
          <w:szCs w:val="24"/>
          <w:lang w:val="ro-RO"/>
        </w:rPr>
        <w:t>mil.dol.SUA</w:t>
      </w:r>
      <w:proofErr w:type="spellEnd"/>
      <w:r w:rsidRPr="009E75C6">
        <w:rPr>
          <w:rFonts w:asciiTheme="majorHAnsi" w:hAnsiTheme="majorHAnsi" w:cstheme="majorHAnsi"/>
          <w:sz w:val="24"/>
          <w:szCs w:val="24"/>
          <w:lang w:val="ro-RO"/>
        </w:rPr>
        <w:t xml:space="preserve">), BEI – 16,8% (233,9 </w:t>
      </w:r>
      <w:proofErr w:type="spellStart"/>
      <w:r w:rsidRPr="009E75C6">
        <w:rPr>
          <w:rFonts w:asciiTheme="majorHAnsi" w:hAnsiTheme="majorHAnsi" w:cstheme="majorHAnsi"/>
          <w:sz w:val="24"/>
          <w:szCs w:val="24"/>
          <w:lang w:val="ro-RO"/>
        </w:rPr>
        <w:t>mil.dol.SUA</w:t>
      </w:r>
      <w:proofErr w:type="spellEnd"/>
      <w:r w:rsidRPr="009E75C6">
        <w:rPr>
          <w:rFonts w:asciiTheme="majorHAnsi" w:hAnsiTheme="majorHAnsi" w:cstheme="majorHAnsi"/>
          <w:sz w:val="24"/>
          <w:szCs w:val="24"/>
          <w:lang w:val="ro-RO"/>
        </w:rPr>
        <w:t xml:space="preserve">), și BIRD – 6,6% (91,4 </w:t>
      </w:r>
      <w:proofErr w:type="spellStart"/>
      <w:r w:rsidRPr="009E75C6">
        <w:rPr>
          <w:rFonts w:asciiTheme="majorHAnsi" w:hAnsiTheme="majorHAnsi" w:cstheme="majorHAnsi"/>
          <w:sz w:val="24"/>
          <w:szCs w:val="24"/>
          <w:lang w:val="ro-RO"/>
        </w:rPr>
        <w:t>mil.dol.SUA</w:t>
      </w:r>
      <w:proofErr w:type="spellEnd"/>
      <w:r w:rsidRPr="009E75C6">
        <w:rPr>
          <w:rFonts w:asciiTheme="majorHAnsi" w:hAnsiTheme="majorHAnsi" w:cstheme="majorHAnsi"/>
          <w:sz w:val="24"/>
          <w:szCs w:val="24"/>
          <w:lang w:val="ro-RO"/>
        </w:rPr>
        <w:t xml:space="preserve">), alți creditori deținând o pondere cumulativă de circa 12,4% (172,7 </w:t>
      </w:r>
      <w:proofErr w:type="spellStart"/>
      <w:r w:rsidRPr="009E75C6">
        <w:rPr>
          <w:rFonts w:asciiTheme="majorHAnsi" w:hAnsiTheme="majorHAnsi" w:cstheme="majorHAnsi"/>
          <w:sz w:val="24"/>
          <w:szCs w:val="24"/>
          <w:lang w:val="ro-RO"/>
        </w:rPr>
        <w:t>mil.dol.SUA</w:t>
      </w:r>
      <w:proofErr w:type="spellEnd"/>
      <w:r w:rsidRPr="009E75C6">
        <w:rPr>
          <w:rFonts w:asciiTheme="majorHAnsi" w:hAnsiTheme="majorHAnsi" w:cstheme="majorHAnsi"/>
          <w:sz w:val="24"/>
          <w:szCs w:val="24"/>
          <w:lang w:val="ro-RO"/>
        </w:rPr>
        <w:t xml:space="preserve">). În totalul datoriei de stat externe față de creditorii bilaterali, o pondere semnificativă revine Guvernului României (42,4%/125,3 </w:t>
      </w:r>
      <w:proofErr w:type="spellStart"/>
      <w:r w:rsidRPr="009E75C6">
        <w:rPr>
          <w:rFonts w:asciiTheme="majorHAnsi" w:hAnsiTheme="majorHAnsi" w:cstheme="majorHAnsi"/>
          <w:sz w:val="24"/>
          <w:szCs w:val="24"/>
          <w:lang w:val="ro-RO"/>
        </w:rPr>
        <w:t>mil.dol.SUA</w:t>
      </w:r>
      <w:proofErr w:type="spellEnd"/>
      <w:r w:rsidRPr="009E75C6">
        <w:rPr>
          <w:rFonts w:asciiTheme="majorHAnsi" w:hAnsiTheme="majorHAnsi" w:cstheme="majorHAnsi"/>
          <w:sz w:val="24"/>
          <w:szCs w:val="24"/>
          <w:lang w:val="ro-RO"/>
        </w:rPr>
        <w:t xml:space="preserve">), JICA (17,4%/51,4 </w:t>
      </w:r>
      <w:proofErr w:type="spellStart"/>
      <w:r w:rsidRPr="009E75C6">
        <w:rPr>
          <w:rFonts w:asciiTheme="majorHAnsi" w:hAnsiTheme="majorHAnsi" w:cstheme="majorHAnsi"/>
          <w:sz w:val="24"/>
          <w:szCs w:val="24"/>
          <w:lang w:val="ro-RO"/>
        </w:rPr>
        <w:t>mil.dol.SUA</w:t>
      </w:r>
      <w:proofErr w:type="spellEnd"/>
      <w:r w:rsidRPr="009E75C6">
        <w:rPr>
          <w:rFonts w:asciiTheme="majorHAnsi" w:hAnsiTheme="majorHAnsi" w:cstheme="majorHAnsi"/>
          <w:sz w:val="24"/>
          <w:szCs w:val="24"/>
          <w:lang w:val="ro-RO"/>
        </w:rPr>
        <w:t xml:space="preserve">) și Guvernului Rusiei (13,9%/41,2 </w:t>
      </w:r>
      <w:proofErr w:type="spellStart"/>
      <w:r w:rsidRPr="009E75C6">
        <w:rPr>
          <w:rFonts w:asciiTheme="majorHAnsi" w:hAnsiTheme="majorHAnsi" w:cstheme="majorHAnsi"/>
          <w:sz w:val="24"/>
          <w:szCs w:val="24"/>
          <w:lang w:val="ro-RO"/>
        </w:rPr>
        <w:t>mil.dol.SUA</w:t>
      </w:r>
      <w:proofErr w:type="spellEnd"/>
      <w:r w:rsidRPr="009E75C6">
        <w:rPr>
          <w:rFonts w:asciiTheme="majorHAnsi" w:hAnsiTheme="majorHAnsi" w:cstheme="majorHAnsi"/>
          <w:sz w:val="24"/>
          <w:szCs w:val="24"/>
          <w:lang w:val="ro-RO"/>
        </w:rPr>
        <w:t>).</w:t>
      </w:r>
    </w:p>
    <w:p w14:paraId="21EC5B3E" w14:textId="7BBD0661" w:rsidR="00AD0650" w:rsidRPr="009E75C6" w:rsidRDefault="00AD0650" w:rsidP="009E75C6">
      <w:pPr>
        <w:spacing w:after="0" w:line="276" w:lineRule="auto"/>
        <w:ind w:firstLine="720"/>
        <w:jc w:val="both"/>
        <w:rPr>
          <w:rFonts w:asciiTheme="majorHAnsi" w:hAnsiTheme="majorHAnsi" w:cstheme="majorHAnsi"/>
          <w:sz w:val="24"/>
          <w:szCs w:val="24"/>
          <w:lang w:val="ro-RO"/>
        </w:rPr>
      </w:pPr>
      <w:r w:rsidRPr="009E75C6">
        <w:rPr>
          <w:rFonts w:asciiTheme="majorHAnsi" w:hAnsiTheme="majorHAnsi" w:cstheme="majorHAnsi"/>
          <w:sz w:val="24"/>
          <w:szCs w:val="24"/>
          <w:lang w:val="ro-RO"/>
        </w:rPr>
        <w:t xml:space="preserve">În totalul datoriei de stat externe, 1187,4 </w:t>
      </w:r>
      <w:proofErr w:type="spellStart"/>
      <w:r w:rsidRPr="009E75C6">
        <w:rPr>
          <w:rFonts w:asciiTheme="majorHAnsi" w:hAnsiTheme="majorHAnsi" w:cstheme="majorHAnsi"/>
          <w:sz w:val="24"/>
          <w:szCs w:val="24"/>
          <w:lang w:val="ro-RO"/>
        </w:rPr>
        <w:t>mil.dol.SUA</w:t>
      </w:r>
      <w:proofErr w:type="spellEnd"/>
      <w:r w:rsidRPr="009E75C6">
        <w:rPr>
          <w:rFonts w:asciiTheme="majorHAnsi" w:hAnsiTheme="majorHAnsi" w:cstheme="majorHAnsi"/>
          <w:sz w:val="24"/>
          <w:szCs w:val="24"/>
          <w:lang w:val="ro-RO"/>
        </w:rPr>
        <w:t xml:space="preserve"> (70,3%) reprezintă datoria cu rata fixă, și 501,6 </w:t>
      </w:r>
      <w:proofErr w:type="spellStart"/>
      <w:r w:rsidRPr="009E75C6">
        <w:rPr>
          <w:rFonts w:asciiTheme="majorHAnsi" w:hAnsiTheme="majorHAnsi" w:cstheme="majorHAnsi"/>
          <w:sz w:val="24"/>
          <w:szCs w:val="24"/>
          <w:lang w:val="ro-RO"/>
        </w:rPr>
        <w:t>mil.dol.SUA</w:t>
      </w:r>
      <w:proofErr w:type="spellEnd"/>
      <w:r w:rsidRPr="009E75C6">
        <w:rPr>
          <w:rFonts w:asciiTheme="majorHAnsi" w:hAnsiTheme="majorHAnsi" w:cstheme="majorHAnsi"/>
          <w:sz w:val="24"/>
          <w:szCs w:val="24"/>
          <w:lang w:val="ro-RO"/>
        </w:rPr>
        <w:t xml:space="preserve"> (29,7%) – datoria cu rata flotantă. Analiza efectuată de audit relevă că ponderea datoriei externe cu rata dobânzii fixă, comparativ cu anul 2017, s-a diminuat</w:t>
      </w:r>
      <w:r w:rsidR="00D25E02">
        <w:rPr>
          <w:rFonts w:asciiTheme="majorHAnsi" w:hAnsiTheme="majorHAnsi" w:cstheme="majorHAnsi"/>
          <w:sz w:val="24"/>
          <w:szCs w:val="24"/>
          <w:lang w:val="ro-RO"/>
        </w:rPr>
        <w:t xml:space="preserve"> </w:t>
      </w:r>
      <w:r w:rsidRPr="009E75C6">
        <w:rPr>
          <w:rFonts w:asciiTheme="majorHAnsi" w:hAnsiTheme="majorHAnsi" w:cstheme="majorHAnsi"/>
          <w:sz w:val="24"/>
          <w:szCs w:val="24"/>
          <w:lang w:val="ro-RO"/>
        </w:rPr>
        <w:t xml:space="preserve">cu 4,9 </w:t>
      </w:r>
      <w:proofErr w:type="spellStart"/>
      <w:r w:rsidRPr="009E75C6">
        <w:rPr>
          <w:rFonts w:asciiTheme="majorHAnsi" w:hAnsiTheme="majorHAnsi" w:cstheme="majorHAnsi"/>
          <w:sz w:val="24"/>
          <w:szCs w:val="24"/>
          <w:lang w:val="ro-RO"/>
        </w:rPr>
        <w:t>p.p.</w:t>
      </w:r>
      <w:proofErr w:type="spellEnd"/>
      <w:r w:rsidRPr="009E75C6">
        <w:rPr>
          <w:rFonts w:asciiTheme="majorHAnsi" w:hAnsiTheme="majorHAnsi" w:cstheme="majorHAnsi"/>
          <w:sz w:val="24"/>
          <w:szCs w:val="24"/>
          <w:lang w:val="ro-RO"/>
        </w:rPr>
        <w:t xml:space="preserve">, iar </w:t>
      </w:r>
      <w:r w:rsidR="004B0DE9">
        <w:rPr>
          <w:rFonts w:asciiTheme="majorHAnsi" w:hAnsiTheme="majorHAnsi" w:cstheme="majorHAnsi"/>
          <w:sz w:val="24"/>
          <w:szCs w:val="24"/>
          <w:lang w:val="ro-RO"/>
        </w:rPr>
        <w:t xml:space="preserve">a </w:t>
      </w:r>
      <w:r w:rsidRPr="009E75C6">
        <w:rPr>
          <w:rFonts w:asciiTheme="majorHAnsi" w:hAnsiTheme="majorHAnsi" w:cstheme="majorHAnsi"/>
          <w:sz w:val="24"/>
          <w:szCs w:val="24"/>
          <w:lang w:val="ro-RO"/>
        </w:rPr>
        <w:t>datori</w:t>
      </w:r>
      <w:r w:rsidR="004B0DE9">
        <w:rPr>
          <w:rFonts w:asciiTheme="majorHAnsi" w:hAnsiTheme="majorHAnsi" w:cstheme="majorHAnsi"/>
          <w:sz w:val="24"/>
          <w:szCs w:val="24"/>
          <w:lang w:val="ro-RO"/>
        </w:rPr>
        <w:t>ei</w:t>
      </w:r>
      <w:r w:rsidRPr="009E75C6">
        <w:rPr>
          <w:rFonts w:asciiTheme="majorHAnsi" w:hAnsiTheme="majorHAnsi" w:cstheme="majorHAnsi"/>
          <w:sz w:val="24"/>
          <w:szCs w:val="24"/>
          <w:lang w:val="ro-RO"/>
        </w:rPr>
        <w:t xml:space="preserve"> extern</w:t>
      </w:r>
      <w:r w:rsidR="004B0DE9">
        <w:rPr>
          <w:rFonts w:asciiTheme="majorHAnsi" w:hAnsiTheme="majorHAnsi" w:cstheme="majorHAnsi"/>
          <w:sz w:val="24"/>
          <w:szCs w:val="24"/>
          <w:lang w:val="ro-RO"/>
        </w:rPr>
        <w:t>e</w:t>
      </w:r>
      <w:r w:rsidRPr="009E75C6">
        <w:rPr>
          <w:rFonts w:asciiTheme="majorHAnsi" w:hAnsiTheme="majorHAnsi" w:cstheme="majorHAnsi"/>
          <w:sz w:val="24"/>
          <w:szCs w:val="24"/>
          <w:lang w:val="ro-RO"/>
        </w:rPr>
        <w:t xml:space="preserve"> cu rata dobânzii flotantă s-a majorat cu 4,9 </w:t>
      </w:r>
      <w:proofErr w:type="spellStart"/>
      <w:r w:rsidRPr="009E75C6">
        <w:rPr>
          <w:rFonts w:asciiTheme="majorHAnsi" w:hAnsiTheme="majorHAnsi" w:cstheme="majorHAnsi"/>
          <w:sz w:val="24"/>
          <w:szCs w:val="24"/>
          <w:lang w:val="ro-RO"/>
        </w:rPr>
        <w:t>p.p.</w:t>
      </w:r>
      <w:proofErr w:type="spellEnd"/>
    </w:p>
    <w:p w14:paraId="03751F49" w14:textId="1DAAAD07" w:rsidR="00DE17CB" w:rsidRDefault="00AD0650" w:rsidP="00DE17CB">
      <w:pPr>
        <w:spacing w:line="276" w:lineRule="auto"/>
        <w:ind w:firstLine="720"/>
        <w:jc w:val="both"/>
        <w:rPr>
          <w:rFonts w:asciiTheme="majorHAnsi" w:hAnsiTheme="majorHAnsi" w:cstheme="majorHAnsi"/>
          <w:sz w:val="24"/>
          <w:szCs w:val="24"/>
          <w:lang w:val="ro-RO"/>
        </w:rPr>
      </w:pPr>
      <w:r w:rsidRPr="009E75C6">
        <w:rPr>
          <w:rFonts w:asciiTheme="majorHAnsi" w:hAnsiTheme="majorHAnsi" w:cstheme="majorHAnsi"/>
          <w:sz w:val="24"/>
          <w:szCs w:val="24"/>
          <w:lang w:val="ro-RO"/>
        </w:rPr>
        <w:t xml:space="preserve">În structura datoriei de stat externe pe valute, ponderea cea mai mare este deținută de împrumuturile contractate în DST – 55,2% (-2,1 </w:t>
      </w:r>
      <w:proofErr w:type="spellStart"/>
      <w:r w:rsidRPr="009E75C6">
        <w:rPr>
          <w:rFonts w:asciiTheme="majorHAnsi" w:hAnsiTheme="majorHAnsi" w:cstheme="majorHAnsi"/>
          <w:sz w:val="24"/>
          <w:szCs w:val="24"/>
          <w:lang w:val="ro-RO"/>
        </w:rPr>
        <w:t>p.p.</w:t>
      </w:r>
      <w:proofErr w:type="spellEnd"/>
      <w:r w:rsidRPr="009E75C6">
        <w:rPr>
          <w:rFonts w:asciiTheme="majorHAnsi" w:hAnsiTheme="majorHAnsi" w:cstheme="majorHAnsi"/>
          <w:sz w:val="24"/>
          <w:szCs w:val="24"/>
          <w:lang w:val="ro-RO"/>
        </w:rPr>
        <w:t xml:space="preserve"> față de anul 2017), fiind urmată de </w:t>
      </w:r>
      <w:r w:rsidR="004B0DE9">
        <w:rPr>
          <w:rFonts w:asciiTheme="majorHAnsi" w:hAnsiTheme="majorHAnsi" w:cstheme="majorHAnsi"/>
          <w:sz w:val="24"/>
          <w:szCs w:val="24"/>
          <w:lang w:val="ro-RO"/>
        </w:rPr>
        <w:t xml:space="preserve">cea a </w:t>
      </w:r>
      <w:r w:rsidRPr="009E75C6">
        <w:rPr>
          <w:rFonts w:asciiTheme="majorHAnsi" w:hAnsiTheme="majorHAnsi" w:cstheme="majorHAnsi"/>
          <w:sz w:val="24"/>
          <w:szCs w:val="24"/>
          <w:lang w:val="ro-RO"/>
        </w:rPr>
        <w:t>împrumuturil</w:t>
      </w:r>
      <w:r w:rsidR="004B0DE9">
        <w:rPr>
          <w:rFonts w:asciiTheme="majorHAnsi" w:hAnsiTheme="majorHAnsi" w:cstheme="majorHAnsi"/>
          <w:sz w:val="24"/>
          <w:szCs w:val="24"/>
          <w:lang w:val="ro-RO"/>
        </w:rPr>
        <w:t>or</w:t>
      </w:r>
      <w:r w:rsidRPr="009E75C6">
        <w:rPr>
          <w:rFonts w:asciiTheme="majorHAnsi" w:hAnsiTheme="majorHAnsi" w:cstheme="majorHAnsi"/>
          <w:sz w:val="24"/>
          <w:szCs w:val="24"/>
          <w:lang w:val="ro-RO"/>
        </w:rPr>
        <w:t xml:space="preserve"> contractate în euro – 31,3% (+1,9 </w:t>
      </w:r>
      <w:proofErr w:type="spellStart"/>
      <w:r w:rsidRPr="009E75C6">
        <w:rPr>
          <w:rFonts w:asciiTheme="majorHAnsi" w:hAnsiTheme="majorHAnsi" w:cstheme="majorHAnsi"/>
          <w:sz w:val="24"/>
          <w:szCs w:val="24"/>
          <w:lang w:val="ro-RO"/>
        </w:rPr>
        <w:t>p.p.</w:t>
      </w:r>
      <w:proofErr w:type="spellEnd"/>
      <w:r w:rsidRPr="009E75C6">
        <w:rPr>
          <w:rFonts w:asciiTheme="majorHAnsi" w:hAnsiTheme="majorHAnsi" w:cstheme="majorHAnsi"/>
          <w:sz w:val="24"/>
          <w:szCs w:val="24"/>
          <w:lang w:val="ro-RO"/>
        </w:rPr>
        <w:t xml:space="preserve"> față de anul 2017), și în dolari SUA – 10,</w:t>
      </w:r>
      <w:r w:rsidR="006418D0">
        <w:rPr>
          <w:rFonts w:asciiTheme="majorHAnsi" w:hAnsiTheme="majorHAnsi" w:cstheme="majorHAnsi"/>
          <w:sz w:val="24"/>
          <w:szCs w:val="24"/>
          <w:lang w:val="ro-RO"/>
        </w:rPr>
        <w:t>0</w:t>
      </w:r>
      <w:r w:rsidRPr="009E75C6">
        <w:rPr>
          <w:rFonts w:asciiTheme="majorHAnsi" w:hAnsiTheme="majorHAnsi" w:cstheme="majorHAnsi"/>
          <w:sz w:val="24"/>
          <w:szCs w:val="24"/>
          <w:lang w:val="ro-RO"/>
        </w:rPr>
        <w:t xml:space="preserve">% </w:t>
      </w:r>
      <w:r w:rsidR="00DE17CB">
        <w:rPr>
          <w:rFonts w:asciiTheme="majorHAnsi" w:hAnsiTheme="majorHAnsi" w:cstheme="majorHAnsi"/>
          <w:sz w:val="24"/>
          <w:szCs w:val="24"/>
          <w:lang w:val="ro-RO"/>
        </w:rPr>
        <w:t>(+0,</w:t>
      </w:r>
      <w:r w:rsidR="006418D0">
        <w:rPr>
          <w:rFonts w:asciiTheme="majorHAnsi" w:hAnsiTheme="majorHAnsi" w:cstheme="majorHAnsi"/>
          <w:sz w:val="24"/>
          <w:szCs w:val="24"/>
          <w:lang w:val="ro-RO"/>
        </w:rPr>
        <w:t>1</w:t>
      </w:r>
      <w:r w:rsidR="006418D0" w:rsidRPr="009561CB">
        <w:rPr>
          <w:rFonts w:asciiTheme="majorHAnsi" w:hAnsiTheme="majorHAnsi" w:cstheme="majorHAnsi"/>
          <w:sz w:val="24"/>
          <w:szCs w:val="24"/>
          <w:lang w:val="ro-RO"/>
        </w:rPr>
        <w:t xml:space="preserve"> </w:t>
      </w:r>
      <w:proofErr w:type="spellStart"/>
      <w:r w:rsidR="00DE17CB">
        <w:rPr>
          <w:rFonts w:asciiTheme="majorHAnsi" w:hAnsiTheme="majorHAnsi" w:cstheme="majorHAnsi"/>
          <w:sz w:val="24"/>
          <w:szCs w:val="24"/>
          <w:lang w:val="ro-RO"/>
        </w:rPr>
        <w:t>p.p.</w:t>
      </w:r>
      <w:proofErr w:type="spellEnd"/>
      <w:r w:rsidR="00DE17CB">
        <w:rPr>
          <w:rFonts w:asciiTheme="majorHAnsi" w:hAnsiTheme="majorHAnsi" w:cstheme="majorHAnsi"/>
          <w:sz w:val="24"/>
          <w:szCs w:val="24"/>
          <w:lang w:val="ro-RO"/>
        </w:rPr>
        <w:t xml:space="preserve"> față de anul 2017). </w:t>
      </w:r>
    </w:p>
    <w:p w14:paraId="3F3DEB1E" w14:textId="77777777" w:rsidR="00AD0650" w:rsidRPr="00DE17CB" w:rsidRDefault="00AD0650" w:rsidP="00243B87">
      <w:pPr>
        <w:pStyle w:val="a4"/>
        <w:numPr>
          <w:ilvl w:val="2"/>
          <w:numId w:val="47"/>
        </w:numPr>
        <w:tabs>
          <w:tab w:val="left" w:pos="709"/>
          <w:tab w:val="left" w:pos="1418"/>
        </w:tabs>
        <w:spacing w:line="276" w:lineRule="auto"/>
        <w:ind w:left="-142" w:firstLine="851"/>
        <w:jc w:val="both"/>
        <w:outlineLvl w:val="1"/>
        <w:rPr>
          <w:rFonts w:asciiTheme="majorHAnsi" w:hAnsiTheme="majorHAnsi" w:cstheme="majorHAnsi"/>
          <w:sz w:val="24"/>
          <w:szCs w:val="24"/>
          <w:lang w:val="ro-RO"/>
        </w:rPr>
      </w:pPr>
      <w:bookmarkStart w:id="43" w:name="_Toc10106690"/>
      <w:r w:rsidRPr="00DE17CB">
        <w:rPr>
          <w:rFonts w:asciiTheme="majorHAnsi" w:hAnsiTheme="majorHAnsi" w:cstheme="majorHAnsi"/>
          <w:b/>
          <w:sz w:val="24"/>
          <w:szCs w:val="24"/>
          <w:lang w:val="ro-RO"/>
        </w:rPr>
        <w:t>Intrările de împrumuturi de st</w:t>
      </w:r>
      <w:r w:rsidR="00B852E2">
        <w:rPr>
          <w:rFonts w:asciiTheme="majorHAnsi" w:hAnsiTheme="majorHAnsi" w:cstheme="majorHAnsi"/>
          <w:b/>
          <w:sz w:val="24"/>
          <w:szCs w:val="24"/>
          <w:lang w:val="ro-RO"/>
        </w:rPr>
        <w:t xml:space="preserve">at externe au constituit 144,8 </w:t>
      </w:r>
      <w:proofErr w:type="spellStart"/>
      <w:r w:rsidRPr="00DE17CB">
        <w:rPr>
          <w:rFonts w:asciiTheme="majorHAnsi" w:hAnsiTheme="majorHAnsi" w:cstheme="majorHAnsi"/>
          <w:b/>
          <w:sz w:val="24"/>
          <w:szCs w:val="24"/>
          <w:lang w:val="ro-RO"/>
        </w:rPr>
        <w:t>mil.dol.SUA</w:t>
      </w:r>
      <w:proofErr w:type="spellEnd"/>
      <w:r w:rsidRPr="00DE17CB">
        <w:rPr>
          <w:rFonts w:asciiTheme="majorHAnsi" w:hAnsiTheme="majorHAnsi" w:cstheme="majorHAnsi"/>
          <w:b/>
          <w:sz w:val="24"/>
          <w:szCs w:val="24"/>
          <w:lang w:val="ro-RO"/>
        </w:rPr>
        <w:t>, fiind înregistrat un nivel mai redus comparativ cu anul 2017.</w:t>
      </w:r>
      <w:bookmarkEnd w:id="43"/>
      <w:r w:rsidRPr="00DE17CB">
        <w:rPr>
          <w:rFonts w:asciiTheme="majorHAnsi" w:hAnsiTheme="majorHAnsi" w:cstheme="majorHAnsi"/>
          <w:b/>
          <w:sz w:val="24"/>
          <w:szCs w:val="24"/>
          <w:lang w:val="ro-RO"/>
        </w:rPr>
        <w:t xml:space="preserve"> </w:t>
      </w:r>
    </w:p>
    <w:p w14:paraId="4571AF32" w14:textId="48B614CB" w:rsidR="00AD0650" w:rsidRPr="009E75C6" w:rsidRDefault="000204A1" w:rsidP="009E75C6">
      <w:pPr>
        <w:spacing w:after="0" w:line="276" w:lineRule="auto"/>
        <w:ind w:firstLine="720"/>
        <w:jc w:val="both"/>
        <w:rPr>
          <w:rFonts w:asciiTheme="majorHAnsi" w:hAnsiTheme="majorHAnsi" w:cstheme="majorHAnsi"/>
          <w:sz w:val="24"/>
          <w:szCs w:val="24"/>
          <w:lang w:val="ro-RO"/>
        </w:rPr>
      </w:pPr>
      <w:r>
        <w:rPr>
          <w:rFonts w:asciiTheme="majorHAnsi" w:hAnsiTheme="majorHAnsi" w:cstheme="majorHAnsi"/>
          <w:sz w:val="24"/>
          <w:szCs w:val="24"/>
          <w:lang w:val="ro-RO"/>
        </w:rPr>
        <w:t>În anul 2018</w:t>
      </w:r>
      <w:r w:rsidR="00AD0650" w:rsidRPr="009E75C6">
        <w:rPr>
          <w:rFonts w:asciiTheme="majorHAnsi" w:hAnsiTheme="majorHAnsi" w:cstheme="majorHAnsi"/>
          <w:sz w:val="24"/>
          <w:szCs w:val="24"/>
          <w:lang w:val="ro-RO"/>
        </w:rPr>
        <w:t xml:space="preserve">, debursările de împrumuturi externe au constituit 144,8 </w:t>
      </w:r>
      <w:proofErr w:type="spellStart"/>
      <w:r w:rsidR="00AD0650" w:rsidRPr="009E75C6">
        <w:rPr>
          <w:rFonts w:asciiTheme="majorHAnsi" w:hAnsiTheme="majorHAnsi" w:cstheme="majorHAnsi"/>
          <w:sz w:val="24"/>
          <w:szCs w:val="24"/>
          <w:lang w:val="ro-RO"/>
        </w:rPr>
        <w:t>mil.dol.SUA</w:t>
      </w:r>
      <w:proofErr w:type="spellEnd"/>
      <w:r w:rsidR="00AD0650" w:rsidRPr="009E75C6">
        <w:rPr>
          <w:rFonts w:asciiTheme="majorHAnsi" w:hAnsiTheme="majorHAnsi" w:cstheme="majorHAnsi"/>
          <w:sz w:val="24"/>
          <w:szCs w:val="24"/>
          <w:lang w:val="ro-RO"/>
        </w:rPr>
        <w:t xml:space="preserve">, înregistrând o scădere cu 50,8 </w:t>
      </w:r>
      <w:proofErr w:type="spellStart"/>
      <w:r w:rsidR="00AD0650" w:rsidRPr="009E75C6">
        <w:rPr>
          <w:rFonts w:asciiTheme="majorHAnsi" w:hAnsiTheme="majorHAnsi" w:cstheme="majorHAnsi"/>
          <w:sz w:val="24"/>
          <w:szCs w:val="24"/>
          <w:lang w:val="ro-RO"/>
        </w:rPr>
        <w:t>mil.dol.SUA</w:t>
      </w:r>
      <w:proofErr w:type="spellEnd"/>
      <w:r w:rsidR="00AD0650" w:rsidRPr="009E75C6">
        <w:rPr>
          <w:rFonts w:asciiTheme="majorHAnsi" w:hAnsiTheme="majorHAnsi" w:cstheme="majorHAnsi"/>
          <w:sz w:val="24"/>
          <w:szCs w:val="24"/>
          <w:lang w:val="ro-RO"/>
        </w:rPr>
        <w:t xml:space="preserve">, sau cu </w:t>
      </w:r>
      <w:r w:rsidR="00666E8D">
        <w:rPr>
          <w:rFonts w:asciiTheme="majorHAnsi" w:hAnsiTheme="majorHAnsi" w:cstheme="majorHAnsi"/>
          <w:sz w:val="24"/>
          <w:szCs w:val="24"/>
          <w:lang w:val="ro-RO"/>
        </w:rPr>
        <w:t>26,0</w:t>
      </w:r>
      <w:r w:rsidR="00AD0650" w:rsidRPr="009E75C6">
        <w:rPr>
          <w:rFonts w:asciiTheme="majorHAnsi" w:hAnsiTheme="majorHAnsi" w:cstheme="majorHAnsi"/>
          <w:sz w:val="24"/>
          <w:szCs w:val="24"/>
          <w:lang w:val="ro-RO"/>
        </w:rPr>
        <w:t xml:space="preserve">% mai puțin față de anul 2017 (195,6 </w:t>
      </w:r>
      <w:proofErr w:type="spellStart"/>
      <w:r w:rsidR="00AD0650" w:rsidRPr="009E75C6">
        <w:rPr>
          <w:rFonts w:asciiTheme="majorHAnsi" w:hAnsiTheme="majorHAnsi" w:cstheme="majorHAnsi"/>
          <w:sz w:val="24"/>
          <w:szCs w:val="24"/>
          <w:lang w:val="ro-RO"/>
        </w:rPr>
        <w:t>mil.dol.SUA</w:t>
      </w:r>
      <w:proofErr w:type="spellEnd"/>
      <w:r w:rsidR="00AD0650" w:rsidRPr="009E75C6">
        <w:rPr>
          <w:rFonts w:asciiTheme="majorHAnsi" w:hAnsiTheme="majorHAnsi" w:cstheme="majorHAnsi"/>
          <w:sz w:val="24"/>
          <w:szCs w:val="24"/>
          <w:lang w:val="ro-RO"/>
        </w:rPr>
        <w:t xml:space="preserve">). </w:t>
      </w:r>
      <w:r w:rsidR="00AD0650" w:rsidRPr="009E75C6">
        <w:rPr>
          <w:rFonts w:asciiTheme="majorHAnsi" w:hAnsiTheme="majorHAnsi" w:cstheme="majorHAnsi"/>
          <w:i/>
          <w:sz w:val="24"/>
          <w:szCs w:val="24"/>
          <w:lang w:val="ro-RO"/>
        </w:rPr>
        <w:t>Situația descrisă este prezentată în Tabelul nr.6 din Anexa nr.2 la prezentul Raport de audit.</w:t>
      </w:r>
      <w:r w:rsidR="00AD0650" w:rsidRPr="009E75C6">
        <w:rPr>
          <w:rFonts w:asciiTheme="majorHAnsi" w:hAnsiTheme="majorHAnsi" w:cstheme="majorHAnsi"/>
          <w:sz w:val="24"/>
          <w:szCs w:val="24"/>
          <w:lang w:val="ro-RO"/>
        </w:rPr>
        <w:t xml:space="preserve"> </w:t>
      </w:r>
    </w:p>
    <w:p w14:paraId="7C6C31BB" w14:textId="7D868C9F" w:rsidR="00AD0650" w:rsidRPr="009E75C6" w:rsidRDefault="00AD0650" w:rsidP="00CA1727">
      <w:pPr>
        <w:spacing w:after="0" w:line="276" w:lineRule="auto"/>
        <w:ind w:firstLine="720"/>
        <w:jc w:val="both"/>
        <w:rPr>
          <w:rFonts w:asciiTheme="majorHAnsi" w:hAnsiTheme="majorHAnsi" w:cstheme="majorHAnsi"/>
          <w:sz w:val="24"/>
          <w:szCs w:val="24"/>
          <w:lang w:val="ro-RO"/>
        </w:rPr>
      </w:pPr>
      <w:r w:rsidRPr="009E75C6">
        <w:rPr>
          <w:rFonts w:asciiTheme="majorHAnsi" w:hAnsiTheme="majorHAnsi" w:cstheme="majorHAnsi"/>
          <w:sz w:val="24"/>
          <w:szCs w:val="24"/>
          <w:lang w:val="ro-RO"/>
        </w:rPr>
        <w:t xml:space="preserve">Din totalul împrumuturilor debursate, 95,9 </w:t>
      </w:r>
      <w:proofErr w:type="spellStart"/>
      <w:r w:rsidRPr="009E75C6">
        <w:rPr>
          <w:rFonts w:asciiTheme="majorHAnsi" w:hAnsiTheme="majorHAnsi" w:cstheme="majorHAnsi"/>
          <w:sz w:val="24"/>
          <w:szCs w:val="24"/>
          <w:lang w:val="ro-RO"/>
        </w:rPr>
        <w:t>mil.dol.SUA</w:t>
      </w:r>
      <w:proofErr w:type="spellEnd"/>
      <w:r w:rsidRPr="009E75C6">
        <w:rPr>
          <w:rFonts w:asciiTheme="majorHAnsi" w:hAnsiTheme="majorHAnsi" w:cstheme="majorHAnsi"/>
          <w:sz w:val="24"/>
          <w:szCs w:val="24"/>
          <w:lang w:val="ro-RO"/>
        </w:rPr>
        <w:t xml:space="preserve"> (66,2%) au fost destinate finanțării proiectelor investiționale și 48,9 </w:t>
      </w:r>
      <w:proofErr w:type="spellStart"/>
      <w:r w:rsidRPr="009E75C6">
        <w:rPr>
          <w:rFonts w:asciiTheme="majorHAnsi" w:hAnsiTheme="majorHAnsi" w:cstheme="majorHAnsi"/>
          <w:sz w:val="24"/>
          <w:szCs w:val="24"/>
          <w:lang w:val="ro-RO"/>
        </w:rPr>
        <w:t>mil.dol.SUA</w:t>
      </w:r>
      <w:proofErr w:type="spellEnd"/>
      <w:r w:rsidRPr="009E75C6">
        <w:rPr>
          <w:rFonts w:asciiTheme="majorHAnsi" w:hAnsiTheme="majorHAnsi" w:cstheme="majorHAnsi"/>
          <w:sz w:val="24"/>
          <w:szCs w:val="24"/>
          <w:lang w:val="ro-RO"/>
        </w:rPr>
        <w:t xml:space="preserve"> (33,8%) – </w:t>
      </w:r>
      <w:r w:rsidR="001D5664">
        <w:rPr>
          <w:rFonts w:asciiTheme="majorHAnsi" w:eastAsia="Calibri" w:hAnsiTheme="majorHAnsi" w:cstheme="majorHAnsi"/>
          <w:sz w:val="24"/>
          <w:szCs w:val="24"/>
          <w:lang w:val="ro-RO"/>
        </w:rPr>
        <w:t>asistenței financiare</w:t>
      </w:r>
      <w:r w:rsidR="006418D0">
        <w:rPr>
          <w:rFonts w:asciiTheme="majorHAnsi" w:eastAsia="Calibri" w:hAnsiTheme="majorHAnsi" w:cstheme="majorHAnsi"/>
          <w:sz w:val="24"/>
          <w:szCs w:val="24"/>
          <w:lang w:val="ro-RO"/>
        </w:rPr>
        <w:t xml:space="preserve"> pentru susținerea bugetului de stat</w:t>
      </w:r>
      <w:r w:rsidRPr="009561CB">
        <w:rPr>
          <w:rFonts w:asciiTheme="majorHAnsi" w:hAnsiTheme="majorHAnsi" w:cstheme="majorHAnsi"/>
          <w:sz w:val="24"/>
          <w:szCs w:val="24"/>
          <w:lang w:val="ro-RO"/>
        </w:rPr>
        <w:t>.</w:t>
      </w:r>
      <w:r w:rsidRPr="009E75C6">
        <w:rPr>
          <w:rFonts w:asciiTheme="majorHAnsi" w:hAnsiTheme="majorHAnsi" w:cstheme="majorHAnsi"/>
          <w:sz w:val="24"/>
          <w:szCs w:val="24"/>
          <w:lang w:val="ro-RO"/>
        </w:rPr>
        <w:t xml:space="preserve"> Astfel, în anul 2018 au fost reduse debursările </w:t>
      </w:r>
      <w:r w:rsidR="0059175C">
        <w:rPr>
          <w:rFonts w:asciiTheme="majorHAnsi" w:hAnsiTheme="majorHAnsi" w:cstheme="majorHAnsi"/>
          <w:sz w:val="24"/>
          <w:szCs w:val="24"/>
          <w:lang w:val="ro-RO"/>
        </w:rPr>
        <w:t>destinate</w:t>
      </w:r>
      <w:r w:rsidRPr="009E75C6">
        <w:rPr>
          <w:rFonts w:asciiTheme="majorHAnsi" w:hAnsiTheme="majorHAnsi" w:cstheme="majorHAnsi"/>
          <w:sz w:val="24"/>
          <w:szCs w:val="24"/>
          <w:lang w:val="ro-RO"/>
        </w:rPr>
        <w:t xml:space="preserve"> </w:t>
      </w:r>
      <w:r w:rsidR="001D5664">
        <w:rPr>
          <w:rFonts w:asciiTheme="majorHAnsi" w:eastAsia="Calibri" w:hAnsiTheme="majorHAnsi" w:cstheme="majorHAnsi"/>
          <w:sz w:val="24"/>
          <w:szCs w:val="24"/>
          <w:lang w:val="ro-RO"/>
        </w:rPr>
        <w:t>asistenț</w:t>
      </w:r>
      <w:r w:rsidR="0059175C">
        <w:rPr>
          <w:rFonts w:asciiTheme="majorHAnsi" w:eastAsia="Calibri" w:hAnsiTheme="majorHAnsi" w:cstheme="majorHAnsi"/>
          <w:sz w:val="24"/>
          <w:szCs w:val="24"/>
          <w:lang w:val="ro-RO"/>
        </w:rPr>
        <w:t>ei</w:t>
      </w:r>
      <w:r w:rsidR="001D5664">
        <w:rPr>
          <w:rFonts w:asciiTheme="majorHAnsi" w:eastAsia="Calibri" w:hAnsiTheme="majorHAnsi" w:cstheme="majorHAnsi"/>
          <w:sz w:val="24"/>
          <w:szCs w:val="24"/>
          <w:lang w:val="ro-RO"/>
        </w:rPr>
        <w:t xml:space="preserve"> financiar</w:t>
      </w:r>
      <w:r w:rsidR="0059175C">
        <w:rPr>
          <w:rFonts w:asciiTheme="majorHAnsi" w:eastAsia="Calibri" w:hAnsiTheme="majorHAnsi" w:cstheme="majorHAnsi"/>
          <w:sz w:val="24"/>
          <w:szCs w:val="24"/>
          <w:lang w:val="ro-RO"/>
        </w:rPr>
        <w:t>e</w:t>
      </w:r>
      <w:r w:rsidR="001D5664" w:rsidRPr="009561CB">
        <w:rPr>
          <w:rFonts w:asciiTheme="majorHAnsi" w:eastAsia="Calibri" w:hAnsiTheme="majorHAnsi" w:cstheme="majorHAnsi"/>
          <w:sz w:val="24"/>
          <w:szCs w:val="24"/>
          <w:lang w:val="ro-RO"/>
        </w:rPr>
        <w:t xml:space="preserve"> </w:t>
      </w:r>
      <w:r w:rsidR="006418D0">
        <w:rPr>
          <w:rFonts w:asciiTheme="majorHAnsi" w:eastAsia="Calibri" w:hAnsiTheme="majorHAnsi" w:cstheme="majorHAnsi"/>
          <w:sz w:val="24"/>
          <w:szCs w:val="24"/>
          <w:lang w:val="ro-RO"/>
        </w:rPr>
        <w:t>pentru susținerea bugetului de stat</w:t>
      </w:r>
      <w:r w:rsidR="001D5664" w:rsidRPr="009E75C6">
        <w:rPr>
          <w:rFonts w:asciiTheme="majorHAnsi" w:eastAsia="Calibri" w:hAnsiTheme="majorHAnsi" w:cstheme="majorHAnsi"/>
          <w:sz w:val="24"/>
          <w:szCs w:val="24"/>
          <w:lang w:val="ro-RO"/>
        </w:rPr>
        <w:t xml:space="preserve"> </w:t>
      </w:r>
      <w:r w:rsidRPr="009E75C6">
        <w:rPr>
          <w:rFonts w:asciiTheme="majorHAnsi" w:hAnsiTheme="majorHAnsi" w:cstheme="majorHAnsi"/>
          <w:sz w:val="24"/>
          <w:szCs w:val="24"/>
          <w:lang w:val="ro-RO"/>
        </w:rPr>
        <w:t xml:space="preserve">cu 86,0 </w:t>
      </w:r>
      <w:proofErr w:type="spellStart"/>
      <w:r w:rsidRPr="009E75C6">
        <w:rPr>
          <w:rFonts w:asciiTheme="majorHAnsi" w:hAnsiTheme="majorHAnsi" w:cstheme="majorHAnsi"/>
          <w:sz w:val="24"/>
          <w:szCs w:val="24"/>
          <w:lang w:val="ro-RO"/>
        </w:rPr>
        <w:t>mil.dol.SUA</w:t>
      </w:r>
      <w:proofErr w:type="spellEnd"/>
      <w:r w:rsidRPr="009E75C6">
        <w:rPr>
          <w:rFonts w:asciiTheme="majorHAnsi" w:hAnsiTheme="majorHAnsi" w:cstheme="majorHAnsi"/>
          <w:sz w:val="24"/>
          <w:szCs w:val="24"/>
          <w:lang w:val="ro-RO"/>
        </w:rPr>
        <w:t xml:space="preserve">, iar debursările destinate proiectelor finanțate din surse externe au înregistrat o creștere cu 35,2 </w:t>
      </w:r>
      <w:proofErr w:type="spellStart"/>
      <w:r w:rsidRPr="009E75C6">
        <w:rPr>
          <w:rFonts w:asciiTheme="majorHAnsi" w:hAnsiTheme="majorHAnsi" w:cstheme="majorHAnsi"/>
          <w:sz w:val="24"/>
          <w:szCs w:val="24"/>
          <w:lang w:val="ro-RO"/>
        </w:rPr>
        <w:t>mil.dol.SUA</w:t>
      </w:r>
      <w:proofErr w:type="spellEnd"/>
      <w:r w:rsidRPr="009E75C6">
        <w:rPr>
          <w:rFonts w:asciiTheme="majorHAnsi" w:hAnsiTheme="majorHAnsi" w:cstheme="majorHAnsi"/>
          <w:sz w:val="24"/>
          <w:szCs w:val="24"/>
          <w:lang w:val="ro-RO"/>
        </w:rPr>
        <w:t xml:space="preserve">. </w:t>
      </w:r>
      <w:r w:rsidR="00B60012" w:rsidRPr="00B60012">
        <w:rPr>
          <w:rFonts w:asciiTheme="majorHAnsi" w:hAnsiTheme="majorHAnsi" w:cstheme="majorHAnsi"/>
          <w:i/>
          <w:sz w:val="24"/>
          <w:szCs w:val="24"/>
          <w:lang w:val="ro-RO"/>
        </w:rPr>
        <w:t>Informația privind nivelul de debursare în aspectul creditorilor</w:t>
      </w:r>
      <w:r w:rsidR="00B60012">
        <w:rPr>
          <w:rFonts w:asciiTheme="majorHAnsi" w:hAnsiTheme="majorHAnsi" w:cstheme="majorHAnsi"/>
          <w:sz w:val="24"/>
          <w:szCs w:val="24"/>
          <w:lang w:val="ro-RO"/>
        </w:rPr>
        <w:t xml:space="preserve"> </w:t>
      </w:r>
      <w:r w:rsidR="00B60012">
        <w:rPr>
          <w:rFonts w:asciiTheme="majorHAnsi" w:hAnsiTheme="majorHAnsi" w:cstheme="majorHAnsi"/>
          <w:i/>
          <w:sz w:val="24"/>
          <w:szCs w:val="24"/>
          <w:lang w:val="ro-RO"/>
        </w:rPr>
        <w:t>este prezentată în Tabelul nr.7</w:t>
      </w:r>
      <w:r w:rsidR="00B60012" w:rsidRPr="009E75C6">
        <w:rPr>
          <w:rFonts w:asciiTheme="majorHAnsi" w:hAnsiTheme="majorHAnsi" w:cstheme="majorHAnsi"/>
          <w:i/>
          <w:sz w:val="24"/>
          <w:szCs w:val="24"/>
          <w:lang w:val="ro-RO"/>
        </w:rPr>
        <w:t xml:space="preserve"> din Anexa nr.2 la prezentul Raport de audit.</w:t>
      </w:r>
    </w:p>
    <w:p w14:paraId="2D987316" w14:textId="4366709F" w:rsidR="00476DA6" w:rsidRDefault="00AD0650" w:rsidP="00564257">
      <w:pPr>
        <w:spacing w:after="0" w:line="276" w:lineRule="auto"/>
        <w:ind w:firstLine="720"/>
        <w:jc w:val="both"/>
        <w:rPr>
          <w:rFonts w:asciiTheme="majorHAnsi" w:hAnsiTheme="majorHAnsi" w:cstheme="majorHAnsi"/>
          <w:sz w:val="24"/>
          <w:szCs w:val="24"/>
          <w:lang w:val="ro-RO"/>
        </w:rPr>
      </w:pPr>
      <w:r w:rsidRPr="009E75C6">
        <w:rPr>
          <w:rFonts w:asciiTheme="majorHAnsi" w:hAnsiTheme="majorHAnsi" w:cstheme="majorHAnsi"/>
          <w:sz w:val="24"/>
          <w:szCs w:val="24"/>
          <w:lang w:val="ro-RO"/>
        </w:rPr>
        <w:t xml:space="preserve"> Cele mai semnificative debursări de credite externe în aspectul creditorilor </w:t>
      </w:r>
      <w:r w:rsidR="0059175C">
        <w:rPr>
          <w:rFonts w:asciiTheme="majorHAnsi" w:hAnsiTheme="majorHAnsi" w:cstheme="majorHAnsi"/>
          <w:sz w:val="24"/>
          <w:szCs w:val="24"/>
          <w:lang w:val="ro-RO"/>
        </w:rPr>
        <w:t>țin de</w:t>
      </w:r>
      <w:r w:rsidRPr="009E75C6">
        <w:rPr>
          <w:rFonts w:asciiTheme="majorHAnsi" w:hAnsiTheme="majorHAnsi" w:cstheme="majorHAnsi"/>
          <w:sz w:val="24"/>
          <w:szCs w:val="24"/>
          <w:lang w:val="ro-RO"/>
        </w:rPr>
        <w:t xml:space="preserve">:  BEI – 63,4 </w:t>
      </w:r>
      <w:proofErr w:type="spellStart"/>
      <w:r w:rsidRPr="009E75C6">
        <w:rPr>
          <w:rFonts w:asciiTheme="majorHAnsi" w:hAnsiTheme="majorHAnsi" w:cstheme="majorHAnsi"/>
          <w:sz w:val="24"/>
          <w:szCs w:val="24"/>
          <w:lang w:val="ro-RO"/>
        </w:rPr>
        <w:t>mil.dol.SUA</w:t>
      </w:r>
      <w:proofErr w:type="spellEnd"/>
      <w:r w:rsidRPr="009E75C6">
        <w:rPr>
          <w:rFonts w:asciiTheme="majorHAnsi" w:hAnsiTheme="majorHAnsi" w:cstheme="majorHAnsi"/>
          <w:sz w:val="24"/>
          <w:szCs w:val="24"/>
          <w:lang w:val="ro-RO"/>
        </w:rPr>
        <w:t xml:space="preserve"> (43,8%), AID – 36,2 </w:t>
      </w:r>
      <w:proofErr w:type="spellStart"/>
      <w:r w:rsidRPr="009E75C6">
        <w:rPr>
          <w:rFonts w:asciiTheme="majorHAnsi" w:hAnsiTheme="majorHAnsi" w:cstheme="majorHAnsi"/>
          <w:sz w:val="24"/>
          <w:szCs w:val="24"/>
          <w:lang w:val="ro-RO"/>
        </w:rPr>
        <w:t>mil.dol.SUA</w:t>
      </w:r>
      <w:proofErr w:type="spellEnd"/>
      <w:r w:rsidRPr="009E75C6">
        <w:rPr>
          <w:rFonts w:asciiTheme="majorHAnsi" w:hAnsiTheme="majorHAnsi" w:cstheme="majorHAnsi"/>
          <w:sz w:val="24"/>
          <w:szCs w:val="24"/>
          <w:lang w:val="ro-RO"/>
        </w:rPr>
        <w:t xml:space="preserve"> (25,0%), BERD – 19,8 </w:t>
      </w:r>
      <w:proofErr w:type="spellStart"/>
      <w:r w:rsidRPr="009E75C6">
        <w:rPr>
          <w:rFonts w:asciiTheme="majorHAnsi" w:hAnsiTheme="majorHAnsi" w:cstheme="majorHAnsi"/>
          <w:sz w:val="24"/>
          <w:szCs w:val="24"/>
          <w:lang w:val="ro-RO"/>
        </w:rPr>
        <w:t>mil.dol.SUA</w:t>
      </w:r>
      <w:proofErr w:type="spellEnd"/>
      <w:r w:rsidRPr="009E75C6">
        <w:rPr>
          <w:rFonts w:asciiTheme="majorHAnsi" w:hAnsiTheme="majorHAnsi" w:cstheme="majorHAnsi"/>
          <w:sz w:val="24"/>
          <w:szCs w:val="24"/>
          <w:lang w:val="ro-RO"/>
        </w:rPr>
        <w:t xml:space="preserve"> (13,7%), FMI – 13,4 </w:t>
      </w:r>
      <w:proofErr w:type="spellStart"/>
      <w:r w:rsidRPr="009E75C6">
        <w:rPr>
          <w:rFonts w:asciiTheme="majorHAnsi" w:hAnsiTheme="majorHAnsi" w:cstheme="majorHAnsi"/>
          <w:sz w:val="24"/>
          <w:szCs w:val="24"/>
          <w:lang w:val="ro-RO"/>
        </w:rPr>
        <w:t>mil.dol.SUA</w:t>
      </w:r>
      <w:proofErr w:type="spellEnd"/>
      <w:r w:rsidRPr="009E75C6">
        <w:rPr>
          <w:rFonts w:asciiTheme="majorHAnsi" w:hAnsiTheme="majorHAnsi" w:cstheme="majorHAnsi"/>
          <w:sz w:val="24"/>
          <w:szCs w:val="24"/>
          <w:lang w:val="ro-RO"/>
        </w:rPr>
        <w:t xml:space="preserve"> (9,2%), BIRD – 7,3 </w:t>
      </w:r>
      <w:proofErr w:type="spellStart"/>
      <w:r w:rsidRPr="009E75C6">
        <w:rPr>
          <w:rFonts w:asciiTheme="majorHAnsi" w:hAnsiTheme="majorHAnsi" w:cstheme="majorHAnsi"/>
          <w:sz w:val="24"/>
          <w:szCs w:val="24"/>
          <w:lang w:val="ro-RO"/>
        </w:rPr>
        <w:t>mil.dol.SUA</w:t>
      </w:r>
      <w:proofErr w:type="spellEnd"/>
      <w:r w:rsidRPr="009E75C6">
        <w:rPr>
          <w:rFonts w:asciiTheme="majorHAnsi" w:hAnsiTheme="majorHAnsi" w:cstheme="majorHAnsi"/>
          <w:sz w:val="24"/>
          <w:szCs w:val="24"/>
          <w:lang w:val="ro-RO"/>
        </w:rPr>
        <w:t xml:space="preserve"> (5,0%) etc.</w:t>
      </w:r>
    </w:p>
    <w:p w14:paraId="4C83CF62" w14:textId="5C07B497" w:rsidR="00AD5A28" w:rsidRDefault="0097124D" w:rsidP="00AD5A28">
      <w:pPr>
        <w:spacing w:after="0" w:line="276" w:lineRule="auto"/>
        <w:ind w:firstLine="720"/>
        <w:jc w:val="both"/>
        <w:rPr>
          <w:rFonts w:asciiTheme="majorHAnsi" w:hAnsiTheme="majorHAnsi" w:cstheme="majorHAnsi"/>
          <w:sz w:val="24"/>
          <w:szCs w:val="24"/>
          <w:lang w:val="ro-RO"/>
        </w:rPr>
      </w:pPr>
      <w:r w:rsidRPr="0097124D">
        <w:rPr>
          <w:rFonts w:asciiTheme="majorHAnsi" w:hAnsiTheme="majorHAnsi" w:cstheme="majorHAnsi"/>
          <w:sz w:val="24"/>
          <w:szCs w:val="24"/>
          <w:lang w:val="ro-RO"/>
        </w:rPr>
        <w:lastRenderedPageBreak/>
        <w:t xml:space="preserve">Verificările </w:t>
      </w:r>
      <w:r w:rsidR="0059175C">
        <w:rPr>
          <w:rFonts w:asciiTheme="majorHAnsi" w:hAnsiTheme="majorHAnsi" w:cstheme="majorHAnsi"/>
          <w:sz w:val="24"/>
          <w:szCs w:val="24"/>
          <w:lang w:val="ro-RO"/>
        </w:rPr>
        <w:t xml:space="preserve">efectuate de </w:t>
      </w:r>
      <w:r w:rsidRPr="0097124D">
        <w:rPr>
          <w:rFonts w:asciiTheme="majorHAnsi" w:hAnsiTheme="majorHAnsi" w:cstheme="majorHAnsi"/>
          <w:sz w:val="24"/>
          <w:szCs w:val="24"/>
          <w:lang w:val="ro-RO"/>
        </w:rPr>
        <w:t>audit</w:t>
      </w:r>
      <w:r>
        <w:rPr>
          <w:rFonts w:asciiTheme="majorHAnsi" w:hAnsiTheme="majorHAnsi" w:cstheme="majorHAnsi"/>
          <w:sz w:val="24"/>
          <w:szCs w:val="24"/>
          <w:lang w:val="ro-RO"/>
        </w:rPr>
        <w:t xml:space="preserve"> </w:t>
      </w:r>
      <w:r w:rsidR="00693E41">
        <w:rPr>
          <w:rFonts w:asciiTheme="majorHAnsi" w:hAnsiTheme="majorHAnsi" w:cstheme="majorHAnsi"/>
          <w:sz w:val="24"/>
          <w:szCs w:val="24"/>
          <w:lang w:val="ro-RO"/>
        </w:rPr>
        <w:t>privind nivelul de debursare</w:t>
      </w:r>
      <w:r w:rsidR="00863474">
        <w:rPr>
          <w:rFonts w:asciiTheme="majorHAnsi" w:hAnsiTheme="majorHAnsi" w:cstheme="majorHAnsi"/>
          <w:sz w:val="24"/>
          <w:szCs w:val="24"/>
          <w:lang w:val="ro-RO"/>
        </w:rPr>
        <w:t xml:space="preserve"> a împrumuturilor indică</w:t>
      </w:r>
      <w:r w:rsidR="00C321BD">
        <w:rPr>
          <w:rFonts w:asciiTheme="majorHAnsi" w:hAnsiTheme="majorHAnsi" w:cstheme="majorHAnsi"/>
          <w:sz w:val="24"/>
          <w:szCs w:val="24"/>
          <w:lang w:val="ro-RO"/>
        </w:rPr>
        <w:t xml:space="preserve"> că, din 119 împrumuturi active: </w:t>
      </w:r>
      <w:r w:rsidR="00C321BD" w:rsidRPr="00C321BD">
        <w:rPr>
          <w:rFonts w:asciiTheme="majorHAnsi" w:hAnsiTheme="majorHAnsi" w:cstheme="majorHAnsi"/>
          <w:b/>
          <w:sz w:val="24"/>
          <w:szCs w:val="24"/>
          <w:lang w:val="ro-RO"/>
        </w:rPr>
        <w:t>a)</w:t>
      </w:r>
      <w:r w:rsidR="00476DA6" w:rsidRPr="00551A82">
        <w:rPr>
          <w:rFonts w:asciiTheme="majorHAnsi" w:hAnsiTheme="majorHAnsi" w:cstheme="majorHAnsi"/>
          <w:sz w:val="24"/>
          <w:szCs w:val="24"/>
          <w:lang w:val="ro-RO"/>
        </w:rPr>
        <w:t xml:space="preserve"> </w:t>
      </w:r>
      <w:r w:rsidR="005E692F">
        <w:rPr>
          <w:rFonts w:asciiTheme="majorHAnsi" w:hAnsiTheme="majorHAnsi" w:cstheme="majorHAnsi"/>
          <w:sz w:val="24"/>
          <w:szCs w:val="24"/>
          <w:lang w:val="ro-RO"/>
        </w:rPr>
        <w:t xml:space="preserve">3 </w:t>
      </w:r>
      <w:r w:rsidR="00476DA6" w:rsidRPr="00551A82">
        <w:rPr>
          <w:rFonts w:asciiTheme="majorHAnsi" w:hAnsiTheme="majorHAnsi" w:cstheme="majorHAnsi"/>
          <w:sz w:val="24"/>
          <w:szCs w:val="24"/>
          <w:lang w:val="ro-RO"/>
        </w:rPr>
        <w:t>împrumuturi</w:t>
      </w:r>
      <w:r w:rsidR="00476DA6" w:rsidRPr="00551A82">
        <w:rPr>
          <w:rFonts w:asciiTheme="majorHAnsi" w:hAnsiTheme="majorHAnsi" w:cstheme="majorHAnsi"/>
          <w:sz w:val="24"/>
          <w:szCs w:val="24"/>
          <w:vertAlign w:val="superscript"/>
          <w:lang w:val="ro-RO"/>
        </w:rPr>
        <w:footnoteReference w:id="31"/>
      </w:r>
      <w:r w:rsidR="00DD6306">
        <w:rPr>
          <w:rFonts w:asciiTheme="majorHAnsi" w:hAnsiTheme="majorHAnsi" w:cstheme="majorHAnsi"/>
          <w:sz w:val="24"/>
          <w:szCs w:val="24"/>
          <w:lang w:val="ro-RO"/>
        </w:rPr>
        <w:t xml:space="preserve"> în sumă totală de </w:t>
      </w:r>
      <w:r w:rsidR="005E692F">
        <w:rPr>
          <w:rFonts w:asciiTheme="majorHAnsi" w:hAnsiTheme="majorHAnsi" w:cstheme="majorHAnsi"/>
          <w:sz w:val="24"/>
          <w:szCs w:val="24"/>
          <w:lang w:val="ro-RO"/>
        </w:rPr>
        <w:t>72</w:t>
      </w:r>
      <w:r w:rsidR="00DD6306">
        <w:rPr>
          <w:rFonts w:asciiTheme="majorHAnsi" w:hAnsiTheme="majorHAnsi" w:cstheme="majorHAnsi"/>
          <w:sz w:val="24"/>
          <w:szCs w:val="24"/>
          <w:lang w:val="ro-RO"/>
        </w:rPr>
        <w:t xml:space="preserve">,0 </w:t>
      </w:r>
      <w:proofErr w:type="spellStart"/>
      <w:r w:rsidR="00DD6306">
        <w:rPr>
          <w:rFonts w:asciiTheme="majorHAnsi" w:hAnsiTheme="majorHAnsi" w:cstheme="majorHAnsi"/>
          <w:sz w:val="24"/>
          <w:szCs w:val="24"/>
          <w:lang w:val="ro-RO"/>
        </w:rPr>
        <w:t>mil.euro</w:t>
      </w:r>
      <w:proofErr w:type="spellEnd"/>
      <w:r w:rsidR="00476DA6" w:rsidRPr="00551A82">
        <w:rPr>
          <w:rFonts w:asciiTheme="majorHAnsi" w:hAnsiTheme="majorHAnsi" w:cstheme="majorHAnsi"/>
          <w:sz w:val="24"/>
          <w:szCs w:val="24"/>
          <w:lang w:val="ro-RO"/>
        </w:rPr>
        <w:t xml:space="preserve"> </w:t>
      </w:r>
      <w:r w:rsidR="00476DA6" w:rsidRPr="00683E21">
        <w:rPr>
          <w:rFonts w:asciiTheme="majorHAnsi" w:hAnsiTheme="majorHAnsi"/>
          <w:sz w:val="24"/>
          <w:lang w:val="ro-RO"/>
        </w:rPr>
        <w:t xml:space="preserve">și </w:t>
      </w:r>
      <w:r w:rsidR="001C2B62" w:rsidRPr="009561CB">
        <w:rPr>
          <w:rFonts w:asciiTheme="majorHAnsi" w:hAnsiTheme="majorHAnsi" w:cstheme="majorHAnsi"/>
          <w:sz w:val="24"/>
          <w:szCs w:val="24"/>
          <w:lang w:val="ro-RO"/>
        </w:rPr>
        <w:t>1</w:t>
      </w:r>
      <w:r w:rsidR="001C2B62">
        <w:rPr>
          <w:rFonts w:asciiTheme="majorHAnsi" w:hAnsiTheme="majorHAnsi" w:cstheme="majorHAnsi"/>
          <w:sz w:val="24"/>
          <w:szCs w:val="24"/>
          <w:lang w:val="ro-RO"/>
        </w:rPr>
        <w:t>2</w:t>
      </w:r>
      <w:r w:rsidR="00476DA6" w:rsidRPr="00683E21">
        <w:rPr>
          <w:rFonts w:asciiTheme="majorHAnsi" w:hAnsiTheme="majorHAnsi"/>
          <w:sz w:val="24"/>
          <w:lang w:val="ro-RO"/>
        </w:rPr>
        <w:t>,</w:t>
      </w:r>
      <w:r w:rsidR="00784755">
        <w:rPr>
          <w:rFonts w:asciiTheme="majorHAnsi" w:hAnsiTheme="majorHAnsi" w:cstheme="majorHAnsi"/>
          <w:sz w:val="24"/>
          <w:szCs w:val="24"/>
          <w:lang w:val="ro-RO"/>
        </w:rPr>
        <w:t>6</w:t>
      </w:r>
      <w:r w:rsidR="00476DA6" w:rsidRPr="00683E21">
        <w:rPr>
          <w:rFonts w:asciiTheme="majorHAnsi" w:hAnsiTheme="majorHAnsi"/>
          <w:sz w:val="24"/>
          <w:lang w:val="ro-RO"/>
        </w:rPr>
        <w:t xml:space="preserve">  </w:t>
      </w:r>
      <w:proofErr w:type="spellStart"/>
      <w:r w:rsidR="00476DA6" w:rsidRPr="00683E21">
        <w:rPr>
          <w:rFonts w:asciiTheme="majorHAnsi" w:hAnsiTheme="majorHAnsi"/>
          <w:sz w:val="24"/>
          <w:lang w:val="ro-RO"/>
        </w:rPr>
        <w:t>mil.dol.SUA</w:t>
      </w:r>
      <w:proofErr w:type="spellEnd"/>
      <w:r w:rsidR="0059175C">
        <w:rPr>
          <w:rFonts w:asciiTheme="majorHAnsi" w:hAnsiTheme="majorHAnsi" w:cstheme="majorHAnsi"/>
          <w:sz w:val="24"/>
          <w:szCs w:val="24"/>
          <w:lang w:val="ro-RO"/>
        </w:rPr>
        <w:t xml:space="preserve">, </w:t>
      </w:r>
      <w:r w:rsidR="00476DA6" w:rsidRPr="00551A82">
        <w:rPr>
          <w:rFonts w:asciiTheme="majorHAnsi" w:hAnsiTheme="majorHAnsi" w:cstheme="majorHAnsi"/>
          <w:sz w:val="24"/>
          <w:szCs w:val="24"/>
          <w:lang w:val="ro-RO"/>
        </w:rPr>
        <w:t>până la situația din 31.12.2018</w:t>
      </w:r>
      <w:r w:rsidR="0059175C">
        <w:rPr>
          <w:rFonts w:asciiTheme="majorHAnsi" w:hAnsiTheme="majorHAnsi" w:cstheme="majorHAnsi"/>
          <w:sz w:val="24"/>
          <w:szCs w:val="24"/>
          <w:lang w:val="ro-RO"/>
        </w:rPr>
        <w:t>,</w:t>
      </w:r>
      <w:r w:rsidR="00476DA6" w:rsidRPr="00551A82">
        <w:rPr>
          <w:rFonts w:asciiTheme="majorHAnsi" w:hAnsiTheme="majorHAnsi" w:cstheme="majorHAnsi"/>
          <w:sz w:val="24"/>
          <w:szCs w:val="24"/>
          <w:lang w:val="ro-RO"/>
        </w:rPr>
        <w:t xml:space="preserve"> nu au avut deb</w:t>
      </w:r>
      <w:r w:rsidR="00C321BD">
        <w:rPr>
          <w:rFonts w:asciiTheme="majorHAnsi" w:hAnsiTheme="majorHAnsi" w:cstheme="majorHAnsi"/>
          <w:sz w:val="24"/>
          <w:szCs w:val="24"/>
          <w:lang w:val="ro-RO"/>
        </w:rPr>
        <w:t xml:space="preserve">ursări; </w:t>
      </w:r>
      <w:r w:rsidR="00C321BD" w:rsidRPr="00C321BD">
        <w:rPr>
          <w:rFonts w:asciiTheme="majorHAnsi" w:hAnsiTheme="majorHAnsi" w:cstheme="majorHAnsi"/>
          <w:b/>
          <w:sz w:val="24"/>
          <w:szCs w:val="24"/>
          <w:lang w:val="ro-RO"/>
        </w:rPr>
        <w:t>b)</w:t>
      </w:r>
      <w:r w:rsidR="00C321BD">
        <w:rPr>
          <w:rFonts w:asciiTheme="majorHAnsi" w:hAnsiTheme="majorHAnsi" w:cstheme="majorHAnsi"/>
          <w:sz w:val="24"/>
          <w:szCs w:val="24"/>
          <w:lang w:val="ro-RO"/>
        </w:rPr>
        <w:t xml:space="preserve"> alte</w:t>
      </w:r>
      <w:r w:rsidR="003476E6">
        <w:rPr>
          <w:rFonts w:asciiTheme="majorHAnsi" w:hAnsiTheme="majorHAnsi" w:cstheme="majorHAnsi"/>
          <w:sz w:val="24"/>
          <w:szCs w:val="24"/>
          <w:lang w:val="ro-RO"/>
        </w:rPr>
        <w:t xml:space="preserve"> 25</w:t>
      </w:r>
      <w:r w:rsidR="003476E6" w:rsidRPr="00551A82">
        <w:rPr>
          <w:rFonts w:asciiTheme="majorHAnsi" w:hAnsiTheme="majorHAnsi" w:cstheme="majorHAnsi"/>
          <w:sz w:val="24"/>
          <w:szCs w:val="24"/>
          <w:lang w:val="ro-RO"/>
        </w:rPr>
        <w:t xml:space="preserve"> </w:t>
      </w:r>
      <w:r w:rsidR="0059175C">
        <w:rPr>
          <w:rFonts w:asciiTheme="majorHAnsi" w:hAnsiTheme="majorHAnsi" w:cstheme="majorHAnsi"/>
          <w:sz w:val="24"/>
          <w:szCs w:val="24"/>
          <w:lang w:val="ro-RO"/>
        </w:rPr>
        <w:t xml:space="preserve">de </w:t>
      </w:r>
      <w:r w:rsidR="003476E6" w:rsidRPr="00551A82">
        <w:rPr>
          <w:rFonts w:asciiTheme="majorHAnsi" w:hAnsiTheme="majorHAnsi" w:cstheme="majorHAnsi"/>
          <w:sz w:val="24"/>
          <w:szCs w:val="24"/>
          <w:lang w:val="ro-RO"/>
        </w:rPr>
        <w:t>împrumuturi</w:t>
      </w:r>
      <w:r w:rsidR="003476E6">
        <w:rPr>
          <w:rFonts w:asciiTheme="majorHAnsi" w:hAnsiTheme="majorHAnsi" w:cstheme="majorHAnsi"/>
          <w:sz w:val="24"/>
          <w:szCs w:val="24"/>
          <w:lang w:val="ro-RO"/>
        </w:rPr>
        <w:t xml:space="preserve"> </w:t>
      </w:r>
      <w:r w:rsidR="003476E6" w:rsidRPr="00551A82">
        <w:rPr>
          <w:rFonts w:asciiTheme="majorHAnsi" w:hAnsiTheme="majorHAnsi" w:cstheme="majorHAnsi"/>
          <w:sz w:val="24"/>
          <w:szCs w:val="24"/>
          <w:lang w:val="ro-RO"/>
        </w:rPr>
        <w:t>au un nivel de debursare de la 1,5% până la 71,4%.</w:t>
      </w:r>
      <w:r w:rsidR="00AD5A28">
        <w:rPr>
          <w:rFonts w:asciiTheme="majorHAnsi" w:hAnsiTheme="majorHAnsi" w:cstheme="majorHAnsi"/>
          <w:sz w:val="24"/>
          <w:szCs w:val="24"/>
          <w:lang w:val="ro-RO"/>
        </w:rPr>
        <w:t xml:space="preserve"> </w:t>
      </w:r>
      <w:r w:rsidR="00AD5A28" w:rsidRPr="00AD5A28">
        <w:rPr>
          <w:rFonts w:asciiTheme="majorHAnsi" w:hAnsiTheme="majorHAnsi" w:cstheme="majorHAnsi"/>
          <w:i/>
          <w:sz w:val="24"/>
          <w:szCs w:val="24"/>
          <w:lang w:val="ro-RO"/>
        </w:rPr>
        <w:t xml:space="preserve">Situația </w:t>
      </w:r>
      <w:r w:rsidR="00AD5A28" w:rsidRPr="00683E21">
        <w:rPr>
          <w:rFonts w:asciiTheme="majorHAnsi" w:hAnsiTheme="majorHAnsi" w:cstheme="majorHAnsi"/>
          <w:i/>
          <w:sz w:val="24"/>
          <w:szCs w:val="24"/>
          <w:lang w:val="ro-MD"/>
        </w:rPr>
        <w:t xml:space="preserve">privind împrumuturile cu nivelul de debursare până la 75,0% din suma împrumutată </w:t>
      </w:r>
      <w:r w:rsidR="00B60012">
        <w:rPr>
          <w:rFonts w:asciiTheme="majorHAnsi" w:hAnsiTheme="majorHAnsi" w:cstheme="majorHAnsi"/>
          <w:i/>
          <w:sz w:val="24"/>
          <w:szCs w:val="24"/>
          <w:lang w:val="ro-RO"/>
        </w:rPr>
        <w:t>este prezentată în Tabelul nr.8</w:t>
      </w:r>
      <w:r w:rsidR="00AD5A28" w:rsidRPr="009E75C6">
        <w:rPr>
          <w:rFonts w:asciiTheme="majorHAnsi" w:hAnsiTheme="majorHAnsi" w:cstheme="majorHAnsi"/>
          <w:i/>
          <w:sz w:val="24"/>
          <w:szCs w:val="24"/>
          <w:lang w:val="ro-RO"/>
        </w:rPr>
        <w:t xml:space="preserve"> din Anexa nr.2 la prezentul Raport de audit.</w:t>
      </w:r>
      <w:r w:rsidR="00AD5A28">
        <w:rPr>
          <w:rFonts w:asciiTheme="majorHAnsi" w:hAnsiTheme="majorHAnsi" w:cstheme="majorHAnsi"/>
          <w:sz w:val="24"/>
          <w:szCs w:val="24"/>
          <w:lang w:val="ro-RO"/>
        </w:rPr>
        <w:t xml:space="preserve"> </w:t>
      </w:r>
    </w:p>
    <w:p w14:paraId="77B7CBDF" w14:textId="2EA7F8C5" w:rsidR="004472AB" w:rsidRPr="004472AB" w:rsidRDefault="00310885" w:rsidP="004472AB">
      <w:pPr>
        <w:tabs>
          <w:tab w:val="left" w:pos="284"/>
          <w:tab w:val="left" w:pos="567"/>
          <w:tab w:val="left" w:pos="709"/>
        </w:tabs>
        <w:spacing w:after="0" w:line="276" w:lineRule="auto"/>
        <w:jc w:val="both"/>
        <w:rPr>
          <w:rFonts w:asciiTheme="majorHAnsi" w:hAnsiTheme="majorHAnsi" w:cstheme="majorHAnsi"/>
          <w:b/>
          <w:i/>
          <w:sz w:val="24"/>
          <w:szCs w:val="24"/>
          <w:lang w:val="ro-RO"/>
        </w:rPr>
      </w:pPr>
      <w:r>
        <w:rPr>
          <w:rFonts w:ascii="Times New Roman" w:hAnsi="Times New Roman"/>
          <w:sz w:val="28"/>
          <w:szCs w:val="28"/>
          <w:lang w:val="ro-RO"/>
        </w:rPr>
        <w:tab/>
      </w:r>
      <w:r w:rsidR="00A404D3">
        <w:rPr>
          <w:rFonts w:ascii="Times New Roman" w:hAnsi="Times New Roman"/>
          <w:sz w:val="28"/>
          <w:szCs w:val="28"/>
          <w:lang w:val="ro-RO"/>
        </w:rPr>
        <w:tab/>
      </w:r>
      <w:r w:rsidR="008A3053">
        <w:rPr>
          <w:rFonts w:ascii="Times New Roman" w:hAnsi="Times New Roman"/>
          <w:sz w:val="28"/>
          <w:szCs w:val="28"/>
          <w:lang w:val="ro-RO"/>
        </w:rPr>
        <w:tab/>
      </w:r>
      <w:r w:rsidRPr="00A404D3">
        <w:rPr>
          <w:rFonts w:asciiTheme="majorHAnsi" w:hAnsiTheme="majorHAnsi" w:cstheme="majorHAnsi"/>
          <w:sz w:val="24"/>
          <w:szCs w:val="24"/>
          <w:lang w:val="ro-RO"/>
        </w:rPr>
        <w:t xml:space="preserve">Verificările auditului </w:t>
      </w:r>
      <w:r w:rsidR="0059175C">
        <w:rPr>
          <w:rFonts w:asciiTheme="majorHAnsi" w:hAnsiTheme="majorHAnsi" w:cstheme="majorHAnsi"/>
          <w:sz w:val="24"/>
          <w:szCs w:val="24"/>
          <w:lang w:val="ro-RO"/>
        </w:rPr>
        <w:t>asupra</w:t>
      </w:r>
      <w:r w:rsidRPr="00A404D3">
        <w:rPr>
          <w:rFonts w:asciiTheme="majorHAnsi" w:hAnsiTheme="majorHAnsi" w:cstheme="majorHAnsi"/>
          <w:sz w:val="24"/>
          <w:szCs w:val="24"/>
          <w:lang w:val="ro-RO"/>
        </w:rPr>
        <w:t xml:space="preserve"> nivelul</w:t>
      </w:r>
      <w:r w:rsidR="0059175C">
        <w:rPr>
          <w:rFonts w:asciiTheme="majorHAnsi" w:hAnsiTheme="majorHAnsi" w:cstheme="majorHAnsi"/>
          <w:sz w:val="24"/>
          <w:szCs w:val="24"/>
          <w:lang w:val="ro-RO"/>
        </w:rPr>
        <w:t>ui</w:t>
      </w:r>
      <w:r w:rsidRPr="00A404D3">
        <w:rPr>
          <w:rFonts w:asciiTheme="majorHAnsi" w:hAnsiTheme="majorHAnsi" w:cstheme="majorHAnsi"/>
          <w:sz w:val="24"/>
          <w:szCs w:val="24"/>
          <w:lang w:val="ro-RO"/>
        </w:rPr>
        <w:t xml:space="preserve"> de debursare a împrumuturilor externe denotă nerespectarea de către instituțiile </w:t>
      </w:r>
      <w:r w:rsidR="00C321BD">
        <w:rPr>
          <w:rFonts w:asciiTheme="majorHAnsi" w:hAnsiTheme="majorHAnsi" w:cstheme="majorHAnsi"/>
          <w:sz w:val="24"/>
          <w:szCs w:val="24"/>
          <w:lang w:val="ro-RO"/>
        </w:rPr>
        <w:t>beneficiare</w:t>
      </w:r>
      <w:r w:rsidRPr="00A404D3">
        <w:rPr>
          <w:rFonts w:asciiTheme="majorHAnsi" w:hAnsiTheme="majorHAnsi" w:cstheme="majorHAnsi"/>
          <w:sz w:val="24"/>
          <w:szCs w:val="24"/>
          <w:lang w:val="ro-RO"/>
        </w:rPr>
        <w:t xml:space="preserve"> a termenului de implementare</w:t>
      </w:r>
      <w:r w:rsidR="000466D8">
        <w:rPr>
          <w:rFonts w:asciiTheme="majorHAnsi" w:hAnsiTheme="majorHAnsi" w:cstheme="majorHAnsi"/>
          <w:sz w:val="24"/>
          <w:szCs w:val="24"/>
          <w:lang w:val="ro-RO"/>
        </w:rPr>
        <w:t xml:space="preserve"> a proiectelor</w:t>
      </w:r>
      <w:r w:rsidRPr="00A404D3">
        <w:rPr>
          <w:rFonts w:asciiTheme="majorHAnsi" w:hAnsiTheme="majorHAnsi" w:cstheme="majorHAnsi"/>
          <w:sz w:val="24"/>
          <w:szCs w:val="24"/>
          <w:lang w:val="ro-RO"/>
        </w:rPr>
        <w:t>, principala cauză fiind neîndeplinirea în termen a precondițiilor de debursare prevăzute în contractele de împrumut.</w:t>
      </w:r>
      <w:r w:rsidR="004472AB">
        <w:rPr>
          <w:rFonts w:asciiTheme="majorHAnsi" w:hAnsiTheme="majorHAnsi" w:cstheme="majorHAnsi"/>
          <w:sz w:val="24"/>
          <w:szCs w:val="24"/>
          <w:lang w:val="ro-RO"/>
        </w:rPr>
        <w:t xml:space="preserve"> Referitor la împrumuturile </w:t>
      </w:r>
      <w:r w:rsidR="00666ADF">
        <w:rPr>
          <w:rFonts w:asciiTheme="majorHAnsi" w:hAnsiTheme="majorHAnsi" w:cstheme="majorHAnsi"/>
          <w:sz w:val="24"/>
          <w:szCs w:val="24"/>
          <w:lang w:val="ro-RO"/>
        </w:rPr>
        <w:t>cu un nivel redus de debursare</w:t>
      </w:r>
      <w:r w:rsidR="00385EBB">
        <w:rPr>
          <w:rFonts w:asciiTheme="majorHAnsi" w:hAnsiTheme="majorHAnsi" w:cstheme="majorHAnsi"/>
          <w:sz w:val="24"/>
          <w:szCs w:val="24"/>
          <w:lang w:val="ro-RO"/>
        </w:rPr>
        <w:t xml:space="preserve"> la situația din 31.12.2018,</w:t>
      </w:r>
      <w:r w:rsidR="00666ADF">
        <w:rPr>
          <w:rFonts w:asciiTheme="majorHAnsi" w:hAnsiTheme="majorHAnsi" w:cstheme="majorHAnsi"/>
          <w:sz w:val="24"/>
          <w:szCs w:val="24"/>
          <w:lang w:val="ro-RO"/>
        </w:rPr>
        <w:t xml:space="preserve"> auditul evidențiază următoarele </w:t>
      </w:r>
      <w:r w:rsidR="004C1654">
        <w:rPr>
          <w:rFonts w:asciiTheme="majorHAnsi" w:hAnsiTheme="majorHAnsi" w:cstheme="majorHAnsi"/>
          <w:sz w:val="24"/>
          <w:szCs w:val="24"/>
          <w:lang w:val="ro-RO"/>
        </w:rPr>
        <w:t>6</w:t>
      </w:r>
      <w:r w:rsidR="000466D8">
        <w:rPr>
          <w:rFonts w:asciiTheme="majorHAnsi" w:hAnsiTheme="majorHAnsi" w:cstheme="majorHAnsi"/>
          <w:sz w:val="24"/>
          <w:szCs w:val="24"/>
          <w:lang w:val="ro-RO"/>
        </w:rPr>
        <w:t xml:space="preserve"> proiecte:</w:t>
      </w:r>
    </w:p>
    <w:p w14:paraId="61153214" w14:textId="45E2ABB7" w:rsidR="000466D8" w:rsidRPr="000466D8" w:rsidRDefault="000466D8" w:rsidP="000466D8">
      <w:pPr>
        <w:numPr>
          <w:ilvl w:val="0"/>
          <w:numId w:val="44"/>
        </w:numPr>
        <w:tabs>
          <w:tab w:val="left" w:pos="284"/>
          <w:tab w:val="left" w:pos="567"/>
        </w:tabs>
        <w:spacing w:after="0" w:line="276" w:lineRule="auto"/>
        <w:ind w:left="0" w:firstLine="360"/>
        <w:contextualSpacing/>
        <w:jc w:val="both"/>
        <w:rPr>
          <w:rFonts w:asciiTheme="majorHAnsi" w:hAnsiTheme="majorHAnsi" w:cstheme="majorHAnsi"/>
          <w:sz w:val="24"/>
          <w:szCs w:val="24"/>
          <w:lang w:val="ro-RO"/>
        </w:rPr>
      </w:pPr>
      <w:r w:rsidRPr="00683E21">
        <w:rPr>
          <w:rFonts w:asciiTheme="majorHAnsi" w:hAnsiTheme="majorHAnsi" w:cstheme="majorHAnsi"/>
          <w:sz w:val="24"/>
          <w:szCs w:val="24"/>
          <w:shd w:val="clear" w:color="auto" w:fill="FFFFFF"/>
          <w:lang w:val="ro-MD"/>
        </w:rPr>
        <w:t xml:space="preserve">Proiectul </w:t>
      </w:r>
      <w:r w:rsidRPr="00683E21">
        <w:rPr>
          <w:rFonts w:asciiTheme="majorHAnsi" w:hAnsiTheme="majorHAnsi" w:cstheme="majorHAnsi"/>
          <w:i/>
          <w:sz w:val="24"/>
          <w:szCs w:val="24"/>
          <w:shd w:val="clear" w:color="auto" w:fill="FFFFFF"/>
          <w:lang w:val="ro-MD"/>
        </w:rPr>
        <w:t>„Construcția penitenciarului din municipiul Chișinău”</w:t>
      </w:r>
      <w:r w:rsidR="00624329">
        <w:rPr>
          <w:rFonts w:asciiTheme="majorHAnsi" w:hAnsiTheme="majorHAnsi" w:cstheme="majorHAnsi"/>
          <w:i/>
          <w:sz w:val="24"/>
          <w:szCs w:val="24"/>
          <w:shd w:val="clear" w:color="auto" w:fill="FFFFFF"/>
          <w:lang w:val="ro-MD"/>
        </w:rPr>
        <w:t>,</w:t>
      </w:r>
      <w:r w:rsidRPr="00683E21">
        <w:rPr>
          <w:rFonts w:asciiTheme="majorHAnsi" w:hAnsiTheme="majorHAnsi" w:cstheme="majorHAnsi"/>
          <w:i/>
          <w:sz w:val="24"/>
          <w:szCs w:val="24"/>
          <w:shd w:val="clear" w:color="auto" w:fill="FFFFFF"/>
          <w:lang w:val="ro-MD"/>
        </w:rPr>
        <w:t xml:space="preserve"> </w:t>
      </w:r>
      <w:r w:rsidRPr="00683E21">
        <w:rPr>
          <w:rFonts w:asciiTheme="majorHAnsi" w:hAnsiTheme="majorHAnsi" w:cstheme="majorHAnsi"/>
          <w:sz w:val="24"/>
          <w:szCs w:val="24"/>
          <w:shd w:val="clear" w:color="auto" w:fill="FFFFFF"/>
          <w:lang w:val="ro-MD"/>
        </w:rPr>
        <w:t>contractat de la BDCE în anul 2013</w:t>
      </w:r>
      <w:r w:rsidR="00624329">
        <w:rPr>
          <w:rFonts w:asciiTheme="majorHAnsi" w:hAnsiTheme="majorHAnsi" w:cstheme="majorHAnsi"/>
          <w:sz w:val="24"/>
          <w:szCs w:val="24"/>
          <w:shd w:val="clear" w:color="auto" w:fill="FFFFFF"/>
          <w:lang w:val="ro-MD"/>
        </w:rPr>
        <w:t>,</w:t>
      </w:r>
      <w:r w:rsidRPr="00683E21">
        <w:rPr>
          <w:rFonts w:asciiTheme="majorHAnsi" w:hAnsiTheme="majorHAnsi" w:cstheme="majorHAnsi"/>
          <w:sz w:val="24"/>
          <w:szCs w:val="24"/>
          <w:shd w:val="clear" w:color="auto" w:fill="FFFFFF"/>
          <w:lang w:val="ro-MD"/>
        </w:rPr>
        <w:t xml:space="preserve"> cu data</w:t>
      </w:r>
      <w:r w:rsidR="00624329">
        <w:rPr>
          <w:rFonts w:asciiTheme="majorHAnsi" w:hAnsiTheme="majorHAnsi" w:cstheme="majorHAnsi"/>
          <w:sz w:val="24"/>
          <w:szCs w:val="24"/>
          <w:shd w:val="clear" w:color="auto" w:fill="FFFFFF"/>
          <w:lang w:val="ro-MD"/>
        </w:rPr>
        <w:t>-</w:t>
      </w:r>
      <w:r w:rsidRPr="00683E21">
        <w:rPr>
          <w:rFonts w:asciiTheme="majorHAnsi" w:hAnsiTheme="majorHAnsi" w:cstheme="majorHAnsi"/>
          <w:sz w:val="24"/>
          <w:szCs w:val="24"/>
          <w:shd w:val="clear" w:color="auto" w:fill="FFFFFF"/>
          <w:lang w:val="ro-MD"/>
        </w:rPr>
        <w:t xml:space="preserve">limită de tragere 31.12.2022, în sumă de 39,0 </w:t>
      </w:r>
      <w:proofErr w:type="spellStart"/>
      <w:r w:rsidRPr="00683E21">
        <w:rPr>
          <w:rFonts w:asciiTheme="majorHAnsi" w:hAnsiTheme="majorHAnsi" w:cstheme="majorHAnsi"/>
          <w:sz w:val="24"/>
          <w:szCs w:val="24"/>
          <w:shd w:val="clear" w:color="auto" w:fill="FFFFFF"/>
          <w:lang w:val="ro-MD"/>
        </w:rPr>
        <w:t>mil.euro</w:t>
      </w:r>
      <w:proofErr w:type="spellEnd"/>
      <w:r w:rsidR="000A72DE">
        <w:rPr>
          <w:rFonts w:asciiTheme="majorHAnsi" w:hAnsiTheme="majorHAnsi" w:cstheme="majorHAnsi"/>
          <w:sz w:val="24"/>
          <w:szCs w:val="24"/>
          <w:shd w:val="clear" w:color="auto" w:fill="FFFFFF"/>
          <w:lang w:val="ro-MD"/>
        </w:rPr>
        <w:t>,</w:t>
      </w:r>
      <w:r w:rsidRPr="00683E21">
        <w:rPr>
          <w:rFonts w:asciiTheme="majorHAnsi" w:hAnsiTheme="majorHAnsi" w:cstheme="majorHAnsi"/>
          <w:sz w:val="24"/>
          <w:szCs w:val="24"/>
          <w:shd w:val="clear" w:color="auto" w:fill="FFFFFF"/>
          <w:lang w:val="ro-MD"/>
        </w:rPr>
        <w:t xml:space="preserve"> au fost debursate 0,7 </w:t>
      </w:r>
      <w:proofErr w:type="spellStart"/>
      <w:r w:rsidRPr="00683E21">
        <w:rPr>
          <w:rFonts w:asciiTheme="majorHAnsi" w:hAnsiTheme="majorHAnsi" w:cstheme="majorHAnsi"/>
          <w:sz w:val="24"/>
          <w:szCs w:val="24"/>
          <w:shd w:val="clear" w:color="auto" w:fill="FFFFFF"/>
          <w:lang w:val="ro-MD"/>
        </w:rPr>
        <w:t>mil.euro</w:t>
      </w:r>
      <w:proofErr w:type="spellEnd"/>
      <w:r w:rsidR="000A72DE">
        <w:rPr>
          <w:rFonts w:asciiTheme="majorHAnsi" w:hAnsiTheme="majorHAnsi" w:cstheme="majorHAnsi"/>
          <w:sz w:val="24"/>
          <w:szCs w:val="24"/>
          <w:shd w:val="clear" w:color="auto" w:fill="FFFFFF"/>
          <w:lang w:val="ro-MD"/>
        </w:rPr>
        <w:t xml:space="preserve">, sau </w:t>
      </w:r>
      <w:r w:rsidRPr="00683E21">
        <w:rPr>
          <w:rFonts w:asciiTheme="majorHAnsi" w:hAnsiTheme="majorHAnsi" w:cstheme="majorHAnsi"/>
          <w:sz w:val="24"/>
          <w:szCs w:val="24"/>
          <w:shd w:val="clear" w:color="auto" w:fill="FFFFFF"/>
          <w:lang w:val="ro-MD"/>
        </w:rPr>
        <w:t xml:space="preserve">1,8%. </w:t>
      </w:r>
    </w:p>
    <w:p w14:paraId="052F2414" w14:textId="57C2C693" w:rsidR="00666ADF" w:rsidRDefault="000649D4" w:rsidP="00666ADF">
      <w:pPr>
        <w:numPr>
          <w:ilvl w:val="0"/>
          <w:numId w:val="44"/>
        </w:numPr>
        <w:tabs>
          <w:tab w:val="left" w:pos="284"/>
          <w:tab w:val="left" w:pos="567"/>
        </w:tabs>
        <w:spacing w:after="0" w:line="276" w:lineRule="auto"/>
        <w:ind w:left="0" w:firstLine="360"/>
        <w:contextualSpacing/>
        <w:jc w:val="both"/>
        <w:rPr>
          <w:rFonts w:asciiTheme="majorHAnsi" w:hAnsiTheme="majorHAnsi" w:cstheme="majorHAnsi"/>
          <w:sz w:val="24"/>
          <w:szCs w:val="24"/>
          <w:lang w:val="ro-RO"/>
        </w:rPr>
      </w:pPr>
      <w:r w:rsidRPr="00551A82">
        <w:rPr>
          <w:rFonts w:asciiTheme="majorHAnsi" w:hAnsiTheme="majorHAnsi" w:cstheme="majorHAnsi"/>
          <w:sz w:val="24"/>
          <w:szCs w:val="24"/>
          <w:lang w:val="ro-RO"/>
        </w:rPr>
        <w:t>Proiectul</w:t>
      </w:r>
      <w:r w:rsidRPr="00385EBB">
        <w:rPr>
          <w:rFonts w:asciiTheme="majorHAnsi" w:hAnsiTheme="majorHAnsi" w:cstheme="majorHAnsi"/>
          <w:i/>
          <w:sz w:val="24"/>
          <w:szCs w:val="24"/>
          <w:lang w:val="ro-RO"/>
        </w:rPr>
        <w:t xml:space="preserve"> „Îmbunătățirea drumurilor locale”</w:t>
      </w:r>
      <w:r w:rsidR="000A72DE">
        <w:rPr>
          <w:rFonts w:asciiTheme="majorHAnsi" w:hAnsiTheme="majorHAnsi" w:cstheme="majorHAnsi"/>
          <w:i/>
          <w:sz w:val="24"/>
          <w:szCs w:val="24"/>
          <w:lang w:val="ro-RO"/>
        </w:rPr>
        <w:t>,</w:t>
      </w:r>
      <w:r w:rsidRPr="00385EBB">
        <w:rPr>
          <w:rFonts w:asciiTheme="majorHAnsi" w:hAnsiTheme="majorHAnsi" w:cstheme="majorHAnsi"/>
          <w:i/>
          <w:sz w:val="24"/>
          <w:szCs w:val="24"/>
          <w:lang w:val="ro-RO"/>
        </w:rPr>
        <w:t xml:space="preserve"> </w:t>
      </w:r>
      <w:r w:rsidRPr="00551A82">
        <w:rPr>
          <w:rFonts w:asciiTheme="majorHAnsi" w:hAnsiTheme="majorHAnsi" w:cstheme="majorHAnsi"/>
          <w:sz w:val="24"/>
          <w:szCs w:val="24"/>
          <w:lang w:val="ro-RO"/>
        </w:rPr>
        <w:t>contractat</w:t>
      </w:r>
      <w:r>
        <w:rPr>
          <w:rFonts w:asciiTheme="majorHAnsi" w:hAnsiTheme="majorHAnsi" w:cstheme="majorHAnsi"/>
          <w:sz w:val="24"/>
          <w:szCs w:val="24"/>
          <w:lang w:val="ro-RO"/>
        </w:rPr>
        <w:t xml:space="preserve"> de la </w:t>
      </w:r>
      <w:r w:rsidR="00DB3C1B">
        <w:rPr>
          <w:rFonts w:asciiTheme="majorHAnsi" w:hAnsiTheme="majorHAnsi" w:cstheme="majorHAnsi"/>
          <w:sz w:val="24"/>
          <w:szCs w:val="24"/>
          <w:lang w:val="ro-RO"/>
        </w:rPr>
        <w:t>A</w:t>
      </w:r>
      <w:r>
        <w:rPr>
          <w:rFonts w:asciiTheme="majorHAnsi" w:hAnsiTheme="majorHAnsi" w:cstheme="majorHAnsi"/>
          <w:sz w:val="24"/>
          <w:szCs w:val="24"/>
          <w:lang w:val="ro-RO"/>
        </w:rPr>
        <w:t>ID în</w:t>
      </w:r>
      <w:r w:rsidRPr="00551A82">
        <w:rPr>
          <w:rFonts w:asciiTheme="majorHAnsi" w:hAnsiTheme="majorHAnsi" w:cstheme="majorHAnsi"/>
          <w:sz w:val="24"/>
          <w:szCs w:val="24"/>
          <w:lang w:val="ro-RO"/>
        </w:rPr>
        <w:t xml:space="preserve"> anu</w:t>
      </w:r>
      <w:r>
        <w:rPr>
          <w:rFonts w:asciiTheme="majorHAnsi" w:hAnsiTheme="majorHAnsi" w:cstheme="majorHAnsi"/>
          <w:sz w:val="24"/>
          <w:szCs w:val="24"/>
          <w:lang w:val="ro-RO"/>
        </w:rPr>
        <w:t>l 2016</w:t>
      </w:r>
      <w:r w:rsidR="000A72DE">
        <w:rPr>
          <w:rFonts w:asciiTheme="majorHAnsi" w:hAnsiTheme="majorHAnsi" w:cstheme="majorHAnsi"/>
          <w:sz w:val="24"/>
          <w:szCs w:val="24"/>
          <w:lang w:val="ro-RO"/>
        </w:rPr>
        <w:t>,</w:t>
      </w:r>
      <w:r w:rsidR="00666ADF">
        <w:rPr>
          <w:rFonts w:asciiTheme="majorHAnsi" w:hAnsiTheme="majorHAnsi" w:cstheme="majorHAnsi"/>
          <w:sz w:val="24"/>
          <w:szCs w:val="24"/>
          <w:lang w:val="ro-RO"/>
        </w:rPr>
        <w:t xml:space="preserve"> cu data</w:t>
      </w:r>
      <w:r w:rsidR="000A72DE">
        <w:rPr>
          <w:rFonts w:asciiTheme="majorHAnsi" w:hAnsiTheme="majorHAnsi" w:cstheme="majorHAnsi"/>
          <w:sz w:val="24"/>
          <w:szCs w:val="24"/>
          <w:lang w:val="ro-RO"/>
        </w:rPr>
        <w:t>-</w:t>
      </w:r>
      <w:r w:rsidR="00666ADF">
        <w:rPr>
          <w:rFonts w:asciiTheme="majorHAnsi" w:hAnsiTheme="majorHAnsi" w:cstheme="majorHAnsi"/>
          <w:sz w:val="24"/>
          <w:szCs w:val="24"/>
          <w:lang w:val="ro-RO"/>
        </w:rPr>
        <w:t>limită de tragere 31.03.</w:t>
      </w:r>
      <w:r w:rsidR="000C4520">
        <w:rPr>
          <w:rFonts w:asciiTheme="majorHAnsi" w:hAnsiTheme="majorHAnsi" w:cstheme="majorHAnsi"/>
          <w:sz w:val="24"/>
          <w:szCs w:val="24"/>
          <w:lang w:val="ro-RO"/>
        </w:rPr>
        <w:t>20</w:t>
      </w:r>
      <w:r w:rsidR="00666ADF">
        <w:rPr>
          <w:rFonts w:asciiTheme="majorHAnsi" w:hAnsiTheme="majorHAnsi" w:cstheme="majorHAnsi"/>
          <w:sz w:val="24"/>
          <w:szCs w:val="24"/>
          <w:lang w:val="ro-RO"/>
        </w:rPr>
        <w:t>21,</w:t>
      </w:r>
      <w:r>
        <w:rPr>
          <w:rFonts w:asciiTheme="majorHAnsi" w:hAnsiTheme="majorHAnsi" w:cstheme="majorHAnsi"/>
          <w:sz w:val="24"/>
          <w:szCs w:val="24"/>
          <w:lang w:val="ro-RO"/>
        </w:rPr>
        <w:t xml:space="preserve"> în sumă </w:t>
      </w:r>
      <w:r w:rsidR="000A72DE">
        <w:rPr>
          <w:rFonts w:asciiTheme="majorHAnsi" w:hAnsiTheme="majorHAnsi" w:cstheme="majorHAnsi"/>
          <w:sz w:val="24"/>
          <w:szCs w:val="24"/>
          <w:lang w:val="ro-RO"/>
        </w:rPr>
        <w:t xml:space="preserve">de </w:t>
      </w:r>
      <w:r>
        <w:rPr>
          <w:rFonts w:asciiTheme="majorHAnsi" w:hAnsiTheme="majorHAnsi" w:cstheme="majorHAnsi"/>
          <w:sz w:val="24"/>
          <w:szCs w:val="24"/>
          <w:lang w:val="ro-RO"/>
        </w:rPr>
        <w:t xml:space="preserve">57,0 </w:t>
      </w:r>
      <w:proofErr w:type="spellStart"/>
      <w:r>
        <w:rPr>
          <w:rFonts w:asciiTheme="majorHAnsi" w:hAnsiTheme="majorHAnsi" w:cstheme="majorHAnsi"/>
          <w:sz w:val="24"/>
          <w:szCs w:val="24"/>
          <w:lang w:val="ro-RO"/>
        </w:rPr>
        <w:t>mil.</w:t>
      </w:r>
      <w:r w:rsidRPr="00551A82">
        <w:rPr>
          <w:rFonts w:asciiTheme="majorHAnsi" w:hAnsiTheme="majorHAnsi" w:cstheme="majorHAnsi"/>
          <w:sz w:val="24"/>
          <w:szCs w:val="24"/>
          <w:lang w:val="ro-RO"/>
        </w:rPr>
        <w:t>DST</w:t>
      </w:r>
      <w:proofErr w:type="spellEnd"/>
      <w:r w:rsidR="000A72DE">
        <w:rPr>
          <w:rFonts w:asciiTheme="majorHAnsi" w:hAnsiTheme="majorHAnsi" w:cstheme="majorHAnsi"/>
          <w:sz w:val="24"/>
          <w:szCs w:val="24"/>
          <w:lang w:val="ro-RO"/>
        </w:rPr>
        <w:t>,</w:t>
      </w:r>
      <w:r w:rsidRPr="00551A82">
        <w:rPr>
          <w:rFonts w:asciiTheme="majorHAnsi" w:hAnsiTheme="majorHAnsi" w:cstheme="majorHAnsi"/>
          <w:sz w:val="24"/>
          <w:szCs w:val="24"/>
          <w:lang w:val="ro-RO"/>
        </w:rPr>
        <w:t xml:space="preserve"> au fost deburs</w:t>
      </w:r>
      <w:r>
        <w:rPr>
          <w:rFonts w:asciiTheme="majorHAnsi" w:hAnsiTheme="majorHAnsi" w:cstheme="majorHAnsi"/>
          <w:sz w:val="24"/>
          <w:szCs w:val="24"/>
          <w:lang w:val="ro-RO"/>
        </w:rPr>
        <w:t xml:space="preserve">ate </w:t>
      </w:r>
      <w:r w:rsidR="000466D8">
        <w:rPr>
          <w:rFonts w:asciiTheme="majorHAnsi" w:hAnsiTheme="majorHAnsi" w:cstheme="majorHAnsi"/>
          <w:sz w:val="24"/>
          <w:szCs w:val="24"/>
          <w:lang w:val="ro-RO"/>
        </w:rPr>
        <w:t xml:space="preserve">doar </w:t>
      </w:r>
      <w:r>
        <w:rPr>
          <w:rFonts w:asciiTheme="majorHAnsi" w:hAnsiTheme="majorHAnsi" w:cstheme="majorHAnsi"/>
          <w:sz w:val="24"/>
          <w:szCs w:val="24"/>
          <w:lang w:val="ro-RO"/>
        </w:rPr>
        <w:t xml:space="preserve">3,9 </w:t>
      </w:r>
      <w:proofErr w:type="spellStart"/>
      <w:r>
        <w:rPr>
          <w:rFonts w:asciiTheme="majorHAnsi" w:hAnsiTheme="majorHAnsi" w:cstheme="majorHAnsi"/>
          <w:sz w:val="24"/>
          <w:szCs w:val="24"/>
          <w:lang w:val="ro-RO"/>
        </w:rPr>
        <w:t>mil.</w:t>
      </w:r>
      <w:r w:rsidR="000466D8">
        <w:rPr>
          <w:rFonts w:asciiTheme="majorHAnsi" w:hAnsiTheme="majorHAnsi" w:cstheme="majorHAnsi"/>
          <w:sz w:val="24"/>
          <w:szCs w:val="24"/>
          <w:lang w:val="ro-RO"/>
        </w:rPr>
        <w:t>DST</w:t>
      </w:r>
      <w:proofErr w:type="spellEnd"/>
      <w:r w:rsidR="000A72DE">
        <w:rPr>
          <w:rFonts w:asciiTheme="majorHAnsi" w:hAnsiTheme="majorHAnsi" w:cstheme="majorHAnsi"/>
          <w:sz w:val="24"/>
          <w:szCs w:val="24"/>
          <w:lang w:val="ro-RO"/>
        </w:rPr>
        <w:t>,</w:t>
      </w:r>
      <w:r w:rsidR="000466D8">
        <w:rPr>
          <w:rFonts w:asciiTheme="majorHAnsi" w:hAnsiTheme="majorHAnsi" w:cstheme="majorHAnsi"/>
          <w:sz w:val="24"/>
          <w:szCs w:val="24"/>
          <w:lang w:val="ro-RO"/>
        </w:rPr>
        <w:t xml:space="preserve"> sau 6,8%</w:t>
      </w:r>
      <w:r>
        <w:rPr>
          <w:rFonts w:asciiTheme="majorHAnsi" w:hAnsiTheme="majorHAnsi" w:cstheme="majorHAnsi"/>
          <w:sz w:val="24"/>
          <w:szCs w:val="24"/>
          <w:lang w:val="ro-RO"/>
        </w:rPr>
        <w:t>.</w:t>
      </w:r>
    </w:p>
    <w:p w14:paraId="7C87BB93" w14:textId="5DAD2E01" w:rsidR="000466D8" w:rsidRPr="000466D8" w:rsidRDefault="000466D8" w:rsidP="000466D8">
      <w:pPr>
        <w:numPr>
          <w:ilvl w:val="0"/>
          <w:numId w:val="44"/>
        </w:numPr>
        <w:tabs>
          <w:tab w:val="left" w:pos="284"/>
          <w:tab w:val="left" w:pos="567"/>
        </w:tabs>
        <w:spacing w:after="0" w:line="276" w:lineRule="auto"/>
        <w:ind w:left="0" w:firstLine="360"/>
        <w:contextualSpacing/>
        <w:jc w:val="both"/>
        <w:rPr>
          <w:rFonts w:asciiTheme="majorHAnsi" w:hAnsiTheme="majorHAnsi" w:cstheme="majorHAnsi"/>
          <w:sz w:val="24"/>
          <w:szCs w:val="24"/>
          <w:lang w:val="ro-RO"/>
        </w:rPr>
      </w:pPr>
      <w:r w:rsidRPr="00683E21">
        <w:rPr>
          <w:rFonts w:asciiTheme="majorHAnsi" w:hAnsiTheme="majorHAnsi" w:cstheme="majorHAnsi"/>
          <w:sz w:val="24"/>
          <w:szCs w:val="24"/>
          <w:shd w:val="clear" w:color="auto" w:fill="FFFFFF"/>
          <w:lang w:val="ro-MD"/>
        </w:rPr>
        <w:t xml:space="preserve">Proiectul </w:t>
      </w:r>
      <w:r w:rsidR="000A72DE">
        <w:rPr>
          <w:rFonts w:asciiTheme="majorHAnsi" w:hAnsiTheme="majorHAnsi" w:cstheme="majorHAnsi"/>
          <w:i/>
          <w:sz w:val="24"/>
          <w:szCs w:val="24"/>
          <w:shd w:val="clear" w:color="auto" w:fill="FFFFFF"/>
          <w:lang w:val="ro-MD"/>
        </w:rPr>
        <w:t>„</w:t>
      </w:r>
      <w:r w:rsidRPr="00683E21">
        <w:rPr>
          <w:rFonts w:asciiTheme="majorHAnsi" w:hAnsiTheme="majorHAnsi" w:cstheme="majorHAnsi"/>
          <w:i/>
          <w:sz w:val="24"/>
          <w:szCs w:val="24"/>
          <w:shd w:val="clear" w:color="auto" w:fill="FFFFFF"/>
          <w:lang w:val="ro-MD"/>
        </w:rPr>
        <w:t xml:space="preserve">Agricultura competitivă” </w:t>
      </w:r>
      <w:r w:rsidRPr="00683E21">
        <w:rPr>
          <w:rFonts w:asciiTheme="majorHAnsi" w:hAnsiTheme="majorHAnsi" w:cstheme="majorHAnsi"/>
          <w:sz w:val="24"/>
          <w:szCs w:val="24"/>
          <w:shd w:val="clear" w:color="auto" w:fill="FFFFFF"/>
          <w:lang w:val="ro-MD"/>
        </w:rPr>
        <w:t>(finanțare adițională II)</w:t>
      </w:r>
      <w:r w:rsidR="000A72DE">
        <w:rPr>
          <w:rFonts w:asciiTheme="majorHAnsi" w:hAnsiTheme="majorHAnsi" w:cstheme="majorHAnsi"/>
          <w:sz w:val="24"/>
          <w:szCs w:val="24"/>
          <w:shd w:val="clear" w:color="auto" w:fill="FFFFFF"/>
          <w:lang w:val="ro-MD"/>
        </w:rPr>
        <w:t>,</w:t>
      </w:r>
      <w:r w:rsidRPr="00683E21">
        <w:rPr>
          <w:rFonts w:asciiTheme="majorHAnsi" w:hAnsiTheme="majorHAnsi" w:cstheme="majorHAnsi"/>
          <w:i/>
          <w:sz w:val="24"/>
          <w:szCs w:val="24"/>
          <w:shd w:val="clear" w:color="auto" w:fill="FFFFFF"/>
          <w:lang w:val="ro-MD"/>
        </w:rPr>
        <w:t xml:space="preserve"> </w:t>
      </w:r>
      <w:r w:rsidRPr="00683E21">
        <w:rPr>
          <w:rFonts w:asciiTheme="majorHAnsi" w:hAnsiTheme="majorHAnsi" w:cstheme="majorHAnsi"/>
          <w:sz w:val="24"/>
          <w:szCs w:val="24"/>
          <w:shd w:val="clear" w:color="auto" w:fill="FFFFFF"/>
          <w:lang w:val="ro-MD"/>
        </w:rPr>
        <w:t xml:space="preserve">contractat de la </w:t>
      </w:r>
      <w:r w:rsidR="00DB3C1B">
        <w:rPr>
          <w:rFonts w:asciiTheme="majorHAnsi" w:hAnsiTheme="majorHAnsi" w:cstheme="majorHAnsi"/>
          <w:sz w:val="24"/>
          <w:szCs w:val="24"/>
          <w:lang w:val="ro-RO"/>
        </w:rPr>
        <w:t>AID</w:t>
      </w:r>
      <w:r w:rsidRPr="00683E21">
        <w:rPr>
          <w:rFonts w:asciiTheme="majorHAnsi" w:hAnsiTheme="majorHAnsi" w:cstheme="majorHAnsi"/>
          <w:sz w:val="24"/>
          <w:szCs w:val="24"/>
          <w:shd w:val="clear" w:color="auto" w:fill="FFFFFF"/>
          <w:lang w:val="ro-MD"/>
        </w:rPr>
        <w:t xml:space="preserve"> în anul 2016</w:t>
      </w:r>
      <w:r w:rsidR="000A72DE">
        <w:rPr>
          <w:rFonts w:asciiTheme="majorHAnsi" w:hAnsiTheme="majorHAnsi" w:cstheme="majorHAnsi"/>
          <w:sz w:val="24"/>
          <w:szCs w:val="24"/>
          <w:shd w:val="clear" w:color="auto" w:fill="FFFFFF"/>
          <w:lang w:val="ro-MD"/>
        </w:rPr>
        <w:t>,</w:t>
      </w:r>
      <w:r w:rsidRPr="00683E21">
        <w:rPr>
          <w:rFonts w:asciiTheme="majorHAnsi" w:hAnsiTheme="majorHAnsi" w:cstheme="majorHAnsi"/>
          <w:sz w:val="24"/>
          <w:szCs w:val="24"/>
          <w:shd w:val="clear" w:color="auto" w:fill="FFFFFF"/>
          <w:lang w:val="ro-MD"/>
        </w:rPr>
        <w:t xml:space="preserve"> data</w:t>
      </w:r>
      <w:r w:rsidR="000A72DE">
        <w:rPr>
          <w:rFonts w:asciiTheme="majorHAnsi" w:hAnsiTheme="majorHAnsi" w:cstheme="majorHAnsi"/>
          <w:sz w:val="24"/>
          <w:szCs w:val="24"/>
          <w:shd w:val="clear" w:color="auto" w:fill="FFFFFF"/>
          <w:lang w:val="ro-MD"/>
        </w:rPr>
        <w:t>-</w:t>
      </w:r>
      <w:r w:rsidRPr="00683E21">
        <w:rPr>
          <w:rFonts w:asciiTheme="majorHAnsi" w:hAnsiTheme="majorHAnsi" w:cstheme="majorHAnsi"/>
          <w:sz w:val="24"/>
          <w:szCs w:val="24"/>
          <w:shd w:val="clear" w:color="auto" w:fill="FFFFFF"/>
          <w:lang w:val="ro-MD"/>
        </w:rPr>
        <w:t xml:space="preserve">limită de tragere 30.06.2019, în sumă de 7,1 </w:t>
      </w:r>
      <w:proofErr w:type="spellStart"/>
      <w:r w:rsidRPr="00683E21">
        <w:rPr>
          <w:rFonts w:asciiTheme="majorHAnsi" w:hAnsiTheme="majorHAnsi" w:cstheme="majorHAnsi"/>
          <w:sz w:val="24"/>
          <w:szCs w:val="24"/>
          <w:shd w:val="clear" w:color="auto" w:fill="FFFFFF"/>
          <w:lang w:val="ro-MD"/>
        </w:rPr>
        <w:t>mil.DST</w:t>
      </w:r>
      <w:proofErr w:type="spellEnd"/>
      <w:r w:rsidR="000A72DE">
        <w:rPr>
          <w:rFonts w:asciiTheme="majorHAnsi" w:hAnsiTheme="majorHAnsi" w:cstheme="majorHAnsi"/>
          <w:sz w:val="24"/>
          <w:szCs w:val="24"/>
          <w:shd w:val="clear" w:color="auto" w:fill="FFFFFF"/>
          <w:lang w:val="ro-MD"/>
        </w:rPr>
        <w:t>,</w:t>
      </w:r>
      <w:r w:rsidRPr="00683E21">
        <w:rPr>
          <w:rFonts w:asciiTheme="majorHAnsi" w:hAnsiTheme="majorHAnsi" w:cstheme="majorHAnsi"/>
          <w:sz w:val="24"/>
          <w:szCs w:val="24"/>
          <w:shd w:val="clear" w:color="auto" w:fill="FFFFFF"/>
          <w:lang w:val="ro-MD"/>
        </w:rPr>
        <w:t xml:space="preserve"> au fost debursate 1,4 </w:t>
      </w:r>
      <w:proofErr w:type="spellStart"/>
      <w:r w:rsidRPr="00683E21">
        <w:rPr>
          <w:rFonts w:asciiTheme="majorHAnsi" w:hAnsiTheme="majorHAnsi" w:cstheme="majorHAnsi"/>
          <w:sz w:val="24"/>
          <w:szCs w:val="24"/>
          <w:shd w:val="clear" w:color="auto" w:fill="FFFFFF"/>
          <w:lang w:val="ro-MD"/>
        </w:rPr>
        <w:t>mil.DST</w:t>
      </w:r>
      <w:proofErr w:type="spellEnd"/>
      <w:r w:rsidR="000A72DE">
        <w:rPr>
          <w:rFonts w:asciiTheme="majorHAnsi" w:hAnsiTheme="majorHAnsi" w:cstheme="majorHAnsi"/>
          <w:sz w:val="24"/>
          <w:szCs w:val="24"/>
          <w:shd w:val="clear" w:color="auto" w:fill="FFFFFF"/>
          <w:lang w:val="ro-MD"/>
        </w:rPr>
        <w:t>,</w:t>
      </w:r>
      <w:r w:rsidRPr="00683E21">
        <w:rPr>
          <w:rFonts w:asciiTheme="majorHAnsi" w:hAnsiTheme="majorHAnsi" w:cstheme="majorHAnsi"/>
          <w:sz w:val="24"/>
          <w:szCs w:val="24"/>
          <w:shd w:val="clear" w:color="auto" w:fill="FFFFFF"/>
          <w:lang w:val="ro-MD"/>
        </w:rPr>
        <w:t xml:space="preserve">  sau 20,3%. </w:t>
      </w:r>
    </w:p>
    <w:p w14:paraId="7E33EBF6" w14:textId="5DC079D5" w:rsidR="00FC5918" w:rsidRDefault="000649D4" w:rsidP="00FC5918">
      <w:pPr>
        <w:numPr>
          <w:ilvl w:val="0"/>
          <w:numId w:val="44"/>
        </w:numPr>
        <w:tabs>
          <w:tab w:val="left" w:pos="284"/>
          <w:tab w:val="left" w:pos="567"/>
        </w:tabs>
        <w:spacing w:after="0" w:line="276" w:lineRule="auto"/>
        <w:ind w:left="0" w:firstLine="360"/>
        <w:contextualSpacing/>
        <w:jc w:val="both"/>
        <w:rPr>
          <w:rFonts w:asciiTheme="majorHAnsi" w:hAnsiTheme="majorHAnsi" w:cstheme="majorHAnsi"/>
          <w:sz w:val="24"/>
          <w:szCs w:val="24"/>
          <w:lang w:val="ro-RO"/>
        </w:rPr>
      </w:pPr>
      <w:r w:rsidRPr="00666ADF">
        <w:rPr>
          <w:rFonts w:asciiTheme="majorHAnsi" w:hAnsiTheme="majorHAnsi" w:cstheme="majorHAnsi"/>
          <w:sz w:val="24"/>
          <w:szCs w:val="24"/>
          <w:lang w:val="ro-RO"/>
        </w:rPr>
        <w:t xml:space="preserve">Proiectul </w:t>
      </w:r>
      <w:r w:rsidR="000A72DE">
        <w:rPr>
          <w:rFonts w:asciiTheme="majorHAnsi" w:hAnsiTheme="majorHAnsi" w:cstheme="majorHAnsi"/>
          <w:i/>
          <w:sz w:val="24"/>
          <w:szCs w:val="24"/>
          <w:lang w:val="ro-RO"/>
        </w:rPr>
        <w:t>„</w:t>
      </w:r>
      <w:r w:rsidRPr="00666ADF">
        <w:rPr>
          <w:rFonts w:asciiTheme="majorHAnsi" w:hAnsiTheme="majorHAnsi" w:cstheme="majorHAnsi"/>
          <w:i/>
          <w:sz w:val="24"/>
          <w:szCs w:val="24"/>
          <w:lang w:val="ro-RO"/>
        </w:rPr>
        <w:t>Realizarea lucrărilor de construcție și reabilitare a drumurilor”</w:t>
      </w:r>
      <w:r w:rsidRPr="00666ADF">
        <w:rPr>
          <w:rFonts w:asciiTheme="majorHAnsi" w:hAnsiTheme="majorHAnsi" w:cstheme="majorHAnsi"/>
          <w:sz w:val="24"/>
          <w:szCs w:val="24"/>
          <w:lang w:val="ro-RO"/>
        </w:rPr>
        <w:t xml:space="preserve">, contractat </w:t>
      </w:r>
      <w:r w:rsidR="00666ADF">
        <w:rPr>
          <w:rFonts w:asciiTheme="majorHAnsi" w:hAnsiTheme="majorHAnsi" w:cstheme="majorHAnsi"/>
          <w:sz w:val="24"/>
          <w:szCs w:val="24"/>
          <w:lang w:val="ro-RO"/>
        </w:rPr>
        <w:t xml:space="preserve">de la BEI </w:t>
      </w:r>
      <w:r w:rsidRPr="00666ADF">
        <w:rPr>
          <w:rFonts w:asciiTheme="majorHAnsi" w:hAnsiTheme="majorHAnsi" w:cstheme="majorHAnsi"/>
          <w:sz w:val="24"/>
          <w:szCs w:val="24"/>
          <w:lang w:val="ro-RO"/>
        </w:rPr>
        <w:t>în anul 2013</w:t>
      </w:r>
      <w:r w:rsidR="000A72DE">
        <w:rPr>
          <w:rFonts w:asciiTheme="majorHAnsi" w:hAnsiTheme="majorHAnsi" w:cstheme="majorHAnsi"/>
          <w:sz w:val="24"/>
          <w:szCs w:val="24"/>
          <w:lang w:val="ro-RO"/>
        </w:rPr>
        <w:t>,</w:t>
      </w:r>
      <w:r w:rsidR="00666ADF">
        <w:rPr>
          <w:rFonts w:asciiTheme="majorHAnsi" w:hAnsiTheme="majorHAnsi" w:cstheme="majorHAnsi"/>
          <w:sz w:val="24"/>
          <w:szCs w:val="24"/>
          <w:lang w:val="ro-RO"/>
        </w:rPr>
        <w:t xml:space="preserve"> cu data</w:t>
      </w:r>
      <w:r w:rsidR="000A72DE">
        <w:rPr>
          <w:rFonts w:asciiTheme="majorHAnsi" w:hAnsiTheme="majorHAnsi" w:cstheme="majorHAnsi"/>
          <w:sz w:val="24"/>
          <w:szCs w:val="24"/>
          <w:lang w:val="ro-RO"/>
        </w:rPr>
        <w:t>-</w:t>
      </w:r>
      <w:r w:rsidR="00666ADF">
        <w:rPr>
          <w:rFonts w:asciiTheme="majorHAnsi" w:hAnsiTheme="majorHAnsi" w:cstheme="majorHAnsi"/>
          <w:sz w:val="24"/>
          <w:szCs w:val="24"/>
          <w:lang w:val="ro-RO"/>
        </w:rPr>
        <w:t xml:space="preserve">limită de tragere </w:t>
      </w:r>
      <w:r w:rsidR="00784755" w:rsidRPr="009561CB">
        <w:rPr>
          <w:rFonts w:asciiTheme="majorHAnsi" w:hAnsiTheme="majorHAnsi" w:cstheme="majorHAnsi"/>
          <w:sz w:val="24"/>
          <w:szCs w:val="24"/>
          <w:lang w:val="ro-RO"/>
        </w:rPr>
        <w:t>2</w:t>
      </w:r>
      <w:r w:rsidR="00784755">
        <w:rPr>
          <w:rFonts w:asciiTheme="majorHAnsi" w:hAnsiTheme="majorHAnsi" w:cstheme="majorHAnsi"/>
          <w:sz w:val="24"/>
          <w:szCs w:val="24"/>
          <w:lang w:val="ro-RO"/>
        </w:rPr>
        <w:t>5</w:t>
      </w:r>
      <w:r w:rsidR="00666ADF">
        <w:rPr>
          <w:rFonts w:asciiTheme="majorHAnsi" w:hAnsiTheme="majorHAnsi" w:cstheme="majorHAnsi"/>
          <w:sz w:val="24"/>
          <w:szCs w:val="24"/>
          <w:lang w:val="ro-RO"/>
        </w:rPr>
        <w:t>.06.</w:t>
      </w:r>
      <w:r w:rsidR="000C4520">
        <w:rPr>
          <w:rFonts w:asciiTheme="majorHAnsi" w:hAnsiTheme="majorHAnsi" w:cstheme="majorHAnsi"/>
          <w:sz w:val="24"/>
          <w:szCs w:val="24"/>
          <w:lang w:val="ro-RO"/>
        </w:rPr>
        <w:t>20</w:t>
      </w:r>
      <w:r w:rsidR="00666ADF">
        <w:rPr>
          <w:rFonts w:asciiTheme="majorHAnsi" w:hAnsiTheme="majorHAnsi" w:cstheme="majorHAnsi"/>
          <w:sz w:val="24"/>
          <w:szCs w:val="24"/>
          <w:lang w:val="ro-RO"/>
        </w:rPr>
        <w:t>20</w:t>
      </w:r>
      <w:r w:rsidRPr="00666ADF">
        <w:rPr>
          <w:rFonts w:asciiTheme="majorHAnsi" w:hAnsiTheme="majorHAnsi" w:cstheme="majorHAnsi"/>
          <w:sz w:val="24"/>
          <w:szCs w:val="24"/>
          <w:lang w:val="ro-RO"/>
        </w:rPr>
        <w:t xml:space="preserve">, </w:t>
      </w:r>
      <w:r w:rsidR="007F4551">
        <w:rPr>
          <w:rFonts w:asciiTheme="majorHAnsi" w:hAnsiTheme="majorHAnsi" w:cstheme="majorHAnsi"/>
          <w:sz w:val="24"/>
          <w:szCs w:val="24"/>
          <w:lang w:val="ro-RO"/>
        </w:rPr>
        <w:t xml:space="preserve">în sumă de </w:t>
      </w:r>
      <w:r w:rsidRPr="00666ADF">
        <w:rPr>
          <w:rFonts w:asciiTheme="majorHAnsi" w:hAnsiTheme="majorHAnsi" w:cstheme="majorHAnsi"/>
          <w:sz w:val="24"/>
          <w:szCs w:val="24"/>
          <w:lang w:val="ro-RO"/>
        </w:rPr>
        <w:t xml:space="preserve">150,0 </w:t>
      </w:r>
      <w:proofErr w:type="spellStart"/>
      <w:r w:rsidRPr="00666ADF">
        <w:rPr>
          <w:rFonts w:asciiTheme="majorHAnsi" w:hAnsiTheme="majorHAnsi" w:cstheme="majorHAnsi"/>
          <w:sz w:val="24"/>
          <w:szCs w:val="24"/>
          <w:lang w:val="ro-RO"/>
        </w:rPr>
        <w:t>mil.euro</w:t>
      </w:r>
      <w:proofErr w:type="spellEnd"/>
      <w:r w:rsidR="000A72DE">
        <w:rPr>
          <w:rFonts w:asciiTheme="majorHAnsi" w:hAnsiTheme="majorHAnsi" w:cstheme="majorHAnsi"/>
          <w:sz w:val="24"/>
          <w:szCs w:val="24"/>
          <w:lang w:val="ro-RO"/>
        </w:rPr>
        <w:t>,</w:t>
      </w:r>
      <w:r w:rsidRPr="00666ADF">
        <w:rPr>
          <w:rFonts w:asciiTheme="majorHAnsi" w:hAnsiTheme="majorHAnsi" w:cstheme="majorHAnsi"/>
          <w:sz w:val="24"/>
          <w:szCs w:val="24"/>
          <w:lang w:val="ro-RO"/>
        </w:rPr>
        <w:t xml:space="preserve"> au fost debursate 54,3</w:t>
      </w:r>
      <w:r w:rsidR="000C4520">
        <w:rPr>
          <w:rFonts w:asciiTheme="majorHAnsi" w:hAnsiTheme="majorHAnsi" w:cstheme="majorHAnsi"/>
          <w:sz w:val="24"/>
          <w:szCs w:val="24"/>
          <w:lang w:val="ro-RO"/>
        </w:rPr>
        <w:t xml:space="preserve"> </w:t>
      </w:r>
      <w:proofErr w:type="spellStart"/>
      <w:r w:rsidR="000C4520">
        <w:rPr>
          <w:rFonts w:asciiTheme="majorHAnsi" w:hAnsiTheme="majorHAnsi" w:cstheme="majorHAnsi"/>
          <w:sz w:val="24"/>
          <w:szCs w:val="24"/>
          <w:lang w:val="ro-RO"/>
        </w:rPr>
        <w:t>mil.euro</w:t>
      </w:r>
      <w:proofErr w:type="spellEnd"/>
      <w:r w:rsidR="000A72DE">
        <w:rPr>
          <w:rFonts w:asciiTheme="majorHAnsi" w:hAnsiTheme="majorHAnsi" w:cstheme="majorHAnsi"/>
          <w:sz w:val="24"/>
          <w:szCs w:val="24"/>
          <w:lang w:val="ro-RO"/>
        </w:rPr>
        <w:t>,</w:t>
      </w:r>
      <w:r w:rsidR="000466D8">
        <w:rPr>
          <w:rFonts w:asciiTheme="majorHAnsi" w:hAnsiTheme="majorHAnsi" w:cstheme="majorHAnsi"/>
          <w:sz w:val="24"/>
          <w:szCs w:val="24"/>
          <w:lang w:val="ro-RO"/>
        </w:rPr>
        <w:t xml:space="preserve"> sau 36,2%</w:t>
      </w:r>
      <w:r w:rsidRPr="00666ADF">
        <w:rPr>
          <w:rFonts w:asciiTheme="majorHAnsi" w:hAnsiTheme="majorHAnsi" w:cstheme="majorHAnsi"/>
          <w:sz w:val="24"/>
          <w:szCs w:val="24"/>
          <w:lang w:val="ro-RO"/>
        </w:rPr>
        <w:t>.</w:t>
      </w:r>
    </w:p>
    <w:p w14:paraId="28F03C6C" w14:textId="1B7F83BB" w:rsidR="001E0048" w:rsidRPr="004C1654" w:rsidRDefault="00FC5918" w:rsidP="001E0048">
      <w:pPr>
        <w:numPr>
          <w:ilvl w:val="0"/>
          <w:numId w:val="44"/>
        </w:numPr>
        <w:tabs>
          <w:tab w:val="left" w:pos="284"/>
          <w:tab w:val="left" w:pos="567"/>
        </w:tabs>
        <w:spacing w:after="0" w:line="276" w:lineRule="auto"/>
        <w:ind w:left="0" w:firstLine="360"/>
        <w:contextualSpacing/>
        <w:jc w:val="both"/>
        <w:rPr>
          <w:rFonts w:asciiTheme="majorHAnsi" w:hAnsiTheme="majorHAnsi" w:cstheme="majorHAnsi"/>
          <w:sz w:val="24"/>
          <w:szCs w:val="24"/>
          <w:lang w:val="ro-RO"/>
        </w:rPr>
      </w:pPr>
      <w:r w:rsidRPr="00E02CD8">
        <w:rPr>
          <w:rFonts w:asciiTheme="majorHAnsi" w:hAnsiTheme="majorHAnsi"/>
          <w:sz w:val="24"/>
          <w:shd w:val="clear" w:color="auto" w:fill="FFFFFF"/>
          <w:lang w:val="ro-RO"/>
        </w:rPr>
        <w:t xml:space="preserve">Proiectul </w:t>
      </w:r>
      <w:r w:rsidR="007563AB">
        <w:rPr>
          <w:rFonts w:asciiTheme="majorHAnsi" w:hAnsiTheme="majorHAnsi"/>
          <w:i/>
          <w:sz w:val="24"/>
          <w:shd w:val="clear" w:color="auto" w:fill="FFFFFF"/>
          <w:lang w:val="ro-RO"/>
        </w:rPr>
        <w:t>„</w:t>
      </w:r>
      <w:r w:rsidRPr="008E6807">
        <w:rPr>
          <w:rFonts w:asciiTheme="majorHAnsi" w:hAnsiTheme="majorHAnsi"/>
          <w:i/>
          <w:sz w:val="24"/>
          <w:shd w:val="clear" w:color="auto" w:fill="FFFFFF"/>
          <w:lang w:val="ro-RO"/>
        </w:rPr>
        <w:t>Reform</w:t>
      </w:r>
      <w:r w:rsidR="00206BCB" w:rsidRPr="008E6807">
        <w:rPr>
          <w:rFonts w:asciiTheme="majorHAnsi" w:hAnsiTheme="majorHAnsi"/>
          <w:i/>
          <w:sz w:val="24"/>
          <w:shd w:val="clear" w:color="auto" w:fill="FFFFFF"/>
          <w:lang w:val="ro-RO"/>
        </w:rPr>
        <w:t>a Educației din Moldova”</w:t>
      </w:r>
      <w:r w:rsidR="000A72DE">
        <w:rPr>
          <w:rFonts w:asciiTheme="majorHAnsi" w:hAnsiTheme="majorHAnsi"/>
          <w:i/>
          <w:sz w:val="24"/>
          <w:shd w:val="clear" w:color="auto" w:fill="FFFFFF"/>
          <w:lang w:val="ro-RO"/>
        </w:rPr>
        <w:t>,</w:t>
      </w:r>
      <w:r w:rsidR="00206BCB" w:rsidRPr="008E6807">
        <w:rPr>
          <w:rFonts w:asciiTheme="majorHAnsi" w:hAnsiTheme="majorHAnsi"/>
          <w:i/>
          <w:sz w:val="24"/>
          <w:shd w:val="clear" w:color="auto" w:fill="FFFFFF"/>
          <w:lang w:val="ro-RO"/>
        </w:rPr>
        <w:t xml:space="preserve"> </w:t>
      </w:r>
      <w:r w:rsidR="000C4520" w:rsidRPr="00666ADF">
        <w:rPr>
          <w:rFonts w:asciiTheme="majorHAnsi" w:hAnsiTheme="majorHAnsi" w:cstheme="majorHAnsi"/>
          <w:sz w:val="24"/>
          <w:szCs w:val="24"/>
          <w:lang w:val="ro-RO"/>
        </w:rPr>
        <w:t xml:space="preserve">contractat </w:t>
      </w:r>
      <w:r w:rsidR="000C4520">
        <w:rPr>
          <w:rFonts w:asciiTheme="majorHAnsi" w:hAnsiTheme="majorHAnsi" w:cstheme="majorHAnsi"/>
          <w:sz w:val="24"/>
          <w:szCs w:val="24"/>
          <w:lang w:val="ro-RO"/>
        </w:rPr>
        <w:t xml:space="preserve">de la </w:t>
      </w:r>
      <w:r w:rsidR="00DB3C1B">
        <w:rPr>
          <w:rFonts w:asciiTheme="majorHAnsi" w:hAnsiTheme="majorHAnsi" w:cstheme="majorHAnsi"/>
          <w:sz w:val="24"/>
          <w:szCs w:val="24"/>
          <w:lang w:val="ro-RO"/>
        </w:rPr>
        <w:t>AID</w:t>
      </w:r>
      <w:bookmarkStart w:id="44" w:name="_GoBack"/>
      <w:bookmarkEnd w:id="44"/>
      <w:r w:rsidR="000C4520">
        <w:rPr>
          <w:rFonts w:asciiTheme="majorHAnsi" w:hAnsiTheme="majorHAnsi" w:cstheme="majorHAnsi"/>
          <w:sz w:val="24"/>
          <w:szCs w:val="24"/>
          <w:lang w:val="ro-RO"/>
        </w:rPr>
        <w:t xml:space="preserve"> </w:t>
      </w:r>
      <w:r w:rsidR="000C4520" w:rsidRPr="00666ADF">
        <w:rPr>
          <w:rFonts w:asciiTheme="majorHAnsi" w:hAnsiTheme="majorHAnsi" w:cstheme="majorHAnsi"/>
          <w:sz w:val="24"/>
          <w:szCs w:val="24"/>
          <w:lang w:val="ro-RO"/>
        </w:rPr>
        <w:t>în anul 2013</w:t>
      </w:r>
      <w:r w:rsidR="000A72DE">
        <w:rPr>
          <w:rFonts w:asciiTheme="majorHAnsi" w:hAnsiTheme="majorHAnsi" w:cstheme="majorHAnsi"/>
          <w:sz w:val="24"/>
          <w:szCs w:val="24"/>
          <w:lang w:val="ro-RO"/>
        </w:rPr>
        <w:t>,</w:t>
      </w:r>
      <w:r w:rsidR="000C4520">
        <w:rPr>
          <w:rFonts w:asciiTheme="majorHAnsi" w:hAnsiTheme="majorHAnsi" w:cstheme="majorHAnsi"/>
          <w:sz w:val="24"/>
          <w:szCs w:val="24"/>
          <w:lang w:val="ro-RO"/>
        </w:rPr>
        <w:t xml:space="preserve"> cu data</w:t>
      </w:r>
      <w:r w:rsidR="000A72DE">
        <w:rPr>
          <w:rFonts w:asciiTheme="majorHAnsi" w:hAnsiTheme="majorHAnsi" w:cstheme="majorHAnsi"/>
          <w:sz w:val="24"/>
          <w:szCs w:val="24"/>
          <w:lang w:val="ro-RO"/>
        </w:rPr>
        <w:t>-</w:t>
      </w:r>
      <w:r w:rsidR="000C4520">
        <w:rPr>
          <w:rFonts w:asciiTheme="majorHAnsi" w:hAnsiTheme="majorHAnsi" w:cstheme="majorHAnsi"/>
          <w:sz w:val="24"/>
          <w:szCs w:val="24"/>
          <w:lang w:val="ro-RO"/>
        </w:rPr>
        <w:t>limită de tragere 28.06.2019</w:t>
      </w:r>
      <w:r w:rsidR="000C4520" w:rsidRPr="00666ADF">
        <w:rPr>
          <w:rFonts w:asciiTheme="majorHAnsi" w:hAnsiTheme="majorHAnsi" w:cstheme="majorHAnsi"/>
          <w:sz w:val="24"/>
          <w:szCs w:val="24"/>
          <w:lang w:val="ro-RO"/>
        </w:rPr>
        <w:t>,</w:t>
      </w:r>
      <w:r w:rsidR="000A72DE">
        <w:rPr>
          <w:rFonts w:asciiTheme="majorHAnsi" w:hAnsiTheme="majorHAnsi" w:cstheme="majorHAnsi"/>
          <w:sz w:val="24"/>
          <w:szCs w:val="24"/>
          <w:lang w:val="ro-RO"/>
        </w:rPr>
        <w:t xml:space="preserve"> </w:t>
      </w:r>
      <w:r w:rsidR="00206BCB" w:rsidRPr="008E6807">
        <w:rPr>
          <w:rFonts w:asciiTheme="majorHAnsi" w:hAnsiTheme="majorHAnsi"/>
          <w:sz w:val="24"/>
          <w:shd w:val="clear" w:color="auto" w:fill="FFFFFF"/>
          <w:lang w:val="ro-RO"/>
        </w:rPr>
        <w:t xml:space="preserve">din 26,1 </w:t>
      </w:r>
      <w:proofErr w:type="spellStart"/>
      <w:r w:rsidR="00206BCB" w:rsidRPr="008E6807">
        <w:rPr>
          <w:rFonts w:asciiTheme="majorHAnsi" w:hAnsiTheme="majorHAnsi"/>
          <w:sz w:val="24"/>
          <w:shd w:val="clear" w:color="auto" w:fill="FFFFFF"/>
          <w:lang w:val="ro-RO"/>
        </w:rPr>
        <w:t>mil.</w:t>
      </w:r>
      <w:r w:rsidR="000C4520" w:rsidRPr="008E6807">
        <w:rPr>
          <w:rFonts w:asciiTheme="majorHAnsi" w:hAnsiTheme="majorHAnsi"/>
          <w:sz w:val="24"/>
          <w:shd w:val="clear" w:color="auto" w:fill="FFFFFF"/>
          <w:lang w:val="ro-RO"/>
        </w:rPr>
        <w:t>DST</w:t>
      </w:r>
      <w:proofErr w:type="spellEnd"/>
      <w:r w:rsidR="00206BCB" w:rsidRPr="008E6807">
        <w:rPr>
          <w:rFonts w:asciiTheme="majorHAnsi" w:hAnsiTheme="majorHAnsi"/>
          <w:sz w:val="24"/>
          <w:shd w:val="clear" w:color="auto" w:fill="FFFFFF"/>
          <w:lang w:val="ro-RO"/>
        </w:rPr>
        <w:t xml:space="preserve"> au fost debursate 17,6 </w:t>
      </w:r>
      <w:proofErr w:type="spellStart"/>
      <w:r w:rsidR="00206BCB" w:rsidRPr="008E6807">
        <w:rPr>
          <w:rFonts w:asciiTheme="majorHAnsi" w:hAnsiTheme="majorHAnsi"/>
          <w:sz w:val="24"/>
          <w:shd w:val="clear" w:color="auto" w:fill="FFFFFF"/>
          <w:lang w:val="ro-RO"/>
        </w:rPr>
        <w:t>mil.</w:t>
      </w:r>
      <w:r w:rsidR="000C4520" w:rsidRPr="008E6807">
        <w:rPr>
          <w:rFonts w:asciiTheme="majorHAnsi" w:hAnsiTheme="majorHAnsi"/>
          <w:sz w:val="24"/>
          <w:shd w:val="clear" w:color="auto" w:fill="FFFFFF"/>
          <w:lang w:val="ro-RO"/>
        </w:rPr>
        <w:t>DST</w:t>
      </w:r>
      <w:proofErr w:type="spellEnd"/>
      <w:r w:rsidR="000A72DE">
        <w:rPr>
          <w:rFonts w:asciiTheme="majorHAnsi" w:hAnsiTheme="majorHAnsi"/>
          <w:sz w:val="24"/>
          <w:shd w:val="clear" w:color="auto" w:fill="FFFFFF"/>
          <w:lang w:val="ro-RO"/>
        </w:rPr>
        <w:t>,</w:t>
      </w:r>
      <w:r w:rsidR="000C4520" w:rsidRPr="008E6807">
        <w:rPr>
          <w:rFonts w:asciiTheme="majorHAnsi" w:hAnsiTheme="majorHAnsi"/>
          <w:sz w:val="24"/>
          <w:shd w:val="clear" w:color="auto" w:fill="FFFFFF"/>
          <w:lang w:val="ro-RO"/>
        </w:rPr>
        <w:t xml:space="preserve"> </w:t>
      </w:r>
      <w:r w:rsidR="000466D8" w:rsidRPr="008E6807">
        <w:rPr>
          <w:rFonts w:asciiTheme="majorHAnsi" w:hAnsiTheme="majorHAnsi"/>
          <w:sz w:val="24"/>
          <w:shd w:val="clear" w:color="auto" w:fill="FFFFFF"/>
          <w:lang w:val="ro-RO"/>
        </w:rPr>
        <w:t xml:space="preserve">sau </w:t>
      </w:r>
      <w:r w:rsidR="00206BCB" w:rsidRPr="008E6807">
        <w:rPr>
          <w:rFonts w:asciiTheme="majorHAnsi" w:hAnsiTheme="majorHAnsi"/>
          <w:sz w:val="24"/>
          <w:shd w:val="clear" w:color="auto" w:fill="FFFFFF"/>
          <w:lang w:val="ro-RO"/>
        </w:rPr>
        <w:t>67,6%</w:t>
      </w:r>
      <w:r w:rsidR="000C4520" w:rsidRPr="008E6807">
        <w:rPr>
          <w:rFonts w:asciiTheme="majorHAnsi" w:hAnsiTheme="majorHAnsi"/>
          <w:sz w:val="24"/>
          <w:shd w:val="clear" w:color="auto" w:fill="FFFFFF"/>
          <w:lang w:val="ro-RO"/>
        </w:rPr>
        <w:t xml:space="preserve">. Ulterior, în anul 2018 a </w:t>
      </w:r>
      <w:r w:rsidR="001E0048" w:rsidRPr="008E6807">
        <w:rPr>
          <w:rFonts w:asciiTheme="majorHAnsi" w:hAnsiTheme="majorHAnsi"/>
          <w:sz w:val="24"/>
          <w:shd w:val="clear" w:color="auto" w:fill="FFFFFF"/>
          <w:lang w:val="ro-RO"/>
        </w:rPr>
        <w:t xml:space="preserve">fost contractat suplimentar un împrumut de la același creditor </w:t>
      </w:r>
      <w:r w:rsidR="001E0048">
        <w:rPr>
          <w:rFonts w:asciiTheme="majorHAnsi" w:hAnsiTheme="majorHAnsi" w:cstheme="majorHAnsi"/>
          <w:sz w:val="24"/>
          <w:szCs w:val="24"/>
          <w:lang w:val="ro-RO"/>
        </w:rPr>
        <w:t xml:space="preserve">în sumă de </w:t>
      </w:r>
      <w:r w:rsidR="001E0048" w:rsidRPr="008E6807">
        <w:rPr>
          <w:rFonts w:asciiTheme="majorHAnsi" w:hAnsiTheme="majorHAnsi"/>
          <w:sz w:val="24"/>
          <w:shd w:val="clear" w:color="auto" w:fill="FFFFFF"/>
          <w:lang w:val="ro-RO"/>
        </w:rPr>
        <w:t xml:space="preserve">7,1 </w:t>
      </w:r>
      <w:proofErr w:type="spellStart"/>
      <w:r w:rsidR="001E0048" w:rsidRPr="008E6807">
        <w:rPr>
          <w:rFonts w:asciiTheme="majorHAnsi" w:hAnsiTheme="majorHAnsi"/>
          <w:sz w:val="24"/>
          <w:shd w:val="clear" w:color="auto" w:fill="FFFFFF"/>
          <w:lang w:val="ro-RO"/>
        </w:rPr>
        <w:t>mil.DST</w:t>
      </w:r>
      <w:proofErr w:type="spellEnd"/>
      <w:r w:rsidR="001E0048" w:rsidRPr="008E6807">
        <w:rPr>
          <w:rFonts w:asciiTheme="majorHAnsi" w:hAnsiTheme="majorHAnsi"/>
          <w:sz w:val="24"/>
          <w:shd w:val="clear" w:color="auto" w:fill="FFFFFF"/>
          <w:lang w:val="ro-RO"/>
        </w:rPr>
        <w:t xml:space="preserve">, din acestea fiind debursate 0,1 </w:t>
      </w:r>
      <w:proofErr w:type="spellStart"/>
      <w:r w:rsidR="001E0048" w:rsidRPr="008E6807">
        <w:rPr>
          <w:rFonts w:asciiTheme="majorHAnsi" w:hAnsiTheme="majorHAnsi"/>
          <w:sz w:val="24"/>
          <w:shd w:val="clear" w:color="auto" w:fill="FFFFFF"/>
          <w:lang w:val="ro-RO"/>
        </w:rPr>
        <w:t>mil.DST</w:t>
      </w:r>
      <w:proofErr w:type="spellEnd"/>
      <w:r w:rsidR="00A64A7B">
        <w:rPr>
          <w:rFonts w:asciiTheme="majorHAnsi" w:hAnsiTheme="majorHAnsi"/>
          <w:sz w:val="24"/>
          <w:shd w:val="clear" w:color="auto" w:fill="FFFFFF"/>
          <w:lang w:val="ro-RO"/>
        </w:rPr>
        <w:t>,</w:t>
      </w:r>
      <w:r w:rsidR="001E0048" w:rsidRPr="008E6807">
        <w:rPr>
          <w:rFonts w:asciiTheme="majorHAnsi" w:hAnsiTheme="majorHAnsi"/>
          <w:sz w:val="24"/>
          <w:shd w:val="clear" w:color="auto" w:fill="FFFFFF"/>
          <w:lang w:val="ro-RO"/>
        </w:rPr>
        <w:t xml:space="preserve"> sau 1,5%.</w:t>
      </w:r>
    </w:p>
    <w:p w14:paraId="234ABF0C" w14:textId="1C483D86" w:rsidR="00206BCB" w:rsidRPr="004C1654" w:rsidRDefault="004C1654" w:rsidP="004C1654">
      <w:pPr>
        <w:numPr>
          <w:ilvl w:val="0"/>
          <w:numId w:val="44"/>
        </w:numPr>
        <w:tabs>
          <w:tab w:val="left" w:pos="284"/>
          <w:tab w:val="left" w:pos="567"/>
        </w:tabs>
        <w:spacing w:after="0" w:line="276" w:lineRule="auto"/>
        <w:ind w:left="0" w:firstLine="360"/>
        <w:contextualSpacing/>
        <w:jc w:val="both"/>
        <w:rPr>
          <w:rFonts w:asciiTheme="majorHAnsi" w:hAnsiTheme="majorHAnsi" w:cstheme="majorHAnsi"/>
          <w:sz w:val="24"/>
          <w:szCs w:val="24"/>
          <w:lang w:val="ro-RO"/>
        </w:rPr>
      </w:pPr>
      <w:r w:rsidRPr="00E02CD8">
        <w:rPr>
          <w:rFonts w:asciiTheme="majorHAnsi" w:hAnsiTheme="majorHAnsi"/>
          <w:sz w:val="24"/>
          <w:shd w:val="clear" w:color="auto" w:fill="FFFFFF"/>
          <w:lang w:val="ro-RO"/>
        </w:rPr>
        <w:t>Proiectul</w:t>
      </w:r>
      <w:r w:rsidRPr="008E6807">
        <w:rPr>
          <w:rFonts w:asciiTheme="majorHAnsi" w:hAnsiTheme="majorHAnsi"/>
          <w:i/>
          <w:sz w:val="24"/>
          <w:shd w:val="clear" w:color="auto" w:fill="FFFFFF"/>
          <w:lang w:val="ro-RO"/>
        </w:rPr>
        <w:t xml:space="preserve"> „Infrastructura feroviară și parcul rulant al RM”</w:t>
      </w:r>
      <w:r w:rsidR="00A64A7B">
        <w:rPr>
          <w:rFonts w:asciiTheme="majorHAnsi" w:hAnsiTheme="majorHAnsi"/>
          <w:i/>
          <w:sz w:val="24"/>
          <w:shd w:val="clear" w:color="auto" w:fill="FFFFFF"/>
          <w:lang w:val="ro-RO"/>
        </w:rPr>
        <w:t>,</w:t>
      </w:r>
      <w:r w:rsidRPr="008E6807">
        <w:rPr>
          <w:rFonts w:asciiTheme="majorHAnsi" w:hAnsiTheme="majorHAnsi"/>
          <w:sz w:val="24"/>
          <w:shd w:val="clear" w:color="auto" w:fill="FFFFFF"/>
          <w:lang w:val="ro-RO"/>
        </w:rPr>
        <w:t xml:space="preserve"> contractat de la BEI în anul 2016</w:t>
      </w:r>
      <w:r w:rsidR="00A64A7B">
        <w:rPr>
          <w:rFonts w:asciiTheme="majorHAnsi" w:hAnsiTheme="majorHAnsi"/>
          <w:sz w:val="24"/>
          <w:shd w:val="clear" w:color="auto" w:fill="FFFFFF"/>
          <w:lang w:val="ro-RO"/>
        </w:rPr>
        <w:t>,</w:t>
      </w:r>
      <w:r w:rsidRPr="008E6807">
        <w:rPr>
          <w:rFonts w:asciiTheme="majorHAnsi" w:hAnsiTheme="majorHAnsi"/>
          <w:sz w:val="24"/>
          <w:shd w:val="clear" w:color="auto" w:fill="FFFFFF"/>
          <w:lang w:val="ro-RO"/>
        </w:rPr>
        <w:t xml:space="preserve"> cu data</w:t>
      </w:r>
      <w:r w:rsidR="00A64A7B">
        <w:rPr>
          <w:rFonts w:asciiTheme="majorHAnsi" w:hAnsiTheme="majorHAnsi"/>
          <w:sz w:val="24"/>
          <w:shd w:val="clear" w:color="auto" w:fill="FFFFFF"/>
          <w:lang w:val="ro-RO"/>
        </w:rPr>
        <w:t>-</w:t>
      </w:r>
      <w:r w:rsidRPr="008E6807">
        <w:rPr>
          <w:rFonts w:asciiTheme="majorHAnsi" w:hAnsiTheme="majorHAnsi"/>
          <w:sz w:val="24"/>
          <w:shd w:val="clear" w:color="auto" w:fill="FFFFFF"/>
          <w:lang w:val="ro-RO"/>
        </w:rPr>
        <w:t xml:space="preserve">limită de tragere 26.09.2021, în sumă de 50,0 </w:t>
      </w:r>
      <w:proofErr w:type="spellStart"/>
      <w:r w:rsidRPr="008E6807">
        <w:rPr>
          <w:rFonts w:asciiTheme="majorHAnsi" w:hAnsiTheme="majorHAnsi"/>
          <w:sz w:val="24"/>
          <w:shd w:val="clear" w:color="auto" w:fill="FFFFFF"/>
          <w:lang w:val="ro-RO"/>
        </w:rPr>
        <w:t>mil.euro</w:t>
      </w:r>
      <w:proofErr w:type="spellEnd"/>
      <w:r w:rsidR="00A64A7B">
        <w:rPr>
          <w:rFonts w:asciiTheme="majorHAnsi" w:hAnsiTheme="majorHAnsi"/>
          <w:sz w:val="24"/>
          <w:shd w:val="clear" w:color="auto" w:fill="FFFFFF"/>
          <w:lang w:val="ro-RO"/>
        </w:rPr>
        <w:t>,</w:t>
      </w:r>
      <w:r w:rsidRPr="008E6807">
        <w:rPr>
          <w:rFonts w:asciiTheme="majorHAnsi" w:hAnsiTheme="majorHAnsi"/>
          <w:sz w:val="24"/>
          <w:shd w:val="clear" w:color="auto" w:fill="FFFFFF"/>
          <w:lang w:val="ro-RO"/>
        </w:rPr>
        <w:t xml:space="preserve"> </w:t>
      </w:r>
      <w:r w:rsidRPr="008E6807">
        <w:rPr>
          <w:rFonts w:asciiTheme="majorHAnsi" w:hAnsiTheme="majorHAnsi"/>
          <w:sz w:val="24"/>
          <w:shd w:val="clear" w:color="auto" w:fill="FFFFFF"/>
          <w:lang w:val="ro-MD"/>
        </w:rPr>
        <w:t>au fost debursate 4,0 mil</w:t>
      </w:r>
      <w:r w:rsidRPr="008E6807">
        <w:rPr>
          <w:rFonts w:asciiTheme="majorHAnsi" w:hAnsiTheme="majorHAnsi"/>
          <w:sz w:val="24"/>
          <w:shd w:val="clear" w:color="auto" w:fill="FFFFFF"/>
          <w:lang w:val="ro-RO"/>
        </w:rPr>
        <w:t>.euro</w:t>
      </w:r>
      <w:r w:rsidR="00A64A7B">
        <w:rPr>
          <w:rFonts w:asciiTheme="majorHAnsi" w:hAnsiTheme="majorHAnsi"/>
          <w:sz w:val="24"/>
          <w:shd w:val="clear" w:color="auto" w:fill="FFFFFF"/>
          <w:lang w:val="ro-RO"/>
        </w:rPr>
        <w:t>,</w:t>
      </w:r>
      <w:r w:rsidRPr="008E6807">
        <w:rPr>
          <w:rFonts w:asciiTheme="majorHAnsi" w:hAnsiTheme="majorHAnsi"/>
          <w:sz w:val="24"/>
          <w:shd w:val="clear" w:color="auto" w:fill="FFFFFF"/>
          <w:lang w:val="ro-RO"/>
        </w:rPr>
        <w:t xml:space="preserve"> sau 7,9%</w:t>
      </w:r>
      <w:r w:rsidRPr="008E6807">
        <w:rPr>
          <w:rFonts w:asciiTheme="majorHAnsi" w:hAnsiTheme="majorHAnsi"/>
          <w:sz w:val="24"/>
          <w:shd w:val="clear" w:color="auto" w:fill="FFFFFF"/>
          <w:lang w:val="ro-MD"/>
        </w:rPr>
        <w:t>.</w:t>
      </w:r>
    </w:p>
    <w:p w14:paraId="058FF19A" w14:textId="652C467F" w:rsidR="00206BCB" w:rsidRPr="008E6807" w:rsidRDefault="003F0607" w:rsidP="003F0607">
      <w:pPr>
        <w:spacing w:after="0" w:line="276" w:lineRule="auto"/>
        <w:ind w:firstLine="720"/>
        <w:jc w:val="both"/>
        <w:rPr>
          <w:rFonts w:asciiTheme="majorHAnsi" w:hAnsiTheme="majorHAnsi"/>
          <w:sz w:val="24"/>
          <w:shd w:val="clear" w:color="auto" w:fill="FFFFFF"/>
          <w:lang w:val="ro-RO"/>
        </w:rPr>
      </w:pPr>
      <w:r w:rsidRPr="008E6807">
        <w:rPr>
          <w:rFonts w:asciiTheme="majorHAnsi" w:hAnsiTheme="majorHAnsi"/>
          <w:sz w:val="24"/>
          <w:shd w:val="clear" w:color="auto" w:fill="FFFFFF"/>
          <w:lang w:val="ro-RO"/>
        </w:rPr>
        <w:t>Printre împrumuturile cu nivelul</w:t>
      </w:r>
      <w:r w:rsidR="008F20FD" w:rsidRPr="008E6807">
        <w:rPr>
          <w:rFonts w:asciiTheme="majorHAnsi" w:hAnsiTheme="majorHAnsi"/>
          <w:sz w:val="24"/>
          <w:shd w:val="clear" w:color="auto" w:fill="FFFFFF"/>
          <w:lang w:val="ro-RO"/>
        </w:rPr>
        <w:t xml:space="preserve"> redus de debursare </w:t>
      </w:r>
      <w:r w:rsidRPr="008E6807">
        <w:rPr>
          <w:rFonts w:asciiTheme="majorHAnsi" w:hAnsiTheme="majorHAnsi"/>
          <w:sz w:val="24"/>
          <w:shd w:val="clear" w:color="auto" w:fill="FFFFFF"/>
          <w:lang w:val="ro-RO"/>
        </w:rPr>
        <w:t xml:space="preserve">sunt </w:t>
      </w:r>
      <w:r w:rsidR="00593C4E" w:rsidRPr="008E6807">
        <w:rPr>
          <w:rFonts w:asciiTheme="majorHAnsi" w:hAnsiTheme="majorHAnsi"/>
          <w:sz w:val="24"/>
          <w:shd w:val="clear" w:color="auto" w:fill="FFFFFF"/>
          <w:lang w:val="ro-RO"/>
        </w:rPr>
        <w:t xml:space="preserve">și 10 împrumuturi </w:t>
      </w:r>
      <w:r w:rsidR="008F20FD" w:rsidRPr="008E6807">
        <w:rPr>
          <w:rFonts w:asciiTheme="majorHAnsi" w:hAnsiTheme="majorHAnsi"/>
          <w:sz w:val="24"/>
          <w:shd w:val="clear" w:color="auto" w:fill="FFFFFF"/>
          <w:lang w:val="ro-RO"/>
        </w:rPr>
        <w:t>destinate recreditării de stat</w:t>
      </w:r>
      <w:r w:rsidR="004C1654" w:rsidRPr="008E6807">
        <w:rPr>
          <w:rFonts w:asciiTheme="majorHAnsi" w:hAnsiTheme="majorHAnsi"/>
          <w:sz w:val="24"/>
          <w:shd w:val="clear" w:color="auto" w:fill="FFFFFF"/>
          <w:lang w:val="ro-RO"/>
        </w:rPr>
        <w:t>, din</w:t>
      </w:r>
      <w:r w:rsidR="00A64A7B">
        <w:rPr>
          <w:rFonts w:asciiTheme="majorHAnsi" w:hAnsiTheme="majorHAnsi"/>
          <w:sz w:val="24"/>
          <w:shd w:val="clear" w:color="auto" w:fill="FFFFFF"/>
          <w:lang w:val="ro-RO"/>
        </w:rPr>
        <w:t>tre</w:t>
      </w:r>
      <w:r w:rsidR="004C1654" w:rsidRPr="008E6807">
        <w:rPr>
          <w:rFonts w:asciiTheme="majorHAnsi" w:hAnsiTheme="majorHAnsi"/>
          <w:sz w:val="24"/>
          <w:shd w:val="clear" w:color="auto" w:fill="FFFFFF"/>
          <w:lang w:val="ro-RO"/>
        </w:rPr>
        <w:t xml:space="preserve"> </w:t>
      </w:r>
      <w:r w:rsidR="00A64A7B">
        <w:rPr>
          <w:rFonts w:asciiTheme="majorHAnsi" w:hAnsiTheme="majorHAnsi"/>
          <w:sz w:val="24"/>
          <w:shd w:val="clear" w:color="auto" w:fill="FFFFFF"/>
          <w:lang w:val="ro-RO"/>
        </w:rPr>
        <w:t>care</w:t>
      </w:r>
      <w:r w:rsidR="004C1654" w:rsidRPr="008E6807">
        <w:rPr>
          <w:rFonts w:asciiTheme="majorHAnsi" w:hAnsiTheme="majorHAnsi"/>
          <w:sz w:val="24"/>
          <w:shd w:val="clear" w:color="auto" w:fill="FFFFFF"/>
          <w:lang w:val="ro-RO"/>
        </w:rPr>
        <w:t xml:space="preserve"> </w:t>
      </w:r>
      <w:r w:rsidR="008F20FD" w:rsidRPr="008E6807">
        <w:rPr>
          <w:rFonts w:asciiTheme="majorHAnsi" w:hAnsiTheme="majorHAnsi"/>
          <w:sz w:val="24"/>
          <w:shd w:val="clear" w:color="auto" w:fill="FFFFFF"/>
          <w:lang w:val="ro-RO"/>
        </w:rPr>
        <w:t xml:space="preserve">auditul </w:t>
      </w:r>
      <w:r w:rsidR="00A64A7B">
        <w:rPr>
          <w:rFonts w:asciiTheme="majorHAnsi" w:hAnsiTheme="majorHAnsi"/>
          <w:sz w:val="24"/>
          <w:shd w:val="clear" w:color="auto" w:fill="FFFFFF"/>
          <w:lang w:val="ro-RO"/>
        </w:rPr>
        <w:t xml:space="preserve">le </w:t>
      </w:r>
      <w:r w:rsidR="008F20FD" w:rsidRPr="008E6807">
        <w:rPr>
          <w:rFonts w:asciiTheme="majorHAnsi" w:hAnsiTheme="majorHAnsi"/>
          <w:sz w:val="24"/>
          <w:shd w:val="clear" w:color="auto" w:fill="FFFFFF"/>
          <w:lang w:val="ro-RO"/>
        </w:rPr>
        <w:t xml:space="preserve">menționează </w:t>
      </w:r>
      <w:r w:rsidR="00A64A7B">
        <w:rPr>
          <w:rFonts w:asciiTheme="majorHAnsi" w:hAnsiTheme="majorHAnsi"/>
          <w:sz w:val="24"/>
          <w:shd w:val="clear" w:color="auto" w:fill="FFFFFF"/>
          <w:lang w:val="ro-RO"/>
        </w:rPr>
        <w:t xml:space="preserve">pe </w:t>
      </w:r>
      <w:r w:rsidR="008F20FD" w:rsidRPr="008E6807">
        <w:rPr>
          <w:rFonts w:asciiTheme="majorHAnsi" w:hAnsiTheme="majorHAnsi"/>
          <w:sz w:val="24"/>
          <w:shd w:val="clear" w:color="auto" w:fill="FFFFFF"/>
          <w:lang w:val="ro-RO"/>
        </w:rPr>
        <w:t>următoarele:</w:t>
      </w:r>
    </w:p>
    <w:p w14:paraId="7E3443EF" w14:textId="3BBF0087" w:rsidR="006A55DF" w:rsidRPr="00807404" w:rsidRDefault="006A55DF" w:rsidP="006A55DF">
      <w:pPr>
        <w:numPr>
          <w:ilvl w:val="0"/>
          <w:numId w:val="44"/>
        </w:numPr>
        <w:tabs>
          <w:tab w:val="left" w:pos="284"/>
          <w:tab w:val="left" w:pos="567"/>
        </w:tabs>
        <w:spacing w:after="0" w:line="276" w:lineRule="auto"/>
        <w:ind w:left="0" w:firstLine="284"/>
        <w:contextualSpacing/>
        <w:jc w:val="both"/>
        <w:rPr>
          <w:rFonts w:asciiTheme="majorHAnsi" w:hAnsiTheme="majorHAnsi"/>
          <w:sz w:val="24"/>
          <w:shd w:val="clear" w:color="auto" w:fill="FFFFFF"/>
          <w:lang w:val="ro-RO"/>
        </w:rPr>
      </w:pPr>
      <w:r w:rsidRPr="008E6807">
        <w:rPr>
          <w:rFonts w:asciiTheme="majorHAnsi" w:hAnsiTheme="majorHAnsi"/>
          <w:sz w:val="24"/>
          <w:shd w:val="clear" w:color="auto" w:fill="FFFFFF"/>
          <w:lang w:val="ro-RO"/>
        </w:rPr>
        <w:t xml:space="preserve">Proiectul </w:t>
      </w:r>
      <w:r w:rsidRPr="008E6807">
        <w:rPr>
          <w:rFonts w:asciiTheme="majorHAnsi" w:hAnsiTheme="majorHAnsi"/>
          <w:i/>
          <w:sz w:val="24"/>
          <w:shd w:val="clear" w:color="auto" w:fill="FFFFFF"/>
          <w:lang w:val="ro-RO"/>
        </w:rPr>
        <w:t>„Livada Moldovei”</w:t>
      </w:r>
      <w:r w:rsidR="00A64A7B">
        <w:rPr>
          <w:rFonts w:asciiTheme="majorHAnsi" w:hAnsiTheme="majorHAnsi"/>
          <w:i/>
          <w:sz w:val="24"/>
          <w:shd w:val="clear" w:color="auto" w:fill="FFFFFF"/>
          <w:lang w:val="ro-RO"/>
        </w:rPr>
        <w:t>,</w:t>
      </w:r>
      <w:r w:rsidRPr="008E6807">
        <w:rPr>
          <w:rFonts w:asciiTheme="majorHAnsi" w:hAnsiTheme="majorHAnsi"/>
          <w:i/>
          <w:sz w:val="24"/>
          <w:shd w:val="clear" w:color="auto" w:fill="FFFFFF"/>
          <w:lang w:val="ro-RO"/>
        </w:rPr>
        <w:t xml:space="preserve"> </w:t>
      </w:r>
      <w:r w:rsidRPr="008E6807">
        <w:rPr>
          <w:rFonts w:asciiTheme="majorHAnsi" w:hAnsiTheme="majorHAnsi"/>
          <w:sz w:val="24"/>
          <w:shd w:val="clear" w:color="auto" w:fill="FFFFFF"/>
          <w:lang w:val="ro-RO"/>
        </w:rPr>
        <w:t>contractat în anul 2014 de la BEI, cu data</w:t>
      </w:r>
      <w:r w:rsidR="00A64A7B">
        <w:rPr>
          <w:rFonts w:asciiTheme="majorHAnsi" w:hAnsiTheme="majorHAnsi"/>
          <w:sz w:val="24"/>
          <w:shd w:val="clear" w:color="auto" w:fill="FFFFFF"/>
          <w:lang w:val="ro-RO"/>
        </w:rPr>
        <w:t>-</w:t>
      </w:r>
      <w:r w:rsidRPr="008E6807">
        <w:rPr>
          <w:rFonts w:asciiTheme="majorHAnsi" w:hAnsiTheme="majorHAnsi"/>
          <w:sz w:val="24"/>
          <w:shd w:val="clear" w:color="auto" w:fill="FFFFFF"/>
          <w:lang w:val="ro-RO"/>
        </w:rPr>
        <w:t xml:space="preserve">limită de tragere 27.05.2021, în sumă de 120,0 </w:t>
      </w:r>
      <w:proofErr w:type="spellStart"/>
      <w:r w:rsidRPr="008E6807">
        <w:rPr>
          <w:rFonts w:asciiTheme="majorHAnsi" w:hAnsiTheme="majorHAnsi"/>
          <w:sz w:val="24"/>
          <w:shd w:val="clear" w:color="auto" w:fill="FFFFFF"/>
          <w:lang w:val="ro-RO"/>
        </w:rPr>
        <w:t>mil.euro</w:t>
      </w:r>
      <w:proofErr w:type="spellEnd"/>
      <w:r w:rsidR="00A64A7B">
        <w:rPr>
          <w:rFonts w:asciiTheme="majorHAnsi" w:hAnsiTheme="majorHAnsi"/>
          <w:sz w:val="24"/>
          <w:shd w:val="clear" w:color="auto" w:fill="FFFFFF"/>
          <w:lang w:val="ro-RO"/>
        </w:rPr>
        <w:t>,</w:t>
      </w:r>
      <w:r w:rsidRPr="008E6807">
        <w:rPr>
          <w:rFonts w:asciiTheme="majorHAnsi" w:hAnsiTheme="majorHAnsi"/>
          <w:sz w:val="24"/>
          <w:shd w:val="clear" w:color="auto" w:fill="FFFFFF"/>
          <w:lang w:val="ro-RO"/>
        </w:rPr>
        <w:t xml:space="preserve"> au fost debursate 16,2 </w:t>
      </w:r>
      <w:proofErr w:type="spellStart"/>
      <w:r w:rsidRPr="008E6807">
        <w:rPr>
          <w:rFonts w:asciiTheme="majorHAnsi" w:hAnsiTheme="majorHAnsi"/>
          <w:sz w:val="24"/>
          <w:shd w:val="clear" w:color="auto" w:fill="FFFFFF"/>
          <w:lang w:val="ro-RO"/>
        </w:rPr>
        <w:t>mil.euro</w:t>
      </w:r>
      <w:proofErr w:type="spellEnd"/>
      <w:r w:rsidR="0087209A">
        <w:rPr>
          <w:rFonts w:asciiTheme="majorHAnsi" w:hAnsiTheme="majorHAnsi"/>
          <w:sz w:val="24"/>
          <w:shd w:val="clear" w:color="auto" w:fill="FFFFFF"/>
          <w:lang w:val="ro-RO"/>
        </w:rPr>
        <w:t>,</w:t>
      </w:r>
      <w:r w:rsidRPr="008E6807">
        <w:rPr>
          <w:rFonts w:asciiTheme="majorHAnsi" w:hAnsiTheme="majorHAnsi"/>
          <w:sz w:val="24"/>
          <w:shd w:val="clear" w:color="auto" w:fill="FFFFFF"/>
          <w:lang w:val="ro-RO"/>
        </w:rPr>
        <w:t xml:space="preserve"> sau 13,5%. </w:t>
      </w:r>
      <w:r w:rsidRPr="00CA1727">
        <w:rPr>
          <w:rFonts w:asciiTheme="majorHAnsi" w:hAnsiTheme="majorHAnsi"/>
          <w:sz w:val="24"/>
          <w:shd w:val="clear" w:color="auto" w:fill="FFFFFF"/>
          <w:lang w:val="ro-RO"/>
        </w:rPr>
        <w:t xml:space="preserve">Cauza principală a neexecutării integrale este </w:t>
      </w:r>
      <w:r w:rsidR="00116002">
        <w:rPr>
          <w:rFonts w:asciiTheme="majorHAnsi" w:hAnsiTheme="majorHAnsi" w:cstheme="majorHAnsi"/>
          <w:sz w:val="24"/>
          <w:szCs w:val="24"/>
          <w:shd w:val="clear" w:color="auto" w:fill="FFFFFF"/>
          <w:lang w:val="ro-RO"/>
        </w:rPr>
        <w:t xml:space="preserve">cererea redusă din partea </w:t>
      </w:r>
      <w:r w:rsidR="00116002" w:rsidRPr="00807404">
        <w:rPr>
          <w:rFonts w:asciiTheme="majorHAnsi" w:hAnsiTheme="majorHAnsi" w:cstheme="majorHAnsi"/>
          <w:sz w:val="24"/>
          <w:szCs w:val="24"/>
          <w:shd w:val="clear" w:color="auto" w:fill="FFFFFF"/>
          <w:lang w:val="ro-RO"/>
        </w:rPr>
        <w:t xml:space="preserve">beneficiarilor </w:t>
      </w:r>
      <w:proofErr w:type="spellStart"/>
      <w:r w:rsidR="00116002" w:rsidRPr="00807404">
        <w:rPr>
          <w:rFonts w:asciiTheme="majorHAnsi" w:hAnsiTheme="majorHAnsi" w:cstheme="majorHAnsi"/>
          <w:sz w:val="24"/>
          <w:szCs w:val="24"/>
          <w:shd w:val="clear" w:color="auto" w:fill="FFFFFF"/>
          <w:lang w:val="ro-RO"/>
        </w:rPr>
        <w:t>recreditați</w:t>
      </w:r>
      <w:proofErr w:type="spellEnd"/>
      <w:r w:rsidR="007D14E3" w:rsidRPr="00807404">
        <w:rPr>
          <w:rFonts w:asciiTheme="majorHAnsi" w:hAnsiTheme="majorHAnsi"/>
          <w:sz w:val="24"/>
          <w:shd w:val="clear" w:color="auto" w:fill="FFFFFF"/>
          <w:lang w:val="ro-RO"/>
        </w:rPr>
        <w:t xml:space="preserve"> și </w:t>
      </w:r>
      <w:r w:rsidR="0087209A" w:rsidRPr="00807404">
        <w:rPr>
          <w:rFonts w:asciiTheme="majorHAnsi" w:hAnsiTheme="majorHAnsi"/>
          <w:sz w:val="24"/>
          <w:shd w:val="clear" w:color="auto" w:fill="FFFFFF"/>
          <w:lang w:val="ro-RO"/>
        </w:rPr>
        <w:t>ne</w:t>
      </w:r>
      <w:r w:rsidRPr="00807404">
        <w:rPr>
          <w:rFonts w:asciiTheme="majorHAnsi" w:hAnsiTheme="majorHAnsi"/>
          <w:sz w:val="24"/>
          <w:shd w:val="clear" w:color="auto" w:fill="FFFFFF"/>
          <w:lang w:val="ro-RO"/>
        </w:rPr>
        <w:t>aprob</w:t>
      </w:r>
      <w:r w:rsidR="0087209A" w:rsidRPr="00807404">
        <w:rPr>
          <w:rFonts w:asciiTheme="majorHAnsi" w:hAnsiTheme="majorHAnsi"/>
          <w:sz w:val="24"/>
          <w:shd w:val="clear" w:color="auto" w:fill="FFFFFF"/>
          <w:lang w:val="ro-RO"/>
        </w:rPr>
        <w:t>area</w:t>
      </w:r>
      <w:r w:rsidRPr="00807404">
        <w:rPr>
          <w:rFonts w:asciiTheme="majorHAnsi" w:hAnsiTheme="majorHAnsi"/>
          <w:sz w:val="24"/>
          <w:shd w:val="clear" w:color="auto" w:fill="FFFFFF"/>
          <w:lang w:val="ro-RO"/>
        </w:rPr>
        <w:t xml:space="preserve"> de către creditor a partenerilor financiari suplimentari în cadrul </w:t>
      </w:r>
      <w:r w:rsidR="00050169" w:rsidRPr="00807404">
        <w:rPr>
          <w:rFonts w:asciiTheme="majorHAnsi" w:hAnsiTheme="majorHAnsi"/>
          <w:sz w:val="24"/>
          <w:shd w:val="clear" w:color="auto" w:fill="FFFFFF"/>
          <w:lang w:val="ro-RO"/>
        </w:rPr>
        <w:t>Proiectului</w:t>
      </w:r>
      <w:r w:rsidRPr="00807404">
        <w:rPr>
          <w:rFonts w:asciiTheme="majorHAnsi" w:hAnsiTheme="majorHAnsi"/>
          <w:sz w:val="24"/>
          <w:shd w:val="clear" w:color="auto" w:fill="FFFFFF"/>
          <w:lang w:val="ro-RO"/>
        </w:rPr>
        <w:t>.</w:t>
      </w:r>
    </w:p>
    <w:p w14:paraId="361F215C" w14:textId="03D47627" w:rsidR="00310885" w:rsidRPr="008E6807" w:rsidRDefault="00206BCB" w:rsidP="00863E20">
      <w:pPr>
        <w:numPr>
          <w:ilvl w:val="0"/>
          <w:numId w:val="44"/>
        </w:numPr>
        <w:tabs>
          <w:tab w:val="left" w:pos="284"/>
          <w:tab w:val="left" w:pos="567"/>
        </w:tabs>
        <w:spacing w:after="0" w:line="276" w:lineRule="auto"/>
        <w:ind w:left="0" w:firstLine="284"/>
        <w:contextualSpacing/>
        <w:jc w:val="both"/>
        <w:rPr>
          <w:rFonts w:asciiTheme="majorHAnsi" w:hAnsiTheme="majorHAnsi"/>
          <w:sz w:val="24"/>
          <w:shd w:val="clear" w:color="auto" w:fill="FFFFFF"/>
          <w:lang w:val="ro-RO"/>
        </w:rPr>
      </w:pPr>
      <w:r w:rsidRPr="00807404">
        <w:rPr>
          <w:rFonts w:asciiTheme="majorHAnsi" w:hAnsiTheme="majorHAnsi"/>
          <w:i/>
          <w:sz w:val="24"/>
          <w:shd w:val="clear" w:color="auto" w:fill="FFFFFF"/>
          <w:lang w:val="ro-RO"/>
        </w:rPr>
        <w:t>Programul Rural de Reziliență Economic</w:t>
      </w:r>
      <w:r w:rsidR="005953E8" w:rsidRPr="00807404">
        <w:rPr>
          <w:rFonts w:asciiTheme="majorHAnsi" w:hAnsiTheme="majorHAnsi"/>
          <w:i/>
          <w:sz w:val="24"/>
          <w:shd w:val="clear" w:color="auto" w:fill="FFFFFF"/>
          <w:lang w:val="ro-RO"/>
        </w:rPr>
        <w:t>ă-Climatică Incluzivă</w:t>
      </w:r>
      <w:r w:rsidR="0087209A" w:rsidRPr="00807404">
        <w:rPr>
          <w:rFonts w:asciiTheme="majorHAnsi" w:hAnsiTheme="majorHAnsi"/>
          <w:i/>
          <w:sz w:val="24"/>
          <w:shd w:val="clear" w:color="auto" w:fill="FFFFFF"/>
          <w:lang w:val="ro-RO"/>
        </w:rPr>
        <w:t>,</w:t>
      </w:r>
      <w:r w:rsidRPr="00807404">
        <w:rPr>
          <w:rFonts w:asciiTheme="majorHAnsi" w:hAnsiTheme="majorHAnsi"/>
          <w:sz w:val="24"/>
          <w:shd w:val="clear" w:color="auto" w:fill="FFFFFF"/>
          <w:lang w:val="ro-RO"/>
        </w:rPr>
        <w:t xml:space="preserve"> </w:t>
      </w:r>
      <w:r w:rsidR="005953E8" w:rsidRPr="00807404">
        <w:rPr>
          <w:rFonts w:asciiTheme="majorHAnsi" w:hAnsiTheme="majorHAnsi"/>
          <w:sz w:val="24"/>
          <w:shd w:val="clear" w:color="auto" w:fill="FFFFFF"/>
          <w:lang w:val="ro-RO"/>
        </w:rPr>
        <w:t>contractat de FIDA</w:t>
      </w:r>
      <w:r w:rsidR="005953E8" w:rsidRPr="008E6807">
        <w:rPr>
          <w:rFonts w:asciiTheme="majorHAnsi" w:hAnsiTheme="majorHAnsi"/>
          <w:sz w:val="24"/>
          <w:shd w:val="clear" w:color="auto" w:fill="FFFFFF"/>
          <w:lang w:val="ro-RO"/>
        </w:rPr>
        <w:t xml:space="preserve"> în anul  2014</w:t>
      </w:r>
      <w:r w:rsidR="0087209A">
        <w:rPr>
          <w:rFonts w:asciiTheme="majorHAnsi" w:hAnsiTheme="majorHAnsi"/>
          <w:sz w:val="24"/>
          <w:shd w:val="clear" w:color="auto" w:fill="FFFFFF"/>
          <w:lang w:val="ro-RO"/>
        </w:rPr>
        <w:t>,</w:t>
      </w:r>
      <w:r w:rsidR="005953E8" w:rsidRPr="008E6807">
        <w:rPr>
          <w:rFonts w:asciiTheme="majorHAnsi" w:hAnsiTheme="majorHAnsi"/>
          <w:sz w:val="24"/>
          <w:shd w:val="clear" w:color="auto" w:fill="FFFFFF"/>
          <w:lang w:val="ro-RO"/>
        </w:rPr>
        <w:t xml:space="preserve"> cu data</w:t>
      </w:r>
      <w:r w:rsidR="0087209A">
        <w:rPr>
          <w:rFonts w:asciiTheme="majorHAnsi" w:hAnsiTheme="majorHAnsi"/>
          <w:sz w:val="24"/>
          <w:shd w:val="clear" w:color="auto" w:fill="FFFFFF"/>
          <w:lang w:val="ro-RO"/>
        </w:rPr>
        <w:t>-</w:t>
      </w:r>
      <w:r w:rsidR="005953E8" w:rsidRPr="008E6807">
        <w:rPr>
          <w:rFonts w:asciiTheme="majorHAnsi" w:hAnsiTheme="majorHAnsi"/>
          <w:sz w:val="24"/>
          <w:shd w:val="clear" w:color="auto" w:fill="FFFFFF"/>
          <w:lang w:val="ro-RO"/>
        </w:rPr>
        <w:t>limită de tragere 31.03.2021</w:t>
      </w:r>
      <w:r w:rsidR="0087209A">
        <w:rPr>
          <w:rFonts w:asciiTheme="majorHAnsi" w:hAnsiTheme="majorHAnsi"/>
          <w:sz w:val="24"/>
          <w:shd w:val="clear" w:color="auto" w:fill="FFFFFF"/>
          <w:lang w:val="ro-RO"/>
        </w:rPr>
        <w:t>,</w:t>
      </w:r>
      <w:r w:rsidR="005953E8" w:rsidRPr="008E6807">
        <w:rPr>
          <w:rFonts w:asciiTheme="majorHAnsi" w:hAnsiTheme="majorHAnsi"/>
          <w:sz w:val="24"/>
          <w:shd w:val="clear" w:color="auto" w:fill="FFFFFF"/>
          <w:lang w:val="ro-RO"/>
        </w:rPr>
        <w:t xml:space="preserve"> în sumă de</w:t>
      </w:r>
      <w:r w:rsidR="00FE4DD7" w:rsidRPr="008E6807">
        <w:rPr>
          <w:rFonts w:asciiTheme="majorHAnsi" w:hAnsiTheme="majorHAnsi"/>
          <w:sz w:val="24"/>
          <w:shd w:val="clear" w:color="auto" w:fill="FFFFFF"/>
          <w:lang w:val="ro-RO"/>
        </w:rPr>
        <w:t xml:space="preserve"> 10,5 </w:t>
      </w:r>
      <w:proofErr w:type="spellStart"/>
      <w:r w:rsidR="00FE4DD7" w:rsidRPr="008E6807">
        <w:rPr>
          <w:rFonts w:asciiTheme="majorHAnsi" w:hAnsiTheme="majorHAnsi"/>
          <w:sz w:val="24"/>
          <w:shd w:val="clear" w:color="auto" w:fill="FFFFFF"/>
          <w:lang w:val="ro-RO"/>
        </w:rPr>
        <w:t>mil.DST</w:t>
      </w:r>
      <w:proofErr w:type="spellEnd"/>
      <w:r w:rsidR="0087209A">
        <w:rPr>
          <w:rFonts w:asciiTheme="majorHAnsi" w:hAnsiTheme="majorHAnsi"/>
          <w:sz w:val="24"/>
          <w:shd w:val="clear" w:color="auto" w:fill="FFFFFF"/>
          <w:lang w:val="ro-RO"/>
        </w:rPr>
        <w:t>,</w:t>
      </w:r>
      <w:r w:rsidR="00FE4DD7" w:rsidRPr="008E6807">
        <w:rPr>
          <w:rFonts w:asciiTheme="majorHAnsi" w:hAnsiTheme="majorHAnsi"/>
          <w:sz w:val="24"/>
          <w:shd w:val="clear" w:color="auto" w:fill="FFFFFF"/>
          <w:lang w:val="ro-RO"/>
        </w:rPr>
        <w:t xml:space="preserve"> au fost debursate 6,2 </w:t>
      </w:r>
      <w:proofErr w:type="spellStart"/>
      <w:r w:rsidR="00FE4DD7" w:rsidRPr="008E6807">
        <w:rPr>
          <w:rFonts w:asciiTheme="majorHAnsi" w:hAnsiTheme="majorHAnsi"/>
          <w:sz w:val="24"/>
          <w:shd w:val="clear" w:color="auto" w:fill="FFFFFF"/>
          <w:lang w:val="ro-RO"/>
        </w:rPr>
        <w:t>mil.DST</w:t>
      </w:r>
      <w:proofErr w:type="spellEnd"/>
      <w:r w:rsidR="0087209A">
        <w:rPr>
          <w:rFonts w:asciiTheme="majorHAnsi" w:hAnsiTheme="majorHAnsi"/>
          <w:sz w:val="24"/>
          <w:shd w:val="clear" w:color="auto" w:fill="FFFFFF"/>
          <w:lang w:val="ro-RO"/>
        </w:rPr>
        <w:t xml:space="preserve">, sau </w:t>
      </w:r>
      <w:r w:rsidRPr="008E6807">
        <w:rPr>
          <w:rFonts w:asciiTheme="majorHAnsi" w:hAnsiTheme="majorHAnsi"/>
          <w:sz w:val="24"/>
          <w:shd w:val="clear" w:color="auto" w:fill="FFFFFF"/>
          <w:lang w:val="ro-RO"/>
        </w:rPr>
        <w:t>59,1%</w:t>
      </w:r>
      <w:r w:rsidR="0087209A">
        <w:rPr>
          <w:rFonts w:asciiTheme="majorHAnsi" w:hAnsiTheme="majorHAnsi"/>
          <w:sz w:val="24"/>
          <w:shd w:val="clear" w:color="auto" w:fill="FFFFFF"/>
          <w:lang w:val="ro-RO"/>
        </w:rPr>
        <w:t>.</w:t>
      </w:r>
      <w:r w:rsidRPr="008E6807">
        <w:rPr>
          <w:rFonts w:asciiTheme="majorHAnsi" w:hAnsiTheme="majorHAnsi"/>
          <w:sz w:val="24"/>
          <w:shd w:val="clear" w:color="auto" w:fill="FFFFFF"/>
          <w:lang w:val="ro-RO"/>
        </w:rPr>
        <w:t xml:space="preserve"> Ac</w:t>
      </w:r>
      <w:r w:rsidR="00FE4DD7" w:rsidRPr="008E6807">
        <w:rPr>
          <w:rFonts w:asciiTheme="majorHAnsi" w:hAnsiTheme="majorHAnsi"/>
          <w:sz w:val="24"/>
          <w:shd w:val="clear" w:color="auto" w:fill="FFFFFF"/>
          <w:lang w:val="ro-RO"/>
        </w:rPr>
        <w:t>east</w:t>
      </w:r>
      <w:r w:rsidR="0087209A">
        <w:rPr>
          <w:rFonts w:asciiTheme="majorHAnsi" w:hAnsiTheme="majorHAnsi"/>
          <w:sz w:val="24"/>
          <w:shd w:val="clear" w:color="auto" w:fill="FFFFFF"/>
          <w:lang w:val="ro-RO"/>
        </w:rPr>
        <w:t>ă situație</w:t>
      </w:r>
      <w:r w:rsidR="00FE4DD7" w:rsidRPr="008E6807">
        <w:rPr>
          <w:rFonts w:asciiTheme="majorHAnsi" w:hAnsiTheme="majorHAnsi"/>
          <w:sz w:val="24"/>
          <w:shd w:val="clear" w:color="auto" w:fill="FFFFFF"/>
          <w:lang w:val="ro-RO"/>
        </w:rPr>
        <w:t xml:space="preserve"> se datorează faptului că </w:t>
      </w:r>
      <w:r w:rsidRPr="008E6807">
        <w:rPr>
          <w:rFonts w:asciiTheme="majorHAnsi" w:hAnsiTheme="majorHAnsi"/>
          <w:sz w:val="24"/>
          <w:shd w:val="clear" w:color="auto" w:fill="FFFFFF"/>
          <w:lang w:val="ro-RO"/>
        </w:rPr>
        <w:t xml:space="preserve">a fost amânată </w:t>
      </w:r>
      <w:r w:rsidR="0087209A" w:rsidRPr="008E6807">
        <w:rPr>
          <w:rFonts w:asciiTheme="majorHAnsi" w:hAnsiTheme="majorHAnsi"/>
          <w:sz w:val="24"/>
          <w:shd w:val="clear" w:color="auto" w:fill="FFFFFF"/>
          <w:lang w:val="ro-RO"/>
        </w:rPr>
        <w:t>pentru anul 2019</w:t>
      </w:r>
      <w:r w:rsidR="0087209A">
        <w:rPr>
          <w:rFonts w:asciiTheme="majorHAnsi" w:hAnsiTheme="majorHAnsi"/>
          <w:sz w:val="24"/>
          <w:shd w:val="clear" w:color="auto" w:fill="FFFFFF"/>
          <w:lang w:val="ro-RO"/>
        </w:rPr>
        <w:t xml:space="preserve"> </w:t>
      </w:r>
      <w:r w:rsidRPr="008E6807">
        <w:rPr>
          <w:rFonts w:asciiTheme="majorHAnsi" w:hAnsiTheme="majorHAnsi"/>
          <w:sz w:val="24"/>
          <w:shd w:val="clear" w:color="auto" w:fill="FFFFFF"/>
          <w:lang w:val="ro-RO"/>
        </w:rPr>
        <w:t>perioada de finalizare a unor proiecte investiționale aferent</w:t>
      </w:r>
      <w:r w:rsidR="00FE4DD7" w:rsidRPr="008E6807">
        <w:rPr>
          <w:rFonts w:asciiTheme="majorHAnsi" w:hAnsiTheme="majorHAnsi"/>
          <w:sz w:val="24"/>
          <w:shd w:val="clear" w:color="auto" w:fill="FFFFFF"/>
          <w:lang w:val="ro-RO"/>
        </w:rPr>
        <w:t>e anului 2018.</w:t>
      </w:r>
    </w:p>
    <w:p w14:paraId="634F91DF" w14:textId="16DD62DA" w:rsidR="006A55DF" w:rsidRPr="006A55DF" w:rsidRDefault="006A55DF" w:rsidP="006A55DF">
      <w:pPr>
        <w:numPr>
          <w:ilvl w:val="0"/>
          <w:numId w:val="44"/>
        </w:numPr>
        <w:tabs>
          <w:tab w:val="left" w:pos="284"/>
          <w:tab w:val="left" w:pos="567"/>
        </w:tabs>
        <w:spacing w:after="0" w:line="276" w:lineRule="auto"/>
        <w:ind w:left="0" w:firstLine="360"/>
        <w:contextualSpacing/>
        <w:jc w:val="both"/>
        <w:rPr>
          <w:rFonts w:asciiTheme="majorHAnsi" w:hAnsiTheme="majorHAnsi" w:cstheme="majorHAnsi"/>
          <w:sz w:val="24"/>
          <w:szCs w:val="24"/>
          <w:lang w:val="ro-RO"/>
        </w:rPr>
      </w:pPr>
      <w:r w:rsidRPr="008E6807">
        <w:rPr>
          <w:rFonts w:asciiTheme="majorHAnsi" w:hAnsiTheme="majorHAnsi"/>
          <w:sz w:val="24"/>
          <w:lang w:val="ro-RO"/>
        </w:rPr>
        <w:t xml:space="preserve">Proiectul </w:t>
      </w:r>
      <w:r w:rsidRPr="008E6807">
        <w:rPr>
          <w:rFonts w:asciiTheme="majorHAnsi" w:hAnsiTheme="majorHAnsi"/>
          <w:i/>
          <w:sz w:val="24"/>
          <w:lang w:val="ro-RO"/>
        </w:rPr>
        <w:t>„Ameliorarea competitivității II”</w:t>
      </w:r>
      <w:r w:rsidR="0087209A">
        <w:rPr>
          <w:rFonts w:asciiTheme="majorHAnsi" w:hAnsiTheme="majorHAnsi"/>
          <w:i/>
          <w:sz w:val="24"/>
          <w:lang w:val="ro-RO"/>
        </w:rPr>
        <w:t>,</w:t>
      </w:r>
      <w:r w:rsidRPr="008E6807">
        <w:rPr>
          <w:rFonts w:asciiTheme="majorHAnsi" w:hAnsiTheme="majorHAnsi"/>
          <w:sz w:val="24"/>
          <w:lang w:val="ro-RO"/>
        </w:rPr>
        <w:t xml:space="preserve"> contractat în anul 2014 de la BIRD</w:t>
      </w:r>
      <w:r w:rsidR="0087209A">
        <w:rPr>
          <w:rFonts w:asciiTheme="majorHAnsi" w:hAnsiTheme="majorHAnsi"/>
          <w:sz w:val="24"/>
          <w:lang w:val="ro-RO"/>
        </w:rPr>
        <w:t>,</w:t>
      </w:r>
      <w:r w:rsidRPr="008E6807">
        <w:rPr>
          <w:rFonts w:asciiTheme="majorHAnsi" w:hAnsiTheme="majorHAnsi"/>
          <w:sz w:val="24"/>
          <w:lang w:val="ro-RO"/>
        </w:rPr>
        <w:t xml:space="preserve"> cu data</w:t>
      </w:r>
      <w:r w:rsidR="0087209A">
        <w:rPr>
          <w:rFonts w:asciiTheme="majorHAnsi" w:hAnsiTheme="majorHAnsi"/>
          <w:sz w:val="24"/>
          <w:lang w:val="ro-RO"/>
        </w:rPr>
        <w:t>-</w:t>
      </w:r>
      <w:r w:rsidRPr="008E6807">
        <w:rPr>
          <w:rFonts w:asciiTheme="majorHAnsi" w:hAnsiTheme="majorHAnsi"/>
          <w:sz w:val="24"/>
          <w:lang w:val="ro-RO"/>
        </w:rPr>
        <w:t xml:space="preserve">limită de tragere 31.01.2020, în sumă de 30,0 </w:t>
      </w:r>
      <w:proofErr w:type="spellStart"/>
      <w:r w:rsidRPr="008E6807">
        <w:rPr>
          <w:rFonts w:asciiTheme="majorHAnsi" w:hAnsiTheme="majorHAnsi"/>
          <w:sz w:val="24"/>
          <w:lang w:val="ro-RO"/>
        </w:rPr>
        <w:t>mil.dol.SUA</w:t>
      </w:r>
      <w:proofErr w:type="spellEnd"/>
      <w:r w:rsidRPr="008E6807">
        <w:rPr>
          <w:rFonts w:asciiTheme="majorHAnsi" w:hAnsiTheme="majorHAnsi"/>
          <w:sz w:val="24"/>
          <w:lang w:val="ro-RO"/>
        </w:rPr>
        <w:t xml:space="preserve"> și 9,7 </w:t>
      </w:r>
      <w:proofErr w:type="spellStart"/>
      <w:r w:rsidRPr="008E6807">
        <w:rPr>
          <w:rFonts w:asciiTheme="majorHAnsi" w:hAnsiTheme="majorHAnsi"/>
          <w:sz w:val="24"/>
          <w:lang w:val="ro-RO"/>
        </w:rPr>
        <w:t>mil.DST</w:t>
      </w:r>
      <w:proofErr w:type="spellEnd"/>
      <w:r w:rsidR="0087209A">
        <w:rPr>
          <w:rFonts w:asciiTheme="majorHAnsi" w:hAnsiTheme="majorHAnsi"/>
          <w:sz w:val="24"/>
          <w:lang w:val="ro-RO"/>
        </w:rPr>
        <w:t>,</w:t>
      </w:r>
      <w:r w:rsidRPr="008E6807">
        <w:rPr>
          <w:rFonts w:asciiTheme="majorHAnsi" w:hAnsiTheme="majorHAnsi"/>
          <w:sz w:val="24"/>
          <w:lang w:val="ro-RO"/>
        </w:rPr>
        <w:t xml:space="preserve"> au fost debursate 21,2 </w:t>
      </w:r>
      <w:proofErr w:type="spellStart"/>
      <w:r w:rsidRPr="008E6807">
        <w:rPr>
          <w:rFonts w:asciiTheme="majorHAnsi" w:hAnsiTheme="majorHAnsi"/>
          <w:sz w:val="24"/>
          <w:lang w:val="ro-RO"/>
        </w:rPr>
        <w:lastRenderedPageBreak/>
        <w:t>mil.dol.SUA</w:t>
      </w:r>
      <w:proofErr w:type="spellEnd"/>
      <w:r w:rsidRPr="008E6807">
        <w:rPr>
          <w:rFonts w:asciiTheme="majorHAnsi" w:hAnsiTheme="majorHAnsi"/>
          <w:sz w:val="24"/>
          <w:lang w:val="ro-RO"/>
        </w:rPr>
        <w:t xml:space="preserve"> (70,7%) și 5,2 </w:t>
      </w:r>
      <w:proofErr w:type="spellStart"/>
      <w:r w:rsidRPr="008E6807">
        <w:rPr>
          <w:rFonts w:asciiTheme="majorHAnsi" w:hAnsiTheme="majorHAnsi"/>
          <w:sz w:val="24"/>
          <w:lang w:val="ro-RO"/>
        </w:rPr>
        <w:t>mil.DST</w:t>
      </w:r>
      <w:proofErr w:type="spellEnd"/>
      <w:r w:rsidRPr="008E6807">
        <w:rPr>
          <w:rFonts w:asciiTheme="majorHAnsi" w:hAnsiTheme="majorHAnsi"/>
          <w:sz w:val="24"/>
          <w:lang w:val="ro-RO"/>
        </w:rPr>
        <w:t xml:space="preserve"> (53,6%), motivul fiind rata dobânzii </w:t>
      </w:r>
      <w:r w:rsidR="004E0BFA" w:rsidRPr="008E6807">
        <w:rPr>
          <w:rFonts w:asciiTheme="majorHAnsi" w:hAnsiTheme="majorHAnsi"/>
          <w:sz w:val="24"/>
          <w:lang w:val="ro-RO"/>
        </w:rPr>
        <w:t xml:space="preserve">neatractivă </w:t>
      </w:r>
      <w:r w:rsidRPr="008E6807">
        <w:rPr>
          <w:rFonts w:asciiTheme="majorHAnsi" w:hAnsiTheme="majorHAnsi"/>
          <w:sz w:val="24"/>
          <w:lang w:val="ro-RO"/>
        </w:rPr>
        <w:t xml:space="preserve">la resursele </w:t>
      </w:r>
      <w:proofErr w:type="spellStart"/>
      <w:r w:rsidRPr="008E6807">
        <w:rPr>
          <w:rFonts w:asciiTheme="majorHAnsi" w:hAnsiTheme="majorHAnsi"/>
          <w:sz w:val="24"/>
          <w:lang w:val="ro-RO"/>
        </w:rPr>
        <w:t>recreditate</w:t>
      </w:r>
      <w:proofErr w:type="spellEnd"/>
      <w:r w:rsidRPr="008E6807">
        <w:rPr>
          <w:rFonts w:asciiTheme="majorHAnsi" w:hAnsiTheme="majorHAnsi"/>
          <w:sz w:val="24"/>
          <w:lang w:val="ro-RO"/>
        </w:rPr>
        <w:t xml:space="preserve"> și reorganizarea </w:t>
      </w:r>
      <w:r w:rsidRPr="008E6807">
        <w:rPr>
          <w:rFonts w:asciiTheme="majorHAnsi" w:hAnsiTheme="majorHAnsi"/>
          <w:sz w:val="24"/>
          <w:shd w:val="clear" w:color="auto" w:fill="FFFFFF"/>
          <w:lang w:val="ro-RO"/>
        </w:rPr>
        <w:t>Organizației de Atragere a Investițiilor și Promovare a Exportului din Moldova în Agenție de Investiții.</w:t>
      </w:r>
    </w:p>
    <w:p w14:paraId="7E9C14D7" w14:textId="0F8A5261" w:rsidR="0017343B" w:rsidRPr="00E37F47" w:rsidRDefault="003476E6" w:rsidP="00206BCB">
      <w:pPr>
        <w:tabs>
          <w:tab w:val="left" w:pos="284"/>
          <w:tab w:val="left" w:pos="567"/>
          <w:tab w:val="left" w:pos="709"/>
        </w:tabs>
        <w:spacing w:after="0" w:line="276" w:lineRule="auto"/>
        <w:ind w:firstLine="284"/>
        <w:jc w:val="both"/>
        <w:rPr>
          <w:rFonts w:asciiTheme="majorHAnsi" w:hAnsiTheme="majorHAnsi"/>
          <w:sz w:val="24"/>
          <w:shd w:val="clear" w:color="auto" w:fill="FFFFFF"/>
          <w:lang w:val="ro-MD"/>
        </w:rPr>
      </w:pPr>
      <w:r w:rsidRPr="00551A82">
        <w:rPr>
          <w:rFonts w:asciiTheme="majorHAnsi" w:hAnsiTheme="majorHAnsi" w:cstheme="majorHAnsi"/>
          <w:sz w:val="24"/>
          <w:szCs w:val="24"/>
          <w:lang w:val="ro-RO"/>
        </w:rPr>
        <w:t xml:space="preserve"> </w:t>
      </w:r>
      <w:r>
        <w:rPr>
          <w:rFonts w:asciiTheme="majorHAnsi" w:hAnsiTheme="majorHAnsi" w:cstheme="majorHAnsi"/>
          <w:sz w:val="24"/>
          <w:szCs w:val="24"/>
          <w:lang w:val="ro-RO"/>
        </w:rPr>
        <w:tab/>
      </w:r>
      <w:r w:rsidR="007D449D">
        <w:rPr>
          <w:rFonts w:asciiTheme="majorHAnsi" w:hAnsiTheme="majorHAnsi" w:cstheme="majorHAnsi"/>
          <w:sz w:val="24"/>
          <w:szCs w:val="24"/>
          <w:lang w:val="ro-RO"/>
        </w:rPr>
        <w:tab/>
      </w:r>
      <w:r w:rsidR="007F4551">
        <w:rPr>
          <w:rFonts w:asciiTheme="majorHAnsi" w:hAnsiTheme="majorHAnsi" w:cstheme="majorHAnsi"/>
          <w:sz w:val="24"/>
          <w:szCs w:val="24"/>
          <w:lang w:val="ro-RO"/>
        </w:rPr>
        <w:t>De asemenea</w:t>
      </w:r>
      <w:r>
        <w:rPr>
          <w:rFonts w:asciiTheme="majorHAnsi" w:hAnsiTheme="majorHAnsi" w:cstheme="majorHAnsi"/>
          <w:sz w:val="24"/>
          <w:szCs w:val="24"/>
          <w:lang w:val="ro-RO"/>
        </w:rPr>
        <w:t xml:space="preserve">, </w:t>
      </w:r>
      <w:r w:rsidR="00A73FF2">
        <w:rPr>
          <w:rFonts w:asciiTheme="majorHAnsi" w:hAnsiTheme="majorHAnsi" w:cstheme="majorHAnsi"/>
          <w:sz w:val="24"/>
          <w:szCs w:val="24"/>
          <w:lang w:val="ro-RO"/>
        </w:rPr>
        <w:t xml:space="preserve">verificările de </w:t>
      </w:r>
      <w:r w:rsidRPr="00E37F47">
        <w:rPr>
          <w:rFonts w:asciiTheme="majorHAnsi" w:hAnsiTheme="majorHAnsi"/>
          <w:sz w:val="24"/>
          <w:shd w:val="clear" w:color="auto" w:fill="FFFFFF"/>
          <w:lang w:val="ro-RO"/>
        </w:rPr>
        <w:t>audit denotă</w:t>
      </w:r>
      <w:r w:rsidRPr="00E37F47">
        <w:rPr>
          <w:rFonts w:asciiTheme="majorHAnsi" w:hAnsiTheme="majorHAnsi"/>
          <w:sz w:val="24"/>
          <w:shd w:val="clear" w:color="auto" w:fill="FFFFFF"/>
          <w:lang w:val="ro-MD"/>
        </w:rPr>
        <w:t xml:space="preserve"> că debursarea unor </w:t>
      </w:r>
      <w:r w:rsidRPr="00C25267">
        <w:rPr>
          <w:rFonts w:asciiTheme="majorHAnsi" w:hAnsiTheme="majorHAnsi"/>
          <w:sz w:val="24"/>
          <w:shd w:val="clear" w:color="auto" w:fill="FFFFFF"/>
          <w:lang w:val="ro-MD"/>
        </w:rPr>
        <w:t xml:space="preserve">împrumuturi </w:t>
      </w:r>
      <w:r w:rsidR="00A73FF2" w:rsidRPr="00C25267">
        <w:rPr>
          <w:rFonts w:asciiTheme="majorHAnsi" w:hAnsiTheme="majorHAnsi"/>
          <w:sz w:val="24"/>
          <w:shd w:val="clear" w:color="auto" w:fill="FFFFFF"/>
          <w:lang w:val="ro-RO"/>
        </w:rPr>
        <w:t>are</w:t>
      </w:r>
      <w:r w:rsidRPr="00C25267">
        <w:rPr>
          <w:rFonts w:asciiTheme="majorHAnsi" w:hAnsiTheme="majorHAnsi"/>
          <w:sz w:val="24"/>
          <w:shd w:val="clear" w:color="auto" w:fill="FFFFFF"/>
          <w:lang w:val="ro-MD"/>
        </w:rPr>
        <w:t xml:space="preserve"> loc cu întârziere, iar achitarea comisioanelor prevăzute în acordurile de împrumut se efectuează din suma contractată</w:t>
      </w:r>
      <w:r w:rsidR="00A73FF2" w:rsidRPr="00C25267">
        <w:rPr>
          <w:rFonts w:asciiTheme="majorHAnsi" w:hAnsiTheme="majorHAnsi"/>
          <w:sz w:val="24"/>
          <w:shd w:val="clear" w:color="auto" w:fill="FFFFFF"/>
          <w:lang w:val="ro-RO"/>
        </w:rPr>
        <w:t xml:space="preserve"> și/sau </w:t>
      </w:r>
      <w:proofErr w:type="spellStart"/>
      <w:r w:rsidR="00A73FF2" w:rsidRPr="00C25267">
        <w:rPr>
          <w:rFonts w:asciiTheme="majorHAnsi" w:hAnsiTheme="majorHAnsi"/>
          <w:sz w:val="24"/>
          <w:shd w:val="clear" w:color="auto" w:fill="FFFFFF"/>
          <w:lang w:val="ro-RO"/>
        </w:rPr>
        <w:t>nedebursată</w:t>
      </w:r>
      <w:proofErr w:type="spellEnd"/>
      <w:r w:rsidRPr="00C25267">
        <w:rPr>
          <w:rFonts w:asciiTheme="majorHAnsi" w:hAnsiTheme="majorHAnsi"/>
          <w:sz w:val="24"/>
          <w:shd w:val="clear" w:color="auto" w:fill="FFFFFF"/>
          <w:lang w:val="ro-MD"/>
        </w:rPr>
        <w:t xml:space="preserve"> a împrumutului,</w:t>
      </w:r>
      <w:r w:rsidR="00BA4700" w:rsidRPr="00C25267">
        <w:rPr>
          <w:rFonts w:asciiTheme="majorHAnsi" w:hAnsiTheme="majorHAnsi"/>
          <w:sz w:val="24"/>
          <w:shd w:val="clear" w:color="auto" w:fill="FFFFFF"/>
          <w:lang w:val="ro-RO"/>
        </w:rPr>
        <w:t xml:space="preserve"> ca rezultat</w:t>
      </w:r>
      <w:r w:rsidR="004E0BFA">
        <w:rPr>
          <w:rFonts w:asciiTheme="majorHAnsi" w:hAnsiTheme="majorHAnsi"/>
          <w:sz w:val="24"/>
          <w:shd w:val="clear" w:color="auto" w:fill="FFFFFF"/>
          <w:lang w:val="ro-RO"/>
        </w:rPr>
        <w:t>,</w:t>
      </w:r>
      <w:r w:rsidRPr="00C25267">
        <w:rPr>
          <w:rFonts w:asciiTheme="majorHAnsi" w:hAnsiTheme="majorHAnsi"/>
          <w:sz w:val="24"/>
          <w:shd w:val="clear" w:color="auto" w:fill="FFFFFF"/>
          <w:lang w:val="ro-MD"/>
        </w:rPr>
        <w:t xml:space="preserve"> </w:t>
      </w:r>
      <w:r w:rsidR="004E0BFA">
        <w:rPr>
          <w:rFonts w:asciiTheme="majorHAnsi" w:hAnsiTheme="majorHAnsi"/>
          <w:sz w:val="24"/>
          <w:shd w:val="clear" w:color="auto" w:fill="FFFFFF"/>
          <w:lang w:val="ro-MD"/>
        </w:rPr>
        <w:t xml:space="preserve">fiind </w:t>
      </w:r>
      <w:r w:rsidRPr="00C25267">
        <w:rPr>
          <w:rFonts w:asciiTheme="majorHAnsi" w:hAnsiTheme="majorHAnsi"/>
          <w:sz w:val="24"/>
          <w:shd w:val="clear" w:color="auto" w:fill="FFFFFF"/>
          <w:lang w:val="ro-MD"/>
        </w:rPr>
        <w:t>gener</w:t>
      </w:r>
      <w:r w:rsidR="004E0BFA">
        <w:rPr>
          <w:rFonts w:asciiTheme="majorHAnsi" w:hAnsiTheme="majorHAnsi"/>
          <w:sz w:val="24"/>
          <w:shd w:val="clear" w:color="auto" w:fill="FFFFFF"/>
          <w:lang w:val="ro-MD"/>
        </w:rPr>
        <w:t>ate</w:t>
      </w:r>
      <w:r w:rsidRPr="00C25267">
        <w:rPr>
          <w:rFonts w:asciiTheme="majorHAnsi" w:hAnsiTheme="majorHAnsi"/>
          <w:sz w:val="24"/>
          <w:shd w:val="clear" w:color="auto" w:fill="FFFFFF"/>
          <w:lang w:val="ro-MD"/>
        </w:rPr>
        <w:t xml:space="preserve"> cheltuieli suplimentare în buget.</w:t>
      </w:r>
      <w:r w:rsidR="00863487" w:rsidRPr="00C25267">
        <w:rPr>
          <w:rFonts w:asciiTheme="majorHAnsi" w:hAnsiTheme="majorHAnsi"/>
          <w:sz w:val="24"/>
          <w:shd w:val="clear" w:color="auto" w:fill="FFFFFF"/>
          <w:lang w:val="ro-RO"/>
        </w:rPr>
        <w:t xml:space="preserve"> </w:t>
      </w:r>
      <w:r w:rsidR="00B1774D" w:rsidRPr="00C25267">
        <w:rPr>
          <w:rFonts w:asciiTheme="majorHAnsi" w:hAnsiTheme="majorHAnsi"/>
          <w:sz w:val="24"/>
          <w:shd w:val="clear" w:color="auto" w:fill="FFFFFF"/>
          <w:lang w:val="ro-RO"/>
        </w:rPr>
        <w:t>În perioada anilor 2010-2018</w:t>
      </w:r>
      <w:r w:rsidR="00A00325">
        <w:rPr>
          <w:rFonts w:asciiTheme="majorHAnsi" w:hAnsiTheme="majorHAnsi" w:cstheme="majorHAnsi"/>
          <w:sz w:val="24"/>
          <w:szCs w:val="24"/>
          <w:shd w:val="clear" w:color="auto" w:fill="FFFFFF"/>
          <w:lang w:val="ro-RO"/>
        </w:rPr>
        <w:t xml:space="preserve">, pentru împrumuturile active </w:t>
      </w:r>
      <w:r w:rsidR="00C25267">
        <w:rPr>
          <w:rFonts w:asciiTheme="majorHAnsi" w:hAnsiTheme="majorHAnsi" w:cstheme="majorHAnsi"/>
          <w:sz w:val="24"/>
          <w:szCs w:val="24"/>
          <w:shd w:val="clear" w:color="auto" w:fill="FFFFFF"/>
          <w:lang w:val="ro-RO"/>
        </w:rPr>
        <w:t>în</w:t>
      </w:r>
      <w:r w:rsidR="00A00325">
        <w:rPr>
          <w:rFonts w:asciiTheme="majorHAnsi" w:hAnsiTheme="majorHAnsi" w:cstheme="majorHAnsi"/>
          <w:sz w:val="24"/>
          <w:szCs w:val="24"/>
          <w:shd w:val="clear" w:color="auto" w:fill="FFFFFF"/>
          <w:lang w:val="ro-RO"/>
        </w:rPr>
        <w:t xml:space="preserve"> anul 2018, </w:t>
      </w:r>
      <w:r w:rsidR="00B1774D" w:rsidRPr="00C25267">
        <w:rPr>
          <w:rFonts w:asciiTheme="majorHAnsi" w:hAnsiTheme="majorHAnsi"/>
          <w:sz w:val="24"/>
          <w:shd w:val="clear" w:color="auto" w:fill="FFFFFF"/>
          <w:lang w:val="ro-RO"/>
        </w:rPr>
        <w:t xml:space="preserve"> au fost achitate comisioane în sumă totală de 10,0 </w:t>
      </w:r>
      <w:proofErr w:type="spellStart"/>
      <w:r w:rsidR="00B1774D" w:rsidRPr="00C25267">
        <w:rPr>
          <w:rFonts w:asciiTheme="majorHAnsi" w:hAnsiTheme="majorHAnsi"/>
          <w:sz w:val="24"/>
          <w:shd w:val="clear" w:color="auto" w:fill="FFFFFF"/>
          <w:lang w:val="ro-RO"/>
        </w:rPr>
        <w:t>mil.dol.SUA</w:t>
      </w:r>
      <w:proofErr w:type="spellEnd"/>
      <w:r w:rsidR="00B1774D" w:rsidRPr="00C25267">
        <w:rPr>
          <w:rFonts w:asciiTheme="majorHAnsi" w:hAnsiTheme="majorHAnsi"/>
          <w:sz w:val="24"/>
          <w:shd w:val="clear" w:color="auto" w:fill="FFFFFF"/>
          <w:lang w:val="ro-RO"/>
        </w:rPr>
        <w:t xml:space="preserve">, dintre care în </w:t>
      </w:r>
      <w:r w:rsidR="00B1774D" w:rsidRPr="00E37F47">
        <w:rPr>
          <w:rFonts w:asciiTheme="majorHAnsi" w:hAnsiTheme="majorHAnsi"/>
          <w:sz w:val="24"/>
          <w:shd w:val="clear" w:color="auto" w:fill="FFFFFF"/>
          <w:lang w:val="ro-RO"/>
        </w:rPr>
        <w:t xml:space="preserve">anul 2018 – 2,1 </w:t>
      </w:r>
      <w:proofErr w:type="spellStart"/>
      <w:r w:rsidR="00B1774D" w:rsidRPr="00E37F47">
        <w:rPr>
          <w:rFonts w:asciiTheme="majorHAnsi" w:hAnsiTheme="majorHAnsi"/>
          <w:sz w:val="24"/>
          <w:shd w:val="clear" w:color="auto" w:fill="FFFFFF"/>
          <w:lang w:val="ro-RO"/>
        </w:rPr>
        <w:t>mil.dol.SUA</w:t>
      </w:r>
      <w:proofErr w:type="spellEnd"/>
      <w:r w:rsidR="00B1774D" w:rsidRPr="00E37F47">
        <w:rPr>
          <w:rFonts w:asciiTheme="majorHAnsi" w:hAnsiTheme="majorHAnsi"/>
          <w:sz w:val="24"/>
          <w:shd w:val="clear" w:color="auto" w:fill="FFFFFF"/>
          <w:lang w:val="ro-RO"/>
        </w:rPr>
        <w:t>.</w:t>
      </w:r>
    </w:p>
    <w:p w14:paraId="44D86D79" w14:textId="013B9396" w:rsidR="00624BC2" w:rsidRPr="004C1654" w:rsidRDefault="00624BC2" w:rsidP="00863474">
      <w:pPr>
        <w:spacing w:after="0" w:line="276" w:lineRule="auto"/>
        <w:ind w:firstLine="720"/>
        <w:jc w:val="both"/>
        <w:rPr>
          <w:rFonts w:asciiTheme="majorHAnsi" w:hAnsiTheme="majorHAnsi" w:cstheme="majorHAnsi"/>
          <w:sz w:val="24"/>
          <w:szCs w:val="24"/>
          <w:lang w:val="ro-RO"/>
        </w:rPr>
      </w:pPr>
      <w:r>
        <w:rPr>
          <w:rFonts w:asciiTheme="majorHAnsi" w:hAnsiTheme="majorHAnsi" w:cstheme="majorHAnsi"/>
          <w:sz w:val="24"/>
          <w:szCs w:val="24"/>
          <w:lang w:val="ro-RO"/>
        </w:rPr>
        <w:t xml:space="preserve">În acest </w:t>
      </w:r>
      <w:r w:rsidRPr="004C1654">
        <w:rPr>
          <w:rFonts w:asciiTheme="majorHAnsi" w:hAnsiTheme="majorHAnsi" w:cstheme="majorHAnsi"/>
          <w:sz w:val="24"/>
          <w:szCs w:val="24"/>
          <w:lang w:val="ro-RO"/>
        </w:rPr>
        <w:t>context, a</w:t>
      </w:r>
      <w:r w:rsidR="00101A26" w:rsidRPr="004C1654">
        <w:rPr>
          <w:rFonts w:asciiTheme="majorHAnsi" w:hAnsiTheme="majorHAnsi" w:cstheme="majorHAnsi"/>
          <w:sz w:val="24"/>
          <w:szCs w:val="24"/>
          <w:lang w:val="ro-RO"/>
        </w:rPr>
        <w:t>uditul relevă că</w:t>
      </w:r>
      <w:r w:rsidR="00476DA6" w:rsidRPr="004C1654">
        <w:rPr>
          <w:rFonts w:asciiTheme="majorHAnsi" w:hAnsiTheme="majorHAnsi" w:cstheme="majorHAnsi"/>
          <w:sz w:val="24"/>
          <w:szCs w:val="24"/>
          <w:lang w:val="ro-RO"/>
        </w:rPr>
        <w:t>, pentru împrumutul acordat de către BIRD</w:t>
      </w:r>
      <w:r w:rsidR="00DD6306" w:rsidRPr="004C1654">
        <w:rPr>
          <w:rFonts w:asciiTheme="majorHAnsi" w:hAnsiTheme="majorHAnsi" w:cstheme="majorHAnsi"/>
          <w:sz w:val="24"/>
          <w:szCs w:val="24"/>
          <w:lang w:val="ro-RO"/>
        </w:rPr>
        <w:t xml:space="preserve"> în anul 2016</w:t>
      </w:r>
      <w:r w:rsidR="00476DA6" w:rsidRPr="004C1654">
        <w:rPr>
          <w:rFonts w:asciiTheme="majorHAnsi" w:hAnsiTheme="majorHAnsi" w:cstheme="majorHAnsi"/>
          <w:sz w:val="24"/>
          <w:szCs w:val="24"/>
          <w:lang w:val="ro-RO"/>
        </w:rPr>
        <w:t xml:space="preserve"> în vederea realizării </w:t>
      </w:r>
      <w:r w:rsidR="00101A26" w:rsidRPr="004C1654">
        <w:rPr>
          <w:rFonts w:asciiTheme="majorHAnsi" w:hAnsiTheme="majorHAnsi" w:cstheme="majorHAnsi"/>
          <w:sz w:val="24"/>
          <w:szCs w:val="24"/>
          <w:lang w:val="ro-RO"/>
        </w:rPr>
        <w:t>„</w:t>
      </w:r>
      <w:r w:rsidR="00476DA6" w:rsidRPr="004C1654">
        <w:rPr>
          <w:rFonts w:asciiTheme="majorHAnsi" w:hAnsiTheme="majorHAnsi" w:cstheme="majorHAnsi"/>
          <w:sz w:val="24"/>
          <w:szCs w:val="24"/>
          <w:lang w:val="ro-RO"/>
        </w:rPr>
        <w:t>Proiectului de modernizare a administrării fiscale (TAMP)</w:t>
      </w:r>
      <w:r w:rsidR="00101A26" w:rsidRPr="004C1654">
        <w:rPr>
          <w:rFonts w:asciiTheme="majorHAnsi" w:hAnsiTheme="majorHAnsi" w:cstheme="majorHAnsi"/>
          <w:sz w:val="24"/>
          <w:szCs w:val="24"/>
          <w:lang w:val="ro-RO"/>
        </w:rPr>
        <w:t>”</w:t>
      </w:r>
      <w:r w:rsidR="00476DA6" w:rsidRPr="004C1654">
        <w:rPr>
          <w:rFonts w:asciiTheme="majorHAnsi" w:hAnsiTheme="majorHAnsi" w:cstheme="majorHAnsi"/>
          <w:sz w:val="24"/>
          <w:szCs w:val="24"/>
          <w:lang w:val="ro-RO"/>
        </w:rPr>
        <w:t xml:space="preserve"> </w:t>
      </w:r>
      <w:r w:rsidR="00555A16" w:rsidRPr="004C1654">
        <w:rPr>
          <w:rFonts w:asciiTheme="majorHAnsi" w:hAnsiTheme="majorHAnsi" w:cstheme="majorHAnsi"/>
          <w:sz w:val="24"/>
          <w:szCs w:val="24"/>
          <w:lang w:val="ro-RO"/>
        </w:rPr>
        <w:t xml:space="preserve">în sumă de 12,6 </w:t>
      </w:r>
      <w:proofErr w:type="spellStart"/>
      <w:r w:rsidR="00555A16" w:rsidRPr="004C1654">
        <w:rPr>
          <w:rFonts w:asciiTheme="majorHAnsi" w:hAnsiTheme="majorHAnsi" w:cstheme="majorHAnsi"/>
          <w:sz w:val="24"/>
          <w:szCs w:val="24"/>
          <w:lang w:val="ro-RO"/>
        </w:rPr>
        <w:t>mil.dol.</w:t>
      </w:r>
      <w:r w:rsidR="00476DA6" w:rsidRPr="004C1654">
        <w:rPr>
          <w:rFonts w:asciiTheme="majorHAnsi" w:hAnsiTheme="majorHAnsi" w:cstheme="majorHAnsi"/>
          <w:sz w:val="24"/>
          <w:szCs w:val="24"/>
          <w:lang w:val="ro-RO"/>
        </w:rPr>
        <w:t>SUA</w:t>
      </w:r>
      <w:proofErr w:type="spellEnd"/>
      <w:r w:rsidR="00476DA6" w:rsidRPr="004C1654">
        <w:rPr>
          <w:rFonts w:asciiTheme="majorHAnsi" w:hAnsiTheme="majorHAnsi" w:cstheme="majorHAnsi"/>
          <w:sz w:val="24"/>
          <w:szCs w:val="24"/>
          <w:lang w:val="ro-RO"/>
        </w:rPr>
        <w:t>,</w:t>
      </w:r>
      <w:r w:rsidRPr="004C1654">
        <w:rPr>
          <w:rFonts w:asciiTheme="majorHAnsi" w:hAnsiTheme="majorHAnsi" w:cstheme="majorHAnsi"/>
          <w:sz w:val="24"/>
          <w:szCs w:val="24"/>
          <w:lang w:val="ro-RO"/>
        </w:rPr>
        <w:t xml:space="preserve"> deși</w:t>
      </w:r>
      <w:r w:rsidR="00476DA6" w:rsidRPr="004C1654">
        <w:rPr>
          <w:rFonts w:asciiTheme="majorHAnsi" w:hAnsiTheme="majorHAnsi" w:cstheme="majorHAnsi"/>
          <w:sz w:val="24"/>
          <w:szCs w:val="24"/>
          <w:lang w:val="ro-RO"/>
        </w:rPr>
        <w:t xml:space="preserve"> nu </w:t>
      </w:r>
      <w:r w:rsidR="007563AB">
        <w:rPr>
          <w:rFonts w:asciiTheme="majorHAnsi" w:hAnsiTheme="majorHAnsi" w:cstheme="majorHAnsi"/>
          <w:sz w:val="24"/>
          <w:szCs w:val="24"/>
          <w:lang w:val="ro-RO"/>
        </w:rPr>
        <w:t>s-</w:t>
      </w:r>
      <w:r w:rsidR="00476DA6" w:rsidRPr="004C1654">
        <w:rPr>
          <w:rFonts w:asciiTheme="majorHAnsi" w:hAnsiTheme="majorHAnsi" w:cstheme="majorHAnsi"/>
          <w:sz w:val="24"/>
          <w:szCs w:val="24"/>
          <w:lang w:val="ro-RO"/>
        </w:rPr>
        <w:t xml:space="preserve">au efectuat debursări, </w:t>
      </w:r>
      <w:r w:rsidRPr="004C1654">
        <w:rPr>
          <w:rFonts w:asciiTheme="majorHAnsi" w:hAnsiTheme="majorHAnsi" w:cstheme="majorHAnsi"/>
          <w:sz w:val="24"/>
          <w:szCs w:val="24"/>
          <w:lang w:val="ro-RO"/>
        </w:rPr>
        <w:t>a fost</w:t>
      </w:r>
      <w:r w:rsidR="00555A16" w:rsidRPr="004C1654">
        <w:rPr>
          <w:rFonts w:asciiTheme="majorHAnsi" w:hAnsiTheme="majorHAnsi" w:cstheme="majorHAnsi"/>
          <w:sz w:val="24"/>
          <w:szCs w:val="24"/>
          <w:lang w:val="ro-RO"/>
        </w:rPr>
        <w:t xml:space="preserve"> achitat un</w:t>
      </w:r>
      <w:r w:rsidR="00476DA6" w:rsidRPr="004C1654">
        <w:rPr>
          <w:rFonts w:asciiTheme="majorHAnsi" w:hAnsiTheme="majorHAnsi" w:cstheme="majorHAnsi"/>
          <w:sz w:val="24"/>
          <w:szCs w:val="24"/>
          <w:lang w:val="ro-RO"/>
        </w:rPr>
        <w:t xml:space="preserve"> comision </w:t>
      </w:r>
      <w:r w:rsidR="00555A16" w:rsidRPr="004C1654">
        <w:rPr>
          <w:rFonts w:asciiTheme="majorHAnsi" w:hAnsiTheme="majorHAnsi" w:cstheme="majorHAnsi"/>
          <w:sz w:val="24"/>
          <w:szCs w:val="24"/>
          <w:lang w:val="ro-RO"/>
        </w:rPr>
        <w:t>unic</w:t>
      </w:r>
      <w:r w:rsidR="00E53290" w:rsidRPr="004C1654">
        <w:rPr>
          <w:rFonts w:asciiTheme="majorHAnsi" w:hAnsiTheme="majorHAnsi" w:cstheme="majorHAnsi"/>
          <w:sz w:val="24"/>
          <w:szCs w:val="24"/>
          <w:lang w:val="ro-RO"/>
        </w:rPr>
        <w:t xml:space="preserve"> (0,25% din suma contractată), </w:t>
      </w:r>
      <w:r w:rsidR="00E53290" w:rsidRPr="00F46806">
        <w:rPr>
          <w:rFonts w:asciiTheme="majorHAnsi" w:hAnsiTheme="majorHAnsi" w:cstheme="majorHAnsi"/>
          <w:sz w:val="24"/>
          <w:szCs w:val="24"/>
          <w:lang w:val="ro-RO"/>
        </w:rPr>
        <w:t>dar</w:t>
      </w:r>
      <w:r w:rsidR="00E53290" w:rsidRPr="004C1654">
        <w:rPr>
          <w:rFonts w:asciiTheme="majorHAnsi" w:hAnsiTheme="majorHAnsi" w:cstheme="majorHAnsi"/>
          <w:sz w:val="24"/>
          <w:szCs w:val="24"/>
          <w:lang w:val="ro-RO"/>
        </w:rPr>
        <w:t xml:space="preserve"> </w:t>
      </w:r>
      <w:r w:rsidR="007D2A9C" w:rsidRPr="004C1654">
        <w:rPr>
          <w:rFonts w:asciiTheme="majorHAnsi" w:hAnsiTheme="majorHAnsi" w:cstheme="majorHAnsi"/>
          <w:sz w:val="24"/>
          <w:szCs w:val="24"/>
          <w:lang w:val="ro-RO"/>
        </w:rPr>
        <w:t>și taxa de angajament pentru bil</w:t>
      </w:r>
      <w:r w:rsidR="00E53290" w:rsidRPr="004C1654">
        <w:rPr>
          <w:rFonts w:asciiTheme="majorHAnsi" w:hAnsiTheme="majorHAnsi" w:cstheme="majorHAnsi"/>
          <w:sz w:val="24"/>
          <w:szCs w:val="24"/>
          <w:lang w:val="ro-RO"/>
        </w:rPr>
        <w:t>anțul creditului neretras (0,25%)</w:t>
      </w:r>
      <w:r w:rsidR="00555A16" w:rsidRPr="004C1654">
        <w:rPr>
          <w:rFonts w:asciiTheme="majorHAnsi" w:hAnsiTheme="majorHAnsi" w:cstheme="majorHAnsi"/>
          <w:sz w:val="24"/>
          <w:szCs w:val="24"/>
          <w:lang w:val="ro-RO"/>
        </w:rPr>
        <w:t xml:space="preserve"> </w:t>
      </w:r>
      <w:r w:rsidR="00476DA6" w:rsidRPr="004C1654">
        <w:rPr>
          <w:rFonts w:asciiTheme="majorHAnsi" w:hAnsiTheme="majorHAnsi" w:cstheme="majorHAnsi"/>
          <w:sz w:val="24"/>
          <w:szCs w:val="24"/>
          <w:lang w:val="ro-RO"/>
        </w:rPr>
        <w:t>în su</w:t>
      </w:r>
      <w:r w:rsidR="00E53290" w:rsidRPr="004C1654">
        <w:rPr>
          <w:rFonts w:asciiTheme="majorHAnsi" w:hAnsiTheme="majorHAnsi" w:cstheme="majorHAnsi"/>
          <w:sz w:val="24"/>
          <w:szCs w:val="24"/>
          <w:lang w:val="ro-RO"/>
        </w:rPr>
        <w:t xml:space="preserve">mă totală de 103,8 mii </w:t>
      </w:r>
      <w:proofErr w:type="spellStart"/>
      <w:r w:rsidR="00555A16" w:rsidRPr="004C1654">
        <w:rPr>
          <w:rFonts w:asciiTheme="majorHAnsi" w:hAnsiTheme="majorHAnsi" w:cstheme="majorHAnsi"/>
          <w:sz w:val="24"/>
          <w:szCs w:val="24"/>
          <w:lang w:val="ro-RO"/>
        </w:rPr>
        <w:t>dol.SUA</w:t>
      </w:r>
      <w:proofErr w:type="spellEnd"/>
      <w:r w:rsidR="00555A16" w:rsidRPr="004C1654">
        <w:rPr>
          <w:rFonts w:asciiTheme="majorHAnsi" w:hAnsiTheme="majorHAnsi" w:cstheme="majorHAnsi"/>
          <w:sz w:val="24"/>
          <w:szCs w:val="24"/>
          <w:lang w:val="ro-RO"/>
        </w:rPr>
        <w:t xml:space="preserve">. </w:t>
      </w:r>
    </w:p>
    <w:p w14:paraId="3DEC8E0E" w14:textId="4D87DBB3" w:rsidR="00E96C41" w:rsidRDefault="00607633" w:rsidP="00E96C41">
      <w:pPr>
        <w:tabs>
          <w:tab w:val="left" w:pos="284"/>
          <w:tab w:val="left" w:pos="567"/>
          <w:tab w:val="left" w:pos="709"/>
        </w:tabs>
        <w:spacing w:after="0" w:line="276" w:lineRule="auto"/>
        <w:ind w:firstLine="284"/>
        <w:jc w:val="both"/>
        <w:rPr>
          <w:rFonts w:asciiTheme="majorHAnsi" w:hAnsiTheme="majorHAnsi" w:cstheme="majorHAnsi"/>
          <w:sz w:val="24"/>
          <w:szCs w:val="24"/>
          <w:lang w:val="ro-RO"/>
        </w:rPr>
      </w:pPr>
      <w:r w:rsidRPr="008E6807">
        <w:rPr>
          <w:rFonts w:asciiTheme="majorHAnsi" w:hAnsiTheme="majorHAnsi"/>
          <w:sz w:val="24"/>
          <w:shd w:val="clear" w:color="auto" w:fill="FFFFFF"/>
          <w:lang w:val="ro-RO"/>
        </w:rPr>
        <w:tab/>
      </w:r>
      <w:r w:rsidR="008C6011">
        <w:rPr>
          <w:rFonts w:asciiTheme="majorHAnsi" w:hAnsiTheme="majorHAnsi"/>
          <w:sz w:val="24"/>
          <w:shd w:val="clear" w:color="auto" w:fill="FFFFFF"/>
          <w:lang w:val="ro-RO"/>
        </w:rPr>
        <w:t>În cadrul p</w:t>
      </w:r>
      <w:r w:rsidR="007D449D" w:rsidRPr="00C25267">
        <w:rPr>
          <w:rFonts w:asciiTheme="majorHAnsi" w:hAnsiTheme="majorHAnsi"/>
          <w:sz w:val="24"/>
          <w:shd w:val="clear" w:color="auto" w:fill="FFFFFF"/>
          <w:lang w:val="ro-RO"/>
        </w:rPr>
        <w:t>roiectul</w:t>
      </w:r>
      <w:r w:rsidR="008C6011">
        <w:rPr>
          <w:rFonts w:asciiTheme="majorHAnsi" w:hAnsiTheme="majorHAnsi"/>
          <w:sz w:val="24"/>
          <w:shd w:val="clear" w:color="auto" w:fill="FFFFFF"/>
          <w:lang w:val="ro-RO"/>
        </w:rPr>
        <w:t>ui</w:t>
      </w:r>
      <w:r w:rsidR="007D449D" w:rsidRPr="00C25267">
        <w:rPr>
          <w:rFonts w:asciiTheme="majorHAnsi" w:hAnsiTheme="majorHAnsi"/>
          <w:sz w:val="24"/>
          <w:shd w:val="clear" w:color="auto" w:fill="FFFFFF"/>
          <w:lang w:val="ro-RO"/>
        </w:rPr>
        <w:t xml:space="preserve"> </w:t>
      </w:r>
      <w:r w:rsidRPr="00E02CD8">
        <w:rPr>
          <w:rFonts w:asciiTheme="majorHAnsi" w:hAnsiTheme="majorHAnsi"/>
          <w:i/>
          <w:sz w:val="24"/>
          <w:shd w:val="clear" w:color="auto" w:fill="FFFFFF"/>
          <w:lang w:val="ro-RO"/>
        </w:rPr>
        <w:t>„</w:t>
      </w:r>
      <w:r w:rsidR="007D449D" w:rsidRPr="00E02CD8">
        <w:rPr>
          <w:rFonts w:asciiTheme="majorHAnsi" w:hAnsiTheme="majorHAnsi"/>
          <w:i/>
          <w:sz w:val="24"/>
          <w:shd w:val="clear" w:color="auto" w:fill="FFFFFF"/>
          <w:lang w:val="ro-RO"/>
        </w:rPr>
        <w:t>Achizi</w:t>
      </w:r>
      <w:r w:rsidRPr="00E02CD8">
        <w:rPr>
          <w:rFonts w:asciiTheme="majorHAnsi" w:hAnsiTheme="majorHAnsi"/>
          <w:i/>
          <w:sz w:val="24"/>
          <w:shd w:val="clear" w:color="auto" w:fill="FFFFFF"/>
          <w:lang w:val="ro-RO"/>
        </w:rPr>
        <w:t>ția locomotivelor și restructurare</w:t>
      </w:r>
      <w:r w:rsidR="007D449D" w:rsidRPr="00E02CD8">
        <w:rPr>
          <w:rFonts w:asciiTheme="majorHAnsi" w:hAnsiTheme="majorHAnsi"/>
          <w:i/>
          <w:sz w:val="24"/>
          <w:shd w:val="clear" w:color="auto" w:fill="FFFFFF"/>
          <w:lang w:val="ro-RO"/>
        </w:rPr>
        <w:t>a infrastructurii feroviare”</w:t>
      </w:r>
      <w:r w:rsidR="007563AB" w:rsidRPr="00E02CD8">
        <w:rPr>
          <w:rFonts w:asciiTheme="majorHAnsi" w:hAnsiTheme="majorHAnsi"/>
          <w:i/>
          <w:sz w:val="24"/>
          <w:shd w:val="clear" w:color="auto" w:fill="FFFFFF"/>
          <w:lang w:val="ro-RO"/>
        </w:rPr>
        <w:t>,</w:t>
      </w:r>
      <w:r w:rsidR="007D449D" w:rsidRPr="00C25267">
        <w:rPr>
          <w:rFonts w:asciiTheme="majorHAnsi" w:hAnsiTheme="majorHAnsi"/>
          <w:i/>
          <w:sz w:val="24"/>
          <w:shd w:val="clear" w:color="auto" w:fill="FFFFFF"/>
          <w:lang w:val="ro-MD"/>
        </w:rPr>
        <w:t xml:space="preserve"> </w:t>
      </w:r>
      <w:r w:rsidR="0068224B" w:rsidRPr="00C25267">
        <w:rPr>
          <w:rFonts w:asciiTheme="majorHAnsi" w:hAnsiTheme="majorHAnsi"/>
          <w:sz w:val="24"/>
          <w:shd w:val="clear" w:color="auto" w:fill="FFFFFF"/>
          <w:lang w:val="ro-RO"/>
        </w:rPr>
        <w:t>contractat</w:t>
      </w:r>
      <w:r w:rsidR="005F635D" w:rsidRPr="00C25267">
        <w:rPr>
          <w:rFonts w:asciiTheme="majorHAnsi" w:hAnsiTheme="majorHAnsi"/>
          <w:sz w:val="24"/>
          <w:shd w:val="clear" w:color="auto" w:fill="FFFFFF"/>
          <w:lang w:val="ro-RO"/>
        </w:rPr>
        <w:t xml:space="preserve"> de la BERD</w:t>
      </w:r>
      <w:r w:rsidR="0068224B" w:rsidRPr="00C25267">
        <w:rPr>
          <w:rFonts w:asciiTheme="majorHAnsi" w:hAnsiTheme="majorHAnsi"/>
          <w:sz w:val="24"/>
          <w:shd w:val="clear" w:color="auto" w:fill="FFFFFF"/>
          <w:lang w:val="ro-RO"/>
        </w:rPr>
        <w:t xml:space="preserve"> în anul 2014</w:t>
      </w:r>
      <w:r w:rsidR="00490AB1" w:rsidRPr="00C25267">
        <w:rPr>
          <w:rFonts w:asciiTheme="majorHAnsi" w:hAnsiTheme="majorHAnsi"/>
          <w:sz w:val="24"/>
          <w:shd w:val="clear" w:color="auto" w:fill="FFFFFF"/>
          <w:lang w:val="ro-RO"/>
        </w:rPr>
        <w:t xml:space="preserve"> și ratificat în anul 2015,</w:t>
      </w:r>
      <w:r w:rsidR="0068224B" w:rsidRPr="00C25267">
        <w:rPr>
          <w:rFonts w:asciiTheme="majorHAnsi" w:hAnsiTheme="majorHAnsi"/>
          <w:sz w:val="24"/>
          <w:shd w:val="clear" w:color="auto" w:fill="FFFFFF"/>
          <w:lang w:val="ro-RO"/>
        </w:rPr>
        <w:t xml:space="preserve"> î</w:t>
      </w:r>
      <w:r w:rsidR="007D449D" w:rsidRPr="00C25267">
        <w:rPr>
          <w:rFonts w:asciiTheme="majorHAnsi" w:hAnsiTheme="majorHAnsi"/>
          <w:sz w:val="24"/>
          <w:shd w:val="clear" w:color="auto" w:fill="FFFFFF"/>
          <w:lang w:val="ro-RO"/>
        </w:rPr>
        <w:t>n</w:t>
      </w:r>
      <w:r w:rsidR="007D449D" w:rsidRPr="00C25267">
        <w:rPr>
          <w:rFonts w:asciiTheme="majorHAnsi" w:hAnsiTheme="majorHAnsi"/>
          <w:sz w:val="24"/>
          <w:shd w:val="clear" w:color="auto" w:fill="FFFFFF"/>
          <w:lang w:val="ro-MD"/>
        </w:rPr>
        <w:t xml:space="preserve"> </w:t>
      </w:r>
      <w:r w:rsidR="0068224B" w:rsidRPr="00C25267">
        <w:rPr>
          <w:rFonts w:asciiTheme="majorHAnsi" w:hAnsiTheme="majorHAnsi"/>
          <w:sz w:val="24"/>
          <w:shd w:val="clear" w:color="auto" w:fill="FFFFFF"/>
          <w:lang w:val="ro-RO"/>
        </w:rPr>
        <w:t>sumă</w:t>
      </w:r>
      <w:r w:rsidRPr="00C25267">
        <w:rPr>
          <w:rFonts w:asciiTheme="majorHAnsi" w:hAnsiTheme="majorHAnsi"/>
          <w:sz w:val="24"/>
          <w:shd w:val="clear" w:color="auto" w:fill="FFFFFF"/>
          <w:lang w:val="ro-RO"/>
        </w:rPr>
        <w:t xml:space="preserve"> de 52,</w:t>
      </w:r>
      <w:r w:rsidR="00A00325">
        <w:rPr>
          <w:rFonts w:asciiTheme="majorHAnsi" w:hAnsiTheme="majorHAnsi" w:cstheme="majorHAnsi"/>
          <w:sz w:val="24"/>
          <w:szCs w:val="24"/>
          <w:shd w:val="clear" w:color="auto" w:fill="FFFFFF"/>
          <w:lang w:val="ro-RO"/>
        </w:rPr>
        <w:t>5</w:t>
      </w:r>
      <w:r w:rsidR="00A00325" w:rsidRPr="009561CB">
        <w:rPr>
          <w:rFonts w:asciiTheme="majorHAnsi" w:hAnsiTheme="majorHAnsi" w:cstheme="majorHAnsi"/>
          <w:sz w:val="24"/>
          <w:szCs w:val="24"/>
          <w:shd w:val="clear" w:color="auto" w:fill="FFFFFF"/>
          <w:lang w:val="ro-RO"/>
        </w:rPr>
        <w:t xml:space="preserve"> </w:t>
      </w:r>
      <w:proofErr w:type="spellStart"/>
      <w:r w:rsidRPr="00C25267">
        <w:rPr>
          <w:rFonts w:asciiTheme="majorHAnsi" w:hAnsiTheme="majorHAnsi"/>
          <w:sz w:val="24"/>
          <w:shd w:val="clear" w:color="auto" w:fill="FFFFFF"/>
          <w:lang w:val="ro-RO"/>
        </w:rPr>
        <w:t>mil.euro</w:t>
      </w:r>
      <w:proofErr w:type="spellEnd"/>
      <w:r w:rsidR="00F46806">
        <w:rPr>
          <w:rFonts w:asciiTheme="majorHAnsi" w:hAnsiTheme="majorHAnsi"/>
          <w:sz w:val="24"/>
          <w:shd w:val="clear" w:color="auto" w:fill="FFFFFF"/>
          <w:lang w:val="ro-RO"/>
        </w:rPr>
        <w:t>,</w:t>
      </w:r>
      <w:r w:rsidR="007D449D" w:rsidRPr="00C25267">
        <w:rPr>
          <w:rFonts w:asciiTheme="majorHAnsi" w:hAnsiTheme="majorHAnsi"/>
          <w:sz w:val="24"/>
          <w:shd w:val="clear" w:color="auto" w:fill="FFFFFF"/>
          <w:lang w:val="ro-MD"/>
        </w:rPr>
        <w:t xml:space="preserve"> s-a</w:t>
      </w:r>
      <w:r w:rsidRPr="00C25267">
        <w:rPr>
          <w:rFonts w:asciiTheme="majorHAnsi" w:hAnsiTheme="majorHAnsi"/>
          <w:sz w:val="24"/>
          <w:shd w:val="clear" w:color="auto" w:fill="FFFFFF"/>
          <w:lang w:val="ro-RO"/>
        </w:rPr>
        <w:t>u</w:t>
      </w:r>
      <w:r w:rsidR="007D449D" w:rsidRPr="00C25267">
        <w:rPr>
          <w:rFonts w:asciiTheme="majorHAnsi" w:hAnsiTheme="majorHAnsi"/>
          <w:sz w:val="24"/>
          <w:shd w:val="clear" w:color="auto" w:fill="FFFFFF"/>
          <w:lang w:val="ro-MD"/>
        </w:rPr>
        <w:t xml:space="preserve"> debursat 4,</w:t>
      </w:r>
      <w:r w:rsidR="00A00325">
        <w:rPr>
          <w:rFonts w:asciiTheme="majorHAnsi" w:hAnsiTheme="majorHAnsi" w:cstheme="majorHAnsi"/>
          <w:sz w:val="24"/>
          <w:szCs w:val="24"/>
          <w:shd w:val="clear" w:color="auto" w:fill="FFFFFF"/>
          <w:lang w:val="ro-RO"/>
        </w:rPr>
        <w:t>2</w:t>
      </w:r>
      <w:r w:rsidR="00C129A1">
        <w:rPr>
          <w:rFonts w:asciiTheme="majorHAnsi" w:hAnsiTheme="majorHAnsi" w:cstheme="majorHAnsi"/>
          <w:sz w:val="24"/>
          <w:szCs w:val="24"/>
          <w:shd w:val="clear" w:color="auto" w:fill="FFFFFF"/>
          <w:lang w:val="ro-RO"/>
        </w:rPr>
        <w:t>1</w:t>
      </w:r>
      <w:r w:rsidR="007D449D" w:rsidRPr="00C25267">
        <w:rPr>
          <w:rFonts w:asciiTheme="majorHAnsi" w:hAnsiTheme="majorHAnsi"/>
          <w:sz w:val="24"/>
          <w:shd w:val="clear" w:color="auto" w:fill="FFFFFF"/>
          <w:lang w:val="ro-MD"/>
        </w:rPr>
        <w:t xml:space="preserve"> </w:t>
      </w:r>
      <w:proofErr w:type="spellStart"/>
      <w:r w:rsidRPr="00C25267">
        <w:rPr>
          <w:rFonts w:asciiTheme="majorHAnsi" w:hAnsiTheme="majorHAnsi"/>
          <w:sz w:val="24"/>
          <w:shd w:val="clear" w:color="auto" w:fill="FFFFFF"/>
          <w:lang w:val="ro-RO"/>
        </w:rPr>
        <w:t>mil.euro</w:t>
      </w:r>
      <w:proofErr w:type="spellEnd"/>
      <w:r w:rsidRPr="00C25267">
        <w:rPr>
          <w:rFonts w:asciiTheme="majorHAnsi" w:hAnsiTheme="majorHAnsi"/>
          <w:sz w:val="24"/>
          <w:shd w:val="clear" w:color="auto" w:fill="FFFFFF"/>
          <w:lang w:val="ro-MD"/>
        </w:rPr>
        <w:t xml:space="preserve"> </w:t>
      </w:r>
      <w:r w:rsidRPr="00C25267">
        <w:rPr>
          <w:rFonts w:asciiTheme="majorHAnsi" w:hAnsiTheme="majorHAnsi"/>
          <w:sz w:val="24"/>
          <w:shd w:val="clear" w:color="auto" w:fill="FFFFFF"/>
          <w:lang w:val="ro-RO"/>
        </w:rPr>
        <w:t>(</w:t>
      </w:r>
      <w:r w:rsidR="00A00325">
        <w:rPr>
          <w:rFonts w:asciiTheme="majorHAnsi" w:hAnsiTheme="majorHAnsi" w:cstheme="majorHAnsi"/>
          <w:sz w:val="24"/>
          <w:szCs w:val="24"/>
          <w:shd w:val="clear" w:color="auto" w:fill="FFFFFF"/>
          <w:lang w:val="ro-RO"/>
        </w:rPr>
        <w:t>8,</w:t>
      </w:r>
      <w:r w:rsidRPr="00C25267">
        <w:rPr>
          <w:rFonts w:asciiTheme="majorHAnsi" w:hAnsiTheme="majorHAnsi"/>
          <w:sz w:val="24"/>
          <w:shd w:val="clear" w:color="auto" w:fill="FFFFFF"/>
          <w:lang w:val="ro-RO"/>
        </w:rPr>
        <w:t>0%),</w:t>
      </w:r>
      <w:r w:rsidR="007D449D" w:rsidRPr="00C25267">
        <w:rPr>
          <w:rFonts w:asciiTheme="majorHAnsi" w:hAnsiTheme="majorHAnsi"/>
          <w:sz w:val="24"/>
          <w:shd w:val="clear" w:color="auto" w:fill="FFFFFF"/>
          <w:lang w:val="ro-MD"/>
        </w:rPr>
        <w:t xml:space="preserve"> </w:t>
      </w:r>
      <w:r w:rsidR="007D449D" w:rsidRPr="00551A82">
        <w:rPr>
          <w:rFonts w:asciiTheme="majorHAnsi" w:hAnsiTheme="majorHAnsi" w:cstheme="majorHAnsi"/>
          <w:sz w:val="24"/>
          <w:szCs w:val="24"/>
          <w:lang w:val="ro-RO"/>
        </w:rPr>
        <w:t>comisioane</w:t>
      </w:r>
      <w:r>
        <w:rPr>
          <w:rFonts w:asciiTheme="majorHAnsi" w:hAnsiTheme="majorHAnsi" w:cstheme="majorHAnsi"/>
          <w:sz w:val="24"/>
          <w:szCs w:val="24"/>
          <w:lang w:val="ro-RO"/>
        </w:rPr>
        <w:t>le</w:t>
      </w:r>
      <w:r w:rsidR="005F635D">
        <w:rPr>
          <w:rFonts w:asciiTheme="majorHAnsi" w:hAnsiTheme="majorHAnsi" w:cstheme="majorHAnsi"/>
          <w:sz w:val="24"/>
          <w:szCs w:val="24"/>
          <w:lang w:val="ro-RO"/>
        </w:rPr>
        <w:t xml:space="preserve"> achitate</w:t>
      </w:r>
      <w:r>
        <w:rPr>
          <w:rFonts w:asciiTheme="majorHAnsi" w:hAnsiTheme="majorHAnsi" w:cstheme="majorHAnsi"/>
          <w:sz w:val="24"/>
          <w:szCs w:val="24"/>
          <w:lang w:val="ro-RO"/>
        </w:rPr>
        <w:t xml:space="preserve"> constituind 1,2 </w:t>
      </w:r>
      <w:proofErr w:type="spellStart"/>
      <w:r>
        <w:rPr>
          <w:rFonts w:asciiTheme="majorHAnsi" w:hAnsiTheme="majorHAnsi" w:cstheme="majorHAnsi"/>
          <w:sz w:val="24"/>
          <w:szCs w:val="24"/>
          <w:lang w:val="ro-RO"/>
        </w:rPr>
        <w:t>mil.dol.</w:t>
      </w:r>
      <w:r w:rsidR="007D449D" w:rsidRPr="00551A82">
        <w:rPr>
          <w:rFonts w:asciiTheme="majorHAnsi" w:hAnsiTheme="majorHAnsi" w:cstheme="majorHAnsi"/>
          <w:sz w:val="24"/>
          <w:szCs w:val="24"/>
          <w:lang w:val="ro-RO"/>
        </w:rPr>
        <w:t>SUA</w:t>
      </w:r>
      <w:proofErr w:type="spellEnd"/>
      <w:r w:rsidR="005F635D">
        <w:rPr>
          <w:rFonts w:asciiTheme="majorHAnsi" w:hAnsiTheme="majorHAnsi" w:cstheme="majorHAnsi"/>
          <w:sz w:val="24"/>
          <w:szCs w:val="24"/>
          <w:lang w:val="ro-RO"/>
        </w:rPr>
        <w:t xml:space="preserve"> (0,5% </w:t>
      </w:r>
      <w:r w:rsidR="005F635D" w:rsidRPr="00807404">
        <w:rPr>
          <w:rFonts w:asciiTheme="majorHAnsi" w:hAnsiTheme="majorHAnsi" w:cstheme="majorHAnsi"/>
          <w:sz w:val="24"/>
          <w:szCs w:val="24"/>
          <w:lang w:val="ro-RO"/>
        </w:rPr>
        <w:t>d</w:t>
      </w:r>
      <w:r w:rsidR="00050169" w:rsidRPr="00807404">
        <w:rPr>
          <w:rFonts w:asciiTheme="majorHAnsi" w:hAnsiTheme="majorHAnsi" w:cstheme="majorHAnsi"/>
          <w:sz w:val="24"/>
          <w:szCs w:val="24"/>
          <w:lang w:val="ro-RO"/>
        </w:rPr>
        <w:t>in</w:t>
      </w:r>
      <w:r w:rsidR="005F635D">
        <w:rPr>
          <w:rFonts w:asciiTheme="majorHAnsi" w:hAnsiTheme="majorHAnsi" w:cstheme="majorHAnsi"/>
          <w:sz w:val="24"/>
          <w:szCs w:val="24"/>
          <w:lang w:val="ro-RO"/>
        </w:rPr>
        <w:t xml:space="preserve"> suma </w:t>
      </w:r>
      <w:proofErr w:type="spellStart"/>
      <w:r w:rsidR="005F635D">
        <w:rPr>
          <w:rFonts w:asciiTheme="majorHAnsi" w:hAnsiTheme="majorHAnsi" w:cstheme="majorHAnsi"/>
          <w:sz w:val="24"/>
          <w:szCs w:val="24"/>
          <w:lang w:val="ro-RO"/>
        </w:rPr>
        <w:t>nedebursată</w:t>
      </w:r>
      <w:proofErr w:type="spellEnd"/>
      <w:r w:rsidR="005F635D">
        <w:rPr>
          <w:rFonts w:asciiTheme="majorHAnsi" w:hAnsiTheme="majorHAnsi" w:cstheme="majorHAnsi"/>
          <w:sz w:val="24"/>
          <w:szCs w:val="24"/>
          <w:lang w:val="ro-RO"/>
        </w:rPr>
        <w:t>)</w:t>
      </w:r>
      <w:r w:rsidR="007D449D" w:rsidRPr="00551A82">
        <w:rPr>
          <w:rFonts w:asciiTheme="majorHAnsi" w:hAnsiTheme="majorHAnsi" w:cstheme="majorHAnsi"/>
          <w:sz w:val="24"/>
          <w:szCs w:val="24"/>
          <w:lang w:val="ro-RO"/>
        </w:rPr>
        <w:t xml:space="preserve">. </w:t>
      </w:r>
    </w:p>
    <w:p w14:paraId="3712736C" w14:textId="7C9E67E5" w:rsidR="00476DA6" w:rsidRPr="00551A82" w:rsidRDefault="008F5B83" w:rsidP="00E96C41">
      <w:pPr>
        <w:tabs>
          <w:tab w:val="left" w:pos="284"/>
          <w:tab w:val="left" w:pos="567"/>
          <w:tab w:val="left" w:pos="709"/>
        </w:tabs>
        <w:spacing w:after="0" w:line="276" w:lineRule="auto"/>
        <w:ind w:firstLine="284"/>
        <w:jc w:val="both"/>
        <w:rPr>
          <w:rFonts w:asciiTheme="majorHAnsi" w:hAnsiTheme="majorHAnsi" w:cstheme="majorHAnsi"/>
          <w:sz w:val="24"/>
          <w:szCs w:val="24"/>
          <w:lang w:val="ro-RO"/>
        </w:rPr>
      </w:pPr>
      <w:r>
        <w:rPr>
          <w:rFonts w:asciiTheme="majorHAnsi" w:hAnsiTheme="majorHAnsi" w:cstheme="majorHAnsi"/>
          <w:b/>
          <w:sz w:val="24"/>
          <w:szCs w:val="24"/>
          <w:lang w:val="ro-RO"/>
        </w:rPr>
        <w:tab/>
      </w:r>
      <w:r w:rsidR="00476DA6" w:rsidRPr="00551A82">
        <w:rPr>
          <w:rFonts w:asciiTheme="majorHAnsi" w:hAnsiTheme="majorHAnsi" w:cstheme="majorHAnsi"/>
          <w:sz w:val="24"/>
          <w:szCs w:val="24"/>
          <w:lang w:val="ro-RO"/>
        </w:rPr>
        <w:t>Pentru reabilitarea drumurilor au fost contractate 5 împrumuturi, din</w:t>
      </w:r>
      <w:r w:rsidR="00F46806">
        <w:rPr>
          <w:rFonts w:asciiTheme="majorHAnsi" w:hAnsiTheme="majorHAnsi" w:cstheme="majorHAnsi"/>
          <w:sz w:val="24"/>
          <w:szCs w:val="24"/>
          <w:lang w:val="ro-RO"/>
        </w:rPr>
        <w:t>tre</w:t>
      </w:r>
      <w:r w:rsidR="00476DA6" w:rsidRPr="00551A82">
        <w:rPr>
          <w:rFonts w:asciiTheme="majorHAnsi" w:hAnsiTheme="majorHAnsi" w:cstheme="majorHAnsi"/>
          <w:sz w:val="24"/>
          <w:szCs w:val="24"/>
          <w:lang w:val="ro-RO"/>
        </w:rPr>
        <w:t xml:space="preserve"> care 2 împrumuturi în sumă totală de 225,0 </w:t>
      </w:r>
      <w:proofErr w:type="spellStart"/>
      <w:r w:rsidR="00476DA6" w:rsidRPr="00551A82">
        <w:rPr>
          <w:rFonts w:asciiTheme="majorHAnsi" w:hAnsiTheme="majorHAnsi" w:cstheme="majorHAnsi"/>
          <w:sz w:val="24"/>
          <w:szCs w:val="24"/>
          <w:lang w:val="ro-RO"/>
        </w:rPr>
        <w:t>mil.</w:t>
      </w:r>
      <w:r w:rsidR="00B4769A">
        <w:rPr>
          <w:rFonts w:asciiTheme="majorHAnsi" w:hAnsiTheme="majorHAnsi" w:cstheme="majorHAnsi"/>
          <w:sz w:val="24"/>
          <w:szCs w:val="24"/>
          <w:lang w:val="ro-RO"/>
        </w:rPr>
        <w:t>euro</w:t>
      </w:r>
      <w:proofErr w:type="spellEnd"/>
      <w:r w:rsidR="00476DA6" w:rsidRPr="00551A82">
        <w:rPr>
          <w:rFonts w:asciiTheme="majorHAnsi" w:hAnsiTheme="majorHAnsi" w:cstheme="majorHAnsi"/>
          <w:sz w:val="24"/>
          <w:szCs w:val="24"/>
          <w:lang w:val="ro-RO"/>
        </w:rPr>
        <w:t xml:space="preserve"> au fost contractate de la BEI, 2 împrumuturi în sumă totală de 225,0 </w:t>
      </w:r>
      <w:proofErr w:type="spellStart"/>
      <w:r w:rsidR="00476DA6" w:rsidRPr="00551A82">
        <w:rPr>
          <w:rFonts w:asciiTheme="majorHAnsi" w:hAnsiTheme="majorHAnsi" w:cstheme="majorHAnsi"/>
          <w:sz w:val="24"/>
          <w:szCs w:val="24"/>
          <w:lang w:val="ro-RO"/>
        </w:rPr>
        <w:t>mil</w:t>
      </w:r>
      <w:r w:rsidR="00B4769A">
        <w:rPr>
          <w:rFonts w:asciiTheme="majorHAnsi" w:hAnsiTheme="majorHAnsi" w:cstheme="majorHAnsi"/>
          <w:sz w:val="24"/>
          <w:szCs w:val="24"/>
          <w:lang w:val="ro-RO"/>
        </w:rPr>
        <w:t>.euro</w:t>
      </w:r>
      <w:proofErr w:type="spellEnd"/>
      <w:r w:rsidR="00476DA6" w:rsidRPr="00551A82">
        <w:rPr>
          <w:rFonts w:asciiTheme="majorHAnsi" w:hAnsiTheme="majorHAnsi" w:cstheme="majorHAnsi"/>
          <w:sz w:val="24"/>
          <w:szCs w:val="24"/>
          <w:lang w:val="ro-RO"/>
        </w:rPr>
        <w:t xml:space="preserve"> </w:t>
      </w:r>
      <w:r w:rsidR="00F46806">
        <w:rPr>
          <w:rFonts w:asciiTheme="majorHAnsi" w:hAnsiTheme="majorHAnsi" w:cstheme="majorHAnsi"/>
          <w:sz w:val="24"/>
          <w:szCs w:val="24"/>
          <w:lang w:val="ro-RO"/>
        </w:rPr>
        <w:t xml:space="preserve">- </w:t>
      </w:r>
      <w:r w:rsidR="00476DA6" w:rsidRPr="00551A82">
        <w:rPr>
          <w:rFonts w:asciiTheme="majorHAnsi" w:hAnsiTheme="majorHAnsi" w:cstheme="majorHAnsi"/>
          <w:sz w:val="24"/>
          <w:szCs w:val="24"/>
          <w:lang w:val="ro-RO"/>
        </w:rPr>
        <w:t>de la BERD</w:t>
      </w:r>
      <w:r w:rsidR="00F46806">
        <w:rPr>
          <w:rFonts w:asciiTheme="majorHAnsi" w:hAnsiTheme="majorHAnsi" w:cstheme="majorHAnsi"/>
          <w:sz w:val="24"/>
          <w:szCs w:val="24"/>
          <w:lang w:val="ro-RO"/>
        </w:rPr>
        <w:t>,</w:t>
      </w:r>
      <w:r w:rsidR="00476DA6" w:rsidRPr="00551A82">
        <w:rPr>
          <w:rFonts w:asciiTheme="majorHAnsi" w:hAnsiTheme="majorHAnsi" w:cstheme="majorHAnsi"/>
          <w:sz w:val="24"/>
          <w:szCs w:val="24"/>
          <w:lang w:val="ro-RO"/>
        </w:rPr>
        <w:t xml:space="preserve"> și un împrumut în sumă de 57,0 mil. DST </w:t>
      </w:r>
      <w:r w:rsidR="00F46806">
        <w:rPr>
          <w:rFonts w:asciiTheme="majorHAnsi" w:hAnsiTheme="majorHAnsi" w:cstheme="majorHAnsi"/>
          <w:sz w:val="24"/>
          <w:szCs w:val="24"/>
          <w:lang w:val="ro-RO"/>
        </w:rPr>
        <w:t xml:space="preserve">- </w:t>
      </w:r>
      <w:r w:rsidR="00476DA6" w:rsidRPr="00551A82">
        <w:rPr>
          <w:rFonts w:asciiTheme="majorHAnsi" w:hAnsiTheme="majorHAnsi" w:cstheme="majorHAnsi"/>
          <w:sz w:val="24"/>
          <w:szCs w:val="24"/>
          <w:lang w:val="ro-RO"/>
        </w:rPr>
        <w:t xml:space="preserve">de la AID. </w:t>
      </w:r>
      <w:r>
        <w:rPr>
          <w:rFonts w:asciiTheme="majorHAnsi" w:hAnsiTheme="majorHAnsi" w:cstheme="majorHAnsi"/>
          <w:sz w:val="24"/>
          <w:szCs w:val="24"/>
          <w:lang w:val="ro-RO"/>
        </w:rPr>
        <w:t xml:space="preserve">Referitor la nivelul de debursare și </w:t>
      </w:r>
      <w:r w:rsidR="00F46806">
        <w:rPr>
          <w:rFonts w:asciiTheme="majorHAnsi" w:hAnsiTheme="majorHAnsi" w:cstheme="majorHAnsi"/>
          <w:sz w:val="24"/>
          <w:szCs w:val="24"/>
          <w:lang w:val="ro-RO"/>
        </w:rPr>
        <w:t xml:space="preserve">la </w:t>
      </w:r>
      <w:r>
        <w:rPr>
          <w:rFonts w:asciiTheme="majorHAnsi" w:hAnsiTheme="majorHAnsi" w:cstheme="majorHAnsi"/>
          <w:sz w:val="24"/>
          <w:szCs w:val="24"/>
          <w:lang w:val="ro-RO"/>
        </w:rPr>
        <w:t>serviciul acestora</w:t>
      </w:r>
      <w:r w:rsidR="00F46806">
        <w:rPr>
          <w:rFonts w:asciiTheme="majorHAnsi" w:hAnsiTheme="majorHAnsi" w:cstheme="majorHAnsi"/>
          <w:sz w:val="24"/>
          <w:szCs w:val="24"/>
          <w:lang w:val="ro-RO"/>
        </w:rPr>
        <w:t>,</w:t>
      </w:r>
      <w:r>
        <w:rPr>
          <w:rFonts w:asciiTheme="majorHAnsi" w:hAnsiTheme="majorHAnsi" w:cstheme="majorHAnsi"/>
          <w:sz w:val="24"/>
          <w:szCs w:val="24"/>
          <w:lang w:val="ro-RO"/>
        </w:rPr>
        <w:t xml:space="preserve"> auditul relevă</w:t>
      </w:r>
      <w:r w:rsidR="00B4769A">
        <w:rPr>
          <w:rFonts w:asciiTheme="majorHAnsi" w:hAnsiTheme="majorHAnsi" w:cstheme="majorHAnsi"/>
          <w:sz w:val="24"/>
          <w:szCs w:val="24"/>
          <w:lang w:val="ro-RO"/>
        </w:rPr>
        <w:t xml:space="preserve"> că </w:t>
      </w:r>
      <w:r w:rsidR="00476DA6" w:rsidRPr="00551A82">
        <w:rPr>
          <w:rFonts w:asciiTheme="majorHAnsi" w:hAnsiTheme="majorHAnsi" w:cstheme="majorHAnsi"/>
          <w:sz w:val="24"/>
          <w:szCs w:val="24"/>
          <w:lang w:val="ro-RO"/>
        </w:rPr>
        <w:t>în unele cazuri se constată nivelul ridicat al costurilor și comisioanelor</w:t>
      </w:r>
      <w:r w:rsidR="00F46806">
        <w:rPr>
          <w:rFonts w:asciiTheme="majorHAnsi" w:hAnsiTheme="majorHAnsi" w:cstheme="majorHAnsi"/>
          <w:sz w:val="24"/>
          <w:szCs w:val="24"/>
          <w:lang w:val="ro-RO"/>
        </w:rPr>
        <w:t>,</w:t>
      </w:r>
      <w:r w:rsidR="00476DA6" w:rsidRPr="00551A82">
        <w:rPr>
          <w:rFonts w:asciiTheme="majorHAnsi" w:hAnsiTheme="majorHAnsi" w:cstheme="majorHAnsi"/>
          <w:sz w:val="24"/>
          <w:szCs w:val="24"/>
          <w:lang w:val="ro-RO"/>
        </w:rPr>
        <w:t xml:space="preserve"> comparativ cu </w:t>
      </w:r>
      <w:r w:rsidR="00B4769A">
        <w:rPr>
          <w:rFonts w:asciiTheme="majorHAnsi" w:hAnsiTheme="majorHAnsi" w:cstheme="majorHAnsi"/>
          <w:sz w:val="24"/>
          <w:szCs w:val="24"/>
          <w:lang w:val="ro-RO"/>
        </w:rPr>
        <w:t>debursările efectuate</w:t>
      </w:r>
      <w:r w:rsidR="00476DA6" w:rsidRPr="00551A82">
        <w:rPr>
          <w:rFonts w:asciiTheme="majorHAnsi" w:hAnsiTheme="majorHAnsi" w:cstheme="majorHAnsi"/>
          <w:sz w:val="24"/>
          <w:szCs w:val="24"/>
          <w:lang w:val="ro-RO"/>
        </w:rPr>
        <w:t>.</w:t>
      </w:r>
      <w:r w:rsidR="00B4769A">
        <w:rPr>
          <w:rFonts w:asciiTheme="majorHAnsi" w:hAnsiTheme="majorHAnsi" w:cstheme="majorHAnsi"/>
          <w:sz w:val="24"/>
          <w:szCs w:val="24"/>
          <w:lang w:val="ro-RO"/>
        </w:rPr>
        <w:t xml:space="preserve"> Astfel,</w:t>
      </w:r>
    </w:p>
    <w:p w14:paraId="59E2C2E2" w14:textId="7242F792" w:rsidR="00476DA6" w:rsidRPr="004C1654" w:rsidRDefault="00EC27B4" w:rsidP="00AF37E8">
      <w:pPr>
        <w:numPr>
          <w:ilvl w:val="0"/>
          <w:numId w:val="44"/>
        </w:numPr>
        <w:tabs>
          <w:tab w:val="left" w:pos="284"/>
          <w:tab w:val="left" w:pos="360"/>
          <w:tab w:val="left" w:pos="567"/>
        </w:tabs>
        <w:spacing w:after="0" w:line="276" w:lineRule="auto"/>
        <w:ind w:left="0" w:firstLine="360"/>
        <w:contextualSpacing/>
        <w:jc w:val="both"/>
        <w:rPr>
          <w:rFonts w:asciiTheme="majorHAnsi" w:hAnsiTheme="majorHAnsi" w:cstheme="majorHAnsi"/>
          <w:sz w:val="24"/>
          <w:szCs w:val="24"/>
          <w:lang w:val="ro-RO"/>
        </w:rPr>
      </w:pPr>
      <w:r w:rsidRPr="004C1654">
        <w:rPr>
          <w:rFonts w:asciiTheme="majorHAnsi" w:hAnsiTheme="majorHAnsi" w:cstheme="majorHAnsi"/>
          <w:i/>
          <w:sz w:val="24"/>
          <w:szCs w:val="24"/>
          <w:lang w:val="ro-RO"/>
        </w:rPr>
        <w:t xml:space="preserve"> </w:t>
      </w:r>
      <w:r w:rsidR="00476DA6" w:rsidRPr="004C1654">
        <w:rPr>
          <w:rFonts w:asciiTheme="majorHAnsi" w:hAnsiTheme="majorHAnsi" w:cstheme="majorHAnsi"/>
          <w:i/>
          <w:sz w:val="24"/>
          <w:szCs w:val="24"/>
          <w:lang w:val="ro-RO"/>
        </w:rPr>
        <w:t>Proiectul de reabilitare a drumurilor în RM</w:t>
      </w:r>
      <w:r w:rsidR="00476DA6" w:rsidRPr="004C1654">
        <w:rPr>
          <w:rFonts w:asciiTheme="majorHAnsi" w:hAnsiTheme="majorHAnsi" w:cstheme="majorHAnsi"/>
          <w:sz w:val="24"/>
          <w:szCs w:val="24"/>
          <w:lang w:val="ro-RO"/>
        </w:rPr>
        <w:t>, contractat</w:t>
      </w:r>
      <w:r w:rsidR="008B6217" w:rsidRPr="004C1654">
        <w:rPr>
          <w:rFonts w:asciiTheme="majorHAnsi" w:hAnsiTheme="majorHAnsi" w:cstheme="majorHAnsi"/>
          <w:sz w:val="24"/>
          <w:szCs w:val="24"/>
          <w:lang w:val="ro-RO"/>
        </w:rPr>
        <w:t xml:space="preserve"> de la BERD</w:t>
      </w:r>
      <w:r w:rsidR="00476DA6" w:rsidRPr="004C1654">
        <w:rPr>
          <w:rFonts w:asciiTheme="majorHAnsi" w:hAnsiTheme="majorHAnsi" w:cstheme="majorHAnsi"/>
          <w:sz w:val="24"/>
          <w:szCs w:val="24"/>
          <w:lang w:val="ro-RO"/>
        </w:rPr>
        <w:t xml:space="preserve"> în anu</w:t>
      </w:r>
      <w:r w:rsidR="008B6217" w:rsidRPr="004C1654">
        <w:rPr>
          <w:rFonts w:asciiTheme="majorHAnsi" w:hAnsiTheme="majorHAnsi" w:cstheme="majorHAnsi"/>
          <w:sz w:val="24"/>
          <w:szCs w:val="24"/>
          <w:lang w:val="ro-RO"/>
        </w:rPr>
        <w:t xml:space="preserve">l 2010, din 75,0 </w:t>
      </w:r>
      <w:proofErr w:type="spellStart"/>
      <w:r w:rsidR="008B6217" w:rsidRPr="004C1654">
        <w:rPr>
          <w:rFonts w:asciiTheme="majorHAnsi" w:hAnsiTheme="majorHAnsi" w:cstheme="majorHAnsi"/>
          <w:sz w:val="24"/>
          <w:szCs w:val="24"/>
          <w:lang w:val="ro-RO"/>
        </w:rPr>
        <w:t>mil.e</w:t>
      </w:r>
      <w:r w:rsidR="00476DA6" w:rsidRPr="004C1654">
        <w:rPr>
          <w:rFonts w:asciiTheme="majorHAnsi" w:hAnsiTheme="majorHAnsi" w:cstheme="majorHAnsi"/>
          <w:sz w:val="24"/>
          <w:szCs w:val="24"/>
          <w:lang w:val="ro-RO"/>
        </w:rPr>
        <w:t>uro</w:t>
      </w:r>
      <w:proofErr w:type="spellEnd"/>
      <w:r w:rsidR="008B6217" w:rsidRPr="004C1654">
        <w:rPr>
          <w:rFonts w:asciiTheme="majorHAnsi" w:hAnsiTheme="majorHAnsi" w:cstheme="majorHAnsi"/>
          <w:sz w:val="24"/>
          <w:szCs w:val="24"/>
          <w:lang w:val="ro-RO"/>
        </w:rPr>
        <w:t xml:space="preserve"> au fost debursate 34,0 </w:t>
      </w:r>
      <w:proofErr w:type="spellStart"/>
      <w:r w:rsidR="008B6217" w:rsidRPr="004C1654">
        <w:rPr>
          <w:rFonts w:asciiTheme="majorHAnsi" w:hAnsiTheme="majorHAnsi" w:cstheme="majorHAnsi"/>
          <w:sz w:val="24"/>
          <w:szCs w:val="24"/>
          <w:lang w:val="ro-RO"/>
        </w:rPr>
        <w:t>mil.euro</w:t>
      </w:r>
      <w:proofErr w:type="spellEnd"/>
      <w:r w:rsidR="00476DA6" w:rsidRPr="004C1654">
        <w:rPr>
          <w:rFonts w:asciiTheme="majorHAnsi" w:hAnsiTheme="majorHAnsi" w:cstheme="majorHAnsi"/>
          <w:sz w:val="24"/>
          <w:szCs w:val="24"/>
          <w:lang w:val="ro-RO"/>
        </w:rPr>
        <w:t xml:space="preserve"> (45,3%)</w:t>
      </w:r>
      <w:r w:rsidR="00C8201C" w:rsidRPr="004C1654">
        <w:rPr>
          <w:rFonts w:asciiTheme="majorHAnsi" w:hAnsiTheme="majorHAnsi" w:cstheme="majorHAnsi"/>
          <w:sz w:val="24"/>
          <w:szCs w:val="24"/>
          <w:lang w:val="ro-RO"/>
        </w:rPr>
        <w:t>,</w:t>
      </w:r>
      <w:r w:rsidR="00476DA6" w:rsidRPr="004C1654">
        <w:rPr>
          <w:rFonts w:asciiTheme="majorHAnsi" w:hAnsiTheme="majorHAnsi" w:cstheme="majorHAnsi"/>
          <w:sz w:val="24"/>
          <w:szCs w:val="24"/>
          <w:lang w:val="ro-RO"/>
        </w:rPr>
        <w:t xml:space="preserve"> comisioane</w:t>
      </w:r>
      <w:r w:rsidR="00C8201C" w:rsidRPr="004C1654">
        <w:rPr>
          <w:rFonts w:asciiTheme="majorHAnsi" w:hAnsiTheme="majorHAnsi" w:cstheme="majorHAnsi"/>
          <w:sz w:val="24"/>
          <w:szCs w:val="24"/>
          <w:lang w:val="ro-RO"/>
        </w:rPr>
        <w:t>le achitate însumând</w:t>
      </w:r>
      <w:r w:rsidR="00DD6B8A" w:rsidRPr="004C1654">
        <w:rPr>
          <w:rFonts w:asciiTheme="majorHAnsi" w:hAnsiTheme="majorHAnsi" w:cstheme="majorHAnsi"/>
          <w:sz w:val="24"/>
          <w:szCs w:val="24"/>
          <w:lang w:val="ro-RO"/>
        </w:rPr>
        <w:t xml:space="preserve"> 2,6</w:t>
      </w:r>
      <w:r w:rsidR="00C8201C" w:rsidRPr="004C1654">
        <w:rPr>
          <w:rFonts w:asciiTheme="majorHAnsi" w:hAnsiTheme="majorHAnsi" w:cstheme="majorHAnsi"/>
          <w:sz w:val="24"/>
          <w:szCs w:val="24"/>
          <w:lang w:val="ro-RO"/>
        </w:rPr>
        <w:t xml:space="preserve"> mil. </w:t>
      </w:r>
      <w:proofErr w:type="spellStart"/>
      <w:r w:rsidR="00C8201C" w:rsidRPr="004C1654">
        <w:rPr>
          <w:rFonts w:asciiTheme="majorHAnsi" w:hAnsiTheme="majorHAnsi" w:cstheme="majorHAnsi"/>
          <w:sz w:val="24"/>
          <w:szCs w:val="24"/>
          <w:lang w:val="ro-RO"/>
        </w:rPr>
        <w:t>dol.</w:t>
      </w:r>
      <w:r w:rsidR="00476DA6" w:rsidRPr="004C1654">
        <w:rPr>
          <w:rFonts w:asciiTheme="majorHAnsi" w:hAnsiTheme="majorHAnsi" w:cstheme="majorHAnsi"/>
          <w:sz w:val="24"/>
          <w:szCs w:val="24"/>
          <w:lang w:val="ro-RO"/>
        </w:rPr>
        <w:t>SUA</w:t>
      </w:r>
      <w:proofErr w:type="spellEnd"/>
      <w:r w:rsidR="00564257">
        <w:rPr>
          <w:rFonts w:asciiTheme="majorHAnsi" w:hAnsiTheme="majorHAnsi" w:cstheme="majorHAnsi"/>
          <w:sz w:val="24"/>
          <w:szCs w:val="24"/>
          <w:lang w:val="ro-RO"/>
        </w:rPr>
        <w:t xml:space="preserve">, </w:t>
      </w:r>
      <w:r w:rsidR="00DD6B8A" w:rsidRPr="004C1654">
        <w:rPr>
          <w:rFonts w:asciiTheme="majorHAnsi" w:hAnsiTheme="majorHAnsi" w:cstheme="majorHAnsi"/>
          <w:sz w:val="24"/>
          <w:szCs w:val="24"/>
          <w:lang w:val="ro-RO"/>
        </w:rPr>
        <w:t xml:space="preserve"> ce reprezintă </w:t>
      </w:r>
      <w:r w:rsidR="00737A3A">
        <w:rPr>
          <w:rFonts w:asciiTheme="majorHAnsi" w:hAnsiTheme="majorHAnsi" w:cstheme="majorHAnsi"/>
          <w:sz w:val="24"/>
          <w:szCs w:val="24"/>
          <w:lang w:val="ro-RO"/>
        </w:rPr>
        <w:t>0,5</w:t>
      </w:r>
      <w:r w:rsidR="00DD6B8A" w:rsidRPr="004C1654">
        <w:rPr>
          <w:rFonts w:asciiTheme="majorHAnsi" w:hAnsiTheme="majorHAnsi" w:cstheme="majorHAnsi"/>
          <w:sz w:val="24"/>
          <w:szCs w:val="24"/>
          <w:lang w:val="ro-RO"/>
        </w:rPr>
        <w:t xml:space="preserve">% </w:t>
      </w:r>
      <w:r w:rsidR="00BF1C93" w:rsidRPr="004C1654">
        <w:rPr>
          <w:rFonts w:asciiTheme="majorHAnsi" w:hAnsiTheme="majorHAnsi" w:cstheme="majorHAnsi"/>
          <w:sz w:val="24"/>
          <w:szCs w:val="24"/>
          <w:lang w:val="ro-RO"/>
        </w:rPr>
        <w:t xml:space="preserve">anual </w:t>
      </w:r>
      <w:r w:rsidR="00990D0F">
        <w:rPr>
          <w:rFonts w:asciiTheme="majorHAnsi" w:hAnsiTheme="majorHAnsi" w:cstheme="majorHAnsi"/>
          <w:sz w:val="24"/>
          <w:szCs w:val="24"/>
          <w:lang w:val="ro-RO"/>
        </w:rPr>
        <w:t>din</w:t>
      </w:r>
      <w:r w:rsidR="00807404">
        <w:rPr>
          <w:rFonts w:asciiTheme="majorHAnsi" w:hAnsiTheme="majorHAnsi" w:cstheme="majorHAnsi"/>
          <w:sz w:val="24"/>
          <w:szCs w:val="24"/>
          <w:lang w:val="ro-RO"/>
        </w:rPr>
        <w:t xml:space="preserve"> </w:t>
      </w:r>
      <w:r w:rsidR="00DD6B8A" w:rsidRPr="004C1654">
        <w:rPr>
          <w:rFonts w:asciiTheme="majorHAnsi" w:hAnsiTheme="majorHAnsi" w:cstheme="majorHAnsi"/>
          <w:sz w:val="24"/>
          <w:szCs w:val="24"/>
          <w:lang w:val="ro-RO"/>
        </w:rPr>
        <w:t xml:space="preserve">suma </w:t>
      </w:r>
      <w:proofErr w:type="spellStart"/>
      <w:r w:rsidR="00DD6B8A" w:rsidRPr="004C1654">
        <w:rPr>
          <w:rFonts w:asciiTheme="majorHAnsi" w:hAnsiTheme="majorHAnsi" w:cstheme="majorHAnsi"/>
          <w:sz w:val="24"/>
          <w:szCs w:val="24"/>
          <w:lang w:val="ro-RO"/>
        </w:rPr>
        <w:t>nedebursată</w:t>
      </w:r>
      <w:proofErr w:type="spellEnd"/>
      <w:r w:rsidR="00476DA6" w:rsidRPr="004C1654">
        <w:rPr>
          <w:rFonts w:asciiTheme="majorHAnsi" w:hAnsiTheme="majorHAnsi" w:cstheme="majorHAnsi"/>
          <w:sz w:val="24"/>
          <w:szCs w:val="24"/>
          <w:lang w:val="ro-RO"/>
        </w:rPr>
        <w:t xml:space="preserve">.  </w:t>
      </w:r>
    </w:p>
    <w:p w14:paraId="6B5B5155" w14:textId="3CB798AF" w:rsidR="00EC27B4" w:rsidRPr="004C1654" w:rsidRDefault="00476DA6" w:rsidP="00EC27B4">
      <w:pPr>
        <w:numPr>
          <w:ilvl w:val="0"/>
          <w:numId w:val="44"/>
        </w:numPr>
        <w:tabs>
          <w:tab w:val="left" w:pos="284"/>
          <w:tab w:val="left" w:pos="567"/>
        </w:tabs>
        <w:spacing w:after="0" w:line="276" w:lineRule="auto"/>
        <w:ind w:left="0" w:firstLine="360"/>
        <w:contextualSpacing/>
        <w:jc w:val="both"/>
        <w:rPr>
          <w:rFonts w:asciiTheme="majorHAnsi" w:hAnsiTheme="majorHAnsi" w:cstheme="majorHAnsi"/>
          <w:sz w:val="24"/>
          <w:szCs w:val="24"/>
          <w:lang w:val="ro-RO"/>
        </w:rPr>
      </w:pPr>
      <w:r w:rsidRPr="004C1654">
        <w:rPr>
          <w:rFonts w:asciiTheme="majorHAnsi" w:hAnsiTheme="majorHAnsi" w:cstheme="majorHAnsi"/>
          <w:sz w:val="24"/>
          <w:szCs w:val="24"/>
          <w:lang w:val="ro-RO"/>
        </w:rPr>
        <w:t xml:space="preserve"> </w:t>
      </w:r>
      <w:r w:rsidRPr="00E02CD8">
        <w:rPr>
          <w:rFonts w:asciiTheme="majorHAnsi" w:hAnsiTheme="majorHAnsi" w:cstheme="majorHAnsi"/>
          <w:sz w:val="24"/>
          <w:szCs w:val="24"/>
          <w:lang w:val="ro-RO"/>
        </w:rPr>
        <w:t>Proiectul</w:t>
      </w:r>
      <w:r w:rsidRPr="004C1654">
        <w:rPr>
          <w:rFonts w:asciiTheme="majorHAnsi" w:hAnsiTheme="majorHAnsi" w:cstheme="majorHAnsi"/>
          <w:i/>
          <w:sz w:val="24"/>
          <w:szCs w:val="24"/>
          <w:lang w:val="ro-RO"/>
        </w:rPr>
        <w:t xml:space="preserve"> </w:t>
      </w:r>
      <w:r w:rsidR="00F46806">
        <w:rPr>
          <w:rFonts w:asciiTheme="majorHAnsi" w:hAnsiTheme="majorHAnsi" w:cstheme="majorHAnsi"/>
          <w:i/>
          <w:sz w:val="24"/>
          <w:szCs w:val="24"/>
          <w:lang w:val="ro-RO"/>
        </w:rPr>
        <w:t>„</w:t>
      </w:r>
      <w:r w:rsidRPr="004C1654">
        <w:rPr>
          <w:rFonts w:asciiTheme="majorHAnsi" w:hAnsiTheme="majorHAnsi" w:cstheme="majorHAnsi"/>
          <w:i/>
          <w:sz w:val="24"/>
          <w:szCs w:val="24"/>
          <w:lang w:val="ro-RO"/>
        </w:rPr>
        <w:t>Realizarea lucrărilor de construcție și reabilitare a drumurilor”</w:t>
      </w:r>
      <w:r w:rsidR="00F46806">
        <w:rPr>
          <w:rFonts w:asciiTheme="majorHAnsi" w:hAnsiTheme="majorHAnsi" w:cstheme="majorHAnsi"/>
          <w:i/>
          <w:sz w:val="24"/>
          <w:szCs w:val="24"/>
          <w:lang w:val="ro-RO"/>
        </w:rPr>
        <w:t>,</w:t>
      </w:r>
      <w:r w:rsidRPr="004C1654">
        <w:rPr>
          <w:rFonts w:asciiTheme="majorHAnsi" w:hAnsiTheme="majorHAnsi" w:cstheme="majorHAnsi"/>
          <w:sz w:val="24"/>
          <w:szCs w:val="24"/>
          <w:lang w:val="ro-RO"/>
        </w:rPr>
        <w:t xml:space="preserve"> </w:t>
      </w:r>
      <w:r w:rsidR="00DD6B8A" w:rsidRPr="004C1654">
        <w:rPr>
          <w:rFonts w:asciiTheme="majorHAnsi" w:hAnsiTheme="majorHAnsi" w:cstheme="majorHAnsi"/>
          <w:sz w:val="24"/>
          <w:szCs w:val="24"/>
          <w:lang w:val="ro-RO"/>
        </w:rPr>
        <w:t xml:space="preserve">contractat de la </w:t>
      </w:r>
      <w:r w:rsidRPr="004C1654">
        <w:rPr>
          <w:rFonts w:asciiTheme="majorHAnsi" w:hAnsiTheme="majorHAnsi" w:cstheme="majorHAnsi"/>
          <w:sz w:val="24"/>
          <w:szCs w:val="24"/>
          <w:lang w:val="ro-RO"/>
        </w:rPr>
        <w:t>BERD în anul 2</w:t>
      </w:r>
      <w:r w:rsidR="00DD6B8A" w:rsidRPr="004C1654">
        <w:rPr>
          <w:rFonts w:asciiTheme="majorHAnsi" w:hAnsiTheme="majorHAnsi" w:cstheme="majorHAnsi"/>
          <w:sz w:val="24"/>
          <w:szCs w:val="24"/>
          <w:lang w:val="ro-RO"/>
        </w:rPr>
        <w:t>013</w:t>
      </w:r>
      <w:r w:rsidR="00F46806">
        <w:rPr>
          <w:rFonts w:asciiTheme="majorHAnsi" w:hAnsiTheme="majorHAnsi" w:cstheme="majorHAnsi"/>
          <w:sz w:val="24"/>
          <w:szCs w:val="24"/>
          <w:lang w:val="ro-RO"/>
        </w:rPr>
        <w:t>,</w:t>
      </w:r>
      <w:r w:rsidR="00DD6B8A" w:rsidRPr="004C1654">
        <w:rPr>
          <w:rFonts w:asciiTheme="majorHAnsi" w:hAnsiTheme="majorHAnsi" w:cstheme="majorHAnsi"/>
          <w:sz w:val="24"/>
          <w:szCs w:val="24"/>
          <w:lang w:val="ro-RO"/>
        </w:rPr>
        <w:t xml:space="preserve"> în sumă de</w:t>
      </w:r>
      <w:r w:rsidRPr="004C1654">
        <w:rPr>
          <w:rFonts w:asciiTheme="majorHAnsi" w:hAnsiTheme="majorHAnsi" w:cstheme="majorHAnsi"/>
          <w:sz w:val="24"/>
          <w:szCs w:val="24"/>
          <w:lang w:val="ro-RO"/>
        </w:rPr>
        <w:t xml:space="preserve"> 150,0 </w:t>
      </w:r>
      <w:proofErr w:type="spellStart"/>
      <w:r w:rsidRPr="004C1654">
        <w:rPr>
          <w:rFonts w:asciiTheme="majorHAnsi" w:hAnsiTheme="majorHAnsi" w:cstheme="majorHAnsi"/>
          <w:sz w:val="24"/>
          <w:szCs w:val="24"/>
          <w:lang w:val="ro-RO"/>
        </w:rPr>
        <w:t>mil.</w:t>
      </w:r>
      <w:r w:rsidR="00DD6B8A" w:rsidRPr="004C1654">
        <w:rPr>
          <w:rFonts w:asciiTheme="majorHAnsi" w:hAnsiTheme="majorHAnsi" w:cstheme="majorHAnsi"/>
          <w:sz w:val="24"/>
          <w:szCs w:val="24"/>
          <w:lang w:val="ro-RO"/>
        </w:rPr>
        <w:t>euro</w:t>
      </w:r>
      <w:proofErr w:type="spellEnd"/>
      <w:r w:rsidR="00F46806">
        <w:rPr>
          <w:rFonts w:asciiTheme="majorHAnsi" w:hAnsiTheme="majorHAnsi" w:cstheme="majorHAnsi"/>
          <w:sz w:val="24"/>
          <w:szCs w:val="24"/>
          <w:lang w:val="ro-RO"/>
        </w:rPr>
        <w:t>,</w:t>
      </w:r>
      <w:r w:rsidRPr="004C1654">
        <w:rPr>
          <w:rFonts w:asciiTheme="majorHAnsi" w:hAnsiTheme="majorHAnsi" w:cstheme="majorHAnsi"/>
          <w:sz w:val="24"/>
          <w:szCs w:val="24"/>
          <w:lang w:val="ro-RO"/>
        </w:rPr>
        <w:t xml:space="preserve"> au fost debursate 14,7 mil. </w:t>
      </w:r>
      <w:r w:rsidR="00F46806">
        <w:rPr>
          <w:rFonts w:asciiTheme="majorHAnsi" w:hAnsiTheme="majorHAnsi" w:cstheme="majorHAnsi"/>
          <w:sz w:val="24"/>
          <w:szCs w:val="24"/>
          <w:lang w:val="ro-RO"/>
        </w:rPr>
        <w:t>euro</w:t>
      </w:r>
      <w:r w:rsidRPr="004C1654">
        <w:rPr>
          <w:rFonts w:asciiTheme="majorHAnsi" w:hAnsiTheme="majorHAnsi" w:cstheme="majorHAnsi"/>
          <w:sz w:val="24"/>
          <w:szCs w:val="24"/>
          <w:lang w:val="ro-RO"/>
        </w:rPr>
        <w:t xml:space="preserve"> (9,8%)</w:t>
      </w:r>
      <w:r w:rsidR="00DD2274" w:rsidRPr="004C1654">
        <w:rPr>
          <w:rFonts w:asciiTheme="majorHAnsi" w:hAnsiTheme="majorHAnsi" w:cstheme="majorHAnsi"/>
          <w:sz w:val="24"/>
          <w:szCs w:val="24"/>
          <w:lang w:val="ro-RO"/>
        </w:rPr>
        <w:t>,</w:t>
      </w:r>
      <w:r w:rsidRPr="004C1654">
        <w:rPr>
          <w:rFonts w:asciiTheme="majorHAnsi" w:hAnsiTheme="majorHAnsi" w:cstheme="majorHAnsi"/>
          <w:sz w:val="24"/>
          <w:szCs w:val="24"/>
          <w:lang w:val="ro-RO"/>
        </w:rPr>
        <w:t xml:space="preserve"> </w:t>
      </w:r>
      <w:r w:rsidR="00DD2274" w:rsidRPr="004C1654">
        <w:rPr>
          <w:rFonts w:asciiTheme="majorHAnsi" w:hAnsiTheme="majorHAnsi" w:cstheme="majorHAnsi"/>
          <w:sz w:val="24"/>
          <w:szCs w:val="24"/>
          <w:lang w:val="ro-RO"/>
        </w:rPr>
        <w:t xml:space="preserve">comisioanele achitate însumând </w:t>
      </w:r>
      <w:r w:rsidR="00DD6B8A" w:rsidRPr="004C1654">
        <w:rPr>
          <w:rFonts w:asciiTheme="majorHAnsi" w:hAnsiTheme="majorHAnsi" w:cstheme="majorHAnsi"/>
          <w:sz w:val="24"/>
          <w:szCs w:val="24"/>
          <w:lang w:val="ro-RO"/>
        </w:rPr>
        <w:t xml:space="preserve">3,5 </w:t>
      </w:r>
      <w:proofErr w:type="spellStart"/>
      <w:r w:rsidR="00DD6B8A" w:rsidRPr="004C1654">
        <w:rPr>
          <w:rFonts w:asciiTheme="majorHAnsi" w:hAnsiTheme="majorHAnsi" w:cstheme="majorHAnsi"/>
          <w:sz w:val="24"/>
          <w:szCs w:val="24"/>
          <w:lang w:val="ro-RO"/>
        </w:rPr>
        <w:t>mil.dol.</w:t>
      </w:r>
      <w:r w:rsidRPr="004C1654">
        <w:rPr>
          <w:rFonts w:asciiTheme="majorHAnsi" w:hAnsiTheme="majorHAnsi" w:cstheme="majorHAnsi"/>
          <w:sz w:val="24"/>
          <w:szCs w:val="24"/>
          <w:lang w:val="ro-RO"/>
        </w:rPr>
        <w:t>SUA</w:t>
      </w:r>
      <w:proofErr w:type="spellEnd"/>
      <w:r w:rsidR="00BF1C93" w:rsidRPr="004C1654">
        <w:rPr>
          <w:rFonts w:asciiTheme="majorHAnsi" w:hAnsiTheme="majorHAnsi" w:cstheme="majorHAnsi"/>
          <w:sz w:val="24"/>
          <w:szCs w:val="24"/>
          <w:lang w:val="ro-RO"/>
        </w:rPr>
        <w:t xml:space="preserve">, </w:t>
      </w:r>
      <w:r w:rsidR="00F46806">
        <w:rPr>
          <w:rFonts w:asciiTheme="majorHAnsi" w:hAnsiTheme="majorHAnsi" w:cstheme="majorHAnsi"/>
          <w:sz w:val="24"/>
          <w:szCs w:val="24"/>
          <w:lang w:val="ro-RO"/>
        </w:rPr>
        <w:t>sau</w:t>
      </w:r>
      <w:r w:rsidR="00BF1C93" w:rsidRPr="00737A3A">
        <w:rPr>
          <w:rFonts w:asciiTheme="majorHAnsi" w:hAnsiTheme="majorHAnsi" w:cstheme="majorHAnsi"/>
          <w:sz w:val="24"/>
          <w:szCs w:val="24"/>
          <w:lang w:val="ro-RO"/>
        </w:rPr>
        <w:t xml:space="preserve"> </w:t>
      </w:r>
      <w:r w:rsidR="00737A3A" w:rsidRPr="008E6807">
        <w:rPr>
          <w:rFonts w:asciiTheme="majorHAnsi" w:hAnsiTheme="majorHAnsi" w:cstheme="majorHAnsi"/>
          <w:sz w:val="24"/>
          <w:szCs w:val="24"/>
          <w:lang w:val="ro-RO"/>
        </w:rPr>
        <w:t>0,5</w:t>
      </w:r>
      <w:r w:rsidR="00BF1C93" w:rsidRPr="004C1654">
        <w:rPr>
          <w:rFonts w:asciiTheme="majorHAnsi" w:hAnsiTheme="majorHAnsi" w:cstheme="majorHAnsi"/>
          <w:sz w:val="24"/>
          <w:szCs w:val="24"/>
          <w:lang w:val="ro-RO"/>
        </w:rPr>
        <w:t xml:space="preserve"> % anual </w:t>
      </w:r>
      <w:r w:rsidR="00990D0F">
        <w:rPr>
          <w:rFonts w:asciiTheme="majorHAnsi" w:hAnsiTheme="majorHAnsi" w:cstheme="majorHAnsi"/>
          <w:sz w:val="24"/>
          <w:szCs w:val="24"/>
          <w:lang w:val="ro-RO"/>
        </w:rPr>
        <w:t>din</w:t>
      </w:r>
      <w:r w:rsidR="00BF1C93" w:rsidRPr="004C1654">
        <w:rPr>
          <w:rFonts w:asciiTheme="majorHAnsi" w:hAnsiTheme="majorHAnsi" w:cstheme="majorHAnsi"/>
          <w:sz w:val="24"/>
          <w:szCs w:val="24"/>
          <w:lang w:val="ro-RO"/>
        </w:rPr>
        <w:t xml:space="preserve"> suma </w:t>
      </w:r>
      <w:proofErr w:type="spellStart"/>
      <w:r w:rsidR="00BF1C93" w:rsidRPr="004C1654">
        <w:rPr>
          <w:rFonts w:asciiTheme="majorHAnsi" w:hAnsiTheme="majorHAnsi" w:cstheme="majorHAnsi"/>
          <w:sz w:val="24"/>
          <w:szCs w:val="24"/>
          <w:lang w:val="ro-RO"/>
        </w:rPr>
        <w:t>nedebursată</w:t>
      </w:r>
      <w:proofErr w:type="spellEnd"/>
      <w:r w:rsidRPr="004C1654">
        <w:rPr>
          <w:rFonts w:asciiTheme="majorHAnsi" w:hAnsiTheme="majorHAnsi" w:cstheme="majorHAnsi"/>
          <w:sz w:val="24"/>
          <w:szCs w:val="24"/>
          <w:lang w:val="ro-RO"/>
        </w:rPr>
        <w:t xml:space="preserve">.  </w:t>
      </w:r>
    </w:p>
    <w:p w14:paraId="294C2609" w14:textId="04F37989" w:rsidR="00EC27B4" w:rsidRPr="00B41072" w:rsidRDefault="00EC27B4" w:rsidP="00EC27B4">
      <w:pPr>
        <w:numPr>
          <w:ilvl w:val="0"/>
          <w:numId w:val="44"/>
        </w:numPr>
        <w:tabs>
          <w:tab w:val="left" w:pos="284"/>
          <w:tab w:val="left" w:pos="567"/>
        </w:tabs>
        <w:spacing w:after="0" w:line="276" w:lineRule="auto"/>
        <w:ind w:left="0" w:firstLine="360"/>
        <w:contextualSpacing/>
        <w:jc w:val="both"/>
        <w:rPr>
          <w:rFonts w:asciiTheme="majorHAnsi" w:hAnsiTheme="majorHAnsi" w:cstheme="majorHAnsi"/>
          <w:sz w:val="24"/>
          <w:szCs w:val="24"/>
          <w:lang w:val="ro-RO"/>
        </w:rPr>
      </w:pPr>
      <w:r w:rsidRPr="004C1654">
        <w:rPr>
          <w:rFonts w:asciiTheme="majorHAnsi" w:hAnsiTheme="majorHAnsi" w:cstheme="majorHAnsi"/>
          <w:i/>
          <w:sz w:val="24"/>
          <w:szCs w:val="24"/>
          <w:lang w:val="ro-RO"/>
        </w:rPr>
        <w:t>Proiectul de reabilitare a drumurilor în RM</w:t>
      </w:r>
      <w:r w:rsidRPr="004C1654">
        <w:rPr>
          <w:rFonts w:asciiTheme="majorHAnsi" w:hAnsiTheme="majorHAnsi" w:cstheme="majorHAnsi"/>
          <w:sz w:val="24"/>
          <w:szCs w:val="24"/>
          <w:lang w:val="ro-RO"/>
        </w:rPr>
        <w:t>, contractat de la BEI în anul 2010, cu data</w:t>
      </w:r>
      <w:r w:rsidR="00F46806">
        <w:rPr>
          <w:rFonts w:asciiTheme="majorHAnsi" w:hAnsiTheme="majorHAnsi" w:cstheme="majorHAnsi"/>
          <w:sz w:val="24"/>
          <w:szCs w:val="24"/>
          <w:lang w:val="ro-RO"/>
        </w:rPr>
        <w:t>-</w:t>
      </w:r>
      <w:r w:rsidRPr="004C1654">
        <w:rPr>
          <w:rFonts w:asciiTheme="majorHAnsi" w:hAnsiTheme="majorHAnsi" w:cstheme="majorHAnsi"/>
          <w:sz w:val="24"/>
          <w:szCs w:val="24"/>
          <w:lang w:val="ro-RO"/>
        </w:rPr>
        <w:t>limită de debursare 31.12.2018</w:t>
      </w:r>
      <w:r w:rsidR="00F46806">
        <w:rPr>
          <w:rFonts w:asciiTheme="majorHAnsi" w:hAnsiTheme="majorHAnsi" w:cstheme="majorHAnsi"/>
          <w:sz w:val="24"/>
          <w:szCs w:val="24"/>
          <w:lang w:val="ro-RO"/>
        </w:rPr>
        <w:t>,</w:t>
      </w:r>
      <w:r w:rsidRPr="004C1654">
        <w:rPr>
          <w:rFonts w:asciiTheme="majorHAnsi" w:hAnsiTheme="majorHAnsi" w:cstheme="majorHAnsi"/>
          <w:sz w:val="24"/>
          <w:szCs w:val="24"/>
          <w:lang w:val="ro-RO"/>
        </w:rPr>
        <w:t xml:space="preserve"> din 75,0 </w:t>
      </w:r>
      <w:proofErr w:type="spellStart"/>
      <w:r w:rsidRPr="004C1654">
        <w:rPr>
          <w:rFonts w:asciiTheme="majorHAnsi" w:hAnsiTheme="majorHAnsi" w:cstheme="majorHAnsi"/>
          <w:sz w:val="24"/>
          <w:szCs w:val="24"/>
          <w:lang w:val="ro-RO"/>
        </w:rPr>
        <w:t>mil.euro</w:t>
      </w:r>
      <w:proofErr w:type="spellEnd"/>
      <w:r w:rsidRPr="004C1654">
        <w:rPr>
          <w:rFonts w:asciiTheme="majorHAnsi" w:hAnsiTheme="majorHAnsi" w:cstheme="majorHAnsi"/>
          <w:sz w:val="24"/>
          <w:szCs w:val="24"/>
          <w:lang w:val="ro-RO"/>
        </w:rPr>
        <w:t xml:space="preserve"> au fost debursate</w:t>
      </w:r>
      <w:r>
        <w:rPr>
          <w:rFonts w:asciiTheme="majorHAnsi" w:hAnsiTheme="majorHAnsi" w:cstheme="majorHAnsi"/>
          <w:sz w:val="24"/>
          <w:szCs w:val="24"/>
          <w:lang w:val="ro-RO"/>
        </w:rPr>
        <w:t xml:space="preserve"> 53,6 </w:t>
      </w:r>
      <w:proofErr w:type="spellStart"/>
      <w:r>
        <w:rPr>
          <w:rFonts w:asciiTheme="majorHAnsi" w:hAnsiTheme="majorHAnsi" w:cstheme="majorHAnsi"/>
          <w:sz w:val="24"/>
          <w:szCs w:val="24"/>
          <w:lang w:val="ro-RO"/>
        </w:rPr>
        <w:t>mil.euro</w:t>
      </w:r>
      <w:proofErr w:type="spellEnd"/>
      <w:r w:rsidRPr="00551A82">
        <w:rPr>
          <w:rFonts w:asciiTheme="majorHAnsi" w:hAnsiTheme="majorHAnsi" w:cstheme="majorHAnsi"/>
          <w:sz w:val="24"/>
          <w:szCs w:val="24"/>
          <w:lang w:val="ro-RO"/>
        </w:rPr>
        <w:t xml:space="preserve"> (71,4%)</w:t>
      </w:r>
      <w:r w:rsidR="00F46806">
        <w:rPr>
          <w:rFonts w:asciiTheme="majorHAnsi" w:hAnsiTheme="majorHAnsi" w:cstheme="majorHAnsi"/>
          <w:sz w:val="24"/>
          <w:szCs w:val="24"/>
          <w:lang w:val="ro-RO"/>
        </w:rPr>
        <w:t>,</w:t>
      </w:r>
      <w:r w:rsidRPr="00551A82">
        <w:rPr>
          <w:rFonts w:asciiTheme="majorHAnsi" w:hAnsiTheme="majorHAnsi" w:cstheme="majorHAnsi"/>
          <w:sz w:val="24"/>
          <w:szCs w:val="24"/>
          <w:lang w:val="ro-RO"/>
        </w:rPr>
        <w:t xml:space="preserve"> pentru care </w:t>
      </w:r>
      <w:r w:rsidR="00F46806">
        <w:rPr>
          <w:rFonts w:asciiTheme="majorHAnsi" w:hAnsiTheme="majorHAnsi" w:cstheme="majorHAnsi"/>
          <w:sz w:val="24"/>
          <w:szCs w:val="24"/>
          <w:lang w:val="ro-RO"/>
        </w:rPr>
        <w:t>s-</w:t>
      </w:r>
      <w:r w:rsidRPr="00551A82">
        <w:rPr>
          <w:rFonts w:asciiTheme="majorHAnsi" w:hAnsiTheme="majorHAnsi" w:cstheme="majorHAnsi"/>
          <w:sz w:val="24"/>
          <w:szCs w:val="24"/>
          <w:lang w:val="ro-RO"/>
        </w:rPr>
        <w:t xml:space="preserve">au achitat dobânzi și comisioane în sumă de 3,8 </w:t>
      </w:r>
      <w:proofErr w:type="spellStart"/>
      <w:r w:rsidRPr="00551A82">
        <w:rPr>
          <w:rFonts w:asciiTheme="majorHAnsi" w:hAnsiTheme="majorHAnsi" w:cstheme="majorHAnsi"/>
          <w:sz w:val="24"/>
          <w:szCs w:val="24"/>
          <w:lang w:val="ro-RO"/>
        </w:rPr>
        <w:t>mil.dol.SUA</w:t>
      </w:r>
      <w:proofErr w:type="spellEnd"/>
      <w:r w:rsidRPr="00551A82">
        <w:rPr>
          <w:rFonts w:asciiTheme="majorHAnsi" w:hAnsiTheme="majorHAnsi" w:cstheme="majorHAnsi"/>
          <w:sz w:val="24"/>
          <w:szCs w:val="24"/>
          <w:lang w:val="ro-RO"/>
        </w:rPr>
        <w:t xml:space="preserve">.  </w:t>
      </w:r>
    </w:p>
    <w:p w14:paraId="695C005B" w14:textId="77777777" w:rsidR="00476DA6" w:rsidRPr="008E6807" w:rsidRDefault="00476DA6" w:rsidP="00A404D3">
      <w:pPr>
        <w:tabs>
          <w:tab w:val="left" w:pos="284"/>
          <w:tab w:val="left" w:pos="567"/>
          <w:tab w:val="left" w:pos="709"/>
        </w:tabs>
        <w:spacing w:after="0" w:line="276" w:lineRule="auto"/>
        <w:jc w:val="both"/>
        <w:rPr>
          <w:rFonts w:asciiTheme="majorHAnsi" w:hAnsiTheme="majorHAnsi"/>
          <w:sz w:val="24"/>
          <w:shd w:val="clear" w:color="auto" w:fill="FFFFFF"/>
          <w:lang w:val="ro-MD"/>
        </w:rPr>
      </w:pPr>
    </w:p>
    <w:p w14:paraId="0986A224" w14:textId="77777777" w:rsidR="00AD0650" w:rsidRPr="009E75C6" w:rsidRDefault="00AD0650" w:rsidP="005D2329">
      <w:pPr>
        <w:pStyle w:val="2"/>
        <w:numPr>
          <w:ilvl w:val="2"/>
          <w:numId w:val="47"/>
        </w:numPr>
        <w:spacing w:after="240"/>
        <w:ind w:left="0" w:firstLine="698"/>
        <w:jc w:val="both"/>
        <w:rPr>
          <w:rFonts w:asciiTheme="majorHAnsi" w:hAnsiTheme="majorHAnsi" w:cstheme="majorHAnsi"/>
          <w:b/>
          <w:color w:val="auto"/>
          <w:sz w:val="24"/>
          <w:szCs w:val="24"/>
          <w:lang w:val="ro-RO"/>
        </w:rPr>
      </w:pPr>
      <w:bookmarkStart w:id="45" w:name="_Toc10106691"/>
      <w:r w:rsidRPr="009E75C6">
        <w:rPr>
          <w:rFonts w:asciiTheme="majorHAnsi" w:hAnsiTheme="majorHAnsi" w:cstheme="majorHAnsi"/>
          <w:b/>
          <w:color w:val="auto"/>
          <w:sz w:val="24"/>
          <w:szCs w:val="24"/>
          <w:lang w:val="ro-RO"/>
        </w:rPr>
        <w:t>În anul 2018 au fost contractate</w:t>
      </w:r>
      <w:r w:rsidR="00201DC6">
        <w:rPr>
          <w:rFonts w:asciiTheme="majorHAnsi" w:hAnsiTheme="majorHAnsi" w:cstheme="majorHAnsi"/>
          <w:b/>
          <w:color w:val="auto"/>
          <w:sz w:val="24"/>
          <w:szCs w:val="24"/>
          <w:lang w:val="ro-RO"/>
        </w:rPr>
        <w:t xml:space="preserve"> noi</w:t>
      </w:r>
      <w:r w:rsidRPr="009E75C6">
        <w:rPr>
          <w:rFonts w:asciiTheme="majorHAnsi" w:hAnsiTheme="majorHAnsi" w:cstheme="majorHAnsi"/>
          <w:b/>
          <w:color w:val="auto"/>
          <w:sz w:val="24"/>
          <w:szCs w:val="24"/>
          <w:lang w:val="ro-RO"/>
        </w:rPr>
        <w:t xml:space="preserve"> împrumuturi în valoare totală de 88,2 </w:t>
      </w:r>
      <w:proofErr w:type="spellStart"/>
      <w:r w:rsidRPr="009E75C6">
        <w:rPr>
          <w:rFonts w:asciiTheme="majorHAnsi" w:hAnsiTheme="majorHAnsi" w:cstheme="majorHAnsi"/>
          <w:b/>
          <w:color w:val="auto"/>
          <w:sz w:val="24"/>
          <w:szCs w:val="24"/>
          <w:lang w:val="ro-RO"/>
        </w:rPr>
        <w:t>mil.dol.SUA</w:t>
      </w:r>
      <w:proofErr w:type="spellEnd"/>
      <w:r w:rsidRPr="009E75C6">
        <w:rPr>
          <w:rFonts w:asciiTheme="majorHAnsi" w:hAnsiTheme="majorHAnsi" w:cstheme="majorHAnsi"/>
          <w:b/>
          <w:color w:val="auto"/>
          <w:sz w:val="24"/>
          <w:szCs w:val="24"/>
          <w:lang w:val="ro-RO"/>
        </w:rPr>
        <w:t>.</w:t>
      </w:r>
      <w:bookmarkEnd w:id="45"/>
    </w:p>
    <w:p w14:paraId="0D06F4F4" w14:textId="77777777" w:rsidR="00476DA6" w:rsidRPr="00476DA6" w:rsidRDefault="00476DA6" w:rsidP="00476DA6">
      <w:pPr>
        <w:spacing w:after="0" w:line="276" w:lineRule="auto"/>
        <w:ind w:firstLine="698"/>
        <w:jc w:val="both"/>
        <w:rPr>
          <w:rFonts w:asciiTheme="majorHAnsi" w:hAnsiTheme="majorHAnsi"/>
          <w:sz w:val="24"/>
          <w:szCs w:val="24"/>
          <w:lang w:val="ro-RO"/>
        </w:rPr>
      </w:pPr>
      <w:bookmarkStart w:id="46" w:name="_Toc482639124"/>
      <w:r w:rsidRPr="00476DA6">
        <w:rPr>
          <w:rFonts w:asciiTheme="majorHAnsi" w:hAnsiTheme="majorHAnsi"/>
          <w:sz w:val="24"/>
          <w:szCs w:val="24"/>
          <w:lang w:val="ro-RO"/>
        </w:rPr>
        <w:t xml:space="preserve">Auditul denotă că în anul 2018 au fost semnate 4 acorduri de finanțare în valoare totală de 88,2 </w:t>
      </w:r>
      <w:proofErr w:type="spellStart"/>
      <w:r w:rsidRPr="00476DA6">
        <w:rPr>
          <w:rFonts w:asciiTheme="majorHAnsi" w:hAnsiTheme="majorHAnsi"/>
          <w:sz w:val="24"/>
          <w:szCs w:val="24"/>
          <w:lang w:val="ro-RO"/>
        </w:rPr>
        <w:t>mil.dol.SUA</w:t>
      </w:r>
      <w:proofErr w:type="spellEnd"/>
      <w:r w:rsidRPr="00476DA6">
        <w:rPr>
          <w:rFonts w:asciiTheme="majorHAnsi" w:hAnsiTheme="majorHAnsi"/>
          <w:sz w:val="24"/>
          <w:szCs w:val="24"/>
          <w:lang w:val="ro-RO"/>
        </w:rPr>
        <w:t xml:space="preserve">. </w:t>
      </w:r>
    </w:p>
    <w:p w14:paraId="5EEFFF1E" w14:textId="50ABDEAE" w:rsidR="00476DA6" w:rsidRPr="00476DA6" w:rsidRDefault="00476DA6" w:rsidP="00476DA6">
      <w:pPr>
        <w:spacing w:after="0" w:line="276" w:lineRule="auto"/>
        <w:ind w:firstLine="698"/>
        <w:jc w:val="both"/>
        <w:rPr>
          <w:rFonts w:asciiTheme="majorHAnsi" w:hAnsiTheme="majorHAnsi"/>
          <w:sz w:val="24"/>
          <w:szCs w:val="24"/>
          <w:lang w:val="ro-RO"/>
        </w:rPr>
      </w:pPr>
      <w:r w:rsidRPr="00476DA6">
        <w:rPr>
          <w:rFonts w:asciiTheme="majorHAnsi" w:hAnsiTheme="majorHAnsi"/>
          <w:sz w:val="24"/>
          <w:szCs w:val="24"/>
          <w:lang w:val="ro-RO"/>
        </w:rPr>
        <w:t xml:space="preserve">Din cele 4 acorduri de împrumut semnate, 3 Acorduri de finanțare au intrat în vigoare în anul 2018 și unul </w:t>
      </w:r>
      <w:r w:rsidR="009B1BD5">
        <w:rPr>
          <w:rFonts w:asciiTheme="majorHAnsi" w:hAnsiTheme="majorHAnsi"/>
          <w:sz w:val="24"/>
          <w:szCs w:val="24"/>
          <w:lang w:val="ro-RO"/>
        </w:rPr>
        <w:t xml:space="preserve">- </w:t>
      </w:r>
      <w:r w:rsidRPr="00476DA6">
        <w:rPr>
          <w:rFonts w:asciiTheme="majorHAnsi" w:hAnsiTheme="majorHAnsi"/>
          <w:sz w:val="24"/>
          <w:szCs w:val="24"/>
          <w:lang w:val="ro-RO"/>
        </w:rPr>
        <w:t xml:space="preserve">în anul 2019. Împrumuturile de stat externe au fost </w:t>
      </w:r>
      <w:r w:rsidR="00A426E0">
        <w:rPr>
          <w:rFonts w:asciiTheme="majorHAnsi" w:hAnsiTheme="majorHAnsi"/>
          <w:sz w:val="24"/>
          <w:szCs w:val="24"/>
          <w:lang w:val="ro-RO"/>
        </w:rPr>
        <w:t>contractate de</w:t>
      </w:r>
      <w:r w:rsidRPr="00476DA6">
        <w:rPr>
          <w:rFonts w:asciiTheme="majorHAnsi" w:hAnsiTheme="majorHAnsi"/>
          <w:sz w:val="24"/>
          <w:szCs w:val="24"/>
          <w:lang w:val="ro-RO"/>
        </w:rPr>
        <w:t xml:space="preserve"> la </w:t>
      </w:r>
      <w:r w:rsidR="00A426E0">
        <w:rPr>
          <w:rFonts w:asciiTheme="majorHAnsi" w:hAnsiTheme="majorHAnsi"/>
          <w:sz w:val="24"/>
          <w:szCs w:val="24"/>
          <w:lang w:val="ro-RO"/>
        </w:rPr>
        <w:t>creditorii multilaterali</w:t>
      </w:r>
      <w:r w:rsidRPr="00476DA6">
        <w:rPr>
          <w:rFonts w:asciiTheme="majorHAnsi" w:hAnsiTheme="majorHAnsi"/>
          <w:sz w:val="24"/>
          <w:szCs w:val="24"/>
          <w:lang w:val="ro-RO"/>
        </w:rPr>
        <w:t xml:space="preserve">, din care 3 Acorduri au fost semnate cu AID și unul </w:t>
      </w:r>
      <w:r w:rsidR="009B1BD5">
        <w:rPr>
          <w:rFonts w:asciiTheme="majorHAnsi" w:hAnsiTheme="majorHAnsi"/>
          <w:sz w:val="24"/>
          <w:szCs w:val="24"/>
          <w:lang w:val="ro-RO"/>
        </w:rPr>
        <w:t xml:space="preserve">- </w:t>
      </w:r>
      <w:r w:rsidRPr="00476DA6">
        <w:rPr>
          <w:rFonts w:asciiTheme="majorHAnsi" w:hAnsiTheme="majorHAnsi"/>
          <w:sz w:val="24"/>
          <w:szCs w:val="24"/>
          <w:lang w:val="ro-RO"/>
        </w:rPr>
        <w:t>cu BDCE.</w:t>
      </w:r>
    </w:p>
    <w:p w14:paraId="381B10DE" w14:textId="221B6687" w:rsidR="00476DA6" w:rsidRPr="00476DA6" w:rsidRDefault="00476DA6" w:rsidP="00A426E0">
      <w:pPr>
        <w:spacing w:after="0" w:line="276" w:lineRule="auto"/>
        <w:ind w:firstLine="698"/>
        <w:jc w:val="both"/>
        <w:rPr>
          <w:rFonts w:asciiTheme="majorHAnsi" w:hAnsiTheme="majorHAnsi"/>
          <w:sz w:val="24"/>
          <w:szCs w:val="24"/>
          <w:lang w:val="ro-RO"/>
        </w:rPr>
      </w:pPr>
      <w:r w:rsidRPr="00476DA6">
        <w:rPr>
          <w:rFonts w:asciiTheme="majorHAnsi" w:hAnsiTheme="majorHAnsi"/>
          <w:sz w:val="24"/>
          <w:szCs w:val="24"/>
          <w:lang w:val="ro-RO"/>
        </w:rPr>
        <w:t>Acordurile de împrumut semnat</w:t>
      </w:r>
      <w:r w:rsidR="00A426E0">
        <w:rPr>
          <w:rFonts w:asciiTheme="majorHAnsi" w:hAnsiTheme="majorHAnsi"/>
          <w:sz w:val="24"/>
          <w:szCs w:val="24"/>
          <w:lang w:val="ro-RO"/>
        </w:rPr>
        <w:t>e</w:t>
      </w:r>
      <w:r w:rsidRPr="00476DA6">
        <w:rPr>
          <w:rFonts w:asciiTheme="majorHAnsi" w:hAnsiTheme="majorHAnsi"/>
          <w:sz w:val="24"/>
          <w:szCs w:val="24"/>
          <w:lang w:val="ro-RO"/>
        </w:rPr>
        <w:t xml:space="preserve"> cu AID, în sum</w:t>
      </w:r>
      <w:r w:rsidR="00A426E0">
        <w:rPr>
          <w:rFonts w:asciiTheme="majorHAnsi" w:hAnsiTheme="majorHAnsi"/>
          <w:sz w:val="24"/>
          <w:szCs w:val="24"/>
          <w:lang w:val="ro-RO"/>
        </w:rPr>
        <w:t xml:space="preserve">ă </w:t>
      </w:r>
      <w:r w:rsidR="00A426E0" w:rsidRPr="009B1BD5">
        <w:rPr>
          <w:rFonts w:asciiTheme="majorHAnsi" w:hAnsiTheme="majorHAnsi"/>
          <w:sz w:val="24"/>
          <w:szCs w:val="24"/>
          <w:lang w:val="ro-RO"/>
        </w:rPr>
        <w:t>totală echivalentă a</w:t>
      </w:r>
      <w:r w:rsidR="00A426E0">
        <w:rPr>
          <w:rFonts w:asciiTheme="majorHAnsi" w:hAnsiTheme="majorHAnsi"/>
          <w:sz w:val="24"/>
          <w:szCs w:val="24"/>
          <w:lang w:val="ro-RO"/>
        </w:rPr>
        <w:t xml:space="preserve"> 74,1 mil. </w:t>
      </w:r>
      <w:proofErr w:type="spellStart"/>
      <w:r w:rsidR="00A426E0">
        <w:rPr>
          <w:rFonts w:asciiTheme="majorHAnsi" w:hAnsiTheme="majorHAnsi"/>
          <w:sz w:val="24"/>
          <w:szCs w:val="24"/>
          <w:lang w:val="ro-RO"/>
        </w:rPr>
        <w:t>dol.SUA</w:t>
      </w:r>
      <w:proofErr w:type="spellEnd"/>
      <w:r w:rsidR="009B1BD5">
        <w:rPr>
          <w:rFonts w:asciiTheme="majorHAnsi" w:hAnsiTheme="majorHAnsi"/>
          <w:sz w:val="24"/>
          <w:szCs w:val="24"/>
          <w:lang w:val="ro-RO"/>
        </w:rPr>
        <w:t>,</w:t>
      </w:r>
      <w:r w:rsidRPr="00476DA6">
        <w:rPr>
          <w:rFonts w:asciiTheme="majorHAnsi" w:hAnsiTheme="majorHAnsi"/>
          <w:sz w:val="24"/>
          <w:szCs w:val="24"/>
          <w:lang w:val="ro-RO"/>
        </w:rPr>
        <w:t xml:space="preserve"> sunt destinate pentru 3 proiecte, după cum urmează: </w:t>
      </w:r>
    </w:p>
    <w:p w14:paraId="0162EEDE" w14:textId="0DC3E941" w:rsidR="00476DA6" w:rsidRPr="00E37F47" w:rsidRDefault="00476DA6" w:rsidP="00476DA6">
      <w:pPr>
        <w:spacing w:after="0" w:line="240" w:lineRule="auto"/>
        <w:ind w:firstLine="720"/>
        <w:jc w:val="both"/>
        <w:rPr>
          <w:rFonts w:asciiTheme="majorHAnsi" w:hAnsiTheme="majorHAnsi"/>
          <w:sz w:val="24"/>
          <w:lang w:val="ro-RO"/>
        </w:rPr>
      </w:pPr>
      <w:r w:rsidRPr="00E37F47">
        <w:rPr>
          <w:rFonts w:asciiTheme="majorHAnsi" w:hAnsiTheme="majorHAnsi"/>
          <w:sz w:val="24"/>
          <w:lang w:val="ro-RO"/>
        </w:rPr>
        <w:lastRenderedPageBreak/>
        <w:t xml:space="preserve">Proiectul </w:t>
      </w:r>
      <w:r w:rsidR="009B1BD5">
        <w:rPr>
          <w:rFonts w:asciiTheme="majorHAnsi" w:hAnsiTheme="majorHAnsi"/>
          <w:sz w:val="24"/>
          <w:lang w:val="ro-RO"/>
        </w:rPr>
        <w:t>„</w:t>
      </w:r>
      <w:r w:rsidRPr="00E37F47">
        <w:rPr>
          <w:rFonts w:asciiTheme="majorHAnsi" w:hAnsiTheme="majorHAnsi"/>
          <w:i/>
          <w:sz w:val="24"/>
          <w:lang w:val="ro-RO"/>
        </w:rPr>
        <w:t>Finanțare Adițională pentru Reforma Educației în Moldova”</w:t>
      </w:r>
      <w:r w:rsidR="00A426E0" w:rsidRPr="00E37F47">
        <w:rPr>
          <w:rFonts w:asciiTheme="majorHAnsi" w:hAnsiTheme="majorHAnsi"/>
          <w:sz w:val="24"/>
          <w:lang w:val="ro-RO"/>
        </w:rPr>
        <w:t xml:space="preserve"> (10,0 mil</w:t>
      </w:r>
      <w:r w:rsidR="009B1BD5">
        <w:rPr>
          <w:rFonts w:asciiTheme="majorHAnsi" w:hAnsiTheme="majorHAnsi"/>
          <w:sz w:val="24"/>
          <w:lang w:val="ro-RO"/>
        </w:rPr>
        <w:t>.</w:t>
      </w:r>
      <w:r w:rsidR="00A426E0" w:rsidRPr="00E37F47">
        <w:rPr>
          <w:rFonts w:asciiTheme="majorHAnsi" w:hAnsiTheme="majorHAnsi"/>
          <w:sz w:val="24"/>
          <w:lang w:val="ro-RO"/>
        </w:rPr>
        <w:t xml:space="preserve"> dol</w:t>
      </w:r>
      <w:r w:rsidR="009B1BD5">
        <w:rPr>
          <w:rFonts w:asciiTheme="majorHAnsi" w:hAnsiTheme="majorHAnsi"/>
          <w:sz w:val="24"/>
          <w:lang w:val="ro-RO"/>
        </w:rPr>
        <w:t>.</w:t>
      </w:r>
      <w:r w:rsidR="00A426E0" w:rsidRPr="00E37F47">
        <w:rPr>
          <w:rFonts w:asciiTheme="majorHAnsi" w:hAnsiTheme="majorHAnsi"/>
          <w:sz w:val="24"/>
          <w:lang w:val="ro-RO"/>
        </w:rPr>
        <w:t xml:space="preserve"> SUA), obiectivul căruia constă în </w:t>
      </w:r>
      <w:proofErr w:type="spellStart"/>
      <w:r w:rsidRPr="00E37F47">
        <w:rPr>
          <w:rFonts w:asciiTheme="majorHAnsi" w:hAnsiTheme="majorHAnsi"/>
          <w:sz w:val="24"/>
          <w:lang w:val="ro-RO"/>
        </w:rPr>
        <w:t>îmbunătăţi</w:t>
      </w:r>
      <w:r w:rsidR="00A426E0" w:rsidRPr="00E37F47">
        <w:rPr>
          <w:rFonts w:asciiTheme="majorHAnsi" w:hAnsiTheme="majorHAnsi"/>
          <w:sz w:val="24"/>
          <w:lang w:val="ro-RO"/>
        </w:rPr>
        <w:t>rea</w:t>
      </w:r>
      <w:proofErr w:type="spellEnd"/>
      <w:r w:rsidR="00A426E0" w:rsidRPr="00E37F47">
        <w:rPr>
          <w:rFonts w:asciiTheme="majorHAnsi" w:hAnsiTheme="majorHAnsi"/>
          <w:sz w:val="24"/>
          <w:lang w:val="ro-RO"/>
        </w:rPr>
        <w:t xml:space="preserve"> </w:t>
      </w:r>
      <w:proofErr w:type="spellStart"/>
      <w:r w:rsidR="00A426E0" w:rsidRPr="00E37F47">
        <w:rPr>
          <w:rFonts w:asciiTheme="majorHAnsi" w:hAnsiTheme="majorHAnsi"/>
          <w:sz w:val="24"/>
          <w:lang w:val="ro-RO"/>
        </w:rPr>
        <w:t>condiţiilor</w:t>
      </w:r>
      <w:proofErr w:type="spellEnd"/>
      <w:r w:rsidR="00A828BB" w:rsidRPr="00E37F47">
        <w:rPr>
          <w:rFonts w:asciiTheme="majorHAnsi" w:hAnsiTheme="majorHAnsi"/>
          <w:sz w:val="24"/>
          <w:lang w:val="ro-RO"/>
        </w:rPr>
        <w:t xml:space="preserve"> de </w:t>
      </w:r>
      <w:proofErr w:type="spellStart"/>
      <w:r w:rsidR="00A828BB" w:rsidRPr="00E37F47">
        <w:rPr>
          <w:rFonts w:asciiTheme="majorHAnsi" w:hAnsiTheme="majorHAnsi"/>
          <w:sz w:val="24"/>
          <w:lang w:val="ro-RO"/>
        </w:rPr>
        <w:t>învăţare</w:t>
      </w:r>
      <w:proofErr w:type="spellEnd"/>
      <w:r w:rsidR="00A828BB" w:rsidRPr="00E37F47">
        <w:rPr>
          <w:rFonts w:asciiTheme="majorHAnsi" w:hAnsiTheme="majorHAnsi"/>
          <w:sz w:val="24"/>
          <w:lang w:val="ro-RO"/>
        </w:rPr>
        <w:t xml:space="preserve"> în </w:t>
      </w:r>
      <w:proofErr w:type="spellStart"/>
      <w:r w:rsidR="00A828BB" w:rsidRPr="00E37F47">
        <w:rPr>
          <w:rFonts w:asciiTheme="majorHAnsi" w:hAnsiTheme="majorHAnsi"/>
          <w:sz w:val="24"/>
          <w:lang w:val="ro-RO"/>
        </w:rPr>
        <w:t>şcoli</w:t>
      </w:r>
      <w:proofErr w:type="spellEnd"/>
      <w:r w:rsidR="00A828BB" w:rsidRPr="00E37F47">
        <w:rPr>
          <w:rFonts w:asciiTheme="majorHAnsi" w:hAnsiTheme="majorHAnsi"/>
          <w:sz w:val="24"/>
          <w:lang w:val="ro-RO"/>
        </w:rPr>
        <w:t xml:space="preserve"> </w:t>
      </w:r>
      <w:proofErr w:type="spellStart"/>
      <w:r w:rsidRPr="00E37F47">
        <w:rPr>
          <w:rFonts w:asciiTheme="majorHAnsi" w:hAnsiTheme="majorHAnsi"/>
          <w:sz w:val="24"/>
          <w:lang w:val="ro-RO"/>
        </w:rPr>
        <w:t>şi</w:t>
      </w:r>
      <w:proofErr w:type="spellEnd"/>
      <w:r w:rsidRPr="00E37F47">
        <w:rPr>
          <w:rFonts w:asciiTheme="majorHAnsi" w:hAnsiTheme="majorHAnsi"/>
          <w:sz w:val="24"/>
          <w:lang w:val="ro-RO"/>
        </w:rPr>
        <w:t xml:space="preserve"> consolida</w:t>
      </w:r>
      <w:r w:rsidR="00A828BB" w:rsidRPr="00E37F47">
        <w:rPr>
          <w:rFonts w:asciiTheme="majorHAnsi" w:hAnsiTheme="majorHAnsi"/>
          <w:sz w:val="24"/>
          <w:lang w:val="ro-RO"/>
        </w:rPr>
        <w:t>rea sistemelor</w:t>
      </w:r>
      <w:r w:rsidRPr="00E37F47">
        <w:rPr>
          <w:rFonts w:asciiTheme="majorHAnsi" w:hAnsiTheme="majorHAnsi"/>
          <w:sz w:val="24"/>
          <w:lang w:val="ro-RO"/>
        </w:rPr>
        <w:t xml:space="preserve"> de monitorizare în </w:t>
      </w:r>
      <w:proofErr w:type="spellStart"/>
      <w:r w:rsidRPr="00E37F47">
        <w:rPr>
          <w:rFonts w:asciiTheme="majorHAnsi" w:hAnsiTheme="majorHAnsi"/>
          <w:sz w:val="24"/>
          <w:lang w:val="ro-RO"/>
        </w:rPr>
        <w:t>educaţie</w:t>
      </w:r>
      <w:proofErr w:type="spellEnd"/>
      <w:r w:rsidRPr="00E37F47">
        <w:rPr>
          <w:rFonts w:asciiTheme="majorHAnsi" w:hAnsiTheme="majorHAnsi"/>
          <w:sz w:val="24"/>
          <w:lang w:val="ro-RO"/>
        </w:rPr>
        <w:t xml:space="preserve">, prin promovarea reformelor eficiente în sectorul </w:t>
      </w:r>
      <w:proofErr w:type="spellStart"/>
      <w:r w:rsidRPr="00E37F47">
        <w:rPr>
          <w:rFonts w:asciiTheme="majorHAnsi" w:hAnsiTheme="majorHAnsi"/>
          <w:sz w:val="24"/>
          <w:lang w:val="ro-RO"/>
        </w:rPr>
        <w:t>educaţional</w:t>
      </w:r>
      <w:proofErr w:type="spellEnd"/>
      <w:r w:rsidRPr="00E37F47">
        <w:rPr>
          <w:rFonts w:asciiTheme="majorHAnsi" w:hAnsiTheme="majorHAnsi"/>
          <w:sz w:val="24"/>
          <w:lang w:val="ro-RO"/>
        </w:rPr>
        <w:t>.</w:t>
      </w:r>
    </w:p>
    <w:p w14:paraId="4B72626F" w14:textId="1207A8AF" w:rsidR="00476DA6" w:rsidRPr="00E37F47" w:rsidRDefault="00476DA6" w:rsidP="00476DA6">
      <w:pPr>
        <w:spacing w:after="0" w:line="276" w:lineRule="auto"/>
        <w:ind w:firstLine="720"/>
        <w:jc w:val="both"/>
        <w:rPr>
          <w:rFonts w:asciiTheme="majorHAnsi" w:hAnsiTheme="majorHAnsi"/>
          <w:sz w:val="24"/>
          <w:lang w:val="ro-RO"/>
        </w:rPr>
      </w:pPr>
      <w:r w:rsidRPr="00E37F47">
        <w:rPr>
          <w:rFonts w:asciiTheme="majorHAnsi" w:hAnsiTheme="majorHAnsi"/>
          <w:sz w:val="24"/>
          <w:lang w:val="ro-RO"/>
        </w:rPr>
        <w:t xml:space="preserve">Programul </w:t>
      </w:r>
      <w:r w:rsidR="009B1BD5">
        <w:rPr>
          <w:rFonts w:asciiTheme="majorHAnsi" w:hAnsiTheme="majorHAnsi"/>
          <w:i/>
          <w:sz w:val="24"/>
          <w:lang w:val="ro-RO"/>
        </w:rPr>
        <w:t>„</w:t>
      </w:r>
      <w:r w:rsidRPr="00E37F47">
        <w:rPr>
          <w:rFonts w:asciiTheme="majorHAnsi" w:hAnsiTheme="majorHAnsi"/>
          <w:i/>
          <w:sz w:val="24"/>
          <w:lang w:val="ro-RO"/>
        </w:rPr>
        <w:t>Guvernanța economică – DPO3”</w:t>
      </w:r>
      <w:r w:rsidR="00A828BB" w:rsidRPr="00E37F47">
        <w:rPr>
          <w:rFonts w:asciiTheme="majorHAnsi" w:hAnsiTheme="majorHAnsi"/>
          <w:sz w:val="24"/>
          <w:lang w:val="ro-RO"/>
        </w:rPr>
        <w:t xml:space="preserve"> (29,1 </w:t>
      </w:r>
      <w:proofErr w:type="spellStart"/>
      <w:r w:rsidR="00A828BB" w:rsidRPr="00E37F47">
        <w:rPr>
          <w:rFonts w:asciiTheme="majorHAnsi" w:hAnsiTheme="majorHAnsi"/>
          <w:sz w:val="24"/>
          <w:lang w:val="ro-RO"/>
        </w:rPr>
        <w:t>mil.dol.</w:t>
      </w:r>
      <w:r w:rsidRPr="00E37F47">
        <w:rPr>
          <w:rFonts w:asciiTheme="majorHAnsi" w:hAnsiTheme="majorHAnsi"/>
          <w:sz w:val="24"/>
          <w:lang w:val="ro-RO"/>
        </w:rPr>
        <w:t>SUA</w:t>
      </w:r>
      <w:proofErr w:type="spellEnd"/>
      <w:r w:rsidRPr="00E37F47">
        <w:rPr>
          <w:rFonts w:asciiTheme="majorHAnsi" w:hAnsiTheme="majorHAnsi"/>
          <w:sz w:val="24"/>
          <w:lang w:val="ro-RO"/>
        </w:rPr>
        <w:t>), asistență financiară acordată Guvernului și altor autorități publice</w:t>
      </w:r>
      <w:r w:rsidR="009B1BD5">
        <w:rPr>
          <w:rFonts w:asciiTheme="majorHAnsi" w:hAnsiTheme="majorHAnsi"/>
          <w:sz w:val="24"/>
          <w:lang w:val="ro-RO"/>
        </w:rPr>
        <w:t>,</w:t>
      </w:r>
      <w:r w:rsidRPr="00E37F47">
        <w:rPr>
          <w:rFonts w:asciiTheme="majorHAnsi" w:hAnsiTheme="majorHAnsi"/>
          <w:sz w:val="24"/>
          <w:lang w:val="ro-RO"/>
        </w:rPr>
        <w:t xml:space="preserve"> a fost debursat integral în anul 2018. </w:t>
      </w:r>
    </w:p>
    <w:p w14:paraId="7E372778" w14:textId="4ADEF281" w:rsidR="00476DA6" w:rsidRPr="00E37F47" w:rsidRDefault="00476DA6" w:rsidP="00A828BB">
      <w:pPr>
        <w:spacing w:after="0" w:line="276" w:lineRule="auto"/>
        <w:ind w:firstLine="720"/>
        <w:jc w:val="both"/>
        <w:rPr>
          <w:rFonts w:asciiTheme="majorHAnsi" w:hAnsiTheme="majorHAnsi"/>
          <w:sz w:val="24"/>
          <w:lang w:val="ro-RO"/>
        </w:rPr>
      </w:pPr>
      <w:r w:rsidRPr="00E37F47">
        <w:rPr>
          <w:rFonts w:asciiTheme="majorHAnsi" w:hAnsiTheme="majorHAnsi"/>
          <w:sz w:val="24"/>
          <w:lang w:val="ro-RO"/>
        </w:rPr>
        <w:t>Proiectul</w:t>
      </w:r>
      <w:r w:rsidRPr="00E37F47">
        <w:rPr>
          <w:rFonts w:asciiTheme="majorHAnsi" w:hAnsiTheme="majorHAnsi"/>
          <w:i/>
          <w:sz w:val="24"/>
          <w:lang w:val="ro-RO"/>
        </w:rPr>
        <w:t xml:space="preserve"> </w:t>
      </w:r>
      <w:r w:rsidR="009B1BD5">
        <w:rPr>
          <w:rFonts w:asciiTheme="majorHAnsi" w:hAnsiTheme="majorHAnsi"/>
          <w:i/>
          <w:sz w:val="24"/>
          <w:lang w:val="ro-RO"/>
        </w:rPr>
        <w:t>„</w:t>
      </w:r>
      <w:r w:rsidRPr="00E37F47">
        <w:rPr>
          <w:rFonts w:asciiTheme="majorHAnsi" w:hAnsiTheme="majorHAnsi"/>
          <w:i/>
          <w:sz w:val="24"/>
          <w:lang w:val="ro-RO"/>
        </w:rPr>
        <w:t>Înregistrare și evaluare financiară”</w:t>
      </w:r>
      <w:r w:rsidRPr="00E37F47">
        <w:rPr>
          <w:rFonts w:asciiTheme="majorHAnsi" w:hAnsiTheme="majorHAnsi"/>
          <w:sz w:val="24"/>
          <w:lang w:val="ro-RO"/>
        </w:rPr>
        <w:t xml:space="preserve"> (35,</w:t>
      </w:r>
      <w:r w:rsidR="00A828BB" w:rsidRPr="00E37F47">
        <w:rPr>
          <w:rFonts w:asciiTheme="majorHAnsi" w:hAnsiTheme="majorHAnsi"/>
          <w:sz w:val="24"/>
          <w:lang w:val="ro-RO"/>
        </w:rPr>
        <w:t xml:space="preserve">0 </w:t>
      </w:r>
      <w:proofErr w:type="spellStart"/>
      <w:r w:rsidR="00A828BB" w:rsidRPr="00E37F47">
        <w:rPr>
          <w:rFonts w:asciiTheme="majorHAnsi" w:hAnsiTheme="majorHAnsi"/>
          <w:sz w:val="24"/>
          <w:lang w:val="ro-RO"/>
        </w:rPr>
        <w:t>mil.dol</w:t>
      </w:r>
      <w:r w:rsidRPr="00E37F47">
        <w:rPr>
          <w:rFonts w:asciiTheme="majorHAnsi" w:hAnsiTheme="majorHAnsi"/>
          <w:sz w:val="24"/>
          <w:lang w:val="ro-RO"/>
        </w:rPr>
        <w:t>.SUA</w:t>
      </w:r>
      <w:proofErr w:type="spellEnd"/>
      <w:r w:rsidRPr="00E37F47">
        <w:rPr>
          <w:rFonts w:asciiTheme="majorHAnsi" w:hAnsiTheme="majorHAnsi"/>
          <w:sz w:val="24"/>
          <w:lang w:val="ro-RO"/>
        </w:rPr>
        <w:t xml:space="preserve">), sprijin pentru înregistrarea primară a bunurilor </w:t>
      </w:r>
      <w:r w:rsidR="00A828BB" w:rsidRPr="00E37F47">
        <w:rPr>
          <w:rFonts w:asciiTheme="majorHAnsi" w:hAnsiTheme="majorHAnsi"/>
          <w:sz w:val="24"/>
          <w:lang w:val="ro-RO"/>
        </w:rPr>
        <w:t>i</w:t>
      </w:r>
      <w:r w:rsidRPr="00E37F47">
        <w:rPr>
          <w:rFonts w:asciiTheme="majorHAnsi" w:hAnsiTheme="majorHAnsi"/>
          <w:sz w:val="24"/>
          <w:lang w:val="ro-RO"/>
        </w:rPr>
        <w:t>mobile</w:t>
      </w:r>
      <w:r w:rsidR="00A828BB" w:rsidRPr="00E37F47">
        <w:rPr>
          <w:rFonts w:asciiTheme="majorHAnsi" w:hAnsiTheme="majorHAnsi"/>
          <w:sz w:val="24"/>
          <w:lang w:val="ro-RO"/>
        </w:rPr>
        <w:t>,</w:t>
      </w:r>
      <w:r w:rsidRPr="00E37F47">
        <w:rPr>
          <w:rFonts w:asciiTheme="majorHAnsi" w:hAnsiTheme="majorHAnsi"/>
          <w:sz w:val="24"/>
          <w:lang w:val="ro-RO"/>
        </w:rPr>
        <w:t xml:space="preserve"> a terenurilor private și publice și consolidarea calității datelor înregistrărilor deja existente în registrul cadastral. </w:t>
      </w:r>
    </w:p>
    <w:p w14:paraId="24F22885" w14:textId="2A267CCD" w:rsidR="00476DA6" w:rsidRPr="00E37F47" w:rsidRDefault="00476DA6" w:rsidP="00476DA6">
      <w:pPr>
        <w:spacing w:after="0" w:line="276" w:lineRule="auto"/>
        <w:ind w:firstLine="720"/>
        <w:jc w:val="both"/>
        <w:rPr>
          <w:rFonts w:asciiTheme="majorHAnsi" w:hAnsiTheme="majorHAnsi"/>
          <w:sz w:val="24"/>
          <w:lang w:val="ro-RO"/>
        </w:rPr>
      </w:pPr>
      <w:r w:rsidRPr="00E37F47">
        <w:rPr>
          <w:rFonts w:asciiTheme="majorHAnsi" w:hAnsiTheme="majorHAnsi"/>
          <w:sz w:val="24"/>
          <w:lang w:val="ro-RO"/>
        </w:rPr>
        <w:t>Acordul-cadru de împrumut dintre RM și BDCE</w:t>
      </w:r>
      <w:r w:rsidR="00E57205">
        <w:rPr>
          <w:rFonts w:asciiTheme="majorHAnsi" w:hAnsiTheme="majorHAnsi"/>
          <w:sz w:val="24"/>
          <w:lang w:val="ro-RO"/>
        </w:rPr>
        <w:t>,</w:t>
      </w:r>
      <w:r w:rsidRPr="00E37F47">
        <w:rPr>
          <w:rFonts w:asciiTheme="majorHAnsi" w:hAnsiTheme="majorHAnsi"/>
          <w:sz w:val="24"/>
          <w:lang w:val="ro-RO"/>
        </w:rPr>
        <w:t xml:space="preserve"> destinat pentru finanțarea Proiectului </w:t>
      </w:r>
      <w:r w:rsidR="009B1BD5">
        <w:rPr>
          <w:rFonts w:asciiTheme="majorHAnsi" w:hAnsiTheme="majorHAnsi"/>
          <w:i/>
          <w:sz w:val="24"/>
          <w:lang w:val="ro-RO"/>
        </w:rPr>
        <w:t>„</w:t>
      </w:r>
      <w:r w:rsidRPr="00E37F47">
        <w:rPr>
          <w:rFonts w:asciiTheme="majorHAnsi" w:hAnsiTheme="majorHAnsi"/>
          <w:i/>
          <w:sz w:val="24"/>
          <w:lang w:val="ro-RO"/>
        </w:rPr>
        <w:t>Procurarea ambulanțelor”</w:t>
      </w:r>
      <w:r w:rsidR="009B1BD5">
        <w:rPr>
          <w:rFonts w:asciiTheme="majorHAnsi" w:hAnsiTheme="majorHAnsi"/>
          <w:i/>
          <w:sz w:val="24"/>
          <w:lang w:val="ro-RO"/>
        </w:rPr>
        <w:t>,</w:t>
      </w:r>
      <w:r w:rsidR="00A828BB" w:rsidRPr="00E37F47">
        <w:rPr>
          <w:rFonts w:asciiTheme="majorHAnsi" w:hAnsiTheme="majorHAnsi"/>
          <w:sz w:val="24"/>
          <w:lang w:val="ro-RO"/>
        </w:rPr>
        <w:t xml:space="preserve"> în sumă de 12,0 </w:t>
      </w:r>
      <w:proofErr w:type="spellStart"/>
      <w:r w:rsidR="00A828BB" w:rsidRPr="00E37F47">
        <w:rPr>
          <w:rFonts w:asciiTheme="majorHAnsi" w:hAnsiTheme="majorHAnsi"/>
          <w:sz w:val="24"/>
          <w:lang w:val="ro-RO"/>
        </w:rPr>
        <w:t>mil.euro</w:t>
      </w:r>
      <w:proofErr w:type="spellEnd"/>
      <w:r w:rsidR="00A828BB" w:rsidRPr="00E37F47">
        <w:rPr>
          <w:rFonts w:asciiTheme="majorHAnsi" w:hAnsiTheme="majorHAnsi"/>
          <w:sz w:val="24"/>
          <w:lang w:val="ro-RO"/>
        </w:rPr>
        <w:t xml:space="preserve"> </w:t>
      </w:r>
      <w:r w:rsidRPr="00E37F47">
        <w:rPr>
          <w:rFonts w:asciiTheme="majorHAnsi" w:hAnsiTheme="majorHAnsi"/>
          <w:sz w:val="24"/>
          <w:lang w:val="ro-RO"/>
        </w:rPr>
        <w:t>(echivalent</w:t>
      </w:r>
      <w:r w:rsidR="009B1BD5">
        <w:rPr>
          <w:rFonts w:asciiTheme="majorHAnsi" w:hAnsiTheme="majorHAnsi"/>
          <w:sz w:val="24"/>
          <w:lang w:val="ro-RO"/>
        </w:rPr>
        <w:t>ul</w:t>
      </w:r>
      <w:r w:rsidRPr="00E37F47">
        <w:rPr>
          <w:rFonts w:asciiTheme="majorHAnsi" w:hAnsiTheme="majorHAnsi"/>
          <w:sz w:val="24"/>
          <w:lang w:val="ro-RO"/>
        </w:rPr>
        <w:t xml:space="preserve"> a 14,1 </w:t>
      </w:r>
      <w:proofErr w:type="spellStart"/>
      <w:r w:rsidRPr="00E37F47">
        <w:rPr>
          <w:rFonts w:asciiTheme="majorHAnsi" w:hAnsiTheme="majorHAnsi"/>
          <w:sz w:val="24"/>
          <w:lang w:val="ro-RO"/>
        </w:rPr>
        <w:t>mil.dol.SUA</w:t>
      </w:r>
      <w:proofErr w:type="spellEnd"/>
      <w:r w:rsidRPr="00E37F47">
        <w:rPr>
          <w:rFonts w:asciiTheme="majorHAnsi" w:hAnsiTheme="majorHAnsi"/>
          <w:sz w:val="24"/>
          <w:lang w:val="ro-RO"/>
        </w:rPr>
        <w:t xml:space="preserve">), prevede reînnoirea parcului </w:t>
      </w:r>
      <w:r w:rsidR="00A828BB" w:rsidRPr="00E37F47">
        <w:rPr>
          <w:rFonts w:asciiTheme="majorHAnsi" w:hAnsiTheme="majorHAnsi"/>
          <w:sz w:val="24"/>
          <w:lang w:val="ro-RO"/>
        </w:rPr>
        <w:t xml:space="preserve">de </w:t>
      </w:r>
      <w:proofErr w:type="spellStart"/>
      <w:r w:rsidR="00A828BB" w:rsidRPr="00E37F47">
        <w:rPr>
          <w:rFonts w:asciiTheme="majorHAnsi" w:hAnsiTheme="majorHAnsi"/>
          <w:sz w:val="24"/>
          <w:lang w:val="ro-RO"/>
        </w:rPr>
        <w:t>ambulanţe</w:t>
      </w:r>
      <w:proofErr w:type="spellEnd"/>
      <w:r w:rsidRPr="00E37F47">
        <w:rPr>
          <w:rFonts w:asciiTheme="majorHAnsi" w:hAnsiTheme="majorHAnsi"/>
          <w:sz w:val="24"/>
          <w:lang w:val="ro-RO"/>
        </w:rPr>
        <w:t xml:space="preserve"> </w:t>
      </w:r>
      <w:r w:rsidR="00E57205" w:rsidRPr="00E57205">
        <w:rPr>
          <w:rFonts w:asciiTheme="majorHAnsi" w:hAnsiTheme="majorHAnsi"/>
          <w:sz w:val="24"/>
          <w:lang w:val="ro-RO"/>
        </w:rPr>
        <w:t>al</w:t>
      </w:r>
      <w:r w:rsidR="00E57205">
        <w:rPr>
          <w:rFonts w:asciiTheme="majorHAnsi" w:hAnsiTheme="majorHAnsi"/>
          <w:sz w:val="24"/>
          <w:lang w:val="ro-RO"/>
        </w:rPr>
        <w:t xml:space="preserve"> </w:t>
      </w:r>
      <w:r w:rsidRPr="00E37F47">
        <w:rPr>
          <w:rFonts w:asciiTheme="majorHAnsi" w:hAnsiTheme="majorHAnsi"/>
          <w:sz w:val="24"/>
          <w:lang w:val="ro-RO"/>
        </w:rPr>
        <w:t xml:space="preserve">Centrului </w:t>
      </w:r>
      <w:proofErr w:type="spellStart"/>
      <w:r w:rsidRPr="00E37F47">
        <w:rPr>
          <w:rFonts w:asciiTheme="majorHAnsi" w:hAnsiTheme="majorHAnsi"/>
          <w:sz w:val="24"/>
          <w:lang w:val="ro-RO"/>
        </w:rPr>
        <w:t>Naţional</w:t>
      </w:r>
      <w:proofErr w:type="spellEnd"/>
      <w:r w:rsidRPr="00E37F47">
        <w:rPr>
          <w:rFonts w:asciiTheme="majorHAnsi" w:hAnsiTheme="majorHAnsi"/>
          <w:sz w:val="24"/>
          <w:lang w:val="ro-RO"/>
        </w:rPr>
        <w:t xml:space="preserve"> de </w:t>
      </w:r>
      <w:proofErr w:type="spellStart"/>
      <w:r w:rsidRPr="00E37F47">
        <w:rPr>
          <w:rFonts w:asciiTheme="majorHAnsi" w:hAnsiTheme="majorHAnsi"/>
          <w:sz w:val="24"/>
          <w:lang w:val="ro-RO"/>
        </w:rPr>
        <w:t>Asistenţă</w:t>
      </w:r>
      <w:proofErr w:type="spellEnd"/>
      <w:r w:rsidRPr="00E37F47">
        <w:rPr>
          <w:rFonts w:asciiTheme="majorHAnsi" w:hAnsiTheme="majorHAnsi"/>
          <w:sz w:val="24"/>
          <w:lang w:val="ro-RO"/>
        </w:rPr>
        <w:t xml:space="preserve"> Medicală Urgentă Prespitalicească </w:t>
      </w:r>
      <w:r w:rsidR="00E15E38" w:rsidRPr="00E37F47">
        <w:rPr>
          <w:rFonts w:asciiTheme="majorHAnsi" w:hAnsiTheme="majorHAnsi"/>
          <w:sz w:val="24"/>
          <w:lang w:val="ro-RO"/>
        </w:rPr>
        <w:t xml:space="preserve">cu 324 de </w:t>
      </w:r>
      <w:proofErr w:type="spellStart"/>
      <w:r w:rsidR="00E15E38" w:rsidRPr="00E37F47">
        <w:rPr>
          <w:rFonts w:asciiTheme="majorHAnsi" w:hAnsiTheme="majorHAnsi"/>
          <w:sz w:val="24"/>
          <w:lang w:val="ro-RO"/>
        </w:rPr>
        <w:t>unităţi</w:t>
      </w:r>
      <w:proofErr w:type="spellEnd"/>
      <w:r w:rsidR="00E15E38" w:rsidRPr="00E37F47">
        <w:rPr>
          <w:rFonts w:asciiTheme="majorHAnsi" w:hAnsiTheme="majorHAnsi"/>
          <w:sz w:val="24"/>
          <w:lang w:val="ro-RO"/>
        </w:rPr>
        <w:t xml:space="preserve"> de tip</w:t>
      </w:r>
      <w:r w:rsidR="00E57205">
        <w:rPr>
          <w:rFonts w:asciiTheme="majorHAnsi" w:hAnsiTheme="majorHAnsi"/>
          <w:sz w:val="24"/>
          <w:lang w:val="ro-RO"/>
        </w:rPr>
        <w:t>urile</w:t>
      </w:r>
      <w:r w:rsidR="00E15E38" w:rsidRPr="00E37F47">
        <w:rPr>
          <w:rFonts w:asciiTheme="majorHAnsi" w:hAnsiTheme="majorHAnsi"/>
          <w:sz w:val="24"/>
          <w:lang w:val="ro-RO"/>
        </w:rPr>
        <w:t xml:space="preserve"> B </w:t>
      </w:r>
      <w:proofErr w:type="spellStart"/>
      <w:r w:rsidR="00E15E38" w:rsidRPr="00E37F47">
        <w:rPr>
          <w:rFonts w:asciiTheme="majorHAnsi" w:hAnsiTheme="majorHAnsi"/>
          <w:sz w:val="24"/>
          <w:lang w:val="ro-RO"/>
        </w:rPr>
        <w:t>şi</w:t>
      </w:r>
      <w:proofErr w:type="spellEnd"/>
      <w:r w:rsidR="00E15E38" w:rsidRPr="00E37F47">
        <w:rPr>
          <w:rFonts w:asciiTheme="majorHAnsi" w:hAnsiTheme="majorHAnsi"/>
          <w:sz w:val="24"/>
          <w:lang w:val="ro-RO"/>
        </w:rPr>
        <w:t xml:space="preserve"> C.</w:t>
      </w:r>
    </w:p>
    <w:p w14:paraId="109318CB" w14:textId="218E85F6" w:rsidR="003A36E4" w:rsidRDefault="003A36E4" w:rsidP="003A36E4">
      <w:pPr>
        <w:spacing w:after="0" w:line="276" w:lineRule="auto"/>
        <w:ind w:firstLine="720"/>
        <w:jc w:val="both"/>
        <w:rPr>
          <w:rFonts w:asciiTheme="majorHAnsi" w:hAnsiTheme="majorHAnsi"/>
          <w:sz w:val="24"/>
          <w:szCs w:val="24"/>
          <w:lang w:val="ro-MD"/>
        </w:rPr>
      </w:pPr>
      <w:r w:rsidRPr="00A426E0">
        <w:rPr>
          <w:rFonts w:asciiTheme="majorHAnsi" w:hAnsiTheme="majorHAnsi"/>
          <w:sz w:val="24"/>
          <w:szCs w:val="24"/>
          <w:lang w:val="ro-MD"/>
        </w:rPr>
        <w:t xml:space="preserve">Din valoarea totală </w:t>
      </w:r>
      <w:r>
        <w:rPr>
          <w:rFonts w:asciiTheme="majorHAnsi" w:hAnsiTheme="majorHAnsi"/>
          <w:sz w:val="24"/>
          <w:szCs w:val="24"/>
          <w:lang w:val="ro-MD"/>
        </w:rPr>
        <w:t xml:space="preserve">contractată </w:t>
      </w:r>
      <w:r w:rsidRPr="00A426E0">
        <w:rPr>
          <w:rFonts w:asciiTheme="majorHAnsi" w:hAnsiTheme="majorHAnsi"/>
          <w:sz w:val="24"/>
          <w:szCs w:val="24"/>
          <w:lang w:val="ro-MD"/>
        </w:rPr>
        <w:t>a împrumuturi</w:t>
      </w:r>
      <w:r>
        <w:rPr>
          <w:rFonts w:asciiTheme="majorHAnsi" w:hAnsiTheme="majorHAnsi"/>
          <w:sz w:val="24"/>
          <w:szCs w:val="24"/>
          <w:lang w:val="ro-MD"/>
        </w:rPr>
        <w:t>lor noi contractate</w:t>
      </w:r>
      <w:r w:rsidRPr="00A426E0">
        <w:rPr>
          <w:rFonts w:asciiTheme="majorHAnsi" w:hAnsiTheme="majorHAnsi"/>
          <w:sz w:val="24"/>
          <w:szCs w:val="24"/>
          <w:lang w:val="ro-MD"/>
        </w:rPr>
        <w:t xml:space="preserve"> (88,2 </w:t>
      </w:r>
      <w:proofErr w:type="spellStart"/>
      <w:r w:rsidRPr="00A426E0">
        <w:rPr>
          <w:rFonts w:asciiTheme="majorHAnsi" w:hAnsiTheme="majorHAnsi"/>
          <w:sz w:val="24"/>
          <w:szCs w:val="24"/>
          <w:lang w:val="ro-MD"/>
        </w:rPr>
        <w:t>mil.dol.SUA</w:t>
      </w:r>
      <w:proofErr w:type="spellEnd"/>
      <w:r w:rsidRPr="00A426E0">
        <w:rPr>
          <w:rFonts w:asciiTheme="majorHAnsi" w:hAnsiTheme="majorHAnsi"/>
          <w:sz w:val="24"/>
          <w:szCs w:val="24"/>
          <w:lang w:val="ro-MD"/>
        </w:rPr>
        <w:t xml:space="preserve">), la situația din 31.12.2018, au fost debursate 29,1 </w:t>
      </w:r>
      <w:proofErr w:type="spellStart"/>
      <w:r w:rsidRPr="00A426E0">
        <w:rPr>
          <w:rFonts w:asciiTheme="majorHAnsi" w:hAnsiTheme="majorHAnsi"/>
          <w:sz w:val="24"/>
          <w:szCs w:val="24"/>
          <w:lang w:val="ro-MD"/>
        </w:rPr>
        <w:t>mil.dol.SUA</w:t>
      </w:r>
      <w:proofErr w:type="spellEnd"/>
      <w:r w:rsidRPr="00A426E0">
        <w:rPr>
          <w:rFonts w:asciiTheme="majorHAnsi" w:hAnsiTheme="majorHAnsi"/>
          <w:sz w:val="24"/>
          <w:szCs w:val="24"/>
          <w:lang w:val="ro-MD"/>
        </w:rPr>
        <w:t xml:space="preserve"> (32,9%). </w:t>
      </w:r>
    </w:p>
    <w:p w14:paraId="7526E245" w14:textId="77777777" w:rsidR="00476DA6" w:rsidRPr="00476DA6" w:rsidRDefault="00476DA6" w:rsidP="00476DA6">
      <w:pPr>
        <w:spacing w:after="0" w:line="276" w:lineRule="auto"/>
        <w:ind w:firstLine="720"/>
        <w:jc w:val="both"/>
        <w:rPr>
          <w:rFonts w:asciiTheme="majorHAnsi" w:hAnsiTheme="majorHAnsi"/>
          <w:i/>
          <w:sz w:val="24"/>
          <w:szCs w:val="24"/>
          <w:lang w:val="ro-RO"/>
        </w:rPr>
      </w:pPr>
      <w:r w:rsidRPr="00E37F47">
        <w:rPr>
          <w:rFonts w:asciiTheme="majorHAnsi" w:hAnsiTheme="majorHAnsi"/>
          <w:i/>
          <w:sz w:val="24"/>
          <w:lang w:val="ro-RO"/>
        </w:rPr>
        <w:t>Sinteza detaliată privind împrumuturile noi contractate pe parcursul anului 2018 este</w:t>
      </w:r>
      <w:r w:rsidR="009A34C2">
        <w:rPr>
          <w:rFonts w:asciiTheme="majorHAnsi" w:hAnsiTheme="majorHAnsi"/>
          <w:i/>
          <w:sz w:val="24"/>
          <w:szCs w:val="24"/>
          <w:lang w:val="ro-RO"/>
        </w:rPr>
        <w:t xml:space="preserve">  prezentată în Tabelul nr. 9</w:t>
      </w:r>
      <w:r>
        <w:rPr>
          <w:rFonts w:asciiTheme="majorHAnsi" w:hAnsiTheme="majorHAnsi"/>
          <w:i/>
          <w:sz w:val="24"/>
          <w:szCs w:val="24"/>
          <w:lang w:val="ro-RO"/>
        </w:rPr>
        <w:t xml:space="preserve"> din Anexa nr.</w:t>
      </w:r>
      <w:r w:rsidR="00E15E38">
        <w:rPr>
          <w:rFonts w:asciiTheme="majorHAnsi" w:hAnsiTheme="majorHAnsi"/>
          <w:i/>
          <w:sz w:val="24"/>
          <w:szCs w:val="24"/>
          <w:lang w:val="ro-RO"/>
        </w:rPr>
        <w:t>2 la prezentul Raport de audit.</w:t>
      </w:r>
    </w:p>
    <w:p w14:paraId="6FC3662D" w14:textId="77777777" w:rsidR="00B81D9C" w:rsidRDefault="00B81D9C" w:rsidP="00B81D9C">
      <w:pPr>
        <w:spacing w:after="0" w:line="276" w:lineRule="auto"/>
        <w:ind w:firstLine="720"/>
        <w:jc w:val="both"/>
        <w:rPr>
          <w:rFonts w:asciiTheme="majorHAnsi" w:hAnsiTheme="majorHAnsi" w:cstheme="majorHAnsi"/>
          <w:sz w:val="28"/>
          <w:szCs w:val="28"/>
          <w:highlight w:val="yellow"/>
          <w:lang w:val="ro-RO" w:eastAsia="ru-RU"/>
        </w:rPr>
      </w:pPr>
    </w:p>
    <w:p w14:paraId="3633C8F4" w14:textId="77777777" w:rsidR="00B81D9C" w:rsidRPr="00DE17CB" w:rsidRDefault="00B81D9C" w:rsidP="00243B87">
      <w:pPr>
        <w:pStyle w:val="1"/>
        <w:numPr>
          <w:ilvl w:val="1"/>
          <w:numId w:val="47"/>
        </w:numPr>
        <w:rPr>
          <w:rFonts w:asciiTheme="majorHAnsi" w:hAnsiTheme="majorHAnsi" w:cstheme="majorHAnsi"/>
          <w:b/>
          <w:color w:val="auto"/>
          <w:sz w:val="28"/>
          <w:szCs w:val="28"/>
          <w:lang w:val="ro-RO"/>
        </w:rPr>
      </w:pPr>
      <w:bookmarkStart w:id="47" w:name="_Toc10106692"/>
      <w:r w:rsidRPr="00DE17CB">
        <w:rPr>
          <w:rFonts w:asciiTheme="majorHAnsi" w:hAnsiTheme="majorHAnsi" w:cstheme="majorHAnsi"/>
          <w:b/>
          <w:color w:val="auto"/>
          <w:sz w:val="28"/>
          <w:szCs w:val="28"/>
          <w:lang w:val="ro-RO"/>
        </w:rPr>
        <w:t xml:space="preserve">Obiectivul </w:t>
      </w:r>
      <w:r w:rsidR="00075B05" w:rsidRPr="00DE17CB">
        <w:rPr>
          <w:rFonts w:asciiTheme="majorHAnsi" w:hAnsiTheme="majorHAnsi" w:cstheme="majorHAnsi"/>
          <w:b/>
          <w:color w:val="auto"/>
          <w:sz w:val="28"/>
          <w:szCs w:val="28"/>
          <w:lang w:val="ro-RO"/>
        </w:rPr>
        <w:t xml:space="preserve">specific </w:t>
      </w:r>
      <w:r w:rsidRPr="00DE17CB">
        <w:rPr>
          <w:rFonts w:asciiTheme="majorHAnsi" w:hAnsiTheme="majorHAnsi" w:cstheme="majorHAnsi"/>
          <w:b/>
          <w:color w:val="auto"/>
          <w:sz w:val="28"/>
          <w:szCs w:val="28"/>
          <w:lang w:val="ro-RO"/>
        </w:rPr>
        <w:t xml:space="preserve">II. </w:t>
      </w:r>
      <w:r w:rsidR="00075B05" w:rsidRPr="00DE17CB">
        <w:rPr>
          <w:rFonts w:asciiTheme="majorHAnsi" w:hAnsiTheme="majorHAnsi" w:cstheme="majorHAnsi"/>
          <w:b/>
          <w:color w:val="auto"/>
          <w:sz w:val="28"/>
          <w:szCs w:val="28"/>
          <w:lang w:val="ro-RO"/>
        </w:rPr>
        <w:t>Evaluarea tendințelor de acordare a garanțiilor de stat.</w:t>
      </w:r>
      <w:bookmarkEnd w:id="47"/>
    </w:p>
    <w:p w14:paraId="7BB1152C" w14:textId="77777777" w:rsidR="00CC79CC" w:rsidRDefault="00CC79CC" w:rsidP="00CC79CC">
      <w:pPr>
        <w:shd w:val="clear" w:color="auto" w:fill="FFFFFF"/>
        <w:spacing w:after="0" w:line="276" w:lineRule="auto"/>
        <w:jc w:val="both"/>
        <w:rPr>
          <w:rFonts w:asciiTheme="majorHAnsi" w:hAnsiTheme="majorHAnsi" w:cstheme="majorHAnsi"/>
          <w:sz w:val="24"/>
          <w:szCs w:val="24"/>
          <w:lang w:val="ro-RO"/>
        </w:rPr>
      </w:pPr>
      <w:bookmarkStart w:id="48" w:name="_Toc484003919"/>
      <w:bookmarkStart w:id="49" w:name="_Toc515442978"/>
    </w:p>
    <w:p w14:paraId="538645B3" w14:textId="73B5FEC3" w:rsidR="00CC79CC" w:rsidRDefault="001C109F" w:rsidP="00FD4E9D">
      <w:pPr>
        <w:shd w:val="clear" w:color="auto" w:fill="FFFFFF"/>
        <w:spacing w:after="0" w:line="276" w:lineRule="auto"/>
        <w:ind w:firstLine="564"/>
        <w:jc w:val="both"/>
        <w:rPr>
          <w:rFonts w:asciiTheme="majorHAnsi" w:hAnsiTheme="majorHAnsi" w:cstheme="majorHAnsi"/>
          <w:i/>
          <w:sz w:val="24"/>
          <w:szCs w:val="24"/>
          <w:lang w:val="ro-RO"/>
        </w:rPr>
      </w:pPr>
      <w:r>
        <w:rPr>
          <w:rFonts w:asciiTheme="majorHAnsi" w:hAnsiTheme="majorHAnsi" w:cstheme="majorHAnsi"/>
          <w:i/>
          <w:sz w:val="24"/>
          <w:szCs w:val="24"/>
          <w:lang w:val="ro-RO"/>
        </w:rPr>
        <w:t xml:space="preserve">Soldul garanțiilor de stat emise în anul 2018 </w:t>
      </w:r>
      <w:r w:rsidR="00CC79CC" w:rsidRPr="00CC79CC">
        <w:rPr>
          <w:rFonts w:asciiTheme="majorHAnsi" w:hAnsiTheme="majorHAnsi" w:cstheme="majorHAnsi"/>
          <w:i/>
          <w:sz w:val="24"/>
          <w:szCs w:val="24"/>
          <w:lang w:val="ro-RO"/>
        </w:rPr>
        <w:t xml:space="preserve">a constituit 258,3 </w:t>
      </w:r>
      <w:proofErr w:type="spellStart"/>
      <w:r w:rsidR="00CC79CC" w:rsidRPr="00CC79CC">
        <w:rPr>
          <w:rFonts w:asciiTheme="majorHAnsi" w:hAnsiTheme="majorHAnsi" w:cstheme="majorHAnsi"/>
          <w:i/>
          <w:sz w:val="24"/>
          <w:szCs w:val="24"/>
          <w:lang w:val="ro-RO"/>
        </w:rPr>
        <w:t>mil.MDL</w:t>
      </w:r>
      <w:proofErr w:type="spellEnd"/>
      <w:r w:rsidR="00CC79CC" w:rsidRPr="00CC79CC">
        <w:rPr>
          <w:rFonts w:asciiTheme="majorHAnsi" w:hAnsiTheme="majorHAnsi" w:cstheme="majorHAnsi"/>
          <w:i/>
          <w:sz w:val="24"/>
          <w:szCs w:val="24"/>
          <w:lang w:val="ro-RO"/>
        </w:rPr>
        <w:t xml:space="preserve">, acestea fiind emise pentru garantarea creditelor ipotecare destinate procurării locuințelor în cadrul Programului de </w:t>
      </w:r>
      <w:r w:rsidR="00CC79CC" w:rsidRPr="0060274A">
        <w:rPr>
          <w:rFonts w:asciiTheme="majorHAnsi" w:hAnsiTheme="majorHAnsi" w:cstheme="majorHAnsi"/>
          <w:i/>
          <w:sz w:val="24"/>
          <w:szCs w:val="24"/>
          <w:lang w:val="ro-RO"/>
        </w:rPr>
        <w:t>stat „Prima casă”.</w:t>
      </w:r>
      <w:r>
        <w:rPr>
          <w:rFonts w:asciiTheme="majorHAnsi" w:hAnsiTheme="majorHAnsi" w:cstheme="majorHAnsi"/>
          <w:i/>
          <w:sz w:val="24"/>
          <w:szCs w:val="24"/>
          <w:lang w:val="ro-RO"/>
        </w:rPr>
        <w:t xml:space="preserve"> </w:t>
      </w:r>
      <w:r w:rsidRPr="001C109F">
        <w:rPr>
          <w:rFonts w:asciiTheme="majorHAnsi" w:hAnsiTheme="majorHAnsi" w:cstheme="majorHAnsi"/>
          <w:i/>
          <w:sz w:val="24"/>
          <w:szCs w:val="24"/>
          <w:lang w:val="ro-RO"/>
        </w:rPr>
        <w:t>Soldul datoriei debitorilor garantați față de MF</w:t>
      </w:r>
      <w:r>
        <w:rPr>
          <w:rFonts w:asciiTheme="majorHAnsi" w:hAnsiTheme="majorHAnsi" w:cstheme="majorHAnsi"/>
          <w:i/>
          <w:sz w:val="24"/>
          <w:szCs w:val="24"/>
          <w:lang w:val="ro-RO"/>
        </w:rPr>
        <w:t xml:space="preserve"> la situația din 31.12.2018 a constituit </w:t>
      </w:r>
      <w:r w:rsidRPr="001C109F">
        <w:rPr>
          <w:rFonts w:asciiTheme="majorHAnsi" w:hAnsiTheme="majorHAnsi" w:cstheme="majorHAnsi"/>
          <w:i/>
          <w:sz w:val="24"/>
          <w:szCs w:val="24"/>
          <w:lang w:val="ro-RO"/>
        </w:rPr>
        <w:t xml:space="preserve">echivalentul a </w:t>
      </w:r>
      <w:r>
        <w:rPr>
          <w:rFonts w:asciiTheme="majorHAnsi" w:hAnsiTheme="majorHAnsi" w:cstheme="majorHAnsi"/>
          <w:i/>
          <w:sz w:val="24"/>
          <w:szCs w:val="24"/>
          <w:lang w:val="ro-RO"/>
        </w:rPr>
        <w:t xml:space="preserve">426,2 </w:t>
      </w:r>
      <w:proofErr w:type="spellStart"/>
      <w:r>
        <w:rPr>
          <w:rFonts w:asciiTheme="majorHAnsi" w:hAnsiTheme="majorHAnsi" w:cstheme="majorHAnsi"/>
          <w:i/>
          <w:sz w:val="24"/>
          <w:szCs w:val="24"/>
          <w:lang w:val="ro-RO"/>
        </w:rPr>
        <w:t>mil.MDL</w:t>
      </w:r>
      <w:proofErr w:type="spellEnd"/>
      <w:r w:rsidR="0060274A">
        <w:rPr>
          <w:rFonts w:asciiTheme="majorHAnsi" w:hAnsiTheme="majorHAnsi" w:cstheme="majorHAnsi"/>
          <w:i/>
          <w:sz w:val="24"/>
          <w:szCs w:val="24"/>
          <w:lang w:val="ro-RO"/>
        </w:rPr>
        <w:t>. Acesta,</w:t>
      </w:r>
      <w:r>
        <w:rPr>
          <w:rFonts w:asciiTheme="majorHAnsi" w:hAnsiTheme="majorHAnsi" w:cstheme="majorHAnsi"/>
          <w:i/>
          <w:sz w:val="24"/>
          <w:szCs w:val="24"/>
          <w:lang w:val="ro-RO"/>
        </w:rPr>
        <w:t xml:space="preserve"> fiind în to</w:t>
      </w:r>
      <w:r w:rsidR="00FD4E9D">
        <w:rPr>
          <w:rFonts w:asciiTheme="majorHAnsi" w:hAnsiTheme="majorHAnsi" w:cstheme="majorHAnsi"/>
          <w:i/>
          <w:sz w:val="24"/>
          <w:szCs w:val="24"/>
          <w:lang w:val="ro-RO"/>
        </w:rPr>
        <w:t>talitate cu termen</w:t>
      </w:r>
      <w:r w:rsidR="00E57205">
        <w:rPr>
          <w:rFonts w:asciiTheme="majorHAnsi" w:hAnsiTheme="majorHAnsi" w:cstheme="majorHAnsi"/>
          <w:i/>
          <w:sz w:val="24"/>
          <w:szCs w:val="24"/>
          <w:lang w:val="ro-RO"/>
        </w:rPr>
        <w:t>ul</w:t>
      </w:r>
      <w:r w:rsidR="00FD4E9D">
        <w:rPr>
          <w:rFonts w:asciiTheme="majorHAnsi" w:hAnsiTheme="majorHAnsi" w:cstheme="majorHAnsi"/>
          <w:i/>
          <w:sz w:val="24"/>
          <w:szCs w:val="24"/>
          <w:lang w:val="ro-RO"/>
        </w:rPr>
        <w:t xml:space="preserve"> de achitare expirat, prezintă risc de nerecuperare.</w:t>
      </w:r>
    </w:p>
    <w:p w14:paraId="612CC2A9" w14:textId="77777777" w:rsidR="00FD4E9D" w:rsidRPr="00CC79CC" w:rsidRDefault="00FD4E9D" w:rsidP="00FD4E9D">
      <w:pPr>
        <w:shd w:val="clear" w:color="auto" w:fill="FFFFFF"/>
        <w:spacing w:after="0" w:line="276" w:lineRule="auto"/>
        <w:ind w:firstLine="564"/>
        <w:jc w:val="both"/>
        <w:rPr>
          <w:rFonts w:asciiTheme="majorHAnsi" w:hAnsiTheme="majorHAnsi" w:cstheme="majorHAnsi"/>
          <w:i/>
          <w:sz w:val="24"/>
          <w:szCs w:val="24"/>
          <w:lang w:val="ro-RO"/>
        </w:rPr>
      </w:pPr>
    </w:p>
    <w:p w14:paraId="0D34B70C" w14:textId="27FB7B39" w:rsidR="00B81D9C" w:rsidRPr="00075B05" w:rsidRDefault="00B81D9C" w:rsidP="0000150E">
      <w:pPr>
        <w:pStyle w:val="2"/>
        <w:ind w:firstLine="709"/>
        <w:rPr>
          <w:rFonts w:asciiTheme="majorHAnsi" w:hAnsiTheme="majorHAnsi" w:cstheme="majorHAnsi"/>
          <w:b/>
          <w:color w:val="auto"/>
          <w:lang w:val="ro-RO"/>
        </w:rPr>
      </w:pPr>
      <w:r w:rsidRPr="00CB2A14">
        <w:rPr>
          <w:rFonts w:asciiTheme="majorHAnsi" w:hAnsiTheme="majorHAnsi" w:cstheme="majorHAnsi"/>
          <w:b/>
          <w:color w:val="auto"/>
          <w:lang w:val="ro-RO"/>
        </w:rPr>
        <w:t xml:space="preserve"> </w:t>
      </w:r>
      <w:bookmarkStart w:id="50" w:name="_Toc10106693"/>
      <w:r w:rsidR="00DE17CB">
        <w:rPr>
          <w:rFonts w:asciiTheme="majorHAnsi" w:hAnsiTheme="majorHAnsi" w:cstheme="majorHAnsi"/>
          <w:b/>
          <w:color w:val="auto"/>
          <w:lang w:val="ro-RO"/>
        </w:rPr>
        <w:t xml:space="preserve">3.2.1. </w:t>
      </w:r>
      <w:r w:rsidRPr="00CB2A14">
        <w:rPr>
          <w:rFonts w:asciiTheme="majorHAnsi" w:hAnsiTheme="majorHAnsi" w:cstheme="majorHAnsi"/>
          <w:b/>
          <w:color w:val="auto"/>
          <w:lang w:val="ro-RO"/>
        </w:rPr>
        <w:t xml:space="preserve">În anul 2018 s-au emis garanții de stat interne acordate în cadrul </w:t>
      </w:r>
      <w:r w:rsidR="0060274A">
        <w:rPr>
          <w:rFonts w:asciiTheme="majorHAnsi" w:hAnsiTheme="majorHAnsi" w:cstheme="majorHAnsi"/>
          <w:b/>
          <w:color w:val="auto"/>
          <w:lang w:val="ro-RO"/>
        </w:rPr>
        <w:t>P</w:t>
      </w:r>
      <w:r w:rsidRPr="00CB2A14">
        <w:rPr>
          <w:rFonts w:asciiTheme="majorHAnsi" w:hAnsiTheme="majorHAnsi" w:cstheme="majorHAnsi"/>
          <w:b/>
          <w:color w:val="auto"/>
          <w:lang w:val="ro-RO"/>
        </w:rPr>
        <w:t xml:space="preserve">rogramului de </w:t>
      </w:r>
      <w:r w:rsidRPr="0060274A">
        <w:rPr>
          <w:rFonts w:asciiTheme="majorHAnsi" w:hAnsiTheme="majorHAnsi" w:cstheme="majorHAnsi"/>
          <w:b/>
          <w:color w:val="auto"/>
          <w:lang w:val="ro-RO"/>
        </w:rPr>
        <w:t>stat „Prima casă”</w:t>
      </w:r>
      <w:r w:rsidR="00E37F47" w:rsidRPr="0060274A">
        <w:rPr>
          <w:rFonts w:asciiTheme="majorHAnsi" w:hAnsiTheme="majorHAnsi" w:cstheme="majorHAnsi"/>
          <w:b/>
          <w:color w:val="auto"/>
          <w:lang w:val="ro-RO"/>
        </w:rPr>
        <w:t>.</w:t>
      </w:r>
      <w:bookmarkEnd w:id="48"/>
      <w:bookmarkEnd w:id="49"/>
      <w:bookmarkEnd w:id="50"/>
    </w:p>
    <w:p w14:paraId="3A5EFF2E" w14:textId="77777777" w:rsidR="00B81D9C" w:rsidRPr="00E37F47" w:rsidRDefault="00B81D9C" w:rsidP="00B81D9C">
      <w:pPr>
        <w:shd w:val="clear" w:color="auto" w:fill="FFFFFF"/>
        <w:spacing w:after="0" w:line="276" w:lineRule="auto"/>
        <w:ind w:firstLine="720"/>
        <w:jc w:val="both"/>
        <w:rPr>
          <w:rFonts w:asciiTheme="majorHAnsi" w:hAnsiTheme="majorHAnsi"/>
          <w:sz w:val="24"/>
          <w:lang w:val="ro-RO"/>
        </w:rPr>
      </w:pPr>
      <w:proofErr w:type="spellStart"/>
      <w:r w:rsidRPr="00E37F47">
        <w:rPr>
          <w:rFonts w:asciiTheme="majorHAnsi" w:hAnsiTheme="majorHAnsi"/>
          <w:color w:val="000000"/>
          <w:spacing w:val="8"/>
          <w:sz w:val="24"/>
          <w:shd w:val="clear" w:color="auto" w:fill="FFFFFF"/>
          <w:lang w:val="ro-RO"/>
        </w:rPr>
        <w:t>Garanţia</w:t>
      </w:r>
      <w:proofErr w:type="spellEnd"/>
      <w:r w:rsidRPr="00E37F47">
        <w:rPr>
          <w:rFonts w:asciiTheme="majorHAnsi" w:hAnsiTheme="majorHAnsi"/>
          <w:color w:val="000000"/>
          <w:spacing w:val="8"/>
          <w:sz w:val="24"/>
          <w:shd w:val="clear" w:color="auto" w:fill="FFFFFF"/>
          <w:lang w:val="ro-RO"/>
        </w:rPr>
        <w:t xml:space="preserve"> de stat reprezintă un angajament asumat, </w:t>
      </w:r>
      <w:r w:rsidRPr="00050169">
        <w:rPr>
          <w:rFonts w:asciiTheme="majorHAnsi" w:hAnsiTheme="majorHAnsi"/>
          <w:color w:val="000000"/>
          <w:spacing w:val="8"/>
          <w:sz w:val="24"/>
          <w:shd w:val="clear" w:color="auto" w:fill="FFFFFF"/>
          <w:lang w:val="ro-RO"/>
        </w:rPr>
        <w:t>în</w:t>
      </w:r>
      <w:r w:rsidRPr="00E37F47">
        <w:rPr>
          <w:rFonts w:asciiTheme="majorHAnsi" w:hAnsiTheme="majorHAnsi"/>
          <w:color w:val="000000"/>
          <w:spacing w:val="8"/>
          <w:sz w:val="24"/>
          <w:shd w:val="clear" w:color="auto" w:fill="FFFFFF"/>
          <w:lang w:val="ro-RO"/>
        </w:rPr>
        <w:t xml:space="preserve"> contul </w:t>
      </w:r>
      <w:proofErr w:type="spellStart"/>
      <w:r w:rsidRPr="00E37F47">
        <w:rPr>
          <w:rFonts w:asciiTheme="majorHAnsi" w:hAnsiTheme="majorHAnsi"/>
          <w:color w:val="000000"/>
          <w:spacing w:val="8"/>
          <w:sz w:val="24"/>
          <w:shd w:val="clear" w:color="auto" w:fill="FFFFFF"/>
          <w:lang w:val="ro-RO"/>
        </w:rPr>
        <w:t>şi</w:t>
      </w:r>
      <w:proofErr w:type="spellEnd"/>
      <w:r w:rsidRPr="00E37F47">
        <w:rPr>
          <w:rFonts w:asciiTheme="majorHAnsi" w:hAnsiTheme="majorHAnsi"/>
          <w:color w:val="000000"/>
          <w:spacing w:val="8"/>
          <w:sz w:val="24"/>
          <w:shd w:val="clear" w:color="auto" w:fill="FFFFFF"/>
          <w:lang w:val="ro-RO"/>
        </w:rPr>
        <w:t xml:space="preserve"> în numele statului, de către Guvern, în calitate de garant, de a plăti la scadență obligațiile neonorate ale debitorului garantat. </w:t>
      </w:r>
    </w:p>
    <w:p w14:paraId="69706DE9" w14:textId="2D5D7187" w:rsidR="00B81D9C" w:rsidRPr="00CB2A14" w:rsidRDefault="00B81D9C" w:rsidP="00B81D9C">
      <w:pPr>
        <w:shd w:val="clear" w:color="auto" w:fill="FFFFFF"/>
        <w:spacing w:after="0" w:line="276" w:lineRule="auto"/>
        <w:ind w:firstLine="720"/>
        <w:jc w:val="both"/>
        <w:rPr>
          <w:rFonts w:asciiTheme="majorHAnsi" w:hAnsiTheme="majorHAnsi" w:cstheme="majorHAnsi"/>
          <w:sz w:val="24"/>
          <w:szCs w:val="24"/>
          <w:lang w:val="ro-RO"/>
        </w:rPr>
      </w:pPr>
      <w:r w:rsidRPr="00CB2A14">
        <w:rPr>
          <w:rFonts w:asciiTheme="majorHAnsi" w:hAnsiTheme="majorHAnsi" w:cstheme="majorHAnsi"/>
          <w:sz w:val="24"/>
          <w:szCs w:val="24"/>
          <w:lang w:val="ro-RO"/>
        </w:rPr>
        <w:t xml:space="preserve">Potrivit Legii privind unele măsuri în vederea implementării </w:t>
      </w:r>
      <w:r w:rsidRPr="0060274A">
        <w:rPr>
          <w:rFonts w:asciiTheme="majorHAnsi" w:hAnsiTheme="majorHAnsi" w:cstheme="majorHAnsi"/>
          <w:sz w:val="24"/>
          <w:szCs w:val="24"/>
          <w:lang w:val="ro-RO"/>
        </w:rPr>
        <w:t>Programului de stat „</w:t>
      </w:r>
      <w:r w:rsidRPr="00CB2A14">
        <w:rPr>
          <w:rFonts w:asciiTheme="majorHAnsi" w:hAnsiTheme="majorHAnsi" w:cstheme="majorHAnsi"/>
          <w:sz w:val="24"/>
          <w:szCs w:val="24"/>
          <w:lang w:val="ro-RO"/>
        </w:rPr>
        <w:t>Prima casă”</w:t>
      </w:r>
      <w:r w:rsidRPr="00CB2A14">
        <w:rPr>
          <w:rStyle w:val="ae"/>
          <w:rFonts w:asciiTheme="majorHAnsi" w:hAnsiTheme="majorHAnsi"/>
          <w:sz w:val="24"/>
          <w:szCs w:val="24"/>
          <w:lang w:val="ro-RO"/>
        </w:rPr>
        <w:footnoteReference w:id="32"/>
      </w:r>
      <w:r w:rsidRPr="00CB2A14">
        <w:rPr>
          <w:rFonts w:asciiTheme="majorHAnsi" w:hAnsiTheme="majorHAnsi" w:cstheme="majorHAnsi"/>
          <w:sz w:val="24"/>
          <w:szCs w:val="24"/>
          <w:lang w:val="ro-RO"/>
        </w:rPr>
        <w:t xml:space="preserve">, Guvernul, în persoana Ministerului Finanțelor este împuternicit să mandateze ODIMM pentru a emite garanții de stat, în numele și </w:t>
      </w:r>
      <w:r w:rsidRPr="00AC5D4A">
        <w:rPr>
          <w:rFonts w:asciiTheme="majorHAnsi" w:hAnsiTheme="majorHAnsi" w:cstheme="majorHAnsi"/>
          <w:sz w:val="24"/>
          <w:szCs w:val="24"/>
          <w:lang w:val="ro-RO"/>
        </w:rPr>
        <w:t>pe</w:t>
      </w:r>
      <w:r w:rsidRPr="00CB2A14">
        <w:rPr>
          <w:rFonts w:asciiTheme="majorHAnsi" w:hAnsiTheme="majorHAnsi" w:cstheme="majorHAnsi"/>
          <w:sz w:val="24"/>
          <w:szCs w:val="24"/>
          <w:lang w:val="ro-RO"/>
        </w:rPr>
        <w:t xml:space="preserve"> contul statului, în favoarea creditorilor (băncilor finanțatoare) din cadrul Programului, pentru a încheia cu creditorii contracte de garanție de stat și contracte de ipotecă, în limitele plafoanelor aprobate anual de către Parlament pentru acest scop. Creditul ipotecar destinat procurării locuinței în cadrul Programului este garantat de stat în cotă de 50% din soldul creditului (suma principală), exceptând dobânzile, comisioanele și alte plăți bancare. </w:t>
      </w:r>
    </w:p>
    <w:p w14:paraId="19357A8F" w14:textId="4DBE0155" w:rsidR="00B81D9C" w:rsidRPr="00CB2A14" w:rsidRDefault="00B81D9C" w:rsidP="00DC5EC3">
      <w:pPr>
        <w:spacing w:after="0" w:line="276" w:lineRule="auto"/>
        <w:ind w:firstLine="720"/>
        <w:jc w:val="both"/>
        <w:rPr>
          <w:rFonts w:asciiTheme="majorHAnsi" w:hAnsiTheme="majorHAnsi" w:cstheme="majorHAnsi"/>
          <w:sz w:val="24"/>
          <w:szCs w:val="24"/>
          <w:lang w:val="ro-RO"/>
        </w:rPr>
      </w:pPr>
      <w:r w:rsidRPr="00CB2A14">
        <w:rPr>
          <w:rFonts w:asciiTheme="majorHAnsi" w:hAnsiTheme="majorHAnsi" w:cstheme="majorHAnsi"/>
          <w:sz w:val="24"/>
          <w:szCs w:val="24"/>
          <w:lang w:val="ro-RO"/>
        </w:rPr>
        <w:t>Conform legii bugetare anuale</w:t>
      </w:r>
      <w:r w:rsidR="00AC5D4A">
        <w:rPr>
          <w:rFonts w:asciiTheme="majorHAnsi" w:hAnsiTheme="majorHAnsi" w:cstheme="majorHAnsi"/>
          <w:sz w:val="24"/>
          <w:szCs w:val="24"/>
          <w:lang w:val="ro-RO"/>
        </w:rPr>
        <w:t>,</w:t>
      </w:r>
      <w:r w:rsidRPr="00CB2A14">
        <w:rPr>
          <w:rFonts w:asciiTheme="majorHAnsi" w:hAnsiTheme="majorHAnsi" w:cstheme="majorHAnsi"/>
          <w:sz w:val="24"/>
          <w:szCs w:val="24"/>
          <w:lang w:val="ro-RO"/>
        </w:rPr>
        <w:t xml:space="preserve"> s-a stabilit că</w:t>
      </w:r>
      <w:r w:rsidR="00A0145E">
        <w:rPr>
          <w:rFonts w:asciiTheme="majorHAnsi" w:hAnsiTheme="majorHAnsi" w:cstheme="majorHAnsi"/>
          <w:sz w:val="24"/>
          <w:szCs w:val="24"/>
          <w:lang w:val="ro-RO"/>
        </w:rPr>
        <w:t>,</w:t>
      </w:r>
      <w:r w:rsidRPr="00CB2A14">
        <w:rPr>
          <w:rFonts w:asciiTheme="majorHAnsi" w:hAnsiTheme="majorHAnsi" w:cstheme="majorHAnsi"/>
          <w:sz w:val="24"/>
          <w:szCs w:val="24"/>
          <w:lang w:val="ro-RO"/>
        </w:rPr>
        <w:t xml:space="preserve"> la situația din 31.12.2018, soldul garanțiilor de stat interne nu va depăși 1000,0 </w:t>
      </w:r>
      <w:proofErr w:type="spellStart"/>
      <w:r w:rsidRPr="00CB2A14">
        <w:rPr>
          <w:rFonts w:asciiTheme="majorHAnsi" w:hAnsiTheme="majorHAnsi" w:cstheme="majorHAnsi"/>
          <w:sz w:val="24"/>
          <w:szCs w:val="24"/>
          <w:lang w:val="ro-RO"/>
        </w:rPr>
        <w:t>mil.MDL</w:t>
      </w:r>
      <w:proofErr w:type="spellEnd"/>
      <w:r w:rsidRPr="00CB2A14">
        <w:rPr>
          <w:rFonts w:asciiTheme="majorHAnsi" w:hAnsiTheme="majorHAnsi" w:cstheme="majorHAnsi"/>
          <w:sz w:val="24"/>
          <w:szCs w:val="24"/>
          <w:lang w:val="ro-RO"/>
        </w:rPr>
        <w:t xml:space="preserve">. Astfel, </w:t>
      </w:r>
      <w:r>
        <w:rPr>
          <w:rFonts w:asciiTheme="majorHAnsi" w:hAnsiTheme="majorHAnsi" w:cstheme="majorHAnsi"/>
          <w:sz w:val="24"/>
          <w:szCs w:val="24"/>
          <w:lang w:val="ro-RO"/>
        </w:rPr>
        <w:t>în</w:t>
      </w:r>
      <w:r w:rsidRPr="00CB2A14">
        <w:rPr>
          <w:rFonts w:asciiTheme="majorHAnsi" w:hAnsiTheme="majorHAnsi" w:cstheme="majorHAnsi"/>
          <w:sz w:val="24"/>
          <w:szCs w:val="24"/>
          <w:lang w:val="ro-RO"/>
        </w:rPr>
        <w:t xml:space="preserve"> p</w:t>
      </w:r>
      <w:r>
        <w:rPr>
          <w:rFonts w:asciiTheme="majorHAnsi" w:hAnsiTheme="majorHAnsi" w:cstheme="majorHAnsi"/>
          <w:sz w:val="24"/>
          <w:szCs w:val="24"/>
          <w:lang w:val="ro-RO"/>
        </w:rPr>
        <w:t>erioada martie-decembrie 2018</w:t>
      </w:r>
      <w:r w:rsidR="00AC5D4A">
        <w:rPr>
          <w:rFonts w:asciiTheme="majorHAnsi" w:hAnsiTheme="majorHAnsi" w:cstheme="majorHAnsi"/>
          <w:sz w:val="24"/>
          <w:szCs w:val="24"/>
          <w:lang w:val="ro-RO"/>
        </w:rPr>
        <w:t>,</w:t>
      </w:r>
      <w:r>
        <w:rPr>
          <w:rFonts w:asciiTheme="majorHAnsi" w:hAnsiTheme="majorHAnsi" w:cstheme="majorHAnsi"/>
          <w:sz w:val="24"/>
          <w:szCs w:val="24"/>
          <w:lang w:val="ro-RO"/>
        </w:rPr>
        <w:t xml:space="preserve"> în cadrul Programului</w:t>
      </w:r>
      <w:r w:rsidR="00AC5D4A">
        <w:rPr>
          <w:rFonts w:asciiTheme="majorHAnsi" w:hAnsiTheme="majorHAnsi" w:cstheme="majorHAnsi"/>
          <w:sz w:val="24"/>
          <w:szCs w:val="24"/>
          <w:lang w:val="ro-RO"/>
        </w:rPr>
        <w:t>,</w:t>
      </w:r>
      <w:r>
        <w:rPr>
          <w:rFonts w:asciiTheme="majorHAnsi" w:hAnsiTheme="majorHAnsi" w:cstheme="majorHAnsi"/>
          <w:sz w:val="24"/>
          <w:szCs w:val="24"/>
          <w:lang w:val="ro-RO"/>
        </w:rPr>
        <w:t xml:space="preserve"> ODIMM a emis 1122 garanții de stat în sumă totală de </w:t>
      </w:r>
      <w:r w:rsidRPr="0082326F">
        <w:rPr>
          <w:rFonts w:asciiTheme="majorHAnsi" w:hAnsiTheme="majorHAnsi" w:cstheme="majorHAnsi"/>
          <w:sz w:val="24"/>
          <w:szCs w:val="24"/>
          <w:lang w:val="ro-RO"/>
        </w:rPr>
        <w:t>266,9</w:t>
      </w:r>
      <w:r>
        <w:rPr>
          <w:rFonts w:asciiTheme="majorHAnsi" w:hAnsiTheme="majorHAnsi" w:cstheme="majorHAnsi"/>
          <w:sz w:val="24"/>
          <w:szCs w:val="24"/>
          <w:lang w:val="ro-RO"/>
        </w:rPr>
        <w:t xml:space="preserve"> </w:t>
      </w:r>
      <w:proofErr w:type="spellStart"/>
      <w:r>
        <w:rPr>
          <w:rFonts w:asciiTheme="majorHAnsi" w:hAnsiTheme="majorHAnsi" w:cstheme="majorHAnsi"/>
          <w:sz w:val="24"/>
          <w:szCs w:val="24"/>
          <w:lang w:val="ro-RO"/>
        </w:rPr>
        <w:t>mil.</w:t>
      </w:r>
      <w:r w:rsidRPr="00050169">
        <w:rPr>
          <w:rFonts w:asciiTheme="majorHAnsi" w:hAnsiTheme="majorHAnsi" w:cstheme="majorHAnsi"/>
          <w:sz w:val="24"/>
          <w:szCs w:val="24"/>
          <w:lang w:val="ro-RO"/>
        </w:rPr>
        <w:t>MDL</w:t>
      </w:r>
      <w:proofErr w:type="spellEnd"/>
      <w:r w:rsidR="00AC5D4A" w:rsidRPr="00050169">
        <w:rPr>
          <w:rFonts w:asciiTheme="majorHAnsi" w:hAnsiTheme="majorHAnsi" w:cstheme="majorHAnsi"/>
          <w:sz w:val="24"/>
          <w:szCs w:val="24"/>
          <w:lang w:val="ro-RO"/>
        </w:rPr>
        <w:t>,</w:t>
      </w:r>
      <w:r w:rsidRPr="00050169">
        <w:rPr>
          <w:rFonts w:asciiTheme="majorHAnsi" w:hAnsiTheme="majorHAnsi" w:cstheme="majorHAnsi"/>
          <w:sz w:val="24"/>
          <w:szCs w:val="24"/>
          <w:lang w:val="ro-RO"/>
        </w:rPr>
        <w:t xml:space="preserve"> în</w:t>
      </w:r>
      <w:r>
        <w:rPr>
          <w:rFonts w:asciiTheme="majorHAnsi" w:hAnsiTheme="majorHAnsi" w:cstheme="majorHAnsi"/>
          <w:sz w:val="24"/>
          <w:szCs w:val="24"/>
          <w:lang w:val="ro-RO"/>
        </w:rPr>
        <w:t xml:space="preserve"> favoarea a </w:t>
      </w:r>
      <w:r>
        <w:rPr>
          <w:rFonts w:asciiTheme="majorHAnsi" w:hAnsiTheme="majorHAnsi" w:cstheme="majorHAnsi"/>
          <w:sz w:val="24"/>
          <w:szCs w:val="24"/>
          <w:lang w:val="ro-RO"/>
        </w:rPr>
        <w:lastRenderedPageBreak/>
        <w:t>5 bănci comerciale</w:t>
      </w:r>
      <w:r w:rsidR="009C0F73">
        <w:rPr>
          <w:rFonts w:asciiTheme="majorHAnsi" w:hAnsiTheme="majorHAnsi" w:cstheme="majorHAnsi"/>
          <w:sz w:val="24"/>
          <w:szCs w:val="24"/>
          <w:lang w:val="ro-RO"/>
        </w:rPr>
        <w:t xml:space="preserve">. Urmare rambursării ratelor creditelor contractate de către beneficiari, la situația din 31.12.2018, soldul garanțiilor de stat a constituit </w:t>
      </w:r>
      <w:r w:rsidR="009C0F73" w:rsidRPr="0082326F">
        <w:rPr>
          <w:rFonts w:asciiTheme="majorHAnsi" w:hAnsiTheme="majorHAnsi" w:cstheme="majorHAnsi"/>
          <w:sz w:val="24"/>
          <w:szCs w:val="24"/>
          <w:lang w:val="ro-RO"/>
        </w:rPr>
        <w:t>258,3</w:t>
      </w:r>
      <w:r w:rsidR="009C0F73">
        <w:rPr>
          <w:rFonts w:asciiTheme="majorHAnsi" w:hAnsiTheme="majorHAnsi" w:cstheme="majorHAnsi"/>
          <w:sz w:val="24"/>
          <w:szCs w:val="24"/>
          <w:lang w:val="ro-RO"/>
        </w:rPr>
        <w:t xml:space="preserve"> </w:t>
      </w:r>
      <w:proofErr w:type="spellStart"/>
      <w:r w:rsidR="009C0F73">
        <w:rPr>
          <w:rFonts w:asciiTheme="majorHAnsi" w:hAnsiTheme="majorHAnsi" w:cstheme="majorHAnsi"/>
          <w:sz w:val="24"/>
          <w:szCs w:val="24"/>
          <w:lang w:val="ro-RO"/>
        </w:rPr>
        <w:t>mil.MDL</w:t>
      </w:r>
      <w:proofErr w:type="spellEnd"/>
      <w:r w:rsidR="00F14E99">
        <w:rPr>
          <w:rFonts w:asciiTheme="majorHAnsi" w:hAnsiTheme="majorHAnsi" w:cstheme="majorHAnsi"/>
          <w:sz w:val="24"/>
          <w:szCs w:val="24"/>
          <w:lang w:val="ro-RO"/>
        </w:rPr>
        <w:t>: BC „Moldova-</w:t>
      </w:r>
      <w:proofErr w:type="spellStart"/>
      <w:r w:rsidR="00F14E99">
        <w:rPr>
          <w:rFonts w:asciiTheme="majorHAnsi" w:hAnsiTheme="majorHAnsi" w:cstheme="majorHAnsi"/>
          <w:sz w:val="24"/>
          <w:szCs w:val="24"/>
          <w:lang w:val="ro-RO"/>
        </w:rPr>
        <w:t>Agroindbank</w:t>
      </w:r>
      <w:proofErr w:type="spellEnd"/>
      <w:r w:rsidR="00F14E99">
        <w:rPr>
          <w:rFonts w:asciiTheme="majorHAnsi" w:hAnsiTheme="majorHAnsi" w:cstheme="majorHAnsi"/>
          <w:sz w:val="24"/>
          <w:szCs w:val="24"/>
          <w:lang w:val="ro-RO"/>
        </w:rPr>
        <w:t>” SA</w:t>
      </w:r>
      <w:r>
        <w:rPr>
          <w:rFonts w:asciiTheme="majorHAnsi" w:hAnsiTheme="majorHAnsi" w:cstheme="majorHAnsi"/>
          <w:sz w:val="24"/>
          <w:szCs w:val="24"/>
          <w:lang w:val="ro-RO"/>
        </w:rPr>
        <w:t xml:space="preserve"> (108,8 </w:t>
      </w:r>
      <w:proofErr w:type="spellStart"/>
      <w:r>
        <w:rPr>
          <w:rFonts w:asciiTheme="majorHAnsi" w:hAnsiTheme="majorHAnsi" w:cstheme="majorHAnsi"/>
          <w:sz w:val="24"/>
          <w:szCs w:val="24"/>
          <w:lang w:val="ro-RO"/>
        </w:rPr>
        <w:t>mil.MDL</w:t>
      </w:r>
      <w:proofErr w:type="spellEnd"/>
      <w:r>
        <w:rPr>
          <w:rFonts w:asciiTheme="majorHAnsi" w:hAnsiTheme="majorHAnsi" w:cstheme="majorHAnsi"/>
          <w:sz w:val="24"/>
          <w:szCs w:val="24"/>
          <w:lang w:val="ro-RO"/>
        </w:rPr>
        <w:t>), BC „</w:t>
      </w:r>
      <w:proofErr w:type="spellStart"/>
      <w:r>
        <w:rPr>
          <w:rFonts w:asciiTheme="majorHAnsi" w:hAnsiTheme="majorHAnsi" w:cstheme="majorHAnsi"/>
          <w:sz w:val="24"/>
          <w:szCs w:val="24"/>
          <w:lang w:val="ro-RO"/>
        </w:rPr>
        <w:t>Moldindconbank</w:t>
      </w:r>
      <w:proofErr w:type="spellEnd"/>
      <w:r>
        <w:rPr>
          <w:rFonts w:asciiTheme="majorHAnsi" w:hAnsiTheme="majorHAnsi" w:cstheme="majorHAnsi"/>
          <w:sz w:val="24"/>
          <w:szCs w:val="24"/>
          <w:lang w:val="ro-RO"/>
        </w:rPr>
        <w:t>”</w:t>
      </w:r>
      <w:r w:rsidR="00F14E99">
        <w:rPr>
          <w:rFonts w:asciiTheme="majorHAnsi" w:hAnsiTheme="majorHAnsi" w:cstheme="majorHAnsi"/>
          <w:sz w:val="24"/>
          <w:szCs w:val="24"/>
          <w:lang w:val="ro-RO"/>
        </w:rPr>
        <w:t xml:space="preserve"> SA</w:t>
      </w:r>
      <w:r>
        <w:rPr>
          <w:rFonts w:asciiTheme="majorHAnsi" w:hAnsiTheme="majorHAnsi" w:cstheme="majorHAnsi"/>
          <w:sz w:val="24"/>
          <w:szCs w:val="24"/>
          <w:lang w:val="ro-RO"/>
        </w:rPr>
        <w:t xml:space="preserve"> (97,9 </w:t>
      </w:r>
      <w:proofErr w:type="spellStart"/>
      <w:r>
        <w:rPr>
          <w:rFonts w:asciiTheme="majorHAnsi" w:hAnsiTheme="majorHAnsi" w:cstheme="majorHAnsi"/>
          <w:sz w:val="24"/>
          <w:szCs w:val="24"/>
          <w:lang w:val="ro-RO"/>
        </w:rPr>
        <w:t>mil.MDL</w:t>
      </w:r>
      <w:proofErr w:type="spellEnd"/>
      <w:r>
        <w:rPr>
          <w:rFonts w:asciiTheme="majorHAnsi" w:hAnsiTheme="majorHAnsi" w:cstheme="majorHAnsi"/>
          <w:sz w:val="24"/>
          <w:szCs w:val="24"/>
          <w:lang w:val="ro-RO"/>
        </w:rPr>
        <w:t>), BC „</w:t>
      </w:r>
      <w:proofErr w:type="spellStart"/>
      <w:r>
        <w:rPr>
          <w:rFonts w:asciiTheme="majorHAnsi" w:hAnsiTheme="majorHAnsi" w:cstheme="majorHAnsi"/>
          <w:sz w:val="24"/>
          <w:szCs w:val="24"/>
          <w:lang w:val="ro-RO"/>
        </w:rPr>
        <w:t>Victoriabank”SA</w:t>
      </w:r>
      <w:proofErr w:type="spellEnd"/>
      <w:r w:rsidR="00AC5D4A">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 (39,4 </w:t>
      </w:r>
      <w:proofErr w:type="spellStart"/>
      <w:r>
        <w:rPr>
          <w:rFonts w:asciiTheme="majorHAnsi" w:hAnsiTheme="majorHAnsi" w:cstheme="majorHAnsi"/>
          <w:sz w:val="24"/>
          <w:szCs w:val="24"/>
          <w:lang w:val="ro-RO"/>
        </w:rPr>
        <w:t>mil.MDL</w:t>
      </w:r>
      <w:proofErr w:type="spellEnd"/>
      <w:r>
        <w:rPr>
          <w:rFonts w:asciiTheme="majorHAnsi" w:hAnsiTheme="majorHAnsi" w:cstheme="majorHAnsi"/>
          <w:sz w:val="24"/>
          <w:szCs w:val="24"/>
          <w:lang w:val="ro-RO"/>
        </w:rPr>
        <w:t>), BC „</w:t>
      </w:r>
      <w:proofErr w:type="spellStart"/>
      <w:r>
        <w:rPr>
          <w:rFonts w:asciiTheme="majorHAnsi" w:hAnsiTheme="majorHAnsi" w:cstheme="majorHAnsi"/>
          <w:sz w:val="24"/>
          <w:szCs w:val="24"/>
          <w:lang w:val="ro-RO"/>
        </w:rPr>
        <w:t>Mobiasbancă-Groupe</w:t>
      </w:r>
      <w:proofErr w:type="spellEnd"/>
      <w:r>
        <w:rPr>
          <w:rFonts w:asciiTheme="majorHAnsi" w:hAnsiTheme="majorHAnsi" w:cstheme="majorHAnsi"/>
          <w:sz w:val="24"/>
          <w:szCs w:val="24"/>
          <w:lang w:val="ro-RO"/>
        </w:rPr>
        <w:t xml:space="preserve"> </w:t>
      </w:r>
      <w:proofErr w:type="spellStart"/>
      <w:r>
        <w:rPr>
          <w:rFonts w:asciiTheme="majorHAnsi" w:hAnsiTheme="majorHAnsi" w:cstheme="majorHAnsi"/>
          <w:sz w:val="24"/>
          <w:szCs w:val="24"/>
          <w:lang w:val="ro-RO"/>
        </w:rPr>
        <w:t>Societe</w:t>
      </w:r>
      <w:proofErr w:type="spellEnd"/>
      <w:r>
        <w:rPr>
          <w:rFonts w:asciiTheme="majorHAnsi" w:hAnsiTheme="majorHAnsi" w:cstheme="majorHAnsi"/>
          <w:sz w:val="24"/>
          <w:szCs w:val="24"/>
          <w:lang w:val="ro-RO"/>
        </w:rPr>
        <w:t xml:space="preserve"> Generale” SA (8,8 </w:t>
      </w:r>
      <w:proofErr w:type="spellStart"/>
      <w:r>
        <w:rPr>
          <w:rFonts w:asciiTheme="majorHAnsi" w:hAnsiTheme="majorHAnsi" w:cstheme="majorHAnsi"/>
          <w:sz w:val="24"/>
          <w:szCs w:val="24"/>
          <w:lang w:val="ro-RO"/>
        </w:rPr>
        <w:t>mil.MDL</w:t>
      </w:r>
      <w:proofErr w:type="spellEnd"/>
      <w:r>
        <w:rPr>
          <w:rFonts w:asciiTheme="majorHAnsi" w:hAnsiTheme="majorHAnsi" w:cstheme="majorHAnsi"/>
          <w:sz w:val="24"/>
          <w:szCs w:val="24"/>
          <w:lang w:val="ro-RO"/>
        </w:rPr>
        <w:t xml:space="preserve">) și BC „Eximbank” SA (3,4 </w:t>
      </w:r>
      <w:proofErr w:type="spellStart"/>
      <w:r>
        <w:rPr>
          <w:rFonts w:asciiTheme="majorHAnsi" w:hAnsiTheme="majorHAnsi" w:cstheme="majorHAnsi"/>
          <w:sz w:val="24"/>
          <w:szCs w:val="24"/>
          <w:lang w:val="ro-RO"/>
        </w:rPr>
        <w:t>mil.MDL</w:t>
      </w:r>
      <w:proofErr w:type="spellEnd"/>
      <w:r>
        <w:rPr>
          <w:rFonts w:asciiTheme="majorHAnsi" w:hAnsiTheme="majorHAnsi" w:cstheme="majorHAnsi"/>
          <w:sz w:val="24"/>
          <w:szCs w:val="24"/>
          <w:lang w:val="ro-RO"/>
        </w:rPr>
        <w:t>).</w:t>
      </w:r>
      <w:r w:rsidR="0082326F">
        <w:rPr>
          <w:rFonts w:asciiTheme="majorHAnsi" w:hAnsiTheme="majorHAnsi" w:cstheme="majorHAnsi"/>
          <w:sz w:val="24"/>
          <w:szCs w:val="24"/>
          <w:lang w:val="ro-RO"/>
        </w:rPr>
        <w:t xml:space="preserve">  </w:t>
      </w:r>
      <w:r w:rsidRPr="00CB2A14">
        <w:rPr>
          <w:rFonts w:asciiTheme="majorHAnsi" w:hAnsiTheme="majorHAnsi" w:cstheme="majorHAnsi"/>
          <w:sz w:val="24"/>
          <w:szCs w:val="24"/>
          <w:lang w:val="ro-RO"/>
        </w:rPr>
        <w:tab/>
      </w:r>
      <w:r>
        <w:rPr>
          <w:rFonts w:asciiTheme="majorHAnsi" w:hAnsiTheme="majorHAnsi" w:cstheme="majorHAnsi"/>
          <w:sz w:val="24"/>
          <w:szCs w:val="24"/>
          <w:lang w:val="ro-RO"/>
        </w:rPr>
        <w:t xml:space="preserve"> </w:t>
      </w:r>
    </w:p>
    <w:p w14:paraId="33AB7D8B" w14:textId="25A2D2EB" w:rsidR="00B81D9C" w:rsidRDefault="00B81D9C" w:rsidP="0082326F">
      <w:pPr>
        <w:spacing w:after="0" w:line="276" w:lineRule="auto"/>
        <w:ind w:firstLine="720"/>
        <w:jc w:val="both"/>
        <w:rPr>
          <w:rFonts w:asciiTheme="majorHAnsi" w:hAnsiTheme="majorHAnsi" w:cstheme="majorHAnsi"/>
          <w:sz w:val="24"/>
          <w:szCs w:val="24"/>
          <w:lang w:val="ro-RO"/>
        </w:rPr>
      </w:pPr>
      <w:r w:rsidRPr="00316E49">
        <w:rPr>
          <w:rFonts w:asciiTheme="majorHAnsi" w:hAnsiTheme="majorHAnsi" w:cstheme="majorHAnsi"/>
          <w:sz w:val="24"/>
          <w:szCs w:val="24"/>
          <w:lang w:val="ro-RO"/>
        </w:rPr>
        <w:t>La situația din 31.12.2018, soldul garanțiilor de</w:t>
      </w:r>
      <w:r>
        <w:rPr>
          <w:rFonts w:asciiTheme="majorHAnsi" w:hAnsiTheme="majorHAnsi" w:cstheme="majorHAnsi"/>
          <w:sz w:val="24"/>
          <w:szCs w:val="24"/>
          <w:lang w:val="ro-RO"/>
        </w:rPr>
        <w:t xml:space="preserve"> stat externe a constituit zero </w:t>
      </w:r>
      <w:r w:rsidRPr="00316E49">
        <w:rPr>
          <w:rFonts w:asciiTheme="majorHAnsi" w:hAnsiTheme="majorHAnsi" w:cstheme="majorHAnsi"/>
          <w:sz w:val="24"/>
          <w:szCs w:val="24"/>
          <w:lang w:val="ro-RO"/>
        </w:rPr>
        <w:t xml:space="preserve">MDL, după cum a fost stabilit în legea bugetară anuală. </w:t>
      </w:r>
    </w:p>
    <w:p w14:paraId="72823F2F" w14:textId="77777777" w:rsidR="00E37F47" w:rsidRDefault="00E37F47" w:rsidP="0082326F">
      <w:pPr>
        <w:spacing w:after="0" w:line="276" w:lineRule="auto"/>
        <w:ind w:firstLine="720"/>
        <w:jc w:val="both"/>
        <w:rPr>
          <w:rFonts w:asciiTheme="majorHAnsi" w:hAnsiTheme="majorHAnsi" w:cstheme="majorHAnsi"/>
          <w:sz w:val="24"/>
          <w:szCs w:val="24"/>
          <w:lang w:val="ro-RO"/>
        </w:rPr>
      </w:pPr>
    </w:p>
    <w:p w14:paraId="4EEF5DFA" w14:textId="77777777" w:rsidR="00E37F47" w:rsidRPr="00493E79" w:rsidRDefault="00E37F47" w:rsidP="00E37F47">
      <w:pPr>
        <w:pStyle w:val="2"/>
        <w:ind w:firstLine="709"/>
        <w:jc w:val="both"/>
        <w:rPr>
          <w:rFonts w:asciiTheme="majorHAnsi" w:hAnsiTheme="majorHAnsi" w:cstheme="majorHAnsi"/>
          <w:color w:val="auto"/>
          <w:sz w:val="24"/>
          <w:szCs w:val="24"/>
          <w:lang w:val="ro-RO"/>
        </w:rPr>
      </w:pPr>
      <w:bookmarkStart w:id="51" w:name="_Toc9240958"/>
      <w:bookmarkStart w:id="52" w:name="_Toc10106694"/>
      <w:r w:rsidRPr="00493E79">
        <w:rPr>
          <w:rFonts w:asciiTheme="majorHAnsi" w:hAnsiTheme="majorHAnsi" w:cstheme="majorHAnsi"/>
          <w:b/>
          <w:color w:val="auto"/>
          <w:sz w:val="24"/>
          <w:szCs w:val="24"/>
          <w:lang w:val="ro-RO"/>
        </w:rPr>
        <w:t>3.2.2.  Datoriile debitorilor garantați față de Ministerul Finanțelor sunt în totalitate cu termenul de achitare expirat.</w:t>
      </w:r>
      <w:bookmarkEnd w:id="51"/>
      <w:bookmarkEnd w:id="52"/>
    </w:p>
    <w:p w14:paraId="7B0EEFB5" w14:textId="77777777" w:rsidR="00E37F47" w:rsidRPr="00316E49" w:rsidRDefault="00E37F47" w:rsidP="00E37F47">
      <w:pPr>
        <w:spacing w:after="0" w:line="276" w:lineRule="auto"/>
        <w:jc w:val="both"/>
        <w:rPr>
          <w:rFonts w:asciiTheme="majorHAnsi" w:hAnsiTheme="majorHAnsi" w:cstheme="majorHAnsi"/>
          <w:sz w:val="24"/>
          <w:szCs w:val="24"/>
          <w:lang w:val="ro-RO"/>
        </w:rPr>
      </w:pPr>
    </w:p>
    <w:p w14:paraId="54FBFCCF" w14:textId="7854FCA9" w:rsidR="004A36A1" w:rsidRDefault="00B81D9C" w:rsidP="00B81D9C">
      <w:pPr>
        <w:shd w:val="clear" w:color="auto" w:fill="FFFFFF"/>
        <w:spacing w:after="0" w:line="276" w:lineRule="auto"/>
        <w:ind w:firstLine="720"/>
        <w:jc w:val="both"/>
        <w:rPr>
          <w:rFonts w:asciiTheme="majorHAnsi" w:hAnsiTheme="majorHAnsi" w:cstheme="majorHAnsi"/>
          <w:sz w:val="24"/>
          <w:szCs w:val="24"/>
          <w:lang w:val="ro-RO"/>
        </w:rPr>
      </w:pPr>
      <w:r w:rsidRPr="00316E49">
        <w:rPr>
          <w:rFonts w:asciiTheme="majorHAnsi" w:hAnsiTheme="majorHAnsi" w:cstheme="majorHAnsi"/>
          <w:sz w:val="24"/>
          <w:szCs w:val="24"/>
          <w:lang w:val="ro-RO"/>
        </w:rPr>
        <w:t>La situația din 31.12.2018</w:t>
      </w:r>
      <w:r w:rsidR="00753D17">
        <w:rPr>
          <w:rFonts w:asciiTheme="majorHAnsi" w:hAnsiTheme="majorHAnsi" w:cstheme="majorHAnsi"/>
          <w:sz w:val="24"/>
          <w:szCs w:val="24"/>
          <w:lang w:val="ro-RO"/>
        </w:rPr>
        <w:t>,</w:t>
      </w:r>
      <w:r>
        <w:rPr>
          <w:rFonts w:asciiTheme="majorHAnsi" w:hAnsiTheme="majorHAnsi" w:cstheme="majorHAnsi"/>
          <w:sz w:val="24"/>
          <w:szCs w:val="24"/>
          <w:lang w:val="ro-RO"/>
        </w:rPr>
        <w:t xml:space="preserve"> </w:t>
      </w:r>
      <w:r w:rsidRPr="00672AD5">
        <w:rPr>
          <w:rFonts w:asciiTheme="majorHAnsi" w:hAnsiTheme="majorHAnsi" w:cstheme="majorHAnsi"/>
          <w:sz w:val="24"/>
          <w:szCs w:val="24"/>
          <w:lang w:val="ro-RO"/>
        </w:rPr>
        <w:t xml:space="preserve">soldul datoriei debitorilor garantați față de MF, formată în urma executării garanțiilor de stat pentru împrumuturile interne și externe, acordate în </w:t>
      </w:r>
      <w:r w:rsidR="00593842">
        <w:rPr>
          <w:rFonts w:asciiTheme="majorHAnsi" w:hAnsiTheme="majorHAnsi" w:cstheme="majorHAnsi"/>
          <w:sz w:val="24"/>
          <w:szCs w:val="24"/>
          <w:lang w:val="ro-RO"/>
        </w:rPr>
        <w:t>anii</w:t>
      </w:r>
      <w:r w:rsidRPr="00672AD5">
        <w:rPr>
          <w:rFonts w:asciiTheme="majorHAnsi" w:hAnsiTheme="majorHAnsi" w:cstheme="majorHAnsi"/>
          <w:sz w:val="24"/>
          <w:szCs w:val="24"/>
          <w:lang w:val="ro-RO"/>
        </w:rPr>
        <w:t xml:space="preserve"> 1991-1998</w:t>
      </w:r>
      <w:r w:rsidR="00753D17">
        <w:rPr>
          <w:rFonts w:asciiTheme="majorHAnsi" w:hAnsiTheme="majorHAnsi" w:cstheme="majorHAnsi"/>
          <w:sz w:val="24"/>
          <w:szCs w:val="24"/>
          <w:lang w:val="ro-RO"/>
        </w:rPr>
        <w:t>,</w:t>
      </w:r>
      <w:r w:rsidRPr="00672AD5">
        <w:rPr>
          <w:rFonts w:asciiTheme="majorHAnsi" w:hAnsiTheme="majorHAnsi" w:cstheme="majorHAnsi"/>
          <w:sz w:val="24"/>
          <w:szCs w:val="24"/>
          <w:lang w:val="ro-RO"/>
        </w:rPr>
        <w:t xml:space="preserve"> a constituit</w:t>
      </w:r>
      <w:r w:rsidR="00032B58">
        <w:rPr>
          <w:rFonts w:asciiTheme="majorHAnsi" w:hAnsiTheme="majorHAnsi" w:cstheme="majorHAnsi"/>
          <w:sz w:val="24"/>
          <w:szCs w:val="24"/>
          <w:lang w:val="ro-RO"/>
        </w:rPr>
        <w:t xml:space="preserve"> 2,4 </w:t>
      </w:r>
      <w:proofErr w:type="spellStart"/>
      <w:r w:rsidR="00032B58">
        <w:rPr>
          <w:rFonts w:asciiTheme="majorHAnsi" w:hAnsiTheme="majorHAnsi" w:cstheme="majorHAnsi"/>
          <w:sz w:val="24"/>
          <w:szCs w:val="24"/>
          <w:lang w:val="ro-RO"/>
        </w:rPr>
        <w:t>mil.MDL</w:t>
      </w:r>
      <w:proofErr w:type="spellEnd"/>
      <w:r w:rsidR="00032B58">
        <w:rPr>
          <w:rFonts w:asciiTheme="majorHAnsi" w:hAnsiTheme="majorHAnsi" w:cstheme="majorHAnsi"/>
          <w:sz w:val="24"/>
          <w:szCs w:val="24"/>
          <w:lang w:val="ro-RO"/>
        </w:rPr>
        <w:t xml:space="preserve">, 3,5 </w:t>
      </w:r>
      <w:proofErr w:type="spellStart"/>
      <w:r w:rsidR="00032B58">
        <w:rPr>
          <w:rFonts w:asciiTheme="majorHAnsi" w:hAnsiTheme="majorHAnsi" w:cstheme="majorHAnsi"/>
          <w:sz w:val="24"/>
          <w:szCs w:val="24"/>
          <w:lang w:val="ro-RO"/>
        </w:rPr>
        <w:t>mil.dol.SUA</w:t>
      </w:r>
      <w:proofErr w:type="spellEnd"/>
      <w:r w:rsidR="00032B58">
        <w:rPr>
          <w:rFonts w:asciiTheme="majorHAnsi" w:hAnsiTheme="majorHAnsi" w:cstheme="majorHAnsi"/>
          <w:sz w:val="24"/>
          <w:szCs w:val="24"/>
          <w:lang w:val="ro-RO"/>
        </w:rPr>
        <w:t xml:space="preserve">, </w:t>
      </w:r>
      <w:r w:rsidR="006418D0" w:rsidRPr="009561CB">
        <w:rPr>
          <w:rFonts w:asciiTheme="majorHAnsi" w:hAnsiTheme="majorHAnsi" w:cstheme="majorHAnsi"/>
          <w:sz w:val="24"/>
          <w:szCs w:val="24"/>
          <w:lang w:val="ro-RO"/>
        </w:rPr>
        <w:t>1</w:t>
      </w:r>
      <w:r w:rsidR="006418D0">
        <w:rPr>
          <w:rFonts w:asciiTheme="majorHAnsi" w:hAnsiTheme="majorHAnsi" w:cstheme="majorHAnsi"/>
          <w:sz w:val="24"/>
          <w:szCs w:val="24"/>
          <w:lang w:val="ro-RO"/>
        </w:rPr>
        <w:t>8</w:t>
      </w:r>
      <w:r w:rsidR="00032B58">
        <w:rPr>
          <w:rFonts w:asciiTheme="majorHAnsi" w:hAnsiTheme="majorHAnsi" w:cstheme="majorHAnsi"/>
          <w:sz w:val="24"/>
          <w:szCs w:val="24"/>
          <w:lang w:val="ro-RO"/>
        </w:rPr>
        <w:t xml:space="preserve">,6 </w:t>
      </w:r>
      <w:proofErr w:type="spellStart"/>
      <w:r w:rsidR="00032B58">
        <w:rPr>
          <w:rFonts w:asciiTheme="majorHAnsi" w:hAnsiTheme="majorHAnsi" w:cstheme="majorHAnsi"/>
          <w:sz w:val="24"/>
          <w:szCs w:val="24"/>
          <w:lang w:val="ro-RO"/>
        </w:rPr>
        <w:t>mil.</w:t>
      </w:r>
      <w:r w:rsidR="00032B58" w:rsidRPr="00593842">
        <w:rPr>
          <w:rFonts w:asciiTheme="majorHAnsi" w:hAnsiTheme="majorHAnsi" w:cstheme="majorHAnsi"/>
          <w:sz w:val="24"/>
          <w:szCs w:val="24"/>
          <w:lang w:val="ro-RO"/>
        </w:rPr>
        <w:t>euro</w:t>
      </w:r>
      <w:proofErr w:type="spellEnd"/>
      <w:r w:rsidR="00593842" w:rsidRPr="00E02CD8">
        <w:rPr>
          <w:rFonts w:asciiTheme="majorHAnsi" w:hAnsiTheme="majorHAnsi" w:cstheme="majorHAnsi"/>
          <w:sz w:val="24"/>
          <w:szCs w:val="24"/>
          <w:lang w:val="ro-RO"/>
        </w:rPr>
        <w:t xml:space="preserve"> (</w:t>
      </w:r>
      <w:r w:rsidR="00032B58" w:rsidRPr="00593842">
        <w:rPr>
          <w:rFonts w:asciiTheme="majorHAnsi" w:hAnsiTheme="majorHAnsi" w:cstheme="majorHAnsi"/>
          <w:sz w:val="24"/>
          <w:szCs w:val="24"/>
          <w:lang w:val="ro-RO"/>
        </w:rPr>
        <w:t>echivalentul a</w:t>
      </w:r>
      <w:r w:rsidR="00CD4B36" w:rsidRPr="00593842">
        <w:rPr>
          <w:rFonts w:asciiTheme="majorHAnsi" w:hAnsiTheme="majorHAnsi" w:cstheme="majorHAnsi"/>
          <w:sz w:val="24"/>
          <w:szCs w:val="24"/>
          <w:lang w:val="ro-RO"/>
        </w:rPr>
        <w:t xml:space="preserve"> </w:t>
      </w:r>
      <w:r w:rsidR="00032B58" w:rsidRPr="00593842">
        <w:rPr>
          <w:rFonts w:asciiTheme="majorHAnsi" w:hAnsiTheme="majorHAnsi" w:cstheme="majorHAnsi"/>
          <w:sz w:val="24"/>
          <w:szCs w:val="24"/>
          <w:lang w:val="ro-RO"/>
        </w:rPr>
        <w:t xml:space="preserve">426,2 </w:t>
      </w:r>
      <w:proofErr w:type="spellStart"/>
      <w:r w:rsidR="00032B58" w:rsidRPr="00593842">
        <w:rPr>
          <w:rFonts w:asciiTheme="majorHAnsi" w:hAnsiTheme="majorHAnsi" w:cstheme="majorHAnsi"/>
          <w:sz w:val="24"/>
          <w:szCs w:val="24"/>
          <w:lang w:val="ro-RO"/>
        </w:rPr>
        <w:t>mil.MDL</w:t>
      </w:r>
      <w:proofErr w:type="spellEnd"/>
      <w:r w:rsidR="00593842" w:rsidRPr="00593842">
        <w:rPr>
          <w:rFonts w:asciiTheme="majorHAnsi" w:hAnsiTheme="majorHAnsi" w:cstheme="majorHAnsi"/>
          <w:sz w:val="24"/>
          <w:szCs w:val="24"/>
          <w:lang w:val="ro-RO"/>
        </w:rPr>
        <w:t>)</w:t>
      </w:r>
      <w:r w:rsidR="00032B58" w:rsidRPr="00593842">
        <w:rPr>
          <w:rFonts w:asciiTheme="majorHAnsi" w:hAnsiTheme="majorHAnsi" w:cstheme="majorHAnsi"/>
          <w:sz w:val="24"/>
          <w:szCs w:val="24"/>
          <w:lang w:val="ro-RO"/>
        </w:rPr>
        <w:t>.</w:t>
      </w:r>
      <w:r w:rsidR="00032B58">
        <w:rPr>
          <w:rFonts w:asciiTheme="majorHAnsi" w:hAnsiTheme="majorHAnsi" w:cstheme="majorHAnsi"/>
          <w:sz w:val="24"/>
          <w:szCs w:val="24"/>
          <w:lang w:val="ro-RO"/>
        </w:rPr>
        <w:t xml:space="preserve"> </w:t>
      </w:r>
      <w:r w:rsidRPr="00672AD5">
        <w:rPr>
          <w:rFonts w:asciiTheme="majorHAnsi" w:hAnsiTheme="majorHAnsi" w:cstheme="majorHAnsi"/>
          <w:sz w:val="24"/>
          <w:szCs w:val="24"/>
          <w:lang w:val="ro-RO"/>
        </w:rPr>
        <w:t xml:space="preserve"> </w:t>
      </w:r>
      <w:r w:rsidR="00032B58">
        <w:rPr>
          <w:rFonts w:asciiTheme="majorHAnsi" w:hAnsiTheme="majorHAnsi" w:cstheme="majorHAnsi"/>
          <w:sz w:val="24"/>
          <w:szCs w:val="24"/>
          <w:lang w:val="ro-RO"/>
        </w:rPr>
        <w:t xml:space="preserve">Comparativ cu </w:t>
      </w:r>
      <w:r w:rsidR="008051B1">
        <w:rPr>
          <w:rFonts w:asciiTheme="majorHAnsi" w:hAnsiTheme="majorHAnsi" w:cstheme="majorHAnsi"/>
          <w:sz w:val="24"/>
          <w:szCs w:val="24"/>
          <w:lang w:val="ro-RO"/>
        </w:rPr>
        <w:t>sfârșitul anului</w:t>
      </w:r>
      <w:r w:rsidR="00032B58">
        <w:rPr>
          <w:rFonts w:asciiTheme="majorHAnsi" w:hAnsiTheme="majorHAnsi" w:cstheme="majorHAnsi"/>
          <w:sz w:val="24"/>
          <w:szCs w:val="24"/>
          <w:lang w:val="ro-RO"/>
        </w:rPr>
        <w:t xml:space="preserve"> 2017</w:t>
      </w:r>
      <w:r w:rsidR="00753D17">
        <w:rPr>
          <w:rFonts w:asciiTheme="majorHAnsi" w:hAnsiTheme="majorHAnsi" w:cstheme="majorHAnsi"/>
          <w:sz w:val="24"/>
          <w:szCs w:val="24"/>
          <w:lang w:val="ro-RO"/>
        </w:rPr>
        <w:t>,</w:t>
      </w:r>
      <w:r w:rsidR="00032B58">
        <w:rPr>
          <w:rFonts w:asciiTheme="majorHAnsi" w:hAnsiTheme="majorHAnsi" w:cstheme="majorHAnsi"/>
          <w:sz w:val="24"/>
          <w:szCs w:val="24"/>
          <w:lang w:val="ro-RO"/>
        </w:rPr>
        <w:t xml:space="preserve"> </w:t>
      </w:r>
      <w:r w:rsidR="008051B1">
        <w:rPr>
          <w:rFonts w:asciiTheme="majorHAnsi" w:hAnsiTheme="majorHAnsi" w:cstheme="majorHAnsi"/>
          <w:sz w:val="24"/>
          <w:szCs w:val="24"/>
          <w:lang w:val="ro-RO"/>
        </w:rPr>
        <w:t>soldul datoriilor beneficiarilor garantați</w:t>
      </w:r>
      <w:r w:rsidR="00753D17">
        <w:rPr>
          <w:rFonts w:asciiTheme="majorHAnsi" w:hAnsiTheme="majorHAnsi" w:cstheme="majorHAnsi"/>
          <w:sz w:val="24"/>
          <w:szCs w:val="24"/>
          <w:lang w:val="ro-RO"/>
        </w:rPr>
        <w:t>,</w:t>
      </w:r>
      <w:r w:rsidR="008051B1">
        <w:rPr>
          <w:rFonts w:asciiTheme="majorHAnsi" w:hAnsiTheme="majorHAnsi" w:cstheme="majorHAnsi"/>
          <w:sz w:val="24"/>
          <w:szCs w:val="24"/>
          <w:lang w:val="ro-RO"/>
        </w:rPr>
        <w:t xml:space="preserve"> </w:t>
      </w:r>
      <w:r w:rsidR="004A36A1">
        <w:rPr>
          <w:rFonts w:asciiTheme="majorHAnsi" w:hAnsiTheme="majorHAnsi" w:cstheme="majorHAnsi"/>
          <w:sz w:val="24"/>
          <w:szCs w:val="24"/>
          <w:lang w:val="ro-RO"/>
        </w:rPr>
        <w:t>raporta</w:t>
      </w:r>
      <w:r w:rsidR="00753D17">
        <w:rPr>
          <w:rFonts w:asciiTheme="majorHAnsi" w:hAnsiTheme="majorHAnsi" w:cstheme="majorHAnsi"/>
          <w:sz w:val="24"/>
          <w:szCs w:val="24"/>
          <w:lang w:val="ro-RO"/>
        </w:rPr>
        <w:t>t</w:t>
      </w:r>
      <w:r w:rsidR="004A36A1">
        <w:rPr>
          <w:rFonts w:asciiTheme="majorHAnsi" w:hAnsiTheme="majorHAnsi" w:cstheme="majorHAnsi"/>
          <w:sz w:val="24"/>
          <w:szCs w:val="24"/>
          <w:lang w:val="ro-RO"/>
        </w:rPr>
        <w:t xml:space="preserve"> </w:t>
      </w:r>
      <w:r w:rsidR="008051B1">
        <w:rPr>
          <w:rFonts w:asciiTheme="majorHAnsi" w:hAnsiTheme="majorHAnsi" w:cstheme="majorHAnsi"/>
          <w:sz w:val="24"/>
          <w:szCs w:val="24"/>
          <w:lang w:val="ro-RO"/>
        </w:rPr>
        <w:t xml:space="preserve">în </w:t>
      </w:r>
      <w:r w:rsidR="00753D17">
        <w:rPr>
          <w:rFonts w:asciiTheme="majorHAnsi" w:hAnsiTheme="majorHAnsi" w:cstheme="majorHAnsi"/>
          <w:sz w:val="24"/>
          <w:szCs w:val="24"/>
          <w:lang w:val="ro-RO"/>
        </w:rPr>
        <w:t>MDL</w:t>
      </w:r>
      <w:r w:rsidR="008051B1">
        <w:rPr>
          <w:rFonts w:asciiTheme="majorHAnsi" w:hAnsiTheme="majorHAnsi" w:cstheme="majorHAnsi"/>
          <w:sz w:val="24"/>
          <w:szCs w:val="24"/>
          <w:lang w:val="ro-RO"/>
        </w:rPr>
        <w:t xml:space="preserve"> și dolari SUA</w:t>
      </w:r>
      <w:r w:rsidR="00753D17">
        <w:rPr>
          <w:rFonts w:asciiTheme="majorHAnsi" w:hAnsiTheme="majorHAnsi" w:cstheme="majorHAnsi"/>
          <w:sz w:val="24"/>
          <w:szCs w:val="24"/>
          <w:lang w:val="ro-RO"/>
        </w:rPr>
        <w:t>,</w:t>
      </w:r>
      <w:r w:rsidR="008051B1">
        <w:rPr>
          <w:rFonts w:asciiTheme="majorHAnsi" w:hAnsiTheme="majorHAnsi" w:cstheme="majorHAnsi"/>
          <w:sz w:val="24"/>
          <w:szCs w:val="24"/>
          <w:lang w:val="ro-RO"/>
        </w:rPr>
        <w:t xml:space="preserve"> a rămas același</w:t>
      </w:r>
      <w:r w:rsidR="004A36A1">
        <w:rPr>
          <w:rFonts w:asciiTheme="majorHAnsi" w:hAnsiTheme="majorHAnsi" w:cstheme="majorHAnsi"/>
          <w:sz w:val="24"/>
          <w:szCs w:val="24"/>
          <w:lang w:val="ro-RO"/>
        </w:rPr>
        <w:t>,</w:t>
      </w:r>
      <w:r w:rsidR="004425C9">
        <w:rPr>
          <w:rFonts w:asciiTheme="majorHAnsi" w:hAnsiTheme="majorHAnsi" w:cstheme="majorHAnsi"/>
          <w:sz w:val="24"/>
          <w:szCs w:val="24"/>
          <w:lang w:val="ro-RO"/>
        </w:rPr>
        <w:t xml:space="preserve"> nefiind efectuate achitări</w:t>
      </w:r>
      <w:r w:rsidR="008051B1">
        <w:rPr>
          <w:rFonts w:asciiTheme="majorHAnsi" w:hAnsiTheme="majorHAnsi" w:cstheme="majorHAnsi"/>
          <w:sz w:val="24"/>
          <w:szCs w:val="24"/>
          <w:lang w:val="ro-RO"/>
        </w:rPr>
        <w:t xml:space="preserve">, însă în euro s-a majorat cu </w:t>
      </w:r>
      <w:r w:rsidR="00892B1F">
        <w:rPr>
          <w:rFonts w:asciiTheme="majorHAnsi" w:hAnsiTheme="majorHAnsi" w:cstheme="majorHAnsi"/>
          <w:sz w:val="24"/>
          <w:szCs w:val="24"/>
          <w:lang w:val="ro-RO"/>
        </w:rPr>
        <w:t xml:space="preserve">0,4 </w:t>
      </w:r>
      <w:proofErr w:type="spellStart"/>
      <w:r w:rsidR="00892B1F">
        <w:rPr>
          <w:rFonts w:asciiTheme="majorHAnsi" w:hAnsiTheme="majorHAnsi" w:cstheme="majorHAnsi"/>
          <w:sz w:val="24"/>
          <w:szCs w:val="24"/>
          <w:lang w:val="ro-RO"/>
        </w:rPr>
        <w:t>mil.euro</w:t>
      </w:r>
      <w:proofErr w:type="spellEnd"/>
      <w:r w:rsidR="00892B1F">
        <w:rPr>
          <w:rFonts w:asciiTheme="majorHAnsi" w:hAnsiTheme="majorHAnsi" w:cstheme="majorHAnsi"/>
          <w:sz w:val="24"/>
          <w:szCs w:val="24"/>
          <w:lang w:val="ro-RO"/>
        </w:rPr>
        <w:t xml:space="preserve">. </w:t>
      </w:r>
      <w:r w:rsidR="004A36A1">
        <w:rPr>
          <w:rFonts w:asciiTheme="majorHAnsi" w:hAnsiTheme="majorHAnsi" w:cstheme="majorHAnsi"/>
          <w:sz w:val="24"/>
          <w:szCs w:val="24"/>
          <w:lang w:val="ro-RO"/>
        </w:rPr>
        <w:t>Totodată, soldul datoriilor beneficiarilor garantați raporta</w:t>
      </w:r>
      <w:r w:rsidR="00753D17">
        <w:rPr>
          <w:rFonts w:asciiTheme="majorHAnsi" w:hAnsiTheme="majorHAnsi" w:cstheme="majorHAnsi"/>
          <w:sz w:val="24"/>
          <w:szCs w:val="24"/>
          <w:lang w:val="ro-RO"/>
        </w:rPr>
        <w:t>t</w:t>
      </w:r>
      <w:r w:rsidR="004A36A1">
        <w:rPr>
          <w:rFonts w:asciiTheme="majorHAnsi" w:hAnsiTheme="majorHAnsi" w:cstheme="majorHAnsi"/>
          <w:sz w:val="24"/>
          <w:szCs w:val="24"/>
          <w:lang w:val="ro-RO"/>
        </w:rPr>
        <w:t xml:space="preserve"> în </w:t>
      </w:r>
      <w:r w:rsidR="00753D17">
        <w:rPr>
          <w:rFonts w:asciiTheme="majorHAnsi" w:hAnsiTheme="majorHAnsi" w:cstheme="majorHAnsi"/>
          <w:sz w:val="24"/>
          <w:szCs w:val="24"/>
          <w:lang w:val="ro-RO"/>
        </w:rPr>
        <w:t>MDL</w:t>
      </w:r>
      <w:r w:rsidR="004A36A1">
        <w:rPr>
          <w:rFonts w:asciiTheme="majorHAnsi" w:hAnsiTheme="majorHAnsi" w:cstheme="majorHAnsi"/>
          <w:sz w:val="24"/>
          <w:szCs w:val="24"/>
          <w:lang w:val="ro-RO"/>
        </w:rPr>
        <w:t xml:space="preserve"> s-a</w:t>
      </w:r>
      <w:r w:rsidR="008051B1">
        <w:rPr>
          <w:rFonts w:asciiTheme="majorHAnsi" w:hAnsiTheme="majorHAnsi" w:cstheme="majorHAnsi"/>
          <w:sz w:val="24"/>
          <w:szCs w:val="24"/>
          <w:lang w:val="ro-RO"/>
        </w:rPr>
        <w:t xml:space="preserve"> </w:t>
      </w:r>
      <w:r w:rsidR="004A36A1">
        <w:rPr>
          <w:rFonts w:asciiTheme="majorHAnsi" w:hAnsiTheme="majorHAnsi" w:cstheme="majorHAnsi"/>
          <w:sz w:val="24"/>
          <w:szCs w:val="24"/>
          <w:lang w:val="ro-RO"/>
        </w:rPr>
        <w:t>micșorat</w:t>
      </w:r>
      <w:r w:rsidRPr="00672AD5">
        <w:rPr>
          <w:rFonts w:asciiTheme="majorHAnsi" w:hAnsiTheme="majorHAnsi" w:cstheme="majorHAnsi"/>
          <w:sz w:val="24"/>
          <w:szCs w:val="24"/>
          <w:lang w:val="ro-RO"/>
        </w:rPr>
        <w:t xml:space="preserve"> față de </w:t>
      </w:r>
      <w:r w:rsidR="004A36A1">
        <w:rPr>
          <w:rFonts w:asciiTheme="majorHAnsi" w:hAnsiTheme="majorHAnsi" w:cstheme="majorHAnsi"/>
          <w:sz w:val="24"/>
          <w:szCs w:val="24"/>
          <w:lang w:val="ro-RO"/>
        </w:rPr>
        <w:t xml:space="preserve">sfârșitul </w:t>
      </w:r>
      <w:r w:rsidRPr="00672AD5">
        <w:rPr>
          <w:rFonts w:asciiTheme="majorHAnsi" w:hAnsiTheme="majorHAnsi" w:cstheme="majorHAnsi"/>
          <w:sz w:val="24"/>
          <w:szCs w:val="24"/>
          <w:lang w:val="ro-RO"/>
        </w:rPr>
        <w:t>anul</w:t>
      </w:r>
      <w:r w:rsidR="004A36A1">
        <w:rPr>
          <w:rFonts w:asciiTheme="majorHAnsi" w:hAnsiTheme="majorHAnsi" w:cstheme="majorHAnsi"/>
          <w:sz w:val="24"/>
          <w:szCs w:val="24"/>
          <w:lang w:val="ro-RO"/>
        </w:rPr>
        <w:t>ui</w:t>
      </w:r>
      <w:r w:rsidRPr="00672AD5">
        <w:rPr>
          <w:rFonts w:asciiTheme="majorHAnsi" w:hAnsiTheme="majorHAnsi" w:cstheme="majorHAnsi"/>
          <w:sz w:val="24"/>
          <w:szCs w:val="24"/>
          <w:lang w:val="ro-RO"/>
        </w:rPr>
        <w:t xml:space="preserve"> 2017 cu 9,0 </w:t>
      </w:r>
      <w:proofErr w:type="spellStart"/>
      <w:r w:rsidRPr="00672AD5">
        <w:rPr>
          <w:rFonts w:asciiTheme="majorHAnsi" w:hAnsiTheme="majorHAnsi" w:cstheme="majorHAnsi"/>
          <w:sz w:val="24"/>
          <w:szCs w:val="24"/>
          <w:lang w:val="ro-RO"/>
        </w:rPr>
        <w:t>mil.MDL</w:t>
      </w:r>
      <w:proofErr w:type="spellEnd"/>
      <w:r w:rsidR="00DC5EC3">
        <w:rPr>
          <w:rFonts w:asciiTheme="majorHAnsi" w:hAnsiTheme="majorHAnsi" w:cstheme="majorHAnsi"/>
          <w:sz w:val="24"/>
          <w:szCs w:val="24"/>
          <w:lang w:val="ro-RO"/>
        </w:rPr>
        <w:t xml:space="preserve">, </w:t>
      </w:r>
      <w:r w:rsidR="006418D0">
        <w:rPr>
          <w:rFonts w:asciiTheme="majorHAnsi" w:hAnsiTheme="majorHAnsi" w:cstheme="majorHAnsi"/>
          <w:sz w:val="24"/>
          <w:szCs w:val="24"/>
          <w:lang w:val="ro-RO"/>
        </w:rPr>
        <w:t xml:space="preserve">inclusiv </w:t>
      </w:r>
      <w:r w:rsidR="00DC5EC3">
        <w:rPr>
          <w:rFonts w:asciiTheme="majorHAnsi" w:hAnsiTheme="majorHAnsi" w:cstheme="majorHAnsi"/>
          <w:sz w:val="24"/>
          <w:szCs w:val="24"/>
          <w:lang w:val="ro-RO"/>
        </w:rPr>
        <w:t>datorită cursului valutar</w:t>
      </w:r>
      <w:r w:rsidRPr="00672AD5">
        <w:rPr>
          <w:rFonts w:asciiTheme="majorHAnsi" w:hAnsiTheme="majorHAnsi" w:cstheme="majorHAnsi"/>
          <w:sz w:val="24"/>
          <w:szCs w:val="24"/>
          <w:lang w:val="ro-RO"/>
        </w:rPr>
        <w:t>.</w:t>
      </w:r>
    </w:p>
    <w:p w14:paraId="621E7DB2" w14:textId="65BD3B9A" w:rsidR="00B81D9C" w:rsidRDefault="00B81D9C" w:rsidP="00B81D9C">
      <w:pPr>
        <w:shd w:val="clear" w:color="auto" w:fill="FFFFFF"/>
        <w:spacing w:after="0" w:line="276" w:lineRule="auto"/>
        <w:ind w:firstLine="720"/>
        <w:jc w:val="both"/>
        <w:rPr>
          <w:rFonts w:asciiTheme="majorHAnsi" w:hAnsiTheme="majorHAnsi" w:cstheme="majorHAnsi"/>
          <w:i/>
          <w:sz w:val="24"/>
          <w:szCs w:val="24"/>
          <w:lang w:val="ro-RO"/>
        </w:rPr>
      </w:pPr>
      <w:r w:rsidRPr="00672AD5">
        <w:rPr>
          <w:rFonts w:asciiTheme="majorHAnsi" w:hAnsiTheme="majorHAnsi" w:cstheme="majorHAnsi"/>
          <w:sz w:val="24"/>
          <w:szCs w:val="24"/>
          <w:lang w:val="ro-RO"/>
        </w:rPr>
        <w:t xml:space="preserve"> În totalul datoriilor debitorilor garantați, datoriile pentru împrumuturile interne au constituit 2,4 </w:t>
      </w:r>
      <w:proofErr w:type="spellStart"/>
      <w:r w:rsidRPr="00672AD5">
        <w:rPr>
          <w:rFonts w:asciiTheme="majorHAnsi" w:hAnsiTheme="majorHAnsi" w:cstheme="majorHAnsi"/>
          <w:sz w:val="24"/>
          <w:szCs w:val="24"/>
          <w:lang w:val="ro-RO"/>
        </w:rPr>
        <w:t>mil.MDL</w:t>
      </w:r>
      <w:proofErr w:type="spellEnd"/>
      <w:r w:rsidRPr="00672AD5">
        <w:rPr>
          <w:rFonts w:asciiTheme="majorHAnsi" w:hAnsiTheme="majorHAnsi" w:cstheme="majorHAnsi"/>
          <w:sz w:val="24"/>
          <w:szCs w:val="24"/>
          <w:lang w:val="ro-RO"/>
        </w:rPr>
        <w:t>, rămânând la valoarea</w:t>
      </w:r>
      <w:r>
        <w:rPr>
          <w:rFonts w:asciiTheme="majorHAnsi" w:hAnsiTheme="majorHAnsi" w:cstheme="majorHAnsi"/>
          <w:sz w:val="24"/>
          <w:szCs w:val="24"/>
          <w:lang w:val="ro-RO"/>
        </w:rPr>
        <w:t xml:space="preserve"> datoriei</w:t>
      </w:r>
      <w:r w:rsidRPr="00672AD5">
        <w:rPr>
          <w:rFonts w:asciiTheme="majorHAnsi" w:hAnsiTheme="majorHAnsi" w:cstheme="majorHAnsi"/>
          <w:sz w:val="24"/>
          <w:szCs w:val="24"/>
          <w:lang w:val="ro-RO"/>
        </w:rPr>
        <w:t xml:space="preserve"> </w:t>
      </w:r>
      <w:r w:rsidR="00753D17">
        <w:rPr>
          <w:rFonts w:asciiTheme="majorHAnsi" w:hAnsiTheme="majorHAnsi" w:cstheme="majorHAnsi"/>
          <w:sz w:val="24"/>
          <w:szCs w:val="24"/>
          <w:lang w:val="ro-RO"/>
        </w:rPr>
        <w:t xml:space="preserve">din </w:t>
      </w:r>
      <w:r w:rsidRPr="00672AD5">
        <w:rPr>
          <w:rFonts w:asciiTheme="majorHAnsi" w:hAnsiTheme="majorHAnsi" w:cstheme="majorHAnsi"/>
          <w:sz w:val="24"/>
          <w:szCs w:val="24"/>
          <w:lang w:val="ro-RO"/>
        </w:rPr>
        <w:t xml:space="preserve">anul precedent, iar </w:t>
      </w:r>
      <w:r w:rsidR="00753D17">
        <w:rPr>
          <w:rFonts w:asciiTheme="majorHAnsi" w:hAnsiTheme="majorHAnsi" w:cstheme="majorHAnsi"/>
          <w:sz w:val="24"/>
          <w:szCs w:val="24"/>
          <w:lang w:val="ro-RO"/>
        </w:rPr>
        <w:t>datoriile</w:t>
      </w:r>
      <w:r w:rsidRPr="00672AD5">
        <w:rPr>
          <w:rFonts w:asciiTheme="majorHAnsi" w:hAnsiTheme="majorHAnsi" w:cstheme="majorHAnsi"/>
          <w:sz w:val="24"/>
          <w:szCs w:val="24"/>
          <w:lang w:val="ro-RO"/>
        </w:rPr>
        <w:t xml:space="preserve">  pentru împrumuturile externe – 432,8 </w:t>
      </w:r>
      <w:proofErr w:type="spellStart"/>
      <w:r w:rsidRPr="00672AD5">
        <w:rPr>
          <w:rFonts w:asciiTheme="majorHAnsi" w:hAnsiTheme="majorHAnsi" w:cstheme="majorHAnsi"/>
          <w:sz w:val="24"/>
          <w:szCs w:val="24"/>
          <w:lang w:val="ro-RO"/>
        </w:rPr>
        <w:t>mil.MDL</w:t>
      </w:r>
      <w:proofErr w:type="spellEnd"/>
      <w:r w:rsidRPr="00672AD5">
        <w:rPr>
          <w:rFonts w:asciiTheme="majorHAnsi" w:hAnsiTheme="majorHAnsi" w:cstheme="majorHAnsi"/>
          <w:sz w:val="24"/>
          <w:szCs w:val="24"/>
          <w:lang w:val="ro-RO"/>
        </w:rPr>
        <w:t xml:space="preserve">. </w:t>
      </w:r>
      <w:r>
        <w:rPr>
          <w:rFonts w:asciiTheme="majorHAnsi" w:hAnsiTheme="majorHAnsi" w:cstheme="majorHAnsi"/>
          <w:sz w:val="24"/>
          <w:szCs w:val="24"/>
          <w:lang w:val="ro-RO"/>
        </w:rPr>
        <w:t>Auditul denotă că datoriile debitorilor garantați atât pentru împrumuturile externe</w:t>
      </w:r>
      <w:r w:rsidR="00753D17">
        <w:rPr>
          <w:rFonts w:asciiTheme="majorHAnsi" w:hAnsiTheme="majorHAnsi" w:cstheme="majorHAnsi"/>
          <w:sz w:val="24"/>
          <w:szCs w:val="24"/>
          <w:lang w:val="ro-RO"/>
        </w:rPr>
        <w:t>,</w:t>
      </w:r>
      <w:r>
        <w:rPr>
          <w:rFonts w:asciiTheme="majorHAnsi" w:hAnsiTheme="majorHAnsi" w:cstheme="majorHAnsi"/>
          <w:sz w:val="24"/>
          <w:szCs w:val="24"/>
          <w:lang w:val="ro-RO"/>
        </w:rPr>
        <w:t xml:space="preserve"> cât și </w:t>
      </w:r>
      <w:r w:rsidR="004211F8">
        <w:rPr>
          <w:rFonts w:asciiTheme="majorHAnsi" w:hAnsiTheme="majorHAnsi" w:cstheme="majorHAnsi"/>
          <w:sz w:val="24"/>
          <w:szCs w:val="24"/>
          <w:lang w:val="ro-RO"/>
        </w:rPr>
        <w:t xml:space="preserve">pentru cele </w:t>
      </w:r>
      <w:r>
        <w:rPr>
          <w:rFonts w:asciiTheme="majorHAnsi" w:hAnsiTheme="majorHAnsi" w:cstheme="majorHAnsi"/>
          <w:sz w:val="24"/>
          <w:szCs w:val="24"/>
          <w:lang w:val="ro-RO"/>
        </w:rPr>
        <w:t xml:space="preserve">interne sunt </w:t>
      </w:r>
      <w:r w:rsidRPr="005F0163">
        <w:rPr>
          <w:rFonts w:asciiTheme="majorHAnsi" w:hAnsiTheme="majorHAnsi" w:cstheme="majorHAnsi"/>
          <w:sz w:val="24"/>
          <w:szCs w:val="24"/>
          <w:lang w:val="ro-RO"/>
        </w:rPr>
        <w:t xml:space="preserve">cu termenul de achitare expirat. </w:t>
      </w:r>
      <w:r w:rsidRPr="005F0163">
        <w:rPr>
          <w:rFonts w:asciiTheme="majorHAnsi" w:hAnsiTheme="majorHAnsi" w:cstheme="majorHAnsi"/>
          <w:i/>
          <w:sz w:val="24"/>
          <w:szCs w:val="24"/>
          <w:lang w:val="ro-RO"/>
        </w:rPr>
        <w:t>Informația privind datoriile debitorilor garantați față de MF pentru împrumuturile interne și externe garantate de stat este prezentată în Tabelul nr.12 din Anexa nr.2 la prezentul Raport de audit.</w:t>
      </w:r>
    </w:p>
    <w:p w14:paraId="46C8F01A" w14:textId="329389B7" w:rsidR="001E6616" w:rsidRDefault="00F77032" w:rsidP="00FD4E9D">
      <w:pPr>
        <w:shd w:val="clear" w:color="auto" w:fill="FFFFFF"/>
        <w:spacing w:after="0" w:line="276" w:lineRule="auto"/>
        <w:ind w:firstLine="720"/>
        <w:jc w:val="both"/>
        <w:rPr>
          <w:rFonts w:asciiTheme="majorHAnsi" w:hAnsiTheme="majorHAnsi" w:cstheme="majorHAnsi"/>
          <w:sz w:val="24"/>
          <w:szCs w:val="24"/>
          <w:lang w:val="ro-RO"/>
        </w:rPr>
      </w:pPr>
      <w:r w:rsidRPr="00F77032">
        <w:rPr>
          <w:rFonts w:asciiTheme="majorHAnsi" w:hAnsiTheme="majorHAnsi" w:cstheme="majorHAnsi"/>
          <w:sz w:val="24"/>
          <w:szCs w:val="24"/>
          <w:lang w:val="ro-RO"/>
        </w:rPr>
        <w:t>În</w:t>
      </w:r>
      <w:r>
        <w:rPr>
          <w:rFonts w:asciiTheme="majorHAnsi" w:hAnsiTheme="majorHAnsi" w:cstheme="majorHAnsi"/>
          <w:sz w:val="24"/>
          <w:szCs w:val="24"/>
          <w:lang w:val="ro-RO"/>
        </w:rPr>
        <w:t xml:space="preserve"> vederea asigurării rambursării datoriilor beneficiarilor garantați</w:t>
      </w:r>
      <w:r w:rsidR="004211F8">
        <w:rPr>
          <w:rFonts w:asciiTheme="majorHAnsi" w:hAnsiTheme="majorHAnsi" w:cstheme="majorHAnsi"/>
          <w:sz w:val="24"/>
          <w:szCs w:val="24"/>
          <w:lang w:val="ro-RO"/>
        </w:rPr>
        <w:t>,</w:t>
      </w:r>
      <w:r>
        <w:rPr>
          <w:rFonts w:asciiTheme="majorHAnsi" w:hAnsiTheme="majorHAnsi" w:cstheme="majorHAnsi"/>
          <w:sz w:val="24"/>
          <w:szCs w:val="24"/>
          <w:lang w:val="ro-RO"/>
        </w:rPr>
        <w:t xml:space="preserve"> au fost remise 2 cereri de plată.</w:t>
      </w:r>
    </w:p>
    <w:p w14:paraId="794491EF" w14:textId="77777777" w:rsidR="005463EA" w:rsidRPr="00FD4E9D" w:rsidRDefault="005463EA" w:rsidP="00FD4E9D">
      <w:pPr>
        <w:shd w:val="clear" w:color="auto" w:fill="FFFFFF"/>
        <w:spacing w:after="0" w:line="276" w:lineRule="auto"/>
        <w:ind w:firstLine="720"/>
        <w:jc w:val="both"/>
        <w:rPr>
          <w:rFonts w:asciiTheme="majorHAnsi" w:hAnsiTheme="majorHAnsi" w:cstheme="majorHAnsi"/>
          <w:sz w:val="24"/>
          <w:szCs w:val="24"/>
          <w:highlight w:val="yellow"/>
          <w:lang w:val="ro-RO"/>
        </w:rPr>
      </w:pPr>
    </w:p>
    <w:p w14:paraId="25AFF881" w14:textId="27A47344" w:rsidR="00B81D9C" w:rsidRPr="008E6807" w:rsidRDefault="00B81D9C" w:rsidP="00243B87">
      <w:pPr>
        <w:pStyle w:val="1"/>
        <w:numPr>
          <w:ilvl w:val="1"/>
          <w:numId w:val="47"/>
        </w:numPr>
        <w:ind w:left="0" w:firstLine="0"/>
        <w:jc w:val="both"/>
        <w:rPr>
          <w:rFonts w:asciiTheme="majorHAnsi" w:hAnsiTheme="majorHAnsi"/>
          <w:color w:val="auto"/>
          <w:sz w:val="28"/>
          <w:lang w:val="ro-RO"/>
        </w:rPr>
      </w:pPr>
      <w:bookmarkStart w:id="53" w:name="_Toc10106695"/>
      <w:r w:rsidRPr="008E6807">
        <w:rPr>
          <w:rFonts w:asciiTheme="majorHAnsi" w:hAnsiTheme="majorHAnsi"/>
          <w:b/>
          <w:color w:val="auto"/>
          <w:sz w:val="28"/>
          <w:lang w:val="ro-RO"/>
        </w:rPr>
        <w:t xml:space="preserve">Obiectivul specific III. Evaluarea direcțiilor de recreditare din contul împrumuturilor externe </w:t>
      </w:r>
      <w:r w:rsidRPr="00807404">
        <w:rPr>
          <w:rFonts w:asciiTheme="majorHAnsi" w:hAnsiTheme="majorHAnsi"/>
          <w:b/>
          <w:color w:val="auto"/>
          <w:sz w:val="28"/>
          <w:lang w:val="ro-RO"/>
        </w:rPr>
        <w:t xml:space="preserve">și </w:t>
      </w:r>
      <w:r w:rsidR="00B31382" w:rsidRPr="00807404">
        <w:rPr>
          <w:rFonts w:asciiTheme="majorHAnsi" w:hAnsiTheme="majorHAnsi"/>
          <w:b/>
          <w:color w:val="auto"/>
          <w:sz w:val="28"/>
          <w:lang w:val="ro-RO"/>
        </w:rPr>
        <w:t xml:space="preserve">a </w:t>
      </w:r>
      <w:r w:rsidRPr="00807404">
        <w:rPr>
          <w:rFonts w:asciiTheme="majorHAnsi" w:hAnsiTheme="majorHAnsi"/>
          <w:b/>
          <w:color w:val="auto"/>
          <w:sz w:val="28"/>
          <w:lang w:val="ro-RO"/>
        </w:rPr>
        <w:t>respect</w:t>
      </w:r>
      <w:r w:rsidR="00B31382" w:rsidRPr="00807404">
        <w:rPr>
          <w:rFonts w:asciiTheme="majorHAnsi" w:hAnsiTheme="majorHAnsi"/>
          <w:b/>
          <w:color w:val="auto"/>
          <w:sz w:val="28"/>
          <w:lang w:val="ro-RO"/>
        </w:rPr>
        <w:t>ării</w:t>
      </w:r>
      <w:r w:rsidRPr="008E6807">
        <w:rPr>
          <w:rFonts w:asciiTheme="majorHAnsi" w:hAnsiTheme="majorHAnsi"/>
          <w:b/>
          <w:color w:val="auto"/>
          <w:sz w:val="28"/>
          <w:lang w:val="ro-RO"/>
        </w:rPr>
        <w:t xml:space="preserve"> obligațiunilor beneficiarilor </w:t>
      </w:r>
      <w:proofErr w:type="spellStart"/>
      <w:r w:rsidRPr="008E6807">
        <w:rPr>
          <w:rFonts w:asciiTheme="majorHAnsi" w:hAnsiTheme="majorHAnsi"/>
          <w:b/>
          <w:color w:val="auto"/>
          <w:sz w:val="28"/>
          <w:lang w:val="ro-RO"/>
        </w:rPr>
        <w:t>recreditați</w:t>
      </w:r>
      <w:proofErr w:type="spellEnd"/>
      <w:r w:rsidRPr="008E6807">
        <w:rPr>
          <w:rFonts w:asciiTheme="majorHAnsi" w:hAnsiTheme="majorHAnsi"/>
          <w:b/>
          <w:color w:val="auto"/>
          <w:sz w:val="28"/>
          <w:lang w:val="ro-RO"/>
        </w:rPr>
        <w:t>.</w:t>
      </w:r>
      <w:bookmarkEnd w:id="53"/>
    </w:p>
    <w:p w14:paraId="6ADD2548" w14:textId="77777777" w:rsidR="00A30F39" w:rsidRDefault="00A30F39" w:rsidP="00A30F39">
      <w:pPr>
        <w:ind w:firstLine="720"/>
        <w:jc w:val="both"/>
        <w:rPr>
          <w:rFonts w:ascii="Times New Roman" w:hAnsi="Times New Roman"/>
          <w:i/>
          <w:sz w:val="28"/>
          <w:szCs w:val="28"/>
          <w:lang w:val="ro-RO" w:eastAsia="ru-RU"/>
        </w:rPr>
      </w:pPr>
    </w:p>
    <w:p w14:paraId="40EC32BE" w14:textId="6AE6B5E4" w:rsidR="00A30F39" w:rsidRPr="00A30F39" w:rsidRDefault="00A30F39" w:rsidP="00A30F39">
      <w:pPr>
        <w:ind w:firstLine="720"/>
        <w:jc w:val="both"/>
        <w:rPr>
          <w:rFonts w:asciiTheme="majorHAnsi" w:hAnsiTheme="majorHAnsi" w:cstheme="majorHAnsi"/>
          <w:i/>
          <w:sz w:val="24"/>
          <w:szCs w:val="24"/>
          <w:lang w:val="ro-RO"/>
        </w:rPr>
      </w:pPr>
      <w:r w:rsidRPr="00A30F39">
        <w:rPr>
          <w:rFonts w:asciiTheme="majorHAnsi" w:hAnsiTheme="majorHAnsi" w:cstheme="majorHAnsi"/>
          <w:i/>
          <w:sz w:val="24"/>
          <w:szCs w:val="24"/>
          <w:lang w:val="ro-RO" w:eastAsia="ru-RU"/>
        </w:rPr>
        <w:t xml:space="preserve">În anul 2018, volumul </w:t>
      </w:r>
      <w:r w:rsidRPr="00A30F39">
        <w:rPr>
          <w:rFonts w:asciiTheme="majorHAnsi" w:hAnsiTheme="majorHAnsi" w:cstheme="majorHAnsi"/>
          <w:i/>
          <w:sz w:val="24"/>
          <w:szCs w:val="24"/>
          <w:lang w:val="ro-RO"/>
        </w:rPr>
        <w:t xml:space="preserve">mijloacelor financiare direcționate spre recreditarea de stat </w:t>
      </w:r>
      <w:r w:rsidR="000E367C">
        <w:rPr>
          <w:rFonts w:asciiTheme="majorHAnsi" w:hAnsiTheme="majorHAnsi" w:cstheme="majorHAnsi"/>
          <w:i/>
          <w:sz w:val="24"/>
          <w:szCs w:val="24"/>
          <w:lang w:val="ro-RO"/>
        </w:rPr>
        <w:t>s-a redus comparativ cu anul precedent</w:t>
      </w:r>
      <w:r w:rsidRPr="00A30F39">
        <w:rPr>
          <w:rFonts w:asciiTheme="majorHAnsi" w:hAnsiTheme="majorHAnsi" w:cstheme="majorHAnsi"/>
          <w:i/>
          <w:sz w:val="24"/>
          <w:szCs w:val="24"/>
          <w:lang w:val="ro-RO"/>
        </w:rPr>
        <w:t xml:space="preserve">. </w:t>
      </w:r>
      <w:r w:rsidR="0094287F">
        <w:rPr>
          <w:rFonts w:asciiTheme="majorHAnsi" w:hAnsiTheme="majorHAnsi" w:cstheme="majorHAnsi"/>
          <w:i/>
          <w:sz w:val="24"/>
          <w:szCs w:val="24"/>
          <w:lang w:val="ro-RO"/>
        </w:rPr>
        <w:t>D</w:t>
      </w:r>
      <w:r w:rsidRPr="00A30F39">
        <w:rPr>
          <w:rFonts w:asciiTheme="majorHAnsi" w:hAnsiTheme="majorHAnsi" w:cstheme="majorHAnsi"/>
          <w:i/>
          <w:sz w:val="24"/>
          <w:szCs w:val="24"/>
          <w:lang w:val="ro-RO"/>
        </w:rPr>
        <w:t>atoriil</w:t>
      </w:r>
      <w:r w:rsidR="0094287F">
        <w:rPr>
          <w:rFonts w:asciiTheme="majorHAnsi" w:hAnsiTheme="majorHAnsi" w:cstheme="majorHAnsi"/>
          <w:i/>
          <w:sz w:val="24"/>
          <w:szCs w:val="24"/>
          <w:lang w:val="ro-RO"/>
        </w:rPr>
        <w:t>e</w:t>
      </w:r>
      <w:r w:rsidRPr="00A30F39">
        <w:rPr>
          <w:rFonts w:asciiTheme="majorHAnsi" w:hAnsiTheme="majorHAnsi" w:cstheme="majorHAnsi"/>
          <w:i/>
          <w:sz w:val="24"/>
          <w:szCs w:val="24"/>
          <w:lang w:val="ro-RO"/>
        </w:rPr>
        <w:t xml:space="preserve"> cu termenul de achitare expirat </w:t>
      </w:r>
      <w:r w:rsidRPr="00A30F39">
        <w:rPr>
          <w:rFonts w:asciiTheme="majorHAnsi" w:hAnsiTheme="majorHAnsi" w:cstheme="majorHAnsi"/>
          <w:i/>
          <w:sz w:val="24"/>
          <w:szCs w:val="24"/>
          <w:lang w:val="ro-RO" w:eastAsia="ru-RU"/>
        </w:rPr>
        <w:t>prezintă un risc sporit de nerecuperare.</w:t>
      </w:r>
    </w:p>
    <w:p w14:paraId="406378F7" w14:textId="77777777" w:rsidR="00A30F39" w:rsidRPr="00FB3D39" w:rsidRDefault="00A30F39" w:rsidP="005D2329">
      <w:pPr>
        <w:pStyle w:val="2"/>
        <w:ind w:firstLine="709"/>
        <w:jc w:val="both"/>
        <w:rPr>
          <w:rFonts w:asciiTheme="majorHAnsi" w:hAnsiTheme="majorHAnsi" w:cstheme="majorHAnsi"/>
          <w:b/>
          <w:sz w:val="24"/>
          <w:szCs w:val="24"/>
          <w:shd w:val="clear" w:color="auto" w:fill="FFFFFF"/>
          <w:lang w:val="ro-RO"/>
        </w:rPr>
      </w:pPr>
      <w:bookmarkStart w:id="54" w:name="_Toc10106696"/>
      <w:r w:rsidRPr="00FB3D39">
        <w:rPr>
          <w:rFonts w:asciiTheme="majorHAnsi" w:hAnsiTheme="majorHAnsi" w:cstheme="majorHAnsi"/>
          <w:b/>
          <w:color w:val="auto"/>
          <w:sz w:val="24"/>
          <w:szCs w:val="24"/>
          <w:lang w:val="ro-RO"/>
        </w:rPr>
        <w:t xml:space="preserve">3.3.1. În anul 2018 s-a înregistrat o </w:t>
      </w:r>
      <w:r w:rsidR="000E367C">
        <w:rPr>
          <w:rFonts w:asciiTheme="majorHAnsi" w:hAnsiTheme="majorHAnsi" w:cstheme="majorHAnsi"/>
          <w:b/>
          <w:color w:val="auto"/>
          <w:sz w:val="24"/>
          <w:szCs w:val="24"/>
          <w:lang w:val="ro-RO"/>
        </w:rPr>
        <w:t>descreștere</w:t>
      </w:r>
      <w:r w:rsidR="00A77A7A">
        <w:rPr>
          <w:rFonts w:asciiTheme="majorHAnsi" w:hAnsiTheme="majorHAnsi" w:cstheme="majorHAnsi"/>
          <w:b/>
          <w:color w:val="auto"/>
          <w:sz w:val="24"/>
          <w:szCs w:val="24"/>
          <w:lang w:val="ro-RO"/>
        </w:rPr>
        <w:t xml:space="preserve"> a</w:t>
      </w:r>
      <w:r w:rsidRPr="00FB3D39">
        <w:rPr>
          <w:rFonts w:asciiTheme="majorHAnsi" w:hAnsiTheme="majorHAnsi" w:cstheme="majorHAnsi"/>
          <w:b/>
          <w:color w:val="auto"/>
          <w:sz w:val="24"/>
          <w:szCs w:val="24"/>
          <w:lang w:val="ro-RO"/>
        </w:rPr>
        <w:t xml:space="preserve"> volumului mijloacelor financiare direcționate spre recreditarea de stat în scopul implementării proiectelor finanțate din surse externe</w:t>
      </w:r>
      <w:r w:rsidRPr="00FB3D39">
        <w:rPr>
          <w:rFonts w:asciiTheme="majorHAnsi" w:hAnsiTheme="majorHAnsi" w:cstheme="majorHAnsi"/>
          <w:b/>
          <w:sz w:val="24"/>
          <w:szCs w:val="24"/>
          <w:lang w:val="ro-RO"/>
        </w:rPr>
        <w:t>.</w:t>
      </w:r>
      <w:bookmarkEnd w:id="54"/>
    </w:p>
    <w:p w14:paraId="773D521B" w14:textId="77777777" w:rsidR="00EF72EE" w:rsidRPr="00EF72EE" w:rsidRDefault="00EF72EE" w:rsidP="00EF72EE">
      <w:pPr>
        <w:spacing w:after="0" w:line="240" w:lineRule="auto"/>
        <w:ind w:firstLine="720"/>
        <w:jc w:val="both"/>
        <w:rPr>
          <w:rFonts w:asciiTheme="majorHAnsi" w:hAnsiTheme="majorHAnsi" w:cstheme="majorHAnsi"/>
          <w:sz w:val="24"/>
          <w:szCs w:val="24"/>
          <w:lang w:val="ro-RO" w:eastAsia="ru-RU"/>
        </w:rPr>
      </w:pPr>
    </w:p>
    <w:p w14:paraId="432482AF" w14:textId="2771873A" w:rsidR="00A30F39" w:rsidRPr="00EF72EE" w:rsidRDefault="00612E2F" w:rsidP="00EF72EE">
      <w:pPr>
        <w:spacing w:after="0" w:line="276" w:lineRule="auto"/>
        <w:ind w:firstLine="720"/>
        <w:jc w:val="both"/>
        <w:rPr>
          <w:rFonts w:asciiTheme="majorHAnsi" w:hAnsiTheme="majorHAnsi" w:cstheme="majorHAnsi"/>
          <w:sz w:val="24"/>
          <w:szCs w:val="24"/>
          <w:lang w:val="ro-RO" w:eastAsia="ru-RU"/>
        </w:rPr>
      </w:pPr>
      <w:r w:rsidRPr="00EF72EE">
        <w:rPr>
          <w:rFonts w:asciiTheme="majorHAnsi" w:hAnsiTheme="majorHAnsi" w:cstheme="majorHAnsi"/>
          <w:sz w:val="24"/>
          <w:szCs w:val="24"/>
          <w:lang w:val="ro-RO" w:eastAsia="ru-RU"/>
        </w:rPr>
        <w:t xml:space="preserve">Ministerul </w:t>
      </w:r>
      <w:proofErr w:type="spellStart"/>
      <w:r w:rsidRPr="00EF72EE">
        <w:rPr>
          <w:rFonts w:asciiTheme="majorHAnsi" w:hAnsiTheme="majorHAnsi" w:cstheme="majorHAnsi"/>
          <w:sz w:val="24"/>
          <w:szCs w:val="24"/>
          <w:lang w:val="ro-RO" w:eastAsia="ru-RU"/>
        </w:rPr>
        <w:t>Finanţelor</w:t>
      </w:r>
      <w:proofErr w:type="spellEnd"/>
      <w:r w:rsidRPr="00EF72EE">
        <w:rPr>
          <w:rFonts w:asciiTheme="majorHAnsi" w:hAnsiTheme="majorHAnsi" w:cstheme="majorHAnsi"/>
          <w:sz w:val="24"/>
          <w:szCs w:val="24"/>
          <w:lang w:val="ro-RO" w:eastAsia="ru-RU"/>
        </w:rPr>
        <w:t xml:space="preserve"> este autorizat să efectueze </w:t>
      </w:r>
      <w:proofErr w:type="spellStart"/>
      <w:r w:rsidRPr="00EF72EE">
        <w:rPr>
          <w:rFonts w:asciiTheme="majorHAnsi" w:hAnsiTheme="majorHAnsi" w:cstheme="majorHAnsi"/>
          <w:sz w:val="24"/>
          <w:szCs w:val="24"/>
          <w:lang w:val="ro-RO" w:eastAsia="ru-RU"/>
        </w:rPr>
        <w:t>operaţiuni</w:t>
      </w:r>
      <w:proofErr w:type="spellEnd"/>
      <w:r w:rsidRPr="00EF72EE">
        <w:rPr>
          <w:rFonts w:asciiTheme="majorHAnsi" w:hAnsiTheme="majorHAnsi" w:cstheme="majorHAnsi"/>
          <w:sz w:val="24"/>
          <w:szCs w:val="24"/>
          <w:lang w:val="ro-RO" w:eastAsia="ru-RU"/>
        </w:rPr>
        <w:t xml:space="preserve"> de recreditare fie direct, fie prin intermediul băncilor </w:t>
      </w:r>
      <w:proofErr w:type="spellStart"/>
      <w:r w:rsidRPr="00EF72EE">
        <w:rPr>
          <w:rFonts w:asciiTheme="majorHAnsi" w:hAnsiTheme="majorHAnsi" w:cstheme="majorHAnsi"/>
          <w:sz w:val="24"/>
          <w:szCs w:val="24"/>
          <w:lang w:val="ro-RO" w:eastAsia="ru-RU"/>
        </w:rPr>
        <w:t>şi</w:t>
      </w:r>
      <w:proofErr w:type="spellEnd"/>
      <w:r w:rsidRPr="00EF72EE">
        <w:rPr>
          <w:rFonts w:asciiTheme="majorHAnsi" w:hAnsiTheme="majorHAnsi" w:cstheme="majorHAnsi"/>
          <w:sz w:val="24"/>
          <w:szCs w:val="24"/>
          <w:lang w:val="ro-RO" w:eastAsia="ru-RU"/>
        </w:rPr>
        <w:t xml:space="preserve">/sau </w:t>
      </w:r>
      <w:proofErr w:type="spellStart"/>
      <w:r w:rsidRPr="00EF72EE">
        <w:rPr>
          <w:rFonts w:asciiTheme="majorHAnsi" w:hAnsiTheme="majorHAnsi" w:cstheme="majorHAnsi"/>
          <w:sz w:val="24"/>
          <w:szCs w:val="24"/>
          <w:lang w:val="ro-RO" w:eastAsia="ru-RU"/>
        </w:rPr>
        <w:t>organizaţiilor</w:t>
      </w:r>
      <w:proofErr w:type="spellEnd"/>
      <w:r w:rsidRPr="00EF72EE">
        <w:rPr>
          <w:rFonts w:asciiTheme="majorHAnsi" w:hAnsiTheme="majorHAnsi" w:cstheme="majorHAnsi"/>
          <w:sz w:val="24"/>
          <w:szCs w:val="24"/>
          <w:lang w:val="ro-RO" w:eastAsia="ru-RU"/>
        </w:rPr>
        <w:t xml:space="preserve"> de creditare nebancare, </w:t>
      </w:r>
      <w:proofErr w:type="spellStart"/>
      <w:r w:rsidRPr="00EF72EE">
        <w:rPr>
          <w:rFonts w:asciiTheme="majorHAnsi" w:hAnsiTheme="majorHAnsi" w:cstheme="majorHAnsi"/>
          <w:sz w:val="24"/>
          <w:szCs w:val="24"/>
          <w:lang w:val="ro-RO" w:eastAsia="ru-RU"/>
        </w:rPr>
        <w:t>şi</w:t>
      </w:r>
      <w:proofErr w:type="spellEnd"/>
      <w:r w:rsidRPr="00EF72EE">
        <w:rPr>
          <w:rFonts w:asciiTheme="majorHAnsi" w:hAnsiTheme="majorHAnsi" w:cstheme="majorHAnsi"/>
          <w:sz w:val="24"/>
          <w:szCs w:val="24"/>
          <w:lang w:val="ro-RO" w:eastAsia="ru-RU"/>
        </w:rPr>
        <w:t xml:space="preserve">/sau </w:t>
      </w:r>
      <w:proofErr w:type="spellStart"/>
      <w:r w:rsidRPr="00EF72EE">
        <w:rPr>
          <w:rFonts w:asciiTheme="majorHAnsi" w:hAnsiTheme="majorHAnsi" w:cstheme="majorHAnsi"/>
          <w:sz w:val="24"/>
          <w:szCs w:val="24"/>
          <w:lang w:val="ro-RO" w:eastAsia="ru-RU"/>
        </w:rPr>
        <w:t>asociaţiilor</w:t>
      </w:r>
      <w:proofErr w:type="spellEnd"/>
      <w:r w:rsidRPr="00EF72EE">
        <w:rPr>
          <w:rFonts w:asciiTheme="majorHAnsi" w:hAnsiTheme="majorHAnsi" w:cstheme="majorHAnsi"/>
          <w:sz w:val="24"/>
          <w:szCs w:val="24"/>
          <w:lang w:val="ro-RO" w:eastAsia="ru-RU"/>
        </w:rPr>
        <w:t xml:space="preserve"> de </w:t>
      </w:r>
      <w:r w:rsidRPr="00EF72EE">
        <w:rPr>
          <w:rFonts w:asciiTheme="majorHAnsi" w:hAnsiTheme="majorHAnsi" w:cstheme="majorHAnsi"/>
          <w:sz w:val="24"/>
          <w:szCs w:val="24"/>
          <w:lang w:val="ro-RO" w:eastAsia="ru-RU"/>
        </w:rPr>
        <w:lastRenderedPageBreak/>
        <w:t xml:space="preserve">economii </w:t>
      </w:r>
      <w:proofErr w:type="spellStart"/>
      <w:r w:rsidRPr="00EF72EE">
        <w:rPr>
          <w:rFonts w:asciiTheme="majorHAnsi" w:hAnsiTheme="majorHAnsi" w:cstheme="majorHAnsi"/>
          <w:sz w:val="24"/>
          <w:szCs w:val="24"/>
          <w:lang w:val="ro-RO" w:eastAsia="ru-RU"/>
        </w:rPr>
        <w:t>şi</w:t>
      </w:r>
      <w:proofErr w:type="spellEnd"/>
      <w:r w:rsidRPr="00EF72EE">
        <w:rPr>
          <w:rFonts w:asciiTheme="majorHAnsi" w:hAnsiTheme="majorHAnsi" w:cstheme="majorHAnsi"/>
          <w:sz w:val="24"/>
          <w:szCs w:val="24"/>
          <w:lang w:val="ro-RO" w:eastAsia="ru-RU"/>
        </w:rPr>
        <w:t xml:space="preserve"> împrumut, fie prin intermediul subdiviziunilor special create</w:t>
      </w:r>
      <w:r w:rsidR="00EF72EE" w:rsidRPr="00EF72EE">
        <w:rPr>
          <w:rFonts w:asciiTheme="majorHAnsi" w:hAnsiTheme="majorHAnsi" w:cstheme="majorHAnsi"/>
          <w:sz w:val="24"/>
          <w:szCs w:val="24"/>
          <w:lang w:val="ro-RO" w:eastAsia="ru-RU"/>
        </w:rPr>
        <w:t xml:space="preserve"> pentru scopuri de recreditare</w:t>
      </w:r>
      <w:r w:rsidR="00EF72EE">
        <w:rPr>
          <w:rFonts w:asciiTheme="majorHAnsi" w:hAnsiTheme="majorHAnsi" w:cstheme="majorHAnsi"/>
          <w:sz w:val="24"/>
          <w:szCs w:val="24"/>
          <w:lang w:val="ro-RO" w:eastAsia="ru-RU"/>
        </w:rPr>
        <w:t xml:space="preserve"> </w:t>
      </w:r>
      <w:r w:rsidR="00EF72EE">
        <w:rPr>
          <w:rStyle w:val="ae"/>
          <w:rFonts w:asciiTheme="majorHAnsi" w:hAnsiTheme="majorHAnsi"/>
          <w:sz w:val="24"/>
          <w:szCs w:val="24"/>
          <w:lang w:val="ro-RO" w:eastAsia="ru-RU"/>
        </w:rPr>
        <w:footnoteReference w:id="33"/>
      </w:r>
      <w:r w:rsidR="00A30F39" w:rsidRPr="00EF72EE">
        <w:rPr>
          <w:rFonts w:asciiTheme="majorHAnsi" w:hAnsiTheme="majorHAnsi" w:cstheme="majorHAnsi"/>
          <w:sz w:val="24"/>
          <w:szCs w:val="24"/>
          <w:lang w:val="ro-RO" w:eastAsia="ru-RU"/>
        </w:rPr>
        <w:t>. Astfel, recreditarea de stat se efectuează prin intermediul MF, DLC și FIDA.</w:t>
      </w:r>
    </w:p>
    <w:p w14:paraId="6AB63D14" w14:textId="45CBB200" w:rsidR="00A30F39" w:rsidRPr="00FB3D39" w:rsidRDefault="00A30F39" w:rsidP="00A30F39">
      <w:pPr>
        <w:spacing w:after="0" w:line="276" w:lineRule="auto"/>
        <w:ind w:firstLine="720"/>
        <w:jc w:val="both"/>
        <w:rPr>
          <w:rFonts w:asciiTheme="majorHAnsi" w:hAnsiTheme="majorHAnsi" w:cstheme="majorHAnsi"/>
          <w:sz w:val="24"/>
          <w:szCs w:val="24"/>
          <w:lang w:val="ro-RO" w:eastAsia="ru-RU"/>
        </w:rPr>
      </w:pPr>
      <w:r w:rsidRPr="00FB3D39">
        <w:rPr>
          <w:rFonts w:asciiTheme="majorHAnsi" w:hAnsiTheme="majorHAnsi" w:cstheme="majorHAnsi"/>
          <w:sz w:val="24"/>
          <w:szCs w:val="24"/>
          <w:lang w:val="ro-RO" w:eastAsia="ru-RU"/>
        </w:rPr>
        <w:t xml:space="preserve"> Pe parcursul anului 2018, prin intermediul MF, DLC și </w:t>
      </w:r>
      <w:r w:rsidRPr="00824256">
        <w:rPr>
          <w:rFonts w:asciiTheme="majorHAnsi" w:hAnsiTheme="majorHAnsi" w:cstheme="majorHAnsi"/>
          <w:sz w:val="24"/>
          <w:szCs w:val="24"/>
          <w:lang w:val="ro-RO" w:eastAsia="ru-RU"/>
        </w:rPr>
        <w:t>FIDA,</w:t>
      </w:r>
      <w:r w:rsidRPr="00FB3D39">
        <w:rPr>
          <w:rFonts w:asciiTheme="majorHAnsi" w:hAnsiTheme="majorHAnsi" w:cstheme="majorHAnsi"/>
          <w:sz w:val="24"/>
          <w:szCs w:val="24"/>
          <w:lang w:val="ro-RO" w:eastAsia="ru-RU"/>
        </w:rPr>
        <w:t xml:space="preserve"> din contul liniilor de creditare și mijloacelor circulante acumulate (din rambursarea de către IFP a sumelor principale și dobânzilor aferente), pentru realizarea proiectelor finanțate din surse externe, au fost </w:t>
      </w:r>
      <w:proofErr w:type="spellStart"/>
      <w:r w:rsidRPr="00FB3D39">
        <w:rPr>
          <w:rFonts w:asciiTheme="majorHAnsi" w:hAnsiTheme="majorHAnsi" w:cstheme="majorHAnsi"/>
          <w:sz w:val="24"/>
          <w:szCs w:val="24"/>
          <w:lang w:val="ro-RO" w:eastAsia="ru-RU"/>
        </w:rPr>
        <w:t>recreditate</w:t>
      </w:r>
      <w:proofErr w:type="spellEnd"/>
      <w:r w:rsidRPr="00FB3D39">
        <w:rPr>
          <w:rFonts w:asciiTheme="majorHAnsi" w:hAnsiTheme="majorHAnsi" w:cstheme="majorHAnsi"/>
          <w:sz w:val="24"/>
          <w:szCs w:val="24"/>
          <w:lang w:val="ro-RO" w:eastAsia="ru-RU"/>
        </w:rPr>
        <w:t xml:space="preserve"> împrumuturi </w:t>
      </w:r>
      <w:r w:rsidR="00E14C43" w:rsidRPr="00E14C43">
        <w:rPr>
          <w:rFonts w:asciiTheme="majorHAnsi" w:hAnsiTheme="majorHAnsi" w:cstheme="majorHAnsi"/>
          <w:sz w:val="24"/>
          <w:szCs w:val="24"/>
          <w:lang w:val="ro-RO" w:eastAsia="ru-RU"/>
        </w:rPr>
        <w:t>agenților</w:t>
      </w:r>
      <w:r w:rsidRPr="00FB3D39">
        <w:rPr>
          <w:rFonts w:asciiTheme="majorHAnsi" w:hAnsiTheme="majorHAnsi" w:cstheme="majorHAnsi"/>
          <w:sz w:val="24"/>
          <w:szCs w:val="24"/>
          <w:lang w:val="ro-RO" w:eastAsia="ru-RU"/>
        </w:rPr>
        <w:t xml:space="preserve"> economici, APL și IFP, în sumă totală de: 217,7 </w:t>
      </w:r>
      <w:proofErr w:type="spellStart"/>
      <w:r w:rsidR="002D0D0D">
        <w:rPr>
          <w:rFonts w:asciiTheme="majorHAnsi" w:hAnsiTheme="majorHAnsi" w:cstheme="majorHAnsi"/>
          <w:sz w:val="24"/>
          <w:szCs w:val="24"/>
          <w:lang w:val="ro-RO" w:eastAsia="ru-RU"/>
        </w:rPr>
        <w:t>mil.MDL</w:t>
      </w:r>
      <w:proofErr w:type="spellEnd"/>
      <w:r w:rsidRPr="00FB3D39">
        <w:rPr>
          <w:rFonts w:asciiTheme="majorHAnsi" w:hAnsiTheme="majorHAnsi" w:cstheme="majorHAnsi"/>
          <w:sz w:val="24"/>
          <w:szCs w:val="24"/>
          <w:lang w:val="ro-RO" w:eastAsia="ru-RU"/>
        </w:rPr>
        <w:t xml:space="preserve">, 6,8 </w:t>
      </w:r>
      <w:proofErr w:type="spellStart"/>
      <w:r w:rsidRPr="00FB3D39">
        <w:rPr>
          <w:rFonts w:asciiTheme="majorHAnsi" w:hAnsiTheme="majorHAnsi" w:cstheme="majorHAnsi"/>
          <w:sz w:val="24"/>
          <w:szCs w:val="24"/>
          <w:lang w:val="ro-RO" w:eastAsia="ru-RU"/>
        </w:rPr>
        <w:t>mil.dol.SUA</w:t>
      </w:r>
      <w:proofErr w:type="spellEnd"/>
      <w:r w:rsidRPr="00FB3D39">
        <w:rPr>
          <w:rFonts w:asciiTheme="majorHAnsi" w:hAnsiTheme="majorHAnsi" w:cstheme="majorHAnsi"/>
          <w:sz w:val="24"/>
          <w:szCs w:val="24"/>
          <w:lang w:val="ro-RO" w:eastAsia="ru-RU"/>
        </w:rPr>
        <w:t xml:space="preserve">, 27,3 </w:t>
      </w:r>
      <w:proofErr w:type="spellStart"/>
      <w:r w:rsidRPr="00FB3D39">
        <w:rPr>
          <w:rFonts w:asciiTheme="majorHAnsi" w:hAnsiTheme="majorHAnsi" w:cstheme="majorHAnsi"/>
          <w:sz w:val="24"/>
          <w:szCs w:val="24"/>
          <w:lang w:val="ro-RO" w:eastAsia="ru-RU"/>
        </w:rPr>
        <w:t>mil.euro</w:t>
      </w:r>
      <w:proofErr w:type="spellEnd"/>
      <w:r w:rsidRPr="00FB3D39">
        <w:rPr>
          <w:rFonts w:asciiTheme="majorHAnsi" w:hAnsiTheme="majorHAnsi" w:cstheme="majorHAnsi"/>
          <w:sz w:val="24"/>
          <w:szCs w:val="24"/>
          <w:lang w:val="ro-RO" w:eastAsia="ru-RU"/>
        </w:rPr>
        <w:t xml:space="preserve"> (echivalentul a </w:t>
      </w:r>
      <w:r w:rsidR="00BF7368" w:rsidRPr="00FB3D39">
        <w:rPr>
          <w:rFonts w:asciiTheme="majorHAnsi" w:hAnsiTheme="majorHAnsi" w:cstheme="majorHAnsi"/>
          <w:sz w:val="24"/>
          <w:szCs w:val="24"/>
          <w:lang w:val="ro-RO" w:eastAsia="ru-RU"/>
        </w:rPr>
        <w:t>cca 866,6</w:t>
      </w:r>
      <w:r w:rsidRPr="00FB3D39">
        <w:rPr>
          <w:rFonts w:asciiTheme="majorHAnsi" w:hAnsiTheme="majorHAnsi" w:cstheme="majorHAnsi"/>
          <w:sz w:val="24"/>
          <w:szCs w:val="24"/>
          <w:lang w:val="ro-RO" w:eastAsia="ru-RU"/>
        </w:rPr>
        <w:t xml:space="preserve"> </w:t>
      </w:r>
      <w:proofErr w:type="spellStart"/>
      <w:r w:rsidR="00BF7368" w:rsidRPr="00FB3D39">
        <w:rPr>
          <w:rFonts w:asciiTheme="majorHAnsi" w:hAnsiTheme="majorHAnsi" w:cstheme="majorHAnsi"/>
          <w:sz w:val="24"/>
          <w:szCs w:val="24"/>
          <w:lang w:val="ro-RO" w:eastAsia="ru-RU"/>
        </w:rPr>
        <w:t>mil.</w:t>
      </w:r>
      <w:r w:rsidRPr="00FB3D39">
        <w:rPr>
          <w:rFonts w:asciiTheme="majorHAnsi" w:hAnsiTheme="majorHAnsi" w:cstheme="majorHAnsi"/>
          <w:sz w:val="24"/>
          <w:szCs w:val="24"/>
          <w:lang w:val="ro-RO" w:eastAsia="ru-RU"/>
        </w:rPr>
        <w:t>MDL</w:t>
      </w:r>
      <w:proofErr w:type="spellEnd"/>
      <w:r w:rsidRPr="00FB3D39">
        <w:rPr>
          <w:rFonts w:asciiTheme="majorHAnsi" w:hAnsiTheme="majorHAnsi" w:cstheme="majorHAnsi"/>
          <w:sz w:val="24"/>
          <w:szCs w:val="24"/>
          <w:lang w:val="ro-RO" w:eastAsia="ru-RU"/>
        </w:rPr>
        <w:t xml:space="preserve">), inclusiv din surse </w:t>
      </w:r>
      <w:proofErr w:type="spellStart"/>
      <w:r w:rsidRPr="00FB3D39">
        <w:rPr>
          <w:rFonts w:asciiTheme="majorHAnsi" w:hAnsiTheme="majorHAnsi" w:cstheme="majorHAnsi"/>
          <w:sz w:val="24"/>
          <w:szCs w:val="24"/>
          <w:lang w:val="ro-RO" w:eastAsia="ru-RU"/>
        </w:rPr>
        <w:t>recreditate</w:t>
      </w:r>
      <w:proofErr w:type="spellEnd"/>
      <w:r w:rsidRPr="00FB3D39">
        <w:rPr>
          <w:rFonts w:asciiTheme="majorHAnsi" w:hAnsiTheme="majorHAnsi" w:cstheme="majorHAnsi"/>
          <w:sz w:val="24"/>
          <w:szCs w:val="24"/>
          <w:lang w:val="ro-RO" w:eastAsia="ru-RU"/>
        </w:rPr>
        <w:t xml:space="preserve"> din mijloacele circulante acumulate – 157,9 </w:t>
      </w:r>
      <w:proofErr w:type="spellStart"/>
      <w:r w:rsidR="002D0D0D">
        <w:rPr>
          <w:rFonts w:asciiTheme="majorHAnsi" w:hAnsiTheme="majorHAnsi" w:cstheme="majorHAnsi"/>
          <w:sz w:val="24"/>
          <w:szCs w:val="24"/>
          <w:lang w:val="ro-RO" w:eastAsia="ru-RU"/>
        </w:rPr>
        <w:t>mil.MDL</w:t>
      </w:r>
      <w:proofErr w:type="spellEnd"/>
      <w:r w:rsidR="00BF7368" w:rsidRPr="00FB3D39">
        <w:rPr>
          <w:rFonts w:asciiTheme="majorHAnsi" w:hAnsiTheme="majorHAnsi" w:cstheme="majorHAnsi"/>
          <w:sz w:val="24"/>
          <w:szCs w:val="24"/>
          <w:lang w:val="ro-RO" w:eastAsia="ru-RU"/>
        </w:rPr>
        <w:t>, 0,1</w:t>
      </w:r>
      <w:r w:rsidRPr="00FB3D39">
        <w:rPr>
          <w:rFonts w:asciiTheme="majorHAnsi" w:hAnsiTheme="majorHAnsi" w:cstheme="majorHAnsi"/>
          <w:sz w:val="24"/>
          <w:szCs w:val="24"/>
          <w:lang w:val="ro-RO" w:eastAsia="ru-RU"/>
        </w:rPr>
        <w:t xml:space="preserve"> </w:t>
      </w:r>
      <w:proofErr w:type="spellStart"/>
      <w:r w:rsidRPr="00FB3D39">
        <w:rPr>
          <w:rFonts w:asciiTheme="majorHAnsi" w:hAnsiTheme="majorHAnsi" w:cstheme="majorHAnsi"/>
          <w:sz w:val="24"/>
          <w:szCs w:val="24"/>
          <w:lang w:val="ro-RO" w:eastAsia="ru-RU"/>
        </w:rPr>
        <w:t>mil.dol.SUA</w:t>
      </w:r>
      <w:proofErr w:type="spellEnd"/>
      <w:r w:rsidRPr="00FB3D39">
        <w:rPr>
          <w:rFonts w:asciiTheme="majorHAnsi" w:hAnsiTheme="majorHAnsi" w:cstheme="majorHAnsi"/>
          <w:sz w:val="24"/>
          <w:szCs w:val="24"/>
          <w:lang w:val="ro-RO" w:eastAsia="ru-RU"/>
        </w:rPr>
        <w:t xml:space="preserve"> și 3,2 </w:t>
      </w:r>
      <w:proofErr w:type="spellStart"/>
      <w:r w:rsidRPr="00FB3D39">
        <w:rPr>
          <w:rFonts w:asciiTheme="majorHAnsi" w:hAnsiTheme="majorHAnsi" w:cstheme="majorHAnsi"/>
          <w:sz w:val="24"/>
          <w:szCs w:val="24"/>
          <w:lang w:val="ro-RO" w:eastAsia="ru-RU"/>
        </w:rPr>
        <w:t>mil.euro</w:t>
      </w:r>
      <w:proofErr w:type="spellEnd"/>
      <w:r w:rsidR="00BF7368" w:rsidRPr="00FB3D39">
        <w:rPr>
          <w:rFonts w:asciiTheme="majorHAnsi" w:hAnsiTheme="majorHAnsi" w:cstheme="majorHAnsi"/>
          <w:sz w:val="24"/>
          <w:szCs w:val="24"/>
          <w:lang w:val="ro-RO" w:eastAsia="ru-RU"/>
        </w:rPr>
        <w:t xml:space="preserve"> (echivalentul a 222,0 </w:t>
      </w:r>
      <w:proofErr w:type="spellStart"/>
      <w:r w:rsidR="00BF7368" w:rsidRPr="00FB3D39">
        <w:rPr>
          <w:rFonts w:asciiTheme="majorHAnsi" w:hAnsiTheme="majorHAnsi" w:cstheme="majorHAnsi"/>
          <w:sz w:val="24"/>
          <w:szCs w:val="24"/>
          <w:lang w:val="ro-RO" w:eastAsia="ru-RU"/>
        </w:rPr>
        <w:t>mil.</w:t>
      </w:r>
      <w:r w:rsidRPr="00FB3D39">
        <w:rPr>
          <w:rFonts w:asciiTheme="majorHAnsi" w:hAnsiTheme="majorHAnsi" w:cstheme="majorHAnsi"/>
          <w:sz w:val="24"/>
          <w:szCs w:val="24"/>
          <w:lang w:val="ro-RO" w:eastAsia="ru-RU"/>
        </w:rPr>
        <w:t>MDL</w:t>
      </w:r>
      <w:proofErr w:type="spellEnd"/>
      <w:r w:rsidRPr="00FB3D39">
        <w:rPr>
          <w:rFonts w:asciiTheme="majorHAnsi" w:hAnsiTheme="majorHAnsi" w:cstheme="majorHAnsi"/>
          <w:sz w:val="24"/>
          <w:szCs w:val="24"/>
          <w:lang w:val="ro-RO" w:eastAsia="ru-RU"/>
        </w:rPr>
        <w:t>),</w:t>
      </w:r>
      <w:r w:rsidR="00BF7368" w:rsidRPr="00FB3D39">
        <w:rPr>
          <w:rFonts w:asciiTheme="majorHAnsi" w:hAnsiTheme="majorHAnsi" w:cstheme="majorHAnsi"/>
          <w:sz w:val="24"/>
          <w:szCs w:val="24"/>
          <w:lang w:val="ro-RO" w:eastAsia="ru-RU"/>
        </w:rPr>
        <w:t xml:space="preserve"> sau 25,6</w:t>
      </w:r>
      <w:r w:rsidRPr="00FB3D39">
        <w:rPr>
          <w:rFonts w:asciiTheme="majorHAnsi" w:hAnsiTheme="majorHAnsi" w:cstheme="majorHAnsi"/>
          <w:sz w:val="24"/>
          <w:szCs w:val="24"/>
          <w:lang w:val="ro-RO" w:eastAsia="ru-RU"/>
        </w:rPr>
        <w:t xml:space="preserve"> % din suma totală </w:t>
      </w:r>
      <w:proofErr w:type="spellStart"/>
      <w:r w:rsidRPr="00FB3D39">
        <w:rPr>
          <w:rFonts w:asciiTheme="majorHAnsi" w:hAnsiTheme="majorHAnsi" w:cstheme="majorHAnsi"/>
          <w:sz w:val="24"/>
          <w:szCs w:val="24"/>
          <w:lang w:val="ro-RO" w:eastAsia="ru-RU"/>
        </w:rPr>
        <w:t>recreditată</w:t>
      </w:r>
      <w:proofErr w:type="spellEnd"/>
      <w:r w:rsidRPr="00FB3D39">
        <w:rPr>
          <w:rFonts w:asciiTheme="majorHAnsi" w:hAnsiTheme="majorHAnsi" w:cstheme="majorHAnsi"/>
          <w:sz w:val="24"/>
          <w:szCs w:val="24"/>
          <w:lang w:val="ro-RO" w:eastAsia="ru-RU"/>
        </w:rPr>
        <w:t xml:space="preserve">. </w:t>
      </w:r>
      <w:r w:rsidR="00421846">
        <w:rPr>
          <w:rFonts w:asciiTheme="majorHAnsi" w:hAnsiTheme="majorHAnsi" w:cstheme="majorHAnsi"/>
          <w:sz w:val="24"/>
          <w:szCs w:val="24"/>
          <w:lang w:val="ro-RO" w:eastAsia="ru-RU"/>
        </w:rPr>
        <w:t xml:space="preserve"> </w:t>
      </w:r>
    </w:p>
    <w:p w14:paraId="4940E4E2" w14:textId="6156B8C7" w:rsidR="00824256" w:rsidRPr="00A30F39" w:rsidRDefault="00A30F39" w:rsidP="00073285">
      <w:pPr>
        <w:spacing w:after="0" w:line="276" w:lineRule="auto"/>
        <w:ind w:firstLine="720"/>
        <w:jc w:val="both"/>
        <w:rPr>
          <w:rFonts w:asciiTheme="majorHAnsi" w:hAnsiTheme="majorHAnsi" w:cstheme="majorHAnsi"/>
          <w:i/>
          <w:sz w:val="24"/>
          <w:szCs w:val="24"/>
          <w:lang w:val="ro-RO"/>
        </w:rPr>
      </w:pPr>
      <w:r w:rsidRPr="00FB3D39">
        <w:rPr>
          <w:rFonts w:asciiTheme="majorHAnsi" w:hAnsiTheme="majorHAnsi" w:cstheme="majorHAnsi"/>
          <w:sz w:val="24"/>
          <w:szCs w:val="24"/>
          <w:lang w:val="ro-RO" w:eastAsia="ru-RU"/>
        </w:rPr>
        <w:t xml:space="preserve">Sumele </w:t>
      </w:r>
      <w:proofErr w:type="spellStart"/>
      <w:r w:rsidRPr="00FB3D39">
        <w:rPr>
          <w:rFonts w:asciiTheme="majorHAnsi" w:hAnsiTheme="majorHAnsi" w:cstheme="majorHAnsi"/>
          <w:sz w:val="24"/>
          <w:szCs w:val="24"/>
          <w:lang w:val="ro-RO" w:eastAsia="ru-RU"/>
        </w:rPr>
        <w:t>recreditate</w:t>
      </w:r>
      <w:proofErr w:type="spellEnd"/>
      <w:r w:rsidRPr="00FB3D39">
        <w:rPr>
          <w:rFonts w:asciiTheme="majorHAnsi" w:hAnsiTheme="majorHAnsi" w:cstheme="majorHAnsi"/>
          <w:sz w:val="24"/>
          <w:szCs w:val="24"/>
          <w:lang w:val="ro-RO" w:eastAsia="ru-RU"/>
        </w:rPr>
        <w:t xml:space="preserve"> prin intermediul MF au constituit cca 403,7 </w:t>
      </w:r>
      <w:proofErr w:type="spellStart"/>
      <w:r w:rsidR="002D0D0D">
        <w:rPr>
          <w:rFonts w:asciiTheme="majorHAnsi" w:hAnsiTheme="majorHAnsi" w:cstheme="majorHAnsi"/>
          <w:sz w:val="24"/>
          <w:szCs w:val="24"/>
          <w:lang w:val="ro-RO" w:eastAsia="ru-RU"/>
        </w:rPr>
        <w:t>mil.MDL</w:t>
      </w:r>
      <w:proofErr w:type="spellEnd"/>
      <w:r w:rsidRPr="00FB3D39">
        <w:rPr>
          <w:rFonts w:asciiTheme="majorHAnsi" w:hAnsiTheme="majorHAnsi" w:cstheme="majorHAnsi"/>
          <w:sz w:val="24"/>
          <w:szCs w:val="24"/>
          <w:lang w:val="ro-RO" w:eastAsia="ru-RU"/>
        </w:rPr>
        <w:t xml:space="preserve"> (6,7 </w:t>
      </w:r>
      <w:proofErr w:type="spellStart"/>
      <w:r w:rsidRPr="00FB3D39">
        <w:rPr>
          <w:rFonts w:asciiTheme="majorHAnsi" w:hAnsiTheme="majorHAnsi" w:cstheme="majorHAnsi"/>
          <w:sz w:val="24"/>
          <w:szCs w:val="24"/>
          <w:lang w:val="ro-RO" w:eastAsia="ru-RU"/>
        </w:rPr>
        <w:t>mil.dol.SUA</w:t>
      </w:r>
      <w:proofErr w:type="spellEnd"/>
      <w:r w:rsidRPr="00FB3D39">
        <w:rPr>
          <w:rFonts w:asciiTheme="majorHAnsi" w:hAnsiTheme="majorHAnsi" w:cstheme="majorHAnsi"/>
          <w:sz w:val="24"/>
          <w:szCs w:val="24"/>
          <w:lang w:val="ro-RO" w:eastAsia="ru-RU"/>
        </w:rPr>
        <w:t xml:space="preserve">, 14,8 </w:t>
      </w:r>
      <w:proofErr w:type="spellStart"/>
      <w:r w:rsidRPr="00FB3D39">
        <w:rPr>
          <w:rFonts w:asciiTheme="majorHAnsi" w:hAnsiTheme="majorHAnsi" w:cstheme="majorHAnsi"/>
          <w:sz w:val="24"/>
          <w:szCs w:val="24"/>
          <w:lang w:val="ro-RO" w:eastAsia="ru-RU"/>
        </w:rPr>
        <w:t>mil.euro</w:t>
      </w:r>
      <w:proofErr w:type="spellEnd"/>
      <w:r w:rsidRPr="00FB3D39">
        <w:rPr>
          <w:rFonts w:asciiTheme="majorHAnsi" w:hAnsiTheme="majorHAnsi" w:cstheme="majorHAnsi"/>
          <w:sz w:val="24"/>
          <w:szCs w:val="24"/>
          <w:lang w:val="ro-RO" w:eastAsia="ru-RU"/>
        </w:rPr>
        <w:t>),</w:t>
      </w:r>
      <w:r w:rsidR="003F59C1" w:rsidRPr="00FB3D39">
        <w:rPr>
          <w:rFonts w:asciiTheme="majorHAnsi" w:hAnsiTheme="majorHAnsi" w:cstheme="majorHAnsi"/>
          <w:sz w:val="24"/>
          <w:szCs w:val="24"/>
          <w:lang w:val="ro-RO" w:eastAsia="ru-RU"/>
        </w:rPr>
        <w:t xml:space="preserve"> prin DLC – cca 425,8</w:t>
      </w:r>
      <w:r w:rsidRPr="00FB3D39">
        <w:rPr>
          <w:rFonts w:asciiTheme="majorHAnsi" w:hAnsiTheme="majorHAnsi" w:cstheme="majorHAnsi"/>
          <w:sz w:val="24"/>
          <w:szCs w:val="24"/>
          <w:lang w:val="ro-RO" w:eastAsia="ru-RU"/>
        </w:rPr>
        <w:t xml:space="preserve"> </w:t>
      </w:r>
      <w:proofErr w:type="spellStart"/>
      <w:r w:rsidR="002D0D0D">
        <w:rPr>
          <w:rFonts w:asciiTheme="majorHAnsi" w:hAnsiTheme="majorHAnsi" w:cstheme="majorHAnsi"/>
          <w:sz w:val="24"/>
          <w:szCs w:val="24"/>
          <w:lang w:val="ro-RO" w:eastAsia="ru-RU"/>
        </w:rPr>
        <w:t>mil.MDL</w:t>
      </w:r>
      <w:proofErr w:type="spellEnd"/>
      <w:r w:rsidRPr="00FB3D39">
        <w:rPr>
          <w:rFonts w:asciiTheme="majorHAnsi" w:hAnsiTheme="majorHAnsi" w:cstheme="majorHAnsi"/>
          <w:sz w:val="24"/>
          <w:szCs w:val="24"/>
          <w:lang w:val="ro-RO" w:eastAsia="ru-RU"/>
        </w:rPr>
        <w:t xml:space="preserve"> </w:t>
      </w:r>
      <w:r w:rsidR="003F59C1" w:rsidRPr="00FB3D39">
        <w:rPr>
          <w:rFonts w:asciiTheme="majorHAnsi" w:hAnsiTheme="majorHAnsi" w:cstheme="majorHAnsi"/>
          <w:sz w:val="24"/>
          <w:szCs w:val="24"/>
          <w:lang w:val="ro-RO" w:eastAsia="ru-RU"/>
        </w:rPr>
        <w:t xml:space="preserve">(181,9 </w:t>
      </w:r>
      <w:proofErr w:type="spellStart"/>
      <w:r w:rsidR="003F59C1" w:rsidRPr="00FB3D39">
        <w:rPr>
          <w:rFonts w:asciiTheme="majorHAnsi" w:hAnsiTheme="majorHAnsi" w:cstheme="majorHAnsi"/>
          <w:sz w:val="24"/>
          <w:szCs w:val="24"/>
          <w:lang w:val="ro-RO" w:eastAsia="ru-RU"/>
        </w:rPr>
        <w:t>mil.</w:t>
      </w:r>
      <w:r w:rsidRPr="00FB3D39">
        <w:rPr>
          <w:rFonts w:asciiTheme="majorHAnsi" w:hAnsiTheme="majorHAnsi" w:cstheme="majorHAnsi"/>
          <w:sz w:val="24"/>
          <w:szCs w:val="24"/>
          <w:lang w:val="ro-RO" w:eastAsia="ru-RU"/>
        </w:rPr>
        <w:t>MDL</w:t>
      </w:r>
      <w:proofErr w:type="spellEnd"/>
      <w:r w:rsidRPr="00FB3D39">
        <w:rPr>
          <w:rFonts w:asciiTheme="majorHAnsi" w:hAnsiTheme="majorHAnsi" w:cstheme="majorHAnsi"/>
          <w:sz w:val="24"/>
          <w:szCs w:val="24"/>
          <w:lang w:val="ro-RO" w:eastAsia="ru-RU"/>
        </w:rPr>
        <w:t xml:space="preserve">, 0,09 </w:t>
      </w:r>
      <w:proofErr w:type="spellStart"/>
      <w:r w:rsidRPr="00FB3D39">
        <w:rPr>
          <w:rFonts w:asciiTheme="majorHAnsi" w:hAnsiTheme="majorHAnsi" w:cstheme="majorHAnsi"/>
          <w:sz w:val="24"/>
          <w:szCs w:val="24"/>
          <w:lang w:val="ro-RO" w:eastAsia="ru-RU"/>
        </w:rPr>
        <w:t>mil.dol.SUA</w:t>
      </w:r>
      <w:proofErr w:type="spellEnd"/>
      <w:r w:rsidRPr="00FB3D39">
        <w:rPr>
          <w:rFonts w:asciiTheme="majorHAnsi" w:hAnsiTheme="majorHAnsi" w:cstheme="majorHAnsi"/>
          <w:sz w:val="24"/>
          <w:szCs w:val="24"/>
          <w:lang w:val="ro-RO" w:eastAsia="ru-RU"/>
        </w:rPr>
        <w:t xml:space="preserve"> și 12,4</w:t>
      </w:r>
      <w:r w:rsidR="00EF72EE">
        <w:rPr>
          <w:rStyle w:val="ae"/>
          <w:rFonts w:asciiTheme="majorHAnsi" w:hAnsiTheme="majorHAnsi"/>
          <w:sz w:val="24"/>
          <w:szCs w:val="24"/>
          <w:lang w:val="ro-RO" w:eastAsia="ru-RU"/>
        </w:rPr>
        <w:footnoteReference w:id="34"/>
      </w:r>
      <w:r w:rsidRPr="00FB3D39">
        <w:rPr>
          <w:rFonts w:asciiTheme="majorHAnsi" w:hAnsiTheme="majorHAnsi" w:cstheme="majorHAnsi"/>
          <w:sz w:val="24"/>
          <w:szCs w:val="24"/>
          <w:lang w:val="ro-RO" w:eastAsia="ru-RU"/>
        </w:rPr>
        <w:t xml:space="preserve"> </w:t>
      </w:r>
      <w:proofErr w:type="spellStart"/>
      <w:r w:rsidRPr="00FB3D39">
        <w:rPr>
          <w:rFonts w:asciiTheme="majorHAnsi" w:hAnsiTheme="majorHAnsi" w:cstheme="majorHAnsi"/>
          <w:sz w:val="24"/>
          <w:szCs w:val="24"/>
          <w:lang w:val="ro-RO" w:eastAsia="ru-RU"/>
        </w:rPr>
        <w:t>mil.euro</w:t>
      </w:r>
      <w:proofErr w:type="spellEnd"/>
      <w:r w:rsidRPr="00FB3D39">
        <w:rPr>
          <w:rFonts w:asciiTheme="majorHAnsi" w:hAnsiTheme="majorHAnsi" w:cstheme="majorHAnsi"/>
          <w:sz w:val="24"/>
          <w:szCs w:val="24"/>
          <w:lang w:val="ro-RO" w:eastAsia="ru-RU"/>
        </w:rPr>
        <w:t xml:space="preserve">), și prin </w:t>
      </w:r>
      <w:r w:rsidR="003F59C1" w:rsidRPr="00824256">
        <w:rPr>
          <w:rFonts w:asciiTheme="majorHAnsi" w:hAnsiTheme="majorHAnsi" w:cstheme="majorHAnsi"/>
          <w:sz w:val="24"/>
          <w:szCs w:val="24"/>
          <w:lang w:val="ro-RO" w:eastAsia="ru-RU"/>
        </w:rPr>
        <w:t>FIDA</w:t>
      </w:r>
      <w:r w:rsidR="003F59C1" w:rsidRPr="00FB3D39">
        <w:rPr>
          <w:rFonts w:asciiTheme="majorHAnsi" w:hAnsiTheme="majorHAnsi" w:cstheme="majorHAnsi"/>
          <w:sz w:val="24"/>
          <w:szCs w:val="24"/>
          <w:lang w:val="ro-RO" w:eastAsia="ru-RU"/>
        </w:rPr>
        <w:t xml:space="preserve"> – cca 37,2</w:t>
      </w:r>
      <w:r w:rsidRPr="00FB3D39">
        <w:rPr>
          <w:rFonts w:asciiTheme="majorHAnsi" w:hAnsiTheme="majorHAnsi" w:cstheme="majorHAnsi"/>
          <w:sz w:val="24"/>
          <w:szCs w:val="24"/>
          <w:lang w:val="ro-RO" w:eastAsia="ru-RU"/>
        </w:rPr>
        <w:t xml:space="preserve"> </w:t>
      </w:r>
      <w:proofErr w:type="spellStart"/>
      <w:r w:rsidR="002D0D0D">
        <w:rPr>
          <w:rFonts w:asciiTheme="majorHAnsi" w:hAnsiTheme="majorHAnsi" w:cstheme="majorHAnsi"/>
          <w:sz w:val="24"/>
          <w:szCs w:val="24"/>
          <w:lang w:val="ro-RO" w:eastAsia="ru-RU"/>
        </w:rPr>
        <w:t>mil.MDL</w:t>
      </w:r>
      <w:proofErr w:type="spellEnd"/>
      <w:r w:rsidR="003F59C1" w:rsidRPr="00FB3D39">
        <w:rPr>
          <w:rFonts w:asciiTheme="majorHAnsi" w:hAnsiTheme="majorHAnsi" w:cstheme="majorHAnsi"/>
          <w:sz w:val="24"/>
          <w:szCs w:val="24"/>
          <w:lang w:val="ro-RO" w:eastAsia="ru-RU"/>
        </w:rPr>
        <w:t xml:space="preserve"> (35,8</w:t>
      </w:r>
      <w:r w:rsidRPr="00FB3D39">
        <w:rPr>
          <w:rFonts w:asciiTheme="majorHAnsi" w:hAnsiTheme="majorHAnsi" w:cstheme="majorHAnsi"/>
          <w:sz w:val="24"/>
          <w:szCs w:val="24"/>
          <w:lang w:val="ro-RO" w:eastAsia="ru-RU"/>
        </w:rPr>
        <w:t xml:space="preserve"> </w:t>
      </w:r>
      <w:proofErr w:type="spellStart"/>
      <w:r w:rsidR="003F59C1" w:rsidRPr="00FB3D39">
        <w:rPr>
          <w:rFonts w:asciiTheme="majorHAnsi" w:hAnsiTheme="majorHAnsi" w:cstheme="majorHAnsi"/>
          <w:sz w:val="24"/>
          <w:szCs w:val="24"/>
          <w:lang w:val="ro-RO" w:eastAsia="ru-RU"/>
        </w:rPr>
        <w:t>mil.</w:t>
      </w:r>
      <w:r w:rsidRPr="00FB3D39">
        <w:rPr>
          <w:rFonts w:asciiTheme="majorHAnsi" w:hAnsiTheme="majorHAnsi" w:cstheme="majorHAnsi"/>
          <w:sz w:val="24"/>
          <w:szCs w:val="24"/>
          <w:lang w:val="ro-RO" w:eastAsia="ru-RU"/>
        </w:rPr>
        <w:t>MDL</w:t>
      </w:r>
      <w:proofErr w:type="spellEnd"/>
      <w:r w:rsidRPr="00FB3D39">
        <w:rPr>
          <w:rFonts w:asciiTheme="majorHAnsi" w:hAnsiTheme="majorHAnsi" w:cstheme="majorHAnsi"/>
          <w:sz w:val="24"/>
          <w:szCs w:val="24"/>
          <w:lang w:val="ro-RO" w:eastAsia="ru-RU"/>
        </w:rPr>
        <w:t xml:space="preserve"> și 0,1 </w:t>
      </w:r>
      <w:proofErr w:type="spellStart"/>
      <w:r w:rsidRPr="00FB3D39">
        <w:rPr>
          <w:rFonts w:asciiTheme="majorHAnsi" w:hAnsiTheme="majorHAnsi" w:cstheme="majorHAnsi"/>
          <w:sz w:val="24"/>
          <w:szCs w:val="24"/>
          <w:lang w:val="ro-RO" w:eastAsia="ru-RU"/>
        </w:rPr>
        <w:t>mil.euro</w:t>
      </w:r>
      <w:proofErr w:type="spellEnd"/>
      <w:r w:rsidRPr="00FB3D39">
        <w:rPr>
          <w:rFonts w:asciiTheme="majorHAnsi" w:hAnsiTheme="majorHAnsi" w:cstheme="majorHAnsi"/>
          <w:sz w:val="24"/>
          <w:szCs w:val="24"/>
          <w:lang w:val="ro-RO" w:eastAsia="ru-RU"/>
        </w:rPr>
        <w:t>). Astfel, comparativ cu anul precedent</w:t>
      </w:r>
      <w:r w:rsidR="00FD566B">
        <w:rPr>
          <w:rStyle w:val="ae"/>
          <w:rFonts w:asciiTheme="majorHAnsi" w:hAnsiTheme="majorHAnsi"/>
          <w:sz w:val="24"/>
          <w:szCs w:val="24"/>
          <w:lang w:val="ro-RO" w:eastAsia="ru-RU"/>
        </w:rPr>
        <w:footnoteReference w:id="35"/>
      </w:r>
      <w:r w:rsidRPr="00FB3D39">
        <w:rPr>
          <w:rFonts w:asciiTheme="majorHAnsi" w:hAnsiTheme="majorHAnsi" w:cstheme="majorHAnsi"/>
          <w:sz w:val="24"/>
          <w:szCs w:val="24"/>
          <w:lang w:val="ro-RO" w:eastAsia="ru-RU"/>
        </w:rPr>
        <w:t xml:space="preserve">, în anul 2018 se atestă o </w:t>
      </w:r>
      <w:r w:rsidR="00EE7D60">
        <w:rPr>
          <w:rFonts w:asciiTheme="majorHAnsi" w:hAnsiTheme="majorHAnsi" w:cstheme="majorHAnsi"/>
          <w:sz w:val="24"/>
          <w:szCs w:val="24"/>
          <w:lang w:val="ro-RO" w:eastAsia="ru-RU"/>
        </w:rPr>
        <w:t>des</w:t>
      </w:r>
      <w:r w:rsidRPr="00FB3D39">
        <w:rPr>
          <w:rFonts w:asciiTheme="majorHAnsi" w:hAnsiTheme="majorHAnsi" w:cstheme="majorHAnsi"/>
          <w:sz w:val="24"/>
          <w:szCs w:val="24"/>
          <w:lang w:val="ro-RO" w:eastAsia="ru-RU"/>
        </w:rPr>
        <w:t xml:space="preserve">creștere a </w:t>
      </w:r>
      <w:r w:rsidRPr="00FB3D39">
        <w:rPr>
          <w:rFonts w:asciiTheme="majorHAnsi" w:hAnsiTheme="majorHAnsi" w:cstheme="majorHAnsi"/>
          <w:sz w:val="24"/>
          <w:szCs w:val="24"/>
          <w:lang w:val="ro-RO"/>
        </w:rPr>
        <w:t xml:space="preserve">mijloacelor financiare îndreptate spre recreditarea de stat, datorită cererii </w:t>
      </w:r>
      <w:r w:rsidR="00EE7D60">
        <w:rPr>
          <w:rFonts w:asciiTheme="majorHAnsi" w:hAnsiTheme="majorHAnsi" w:cstheme="majorHAnsi"/>
          <w:sz w:val="24"/>
          <w:szCs w:val="24"/>
          <w:lang w:val="ro-RO"/>
        </w:rPr>
        <w:t>reduse</w:t>
      </w:r>
      <w:r w:rsidRPr="00FB3D39">
        <w:rPr>
          <w:rFonts w:asciiTheme="majorHAnsi" w:hAnsiTheme="majorHAnsi" w:cstheme="majorHAnsi"/>
          <w:sz w:val="24"/>
          <w:szCs w:val="24"/>
          <w:lang w:val="ro-RO"/>
        </w:rPr>
        <w:t xml:space="preserve"> de recreditare din partea beneficiarilor în scopul implementării proiectelor finanțate din surse externe. </w:t>
      </w:r>
      <w:r w:rsidRPr="00FB3D39">
        <w:rPr>
          <w:rFonts w:asciiTheme="majorHAnsi" w:hAnsiTheme="majorHAnsi" w:cstheme="majorHAnsi"/>
          <w:i/>
          <w:sz w:val="24"/>
          <w:szCs w:val="24"/>
          <w:lang w:val="ro-RO"/>
        </w:rPr>
        <w:t xml:space="preserve">Situația privind împrumuturile </w:t>
      </w:r>
      <w:proofErr w:type="spellStart"/>
      <w:r w:rsidRPr="00FB3D39">
        <w:rPr>
          <w:rFonts w:asciiTheme="majorHAnsi" w:hAnsiTheme="majorHAnsi" w:cstheme="majorHAnsi"/>
          <w:i/>
          <w:sz w:val="24"/>
          <w:szCs w:val="24"/>
          <w:lang w:val="ro-RO"/>
        </w:rPr>
        <w:t>recreditate</w:t>
      </w:r>
      <w:proofErr w:type="spellEnd"/>
      <w:r w:rsidRPr="00FB3D39">
        <w:rPr>
          <w:rFonts w:asciiTheme="majorHAnsi" w:hAnsiTheme="majorHAnsi" w:cstheme="majorHAnsi"/>
          <w:i/>
          <w:sz w:val="24"/>
          <w:szCs w:val="24"/>
          <w:lang w:val="ro-RO"/>
        </w:rPr>
        <w:t xml:space="preserve"> de stat în monedă națională în anii 2016-2018</w:t>
      </w:r>
      <w:r w:rsidR="001D5664">
        <w:rPr>
          <w:rFonts w:asciiTheme="majorHAnsi" w:hAnsiTheme="majorHAnsi" w:cstheme="majorHAnsi"/>
          <w:i/>
          <w:sz w:val="24"/>
          <w:szCs w:val="24"/>
          <w:lang w:val="ro-RO"/>
        </w:rPr>
        <w:t xml:space="preserve"> este prezentată în Diagrama nr.6</w:t>
      </w:r>
      <w:r w:rsidRPr="00FB3D39">
        <w:rPr>
          <w:rFonts w:asciiTheme="majorHAnsi" w:hAnsiTheme="majorHAnsi" w:cstheme="majorHAnsi"/>
          <w:i/>
          <w:sz w:val="24"/>
          <w:szCs w:val="24"/>
          <w:lang w:val="ro-RO"/>
        </w:rPr>
        <w:t>.</w:t>
      </w:r>
    </w:p>
    <w:p w14:paraId="4F99428B" w14:textId="77777777" w:rsidR="008D02D7" w:rsidRPr="00E8094E" w:rsidRDefault="008D02D7" w:rsidP="008D02D7">
      <w:pPr>
        <w:spacing w:after="0" w:line="276" w:lineRule="auto"/>
        <w:ind w:firstLine="720"/>
        <w:jc w:val="both"/>
        <w:rPr>
          <w:rFonts w:ascii="Times New Roman" w:hAnsi="Times New Roman"/>
          <w:i/>
          <w:sz w:val="28"/>
          <w:szCs w:val="28"/>
          <w:lang w:val="ro-RO"/>
        </w:rPr>
      </w:pPr>
    </w:p>
    <w:p w14:paraId="459AA1AB" w14:textId="77777777" w:rsidR="008D02D7" w:rsidRPr="00D337E7" w:rsidRDefault="001D5664" w:rsidP="008D02D7">
      <w:pPr>
        <w:spacing w:after="0" w:line="276" w:lineRule="auto"/>
        <w:ind w:firstLine="720"/>
        <w:jc w:val="right"/>
        <w:rPr>
          <w:rFonts w:ascii="Times New Roman" w:hAnsi="Times New Roman"/>
          <w:b/>
          <w:sz w:val="24"/>
          <w:szCs w:val="24"/>
          <w:lang w:val="ro-RO" w:eastAsia="ru-RU"/>
        </w:rPr>
      </w:pPr>
      <w:r>
        <w:rPr>
          <w:rFonts w:ascii="Times New Roman" w:hAnsi="Times New Roman"/>
          <w:b/>
          <w:sz w:val="24"/>
          <w:szCs w:val="24"/>
          <w:lang w:val="ro-RO" w:eastAsia="ru-RU"/>
        </w:rPr>
        <w:t>Diagrama nr.6</w:t>
      </w:r>
    </w:p>
    <w:p w14:paraId="5838E86C" w14:textId="3320A622" w:rsidR="008D02D7" w:rsidRPr="00C402A9" w:rsidRDefault="008D02D7" w:rsidP="008D02D7">
      <w:pPr>
        <w:spacing w:after="0" w:line="240" w:lineRule="auto"/>
        <w:jc w:val="both"/>
        <w:rPr>
          <w:rFonts w:ascii="Times New Roman" w:hAnsi="Times New Roman"/>
          <w:sz w:val="28"/>
          <w:szCs w:val="28"/>
          <w:lang w:val="ro-RO" w:eastAsia="ru-RU"/>
        </w:rPr>
      </w:pPr>
      <w:r w:rsidRPr="009561CB">
        <w:rPr>
          <w:noProof/>
          <w:bdr w:val="single" w:sz="4" w:space="0" w:color="auto"/>
          <w:lang w:val="ru-RU" w:eastAsia="ru-RU"/>
        </w:rPr>
        <w:drawing>
          <wp:inline distT="0" distB="0" distL="0" distR="0" wp14:anchorId="5FC5A3AE" wp14:editId="1CB7F413">
            <wp:extent cx="5958840" cy="2072640"/>
            <wp:effectExtent l="0" t="0" r="381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824256">
        <w:rPr>
          <w:rFonts w:asciiTheme="majorHAnsi" w:hAnsiTheme="majorHAnsi"/>
          <w:b/>
          <w:i/>
          <w:sz w:val="20"/>
          <w:szCs w:val="20"/>
          <w:lang w:val="ro-RO" w:eastAsia="ru-RU"/>
        </w:rPr>
        <w:t xml:space="preserve">Sursă: </w:t>
      </w:r>
      <w:r w:rsidR="00612E2F" w:rsidRPr="00824256">
        <w:rPr>
          <w:rFonts w:asciiTheme="majorHAnsi" w:hAnsiTheme="majorHAnsi"/>
          <w:sz w:val="20"/>
          <w:szCs w:val="20"/>
          <w:lang w:val="ro-RO" w:eastAsia="ru-RU"/>
        </w:rPr>
        <w:t>I</w:t>
      </w:r>
      <w:r w:rsidRPr="00824256">
        <w:rPr>
          <w:rFonts w:asciiTheme="majorHAnsi" w:hAnsiTheme="majorHAnsi"/>
          <w:sz w:val="20"/>
          <w:szCs w:val="20"/>
          <w:lang w:val="ro-RO" w:eastAsia="ru-RU"/>
        </w:rPr>
        <w:t>nformați</w:t>
      </w:r>
      <w:r w:rsidR="00612E2F" w:rsidRPr="00824256">
        <w:rPr>
          <w:rFonts w:asciiTheme="majorHAnsi" w:hAnsiTheme="majorHAnsi"/>
          <w:sz w:val="20"/>
          <w:szCs w:val="20"/>
          <w:lang w:val="ro-RO" w:eastAsia="ru-RU"/>
        </w:rPr>
        <w:t>ile</w:t>
      </w:r>
      <w:r w:rsidRPr="00DA0893">
        <w:rPr>
          <w:rFonts w:asciiTheme="majorHAnsi" w:hAnsiTheme="majorHAnsi"/>
          <w:sz w:val="20"/>
          <w:szCs w:val="20"/>
          <w:lang w:val="ro-RO" w:eastAsia="ru-RU"/>
        </w:rPr>
        <w:t xml:space="preserve"> și datel</w:t>
      </w:r>
      <w:r w:rsidR="00612E2F">
        <w:rPr>
          <w:rFonts w:asciiTheme="majorHAnsi" w:hAnsiTheme="majorHAnsi"/>
          <w:sz w:val="20"/>
          <w:szCs w:val="20"/>
          <w:lang w:val="ro-RO" w:eastAsia="ru-RU"/>
        </w:rPr>
        <w:t>e</w:t>
      </w:r>
      <w:r w:rsidRPr="00DA0893">
        <w:rPr>
          <w:rFonts w:asciiTheme="majorHAnsi" w:hAnsiTheme="majorHAnsi"/>
          <w:sz w:val="20"/>
          <w:szCs w:val="20"/>
          <w:lang w:val="ro-RO" w:eastAsia="ru-RU"/>
        </w:rPr>
        <w:t xml:space="preserve"> privind împrumuturile </w:t>
      </w:r>
      <w:proofErr w:type="spellStart"/>
      <w:r w:rsidRPr="00DA0893">
        <w:rPr>
          <w:rFonts w:asciiTheme="majorHAnsi" w:hAnsiTheme="majorHAnsi"/>
          <w:sz w:val="20"/>
          <w:szCs w:val="20"/>
          <w:lang w:val="ro-RO" w:eastAsia="ru-RU"/>
        </w:rPr>
        <w:t>recreditate</w:t>
      </w:r>
      <w:proofErr w:type="spellEnd"/>
      <w:r w:rsidRPr="00DA0893">
        <w:rPr>
          <w:rFonts w:asciiTheme="majorHAnsi" w:hAnsiTheme="majorHAnsi"/>
          <w:sz w:val="20"/>
          <w:szCs w:val="20"/>
          <w:lang w:val="ro-RO" w:eastAsia="ru-RU"/>
        </w:rPr>
        <w:t xml:space="preserve"> prin intermediul MF,DLC, UCIP FIDA, la situația din 31.12.2018.</w:t>
      </w:r>
    </w:p>
    <w:p w14:paraId="1A396622" w14:textId="77777777" w:rsidR="00A30F39" w:rsidRPr="00A30F39" w:rsidRDefault="00A30F39" w:rsidP="00A30F39">
      <w:pPr>
        <w:spacing w:after="0" w:line="240" w:lineRule="auto"/>
        <w:ind w:firstLine="720"/>
        <w:jc w:val="both"/>
        <w:rPr>
          <w:rFonts w:asciiTheme="majorHAnsi" w:hAnsiTheme="majorHAnsi" w:cstheme="majorHAnsi"/>
          <w:sz w:val="24"/>
          <w:szCs w:val="24"/>
          <w:lang w:val="ro-RO" w:eastAsia="ru-RU"/>
        </w:rPr>
      </w:pPr>
    </w:p>
    <w:p w14:paraId="270FD33C" w14:textId="3A704B37" w:rsidR="00A30F39" w:rsidRPr="00A30F39" w:rsidRDefault="00A30F39" w:rsidP="00A30F39">
      <w:pPr>
        <w:spacing w:after="0" w:line="276" w:lineRule="auto"/>
        <w:ind w:firstLine="720"/>
        <w:jc w:val="both"/>
        <w:rPr>
          <w:rFonts w:asciiTheme="majorHAnsi" w:hAnsiTheme="majorHAnsi" w:cstheme="majorHAnsi"/>
          <w:sz w:val="24"/>
          <w:szCs w:val="24"/>
          <w:highlight w:val="yellow"/>
          <w:lang w:val="ro-RO" w:eastAsia="ru-RU"/>
        </w:rPr>
      </w:pPr>
      <w:r w:rsidRPr="00ED0170">
        <w:rPr>
          <w:rFonts w:asciiTheme="majorHAnsi" w:hAnsiTheme="majorHAnsi" w:cstheme="majorHAnsi"/>
          <w:sz w:val="24"/>
          <w:szCs w:val="24"/>
          <w:lang w:val="ro-RO" w:eastAsia="ru-RU"/>
        </w:rPr>
        <w:t>Analiza efectuată de audit relevă că</w:t>
      </w:r>
      <w:r w:rsidR="00ED0170" w:rsidRPr="00ED0170">
        <w:rPr>
          <w:rFonts w:asciiTheme="majorHAnsi" w:hAnsiTheme="majorHAnsi" w:cstheme="majorHAnsi"/>
          <w:sz w:val="24"/>
          <w:szCs w:val="24"/>
          <w:lang w:val="ro-RO" w:eastAsia="ru-RU"/>
        </w:rPr>
        <w:t xml:space="preserve"> </w:t>
      </w:r>
      <w:r w:rsidRPr="00ED0170">
        <w:rPr>
          <w:rFonts w:asciiTheme="majorHAnsi" w:hAnsiTheme="majorHAnsi" w:cstheme="majorHAnsi"/>
          <w:sz w:val="24"/>
          <w:szCs w:val="24"/>
          <w:lang w:val="ro-RO" w:eastAsia="ru-RU"/>
        </w:rPr>
        <w:t xml:space="preserve">împrumuturile </w:t>
      </w:r>
      <w:proofErr w:type="spellStart"/>
      <w:r w:rsidRPr="00ED0170">
        <w:rPr>
          <w:rFonts w:asciiTheme="majorHAnsi" w:hAnsiTheme="majorHAnsi" w:cstheme="majorHAnsi"/>
          <w:sz w:val="24"/>
          <w:szCs w:val="24"/>
          <w:lang w:val="ro-RO" w:eastAsia="ru-RU"/>
        </w:rPr>
        <w:t>recreditate</w:t>
      </w:r>
      <w:proofErr w:type="spellEnd"/>
      <w:r w:rsidRPr="00ED0170">
        <w:rPr>
          <w:rFonts w:asciiTheme="majorHAnsi" w:hAnsiTheme="majorHAnsi" w:cstheme="majorHAnsi"/>
          <w:sz w:val="24"/>
          <w:szCs w:val="24"/>
          <w:lang w:val="ro-RO" w:eastAsia="ru-RU"/>
        </w:rPr>
        <w:t xml:space="preserve">, exprimate în monedă națională și dolari SUA, au înregistrat un trend descendent (de la </w:t>
      </w:r>
      <w:r w:rsidR="00ED0170" w:rsidRPr="00ED0170">
        <w:rPr>
          <w:rFonts w:asciiTheme="majorHAnsi" w:hAnsiTheme="majorHAnsi" w:cstheme="majorHAnsi"/>
          <w:sz w:val="24"/>
          <w:szCs w:val="24"/>
          <w:lang w:val="ro-RO" w:eastAsia="ru-RU"/>
        </w:rPr>
        <w:t>245,8</w:t>
      </w:r>
      <w:r w:rsidRPr="00ED0170">
        <w:rPr>
          <w:rFonts w:asciiTheme="majorHAnsi" w:hAnsiTheme="majorHAnsi" w:cstheme="majorHAnsi"/>
          <w:sz w:val="24"/>
          <w:szCs w:val="24"/>
          <w:lang w:val="ro-RO" w:eastAsia="ru-RU"/>
        </w:rPr>
        <w:t xml:space="preserve"> </w:t>
      </w:r>
      <w:proofErr w:type="spellStart"/>
      <w:r w:rsidR="002D0D0D">
        <w:rPr>
          <w:rFonts w:asciiTheme="majorHAnsi" w:hAnsiTheme="majorHAnsi" w:cstheme="majorHAnsi"/>
          <w:sz w:val="24"/>
          <w:szCs w:val="24"/>
          <w:lang w:val="ro-RO" w:eastAsia="ru-RU"/>
        </w:rPr>
        <w:t>mil.MDL</w:t>
      </w:r>
      <w:proofErr w:type="spellEnd"/>
      <w:r w:rsidR="00ED0170" w:rsidRPr="00ED0170">
        <w:rPr>
          <w:rFonts w:asciiTheme="majorHAnsi" w:hAnsiTheme="majorHAnsi" w:cstheme="majorHAnsi"/>
          <w:sz w:val="24"/>
          <w:szCs w:val="24"/>
          <w:lang w:val="ro-RO" w:eastAsia="ru-RU"/>
        </w:rPr>
        <w:t xml:space="preserve"> în anul 2017 până la 217,7</w:t>
      </w:r>
      <w:r w:rsidRPr="00ED0170">
        <w:rPr>
          <w:rFonts w:asciiTheme="majorHAnsi" w:hAnsiTheme="majorHAnsi" w:cstheme="majorHAnsi"/>
          <w:sz w:val="24"/>
          <w:szCs w:val="24"/>
          <w:lang w:val="ro-RO" w:eastAsia="ru-RU"/>
        </w:rPr>
        <w:t xml:space="preserve"> </w:t>
      </w:r>
      <w:proofErr w:type="spellStart"/>
      <w:r w:rsidR="002D0D0D">
        <w:rPr>
          <w:rFonts w:asciiTheme="majorHAnsi" w:hAnsiTheme="majorHAnsi" w:cstheme="majorHAnsi"/>
          <w:sz w:val="24"/>
          <w:szCs w:val="24"/>
          <w:lang w:val="ro-RO" w:eastAsia="ru-RU"/>
        </w:rPr>
        <w:t>mil.MDL</w:t>
      </w:r>
      <w:proofErr w:type="spellEnd"/>
      <w:r w:rsidR="00ED0170" w:rsidRPr="00ED0170">
        <w:rPr>
          <w:rFonts w:asciiTheme="majorHAnsi" w:hAnsiTheme="majorHAnsi" w:cstheme="majorHAnsi"/>
          <w:sz w:val="24"/>
          <w:szCs w:val="24"/>
          <w:lang w:val="ro-RO" w:eastAsia="ru-RU"/>
        </w:rPr>
        <w:t xml:space="preserve"> în anul 2018</w:t>
      </w:r>
      <w:r w:rsidRPr="00ED0170">
        <w:rPr>
          <w:rFonts w:asciiTheme="majorHAnsi" w:hAnsiTheme="majorHAnsi" w:cstheme="majorHAnsi"/>
          <w:sz w:val="24"/>
          <w:szCs w:val="24"/>
          <w:lang w:val="ro-RO" w:eastAsia="ru-RU"/>
        </w:rPr>
        <w:t xml:space="preserve"> și, respectiv, de la </w:t>
      </w:r>
      <w:r w:rsidR="00957FA9">
        <w:rPr>
          <w:rFonts w:asciiTheme="majorHAnsi" w:hAnsiTheme="majorHAnsi" w:cstheme="majorHAnsi"/>
          <w:sz w:val="24"/>
          <w:szCs w:val="24"/>
          <w:lang w:val="ro-RO" w:eastAsia="ru-RU"/>
        </w:rPr>
        <w:t>14,4</w:t>
      </w:r>
      <w:r w:rsidRPr="00ED0170">
        <w:rPr>
          <w:rFonts w:asciiTheme="majorHAnsi" w:hAnsiTheme="majorHAnsi" w:cstheme="majorHAnsi"/>
          <w:sz w:val="24"/>
          <w:szCs w:val="24"/>
          <w:lang w:val="ro-RO" w:eastAsia="ru-RU"/>
        </w:rPr>
        <w:t xml:space="preserve"> </w:t>
      </w:r>
      <w:proofErr w:type="spellStart"/>
      <w:r w:rsidRPr="00ED0170">
        <w:rPr>
          <w:rFonts w:asciiTheme="majorHAnsi" w:hAnsiTheme="majorHAnsi" w:cstheme="majorHAnsi"/>
          <w:sz w:val="24"/>
          <w:szCs w:val="24"/>
          <w:lang w:val="ro-RO" w:eastAsia="ru-RU"/>
        </w:rPr>
        <w:t>mil.dol.SUA</w:t>
      </w:r>
      <w:proofErr w:type="spellEnd"/>
      <w:r w:rsidRPr="00ED0170">
        <w:rPr>
          <w:rFonts w:asciiTheme="majorHAnsi" w:hAnsiTheme="majorHAnsi" w:cstheme="majorHAnsi"/>
          <w:sz w:val="24"/>
          <w:szCs w:val="24"/>
          <w:lang w:val="ro-RO" w:eastAsia="ru-RU"/>
        </w:rPr>
        <w:t xml:space="preserve"> până </w:t>
      </w:r>
      <w:r w:rsidR="00ED0170" w:rsidRPr="00ED0170">
        <w:rPr>
          <w:rFonts w:asciiTheme="majorHAnsi" w:hAnsiTheme="majorHAnsi" w:cstheme="majorHAnsi"/>
          <w:sz w:val="24"/>
          <w:szCs w:val="24"/>
          <w:lang w:val="ro-RO" w:eastAsia="ru-RU"/>
        </w:rPr>
        <w:t>la 6</w:t>
      </w:r>
      <w:r w:rsidRPr="00ED0170">
        <w:rPr>
          <w:rFonts w:asciiTheme="majorHAnsi" w:hAnsiTheme="majorHAnsi" w:cstheme="majorHAnsi"/>
          <w:sz w:val="24"/>
          <w:szCs w:val="24"/>
          <w:lang w:val="ro-RO" w:eastAsia="ru-RU"/>
        </w:rPr>
        <w:t xml:space="preserve">,8 </w:t>
      </w:r>
      <w:proofErr w:type="spellStart"/>
      <w:r w:rsidRPr="00ED0170">
        <w:rPr>
          <w:rFonts w:asciiTheme="majorHAnsi" w:hAnsiTheme="majorHAnsi" w:cstheme="majorHAnsi"/>
          <w:sz w:val="24"/>
          <w:szCs w:val="24"/>
          <w:lang w:val="ro-RO" w:eastAsia="ru-RU"/>
        </w:rPr>
        <w:t>mil.dol.SUA</w:t>
      </w:r>
      <w:proofErr w:type="spellEnd"/>
      <w:r w:rsidRPr="00ED0170">
        <w:rPr>
          <w:rFonts w:asciiTheme="majorHAnsi" w:hAnsiTheme="majorHAnsi" w:cstheme="majorHAnsi"/>
          <w:sz w:val="24"/>
          <w:szCs w:val="24"/>
          <w:lang w:val="ro-RO" w:eastAsia="ru-RU"/>
        </w:rPr>
        <w:t xml:space="preserve">), totodată, atestându-se un trend ascendent  în euro (de la </w:t>
      </w:r>
      <w:r w:rsidR="00ED0170" w:rsidRPr="00ED0170">
        <w:rPr>
          <w:rFonts w:asciiTheme="majorHAnsi" w:hAnsiTheme="majorHAnsi" w:cstheme="majorHAnsi"/>
          <w:sz w:val="24"/>
          <w:szCs w:val="24"/>
          <w:lang w:val="ro-RO" w:eastAsia="ru-RU"/>
        </w:rPr>
        <w:t>25,</w:t>
      </w:r>
      <w:r w:rsidR="00957FA9">
        <w:rPr>
          <w:rFonts w:asciiTheme="majorHAnsi" w:hAnsiTheme="majorHAnsi" w:cstheme="majorHAnsi"/>
          <w:sz w:val="24"/>
          <w:szCs w:val="24"/>
          <w:lang w:val="ro-RO" w:eastAsia="ru-RU"/>
        </w:rPr>
        <w:t>0</w:t>
      </w:r>
      <w:r w:rsidRPr="00ED0170">
        <w:rPr>
          <w:rFonts w:asciiTheme="majorHAnsi" w:hAnsiTheme="majorHAnsi" w:cstheme="majorHAnsi"/>
          <w:sz w:val="24"/>
          <w:szCs w:val="24"/>
          <w:lang w:val="ro-RO" w:eastAsia="ru-RU"/>
        </w:rPr>
        <w:t xml:space="preserve"> </w:t>
      </w:r>
      <w:proofErr w:type="spellStart"/>
      <w:r w:rsidRPr="00ED0170">
        <w:rPr>
          <w:rFonts w:asciiTheme="majorHAnsi" w:hAnsiTheme="majorHAnsi" w:cstheme="majorHAnsi"/>
          <w:sz w:val="24"/>
          <w:szCs w:val="24"/>
          <w:lang w:val="ro-RO" w:eastAsia="ru-RU"/>
        </w:rPr>
        <w:t>mil.euro</w:t>
      </w:r>
      <w:proofErr w:type="spellEnd"/>
      <w:r w:rsidR="00ED0170" w:rsidRPr="00ED0170">
        <w:rPr>
          <w:rFonts w:asciiTheme="majorHAnsi" w:hAnsiTheme="majorHAnsi" w:cstheme="majorHAnsi"/>
          <w:sz w:val="24"/>
          <w:szCs w:val="24"/>
          <w:lang w:val="ro-RO" w:eastAsia="ru-RU"/>
        </w:rPr>
        <w:t xml:space="preserve"> </w:t>
      </w:r>
      <w:r w:rsidR="00E02076">
        <w:rPr>
          <w:rFonts w:asciiTheme="majorHAnsi" w:hAnsiTheme="majorHAnsi" w:cstheme="majorHAnsi"/>
          <w:sz w:val="24"/>
          <w:szCs w:val="24"/>
          <w:lang w:val="ro-RO" w:eastAsia="ru-RU"/>
        </w:rPr>
        <w:t xml:space="preserve">până </w:t>
      </w:r>
      <w:r w:rsidR="00ED0170" w:rsidRPr="00ED0170">
        <w:rPr>
          <w:rFonts w:asciiTheme="majorHAnsi" w:hAnsiTheme="majorHAnsi" w:cstheme="majorHAnsi"/>
          <w:sz w:val="24"/>
          <w:szCs w:val="24"/>
          <w:lang w:val="ro-RO" w:eastAsia="ru-RU"/>
        </w:rPr>
        <w:t>la 27,3</w:t>
      </w:r>
      <w:r w:rsidRPr="00ED0170">
        <w:rPr>
          <w:rFonts w:asciiTheme="majorHAnsi" w:hAnsiTheme="majorHAnsi" w:cstheme="majorHAnsi"/>
          <w:sz w:val="24"/>
          <w:szCs w:val="24"/>
          <w:lang w:val="ro-RO" w:eastAsia="ru-RU"/>
        </w:rPr>
        <w:t xml:space="preserve"> </w:t>
      </w:r>
      <w:proofErr w:type="spellStart"/>
      <w:r w:rsidRPr="00ED0170">
        <w:rPr>
          <w:rFonts w:asciiTheme="majorHAnsi" w:hAnsiTheme="majorHAnsi" w:cstheme="majorHAnsi"/>
          <w:sz w:val="24"/>
          <w:szCs w:val="24"/>
          <w:lang w:val="ro-RO" w:eastAsia="ru-RU"/>
        </w:rPr>
        <w:t>mil.euro</w:t>
      </w:r>
      <w:proofErr w:type="spellEnd"/>
      <w:r w:rsidRPr="00ED0170">
        <w:rPr>
          <w:rFonts w:asciiTheme="majorHAnsi" w:hAnsiTheme="majorHAnsi" w:cstheme="majorHAnsi"/>
          <w:sz w:val="24"/>
          <w:szCs w:val="24"/>
          <w:lang w:val="ro-RO" w:eastAsia="ru-RU"/>
        </w:rPr>
        <w:t xml:space="preserve">). </w:t>
      </w:r>
    </w:p>
    <w:p w14:paraId="25277712" w14:textId="37C65AFF" w:rsidR="00A30F39" w:rsidRPr="00FB3D39" w:rsidRDefault="00F86CD0" w:rsidP="00A30F39">
      <w:pPr>
        <w:spacing w:line="276" w:lineRule="auto"/>
        <w:ind w:firstLine="720"/>
        <w:jc w:val="both"/>
        <w:rPr>
          <w:rFonts w:asciiTheme="majorHAnsi" w:hAnsiTheme="majorHAnsi" w:cstheme="majorHAnsi"/>
          <w:sz w:val="24"/>
          <w:szCs w:val="24"/>
          <w:lang w:val="ro-RO" w:eastAsia="ru-RU"/>
        </w:rPr>
      </w:pPr>
      <w:r w:rsidRPr="00F86CD0">
        <w:rPr>
          <w:rFonts w:asciiTheme="majorHAnsi" w:hAnsiTheme="majorHAnsi" w:cstheme="majorHAnsi"/>
          <w:sz w:val="24"/>
          <w:szCs w:val="24"/>
          <w:lang w:val="ro-RO" w:eastAsia="ru-RU"/>
        </w:rPr>
        <w:t>În anul 2018</w:t>
      </w:r>
      <w:r w:rsidR="00A30F39" w:rsidRPr="00F86CD0">
        <w:rPr>
          <w:rFonts w:asciiTheme="majorHAnsi" w:hAnsiTheme="majorHAnsi" w:cstheme="majorHAnsi"/>
          <w:sz w:val="24"/>
          <w:szCs w:val="24"/>
          <w:lang w:val="ro-RO" w:eastAsia="ru-RU"/>
        </w:rPr>
        <w:t xml:space="preserve">, de împrumuturi </w:t>
      </w:r>
      <w:proofErr w:type="spellStart"/>
      <w:r w:rsidR="00A30F39" w:rsidRPr="00F86CD0">
        <w:rPr>
          <w:rFonts w:asciiTheme="majorHAnsi" w:hAnsiTheme="majorHAnsi" w:cstheme="majorHAnsi"/>
          <w:sz w:val="24"/>
          <w:szCs w:val="24"/>
          <w:lang w:val="ro-RO" w:eastAsia="ru-RU"/>
        </w:rPr>
        <w:t>recreditate</w:t>
      </w:r>
      <w:proofErr w:type="spellEnd"/>
      <w:r w:rsidR="00A30F39" w:rsidRPr="00F86CD0">
        <w:rPr>
          <w:rFonts w:asciiTheme="majorHAnsi" w:hAnsiTheme="majorHAnsi" w:cstheme="majorHAnsi"/>
          <w:sz w:val="24"/>
          <w:szCs w:val="24"/>
          <w:lang w:val="ro-RO" w:eastAsia="ru-RU"/>
        </w:rPr>
        <w:t xml:space="preserve"> au beneficiat </w:t>
      </w:r>
      <w:r w:rsidR="005C49EE">
        <w:rPr>
          <w:rFonts w:asciiTheme="majorHAnsi" w:hAnsiTheme="majorHAnsi" w:cstheme="majorHAnsi"/>
          <w:sz w:val="24"/>
          <w:szCs w:val="24"/>
          <w:lang w:val="ro-RO" w:eastAsia="ru-RU"/>
        </w:rPr>
        <w:t>20</w:t>
      </w:r>
      <w:r w:rsidR="00A30F39" w:rsidRPr="00F86CD0">
        <w:rPr>
          <w:rFonts w:asciiTheme="majorHAnsi" w:hAnsiTheme="majorHAnsi" w:cstheme="majorHAnsi"/>
          <w:sz w:val="24"/>
          <w:szCs w:val="24"/>
          <w:lang w:val="ro-RO" w:eastAsia="ru-RU"/>
        </w:rPr>
        <w:t xml:space="preserve"> proiecte finanțate din surse externe, dint</w:t>
      </w:r>
      <w:r w:rsidR="00DA0893" w:rsidRPr="00F86CD0">
        <w:rPr>
          <w:rFonts w:asciiTheme="majorHAnsi" w:hAnsiTheme="majorHAnsi" w:cstheme="majorHAnsi"/>
          <w:sz w:val="24"/>
          <w:szCs w:val="24"/>
          <w:lang w:val="ro-RO" w:eastAsia="ru-RU"/>
        </w:rPr>
        <w:t>re care: prin intermediul MF – 6</w:t>
      </w:r>
      <w:r w:rsidR="00A30F39" w:rsidRPr="00F86CD0">
        <w:rPr>
          <w:rFonts w:asciiTheme="majorHAnsi" w:hAnsiTheme="majorHAnsi" w:cstheme="majorHAnsi"/>
          <w:sz w:val="24"/>
          <w:szCs w:val="24"/>
          <w:lang w:val="ro-RO" w:eastAsia="ru-RU"/>
        </w:rPr>
        <w:t xml:space="preserve"> proiecte (vezi </w:t>
      </w:r>
      <w:r w:rsidR="00A30F39" w:rsidRPr="00F86CD0">
        <w:rPr>
          <w:rFonts w:asciiTheme="majorHAnsi" w:hAnsiTheme="majorHAnsi" w:cstheme="majorHAnsi"/>
          <w:i/>
          <w:sz w:val="24"/>
          <w:szCs w:val="24"/>
          <w:lang w:val="ro-RO" w:eastAsia="ru-RU"/>
        </w:rPr>
        <w:t xml:space="preserve">Tabelul nr.10 </w:t>
      </w:r>
      <w:r w:rsidR="00A30F39" w:rsidRPr="00F86CD0">
        <w:rPr>
          <w:rFonts w:asciiTheme="majorHAnsi" w:hAnsiTheme="majorHAnsi" w:cstheme="majorHAnsi"/>
          <w:sz w:val="24"/>
          <w:szCs w:val="24"/>
          <w:lang w:val="ro-RO" w:eastAsia="ru-RU"/>
        </w:rPr>
        <w:t>din</w:t>
      </w:r>
      <w:r w:rsidR="00A30F39" w:rsidRPr="00F86CD0">
        <w:rPr>
          <w:rFonts w:asciiTheme="majorHAnsi" w:hAnsiTheme="majorHAnsi" w:cstheme="majorHAnsi"/>
          <w:i/>
          <w:sz w:val="24"/>
          <w:szCs w:val="24"/>
          <w:lang w:val="ro-RO" w:eastAsia="ru-RU"/>
        </w:rPr>
        <w:t xml:space="preserve"> Anexa nr.2 la prezentul Raport de audit</w:t>
      </w:r>
      <w:r w:rsidR="00A30F39" w:rsidRPr="00F86CD0">
        <w:rPr>
          <w:rFonts w:asciiTheme="majorHAnsi" w:hAnsiTheme="majorHAnsi" w:cstheme="majorHAnsi"/>
          <w:sz w:val="24"/>
          <w:szCs w:val="24"/>
          <w:lang w:val="ro-RO" w:eastAsia="ru-RU"/>
        </w:rPr>
        <w:t>), prin intermediul DLC</w:t>
      </w:r>
      <w:r w:rsidRPr="00F86CD0">
        <w:rPr>
          <w:rFonts w:asciiTheme="majorHAnsi" w:hAnsiTheme="majorHAnsi" w:cstheme="majorHAnsi"/>
          <w:sz w:val="24"/>
          <w:szCs w:val="24"/>
          <w:lang w:val="ro-RO" w:eastAsia="ru-RU"/>
        </w:rPr>
        <w:t xml:space="preserve"> - </w:t>
      </w:r>
      <w:r w:rsidRPr="009561CB">
        <w:rPr>
          <w:rFonts w:asciiTheme="majorHAnsi" w:hAnsiTheme="majorHAnsi" w:cstheme="majorHAnsi"/>
          <w:sz w:val="24"/>
          <w:szCs w:val="24"/>
          <w:lang w:val="ro-RO" w:eastAsia="ru-RU"/>
        </w:rPr>
        <w:t>1</w:t>
      </w:r>
      <w:r w:rsidR="007922BF">
        <w:rPr>
          <w:rFonts w:asciiTheme="majorHAnsi" w:hAnsiTheme="majorHAnsi" w:cstheme="majorHAnsi"/>
          <w:sz w:val="24"/>
          <w:szCs w:val="24"/>
          <w:lang w:val="ro-RO" w:eastAsia="ru-RU"/>
        </w:rPr>
        <w:t>4</w:t>
      </w:r>
      <w:r w:rsidRPr="00F86CD0">
        <w:rPr>
          <w:rFonts w:asciiTheme="majorHAnsi" w:hAnsiTheme="majorHAnsi" w:cstheme="majorHAnsi"/>
          <w:sz w:val="24"/>
          <w:szCs w:val="24"/>
          <w:lang w:val="ro-RO" w:eastAsia="ru-RU"/>
        </w:rPr>
        <w:t xml:space="preserve"> proiecte</w:t>
      </w:r>
      <w:r w:rsidR="00E02076">
        <w:rPr>
          <w:rFonts w:asciiTheme="majorHAnsi" w:hAnsiTheme="majorHAnsi" w:cstheme="majorHAnsi"/>
          <w:sz w:val="24"/>
          <w:szCs w:val="24"/>
          <w:lang w:val="ro-RO" w:eastAsia="ru-RU"/>
        </w:rPr>
        <w:t>,</w:t>
      </w:r>
      <w:r w:rsidRPr="00F86CD0">
        <w:rPr>
          <w:rFonts w:asciiTheme="majorHAnsi" w:hAnsiTheme="majorHAnsi" w:cstheme="majorHAnsi"/>
          <w:sz w:val="24"/>
          <w:szCs w:val="24"/>
          <w:lang w:val="ro-RO" w:eastAsia="ru-RU"/>
        </w:rPr>
        <w:t xml:space="preserve"> și UCIP FIDA – 1</w:t>
      </w:r>
      <w:r w:rsidR="00FE2CFF">
        <w:rPr>
          <w:rFonts w:asciiTheme="majorHAnsi" w:hAnsiTheme="majorHAnsi" w:cstheme="majorHAnsi"/>
          <w:sz w:val="24"/>
          <w:szCs w:val="24"/>
          <w:lang w:val="ro-RO" w:eastAsia="ru-RU"/>
        </w:rPr>
        <w:t xml:space="preserve"> proiect</w:t>
      </w:r>
      <w:r w:rsidR="00A30F39" w:rsidRPr="00F86CD0">
        <w:rPr>
          <w:rStyle w:val="ae"/>
          <w:rFonts w:asciiTheme="majorHAnsi" w:hAnsiTheme="majorHAnsi" w:cstheme="majorHAnsi"/>
          <w:sz w:val="24"/>
          <w:szCs w:val="24"/>
          <w:lang w:val="ro-RO"/>
        </w:rPr>
        <w:footnoteReference w:id="36"/>
      </w:r>
      <w:r w:rsidR="00A30F39" w:rsidRPr="00F86CD0">
        <w:rPr>
          <w:rFonts w:asciiTheme="majorHAnsi" w:hAnsiTheme="majorHAnsi" w:cstheme="majorHAnsi"/>
          <w:sz w:val="24"/>
          <w:szCs w:val="24"/>
          <w:lang w:val="ro-RO" w:eastAsia="ru-RU"/>
        </w:rPr>
        <w:t xml:space="preserve"> (</w:t>
      </w:r>
      <w:r w:rsidR="00A30F39" w:rsidRPr="00F86CD0">
        <w:rPr>
          <w:rFonts w:asciiTheme="majorHAnsi" w:hAnsiTheme="majorHAnsi" w:cstheme="majorHAnsi"/>
          <w:i/>
          <w:sz w:val="24"/>
          <w:szCs w:val="24"/>
          <w:lang w:val="ro-RO" w:eastAsia="ru-RU"/>
        </w:rPr>
        <w:t xml:space="preserve">vezi Tabelul nr.11 </w:t>
      </w:r>
      <w:r w:rsidR="00A30F39" w:rsidRPr="00FB3D39">
        <w:rPr>
          <w:rFonts w:asciiTheme="majorHAnsi" w:hAnsiTheme="majorHAnsi" w:cstheme="majorHAnsi"/>
          <w:i/>
          <w:sz w:val="24"/>
          <w:szCs w:val="24"/>
          <w:lang w:val="ro-RO" w:eastAsia="ru-RU"/>
        </w:rPr>
        <w:t>din Anexa nr.2 la prezentul Raport de audit</w:t>
      </w:r>
      <w:r w:rsidR="00A30F39" w:rsidRPr="00FB3D39">
        <w:rPr>
          <w:rFonts w:asciiTheme="majorHAnsi" w:hAnsiTheme="majorHAnsi" w:cstheme="majorHAnsi"/>
          <w:sz w:val="24"/>
          <w:szCs w:val="24"/>
          <w:lang w:val="ro-RO" w:eastAsia="ru-RU"/>
        </w:rPr>
        <w:t xml:space="preserve">). </w:t>
      </w:r>
    </w:p>
    <w:p w14:paraId="760FB1F2" w14:textId="77777777" w:rsidR="00A30F39" w:rsidRPr="00FB3D39" w:rsidRDefault="00A30F39" w:rsidP="005D2329">
      <w:pPr>
        <w:pStyle w:val="2"/>
        <w:ind w:firstLine="709"/>
        <w:jc w:val="both"/>
        <w:rPr>
          <w:rFonts w:asciiTheme="majorHAnsi" w:hAnsiTheme="majorHAnsi" w:cstheme="majorHAnsi"/>
          <w:b/>
          <w:color w:val="auto"/>
          <w:sz w:val="24"/>
          <w:szCs w:val="24"/>
          <w:lang w:val="ro-RO"/>
        </w:rPr>
      </w:pPr>
      <w:bookmarkStart w:id="55" w:name="_Toc10106697"/>
      <w:r w:rsidRPr="00FB3D39">
        <w:rPr>
          <w:rFonts w:asciiTheme="majorHAnsi" w:hAnsiTheme="majorHAnsi" w:cstheme="majorHAnsi"/>
          <w:b/>
          <w:color w:val="auto"/>
          <w:sz w:val="24"/>
          <w:szCs w:val="24"/>
          <w:lang w:val="ro-RO"/>
        </w:rPr>
        <w:lastRenderedPageBreak/>
        <w:t xml:space="preserve">3.3.2. Soldul datoriilor beneficiarilor </w:t>
      </w:r>
      <w:proofErr w:type="spellStart"/>
      <w:r w:rsidRPr="00FB3D39">
        <w:rPr>
          <w:rFonts w:asciiTheme="majorHAnsi" w:hAnsiTheme="majorHAnsi" w:cstheme="majorHAnsi"/>
          <w:b/>
          <w:color w:val="auto"/>
          <w:sz w:val="24"/>
          <w:szCs w:val="24"/>
          <w:lang w:val="ro-RO"/>
        </w:rPr>
        <w:t>recreditați</w:t>
      </w:r>
      <w:proofErr w:type="spellEnd"/>
      <w:r w:rsidRPr="00FB3D39">
        <w:rPr>
          <w:rFonts w:asciiTheme="majorHAnsi" w:hAnsiTheme="majorHAnsi" w:cstheme="majorHAnsi"/>
          <w:b/>
          <w:color w:val="auto"/>
          <w:sz w:val="24"/>
          <w:szCs w:val="24"/>
          <w:lang w:val="ro-RO"/>
        </w:rPr>
        <w:t xml:space="preserve"> are tendințe nesemnificative de diminuare în comparație cu anii precedenți.</w:t>
      </w:r>
      <w:bookmarkEnd w:id="55"/>
    </w:p>
    <w:p w14:paraId="35E8CCF9" w14:textId="067758AC" w:rsidR="00E02076" w:rsidRPr="00FB3D39" w:rsidRDefault="00A30F39" w:rsidP="00824256">
      <w:pPr>
        <w:spacing w:before="240" w:after="0" w:line="276" w:lineRule="auto"/>
        <w:ind w:firstLine="720"/>
        <w:jc w:val="both"/>
        <w:rPr>
          <w:rFonts w:asciiTheme="majorHAnsi" w:hAnsiTheme="majorHAnsi" w:cstheme="majorHAnsi"/>
          <w:i/>
          <w:sz w:val="24"/>
          <w:szCs w:val="24"/>
          <w:lang w:val="ro-RO"/>
        </w:rPr>
      </w:pPr>
      <w:r w:rsidRPr="00FB3D39">
        <w:rPr>
          <w:rFonts w:asciiTheme="majorHAnsi" w:hAnsiTheme="majorHAnsi" w:cstheme="majorHAnsi"/>
          <w:sz w:val="24"/>
          <w:szCs w:val="24"/>
          <w:lang w:val="ro-RO"/>
        </w:rPr>
        <w:t xml:space="preserve">La situația din 31.12.2018, soldul datoriilor beneficiarilor </w:t>
      </w:r>
      <w:proofErr w:type="spellStart"/>
      <w:r w:rsidRPr="00FB3D39">
        <w:rPr>
          <w:rFonts w:asciiTheme="majorHAnsi" w:hAnsiTheme="majorHAnsi" w:cstheme="majorHAnsi"/>
          <w:sz w:val="24"/>
          <w:szCs w:val="24"/>
          <w:lang w:val="ro-RO"/>
        </w:rPr>
        <w:t>recreditați</w:t>
      </w:r>
      <w:proofErr w:type="spellEnd"/>
      <w:r w:rsidRPr="00FB3D39">
        <w:rPr>
          <w:rFonts w:asciiTheme="majorHAnsi" w:hAnsiTheme="majorHAnsi" w:cstheme="majorHAnsi"/>
          <w:sz w:val="24"/>
          <w:szCs w:val="24"/>
          <w:lang w:val="ro-RO"/>
        </w:rPr>
        <w:t xml:space="preserve"> a constituit 1112</w:t>
      </w:r>
      <w:r w:rsidRPr="005E692F">
        <w:rPr>
          <w:rFonts w:asciiTheme="majorHAnsi" w:hAnsiTheme="majorHAnsi"/>
          <w:sz w:val="24"/>
          <w:lang w:val="ro-RO"/>
        </w:rPr>
        <w:t>,9</w:t>
      </w:r>
      <w:r w:rsidRPr="00FB3D39">
        <w:rPr>
          <w:rFonts w:asciiTheme="majorHAnsi" w:hAnsiTheme="majorHAnsi" w:cstheme="majorHAnsi"/>
          <w:sz w:val="24"/>
          <w:szCs w:val="24"/>
          <w:lang w:val="ro-RO"/>
        </w:rPr>
        <w:t xml:space="preserve"> </w:t>
      </w:r>
      <w:proofErr w:type="spellStart"/>
      <w:r w:rsidR="002D0D0D">
        <w:rPr>
          <w:rFonts w:asciiTheme="majorHAnsi" w:hAnsiTheme="majorHAnsi" w:cstheme="majorHAnsi"/>
          <w:sz w:val="24"/>
          <w:szCs w:val="24"/>
          <w:lang w:val="ro-RO"/>
        </w:rPr>
        <w:t>mil.MDL</w:t>
      </w:r>
      <w:proofErr w:type="spellEnd"/>
      <w:r w:rsidRPr="00FB3D39">
        <w:rPr>
          <w:rFonts w:asciiTheme="majorHAnsi" w:hAnsiTheme="majorHAnsi" w:cstheme="majorHAnsi"/>
          <w:sz w:val="24"/>
          <w:szCs w:val="24"/>
          <w:lang w:val="ro-RO"/>
        </w:rPr>
        <w:t xml:space="preserve">, 85,2 </w:t>
      </w:r>
      <w:proofErr w:type="spellStart"/>
      <w:r w:rsidRPr="00FB3D39">
        <w:rPr>
          <w:rFonts w:asciiTheme="majorHAnsi" w:hAnsiTheme="majorHAnsi" w:cstheme="majorHAnsi"/>
          <w:sz w:val="24"/>
          <w:szCs w:val="24"/>
          <w:lang w:val="ro-RO"/>
        </w:rPr>
        <w:t>mil.dol.SUA</w:t>
      </w:r>
      <w:proofErr w:type="spellEnd"/>
      <w:r w:rsidRPr="00FB3D39">
        <w:rPr>
          <w:rFonts w:asciiTheme="majorHAnsi" w:hAnsiTheme="majorHAnsi" w:cstheme="majorHAnsi"/>
          <w:sz w:val="24"/>
          <w:szCs w:val="24"/>
          <w:lang w:val="ro-RO"/>
        </w:rPr>
        <w:t xml:space="preserve">, 87,6 </w:t>
      </w:r>
      <w:proofErr w:type="spellStart"/>
      <w:r w:rsidRPr="00FB3D39">
        <w:rPr>
          <w:rFonts w:asciiTheme="majorHAnsi" w:hAnsiTheme="majorHAnsi" w:cstheme="majorHAnsi"/>
          <w:sz w:val="24"/>
          <w:szCs w:val="24"/>
          <w:lang w:val="ro-RO"/>
        </w:rPr>
        <w:t>mil.euro</w:t>
      </w:r>
      <w:proofErr w:type="spellEnd"/>
      <w:r w:rsidRPr="00FB3D39">
        <w:rPr>
          <w:rFonts w:asciiTheme="majorHAnsi" w:hAnsiTheme="majorHAnsi" w:cstheme="majorHAnsi"/>
          <w:sz w:val="24"/>
          <w:szCs w:val="24"/>
          <w:lang w:val="ro-RO"/>
        </w:rPr>
        <w:t xml:space="preserve"> și 896,9 </w:t>
      </w:r>
      <w:proofErr w:type="spellStart"/>
      <w:r w:rsidRPr="00FB3D39">
        <w:rPr>
          <w:rFonts w:asciiTheme="majorHAnsi" w:hAnsiTheme="majorHAnsi" w:cstheme="majorHAnsi"/>
          <w:sz w:val="24"/>
          <w:szCs w:val="24"/>
          <w:lang w:val="ro-RO"/>
        </w:rPr>
        <w:t>mil.yeni</w:t>
      </w:r>
      <w:proofErr w:type="spellEnd"/>
      <w:r w:rsidRPr="00FB3D39">
        <w:rPr>
          <w:rFonts w:asciiTheme="majorHAnsi" w:hAnsiTheme="majorHAnsi" w:cstheme="majorHAnsi"/>
          <w:sz w:val="24"/>
          <w:szCs w:val="24"/>
          <w:lang w:val="ro-RO"/>
        </w:rPr>
        <w:t xml:space="preserve"> japonezi (echivalentul a 4420,5 </w:t>
      </w:r>
      <w:proofErr w:type="spellStart"/>
      <w:r w:rsidR="002D0D0D">
        <w:rPr>
          <w:rFonts w:asciiTheme="majorHAnsi" w:hAnsiTheme="majorHAnsi" w:cstheme="majorHAnsi"/>
          <w:sz w:val="24"/>
          <w:szCs w:val="24"/>
          <w:lang w:val="ro-RO"/>
        </w:rPr>
        <w:t>mil.MDL</w:t>
      </w:r>
      <w:proofErr w:type="spellEnd"/>
      <w:r w:rsidRPr="00FB3D39">
        <w:rPr>
          <w:rFonts w:asciiTheme="majorHAnsi" w:hAnsiTheme="majorHAnsi" w:cstheme="majorHAnsi"/>
          <w:sz w:val="24"/>
          <w:szCs w:val="24"/>
          <w:lang w:val="ro-RO"/>
        </w:rPr>
        <w:t xml:space="preserve">), micșorându-se față de sfârșitul anului 2017 cu </w:t>
      </w:r>
      <w:r w:rsidR="007922BF">
        <w:rPr>
          <w:rFonts w:asciiTheme="majorHAnsi" w:hAnsiTheme="majorHAnsi" w:cstheme="majorHAnsi"/>
          <w:sz w:val="24"/>
          <w:szCs w:val="24"/>
          <w:lang w:val="ro-RO"/>
        </w:rPr>
        <w:t>255,3</w:t>
      </w:r>
      <w:r w:rsidRPr="00FB3D39">
        <w:rPr>
          <w:rFonts w:asciiTheme="majorHAnsi" w:hAnsiTheme="majorHAnsi" w:cstheme="majorHAnsi"/>
          <w:sz w:val="24"/>
          <w:szCs w:val="24"/>
          <w:lang w:val="ro-RO"/>
        </w:rPr>
        <w:t xml:space="preserve"> </w:t>
      </w:r>
      <w:proofErr w:type="spellStart"/>
      <w:r w:rsidR="002D0D0D">
        <w:rPr>
          <w:rFonts w:asciiTheme="majorHAnsi" w:hAnsiTheme="majorHAnsi" w:cstheme="majorHAnsi"/>
          <w:sz w:val="24"/>
          <w:szCs w:val="24"/>
          <w:lang w:val="ro-RO"/>
        </w:rPr>
        <w:t>mil.MDL</w:t>
      </w:r>
      <w:proofErr w:type="spellEnd"/>
      <w:r w:rsidRPr="00FB3D39">
        <w:rPr>
          <w:rFonts w:asciiTheme="majorHAnsi" w:hAnsiTheme="majorHAnsi" w:cstheme="majorHAnsi"/>
          <w:sz w:val="24"/>
          <w:szCs w:val="24"/>
          <w:lang w:val="ro-RO"/>
        </w:rPr>
        <w:t xml:space="preserve"> (-</w:t>
      </w:r>
      <w:r w:rsidR="007922BF">
        <w:rPr>
          <w:rFonts w:asciiTheme="majorHAnsi" w:hAnsiTheme="majorHAnsi" w:cstheme="majorHAnsi"/>
          <w:sz w:val="24"/>
          <w:szCs w:val="24"/>
          <w:lang w:val="ro-RO"/>
        </w:rPr>
        <w:t>5,5</w:t>
      </w:r>
      <w:r w:rsidRPr="00FB3D39">
        <w:rPr>
          <w:rFonts w:asciiTheme="majorHAnsi" w:hAnsiTheme="majorHAnsi" w:cstheme="majorHAnsi"/>
          <w:sz w:val="24"/>
          <w:szCs w:val="24"/>
          <w:lang w:val="ro-RO"/>
        </w:rPr>
        <w:t xml:space="preserve">%). La situația din 31.12.2018, datoriile cu termenul de achitare expirat ale beneficiarilor </w:t>
      </w:r>
      <w:proofErr w:type="spellStart"/>
      <w:r w:rsidRPr="00FB3D39">
        <w:rPr>
          <w:rFonts w:asciiTheme="majorHAnsi" w:hAnsiTheme="majorHAnsi" w:cstheme="majorHAnsi"/>
          <w:sz w:val="24"/>
          <w:szCs w:val="24"/>
          <w:lang w:val="ro-RO"/>
        </w:rPr>
        <w:t>recreditați</w:t>
      </w:r>
      <w:proofErr w:type="spellEnd"/>
      <w:r w:rsidRPr="00FB3D39">
        <w:rPr>
          <w:rFonts w:asciiTheme="majorHAnsi" w:hAnsiTheme="majorHAnsi" w:cstheme="majorHAnsi"/>
          <w:sz w:val="24"/>
          <w:szCs w:val="24"/>
          <w:lang w:val="ro-RO"/>
        </w:rPr>
        <w:t xml:space="preserve"> au constituit 265,7 </w:t>
      </w:r>
      <w:proofErr w:type="spellStart"/>
      <w:r w:rsidR="002D0D0D">
        <w:rPr>
          <w:rFonts w:asciiTheme="majorHAnsi" w:hAnsiTheme="majorHAnsi" w:cstheme="majorHAnsi"/>
          <w:sz w:val="24"/>
          <w:szCs w:val="24"/>
          <w:lang w:val="ro-RO"/>
        </w:rPr>
        <w:t>mil.MDL</w:t>
      </w:r>
      <w:proofErr w:type="spellEnd"/>
      <w:r w:rsidRPr="00FB3D39">
        <w:rPr>
          <w:rFonts w:asciiTheme="majorHAnsi" w:hAnsiTheme="majorHAnsi" w:cstheme="majorHAnsi"/>
          <w:sz w:val="24"/>
          <w:szCs w:val="24"/>
          <w:lang w:val="ro-RO"/>
        </w:rPr>
        <w:t xml:space="preserve"> (6,0% din suma datoriilor totale), înregistrând față de anul 2017 o diminuare cu </w:t>
      </w:r>
      <w:r w:rsidR="007922BF">
        <w:rPr>
          <w:rFonts w:asciiTheme="majorHAnsi" w:hAnsiTheme="majorHAnsi" w:cstheme="majorHAnsi"/>
          <w:sz w:val="24"/>
          <w:szCs w:val="24"/>
          <w:lang w:val="ro-RO"/>
        </w:rPr>
        <w:t>47,1</w:t>
      </w:r>
      <w:r w:rsidRPr="00FB3D39">
        <w:rPr>
          <w:rFonts w:asciiTheme="majorHAnsi" w:hAnsiTheme="majorHAnsi" w:cstheme="majorHAnsi"/>
          <w:sz w:val="24"/>
          <w:szCs w:val="24"/>
          <w:lang w:val="ro-RO"/>
        </w:rPr>
        <w:t xml:space="preserve"> </w:t>
      </w:r>
      <w:proofErr w:type="spellStart"/>
      <w:r w:rsidR="002D0D0D">
        <w:rPr>
          <w:rFonts w:asciiTheme="majorHAnsi" w:hAnsiTheme="majorHAnsi" w:cstheme="majorHAnsi"/>
          <w:sz w:val="24"/>
          <w:szCs w:val="24"/>
          <w:lang w:val="ro-RO"/>
        </w:rPr>
        <w:t>mil.MDL</w:t>
      </w:r>
      <w:proofErr w:type="spellEnd"/>
      <w:r w:rsidRPr="00FB3D39">
        <w:rPr>
          <w:rFonts w:asciiTheme="majorHAnsi" w:hAnsiTheme="majorHAnsi" w:cstheme="majorHAnsi"/>
          <w:sz w:val="24"/>
          <w:szCs w:val="24"/>
          <w:lang w:val="ro-RO"/>
        </w:rPr>
        <w:t xml:space="preserve">. </w:t>
      </w:r>
      <w:r w:rsidRPr="00FB3D39">
        <w:rPr>
          <w:rFonts w:asciiTheme="majorHAnsi" w:hAnsiTheme="majorHAnsi" w:cstheme="majorHAnsi"/>
          <w:i/>
          <w:sz w:val="24"/>
          <w:szCs w:val="24"/>
          <w:lang w:val="ro-RO"/>
        </w:rPr>
        <w:t xml:space="preserve">Evoluția datoriilor beneficiarilor </w:t>
      </w:r>
      <w:proofErr w:type="spellStart"/>
      <w:r w:rsidRPr="00FB3D39">
        <w:rPr>
          <w:rFonts w:asciiTheme="majorHAnsi" w:hAnsiTheme="majorHAnsi" w:cstheme="majorHAnsi"/>
          <w:i/>
          <w:sz w:val="24"/>
          <w:szCs w:val="24"/>
          <w:lang w:val="ro-RO"/>
        </w:rPr>
        <w:t>recreditați</w:t>
      </w:r>
      <w:proofErr w:type="spellEnd"/>
      <w:r w:rsidRPr="00FB3D39">
        <w:rPr>
          <w:rFonts w:asciiTheme="majorHAnsi" w:hAnsiTheme="majorHAnsi" w:cstheme="majorHAnsi"/>
          <w:i/>
          <w:sz w:val="24"/>
          <w:szCs w:val="24"/>
          <w:lang w:val="ro-RO"/>
        </w:rPr>
        <w:t xml:space="preserve"> </w:t>
      </w:r>
      <w:r w:rsidR="001D5664">
        <w:rPr>
          <w:rFonts w:asciiTheme="majorHAnsi" w:hAnsiTheme="majorHAnsi" w:cstheme="majorHAnsi"/>
          <w:i/>
          <w:sz w:val="24"/>
          <w:szCs w:val="24"/>
          <w:lang w:val="ro-RO"/>
        </w:rPr>
        <w:t>este prezentată în Diagrama nr.7</w:t>
      </w:r>
      <w:r w:rsidRPr="00FB3D39">
        <w:rPr>
          <w:rFonts w:asciiTheme="majorHAnsi" w:hAnsiTheme="majorHAnsi" w:cstheme="majorHAnsi"/>
          <w:i/>
          <w:sz w:val="24"/>
          <w:szCs w:val="24"/>
          <w:lang w:val="ro-RO"/>
        </w:rPr>
        <w:t>.</w:t>
      </w:r>
    </w:p>
    <w:p w14:paraId="221F684E" w14:textId="77777777" w:rsidR="00A30F39" w:rsidRPr="00FB3D39" w:rsidRDefault="001D5664" w:rsidP="00A30F39">
      <w:pPr>
        <w:spacing w:after="0" w:line="240" w:lineRule="auto"/>
        <w:jc w:val="right"/>
        <w:rPr>
          <w:rFonts w:asciiTheme="majorHAnsi" w:hAnsiTheme="majorHAnsi" w:cstheme="majorHAnsi"/>
          <w:b/>
          <w:sz w:val="24"/>
          <w:szCs w:val="24"/>
          <w:lang w:val="ro-RO" w:eastAsia="ru-RU"/>
        </w:rPr>
      </w:pPr>
      <w:r>
        <w:rPr>
          <w:rFonts w:asciiTheme="majorHAnsi" w:hAnsiTheme="majorHAnsi" w:cstheme="majorHAnsi"/>
          <w:b/>
          <w:sz w:val="24"/>
          <w:szCs w:val="24"/>
          <w:lang w:val="ro-RO" w:eastAsia="ru-RU"/>
        </w:rPr>
        <w:t>Diagrama nr.7</w:t>
      </w:r>
    </w:p>
    <w:p w14:paraId="29F14E81" w14:textId="77777777" w:rsidR="00A30F39" w:rsidRPr="00FB3D39" w:rsidRDefault="00A30F39" w:rsidP="00A30F39">
      <w:pPr>
        <w:spacing w:after="0" w:line="240" w:lineRule="auto"/>
        <w:jc w:val="right"/>
        <w:rPr>
          <w:rFonts w:asciiTheme="majorHAnsi" w:hAnsiTheme="majorHAnsi" w:cstheme="majorHAnsi"/>
          <w:b/>
          <w:i/>
          <w:sz w:val="24"/>
          <w:szCs w:val="24"/>
          <w:lang w:val="ro-RO"/>
        </w:rPr>
      </w:pPr>
      <w:r w:rsidRPr="00FB3D39">
        <w:rPr>
          <w:rFonts w:asciiTheme="majorHAnsi" w:hAnsiTheme="majorHAnsi" w:cstheme="majorHAnsi"/>
          <w:noProof/>
          <w:sz w:val="24"/>
          <w:szCs w:val="24"/>
          <w:lang w:val="ru-RU" w:eastAsia="ru-RU"/>
        </w:rPr>
        <w:drawing>
          <wp:anchor distT="0" distB="0" distL="114300" distR="114300" simplePos="0" relativeHeight="251705344" behindDoc="0" locked="0" layoutInCell="1" allowOverlap="1" wp14:anchorId="30F1F6B0" wp14:editId="24B2CCEF">
            <wp:simplePos x="0" y="0"/>
            <wp:positionH relativeFrom="column">
              <wp:posOffset>1905</wp:posOffset>
            </wp:positionH>
            <wp:positionV relativeFrom="paragraph">
              <wp:posOffset>178435</wp:posOffset>
            </wp:positionV>
            <wp:extent cx="5943600" cy="1609725"/>
            <wp:effectExtent l="0" t="0" r="0" b="9525"/>
            <wp:wrapSquare wrapText="bothSides"/>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295D805C" w14:textId="78BCB2FF" w:rsidR="00A30F39" w:rsidRPr="00FB3D39" w:rsidRDefault="00A30F39" w:rsidP="00A30F39">
      <w:pPr>
        <w:spacing w:after="0" w:line="240" w:lineRule="auto"/>
        <w:rPr>
          <w:rFonts w:asciiTheme="majorHAnsi" w:hAnsiTheme="majorHAnsi" w:cstheme="majorHAnsi"/>
          <w:b/>
          <w:sz w:val="20"/>
          <w:szCs w:val="20"/>
          <w:lang w:val="ro-RO" w:eastAsia="ru-RU"/>
        </w:rPr>
      </w:pPr>
      <w:r w:rsidRPr="00FB3D39">
        <w:rPr>
          <w:rFonts w:asciiTheme="majorHAnsi" w:hAnsiTheme="majorHAnsi" w:cstheme="majorHAnsi"/>
          <w:b/>
          <w:i/>
          <w:sz w:val="20"/>
          <w:szCs w:val="20"/>
          <w:lang w:val="ro-RO"/>
        </w:rPr>
        <w:t>Sursă:</w:t>
      </w:r>
      <w:r w:rsidRPr="00FB3D39">
        <w:rPr>
          <w:rFonts w:asciiTheme="majorHAnsi" w:hAnsiTheme="majorHAnsi" w:cstheme="majorHAnsi"/>
          <w:sz w:val="20"/>
          <w:szCs w:val="20"/>
          <w:lang w:val="ro-RO"/>
        </w:rPr>
        <w:t xml:space="preserve"> </w:t>
      </w:r>
      <w:r w:rsidR="00612E2F">
        <w:rPr>
          <w:rFonts w:asciiTheme="majorHAnsi" w:hAnsiTheme="majorHAnsi" w:cstheme="majorHAnsi"/>
          <w:sz w:val="20"/>
          <w:szCs w:val="20"/>
          <w:lang w:val="ro-RO" w:eastAsia="ru-RU"/>
        </w:rPr>
        <w:t>D</w:t>
      </w:r>
      <w:r w:rsidRPr="00FB3D39">
        <w:rPr>
          <w:rFonts w:asciiTheme="majorHAnsi" w:hAnsiTheme="majorHAnsi" w:cstheme="majorHAnsi"/>
          <w:sz w:val="20"/>
          <w:szCs w:val="20"/>
          <w:lang w:val="ro-RO" w:eastAsia="ru-RU"/>
        </w:rPr>
        <w:t>atel</w:t>
      </w:r>
      <w:r w:rsidR="00612E2F">
        <w:rPr>
          <w:rFonts w:asciiTheme="majorHAnsi" w:hAnsiTheme="majorHAnsi" w:cstheme="majorHAnsi"/>
          <w:sz w:val="20"/>
          <w:szCs w:val="20"/>
          <w:lang w:val="ro-RO" w:eastAsia="ru-RU"/>
        </w:rPr>
        <w:t>e</w:t>
      </w:r>
      <w:r w:rsidRPr="00FB3D39">
        <w:rPr>
          <w:rFonts w:asciiTheme="majorHAnsi" w:hAnsiTheme="majorHAnsi" w:cstheme="majorHAnsi"/>
          <w:sz w:val="20"/>
          <w:szCs w:val="20"/>
          <w:lang w:val="ro-RO" w:eastAsia="ru-RU"/>
        </w:rPr>
        <w:t xml:space="preserve"> din Raportul privind recreditarea de</w:t>
      </w:r>
      <w:r w:rsidR="00751DE6" w:rsidRPr="00FB3D39">
        <w:rPr>
          <w:rFonts w:asciiTheme="majorHAnsi" w:hAnsiTheme="majorHAnsi" w:cstheme="majorHAnsi"/>
          <w:sz w:val="20"/>
          <w:szCs w:val="20"/>
          <w:lang w:val="ro-RO" w:eastAsia="ru-RU"/>
        </w:rPr>
        <w:t xml:space="preserve"> stat la situația din 31.12.2018</w:t>
      </w:r>
      <w:r w:rsidRPr="00FB3D39">
        <w:rPr>
          <w:rFonts w:asciiTheme="majorHAnsi" w:hAnsiTheme="majorHAnsi" w:cstheme="majorHAnsi"/>
          <w:sz w:val="20"/>
          <w:szCs w:val="20"/>
          <w:lang w:val="ro-RO" w:eastAsia="ru-RU"/>
        </w:rPr>
        <w:t>.</w:t>
      </w:r>
    </w:p>
    <w:p w14:paraId="03120691" w14:textId="3A0F17BC" w:rsidR="00A30F39" w:rsidRPr="00FB3D39" w:rsidRDefault="00A30F39" w:rsidP="00A30F39">
      <w:pPr>
        <w:spacing w:before="240" w:after="0" w:line="276" w:lineRule="auto"/>
        <w:ind w:firstLine="720"/>
        <w:jc w:val="both"/>
        <w:rPr>
          <w:rFonts w:asciiTheme="majorHAnsi" w:hAnsiTheme="majorHAnsi" w:cstheme="majorHAnsi"/>
          <w:sz w:val="24"/>
          <w:szCs w:val="24"/>
          <w:lang w:val="ro-RO"/>
        </w:rPr>
      </w:pPr>
      <w:r w:rsidRPr="00FB3D39">
        <w:rPr>
          <w:rFonts w:asciiTheme="majorHAnsi" w:hAnsiTheme="majorHAnsi" w:cstheme="majorHAnsi"/>
          <w:sz w:val="24"/>
          <w:szCs w:val="24"/>
          <w:lang w:val="ro-RO"/>
        </w:rPr>
        <w:t xml:space="preserve">Din totalul datoriilor beneficiarilor </w:t>
      </w:r>
      <w:proofErr w:type="spellStart"/>
      <w:r w:rsidRPr="00FB3D39">
        <w:rPr>
          <w:rFonts w:asciiTheme="majorHAnsi" w:hAnsiTheme="majorHAnsi" w:cstheme="majorHAnsi"/>
          <w:sz w:val="24"/>
          <w:szCs w:val="24"/>
          <w:lang w:val="ro-RO"/>
        </w:rPr>
        <w:t>recreditați</w:t>
      </w:r>
      <w:proofErr w:type="spellEnd"/>
      <w:r w:rsidRPr="00FB3D39">
        <w:rPr>
          <w:rFonts w:asciiTheme="majorHAnsi" w:hAnsiTheme="majorHAnsi" w:cstheme="majorHAnsi"/>
          <w:sz w:val="24"/>
          <w:szCs w:val="24"/>
          <w:lang w:val="ro-RO"/>
        </w:rPr>
        <w:t xml:space="preserve"> (4420,5 </w:t>
      </w:r>
      <w:proofErr w:type="spellStart"/>
      <w:r w:rsidR="002D0D0D">
        <w:rPr>
          <w:rFonts w:asciiTheme="majorHAnsi" w:hAnsiTheme="majorHAnsi" w:cstheme="majorHAnsi"/>
          <w:sz w:val="24"/>
          <w:szCs w:val="24"/>
          <w:lang w:val="ro-RO"/>
        </w:rPr>
        <w:t>mil.MDL</w:t>
      </w:r>
      <w:proofErr w:type="spellEnd"/>
      <w:r w:rsidRPr="00FB3D39">
        <w:rPr>
          <w:rFonts w:asciiTheme="majorHAnsi" w:hAnsiTheme="majorHAnsi" w:cstheme="majorHAnsi"/>
          <w:sz w:val="24"/>
          <w:szCs w:val="24"/>
          <w:lang w:val="ro-RO"/>
        </w:rPr>
        <w:t xml:space="preserve">), datoriile pentru împrumuturile </w:t>
      </w:r>
      <w:proofErr w:type="spellStart"/>
      <w:r w:rsidRPr="00FB3D39">
        <w:rPr>
          <w:rFonts w:asciiTheme="majorHAnsi" w:hAnsiTheme="majorHAnsi" w:cstheme="majorHAnsi"/>
          <w:sz w:val="24"/>
          <w:szCs w:val="24"/>
          <w:lang w:val="ro-RO"/>
        </w:rPr>
        <w:t>recreditate</w:t>
      </w:r>
      <w:proofErr w:type="spellEnd"/>
      <w:r w:rsidRPr="00FB3D39">
        <w:rPr>
          <w:rFonts w:asciiTheme="majorHAnsi" w:hAnsiTheme="majorHAnsi" w:cstheme="majorHAnsi"/>
          <w:sz w:val="24"/>
          <w:szCs w:val="24"/>
          <w:lang w:val="ro-RO"/>
        </w:rPr>
        <w:t xml:space="preserve"> prin intermediul MF au constituit 2340,2 </w:t>
      </w:r>
      <w:proofErr w:type="spellStart"/>
      <w:r w:rsidR="002D0D0D">
        <w:rPr>
          <w:rFonts w:asciiTheme="majorHAnsi" w:hAnsiTheme="majorHAnsi" w:cstheme="majorHAnsi"/>
          <w:sz w:val="24"/>
          <w:szCs w:val="24"/>
          <w:lang w:val="ro-RO"/>
        </w:rPr>
        <w:t>mil.MDL</w:t>
      </w:r>
      <w:proofErr w:type="spellEnd"/>
      <w:r w:rsidRPr="00FB3D39">
        <w:rPr>
          <w:rFonts w:asciiTheme="majorHAnsi" w:hAnsiTheme="majorHAnsi" w:cstheme="majorHAnsi"/>
          <w:sz w:val="24"/>
          <w:szCs w:val="24"/>
          <w:lang w:val="ro-RO"/>
        </w:rPr>
        <w:t xml:space="preserve"> (52,9%), dintre care în sumă de 253,9 </w:t>
      </w:r>
      <w:proofErr w:type="spellStart"/>
      <w:r w:rsidR="002D0D0D">
        <w:rPr>
          <w:rFonts w:asciiTheme="majorHAnsi" w:hAnsiTheme="majorHAnsi" w:cstheme="majorHAnsi"/>
          <w:sz w:val="24"/>
          <w:szCs w:val="24"/>
          <w:lang w:val="ro-RO"/>
        </w:rPr>
        <w:t>mil.MDL</w:t>
      </w:r>
      <w:proofErr w:type="spellEnd"/>
      <w:r w:rsidRPr="00FB3D39">
        <w:rPr>
          <w:rFonts w:asciiTheme="majorHAnsi" w:hAnsiTheme="majorHAnsi" w:cstheme="majorHAnsi"/>
          <w:sz w:val="24"/>
          <w:szCs w:val="24"/>
          <w:lang w:val="ro-RO"/>
        </w:rPr>
        <w:t xml:space="preserve"> - cu termenul de achitare expirat, iar prin intermediul DLC și </w:t>
      </w:r>
      <w:r w:rsidRPr="00824256">
        <w:rPr>
          <w:rFonts w:asciiTheme="majorHAnsi" w:hAnsiTheme="majorHAnsi" w:cstheme="majorHAnsi"/>
          <w:sz w:val="24"/>
          <w:szCs w:val="24"/>
          <w:lang w:val="ro-RO"/>
        </w:rPr>
        <w:t>FIDA –</w:t>
      </w:r>
      <w:r w:rsidRPr="00FB3D39">
        <w:rPr>
          <w:rFonts w:asciiTheme="majorHAnsi" w:hAnsiTheme="majorHAnsi" w:cstheme="majorHAnsi"/>
          <w:sz w:val="24"/>
          <w:szCs w:val="24"/>
          <w:lang w:val="ro-RO"/>
        </w:rPr>
        <w:t xml:space="preserve"> 2080,3 </w:t>
      </w:r>
      <w:proofErr w:type="spellStart"/>
      <w:r w:rsidR="002D0D0D">
        <w:rPr>
          <w:rFonts w:asciiTheme="majorHAnsi" w:hAnsiTheme="majorHAnsi" w:cstheme="majorHAnsi"/>
          <w:sz w:val="24"/>
          <w:szCs w:val="24"/>
          <w:lang w:val="ro-RO"/>
        </w:rPr>
        <w:t>mil.MDL</w:t>
      </w:r>
      <w:proofErr w:type="spellEnd"/>
      <w:r w:rsidRPr="00FB3D39">
        <w:rPr>
          <w:rFonts w:asciiTheme="majorHAnsi" w:hAnsiTheme="majorHAnsi" w:cstheme="majorHAnsi"/>
          <w:sz w:val="24"/>
          <w:szCs w:val="24"/>
          <w:lang w:val="ro-RO"/>
        </w:rPr>
        <w:t xml:space="preserve">, dintre care în sumă de 11,8 </w:t>
      </w:r>
      <w:proofErr w:type="spellStart"/>
      <w:r w:rsidR="002D0D0D">
        <w:rPr>
          <w:rFonts w:asciiTheme="majorHAnsi" w:hAnsiTheme="majorHAnsi" w:cstheme="majorHAnsi"/>
          <w:sz w:val="24"/>
          <w:szCs w:val="24"/>
          <w:lang w:val="ro-RO"/>
        </w:rPr>
        <w:t>mil.MDL</w:t>
      </w:r>
      <w:proofErr w:type="spellEnd"/>
      <w:r w:rsidR="00EF72EE">
        <w:rPr>
          <w:rStyle w:val="ae"/>
          <w:rFonts w:asciiTheme="majorHAnsi" w:hAnsiTheme="majorHAnsi"/>
          <w:sz w:val="24"/>
          <w:szCs w:val="24"/>
          <w:lang w:val="ro-RO"/>
        </w:rPr>
        <w:footnoteReference w:id="37"/>
      </w:r>
      <w:r w:rsidRPr="00FB3D39">
        <w:rPr>
          <w:rFonts w:asciiTheme="majorHAnsi" w:hAnsiTheme="majorHAnsi" w:cstheme="majorHAnsi"/>
          <w:sz w:val="24"/>
          <w:szCs w:val="24"/>
          <w:lang w:val="ro-RO"/>
        </w:rPr>
        <w:t xml:space="preserve"> - cu termenul de achitare expirat. </w:t>
      </w:r>
      <w:r w:rsidRPr="00FB3D39">
        <w:rPr>
          <w:rFonts w:asciiTheme="majorHAnsi" w:hAnsiTheme="majorHAnsi" w:cstheme="majorHAnsi"/>
          <w:i/>
          <w:sz w:val="24"/>
          <w:szCs w:val="24"/>
          <w:lang w:val="ro-RO"/>
        </w:rPr>
        <w:t xml:space="preserve">Situația descrisă </w:t>
      </w:r>
      <w:r w:rsidR="00A426E0">
        <w:rPr>
          <w:rFonts w:asciiTheme="majorHAnsi" w:hAnsiTheme="majorHAnsi" w:cstheme="majorHAnsi"/>
          <w:i/>
          <w:sz w:val="24"/>
          <w:szCs w:val="24"/>
          <w:lang w:val="ro-RO"/>
        </w:rPr>
        <w:t>este prezentată în Diagrama nr.8</w:t>
      </w:r>
      <w:r w:rsidRPr="00FB3D39">
        <w:rPr>
          <w:rFonts w:asciiTheme="majorHAnsi" w:hAnsiTheme="majorHAnsi" w:cstheme="majorHAnsi"/>
          <w:i/>
          <w:sz w:val="24"/>
          <w:szCs w:val="24"/>
          <w:lang w:val="ro-RO"/>
        </w:rPr>
        <w:t>.</w:t>
      </w:r>
    </w:p>
    <w:p w14:paraId="6592A48B" w14:textId="77777777" w:rsidR="00A30F39" w:rsidRPr="00A30F39" w:rsidRDefault="00A30F39" w:rsidP="00A30F39">
      <w:pPr>
        <w:spacing w:after="0" w:line="240" w:lineRule="auto"/>
        <w:jc w:val="right"/>
        <w:rPr>
          <w:rFonts w:asciiTheme="majorHAnsi" w:hAnsiTheme="majorHAnsi" w:cstheme="majorHAnsi"/>
          <w:i/>
          <w:sz w:val="24"/>
          <w:szCs w:val="24"/>
          <w:highlight w:val="yellow"/>
          <w:lang w:val="ro-RO"/>
        </w:rPr>
      </w:pPr>
      <w:r w:rsidRPr="00A30F39">
        <w:rPr>
          <w:rFonts w:asciiTheme="majorHAnsi" w:hAnsiTheme="majorHAnsi" w:cstheme="majorHAnsi"/>
          <w:b/>
          <w:sz w:val="24"/>
          <w:szCs w:val="24"/>
          <w:lang w:val="ro-RO"/>
        </w:rPr>
        <w:t>Diagrama n</w:t>
      </w:r>
      <w:r w:rsidR="00A426E0">
        <w:rPr>
          <w:rFonts w:asciiTheme="majorHAnsi" w:hAnsiTheme="majorHAnsi" w:cstheme="majorHAnsi"/>
          <w:b/>
          <w:sz w:val="24"/>
          <w:szCs w:val="24"/>
          <w:lang w:val="ro-RO"/>
        </w:rPr>
        <w:t>r.8</w:t>
      </w:r>
      <w:r w:rsidRPr="00A30F39">
        <w:rPr>
          <w:rFonts w:asciiTheme="majorHAnsi" w:hAnsiTheme="majorHAnsi" w:cstheme="majorHAnsi"/>
          <w:i/>
          <w:noProof/>
          <w:sz w:val="24"/>
          <w:szCs w:val="24"/>
          <w:highlight w:val="yellow"/>
          <w:lang w:val="ru-RU" w:eastAsia="ru-RU"/>
        </w:rPr>
        <w:drawing>
          <wp:inline distT="0" distB="0" distL="0" distR="0" wp14:anchorId="615F4E2B" wp14:editId="6746C760">
            <wp:extent cx="5958840" cy="1996440"/>
            <wp:effectExtent l="0" t="0" r="3810" b="381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5BF475C" w14:textId="66B3E850" w:rsidR="00A30F39" w:rsidRPr="00235091" w:rsidRDefault="00A30F39" w:rsidP="00A30F39">
      <w:pPr>
        <w:spacing w:after="0" w:line="240" w:lineRule="auto"/>
        <w:jc w:val="both"/>
        <w:rPr>
          <w:rFonts w:asciiTheme="majorHAnsi" w:hAnsiTheme="majorHAnsi" w:cstheme="majorHAnsi"/>
          <w:sz w:val="20"/>
          <w:szCs w:val="20"/>
          <w:highlight w:val="yellow"/>
          <w:lang w:val="ro-RO" w:eastAsia="ru-RU"/>
        </w:rPr>
      </w:pPr>
      <w:r w:rsidRPr="00A30F39">
        <w:rPr>
          <w:rFonts w:asciiTheme="majorHAnsi" w:hAnsiTheme="majorHAnsi" w:cstheme="majorHAnsi"/>
          <w:b/>
          <w:i/>
          <w:sz w:val="24"/>
          <w:szCs w:val="24"/>
          <w:lang w:val="ro-RO"/>
        </w:rPr>
        <w:t xml:space="preserve"> </w:t>
      </w:r>
      <w:r w:rsidRPr="00235091">
        <w:rPr>
          <w:rFonts w:asciiTheme="majorHAnsi" w:hAnsiTheme="majorHAnsi" w:cstheme="majorHAnsi"/>
          <w:b/>
          <w:i/>
          <w:sz w:val="20"/>
          <w:szCs w:val="20"/>
          <w:lang w:val="ro-RO"/>
        </w:rPr>
        <w:t>Sursă:</w:t>
      </w:r>
      <w:r w:rsidRPr="00235091">
        <w:rPr>
          <w:rFonts w:asciiTheme="majorHAnsi" w:hAnsiTheme="majorHAnsi" w:cstheme="majorHAnsi"/>
          <w:sz w:val="20"/>
          <w:szCs w:val="20"/>
          <w:lang w:val="ro-RO"/>
        </w:rPr>
        <w:t xml:space="preserve"> </w:t>
      </w:r>
      <w:r w:rsidR="00612E2F">
        <w:rPr>
          <w:rFonts w:asciiTheme="majorHAnsi" w:hAnsiTheme="majorHAnsi" w:cstheme="majorHAnsi"/>
          <w:sz w:val="20"/>
          <w:szCs w:val="20"/>
          <w:lang w:val="ro-RO" w:eastAsia="ru-RU"/>
        </w:rPr>
        <w:t>D</w:t>
      </w:r>
      <w:r w:rsidRPr="00235091">
        <w:rPr>
          <w:rFonts w:asciiTheme="majorHAnsi" w:hAnsiTheme="majorHAnsi" w:cstheme="majorHAnsi"/>
          <w:sz w:val="20"/>
          <w:szCs w:val="20"/>
          <w:lang w:val="ro-RO" w:eastAsia="ru-RU"/>
        </w:rPr>
        <w:t>atel</w:t>
      </w:r>
      <w:r w:rsidR="00612E2F">
        <w:rPr>
          <w:rFonts w:asciiTheme="majorHAnsi" w:hAnsiTheme="majorHAnsi" w:cstheme="majorHAnsi"/>
          <w:sz w:val="20"/>
          <w:szCs w:val="20"/>
          <w:lang w:val="ro-RO" w:eastAsia="ru-RU"/>
        </w:rPr>
        <w:t>e</w:t>
      </w:r>
      <w:r w:rsidRPr="00235091">
        <w:rPr>
          <w:rFonts w:asciiTheme="majorHAnsi" w:hAnsiTheme="majorHAnsi" w:cstheme="majorHAnsi"/>
          <w:sz w:val="20"/>
          <w:szCs w:val="20"/>
          <w:lang w:val="ro-RO" w:eastAsia="ru-RU"/>
        </w:rPr>
        <w:t xml:space="preserve"> din Raportul privind recreditarea de stat la situația din 31.12.2018.</w:t>
      </w:r>
    </w:p>
    <w:p w14:paraId="56215D40" w14:textId="6C63C1EB" w:rsidR="00A30F39" w:rsidRDefault="00A30F39" w:rsidP="00A30F39">
      <w:pPr>
        <w:spacing w:after="0" w:line="276" w:lineRule="auto"/>
        <w:ind w:firstLine="567"/>
        <w:jc w:val="both"/>
        <w:rPr>
          <w:rFonts w:asciiTheme="majorHAnsi" w:hAnsiTheme="majorHAnsi" w:cstheme="majorHAnsi"/>
          <w:sz w:val="24"/>
          <w:szCs w:val="24"/>
          <w:highlight w:val="yellow"/>
          <w:lang w:val="ro-RO"/>
        </w:rPr>
      </w:pPr>
    </w:p>
    <w:p w14:paraId="4A1354B9" w14:textId="73889AEC" w:rsidR="00073285" w:rsidRDefault="00073285" w:rsidP="00A30F39">
      <w:pPr>
        <w:spacing w:after="0" w:line="276" w:lineRule="auto"/>
        <w:ind w:firstLine="567"/>
        <w:jc w:val="both"/>
        <w:rPr>
          <w:rFonts w:asciiTheme="majorHAnsi" w:hAnsiTheme="majorHAnsi" w:cstheme="majorHAnsi"/>
          <w:sz w:val="24"/>
          <w:szCs w:val="24"/>
          <w:highlight w:val="yellow"/>
          <w:lang w:val="ro-RO"/>
        </w:rPr>
      </w:pPr>
    </w:p>
    <w:p w14:paraId="5AAC37F5" w14:textId="77777777" w:rsidR="00073285" w:rsidRPr="00A30F39" w:rsidRDefault="00073285" w:rsidP="00A30F39">
      <w:pPr>
        <w:spacing w:after="0" w:line="276" w:lineRule="auto"/>
        <w:ind w:firstLine="567"/>
        <w:jc w:val="both"/>
        <w:rPr>
          <w:rFonts w:asciiTheme="majorHAnsi" w:hAnsiTheme="majorHAnsi" w:cstheme="majorHAnsi"/>
          <w:sz w:val="24"/>
          <w:szCs w:val="24"/>
          <w:highlight w:val="yellow"/>
          <w:lang w:val="ro-RO"/>
        </w:rPr>
      </w:pPr>
    </w:p>
    <w:p w14:paraId="59034F5E" w14:textId="1EE442CB" w:rsidR="00A30F39" w:rsidRPr="00FB3D39" w:rsidRDefault="00A30F39" w:rsidP="005D2329">
      <w:pPr>
        <w:pStyle w:val="2"/>
        <w:ind w:firstLine="709"/>
        <w:jc w:val="both"/>
        <w:rPr>
          <w:rFonts w:asciiTheme="majorHAnsi" w:hAnsiTheme="majorHAnsi" w:cstheme="majorHAnsi"/>
          <w:b/>
          <w:color w:val="auto"/>
          <w:sz w:val="24"/>
          <w:szCs w:val="24"/>
          <w:lang w:val="ro-RO"/>
        </w:rPr>
      </w:pPr>
      <w:bookmarkStart w:id="56" w:name="_Toc10106698"/>
      <w:r w:rsidRPr="00FB3D39">
        <w:rPr>
          <w:rFonts w:asciiTheme="majorHAnsi" w:hAnsiTheme="majorHAnsi" w:cstheme="majorHAnsi"/>
          <w:b/>
          <w:color w:val="auto"/>
          <w:sz w:val="24"/>
          <w:szCs w:val="24"/>
          <w:lang w:val="ro-RO"/>
        </w:rPr>
        <w:lastRenderedPageBreak/>
        <w:t xml:space="preserve">3.3.3. Deși datoriile cu termenul de achitare expirat pentru împrumuturile </w:t>
      </w:r>
      <w:proofErr w:type="spellStart"/>
      <w:r w:rsidRPr="00FB3D39">
        <w:rPr>
          <w:rFonts w:asciiTheme="majorHAnsi" w:hAnsiTheme="majorHAnsi" w:cstheme="majorHAnsi"/>
          <w:b/>
          <w:color w:val="auto"/>
          <w:sz w:val="24"/>
          <w:szCs w:val="24"/>
          <w:lang w:val="ro-RO"/>
        </w:rPr>
        <w:t>recreditate</w:t>
      </w:r>
      <w:proofErr w:type="spellEnd"/>
      <w:r w:rsidR="00A475F1">
        <w:rPr>
          <w:rFonts w:asciiTheme="majorHAnsi" w:hAnsiTheme="majorHAnsi" w:cstheme="majorHAnsi"/>
          <w:b/>
          <w:color w:val="auto"/>
          <w:sz w:val="24"/>
          <w:szCs w:val="24"/>
          <w:lang w:val="ro-RO"/>
        </w:rPr>
        <w:t xml:space="preserve"> raportate în valut</w:t>
      </w:r>
      <w:r w:rsidR="00B31382">
        <w:rPr>
          <w:rFonts w:asciiTheme="majorHAnsi" w:hAnsiTheme="majorHAnsi" w:cstheme="majorHAnsi"/>
          <w:b/>
          <w:color w:val="auto"/>
          <w:sz w:val="24"/>
          <w:szCs w:val="24"/>
          <w:lang w:val="ro-RO"/>
        </w:rPr>
        <w:t xml:space="preserve">ă </w:t>
      </w:r>
      <w:r w:rsidR="00A475F1">
        <w:rPr>
          <w:rFonts w:asciiTheme="majorHAnsi" w:hAnsiTheme="majorHAnsi" w:cstheme="majorHAnsi"/>
          <w:b/>
          <w:color w:val="auto"/>
          <w:sz w:val="24"/>
          <w:szCs w:val="24"/>
          <w:lang w:val="ro-RO"/>
        </w:rPr>
        <w:t>națională</w:t>
      </w:r>
      <w:r w:rsidRPr="00FB3D39">
        <w:rPr>
          <w:rFonts w:asciiTheme="majorHAnsi" w:hAnsiTheme="majorHAnsi" w:cstheme="majorHAnsi"/>
          <w:b/>
          <w:color w:val="auto"/>
          <w:sz w:val="24"/>
          <w:szCs w:val="24"/>
          <w:lang w:val="ro-RO"/>
        </w:rPr>
        <w:t xml:space="preserve"> continuă să se diminueze, acestea </w:t>
      </w:r>
      <w:r w:rsidRPr="00FB3D39">
        <w:rPr>
          <w:rFonts w:asciiTheme="majorHAnsi" w:hAnsiTheme="majorHAnsi" w:cstheme="majorHAnsi"/>
          <w:b/>
          <w:color w:val="auto"/>
          <w:sz w:val="24"/>
          <w:szCs w:val="24"/>
          <w:lang w:val="ro-RO" w:eastAsia="ru-RU"/>
        </w:rPr>
        <w:t>prezintă un risc sporit de nerecuperare.</w:t>
      </w:r>
      <w:bookmarkEnd w:id="56"/>
    </w:p>
    <w:p w14:paraId="21A06CC8" w14:textId="77777777" w:rsidR="00A55039" w:rsidRDefault="00A30F39" w:rsidP="00A30F39">
      <w:pPr>
        <w:spacing w:after="0" w:line="276" w:lineRule="auto"/>
        <w:jc w:val="both"/>
        <w:rPr>
          <w:rFonts w:asciiTheme="majorHAnsi" w:hAnsiTheme="majorHAnsi" w:cstheme="majorHAnsi"/>
          <w:sz w:val="24"/>
          <w:szCs w:val="24"/>
          <w:lang w:val="ro-RO" w:eastAsia="ru-RU"/>
        </w:rPr>
      </w:pPr>
      <w:r w:rsidRPr="00FB3D39">
        <w:rPr>
          <w:rFonts w:asciiTheme="majorHAnsi" w:hAnsiTheme="majorHAnsi" w:cstheme="majorHAnsi"/>
          <w:sz w:val="24"/>
          <w:szCs w:val="24"/>
          <w:lang w:val="ro-RO" w:eastAsia="ru-RU"/>
        </w:rPr>
        <w:tab/>
      </w:r>
    </w:p>
    <w:p w14:paraId="6F08B14C" w14:textId="452C5813" w:rsidR="00A30F39" w:rsidRPr="00FB3D39" w:rsidRDefault="00A30F39" w:rsidP="00A55039">
      <w:pPr>
        <w:spacing w:after="0" w:line="276" w:lineRule="auto"/>
        <w:ind w:firstLine="720"/>
        <w:jc w:val="both"/>
        <w:rPr>
          <w:rFonts w:asciiTheme="majorHAnsi" w:hAnsiTheme="majorHAnsi" w:cstheme="majorHAnsi"/>
          <w:sz w:val="24"/>
          <w:szCs w:val="24"/>
          <w:lang w:val="ro-RO" w:eastAsia="ru-RU"/>
        </w:rPr>
      </w:pPr>
      <w:r w:rsidRPr="00FB3D39">
        <w:rPr>
          <w:rFonts w:asciiTheme="majorHAnsi" w:hAnsiTheme="majorHAnsi" w:cstheme="majorHAnsi"/>
          <w:sz w:val="24"/>
          <w:szCs w:val="24"/>
          <w:lang w:val="ro-RO" w:eastAsia="ru-RU"/>
        </w:rPr>
        <w:t xml:space="preserve">La situația din 31.12.2018, datoriile cu termenul de achitare expirat pentru </w:t>
      </w:r>
      <w:r w:rsidRPr="008E6807">
        <w:rPr>
          <w:rFonts w:asciiTheme="majorHAnsi" w:hAnsiTheme="majorHAnsi"/>
          <w:sz w:val="24"/>
          <w:lang w:val="ro-RO"/>
        </w:rPr>
        <w:t xml:space="preserve">împrumuturile </w:t>
      </w:r>
      <w:proofErr w:type="spellStart"/>
      <w:r w:rsidRPr="008E6807">
        <w:rPr>
          <w:rFonts w:asciiTheme="majorHAnsi" w:hAnsiTheme="majorHAnsi"/>
          <w:sz w:val="24"/>
          <w:lang w:val="ro-RO"/>
        </w:rPr>
        <w:t>recreditate</w:t>
      </w:r>
      <w:proofErr w:type="spellEnd"/>
      <w:r w:rsidRPr="008E6807">
        <w:rPr>
          <w:rFonts w:asciiTheme="majorHAnsi" w:hAnsiTheme="majorHAnsi"/>
          <w:sz w:val="24"/>
          <w:lang w:val="ro-RO"/>
        </w:rPr>
        <w:t xml:space="preserve"> </w:t>
      </w:r>
      <w:r w:rsidRPr="00FB3D39">
        <w:rPr>
          <w:rFonts w:asciiTheme="majorHAnsi" w:hAnsiTheme="majorHAnsi" w:cstheme="majorHAnsi"/>
          <w:sz w:val="24"/>
          <w:szCs w:val="24"/>
          <w:lang w:val="ro-RO" w:eastAsia="ru-RU"/>
        </w:rPr>
        <w:t xml:space="preserve">au constituit echivalentul a 265,7 </w:t>
      </w:r>
      <w:proofErr w:type="spellStart"/>
      <w:r w:rsidR="002D0D0D">
        <w:rPr>
          <w:rFonts w:asciiTheme="majorHAnsi" w:hAnsiTheme="majorHAnsi" w:cstheme="majorHAnsi"/>
          <w:sz w:val="24"/>
          <w:szCs w:val="24"/>
          <w:lang w:val="ro-RO" w:eastAsia="ru-RU"/>
        </w:rPr>
        <w:t>mil.MDL</w:t>
      </w:r>
      <w:proofErr w:type="spellEnd"/>
      <w:r w:rsidRPr="00FB3D39">
        <w:rPr>
          <w:rFonts w:asciiTheme="majorHAnsi" w:hAnsiTheme="majorHAnsi" w:cstheme="majorHAnsi"/>
          <w:sz w:val="24"/>
          <w:szCs w:val="24"/>
          <w:lang w:val="ro-RO" w:eastAsia="ru-RU"/>
        </w:rPr>
        <w:t xml:space="preserve"> (72,7 </w:t>
      </w:r>
      <w:proofErr w:type="spellStart"/>
      <w:r w:rsidR="002D0D0D">
        <w:rPr>
          <w:rFonts w:asciiTheme="majorHAnsi" w:hAnsiTheme="majorHAnsi" w:cstheme="majorHAnsi"/>
          <w:sz w:val="24"/>
          <w:szCs w:val="24"/>
          <w:lang w:val="ro-RO" w:eastAsia="ru-RU"/>
        </w:rPr>
        <w:t>mil.MDL</w:t>
      </w:r>
      <w:proofErr w:type="spellEnd"/>
      <w:r w:rsidRPr="00FB3D39">
        <w:rPr>
          <w:rFonts w:asciiTheme="majorHAnsi" w:hAnsiTheme="majorHAnsi" w:cstheme="majorHAnsi"/>
          <w:sz w:val="24"/>
          <w:szCs w:val="24"/>
          <w:lang w:val="ro-RO" w:eastAsia="ru-RU"/>
        </w:rPr>
        <w:t xml:space="preserve">, 10,6 </w:t>
      </w:r>
      <w:proofErr w:type="spellStart"/>
      <w:r w:rsidRPr="00FB3D39">
        <w:rPr>
          <w:rFonts w:asciiTheme="majorHAnsi" w:hAnsiTheme="majorHAnsi" w:cstheme="majorHAnsi"/>
          <w:sz w:val="24"/>
          <w:szCs w:val="24"/>
          <w:lang w:val="ro-RO" w:eastAsia="ru-RU"/>
        </w:rPr>
        <w:t>mil.dol.SUA</w:t>
      </w:r>
      <w:proofErr w:type="spellEnd"/>
      <w:r w:rsidRPr="00FB3D39">
        <w:rPr>
          <w:rFonts w:asciiTheme="majorHAnsi" w:hAnsiTheme="majorHAnsi" w:cstheme="majorHAnsi"/>
          <w:sz w:val="24"/>
          <w:szCs w:val="24"/>
          <w:lang w:val="ro-RO" w:eastAsia="ru-RU"/>
        </w:rPr>
        <w:t xml:space="preserve"> și 0,5 </w:t>
      </w:r>
      <w:proofErr w:type="spellStart"/>
      <w:r w:rsidRPr="00FB3D39">
        <w:rPr>
          <w:rFonts w:asciiTheme="majorHAnsi" w:hAnsiTheme="majorHAnsi" w:cstheme="majorHAnsi"/>
          <w:sz w:val="24"/>
          <w:szCs w:val="24"/>
          <w:lang w:val="ro-RO" w:eastAsia="ru-RU"/>
        </w:rPr>
        <w:t>mil.euro</w:t>
      </w:r>
      <w:proofErr w:type="spellEnd"/>
      <w:r w:rsidRPr="00FB3D39">
        <w:rPr>
          <w:rFonts w:asciiTheme="majorHAnsi" w:hAnsiTheme="majorHAnsi" w:cstheme="majorHAnsi"/>
          <w:sz w:val="24"/>
          <w:szCs w:val="24"/>
          <w:lang w:val="ro-RO" w:eastAsia="ru-RU"/>
        </w:rPr>
        <w:t xml:space="preserve">), reducându-se cu </w:t>
      </w:r>
      <w:r w:rsidR="005C49EE">
        <w:rPr>
          <w:rFonts w:asciiTheme="majorHAnsi" w:hAnsiTheme="majorHAnsi" w:cstheme="majorHAnsi"/>
          <w:sz w:val="24"/>
          <w:szCs w:val="24"/>
          <w:lang w:val="ro-RO" w:eastAsia="ru-RU"/>
        </w:rPr>
        <w:t>47,1</w:t>
      </w:r>
      <w:r w:rsidRPr="00FB3D39">
        <w:rPr>
          <w:rFonts w:asciiTheme="majorHAnsi" w:hAnsiTheme="majorHAnsi" w:cstheme="majorHAnsi"/>
          <w:sz w:val="24"/>
          <w:szCs w:val="24"/>
          <w:lang w:val="ro-RO" w:eastAsia="ru-RU"/>
        </w:rPr>
        <w:t xml:space="preserve"> </w:t>
      </w:r>
      <w:proofErr w:type="spellStart"/>
      <w:r w:rsidR="002D0D0D">
        <w:rPr>
          <w:rFonts w:asciiTheme="majorHAnsi" w:hAnsiTheme="majorHAnsi" w:cstheme="majorHAnsi"/>
          <w:sz w:val="24"/>
          <w:szCs w:val="24"/>
          <w:lang w:val="ro-RO" w:eastAsia="ru-RU"/>
        </w:rPr>
        <w:t>mil.MDL</w:t>
      </w:r>
      <w:proofErr w:type="spellEnd"/>
      <w:r w:rsidRPr="00FB3D39">
        <w:rPr>
          <w:rFonts w:asciiTheme="majorHAnsi" w:hAnsiTheme="majorHAnsi" w:cstheme="majorHAnsi"/>
          <w:sz w:val="24"/>
          <w:szCs w:val="24"/>
          <w:lang w:val="ro-RO" w:eastAsia="ru-RU"/>
        </w:rPr>
        <w:t xml:space="preserve"> față de finele anului 2017. </w:t>
      </w:r>
    </w:p>
    <w:p w14:paraId="3B869CE2" w14:textId="21D0D8DF" w:rsidR="00A30F39" w:rsidRPr="00FB3D39" w:rsidRDefault="00A30F39" w:rsidP="00A30F39">
      <w:pPr>
        <w:spacing w:after="0" w:line="276" w:lineRule="auto"/>
        <w:ind w:firstLine="720"/>
        <w:jc w:val="both"/>
        <w:rPr>
          <w:rFonts w:asciiTheme="majorHAnsi" w:hAnsiTheme="majorHAnsi" w:cstheme="majorHAnsi"/>
          <w:sz w:val="24"/>
          <w:szCs w:val="24"/>
          <w:lang w:val="ro-RO" w:eastAsia="ru-RU"/>
        </w:rPr>
      </w:pPr>
      <w:r w:rsidRPr="00FB3D39">
        <w:rPr>
          <w:rFonts w:asciiTheme="majorHAnsi" w:hAnsiTheme="majorHAnsi" w:cstheme="majorHAnsi"/>
          <w:sz w:val="24"/>
          <w:szCs w:val="24"/>
          <w:lang w:val="ro-RO" w:eastAsia="ru-RU"/>
        </w:rPr>
        <w:t>În anul 2018, ca urmare a radierii a două persoane juridice din Registrul de stat al persoanelor juridice, prin Ordinul MF nr. 122 din 05.07.2018</w:t>
      </w:r>
      <w:r w:rsidRPr="00FB3D39">
        <w:rPr>
          <w:rStyle w:val="ae"/>
          <w:rFonts w:asciiTheme="majorHAnsi" w:hAnsiTheme="majorHAnsi" w:cstheme="majorHAnsi"/>
          <w:sz w:val="24"/>
          <w:szCs w:val="24"/>
          <w:lang w:val="ro-RO" w:eastAsia="ru-RU"/>
        </w:rPr>
        <w:footnoteReference w:id="38"/>
      </w:r>
      <w:r w:rsidRPr="00FB3D39">
        <w:rPr>
          <w:rFonts w:asciiTheme="majorHAnsi" w:hAnsiTheme="majorHAnsi" w:cstheme="majorHAnsi"/>
          <w:sz w:val="24"/>
          <w:szCs w:val="24"/>
          <w:lang w:val="ro-RO" w:eastAsia="ru-RU"/>
        </w:rPr>
        <w:t xml:space="preserve">, s-a dispus stingerea datoriei față de MF pentru creditele </w:t>
      </w:r>
      <w:r w:rsidRPr="00050169">
        <w:rPr>
          <w:rFonts w:asciiTheme="majorHAnsi" w:hAnsiTheme="majorHAnsi" w:cstheme="majorHAnsi"/>
          <w:sz w:val="24"/>
          <w:szCs w:val="24"/>
          <w:lang w:val="ro-RO" w:eastAsia="ru-RU"/>
        </w:rPr>
        <w:t xml:space="preserve">acordate </w:t>
      </w:r>
      <w:r w:rsidR="00B31382" w:rsidRPr="00050169">
        <w:rPr>
          <w:rFonts w:asciiTheme="majorHAnsi" w:hAnsiTheme="majorHAnsi" w:cstheme="majorHAnsi"/>
          <w:sz w:val="24"/>
          <w:szCs w:val="24"/>
          <w:lang w:val="ro-RO" w:eastAsia="ru-RU"/>
        </w:rPr>
        <w:t>a</w:t>
      </w:r>
      <w:r w:rsidR="00B31382">
        <w:rPr>
          <w:rFonts w:asciiTheme="majorHAnsi" w:hAnsiTheme="majorHAnsi" w:cstheme="majorHAnsi"/>
          <w:sz w:val="24"/>
          <w:szCs w:val="24"/>
          <w:lang w:val="ro-RO" w:eastAsia="ru-RU"/>
        </w:rPr>
        <w:t xml:space="preserve"> </w:t>
      </w:r>
      <w:r w:rsidRPr="00FB3D39">
        <w:rPr>
          <w:rFonts w:asciiTheme="majorHAnsi" w:hAnsiTheme="majorHAnsi" w:cstheme="majorHAnsi"/>
          <w:sz w:val="24"/>
          <w:szCs w:val="24"/>
          <w:lang w:val="ro-RO" w:eastAsia="ru-RU"/>
        </w:rPr>
        <w:t>S.A</w:t>
      </w:r>
      <w:r w:rsidR="00B31382">
        <w:rPr>
          <w:rFonts w:asciiTheme="majorHAnsi" w:hAnsiTheme="majorHAnsi" w:cstheme="majorHAnsi"/>
          <w:sz w:val="24"/>
          <w:szCs w:val="24"/>
          <w:lang w:val="ro-RO" w:eastAsia="ru-RU"/>
        </w:rPr>
        <w:t>.</w:t>
      </w:r>
      <w:r w:rsidRPr="00FB3D39">
        <w:rPr>
          <w:rFonts w:asciiTheme="majorHAnsi" w:hAnsiTheme="majorHAnsi" w:cstheme="majorHAnsi"/>
          <w:sz w:val="24"/>
          <w:szCs w:val="24"/>
          <w:lang w:val="ro-RO" w:eastAsia="ru-RU"/>
        </w:rPr>
        <w:t xml:space="preserve"> „EKINI” </w:t>
      </w:r>
      <w:r w:rsidR="00B31382">
        <w:rPr>
          <w:rFonts w:asciiTheme="majorHAnsi" w:hAnsiTheme="majorHAnsi" w:cstheme="majorHAnsi"/>
          <w:sz w:val="24"/>
          <w:szCs w:val="24"/>
          <w:lang w:val="ro-RO" w:eastAsia="ru-RU"/>
        </w:rPr>
        <w:t xml:space="preserve">- </w:t>
      </w:r>
      <w:r w:rsidRPr="00FB3D39">
        <w:rPr>
          <w:rFonts w:asciiTheme="majorHAnsi" w:hAnsiTheme="majorHAnsi" w:cstheme="majorHAnsi"/>
          <w:sz w:val="24"/>
          <w:szCs w:val="24"/>
          <w:lang w:val="ro-RO" w:eastAsia="ru-RU"/>
        </w:rPr>
        <w:t xml:space="preserve">în sumă de 2,2 </w:t>
      </w:r>
      <w:proofErr w:type="spellStart"/>
      <w:r w:rsidR="002D0D0D">
        <w:rPr>
          <w:rFonts w:asciiTheme="majorHAnsi" w:hAnsiTheme="majorHAnsi" w:cstheme="majorHAnsi"/>
          <w:sz w:val="24"/>
          <w:szCs w:val="24"/>
          <w:lang w:val="ro-RO" w:eastAsia="ru-RU"/>
        </w:rPr>
        <w:t>mil.MDL</w:t>
      </w:r>
      <w:proofErr w:type="spellEnd"/>
      <w:r w:rsidRPr="00FB3D39">
        <w:rPr>
          <w:rFonts w:asciiTheme="majorHAnsi" w:hAnsiTheme="majorHAnsi" w:cstheme="majorHAnsi"/>
          <w:sz w:val="24"/>
          <w:szCs w:val="24"/>
          <w:lang w:val="ro-RO" w:eastAsia="ru-RU"/>
        </w:rPr>
        <w:t xml:space="preserve"> și  a Companiei de Leasing </w:t>
      </w:r>
      <w:r w:rsidR="00B31382">
        <w:rPr>
          <w:rFonts w:asciiTheme="majorHAnsi" w:hAnsiTheme="majorHAnsi" w:cstheme="majorHAnsi"/>
          <w:sz w:val="24"/>
          <w:szCs w:val="24"/>
          <w:lang w:val="ro-RO" w:eastAsia="ru-RU"/>
        </w:rPr>
        <w:t>„</w:t>
      </w:r>
      <w:r w:rsidRPr="00FB3D39">
        <w:rPr>
          <w:rFonts w:asciiTheme="majorHAnsi" w:hAnsiTheme="majorHAnsi" w:cstheme="majorHAnsi"/>
          <w:sz w:val="24"/>
          <w:szCs w:val="24"/>
          <w:lang w:val="ro-RO" w:eastAsia="ru-RU"/>
        </w:rPr>
        <w:t xml:space="preserve">TEHAGROLEASING” </w:t>
      </w:r>
      <w:r w:rsidR="00B31382">
        <w:rPr>
          <w:rFonts w:asciiTheme="majorHAnsi" w:hAnsiTheme="majorHAnsi" w:cstheme="majorHAnsi"/>
          <w:sz w:val="24"/>
          <w:szCs w:val="24"/>
          <w:lang w:val="ro-RO" w:eastAsia="ru-RU"/>
        </w:rPr>
        <w:t xml:space="preserve">- </w:t>
      </w:r>
      <w:r w:rsidRPr="00FB3D39">
        <w:rPr>
          <w:rFonts w:asciiTheme="majorHAnsi" w:hAnsiTheme="majorHAnsi" w:cstheme="majorHAnsi"/>
          <w:sz w:val="24"/>
          <w:szCs w:val="24"/>
          <w:lang w:val="ro-RO" w:eastAsia="ru-RU"/>
        </w:rPr>
        <w:t xml:space="preserve">în sumă de 19,8 </w:t>
      </w:r>
      <w:proofErr w:type="spellStart"/>
      <w:r w:rsidR="002D0D0D">
        <w:rPr>
          <w:rFonts w:asciiTheme="majorHAnsi" w:hAnsiTheme="majorHAnsi" w:cstheme="majorHAnsi"/>
          <w:sz w:val="24"/>
          <w:szCs w:val="24"/>
          <w:lang w:val="ro-RO" w:eastAsia="ru-RU"/>
        </w:rPr>
        <w:t>mil.MDL</w:t>
      </w:r>
      <w:proofErr w:type="spellEnd"/>
      <w:r w:rsidRPr="00FB3D39">
        <w:rPr>
          <w:rFonts w:asciiTheme="majorHAnsi" w:hAnsiTheme="majorHAnsi" w:cstheme="majorHAnsi"/>
          <w:sz w:val="24"/>
          <w:szCs w:val="24"/>
          <w:lang w:val="ro-RO" w:eastAsia="ru-RU"/>
        </w:rPr>
        <w:t>.</w:t>
      </w:r>
    </w:p>
    <w:p w14:paraId="363D4FB6" w14:textId="70944996" w:rsidR="00A30F39" w:rsidRPr="008E6807" w:rsidRDefault="00A30F39" w:rsidP="00A30F39">
      <w:pPr>
        <w:pStyle w:val="a8"/>
        <w:spacing w:line="276" w:lineRule="auto"/>
        <w:ind w:firstLine="720"/>
        <w:rPr>
          <w:rFonts w:asciiTheme="majorHAnsi" w:hAnsiTheme="majorHAnsi"/>
          <w:lang w:val="ro-RO"/>
        </w:rPr>
      </w:pPr>
      <w:r w:rsidRPr="00FB3D39">
        <w:rPr>
          <w:rFonts w:asciiTheme="majorHAnsi" w:hAnsiTheme="majorHAnsi" w:cstheme="majorHAnsi"/>
          <w:lang w:val="ro-RO" w:eastAsia="ru-RU"/>
        </w:rPr>
        <w:t xml:space="preserve">Deși datoriile beneficiarilor </w:t>
      </w:r>
      <w:proofErr w:type="spellStart"/>
      <w:r w:rsidRPr="00FB3D39">
        <w:rPr>
          <w:rFonts w:asciiTheme="majorHAnsi" w:hAnsiTheme="majorHAnsi" w:cstheme="majorHAnsi"/>
          <w:lang w:val="ro-RO" w:eastAsia="ru-RU"/>
        </w:rPr>
        <w:t>recreditați</w:t>
      </w:r>
      <w:proofErr w:type="spellEnd"/>
      <w:r w:rsidRPr="00FB3D39">
        <w:rPr>
          <w:rFonts w:asciiTheme="majorHAnsi" w:hAnsiTheme="majorHAnsi" w:cstheme="majorHAnsi"/>
          <w:lang w:val="ro-RO" w:eastAsia="ru-RU"/>
        </w:rPr>
        <w:t xml:space="preserve"> sunt în descreștere față de anul precedent</w:t>
      </w:r>
      <w:r w:rsidRPr="00FB3D39">
        <w:rPr>
          <w:rFonts w:asciiTheme="majorHAnsi" w:hAnsiTheme="majorHAnsi" w:cstheme="majorHAnsi"/>
          <w:lang w:val="ro-RO"/>
        </w:rPr>
        <w:t xml:space="preserve"> cu </w:t>
      </w:r>
      <w:r w:rsidR="007922BF">
        <w:rPr>
          <w:rFonts w:asciiTheme="majorHAnsi" w:hAnsiTheme="majorHAnsi" w:cstheme="majorHAnsi"/>
          <w:lang w:val="ro-RO"/>
        </w:rPr>
        <w:t>255,3</w:t>
      </w:r>
      <w:r w:rsidRPr="00FB3D39">
        <w:rPr>
          <w:rFonts w:asciiTheme="majorHAnsi" w:hAnsiTheme="majorHAnsi" w:cstheme="majorHAnsi"/>
          <w:lang w:val="ro-RO"/>
        </w:rPr>
        <w:t xml:space="preserve"> </w:t>
      </w:r>
      <w:proofErr w:type="spellStart"/>
      <w:r w:rsidR="002D0D0D">
        <w:rPr>
          <w:rFonts w:asciiTheme="majorHAnsi" w:hAnsiTheme="majorHAnsi" w:cstheme="majorHAnsi"/>
          <w:lang w:val="ro-RO"/>
        </w:rPr>
        <w:t>mil.MDL</w:t>
      </w:r>
      <w:proofErr w:type="spellEnd"/>
      <w:r w:rsidRPr="00FB3D39">
        <w:rPr>
          <w:rFonts w:asciiTheme="majorHAnsi" w:hAnsiTheme="majorHAnsi" w:cstheme="majorHAnsi"/>
          <w:lang w:val="ro-RO"/>
        </w:rPr>
        <w:t xml:space="preserve"> și datoriile cu termenul de achitare expirat sunt în descreștere cu </w:t>
      </w:r>
      <w:r w:rsidR="007922BF">
        <w:rPr>
          <w:rFonts w:asciiTheme="majorHAnsi" w:hAnsiTheme="majorHAnsi" w:cstheme="majorHAnsi"/>
          <w:lang w:val="ro-RO"/>
        </w:rPr>
        <w:t>47,1</w:t>
      </w:r>
      <w:r w:rsidRPr="00FB3D39">
        <w:rPr>
          <w:rFonts w:asciiTheme="majorHAnsi" w:hAnsiTheme="majorHAnsi" w:cstheme="majorHAnsi"/>
          <w:lang w:val="ro-RO"/>
        </w:rPr>
        <w:t xml:space="preserve"> </w:t>
      </w:r>
      <w:proofErr w:type="spellStart"/>
      <w:r w:rsidR="002D0D0D">
        <w:rPr>
          <w:rFonts w:asciiTheme="majorHAnsi" w:hAnsiTheme="majorHAnsi" w:cstheme="majorHAnsi"/>
          <w:lang w:val="ro-RO"/>
        </w:rPr>
        <w:t>mil.MDL</w:t>
      </w:r>
      <w:proofErr w:type="spellEnd"/>
      <w:r w:rsidRPr="00FB3D39">
        <w:rPr>
          <w:rFonts w:asciiTheme="majorHAnsi" w:hAnsiTheme="majorHAnsi" w:cstheme="majorHAnsi"/>
          <w:lang w:val="ro-RO" w:eastAsia="ru-RU"/>
        </w:rPr>
        <w:t>, auditul denotă menținerea prezenței unor riscuri financiare sporite de neîncasare a datoriilor cu termenul de achitare expirat.</w:t>
      </w:r>
      <w:r w:rsidRPr="00A30F39">
        <w:rPr>
          <w:rFonts w:asciiTheme="majorHAnsi" w:hAnsiTheme="majorHAnsi" w:cstheme="majorHAnsi"/>
          <w:lang w:val="ro-RO" w:eastAsia="ru-RU"/>
        </w:rPr>
        <w:t xml:space="preserve"> </w:t>
      </w:r>
    </w:p>
    <w:p w14:paraId="0C9AE090" w14:textId="1114778D" w:rsidR="00A30F39" w:rsidRPr="00073285" w:rsidRDefault="00A30F39" w:rsidP="00073285">
      <w:pPr>
        <w:spacing w:after="0" w:line="276" w:lineRule="auto"/>
        <w:ind w:firstLine="720"/>
        <w:jc w:val="both"/>
        <w:rPr>
          <w:rFonts w:asciiTheme="majorHAnsi" w:hAnsiTheme="majorHAnsi" w:cstheme="majorHAnsi"/>
          <w:sz w:val="24"/>
          <w:szCs w:val="24"/>
          <w:highlight w:val="yellow"/>
          <w:lang w:val="ro-RO" w:eastAsia="ru-RU"/>
        </w:rPr>
      </w:pPr>
      <w:r w:rsidRPr="00A30F39">
        <w:rPr>
          <w:rFonts w:asciiTheme="majorHAnsi" w:hAnsiTheme="majorHAnsi" w:cstheme="majorHAnsi"/>
          <w:sz w:val="24"/>
          <w:szCs w:val="24"/>
          <w:lang w:val="ro-RO" w:eastAsia="ru-RU"/>
        </w:rPr>
        <w:t>Din</w:t>
      </w:r>
      <w:r w:rsidR="00201DC6">
        <w:rPr>
          <w:rFonts w:asciiTheme="majorHAnsi" w:hAnsiTheme="majorHAnsi" w:cstheme="majorHAnsi"/>
          <w:sz w:val="24"/>
          <w:szCs w:val="24"/>
          <w:lang w:val="ro-RO" w:eastAsia="ru-RU"/>
        </w:rPr>
        <w:t xml:space="preserve"> totalul de </w:t>
      </w:r>
      <w:r w:rsidR="007922BF">
        <w:rPr>
          <w:rFonts w:asciiTheme="majorHAnsi" w:hAnsiTheme="majorHAnsi" w:cstheme="majorHAnsi"/>
          <w:sz w:val="24"/>
          <w:szCs w:val="24"/>
          <w:lang w:val="ro-RO" w:eastAsia="ru-RU"/>
        </w:rPr>
        <w:t>89</w:t>
      </w:r>
      <w:r w:rsidR="00201DC6">
        <w:rPr>
          <w:rFonts w:asciiTheme="majorHAnsi" w:hAnsiTheme="majorHAnsi" w:cstheme="majorHAnsi"/>
          <w:sz w:val="24"/>
          <w:szCs w:val="24"/>
          <w:lang w:val="ro-RO" w:eastAsia="ru-RU"/>
        </w:rPr>
        <w:t xml:space="preserve"> de beneficiari a</w:t>
      </w:r>
      <w:r w:rsidR="00341568">
        <w:rPr>
          <w:rFonts w:asciiTheme="majorHAnsi" w:hAnsiTheme="majorHAnsi" w:cstheme="majorHAnsi"/>
          <w:sz w:val="24"/>
          <w:szCs w:val="24"/>
          <w:lang w:val="ro-RO" w:eastAsia="ru-RU"/>
        </w:rPr>
        <w:t>i</w:t>
      </w:r>
      <w:r w:rsidRPr="00A30F39">
        <w:rPr>
          <w:rFonts w:asciiTheme="majorHAnsi" w:hAnsiTheme="majorHAnsi" w:cstheme="majorHAnsi"/>
          <w:sz w:val="24"/>
          <w:szCs w:val="24"/>
          <w:lang w:val="ro-RO" w:eastAsia="ru-RU"/>
        </w:rPr>
        <w:t xml:space="preserve"> împrumuturi</w:t>
      </w:r>
      <w:r w:rsidR="00201DC6">
        <w:rPr>
          <w:rFonts w:asciiTheme="majorHAnsi" w:hAnsiTheme="majorHAnsi" w:cstheme="majorHAnsi"/>
          <w:sz w:val="24"/>
          <w:szCs w:val="24"/>
          <w:lang w:val="ro-RO" w:eastAsia="ru-RU"/>
        </w:rPr>
        <w:t>lor</w:t>
      </w:r>
      <w:r w:rsidRPr="00A30F39">
        <w:rPr>
          <w:rFonts w:asciiTheme="majorHAnsi" w:hAnsiTheme="majorHAnsi" w:cstheme="majorHAnsi"/>
          <w:sz w:val="24"/>
          <w:szCs w:val="24"/>
          <w:lang w:val="ro-RO" w:eastAsia="ru-RU"/>
        </w:rPr>
        <w:t xml:space="preserve"> </w:t>
      </w:r>
      <w:proofErr w:type="spellStart"/>
      <w:r w:rsidRPr="00A30F39">
        <w:rPr>
          <w:rFonts w:asciiTheme="majorHAnsi" w:hAnsiTheme="majorHAnsi" w:cstheme="majorHAnsi"/>
          <w:sz w:val="24"/>
          <w:szCs w:val="24"/>
          <w:lang w:val="ro-RO" w:eastAsia="ru-RU"/>
        </w:rPr>
        <w:t>recreditate</w:t>
      </w:r>
      <w:proofErr w:type="spellEnd"/>
      <w:r w:rsidRPr="00A30F39">
        <w:rPr>
          <w:rFonts w:asciiTheme="majorHAnsi" w:hAnsiTheme="majorHAnsi" w:cstheme="majorHAnsi"/>
          <w:sz w:val="24"/>
          <w:szCs w:val="24"/>
          <w:lang w:val="ro-RO" w:eastAsia="ru-RU"/>
        </w:rPr>
        <w:t xml:space="preserve">, ca urmare a nerespectării graficelor de rambursare a împrumuturilor </w:t>
      </w:r>
      <w:proofErr w:type="spellStart"/>
      <w:r w:rsidRPr="00A30F39">
        <w:rPr>
          <w:rFonts w:asciiTheme="majorHAnsi" w:hAnsiTheme="majorHAnsi" w:cstheme="majorHAnsi"/>
          <w:sz w:val="24"/>
          <w:szCs w:val="24"/>
          <w:lang w:val="ro-RO" w:eastAsia="ru-RU"/>
        </w:rPr>
        <w:t>recreditate</w:t>
      </w:r>
      <w:proofErr w:type="spellEnd"/>
      <w:r w:rsidRPr="00A30F39">
        <w:rPr>
          <w:rFonts w:asciiTheme="majorHAnsi" w:hAnsiTheme="majorHAnsi" w:cstheme="majorHAnsi"/>
          <w:sz w:val="24"/>
          <w:szCs w:val="24"/>
          <w:lang w:val="ro-RO" w:eastAsia="ru-RU"/>
        </w:rPr>
        <w:t xml:space="preserve">, datorii cu termenul de achitare expirat se atestă la </w:t>
      </w:r>
      <w:r>
        <w:rPr>
          <w:rFonts w:asciiTheme="majorHAnsi" w:hAnsiTheme="majorHAnsi" w:cstheme="majorHAnsi"/>
          <w:sz w:val="24"/>
          <w:szCs w:val="24"/>
          <w:lang w:val="ro-RO" w:eastAsia="ru-RU"/>
        </w:rPr>
        <w:t>40</w:t>
      </w:r>
      <w:r w:rsidRPr="00A30F39">
        <w:rPr>
          <w:rFonts w:asciiTheme="majorHAnsi" w:hAnsiTheme="majorHAnsi" w:cstheme="majorHAnsi"/>
          <w:sz w:val="24"/>
          <w:szCs w:val="24"/>
          <w:lang w:val="ro-RO" w:eastAsia="ru-RU"/>
        </w:rPr>
        <w:t xml:space="preserve"> de </w:t>
      </w:r>
      <w:r w:rsidR="007922BF">
        <w:rPr>
          <w:rFonts w:asciiTheme="majorHAnsi" w:hAnsiTheme="majorHAnsi" w:cstheme="majorHAnsi"/>
          <w:sz w:val="24"/>
          <w:szCs w:val="24"/>
          <w:lang w:val="ro-RO" w:eastAsia="ru-RU"/>
        </w:rPr>
        <w:t xml:space="preserve">beneficiari </w:t>
      </w:r>
      <w:proofErr w:type="spellStart"/>
      <w:r w:rsidR="007922BF">
        <w:rPr>
          <w:rFonts w:asciiTheme="majorHAnsi" w:hAnsiTheme="majorHAnsi" w:cstheme="majorHAnsi"/>
          <w:sz w:val="24"/>
          <w:szCs w:val="24"/>
          <w:lang w:val="ro-RO" w:eastAsia="ru-RU"/>
        </w:rPr>
        <w:t>recreditați</w:t>
      </w:r>
      <w:proofErr w:type="spellEnd"/>
      <w:r w:rsidRPr="009561CB">
        <w:rPr>
          <w:rFonts w:asciiTheme="majorHAnsi" w:hAnsiTheme="majorHAnsi" w:cstheme="majorHAnsi"/>
          <w:sz w:val="24"/>
          <w:szCs w:val="24"/>
          <w:lang w:val="ro-RO" w:eastAsia="ru-RU"/>
        </w:rPr>
        <w:t>.</w:t>
      </w:r>
      <w:r w:rsidRPr="00A30F39">
        <w:rPr>
          <w:rFonts w:asciiTheme="majorHAnsi" w:hAnsiTheme="majorHAnsi" w:cstheme="majorHAnsi"/>
          <w:sz w:val="24"/>
          <w:szCs w:val="24"/>
          <w:lang w:val="ro-RO" w:eastAsia="ru-RU"/>
        </w:rPr>
        <w:t xml:space="preserve"> </w:t>
      </w:r>
      <w:r w:rsidRPr="00A30F39">
        <w:rPr>
          <w:rFonts w:asciiTheme="majorHAnsi" w:hAnsiTheme="majorHAnsi" w:cstheme="majorHAnsi"/>
          <w:i/>
          <w:sz w:val="24"/>
          <w:szCs w:val="24"/>
          <w:lang w:val="ro-RO" w:eastAsia="ru-RU"/>
        </w:rPr>
        <w:t xml:space="preserve">Informația detaliată în acest sens </w:t>
      </w:r>
      <w:r w:rsidR="00A426E0">
        <w:rPr>
          <w:rFonts w:asciiTheme="majorHAnsi" w:hAnsiTheme="majorHAnsi" w:cstheme="majorHAnsi"/>
          <w:i/>
          <w:sz w:val="24"/>
          <w:szCs w:val="24"/>
          <w:lang w:val="ro-RO" w:eastAsia="ru-RU"/>
        </w:rPr>
        <w:t>este prezentată în Tabelul nr.12</w:t>
      </w:r>
      <w:r w:rsidRPr="00A30F39">
        <w:rPr>
          <w:rFonts w:asciiTheme="majorHAnsi" w:hAnsiTheme="majorHAnsi" w:cstheme="majorHAnsi"/>
          <w:i/>
          <w:sz w:val="24"/>
          <w:szCs w:val="24"/>
          <w:lang w:val="ro-RO" w:eastAsia="ru-RU"/>
        </w:rPr>
        <w:t>.</w:t>
      </w:r>
    </w:p>
    <w:p w14:paraId="2CA5B7D3" w14:textId="77777777" w:rsidR="00A30F39" w:rsidRPr="00A30F39" w:rsidRDefault="00A426E0" w:rsidP="00A30F39">
      <w:pPr>
        <w:pStyle w:val="a4"/>
        <w:tabs>
          <w:tab w:val="left" w:pos="284"/>
        </w:tabs>
        <w:spacing w:after="0" w:line="240" w:lineRule="auto"/>
        <w:ind w:left="0"/>
        <w:jc w:val="right"/>
        <w:rPr>
          <w:rFonts w:asciiTheme="majorHAnsi" w:hAnsiTheme="majorHAnsi" w:cstheme="majorHAnsi"/>
          <w:b/>
          <w:sz w:val="24"/>
          <w:szCs w:val="24"/>
          <w:lang w:val="ro-RO"/>
        </w:rPr>
      </w:pPr>
      <w:r>
        <w:rPr>
          <w:rFonts w:asciiTheme="majorHAnsi" w:hAnsiTheme="majorHAnsi" w:cstheme="majorHAnsi"/>
          <w:b/>
          <w:sz w:val="24"/>
          <w:szCs w:val="24"/>
          <w:lang w:val="ro-RO"/>
        </w:rPr>
        <w:t>Tabelul nr.12</w:t>
      </w:r>
      <w:r w:rsidR="00A30F39" w:rsidRPr="00A30F39">
        <w:rPr>
          <w:rFonts w:asciiTheme="majorHAnsi" w:hAnsiTheme="majorHAnsi" w:cstheme="majorHAnsi"/>
          <w:b/>
          <w:sz w:val="24"/>
          <w:szCs w:val="24"/>
          <w:lang w:val="ro-RO"/>
        </w:rPr>
        <w:t xml:space="preserve"> </w:t>
      </w:r>
    </w:p>
    <w:p w14:paraId="6C89E660" w14:textId="1150B7CA" w:rsidR="00A30F39" w:rsidRPr="00A30F39" w:rsidRDefault="00A30F39" w:rsidP="00EF538D">
      <w:pPr>
        <w:spacing w:after="0" w:line="240" w:lineRule="auto"/>
        <w:jc w:val="right"/>
        <w:rPr>
          <w:rFonts w:asciiTheme="majorHAnsi" w:hAnsiTheme="majorHAnsi" w:cstheme="majorHAnsi"/>
          <w:b/>
          <w:sz w:val="24"/>
          <w:szCs w:val="24"/>
          <w:lang w:val="ro-RO"/>
        </w:rPr>
      </w:pPr>
      <w:r w:rsidRPr="00A30F39">
        <w:rPr>
          <w:rFonts w:asciiTheme="majorHAnsi" w:hAnsiTheme="majorHAnsi" w:cstheme="majorHAnsi"/>
          <w:b/>
          <w:sz w:val="24"/>
          <w:szCs w:val="24"/>
          <w:lang w:val="ro-RO"/>
        </w:rPr>
        <w:t>Sinteza datoriilor cu termenul de achitare expirat ale beneficiar</w:t>
      </w:r>
      <w:r w:rsidR="00341568">
        <w:rPr>
          <w:rFonts w:asciiTheme="majorHAnsi" w:hAnsiTheme="majorHAnsi" w:cstheme="majorHAnsi"/>
          <w:b/>
          <w:sz w:val="24"/>
          <w:szCs w:val="24"/>
          <w:lang w:val="ro-RO"/>
        </w:rPr>
        <w:t>i</w:t>
      </w:r>
      <w:r w:rsidRPr="00A30F39">
        <w:rPr>
          <w:rFonts w:asciiTheme="majorHAnsi" w:hAnsiTheme="majorHAnsi" w:cstheme="majorHAnsi"/>
          <w:b/>
          <w:sz w:val="24"/>
          <w:szCs w:val="24"/>
          <w:lang w:val="ro-RO"/>
        </w:rPr>
        <w:t xml:space="preserve">lor </w:t>
      </w:r>
      <w:proofErr w:type="spellStart"/>
      <w:r w:rsidRPr="00A30F39">
        <w:rPr>
          <w:rFonts w:asciiTheme="majorHAnsi" w:hAnsiTheme="majorHAnsi" w:cstheme="majorHAnsi"/>
          <w:b/>
          <w:sz w:val="24"/>
          <w:szCs w:val="24"/>
          <w:lang w:val="ro-RO"/>
        </w:rPr>
        <w:t>recreditați</w:t>
      </w:r>
      <w:proofErr w:type="spellEnd"/>
      <w:r w:rsidRPr="00A30F39">
        <w:rPr>
          <w:rFonts w:asciiTheme="majorHAnsi" w:hAnsiTheme="majorHAnsi" w:cstheme="majorHAnsi"/>
          <w:b/>
          <w:sz w:val="24"/>
          <w:szCs w:val="24"/>
          <w:lang w:val="ro-RO"/>
        </w:rPr>
        <w:t xml:space="preserve"> în </w:t>
      </w:r>
      <w:r w:rsidR="00963110">
        <w:rPr>
          <w:rFonts w:asciiTheme="majorHAnsi" w:hAnsiTheme="majorHAnsi" w:cstheme="majorHAnsi"/>
          <w:b/>
          <w:sz w:val="24"/>
          <w:szCs w:val="24"/>
          <w:lang w:val="ro-RO"/>
        </w:rPr>
        <w:t xml:space="preserve">anii </w:t>
      </w:r>
      <w:r w:rsidRPr="00A30F39">
        <w:rPr>
          <w:rFonts w:asciiTheme="majorHAnsi" w:hAnsiTheme="majorHAnsi" w:cstheme="majorHAnsi"/>
          <w:b/>
          <w:sz w:val="24"/>
          <w:szCs w:val="24"/>
          <w:lang w:val="ro-RO"/>
        </w:rPr>
        <w:t xml:space="preserve">2016-2018, </w:t>
      </w:r>
      <w:proofErr w:type="spellStart"/>
      <w:r w:rsidR="002D0D0D">
        <w:rPr>
          <w:rFonts w:asciiTheme="majorHAnsi" w:hAnsiTheme="majorHAnsi" w:cstheme="majorHAnsi"/>
          <w:b/>
          <w:sz w:val="24"/>
          <w:szCs w:val="24"/>
          <w:lang w:val="ro-RO"/>
        </w:rPr>
        <w:t>mil.MDL</w:t>
      </w:r>
      <w:proofErr w:type="spellEnd"/>
    </w:p>
    <w:tbl>
      <w:tblPr>
        <w:tblW w:w="9493" w:type="dxa"/>
        <w:tblLayout w:type="fixed"/>
        <w:tblLook w:val="04A0" w:firstRow="1" w:lastRow="0" w:firstColumn="1" w:lastColumn="0" w:noHBand="0" w:noVBand="1"/>
      </w:tblPr>
      <w:tblGrid>
        <w:gridCol w:w="1413"/>
        <w:gridCol w:w="567"/>
        <w:gridCol w:w="850"/>
        <w:gridCol w:w="567"/>
        <w:gridCol w:w="709"/>
        <w:gridCol w:w="567"/>
        <w:gridCol w:w="851"/>
        <w:gridCol w:w="567"/>
        <w:gridCol w:w="708"/>
        <w:gridCol w:w="567"/>
        <w:gridCol w:w="851"/>
        <w:gridCol w:w="567"/>
        <w:gridCol w:w="709"/>
      </w:tblGrid>
      <w:tr w:rsidR="00A30F39" w:rsidRPr="00A30F39" w14:paraId="12CB7974" w14:textId="77777777" w:rsidTr="000E367C">
        <w:trPr>
          <w:trHeight w:val="203"/>
        </w:trPr>
        <w:tc>
          <w:tcPr>
            <w:tcW w:w="1413"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0157F115" w14:textId="77777777" w:rsidR="00A30F39" w:rsidRPr="00FD566B" w:rsidRDefault="00A30F39" w:rsidP="000E367C">
            <w:pPr>
              <w:pStyle w:val="a6"/>
              <w:jc w:val="center"/>
              <w:rPr>
                <w:rFonts w:asciiTheme="majorHAnsi" w:hAnsiTheme="majorHAnsi"/>
                <w:b/>
                <w:sz w:val="18"/>
                <w:lang w:val="ro-RO"/>
              </w:rPr>
            </w:pPr>
            <w:r w:rsidRPr="00FD566B">
              <w:rPr>
                <w:rFonts w:asciiTheme="majorHAnsi" w:hAnsiTheme="majorHAnsi"/>
                <w:b/>
                <w:sz w:val="18"/>
                <w:lang w:val="ro-RO"/>
              </w:rPr>
              <w:t>Indicatorii</w:t>
            </w:r>
          </w:p>
        </w:tc>
        <w:tc>
          <w:tcPr>
            <w:tcW w:w="8080" w:type="dxa"/>
            <w:gridSpan w:val="12"/>
            <w:tcBorders>
              <w:top w:val="single" w:sz="4" w:space="0" w:color="auto"/>
              <w:left w:val="nil"/>
              <w:bottom w:val="single" w:sz="4" w:space="0" w:color="auto"/>
              <w:right w:val="single" w:sz="4" w:space="0" w:color="auto"/>
            </w:tcBorders>
            <w:shd w:val="clear" w:color="000000" w:fill="DBDBDB"/>
            <w:noWrap/>
            <w:vAlign w:val="bottom"/>
            <w:hideMark/>
          </w:tcPr>
          <w:p w14:paraId="25C85E04" w14:textId="77777777" w:rsidR="00A30F39" w:rsidRPr="00FD566B" w:rsidRDefault="00A30F39" w:rsidP="000E367C">
            <w:pPr>
              <w:pStyle w:val="a6"/>
              <w:jc w:val="center"/>
              <w:rPr>
                <w:rFonts w:asciiTheme="majorHAnsi" w:hAnsiTheme="majorHAnsi"/>
                <w:b/>
                <w:sz w:val="18"/>
                <w:lang w:val="ro-RO"/>
              </w:rPr>
            </w:pPr>
            <w:r w:rsidRPr="00FD566B">
              <w:rPr>
                <w:rFonts w:asciiTheme="majorHAnsi" w:hAnsiTheme="majorHAnsi"/>
                <w:b/>
                <w:sz w:val="18"/>
                <w:lang w:val="ro-RO"/>
              </w:rPr>
              <w:t xml:space="preserve">Datorii pentru împrumuturile </w:t>
            </w:r>
            <w:proofErr w:type="spellStart"/>
            <w:r w:rsidRPr="00FD566B">
              <w:rPr>
                <w:rFonts w:asciiTheme="majorHAnsi" w:hAnsiTheme="majorHAnsi"/>
                <w:b/>
                <w:sz w:val="18"/>
                <w:lang w:val="ro-RO"/>
              </w:rPr>
              <w:t>recreditate</w:t>
            </w:r>
            <w:proofErr w:type="spellEnd"/>
          </w:p>
        </w:tc>
      </w:tr>
      <w:tr w:rsidR="00A30F39" w:rsidRPr="00A30F39" w14:paraId="4C12034E" w14:textId="77777777" w:rsidTr="000E367C">
        <w:trPr>
          <w:trHeight w:val="79"/>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2FF0663" w14:textId="77777777" w:rsidR="00A30F39" w:rsidRPr="00FD566B" w:rsidRDefault="00A30F39" w:rsidP="000E367C">
            <w:pPr>
              <w:pStyle w:val="a6"/>
              <w:jc w:val="center"/>
              <w:rPr>
                <w:rFonts w:asciiTheme="majorHAnsi" w:hAnsiTheme="majorHAnsi"/>
                <w:b/>
                <w:sz w:val="18"/>
                <w:lang w:val="ro-RO"/>
              </w:rPr>
            </w:pPr>
          </w:p>
        </w:tc>
        <w:tc>
          <w:tcPr>
            <w:tcW w:w="2693" w:type="dxa"/>
            <w:gridSpan w:val="4"/>
            <w:tcBorders>
              <w:top w:val="single" w:sz="4" w:space="0" w:color="auto"/>
              <w:left w:val="nil"/>
              <w:bottom w:val="single" w:sz="4" w:space="0" w:color="auto"/>
              <w:right w:val="single" w:sz="12" w:space="0" w:color="auto"/>
            </w:tcBorders>
            <w:shd w:val="clear" w:color="000000" w:fill="DBDBDB"/>
            <w:vAlign w:val="center"/>
            <w:hideMark/>
          </w:tcPr>
          <w:p w14:paraId="2CA4B861" w14:textId="247D2870" w:rsidR="00A30F39" w:rsidRPr="0074654E" w:rsidRDefault="00A30F39" w:rsidP="000E367C">
            <w:pPr>
              <w:pStyle w:val="a6"/>
              <w:jc w:val="center"/>
              <w:rPr>
                <w:rFonts w:asciiTheme="majorHAnsi" w:hAnsiTheme="majorHAnsi"/>
                <w:b/>
                <w:sz w:val="18"/>
                <w:vertAlign w:val="superscript"/>
                <w:lang w:val="ro-RO"/>
              </w:rPr>
            </w:pPr>
            <w:r w:rsidRPr="00FD566B">
              <w:rPr>
                <w:rFonts w:asciiTheme="majorHAnsi" w:hAnsiTheme="majorHAnsi"/>
                <w:b/>
                <w:sz w:val="18"/>
                <w:lang w:val="ro-RO"/>
              </w:rPr>
              <w:t>2016</w:t>
            </w:r>
            <w:r w:rsidR="00FD566B">
              <w:rPr>
                <w:rFonts w:asciiTheme="majorHAnsi" w:hAnsiTheme="majorHAnsi"/>
                <w:b/>
                <w:sz w:val="18"/>
                <w:vertAlign w:val="superscript"/>
                <w:lang w:val="ro-RO"/>
              </w:rPr>
              <w:t>*</w:t>
            </w:r>
          </w:p>
        </w:tc>
        <w:tc>
          <w:tcPr>
            <w:tcW w:w="2693" w:type="dxa"/>
            <w:gridSpan w:val="4"/>
            <w:tcBorders>
              <w:top w:val="single" w:sz="4" w:space="0" w:color="auto"/>
              <w:left w:val="single" w:sz="12" w:space="0" w:color="auto"/>
              <w:bottom w:val="single" w:sz="4" w:space="0" w:color="auto"/>
              <w:right w:val="single" w:sz="12" w:space="0" w:color="auto"/>
            </w:tcBorders>
            <w:shd w:val="clear" w:color="000000" w:fill="DBDBDB"/>
            <w:vAlign w:val="center"/>
            <w:hideMark/>
          </w:tcPr>
          <w:p w14:paraId="46422A1B" w14:textId="3901CC06" w:rsidR="00A30F39" w:rsidRPr="0074654E" w:rsidRDefault="00A30F39" w:rsidP="000E367C">
            <w:pPr>
              <w:pStyle w:val="a6"/>
              <w:jc w:val="center"/>
              <w:rPr>
                <w:rFonts w:asciiTheme="majorHAnsi" w:hAnsiTheme="majorHAnsi"/>
                <w:b/>
                <w:sz w:val="18"/>
                <w:vertAlign w:val="superscript"/>
                <w:lang w:val="ro-RO"/>
              </w:rPr>
            </w:pPr>
            <w:r w:rsidRPr="00FD566B">
              <w:rPr>
                <w:rFonts w:asciiTheme="majorHAnsi" w:hAnsiTheme="majorHAnsi"/>
                <w:b/>
                <w:sz w:val="18"/>
                <w:lang w:val="ro-RO"/>
              </w:rPr>
              <w:t>2017</w:t>
            </w:r>
            <w:r w:rsidR="00FD566B">
              <w:rPr>
                <w:rFonts w:asciiTheme="majorHAnsi" w:hAnsiTheme="majorHAnsi"/>
                <w:b/>
                <w:sz w:val="18"/>
                <w:vertAlign w:val="superscript"/>
                <w:lang w:val="ro-RO"/>
              </w:rPr>
              <w:t>*</w:t>
            </w:r>
          </w:p>
        </w:tc>
        <w:tc>
          <w:tcPr>
            <w:tcW w:w="2694" w:type="dxa"/>
            <w:gridSpan w:val="4"/>
            <w:tcBorders>
              <w:top w:val="single" w:sz="4" w:space="0" w:color="auto"/>
              <w:left w:val="single" w:sz="12" w:space="0" w:color="auto"/>
              <w:bottom w:val="single" w:sz="4" w:space="0" w:color="auto"/>
              <w:right w:val="single" w:sz="4" w:space="0" w:color="auto"/>
            </w:tcBorders>
            <w:shd w:val="clear" w:color="000000" w:fill="DBDBDB"/>
            <w:vAlign w:val="center"/>
          </w:tcPr>
          <w:p w14:paraId="73562D3A" w14:textId="77777777" w:rsidR="00A30F39" w:rsidRPr="00FD566B" w:rsidRDefault="00A30F39" w:rsidP="000E367C">
            <w:pPr>
              <w:pStyle w:val="a6"/>
              <w:jc w:val="center"/>
              <w:rPr>
                <w:rFonts w:asciiTheme="majorHAnsi" w:hAnsiTheme="majorHAnsi"/>
                <w:b/>
                <w:sz w:val="18"/>
                <w:lang w:val="ro-RO"/>
              </w:rPr>
            </w:pPr>
            <w:r w:rsidRPr="00FD566B">
              <w:rPr>
                <w:rFonts w:asciiTheme="majorHAnsi" w:hAnsiTheme="majorHAnsi"/>
                <w:b/>
                <w:sz w:val="18"/>
                <w:lang w:val="ro-RO"/>
              </w:rPr>
              <w:t>2018</w:t>
            </w:r>
          </w:p>
        </w:tc>
      </w:tr>
      <w:tr w:rsidR="00A30F39" w:rsidRPr="00A30F39" w14:paraId="46C42919" w14:textId="77777777" w:rsidTr="000E367C">
        <w:trPr>
          <w:trHeight w:val="19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A159D47" w14:textId="77777777" w:rsidR="00A30F39" w:rsidRPr="00FD566B" w:rsidRDefault="00A30F39" w:rsidP="000E367C">
            <w:pPr>
              <w:pStyle w:val="a6"/>
              <w:jc w:val="center"/>
              <w:rPr>
                <w:rFonts w:asciiTheme="majorHAnsi" w:hAnsiTheme="majorHAnsi"/>
                <w:b/>
                <w:sz w:val="18"/>
                <w:lang w:val="ro-RO"/>
              </w:rPr>
            </w:pPr>
          </w:p>
        </w:tc>
        <w:tc>
          <w:tcPr>
            <w:tcW w:w="1417" w:type="dxa"/>
            <w:gridSpan w:val="2"/>
            <w:tcBorders>
              <w:top w:val="single" w:sz="4" w:space="0" w:color="auto"/>
              <w:left w:val="nil"/>
              <w:bottom w:val="single" w:sz="4" w:space="0" w:color="auto"/>
              <w:right w:val="single" w:sz="4" w:space="0" w:color="auto"/>
            </w:tcBorders>
            <w:shd w:val="clear" w:color="000000" w:fill="DBDBDB"/>
            <w:vAlign w:val="center"/>
            <w:hideMark/>
          </w:tcPr>
          <w:p w14:paraId="5A3F93BE" w14:textId="77777777" w:rsidR="00A30F39" w:rsidRPr="00FD566B" w:rsidRDefault="00A30F39" w:rsidP="000E367C">
            <w:pPr>
              <w:pStyle w:val="a6"/>
              <w:jc w:val="center"/>
              <w:rPr>
                <w:rFonts w:asciiTheme="majorHAnsi" w:hAnsiTheme="majorHAnsi"/>
                <w:b/>
                <w:sz w:val="18"/>
                <w:lang w:val="ro-RO"/>
              </w:rPr>
            </w:pPr>
            <w:r w:rsidRPr="00FD566B">
              <w:rPr>
                <w:rFonts w:asciiTheme="majorHAnsi" w:hAnsiTheme="majorHAnsi"/>
                <w:b/>
                <w:sz w:val="18"/>
                <w:lang w:val="ro-RO"/>
              </w:rPr>
              <w:t>total</w:t>
            </w:r>
          </w:p>
        </w:tc>
        <w:tc>
          <w:tcPr>
            <w:tcW w:w="1276" w:type="dxa"/>
            <w:gridSpan w:val="2"/>
            <w:tcBorders>
              <w:top w:val="single" w:sz="4" w:space="0" w:color="auto"/>
              <w:left w:val="nil"/>
              <w:bottom w:val="single" w:sz="4" w:space="0" w:color="auto"/>
              <w:right w:val="single" w:sz="12" w:space="0" w:color="auto"/>
            </w:tcBorders>
            <w:shd w:val="clear" w:color="000000" w:fill="DBDBDB"/>
            <w:vAlign w:val="center"/>
            <w:hideMark/>
          </w:tcPr>
          <w:p w14:paraId="5413CFE4" w14:textId="77777777" w:rsidR="00A30F39" w:rsidRPr="00FD566B" w:rsidRDefault="00A30F39" w:rsidP="000E367C">
            <w:pPr>
              <w:pStyle w:val="a6"/>
              <w:jc w:val="center"/>
              <w:rPr>
                <w:rFonts w:asciiTheme="majorHAnsi" w:hAnsiTheme="majorHAnsi"/>
                <w:b/>
                <w:sz w:val="18"/>
                <w:lang w:val="ro-RO"/>
              </w:rPr>
            </w:pPr>
            <w:r w:rsidRPr="00FD566B">
              <w:rPr>
                <w:rFonts w:asciiTheme="majorHAnsi" w:hAnsiTheme="majorHAnsi"/>
                <w:b/>
                <w:sz w:val="18"/>
                <w:lang w:val="ro-RO"/>
              </w:rPr>
              <w:t>inclusiv cu termenul de achitare expirat</w:t>
            </w:r>
          </w:p>
        </w:tc>
        <w:tc>
          <w:tcPr>
            <w:tcW w:w="1418" w:type="dxa"/>
            <w:gridSpan w:val="2"/>
            <w:tcBorders>
              <w:top w:val="single" w:sz="4" w:space="0" w:color="auto"/>
              <w:left w:val="single" w:sz="12" w:space="0" w:color="auto"/>
              <w:bottom w:val="single" w:sz="4" w:space="0" w:color="auto"/>
              <w:right w:val="single" w:sz="4" w:space="0" w:color="auto"/>
            </w:tcBorders>
            <w:shd w:val="clear" w:color="000000" w:fill="DBDBDB"/>
            <w:vAlign w:val="center"/>
            <w:hideMark/>
          </w:tcPr>
          <w:p w14:paraId="171B3EF0" w14:textId="77777777" w:rsidR="00A30F39" w:rsidRPr="00FD566B" w:rsidRDefault="00A30F39" w:rsidP="000E367C">
            <w:pPr>
              <w:pStyle w:val="a6"/>
              <w:jc w:val="center"/>
              <w:rPr>
                <w:rFonts w:asciiTheme="majorHAnsi" w:hAnsiTheme="majorHAnsi"/>
                <w:b/>
                <w:sz w:val="18"/>
                <w:lang w:val="ro-RO"/>
              </w:rPr>
            </w:pPr>
            <w:r w:rsidRPr="00FD566B">
              <w:rPr>
                <w:rFonts w:asciiTheme="majorHAnsi" w:hAnsiTheme="majorHAnsi"/>
                <w:b/>
                <w:sz w:val="18"/>
                <w:lang w:val="ro-RO"/>
              </w:rPr>
              <w:t>total</w:t>
            </w:r>
          </w:p>
        </w:tc>
        <w:tc>
          <w:tcPr>
            <w:tcW w:w="1275" w:type="dxa"/>
            <w:gridSpan w:val="2"/>
            <w:tcBorders>
              <w:top w:val="single" w:sz="4" w:space="0" w:color="auto"/>
              <w:left w:val="nil"/>
              <w:bottom w:val="single" w:sz="4" w:space="0" w:color="auto"/>
              <w:right w:val="single" w:sz="12" w:space="0" w:color="auto"/>
            </w:tcBorders>
            <w:shd w:val="clear" w:color="000000" w:fill="DBDBDB"/>
            <w:vAlign w:val="center"/>
            <w:hideMark/>
          </w:tcPr>
          <w:p w14:paraId="0B4A4040" w14:textId="77777777" w:rsidR="00A30F39" w:rsidRPr="00FD566B" w:rsidRDefault="00A30F39" w:rsidP="000E367C">
            <w:pPr>
              <w:pStyle w:val="a6"/>
              <w:jc w:val="center"/>
              <w:rPr>
                <w:rFonts w:asciiTheme="majorHAnsi" w:hAnsiTheme="majorHAnsi"/>
                <w:b/>
                <w:sz w:val="18"/>
                <w:lang w:val="ro-RO"/>
              </w:rPr>
            </w:pPr>
            <w:r w:rsidRPr="00FD566B">
              <w:rPr>
                <w:rFonts w:asciiTheme="majorHAnsi" w:hAnsiTheme="majorHAnsi"/>
                <w:b/>
                <w:sz w:val="18"/>
                <w:lang w:val="ro-RO"/>
              </w:rPr>
              <w:t>inclusiv cu termenul de achitare expirat</w:t>
            </w:r>
          </w:p>
        </w:tc>
        <w:tc>
          <w:tcPr>
            <w:tcW w:w="1418" w:type="dxa"/>
            <w:gridSpan w:val="2"/>
            <w:tcBorders>
              <w:top w:val="single" w:sz="4" w:space="0" w:color="auto"/>
              <w:left w:val="single" w:sz="12" w:space="0" w:color="auto"/>
              <w:bottom w:val="single" w:sz="4" w:space="0" w:color="auto"/>
              <w:right w:val="single" w:sz="4" w:space="0" w:color="auto"/>
            </w:tcBorders>
            <w:shd w:val="clear" w:color="000000" w:fill="DBDBDB"/>
            <w:vAlign w:val="center"/>
          </w:tcPr>
          <w:p w14:paraId="3A8FA088" w14:textId="77777777" w:rsidR="00A30F39" w:rsidRPr="00FD566B" w:rsidRDefault="00A30F39" w:rsidP="000E367C">
            <w:pPr>
              <w:pStyle w:val="a6"/>
              <w:jc w:val="center"/>
              <w:rPr>
                <w:rFonts w:asciiTheme="majorHAnsi" w:hAnsiTheme="majorHAnsi"/>
                <w:b/>
                <w:sz w:val="18"/>
                <w:lang w:val="ro-RO"/>
              </w:rPr>
            </w:pPr>
            <w:r w:rsidRPr="00FD566B">
              <w:rPr>
                <w:rFonts w:asciiTheme="majorHAnsi" w:hAnsiTheme="majorHAnsi"/>
                <w:b/>
                <w:sz w:val="18"/>
                <w:lang w:val="ro-RO"/>
              </w:rPr>
              <w:t>total</w:t>
            </w:r>
          </w:p>
        </w:tc>
        <w:tc>
          <w:tcPr>
            <w:tcW w:w="1276" w:type="dxa"/>
            <w:gridSpan w:val="2"/>
            <w:tcBorders>
              <w:top w:val="single" w:sz="4" w:space="0" w:color="auto"/>
              <w:left w:val="nil"/>
              <w:bottom w:val="single" w:sz="4" w:space="0" w:color="auto"/>
              <w:right w:val="single" w:sz="4" w:space="0" w:color="auto"/>
            </w:tcBorders>
            <w:shd w:val="clear" w:color="000000" w:fill="DBDBDB"/>
            <w:vAlign w:val="center"/>
          </w:tcPr>
          <w:p w14:paraId="330E4D9C" w14:textId="77777777" w:rsidR="00A30F39" w:rsidRPr="00FD566B" w:rsidRDefault="00A30F39" w:rsidP="000E367C">
            <w:pPr>
              <w:pStyle w:val="a6"/>
              <w:jc w:val="center"/>
              <w:rPr>
                <w:rFonts w:asciiTheme="majorHAnsi" w:hAnsiTheme="majorHAnsi"/>
                <w:b/>
                <w:sz w:val="18"/>
                <w:lang w:val="ro-RO"/>
              </w:rPr>
            </w:pPr>
            <w:r w:rsidRPr="00FD566B">
              <w:rPr>
                <w:rFonts w:asciiTheme="majorHAnsi" w:hAnsiTheme="majorHAnsi"/>
                <w:b/>
                <w:sz w:val="18"/>
                <w:lang w:val="ro-RO"/>
              </w:rPr>
              <w:t>inclusiv cu termenul de achitare expirat</w:t>
            </w:r>
          </w:p>
        </w:tc>
      </w:tr>
      <w:tr w:rsidR="00A30F39" w:rsidRPr="00A30F39" w14:paraId="65D3F4F3" w14:textId="77777777" w:rsidTr="000E367C">
        <w:trPr>
          <w:trHeight w:val="421"/>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E696C3C" w14:textId="77777777" w:rsidR="00A30F39" w:rsidRPr="00FD566B" w:rsidRDefault="00A30F39" w:rsidP="000E367C">
            <w:pPr>
              <w:pStyle w:val="a6"/>
              <w:jc w:val="center"/>
              <w:rPr>
                <w:rFonts w:asciiTheme="majorHAnsi" w:hAnsiTheme="majorHAnsi"/>
                <w:b/>
                <w:sz w:val="18"/>
                <w:lang w:val="ro-RO"/>
              </w:rPr>
            </w:pPr>
          </w:p>
        </w:tc>
        <w:tc>
          <w:tcPr>
            <w:tcW w:w="567" w:type="dxa"/>
            <w:tcBorders>
              <w:top w:val="nil"/>
              <w:left w:val="nil"/>
              <w:bottom w:val="single" w:sz="4" w:space="0" w:color="auto"/>
              <w:right w:val="single" w:sz="4" w:space="0" w:color="auto"/>
            </w:tcBorders>
            <w:shd w:val="clear" w:color="000000" w:fill="DBDBDB"/>
            <w:vAlign w:val="center"/>
            <w:hideMark/>
          </w:tcPr>
          <w:p w14:paraId="5D6A36ED" w14:textId="77777777" w:rsidR="00A30F39" w:rsidRPr="00FD566B" w:rsidRDefault="00A30F39" w:rsidP="000E367C">
            <w:pPr>
              <w:pStyle w:val="a6"/>
              <w:jc w:val="center"/>
              <w:rPr>
                <w:rFonts w:asciiTheme="majorHAnsi" w:hAnsiTheme="majorHAnsi"/>
                <w:b/>
                <w:sz w:val="18"/>
                <w:lang w:val="ro-RO"/>
              </w:rPr>
            </w:pPr>
            <w:r w:rsidRPr="00FD566B">
              <w:rPr>
                <w:rFonts w:asciiTheme="majorHAnsi" w:hAnsiTheme="majorHAnsi"/>
                <w:b/>
                <w:sz w:val="18"/>
                <w:lang w:val="ro-RO"/>
              </w:rPr>
              <w:t>nr. de beneficiari</w:t>
            </w:r>
          </w:p>
        </w:tc>
        <w:tc>
          <w:tcPr>
            <w:tcW w:w="850" w:type="dxa"/>
            <w:tcBorders>
              <w:top w:val="nil"/>
              <w:left w:val="nil"/>
              <w:bottom w:val="single" w:sz="4" w:space="0" w:color="auto"/>
              <w:right w:val="single" w:sz="4" w:space="0" w:color="auto"/>
            </w:tcBorders>
            <w:shd w:val="clear" w:color="000000" w:fill="DBDBDB"/>
            <w:vAlign w:val="center"/>
            <w:hideMark/>
          </w:tcPr>
          <w:p w14:paraId="4ECA0920" w14:textId="77777777" w:rsidR="00A30F39" w:rsidRPr="00FD566B" w:rsidRDefault="00A30F39" w:rsidP="000E367C">
            <w:pPr>
              <w:pStyle w:val="a6"/>
              <w:jc w:val="center"/>
              <w:rPr>
                <w:rFonts w:asciiTheme="majorHAnsi" w:hAnsiTheme="majorHAnsi"/>
                <w:b/>
                <w:sz w:val="18"/>
                <w:lang w:val="ro-RO"/>
              </w:rPr>
            </w:pPr>
            <w:r w:rsidRPr="00FD566B">
              <w:rPr>
                <w:rFonts w:asciiTheme="majorHAnsi" w:hAnsiTheme="majorHAnsi"/>
                <w:b/>
                <w:sz w:val="18"/>
                <w:lang w:val="ro-RO"/>
              </w:rPr>
              <w:t>suma</w:t>
            </w:r>
          </w:p>
        </w:tc>
        <w:tc>
          <w:tcPr>
            <w:tcW w:w="567" w:type="dxa"/>
            <w:tcBorders>
              <w:top w:val="nil"/>
              <w:left w:val="nil"/>
              <w:bottom w:val="single" w:sz="4" w:space="0" w:color="auto"/>
              <w:right w:val="single" w:sz="4" w:space="0" w:color="auto"/>
            </w:tcBorders>
            <w:shd w:val="clear" w:color="000000" w:fill="DBDBDB"/>
            <w:vAlign w:val="center"/>
            <w:hideMark/>
          </w:tcPr>
          <w:p w14:paraId="37CCE119" w14:textId="77777777" w:rsidR="00A30F39" w:rsidRPr="00FD566B" w:rsidRDefault="00A30F39" w:rsidP="000E367C">
            <w:pPr>
              <w:pStyle w:val="a6"/>
              <w:jc w:val="center"/>
              <w:rPr>
                <w:rFonts w:asciiTheme="majorHAnsi" w:hAnsiTheme="majorHAnsi"/>
                <w:b/>
                <w:sz w:val="18"/>
                <w:lang w:val="ro-RO"/>
              </w:rPr>
            </w:pPr>
            <w:r w:rsidRPr="00FD566B">
              <w:rPr>
                <w:rFonts w:asciiTheme="majorHAnsi" w:hAnsiTheme="majorHAnsi"/>
                <w:b/>
                <w:sz w:val="18"/>
                <w:lang w:val="ro-RO"/>
              </w:rPr>
              <w:t>nr. de beneficiari</w:t>
            </w:r>
          </w:p>
        </w:tc>
        <w:tc>
          <w:tcPr>
            <w:tcW w:w="709" w:type="dxa"/>
            <w:tcBorders>
              <w:top w:val="nil"/>
              <w:left w:val="nil"/>
              <w:bottom w:val="single" w:sz="4" w:space="0" w:color="auto"/>
              <w:right w:val="single" w:sz="12" w:space="0" w:color="auto"/>
            </w:tcBorders>
            <w:shd w:val="clear" w:color="000000" w:fill="DBDBDB"/>
            <w:vAlign w:val="center"/>
            <w:hideMark/>
          </w:tcPr>
          <w:p w14:paraId="49E45911" w14:textId="77777777" w:rsidR="00A30F39" w:rsidRPr="00FD566B" w:rsidRDefault="00A30F39" w:rsidP="000E367C">
            <w:pPr>
              <w:pStyle w:val="a6"/>
              <w:jc w:val="center"/>
              <w:rPr>
                <w:rFonts w:asciiTheme="majorHAnsi" w:hAnsiTheme="majorHAnsi"/>
                <w:b/>
                <w:sz w:val="18"/>
                <w:lang w:val="ro-RO"/>
              </w:rPr>
            </w:pPr>
            <w:r w:rsidRPr="00FD566B">
              <w:rPr>
                <w:rFonts w:asciiTheme="majorHAnsi" w:hAnsiTheme="majorHAnsi"/>
                <w:b/>
                <w:sz w:val="18"/>
                <w:lang w:val="ro-RO"/>
              </w:rPr>
              <w:t>suma</w:t>
            </w:r>
          </w:p>
        </w:tc>
        <w:tc>
          <w:tcPr>
            <w:tcW w:w="567" w:type="dxa"/>
            <w:tcBorders>
              <w:top w:val="nil"/>
              <w:left w:val="single" w:sz="12" w:space="0" w:color="auto"/>
              <w:bottom w:val="single" w:sz="4" w:space="0" w:color="auto"/>
              <w:right w:val="single" w:sz="4" w:space="0" w:color="auto"/>
            </w:tcBorders>
            <w:shd w:val="clear" w:color="000000" w:fill="DBDBDB"/>
            <w:vAlign w:val="center"/>
            <w:hideMark/>
          </w:tcPr>
          <w:p w14:paraId="5839CAF9" w14:textId="77777777" w:rsidR="00A30F39" w:rsidRPr="00FD566B" w:rsidRDefault="00A30F39" w:rsidP="000E367C">
            <w:pPr>
              <w:pStyle w:val="a6"/>
              <w:jc w:val="center"/>
              <w:rPr>
                <w:rFonts w:asciiTheme="majorHAnsi" w:hAnsiTheme="majorHAnsi"/>
                <w:b/>
                <w:sz w:val="18"/>
                <w:lang w:val="ro-RO"/>
              </w:rPr>
            </w:pPr>
            <w:r w:rsidRPr="00FD566B">
              <w:rPr>
                <w:rFonts w:asciiTheme="majorHAnsi" w:hAnsiTheme="majorHAnsi"/>
                <w:b/>
                <w:sz w:val="18"/>
                <w:lang w:val="ro-RO"/>
              </w:rPr>
              <w:t>nr. de beneficiari</w:t>
            </w:r>
          </w:p>
        </w:tc>
        <w:tc>
          <w:tcPr>
            <w:tcW w:w="851" w:type="dxa"/>
            <w:tcBorders>
              <w:top w:val="nil"/>
              <w:left w:val="nil"/>
              <w:bottom w:val="single" w:sz="4" w:space="0" w:color="auto"/>
              <w:right w:val="single" w:sz="4" w:space="0" w:color="auto"/>
            </w:tcBorders>
            <w:shd w:val="clear" w:color="000000" w:fill="DBDBDB"/>
            <w:vAlign w:val="center"/>
            <w:hideMark/>
          </w:tcPr>
          <w:p w14:paraId="3C2C9E94" w14:textId="77777777" w:rsidR="00A30F39" w:rsidRPr="00FD566B" w:rsidRDefault="00A30F39" w:rsidP="000E367C">
            <w:pPr>
              <w:pStyle w:val="a6"/>
              <w:jc w:val="center"/>
              <w:rPr>
                <w:rFonts w:asciiTheme="majorHAnsi" w:hAnsiTheme="majorHAnsi"/>
                <w:b/>
                <w:sz w:val="18"/>
                <w:lang w:val="ro-RO"/>
              </w:rPr>
            </w:pPr>
            <w:r w:rsidRPr="00FD566B">
              <w:rPr>
                <w:rFonts w:asciiTheme="majorHAnsi" w:hAnsiTheme="majorHAnsi"/>
                <w:b/>
                <w:sz w:val="18"/>
                <w:lang w:val="ro-RO"/>
              </w:rPr>
              <w:t>suma</w:t>
            </w:r>
          </w:p>
        </w:tc>
        <w:tc>
          <w:tcPr>
            <w:tcW w:w="567" w:type="dxa"/>
            <w:tcBorders>
              <w:top w:val="nil"/>
              <w:left w:val="nil"/>
              <w:bottom w:val="single" w:sz="4" w:space="0" w:color="auto"/>
              <w:right w:val="single" w:sz="4" w:space="0" w:color="auto"/>
            </w:tcBorders>
            <w:shd w:val="clear" w:color="000000" w:fill="DBDBDB"/>
            <w:vAlign w:val="center"/>
            <w:hideMark/>
          </w:tcPr>
          <w:p w14:paraId="16CC71BB" w14:textId="77777777" w:rsidR="00A30F39" w:rsidRPr="00FD566B" w:rsidRDefault="00A30F39" w:rsidP="000E367C">
            <w:pPr>
              <w:pStyle w:val="a6"/>
              <w:jc w:val="center"/>
              <w:rPr>
                <w:rFonts w:asciiTheme="majorHAnsi" w:hAnsiTheme="majorHAnsi"/>
                <w:b/>
                <w:sz w:val="18"/>
                <w:lang w:val="ro-RO"/>
              </w:rPr>
            </w:pPr>
            <w:r w:rsidRPr="00FD566B">
              <w:rPr>
                <w:rFonts w:asciiTheme="majorHAnsi" w:hAnsiTheme="majorHAnsi"/>
                <w:b/>
                <w:sz w:val="18"/>
                <w:lang w:val="ro-RO"/>
              </w:rPr>
              <w:t>nr. de beneficiari</w:t>
            </w:r>
          </w:p>
        </w:tc>
        <w:tc>
          <w:tcPr>
            <w:tcW w:w="708" w:type="dxa"/>
            <w:tcBorders>
              <w:top w:val="nil"/>
              <w:left w:val="nil"/>
              <w:bottom w:val="single" w:sz="4" w:space="0" w:color="auto"/>
              <w:right w:val="single" w:sz="12" w:space="0" w:color="auto"/>
            </w:tcBorders>
            <w:shd w:val="clear" w:color="000000" w:fill="DBDBDB"/>
            <w:vAlign w:val="center"/>
            <w:hideMark/>
          </w:tcPr>
          <w:p w14:paraId="3C33BDDE" w14:textId="77777777" w:rsidR="00A30F39" w:rsidRPr="00FD566B" w:rsidRDefault="00A30F39" w:rsidP="000E367C">
            <w:pPr>
              <w:pStyle w:val="a6"/>
              <w:jc w:val="center"/>
              <w:rPr>
                <w:rFonts w:asciiTheme="majorHAnsi" w:hAnsiTheme="majorHAnsi"/>
                <w:b/>
                <w:sz w:val="18"/>
                <w:lang w:val="ro-RO"/>
              </w:rPr>
            </w:pPr>
            <w:r w:rsidRPr="00FD566B">
              <w:rPr>
                <w:rFonts w:asciiTheme="majorHAnsi" w:hAnsiTheme="majorHAnsi"/>
                <w:b/>
                <w:sz w:val="18"/>
                <w:lang w:val="ro-RO"/>
              </w:rPr>
              <w:t>suma</w:t>
            </w:r>
          </w:p>
        </w:tc>
        <w:tc>
          <w:tcPr>
            <w:tcW w:w="567" w:type="dxa"/>
            <w:tcBorders>
              <w:top w:val="nil"/>
              <w:left w:val="single" w:sz="12" w:space="0" w:color="auto"/>
              <w:bottom w:val="single" w:sz="4" w:space="0" w:color="auto"/>
              <w:right w:val="single" w:sz="4" w:space="0" w:color="auto"/>
            </w:tcBorders>
            <w:shd w:val="clear" w:color="000000" w:fill="DBDBDB"/>
            <w:vAlign w:val="center"/>
          </w:tcPr>
          <w:p w14:paraId="2807CA90" w14:textId="77777777" w:rsidR="00A30F39" w:rsidRPr="00FD566B" w:rsidRDefault="00A30F39" w:rsidP="000E367C">
            <w:pPr>
              <w:pStyle w:val="a6"/>
              <w:jc w:val="center"/>
              <w:rPr>
                <w:rFonts w:asciiTheme="majorHAnsi" w:hAnsiTheme="majorHAnsi"/>
                <w:b/>
                <w:sz w:val="18"/>
                <w:lang w:val="ro-RO"/>
              </w:rPr>
            </w:pPr>
            <w:r w:rsidRPr="00FD566B">
              <w:rPr>
                <w:rFonts w:asciiTheme="majorHAnsi" w:hAnsiTheme="majorHAnsi"/>
                <w:b/>
                <w:sz w:val="18"/>
                <w:lang w:val="ro-RO"/>
              </w:rPr>
              <w:t>nr. de beneficiari</w:t>
            </w:r>
          </w:p>
        </w:tc>
        <w:tc>
          <w:tcPr>
            <w:tcW w:w="851" w:type="dxa"/>
            <w:tcBorders>
              <w:top w:val="nil"/>
              <w:left w:val="nil"/>
              <w:bottom w:val="single" w:sz="4" w:space="0" w:color="auto"/>
              <w:right w:val="single" w:sz="4" w:space="0" w:color="auto"/>
            </w:tcBorders>
            <w:shd w:val="clear" w:color="000000" w:fill="DBDBDB"/>
            <w:vAlign w:val="center"/>
          </w:tcPr>
          <w:p w14:paraId="4DF2B2C7" w14:textId="77777777" w:rsidR="00A30F39" w:rsidRPr="00FD566B" w:rsidRDefault="00A30F39" w:rsidP="000E367C">
            <w:pPr>
              <w:pStyle w:val="a6"/>
              <w:jc w:val="center"/>
              <w:rPr>
                <w:rFonts w:asciiTheme="majorHAnsi" w:hAnsiTheme="majorHAnsi"/>
                <w:b/>
                <w:sz w:val="18"/>
                <w:lang w:val="ro-RO"/>
              </w:rPr>
            </w:pPr>
            <w:r w:rsidRPr="00FD566B">
              <w:rPr>
                <w:rFonts w:asciiTheme="majorHAnsi" w:hAnsiTheme="majorHAnsi"/>
                <w:b/>
                <w:sz w:val="18"/>
                <w:lang w:val="ro-RO"/>
              </w:rPr>
              <w:t>suma</w:t>
            </w:r>
          </w:p>
        </w:tc>
        <w:tc>
          <w:tcPr>
            <w:tcW w:w="567" w:type="dxa"/>
            <w:tcBorders>
              <w:top w:val="nil"/>
              <w:left w:val="nil"/>
              <w:bottom w:val="single" w:sz="4" w:space="0" w:color="auto"/>
              <w:right w:val="single" w:sz="4" w:space="0" w:color="auto"/>
            </w:tcBorders>
            <w:shd w:val="clear" w:color="auto" w:fill="D9D9D9" w:themeFill="background1" w:themeFillShade="D9"/>
            <w:vAlign w:val="center"/>
          </w:tcPr>
          <w:p w14:paraId="72C16C88" w14:textId="77777777" w:rsidR="00A30F39" w:rsidRPr="00FD566B" w:rsidRDefault="00A30F39" w:rsidP="000E367C">
            <w:pPr>
              <w:pStyle w:val="a6"/>
              <w:jc w:val="center"/>
              <w:rPr>
                <w:rFonts w:asciiTheme="majorHAnsi" w:hAnsiTheme="majorHAnsi"/>
                <w:b/>
                <w:sz w:val="18"/>
                <w:lang w:val="ro-RO"/>
              </w:rPr>
            </w:pPr>
            <w:r w:rsidRPr="00FD566B">
              <w:rPr>
                <w:rFonts w:asciiTheme="majorHAnsi" w:hAnsiTheme="majorHAnsi"/>
                <w:b/>
                <w:sz w:val="18"/>
                <w:lang w:val="ro-RO"/>
              </w:rPr>
              <w:t>nr. de beneficiari</w:t>
            </w:r>
          </w:p>
        </w:tc>
        <w:tc>
          <w:tcPr>
            <w:tcW w:w="709" w:type="dxa"/>
            <w:tcBorders>
              <w:top w:val="nil"/>
              <w:left w:val="nil"/>
              <w:bottom w:val="single" w:sz="4" w:space="0" w:color="auto"/>
              <w:right w:val="single" w:sz="4" w:space="0" w:color="auto"/>
            </w:tcBorders>
            <w:shd w:val="clear" w:color="000000" w:fill="DBDBDB"/>
            <w:vAlign w:val="center"/>
          </w:tcPr>
          <w:p w14:paraId="016DA15C" w14:textId="77777777" w:rsidR="00A30F39" w:rsidRPr="00FD566B" w:rsidRDefault="00A30F39" w:rsidP="000E367C">
            <w:pPr>
              <w:pStyle w:val="a6"/>
              <w:jc w:val="center"/>
              <w:rPr>
                <w:rFonts w:asciiTheme="majorHAnsi" w:hAnsiTheme="majorHAnsi"/>
                <w:b/>
                <w:sz w:val="18"/>
                <w:lang w:val="ro-RO"/>
              </w:rPr>
            </w:pPr>
            <w:r w:rsidRPr="00FD566B">
              <w:rPr>
                <w:rFonts w:asciiTheme="majorHAnsi" w:hAnsiTheme="majorHAnsi"/>
                <w:b/>
                <w:sz w:val="18"/>
                <w:lang w:val="ro-RO"/>
              </w:rPr>
              <w:t>suma</w:t>
            </w:r>
          </w:p>
        </w:tc>
      </w:tr>
      <w:tr w:rsidR="00A30F39" w:rsidRPr="00A30F39" w14:paraId="5CB1E622" w14:textId="77777777" w:rsidTr="000E367C">
        <w:trPr>
          <w:trHeight w:val="133"/>
        </w:trPr>
        <w:tc>
          <w:tcPr>
            <w:tcW w:w="7366" w:type="dxa"/>
            <w:gridSpan w:val="10"/>
            <w:tcBorders>
              <w:top w:val="single" w:sz="4" w:space="0" w:color="auto"/>
              <w:left w:val="single" w:sz="4" w:space="0" w:color="auto"/>
              <w:bottom w:val="single" w:sz="4" w:space="0" w:color="auto"/>
              <w:right w:val="single" w:sz="4" w:space="0" w:color="auto"/>
            </w:tcBorders>
            <w:vAlign w:val="center"/>
            <w:hideMark/>
          </w:tcPr>
          <w:p w14:paraId="0F6906C4"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1. Agenții economici</w:t>
            </w:r>
          </w:p>
        </w:tc>
        <w:tc>
          <w:tcPr>
            <w:tcW w:w="851" w:type="dxa"/>
            <w:tcBorders>
              <w:top w:val="single" w:sz="4" w:space="0" w:color="auto"/>
              <w:left w:val="single" w:sz="4" w:space="0" w:color="auto"/>
              <w:bottom w:val="single" w:sz="4" w:space="0" w:color="auto"/>
              <w:right w:val="single" w:sz="4" w:space="0" w:color="auto"/>
            </w:tcBorders>
            <w:vAlign w:val="center"/>
          </w:tcPr>
          <w:p w14:paraId="4B354F24" w14:textId="77777777" w:rsidR="00A30F39" w:rsidRPr="00FD566B" w:rsidRDefault="00A30F39" w:rsidP="000E367C">
            <w:pPr>
              <w:pStyle w:val="a6"/>
              <w:jc w:val="center"/>
              <w:rPr>
                <w:rFonts w:asciiTheme="majorHAnsi" w:hAnsiTheme="majorHAnsi"/>
                <w:b/>
                <w:sz w:val="20"/>
                <w:lang w:val="ro-R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29EBEC" w14:textId="77777777" w:rsidR="00A30F39" w:rsidRPr="00FD566B" w:rsidRDefault="00A30F39" w:rsidP="000E367C">
            <w:pPr>
              <w:pStyle w:val="a6"/>
              <w:jc w:val="center"/>
              <w:rPr>
                <w:rFonts w:asciiTheme="majorHAnsi" w:hAnsiTheme="majorHAnsi"/>
                <w:b/>
                <w:sz w:val="20"/>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7E4CA063" w14:textId="77777777" w:rsidR="00A30F39" w:rsidRPr="00FD566B" w:rsidRDefault="00A30F39" w:rsidP="000E367C">
            <w:pPr>
              <w:pStyle w:val="a6"/>
              <w:jc w:val="center"/>
              <w:rPr>
                <w:rFonts w:asciiTheme="majorHAnsi" w:hAnsiTheme="majorHAnsi"/>
                <w:b/>
                <w:sz w:val="20"/>
                <w:lang w:val="ro-RO"/>
              </w:rPr>
            </w:pPr>
          </w:p>
        </w:tc>
      </w:tr>
      <w:tr w:rsidR="00A30F39" w:rsidRPr="00A30F39" w14:paraId="1806D5E5" w14:textId="77777777" w:rsidTr="000E367C">
        <w:trPr>
          <w:trHeight w:val="239"/>
        </w:trPr>
        <w:tc>
          <w:tcPr>
            <w:tcW w:w="1413" w:type="dxa"/>
            <w:tcBorders>
              <w:top w:val="nil"/>
              <w:left w:val="single" w:sz="4" w:space="0" w:color="auto"/>
              <w:bottom w:val="single" w:sz="4" w:space="0" w:color="auto"/>
              <w:right w:val="single" w:sz="4" w:space="0" w:color="auto"/>
            </w:tcBorders>
            <w:vAlign w:val="center"/>
            <w:hideMark/>
          </w:tcPr>
          <w:p w14:paraId="2FD67D0B" w14:textId="77777777" w:rsidR="00A30F39" w:rsidRPr="00FD566B" w:rsidRDefault="00A30F39" w:rsidP="000E367C">
            <w:pPr>
              <w:pStyle w:val="a6"/>
              <w:rPr>
                <w:rFonts w:asciiTheme="majorHAnsi" w:hAnsiTheme="majorHAnsi"/>
                <w:sz w:val="20"/>
                <w:lang w:val="ro-RO"/>
              </w:rPr>
            </w:pPr>
            <w:r w:rsidRPr="00FD566B">
              <w:rPr>
                <w:rFonts w:asciiTheme="majorHAnsi" w:hAnsiTheme="majorHAnsi"/>
                <w:sz w:val="20"/>
                <w:lang w:val="ro-RO"/>
              </w:rPr>
              <w:t>Activează în regim ordinar</w:t>
            </w:r>
          </w:p>
        </w:tc>
        <w:tc>
          <w:tcPr>
            <w:tcW w:w="567" w:type="dxa"/>
            <w:tcBorders>
              <w:top w:val="nil"/>
              <w:left w:val="single" w:sz="12" w:space="0" w:color="auto"/>
              <w:bottom w:val="single" w:sz="4" w:space="0" w:color="auto"/>
              <w:right w:val="single" w:sz="4" w:space="0" w:color="auto"/>
            </w:tcBorders>
            <w:vAlign w:val="center"/>
            <w:hideMark/>
          </w:tcPr>
          <w:p w14:paraId="5287EEE7" w14:textId="7D88F485"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2</w:t>
            </w:r>
            <w:r w:rsidR="00DF3C14">
              <w:rPr>
                <w:rFonts w:asciiTheme="majorHAnsi" w:hAnsiTheme="majorHAnsi"/>
                <w:sz w:val="20"/>
                <w:lang w:val="ro-RO"/>
              </w:rPr>
              <w:t>5</w:t>
            </w:r>
          </w:p>
        </w:tc>
        <w:tc>
          <w:tcPr>
            <w:tcW w:w="850" w:type="dxa"/>
            <w:tcBorders>
              <w:top w:val="nil"/>
              <w:left w:val="nil"/>
              <w:bottom w:val="single" w:sz="4" w:space="0" w:color="auto"/>
              <w:right w:val="single" w:sz="4" w:space="0" w:color="auto"/>
            </w:tcBorders>
            <w:vAlign w:val="center"/>
            <w:hideMark/>
          </w:tcPr>
          <w:p w14:paraId="43E500F0" w14:textId="0A197CDE" w:rsidR="00A30F39" w:rsidRPr="00FD566B" w:rsidRDefault="00DF3C14" w:rsidP="00DF3C14">
            <w:pPr>
              <w:pStyle w:val="a6"/>
              <w:jc w:val="center"/>
              <w:rPr>
                <w:rFonts w:asciiTheme="majorHAnsi" w:hAnsiTheme="majorHAnsi"/>
                <w:sz w:val="20"/>
                <w:lang w:val="ro-RO"/>
              </w:rPr>
            </w:pPr>
            <w:r>
              <w:rPr>
                <w:rFonts w:asciiTheme="majorHAnsi" w:hAnsiTheme="majorHAnsi"/>
                <w:sz w:val="20"/>
                <w:lang w:val="ro-RO"/>
              </w:rPr>
              <w:t>1069.0</w:t>
            </w:r>
          </w:p>
        </w:tc>
        <w:tc>
          <w:tcPr>
            <w:tcW w:w="567" w:type="dxa"/>
            <w:tcBorders>
              <w:top w:val="nil"/>
              <w:left w:val="nil"/>
              <w:bottom w:val="single" w:sz="4" w:space="0" w:color="auto"/>
              <w:right w:val="single" w:sz="4" w:space="0" w:color="auto"/>
            </w:tcBorders>
            <w:vAlign w:val="center"/>
            <w:hideMark/>
          </w:tcPr>
          <w:p w14:paraId="4361DC0B"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4</w:t>
            </w:r>
          </w:p>
        </w:tc>
        <w:tc>
          <w:tcPr>
            <w:tcW w:w="709" w:type="dxa"/>
            <w:tcBorders>
              <w:top w:val="nil"/>
              <w:left w:val="nil"/>
              <w:bottom w:val="single" w:sz="4" w:space="0" w:color="auto"/>
              <w:right w:val="single" w:sz="12" w:space="0" w:color="auto"/>
            </w:tcBorders>
            <w:vAlign w:val="center"/>
            <w:hideMark/>
          </w:tcPr>
          <w:p w14:paraId="1C435835"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18,5</w:t>
            </w:r>
          </w:p>
        </w:tc>
        <w:tc>
          <w:tcPr>
            <w:tcW w:w="567" w:type="dxa"/>
            <w:tcBorders>
              <w:top w:val="nil"/>
              <w:left w:val="single" w:sz="12" w:space="0" w:color="auto"/>
              <w:bottom w:val="single" w:sz="4" w:space="0" w:color="auto"/>
              <w:right w:val="single" w:sz="4" w:space="0" w:color="auto"/>
            </w:tcBorders>
            <w:noWrap/>
            <w:vAlign w:val="center"/>
            <w:hideMark/>
          </w:tcPr>
          <w:p w14:paraId="5E9BA44C" w14:textId="0ED80F84"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3</w:t>
            </w:r>
            <w:r w:rsidR="0076623C">
              <w:rPr>
                <w:rFonts w:asciiTheme="majorHAnsi" w:hAnsiTheme="majorHAnsi"/>
                <w:sz w:val="20"/>
                <w:lang w:val="ro-RO"/>
              </w:rPr>
              <w:t>0</w:t>
            </w:r>
          </w:p>
        </w:tc>
        <w:tc>
          <w:tcPr>
            <w:tcW w:w="851" w:type="dxa"/>
            <w:tcBorders>
              <w:top w:val="nil"/>
              <w:left w:val="nil"/>
              <w:bottom w:val="single" w:sz="4" w:space="0" w:color="auto"/>
              <w:right w:val="single" w:sz="4" w:space="0" w:color="auto"/>
            </w:tcBorders>
            <w:noWrap/>
            <w:vAlign w:val="center"/>
            <w:hideMark/>
          </w:tcPr>
          <w:p w14:paraId="13FAD68C" w14:textId="262A4962" w:rsidR="00A30F39" w:rsidRPr="00FD566B" w:rsidRDefault="0076623C" w:rsidP="000E367C">
            <w:pPr>
              <w:pStyle w:val="a6"/>
              <w:jc w:val="center"/>
              <w:rPr>
                <w:rFonts w:asciiTheme="majorHAnsi" w:hAnsiTheme="majorHAnsi"/>
                <w:sz w:val="20"/>
                <w:lang w:val="ro-RO"/>
              </w:rPr>
            </w:pPr>
            <w:r>
              <w:rPr>
                <w:rFonts w:asciiTheme="majorHAnsi" w:hAnsiTheme="majorHAnsi" w:cstheme="majorHAnsi"/>
                <w:sz w:val="20"/>
                <w:szCs w:val="20"/>
                <w:lang w:val="ro-RO"/>
              </w:rPr>
              <w:t>1207.5</w:t>
            </w:r>
          </w:p>
        </w:tc>
        <w:tc>
          <w:tcPr>
            <w:tcW w:w="567" w:type="dxa"/>
            <w:tcBorders>
              <w:top w:val="nil"/>
              <w:left w:val="nil"/>
              <w:bottom w:val="single" w:sz="4" w:space="0" w:color="auto"/>
              <w:right w:val="single" w:sz="4" w:space="0" w:color="auto"/>
            </w:tcBorders>
            <w:shd w:val="clear" w:color="auto" w:fill="auto"/>
            <w:noWrap/>
            <w:vAlign w:val="center"/>
            <w:hideMark/>
          </w:tcPr>
          <w:p w14:paraId="190571A8" w14:textId="3F4DEF0C" w:rsidR="00A30F39" w:rsidRPr="00FD566B" w:rsidRDefault="006D56B3" w:rsidP="000E367C">
            <w:pPr>
              <w:pStyle w:val="a6"/>
              <w:jc w:val="center"/>
              <w:rPr>
                <w:rFonts w:asciiTheme="majorHAnsi" w:hAnsiTheme="majorHAnsi"/>
                <w:sz w:val="20"/>
                <w:lang w:val="ro-RO"/>
              </w:rPr>
            </w:pPr>
            <w:r>
              <w:rPr>
                <w:rFonts w:asciiTheme="majorHAnsi" w:hAnsiTheme="majorHAnsi" w:cstheme="majorHAnsi"/>
                <w:sz w:val="20"/>
                <w:szCs w:val="20"/>
                <w:lang w:val="ro-RO"/>
              </w:rPr>
              <w:t>9</w:t>
            </w:r>
          </w:p>
        </w:tc>
        <w:tc>
          <w:tcPr>
            <w:tcW w:w="708" w:type="dxa"/>
            <w:tcBorders>
              <w:top w:val="nil"/>
              <w:left w:val="nil"/>
              <w:bottom w:val="single" w:sz="4" w:space="0" w:color="auto"/>
              <w:right w:val="single" w:sz="4" w:space="0" w:color="auto"/>
            </w:tcBorders>
            <w:noWrap/>
            <w:vAlign w:val="center"/>
            <w:hideMark/>
          </w:tcPr>
          <w:p w14:paraId="00E607BC" w14:textId="2BD86CE9" w:rsidR="00A30F39" w:rsidRPr="00FD566B" w:rsidRDefault="006D56B3" w:rsidP="000E367C">
            <w:pPr>
              <w:pStyle w:val="a6"/>
              <w:jc w:val="center"/>
              <w:rPr>
                <w:rFonts w:asciiTheme="majorHAnsi" w:hAnsiTheme="majorHAnsi"/>
                <w:sz w:val="20"/>
                <w:lang w:val="ro-RO"/>
              </w:rPr>
            </w:pPr>
            <w:r>
              <w:rPr>
                <w:rFonts w:asciiTheme="majorHAnsi" w:hAnsiTheme="majorHAnsi" w:cstheme="majorHAnsi"/>
                <w:sz w:val="20"/>
                <w:szCs w:val="20"/>
                <w:lang w:val="ro-RO"/>
              </w:rPr>
              <w:t>27,0</w:t>
            </w:r>
          </w:p>
        </w:tc>
        <w:tc>
          <w:tcPr>
            <w:tcW w:w="567" w:type="dxa"/>
            <w:tcBorders>
              <w:top w:val="nil"/>
              <w:left w:val="single" w:sz="12" w:space="0" w:color="auto"/>
              <w:bottom w:val="single" w:sz="4" w:space="0" w:color="auto"/>
              <w:right w:val="single" w:sz="4" w:space="0" w:color="auto"/>
            </w:tcBorders>
            <w:vAlign w:val="center"/>
          </w:tcPr>
          <w:p w14:paraId="13C378A3"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30</w:t>
            </w:r>
          </w:p>
        </w:tc>
        <w:tc>
          <w:tcPr>
            <w:tcW w:w="851" w:type="dxa"/>
            <w:tcBorders>
              <w:top w:val="nil"/>
              <w:left w:val="nil"/>
              <w:bottom w:val="single" w:sz="4" w:space="0" w:color="auto"/>
              <w:right w:val="single" w:sz="4" w:space="0" w:color="auto"/>
            </w:tcBorders>
            <w:vAlign w:val="center"/>
          </w:tcPr>
          <w:p w14:paraId="4CF7C7AD" w14:textId="28D70069"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1498.</w:t>
            </w:r>
            <w:r w:rsidR="007922BF">
              <w:rPr>
                <w:rFonts w:asciiTheme="majorHAnsi" w:hAnsiTheme="majorHAnsi" w:cstheme="majorHAnsi"/>
                <w:sz w:val="20"/>
                <w:szCs w:val="20"/>
                <w:lang w:val="ro-RO"/>
              </w:rPr>
              <w:t>7</w:t>
            </w:r>
          </w:p>
        </w:tc>
        <w:tc>
          <w:tcPr>
            <w:tcW w:w="567" w:type="dxa"/>
            <w:tcBorders>
              <w:top w:val="nil"/>
              <w:left w:val="nil"/>
              <w:bottom w:val="single" w:sz="4" w:space="0" w:color="auto"/>
              <w:right w:val="single" w:sz="4" w:space="0" w:color="auto"/>
            </w:tcBorders>
            <w:shd w:val="clear" w:color="auto" w:fill="auto"/>
            <w:vAlign w:val="center"/>
          </w:tcPr>
          <w:p w14:paraId="58B4219C"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13</w:t>
            </w:r>
          </w:p>
        </w:tc>
        <w:tc>
          <w:tcPr>
            <w:tcW w:w="709" w:type="dxa"/>
            <w:tcBorders>
              <w:top w:val="nil"/>
              <w:left w:val="nil"/>
              <w:bottom w:val="single" w:sz="4" w:space="0" w:color="auto"/>
              <w:right w:val="single" w:sz="4" w:space="0" w:color="auto"/>
            </w:tcBorders>
            <w:vAlign w:val="center"/>
          </w:tcPr>
          <w:p w14:paraId="117A3318"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16,4</w:t>
            </w:r>
          </w:p>
        </w:tc>
      </w:tr>
      <w:tr w:rsidR="00A30F39" w:rsidRPr="00A30F39" w14:paraId="66179C6D" w14:textId="77777777" w:rsidTr="000E367C">
        <w:trPr>
          <w:trHeight w:val="367"/>
        </w:trPr>
        <w:tc>
          <w:tcPr>
            <w:tcW w:w="1413" w:type="dxa"/>
            <w:tcBorders>
              <w:top w:val="nil"/>
              <w:left w:val="single" w:sz="4" w:space="0" w:color="auto"/>
              <w:bottom w:val="single" w:sz="4" w:space="0" w:color="auto"/>
              <w:right w:val="single" w:sz="4" w:space="0" w:color="auto"/>
            </w:tcBorders>
            <w:vAlign w:val="center"/>
            <w:hideMark/>
          </w:tcPr>
          <w:p w14:paraId="5948722E" w14:textId="77777777" w:rsidR="00A30F39" w:rsidRPr="00FD566B" w:rsidRDefault="00A30F39" w:rsidP="000E367C">
            <w:pPr>
              <w:pStyle w:val="a6"/>
              <w:rPr>
                <w:rFonts w:asciiTheme="majorHAnsi" w:hAnsiTheme="majorHAnsi"/>
                <w:sz w:val="20"/>
                <w:lang w:val="ro-RO"/>
              </w:rPr>
            </w:pPr>
            <w:r w:rsidRPr="00FD566B">
              <w:rPr>
                <w:rFonts w:asciiTheme="majorHAnsi" w:hAnsiTheme="majorHAnsi"/>
                <w:sz w:val="20"/>
                <w:lang w:val="ro-RO"/>
              </w:rPr>
              <w:t>Se află în proces de insolvabilitate</w:t>
            </w:r>
          </w:p>
        </w:tc>
        <w:tc>
          <w:tcPr>
            <w:tcW w:w="567" w:type="dxa"/>
            <w:tcBorders>
              <w:top w:val="nil"/>
              <w:left w:val="single" w:sz="12" w:space="0" w:color="auto"/>
              <w:bottom w:val="single" w:sz="4" w:space="0" w:color="auto"/>
              <w:right w:val="single" w:sz="4" w:space="0" w:color="auto"/>
            </w:tcBorders>
            <w:vAlign w:val="center"/>
            <w:hideMark/>
          </w:tcPr>
          <w:p w14:paraId="4B512D32"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14</w:t>
            </w:r>
          </w:p>
        </w:tc>
        <w:tc>
          <w:tcPr>
            <w:tcW w:w="850" w:type="dxa"/>
            <w:tcBorders>
              <w:top w:val="nil"/>
              <w:left w:val="nil"/>
              <w:bottom w:val="single" w:sz="4" w:space="0" w:color="auto"/>
              <w:right w:val="single" w:sz="4" w:space="0" w:color="auto"/>
            </w:tcBorders>
            <w:vAlign w:val="center"/>
            <w:hideMark/>
          </w:tcPr>
          <w:p w14:paraId="043FB2E1"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217</w:t>
            </w:r>
          </w:p>
        </w:tc>
        <w:tc>
          <w:tcPr>
            <w:tcW w:w="567" w:type="dxa"/>
            <w:tcBorders>
              <w:top w:val="nil"/>
              <w:left w:val="nil"/>
              <w:bottom w:val="single" w:sz="4" w:space="0" w:color="auto"/>
              <w:right w:val="single" w:sz="4" w:space="0" w:color="auto"/>
            </w:tcBorders>
            <w:vAlign w:val="center"/>
            <w:hideMark/>
          </w:tcPr>
          <w:p w14:paraId="1ABE21CE"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14</w:t>
            </w:r>
          </w:p>
        </w:tc>
        <w:tc>
          <w:tcPr>
            <w:tcW w:w="709" w:type="dxa"/>
            <w:tcBorders>
              <w:top w:val="nil"/>
              <w:left w:val="nil"/>
              <w:bottom w:val="single" w:sz="4" w:space="0" w:color="auto"/>
              <w:right w:val="single" w:sz="12" w:space="0" w:color="auto"/>
            </w:tcBorders>
            <w:vAlign w:val="center"/>
            <w:hideMark/>
          </w:tcPr>
          <w:p w14:paraId="0B239AEE"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217</w:t>
            </w:r>
          </w:p>
        </w:tc>
        <w:tc>
          <w:tcPr>
            <w:tcW w:w="567" w:type="dxa"/>
            <w:tcBorders>
              <w:top w:val="nil"/>
              <w:left w:val="single" w:sz="12" w:space="0" w:color="auto"/>
              <w:bottom w:val="single" w:sz="4" w:space="0" w:color="auto"/>
              <w:right w:val="single" w:sz="4" w:space="0" w:color="auto"/>
            </w:tcBorders>
            <w:noWrap/>
            <w:vAlign w:val="center"/>
            <w:hideMark/>
          </w:tcPr>
          <w:p w14:paraId="6FFB4DB0"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13</w:t>
            </w:r>
          </w:p>
        </w:tc>
        <w:tc>
          <w:tcPr>
            <w:tcW w:w="851" w:type="dxa"/>
            <w:tcBorders>
              <w:top w:val="nil"/>
              <w:left w:val="nil"/>
              <w:bottom w:val="single" w:sz="4" w:space="0" w:color="auto"/>
              <w:right w:val="single" w:sz="4" w:space="0" w:color="auto"/>
            </w:tcBorders>
            <w:noWrap/>
            <w:vAlign w:val="center"/>
            <w:hideMark/>
          </w:tcPr>
          <w:p w14:paraId="16E03FBE"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187,0</w:t>
            </w:r>
          </w:p>
        </w:tc>
        <w:tc>
          <w:tcPr>
            <w:tcW w:w="567" w:type="dxa"/>
            <w:tcBorders>
              <w:top w:val="nil"/>
              <w:left w:val="nil"/>
              <w:bottom w:val="single" w:sz="4" w:space="0" w:color="auto"/>
              <w:right w:val="single" w:sz="4" w:space="0" w:color="auto"/>
            </w:tcBorders>
            <w:shd w:val="clear" w:color="auto" w:fill="auto"/>
            <w:noWrap/>
            <w:vAlign w:val="center"/>
            <w:hideMark/>
          </w:tcPr>
          <w:p w14:paraId="33FA1798"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13</w:t>
            </w:r>
          </w:p>
        </w:tc>
        <w:tc>
          <w:tcPr>
            <w:tcW w:w="708" w:type="dxa"/>
            <w:tcBorders>
              <w:top w:val="nil"/>
              <w:left w:val="nil"/>
              <w:bottom w:val="single" w:sz="4" w:space="0" w:color="auto"/>
              <w:right w:val="single" w:sz="4" w:space="0" w:color="auto"/>
            </w:tcBorders>
            <w:noWrap/>
            <w:vAlign w:val="center"/>
            <w:hideMark/>
          </w:tcPr>
          <w:p w14:paraId="1C67E535"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187,0</w:t>
            </w:r>
          </w:p>
        </w:tc>
        <w:tc>
          <w:tcPr>
            <w:tcW w:w="567" w:type="dxa"/>
            <w:tcBorders>
              <w:top w:val="nil"/>
              <w:left w:val="single" w:sz="12" w:space="0" w:color="auto"/>
              <w:bottom w:val="single" w:sz="4" w:space="0" w:color="auto"/>
              <w:right w:val="single" w:sz="4" w:space="0" w:color="auto"/>
            </w:tcBorders>
            <w:vAlign w:val="center"/>
          </w:tcPr>
          <w:p w14:paraId="58D0E490"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11</w:t>
            </w:r>
          </w:p>
        </w:tc>
        <w:tc>
          <w:tcPr>
            <w:tcW w:w="851" w:type="dxa"/>
            <w:tcBorders>
              <w:top w:val="nil"/>
              <w:left w:val="nil"/>
              <w:bottom w:val="single" w:sz="4" w:space="0" w:color="auto"/>
              <w:right w:val="single" w:sz="4" w:space="0" w:color="auto"/>
            </w:tcBorders>
            <w:vAlign w:val="center"/>
          </w:tcPr>
          <w:p w14:paraId="60DD5EFF" w14:textId="5B3786D9"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165,</w:t>
            </w:r>
            <w:r w:rsidR="007922BF">
              <w:rPr>
                <w:rFonts w:asciiTheme="majorHAnsi" w:hAnsiTheme="majorHAnsi" w:cstheme="majorHAnsi"/>
                <w:sz w:val="20"/>
                <w:szCs w:val="20"/>
                <w:lang w:val="ro-RO"/>
              </w:rPr>
              <w:t>0</w:t>
            </w:r>
          </w:p>
        </w:tc>
        <w:tc>
          <w:tcPr>
            <w:tcW w:w="567" w:type="dxa"/>
            <w:tcBorders>
              <w:top w:val="nil"/>
              <w:left w:val="nil"/>
              <w:bottom w:val="single" w:sz="4" w:space="0" w:color="auto"/>
              <w:right w:val="single" w:sz="4" w:space="0" w:color="auto"/>
            </w:tcBorders>
            <w:shd w:val="clear" w:color="auto" w:fill="auto"/>
            <w:vAlign w:val="center"/>
          </w:tcPr>
          <w:p w14:paraId="2792520D"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11</w:t>
            </w:r>
          </w:p>
        </w:tc>
        <w:tc>
          <w:tcPr>
            <w:tcW w:w="709" w:type="dxa"/>
            <w:tcBorders>
              <w:top w:val="nil"/>
              <w:left w:val="nil"/>
              <w:bottom w:val="single" w:sz="4" w:space="0" w:color="auto"/>
              <w:right w:val="single" w:sz="4" w:space="0" w:color="auto"/>
            </w:tcBorders>
            <w:vAlign w:val="center"/>
          </w:tcPr>
          <w:p w14:paraId="33628867" w14:textId="7C3D105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165,</w:t>
            </w:r>
            <w:r w:rsidR="007922BF">
              <w:rPr>
                <w:rFonts w:asciiTheme="majorHAnsi" w:hAnsiTheme="majorHAnsi" w:cstheme="majorHAnsi"/>
                <w:sz w:val="20"/>
                <w:szCs w:val="20"/>
                <w:lang w:val="ro-RO"/>
              </w:rPr>
              <w:t>0</w:t>
            </w:r>
          </w:p>
        </w:tc>
      </w:tr>
      <w:tr w:rsidR="00A30F39" w:rsidRPr="00A30F39" w14:paraId="4A3443A1" w14:textId="77777777" w:rsidTr="000E367C">
        <w:trPr>
          <w:trHeight w:val="40"/>
        </w:trPr>
        <w:tc>
          <w:tcPr>
            <w:tcW w:w="1413" w:type="dxa"/>
            <w:tcBorders>
              <w:top w:val="nil"/>
              <w:left w:val="single" w:sz="4" w:space="0" w:color="auto"/>
              <w:bottom w:val="single" w:sz="4" w:space="0" w:color="auto"/>
              <w:right w:val="single" w:sz="4" w:space="0" w:color="auto"/>
            </w:tcBorders>
            <w:vAlign w:val="center"/>
            <w:hideMark/>
          </w:tcPr>
          <w:p w14:paraId="32D8E69A" w14:textId="77777777" w:rsidR="00A30F39" w:rsidRPr="00FD566B" w:rsidRDefault="00A30F39" w:rsidP="000E367C">
            <w:pPr>
              <w:pStyle w:val="a6"/>
              <w:rPr>
                <w:rFonts w:asciiTheme="majorHAnsi" w:hAnsiTheme="majorHAnsi"/>
                <w:sz w:val="20"/>
                <w:lang w:val="ro-RO"/>
              </w:rPr>
            </w:pPr>
            <w:r w:rsidRPr="00FD566B">
              <w:rPr>
                <w:rFonts w:asciiTheme="majorHAnsi" w:hAnsiTheme="majorHAnsi"/>
                <w:sz w:val="20"/>
                <w:lang w:val="ro-RO"/>
              </w:rPr>
              <w:t>Sunt potențial faliți</w:t>
            </w:r>
          </w:p>
        </w:tc>
        <w:tc>
          <w:tcPr>
            <w:tcW w:w="567" w:type="dxa"/>
            <w:tcBorders>
              <w:top w:val="nil"/>
              <w:left w:val="single" w:sz="12" w:space="0" w:color="auto"/>
              <w:bottom w:val="single" w:sz="4" w:space="0" w:color="auto"/>
              <w:right w:val="single" w:sz="4" w:space="0" w:color="auto"/>
            </w:tcBorders>
            <w:vAlign w:val="center"/>
            <w:hideMark/>
          </w:tcPr>
          <w:p w14:paraId="46137617"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9</w:t>
            </w:r>
          </w:p>
        </w:tc>
        <w:tc>
          <w:tcPr>
            <w:tcW w:w="850" w:type="dxa"/>
            <w:tcBorders>
              <w:top w:val="nil"/>
              <w:left w:val="nil"/>
              <w:bottom w:val="single" w:sz="4" w:space="0" w:color="auto"/>
              <w:right w:val="single" w:sz="4" w:space="0" w:color="auto"/>
            </w:tcBorders>
            <w:vAlign w:val="center"/>
            <w:hideMark/>
          </w:tcPr>
          <w:p w14:paraId="73A62984"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79,2</w:t>
            </w:r>
          </w:p>
        </w:tc>
        <w:tc>
          <w:tcPr>
            <w:tcW w:w="567" w:type="dxa"/>
            <w:tcBorders>
              <w:top w:val="nil"/>
              <w:left w:val="nil"/>
              <w:bottom w:val="single" w:sz="4" w:space="0" w:color="auto"/>
              <w:right w:val="single" w:sz="4" w:space="0" w:color="auto"/>
            </w:tcBorders>
            <w:vAlign w:val="center"/>
            <w:hideMark/>
          </w:tcPr>
          <w:p w14:paraId="4893B300"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9</w:t>
            </w:r>
          </w:p>
        </w:tc>
        <w:tc>
          <w:tcPr>
            <w:tcW w:w="709" w:type="dxa"/>
            <w:tcBorders>
              <w:top w:val="nil"/>
              <w:left w:val="nil"/>
              <w:bottom w:val="single" w:sz="4" w:space="0" w:color="auto"/>
              <w:right w:val="single" w:sz="12" w:space="0" w:color="auto"/>
            </w:tcBorders>
            <w:vAlign w:val="center"/>
            <w:hideMark/>
          </w:tcPr>
          <w:p w14:paraId="6546DF30"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79,1</w:t>
            </w:r>
          </w:p>
        </w:tc>
        <w:tc>
          <w:tcPr>
            <w:tcW w:w="567" w:type="dxa"/>
            <w:tcBorders>
              <w:top w:val="nil"/>
              <w:left w:val="single" w:sz="12" w:space="0" w:color="auto"/>
              <w:bottom w:val="single" w:sz="4" w:space="0" w:color="auto"/>
              <w:right w:val="single" w:sz="4" w:space="0" w:color="auto"/>
            </w:tcBorders>
            <w:noWrap/>
            <w:vAlign w:val="center"/>
            <w:hideMark/>
          </w:tcPr>
          <w:p w14:paraId="6AED2C9F"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8</w:t>
            </w:r>
          </w:p>
        </w:tc>
        <w:tc>
          <w:tcPr>
            <w:tcW w:w="851" w:type="dxa"/>
            <w:tcBorders>
              <w:top w:val="nil"/>
              <w:left w:val="nil"/>
              <w:bottom w:val="single" w:sz="4" w:space="0" w:color="auto"/>
              <w:right w:val="single" w:sz="4" w:space="0" w:color="auto"/>
            </w:tcBorders>
            <w:noWrap/>
            <w:vAlign w:val="center"/>
            <w:hideMark/>
          </w:tcPr>
          <w:p w14:paraId="27D5B717"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74,1</w:t>
            </w:r>
          </w:p>
        </w:tc>
        <w:tc>
          <w:tcPr>
            <w:tcW w:w="567" w:type="dxa"/>
            <w:tcBorders>
              <w:top w:val="nil"/>
              <w:left w:val="nil"/>
              <w:bottom w:val="single" w:sz="4" w:space="0" w:color="auto"/>
              <w:right w:val="single" w:sz="4" w:space="0" w:color="auto"/>
            </w:tcBorders>
            <w:shd w:val="clear" w:color="auto" w:fill="auto"/>
            <w:noWrap/>
            <w:vAlign w:val="center"/>
            <w:hideMark/>
          </w:tcPr>
          <w:p w14:paraId="4CDDB36A"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8</w:t>
            </w:r>
          </w:p>
        </w:tc>
        <w:tc>
          <w:tcPr>
            <w:tcW w:w="708" w:type="dxa"/>
            <w:tcBorders>
              <w:top w:val="nil"/>
              <w:left w:val="nil"/>
              <w:bottom w:val="single" w:sz="4" w:space="0" w:color="auto"/>
              <w:right w:val="single" w:sz="4" w:space="0" w:color="auto"/>
            </w:tcBorders>
            <w:noWrap/>
            <w:vAlign w:val="center"/>
            <w:hideMark/>
          </w:tcPr>
          <w:p w14:paraId="7038BCFA" w14:textId="4DA8CDD2"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74,</w:t>
            </w:r>
            <w:r w:rsidR="00BA7179">
              <w:rPr>
                <w:rFonts w:asciiTheme="majorHAnsi" w:hAnsiTheme="majorHAnsi" w:cstheme="majorHAnsi"/>
                <w:sz w:val="20"/>
                <w:szCs w:val="20"/>
                <w:lang w:val="ro-RO"/>
              </w:rPr>
              <w:t>1</w:t>
            </w:r>
          </w:p>
        </w:tc>
        <w:tc>
          <w:tcPr>
            <w:tcW w:w="567" w:type="dxa"/>
            <w:tcBorders>
              <w:top w:val="nil"/>
              <w:left w:val="single" w:sz="12" w:space="0" w:color="auto"/>
              <w:bottom w:val="single" w:sz="4" w:space="0" w:color="auto"/>
              <w:right w:val="single" w:sz="4" w:space="0" w:color="auto"/>
            </w:tcBorders>
            <w:vAlign w:val="center"/>
          </w:tcPr>
          <w:p w14:paraId="4BB6A9FF"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7</w:t>
            </w:r>
          </w:p>
        </w:tc>
        <w:tc>
          <w:tcPr>
            <w:tcW w:w="851" w:type="dxa"/>
            <w:tcBorders>
              <w:top w:val="nil"/>
              <w:left w:val="nil"/>
              <w:bottom w:val="single" w:sz="4" w:space="0" w:color="auto"/>
              <w:right w:val="single" w:sz="4" w:space="0" w:color="auto"/>
            </w:tcBorders>
            <w:vAlign w:val="center"/>
          </w:tcPr>
          <w:p w14:paraId="39A47A1F"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73,0</w:t>
            </w:r>
          </w:p>
        </w:tc>
        <w:tc>
          <w:tcPr>
            <w:tcW w:w="567" w:type="dxa"/>
            <w:tcBorders>
              <w:top w:val="nil"/>
              <w:left w:val="nil"/>
              <w:bottom w:val="single" w:sz="4" w:space="0" w:color="auto"/>
              <w:right w:val="single" w:sz="4" w:space="0" w:color="auto"/>
            </w:tcBorders>
            <w:shd w:val="clear" w:color="auto" w:fill="auto"/>
            <w:vAlign w:val="center"/>
          </w:tcPr>
          <w:p w14:paraId="75EDD2F9"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7</w:t>
            </w:r>
          </w:p>
        </w:tc>
        <w:tc>
          <w:tcPr>
            <w:tcW w:w="709" w:type="dxa"/>
            <w:tcBorders>
              <w:top w:val="nil"/>
              <w:left w:val="nil"/>
              <w:bottom w:val="single" w:sz="4" w:space="0" w:color="auto"/>
              <w:right w:val="single" w:sz="4" w:space="0" w:color="auto"/>
            </w:tcBorders>
            <w:vAlign w:val="center"/>
          </w:tcPr>
          <w:p w14:paraId="3FC380E2"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73,0</w:t>
            </w:r>
          </w:p>
        </w:tc>
      </w:tr>
      <w:tr w:rsidR="00A30F39" w:rsidRPr="00A30F39" w14:paraId="42C14F1A" w14:textId="77777777" w:rsidTr="000E367C">
        <w:trPr>
          <w:trHeight w:val="574"/>
        </w:trPr>
        <w:tc>
          <w:tcPr>
            <w:tcW w:w="1413" w:type="dxa"/>
            <w:tcBorders>
              <w:top w:val="nil"/>
              <w:left w:val="single" w:sz="4" w:space="0" w:color="auto"/>
              <w:bottom w:val="single" w:sz="4" w:space="0" w:color="auto"/>
              <w:right w:val="single" w:sz="4" w:space="0" w:color="auto"/>
            </w:tcBorders>
            <w:vAlign w:val="center"/>
            <w:hideMark/>
          </w:tcPr>
          <w:p w14:paraId="5213560C" w14:textId="1C97650C" w:rsidR="00A30F39" w:rsidRPr="00FD566B" w:rsidRDefault="00A30F39" w:rsidP="000E367C">
            <w:pPr>
              <w:pStyle w:val="a6"/>
              <w:rPr>
                <w:rFonts w:asciiTheme="majorHAnsi" w:hAnsiTheme="majorHAnsi"/>
                <w:sz w:val="20"/>
                <w:lang w:val="ro-RO"/>
              </w:rPr>
            </w:pPr>
            <w:r w:rsidRPr="00FD566B">
              <w:rPr>
                <w:rFonts w:asciiTheme="majorHAnsi" w:hAnsiTheme="majorHAnsi"/>
                <w:sz w:val="20"/>
                <w:lang w:val="ro-RO"/>
              </w:rPr>
              <w:t xml:space="preserve">Lipsesc din Registrul de stat al </w:t>
            </w:r>
            <w:r w:rsidR="00341568">
              <w:rPr>
                <w:rFonts w:asciiTheme="majorHAnsi" w:hAnsiTheme="majorHAnsi"/>
                <w:sz w:val="20"/>
                <w:lang w:val="ro-RO"/>
              </w:rPr>
              <w:t>î</w:t>
            </w:r>
            <w:r w:rsidRPr="00FD566B">
              <w:rPr>
                <w:rFonts w:asciiTheme="majorHAnsi" w:hAnsiTheme="majorHAnsi"/>
                <w:sz w:val="20"/>
                <w:lang w:val="ro-RO"/>
              </w:rPr>
              <w:t>ntreprinderilor și organizațiilor</w:t>
            </w:r>
          </w:p>
        </w:tc>
        <w:tc>
          <w:tcPr>
            <w:tcW w:w="567" w:type="dxa"/>
            <w:tcBorders>
              <w:top w:val="nil"/>
              <w:left w:val="single" w:sz="12" w:space="0" w:color="auto"/>
              <w:bottom w:val="single" w:sz="4" w:space="0" w:color="auto"/>
              <w:right w:val="single" w:sz="4" w:space="0" w:color="auto"/>
            </w:tcBorders>
            <w:vAlign w:val="center"/>
            <w:hideMark/>
          </w:tcPr>
          <w:p w14:paraId="4AD8ED0A"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2</w:t>
            </w:r>
          </w:p>
        </w:tc>
        <w:tc>
          <w:tcPr>
            <w:tcW w:w="850" w:type="dxa"/>
            <w:tcBorders>
              <w:top w:val="nil"/>
              <w:left w:val="nil"/>
              <w:bottom w:val="single" w:sz="4" w:space="0" w:color="auto"/>
              <w:right w:val="single" w:sz="4" w:space="0" w:color="auto"/>
            </w:tcBorders>
            <w:vAlign w:val="center"/>
            <w:hideMark/>
          </w:tcPr>
          <w:p w14:paraId="7F0A7AEF"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10,0</w:t>
            </w:r>
          </w:p>
        </w:tc>
        <w:tc>
          <w:tcPr>
            <w:tcW w:w="567" w:type="dxa"/>
            <w:tcBorders>
              <w:top w:val="nil"/>
              <w:left w:val="nil"/>
              <w:bottom w:val="single" w:sz="4" w:space="0" w:color="auto"/>
              <w:right w:val="single" w:sz="4" w:space="0" w:color="auto"/>
            </w:tcBorders>
            <w:vAlign w:val="center"/>
            <w:hideMark/>
          </w:tcPr>
          <w:p w14:paraId="501B2F04"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2</w:t>
            </w:r>
          </w:p>
        </w:tc>
        <w:tc>
          <w:tcPr>
            <w:tcW w:w="709" w:type="dxa"/>
            <w:tcBorders>
              <w:top w:val="nil"/>
              <w:left w:val="nil"/>
              <w:bottom w:val="single" w:sz="4" w:space="0" w:color="auto"/>
              <w:right w:val="single" w:sz="12" w:space="0" w:color="auto"/>
            </w:tcBorders>
            <w:vAlign w:val="center"/>
            <w:hideMark/>
          </w:tcPr>
          <w:p w14:paraId="3DE78099"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10,0</w:t>
            </w:r>
          </w:p>
        </w:tc>
        <w:tc>
          <w:tcPr>
            <w:tcW w:w="567" w:type="dxa"/>
            <w:tcBorders>
              <w:top w:val="nil"/>
              <w:left w:val="single" w:sz="12" w:space="0" w:color="auto"/>
              <w:bottom w:val="single" w:sz="4" w:space="0" w:color="auto"/>
              <w:right w:val="single" w:sz="4" w:space="0" w:color="auto"/>
            </w:tcBorders>
            <w:noWrap/>
            <w:vAlign w:val="center"/>
            <w:hideMark/>
          </w:tcPr>
          <w:p w14:paraId="753D46BE"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2</w:t>
            </w:r>
          </w:p>
        </w:tc>
        <w:tc>
          <w:tcPr>
            <w:tcW w:w="851" w:type="dxa"/>
            <w:tcBorders>
              <w:top w:val="nil"/>
              <w:left w:val="nil"/>
              <w:bottom w:val="single" w:sz="4" w:space="0" w:color="auto"/>
              <w:right w:val="single" w:sz="4" w:space="0" w:color="auto"/>
            </w:tcBorders>
            <w:noWrap/>
            <w:vAlign w:val="center"/>
            <w:hideMark/>
          </w:tcPr>
          <w:p w14:paraId="4ACFED12"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9,8</w:t>
            </w:r>
          </w:p>
        </w:tc>
        <w:tc>
          <w:tcPr>
            <w:tcW w:w="567" w:type="dxa"/>
            <w:tcBorders>
              <w:top w:val="nil"/>
              <w:left w:val="nil"/>
              <w:bottom w:val="single" w:sz="4" w:space="0" w:color="auto"/>
              <w:right w:val="single" w:sz="4" w:space="0" w:color="auto"/>
            </w:tcBorders>
            <w:shd w:val="clear" w:color="auto" w:fill="auto"/>
            <w:noWrap/>
            <w:vAlign w:val="center"/>
            <w:hideMark/>
          </w:tcPr>
          <w:p w14:paraId="25C6A3BB"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2</w:t>
            </w:r>
          </w:p>
        </w:tc>
        <w:tc>
          <w:tcPr>
            <w:tcW w:w="708" w:type="dxa"/>
            <w:tcBorders>
              <w:top w:val="nil"/>
              <w:left w:val="nil"/>
              <w:bottom w:val="single" w:sz="4" w:space="0" w:color="auto"/>
              <w:right w:val="single" w:sz="4" w:space="0" w:color="auto"/>
            </w:tcBorders>
            <w:noWrap/>
            <w:vAlign w:val="center"/>
            <w:hideMark/>
          </w:tcPr>
          <w:p w14:paraId="50840EC1"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9,8</w:t>
            </w:r>
          </w:p>
        </w:tc>
        <w:tc>
          <w:tcPr>
            <w:tcW w:w="567" w:type="dxa"/>
            <w:tcBorders>
              <w:top w:val="nil"/>
              <w:left w:val="single" w:sz="12" w:space="0" w:color="auto"/>
              <w:bottom w:val="single" w:sz="4" w:space="0" w:color="auto"/>
              <w:right w:val="single" w:sz="4" w:space="0" w:color="auto"/>
            </w:tcBorders>
            <w:vAlign w:val="center"/>
          </w:tcPr>
          <w:p w14:paraId="7536E970"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2</w:t>
            </w:r>
          </w:p>
        </w:tc>
        <w:tc>
          <w:tcPr>
            <w:tcW w:w="851" w:type="dxa"/>
            <w:tcBorders>
              <w:top w:val="nil"/>
              <w:left w:val="nil"/>
              <w:bottom w:val="single" w:sz="4" w:space="0" w:color="auto"/>
              <w:right w:val="single" w:sz="4" w:space="0" w:color="auto"/>
            </w:tcBorders>
            <w:vAlign w:val="center"/>
          </w:tcPr>
          <w:p w14:paraId="56A65A08"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9,8</w:t>
            </w:r>
          </w:p>
        </w:tc>
        <w:tc>
          <w:tcPr>
            <w:tcW w:w="567" w:type="dxa"/>
            <w:tcBorders>
              <w:top w:val="nil"/>
              <w:left w:val="nil"/>
              <w:bottom w:val="single" w:sz="4" w:space="0" w:color="auto"/>
              <w:right w:val="single" w:sz="4" w:space="0" w:color="auto"/>
            </w:tcBorders>
            <w:shd w:val="clear" w:color="auto" w:fill="auto"/>
            <w:vAlign w:val="center"/>
          </w:tcPr>
          <w:p w14:paraId="46D8D7EC"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2</w:t>
            </w:r>
          </w:p>
        </w:tc>
        <w:tc>
          <w:tcPr>
            <w:tcW w:w="709" w:type="dxa"/>
            <w:tcBorders>
              <w:top w:val="nil"/>
              <w:left w:val="nil"/>
              <w:bottom w:val="single" w:sz="4" w:space="0" w:color="auto"/>
              <w:right w:val="single" w:sz="4" w:space="0" w:color="auto"/>
            </w:tcBorders>
            <w:vAlign w:val="center"/>
          </w:tcPr>
          <w:p w14:paraId="07E04B9C"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9,8</w:t>
            </w:r>
          </w:p>
        </w:tc>
      </w:tr>
      <w:tr w:rsidR="00A30F39" w:rsidRPr="00A30F39" w14:paraId="5D902E2C" w14:textId="77777777" w:rsidTr="000E367C">
        <w:trPr>
          <w:trHeight w:val="74"/>
        </w:trPr>
        <w:tc>
          <w:tcPr>
            <w:tcW w:w="141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D047177" w14:textId="77777777" w:rsidR="00A30F39" w:rsidRPr="00FD566B" w:rsidRDefault="00A30F39" w:rsidP="000E367C">
            <w:pPr>
              <w:pStyle w:val="a6"/>
              <w:rPr>
                <w:rFonts w:asciiTheme="majorHAnsi" w:hAnsiTheme="majorHAnsi"/>
                <w:b/>
                <w:sz w:val="20"/>
                <w:lang w:val="ro-RO"/>
              </w:rPr>
            </w:pPr>
            <w:r w:rsidRPr="00FD566B">
              <w:rPr>
                <w:rFonts w:asciiTheme="majorHAnsi" w:hAnsiTheme="majorHAnsi"/>
                <w:b/>
                <w:sz w:val="20"/>
                <w:lang w:val="ro-RO"/>
              </w:rPr>
              <w:t>Total</w:t>
            </w:r>
          </w:p>
        </w:tc>
        <w:tc>
          <w:tcPr>
            <w:tcW w:w="567" w:type="dxa"/>
            <w:tcBorders>
              <w:top w:val="nil"/>
              <w:left w:val="nil"/>
              <w:bottom w:val="single" w:sz="4" w:space="0" w:color="auto"/>
              <w:right w:val="single" w:sz="4" w:space="0" w:color="auto"/>
            </w:tcBorders>
            <w:shd w:val="clear" w:color="auto" w:fill="E2EFD9" w:themeFill="accent6" w:themeFillTint="33"/>
            <w:vAlign w:val="center"/>
            <w:hideMark/>
          </w:tcPr>
          <w:p w14:paraId="7E818D9C" w14:textId="5FECC0A3"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5</w:t>
            </w:r>
            <w:r w:rsidR="00DF3C14">
              <w:rPr>
                <w:rFonts w:asciiTheme="majorHAnsi" w:hAnsiTheme="majorHAnsi"/>
                <w:b/>
                <w:sz w:val="20"/>
                <w:lang w:val="ro-RO"/>
              </w:rPr>
              <w:t>0</w:t>
            </w:r>
          </w:p>
        </w:tc>
        <w:tc>
          <w:tcPr>
            <w:tcW w:w="850" w:type="dxa"/>
            <w:tcBorders>
              <w:top w:val="nil"/>
              <w:left w:val="nil"/>
              <w:bottom w:val="single" w:sz="4" w:space="0" w:color="auto"/>
              <w:right w:val="single" w:sz="4" w:space="0" w:color="auto"/>
            </w:tcBorders>
            <w:shd w:val="clear" w:color="auto" w:fill="E2EFD9" w:themeFill="accent6" w:themeFillTint="33"/>
            <w:vAlign w:val="center"/>
            <w:hideMark/>
          </w:tcPr>
          <w:p w14:paraId="4B22A065" w14:textId="18A714C5" w:rsidR="00A30F39" w:rsidRPr="00FD566B" w:rsidRDefault="00DF3C14" w:rsidP="00DF3C14">
            <w:pPr>
              <w:pStyle w:val="a6"/>
              <w:jc w:val="center"/>
              <w:rPr>
                <w:rFonts w:asciiTheme="majorHAnsi" w:hAnsiTheme="majorHAnsi"/>
                <w:b/>
                <w:sz w:val="20"/>
                <w:lang w:val="ro-RO"/>
              </w:rPr>
            </w:pPr>
            <w:r>
              <w:rPr>
                <w:rFonts w:asciiTheme="majorHAnsi" w:hAnsiTheme="majorHAnsi"/>
                <w:b/>
                <w:sz w:val="20"/>
                <w:lang w:val="ro-RO"/>
              </w:rPr>
              <w:t>1375.2</w:t>
            </w:r>
          </w:p>
        </w:tc>
        <w:tc>
          <w:tcPr>
            <w:tcW w:w="567" w:type="dxa"/>
            <w:tcBorders>
              <w:top w:val="nil"/>
              <w:left w:val="nil"/>
              <w:bottom w:val="single" w:sz="4" w:space="0" w:color="auto"/>
              <w:right w:val="single" w:sz="4" w:space="0" w:color="auto"/>
            </w:tcBorders>
            <w:shd w:val="clear" w:color="auto" w:fill="E2EFD9" w:themeFill="accent6" w:themeFillTint="33"/>
            <w:vAlign w:val="center"/>
            <w:hideMark/>
          </w:tcPr>
          <w:p w14:paraId="0A700CF3"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29</w:t>
            </w:r>
          </w:p>
        </w:tc>
        <w:tc>
          <w:tcPr>
            <w:tcW w:w="709" w:type="dxa"/>
            <w:tcBorders>
              <w:top w:val="nil"/>
              <w:left w:val="nil"/>
              <w:bottom w:val="single" w:sz="4" w:space="0" w:color="auto"/>
              <w:right w:val="single" w:sz="12" w:space="0" w:color="auto"/>
            </w:tcBorders>
            <w:shd w:val="clear" w:color="auto" w:fill="E2EFD9" w:themeFill="accent6" w:themeFillTint="33"/>
            <w:vAlign w:val="center"/>
            <w:hideMark/>
          </w:tcPr>
          <w:p w14:paraId="07AD79FB"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324,6</w:t>
            </w:r>
          </w:p>
        </w:tc>
        <w:tc>
          <w:tcPr>
            <w:tcW w:w="567" w:type="dxa"/>
            <w:tcBorders>
              <w:top w:val="nil"/>
              <w:left w:val="single" w:sz="12" w:space="0" w:color="auto"/>
              <w:bottom w:val="single" w:sz="4" w:space="0" w:color="auto"/>
              <w:right w:val="single" w:sz="4" w:space="0" w:color="auto"/>
            </w:tcBorders>
            <w:shd w:val="clear" w:color="auto" w:fill="E2EFD9" w:themeFill="accent6" w:themeFillTint="33"/>
            <w:noWrap/>
            <w:vAlign w:val="center"/>
            <w:hideMark/>
          </w:tcPr>
          <w:p w14:paraId="252D5266" w14:textId="5CD47E1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5</w:t>
            </w:r>
            <w:r w:rsidR="0076623C">
              <w:rPr>
                <w:rFonts w:asciiTheme="majorHAnsi" w:hAnsiTheme="majorHAnsi"/>
                <w:b/>
                <w:sz w:val="20"/>
                <w:lang w:val="ro-RO"/>
              </w:rPr>
              <w:t>3</w:t>
            </w:r>
          </w:p>
        </w:tc>
        <w:tc>
          <w:tcPr>
            <w:tcW w:w="851" w:type="dxa"/>
            <w:tcBorders>
              <w:top w:val="nil"/>
              <w:left w:val="nil"/>
              <w:bottom w:val="single" w:sz="4" w:space="0" w:color="auto"/>
              <w:right w:val="single" w:sz="4" w:space="0" w:color="auto"/>
            </w:tcBorders>
            <w:shd w:val="clear" w:color="auto" w:fill="E2EFD9" w:themeFill="accent6" w:themeFillTint="33"/>
            <w:noWrap/>
            <w:vAlign w:val="center"/>
            <w:hideMark/>
          </w:tcPr>
          <w:p w14:paraId="56BEE014" w14:textId="5EF61EDB" w:rsidR="00A30F39" w:rsidRPr="00FD566B" w:rsidRDefault="0076623C" w:rsidP="0076623C">
            <w:pPr>
              <w:pStyle w:val="a6"/>
              <w:jc w:val="center"/>
              <w:rPr>
                <w:rFonts w:asciiTheme="majorHAnsi" w:hAnsiTheme="majorHAnsi"/>
                <w:b/>
                <w:sz w:val="20"/>
                <w:lang w:val="ro-RO"/>
              </w:rPr>
            </w:pPr>
            <w:r>
              <w:rPr>
                <w:rFonts w:asciiTheme="majorHAnsi" w:hAnsiTheme="majorHAnsi"/>
                <w:b/>
                <w:sz w:val="20"/>
                <w:lang w:val="ro-RO"/>
              </w:rPr>
              <w:t>1478.4</w:t>
            </w:r>
          </w:p>
        </w:tc>
        <w:tc>
          <w:tcPr>
            <w:tcW w:w="567" w:type="dxa"/>
            <w:tcBorders>
              <w:top w:val="nil"/>
              <w:left w:val="nil"/>
              <w:bottom w:val="single" w:sz="4" w:space="0" w:color="auto"/>
              <w:right w:val="single" w:sz="4" w:space="0" w:color="auto"/>
            </w:tcBorders>
            <w:shd w:val="clear" w:color="auto" w:fill="E2EFD9" w:themeFill="accent6" w:themeFillTint="33"/>
            <w:noWrap/>
            <w:vAlign w:val="center"/>
            <w:hideMark/>
          </w:tcPr>
          <w:p w14:paraId="73A754FA" w14:textId="230AA3FB" w:rsidR="00A30F39" w:rsidRPr="00FD566B" w:rsidRDefault="00BA7179" w:rsidP="000E367C">
            <w:pPr>
              <w:pStyle w:val="a6"/>
              <w:jc w:val="center"/>
              <w:rPr>
                <w:rFonts w:asciiTheme="majorHAnsi" w:hAnsiTheme="majorHAnsi"/>
                <w:b/>
                <w:sz w:val="20"/>
                <w:lang w:val="ro-RO"/>
              </w:rPr>
            </w:pPr>
            <w:r>
              <w:rPr>
                <w:rFonts w:asciiTheme="majorHAnsi" w:hAnsiTheme="majorHAnsi" w:cstheme="majorHAnsi"/>
                <w:b/>
                <w:sz w:val="20"/>
                <w:szCs w:val="20"/>
                <w:lang w:val="ro-RO"/>
              </w:rPr>
              <w:t>32</w:t>
            </w:r>
          </w:p>
        </w:tc>
        <w:tc>
          <w:tcPr>
            <w:tcW w:w="708" w:type="dxa"/>
            <w:tcBorders>
              <w:top w:val="nil"/>
              <w:left w:val="nil"/>
              <w:bottom w:val="single" w:sz="4" w:space="0" w:color="auto"/>
              <w:right w:val="single" w:sz="4" w:space="0" w:color="auto"/>
            </w:tcBorders>
            <w:shd w:val="clear" w:color="auto" w:fill="E2EFD9" w:themeFill="accent6" w:themeFillTint="33"/>
            <w:noWrap/>
            <w:vAlign w:val="center"/>
            <w:hideMark/>
          </w:tcPr>
          <w:p w14:paraId="7573E25E" w14:textId="73C998D7" w:rsidR="00A30F39" w:rsidRPr="00FD566B" w:rsidRDefault="00BA7179" w:rsidP="000E367C">
            <w:pPr>
              <w:pStyle w:val="a6"/>
              <w:jc w:val="center"/>
              <w:rPr>
                <w:rFonts w:asciiTheme="majorHAnsi" w:hAnsiTheme="majorHAnsi"/>
                <w:b/>
                <w:sz w:val="20"/>
                <w:lang w:val="ro-RO"/>
              </w:rPr>
            </w:pPr>
            <w:r>
              <w:rPr>
                <w:rFonts w:asciiTheme="majorHAnsi" w:hAnsiTheme="majorHAnsi" w:cstheme="majorHAnsi"/>
                <w:b/>
                <w:sz w:val="20"/>
                <w:szCs w:val="20"/>
                <w:lang w:val="ro-RO"/>
              </w:rPr>
              <w:t>297,9</w:t>
            </w:r>
          </w:p>
        </w:tc>
        <w:tc>
          <w:tcPr>
            <w:tcW w:w="567" w:type="dxa"/>
            <w:tcBorders>
              <w:top w:val="nil"/>
              <w:left w:val="single" w:sz="12" w:space="0" w:color="auto"/>
              <w:bottom w:val="single" w:sz="4" w:space="0" w:color="auto"/>
              <w:right w:val="single" w:sz="4" w:space="0" w:color="auto"/>
            </w:tcBorders>
            <w:shd w:val="clear" w:color="auto" w:fill="E2EFD9" w:themeFill="accent6" w:themeFillTint="33"/>
            <w:vAlign w:val="center"/>
          </w:tcPr>
          <w:p w14:paraId="79C0318C" w14:textId="5805B07B" w:rsidR="00A30F39" w:rsidRPr="00FD566B" w:rsidRDefault="00A30F39" w:rsidP="000E367C">
            <w:pPr>
              <w:pStyle w:val="a6"/>
              <w:jc w:val="center"/>
              <w:rPr>
                <w:rFonts w:asciiTheme="majorHAnsi" w:hAnsiTheme="majorHAnsi"/>
                <w:b/>
                <w:sz w:val="20"/>
                <w:lang w:val="ro-RO"/>
              </w:rPr>
            </w:pPr>
            <w:r w:rsidRPr="009561CB">
              <w:rPr>
                <w:rFonts w:asciiTheme="majorHAnsi" w:hAnsiTheme="majorHAnsi" w:cstheme="majorHAnsi"/>
                <w:b/>
                <w:sz w:val="20"/>
                <w:szCs w:val="20"/>
                <w:lang w:val="ro-RO"/>
              </w:rPr>
              <w:t>5</w:t>
            </w:r>
            <w:r w:rsidR="007922BF">
              <w:rPr>
                <w:rFonts w:asciiTheme="majorHAnsi" w:hAnsiTheme="majorHAnsi" w:cstheme="majorHAnsi"/>
                <w:b/>
                <w:sz w:val="20"/>
                <w:szCs w:val="20"/>
                <w:lang w:val="ro-RO"/>
              </w:rPr>
              <w:t>0</w:t>
            </w:r>
          </w:p>
        </w:tc>
        <w:tc>
          <w:tcPr>
            <w:tcW w:w="851" w:type="dxa"/>
            <w:tcBorders>
              <w:top w:val="nil"/>
              <w:left w:val="nil"/>
              <w:bottom w:val="single" w:sz="4" w:space="0" w:color="auto"/>
              <w:right w:val="single" w:sz="4" w:space="0" w:color="auto"/>
            </w:tcBorders>
            <w:shd w:val="clear" w:color="auto" w:fill="E2EFD9" w:themeFill="accent6" w:themeFillTint="33"/>
            <w:vAlign w:val="center"/>
          </w:tcPr>
          <w:p w14:paraId="5D39BC5F"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1746,5</w:t>
            </w:r>
          </w:p>
        </w:tc>
        <w:tc>
          <w:tcPr>
            <w:tcW w:w="567" w:type="dxa"/>
            <w:tcBorders>
              <w:top w:val="nil"/>
              <w:left w:val="nil"/>
              <w:bottom w:val="single" w:sz="4" w:space="0" w:color="auto"/>
              <w:right w:val="single" w:sz="4" w:space="0" w:color="auto"/>
            </w:tcBorders>
            <w:shd w:val="clear" w:color="auto" w:fill="E2EFD9" w:themeFill="accent6" w:themeFillTint="33"/>
            <w:vAlign w:val="center"/>
          </w:tcPr>
          <w:p w14:paraId="0AFC73BD" w14:textId="3C164183" w:rsidR="00A30F39" w:rsidRPr="00FD566B" w:rsidRDefault="00A30F39" w:rsidP="000E367C">
            <w:pPr>
              <w:pStyle w:val="a6"/>
              <w:jc w:val="center"/>
              <w:rPr>
                <w:rFonts w:asciiTheme="majorHAnsi" w:hAnsiTheme="majorHAnsi"/>
                <w:b/>
                <w:sz w:val="20"/>
                <w:lang w:val="ro-RO"/>
              </w:rPr>
            </w:pPr>
            <w:r w:rsidRPr="009561CB">
              <w:rPr>
                <w:rFonts w:asciiTheme="majorHAnsi" w:hAnsiTheme="majorHAnsi" w:cstheme="majorHAnsi"/>
                <w:b/>
                <w:sz w:val="20"/>
                <w:szCs w:val="20"/>
                <w:lang w:val="ro-RO"/>
              </w:rPr>
              <w:t>3</w:t>
            </w:r>
            <w:r w:rsidR="007922BF">
              <w:rPr>
                <w:rFonts w:asciiTheme="majorHAnsi" w:hAnsiTheme="majorHAnsi" w:cstheme="majorHAnsi"/>
                <w:b/>
                <w:sz w:val="20"/>
                <w:szCs w:val="20"/>
                <w:lang w:val="ro-RO"/>
              </w:rPr>
              <w:t>3</w:t>
            </w:r>
          </w:p>
        </w:tc>
        <w:tc>
          <w:tcPr>
            <w:tcW w:w="709" w:type="dxa"/>
            <w:tcBorders>
              <w:top w:val="nil"/>
              <w:left w:val="nil"/>
              <w:bottom w:val="single" w:sz="4" w:space="0" w:color="auto"/>
              <w:right w:val="single" w:sz="4" w:space="0" w:color="auto"/>
            </w:tcBorders>
            <w:shd w:val="clear" w:color="auto" w:fill="E2EFD9" w:themeFill="accent6" w:themeFillTint="33"/>
            <w:vAlign w:val="center"/>
          </w:tcPr>
          <w:p w14:paraId="11F0CA5E" w14:textId="3CDC19C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264,</w:t>
            </w:r>
            <w:r w:rsidR="007922BF">
              <w:rPr>
                <w:rFonts w:asciiTheme="majorHAnsi" w:hAnsiTheme="majorHAnsi" w:cstheme="majorHAnsi"/>
                <w:b/>
                <w:sz w:val="20"/>
                <w:szCs w:val="20"/>
                <w:lang w:val="ro-RO"/>
              </w:rPr>
              <w:t>2</w:t>
            </w:r>
          </w:p>
        </w:tc>
      </w:tr>
      <w:tr w:rsidR="00A30F39" w:rsidRPr="00A30F39" w14:paraId="2E7924D7" w14:textId="77777777" w:rsidTr="000E367C">
        <w:trPr>
          <w:trHeight w:val="49"/>
        </w:trPr>
        <w:tc>
          <w:tcPr>
            <w:tcW w:w="7366" w:type="dxa"/>
            <w:gridSpan w:val="10"/>
            <w:tcBorders>
              <w:top w:val="single" w:sz="4" w:space="0" w:color="auto"/>
              <w:left w:val="single" w:sz="4" w:space="0" w:color="auto"/>
              <w:bottom w:val="single" w:sz="4" w:space="0" w:color="auto"/>
              <w:right w:val="single" w:sz="4" w:space="0" w:color="auto"/>
            </w:tcBorders>
            <w:vAlign w:val="center"/>
            <w:hideMark/>
          </w:tcPr>
          <w:p w14:paraId="7F482665" w14:textId="2D049BE9"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 xml:space="preserve">2. Autoritățile </w:t>
            </w:r>
            <w:r w:rsidR="00963110">
              <w:rPr>
                <w:rFonts w:asciiTheme="majorHAnsi" w:hAnsiTheme="majorHAnsi"/>
                <w:b/>
                <w:sz w:val="20"/>
                <w:lang w:val="ro-RO"/>
              </w:rPr>
              <w:t>p</w:t>
            </w:r>
            <w:r w:rsidRPr="00FD566B">
              <w:rPr>
                <w:rFonts w:asciiTheme="majorHAnsi" w:hAnsiTheme="majorHAnsi"/>
                <w:b/>
                <w:sz w:val="20"/>
                <w:lang w:val="ro-RO"/>
              </w:rPr>
              <w:t xml:space="preserve">ublice </w:t>
            </w:r>
            <w:r w:rsidR="00963110">
              <w:rPr>
                <w:rFonts w:asciiTheme="majorHAnsi" w:hAnsiTheme="majorHAnsi"/>
                <w:b/>
                <w:sz w:val="20"/>
                <w:lang w:val="ro-RO"/>
              </w:rPr>
              <w:t>l</w:t>
            </w:r>
            <w:r w:rsidRPr="00FD566B">
              <w:rPr>
                <w:rFonts w:asciiTheme="majorHAnsi" w:hAnsiTheme="majorHAnsi"/>
                <w:b/>
                <w:sz w:val="20"/>
                <w:lang w:val="ro-RO"/>
              </w:rPr>
              <w:t>ocale</w:t>
            </w:r>
          </w:p>
        </w:tc>
        <w:tc>
          <w:tcPr>
            <w:tcW w:w="851" w:type="dxa"/>
            <w:tcBorders>
              <w:top w:val="single" w:sz="4" w:space="0" w:color="auto"/>
              <w:left w:val="single" w:sz="4" w:space="0" w:color="auto"/>
              <w:bottom w:val="single" w:sz="4" w:space="0" w:color="auto"/>
              <w:right w:val="single" w:sz="4" w:space="0" w:color="auto"/>
            </w:tcBorders>
            <w:vAlign w:val="center"/>
          </w:tcPr>
          <w:p w14:paraId="0DF5FDC9" w14:textId="77777777" w:rsidR="00A30F39" w:rsidRPr="00FD566B" w:rsidRDefault="00A30F39" w:rsidP="000E367C">
            <w:pPr>
              <w:pStyle w:val="a6"/>
              <w:jc w:val="center"/>
              <w:rPr>
                <w:rFonts w:asciiTheme="majorHAnsi" w:hAnsiTheme="majorHAnsi"/>
                <w:b/>
                <w:sz w:val="20"/>
                <w:lang w:val="ro-R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15BCB2" w14:textId="77777777" w:rsidR="00A30F39" w:rsidRPr="00FD566B" w:rsidRDefault="00A30F39" w:rsidP="000E367C">
            <w:pPr>
              <w:pStyle w:val="a6"/>
              <w:jc w:val="center"/>
              <w:rPr>
                <w:rFonts w:asciiTheme="majorHAnsi" w:hAnsiTheme="majorHAnsi"/>
                <w:b/>
                <w:sz w:val="20"/>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29F4C6BE" w14:textId="77777777" w:rsidR="00A30F39" w:rsidRPr="00FD566B" w:rsidRDefault="00A30F39" w:rsidP="000E367C">
            <w:pPr>
              <w:pStyle w:val="a6"/>
              <w:jc w:val="center"/>
              <w:rPr>
                <w:rFonts w:asciiTheme="majorHAnsi" w:hAnsiTheme="majorHAnsi"/>
                <w:b/>
                <w:sz w:val="20"/>
                <w:lang w:val="ro-RO"/>
              </w:rPr>
            </w:pPr>
          </w:p>
        </w:tc>
      </w:tr>
      <w:tr w:rsidR="00A30F39" w:rsidRPr="00A30F39" w14:paraId="1A8911BF" w14:textId="77777777" w:rsidTr="000E367C">
        <w:trPr>
          <w:trHeight w:val="159"/>
        </w:trPr>
        <w:tc>
          <w:tcPr>
            <w:tcW w:w="1413" w:type="dxa"/>
            <w:tcBorders>
              <w:top w:val="nil"/>
              <w:left w:val="single" w:sz="4" w:space="0" w:color="auto"/>
              <w:bottom w:val="single" w:sz="4" w:space="0" w:color="auto"/>
              <w:right w:val="single" w:sz="4" w:space="0" w:color="auto"/>
            </w:tcBorders>
            <w:vAlign w:val="center"/>
            <w:hideMark/>
          </w:tcPr>
          <w:p w14:paraId="78872052" w14:textId="77777777" w:rsidR="00A30F39" w:rsidRPr="00FD566B" w:rsidRDefault="00A30F39" w:rsidP="000E367C">
            <w:pPr>
              <w:pStyle w:val="a6"/>
              <w:rPr>
                <w:rFonts w:asciiTheme="majorHAnsi" w:hAnsiTheme="majorHAnsi"/>
                <w:sz w:val="20"/>
                <w:lang w:val="ro-RO"/>
              </w:rPr>
            </w:pPr>
            <w:r w:rsidRPr="00FD566B">
              <w:rPr>
                <w:rFonts w:asciiTheme="majorHAnsi" w:hAnsiTheme="majorHAnsi"/>
                <w:sz w:val="20"/>
                <w:lang w:val="ro-RO"/>
              </w:rPr>
              <w:t>APL</w:t>
            </w:r>
          </w:p>
        </w:tc>
        <w:tc>
          <w:tcPr>
            <w:tcW w:w="567" w:type="dxa"/>
            <w:tcBorders>
              <w:top w:val="nil"/>
              <w:left w:val="single" w:sz="12" w:space="0" w:color="auto"/>
              <w:bottom w:val="single" w:sz="4" w:space="0" w:color="auto"/>
              <w:right w:val="single" w:sz="4" w:space="0" w:color="auto"/>
            </w:tcBorders>
            <w:vAlign w:val="center"/>
            <w:hideMark/>
          </w:tcPr>
          <w:p w14:paraId="72EFF048" w14:textId="1F0CC418"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2</w:t>
            </w:r>
            <w:r w:rsidR="0074654E">
              <w:rPr>
                <w:rFonts w:asciiTheme="majorHAnsi" w:hAnsiTheme="majorHAnsi"/>
                <w:sz w:val="20"/>
                <w:lang w:val="ro-RO"/>
              </w:rPr>
              <w:t>4</w:t>
            </w:r>
          </w:p>
        </w:tc>
        <w:tc>
          <w:tcPr>
            <w:tcW w:w="850" w:type="dxa"/>
            <w:tcBorders>
              <w:top w:val="nil"/>
              <w:left w:val="nil"/>
              <w:bottom w:val="single" w:sz="4" w:space="0" w:color="auto"/>
              <w:right w:val="single" w:sz="4" w:space="0" w:color="auto"/>
            </w:tcBorders>
            <w:vAlign w:val="center"/>
            <w:hideMark/>
          </w:tcPr>
          <w:p w14:paraId="79E1FC27"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744,0</w:t>
            </w:r>
          </w:p>
        </w:tc>
        <w:tc>
          <w:tcPr>
            <w:tcW w:w="567" w:type="dxa"/>
            <w:tcBorders>
              <w:top w:val="nil"/>
              <w:left w:val="nil"/>
              <w:bottom w:val="single" w:sz="4" w:space="0" w:color="auto"/>
              <w:right w:val="single" w:sz="4" w:space="0" w:color="auto"/>
            </w:tcBorders>
            <w:vAlign w:val="center"/>
            <w:hideMark/>
          </w:tcPr>
          <w:p w14:paraId="6D936A10"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5</w:t>
            </w:r>
          </w:p>
        </w:tc>
        <w:tc>
          <w:tcPr>
            <w:tcW w:w="709" w:type="dxa"/>
            <w:tcBorders>
              <w:top w:val="nil"/>
              <w:left w:val="nil"/>
              <w:bottom w:val="single" w:sz="4" w:space="0" w:color="auto"/>
              <w:right w:val="single" w:sz="12" w:space="0" w:color="auto"/>
            </w:tcBorders>
            <w:vAlign w:val="center"/>
            <w:hideMark/>
          </w:tcPr>
          <w:p w14:paraId="4B58D86E"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16,9</w:t>
            </w:r>
          </w:p>
        </w:tc>
        <w:tc>
          <w:tcPr>
            <w:tcW w:w="567" w:type="dxa"/>
            <w:tcBorders>
              <w:top w:val="nil"/>
              <w:left w:val="single" w:sz="12" w:space="0" w:color="auto"/>
              <w:bottom w:val="single" w:sz="4" w:space="0" w:color="auto"/>
              <w:right w:val="single" w:sz="4" w:space="0" w:color="auto"/>
            </w:tcBorders>
            <w:noWrap/>
            <w:vAlign w:val="center"/>
            <w:hideMark/>
          </w:tcPr>
          <w:p w14:paraId="2A73CE1A" w14:textId="3DB26346"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2</w:t>
            </w:r>
            <w:r w:rsidR="0076623C">
              <w:rPr>
                <w:rFonts w:asciiTheme="majorHAnsi" w:hAnsiTheme="majorHAnsi"/>
                <w:sz w:val="20"/>
                <w:lang w:val="ro-RO"/>
              </w:rPr>
              <w:t>4</w:t>
            </w:r>
          </w:p>
        </w:tc>
        <w:tc>
          <w:tcPr>
            <w:tcW w:w="851" w:type="dxa"/>
            <w:tcBorders>
              <w:top w:val="nil"/>
              <w:left w:val="nil"/>
              <w:bottom w:val="single" w:sz="4" w:space="0" w:color="auto"/>
              <w:right w:val="single" w:sz="4" w:space="0" w:color="auto"/>
            </w:tcBorders>
            <w:noWrap/>
            <w:vAlign w:val="center"/>
            <w:hideMark/>
          </w:tcPr>
          <w:p w14:paraId="37B682A1"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717,8</w:t>
            </w:r>
          </w:p>
        </w:tc>
        <w:tc>
          <w:tcPr>
            <w:tcW w:w="567" w:type="dxa"/>
            <w:tcBorders>
              <w:top w:val="nil"/>
              <w:left w:val="nil"/>
              <w:bottom w:val="single" w:sz="4" w:space="0" w:color="auto"/>
              <w:right w:val="single" w:sz="4" w:space="0" w:color="auto"/>
            </w:tcBorders>
            <w:shd w:val="clear" w:color="auto" w:fill="auto"/>
            <w:noWrap/>
            <w:vAlign w:val="center"/>
            <w:hideMark/>
          </w:tcPr>
          <w:p w14:paraId="6FBE2364" w14:textId="7F974965" w:rsidR="00A30F39" w:rsidRPr="00FD566B" w:rsidRDefault="006D56B3" w:rsidP="00FD566B">
            <w:pPr>
              <w:pStyle w:val="a6"/>
              <w:jc w:val="center"/>
              <w:rPr>
                <w:rFonts w:asciiTheme="majorHAnsi" w:hAnsiTheme="majorHAnsi"/>
                <w:sz w:val="20"/>
                <w:lang w:val="ro-RO"/>
              </w:rPr>
            </w:pPr>
            <w:r>
              <w:rPr>
                <w:rFonts w:asciiTheme="majorHAnsi" w:hAnsiTheme="majorHAnsi" w:cstheme="majorHAnsi"/>
                <w:sz w:val="20"/>
                <w:szCs w:val="20"/>
                <w:lang w:val="ro-RO"/>
              </w:rPr>
              <w:t xml:space="preserve"> 10</w:t>
            </w:r>
          </w:p>
        </w:tc>
        <w:tc>
          <w:tcPr>
            <w:tcW w:w="708" w:type="dxa"/>
            <w:tcBorders>
              <w:top w:val="nil"/>
              <w:left w:val="nil"/>
              <w:bottom w:val="single" w:sz="4" w:space="0" w:color="auto"/>
              <w:right w:val="single" w:sz="4" w:space="0" w:color="auto"/>
            </w:tcBorders>
            <w:noWrap/>
            <w:vAlign w:val="center"/>
            <w:hideMark/>
          </w:tcPr>
          <w:p w14:paraId="6C60A96A" w14:textId="69E7A724"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13,</w:t>
            </w:r>
            <w:r w:rsidR="006D56B3">
              <w:rPr>
                <w:rFonts w:asciiTheme="majorHAnsi" w:hAnsiTheme="majorHAnsi" w:cstheme="majorHAnsi"/>
                <w:sz w:val="20"/>
                <w:szCs w:val="20"/>
                <w:lang w:val="ro-RO"/>
              </w:rPr>
              <w:t>4</w:t>
            </w:r>
          </w:p>
        </w:tc>
        <w:tc>
          <w:tcPr>
            <w:tcW w:w="567" w:type="dxa"/>
            <w:tcBorders>
              <w:top w:val="nil"/>
              <w:left w:val="single" w:sz="12" w:space="0" w:color="auto"/>
              <w:bottom w:val="single" w:sz="4" w:space="0" w:color="auto"/>
              <w:right w:val="single" w:sz="4" w:space="0" w:color="auto"/>
            </w:tcBorders>
            <w:vAlign w:val="center"/>
          </w:tcPr>
          <w:p w14:paraId="53502B89"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26</w:t>
            </w:r>
          </w:p>
        </w:tc>
        <w:tc>
          <w:tcPr>
            <w:tcW w:w="851" w:type="dxa"/>
            <w:tcBorders>
              <w:top w:val="nil"/>
              <w:left w:val="nil"/>
              <w:bottom w:val="single" w:sz="4" w:space="0" w:color="auto"/>
              <w:right w:val="single" w:sz="4" w:space="0" w:color="auto"/>
            </w:tcBorders>
            <w:vAlign w:val="center"/>
          </w:tcPr>
          <w:p w14:paraId="45A3137E"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683,7</w:t>
            </w:r>
          </w:p>
        </w:tc>
        <w:tc>
          <w:tcPr>
            <w:tcW w:w="567" w:type="dxa"/>
            <w:tcBorders>
              <w:top w:val="nil"/>
              <w:left w:val="nil"/>
              <w:bottom w:val="single" w:sz="4" w:space="0" w:color="auto"/>
              <w:right w:val="single" w:sz="4" w:space="0" w:color="auto"/>
            </w:tcBorders>
            <w:shd w:val="clear" w:color="auto" w:fill="auto"/>
            <w:vAlign w:val="center"/>
          </w:tcPr>
          <w:p w14:paraId="1C2F91C2"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6</w:t>
            </w:r>
          </w:p>
        </w:tc>
        <w:tc>
          <w:tcPr>
            <w:tcW w:w="709" w:type="dxa"/>
            <w:tcBorders>
              <w:top w:val="nil"/>
              <w:left w:val="nil"/>
              <w:bottom w:val="single" w:sz="4" w:space="0" w:color="auto"/>
              <w:right w:val="single" w:sz="4" w:space="0" w:color="auto"/>
            </w:tcBorders>
            <w:vAlign w:val="center"/>
          </w:tcPr>
          <w:p w14:paraId="67F76FCE"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0,03</w:t>
            </w:r>
          </w:p>
        </w:tc>
      </w:tr>
      <w:tr w:rsidR="00A30F39" w:rsidRPr="00A30F39" w14:paraId="069590AF" w14:textId="77777777" w:rsidTr="000E367C">
        <w:trPr>
          <w:trHeight w:val="140"/>
        </w:trPr>
        <w:tc>
          <w:tcPr>
            <w:tcW w:w="141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77A930C" w14:textId="77777777" w:rsidR="00A30F39" w:rsidRPr="00FD566B" w:rsidRDefault="00A30F39" w:rsidP="000E367C">
            <w:pPr>
              <w:pStyle w:val="a6"/>
              <w:rPr>
                <w:rFonts w:asciiTheme="majorHAnsi" w:hAnsiTheme="majorHAnsi"/>
                <w:b/>
                <w:sz w:val="20"/>
                <w:lang w:val="ro-RO"/>
              </w:rPr>
            </w:pPr>
            <w:r w:rsidRPr="00FD566B">
              <w:rPr>
                <w:rFonts w:asciiTheme="majorHAnsi" w:hAnsiTheme="majorHAnsi"/>
                <w:b/>
                <w:sz w:val="20"/>
                <w:lang w:val="ro-RO"/>
              </w:rPr>
              <w:t>Total</w:t>
            </w:r>
          </w:p>
        </w:tc>
        <w:tc>
          <w:tcPr>
            <w:tcW w:w="567" w:type="dxa"/>
            <w:tcBorders>
              <w:top w:val="nil"/>
              <w:left w:val="single" w:sz="12" w:space="0" w:color="auto"/>
              <w:bottom w:val="single" w:sz="4" w:space="0" w:color="auto"/>
              <w:right w:val="single" w:sz="4" w:space="0" w:color="auto"/>
            </w:tcBorders>
            <w:shd w:val="clear" w:color="auto" w:fill="E2EFD9" w:themeFill="accent6" w:themeFillTint="33"/>
            <w:vAlign w:val="center"/>
            <w:hideMark/>
          </w:tcPr>
          <w:p w14:paraId="5467F1D9" w14:textId="47CB853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2</w:t>
            </w:r>
            <w:r w:rsidR="0074654E">
              <w:rPr>
                <w:rFonts w:asciiTheme="majorHAnsi" w:hAnsiTheme="majorHAnsi"/>
                <w:b/>
                <w:sz w:val="20"/>
                <w:lang w:val="ro-RO"/>
              </w:rPr>
              <w:t>4</w:t>
            </w:r>
          </w:p>
        </w:tc>
        <w:tc>
          <w:tcPr>
            <w:tcW w:w="850" w:type="dxa"/>
            <w:tcBorders>
              <w:top w:val="nil"/>
              <w:left w:val="nil"/>
              <w:bottom w:val="single" w:sz="4" w:space="0" w:color="auto"/>
              <w:right w:val="single" w:sz="4" w:space="0" w:color="auto"/>
            </w:tcBorders>
            <w:shd w:val="clear" w:color="auto" w:fill="E2EFD9" w:themeFill="accent6" w:themeFillTint="33"/>
            <w:vAlign w:val="center"/>
            <w:hideMark/>
          </w:tcPr>
          <w:p w14:paraId="32B5FE67"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744,0</w:t>
            </w:r>
          </w:p>
        </w:tc>
        <w:tc>
          <w:tcPr>
            <w:tcW w:w="567" w:type="dxa"/>
            <w:tcBorders>
              <w:top w:val="nil"/>
              <w:left w:val="nil"/>
              <w:bottom w:val="single" w:sz="4" w:space="0" w:color="auto"/>
              <w:right w:val="single" w:sz="4" w:space="0" w:color="auto"/>
            </w:tcBorders>
            <w:shd w:val="clear" w:color="auto" w:fill="E2EFD9" w:themeFill="accent6" w:themeFillTint="33"/>
            <w:vAlign w:val="center"/>
            <w:hideMark/>
          </w:tcPr>
          <w:p w14:paraId="0AED96D4"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5</w:t>
            </w:r>
          </w:p>
        </w:tc>
        <w:tc>
          <w:tcPr>
            <w:tcW w:w="709" w:type="dxa"/>
            <w:tcBorders>
              <w:top w:val="nil"/>
              <w:left w:val="nil"/>
              <w:bottom w:val="single" w:sz="4" w:space="0" w:color="auto"/>
              <w:right w:val="single" w:sz="12" w:space="0" w:color="auto"/>
            </w:tcBorders>
            <w:shd w:val="clear" w:color="auto" w:fill="E2EFD9" w:themeFill="accent6" w:themeFillTint="33"/>
            <w:vAlign w:val="center"/>
            <w:hideMark/>
          </w:tcPr>
          <w:p w14:paraId="57BFFB96"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16,9</w:t>
            </w:r>
          </w:p>
        </w:tc>
        <w:tc>
          <w:tcPr>
            <w:tcW w:w="567" w:type="dxa"/>
            <w:tcBorders>
              <w:top w:val="nil"/>
              <w:left w:val="single" w:sz="12" w:space="0" w:color="auto"/>
              <w:bottom w:val="single" w:sz="4" w:space="0" w:color="auto"/>
              <w:right w:val="single" w:sz="4" w:space="0" w:color="auto"/>
            </w:tcBorders>
            <w:shd w:val="clear" w:color="auto" w:fill="E2EFD9" w:themeFill="accent6" w:themeFillTint="33"/>
            <w:noWrap/>
            <w:vAlign w:val="center"/>
            <w:hideMark/>
          </w:tcPr>
          <w:p w14:paraId="7B2388A6" w14:textId="71C92DA3"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2</w:t>
            </w:r>
            <w:r w:rsidR="0076623C">
              <w:rPr>
                <w:rFonts w:asciiTheme="majorHAnsi" w:hAnsiTheme="majorHAnsi"/>
                <w:b/>
                <w:sz w:val="20"/>
                <w:lang w:val="ro-RO"/>
              </w:rPr>
              <w:t>4</w:t>
            </w:r>
          </w:p>
        </w:tc>
        <w:tc>
          <w:tcPr>
            <w:tcW w:w="851" w:type="dxa"/>
            <w:tcBorders>
              <w:top w:val="nil"/>
              <w:left w:val="nil"/>
              <w:bottom w:val="single" w:sz="4" w:space="0" w:color="auto"/>
              <w:right w:val="single" w:sz="4" w:space="0" w:color="auto"/>
            </w:tcBorders>
            <w:shd w:val="clear" w:color="auto" w:fill="E2EFD9" w:themeFill="accent6" w:themeFillTint="33"/>
            <w:noWrap/>
            <w:vAlign w:val="center"/>
            <w:hideMark/>
          </w:tcPr>
          <w:p w14:paraId="1D3E3C5F"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717,8</w:t>
            </w:r>
          </w:p>
        </w:tc>
        <w:tc>
          <w:tcPr>
            <w:tcW w:w="567" w:type="dxa"/>
            <w:tcBorders>
              <w:top w:val="nil"/>
              <w:left w:val="nil"/>
              <w:bottom w:val="single" w:sz="4" w:space="0" w:color="auto"/>
              <w:right w:val="single" w:sz="4" w:space="0" w:color="auto"/>
            </w:tcBorders>
            <w:shd w:val="clear" w:color="auto" w:fill="E2EFD9" w:themeFill="accent6" w:themeFillTint="33"/>
            <w:noWrap/>
            <w:vAlign w:val="center"/>
            <w:hideMark/>
          </w:tcPr>
          <w:p w14:paraId="779EC9EC" w14:textId="4DE8B2EF" w:rsidR="00A30F39" w:rsidRPr="00FD566B" w:rsidRDefault="006D56B3" w:rsidP="000E367C">
            <w:pPr>
              <w:pStyle w:val="a6"/>
              <w:jc w:val="center"/>
              <w:rPr>
                <w:rFonts w:asciiTheme="majorHAnsi" w:hAnsiTheme="majorHAnsi"/>
                <w:b/>
                <w:sz w:val="20"/>
                <w:lang w:val="ro-RO"/>
              </w:rPr>
            </w:pPr>
            <w:r>
              <w:rPr>
                <w:rFonts w:asciiTheme="majorHAnsi" w:hAnsiTheme="majorHAnsi" w:cstheme="majorHAnsi"/>
                <w:b/>
                <w:sz w:val="20"/>
                <w:szCs w:val="20"/>
                <w:lang w:val="ro-RO"/>
              </w:rPr>
              <w:t>10</w:t>
            </w:r>
          </w:p>
        </w:tc>
        <w:tc>
          <w:tcPr>
            <w:tcW w:w="708" w:type="dxa"/>
            <w:tcBorders>
              <w:top w:val="nil"/>
              <w:left w:val="nil"/>
              <w:bottom w:val="single" w:sz="4" w:space="0" w:color="auto"/>
              <w:right w:val="single" w:sz="4" w:space="0" w:color="auto"/>
            </w:tcBorders>
            <w:shd w:val="clear" w:color="auto" w:fill="E2EFD9" w:themeFill="accent6" w:themeFillTint="33"/>
            <w:noWrap/>
            <w:vAlign w:val="center"/>
            <w:hideMark/>
          </w:tcPr>
          <w:p w14:paraId="21B55288" w14:textId="73256A3D"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13,</w:t>
            </w:r>
            <w:r w:rsidR="006D56B3">
              <w:rPr>
                <w:rFonts w:asciiTheme="majorHAnsi" w:hAnsiTheme="majorHAnsi" w:cstheme="majorHAnsi"/>
                <w:b/>
                <w:sz w:val="20"/>
                <w:szCs w:val="20"/>
                <w:lang w:val="ro-RO"/>
              </w:rPr>
              <w:t>4</w:t>
            </w:r>
          </w:p>
        </w:tc>
        <w:tc>
          <w:tcPr>
            <w:tcW w:w="567" w:type="dxa"/>
            <w:tcBorders>
              <w:top w:val="nil"/>
              <w:left w:val="single" w:sz="12" w:space="0" w:color="auto"/>
              <w:bottom w:val="single" w:sz="4" w:space="0" w:color="auto"/>
              <w:right w:val="single" w:sz="4" w:space="0" w:color="auto"/>
            </w:tcBorders>
            <w:shd w:val="clear" w:color="auto" w:fill="E2EFD9" w:themeFill="accent6" w:themeFillTint="33"/>
            <w:vAlign w:val="center"/>
          </w:tcPr>
          <w:p w14:paraId="442BDF2F"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26</w:t>
            </w:r>
          </w:p>
        </w:tc>
        <w:tc>
          <w:tcPr>
            <w:tcW w:w="851" w:type="dxa"/>
            <w:tcBorders>
              <w:top w:val="nil"/>
              <w:left w:val="nil"/>
              <w:bottom w:val="single" w:sz="4" w:space="0" w:color="auto"/>
              <w:right w:val="single" w:sz="4" w:space="0" w:color="auto"/>
            </w:tcBorders>
            <w:shd w:val="clear" w:color="auto" w:fill="E2EFD9" w:themeFill="accent6" w:themeFillTint="33"/>
            <w:vAlign w:val="center"/>
          </w:tcPr>
          <w:p w14:paraId="621DD541"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683,7</w:t>
            </w:r>
          </w:p>
        </w:tc>
        <w:tc>
          <w:tcPr>
            <w:tcW w:w="567" w:type="dxa"/>
            <w:tcBorders>
              <w:top w:val="nil"/>
              <w:left w:val="nil"/>
              <w:bottom w:val="single" w:sz="4" w:space="0" w:color="auto"/>
              <w:right w:val="single" w:sz="4" w:space="0" w:color="auto"/>
            </w:tcBorders>
            <w:shd w:val="clear" w:color="auto" w:fill="E2EFD9" w:themeFill="accent6" w:themeFillTint="33"/>
            <w:vAlign w:val="center"/>
          </w:tcPr>
          <w:p w14:paraId="2D8B0DE2"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6</w:t>
            </w:r>
          </w:p>
        </w:tc>
        <w:tc>
          <w:tcPr>
            <w:tcW w:w="709" w:type="dxa"/>
            <w:tcBorders>
              <w:top w:val="nil"/>
              <w:left w:val="nil"/>
              <w:bottom w:val="single" w:sz="4" w:space="0" w:color="auto"/>
              <w:right w:val="single" w:sz="4" w:space="0" w:color="auto"/>
            </w:tcBorders>
            <w:shd w:val="clear" w:color="auto" w:fill="E2EFD9" w:themeFill="accent6" w:themeFillTint="33"/>
            <w:vAlign w:val="center"/>
          </w:tcPr>
          <w:p w14:paraId="4AA066D3"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0,03</w:t>
            </w:r>
          </w:p>
        </w:tc>
      </w:tr>
      <w:tr w:rsidR="00A30F39" w:rsidRPr="00A30F39" w14:paraId="22858AEE" w14:textId="77777777" w:rsidTr="000E367C">
        <w:trPr>
          <w:trHeight w:val="160"/>
        </w:trPr>
        <w:tc>
          <w:tcPr>
            <w:tcW w:w="7366" w:type="dxa"/>
            <w:gridSpan w:val="10"/>
            <w:tcBorders>
              <w:top w:val="single" w:sz="4" w:space="0" w:color="auto"/>
              <w:left w:val="single" w:sz="4" w:space="0" w:color="auto"/>
              <w:bottom w:val="single" w:sz="4" w:space="0" w:color="auto"/>
              <w:right w:val="single" w:sz="4" w:space="0" w:color="auto"/>
            </w:tcBorders>
            <w:vAlign w:val="center"/>
            <w:hideMark/>
          </w:tcPr>
          <w:p w14:paraId="32DC4FDC" w14:textId="7F99D5D4"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lastRenderedPageBreak/>
              <w:t>3. Instituții</w:t>
            </w:r>
            <w:r w:rsidR="00963110">
              <w:rPr>
                <w:rFonts w:asciiTheme="majorHAnsi" w:hAnsiTheme="majorHAnsi"/>
                <w:b/>
                <w:sz w:val="20"/>
                <w:lang w:val="ro-RO"/>
              </w:rPr>
              <w:t>le</w:t>
            </w:r>
            <w:r w:rsidRPr="00FD566B">
              <w:rPr>
                <w:rFonts w:asciiTheme="majorHAnsi" w:hAnsiTheme="majorHAnsi"/>
                <w:b/>
                <w:sz w:val="20"/>
                <w:lang w:val="ro-RO"/>
              </w:rPr>
              <w:t xml:space="preserve"> financiare participante</w:t>
            </w:r>
          </w:p>
        </w:tc>
        <w:tc>
          <w:tcPr>
            <w:tcW w:w="851" w:type="dxa"/>
            <w:tcBorders>
              <w:top w:val="single" w:sz="4" w:space="0" w:color="auto"/>
              <w:left w:val="single" w:sz="4" w:space="0" w:color="auto"/>
              <w:bottom w:val="single" w:sz="4" w:space="0" w:color="auto"/>
              <w:right w:val="single" w:sz="4" w:space="0" w:color="auto"/>
            </w:tcBorders>
            <w:vAlign w:val="center"/>
          </w:tcPr>
          <w:p w14:paraId="48F06CEF" w14:textId="77777777" w:rsidR="00A30F39" w:rsidRPr="00FD566B" w:rsidRDefault="00A30F39" w:rsidP="000E367C">
            <w:pPr>
              <w:pStyle w:val="a6"/>
              <w:jc w:val="center"/>
              <w:rPr>
                <w:rFonts w:asciiTheme="majorHAnsi" w:hAnsiTheme="majorHAnsi"/>
                <w:b/>
                <w:sz w:val="20"/>
                <w:lang w:val="ro-R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8FE7A3" w14:textId="77777777" w:rsidR="00A30F39" w:rsidRPr="00FD566B" w:rsidRDefault="00A30F39" w:rsidP="000E367C">
            <w:pPr>
              <w:pStyle w:val="a6"/>
              <w:jc w:val="center"/>
              <w:rPr>
                <w:rFonts w:asciiTheme="majorHAnsi" w:hAnsiTheme="majorHAnsi"/>
                <w:b/>
                <w:sz w:val="20"/>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0DB637C0" w14:textId="77777777" w:rsidR="00A30F39" w:rsidRPr="00FD566B" w:rsidRDefault="00A30F39" w:rsidP="000E367C">
            <w:pPr>
              <w:pStyle w:val="a6"/>
              <w:jc w:val="center"/>
              <w:rPr>
                <w:rFonts w:asciiTheme="majorHAnsi" w:hAnsiTheme="majorHAnsi"/>
                <w:b/>
                <w:sz w:val="20"/>
                <w:lang w:val="ro-RO"/>
              </w:rPr>
            </w:pPr>
          </w:p>
        </w:tc>
      </w:tr>
      <w:tr w:rsidR="00A30F39" w:rsidRPr="00A30F39" w14:paraId="098AF859" w14:textId="77777777" w:rsidTr="000E367C">
        <w:trPr>
          <w:trHeight w:val="40"/>
        </w:trPr>
        <w:tc>
          <w:tcPr>
            <w:tcW w:w="1413" w:type="dxa"/>
            <w:tcBorders>
              <w:top w:val="nil"/>
              <w:left w:val="single" w:sz="4" w:space="0" w:color="auto"/>
              <w:bottom w:val="single" w:sz="4" w:space="0" w:color="auto"/>
              <w:right w:val="single" w:sz="4" w:space="0" w:color="auto"/>
            </w:tcBorders>
            <w:vAlign w:val="center"/>
            <w:hideMark/>
          </w:tcPr>
          <w:p w14:paraId="782F9F8E" w14:textId="77777777" w:rsidR="00A30F39" w:rsidRPr="00FD566B" w:rsidRDefault="00A30F39" w:rsidP="000E367C">
            <w:pPr>
              <w:pStyle w:val="a6"/>
              <w:rPr>
                <w:rFonts w:asciiTheme="majorHAnsi" w:hAnsiTheme="majorHAnsi"/>
                <w:sz w:val="20"/>
                <w:lang w:val="ro-RO"/>
              </w:rPr>
            </w:pPr>
            <w:r w:rsidRPr="00FD566B">
              <w:rPr>
                <w:rFonts w:asciiTheme="majorHAnsi" w:hAnsiTheme="majorHAnsi"/>
                <w:sz w:val="20"/>
                <w:lang w:val="ro-RO"/>
              </w:rPr>
              <w:t xml:space="preserve">IFP </w:t>
            </w:r>
          </w:p>
        </w:tc>
        <w:tc>
          <w:tcPr>
            <w:tcW w:w="567" w:type="dxa"/>
            <w:tcBorders>
              <w:top w:val="nil"/>
              <w:left w:val="single" w:sz="12" w:space="0" w:color="auto"/>
              <w:bottom w:val="single" w:sz="4" w:space="0" w:color="auto"/>
              <w:right w:val="single" w:sz="4" w:space="0" w:color="auto"/>
            </w:tcBorders>
            <w:vAlign w:val="center"/>
            <w:hideMark/>
          </w:tcPr>
          <w:p w14:paraId="5608F548" w14:textId="7D69AA2E"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w:t>
            </w:r>
            <w:r w:rsidR="00DF3C14">
              <w:rPr>
                <w:rFonts w:asciiTheme="majorHAnsi" w:hAnsiTheme="majorHAnsi"/>
                <w:sz w:val="20"/>
                <w:lang w:val="ro-RO"/>
              </w:rPr>
              <w:t>5</w:t>
            </w:r>
          </w:p>
        </w:tc>
        <w:tc>
          <w:tcPr>
            <w:tcW w:w="850" w:type="dxa"/>
            <w:tcBorders>
              <w:top w:val="nil"/>
              <w:left w:val="nil"/>
              <w:bottom w:val="single" w:sz="4" w:space="0" w:color="auto"/>
              <w:right w:val="single" w:sz="4" w:space="0" w:color="auto"/>
            </w:tcBorders>
            <w:vAlign w:val="center"/>
            <w:hideMark/>
          </w:tcPr>
          <w:p w14:paraId="30B6BE2C" w14:textId="59B2A903" w:rsidR="00A30F39" w:rsidRPr="00FD566B" w:rsidRDefault="00DF3C14" w:rsidP="000E367C">
            <w:pPr>
              <w:pStyle w:val="a6"/>
              <w:jc w:val="center"/>
              <w:rPr>
                <w:rFonts w:asciiTheme="majorHAnsi" w:hAnsiTheme="majorHAnsi"/>
                <w:sz w:val="20"/>
                <w:lang w:val="ro-RO"/>
              </w:rPr>
            </w:pPr>
            <w:r>
              <w:rPr>
                <w:rFonts w:asciiTheme="majorHAnsi" w:hAnsiTheme="majorHAnsi"/>
                <w:sz w:val="20"/>
                <w:lang w:val="ro-RO"/>
              </w:rPr>
              <w:t>2852.8</w:t>
            </w:r>
          </w:p>
        </w:tc>
        <w:tc>
          <w:tcPr>
            <w:tcW w:w="567" w:type="dxa"/>
            <w:tcBorders>
              <w:top w:val="nil"/>
              <w:left w:val="nil"/>
              <w:bottom w:val="single" w:sz="4" w:space="0" w:color="auto"/>
              <w:right w:val="single" w:sz="4" w:space="0" w:color="auto"/>
            </w:tcBorders>
            <w:vAlign w:val="center"/>
            <w:hideMark/>
          </w:tcPr>
          <w:p w14:paraId="6DAA70DA"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w:t>
            </w:r>
          </w:p>
        </w:tc>
        <w:tc>
          <w:tcPr>
            <w:tcW w:w="709" w:type="dxa"/>
            <w:tcBorders>
              <w:top w:val="nil"/>
              <w:left w:val="nil"/>
              <w:bottom w:val="single" w:sz="4" w:space="0" w:color="auto"/>
              <w:right w:val="single" w:sz="12" w:space="0" w:color="auto"/>
            </w:tcBorders>
            <w:vAlign w:val="center"/>
            <w:hideMark/>
          </w:tcPr>
          <w:p w14:paraId="3EB8575A"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1,4</w:t>
            </w:r>
          </w:p>
        </w:tc>
        <w:tc>
          <w:tcPr>
            <w:tcW w:w="567" w:type="dxa"/>
            <w:tcBorders>
              <w:top w:val="nil"/>
              <w:left w:val="single" w:sz="12" w:space="0" w:color="auto"/>
              <w:bottom w:val="single" w:sz="4" w:space="0" w:color="auto"/>
              <w:right w:val="single" w:sz="4" w:space="0" w:color="auto"/>
            </w:tcBorders>
            <w:noWrap/>
            <w:vAlign w:val="center"/>
            <w:hideMark/>
          </w:tcPr>
          <w:p w14:paraId="40FBF0C9" w14:textId="360AAD22"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w:t>
            </w:r>
            <w:r w:rsidR="0076623C">
              <w:rPr>
                <w:rFonts w:asciiTheme="majorHAnsi" w:hAnsiTheme="majorHAnsi"/>
                <w:sz w:val="20"/>
                <w:lang w:val="ro-RO"/>
              </w:rPr>
              <w:t>3</w:t>
            </w:r>
          </w:p>
        </w:tc>
        <w:tc>
          <w:tcPr>
            <w:tcW w:w="851" w:type="dxa"/>
            <w:tcBorders>
              <w:top w:val="nil"/>
              <w:left w:val="nil"/>
              <w:bottom w:val="single" w:sz="4" w:space="0" w:color="auto"/>
              <w:right w:val="single" w:sz="4" w:space="0" w:color="auto"/>
            </w:tcBorders>
            <w:noWrap/>
            <w:vAlign w:val="center"/>
            <w:hideMark/>
          </w:tcPr>
          <w:p w14:paraId="1C5127BD" w14:textId="52A0D169" w:rsidR="00A30F39" w:rsidRPr="00FD566B" w:rsidRDefault="0076623C" w:rsidP="000E367C">
            <w:pPr>
              <w:pStyle w:val="a6"/>
              <w:jc w:val="center"/>
              <w:rPr>
                <w:rFonts w:asciiTheme="majorHAnsi" w:hAnsiTheme="majorHAnsi"/>
                <w:sz w:val="20"/>
                <w:lang w:val="ro-RO"/>
              </w:rPr>
            </w:pPr>
            <w:r>
              <w:rPr>
                <w:rFonts w:asciiTheme="majorHAnsi" w:hAnsiTheme="majorHAnsi"/>
                <w:sz w:val="20"/>
                <w:lang w:val="ro-RO"/>
              </w:rPr>
              <w:t>2479.6</w:t>
            </w:r>
          </w:p>
        </w:tc>
        <w:tc>
          <w:tcPr>
            <w:tcW w:w="567" w:type="dxa"/>
            <w:tcBorders>
              <w:top w:val="nil"/>
              <w:left w:val="nil"/>
              <w:bottom w:val="single" w:sz="4" w:space="0" w:color="auto"/>
              <w:right w:val="single" w:sz="4" w:space="0" w:color="auto"/>
            </w:tcBorders>
            <w:shd w:val="clear" w:color="auto" w:fill="auto"/>
            <w:noWrap/>
            <w:vAlign w:val="center"/>
            <w:hideMark/>
          </w:tcPr>
          <w:p w14:paraId="706E3388"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w:t>
            </w:r>
          </w:p>
        </w:tc>
        <w:tc>
          <w:tcPr>
            <w:tcW w:w="708" w:type="dxa"/>
            <w:tcBorders>
              <w:top w:val="nil"/>
              <w:left w:val="nil"/>
              <w:bottom w:val="single" w:sz="4" w:space="0" w:color="auto"/>
              <w:right w:val="single" w:sz="4" w:space="0" w:color="auto"/>
            </w:tcBorders>
            <w:noWrap/>
            <w:vAlign w:val="center"/>
            <w:hideMark/>
          </w:tcPr>
          <w:p w14:paraId="4EBBD93F"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1,4</w:t>
            </w:r>
          </w:p>
        </w:tc>
        <w:tc>
          <w:tcPr>
            <w:tcW w:w="567" w:type="dxa"/>
            <w:tcBorders>
              <w:top w:val="nil"/>
              <w:left w:val="single" w:sz="12" w:space="0" w:color="auto"/>
              <w:bottom w:val="single" w:sz="4" w:space="0" w:color="auto"/>
              <w:right w:val="single" w:sz="4" w:space="0" w:color="auto"/>
            </w:tcBorders>
            <w:vAlign w:val="center"/>
          </w:tcPr>
          <w:p w14:paraId="178A3502"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13</w:t>
            </w:r>
          </w:p>
        </w:tc>
        <w:tc>
          <w:tcPr>
            <w:tcW w:w="851" w:type="dxa"/>
            <w:tcBorders>
              <w:top w:val="nil"/>
              <w:left w:val="nil"/>
              <w:bottom w:val="single" w:sz="4" w:space="0" w:color="auto"/>
              <w:right w:val="single" w:sz="4" w:space="0" w:color="auto"/>
            </w:tcBorders>
            <w:vAlign w:val="center"/>
          </w:tcPr>
          <w:p w14:paraId="2C204F84"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1990,3</w:t>
            </w:r>
          </w:p>
        </w:tc>
        <w:tc>
          <w:tcPr>
            <w:tcW w:w="567" w:type="dxa"/>
            <w:tcBorders>
              <w:top w:val="nil"/>
              <w:left w:val="nil"/>
              <w:bottom w:val="single" w:sz="4" w:space="0" w:color="auto"/>
              <w:right w:val="single" w:sz="4" w:space="0" w:color="auto"/>
            </w:tcBorders>
            <w:shd w:val="clear" w:color="auto" w:fill="auto"/>
            <w:vAlign w:val="center"/>
          </w:tcPr>
          <w:p w14:paraId="6E9740DC"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w:t>
            </w:r>
          </w:p>
        </w:tc>
        <w:tc>
          <w:tcPr>
            <w:tcW w:w="709" w:type="dxa"/>
            <w:tcBorders>
              <w:top w:val="nil"/>
              <w:left w:val="nil"/>
              <w:bottom w:val="single" w:sz="4" w:space="0" w:color="auto"/>
              <w:right w:val="single" w:sz="4" w:space="0" w:color="auto"/>
            </w:tcBorders>
            <w:vAlign w:val="center"/>
          </w:tcPr>
          <w:p w14:paraId="3BA023D2" w14:textId="77777777" w:rsidR="00A30F39" w:rsidRPr="00FD566B" w:rsidRDefault="00A30F39" w:rsidP="000E367C">
            <w:pPr>
              <w:pStyle w:val="a6"/>
              <w:jc w:val="center"/>
              <w:rPr>
                <w:rFonts w:asciiTheme="majorHAnsi" w:hAnsiTheme="majorHAnsi"/>
                <w:sz w:val="20"/>
                <w:lang w:val="ro-RO"/>
              </w:rPr>
            </w:pPr>
            <w:r w:rsidRPr="00FD566B">
              <w:rPr>
                <w:rFonts w:asciiTheme="majorHAnsi" w:hAnsiTheme="majorHAnsi"/>
                <w:sz w:val="20"/>
                <w:lang w:val="ro-RO"/>
              </w:rPr>
              <w:t>1,4</w:t>
            </w:r>
          </w:p>
        </w:tc>
      </w:tr>
      <w:tr w:rsidR="00A30F39" w:rsidRPr="00A30F39" w14:paraId="48C78421" w14:textId="77777777" w:rsidTr="000E367C">
        <w:trPr>
          <w:trHeight w:val="50"/>
        </w:trPr>
        <w:tc>
          <w:tcPr>
            <w:tcW w:w="141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36625A1" w14:textId="77777777" w:rsidR="00A30F39" w:rsidRPr="00FD566B" w:rsidRDefault="00A30F39" w:rsidP="000E367C">
            <w:pPr>
              <w:pStyle w:val="a6"/>
              <w:rPr>
                <w:rFonts w:asciiTheme="majorHAnsi" w:hAnsiTheme="majorHAnsi"/>
                <w:b/>
                <w:sz w:val="20"/>
                <w:lang w:val="ro-RO"/>
              </w:rPr>
            </w:pPr>
            <w:r w:rsidRPr="00FD566B">
              <w:rPr>
                <w:rFonts w:asciiTheme="majorHAnsi" w:hAnsiTheme="majorHAnsi"/>
                <w:b/>
                <w:sz w:val="20"/>
                <w:lang w:val="ro-RO"/>
              </w:rPr>
              <w:t>Total</w:t>
            </w:r>
          </w:p>
        </w:tc>
        <w:tc>
          <w:tcPr>
            <w:tcW w:w="567" w:type="dxa"/>
            <w:tcBorders>
              <w:top w:val="nil"/>
              <w:left w:val="single" w:sz="12" w:space="0" w:color="auto"/>
              <w:bottom w:val="single" w:sz="4" w:space="0" w:color="auto"/>
              <w:right w:val="single" w:sz="4" w:space="0" w:color="auto"/>
            </w:tcBorders>
            <w:shd w:val="clear" w:color="auto" w:fill="E2EFD9" w:themeFill="accent6" w:themeFillTint="33"/>
            <w:vAlign w:val="center"/>
            <w:hideMark/>
          </w:tcPr>
          <w:p w14:paraId="70BE6D46" w14:textId="7E8E7DBC"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1</w:t>
            </w:r>
            <w:r w:rsidR="00DF3C14">
              <w:rPr>
                <w:rFonts w:asciiTheme="majorHAnsi" w:hAnsiTheme="majorHAnsi"/>
                <w:b/>
                <w:sz w:val="20"/>
                <w:lang w:val="ro-RO"/>
              </w:rPr>
              <w:t>5</w:t>
            </w:r>
          </w:p>
        </w:tc>
        <w:tc>
          <w:tcPr>
            <w:tcW w:w="850" w:type="dxa"/>
            <w:tcBorders>
              <w:top w:val="nil"/>
              <w:left w:val="nil"/>
              <w:bottom w:val="single" w:sz="4" w:space="0" w:color="auto"/>
              <w:right w:val="single" w:sz="4" w:space="0" w:color="auto"/>
            </w:tcBorders>
            <w:shd w:val="clear" w:color="auto" w:fill="E2EFD9" w:themeFill="accent6" w:themeFillTint="33"/>
            <w:vAlign w:val="center"/>
            <w:hideMark/>
          </w:tcPr>
          <w:p w14:paraId="547303D3" w14:textId="3B7A9846" w:rsidR="00A30F39" w:rsidRPr="00FD566B" w:rsidRDefault="00DF3C14" w:rsidP="000E367C">
            <w:pPr>
              <w:pStyle w:val="a6"/>
              <w:jc w:val="center"/>
              <w:rPr>
                <w:rFonts w:asciiTheme="majorHAnsi" w:hAnsiTheme="majorHAnsi"/>
                <w:b/>
                <w:sz w:val="20"/>
                <w:lang w:val="ro-RO"/>
              </w:rPr>
            </w:pPr>
            <w:r>
              <w:rPr>
                <w:rFonts w:asciiTheme="majorHAnsi" w:hAnsiTheme="majorHAnsi"/>
                <w:b/>
                <w:sz w:val="20"/>
                <w:lang w:val="ro-RO"/>
              </w:rPr>
              <w:t>2852.8</w:t>
            </w:r>
          </w:p>
        </w:tc>
        <w:tc>
          <w:tcPr>
            <w:tcW w:w="567" w:type="dxa"/>
            <w:tcBorders>
              <w:top w:val="nil"/>
              <w:left w:val="nil"/>
              <w:bottom w:val="single" w:sz="4" w:space="0" w:color="auto"/>
              <w:right w:val="single" w:sz="4" w:space="0" w:color="auto"/>
            </w:tcBorders>
            <w:shd w:val="clear" w:color="auto" w:fill="E2EFD9" w:themeFill="accent6" w:themeFillTint="33"/>
            <w:vAlign w:val="center"/>
            <w:hideMark/>
          </w:tcPr>
          <w:p w14:paraId="5B6696FC"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1</w:t>
            </w:r>
          </w:p>
        </w:tc>
        <w:tc>
          <w:tcPr>
            <w:tcW w:w="709" w:type="dxa"/>
            <w:tcBorders>
              <w:top w:val="nil"/>
              <w:left w:val="nil"/>
              <w:bottom w:val="single" w:sz="4" w:space="0" w:color="auto"/>
              <w:right w:val="single" w:sz="12" w:space="0" w:color="auto"/>
            </w:tcBorders>
            <w:shd w:val="clear" w:color="auto" w:fill="E2EFD9" w:themeFill="accent6" w:themeFillTint="33"/>
            <w:vAlign w:val="center"/>
            <w:hideMark/>
          </w:tcPr>
          <w:p w14:paraId="09BB1984"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1,4</w:t>
            </w:r>
          </w:p>
        </w:tc>
        <w:tc>
          <w:tcPr>
            <w:tcW w:w="567" w:type="dxa"/>
            <w:tcBorders>
              <w:top w:val="nil"/>
              <w:left w:val="single" w:sz="12" w:space="0" w:color="auto"/>
              <w:bottom w:val="single" w:sz="4" w:space="0" w:color="auto"/>
              <w:right w:val="single" w:sz="4" w:space="0" w:color="auto"/>
            </w:tcBorders>
            <w:shd w:val="clear" w:color="auto" w:fill="E2EFD9" w:themeFill="accent6" w:themeFillTint="33"/>
            <w:noWrap/>
            <w:vAlign w:val="center"/>
            <w:hideMark/>
          </w:tcPr>
          <w:p w14:paraId="69CE99DE" w14:textId="69307C62"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1</w:t>
            </w:r>
            <w:r w:rsidR="00DF3C14">
              <w:rPr>
                <w:rFonts w:asciiTheme="majorHAnsi" w:hAnsiTheme="majorHAnsi"/>
                <w:b/>
                <w:sz w:val="20"/>
                <w:lang w:val="ro-RO"/>
              </w:rPr>
              <w:t>3</w:t>
            </w:r>
          </w:p>
        </w:tc>
        <w:tc>
          <w:tcPr>
            <w:tcW w:w="851" w:type="dxa"/>
            <w:tcBorders>
              <w:top w:val="nil"/>
              <w:left w:val="nil"/>
              <w:bottom w:val="single" w:sz="4" w:space="0" w:color="auto"/>
              <w:right w:val="single" w:sz="4" w:space="0" w:color="auto"/>
            </w:tcBorders>
            <w:shd w:val="clear" w:color="auto" w:fill="E2EFD9" w:themeFill="accent6" w:themeFillTint="33"/>
            <w:noWrap/>
            <w:vAlign w:val="center"/>
            <w:hideMark/>
          </w:tcPr>
          <w:p w14:paraId="35F1CD57" w14:textId="0420BC55" w:rsidR="00A30F39" w:rsidRPr="00FD566B" w:rsidRDefault="00191461" w:rsidP="000E367C">
            <w:pPr>
              <w:pStyle w:val="a6"/>
              <w:jc w:val="center"/>
              <w:rPr>
                <w:rFonts w:asciiTheme="majorHAnsi" w:hAnsiTheme="majorHAnsi"/>
                <w:b/>
                <w:sz w:val="20"/>
                <w:lang w:val="ro-RO"/>
              </w:rPr>
            </w:pPr>
            <w:r>
              <w:rPr>
                <w:rFonts w:asciiTheme="majorHAnsi" w:hAnsiTheme="majorHAnsi"/>
                <w:b/>
                <w:sz w:val="20"/>
                <w:lang w:val="ro-RO"/>
              </w:rPr>
              <w:t>2479.6</w:t>
            </w:r>
          </w:p>
        </w:tc>
        <w:tc>
          <w:tcPr>
            <w:tcW w:w="567" w:type="dxa"/>
            <w:tcBorders>
              <w:top w:val="nil"/>
              <w:left w:val="nil"/>
              <w:bottom w:val="single" w:sz="4" w:space="0" w:color="auto"/>
              <w:right w:val="single" w:sz="4" w:space="0" w:color="auto"/>
            </w:tcBorders>
            <w:shd w:val="clear" w:color="auto" w:fill="E2EFD9" w:themeFill="accent6" w:themeFillTint="33"/>
            <w:noWrap/>
            <w:vAlign w:val="center"/>
            <w:hideMark/>
          </w:tcPr>
          <w:p w14:paraId="185F4778"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1</w:t>
            </w:r>
          </w:p>
        </w:tc>
        <w:tc>
          <w:tcPr>
            <w:tcW w:w="708" w:type="dxa"/>
            <w:tcBorders>
              <w:top w:val="nil"/>
              <w:left w:val="nil"/>
              <w:bottom w:val="single" w:sz="4" w:space="0" w:color="auto"/>
              <w:right w:val="single" w:sz="4" w:space="0" w:color="auto"/>
            </w:tcBorders>
            <w:shd w:val="clear" w:color="auto" w:fill="E2EFD9" w:themeFill="accent6" w:themeFillTint="33"/>
            <w:noWrap/>
            <w:vAlign w:val="center"/>
            <w:hideMark/>
          </w:tcPr>
          <w:p w14:paraId="1A45774D"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1,4</w:t>
            </w:r>
          </w:p>
        </w:tc>
        <w:tc>
          <w:tcPr>
            <w:tcW w:w="567" w:type="dxa"/>
            <w:tcBorders>
              <w:top w:val="nil"/>
              <w:left w:val="single" w:sz="12" w:space="0" w:color="auto"/>
              <w:bottom w:val="single" w:sz="4" w:space="0" w:color="auto"/>
              <w:right w:val="single" w:sz="4" w:space="0" w:color="auto"/>
            </w:tcBorders>
            <w:shd w:val="clear" w:color="auto" w:fill="E2EFD9" w:themeFill="accent6" w:themeFillTint="33"/>
            <w:vAlign w:val="center"/>
          </w:tcPr>
          <w:p w14:paraId="75FE7AFE"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13</w:t>
            </w:r>
          </w:p>
        </w:tc>
        <w:tc>
          <w:tcPr>
            <w:tcW w:w="851" w:type="dxa"/>
            <w:tcBorders>
              <w:top w:val="nil"/>
              <w:left w:val="nil"/>
              <w:bottom w:val="single" w:sz="4" w:space="0" w:color="auto"/>
              <w:right w:val="single" w:sz="4" w:space="0" w:color="auto"/>
            </w:tcBorders>
            <w:shd w:val="clear" w:color="auto" w:fill="E2EFD9" w:themeFill="accent6" w:themeFillTint="33"/>
            <w:vAlign w:val="center"/>
          </w:tcPr>
          <w:p w14:paraId="3EC1610D"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1990,3</w:t>
            </w:r>
          </w:p>
        </w:tc>
        <w:tc>
          <w:tcPr>
            <w:tcW w:w="567" w:type="dxa"/>
            <w:tcBorders>
              <w:top w:val="nil"/>
              <w:left w:val="nil"/>
              <w:bottom w:val="single" w:sz="4" w:space="0" w:color="auto"/>
              <w:right w:val="single" w:sz="4" w:space="0" w:color="auto"/>
            </w:tcBorders>
            <w:shd w:val="clear" w:color="auto" w:fill="E2EFD9" w:themeFill="accent6" w:themeFillTint="33"/>
            <w:vAlign w:val="center"/>
          </w:tcPr>
          <w:p w14:paraId="1BB51674"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1</w:t>
            </w:r>
          </w:p>
        </w:tc>
        <w:tc>
          <w:tcPr>
            <w:tcW w:w="709" w:type="dxa"/>
            <w:tcBorders>
              <w:top w:val="nil"/>
              <w:left w:val="nil"/>
              <w:bottom w:val="single" w:sz="4" w:space="0" w:color="auto"/>
              <w:right w:val="single" w:sz="4" w:space="0" w:color="auto"/>
            </w:tcBorders>
            <w:shd w:val="clear" w:color="auto" w:fill="E2EFD9" w:themeFill="accent6" w:themeFillTint="33"/>
            <w:vAlign w:val="center"/>
          </w:tcPr>
          <w:p w14:paraId="0D2B14BE"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1,4</w:t>
            </w:r>
          </w:p>
        </w:tc>
      </w:tr>
      <w:tr w:rsidR="00A30F39" w:rsidRPr="00A30F39" w14:paraId="79D8A3E2" w14:textId="77777777" w:rsidTr="000E367C">
        <w:trPr>
          <w:trHeight w:val="123"/>
        </w:trPr>
        <w:tc>
          <w:tcPr>
            <w:tcW w:w="141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924CE4A" w14:textId="77777777" w:rsidR="00A30F39" w:rsidRPr="00FD566B" w:rsidRDefault="00A30F39" w:rsidP="000E367C">
            <w:pPr>
              <w:pStyle w:val="a6"/>
              <w:rPr>
                <w:rFonts w:asciiTheme="majorHAnsi" w:hAnsiTheme="majorHAnsi"/>
                <w:b/>
                <w:sz w:val="20"/>
                <w:lang w:val="ro-RO"/>
              </w:rPr>
            </w:pPr>
            <w:r w:rsidRPr="00FD566B">
              <w:rPr>
                <w:rFonts w:asciiTheme="majorHAnsi" w:hAnsiTheme="majorHAnsi"/>
                <w:b/>
                <w:sz w:val="20"/>
                <w:lang w:val="ro-RO"/>
              </w:rPr>
              <w:t>Total general</w:t>
            </w:r>
          </w:p>
        </w:tc>
        <w:tc>
          <w:tcPr>
            <w:tcW w:w="567" w:type="dxa"/>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14:paraId="040AC0BB" w14:textId="65C2672B" w:rsidR="00A30F39" w:rsidRPr="00FD566B" w:rsidRDefault="00DF3C14" w:rsidP="000E367C">
            <w:pPr>
              <w:pStyle w:val="a6"/>
              <w:jc w:val="center"/>
              <w:rPr>
                <w:rFonts w:asciiTheme="majorHAnsi" w:hAnsiTheme="majorHAnsi"/>
                <w:b/>
                <w:sz w:val="20"/>
                <w:lang w:val="ro-RO"/>
              </w:rPr>
            </w:pPr>
            <w:r>
              <w:rPr>
                <w:rFonts w:asciiTheme="majorHAnsi" w:hAnsiTheme="majorHAnsi"/>
                <w:b/>
                <w:sz w:val="20"/>
                <w:lang w:val="ro-RO"/>
              </w:rPr>
              <w:t>8</w:t>
            </w:r>
            <w:r w:rsidR="0074654E">
              <w:rPr>
                <w:rFonts w:asciiTheme="majorHAnsi" w:hAnsiTheme="majorHAnsi"/>
                <w:b/>
                <w:sz w:val="20"/>
                <w:lang w:val="ro-RO"/>
              </w:rPr>
              <w:t>9</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2B90833A" w14:textId="66CDFCD9" w:rsidR="00A30F39" w:rsidRPr="00FD566B" w:rsidRDefault="00C56B56" w:rsidP="000E367C">
            <w:pPr>
              <w:pStyle w:val="a6"/>
              <w:jc w:val="center"/>
              <w:rPr>
                <w:rFonts w:asciiTheme="majorHAnsi" w:hAnsiTheme="majorHAnsi"/>
                <w:b/>
                <w:sz w:val="20"/>
                <w:lang w:val="ro-RO"/>
              </w:rPr>
            </w:pPr>
            <w:r>
              <w:rPr>
                <w:rFonts w:asciiTheme="majorHAnsi" w:hAnsiTheme="majorHAnsi" w:cstheme="majorHAnsi"/>
                <w:b/>
                <w:sz w:val="20"/>
                <w:szCs w:val="20"/>
                <w:lang w:val="ro-RO"/>
              </w:rPr>
              <w:t>4972,0</w:t>
            </w:r>
          </w:p>
        </w:tc>
        <w:tc>
          <w:tcPr>
            <w:tcW w:w="567" w:type="dxa"/>
            <w:tcBorders>
              <w:top w:val="nil"/>
              <w:left w:val="nil"/>
              <w:bottom w:val="single" w:sz="4" w:space="0" w:color="auto"/>
              <w:right w:val="single" w:sz="4" w:space="0" w:color="auto"/>
            </w:tcBorders>
            <w:shd w:val="clear" w:color="auto" w:fill="F2F2F2" w:themeFill="background1" w:themeFillShade="F2"/>
            <w:vAlign w:val="center"/>
            <w:hideMark/>
          </w:tcPr>
          <w:p w14:paraId="620711DF"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35</w:t>
            </w:r>
          </w:p>
        </w:tc>
        <w:tc>
          <w:tcPr>
            <w:tcW w:w="709" w:type="dxa"/>
            <w:tcBorders>
              <w:top w:val="nil"/>
              <w:left w:val="nil"/>
              <w:bottom w:val="single" w:sz="4" w:space="0" w:color="auto"/>
              <w:right w:val="single" w:sz="12" w:space="0" w:color="auto"/>
            </w:tcBorders>
            <w:shd w:val="clear" w:color="auto" w:fill="F2F2F2" w:themeFill="background1" w:themeFillShade="F2"/>
            <w:vAlign w:val="center"/>
            <w:hideMark/>
          </w:tcPr>
          <w:p w14:paraId="444594FE"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342,9</w:t>
            </w:r>
          </w:p>
        </w:tc>
        <w:tc>
          <w:tcPr>
            <w:tcW w:w="567" w:type="dxa"/>
            <w:tcBorders>
              <w:top w:val="nil"/>
              <w:left w:val="single" w:sz="12" w:space="0" w:color="auto"/>
              <w:bottom w:val="single" w:sz="4" w:space="0" w:color="auto"/>
              <w:right w:val="single" w:sz="4" w:space="0" w:color="auto"/>
            </w:tcBorders>
            <w:shd w:val="clear" w:color="auto" w:fill="F2F2F2" w:themeFill="background1" w:themeFillShade="F2"/>
            <w:noWrap/>
            <w:vAlign w:val="center"/>
            <w:hideMark/>
          </w:tcPr>
          <w:p w14:paraId="3C71AD37" w14:textId="076A080C"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9</w:t>
            </w:r>
            <w:r w:rsidR="00DF3C14">
              <w:rPr>
                <w:rFonts w:asciiTheme="majorHAnsi" w:hAnsiTheme="majorHAnsi"/>
                <w:b/>
                <w:sz w:val="20"/>
                <w:lang w:val="ro-RO"/>
              </w:rPr>
              <w:t>0</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700EE1C2" w14:textId="09C36777" w:rsidR="00A30F39" w:rsidRPr="00FD566B" w:rsidRDefault="00BA7179" w:rsidP="000E367C">
            <w:pPr>
              <w:pStyle w:val="a6"/>
              <w:jc w:val="center"/>
              <w:rPr>
                <w:rFonts w:asciiTheme="majorHAnsi" w:hAnsiTheme="majorHAnsi"/>
                <w:b/>
                <w:sz w:val="20"/>
                <w:lang w:val="ro-RO"/>
              </w:rPr>
            </w:pPr>
            <w:r>
              <w:rPr>
                <w:rFonts w:asciiTheme="majorHAnsi" w:hAnsiTheme="majorHAnsi" w:cstheme="majorHAnsi"/>
                <w:b/>
                <w:sz w:val="20"/>
                <w:szCs w:val="20"/>
                <w:lang w:val="ro-RO"/>
              </w:rPr>
              <w:t>4675,8</w:t>
            </w:r>
          </w:p>
        </w:tc>
        <w:tc>
          <w:tcPr>
            <w:tcW w:w="567" w:type="dxa"/>
            <w:tcBorders>
              <w:top w:val="nil"/>
              <w:left w:val="nil"/>
              <w:bottom w:val="single" w:sz="4" w:space="0" w:color="auto"/>
              <w:right w:val="single" w:sz="4" w:space="0" w:color="auto"/>
            </w:tcBorders>
            <w:shd w:val="clear" w:color="auto" w:fill="F2F2F2" w:themeFill="background1" w:themeFillShade="F2"/>
            <w:noWrap/>
            <w:vAlign w:val="center"/>
            <w:hideMark/>
          </w:tcPr>
          <w:p w14:paraId="05F7B3F6" w14:textId="2864EF10" w:rsidR="00A30F39" w:rsidRPr="00FD566B" w:rsidRDefault="00BA7179" w:rsidP="000E367C">
            <w:pPr>
              <w:pStyle w:val="a6"/>
              <w:jc w:val="center"/>
              <w:rPr>
                <w:rFonts w:asciiTheme="majorHAnsi" w:hAnsiTheme="majorHAnsi"/>
                <w:b/>
                <w:sz w:val="20"/>
                <w:lang w:val="ro-RO"/>
              </w:rPr>
            </w:pPr>
            <w:r>
              <w:rPr>
                <w:rFonts w:asciiTheme="majorHAnsi" w:hAnsiTheme="majorHAnsi" w:cstheme="majorHAnsi"/>
                <w:b/>
                <w:sz w:val="20"/>
                <w:szCs w:val="20"/>
                <w:lang w:val="ro-RO"/>
              </w:rPr>
              <w:t>43</w:t>
            </w: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14:paraId="0ABF87D0" w14:textId="57BF2F1C" w:rsidR="00A30F39" w:rsidRPr="00FD566B" w:rsidRDefault="00322ECD" w:rsidP="000E367C">
            <w:pPr>
              <w:pStyle w:val="a6"/>
              <w:jc w:val="center"/>
              <w:rPr>
                <w:rFonts w:asciiTheme="majorHAnsi" w:hAnsiTheme="majorHAnsi"/>
                <w:b/>
                <w:sz w:val="20"/>
                <w:lang w:val="ro-RO"/>
              </w:rPr>
            </w:pPr>
            <w:r>
              <w:rPr>
                <w:rFonts w:asciiTheme="majorHAnsi" w:hAnsiTheme="majorHAnsi"/>
                <w:b/>
                <w:sz w:val="20"/>
                <w:lang w:val="ro-RO"/>
              </w:rPr>
              <w:t>312,8</w:t>
            </w:r>
          </w:p>
        </w:tc>
        <w:tc>
          <w:tcPr>
            <w:tcW w:w="567" w:type="dxa"/>
            <w:tcBorders>
              <w:top w:val="nil"/>
              <w:left w:val="single" w:sz="12" w:space="0" w:color="auto"/>
              <w:bottom w:val="single" w:sz="4" w:space="0" w:color="auto"/>
              <w:right w:val="single" w:sz="4" w:space="0" w:color="auto"/>
            </w:tcBorders>
            <w:shd w:val="clear" w:color="auto" w:fill="F2F2F2" w:themeFill="background1" w:themeFillShade="F2"/>
            <w:vAlign w:val="center"/>
          </w:tcPr>
          <w:p w14:paraId="70C9E6D0" w14:textId="43340072" w:rsidR="00A30F39" w:rsidRPr="00FD566B" w:rsidRDefault="007922BF" w:rsidP="000E367C">
            <w:pPr>
              <w:pStyle w:val="a6"/>
              <w:jc w:val="center"/>
              <w:rPr>
                <w:rFonts w:asciiTheme="majorHAnsi" w:hAnsiTheme="majorHAnsi"/>
                <w:b/>
                <w:sz w:val="20"/>
                <w:lang w:val="ro-RO"/>
              </w:rPr>
            </w:pPr>
            <w:r>
              <w:rPr>
                <w:rFonts w:asciiTheme="majorHAnsi" w:hAnsiTheme="majorHAnsi" w:cstheme="majorHAnsi"/>
                <w:b/>
                <w:sz w:val="20"/>
                <w:szCs w:val="20"/>
                <w:lang w:val="ro-RO"/>
              </w:rPr>
              <w:t>89</w:t>
            </w:r>
          </w:p>
        </w:tc>
        <w:tc>
          <w:tcPr>
            <w:tcW w:w="851" w:type="dxa"/>
            <w:tcBorders>
              <w:top w:val="nil"/>
              <w:left w:val="nil"/>
              <w:bottom w:val="single" w:sz="4" w:space="0" w:color="auto"/>
              <w:right w:val="single" w:sz="4" w:space="0" w:color="auto"/>
            </w:tcBorders>
            <w:shd w:val="clear" w:color="auto" w:fill="F2F2F2" w:themeFill="background1" w:themeFillShade="F2"/>
            <w:vAlign w:val="center"/>
          </w:tcPr>
          <w:p w14:paraId="0CA8B8DE"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4420,5</w:t>
            </w:r>
          </w:p>
        </w:tc>
        <w:tc>
          <w:tcPr>
            <w:tcW w:w="567" w:type="dxa"/>
            <w:tcBorders>
              <w:top w:val="nil"/>
              <w:left w:val="nil"/>
              <w:bottom w:val="single" w:sz="4" w:space="0" w:color="auto"/>
              <w:right w:val="single" w:sz="4" w:space="0" w:color="auto"/>
            </w:tcBorders>
            <w:shd w:val="clear" w:color="auto" w:fill="F2F2F2" w:themeFill="background1" w:themeFillShade="F2"/>
            <w:vAlign w:val="center"/>
          </w:tcPr>
          <w:p w14:paraId="3FC8E781"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40</w:t>
            </w:r>
          </w:p>
        </w:tc>
        <w:tc>
          <w:tcPr>
            <w:tcW w:w="709" w:type="dxa"/>
            <w:tcBorders>
              <w:top w:val="nil"/>
              <w:left w:val="nil"/>
              <w:bottom w:val="single" w:sz="4" w:space="0" w:color="auto"/>
              <w:right w:val="single" w:sz="4" w:space="0" w:color="auto"/>
            </w:tcBorders>
            <w:shd w:val="clear" w:color="auto" w:fill="F2F2F2" w:themeFill="background1" w:themeFillShade="F2"/>
            <w:vAlign w:val="center"/>
          </w:tcPr>
          <w:p w14:paraId="196604F3" w14:textId="77777777" w:rsidR="00A30F39" w:rsidRPr="00FD566B" w:rsidRDefault="00A30F39" w:rsidP="000E367C">
            <w:pPr>
              <w:pStyle w:val="a6"/>
              <w:jc w:val="center"/>
              <w:rPr>
                <w:rFonts w:asciiTheme="majorHAnsi" w:hAnsiTheme="majorHAnsi"/>
                <w:b/>
                <w:sz w:val="20"/>
                <w:lang w:val="ro-RO"/>
              </w:rPr>
            </w:pPr>
            <w:r w:rsidRPr="00FD566B">
              <w:rPr>
                <w:rFonts w:asciiTheme="majorHAnsi" w:hAnsiTheme="majorHAnsi"/>
                <w:b/>
                <w:sz w:val="20"/>
                <w:lang w:val="ro-RO"/>
              </w:rPr>
              <w:t>265,7</w:t>
            </w:r>
          </w:p>
        </w:tc>
      </w:tr>
    </w:tbl>
    <w:p w14:paraId="07140B7E" w14:textId="4CF57FAD" w:rsidR="00A30F39" w:rsidRDefault="00A30F39" w:rsidP="00A30F39">
      <w:pPr>
        <w:spacing w:after="0" w:line="240" w:lineRule="auto"/>
        <w:jc w:val="both"/>
        <w:rPr>
          <w:rFonts w:asciiTheme="majorHAnsi" w:hAnsiTheme="majorHAnsi" w:cstheme="majorHAnsi"/>
          <w:sz w:val="20"/>
          <w:szCs w:val="20"/>
          <w:lang w:val="ro-RO" w:eastAsia="ru-RU"/>
        </w:rPr>
      </w:pPr>
      <w:r w:rsidRPr="00A30F39">
        <w:rPr>
          <w:rFonts w:asciiTheme="majorHAnsi" w:hAnsiTheme="majorHAnsi" w:cstheme="majorHAnsi"/>
          <w:b/>
          <w:i/>
          <w:sz w:val="20"/>
          <w:szCs w:val="20"/>
          <w:lang w:val="ro-RO" w:eastAsia="ru-RU"/>
        </w:rPr>
        <w:t>Sursă:</w:t>
      </w:r>
      <w:r w:rsidRPr="00A30F39">
        <w:rPr>
          <w:rFonts w:asciiTheme="majorHAnsi" w:hAnsiTheme="majorHAnsi" w:cstheme="majorHAnsi"/>
          <w:b/>
          <w:sz w:val="20"/>
          <w:szCs w:val="20"/>
          <w:lang w:val="ro-RO" w:eastAsia="ru-RU"/>
        </w:rPr>
        <w:t xml:space="preserve"> </w:t>
      </w:r>
      <w:r w:rsidR="00612E2F">
        <w:rPr>
          <w:rFonts w:asciiTheme="majorHAnsi" w:hAnsiTheme="majorHAnsi" w:cstheme="majorHAnsi"/>
          <w:sz w:val="20"/>
          <w:szCs w:val="20"/>
          <w:lang w:val="ro-RO" w:eastAsia="ru-RU"/>
        </w:rPr>
        <w:t>I</w:t>
      </w:r>
      <w:r w:rsidRPr="00A30F39">
        <w:rPr>
          <w:rFonts w:asciiTheme="majorHAnsi" w:hAnsiTheme="majorHAnsi" w:cstheme="majorHAnsi"/>
          <w:sz w:val="20"/>
          <w:szCs w:val="20"/>
          <w:lang w:val="ro-RO" w:eastAsia="ru-RU"/>
        </w:rPr>
        <w:t>nformați</w:t>
      </w:r>
      <w:r w:rsidR="00612E2F">
        <w:rPr>
          <w:rFonts w:asciiTheme="majorHAnsi" w:hAnsiTheme="majorHAnsi" w:cstheme="majorHAnsi"/>
          <w:sz w:val="20"/>
          <w:szCs w:val="20"/>
          <w:lang w:val="ro-RO" w:eastAsia="ru-RU"/>
        </w:rPr>
        <w:t>a</w:t>
      </w:r>
      <w:r w:rsidRPr="00A30F39">
        <w:rPr>
          <w:rFonts w:asciiTheme="majorHAnsi" w:hAnsiTheme="majorHAnsi" w:cstheme="majorHAnsi"/>
          <w:sz w:val="20"/>
          <w:szCs w:val="20"/>
          <w:lang w:val="ro-RO" w:eastAsia="ru-RU"/>
        </w:rPr>
        <w:t xml:space="preserve"> privind împrumuturile </w:t>
      </w:r>
      <w:proofErr w:type="spellStart"/>
      <w:r w:rsidRPr="00A30F39">
        <w:rPr>
          <w:rFonts w:asciiTheme="majorHAnsi" w:hAnsiTheme="majorHAnsi" w:cstheme="majorHAnsi"/>
          <w:sz w:val="20"/>
          <w:szCs w:val="20"/>
          <w:lang w:val="ro-RO" w:eastAsia="ru-RU"/>
        </w:rPr>
        <w:t>recreditate</w:t>
      </w:r>
      <w:proofErr w:type="spellEnd"/>
      <w:r w:rsidRPr="00A30F39">
        <w:rPr>
          <w:rFonts w:asciiTheme="majorHAnsi" w:hAnsiTheme="majorHAnsi" w:cstheme="majorHAnsi"/>
          <w:sz w:val="20"/>
          <w:szCs w:val="20"/>
          <w:lang w:val="ro-RO" w:eastAsia="ru-RU"/>
        </w:rPr>
        <w:t xml:space="preserve"> prin intermediul MF,DLC, FIDA, la situația din 31.12.2018.</w:t>
      </w:r>
    </w:p>
    <w:p w14:paraId="6A05FC7E" w14:textId="77777777" w:rsidR="00FD566B" w:rsidRPr="00A30F39" w:rsidRDefault="00FD566B" w:rsidP="00A30F39">
      <w:pPr>
        <w:spacing w:after="0" w:line="240" w:lineRule="auto"/>
        <w:jc w:val="both"/>
        <w:rPr>
          <w:rFonts w:asciiTheme="majorHAnsi" w:hAnsiTheme="majorHAnsi" w:cstheme="majorHAnsi"/>
          <w:sz w:val="20"/>
          <w:szCs w:val="20"/>
          <w:lang w:val="ro-RO" w:eastAsia="ru-RU"/>
        </w:rPr>
      </w:pPr>
    </w:p>
    <w:p w14:paraId="270993F4" w14:textId="26C5CF5E" w:rsidR="00A30F39" w:rsidRPr="00FD566B" w:rsidRDefault="00FD566B" w:rsidP="00A30F39">
      <w:pPr>
        <w:spacing w:after="0" w:line="240" w:lineRule="auto"/>
        <w:jc w:val="both"/>
        <w:rPr>
          <w:rFonts w:asciiTheme="majorHAnsi" w:hAnsiTheme="majorHAnsi" w:cstheme="majorHAnsi"/>
          <w:sz w:val="20"/>
          <w:szCs w:val="20"/>
          <w:lang w:val="ro-RO" w:eastAsia="ru-RU"/>
        </w:rPr>
      </w:pPr>
      <w:r w:rsidRPr="00FD566B">
        <w:rPr>
          <w:rFonts w:asciiTheme="majorHAnsi" w:hAnsiTheme="majorHAnsi" w:cstheme="majorHAnsi"/>
          <w:sz w:val="20"/>
          <w:szCs w:val="20"/>
          <w:lang w:val="ro-RO" w:eastAsia="ru-RU"/>
        </w:rPr>
        <w:t>*Notă: Sum</w:t>
      </w:r>
      <w:r w:rsidR="00341568">
        <w:rPr>
          <w:rFonts w:asciiTheme="majorHAnsi" w:hAnsiTheme="majorHAnsi" w:cstheme="majorHAnsi"/>
          <w:sz w:val="20"/>
          <w:szCs w:val="20"/>
          <w:lang w:val="ro-RO" w:eastAsia="ru-RU"/>
        </w:rPr>
        <w:t>ele</w:t>
      </w:r>
      <w:r w:rsidRPr="00FD566B">
        <w:rPr>
          <w:rFonts w:asciiTheme="majorHAnsi" w:hAnsiTheme="majorHAnsi" w:cstheme="majorHAnsi"/>
          <w:sz w:val="20"/>
          <w:szCs w:val="20"/>
          <w:lang w:val="ro-RO" w:eastAsia="ru-RU"/>
        </w:rPr>
        <w:t xml:space="preserve"> debursărilor efectuate pe parcursul an</w:t>
      </w:r>
      <w:r w:rsidR="00341568">
        <w:rPr>
          <w:rFonts w:asciiTheme="majorHAnsi" w:hAnsiTheme="majorHAnsi" w:cstheme="majorHAnsi"/>
          <w:sz w:val="20"/>
          <w:szCs w:val="20"/>
          <w:lang w:val="ro-RO" w:eastAsia="ru-RU"/>
        </w:rPr>
        <w:t>ilor</w:t>
      </w:r>
      <w:r w:rsidRPr="00FD566B">
        <w:rPr>
          <w:rFonts w:asciiTheme="majorHAnsi" w:hAnsiTheme="majorHAnsi" w:cstheme="majorHAnsi"/>
          <w:sz w:val="20"/>
          <w:szCs w:val="20"/>
          <w:lang w:val="ro-RO" w:eastAsia="ru-RU"/>
        </w:rPr>
        <w:t xml:space="preserve"> 2016 </w:t>
      </w:r>
      <w:r w:rsidR="0074654E">
        <w:rPr>
          <w:rFonts w:asciiTheme="majorHAnsi" w:hAnsiTheme="majorHAnsi" w:cstheme="majorHAnsi"/>
          <w:sz w:val="20"/>
          <w:szCs w:val="20"/>
          <w:lang w:val="ro-RO" w:eastAsia="ru-RU"/>
        </w:rPr>
        <w:t xml:space="preserve">și 2017 </w:t>
      </w:r>
      <w:r w:rsidRPr="00FD566B">
        <w:rPr>
          <w:rFonts w:asciiTheme="majorHAnsi" w:hAnsiTheme="majorHAnsi" w:cstheme="majorHAnsi"/>
          <w:sz w:val="20"/>
          <w:szCs w:val="20"/>
          <w:lang w:val="ro-RO" w:eastAsia="ru-RU"/>
        </w:rPr>
        <w:t xml:space="preserve">au fost actualizate în anul 2017 </w:t>
      </w:r>
      <w:r w:rsidR="0074654E">
        <w:rPr>
          <w:rFonts w:asciiTheme="majorHAnsi" w:hAnsiTheme="majorHAnsi" w:cstheme="majorHAnsi"/>
          <w:sz w:val="20"/>
          <w:szCs w:val="20"/>
          <w:lang w:val="ro-RO" w:eastAsia="ru-RU"/>
        </w:rPr>
        <w:t>și</w:t>
      </w:r>
      <w:r w:rsidR="00341568">
        <w:rPr>
          <w:rFonts w:asciiTheme="majorHAnsi" w:hAnsiTheme="majorHAnsi" w:cstheme="majorHAnsi"/>
          <w:sz w:val="20"/>
          <w:szCs w:val="20"/>
          <w:lang w:val="ro-RO" w:eastAsia="ru-RU"/>
        </w:rPr>
        <w:t>,</w:t>
      </w:r>
      <w:r w:rsidR="0074654E">
        <w:rPr>
          <w:rFonts w:asciiTheme="majorHAnsi" w:hAnsiTheme="majorHAnsi" w:cstheme="majorHAnsi"/>
          <w:sz w:val="20"/>
          <w:szCs w:val="20"/>
          <w:lang w:val="ro-RO" w:eastAsia="ru-RU"/>
        </w:rPr>
        <w:t xml:space="preserve"> respectiv</w:t>
      </w:r>
      <w:r w:rsidR="00341568">
        <w:rPr>
          <w:rFonts w:asciiTheme="majorHAnsi" w:hAnsiTheme="majorHAnsi" w:cstheme="majorHAnsi"/>
          <w:sz w:val="20"/>
          <w:szCs w:val="20"/>
          <w:lang w:val="ro-RO" w:eastAsia="ru-RU"/>
        </w:rPr>
        <w:t>,</w:t>
      </w:r>
      <w:r w:rsidR="0074654E">
        <w:rPr>
          <w:rFonts w:asciiTheme="majorHAnsi" w:hAnsiTheme="majorHAnsi" w:cstheme="majorHAnsi"/>
          <w:sz w:val="20"/>
          <w:szCs w:val="20"/>
          <w:lang w:val="ro-RO" w:eastAsia="ru-RU"/>
        </w:rPr>
        <w:t xml:space="preserve"> în anul 2018, </w:t>
      </w:r>
      <w:r w:rsidRPr="00FD566B">
        <w:rPr>
          <w:rFonts w:asciiTheme="majorHAnsi" w:hAnsiTheme="majorHAnsi" w:cstheme="majorHAnsi"/>
          <w:sz w:val="20"/>
          <w:szCs w:val="20"/>
          <w:lang w:val="ro-RO" w:eastAsia="ru-RU"/>
        </w:rPr>
        <w:t>ca urmare a prezentării dărilor de seamă privind debursările efectuate din contul împrumuturilor externe în cadrul proiectelor investiționale.</w:t>
      </w:r>
    </w:p>
    <w:p w14:paraId="2C048472" w14:textId="77777777" w:rsidR="00FD566B" w:rsidRPr="00A30F39" w:rsidRDefault="00FD566B" w:rsidP="00A30F39">
      <w:pPr>
        <w:spacing w:after="0" w:line="240" w:lineRule="auto"/>
        <w:jc w:val="both"/>
        <w:rPr>
          <w:rFonts w:asciiTheme="majorHAnsi" w:hAnsiTheme="majorHAnsi" w:cstheme="majorHAnsi"/>
          <w:sz w:val="24"/>
          <w:szCs w:val="24"/>
          <w:lang w:val="ro-RO" w:eastAsia="ru-RU"/>
        </w:rPr>
      </w:pPr>
    </w:p>
    <w:p w14:paraId="357DAD71" w14:textId="64AC91D7" w:rsidR="00A30F39" w:rsidRPr="00A30F39" w:rsidRDefault="00A30F39" w:rsidP="00A30F39">
      <w:pPr>
        <w:spacing w:after="0" w:line="276" w:lineRule="auto"/>
        <w:ind w:firstLine="720"/>
        <w:jc w:val="both"/>
        <w:rPr>
          <w:rFonts w:asciiTheme="majorHAnsi" w:hAnsiTheme="majorHAnsi" w:cstheme="majorHAnsi"/>
          <w:sz w:val="24"/>
          <w:szCs w:val="24"/>
          <w:lang w:val="ro-RO" w:eastAsia="ru-RU"/>
        </w:rPr>
      </w:pPr>
      <w:r w:rsidRPr="00720344">
        <w:rPr>
          <w:rFonts w:asciiTheme="majorHAnsi" w:hAnsiTheme="majorHAnsi" w:cstheme="majorHAnsi"/>
          <w:sz w:val="24"/>
          <w:szCs w:val="24"/>
          <w:lang w:val="ro-RO" w:eastAsia="ru-RU"/>
        </w:rPr>
        <w:t xml:space="preserve">Din totalul </w:t>
      </w:r>
      <w:r w:rsidRPr="00824256">
        <w:rPr>
          <w:rFonts w:asciiTheme="majorHAnsi" w:hAnsiTheme="majorHAnsi" w:cstheme="majorHAnsi"/>
          <w:sz w:val="24"/>
          <w:szCs w:val="24"/>
          <w:lang w:val="ro-RO" w:eastAsia="ru-RU"/>
        </w:rPr>
        <w:t xml:space="preserve">soldului </w:t>
      </w:r>
      <w:r w:rsidR="00341568" w:rsidRPr="00824256">
        <w:rPr>
          <w:rFonts w:asciiTheme="majorHAnsi" w:hAnsiTheme="majorHAnsi" w:cstheme="majorHAnsi"/>
          <w:sz w:val="24"/>
          <w:szCs w:val="24"/>
          <w:lang w:val="ro-RO" w:eastAsia="ru-RU"/>
        </w:rPr>
        <w:t>datoriilor</w:t>
      </w:r>
      <w:r w:rsidR="00341568">
        <w:rPr>
          <w:rFonts w:asciiTheme="majorHAnsi" w:hAnsiTheme="majorHAnsi" w:cstheme="majorHAnsi"/>
          <w:sz w:val="24"/>
          <w:szCs w:val="24"/>
          <w:lang w:val="ro-RO" w:eastAsia="ru-RU"/>
        </w:rPr>
        <w:t xml:space="preserve"> </w:t>
      </w:r>
      <w:r w:rsidRPr="00720344">
        <w:rPr>
          <w:rFonts w:asciiTheme="majorHAnsi" w:hAnsiTheme="majorHAnsi" w:cstheme="majorHAnsi"/>
          <w:sz w:val="24"/>
          <w:szCs w:val="24"/>
          <w:lang w:val="ro-RO" w:eastAsia="ru-RU"/>
        </w:rPr>
        <w:t xml:space="preserve">pentru împrumuturile </w:t>
      </w:r>
      <w:proofErr w:type="spellStart"/>
      <w:r w:rsidRPr="00720344">
        <w:rPr>
          <w:rFonts w:asciiTheme="majorHAnsi" w:hAnsiTheme="majorHAnsi" w:cstheme="majorHAnsi"/>
          <w:sz w:val="24"/>
          <w:szCs w:val="24"/>
          <w:lang w:val="ro-RO" w:eastAsia="ru-RU"/>
        </w:rPr>
        <w:t>recreditate</w:t>
      </w:r>
      <w:proofErr w:type="spellEnd"/>
      <w:r w:rsidRPr="00720344">
        <w:rPr>
          <w:rFonts w:asciiTheme="majorHAnsi" w:hAnsiTheme="majorHAnsi" w:cstheme="majorHAnsi"/>
          <w:sz w:val="24"/>
          <w:szCs w:val="24"/>
          <w:lang w:val="ro-RO" w:eastAsia="ru-RU"/>
        </w:rPr>
        <w:t xml:space="preserve"> (4420,5 </w:t>
      </w:r>
      <w:proofErr w:type="spellStart"/>
      <w:r w:rsidR="002D0D0D">
        <w:rPr>
          <w:rFonts w:asciiTheme="majorHAnsi" w:hAnsiTheme="majorHAnsi" w:cstheme="majorHAnsi"/>
          <w:sz w:val="24"/>
          <w:szCs w:val="24"/>
          <w:lang w:val="ro-RO" w:eastAsia="ru-RU"/>
        </w:rPr>
        <w:t>mil.MDL</w:t>
      </w:r>
      <w:proofErr w:type="spellEnd"/>
      <w:r w:rsidRPr="00720344">
        <w:rPr>
          <w:rFonts w:asciiTheme="majorHAnsi" w:hAnsiTheme="majorHAnsi" w:cstheme="majorHAnsi"/>
          <w:sz w:val="24"/>
          <w:szCs w:val="24"/>
          <w:lang w:val="ro-RO" w:eastAsia="ru-RU"/>
        </w:rPr>
        <w:t>), cele mai semnificative înregistr</w:t>
      </w:r>
      <w:r w:rsidR="00341568">
        <w:rPr>
          <w:rFonts w:asciiTheme="majorHAnsi" w:hAnsiTheme="majorHAnsi" w:cstheme="majorHAnsi"/>
          <w:sz w:val="24"/>
          <w:szCs w:val="24"/>
          <w:lang w:val="ro-RO" w:eastAsia="ru-RU"/>
        </w:rPr>
        <w:t>ează</w:t>
      </w:r>
      <w:r w:rsidRPr="00720344">
        <w:rPr>
          <w:rFonts w:asciiTheme="majorHAnsi" w:hAnsiTheme="majorHAnsi" w:cstheme="majorHAnsi"/>
          <w:sz w:val="24"/>
          <w:szCs w:val="24"/>
          <w:lang w:val="ro-RO" w:eastAsia="ru-RU"/>
        </w:rPr>
        <w:t xml:space="preserve"> întreprinderile complexului agroindustrial – 1773,6 </w:t>
      </w:r>
      <w:proofErr w:type="spellStart"/>
      <w:r w:rsidR="002D0D0D">
        <w:rPr>
          <w:rFonts w:asciiTheme="majorHAnsi" w:hAnsiTheme="majorHAnsi" w:cstheme="majorHAnsi"/>
          <w:sz w:val="24"/>
          <w:szCs w:val="24"/>
          <w:lang w:val="ro-RO" w:eastAsia="ru-RU"/>
        </w:rPr>
        <w:t>mil.MDL</w:t>
      </w:r>
      <w:proofErr w:type="spellEnd"/>
      <w:r w:rsidRPr="00720344">
        <w:rPr>
          <w:rFonts w:asciiTheme="majorHAnsi" w:hAnsiTheme="majorHAnsi" w:cstheme="majorHAnsi"/>
          <w:sz w:val="24"/>
          <w:szCs w:val="24"/>
          <w:lang w:val="ro-RO" w:eastAsia="ru-RU"/>
        </w:rPr>
        <w:t xml:space="preserve"> (40,1%), urmate de întreprinderile sectorului energetic – 1241,1 </w:t>
      </w:r>
      <w:proofErr w:type="spellStart"/>
      <w:r w:rsidR="002D0D0D">
        <w:rPr>
          <w:rFonts w:asciiTheme="majorHAnsi" w:hAnsiTheme="majorHAnsi" w:cstheme="majorHAnsi"/>
          <w:sz w:val="24"/>
          <w:szCs w:val="24"/>
          <w:lang w:val="ro-RO" w:eastAsia="ru-RU"/>
        </w:rPr>
        <w:t>mil.MDL</w:t>
      </w:r>
      <w:proofErr w:type="spellEnd"/>
      <w:r w:rsidRPr="00720344">
        <w:rPr>
          <w:rFonts w:asciiTheme="majorHAnsi" w:hAnsiTheme="majorHAnsi" w:cstheme="majorHAnsi"/>
          <w:sz w:val="24"/>
          <w:szCs w:val="24"/>
          <w:lang w:val="ro-RO" w:eastAsia="ru-RU"/>
        </w:rPr>
        <w:t xml:space="preserve"> (28,1%), și de întreprinderile prestatoare de servicii comunale (apeducte și canalizare) – 400,</w:t>
      </w:r>
      <w:r w:rsidR="00D468B6">
        <w:rPr>
          <w:rFonts w:asciiTheme="majorHAnsi" w:hAnsiTheme="majorHAnsi" w:cstheme="majorHAnsi"/>
          <w:sz w:val="24"/>
          <w:szCs w:val="24"/>
          <w:lang w:val="ro-RO" w:eastAsia="ru-RU"/>
        </w:rPr>
        <w:t>1</w:t>
      </w:r>
      <w:r w:rsidRPr="00720344">
        <w:rPr>
          <w:rFonts w:asciiTheme="majorHAnsi" w:hAnsiTheme="majorHAnsi" w:cstheme="majorHAnsi"/>
          <w:sz w:val="24"/>
          <w:szCs w:val="24"/>
          <w:lang w:val="ro-RO" w:eastAsia="ru-RU"/>
        </w:rPr>
        <w:t xml:space="preserve"> </w:t>
      </w:r>
      <w:proofErr w:type="spellStart"/>
      <w:r w:rsidR="002D0D0D">
        <w:rPr>
          <w:rFonts w:asciiTheme="majorHAnsi" w:hAnsiTheme="majorHAnsi" w:cstheme="majorHAnsi"/>
          <w:sz w:val="24"/>
          <w:szCs w:val="24"/>
          <w:lang w:val="ro-RO" w:eastAsia="ru-RU"/>
        </w:rPr>
        <w:t>mil.MDL</w:t>
      </w:r>
      <w:proofErr w:type="spellEnd"/>
      <w:r w:rsidRPr="00720344">
        <w:rPr>
          <w:rFonts w:asciiTheme="majorHAnsi" w:hAnsiTheme="majorHAnsi" w:cstheme="majorHAnsi"/>
          <w:sz w:val="24"/>
          <w:szCs w:val="24"/>
          <w:lang w:val="ro-RO" w:eastAsia="ru-RU"/>
        </w:rPr>
        <w:t xml:space="preserve"> (9,0%).</w:t>
      </w:r>
      <w:r w:rsidRPr="00A30F39">
        <w:rPr>
          <w:rFonts w:asciiTheme="majorHAnsi" w:hAnsiTheme="majorHAnsi" w:cstheme="majorHAnsi"/>
          <w:sz w:val="24"/>
          <w:szCs w:val="24"/>
          <w:lang w:val="ro-RO" w:eastAsia="ru-RU"/>
        </w:rPr>
        <w:t xml:space="preserve"> </w:t>
      </w:r>
    </w:p>
    <w:p w14:paraId="31738B90" w14:textId="77777777" w:rsidR="00B81D9C" w:rsidRPr="00775266" w:rsidRDefault="00B81D9C" w:rsidP="00A30F39">
      <w:pPr>
        <w:spacing w:after="0" w:line="276" w:lineRule="auto"/>
        <w:jc w:val="both"/>
        <w:rPr>
          <w:rFonts w:asciiTheme="majorHAnsi" w:hAnsiTheme="majorHAnsi" w:cstheme="majorHAnsi"/>
          <w:sz w:val="28"/>
          <w:szCs w:val="28"/>
          <w:highlight w:val="yellow"/>
          <w:lang w:val="ro-RO" w:eastAsia="ru-RU"/>
        </w:rPr>
      </w:pPr>
      <w:bookmarkStart w:id="57" w:name="_Toc482889699"/>
      <w:bookmarkEnd w:id="46"/>
    </w:p>
    <w:p w14:paraId="38BDE00A" w14:textId="77777777" w:rsidR="009B1558" w:rsidRPr="00DE17CB" w:rsidRDefault="006E4771" w:rsidP="005D2329">
      <w:pPr>
        <w:pStyle w:val="a4"/>
        <w:numPr>
          <w:ilvl w:val="1"/>
          <w:numId w:val="48"/>
        </w:numPr>
        <w:shd w:val="clear" w:color="auto" w:fill="FFFFFF"/>
        <w:tabs>
          <w:tab w:val="left" w:pos="993"/>
        </w:tabs>
        <w:spacing w:line="276" w:lineRule="auto"/>
        <w:ind w:firstLine="171"/>
        <w:jc w:val="both"/>
        <w:outlineLvl w:val="1"/>
        <w:rPr>
          <w:rFonts w:asciiTheme="majorHAnsi" w:hAnsiTheme="majorHAnsi" w:cstheme="majorHAnsi"/>
          <w:b/>
          <w:sz w:val="24"/>
          <w:szCs w:val="24"/>
          <w:lang w:val="ro-RO"/>
        </w:rPr>
      </w:pPr>
      <w:bookmarkStart w:id="58" w:name="_Toc515442979"/>
      <w:bookmarkStart w:id="59" w:name="_Toc10106699"/>
      <w:bookmarkStart w:id="60" w:name="_Toc482889700"/>
      <w:bookmarkEnd w:id="57"/>
      <w:r w:rsidRPr="00DE17CB">
        <w:rPr>
          <w:rFonts w:asciiTheme="majorHAnsi" w:hAnsiTheme="majorHAnsi" w:cstheme="majorHAnsi"/>
          <w:b/>
          <w:sz w:val="24"/>
          <w:szCs w:val="24"/>
          <w:lang w:val="ro-RO"/>
        </w:rPr>
        <w:t>Alte constatări</w:t>
      </w:r>
      <w:bookmarkEnd w:id="58"/>
      <w:bookmarkEnd w:id="59"/>
    </w:p>
    <w:p w14:paraId="6748B978" w14:textId="77777777" w:rsidR="004D36C7" w:rsidRPr="00E14C43" w:rsidRDefault="004150E3" w:rsidP="004D36C7">
      <w:pPr>
        <w:ind w:firstLine="566"/>
        <w:jc w:val="both"/>
        <w:rPr>
          <w:rFonts w:asciiTheme="majorHAnsi" w:hAnsiTheme="majorHAnsi" w:cstheme="majorHAnsi"/>
          <w:i/>
          <w:sz w:val="24"/>
          <w:szCs w:val="24"/>
          <w:lang w:val="ro-RO"/>
        </w:rPr>
      </w:pPr>
      <w:bookmarkStart w:id="61" w:name="_Toc515442980"/>
      <w:r w:rsidRPr="00E14C43">
        <w:rPr>
          <w:rFonts w:asciiTheme="majorHAnsi" w:hAnsiTheme="majorHAnsi" w:cstheme="majorHAnsi"/>
          <w:i/>
          <w:sz w:val="24"/>
          <w:szCs w:val="24"/>
          <w:lang w:val="ro-RO"/>
        </w:rPr>
        <w:t>În anul 2018</w:t>
      </w:r>
      <w:r w:rsidR="006E4771" w:rsidRPr="00E14C43">
        <w:rPr>
          <w:rFonts w:asciiTheme="majorHAnsi" w:hAnsiTheme="majorHAnsi" w:cstheme="majorHAnsi"/>
          <w:i/>
          <w:sz w:val="24"/>
          <w:szCs w:val="24"/>
          <w:lang w:val="ro-RO"/>
        </w:rPr>
        <w:t xml:space="preserve"> a</w:t>
      </w:r>
      <w:r w:rsidRPr="00E14C43">
        <w:rPr>
          <w:rFonts w:asciiTheme="majorHAnsi" w:hAnsiTheme="majorHAnsi" w:cstheme="majorHAnsi"/>
          <w:i/>
          <w:sz w:val="24"/>
          <w:szCs w:val="24"/>
          <w:lang w:val="ro-RO"/>
        </w:rPr>
        <w:t xml:space="preserve"> continuat utilizarea versiunii actualizate</w:t>
      </w:r>
      <w:r w:rsidR="006E4771" w:rsidRPr="00E14C43">
        <w:rPr>
          <w:rFonts w:asciiTheme="majorHAnsi" w:hAnsiTheme="majorHAnsi" w:cstheme="majorHAnsi"/>
          <w:i/>
          <w:sz w:val="24"/>
          <w:szCs w:val="24"/>
          <w:lang w:val="ro-RO"/>
        </w:rPr>
        <w:t xml:space="preserve"> a SI DMFAS 6.1. de gestionare a datoriei pentru validarea bazei de date</w:t>
      </w:r>
      <w:bookmarkEnd w:id="61"/>
      <w:r w:rsidR="001D5FBC" w:rsidRPr="00E14C43">
        <w:rPr>
          <w:rFonts w:asciiTheme="majorHAnsi" w:hAnsiTheme="majorHAnsi" w:cstheme="majorHAnsi"/>
          <w:i/>
          <w:sz w:val="24"/>
          <w:szCs w:val="24"/>
          <w:lang w:val="ro-RO"/>
        </w:rPr>
        <w:t>, dar și a fost lansat în producție SI „</w:t>
      </w:r>
      <w:proofErr w:type="spellStart"/>
      <w:r w:rsidR="001D5FBC" w:rsidRPr="00E14C43">
        <w:rPr>
          <w:rFonts w:asciiTheme="majorHAnsi" w:hAnsiTheme="majorHAnsi" w:cstheme="majorHAnsi"/>
          <w:i/>
          <w:sz w:val="24"/>
          <w:szCs w:val="24"/>
          <w:lang w:val="ro-RO"/>
        </w:rPr>
        <w:t>Bloomberg</w:t>
      </w:r>
      <w:proofErr w:type="spellEnd"/>
      <w:r w:rsidR="001D5FBC" w:rsidRPr="00E14C43">
        <w:rPr>
          <w:rFonts w:asciiTheme="majorHAnsi" w:hAnsiTheme="majorHAnsi" w:cstheme="majorHAnsi"/>
          <w:i/>
          <w:sz w:val="24"/>
          <w:szCs w:val="24"/>
          <w:lang w:val="ro-RO"/>
        </w:rPr>
        <w:t xml:space="preserve"> Professional Service”.</w:t>
      </w:r>
    </w:p>
    <w:p w14:paraId="6C0028A0" w14:textId="77777777" w:rsidR="006E4771" w:rsidRPr="0025648E" w:rsidRDefault="006E4771" w:rsidP="004D36C7">
      <w:pPr>
        <w:spacing w:after="0"/>
        <w:ind w:firstLine="566"/>
        <w:jc w:val="both"/>
        <w:rPr>
          <w:rFonts w:asciiTheme="majorHAnsi" w:hAnsiTheme="majorHAnsi" w:cstheme="majorHAnsi"/>
          <w:i/>
          <w:sz w:val="24"/>
          <w:szCs w:val="24"/>
          <w:lang w:val="ro-RO"/>
        </w:rPr>
      </w:pPr>
      <w:r w:rsidRPr="00E14C43">
        <w:rPr>
          <w:rFonts w:asciiTheme="majorHAnsi" w:hAnsiTheme="majorHAnsi" w:cstheme="majorHAnsi"/>
          <w:sz w:val="24"/>
          <w:szCs w:val="24"/>
          <w:lang w:val="ro-RO"/>
        </w:rPr>
        <w:t>Programul DMFAS este un sistem informațional mondial de</w:t>
      </w:r>
      <w:r w:rsidR="0092687F" w:rsidRPr="00E14C43">
        <w:rPr>
          <w:rFonts w:asciiTheme="majorHAnsi" w:hAnsiTheme="majorHAnsi" w:cstheme="majorHAnsi"/>
          <w:sz w:val="24"/>
          <w:szCs w:val="24"/>
          <w:lang w:val="ro-RO"/>
        </w:rPr>
        <w:t xml:space="preserve"> management al datoriei și analiz</w:t>
      </w:r>
      <w:r w:rsidR="006069A3" w:rsidRPr="00E14C43">
        <w:rPr>
          <w:rFonts w:asciiTheme="majorHAnsi" w:hAnsiTheme="majorHAnsi" w:cstheme="majorHAnsi"/>
          <w:sz w:val="24"/>
          <w:szCs w:val="24"/>
          <w:lang w:val="ro-RO"/>
        </w:rPr>
        <w:t>ă</w:t>
      </w:r>
      <w:r w:rsidR="0092687F" w:rsidRPr="00E14C43">
        <w:rPr>
          <w:rFonts w:asciiTheme="majorHAnsi" w:hAnsiTheme="majorHAnsi" w:cstheme="majorHAnsi"/>
          <w:sz w:val="24"/>
          <w:szCs w:val="24"/>
          <w:lang w:val="ro-RO"/>
        </w:rPr>
        <w:t xml:space="preserve"> financiară.</w:t>
      </w:r>
      <w:r w:rsidRPr="0025648E">
        <w:rPr>
          <w:rFonts w:asciiTheme="majorHAnsi" w:hAnsiTheme="majorHAnsi" w:cstheme="majorHAnsi"/>
          <w:sz w:val="24"/>
          <w:szCs w:val="24"/>
          <w:lang w:val="ro-RO"/>
        </w:rPr>
        <w:t xml:space="preserve"> </w:t>
      </w:r>
    </w:p>
    <w:p w14:paraId="5D2381E0" w14:textId="069D6A25" w:rsidR="006E4771" w:rsidRPr="00E14C43" w:rsidRDefault="004D36C7" w:rsidP="006E4771">
      <w:pPr>
        <w:shd w:val="clear" w:color="auto" w:fill="FFFFFF"/>
        <w:spacing w:after="0" w:line="276" w:lineRule="auto"/>
        <w:ind w:firstLine="720"/>
        <w:jc w:val="both"/>
        <w:rPr>
          <w:rFonts w:asciiTheme="majorHAnsi" w:hAnsiTheme="majorHAnsi" w:cstheme="majorHAnsi"/>
          <w:sz w:val="24"/>
          <w:szCs w:val="24"/>
          <w:lang w:val="ro-RO"/>
        </w:rPr>
      </w:pPr>
      <w:r w:rsidRPr="0025648E">
        <w:rPr>
          <w:rFonts w:asciiTheme="majorHAnsi" w:hAnsiTheme="majorHAnsi" w:cstheme="majorHAnsi"/>
          <w:sz w:val="24"/>
          <w:szCs w:val="24"/>
          <w:lang w:val="ro-RO"/>
        </w:rPr>
        <w:t>Auditul denotă</w:t>
      </w:r>
      <w:r w:rsidR="006E4771" w:rsidRPr="0025648E">
        <w:rPr>
          <w:rFonts w:asciiTheme="majorHAnsi" w:hAnsiTheme="majorHAnsi" w:cstheme="majorHAnsi"/>
          <w:sz w:val="24"/>
          <w:szCs w:val="24"/>
          <w:lang w:val="ro-RO"/>
        </w:rPr>
        <w:t xml:space="preserve"> </w:t>
      </w:r>
      <w:r w:rsidRPr="0025648E">
        <w:rPr>
          <w:rFonts w:asciiTheme="majorHAnsi" w:hAnsiTheme="majorHAnsi" w:cstheme="majorHAnsi"/>
          <w:sz w:val="24"/>
          <w:szCs w:val="24"/>
          <w:lang w:val="ro-RO"/>
        </w:rPr>
        <w:t>că în anul 2018</w:t>
      </w:r>
      <w:r w:rsidR="003A4C5A" w:rsidRPr="0025648E">
        <w:rPr>
          <w:rFonts w:asciiTheme="majorHAnsi" w:hAnsiTheme="majorHAnsi" w:cstheme="majorHAnsi"/>
          <w:sz w:val="24"/>
          <w:szCs w:val="24"/>
          <w:lang w:val="ro-RO"/>
        </w:rPr>
        <w:t xml:space="preserve"> a continuat utilizarea</w:t>
      </w:r>
      <w:r w:rsidR="006E4771" w:rsidRPr="0025648E">
        <w:rPr>
          <w:rFonts w:asciiTheme="majorHAnsi" w:hAnsiTheme="majorHAnsi" w:cstheme="majorHAnsi"/>
          <w:sz w:val="24"/>
          <w:szCs w:val="24"/>
          <w:lang w:val="ro-RO"/>
        </w:rPr>
        <w:t xml:space="preserve"> versiunii actualizate </w:t>
      </w:r>
      <w:r w:rsidR="006E4771" w:rsidRPr="00E14C43">
        <w:rPr>
          <w:rFonts w:asciiTheme="majorHAnsi" w:hAnsiTheme="majorHAnsi" w:cstheme="majorHAnsi"/>
          <w:sz w:val="24"/>
          <w:szCs w:val="24"/>
          <w:lang w:val="ro-RO"/>
        </w:rPr>
        <w:t xml:space="preserve">a SI DMFAS 6.1. de gestionare a datoriei pentru validarea bazei de date. Conform contractului de procurare, semnat în anul 2015, </w:t>
      </w:r>
      <w:r w:rsidR="00EF3520" w:rsidRPr="00E14C43">
        <w:rPr>
          <w:rFonts w:asciiTheme="majorHAnsi" w:hAnsiTheme="majorHAnsi" w:cstheme="majorHAnsi"/>
          <w:sz w:val="24"/>
          <w:szCs w:val="24"/>
          <w:lang w:val="ro-RO"/>
        </w:rPr>
        <w:t>î</w:t>
      </w:r>
      <w:r w:rsidR="006E4771" w:rsidRPr="00E14C43">
        <w:rPr>
          <w:rFonts w:asciiTheme="majorHAnsi" w:hAnsiTheme="majorHAnsi" w:cstheme="majorHAnsi"/>
          <w:sz w:val="24"/>
          <w:szCs w:val="24"/>
          <w:lang w:val="ro-RO"/>
        </w:rPr>
        <w:t xml:space="preserve">ntre MF, BNM și UNCTAD, costul de achiziționare a Programului </w:t>
      </w:r>
      <w:r w:rsidR="00EF3520" w:rsidRPr="00E14C43">
        <w:rPr>
          <w:rFonts w:asciiTheme="majorHAnsi" w:hAnsiTheme="majorHAnsi" w:cstheme="majorHAnsi"/>
          <w:sz w:val="24"/>
          <w:szCs w:val="24"/>
          <w:lang w:val="ro-RO"/>
        </w:rPr>
        <w:t xml:space="preserve">nominalizat </w:t>
      </w:r>
      <w:r w:rsidR="006E4771" w:rsidRPr="00E14C43">
        <w:rPr>
          <w:rFonts w:asciiTheme="majorHAnsi" w:hAnsiTheme="majorHAnsi" w:cstheme="majorHAnsi"/>
          <w:sz w:val="24"/>
          <w:szCs w:val="24"/>
          <w:lang w:val="ro-RO"/>
        </w:rPr>
        <w:t xml:space="preserve">a constituit </w:t>
      </w:r>
      <w:r w:rsidR="003A4C5A" w:rsidRPr="00E14C43">
        <w:rPr>
          <w:rFonts w:asciiTheme="majorHAnsi" w:hAnsiTheme="majorHAnsi" w:cstheme="majorHAnsi"/>
          <w:sz w:val="24"/>
          <w:szCs w:val="24"/>
          <w:lang w:val="ro-RO"/>
        </w:rPr>
        <w:t xml:space="preserve">337,5 mii </w:t>
      </w:r>
      <w:proofErr w:type="spellStart"/>
      <w:r w:rsidR="003A4C5A" w:rsidRPr="00E14C43">
        <w:rPr>
          <w:rFonts w:asciiTheme="majorHAnsi" w:hAnsiTheme="majorHAnsi" w:cstheme="majorHAnsi"/>
          <w:sz w:val="24"/>
          <w:szCs w:val="24"/>
          <w:lang w:val="ro-RO"/>
        </w:rPr>
        <w:t>dol.SUA</w:t>
      </w:r>
      <w:proofErr w:type="spellEnd"/>
      <w:r w:rsidR="003A4C5A" w:rsidRPr="00E14C43">
        <w:rPr>
          <w:rFonts w:asciiTheme="majorHAnsi" w:hAnsiTheme="majorHAnsi" w:cstheme="majorHAnsi"/>
          <w:sz w:val="24"/>
          <w:szCs w:val="24"/>
          <w:lang w:val="ro-RO"/>
        </w:rPr>
        <w:t>. Totodată, MF</w:t>
      </w:r>
      <w:r w:rsidR="006E4771" w:rsidRPr="00E14C43">
        <w:rPr>
          <w:rFonts w:asciiTheme="majorHAnsi" w:hAnsiTheme="majorHAnsi" w:cstheme="majorHAnsi"/>
          <w:sz w:val="24"/>
          <w:szCs w:val="24"/>
          <w:lang w:val="ro-RO"/>
        </w:rPr>
        <w:t xml:space="preserve"> achită o taxă anuală pentru mentenanța sistemului în mărime de 15,0 mii </w:t>
      </w:r>
      <w:proofErr w:type="spellStart"/>
      <w:r w:rsidR="006E4771" w:rsidRPr="00E14C43">
        <w:rPr>
          <w:rFonts w:asciiTheme="majorHAnsi" w:hAnsiTheme="majorHAnsi" w:cstheme="majorHAnsi"/>
          <w:sz w:val="24"/>
          <w:szCs w:val="24"/>
          <w:lang w:val="ro-RO"/>
        </w:rPr>
        <w:t>dol.SUA</w:t>
      </w:r>
      <w:proofErr w:type="spellEnd"/>
      <w:r w:rsidR="003A4C5A" w:rsidRPr="00E14C43">
        <w:rPr>
          <w:rStyle w:val="ae"/>
          <w:rFonts w:asciiTheme="majorHAnsi" w:hAnsiTheme="majorHAnsi"/>
          <w:sz w:val="24"/>
          <w:szCs w:val="24"/>
          <w:lang w:val="ro-RO"/>
        </w:rPr>
        <w:footnoteReference w:id="39"/>
      </w:r>
      <w:r w:rsidR="00AA18B8" w:rsidRPr="00E14C43">
        <w:rPr>
          <w:rFonts w:asciiTheme="majorHAnsi" w:hAnsiTheme="majorHAnsi" w:cstheme="majorHAnsi"/>
          <w:sz w:val="24"/>
          <w:szCs w:val="24"/>
          <w:lang w:val="ro-RO"/>
        </w:rPr>
        <w:t xml:space="preserve"> (echivalentul a 259,5 mii MDL)</w:t>
      </w:r>
      <w:r w:rsidR="006E4771" w:rsidRPr="00E14C43">
        <w:rPr>
          <w:rFonts w:asciiTheme="majorHAnsi" w:hAnsiTheme="majorHAnsi" w:cstheme="majorHAnsi"/>
          <w:sz w:val="24"/>
          <w:szCs w:val="24"/>
          <w:lang w:val="ro-RO"/>
        </w:rPr>
        <w:t xml:space="preserve">. </w:t>
      </w:r>
    </w:p>
    <w:p w14:paraId="363A630A" w14:textId="0C2EE147" w:rsidR="00AA18B8" w:rsidRDefault="006E4771" w:rsidP="006E4771">
      <w:pPr>
        <w:shd w:val="clear" w:color="auto" w:fill="FFFFFF"/>
        <w:spacing w:after="0" w:line="276" w:lineRule="auto"/>
        <w:ind w:firstLine="720"/>
        <w:jc w:val="both"/>
        <w:rPr>
          <w:rFonts w:asciiTheme="majorHAnsi" w:hAnsiTheme="majorHAnsi" w:cstheme="majorHAnsi"/>
          <w:sz w:val="24"/>
          <w:szCs w:val="24"/>
          <w:lang w:val="ro-RO"/>
        </w:rPr>
      </w:pPr>
      <w:r w:rsidRPr="00E14C43">
        <w:rPr>
          <w:rFonts w:asciiTheme="majorHAnsi" w:hAnsiTheme="majorHAnsi" w:cstheme="majorHAnsi"/>
          <w:sz w:val="24"/>
          <w:szCs w:val="24"/>
          <w:lang w:val="ro-RO"/>
        </w:rPr>
        <w:t xml:space="preserve">Pentru deservirea </w:t>
      </w:r>
      <w:r w:rsidR="00EF3520" w:rsidRPr="00E14C43">
        <w:rPr>
          <w:rFonts w:asciiTheme="majorHAnsi" w:hAnsiTheme="majorHAnsi" w:cstheme="majorHAnsi"/>
          <w:sz w:val="24"/>
          <w:szCs w:val="24"/>
          <w:lang w:val="ro-RO"/>
        </w:rPr>
        <w:t xml:space="preserve">SI </w:t>
      </w:r>
      <w:r w:rsidRPr="00E14C43">
        <w:rPr>
          <w:rFonts w:asciiTheme="majorHAnsi" w:hAnsiTheme="majorHAnsi" w:cstheme="majorHAnsi"/>
          <w:sz w:val="24"/>
          <w:szCs w:val="24"/>
          <w:lang w:val="ro-RO"/>
        </w:rPr>
        <w:t xml:space="preserve">DMFAS </w:t>
      </w:r>
      <w:r w:rsidR="00AA18B8" w:rsidRPr="00E14C43">
        <w:rPr>
          <w:rFonts w:asciiTheme="majorHAnsi" w:hAnsiTheme="majorHAnsi" w:cstheme="majorHAnsi"/>
          <w:sz w:val="24"/>
          <w:szCs w:val="24"/>
          <w:lang w:val="ro-RO"/>
        </w:rPr>
        <w:t>6.1.</w:t>
      </w:r>
      <w:r w:rsidR="00EF3520" w:rsidRPr="00E14C43">
        <w:rPr>
          <w:rFonts w:asciiTheme="majorHAnsi" w:hAnsiTheme="majorHAnsi" w:cstheme="majorHAnsi"/>
          <w:sz w:val="24"/>
          <w:szCs w:val="24"/>
          <w:lang w:val="ro-RO"/>
        </w:rPr>
        <w:t>,</w:t>
      </w:r>
      <w:r w:rsidR="00AA18B8" w:rsidRPr="00E14C43">
        <w:rPr>
          <w:rFonts w:asciiTheme="majorHAnsi" w:hAnsiTheme="majorHAnsi" w:cstheme="majorHAnsi"/>
          <w:sz w:val="24"/>
          <w:szCs w:val="24"/>
          <w:lang w:val="ro-RO"/>
        </w:rPr>
        <w:t xml:space="preserve"> </w:t>
      </w:r>
      <w:r w:rsidRPr="00E14C43">
        <w:rPr>
          <w:rFonts w:asciiTheme="majorHAnsi" w:hAnsiTheme="majorHAnsi" w:cstheme="majorHAnsi"/>
          <w:sz w:val="24"/>
          <w:szCs w:val="24"/>
          <w:lang w:val="ro-RO"/>
        </w:rPr>
        <w:t>în anul 201</w:t>
      </w:r>
      <w:r w:rsidR="0012674D" w:rsidRPr="00E14C43">
        <w:rPr>
          <w:rFonts w:asciiTheme="majorHAnsi" w:hAnsiTheme="majorHAnsi" w:cstheme="majorHAnsi"/>
          <w:sz w:val="24"/>
          <w:szCs w:val="24"/>
          <w:lang w:val="ro-RO"/>
        </w:rPr>
        <w:t>8</w:t>
      </w:r>
      <w:r w:rsidR="00AA18B8" w:rsidRPr="00E14C43">
        <w:rPr>
          <w:rFonts w:asciiTheme="majorHAnsi" w:hAnsiTheme="majorHAnsi" w:cstheme="majorHAnsi"/>
          <w:sz w:val="24"/>
          <w:szCs w:val="24"/>
          <w:lang w:val="ro-RO"/>
        </w:rPr>
        <w:t xml:space="preserve"> a fost transferat</w:t>
      </w:r>
      <w:r w:rsidR="00972190" w:rsidRPr="00E14C43">
        <w:rPr>
          <w:rFonts w:asciiTheme="majorHAnsi" w:hAnsiTheme="majorHAnsi" w:cstheme="majorHAnsi"/>
          <w:sz w:val="24"/>
          <w:szCs w:val="24"/>
          <w:lang w:val="ro-RO"/>
        </w:rPr>
        <w:t>ă</w:t>
      </w:r>
      <w:r w:rsidR="00AA18B8" w:rsidRPr="00E14C43">
        <w:rPr>
          <w:rFonts w:asciiTheme="majorHAnsi" w:hAnsiTheme="majorHAnsi" w:cstheme="majorHAnsi"/>
          <w:sz w:val="24"/>
          <w:szCs w:val="24"/>
          <w:lang w:val="ro-RO"/>
        </w:rPr>
        <w:t xml:space="preserve"> </w:t>
      </w:r>
      <w:r w:rsidR="00232BCC">
        <w:rPr>
          <w:rFonts w:asciiTheme="majorHAnsi" w:hAnsiTheme="majorHAnsi" w:cstheme="majorHAnsi"/>
          <w:sz w:val="24"/>
          <w:szCs w:val="24"/>
          <w:lang w:val="ro-RO"/>
        </w:rPr>
        <w:t>Instituției P</w:t>
      </w:r>
      <w:r w:rsidR="00824256" w:rsidRPr="00E14C43">
        <w:rPr>
          <w:rFonts w:asciiTheme="majorHAnsi" w:hAnsiTheme="majorHAnsi" w:cstheme="majorHAnsi"/>
          <w:sz w:val="24"/>
          <w:szCs w:val="24"/>
          <w:lang w:val="ro-RO"/>
        </w:rPr>
        <w:t>ub</w:t>
      </w:r>
      <w:r w:rsidR="00824256">
        <w:rPr>
          <w:rFonts w:asciiTheme="majorHAnsi" w:hAnsiTheme="majorHAnsi" w:cstheme="majorHAnsi"/>
          <w:sz w:val="24"/>
          <w:szCs w:val="24"/>
          <w:lang w:val="ro-RO"/>
        </w:rPr>
        <w:t>lice</w:t>
      </w:r>
      <w:r w:rsidR="00AA18B8" w:rsidRPr="00AA18B8">
        <w:rPr>
          <w:rFonts w:asciiTheme="majorHAnsi" w:hAnsiTheme="majorHAnsi" w:cstheme="majorHAnsi"/>
          <w:sz w:val="24"/>
          <w:szCs w:val="24"/>
          <w:lang w:val="ro-RO"/>
        </w:rPr>
        <w:t xml:space="preserve"> „Centrul de Tehnologi</w:t>
      </w:r>
      <w:r w:rsidR="00AA18B8">
        <w:rPr>
          <w:rFonts w:asciiTheme="majorHAnsi" w:hAnsiTheme="majorHAnsi" w:cstheme="majorHAnsi"/>
          <w:sz w:val="24"/>
          <w:szCs w:val="24"/>
          <w:lang w:val="ro-RO"/>
        </w:rPr>
        <w:t>i</w:t>
      </w:r>
      <w:r w:rsidR="00AA18B8" w:rsidRPr="00AA18B8">
        <w:rPr>
          <w:rFonts w:asciiTheme="majorHAnsi" w:hAnsiTheme="majorHAnsi" w:cstheme="majorHAnsi"/>
          <w:sz w:val="24"/>
          <w:szCs w:val="24"/>
          <w:lang w:val="ro-RO"/>
        </w:rPr>
        <w:t xml:space="preserve"> Informaționale în Finanțe” </w:t>
      </w:r>
      <w:r w:rsidR="00972190">
        <w:rPr>
          <w:rFonts w:asciiTheme="majorHAnsi" w:hAnsiTheme="majorHAnsi" w:cstheme="majorHAnsi"/>
          <w:sz w:val="24"/>
          <w:szCs w:val="24"/>
          <w:lang w:val="ro-RO"/>
        </w:rPr>
        <w:t xml:space="preserve">suma de </w:t>
      </w:r>
      <w:r w:rsidR="00AA18B8" w:rsidRPr="00AA18B8">
        <w:rPr>
          <w:rFonts w:asciiTheme="majorHAnsi" w:hAnsiTheme="majorHAnsi" w:cstheme="majorHAnsi"/>
          <w:sz w:val="24"/>
          <w:szCs w:val="24"/>
          <w:lang w:val="ro-RO"/>
        </w:rPr>
        <w:t xml:space="preserve">213,6 mii </w:t>
      </w:r>
      <w:r w:rsidR="006E2EF6">
        <w:rPr>
          <w:rFonts w:asciiTheme="majorHAnsi" w:hAnsiTheme="majorHAnsi" w:cstheme="majorHAnsi"/>
          <w:sz w:val="24"/>
          <w:szCs w:val="24"/>
          <w:lang w:val="ro-RO"/>
        </w:rPr>
        <w:t>MDL</w:t>
      </w:r>
      <w:r w:rsidR="00AA18B8" w:rsidRPr="00AA18B8">
        <w:rPr>
          <w:rFonts w:asciiTheme="majorHAnsi" w:hAnsiTheme="majorHAnsi" w:cstheme="majorHAnsi"/>
          <w:sz w:val="24"/>
          <w:szCs w:val="24"/>
          <w:lang w:val="ro-RO"/>
        </w:rPr>
        <w:t>.</w:t>
      </w:r>
    </w:p>
    <w:p w14:paraId="78F6495A" w14:textId="013A9D9A" w:rsidR="0012674D" w:rsidRPr="008E6807" w:rsidRDefault="004608A0" w:rsidP="006E4771">
      <w:pPr>
        <w:shd w:val="clear" w:color="auto" w:fill="FFFFFF"/>
        <w:spacing w:after="0" w:line="276" w:lineRule="auto"/>
        <w:ind w:firstLine="720"/>
        <w:jc w:val="both"/>
        <w:rPr>
          <w:rFonts w:asciiTheme="majorHAnsi" w:hAnsiTheme="majorHAnsi"/>
          <w:sz w:val="24"/>
          <w:lang w:val="ro-RO"/>
        </w:rPr>
      </w:pPr>
      <w:r w:rsidRPr="0025648E">
        <w:rPr>
          <w:rFonts w:asciiTheme="majorHAnsi" w:hAnsiTheme="majorHAnsi" w:cstheme="majorHAnsi"/>
          <w:sz w:val="24"/>
          <w:szCs w:val="24"/>
          <w:lang w:val="ro-RO"/>
        </w:rPr>
        <w:t>În anul 2018 a fost lansat în producție SI „</w:t>
      </w:r>
      <w:proofErr w:type="spellStart"/>
      <w:r w:rsidRPr="0025648E">
        <w:rPr>
          <w:rFonts w:asciiTheme="majorHAnsi" w:hAnsiTheme="majorHAnsi" w:cstheme="majorHAnsi"/>
          <w:sz w:val="24"/>
          <w:szCs w:val="24"/>
          <w:lang w:val="ro-RO"/>
        </w:rPr>
        <w:t>Bloomberg</w:t>
      </w:r>
      <w:proofErr w:type="spellEnd"/>
      <w:r w:rsidRPr="0025648E">
        <w:rPr>
          <w:rFonts w:asciiTheme="majorHAnsi" w:hAnsiTheme="majorHAnsi" w:cstheme="majorHAnsi"/>
          <w:sz w:val="24"/>
          <w:szCs w:val="24"/>
          <w:lang w:val="ro-RO"/>
        </w:rPr>
        <w:t xml:space="preserve"> Professional Service”, </w:t>
      </w:r>
      <w:r w:rsidR="007A3F40" w:rsidRPr="0025648E">
        <w:rPr>
          <w:rFonts w:asciiTheme="majorHAnsi" w:hAnsiTheme="majorHAnsi" w:cstheme="majorHAnsi"/>
          <w:sz w:val="24"/>
          <w:szCs w:val="24"/>
          <w:lang w:val="ro-RO"/>
        </w:rPr>
        <w:t>cu ajutorul</w:t>
      </w:r>
      <w:r w:rsidRPr="0025648E">
        <w:rPr>
          <w:rFonts w:asciiTheme="majorHAnsi" w:hAnsiTheme="majorHAnsi" w:cstheme="majorHAnsi"/>
          <w:sz w:val="24"/>
          <w:szCs w:val="24"/>
          <w:lang w:val="ro-RO"/>
        </w:rPr>
        <w:t xml:space="preserve"> căruia </w:t>
      </w:r>
      <w:r w:rsidR="007A3F40" w:rsidRPr="0025648E">
        <w:rPr>
          <w:rFonts w:asciiTheme="majorHAnsi" w:hAnsiTheme="majorHAnsi" w:cstheme="majorHAnsi"/>
          <w:sz w:val="24"/>
          <w:szCs w:val="24"/>
          <w:lang w:val="ro-RO"/>
        </w:rPr>
        <w:t xml:space="preserve">se </w:t>
      </w:r>
      <w:r w:rsidRPr="008E6807">
        <w:rPr>
          <w:rFonts w:asciiTheme="majorHAnsi" w:hAnsiTheme="majorHAnsi"/>
          <w:sz w:val="24"/>
          <w:lang w:val="ro-RO"/>
        </w:rPr>
        <w:t>m</w:t>
      </w:r>
      <w:r w:rsidR="007A3F40" w:rsidRPr="008E6807">
        <w:rPr>
          <w:rFonts w:asciiTheme="majorHAnsi" w:hAnsiTheme="majorHAnsi"/>
          <w:sz w:val="24"/>
          <w:lang w:val="ro-RO"/>
        </w:rPr>
        <w:t>onitorizează îndeplinirea</w:t>
      </w:r>
      <w:r w:rsidRPr="008E6807">
        <w:rPr>
          <w:rFonts w:asciiTheme="majorHAnsi" w:hAnsiTheme="majorHAnsi"/>
          <w:sz w:val="24"/>
          <w:lang w:val="ro-RO"/>
        </w:rPr>
        <w:t xml:space="preserve"> de către dealerii primari a obligațiilor minime de</w:t>
      </w:r>
      <w:r w:rsidR="007A3F40" w:rsidRPr="008E6807">
        <w:rPr>
          <w:rFonts w:asciiTheme="majorHAnsi" w:hAnsiTheme="majorHAnsi"/>
          <w:sz w:val="24"/>
          <w:lang w:val="ro-RO"/>
        </w:rPr>
        <w:t xml:space="preserve"> cotare zilnică a VMS, evoluția</w:t>
      </w:r>
      <w:r w:rsidRPr="008E6807">
        <w:rPr>
          <w:rFonts w:asciiTheme="majorHAnsi" w:hAnsiTheme="majorHAnsi"/>
          <w:sz w:val="24"/>
          <w:lang w:val="ro-RO"/>
        </w:rPr>
        <w:t xml:space="preserve"> ratelor de dobândă pe piața secundară și </w:t>
      </w:r>
      <w:r w:rsidR="00972190">
        <w:rPr>
          <w:rFonts w:asciiTheme="majorHAnsi" w:hAnsiTheme="majorHAnsi"/>
          <w:sz w:val="24"/>
          <w:lang w:val="ro-RO"/>
        </w:rPr>
        <w:t xml:space="preserve">a </w:t>
      </w:r>
      <w:r w:rsidRPr="008E6807">
        <w:rPr>
          <w:rFonts w:asciiTheme="majorHAnsi" w:hAnsiTheme="majorHAnsi"/>
          <w:sz w:val="24"/>
          <w:lang w:val="ro-RO"/>
        </w:rPr>
        <w:t>volumului tranzacțio</w:t>
      </w:r>
      <w:r w:rsidR="007A3F40" w:rsidRPr="008E6807">
        <w:rPr>
          <w:rFonts w:asciiTheme="majorHAnsi" w:hAnsiTheme="majorHAnsi"/>
          <w:sz w:val="24"/>
          <w:lang w:val="ro-RO"/>
        </w:rPr>
        <w:t>nat pe piața secundară a VMS</w:t>
      </w:r>
      <w:r w:rsidR="00972190">
        <w:rPr>
          <w:rFonts w:asciiTheme="majorHAnsi" w:hAnsiTheme="majorHAnsi"/>
          <w:sz w:val="24"/>
          <w:lang w:val="ro-RO"/>
        </w:rPr>
        <w:t>,</w:t>
      </w:r>
      <w:r w:rsidR="007A3F40" w:rsidRPr="008E6807">
        <w:rPr>
          <w:rFonts w:asciiTheme="majorHAnsi" w:hAnsiTheme="majorHAnsi"/>
          <w:sz w:val="24"/>
          <w:lang w:val="ro-RO"/>
        </w:rPr>
        <w:t xml:space="preserve"> rezultatele</w:t>
      </w:r>
      <w:r w:rsidRPr="008E6807">
        <w:rPr>
          <w:rFonts w:asciiTheme="majorHAnsi" w:hAnsiTheme="majorHAnsi"/>
          <w:sz w:val="24"/>
          <w:lang w:val="ro-RO"/>
        </w:rPr>
        <w:t xml:space="preserve"> licitațiilor VMS pe piața primară, precum și accesarea în timp real a unor date, analize, știri de pe piața financiară din întreaga lume</w:t>
      </w:r>
      <w:r w:rsidR="00972190">
        <w:rPr>
          <w:rFonts w:asciiTheme="majorHAnsi" w:hAnsiTheme="majorHAnsi"/>
          <w:sz w:val="24"/>
          <w:lang w:val="ro-RO"/>
        </w:rPr>
        <w:t>,</w:t>
      </w:r>
      <w:r w:rsidRPr="008E6807">
        <w:rPr>
          <w:rFonts w:asciiTheme="majorHAnsi" w:hAnsiTheme="majorHAnsi"/>
          <w:sz w:val="24"/>
          <w:lang w:val="ro-RO"/>
        </w:rPr>
        <w:t xml:space="preserve"> necesare în </w:t>
      </w:r>
      <w:r w:rsidRPr="00EB1B5D">
        <w:rPr>
          <w:rFonts w:asciiTheme="majorHAnsi" w:hAnsiTheme="majorHAnsi"/>
          <w:sz w:val="24"/>
          <w:lang w:val="ro-RO"/>
        </w:rPr>
        <w:t>procesul de gestionare a datoriei de stat.</w:t>
      </w:r>
      <w:r w:rsidR="007A3F40" w:rsidRPr="00EB1B5D">
        <w:rPr>
          <w:rFonts w:asciiTheme="majorHAnsi" w:hAnsiTheme="majorHAnsi"/>
          <w:sz w:val="24"/>
          <w:lang w:val="ro-RO"/>
        </w:rPr>
        <w:t xml:space="preserve"> Costul mentenanței acestui sistem informațional în anul 2018 a constituit 2</w:t>
      </w:r>
      <w:r w:rsidR="0059777E">
        <w:rPr>
          <w:rFonts w:asciiTheme="majorHAnsi" w:hAnsiTheme="majorHAnsi" w:cstheme="majorHAnsi"/>
          <w:sz w:val="24"/>
          <w:szCs w:val="24"/>
          <w:lang w:val="ro-RO"/>
        </w:rPr>
        <w:t>5</w:t>
      </w:r>
      <w:r w:rsidR="007A3F40" w:rsidRPr="00EB1B5D">
        <w:rPr>
          <w:rFonts w:asciiTheme="majorHAnsi" w:hAnsiTheme="majorHAnsi"/>
          <w:sz w:val="24"/>
          <w:lang w:val="ro-RO"/>
        </w:rPr>
        <w:t xml:space="preserve">,7 </w:t>
      </w:r>
      <w:r w:rsidR="007A3F40" w:rsidRPr="008E6807">
        <w:rPr>
          <w:rFonts w:asciiTheme="majorHAnsi" w:hAnsiTheme="majorHAnsi"/>
          <w:sz w:val="24"/>
          <w:lang w:val="ro-RO"/>
        </w:rPr>
        <w:t xml:space="preserve">mii </w:t>
      </w:r>
      <w:proofErr w:type="spellStart"/>
      <w:r w:rsidR="007A3F40" w:rsidRPr="008E6807">
        <w:rPr>
          <w:rFonts w:asciiTheme="majorHAnsi" w:hAnsiTheme="majorHAnsi"/>
          <w:sz w:val="24"/>
          <w:lang w:val="ro-RO"/>
        </w:rPr>
        <w:t>dol.SUA</w:t>
      </w:r>
      <w:proofErr w:type="spellEnd"/>
      <w:r w:rsidR="007A3F40" w:rsidRPr="008E6807">
        <w:rPr>
          <w:rFonts w:asciiTheme="majorHAnsi" w:hAnsiTheme="majorHAnsi"/>
          <w:sz w:val="24"/>
          <w:lang w:val="ro-RO"/>
        </w:rPr>
        <w:t>.</w:t>
      </w:r>
    </w:p>
    <w:p w14:paraId="1B68EFEB" w14:textId="77777777" w:rsidR="007A3F40" w:rsidRPr="008E6807" w:rsidRDefault="007A3F40" w:rsidP="006E4771">
      <w:pPr>
        <w:shd w:val="clear" w:color="auto" w:fill="FFFFFF"/>
        <w:spacing w:after="0" w:line="276" w:lineRule="auto"/>
        <w:ind w:firstLine="720"/>
        <w:jc w:val="both"/>
        <w:rPr>
          <w:rFonts w:asciiTheme="majorHAnsi" w:hAnsiTheme="majorHAnsi"/>
          <w:sz w:val="24"/>
          <w:lang w:val="ro-RO"/>
        </w:rPr>
      </w:pPr>
    </w:p>
    <w:p w14:paraId="23C8C557" w14:textId="40BCDEF5" w:rsidR="006E4771" w:rsidRPr="004D36C7" w:rsidRDefault="009F53EF" w:rsidP="005D2329">
      <w:pPr>
        <w:pStyle w:val="2"/>
        <w:spacing w:after="240"/>
        <w:ind w:firstLine="567"/>
        <w:rPr>
          <w:rFonts w:asciiTheme="majorHAnsi" w:hAnsiTheme="majorHAnsi" w:cstheme="majorHAnsi"/>
          <w:b/>
          <w:color w:val="auto"/>
          <w:sz w:val="24"/>
          <w:szCs w:val="24"/>
          <w:lang w:val="ro-RO"/>
        </w:rPr>
      </w:pPr>
      <w:bookmarkStart w:id="62" w:name="_Toc515442981"/>
      <w:bookmarkStart w:id="63" w:name="_Toc10106700"/>
      <w:r w:rsidRPr="004D36C7">
        <w:rPr>
          <w:rStyle w:val="20"/>
          <w:rFonts w:asciiTheme="majorHAnsi" w:hAnsiTheme="majorHAnsi" w:cstheme="majorHAnsi"/>
          <w:b/>
          <w:color w:val="auto"/>
          <w:sz w:val="24"/>
          <w:szCs w:val="24"/>
          <w:lang w:val="ro-RO"/>
        </w:rPr>
        <w:t>3.5.</w:t>
      </w:r>
      <w:r w:rsidR="006E4771" w:rsidRPr="004D36C7">
        <w:rPr>
          <w:rStyle w:val="20"/>
          <w:rFonts w:asciiTheme="majorHAnsi" w:hAnsiTheme="majorHAnsi" w:cstheme="majorHAnsi"/>
          <w:b/>
          <w:color w:val="auto"/>
          <w:sz w:val="24"/>
          <w:szCs w:val="24"/>
          <w:lang w:val="ro-RO"/>
        </w:rPr>
        <w:t xml:space="preserve"> Măsurile întreprinse în vederea </w:t>
      </w:r>
      <w:r w:rsidR="00972190" w:rsidRPr="00B01D00">
        <w:rPr>
          <w:rFonts w:asciiTheme="majorHAnsi" w:hAnsiTheme="majorHAnsi" w:cstheme="majorHAnsi"/>
          <w:b/>
          <w:color w:val="auto"/>
          <w:sz w:val="24"/>
          <w:szCs w:val="24"/>
          <w:lang w:val="ro-RO"/>
        </w:rPr>
        <w:t>implemen</w:t>
      </w:r>
      <w:r w:rsidR="006E4771" w:rsidRPr="00B01D00">
        <w:rPr>
          <w:rFonts w:asciiTheme="majorHAnsi" w:hAnsiTheme="majorHAnsi" w:cstheme="majorHAnsi"/>
          <w:b/>
          <w:color w:val="auto"/>
          <w:sz w:val="24"/>
          <w:szCs w:val="24"/>
          <w:lang w:val="ro-RO"/>
        </w:rPr>
        <w:t>tării</w:t>
      </w:r>
      <w:r w:rsidR="006E4771" w:rsidRPr="004D36C7">
        <w:rPr>
          <w:rFonts w:asciiTheme="majorHAnsi" w:hAnsiTheme="majorHAnsi" w:cstheme="majorHAnsi"/>
          <w:b/>
          <w:color w:val="auto"/>
          <w:sz w:val="24"/>
          <w:szCs w:val="24"/>
          <w:lang w:val="ro-RO"/>
        </w:rPr>
        <w:t xml:space="preserve"> recomandărilor precedente a</w:t>
      </w:r>
      <w:r w:rsidR="00022168" w:rsidRPr="004D36C7">
        <w:rPr>
          <w:rFonts w:asciiTheme="majorHAnsi" w:hAnsiTheme="majorHAnsi" w:cstheme="majorHAnsi"/>
          <w:b/>
          <w:color w:val="auto"/>
          <w:sz w:val="24"/>
          <w:szCs w:val="24"/>
          <w:lang w:val="ro-RO"/>
        </w:rPr>
        <w:t xml:space="preserve">le </w:t>
      </w:r>
      <w:r w:rsidR="006E4771" w:rsidRPr="004D36C7">
        <w:rPr>
          <w:rFonts w:asciiTheme="majorHAnsi" w:hAnsiTheme="majorHAnsi" w:cstheme="majorHAnsi"/>
          <w:b/>
          <w:color w:val="auto"/>
          <w:sz w:val="24"/>
          <w:szCs w:val="24"/>
          <w:lang w:val="ro-RO"/>
        </w:rPr>
        <w:t xml:space="preserve"> Curții de Conturi.</w:t>
      </w:r>
      <w:bookmarkStart w:id="64" w:name="_Toc484003920"/>
      <w:bookmarkEnd w:id="62"/>
      <w:bookmarkEnd w:id="63"/>
    </w:p>
    <w:p w14:paraId="68477292" w14:textId="3DE437ED" w:rsidR="004F6089" w:rsidRPr="007A6103" w:rsidRDefault="00327790" w:rsidP="009E6347">
      <w:pPr>
        <w:tabs>
          <w:tab w:val="left" w:pos="720"/>
        </w:tabs>
        <w:spacing w:after="0" w:line="276" w:lineRule="auto"/>
        <w:jc w:val="both"/>
        <w:rPr>
          <w:rFonts w:asciiTheme="majorHAnsi" w:hAnsiTheme="majorHAnsi" w:cstheme="majorHAnsi"/>
          <w:sz w:val="24"/>
          <w:szCs w:val="24"/>
          <w:lang w:val="ro-RO"/>
        </w:rPr>
      </w:pPr>
      <w:r w:rsidRPr="008E6807">
        <w:rPr>
          <w:rFonts w:asciiTheme="majorHAnsi" w:hAnsiTheme="majorHAnsi"/>
          <w:sz w:val="24"/>
          <w:lang w:val="ro-RO"/>
        </w:rPr>
        <w:tab/>
      </w:r>
      <w:r w:rsidRPr="008E6807">
        <w:rPr>
          <w:rFonts w:asciiTheme="majorHAnsi" w:hAnsiTheme="majorHAnsi"/>
          <w:sz w:val="24"/>
          <w:lang w:val="ro-MD"/>
        </w:rPr>
        <w:t xml:space="preserve">Evaluările </w:t>
      </w:r>
      <w:r w:rsidR="00022168" w:rsidRPr="008E6807">
        <w:rPr>
          <w:rFonts w:asciiTheme="majorHAnsi" w:hAnsiTheme="majorHAnsi"/>
          <w:sz w:val="24"/>
          <w:lang w:val="ro-MD"/>
        </w:rPr>
        <w:t xml:space="preserve">efectuate de </w:t>
      </w:r>
      <w:r w:rsidRPr="008E6807">
        <w:rPr>
          <w:rFonts w:asciiTheme="majorHAnsi" w:hAnsiTheme="majorHAnsi"/>
          <w:sz w:val="24"/>
          <w:lang w:val="ro-MD"/>
        </w:rPr>
        <w:t xml:space="preserve">audit referitor la implementarea recomandărilor </w:t>
      </w:r>
      <w:r w:rsidR="00AF19A0" w:rsidRPr="008E6807">
        <w:rPr>
          <w:rFonts w:asciiTheme="majorHAnsi" w:hAnsiTheme="majorHAnsi"/>
          <w:sz w:val="24"/>
          <w:lang w:val="ro-MD"/>
        </w:rPr>
        <w:t xml:space="preserve">înaintate prin </w:t>
      </w:r>
      <w:r w:rsidRPr="008E6807">
        <w:rPr>
          <w:rFonts w:asciiTheme="majorHAnsi" w:hAnsiTheme="majorHAnsi"/>
          <w:sz w:val="24"/>
          <w:lang w:val="ro-MD"/>
        </w:rPr>
        <w:t xml:space="preserve">Hotărârea Curții de Conturi </w:t>
      </w:r>
      <w:r w:rsidR="00AF19A0" w:rsidRPr="008E6807">
        <w:rPr>
          <w:rFonts w:asciiTheme="majorHAnsi" w:hAnsiTheme="majorHAnsi"/>
          <w:sz w:val="24"/>
          <w:lang w:val="ro-MD"/>
        </w:rPr>
        <w:t>nr.25 din 28.05.2018</w:t>
      </w:r>
      <w:r w:rsidR="00022168" w:rsidRPr="008E6807">
        <w:rPr>
          <w:rFonts w:asciiTheme="majorHAnsi" w:hAnsiTheme="majorHAnsi"/>
          <w:sz w:val="24"/>
          <w:lang w:val="ro-MD"/>
        </w:rPr>
        <w:t xml:space="preserve"> </w:t>
      </w:r>
      <w:r w:rsidR="006C0B2C" w:rsidRPr="008E6807">
        <w:rPr>
          <w:rFonts w:asciiTheme="majorHAnsi" w:hAnsiTheme="majorHAnsi"/>
          <w:sz w:val="24"/>
          <w:lang w:val="ro-MD"/>
        </w:rPr>
        <w:t xml:space="preserve">privind Raportul auditului performanței managementului datoriei sectorului public </w:t>
      </w:r>
      <w:r w:rsidR="00022168" w:rsidRPr="007A6103">
        <w:rPr>
          <w:rFonts w:asciiTheme="majorHAnsi" w:hAnsiTheme="majorHAnsi" w:cstheme="majorHAnsi"/>
          <w:sz w:val="24"/>
          <w:szCs w:val="24"/>
          <w:lang w:val="ro-RO"/>
        </w:rPr>
        <w:t>indică</w:t>
      </w:r>
      <w:r w:rsidRPr="007A6103">
        <w:rPr>
          <w:rFonts w:asciiTheme="majorHAnsi" w:hAnsiTheme="majorHAnsi" w:cstheme="majorHAnsi"/>
          <w:sz w:val="24"/>
          <w:szCs w:val="24"/>
          <w:lang w:val="ro-RO"/>
        </w:rPr>
        <w:t xml:space="preserve"> următoarele</w:t>
      </w:r>
      <w:r w:rsidR="006E4771" w:rsidRPr="007A6103">
        <w:rPr>
          <w:rFonts w:asciiTheme="majorHAnsi" w:hAnsiTheme="majorHAnsi" w:cstheme="majorHAnsi"/>
          <w:sz w:val="24"/>
          <w:szCs w:val="24"/>
          <w:lang w:val="ro-RO"/>
        </w:rPr>
        <w:t>.</w:t>
      </w:r>
      <w:r w:rsidR="00404730" w:rsidRPr="007A6103">
        <w:rPr>
          <w:rFonts w:asciiTheme="majorHAnsi" w:hAnsiTheme="majorHAnsi" w:cstheme="majorHAnsi"/>
          <w:sz w:val="24"/>
          <w:szCs w:val="24"/>
          <w:lang w:val="ro-RO"/>
        </w:rPr>
        <w:t xml:space="preserve"> </w:t>
      </w:r>
    </w:p>
    <w:p w14:paraId="18032E52" w14:textId="4DE8158F" w:rsidR="006E4771" w:rsidRPr="007A6103" w:rsidRDefault="004F6089" w:rsidP="009E6347">
      <w:pPr>
        <w:tabs>
          <w:tab w:val="left" w:pos="720"/>
        </w:tabs>
        <w:spacing w:after="0" w:line="276" w:lineRule="auto"/>
        <w:jc w:val="both"/>
        <w:rPr>
          <w:rFonts w:asciiTheme="majorHAnsi" w:hAnsiTheme="majorHAnsi" w:cstheme="majorHAnsi"/>
          <w:sz w:val="24"/>
          <w:szCs w:val="24"/>
          <w:lang w:val="ro-RO"/>
        </w:rPr>
      </w:pPr>
      <w:r w:rsidRPr="007A6103">
        <w:rPr>
          <w:rFonts w:asciiTheme="majorHAnsi" w:hAnsiTheme="majorHAnsi" w:cstheme="majorHAnsi"/>
          <w:sz w:val="24"/>
          <w:szCs w:val="24"/>
          <w:lang w:val="ro-RO"/>
        </w:rPr>
        <w:tab/>
      </w:r>
      <w:r w:rsidR="004241FE">
        <w:rPr>
          <w:rFonts w:asciiTheme="majorHAnsi" w:hAnsiTheme="majorHAnsi" w:cstheme="majorHAnsi"/>
          <w:sz w:val="24"/>
          <w:szCs w:val="24"/>
          <w:lang w:val="ro-RO"/>
        </w:rPr>
        <w:t>Deși</w:t>
      </w:r>
      <w:r w:rsidR="007A12FA" w:rsidRPr="007A6103">
        <w:rPr>
          <w:rFonts w:asciiTheme="majorHAnsi" w:hAnsiTheme="majorHAnsi" w:cstheme="majorHAnsi"/>
          <w:sz w:val="24"/>
          <w:szCs w:val="24"/>
          <w:lang w:val="ro-RO"/>
        </w:rPr>
        <w:t xml:space="preserve"> recomandări</w:t>
      </w:r>
      <w:r w:rsidR="00C36DA8">
        <w:rPr>
          <w:rFonts w:asciiTheme="majorHAnsi" w:hAnsiTheme="majorHAnsi" w:cstheme="majorHAnsi"/>
          <w:sz w:val="24"/>
          <w:szCs w:val="24"/>
          <w:lang w:val="ro-RO"/>
        </w:rPr>
        <w:t>le</w:t>
      </w:r>
      <w:r w:rsidR="00404730" w:rsidRPr="007A6103">
        <w:rPr>
          <w:rFonts w:asciiTheme="majorHAnsi" w:hAnsiTheme="majorHAnsi" w:cstheme="majorHAnsi"/>
          <w:sz w:val="24"/>
          <w:szCs w:val="24"/>
          <w:lang w:val="ro-RO"/>
        </w:rPr>
        <w:t xml:space="preserve"> înaintate în</w:t>
      </w:r>
      <w:r w:rsidR="007A12FA" w:rsidRPr="007A6103">
        <w:rPr>
          <w:rFonts w:asciiTheme="majorHAnsi" w:hAnsiTheme="majorHAnsi" w:cstheme="majorHAnsi"/>
          <w:sz w:val="24"/>
          <w:szCs w:val="24"/>
          <w:lang w:val="ro-RO"/>
        </w:rPr>
        <w:t xml:space="preserve"> subpunctul 2.1. din</w:t>
      </w:r>
      <w:r w:rsidR="00404730" w:rsidRPr="007A6103">
        <w:rPr>
          <w:rFonts w:asciiTheme="majorHAnsi" w:hAnsiTheme="majorHAnsi" w:cstheme="majorHAnsi"/>
          <w:sz w:val="24"/>
          <w:szCs w:val="24"/>
          <w:lang w:val="ro-RO"/>
        </w:rPr>
        <w:t xml:space="preserve"> </w:t>
      </w:r>
      <w:r w:rsidR="00E53303" w:rsidRPr="007A6103">
        <w:rPr>
          <w:rFonts w:asciiTheme="majorHAnsi" w:hAnsiTheme="majorHAnsi" w:cstheme="majorHAnsi"/>
          <w:sz w:val="24"/>
          <w:szCs w:val="24"/>
          <w:lang w:val="ro-RO"/>
        </w:rPr>
        <w:t xml:space="preserve">Hotărârea Curții de Conturi </w:t>
      </w:r>
      <w:r w:rsidR="007A12FA" w:rsidRPr="007A6103">
        <w:rPr>
          <w:rFonts w:asciiTheme="majorHAnsi" w:hAnsiTheme="majorHAnsi" w:cstheme="majorHAnsi"/>
          <w:sz w:val="24"/>
          <w:szCs w:val="24"/>
          <w:lang w:val="ro-RO"/>
        </w:rPr>
        <w:t>menționată</w:t>
      </w:r>
      <w:r w:rsidR="00287D59" w:rsidRPr="007A6103">
        <w:rPr>
          <w:rFonts w:asciiTheme="majorHAnsi" w:hAnsiTheme="majorHAnsi" w:cstheme="majorHAnsi"/>
          <w:sz w:val="24"/>
          <w:szCs w:val="24"/>
          <w:lang w:val="ro-RO"/>
        </w:rPr>
        <w:t xml:space="preserve"> </w:t>
      </w:r>
      <w:r w:rsidR="007A12FA" w:rsidRPr="007A6103">
        <w:rPr>
          <w:rFonts w:asciiTheme="majorHAnsi" w:hAnsiTheme="majorHAnsi" w:cstheme="majorHAnsi"/>
          <w:sz w:val="24"/>
          <w:szCs w:val="24"/>
          <w:lang w:val="ro-RO"/>
        </w:rPr>
        <w:t xml:space="preserve"> au fost </w:t>
      </w:r>
      <w:r w:rsidR="00972190">
        <w:rPr>
          <w:rFonts w:asciiTheme="majorHAnsi" w:hAnsiTheme="majorHAnsi" w:cstheme="majorHAnsi"/>
          <w:sz w:val="24"/>
          <w:szCs w:val="24"/>
          <w:lang w:val="ro-RO"/>
        </w:rPr>
        <w:t>implementate</w:t>
      </w:r>
      <w:r w:rsidR="007A12FA" w:rsidRPr="007A6103">
        <w:rPr>
          <w:rFonts w:asciiTheme="majorHAnsi" w:hAnsiTheme="majorHAnsi" w:cstheme="majorHAnsi"/>
          <w:sz w:val="24"/>
          <w:szCs w:val="24"/>
          <w:lang w:val="ro-RO"/>
        </w:rPr>
        <w:t>,</w:t>
      </w:r>
      <w:r w:rsidR="00C36DA8">
        <w:rPr>
          <w:rFonts w:asciiTheme="majorHAnsi" w:hAnsiTheme="majorHAnsi" w:cstheme="majorHAnsi"/>
          <w:sz w:val="24"/>
          <w:szCs w:val="24"/>
          <w:lang w:val="ro-RO"/>
        </w:rPr>
        <w:t xml:space="preserve"> </w:t>
      </w:r>
      <w:r w:rsidR="00972190">
        <w:rPr>
          <w:rFonts w:asciiTheme="majorHAnsi" w:hAnsiTheme="majorHAnsi" w:cstheme="majorHAnsi"/>
          <w:sz w:val="24"/>
          <w:szCs w:val="24"/>
          <w:lang w:val="ro-RO"/>
        </w:rPr>
        <w:t>este</w:t>
      </w:r>
      <w:r w:rsidR="00C36DA8">
        <w:rPr>
          <w:rFonts w:asciiTheme="majorHAnsi" w:hAnsiTheme="majorHAnsi" w:cstheme="majorHAnsi"/>
          <w:sz w:val="24"/>
          <w:szCs w:val="24"/>
          <w:lang w:val="ro-RO"/>
        </w:rPr>
        <w:t xml:space="preserve"> neces</w:t>
      </w:r>
      <w:r w:rsidR="00972190">
        <w:rPr>
          <w:rFonts w:asciiTheme="majorHAnsi" w:hAnsiTheme="majorHAnsi" w:cstheme="majorHAnsi"/>
          <w:sz w:val="24"/>
          <w:szCs w:val="24"/>
          <w:lang w:val="ro-RO"/>
        </w:rPr>
        <w:t>ar</w:t>
      </w:r>
      <w:r w:rsidR="00C36DA8">
        <w:rPr>
          <w:rFonts w:asciiTheme="majorHAnsi" w:hAnsiTheme="majorHAnsi" w:cstheme="majorHAnsi"/>
          <w:sz w:val="24"/>
          <w:szCs w:val="24"/>
          <w:lang w:val="ro-RO"/>
        </w:rPr>
        <w:t xml:space="preserve">ă reiterarea recomandării privind întreprinderea măsurilor în </w:t>
      </w:r>
      <w:r w:rsidR="00C36DA8">
        <w:rPr>
          <w:rFonts w:asciiTheme="majorHAnsi" w:hAnsiTheme="majorHAnsi" w:cstheme="majorHAnsi"/>
          <w:sz w:val="24"/>
          <w:szCs w:val="24"/>
          <w:lang w:val="ro-RO"/>
        </w:rPr>
        <w:lastRenderedPageBreak/>
        <w:t xml:space="preserve">vederea </w:t>
      </w:r>
      <w:r w:rsidR="00260243">
        <w:rPr>
          <w:rFonts w:asciiTheme="majorHAnsi" w:hAnsiTheme="majorHAnsi" w:cstheme="majorHAnsi"/>
          <w:sz w:val="24"/>
          <w:szCs w:val="24"/>
          <w:lang w:val="ro-RO"/>
        </w:rPr>
        <w:t xml:space="preserve">recuperării la bugetul de stat </w:t>
      </w:r>
      <w:r w:rsidR="004241FE">
        <w:rPr>
          <w:rFonts w:asciiTheme="majorHAnsi" w:hAnsiTheme="majorHAnsi" w:cstheme="majorHAnsi"/>
          <w:sz w:val="24"/>
          <w:szCs w:val="24"/>
          <w:lang w:val="ro-RO"/>
        </w:rPr>
        <w:t>a datoriilor cu termen</w:t>
      </w:r>
      <w:r w:rsidR="00972190">
        <w:rPr>
          <w:rFonts w:asciiTheme="majorHAnsi" w:hAnsiTheme="majorHAnsi" w:cstheme="majorHAnsi"/>
          <w:sz w:val="24"/>
          <w:szCs w:val="24"/>
          <w:lang w:val="ro-RO"/>
        </w:rPr>
        <w:t xml:space="preserve">ul </w:t>
      </w:r>
      <w:r w:rsidR="004241FE">
        <w:rPr>
          <w:rFonts w:asciiTheme="majorHAnsi" w:hAnsiTheme="majorHAnsi" w:cstheme="majorHAnsi"/>
          <w:sz w:val="24"/>
          <w:szCs w:val="24"/>
          <w:lang w:val="ro-RO"/>
        </w:rPr>
        <w:t xml:space="preserve">de achitare expirat de la beneficiarii </w:t>
      </w:r>
      <w:proofErr w:type="spellStart"/>
      <w:r w:rsidR="004241FE">
        <w:rPr>
          <w:rFonts w:asciiTheme="majorHAnsi" w:hAnsiTheme="majorHAnsi" w:cstheme="majorHAnsi"/>
          <w:sz w:val="24"/>
          <w:szCs w:val="24"/>
          <w:lang w:val="ro-RO"/>
        </w:rPr>
        <w:t>recreditați</w:t>
      </w:r>
      <w:proofErr w:type="spellEnd"/>
      <w:r w:rsidR="004241FE">
        <w:rPr>
          <w:rFonts w:asciiTheme="majorHAnsi" w:hAnsiTheme="majorHAnsi" w:cstheme="majorHAnsi"/>
          <w:sz w:val="24"/>
          <w:szCs w:val="24"/>
          <w:lang w:val="ro-RO"/>
        </w:rPr>
        <w:t xml:space="preserve"> și beneficiarii garanțiilor de stat. </w:t>
      </w:r>
      <w:r w:rsidR="00260243" w:rsidRPr="007A6103">
        <w:rPr>
          <w:rFonts w:asciiTheme="majorHAnsi" w:hAnsiTheme="majorHAnsi" w:cstheme="majorHAnsi"/>
          <w:sz w:val="24"/>
          <w:szCs w:val="24"/>
          <w:lang w:val="ro-RO"/>
        </w:rPr>
        <w:t xml:space="preserve"> </w:t>
      </w:r>
    </w:p>
    <w:p w14:paraId="320DBCC2" w14:textId="4BB471B0" w:rsidR="001709F4" w:rsidRPr="00596F3F" w:rsidRDefault="00F20F60" w:rsidP="00227869">
      <w:pPr>
        <w:tabs>
          <w:tab w:val="left" w:pos="720"/>
        </w:tabs>
        <w:spacing w:after="0" w:line="276" w:lineRule="auto"/>
        <w:jc w:val="both"/>
        <w:rPr>
          <w:rFonts w:asciiTheme="majorHAnsi" w:hAnsiTheme="majorHAnsi" w:cstheme="majorHAnsi"/>
          <w:sz w:val="24"/>
          <w:szCs w:val="24"/>
          <w:lang w:val="ro-RO"/>
        </w:rPr>
      </w:pPr>
      <w:r w:rsidRPr="007A6103">
        <w:rPr>
          <w:rFonts w:asciiTheme="majorHAnsi" w:hAnsiTheme="majorHAnsi" w:cstheme="majorHAnsi"/>
          <w:sz w:val="24"/>
          <w:szCs w:val="24"/>
          <w:lang w:val="ro-RO"/>
        </w:rPr>
        <w:tab/>
        <w:t>Cu referire la recomandările înaintate</w:t>
      </w:r>
      <w:r w:rsidR="00625FAD" w:rsidRPr="007A6103">
        <w:rPr>
          <w:rFonts w:asciiTheme="majorHAnsi" w:hAnsiTheme="majorHAnsi" w:cstheme="majorHAnsi"/>
          <w:sz w:val="24"/>
          <w:szCs w:val="24"/>
          <w:lang w:val="ro-RO"/>
        </w:rPr>
        <w:t xml:space="preserve"> în Raportul de audit</w:t>
      </w:r>
      <w:r w:rsidR="00E71CE8">
        <w:rPr>
          <w:rFonts w:asciiTheme="majorHAnsi" w:hAnsiTheme="majorHAnsi" w:cstheme="majorHAnsi"/>
          <w:sz w:val="24"/>
          <w:szCs w:val="24"/>
          <w:lang w:val="ro-RO"/>
        </w:rPr>
        <w:t>,</w:t>
      </w:r>
      <w:r w:rsidR="00625FAD" w:rsidRPr="007A6103">
        <w:rPr>
          <w:rFonts w:asciiTheme="majorHAnsi" w:hAnsiTheme="majorHAnsi" w:cstheme="majorHAnsi"/>
          <w:sz w:val="24"/>
          <w:szCs w:val="24"/>
          <w:lang w:val="ro-RO"/>
        </w:rPr>
        <w:t xml:space="preserve"> se constată că din 4 recomandări înaintate </w:t>
      </w:r>
      <w:r w:rsidR="00B01D00">
        <w:rPr>
          <w:rFonts w:asciiTheme="majorHAnsi" w:hAnsiTheme="majorHAnsi" w:cstheme="majorHAnsi"/>
          <w:sz w:val="24"/>
          <w:szCs w:val="24"/>
          <w:lang w:val="ro-RO"/>
        </w:rPr>
        <w:t>3 au fost executate, iar 1</w:t>
      </w:r>
      <w:r w:rsidR="00625FAD" w:rsidRPr="007A6103">
        <w:rPr>
          <w:rFonts w:asciiTheme="majorHAnsi" w:hAnsiTheme="majorHAnsi" w:cstheme="majorHAnsi"/>
          <w:sz w:val="24"/>
          <w:szCs w:val="24"/>
          <w:lang w:val="ro-RO"/>
        </w:rPr>
        <w:t xml:space="preserve"> parțial executate și se referă la: </w:t>
      </w:r>
      <w:r w:rsidR="002A7EEE" w:rsidRPr="007A6103">
        <w:rPr>
          <w:rFonts w:asciiTheme="majorHAnsi" w:hAnsiTheme="majorHAnsi" w:cstheme="majorHAnsi"/>
          <w:sz w:val="24"/>
          <w:szCs w:val="24"/>
          <w:lang w:val="ro-RO"/>
        </w:rPr>
        <w:t>neasigurarea expedierii proiectului de lege privind consolidarea cadrului legal ce ține de emiterea VMS pentru crearea rezervelor de lichidități</w:t>
      </w:r>
      <w:r w:rsidR="00227869" w:rsidRPr="007A6103">
        <w:rPr>
          <w:rFonts w:asciiTheme="majorHAnsi" w:hAnsiTheme="majorHAnsi" w:cstheme="majorHAnsi"/>
          <w:sz w:val="24"/>
          <w:szCs w:val="24"/>
          <w:lang w:val="ro-RO"/>
        </w:rPr>
        <w:t>, precum și utilizarea acestora</w:t>
      </w:r>
      <w:r w:rsidR="00B01D00">
        <w:rPr>
          <w:rFonts w:asciiTheme="majorHAnsi" w:hAnsiTheme="majorHAnsi" w:cstheme="majorHAnsi"/>
          <w:sz w:val="24"/>
          <w:szCs w:val="24"/>
          <w:lang w:val="ro-RO"/>
        </w:rPr>
        <w:t xml:space="preserve">, aceasta fiind reiterată </w:t>
      </w:r>
      <w:r w:rsidR="0013239D">
        <w:rPr>
          <w:rFonts w:asciiTheme="majorHAnsi" w:hAnsiTheme="majorHAnsi" w:cstheme="majorHAnsi"/>
          <w:sz w:val="24"/>
          <w:szCs w:val="24"/>
          <w:lang w:val="ro-RO"/>
        </w:rPr>
        <w:t>în prezentul raport.</w:t>
      </w:r>
      <w:bookmarkEnd w:id="60"/>
      <w:bookmarkEnd w:id="64"/>
    </w:p>
    <w:p w14:paraId="540F358B" w14:textId="77777777" w:rsidR="001709F4" w:rsidRPr="000C56D0" w:rsidRDefault="00EF1C6F" w:rsidP="000C56D0">
      <w:pPr>
        <w:pStyle w:val="1"/>
        <w:spacing w:after="240"/>
        <w:jc w:val="center"/>
        <w:rPr>
          <w:rFonts w:asciiTheme="majorHAnsi" w:hAnsiTheme="majorHAnsi" w:cstheme="majorHAnsi"/>
          <w:b/>
          <w:color w:val="auto"/>
          <w:sz w:val="24"/>
          <w:szCs w:val="24"/>
          <w:lang w:val="ro-RO"/>
        </w:rPr>
      </w:pPr>
      <w:bookmarkStart w:id="65" w:name="_Toc484003922"/>
      <w:bookmarkStart w:id="66" w:name="_Toc515442982"/>
      <w:bookmarkStart w:id="67" w:name="_Toc10106701"/>
      <w:r>
        <w:rPr>
          <w:rFonts w:asciiTheme="majorHAnsi" w:hAnsiTheme="majorHAnsi" w:cstheme="majorHAnsi"/>
          <w:b/>
          <w:color w:val="auto"/>
          <w:sz w:val="24"/>
          <w:szCs w:val="24"/>
          <w:lang w:val="ro-RO"/>
        </w:rPr>
        <w:t>I</w:t>
      </w:r>
      <w:r w:rsidR="00FF4F43" w:rsidRPr="001709F4">
        <w:rPr>
          <w:rFonts w:asciiTheme="majorHAnsi" w:hAnsiTheme="majorHAnsi" w:cstheme="majorHAnsi"/>
          <w:b/>
          <w:color w:val="auto"/>
          <w:sz w:val="24"/>
          <w:szCs w:val="24"/>
          <w:lang w:val="ro-RO"/>
        </w:rPr>
        <w:t xml:space="preserve">V. </w:t>
      </w:r>
      <w:r w:rsidR="006E4771" w:rsidRPr="001709F4">
        <w:rPr>
          <w:rFonts w:asciiTheme="majorHAnsi" w:hAnsiTheme="majorHAnsi" w:cstheme="majorHAnsi"/>
          <w:b/>
          <w:color w:val="auto"/>
          <w:sz w:val="24"/>
          <w:szCs w:val="24"/>
          <w:lang w:val="ro-RO"/>
        </w:rPr>
        <w:t>CONCLUZIA GENERALĂ</w:t>
      </w:r>
      <w:bookmarkEnd w:id="65"/>
      <w:bookmarkEnd w:id="66"/>
      <w:bookmarkEnd w:id="67"/>
    </w:p>
    <w:p w14:paraId="6685F1E1" w14:textId="688E712C" w:rsidR="00591536" w:rsidRPr="008E6807" w:rsidRDefault="000D4A37" w:rsidP="00591536">
      <w:pPr>
        <w:spacing w:after="0" w:line="276" w:lineRule="auto"/>
        <w:ind w:firstLine="720"/>
        <w:jc w:val="both"/>
        <w:rPr>
          <w:rFonts w:asciiTheme="majorHAnsi" w:hAnsiTheme="majorHAnsi"/>
          <w:sz w:val="24"/>
          <w:lang w:val="ro-RO"/>
        </w:rPr>
      </w:pPr>
      <w:r w:rsidRPr="00590217">
        <w:rPr>
          <w:rFonts w:asciiTheme="majorHAnsi" w:hAnsiTheme="majorHAnsi" w:cstheme="majorHAnsi"/>
          <w:sz w:val="24"/>
          <w:szCs w:val="24"/>
          <w:lang w:val="ro-RO"/>
        </w:rPr>
        <w:t xml:space="preserve">Datoria </w:t>
      </w:r>
      <w:r w:rsidR="00FE243D" w:rsidRPr="00590217">
        <w:rPr>
          <w:rFonts w:asciiTheme="majorHAnsi" w:hAnsiTheme="majorHAnsi" w:cstheme="majorHAnsi"/>
          <w:sz w:val="24"/>
          <w:szCs w:val="24"/>
          <w:lang w:val="ro-RO"/>
        </w:rPr>
        <w:t xml:space="preserve">de stat la situația din 31.12.2018 </w:t>
      </w:r>
      <w:r w:rsidRPr="00590217">
        <w:rPr>
          <w:rFonts w:asciiTheme="majorHAnsi" w:hAnsiTheme="majorHAnsi" w:cstheme="majorHAnsi"/>
          <w:sz w:val="24"/>
          <w:szCs w:val="24"/>
          <w:lang w:val="ro-RO"/>
        </w:rPr>
        <w:t xml:space="preserve">a </w:t>
      </w:r>
      <w:r w:rsidR="00FE243D" w:rsidRPr="00590217">
        <w:rPr>
          <w:rFonts w:asciiTheme="majorHAnsi" w:hAnsiTheme="majorHAnsi" w:cstheme="majorHAnsi"/>
          <w:sz w:val="24"/>
          <w:szCs w:val="24"/>
          <w:lang w:val="ro-RO"/>
        </w:rPr>
        <w:t>crescut</w:t>
      </w:r>
      <w:r w:rsidRPr="00590217">
        <w:rPr>
          <w:rFonts w:asciiTheme="majorHAnsi" w:hAnsiTheme="majorHAnsi" w:cstheme="majorHAnsi"/>
          <w:sz w:val="24"/>
          <w:szCs w:val="24"/>
          <w:lang w:val="ro-RO"/>
        </w:rPr>
        <w:t xml:space="preserve"> față de perioada similară din anul precedent, totodată înregistrându-se și o scădere a ponderii în PIB. </w:t>
      </w:r>
      <w:r w:rsidR="004D2218" w:rsidRPr="00590217">
        <w:rPr>
          <w:rFonts w:asciiTheme="majorHAnsi" w:hAnsiTheme="majorHAnsi" w:cstheme="majorHAnsi"/>
          <w:sz w:val="24"/>
          <w:szCs w:val="24"/>
          <w:lang w:val="ro-RO"/>
        </w:rPr>
        <w:t>Creșterea datoriei de stat a fost influențată de majorarea soldului</w:t>
      </w:r>
      <w:r w:rsidR="0024355F" w:rsidRPr="00590217">
        <w:rPr>
          <w:rFonts w:asciiTheme="majorHAnsi" w:hAnsiTheme="majorHAnsi" w:cstheme="majorHAnsi"/>
          <w:sz w:val="24"/>
          <w:szCs w:val="24"/>
          <w:lang w:val="ro-RO"/>
        </w:rPr>
        <w:t xml:space="preserve"> </w:t>
      </w:r>
      <w:r w:rsidR="008607AD" w:rsidRPr="00590217">
        <w:rPr>
          <w:rFonts w:asciiTheme="majorHAnsi" w:hAnsiTheme="majorHAnsi" w:cstheme="majorHAnsi"/>
          <w:sz w:val="24"/>
          <w:szCs w:val="24"/>
          <w:lang w:val="ro-RO"/>
        </w:rPr>
        <w:t xml:space="preserve">datoriei de stat interne, </w:t>
      </w:r>
      <w:r w:rsidR="004D2218" w:rsidRPr="00590217">
        <w:rPr>
          <w:rFonts w:asciiTheme="majorHAnsi" w:hAnsiTheme="majorHAnsi" w:cstheme="majorHAnsi"/>
          <w:sz w:val="24"/>
          <w:szCs w:val="24"/>
          <w:lang w:val="ro-RO"/>
        </w:rPr>
        <w:t>condiționat</w:t>
      </w:r>
      <w:r w:rsidR="00E71CE8">
        <w:rPr>
          <w:rFonts w:asciiTheme="majorHAnsi" w:hAnsiTheme="majorHAnsi" w:cstheme="majorHAnsi"/>
          <w:sz w:val="24"/>
          <w:szCs w:val="24"/>
          <w:lang w:val="ro-RO"/>
        </w:rPr>
        <w:t>ă</w:t>
      </w:r>
      <w:r w:rsidR="004D2218" w:rsidRPr="00590217">
        <w:rPr>
          <w:rFonts w:asciiTheme="majorHAnsi" w:hAnsiTheme="majorHAnsi" w:cstheme="majorHAnsi"/>
          <w:sz w:val="24"/>
          <w:szCs w:val="24"/>
          <w:lang w:val="ro-RO"/>
        </w:rPr>
        <w:t xml:space="preserve"> de finanțarea internă netă pozitivă a VMS emise pe piața primară, </w:t>
      </w:r>
      <w:r w:rsidR="004D2218" w:rsidRPr="00091CF9">
        <w:rPr>
          <w:rFonts w:asciiTheme="majorHAnsi" w:hAnsiTheme="majorHAnsi" w:cstheme="majorHAnsi"/>
          <w:sz w:val="24"/>
          <w:szCs w:val="24"/>
          <w:lang w:val="ro-RO"/>
        </w:rPr>
        <w:t xml:space="preserve">inclusiv </w:t>
      </w:r>
      <w:r w:rsidR="00E71CE8" w:rsidRPr="00091CF9">
        <w:rPr>
          <w:rFonts w:asciiTheme="majorHAnsi" w:hAnsiTheme="majorHAnsi" w:cstheme="majorHAnsi"/>
          <w:sz w:val="24"/>
          <w:szCs w:val="24"/>
          <w:lang w:val="ro-RO"/>
        </w:rPr>
        <w:t>de</w:t>
      </w:r>
      <w:r w:rsidR="008607AD" w:rsidRPr="00091CF9">
        <w:rPr>
          <w:rFonts w:asciiTheme="majorHAnsi" w:hAnsiTheme="majorHAnsi" w:cstheme="majorHAnsi"/>
          <w:sz w:val="24"/>
          <w:szCs w:val="24"/>
          <w:lang w:val="ro-RO"/>
        </w:rPr>
        <w:t xml:space="preserve"> emisiun</w:t>
      </w:r>
      <w:r w:rsidR="00E71CE8" w:rsidRPr="00091CF9">
        <w:rPr>
          <w:rFonts w:asciiTheme="majorHAnsi" w:hAnsiTheme="majorHAnsi" w:cstheme="majorHAnsi"/>
          <w:sz w:val="24"/>
          <w:szCs w:val="24"/>
          <w:lang w:val="ro-RO"/>
        </w:rPr>
        <w:t>ea</w:t>
      </w:r>
      <w:r w:rsidR="008607AD" w:rsidRPr="00590217">
        <w:rPr>
          <w:rFonts w:asciiTheme="majorHAnsi" w:hAnsiTheme="majorHAnsi" w:cstheme="majorHAnsi"/>
          <w:sz w:val="24"/>
          <w:szCs w:val="24"/>
          <w:lang w:val="ro-RO"/>
        </w:rPr>
        <w:t xml:space="preserve"> VMS pentru </w:t>
      </w:r>
      <w:r w:rsidR="003046F5">
        <w:rPr>
          <w:rFonts w:asciiTheme="majorHAnsi" w:hAnsiTheme="majorHAnsi" w:cstheme="majorHAnsi"/>
          <w:sz w:val="24"/>
          <w:szCs w:val="24"/>
          <w:lang w:val="ro-RO"/>
        </w:rPr>
        <w:t>completarea</w:t>
      </w:r>
      <w:r w:rsidR="004D2218" w:rsidRPr="00590217">
        <w:rPr>
          <w:rFonts w:asciiTheme="majorHAnsi" w:hAnsiTheme="majorHAnsi" w:cstheme="majorHAnsi"/>
          <w:sz w:val="24"/>
          <w:szCs w:val="24"/>
          <w:lang w:val="ro-RO"/>
        </w:rPr>
        <w:t xml:space="preserve"> rezerve</w:t>
      </w:r>
      <w:r w:rsidR="00E71CE8">
        <w:rPr>
          <w:rFonts w:asciiTheme="majorHAnsi" w:hAnsiTheme="majorHAnsi" w:cstheme="majorHAnsi"/>
          <w:sz w:val="24"/>
          <w:szCs w:val="24"/>
          <w:lang w:val="ro-RO"/>
        </w:rPr>
        <w:t>i</w:t>
      </w:r>
      <w:r w:rsidR="004D2218" w:rsidRPr="00590217">
        <w:rPr>
          <w:rFonts w:asciiTheme="majorHAnsi" w:hAnsiTheme="majorHAnsi" w:cstheme="majorHAnsi"/>
          <w:sz w:val="24"/>
          <w:szCs w:val="24"/>
          <w:lang w:val="ro-RO"/>
        </w:rPr>
        <w:t xml:space="preserve"> de lichidități. </w:t>
      </w:r>
      <w:r w:rsidR="00C60D8D" w:rsidRPr="00590217">
        <w:rPr>
          <w:rFonts w:asciiTheme="majorHAnsi" w:hAnsiTheme="majorHAnsi" w:cstheme="majorHAnsi"/>
          <w:sz w:val="24"/>
          <w:szCs w:val="24"/>
          <w:lang w:val="ro-RO"/>
        </w:rPr>
        <w:t xml:space="preserve">Se constată </w:t>
      </w:r>
      <w:r w:rsidR="00DC37EF" w:rsidRPr="00590217">
        <w:rPr>
          <w:rFonts w:asciiTheme="majorHAnsi" w:hAnsiTheme="majorHAnsi" w:cstheme="majorHAnsi"/>
          <w:sz w:val="24"/>
          <w:szCs w:val="24"/>
          <w:lang w:val="ro-RO"/>
        </w:rPr>
        <w:t xml:space="preserve">necesitatea consolidării </w:t>
      </w:r>
      <w:r w:rsidR="00C60D8D" w:rsidRPr="00590217">
        <w:rPr>
          <w:rFonts w:asciiTheme="majorHAnsi" w:hAnsiTheme="majorHAnsi" w:cstheme="majorHAnsi"/>
          <w:sz w:val="24"/>
          <w:szCs w:val="24"/>
          <w:lang w:val="ro-RO"/>
        </w:rPr>
        <w:t xml:space="preserve">cadrului legal </w:t>
      </w:r>
      <w:r w:rsidR="000A67DF" w:rsidRPr="008E6807">
        <w:rPr>
          <w:rFonts w:asciiTheme="majorHAnsi" w:hAnsiTheme="majorHAnsi"/>
          <w:sz w:val="24"/>
          <w:lang w:val="ro-RO"/>
        </w:rPr>
        <w:t xml:space="preserve">pentru crearea rezervelor de lichidități, </w:t>
      </w:r>
      <w:r w:rsidR="00B00656">
        <w:rPr>
          <w:rFonts w:asciiTheme="majorHAnsi" w:hAnsiTheme="majorHAnsi"/>
          <w:sz w:val="24"/>
          <w:lang w:val="ro-RO"/>
        </w:rPr>
        <w:t>inclusiv</w:t>
      </w:r>
      <w:r w:rsidR="000A67DF" w:rsidRPr="008E6807">
        <w:rPr>
          <w:rFonts w:asciiTheme="majorHAnsi" w:hAnsiTheme="majorHAnsi"/>
          <w:sz w:val="24"/>
          <w:lang w:val="ro-RO"/>
        </w:rPr>
        <w:t xml:space="preserve"> </w:t>
      </w:r>
      <w:r w:rsidR="00B00656">
        <w:rPr>
          <w:rFonts w:asciiTheme="majorHAnsi" w:hAnsiTheme="majorHAnsi"/>
          <w:sz w:val="24"/>
          <w:lang w:val="ro-RO"/>
        </w:rPr>
        <w:t xml:space="preserve">a </w:t>
      </w:r>
      <w:r w:rsidR="000A67DF" w:rsidRPr="008E6807">
        <w:rPr>
          <w:rFonts w:asciiTheme="majorHAnsi" w:hAnsiTheme="majorHAnsi"/>
          <w:sz w:val="24"/>
          <w:lang w:val="ro-RO"/>
        </w:rPr>
        <w:t>reglement</w:t>
      </w:r>
      <w:r w:rsidR="00B00656">
        <w:rPr>
          <w:rFonts w:asciiTheme="majorHAnsi" w:hAnsiTheme="majorHAnsi"/>
          <w:sz w:val="24"/>
          <w:lang w:val="ro-RO"/>
        </w:rPr>
        <w:t>ării</w:t>
      </w:r>
      <w:r w:rsidR="000A67DF" w:rsidRPr="008E6807">
        <w:rPr>
          <w:rFonts w:asciiTheme="majorHAnsi" w:hAnsiTheme="majorHAnsi"/>
          <w:sz w:val="24"/>
          <w:lang w:val="ro-RO"/>
        </w:rPr>
        <w:t xml:space="preserve"> </w:t>
      </w:r>
      <w:r w:rsidR="00DC37EF" w:rsidRPr="008E6807">
        <w:rPr>
          <w:rFonts w:asciiTheme="majorHAnsi" w:hAnsiTheme="majorHAnsi"/>
          <w:sz w:val="24"/>
          <w:lang w:val="ro-RO"/>
        </w:rPr>
        <w:t>exhaustiv</w:t>
      </w:r>
      <w:r w:rsidR="00B00656">
        <w:rPr>
          <w:rFonts w:asciiTheme="majorHAnsi" w:hAnsiTheme="majorHAnsi"/>
          <w:sz w:val="24"/>
          <w:lang w:val="ro-RO"/>
        </w:rPr>
        <w:t>e</w:t>
      </w:r>
      <w:r w:rsidR="000A67DF" w:rsidRPr="008E6807">
        <w:rPr>
          <w:rFonts w:asciiTheme="majorHAnsi" w:hAnsiTheme="majorHAnsi"/>
          <w:sz w:val="24"/>
          <w:lang w:val="ro-RO"/>
        </w:rPr>
        <w:t xml:space="preserve"> priv</w:t>
      </w:r>
      <w:r w:rsidR="00B00656">
        <w:rPr>
          <w:rFonts w:asciiTheme="majorHAnsi" w:hAnsiTheme="majorHAnsi"/>
          <w:sz w:val="24"/>
          <w:lang w:val="ro-RO"/>
        </w:rPr>
        <w:t>ind</w:t>
      </w:r>
      <w:r w:rsidR="000A67DF" w:rsidRPr="008E6807">
        <w:rPr>
          <w:rFonts w:asciiTheme="majorHAnsi" w:hAnsiTheme="majorHAnsi"/>
          <w:sz w:val="24"/>
          <w:lang w:val="ro-RO"/>
        </w:rPr>
        <w:t xml:space="preserve"> situațiile de creare și </w:t>
      </w:r>
      <w:r w:rsidR="00E71CE8">
        <w:rPr>
          <w:rFonts w:asciiTheme="majorHAnsi" w:hAnsiTheme="majorHAnsi"/>
          <w:sz w:val="24"/>
          <w:lang w:val="ro-RO"/>
        </w:rPr>
        <w:t xml:space="preserve">de </w:t>
      </w:r>
      <w:r w:rsidR="000A67DF" w:rsidRPr="008E6807">
        <w:rPr>
          <w:rFonts w:asciiTheme="majorHAnsi" w:hAnsiTheme="majorHAnsi"/>
          <w:sz w:val="24"/>
          <w:lang w:val="ro-RO"/>
        </w:rPr>
        <w:t>utilizare</w:t>
      </w:r>
      <w:r w:rsidR="00DC37EF" w:rsidRPr="008E6807">
        <w:rPr>
          <w:rFonts w:asciiTheme="majorHAnsi" w:hAnsiTheme="majorHAnsi"/>
          <w:sz w:val="24"/>
          <w:lang w:val="ro-RO"/>
        </w:rPr>
        <w:t xml:space="preserve"> a acestora.</w:t>
      </w:r>
      <w:r w:rsidR="002C558C" w:rsidRPr="008E6807">
        <w:rPr>
          <w:rFonts w:asciiTheme="majorHAnsi" w:hAnsiTheme="majorHAnsi"/>
          <w:sz w:val="24"/>
          <w:lang w:val="ro-RO"/>
        </w:rPr>
        <w:t xml:space="preserve"> </w:t>
      </w:r>
    </w:p>
    <w:p w14:paraId="3B9D4384" w14:textId="3B988904" w:rsidR="002C558C" w:rsidRPr="008E6807" w:rsidRDefault="002C558C" w:rsidP="00FC5EFD">
      <w:pPr>
        <w:spacing w:after="0" w:line="276" w:lineRule="auto"/>
        <w:ind w:firstLine="720"/>
        <w:jc w:val="both"/>
        <w:rPr>
          <w:rFonts w:asciiTheme="majorHAnsi" w:hAnsiTheme="majorHAnsi"/>
          <w:sz w:val="24"/>
          <w:lang w:val="ro-RO"/>
        </w:rPr>
      </w:pPr>
      <w:r w:rsidRPr="008E6807">
        <w:rPr>
          <w:rFonts w:asciiTheme="majorHAnsi" w:hAnsiTheme="majorHAnsi"/>
          <w:sz w:val="24"/>
          <w:lang w:val="ro-RO"/>
        </w:rPr>
        <w:t xml:space="preserve">Totodată, se </w:t>
      </w:r>
      <w:r w:rsidR="00B00656">
        <w:rPr>
          <w:rFonts w:asciiTheme="majorHAnsi" w:hAnsiTheme="majorHAnsi"/>
          <w:sz w:val="24"/>
          <w:lang w:val="ro-RO"/>
        </w:rPr>
        <w:t>atestă</w:t>
      </w:r>
      <w:r w:rsidRPr="008E6807">
        <w:rPr>
          <w:rFonts w:asciiTheme="majorHAnsi" w:hAnsiTheme="majorHAnsi"/>
          <w:sz w:val="24"/>
          <w:lang w:val="ro-RO"/>
        </w:rPr>
        <w:t xml:space="preserve"> restituirea lentă a datoriilor băncilor supuse lichidării</w:t>
      </w:r>
      <w:r w:rsidR="00FC5EFD" w:rsidRPr="008E6807">
        <w:rPr>
          <w:rFonts w:asciiTheme="majorHAnsi" w:hAnsiTheme="majorHAnsi"/>
          <w:sz w:val="24"/>
          <w:lang w:val="ro-RO"/>
        </w:rPr>
        <w:t xml:space="preserve"> </w:t>
      </w:r>
      <w:r w:rsidR="00FC5EFD" w:rsidRPr="000C78F9">
        <w:rPr>
          <w:rFonts w:asciiTheme="majorHAnsi" w:hAnsiTheme="majorHAnsi" w:cstheme="majorHAnsi"/>
          <w:sz w:val="24"/>
          <w:szCs w:val="24"/>
          <w:lang w:val="ro-RO"/>
        </w:rPr>
        <w:t>(</w:t>
      </w:r>
      <w:r w:rsidR="00FC5EFD">
        <w:rPr>
          <w:rFonts w:asciiTheme="majorHAnsi" w:hAnsiTheme="majorHAnsi" w:cstheme="majorHAnsi"/>
          <w:sz w:val="24"/>
          <w:szCs w:val="24"/>
          <w:lang w:val="ro-RO"/>
        </w:rPr>
        <w:t>„</w:t>
      </w:r>
      <w:proofErr w:type="spellStart"/>
      <w:r w:rsidR="00FC5EFD">
        <w:rPr>
          <w:rFonts w:asciiTheme="majorHAnsi" w:hAnsiTheme="majorHAnsi" w:cstheme="majorHAnsi"/>
          <w:sz w:val="24"/>
          <w:szCs w:val="24"/>
          <w:lang w:val="ro-RO"/>
        </w:rPr>
        <w:t>Investprivatbank</w:t>
      </w:r>
      <w:proofErr w:type="spellEnd"/>
      <w:r w:rsidR="00FC5EFD">
        <w:rPr>
          <w:rFonts w:asciiTheme="majorHAnsi" w:hAnsiTheme="majorHAnsi" w:cstheme="majorHAnsi"/>
          <w:sz w:val="24"/>
          <w:szCs w:val="24"/>
          <w:lang w:val="ro-RO"/>
        </w:rPr>
        <w:t>” S.A.</w:t>
      </w:r>
      <w:r w:rsidR="00B00656">
        <w:rPr>
          <w:rFonts w:asciiTheme="majorHAnsi" w:hAnsiTheme="majorHAnsi" w:cstheme="majorHAnsi"/>
          <w:sz w:val="24"/>
          <w:szCs w:val="24"/>
          <w:lang w:val="ro-RO"/>
        </w:rPr>
        <w:t>,</w:t>
      </w:r>
      <w:r w:rsidR="00FC5EFD">
        <w:rPr>
          <w:rFonts w:asciiTheme="majorHAnsi" w:hAnsiTheme="majorHAnsi" w:cstheme="majorHAnsi"/>
          <w:sz w:val="24"/>
          <w:szCs w:val="24"/>
          <w:lang w:val="ro-RO"/>
        </w:rPr>
        <w:t xml:space="preserve"> </w:t>
      </w:r>
      <w:r w:rsidR="00FC5EFD" w:rsidRPr="000C78F9">
        <w:rPr>
          <w:rFonts w:asciiTheme="majorHAnsi" w:hAnsiTheme="majorHAnsi" w:cstheme="majorHAnsi"/>
          <w:sz w:val="24"/>
          <w:szCs w:val="24"/>
          <w:lang w:val="ro-RO"/>
        </w:rPr>
        <w:t>„Banca de Economii” S.A., BC „Banca Socială” S.A., BC „</w:t>
      </w:r>
      <w:proofErr w:type="spellStart"/>
      <w:r w:rsidR="00FC5EFD" w:rsidRPr="000C78F9">
        <w:rPr>
          <w:rFonts w:asciiTheme="majorHAnsi" w:hAnsiTheme="majorHAnsi" w:cstheme="majorHAnsi"/>
          <w:sz w:val="24"/>
          <w:szCs w:val="24"/>
          <w:lang w:val="ro-RO"/>
        </w:rPr>
        <w:t>Unibank</w:t>
      </w:r>
      <w:proofErr w:type="spellEnd"/>
      <w:r w:rsidR="00FC5EFD" w:rsidRPr="000C78F9">
        <w:rPr>
          <w:rFonts w:asciiTheme="majorHAnsi" w:hAnsiTheme="majorHAnsi" w:cstheme="majorHAnsi"/>
          <w:sz w:val="24"/>
          <w:szCs w:val="24"/>
          <w:lang w:val="ro-RO"/>
        </w:rPr>
        <w:t>” S.A.)</w:t>
      </w:r>
      <w:r w:rsidR="00500376">
        <w:rPr>
          <w:rFonts w:asciiTheme="majorHAnsi" w:hAnsiTheme="majorHAnsi" w:cstheme="majorHAnsi"/>
          <w:sz w:val="24"/>
          <w:szCs w:val="24"/>
          <w:lang w:val="ro-RO"/>
        </w:rPr>
        <w:t>, ceea ce împovărează bugetul de stat.</w:t>
      </w:r>
    </w:p>
    <w:p w14:paraId="1B3405AF" w14:textId="65CD24BC" w:rsidR="00AF69FE" w:rsidRDefault="00703122" w:rsidP="00AF69FE">
      <w:pPr>
        <w:spacing w:after="0" w:line="276" w:lineRule="auto"/>
        <w:ind w:firstLine="720"/>
        <w:jc w:val="both"/>
        <w:rPr>
          <w:rFonts w:asciiTheme="majorHAnsi" w:hAnsiTheme="majorHAnsi" w:cstheme="majorHAnsi"/>
          <w:sz w:val="24"/>
          <w:szCs w:val="24"/>
          <w:lang w:val="ro-RO"/>
        </w:rPr>
      </w:pPr>
      <w:r w:rsidRPr="001E6C6A">
        <w:rPr>
          <w:rFonts w:asciiTheme="majorHAnsi" w:hAnsiTheme="majorHAnsi" w:cstheme="majorHAnsi"/>
          <w:sz w:val="24"/>
          <w:szCs w:val="24"/>
          <w:lang w:val="ro-RO"/>
        </w:rPr>
        <w:t>Deși toți parametrii de risc s-au încadrat în limitele anuale stabilite în cadrul Programului „Managementul datoriei de stat pe termen mediu (2018-2020)</w:t>
      </w:r>
      <w:r w:rsidR="00B00656">
        <w:rPr>
          <w:rFonts w:asciiTheme="majorHAnsi" w:hAnsiTheme="majorHAnsi" w:cstheme="majorHAnsi"/>
          <w:sz w:val="24"/>
          <w:szCs w:val="24"/>
          <w:lang w:val="ro-RO"/>
        </w:rPr>
        <w:t>”</w:t>
      </w:r>
      <w:r w:rsidRPr="001E6C6A">
        <w:rPr>
          <w:rFonts w:asciiTheme="majorHAnsi" w:hAnsiTheme="majorHAnsi" w:cstheme="majorHAnsi"/>
          <w:sz w:val="24"/>
          <w:szCs w:val="24"/>
          <w:lang w:val="ro-RO"/>
        </w:rPr>
        <w:t>, la situația din 31.12.2018</w:t>
      </w:r>
      <w:r w:rsidR="00154C79" w:rsidRPr="001E6C6A">
        <w:rPr>
          <w:rFonts w:asciiTheme="majorHAnsi" w:hAnsiTheme="majorHAnsi" w:cstheme="majorHAnsi"/>
          <w:sz w:val="24"/>
          <w:szCs w:val="24"/>
          <w:lang w:val="ro-RO"/>
        </w:rPr>
        <w:t xml:space="preserve"> persistă riscul de refinanțare și riscul ratei de dobândă </w:t>
      </w:r>
      <w:r w:rsidR="00154C79" w:rsidRPr="008C5085">
        <w:rPr>
          <w:rFonts w:asciiTheme="majorHAnsi" w:hAnsiTheme="majorHAnsi" w:cstheme="majorHAnsi"/>
          <w:sz w:val="24"/>
          <w:szCs w:val="24"/>
          <w:lang w:val="ro-RO"/>
        </w:rPr>
        <w:t>a datoriei</w:t>
      </w:r>
      <w:r w:rsidR="00154C79" w:rsidRPr="001E6C6A">
        <w:rPr>
          <w:rFonts w:asciiTheme="majorHAnsi" w:hAnsiTheme="majorHAnsi" w:cstheme="majorHAnsi"/>
          <w:sz w:val="24"/>
          <w:szCs w:val="24"/>
          <w:lang w:val="ro-RO"/>
        </w:rPr>
        <w:t xml:space="preserve"> de stat interne</w:t>
      </w:r>
      <w:r w:rsidR="001E6C6A">
        <w:rPr>
          <w:rFonts w:asciiTheme="majorHAnsi" w:hAnsiTheme="majorHAnsi" w:cstheme="majorHAnsi"/>
          <w:sz w:val="24"/>
          <w:szCs w:val="24"/>
          <w:lang w:val="ro-RO"/>
        </w:rPr>
        <w:t>, care are o pondere majoră și urmează a fi refixată în decurs de un an. De asemenea, portofoliul datoriei de stat externe este expus riscului valutar, cauzat de predominarea datoriei de stat externe în valută străină.</w:t>
      </w:r>
    </w:p>
    <w:p w14:paraId="35CABF2D" w14:textId="4F67EFDB" w:rsidR="00DC720B" w:rsidRDefault="004C3945" w:rsidP="00AF69FE">
      <w:pPr>
        <w:spacing w:after="0" w:line="276" w:lineRule="auto"/>
        <w:ind w:firstLine="720"/>
        <w:jc w:val="both"/>
        <w:rPr>
          <w:rFonts w:asciiTheme="majorHAnsi" w:hAnsiTheme="majorHAnsi" w:cstheme="majorHAnsi"/>
          <w:sz w:val="24"/>
          <w:szCs w:val="24"/>
          <w:lang w:val="ro-RO"/>
        </w:rPr>
      </w:pPr>
      <w:r>
        <w:rPr>
          <w:rFonts w:asciiTheme="majorHAnsi" w:hAnsiTheme="majorHAnsi" w:cstheme="majorHAnsi"/>
          <w:sz w:val="24"/>
          <w:szCs w:val="24"/>
          <w:lang w:val="ro-RO"/>
        </w:rPr>
        <w:t>În anul 2018 a început derularea Programului de stat „Prima casă”</w:t>
      </w:r>
      <w:r w:rsidR="008C5085">
        <w:rPr>
          <w:rFonts w:asciiTheme="majorHAnsi" w:hAnsiTheme="majorHAnsi" w:cstheme="majorHAnsi"/>
          <w:sz w:val="24"/>
          <w:szCs w:val="24"/>
          <w:lang w:val="ro-RO"/>
        </w:rPr>
        <w:t>,</w:t>
      </w:r>
      <w:r>
        <w:rPr>
          <w:rFonts w:asciiTheme="majorHAnsi" w:hAnsiTheme="majorHAnsi" w:cstheme="majorHAnsi"/>
          <w:sz w:val="24"/>
          <w:szCs w:val="24"/>
          <w:lang w:val="ro-RO"/>
        </w:rPr>
        <w:t xml:space="preserve"> </w:t>
      </w:r>
      <w:r w:rsidR="008C5085">
        <w:rPr>
          <w:rFonts w:asciiTheme="majorHAnsi" w:hAnsiTheme="majorHAnsi" w:cstheme="majorHAnsi"/>
          <w:sz w:val="24"/>
          <w:szCs w:val="24"/>
          <w:lang w:val="ro-RO"/>
        </w:rPr>
        <w:t>cu</w:t>
      </w:r>
      <w:r>
        <w:rPr>
          <w:rFonts w:asciiTheme="majorHAnsi" w:hAnsiTheme="majorHAnsi" w:cstheme="majorHAnsi"/>
          <w:sz w:val="24"/>
          <w:szCs w:val="24"/>
          <w:lang w:val="ro-RO"/>
        </w:rPr>
        <w:t xml:space="preserve"> emi</w:t>
      </w:r>
      <w:r w:rsidR="008C5085">
        <w:rPr>
          <w:rFonts w:asciiTheme="majorHAnsi" w:hAnsiTheme="majorHAnsi" w:cstheme="majorHAnsi"/>
          <w:sz w:val="24"/>
          <w:szCs w:val="24"/>
          <w:lang w:val="ro-RO"/>
        </w:rPr>
        <w:t>terea</w:t>
      </w:r>
      <w:r>
        <w:rPr>
          <w:rFonts w:asciiTheme="majorHAnsi" w:hAnsiTheme="majorHAnsi" w:cstheme="majorHAnsi"/>
          <w:sz w:val="24"/>
          <w:szCs w:val="24"/>
          <w:lang w:val="ro-RO"/>
        </w:rPr>
        <w:t xml:space="preserve"> garanții</w:t>
      </w:r>
      <w:r w:rsidR="008C5085">
        <w:rPr>
          <w:rFonts w:asciiTheme="majorHAnsi" w:hAnsiTheme="majorHAnsi" w:cstheme="majorHAnsi"/>
          <w:sz w:val="24"/>
          <w:szCs w:val="24"/>
          <w:lang w:val="ro-RO"/>
        </w:rPr>
        <w:t xml:space="preserve">lor </w:t>
      </w:r>
      <w:r>
        <w:rPr>
          <w:rFonts w:asciiTheme="majorHAnsi" w:hAnsiTheme="majorHAnsi" w:cstheme="majorHAnsi"/>
          <w:sz w:val="24"/>
          <w:szCs w:val="24"/>
          <w:lang w:val="ro-RO"/>
        </w:rPr>
        <w:t xml:space="preserve"> de stat interne, </w:t>
      </w:r>
      <w:r w:rsidR="00391F3E">
        <w:rPr>
          <w:rFonts w:asciiTheme="majorHAnsi" w:hAnsiTheme="majorHAnsi" w:cstheme="majorHAnsi"/>
          <w:sz w:val="24"/>
          <w:szCs w:val="24"/>
          <w:lang w:val="ro-RO"/>
        </w:rPr>
        <w:t xml:space="preserve">dar </w:t>
      </w:r>
      <w:r>
        <w:rPr>
          <w:rFonts w:asciiTheme="majorHAnsi" w:hAnsiTheme="majorHAnsi" w:cstheme="majorHAnsi"/>
          <w:sz w:val="24"/>
          <w:szCs w:val="24"/>
          <w:lang w:val="ro-RO"/>
        </w:rPr>
        <w:t>până la situația din 31.12.20</w:t>
      </w:r>
      <w:r w:rsidR="00C40321">
        <w:rPr>
          <w:rFonts w:asciiTheme="majorHAnsi" w:hAnsiTheme="majorHAnsi" w:cstheme="majorHAnsi"/>
          <w:sz w:val="24"/>
          <w:szCs w:val="24"/>
          <w:lang w:val="ro-RO"/>
        </w:rPr>
        <w:t>18 n</w:t>
      </w:r>
      <w:r w:rsidR="00391F3E">
        <w:rPr>
          <w:rFonts w:asciiTheme="majorHAnsi" w:hAnsiTheme="majorHAnsi" w:cstheme="majorHAnsi"/>
          <w:sz w:val="24"/>
          <w:szCs w:val="24"/>
          <w:lang w:val="ro-RO"/>
        </w:rPr>
        <w:t>-au fost</w:t>
      </w:r>
      <w:r w:rsidR="00C40321">
        <w:rPr>
          <w:rFonts w:asciiTheme="majorHAnsi" w:hAnsiTheme="majorHAnsi" w:cstheme="majorHAnsi"/>
          <w:sz w:val="24"/>
          <w:szCs w:val="24"/>
          <w:lang w:val="ro-RO"/>
        </w:rPr>
        <w:t xml:space="preserve"> înaintate cereri de executare a garanțiilor de stat pe împrumuturile acordate în cadrul </w:t>
      </w:r>
      <w:r w:rsidR="008C5085">
        <w:rPr>
          <w:rFonts w:asciiTheme="majorHAnsi" w:hAnsiTheme="majorHAnsi" w:cstheme="majorHAnsi"/>
          <w:sz w:val="24"/>
          <w:szCs w:val="24"/>
          <w:lang w:val="ro-RO"/>
        </w:rPr>
        <w:t xml:space="preserve">acestui </w:t>
      </w:r>
      <w:r w:rsidR="00C40321">
        <w:rPr>
          <w:rFonts w:asciiTheme="majorHAnsi" w:hAnsiTheme="majorHAnsi" w:cstheme="majorHAnsi"/>
          <w:sz w:val="24"/>
          <w:szCs w:val="24"/>
          <w:lang w:val="ro-RO"/>
        </w:rPr>
        <w:t>Program.</w:t>
      </w:r>
    </w:p>
    <w:p w14:paraId="3E14E874" w14:textId="29A9A3A1" w:rsidR="00E3019A" w:rsidRPr="008E6807" w:rsidRDefault="00E3019A" w:rsidP="00DC720B">
      <w:pPr>
        <w:spacing w:after="0" w:line="276" w:lineRule="auto"/>
        <w:ind w:firstLine="720"/>
        <w:jc w:val="both"/>
        <w:rPr>
          <w:rFonts w:asciiTheme="majorHAnsi" w:hAnsiTheme="majorHAnsi"/>
          <w:sz w:val="24"/>
          <w:lang w:val="ro-RO"/>
        </w:rPr>
      </w:pPr>
      <w:r w:rsidRPr="008E6807">
        <w:rPr>
          <w:rFonts w:asciiTheme="majorHAnsi" w:hAnsiTheme="majorHAnsi"/>
          <w:sz w:val="24"/>
          <w:lang w:val="ro-RO"/>
        </w:rPr>
        <w:t xml:space="preserve">Se constată </w:t>
      </w:r>
      <w:r w:rsidR="00EB3AFD" w:rsidRPr="008E6807">
        <w:rPr>
          <w:rFonts w:asciiTheme="majorHAnsi" w:hAnsiTheme="majorHAnsi"/>
          <w:sz w:val="24"/>
          <w:lang w:val="ro-RO"/>
        </w:rPr>
        <w:t>o descreștere a mijloacelor financiare îndreptate spre recreditarea de stat, condiționată de</w:t>
      </w:r>
      <w:r w:rsidR="008C5085">
        <w:rPr>
          <w:rFonts w:asciiTheme="majorHAnsi" w:hAnsiTheme="majorHAnsi"/>
          <w:sz w:val="24"/>
          <w:lang w:val="ro-RO"/>
        </w:rPr>
        <w:t xml:space="preserve"> reducerea </w:t>
      </w:r>
      <w:r w:rsidR="00EB3AFD" w:rsidRPr="008E6807">
        <w:rPr>
          <w:rFonts w:asciiTheme="majorHAnsi" w:hAnsiTheme="majorHAnsi"/>
          <w:sz w:val="24"/>
          <w:lang w:val="ro-RO"/>
        </w:rPr>
        <w:t>cerer</w:t>
      </w:r>
      <w:r w:rsidR="00391F3E">
        <w:rPr>
          <w:rFonts w:asciiTheme="majorHAnsi" w:hAnsiTheme="majorHAnsi"/>
          <w:sz w:val="24"/>
          <w:lang w:val="ro-RO"/>
        </w:rPr>
        <w:t>ilor</w:t>
      </w:r>
      <w:r w:rsidR="00EB3AFD" w:rsidRPr="008E6807">
        <w:rPr>
          <w:rFonts w:asciiTheme="majorHAnsi" w:hAnsiTheme="majorHAnsi"/>
          <w:sz w:val="24"/>
          <w:lang w:val="ro-RO"/>
        </w:rPr>
        <w:t xml:space="preserve"> de recreditare din partea beneficiarilor în vederea implementării proiectelor finanțate din contul împrumuturilor de stat externe. Totodată, </w:t>
      </w:r>
      <w:r w:rsidR="004716C2" w:rsidRPr="008E6807">
        <w:rPr>
          <w:rFonts w:asciiTheme="majorHAnsi" w:hAnsiTheme="majorHAnsi"/>
          <w:sz w:val="24"/>
          <w:lang w:val="ro-RO"/>
        </w:rPr>
        <w:t xml:space="preserve">datoriile beneficiarilor </w:t>
      </w:r>
      <w:proofErr w:type="spellStart"/>
      <w:r w:rsidR="004716C2" w:rsidRPr="008E6807">
        <w:rPr>
          <w:rFonts w:asciiTheme="majorHAnsi" w:hAnsiTheme="majorHAnsi"/>
          <w:sz w:val="24"/>
          <w:lang w:val="ro-RO"/>
        </w:rPr>
        <w:t>recreditați</w:t>
      </w:r>
      <w:proofErr w:type="spellEnd"/>
      <w:r w:rsidR="004716C2" w:rsidRPr="008E6807">
        <w:rPr>
          <w:rFonts w:asciiTheme="majorHAnsi" w:hAnsiTheme="majorHAnsi"/>
          <w:sz w:val="24"/>
          <w:lang w:val="ro-RO"/>
        </w:rPr>
        <w:t xml:space="preserve"> s-au redus nesemnificativ</w:t>
      </w:r>
      <w:r w:rsidR="00FD429C" w:rsidRPr="008E6807">
        <w:rPr>
          <w:rFonts w:asciiTheme="majorHAnsi" w:hAnsiTheme="majorHAnsi"/>
          <w:sz w:val="24"/>
          <w:lang w:val="ro-RO"/>
        </w:rPr>
        <w:t xml:space="preserve"> și prezintă risc de nerecuperare</w:t>
      </w:r>
      <w:r w:rsidR="00DC720B" w:rsidRPr="008E6807">
        <w:rPr>
          <w:rFonts w:asciiTheme="majorHAnsi" w:hAnsiTheme="majorHAnsi"/>
          <w:sz w:val="24"/>
          <w:lang w:val="ro-RO"/>
        </w:rPr>
        <w:t>.</w:t>
      </w:r>
    </w:p>
    <w:p w14:paraId="43269271" w14:textId="77777777" w:rsidR="00040078" w:rsidRPr="00AF69FE" w:rsidRDefault="00591536" w:rsidP="00AF69FE">
      <w:pPr>
        <w:spacing w:line="276" w:lineRule="auto"/>
        <w:ind w:firstLine="720"/>
        <w:jc w:val="both"/>
        <w:rPr>
          <w:rFonts w:asciiTheme="majorHAnsi" w:hAnsiTheme="majorHAnsi" w:cstheme="majorHAnsi"/>
          <w:sz w:val="24"/>
          <w:szCs w:val="24"/>
          <w:lang w:val="ro-RO"/>
        </w:rPr>
      </w:pPr>
      <w:r w:rsidRPr="00AF69FE">
        <w:rPr>
          <w:rFonts w:asciiTheme="majorHAnsi" w:hAnsiTheme="majorHAnsi" w:cstheme="majorHAnsi"/>
          <w:sz w:val="24"/>
          <w:szCs w:val="24"/>
          <w:lang w:val="ro-RO"/>
        </w:rPr>
        <w:t>Astfel</w:t>
      </w:r>
      <w:r w:rsidR="00165BA1" w:rsidRPr="00AF69FE">
        <w:rPr>
          <w:rFonts w:asciiTheme="majorHAnsi" w:hAnsiTheme="majorHAnsi" w:cstheme="majorHAnsi"/>
          <w:sz w:val="24"/>
          <w:szCs w:val="24"/>
          <w:lang w:val="ro-RO"/>
        </w:rPr>
        <w:t xml:space="preserve">, </w:t>
      </w:r>
      <w:r w:rsidRPr="00AF69FE">
        <w:rPr>
          <w:rFonts w:asciiTheme="majorHAnsi" w:hAnsiTheme="majorHAnsi" w:cstheme="majorHAnsi"/>
          <w:sz w:val="24"/>
          <w:szCs w:val="24"/>
          <w:lang w:val="ro-RO"/>
        </w:rPr>
        <w:t>în</w:t>
      </w:r>
      <w:r w:rsidR="00165BA1" w:rsidRPr="00AF69FE">
        <w:rPr>
          <w:rFonts w:asciiTheme="majorHAnsi" w:hAnsiTheme="majorHAnsi" w:cstheme="majorHAnsi"/>
          <w:sz w:val="24"/>
          <w:szCs w:val="24"/>
          <w:lang w:val="ro-RO"/>
        </w:rPr>
        <w:t xml:space="preserve"> rezultat</w:t>
      </w:r>
      <w:r w:rsidRPr="00AF69FE">
        <w:rPr>
          <w:rFonts w:asciiTheme="majorHAnsi" w:hAnsiTheme="majorHAnsi" w:cstheme="majorHAnsi"/>
          <w:sz w:val="24"/>
          <w:szCs w:val="24"/>
          <w:lang w:val="ro-RO"/>
        </w:rPr>
        <w:t>ul</w:t>
      </w:r>
      <w:r w:rsidR="00165BA1" w:rsidRPr="00AF69FE">
        <w:rPr>
          <w:rFonts w:asciiTheme="majorHAnsi" w:hAnsiTheme="majorHAnsi" w:cstheme="majorHAnsi"/>
          <w:sz w:val="24"/>
          <w:szCs w:val="24"/>
          <w:lang w:val="ro-RO"/>
        </w:rPr>
        <w:t xml:space="preserve"> activităților de audit, </w:t>
      </w:r>
      <w:r w:rsidR="00040078" w:rsidRPr="00AF69FE">
        <w:rPr>
          <w:rFonts w:asciiTheme="majorHAnsi" w:hAnsiTheme="majorHAnsi" w:cstheme="majorHAnsi"/>
          <w:sz w:val="24"/>
          <w:szCs w:val="24"/>
          <w:lang w:val="ro-RO"/>
        </w:rPr>
        <w:t>se menționează necesitatea consolidării datoriei de stat</w:t>
      </w:r>
      <w:r w:rsidR="00711D70" w:rsidRPr="00AF69FE">
        <w:rPr>
          <w:rFonts w:asciiTheme="majorHAnsi" w:hAnsiTheme="majorHAnsi" w:cstheme="majorHAnsi"/>
          <w:sz w:val="24"/>
          <w:szCs w:val="24"/>
          <w:lang w:val="ro-RO"/>
        </w:rPr>
        <w:t>,</w:t>
      </w:r>
      <w:r w:rsidR="00975A3C" w:rsidRPr="00AF69FE">
        <w:rPr>
          <w:rFonts w:asciiTheme="majorHAnsi" w:hAnsiTheme="majorHAnsi" w:cstheme="majorHAnsi"/>
          <w:sz w:val="24"/>
          <w:szCs w:val="24"/>
          <w:lang w:val="ro-RO"/>
        </w:rPr>
        <w:t xml:space="preserve"> prin</w:t>
      </w:r>
      <w:r w:rsidR="00040078" w:rsidRPr="00AF69FE">
        <w:rPr>
          <w:rFonts w:asciiTheme="majorHAnsi" w:hAnsiTheme="majorHAnsi" w:cstheme="majorHAnsi"/>
          <w:sz w:val="24"/>
          <w:szCs w:val="24"/>
          <w:lang w:val="ro-RO"/>
        </w:rPr>
        <w:t xml:space="preserve"> dezvoltarea managementului </w:t>
      </w:r>
      <w:r w:rsidR="00975A3C" w:rsidRPr="00AF69FE">
        <w:rPr>
          <w:rFonts w:asciiTheme="majorHAnsi" w:hAnsiTheme="majorHAnsi" w:cstheme="majorHAnsi"/>
          <w:sz w:val="24"/>
          <w:szCs w:val="24"/>
          <w:lang w:val="ro-RO"/>
        </w:rPr>
        <w:t>de</w:t>
      </w:r>
      <w:r w:rsidR="00040078" w:rsidRPr="00AF69FE">
        <w:rPr>
          <w:rFonts w:asciiTheme="majorHAnsi" w:hAnsiTheme="majorHAnsi" w:cstheme="majorHAnsi"/>
          <w:sz w:val="24"/>
          <w:szCs w:val="24"/>
          <w:lang w:val="ro-RO"/>
        </w:rPr>
        <w:t xml:space="preserve"> </w:t>
      </w:r>
      <w:r w:rsidR="00975A3C" w:rsidRPr="00AF69FE">
        <w:rPr>
          <w:rFonts w:asciiTheme="majorHAnsi" w:hAnsiTheme="majorHAnsi" w:cstheme="majorHAnsi"/>
          <w:sz w:val="24"/>
          <w:szCs w:val="24"/>
          <w:lang w:val="ro-RO"/>
        </w:rPr>
        <w:t>supraveghere</w:t>
      </w:r>
      <w:r w:rsidR="00040078" w:rsidRPr="00AF69FE">
        <w:rPr>
          <w:rFonts w:asciiTheme="majorHAnsi" w:hAnsiTheme="majorHAnsi" w:cstheme="majorHAnsi"/>
          <w:sz w:val="24"/>
          <w:szCs w:val="24"/>
          <w:lang w:val="ro-RO"/>
        </w:rPr>
        <w:t xml:space="preserve"> </w:t>
      </w:r>
      <w:r w:rsidR="00975A3C" w:rsidRPr="00AF69FE">
        <w:rPr>
          <w:rFonts w:asciiTheme="majorHAnsi" w:hAnsiTheme="majorHAnsi" w:cstheme="majorHAnsi"/>
          <w:sz w:val="24"/>
          <w:szCs w:val="24"/>
          <w:lang w:val="ro-RO"/>
        </w:rPr>
        <w:t>și monitorizare a portofoliului datoriei,</w:t>
      </w:r>
      <w:r w:rsidR="00040078" w:rsidRPr="00AF69FE">
        <w:rPr>
          <w:rFonts w:asciiTheme="majorHAnsi" w:hAnsiTheme="majorHAnsi" w:cstheme="majorHAnsi"/>
          <w:sz w:val="24"/>
          <w:szCs w:val="24"/>
          <w:lang w:val="ro-RO"/>
        </w:rPr>
        <w:t xml:space="preserve"> riscurilor de sustenabilitate și vulnerabilitate</w:t>
      </w:r>
      <w:r w:rsidR="00F45EC7" w:rsidRPr="00AF69FE">
        <w:rPr>
          <w:rFonts w:asciiTheme="majorHAnsi" w:hAnsiTheme="majorHAnsi" w:cstheme="majorHAnsi"/>
          <w:sz w:val="24"/>
          <w:szCs w:val="24"/>
          <w:lang w:val="ro-RO"/>
        </w:rPr>
        <w:t>, în scopul evitării riscurilor financiare adiționale pentru bugetul de stat</w:t>
      </w:r>
      <w:r w:rsidR="00040078" w:rsidRPr="00AF69FE">
        <w:rPr>
          <w:rFonts w:asciiTheme="majorHAnsi" w:hAnsiTheme="majorHAnsi" w:cstheme="majorHAnsi"/>
          <w:sz w:val="24"/>
          <w:szCs w:val="24"/>
          <w:lang w:val="ro-RO"/>
        </w:rPr>
        <w:t>.</w:t>
      </w:r>
      <w:r w:rsidR="00E3019A">
        <w:rPr>
          <w:rFonts w:asciiTheme="majorHAnsi" w:hAnsiTheme="majorHAnsi" w:cstheme="majorHAnsi"/>
          <w:sz w:val="24"/>
          <w:szCs w:val="24"/>
          <w:lang w:val="ro-RO"/>
        </w:rPr>
        <w:t xml:space="preserve"> </w:t>
      </w:r>
    </w:p>
    <w:p w14:paraId="39CCCCE5" w14:textId="77777777" w:rsidR="006E4771" w:rsidRPr="00C40321" w:rsidRDefault="00EF1C6F" w:rsidP="00C40321">
      <w:pPr>
        <w:pStyle w:val="1"/>
        <w:spacing w:before="0" w:after="240"/>
        <w:jc w:val="center"/>
        <w:rPr>
          <w:rFonts w:asciiTheme="majorHAnsi" w:hAnsiTheme="majorHAnsi" w:cstheme="majorHAnsi"/>
          <w:b/>
          <w:color w:val="auto"/>
          <w:sz w:val="24"/>
          <w:szCs w:val="24"/>
          <w:lang w:val="ro-RO"/>
        </w:rPr>
      </w:pPr>
      <w:bookmarkStart w:id="68" w:name="_Toc10106702"/>
      <w:bookmarkStart w:id="69" w:name="_Toc484003923"/>
      <w:bookmarkStart w:id="70" w:name="_Toc515442983"/>
      <w:r>
        <w:rPr>
          <w:rFonts w:asciiTheme="majorHAnsi" w:hAnsiTheme="majorHAnsi" w:cstheme="majorHAnsi"/>
          <w:b/>
          <w:color w:val="auto"/>
          <w:sz w:val="24"/>
          <w:szCs w:val="24"/>
          <w:lang w:val="ro-RO"/>
        </w:rPr>
        <w:t>V</w:t>
      </w:r>
      <w:r w:rsidR="006E4771" w:rsidRPr="00C40321">
        <w:rPr>
          <w:rFonts w:asciiTheme="majorHAnsi" w:hAnsiTheme="majorHAnsi" w:cstheme="majorHAnsi"/>
          <w:b/>
          <w:color w:val="auto"/>
          <w:sz w:val="24"/>
          <w:szCs w:val="24"/>
          <w:lang w:val="ro-RO"/>
        </w:rPr>
        <w:t>. RECOMANDĂRI</w:t>
      </w:r>
      <w:bookmarkEnd w:id="68"/>
      <w:r w:rsidR="006E4771" w:rsidRPr="00C40321">
        <w:rPr>
          <w:rFonts w:asciiTheme="majorHAnsi" w:hAnsiTheme="majorHAnsi" w:cstheme="majorHAnsi"/>
          <w:b/>
          <w:color w:val="auto"/>
          <w:sz w:val="24"/>
          <w:szCs w:val="24"/>
          <w:lang w:val="ro-RO"/>
        </w:rPr>
        <w:t xml:space="preserve"> </w:t>
      </w:r>
      <w:bookmarkEnd w:id="69"/>
      <w:bookmarkEnd w:id="70"/>
    </w:p>
    <w:p w14:paraId="00DD50DA" w14:textId="6867FB12" w:rsidR="00BD7376" w:rsidRPr="00E30C63" w:rsidRDefault="005E5E65" w:rsidP="00E72CD6">
      <w:pPr>
        <w:pStyle w:val="a4"/>
        <w:numPr>
          <w:ilvl w:val="0"/>
          <w:numId w:val="34"/>
        </w:numPr>
        <w:spacing w:after="0"/>
        <w:ind w:left="0" w:firstLine="360"/>
        <w:jc w:val="both"/>
        <w:rPr>
          <w:rFonts w:asciiTheme="majorHAnsi" w:hAnsiTheme="majorHAnsi" w:cstheme="majorHAnsi"/>
          <w:sz w:val="24"/>
          <w:szCs w:val="24"/>
        </w:rPr>
      </w:pPr>
      <w:r w:rsidRPr="0020474D">
        <w:rPr>
          <w:rFonts w:asciiTheme="majorHAnsi" w:hAnsiTheme="majorHAnsi" w:cstheme="majorHAnsi"/>
          <w:sz w:val="24"/>
          <w:szCs w:val="24"/>
          <w:lang w:val="ro-RO"/>
        </w:rPr>
        <w:t xml:space="preserve">Să </w:t>
      </w:r>
      <w:r w:rsidR="005517A7">
        <w:rPr>
          <w:rFonts w:asciiTheme="majorHAnsi" w:hAnsiTheme="majorHAnsi" w:cstheme="majorHAnsi"/>
          <w:sz w:val="24"/>
          <w:szCs w:val="24"/>
          <w:lang w:val="ro-RO"/>
        </w:rPr>
        <w:t xml:space="preserve">continue </w:t>
      </w:r>
      <w:r w:rsidRPr="0020474D">
        <w:rPr>
          <w:rFonts w:asciiTheme="majorHAnsi" w:hAnsiTheme="majorHAnsi" w:cstheme="majorHAnsi"/>
          <w:sz w:val="24"/>
          <w:szCs w:val="24"/>
          <w:lang w:val="ro-RO"/>
        </w:rPr>
        <w:t>asigur</w:t>
      </w:r>
      <w:r w:rsidR="005517A7">
        <w:rPr>
          <w:rFonts w:asciiTheme="majorHAnsi" w:hAnsiTheme="majorHAnsi" w:cstheme="majorHAnsi"/>
          <w:sz w:val="24"/>
          <w:szCs w:val="24"/>
          <w:lang w:val="ro-RO"/>
        </w:rPr>
        <w:t>ar</w:t>
      </w:r>
      <w:r w:rsidRPr="0020474D">
        <w:rPr>
          <w:rFonts w:asciiTheme="majorHAnsi" w:hAnsiTheme="majorHAnsi" w:cstheme="majorHAnsi"/>
          <w:sz w:val="24"/>
          <w:szCs w:val="24"/>
          <w:lang w:val="ro-RO"/>
        </w:rPr>
        <w:t>e</w:t>
      </w:r>
      <w:r w:rsidR="005517A7">
        <w:rPr>
          <w:rFonts w:asciiTheme="majorHAnsi" w:hAnsiTheme="majorHAnsi" w:cstheme="majorHAnsi"/>
          <w:sz w:val="24"/>
          <w:szCs w:val="24"/>
          <w:lang w:val="ro-RO"/>
        </w:rPr>
        <w:t>a</w:t>
      </w:r>
      <w:r w:rsidRPr="0020474D">
        <w:rPr>
          <w:rFonts w:asciiTheme="majorHAnsi" w:hAnsiTheme="majorHAnsi" w:cstheme="majorHAnsi"/>
          <w:sz w:val="24"/>
          <w:szCs w:val="24"/>
          <w:lang w:val="ro-RO"/>
        </w:rPr>
        <w:t xml:space="preserve"> controlul</w:t>
      </w:r>
      <w:r w:rsidR="005517A7">
        <w:rPr>
          <w:rFonts w:asciiTheme="majorHAnsi" w:hAnsiTheme="majorHAnsi" w:cstheme="majorHAnsi"/>
          <w:sz w:val="24"/>
          <w:szCs w:val="24"/>
          <w:lang w:val="ro-RO"/>
        </w:rPr>
        <w:t>ui</w:t>
      </w:r>
      <w:r w:rsidRPr="0020474D">
        <w:rPr>
          <w:rFonts w:asciiTheme="majorHAnsi" w:hAnsiTheme="majorHAnsi" w:cstheme="majorHAnsi"/>
          <w:sz w:val="24"/>
          <w:szCs w:val="24"/>
          <w:lang w:val="ro-RO"/>
        </w:rPr>
        <w:t xml:space="preserve"> asupra expunerii portofoliului datoriei de stat la riscu</w:t>
      </w:r>
      <w:r w:rsidR="00C40321" w:rsidRPr="0020474D">
        <w:rPr>
          <w:rFonts w:asciiTheme="majorHAnsi" w:hAnsiTheme="majorHAnsi" w:cstheme="majorHAnsi"/>
          <w:sz w:val="24"/>
          <w:szCs w:val="24"/>
          <w:lang w:val="ro-RO"/>
        </w:rPr>
        <w:t xml:space="preserve">rile </w:t>
      </w:r>
      <w:r w:rsidRPr="0020474D">
        <w:rPr>
          <w:rFonts w:asciiTheme="majorHAnsi" w:hAnsiTheme="majorHAnsi" w:cstheme="majorHAnsi"/>
          <w:sz w:val="24"/>
          <w:szCs w:val="24"/>
          <w:lang w:val="ro-RO"/>
        </w:rPr>
        <w:t>de rată a dobânzii,</w:t>
      </w:r>
      <w:r w:rsidR="00C40321" w:rsidRPr="0020474D">
        <w:rPr>
          <w:rFonts w:asciiTheme="majorHAnsi" w:hAnsiTheme="majorHAnsi" w:cstheme="majorHAnsi"/>
          <w:sz w:val="24"/>
          <w:szCs w:val="24"/>
          <w:lang w:val="ro-RO"/>
        </w:rPr>
        <w:t xml:space="preserve"> de refinanțare și valutar</w:t>
      </w:r>
      <w:r w:rsidR="0020474D" w:rsidRPr="0020474D">
        <w:rPr>
          <w:rFonts w:asciiTheme="majorHAnsi" w:hAnsiTheme="majorHAnsi" w:cstheme="majorHAnsi"/>
          <w:sz w:val="24"/>
          <w:szCs w:val="24"/>
          <w:lang w:val="ro-RO"/>
        </w:rPr>
        <w:t>.</w:t>
      </w:r>
    </w:p>
    <w:p w14:paraId="45735EA3" w14:textId="6AAC51BF" w:rsidR="00BD7376" w:rsidRPr="00E30C63" w:rsidRDefault="00BD7376" w:rsidP="00E72CD6">
      <w:pPr>
        <w:pStyle w:val="a4"/>
        <w:numPr>
          <w:ilvl w:val="0"/>
          <w:numId w:val="34"/>
        </w:numPr>
        <w:spacing w:after="0"/>
        <w:ind w:left="0" w:firstLine="360"/>
        <w:jc w:val="both"/>
        <w:rPr>
          <w:rFonts w:asciiTheme="majorHAnsi" w:hAnsiTheme="majorHAnsi" w:cstheme="majorHAnsi"/>
          <w:sz w:val="24"/>
          <w:szCs w:val="24"/>
        </w:rPr>
      </w:pPr>
      <w:r w:rsidRPr="00C40321">
        <w:rPr>
          <w:rFonts w:asciiTheme="majorHAnsi" w:hAnsiTheme="majorHAnsi" w:cstheme="majorHAnsi"/>
          <w:sz w:val="24"/>
          <w:szCs w:val="24"/>
          <w:lang w:val="ro-RO"/>
        </w:rPr>
        <w:t xml:space="preserve"> </w:t>
      </w:r>
      <w:r w:rsidR="00CF0001" w:rsidRPr="00A55039">
        <w:rPr>
          <w:rFonts w:asciiTheme="majorHAnsi" w:hAnsiTheme="majorHAnsi" w:cstheme="majorHAnsi"/>
          <w:sz w:val="24"/>
          <w:szCs w:val="24"/>
          <w:lang w:val="ro-RO"/>
        </w:rPr>
        <w:t xml:space="preserve">Să asigure </w:t>
      </w:r>
      <w:r w:rsidRPr="00A55039">
        <w:rPr>
          <w:rFonts w:asciiTheme="majorHAnsi" w:hAnsiTheme="majorHAnsi" w:cstheme="majorHAnsi"/>
          <w:sz w:val="24"/>
          <w:szCs w:val="24"/>
          <w:lang w:val="ro-RO"/>
        </w:rPr>
        <w:t xml:space="preserve">înaintarea </w:t>
      </w:r>
      <w:r w:rsidR="00391F3E" w:rsidRPr="00A55039">
        <w:rPr>
          <w:rFonts w:asciiTheme="majorHAnsi" w:hAnsiTheme="majorHAnsi" w:cstheme="majorHAnsi"/>
          <w:sz w:val="24"/>
          <w:szCs w:val="24"/>
          <w:lang w:val="ro-RO"/>
        </w:rPr>
        <w:t xml:space="preserve">în modul stabilit a </w:t>
      </w:r>
      <w:r w:rsidRPr="00A55039">
        <w:rPr>
          <w:rFonts w:asciiTheme="majorHAnsi" w:hAnsiTheme="majorHAnsi" w:cstheme="majorHAnsi"/>
          <w:sz w:val="24"/>
          <w:szCs w:val="24"/>
          <w:lang w:val="ro-RO"/>
        </w:rPr>
        <w:t xml:space="preserve">propunerilor </w:t>
      </w:r>
      <w:r w:rsidR="00391F3E" w:rsidRPr="00A55039">
        <w:rPr>
          <w:rFonts w:asciiTheme="majorHAnsi" w:hAnsiTheme="majorHAnsi" w:cstheme="majorHAnsi"/>
          <w:sz w:val="24"/>
          <w:szCs w:val="24"/>
          <w:lang w:val="ro-RO"/>
        </w:rPr>
        <w:t>de</w:t>
      </w:r>
      <w:r w:rsidRPr="00A55039">
        <w:rPr>
          <w:rFonts w:asciiTheme="majorHAnsi" w:hAnsiTheme="majorHAnsi" w:cstheme="majorHAnsi"/>
          <w:sz w:val="24"/>
          <w:szCs w:val="24"/>
          <w:lang w:val="ro-RO"/>
        </w:rPr>
        <w:t xml:space="preserve"> consolidare</w:t>
      </w:r>
      <w:r w:rsidR="00391F3E" w:rsidRPr="00A55039">
        <w:rPr>
          <w:rFonts w:asciiTheme="majorHAnsi" w:hAnsiTheme="majorHAnsi" w:cstheme="majorHAnsi"/>
          <w:sz w:val="24"/>
          <w:szCs w:val="24"/>
          <w:lang w:val="ro-RO"/>
        </w:rPr>
        <w:t xml:space="preserve"> </w:t>
      </w:r>
      <w:r w:rsidRPr="00A55039">
        <w:rPr>
          <w:rFonts w:asciiTheme="majorHAnsi" w:hAnsiTheme="majorHAnsi" w:cstheme="majorHAnsi"/>
          <w:sz w:val="24"/>
          <w:szCs w:val="24"/>
          <w:lang w:val="ro-RO"/>
        </w:rPr>
        <w:t xml:space="preserve">a cadrului legal privind emiterea valorilor mobiliare de stat pentru crearea rezervelor de lichidități, precum și </w:t>
      </w:r>
      <w:r w:rsidR="00C002E4" w:rsidRPr="00A55039">
        <w:rPr>
          <w:rFonts w:asciiTheme="majorHAnsi" w:hAnsiTheme="majorHAnsi" w:cstheme="majorHAnsi"/>
          <w:sz w:val="24"/>
          <w:szCs w:val="24"/>
          <w:lang w:val="ro-RO"/>
        </w:rPr>
        <w:t xml:space="preserve">de </w:t>
      </w:r>
      <w:r w:rsidRPr="00A55039">
        <w:rPr>
          <w:rFonts w:asciiTheme="majorHAnsi" w:hAnsiTheme="majorHAnsi" w:cstheme="majorHAnsi"/>
          <w:bCs/>
          <w:sz w:val="24"/>
          <w:szCs w:val="24"/>
          <w:lang w:val="ro-MD"/>
        </w:rPr>
        <w:t>reglementare exhaustivă priv</w:t>
      </w:r>
      <w:r w:rsidR="00C002E4" w:rsidRPr="00A55039">
        <w:rPr>
          <w:rFonts w:asciiTheme="majorHAnsi" w:hAnsiTheme="majorHAnsi" w:cstheme="majorHAnsi"/>
          <w:bCs/>
          <w:sz w:val="24"/>
          <w:szCs w:val="24"/>
          <w:lang w:val="ro-MD"/>
        </w:rPr>
        <w:t>ind</w:t>
      </w:r>
      <w:r w:rsidRPr="00A55039">
        <w:rPr>
          <w:rFonts w:asciiTheme="majorHAnsi" w:hAnsiTheme="majorHAnsi" w:cstheme="majorHAnsi"/>
          <w:bCs/>
          <w:sz w:val="24"/>
          <w:szCs w:val="24"/>
          <w:lang w:val="ro-MD"/>
        </w:rPr>
        <w:t xml:space="preserve"> situațiile de creare și </w:t>
      </w:r>
      <w:r w:rsidR="00C002E4" w:rsidRPr="00A55039">
        <w:rPr>
          <w:rFonts w:asciiTheme="majorHAnsi" w:hAnsiTheme="majorHAnsi" w:cstheme="majorHAnsi"/>
          <w:bCs/>
          <w:sz w:val="24"/>
          <w:szCs w:val="24"/>
          <w:lang w:val="ro-MD"/>
        </w:rPr>
        <w:t xml:space="preserve">de </w:t>
      </w:r>
      <w:r w:rsidRPr="00A55039">
        <w:rPr>
          <w:rFonts w:asciiTheme="majorHAnsi" w:hAnsiTheme="majorHAnsi" w:cstheme="majorHAnsi"/>
          <w:bCs/>
          <w:sz w:val="24"/>
          <w:szCs w:val="24"/>
          <w:lang w:val="ro-MD"/>
        </w:rPr>
        <w:t>utilizare a acestora.</w:t>
      </w:r>
    </w:p>
    <w:p w14:paraId="55A2F4C8" w14:textId="5E5837F6" w:rsidR="00500E12" w:rsidRPr="00E30C63" w:rsidRDefault="00500E12" w:rsidP="00E72CD6">
      <w:pPr>
        <w:pStyle w:val="a4"/>
        <w:numPr>
          <w:ilvl w:val="0"/>
          <w:numId w:val="34"/>
        </w:numPr>
        <w:spacing w:after="0"/>
        <w:ind w:left="0" w:firstLine="360"/>
        <w:jc w:val="both"/>
        <w:rPr>
          <w:rFonts w:asciiTheme="majorHAnsi" w:hAnsiTheme="majorHAnsi" w:cstheme="majorHAnsi"/>
          <w:sz w:val="24"/>
          <w:szCs w:val="24"/>
          <w:lang w:val="ro-MD"/>
        </w:rPr>
      </w:pPr>
      <w:r w:rsidRPr="00E30C63">
        <w:rPr>
          <w:rFonts w:asciiTheme="majorHAnsi" w:hAnsiTheme="majorHAnsi" w:cstheme="majorHAnsi"/>
          <w:sz w:val="24"/>
          <w:szCs w:val="24"/>
          <w:lang w:val="ro-MD"/>
        </w:rPr>
        <w:lastRenderedPageBreak/>
        <w:t xml:space="preserve">Să asigure contractarea împrumuturilor de stat externe pe termen mediu și </w:t>
      </w:r>
      <w:r w:rsidR="00C002E4">
        <w:rPr>
          <w:rFonts w:asciiTheme="majorHAnsi" w:hAnsiTheme="majorHAnsi" w:cstheme="majorHAnsi"/>
          <w:sz w:val="24"/>
          <w:szCs w:val="24"/>
          <w:lang w:val="ro-MD"/>
        </w:rPr>
        <w:t xml:space="preserve">pe termen </w:t>
      </w:r>
      <w:r w:rsidRPr="00E30C63">
        <w:rPr>
          <w:rFonts w:asciiTheme="majorHAnsi" w:hAnsiTheme="majorHAnsi" w:cstheme="majorHAnsi"/>
          <w:sz w:val="24"/>
          <w:szCs w:val="24"/>
          <w:lang w:val="ro-MD"/>
        </w:rPr>
        <w:t>lung, ținând cont de raportul cost/risc</w:t>
      </w:r>
      <w:r w:rsidR="005801A2" w:rsidRPr="00E30C63">
        <w:rPr>
          <w:rFonts w:asciiTheme="majorHAnsi" w:hAnsiTheme="majorHAnsi" w:cstheme="majorHAnsi"/>
          <w:sz w:val="24"/>
          <w:szCs w:val="24"/>
          <w:lang w:val="ro-MD"/>
        </w:rPr>
        <w:t>, în vederea evitării cheltuielilor suplimentare.</w:t>
      </w:r>
    </w:p>
    <w:p w14:paraId="679585C7" w14:textId="6FC90265" w:rsidR="000765ED" w:rsidRPr="00E30C63" w:rsidRDefault="00500E12" w:rsidP="00500E12">
      <w:pPr>
        <w:pStyle w:val="a4"/>
        <w:numPr>
          <w:ilvl w:val="0"/>
          <w:numId w:val="34"/>
        </w:numPr>
        <w:ind w:left="0" w:firstLine="360"/>
        <w:jc w:val="both"/>
        <w:rPr>
          <w:rFonts w:asciiTheme="majorHAnsi" w:hAnsiTheme="majorHAnsi" w:cstheme="majorHAnsi"/>
          <w:sz w:val="24"/>
          <w:szCs w:val="24"/>
        </w:rPr>
      </w:pPr>
      <w:r w:rsidRPr="00E30C63">
        <w:rPr>
          <w:rFonts w:asciiTheme="majorHAnsi" w:hAnsiTheme="majorHAnsi" w:cstheme="majorHAnsi"/>
          <w:sz w:val="24"/>
          <w:szCs w:val="24"/>
          <w:lang w:val="ro-MD"/>
        </w:rPr>
        <w:t>Să continue întreprinderea măsurilor în vederea recuperării la bugetul de stat a datoriilor, inclusiv cu termen</w:t>
      </w:r>
      <w:r w:rsidR="00C002E4">
        <w:rPr>
          <w:rFonts w:asciiTheme="majorHAnsi" w:hAnsiTheme="majorHAnsi" w:cstheme="majorHAnsi"/>
          <w:sz w:val="24"/>
          <w:szCs w:val="24"/>
          <w:lang w:val="ro-MD"/>
        </w:rPr>
        <w:t>ul</w:t>
      </w:r>
      <w:r w:rsidRPr="00E30C63">
        <w:rPr>
          <w:rFonts w:asciiTheme="majorHAnsi" w:hAnsiTheme="majorHAnsi" w:cstheme="majorHAnsi"/>
          <w:sz w:val="24"/>
          <w:szCs w:val="24"/>
          <w:lang w:val="ro-MD"/>
        </w:rPr>
        <w:t xml:space="preserve"> de achitare expirat, pentru împrumuturile acordate beneficiarilor </w:t>
      </w:r>
      <w:proofErr w:type="spellStart"/>
      <w:r w:rsidRPr="00E30C63">
        <w:rPr>
          <w:rFonts w:asciiTheme="majorHAnsi" w:hAnsiTheme="majorHAnsi" w:cstheme="majorHAnsi"/>
          <w:sz w:val="24"/>
          <w:szCs w:val="24"/>
          <w:lang w:val="ro-MD"/>
        </w:rPr>
        <w:t>recreditați</w:t>
      </w:r>
      <w:proofErr w:type="spellEnd"/>
      <w:r w:rsidRPr="00E30C63">
        <w:rPr>
          <w:rFonts w:asciiTheme="majorHAnsi" w:hAnsiTheme="majorHAnsi" w:cstheme="majorHAnsi"/>
          <w:sz w:val="24"/>
          <w:szCs w:val="24"/>
          <w:lang w:val="ro-MD"/>
        </w:rPr>
        <w:t xml:space="preserve"> și beneficiari</w:t>
      </w:r>
      <w:r w:rsidR="00C002E4">
        <w:rPr>
          <w:rFonts w:asciiTheme="majorHAnsi" w:hAnsiTheme="majorHAnsi" w:cstheme="majorHAnsi"/>
          <w:sz w:val="24"/>
          <w:szCs w:val="24"/>
          <w:lang w:val="ro-MD"/>
        </w:rPr>
        <w:t>lor</w:t>
      </w:r>
      <w:r w:rsidRPr="00E30C63">
        <w:rPr>
          <w:rFonts w:asciiTheme="majorHAnsi" w:hAnsiTheme="majorHAnsi" w:cstheme="majorHAnsi"/>
          <w:sz w:val="24"/>
          <w:szCs w:val="24"/>
          <w:lang w:val="ro-MD"/>
        </w:rPr>
        <w:t xml:space="preserve"> garanțiilor de stat.</w:t>
      </w:r>
    </w:p>
    <w:p w14:paraId="6E3A1D6C" w14:textId="77777777" w:rsidR="00C40321" w:rsidRPr="00E30C63" w:rsidRDefault="00C40321" w:rsidP="00500E12">
      <w:pPr>
        <w:pStyle w:val="a4"/>
        <w:spacing w:after="0"/>
        <w:ind w:left="360"/>
        <w:jc w:val="both"/>
        <w:rPr>
          <w:rFonts w:asciiTheme="majorHAnsi" w:hAnsiTheme="majorHAnsi" w:cstheme="majorHAnsi"/>
          <w:sz w:val="24"/>
          <w:szCs w:val="24"/>
        </w:rPr>
      </w:pPr>
    </w:p>
    <w:p w14:paraId="4687BB49" w14:textId="77777777" w:rsidR="00BF5443" w:rsidRPr="00E30C63" w:rsidRDefault="00BF5443" w:rsidP="00E72CD6">
      <w:pPr>
        <w:pStyle w:val="a6"/>
        <w:rPr>
          <w:rFonts w:asciiTheme="majorHAnsi" w:hAnsiTheme="majorHAnsi" w:cstheme="majorHAnsi"/>
          <w:b/>
          <w:sz w:val="24"/>
          <w:szCs w:val="24"/>
          <w:highlight w:val="yellow"/>
          <w:lang w:val="ro-MD"/>
        </w:rPr>
      </w:pPr>
    </w:p>
    <w:p w14:paraId="6028AD85" w14:textId="77777777" w:rsidR="001709F4" w:rsidRPr="00E30C63" w:rsidRDefault="001709F4" w:rsidP="00E72CD6">
      <w:pPr>
        <w:pStyle w:val="a6"/>
        <w:rPr>
          <w:rFonts w:asciiTheme="majorHAnsi" w:hAnsiTheme="majorHAnsi" w:cstheme="majorHAnsi"/>
          <w:b/>
          <w:sz w:val="24"/>
          <w:szCs w:val="24"/>
          <w:highlight w:val="yellow"/>
          <w:lang w:val="ro-MD"/>
        </w:rPr>
      </w:pPr>
    </w:p>
    <w:p w14:paraId="1395A488" w14:textId="77777777" w:rsidR="005C1133" w:rsidRPr="00E30C63" w:rsidRDefault="005C1133" w:rsidP="00E72CD6">
      <w:pPr>
        <w:pStyle w:val="a6"/>
        <w:rPr>
          <w:rFonts w:asciiTheme="majorHAnsi" w:hAnsiTheme="majorHAnsi" w:cstheme="majorHAnsi"/>
          <w:b/>
          <w:sz w:val="24"/>
          <w:szCs w:val="24"/>
          <w:lang w:val="ro-MD"/>
        </w:rPr>
      </w:pPr>
      <w:r w:rsidRPr="00E30C63">
        <w:rPr>
          <w:rFonts w:asciiTheme="majorHAnsi" w:hAnsiTheme="majorHAnsi" w:cstheme="majorHAnsi"/>
          <w:b/>
          <w:sz w:val="24"/>
          <w:szCs w:val="24"/>
          <w:lang w:val="ro-MD"/>
        </w:rPr>
        <w:t xml:space="preserve">Semnăturile echipei de audit </w:t>
      </w:r>
    </w:p>
    <w:p w14:paraId="6ED5A762" w14:textId="77777777" w:rsidR="005C1133" w:rsidRPr="004D36C7" w:rsidRDefault="005C1133" w:rsidP="00E72CD6">
      <w:pPr>
        <w:pStyle w:val="a6"/>
        <w:rPr>
          <w:rFonts w:asciiTheme="majorHAnsi" w:hAnsiTheme="majorHAnsi" w:cstheme="majorHAnsi"/>
          <w:b/>
          <w:sz w:val="24"/>
          <w:szCs w:val="24"/>
          <w:lang w:val="ro-RO"/>
        </w:rPr>
      </w:pPr>
      <w:r w:rsidRPr="004D36C7">
        <w:rPr>
          <w:rFonts w:asciiTheme="majorHAnsi" w:hAnsiTheme="majorHAnsi" w:cstheme="majorHAnsi"/>
          <w:b/>
          <w:sz w:val="24"/>
          <w:szCs w:val="24"/>
          <w:lang w:val="ro-RO"/>
        </w:rPr>
        <w:t>Responsabil de audit:</w:t>
      </w:r>
    </w:p>
    <w:p w14:paraId="15833A5D" w14:textId="77777777" w:rsidR="00092096" w:rsidRPr="004D36C7" w:rsidRDefault="005C1133" w:rsidP="000159B2">
      <w:pPr>
        <w:pStyle w:val="a6"/>
        <w:jc w:val="right"/>
        <w:rPr>
          <w:rFonts w:asciiTheme="majorHAnsi" w:hAnsiTheme="majorHAnsi" w:cstheme="majorHAnsi"/>
          <w:b/>
          <w:sz w:val="24"/>
          <w:szCs w:val="24"/>
          <w:lang w:val="ro-RO"/>
        </w:rPr>
      </w:pPr>
      <w:r w:rsidRPr="004D36C7">
        <w:rPr>
          <w:rFonts w:asciiTheme="majorHAnsi" w:hAnsiTheme="majorHAnsi" w:cstheme="majorHAnsi"/>
          <w:i/>
          <w:sz w:val="24"/>
          <w:szCs w:val="24"/>
          <w:lang w:val="ro-RO"/>
        </w:rPr>
        <w:t xml:space="preserve">Șeful Direcției generale </w:t>
      </w:r>
      <w:r w:rsidR="00092096" w:rsidRPr="004D36C7">
        <w:rPr>
          <w:rFonts w:asciiTheme="majorHAnsi" w:hAnsiTheme="majorHAnsi" w:cstheme="majorHAnsi"/>
          <w:i/>
          <w:sz w:val="24"/>
          <w:szCs w:val="24"/>
          <w:lang w:val="ro-RO"/>
        </w:rPr>
        <w:t xml:space="preserve">de </w:t>
      </w:r>
      <w:r w:rsidRPr="004D36C7">
        <w:rPr>
          <w:rFonts w:asciiTheme="majorHAnsi" w:hAnsiTheme="majorHAnsi" w:cstheme="majorHAnsi"/>
          <w:i/>
          <w:sz w:val="24"/>
          <w:szCs w:val="24"/>
          <w:lang w:val="ro-RO"/>
        </w:rPr>
        <w:t>audit</w:t>
      </w:r>
      <w:r w:rsidR="00092096" w:rsidRPr="004D36C7">
        <w:rPr>
          <w:rFonts w:asciiTheme="majorHAnsi" w:hAnsiTheme="majorHAnsi" w:cstheme="majorHAnsi"/>
          <w:i/>
          <w:sz w:val="24"/>
          <w:szCs w:val="24"/>
          <w:lang w:val="ro-RO"/>
        </w:rPr>
        <w:t xml:space="preserve"> I      </w:t>
      </w:r>
      <w:r w:rsidR="000159B2">
        <w:rPr>
          <w:rFonts w:asciiTheme="majorHAnsi" w:hAnsiTheme="majorHAnsi" w:cstheme="majorHAnsi"/>
          <w:i/>
          <w:sz w:val="24"/>
          <w:szCs w:val="24"/>
          <w:lang w:val="ro-RO"/>
        </w:rPr>
        <w:t xml:space="preserve">                        </w:t>
      </w:r>
      <w:r w:rsidR="00092096" w:rsidRPr="004D36C7">
        <w:rPr>
          <w:rFonts w:asciiTheme="majorHAnsi" w:hAnsiTheme="majorHAnsi" w:cstheme="majorHAnsi"/>
          <w:i/>
          <w:sz w:val="24"/>
          <w:szCs w:val="24"/>
          <w:lang w:val="ro-RO"/>
        </w:rPr>
        <w:t xml:space="preserve">                                                         </w:t>
      </w:r>
      <w:r w:rsidRPr="004D36C7">
        <w:rPr>
          <w:rFonts w:asciiTheme="majorHAnsi" w:hAnsiTheme="majorHAnsi" w:cstheme="majorHAnsi"/>
          <w:i/>
          <w:sz w:val="24"/>
          <w:szCs w:val="24"/>
          <w:lang w:val="ro-RO"/>
        </w:rPr>
        <w:t xml:space="preserve"> </w:t>
      </w:r>
      <w:r w:rsidR="00092096" w:rsidRPr="004D36C7">
        <w:rPr>
          <w:rFonts w:asciiTheme="majorHAnsi" w:hAnsiTheme="majorHAnsi" w:cstheme="majorHAnsi"/>
          <w:b/>
          <w:i/>
          <w:sz w:val="24"/>
          <w:szCs w:val="24"/>
          <w:lang w:val="ro-RO"/>
        </w:rPr>
        <w:t>Natalia Trofim</w:t>
      </w:r>
      <w:r w:rsidR="00092096" w:rsidRPr="004D36C7">
        <w:rPr>
          <w:rFonts w:asciiTheme="majorHAnsi" w:hAnsiTheme="majorHAnsi" w:cstheme="majorHAnsi"/>
          <w:b/>
          <w:sz w:val="24"/>
          <w:szCs w:val="24"/>
          <w:lang w:val="ro-RO"/>
        </w:rPr>
        <w:t xml:space="preserve"> </w:t>
      </w:r>
    </w:p>
    <w:p w14:paraId="6662BAA7" w14:textId="77777777" w:rsidR="005C1133" w:rsidRPr="004D36C7" w:rsidRDefault="005C1133" w:rsidP="00E72CD6">
      <w:pPr>
        <w:pStyle w:val="a6"/>
        <w:rPr>
          <w:rFonts w:asciiTheme="majorHAnsi" w:hAnsiTheme="majorHAnsi" w:cstheme="majorHAnsi"/>
          <w:i/>
          <w:sz w:val="24"/>
          <w:szCs w:val="24"/>
          <w:lang w:val="ro-RO"/>
        </w:rPr>
      </w:pPr>
    </w:p>
    <w:p w14:paraId="749F93B3" w14:textId="77777777" w:rsidR="005C1133" w:rsidRPr="004D36C7" w:rsidRDefault="005C1133" w:rsidP="00E72CD6">
      <w:pPr>
        <w:pStyle w:val="a6"/>
        <w:rPr>
          <w:rFonts w:asciiTheme="majorHAnsi" w:hAnsiTheme="majorHAnsi" w:cstheme="majorHAnsi"/>
          <w:b/>
          <w:sz w:val="24"/>
          <w:szCs w:val="24"/>
          <w:lang w:val="ro-RO"/>
        </w:rPr>
      </w:pPr>
    </w:p>
    <w:p w14:paraId="28F21D9C" w14:textId="77777777" w:rsidR="006E4771" w:rsidRPr="004D36C7" w:rsidRDefault="006E4771" w:rsidP="00E72CD6">
      <w:pPr>
        <w:pStyle w:val="a6"/>
        <w:rPr>
          <w:rFonts w:asciiTheme="majorHAnsi" w:hAnsiTheme="majorHAnsi" w:cstheme="majorHAnsi"/>
          <w:b/>
          <w:sz w:val="24"/>
          <w:szCs w:val="24"/>
          <w:lang w:val="ro-RO"/>
        </w:rPr>
      </w:pPr>
      <w:r w:rsidRPr="004D36C7">
        <w:rPr>
          <w:rFonts w:asciiTheme="majorHAnsi" w:hAnsiTheme="majorHAnsi" w:cstheme="majorHAnsi"/>
          <w:b/>
          <w:sz w:val="24"/>
          <w:szCs w:val="24"/>
          <w:lang w:val="ro-RO"/>
        </w:rPr>
        <w:t>Șeful echipei de audit,</w:t>
      </w:r>
    </w:p>
    <w:p w14:paraId="6B66AC95" w14:textId="77777777" w:rsidR="006E4771" w:rsidRPr="004D36C7" w:rsidRDefault="00092096" w:rsidP="000159B2">
      <w:pPr>
        <w:pStyle w:val="a6"/>
        <w:jc w:val="right"/>
        <w:rPr>
          <w:rFonts w:asciiTheme="majorHAnsi" w:hAnsiTheme="majorHAnsi" w:cstheme="majorHAnsi"/>
          <w:b/>
          <w:i/>
          <w:sz w:val="24"/>
          <w:szCs w:val="24"/>
          <w:lang w:val="ro-RO"/>
        </w:rPr>
      </w:pPr>
      <w:r w:rsidRPr="004D36C7">
        <w:rPr>
          <w:rFonts w:asciiTheme="majorHAnsi" w:hAnsiTheme="majorHAnsi" w:cstheme="majorHAnsi"/>
          <w:i/>
          <w:sz w:val="24"/>
          <w:szCs w:val="24"/>
          <w:lang w:val="ro-RO"/>
        </w:rPr>
        <w:t>auditor public</w:t>
      </w:r>
      <w:r w:rsidR="006E4771" w:rsidRPr="004D36C7">
        <w:rPr>
          <w:rFonts w:asciiTheme="majorHAnsi" w:hAnsiTheme="majorHAnsi" w:cstheme="majorHAnsi"/>
          <w:i/>
          <w:sz w:val="24"/>
          <w:szCs w:val="24"/>
          <w:lang w:val="ro-RO"/>
        </w:rPr>
        <w:t xml:space="preserve"> principal                                      </w:t>
      </w:r>
      <w:r w:rsidR="00AD5AF9" w:rsidRPr="004D36C7">
        <w:rPr>
          <w:rFonts w:asciiTheme="majorHAnsi" w:hAnsiTheme="majorHAnsi" w:cstheme="majorHAnsi"/>
          <w:i/>
          <w:sz w:val="24"/>
          <w:szCs w:val="24"/>
          <w:lang w:val="ro-RO"/>
        </w:rPr>
        <w:t xml:space="preserve">                              </w:t>
      </w:r>
      <w:r w:rsidRPr="004D36C7">
        <w:rPr>
          <w:rFonts w:asciiTheme="majorHAnsi" w:hAnsiTheme="majorHAnsi" w:cstheme="majorHAnsi"/>
          <w:i/>
          <w:sz w:val="24"/>
          <w:szCs w:val="24"/>
          <w:lang w:val="ro-RO"/>
        </w:rPr>
        <w:t xml:space="preserve">                </w:t>
      </w:r>
      <w:r w:rsidR="006E4771" w:rsidRPr="004D36C7">
        <w:rPr>
          <w:rFonts w:asciiTheme="majorHAnsi" w:hAnsiTheme="majorHAnsi" w:cstheme="majorHAnsi"/>
          <w:i/>
          <w:sz w:val="24"/>
          <w:szCs w:val="24"/>
          <w:lang w:val="ro-RO"/>
        </w:rPr>
        <w:t xml:space="preserve">    </w:t>
      </w:r>
      <w:r w:rsidR="000159B2">
        <w:rPr>
          <w:rFonts w:asciiTheme="majorHAnsi" w:hAnsiTheme="majorHAnsi" w:cstheme="majorHAnsi"/>
          <w:i/>
          <w:sz w:val="24"/>
          <w:szCs w:val="24"/>
          <w:lang w:val="ro-RO"/>
        </w:rPr>
        <w:t xml:space="preserve">                         </w:t>
      </w:r>
      <w:r w:rsidR="006E4771" w:rsidRPr="004D36C7">
        <w:rPr>
          <w:rFonts w:asciiTheme="majorHAnsi" w:hAnsiTheme="majorHAnsi" w:cstheme="majorHAnsi"/>
          <w:b/>
          <w:i/>
          <w:sz w:val="24"/>
          <w:szCs w:val="24"/>
          <w:lang w:val="ro-RO"/>
        </w:rPr>
        <w:t>Irina Buga</w:t>
      </w:r>
    </w:p>
    <w:p w14:paraId="5CF7B1D5" w14:textId="77777777" w:rsidR="00092096" w:rsidRPr="004D36C7" w:rsidRDefault="00092096" w:rsidP="00E72CD6">
      <w:pPr>
        <w:pStyle w:val="a6"/>
        <w:rPr>
          <w:rFonts w:asciiTheme="majorHAnsi" w:hAnsiTheme="majorHAnsi" w:cstheme="majorHAnsi"/>
          <w:b/>
          <w:i/>
          <w:sz w:val="24"/>
          <w:szCs w:val="24"/>
          <w:lang w:val="ro-RO"/>
        </w:rPr>
      </w:pPr>
    </w:p>
    <w:p w14:paraId="256E3330" w14:textId="77777777" w:rsidR="00092096" w:rsidRDefault="00092096" w:rsidP="000159B2">
      <w:pPr>
        <w:pStyle w:val="a6"/>
        <w:jc w:val="right"/>
        <w:rPr>
          <w:rFonts w:asciiTheme="majorHAnsi" w:hAnsiTheme="majorHAnsi" w:cstheme="majorHAnsi"/>
          <w:b/>
          <w:i/>
          <w:sz w:val="24"/>
          <w:szCs w:val="24"/>
          <w:lang w:val="ro-RO"/>
        </w:rPr>
      </w:pPr>
      <w:r w:rsidRPr="004D36C7">
        <w:rPr>
          <w:rFonts w:asciiTheme="majorHAnsi" w:hAnsiTheme="majorHAnsi" w:cstheme="majorHAnsi"/>
          <w:i/>
          <w:sz w:val="24"/>
          <w:szCs w:val="24"/>
          <w:lang w:val="ro-RO"/>
        </w:rPr>
        <w:t xml:space="preserve">Auditor public superior                                                                          </w:t>
      </w:r>
      <w:r w:rsidR="000159B2">
        <w:rPr>
          <w:rFonts w:asciiTheme="majorHAnsi" w:hAnsiTheme="majorHAnsi" w:cstheme="majorHAnsi"/>
          <w:i/>
          <w:sz w:val="24"/>
          <w:szCs w:val="24"/>
          <w:lang w:val="ro-RO"/>
        </w:rPr>
        <w:t xml:space="preserve">                          </w:t>
      </w:r>
      <w:r w:rsidRPr="004D36C7">
        <w:rPr>
          <w:rFonts w:asciiTheme="majorHAnsi" w:hAnsiTheme="majorHAnsi" w:cstheme="majorHAnsi"/>
          <w:i/>
          <w:sz w:val="24"/>
          <w:szCs w:val="24"/>
          <w:lang w:val="ro-RO"/>
        </w:rPr>
        <w:t xml:space="preserve">     </w:t>
      </w:r>
      <w:r w:rsidRPr="004D36C7">
        <w:rPr>
          <w:rFonts w:asciiTheme="majorHAnsi" w:hAnsiTheme="majorHAnsi" w:cstheme="majorHAnsi"/>
          <w:b/>
          <w:i/>
          <w:sz w:val="24"/>
          <w:szCs w:val="24"/>
          <w:lang w:val="ro-RO"/>
        </w:rPr>
        <w:t xml:space="preserve">Svetlana </w:t>
      </w:r>
      <w:proofErr w:type="spellStart"/>
      <w:r w:rsidRPr="004D36C7">
        <w:rPr>
          <w:rFonts w:asciiTheme="majorHAnsi" w:hAnsiTheme="majorHAnsi" w:cstheme="majorHAnsi"/>
          <w:b/>
          <w:i/>
          <w:sz w:val="24"/>
          <w:szCs w:val="24"/>
          <w:lang w:val="ro-RO"/>
        </w:rPr>
        <w:t>Ostafi</w:t>
      </w:r>
      <w:proofErr w:type="spellEnd"/>
    </w:p>
    <w:p w14:paraId="0FAE871E" w14:textId="77777777" w:rsidR="00C40321" w:rsidRDefault="00C40321" w:rsidP="00C40321">
      <w:pPr>
        <w:pStyle w:val="a6"/>
        <w:rPr>
          <w:rFonts w:asciiTheme="majorHAnsi" w:hAnsiTheme="majorHAnsi" w:cstheme="majorHAnsi"/>
          <w:b/>
          <w:i/>
          <w:sz w:val="24"/>
          <w:szCs w:val="24"/>
          <w:lang w:val="ro-RO"/>
        </w:rPr>
      </w:pPr>
    </w:p>
    <w:p w14:paraId="358232BC" w14:textId="77777777" w:rsidR="00C40321" w:rsidRPr="004D36C7" w:rsidRDefault="00C40321" w:rsidP="00C40321">
      <w:pPr>
        <w:pStyle w:val="a6"/>
        <w:rPr>
          <w:rFonts w:asciiTheme="majorHAnsi" w:hAnsiTheme="majorHAnsi" w:cstheme="majorHAnsi"/>
          <w:b/>
          <w:sz w:val="24"/>
          <w:szCs w:val="24"/>
          <w:lang w:val="ro-RO"/>
        </w:rPr>
      </w:pPr>
      <w:r w:rsidRPr="000F481A">
        <w:rPr>
          <w:rFonts w:asciiTheme="majorHAnsi" w:hAnsiTheme="majorHAnsi" w:cstheme="majorHAnsi"/>
          <w:i/>
          <w:sz w:val="24"/>
          <w:szCs w:val="24"/>
          <w:lang w:val="ro-RO"/>
        </w:rPr>
        <w:t xml:space="preserve">Auditor public                                                                                                                        </w:t>
      </w:r>
      <w:proofErr w:type="spellStart"/>
      <w:r w:rsidRPr="000F481A">
        <w:rPr>
          <w:rFonts w:asciiTheme="majorHAnsi" w:hAnsiTheme="majorHAnsi" w:cstheme="majorHAnsi"/>
          <w:b/>
          <w:i/>
          <w:sz w:val="24"/>
          <w:szCs w:val="24"/>
          <w:lang w:val="ro-RO"/>
        </w:rPr>
        <w:t>Oxana</w:t>
      </w:r>
      <w:proofErr w:type="spellEnd"/>
      <w:r w:rsidRPr="000F481A">
        <w:rPr>
          <w:rFonts w:asciiTheme="majorHAnsi" w:hAnsiTheme="majorHAnsi" w:cstheme="majorHAnsi"/>
          <w:b/>
          <w:i/>
          <w:sz w:val="24"/>
          <w:szCs w:val="24"/>
          <w:lang w:val="ro-RO"/>
        </w:rPr>
        <w:t xml:space="preserve"> Popescu</w:t>
      </w:r>
    </w:p>
    <w:p w14:paraId="5EE12FE9" w14:textId="77777777" w:rsidR="00CB518F" w:rsidRDefault="00CB518F">
      <w:pPr>
        <w:rPr>
          <w:rFonts w:asciiTheme="majorHAnsi" w:hAnsiTheme="majorHAnsi" w:cstheme="majorHAnsi"/>
          <w:b/>
          <w:i/>
          <w:sz w:val="24"/>
          <w:szCs w:val="24"/>
          <w:lang w:val="ro-RO"/>
        </w:rPr>
      </w:pPr>
      <w:bookmarkStart w:id="71" w:name="_Toc483384141"/>
      <w:bookmarkStart w:id="72" w:name="_Toc481742995"/>
      <w:bookmarkStart w:id="73" w:name="_Toc484003924"/>
      <w:bookmarkStart w:id="74" w:name="_Toc515442984"/>
      <w:r>
        <w:rPr>
          <w:rFonts w:asciiTheme="majorHAnsi" w:hAnsiTheme="majorHAnsi" w:cstheme="majorHAnsi"/>
          <w:b/>
          <w:i/>
          <w:sz w:val="24"/>
          <w:szCs w:val="24"/>
          <w:lang w:val="ro-RO"/>
        </w:rPr>
        <w:br w:type="page"/>
      </w:r>
    </w:p>
    <w:p w14:paraId="1E797048" w14:textId="53811E61" w:rsidR="00642B37" w:rsidRDefault="00642B37" w:rsidP="00E72CD6">
      <w:pPr>
        <w:pStyle w:val="2"/>
        <w:spacing w:before="0" w:after="240"/>
        <w:jc w:val="center"/>
        <w:rPr>
          <w:rFonts w:asciiTheme="majorHAnsi" w:hAnsiTheme="majorHAnsi" w:cstheme="majorHAnsi"/>
          <w:b/>
          <w:color w:val="auto"/>
          <w:sz w:val="24"/>
          <w:szCs w:val="24"/>
          <w:lang w:val="ro-RO"/>
        </w:rPr>
      </w:pPr>
      <w:r>
        <w:rPr>
          <w:rFonts w:asciiTheme="majorHAnsi" w:hAnsiTheme="majorHAnsi" w:cstheme="majorHAnsi"/>
          <w:b/>
          <w:i/>
          <w:color w:val="auto"/>
          <w:sz w:val="24"/>
          <w:szCs w:val="24"/>
          <w:lang w:val="ro-RO"/>
        </w:rPr>
        <w:lastRenderedPageBreak/>
        <w:t xml:space="preserve">                                                                                                                                                  </w:t>
      </w:r>
      <w:bookmarkStart w:id="75" w:name="_Toc10106703"/>
      <w:r w:rsidR="00EE138E" w:rsidRPr="004A4FEE">
        <w:rPr>
          <w:rFonts w:asciiTheme="majorHAnsi" w:hAnsiTheme="majorHAnsi" w:cstheme="majorHAnsi"/>
          <w:b/>
          <w:i/>
          <w:color w:val="auto"/>
          <w:sz w:val="24"/>
          <w:szCs w:val="24"/>
          <w:lang w:val="ro-RO"/>
        </w:rPr>
        <w:t>Anexa nr.1</w:t>
      </w:r>
      <w:bookmarkEnd w:id="71"/>
      <w:r w:rsidR="00EE138E" w:rsidRPr="004A4FEE">
        <w:rPr>
          <w:rFonts w:asciiTheme="majorHAnsi" w:hAnsiTheme="majorHAnsi" w:cstheme="majorHAnsi"/>
          <w:b/>
          <w:i/>
          <w:color w:val="auto"/>
          <w:sz w:val="24"/>
          <w:szCs w:val="24"/>
          <w:lang w:val="ro-RO"/>
        </w:rPr>
        <w:t>.</w:t>
      </w:r>
      <w:bookmarkEnd w:id="75"/>
      <w:r w:rsidR="00EE138E" w:rsidRPr="004A4FEE">
        <w:rPr>
          <w:rFonts w:asciiTheme="majorHAnsi" w:hAnsiTheme="majorHAnsi" w:cstheme="majorHAnsi"/>
          <w:b/>
          <w:i/>
          <w:color w:val="auto"/>
          <w:sz w:val="24"/>
          <w:szCs w:val="24"/>
          <w:lang w:val="ro-RO"/>
        </w:rPr>
        <w:t xml:space="preserve"> </w:t>
      </w:r>
      <w:r w:rsidR="00EE138E" w:rsidRPr="004A4FEE">
        <w:rPr>
          <w:rFonts w:asciiTheme="majorHAnsi" w:hAnsiTheme="majorHAnsi" w:cstheme="majorHAnsi"/>
          <w:b/>
          <w:color w:val="auto"/>
          <w:sz w:val="24"/>
          <w:szCs w:val="24"/>
          <w:lang w:val="ro-RO"/>
        </w:rPr>
        <w:t xml:space="preserve"> </w:t>
      </w:r>
    </w:p>
    <w:p w14:paraId="7FF7E0C5" w14:textId="579F89E1" w:rsidR="00EE138E" w:rsidRPr="004A4FEE" w:rsidRDefault="00EE138E" w:rsidP="00E72CD6">
      <w:pPr>
        <w:pStyle w:val="2"/>
        <w:spacing w:before="0" w:after="240"/>
        <w:jc w:val="center"/>
        <w:rPr>
          <w:rFonts w:asciiTheme="majorHAnsi" w:hAnsiTheme="majorHAnsi" w:cstheme="majorHAnsi"/>
          <w:b/>
          <w:color w:val="auto"/>
          <w:sz w:val="24"/>
          <w:szCs w:val="24"/>
          <w:lang w:val="ro-RO"/>
        </w:rPr>
      </w:pPr>
      <w:bookmarkStart w:id="76" w:name="_Toc10106704"/>
      <w:r w:rsidRPr="004A4FEE">
        <w:rPr>
          <w:rFonts w:asciiTheme="majorHAnsi" w:hAnsiTheme="majorHAnsi" w:cstheme="majorHAnsi"/>
          <w:b/>
          <w:color w:val="auto"/>
          <w:sz w:val="24"/>
          <w:szCs w:val="24"/>
          <w:lang w:val="ro-RO"/>
        </w:rPr>
        <w:t>Domeniul de aplicare și metodologia auditului</w:t>
      </w:r>
      <w:bookmarkEnd w:id="72"/>
      <w:bookmarkEnd w:id="73"/>
      <w:bookmarkEnd w:id="74"/>
      <w:bookmarkEnd w:id="76"/>
    </w:p>
    <w:p w14:paraId="6376F1AE" w14:textId="77777777" w:rsidR="00EE138E" w:rsidRPr="004A4FEE" w:rsidRDefault="00EE138E" w:rsidP="00AD5AF9">
      <w:pPr>
        <w:spacing w:line="240" w:lineRule="auto"/>
        <w:ind w:firstLine="720"/>
        <w:rPr>
          <w:rFonts w:asciiTheme="majorHAnsi" w:hAnsiTheme="majorHAnsi" w:cstheme="majorHAnsi"/>
          <w:b/>
          <w:sz w:val="24"/>
          <w:szCs w:val="24"/>
          <w:lang w:val="ro-RO"/>
        </w:rPr>
      </w:pPr>
      <w:r w:rsidRPr="004A4FEE">
        <w:rPr>
          <w:rFonts w:asciiTheme="majorHAnsi" w:hAnsiTheme="majorHAnsi" w:cstheme="majorHAnsi"/>
          <w:b/>
          <w:sz w:val="24"/>
          <w:szCs w:val="24"/>
          <w:lang w:val="ro-RO"/>
        </w:rPr>
        <w:t>Domeniul de aplicare</w:t>
      </w:r>
    </w:p>
    <w:p w14:paraId="652293D3" w14:textId="77777777" w:rsidR="004A4FEE" w:rsidRPr="004A4FEE" w:rsidRDefault="00EE138E" w:rsidP="004A4FEE">
      <w:pPr>
        <w:spacing w:after="0" w:line="276" w:lineRule="auto"/>
        <w:ind w:firstLine="720"/>
        <w:jc w:val="both"/>
        <w:rPr>
          <w:rFonts w:asciiTheme="majorHAnsi" w:hAnsiTheme="majorHAnsi" w:cstheme="majorHAnsi"/>
          <w:sz w:val="24"/>
          <w:szCs w:val="24"/>
          <w:lang w:val="ro-RO"/>
        </w:rPr>
      </w:pPr>
      <w:r w:rsidRPr="004A4FEE">
        <w:rPr>
          <w:rFonts w:asciiTheme="majorHAnsi" w:hAnsiTheme="majorHAnsi" w:cstheme="majorHAnsi"/>
          <w:sz w:val="24"/>
          <w:szCs w:val="24"/>
          <w:lang w:val="ro-RO"/>
        </w:rPr>
        <w:t>Curtea de Conturi a Republicii Moldova, în conformitate cu Programul a</w:t>
      </w:r>
      <w:r w:rsidR="009E1B1D" w:rsidRPr="004A4FEE">
        <w:rPr>
          <w:rFonts w:asciiTheme="majorHAnsi" w:hAnsiTheme="majorHAnsi" w:cstheme="majorHAnsi"/>
          <w:sz w:val="24"/>
          <w:szCs w:val="24"/>
          <w:lang w:val="ro-RO"/>
        </w:rPr>
        <w:t>ctivității de audit pe anul 2019</w:t>
      </w:r>
      <w:r w:rsidRPr="004A4FEE">
        <w:rPr>
          <w:rStyle w:val="ae"/>
          <w:rFonts w:asciiTheme="majorHAnsi" w:hAnsiTheme="majorHAnsi" w:cstheme="majorHAnsi"/>
          <w:sz w:val="24"/>
          <w:szCs w:val="24"/>
          <w:lang w:val="ro-RO"/>
        </w:rPr>
        <w:footnoteReference w:id="40"/>
      </w:r>
      <w:r w:rsidRPr="004A4FEE">
        <w:rPr>
          <w:rFonts w:asciiTheme="majorHAnsi" w:hAnsiTheme="majorHAnsi" w:cstheme="majorHAnsi"/>
          <w:sz w:val="24"/>
          <w:szCs w:val="24"/>
          <w:lang w:val="ro-RO"/>
        </w:rPr>
        <w:t xml:space="preserve">, a inițiat auditul performanței managementului datoriei </w:t>
      </w:r>
      <w:r w:rsidR="00FE2D31" w:rsidRPr="004A4FEE">
        <w:rPr>
          <w:rFonts w:asciiTheme="majorHAnsi" w:hAnsiTheme="majorHAnsi" w:cstheme="majorHAnsi"/>
          <w:sz w:val="24"/>
          <w:szCs w:val="24"/>
          <w:lang w:val="ro-RO"/>
        </w:rPr>
        <w:t>de stat, garanțiilor de stat și recreditării de stat pe anul 2018</w:t>
      </w:r>
      <w:r w:rsidRPr="004A4FEE">
        <w:rPr>
          <w:rFonts w:asciiTheme="majorHAnsi" w:hAnsiTheme="majorHAnsi" w:cstheme="majorHAnsi"/>
          <w:sz w:val="24"/>
          <w:szCs w:val="24"/>
          <w:lang w:val="ro-RO"/>
        </w:rPr>
        <w:t xml:space="preserve">, în scopul </w:t>
      </w:r>
      <w:r w:rsidR="004A4FEE" w:rsidRPr="008E6807">
        <w:rPr>
          <w:rFonts w:asciiTheme="majorHAnsi" w:hAnsiTheme="majorHAnsi"/>
          <w:sz w:val="24"/>
          <w:lang w:val="ro-RO"/>
        </w:rPr>
        <w:t>evaluării</w:t>
      </w:r>
      <w:r w:rsidR="00BE4359" w:rsidRPr="008E6807">
        <w:rPr>
          <w:rFonts w:asciiTheme="majorHAnsi" w:hAnsiTheme="majorHAnsi"/>
          <w:sz w:val="24"/>
          <w:lang w:val="ro-RO"/>
        </w:rPr>
        <w:t xml:space="preserve"> modului de administrare a datoriei de stat, garanțiilor de stat și recreditării de stat, </w:t>
      </w:r>
      <w:r w:rsidR="004A4FEE" w:rsidRPr="008E6807">
        <w:rPr>
          <w:rFonts w:asciiTheme="majorHAnsi" w:hAnsiTheme="majorHAnsi"/>
          <w:sz w:val="24"/>
          <w:lang w:val="ro-RO"/>
        </w:rPr>
        <w:t xml:space="preserve">precum și de monitorizare și organizare a deservirii datoriei de stat, </w:t>
      </w:r>
      <w:r w:rsidR="00BE4359" w:rsidRPr="008E6807">
        <w:rPr>
          <w:rFonts w:asciiTheme="majorHAnsi" w:hAnsiTheme="majorHAnsi"/>
          <w:sz w:val="24"/>
          <w:lang w:val="ro-RO"/>
        </w:rPr>
        <w:t xml:space="preserve">prin prisma </w:t>
      </w:r>
      <w:r w:rsidR="004A4FEE" w:rsidRPr="008E6807">
        <w:rPr>
          <w:rFonts w:asciiTheme="majorHAnsi" w:hAnsiTheme="majorHAnsi"/>
          <w:sz w:val="24"/>
          <w:lang w:val="ro-RO"/>
        </w:rPr>
        <w:t>atribuțiilor ce îi revin</w:t>
      </w:r>
      <w:r w:rsidR="000B7421" w:rsidRPr="008E6807">
        <w:rPr>
          <w:rFonts w:asciiTheme="majorHAnsi" w:hAnsiTheme="majorHAnsi"/>
          <w:sz w:val="24"/>
          <w:lang w:val="ro-RO"/>
        </w:rPr>
        <w:t xml:space="preserve"> Ministerului Finanțelor</w:t>
      </w:r>
      <w:r w:rsidR="004A4FEE" w:rsidRPr="008E6807">
        <w:rPr>
          <w:rFonts w:asciiTheme="majorHAnsi" w:hAnsiTheme="majorHAnsi"/>
          <w:sz w:val="24"/>
          <w:lang w:val="ro-RO"/>
        </w:rPr>
        <w:t xml:space="preserve">. </w:t>
      </w:r>
    </w:p>
    <w:p w14:paraId="7A8DE9E7" w14:textId="77777777" w:rsidR="00EE138E" w:rsidRPr="008E6807" w:rsidRDefault="00EE138E" w:rsidP="001E0251">
      <w:pPr>
        <w:spacing w:after="0" w:line="276" w:lineRule="auto"/>
        <w:ind w:firstLine="720"/>
        <w:jc w:val="both"/>
        <w:rPr>
          <w:rFonts w:asciiTheme="majorHAnsi" w:hAnsiTheme="majorHAnsi"/>
          <w:color w:val="000000"/>
          <w:sz w:val="24"/>
          <w:lang w:val="ro-RO"/>
        </w:rPr>
      </w:pPr>
      <w:r w:rsidRPr="008E6807">
        <w:rPr>
          <w:rFonts w:asciiTheme="majorHAnsi" w:hAnsiTheme="majorHAnsi"/>
          <w:sz w:val="24"/>
          <w:lang w:val="ro-RO"/>
        </w:rPr>
        <w:t xml:space="preserve">Auditul a fost efectuat la MF, </w:t>
      </w:r>
      <w:r w:rsidRPr="008E6807">
        <w:rPr>
          <w:rFonts w:asciiTheme="majorHAnsi" w:hAnsiTheme="majorHAnsi"/>
          <w:color w:val="000000"/>
          <w:sz w:val="24"/>
          <w:lang w:val="ro-RO"/>
        </w:rPr>
        <w:t xml:space="preserve">care are misiunea de realizare a managementului </w:t>
      </w:r>
      <w:proofErr w:type="spellStart"/>
      <w:r w:rsidRPr="008E6807">
        <w:rPr>
          <w:rFonts w:asciiTheme="majorHAnsi" w:hAnsiTheme="majorHAnsi"/>
          <w:color w:val="000000"/>
          <w:sz w:val="24"/>
          <w:lang w:val="ro-RO"/>
        </w:rPr>
        <w:t>finanţelor</w:t>
      </w:r>
      <w:proofErr w:type="spellEnd"/>
      <w:r w:rsidRPr="008E6807">
        <w:rPr>
          <w:rFonts w:asciiTheme="majorHAnsi" w:hAnsiTheme="majorHAnsi"/>
          <w:color w:val="000000"/>
          <w:sz w:val="24"/>
          <w:lang w:val="ro-RO"/>
        </w:rPr>
        <w:t xml:space="preserve"> publice, de implementare a principiilor de bună guvernare, de elaborare a politicilor publice eficiente, inclusiv în domeniul datoriei sectorului public, garanțiilor de stat </w:t>
      </w:r>
      <w:proofErr w:type="spellStart"/>
      <w:r w:rsidRPr="008E6807">
        <w:rPr>
          <w:rFonts w:asciiTheme="majorHAnsi" w:hAnsiTheme="majorHAnsi"/>
          <w:color w:val="000000"/>
          <w:sz w:val="24"/>
          <w:lang w:val="ro-RO"/>
        </w:rPr>
        <w:t>şi</w:t>
      </w:r>
      <w:proofErr w:type="spellEnd"/>
      <w:r w:rsidRPr="008E6807">
        <w:rPr>
          <w:rFonts w:asciiTheme="majorHAnsi" w:hAnsiTheme="majorHAnsi"/>
          <w:color w:val="000000"/>
          <w:sz w:val="24"/>
          <w:lang w:val="ro-RO"/>
        </w:rPr>
        <w:t xml:space="preserve"> recreditării de stat, de monitorizare a calității politicilor </w:t>
      </w:r>
      <w:proofErr w:type="spellStart"/>
      <w:r w:rsidRPr="008E6807">
        <w:rPr>
          <w:rFonts w:asciiTheme="majorHAnsi" w:hAnsiTheme="majorHAnsi"/>
          <w:color w:val="000000"/>
          <w:sz w:val="24"/>
          <w:lang w:val="ro-RO"/>
        </w:rPr>
        <w:t>şi</w:t>
      </w:r>
      <w:proofErr w:type="spellEnd"/>
      <w:r w:rsidRPr="008E6807">
        <w:rPr>
          <w:rFonts w:asciiTheme="majorHAnsi" w:hAnsiTheme="majorHAnsi"/>
          <w:color w:val="000000"/>
          <w:sz w:val="24"/>
          <w:lang w:val="ro-RO"/>
        </w:rPr>
        <w:t xml:space="preserve"> actelor normative, de propunere a intervențiilor justificate ale statului, care urmează să ofere soluții eficiente în domeniile de </w:t>
      </w:r>
      <w:proofErr w:type="spellStart"/>
      <w:r w:rsidRPr="008E6807">
        <w:rPr>
          <w:rFonts w:asciiTheme="majorHAnsi" w:hAnsiTheme="majorHAnsi"/>
          <w:color w:val="000000"/>
          <w:sz w:val="24"/>
          <w:lang w:val="ro-RO"/>
        </w:rPr>
        <w:t>competenţă</w:t>
      </w:r>
      <w:proofErr w:type="spellEnd"/>
      <w:r w:rsidRPr="008E6807">
        <w:rPr>
          <w:rFonts w:asciiTheme="majorHAnsi" w:hAnsiTheme="majorHAnsi"/>
          <w:color w:val="000000"/>
          <w:sz w:val="24"/>
          <w:lang w:val="ro-RO"/>
        </w:rPr>
        <w:t xml:space="preserve">, de analizare a </w:t>
      </w:r>
      <w:proofErr w:type="spellStart"/>
      <w:r w:rsidRPr="008E6807">
        <w:rPr>
          <w:rFonts w:asciiTheme="majorHAnsi" w:hAnsiTheme="majorHAnsi"/>
          <w:color w:val="000000"/>
          <w:sz w:val="24"/>
          <w:lang w:val="ro-RO"/>
        </w:rPr>
        <w:t>situaţiilor</w:t>
      </w:r>
      <w:proofErr w:type="spellEnd"/>
      <w:r w:rsidRPr="008E6807">
        <w:rPr>
          <w:rFonts w:asciiTheme="majorHAnsi" w:hAnsiTheme="majorHAnsi"/>
          <w:color w:val="000000"/>
          <w:sz w:val="24"/>
          <w:lang w:val="ro-RO"/>
        </w:rPr>
        <w:t xml:space="preserve"> </w:t>
      </w:r>
      <w:proofErr w:type="spellStart"/>
      <w:r w:rsidRPr="008E6807">
        <w:rPr>
          <w:rFonts w:asciiTheme="majorHAnsi" w:hAnsiTheme="majorHAnsi"/>
          <w:color w:val="000000"/>
          <w:sz w:val="24"/>
          <w:lang w:val="ro-RO"/>
        </w:rPr>
        <w:t>şi</w:t>
      </w:r>
      <w:proofErr w:type="spellEnd"/>
      <w:r w:rsidRPr="008E6807">
        <w:rPr>
          <w:rFonts w:asciiTheme="majorHAnsi" w:hAnsiTheme="majorHAnsi"/>
          <w:color w:val="000000"/>
          <w:sz w:val="24"/>
          <w:lang w:val="ro-RO"/>
        </w:rPr>
        <w:t xml:space="preserve"> problemelor, asigurând cel mai bun raport dintre rezultatele scontate </w:t>
      </w:r>
      <w:proofErr w:type="spellStart"/>
      <w:r w:rsidRPr="008E6807">
        <w:rPr>
          <w:rFonts w:asciiTheme="majorHAnsi" w:hAnsiTheme="majorHAnsi"/>
          <w:color w:val="000000"/>
          <w:sz w:val="24"/>
          <w:lang w:val="ro-RO"/>
        </w:rPr>
        <w:t>şi</w:t>
      </w:r>
      <w:proofErr w:type="spellEnd"/>
      <w:r w:rsidRPr="008E6807">
        <w:rPr>
          <w:rFonts w:asciiTheme="majorHAnsi" w:hAnsiTheme="majorHAnsi"/>
          <w:color w:val="000000"/>
          <w:sz w:val="24"/>
          <w:lang w:val="ro-RO"/>
        </w:rPr>
        <w:t xml:space="preserve"> costurile preconizate.</w:t>
      </w:r>
    </w:p>
    <w:p w14:paraId="31534478" w14:textId="5ED85A9E" w:rsidR="00EE138E" w:rsidRPr="00B36F3D" w:rsidRDefault="00EE138E" w:rsidP="004A4FEE">
      <w:pPr>
        <w:spacing w:after="0" w:line="276" w:lineRule="auto"/>
        <w:ind w:firstLine="720"/>
        <w:jc w:val="both"/>
        <w:rPr>
          <w:rFonts w:asciiTheme="majorHAnsi" w:hAnsiTheme="majorHAnsi" w:cstheme="majorHAnsi"/>
          <w:sz w:val="24"/>
          <w:szCs w:val="24"/>
          <w:lang w:val="ro-RO"/>
        </w:rPr>
      </w:pPr>
      <w:r w:rsidRPr="00112902">
        <w:rPr>
          <w:rFonts w:asciiTheme="majorHAnsi" w:hAnsiTheme="majorHAnsi" w:cstheme="majorHAnsi"/>
          <w:sz w:val="24"/>
          <w:szCs w:val="24"/>
          <w:lang w:val="ro-RO"/>
        </w:rPr>
        <w:t>Pentru obținerea unor probe relevante și rezonabile, care să susțină concluziile și credibilitatea constatărilor expuse în Raportul de audit, echipa de audit a utilizat mai multe proceduri de audit, cum ar fi: examinarea documentelor și a rapoartelor, interviurile cu persoanele din cadrul MF responsabile de managementul datoriei de stat,</w:t>
      </w:r>
      <w:r w:rsidR="00BD3F0B" w:rsidRPr="00112902">
        <w:rPr>
          <w:rFonts w:asciiTheme="majorHAnsi" w:hAnsiTheme="majorHAnsi" w:cstheme="majorHAnsi"/>
          <w:sz w:val="24"/>
          <w:szCs w:val="24"/>
          <w:lang w:val="ro-RO"/>
        </w:rPr>
        <w:t xml:space="preserve"> garanțiilor de stat și recreditării de stat, chestionarele,</w:t>
      </w:r>
      <w:r w:rsidRPr="00112902">
        <w:rPr>
          <w:rFonts w:asciiTheme="majorHAnsi" w:hAnsiTheme="majorHAnsi" w:cstheme="majorHAnsi"/>
          <w:sz w:val="24"/>
          <w:szCs w:val="24"/>
          <w:lang w:val="ro-RO"/>
        </w:rPr>
        <w:t xml:space="preserve"> calculele și comparațiile,</w:t>
      </w:r>
      <w:r w:rsidRPr="00B36F3D">
        <w:rPr>
          <w:rFonts w:asciiTheme="majorHAnsi" w:hAnsiTheme="majorHAnsi" w:cstheme="majorHAnsi"/>
          <w:sz w:val="24"/>
          <w:szCs w:val="24"/>
          <w:lang w:val="ro-RO"/>
        </w:rPr>
        <w:t xml:space="preserve"> studierea standardelor/ghidurilor internaționale aferente domeniului auditat. Analizele au fost efectuate în baza datelor din rapoartele întocmite de MF, precum și a altor date solicitate de către echipa de audit. Totodată, se menționează că  datel</w:t>
      </w:r>
      <w:r w:rsidR="00975E31">
        <w:rPr>
          <w:rFonts w:asciiTheme="majorHAnsi" w:hAnsiTheme="majorHAnsi" w:cstheme="majorHAnsi"/>
          <w:sz w:val="24"/>
          <w:szCs w:val="24"/>
          <w:lang w:val="ro-RO"/>
        </w:rPr>
        <w:t>e</w:t>
      </w:r>
      <w:r w:rsidR="00B36F3D" w:rsidRPr="00B36F3D">
        <w:rPr>
          <w:rFonts w:asciiTheme="majorHAnsi" w:hAnsiTheme="majorHAnsi" w:cstheme="majorHAnsi"/>
          <w:sz w:val="24"/>
          <w:szCs w:val="24"/>
          <w:lang w:val="ro-RO"/>
        </w:rPr>
        <w:t>/informațiil</w:t>
      </w:r>
      <w:r w:rsidR="00975E31">
        <w:rPr>
          <w:rFonts w:asciiTheme="majorHAnsi" w:hAnsiTheme="majorHAnsi" w:cstheme="majorHAnsi"/>
          <w:sz w:val="24"/>
          <w:szCs w:val="24"/>
          <w:lang w:val="ro-RO"/>
        </w:rPr>
        <w:t>e</w:t>
      </w:r>
      <w:r w:rsidR="00B36F3D" w:rsidRPr="00B36F3D">
        <w:rPr>
          <w:rFonts w:asciiTheme="majorHAnsi" w:hAnsiTheme="majorHAnsi" w:cstheme="majorHAnsi"/>
          <w:sz w:val="24"/>
          <w:szCs w:val="24"/>
          <w:lang w:val="ro-RO"/>
        </w:rPr>
        <w:t xml:space="preserve"> pentru anul 2018</w:t>
      </w:r>
      <w:r w:rsidRPr="00B36F3D">
        <w:rPr>
          <w:rFonts w:asciiTheme="majorHAnsi" w:hAnsiTheme="majorHAnsi" w:cstheme="majorHAnsi"/>
          <w:sz w:val="24"/>
          <w:szCs w:val="24"/>
          <w:lang w:val="ro-RO"/>
        </w:rPr>
        <w:t xml:space="preserve"> s-au </w:t>
      </w:r>
      <w:r w:rsidR="00975E31">
        <w:rPr>
          <w:rFonts w:asciiTheme="majorHAnsi" w:hAnsiTheme="majorHAnsi" w:cstheme="majorHAnsi"/>
          <w:sz w:val="24"/>
          <w:szCs w:val="24"/>
          <w:lang w:val="ro-RO"/>
        </w:rPr>
        <w:t>analizat</w:t>
      </w:r>
      <w:r w:rsidR="00B36F3D" w:rsidRPr="00B36F3D">
        <w:rPr>
          <w:rFonts w:asciiTheme="majorHAnsi" w:hAnsiTheme="majorHAnsi" w:cstheme="majorHAnsi"/>
          <w:sz w:val="24"/>
          <w:szCs w:val="24"/>
          <w:lang w:val="ro-RO"/>
        </w:rPr>
        <w:t xml:space="preserve"> în comparație cu anii 2016 și 2017</w:t>
      </w:r>
      <w:r w:rsidRPr="00B36F3D">
        <w:rPr>
          <w:rFonts w:asciiTheme="majorHAnsi" w:hAnsiTheme="majorHAnsi" w:cstheme="majorHAnsi"/>
          <w:sz w:val="24"/>
          <w:szCs w:val="24"/>
          <w:lang w:val="ro-RO"/>
        </w:rPr>
        <w:t>.</w:t>
      </w:r>
    </w:p>
    <w:p w14:paraId="62768BAE" w14:textId="77777777" w:rsidR="00EE138E" w:rsidRPr="00B36F3D" w:rsidRDefault="00EE138E" w:rsidP="004A4FEE">
      <w:pPr>
        <w:spacing w:after="0" w:line="276" w:lineRule="auto"/>
        <w:ind w:firstLine="720"/>
        <w:jc w:val="both"/>
        <w:rPr>
          <w:rFonts w:asciiTheme="majorHAnsi" w:hAnsiTheme="majorHAnsi" w:cstheme="majorHAnsi"/>
          <w:sz w:val="24"/>
          <w:szCs w:val="24"/>
          <w:lang w:val="ro-RO"/>
        </w:rPr>
      </w:pPr>
      <w:r w:rsidRPr="00B36F3D">
        <w:rPr>
          <w:rFonts w:asciiTheme="majorHAnsi" w:hAnsiTheme="majorHAnsi" w:cstheme="majorHAnsi"/>
          <w:sz w:val="24"/>
          <w:szCs w:val="24"/>
          <w:lang w:val="ro-RO"/>
        </w:rPr>
        <w:t xml:space="preserve">Pe parcursul misiunii de audit, la efectuarea activităților aferente, echipa de audit a Curții de Conturi s-a ghidat de: ISSAI 100 „Principii fundamentale ale auditului sectorului public”; ISSAI 300 „Principii fundamentale ale auditului performanței”; </w:t>
      </w:r>
      <w:r w:rsidR="00B36F3D" w:rsidRPr="00B36F3D">
        <w:rPr>
          <w:rFonts w:asciiTheme="majorHAnsi" w:hAnsiTheme="majorHAnsi" w:cstheme="majorHAnsi"/>
          <w:sz w:val="24"/>
          <w:szCs w:val="24"/>
          <w:lang w:val="ro-RO"/>
        </w:rPr>
        <w:t xml:space="preserve">ISSAI 3000 „Standarde și linii directoare pentru auditul performanței în baza Standardelor de Audit ale INTOSAI și a experienței practice”; </w:t>
      </w:r>
      <w:r w:rsidRPr="00B36F3D">
        <w:rPr>
          <w:rFonts w:asciiTheme="majorHAnsi" w:hAnsiTheme="majorHAnsi" w:cstheme="majorHAnsi"/>
          <w:sz w:val="24"/>
          <w:szCs w:val="24"/>
          <w:lang w:val="ro-RO"/>
        </w:rPr>
        <w:t xml:space="preserve">ISSAI 3100 „Ghidul auditului performanței – principii de bază”; ISSAI 400 „Principiile fundamentale ale auditului de conformitate”; ISSAI 4000 „Ghidul auditului de conformitate. Introducere generală”; ISSAI 5411 „Indicatorii  datoriei publice”; ISSAI 5422 „Un exercițiu cu termeni de referință pentru efectuarea auditului </w:t>
      </w:r>
      <w:r w:rsidR="00BF5443" w:rsidRPr="00B36F3D">
        <w:rPr>
          <w:rFonts w:asciiTheme="majorHAnsi" w:hAnsiTheme="majorHAnsi" w:cstheme="majorHAnsi"/>
          <w:sz w:val="24"/>
          <w:szCs w:val="24"/>
          <w:lang w:val="ro-RO"/>
        </w:rPr>
        <w:t>de performanță a</w:t>
      </w:r>
      <w:r w:rsidRPr="00B36F3D">
        <w:rPr>
          <w:rFonts w:asciiTheme="majorHAnsi" w:hAnsiTheme="majorHAnsi" w:cstheme="majorHAnsi"/>
          <w:sz w:val="24"/>
          <w:szCs w:val="24"/>
          <w:lang w:val="ro-RO"/>
        </w:rPr>
        <w:t xml:space="preserve"> datoriei publice”; Manualul de audit al performanței</w:t>
      </w:r>
      <w:r w:rsidRPr="00B36F3D">
        <w:rPr>
          <w:rStyle w:val="ae"/>
          <w:rFonts w:asciiTheme="majorHAnsi" w:hAnsiTheme="majorHAnsi" w:cstheme="majorHAnsi"/>
          <w:sz w:val="24"/>
          <w:szCs w:val="24"/>
          <w:lang w:val="ro-RO"/>
        </w:rPr>
        <w:footnoteReference w:id="41"/>
      </w:r>
      <w:r w:rsidRPr="00B36F3D">
        <w:rPr>
          <w:rFonts w:asciiTheme="majorHAnsi" w:hAnsiTheme="majorHAnsi" w:cstheme="majorHAnsi"/>
          <w:sz w:val="24"/>
          <w:szCs w:val="24"/>
          <w:lang w:val="ro-RO"/>
        </w:rPr>
        <w:t>; actele legislative și normative în vigoare aferente domeniului auditat; bunele practici internaționale.</w:t>
      </w:r>
    </w:p>
    <w:p w14:paraId="78D9751D" w14:textId="77777777" w:rsidR="00F8570B" w:rsidRPr="004A4FEE" w:rsidRDefault="00F8570B" w:rsidP="004A4FEE">
      <w:pPr>
        <w:spacing w:after="0" w:line="276" w:lineRule="auto"/>
        <w:jc w:val="both"/>
        <w:rPr>
          <w:rFonts w:asciiTheme="majorHAnsi" w:hAnsiTheme="majorHAnsi" w:cstheme="majorHAnsi"/>
          <w:sz w:val="24"/>
          <w:szCs w:val="24"/>
          <w:highlight w:val="yellow"/>
          <w:lang w:val="ro-RO"/>
        </w:rPr>
      </w:pPr>
    </w:p>
    <w:p w14:paraId="496ED0BF" w14:textId="77777777" w:rsidR="00EE138E" w:rsidRPr="000C7E8F" w:rsidRDefault="001D76B3" w:rsidP="000C7E8F">
      <w:pPr>
        <w:spacing w:after="0" w:line="276" w:lineRule="auto"/>
        <w:ind w:firstLine="720"/>
        <w:jc w:val="both"/>
        <w:rPr>
          <w:rFonts w:asciiTheme="majorHAnsi" w:hAnsiTheme="majorHAnsi" w:cstheme="majorHAnsi"/>
          <w:b/>
          <w:bCs/>
          <w:sz w:val="24"/>
          <w:szCs w:val="24"/>
          <w:lang w:val="ro-RO"/>
        </w:rPr>
      </w:pPr>
      <w:r w:rsidRPr="000C7E8F">
        <w:rPr>
          <w:rFonts w:asciiTheme="majorHAnsi" w:hAnsiTheme="majorHAnsi" w:cstheme="majorHAnsi"/>
          <w:b/>
          <w:bCs/>
          <w:sz w:val="24"/>
          <w:szCs w:val="24"/>
          <w:lang w:val="ro-RO"/>
        </w:rPr>
        <w:t xml:space="preserve">Metodologia </w:t>
      </w:r>
      <w:r w:rsidR="00EE138E" w:rsidRPr="000C7E8F">
        <w:rPr>
          <w:rFonts w:asciiTheme="majorHAnsi" w:hAnsiTheme="majorHAnsi" w:cstheme="majorHAnsi"/>
          <w:b/>
          <w:bCs/>
          <w:sz w:val="24"/>
          <w:szCs w:val="24"/>
          <w:lang w:val="ro-RO"/>
        </w:rPr>
        <w:t>audit</w:t>
      </w:r>
      <w:r w:rsidRPr="000C7E8F">
        <w:rPr>
          <w:rFonts w:asciiTheme="majorHAnsi" w:hAnsiTheme="majorHAnsi" w:cstheme="majorHAnsi"/>
          <w:b/>
          <w:bCs/>
          <w:sz w:val="24"/>
          <w:szCs w:val="24"/>
          <w:lang w:val="ro-RO"/>
        </w:rPr>
        <w:t>ului</w:t>
      </w:r>
    </w:p>
    <w:p w14:paraId="48A24842" w14:textId="77777777" w:rsidR="00EE138E" w:rsidRPr="00565CFC" w:rsidRDefault="00EE138E" w:rsidP="004A4FEE">
      <w:pPr>
        <w:spacing w:after="0" w:line="276" w:lineRule="auto"/>
        <w:ind w:firstLine="720"/>
        <w:jc w:val="both"/>
        <w:rPr>
          <w:rFonts w:asciiTheme="majorHAnsi" w:hAnsiTheme="majorHAnsi" w:cstheme="majorHAnsi"/>
          <w:sz w:val="24"/>
          <w:szCs w:val="24"/>
          <w:lang w:val="ro-RO"/>
        </w:rPr>
      </w:pPr>
      <w:r w:rsidRPr="00565CFC">
        <w:rPr>
          <w:rFonts w:asciiTheme="majorHAnsi" w:hAnsiTheme="majorHAnsi" w:cstheme="majorHAnsi"/>
          <w:sz w:val="24"/>
          <w:szCs w:val="24"/>
          <w:lang w:val="ro-RO"/>
        </w:rPr>
        <w:t xml:space="preserve">Concluziile și constatările prezentate în Raport au fost formulate în urma aplicării următoarelor tehnici și proceduri de audit: </w:t>
      </w:r>
    </w:p>
    <w:p w14:paraId="14BAF5DA" w14:textId="77777777" w:rsidR="00EE138E" w:rsidRPr="00565CFC" w:rsidRDefault="00EE138E" w:rsidP="004A4FEE">
      <w:pPr>
        <w:pStyle w:val="a4"/>
        <w:numPr>
          <w:ilvl w:val="0"/>
          <w:numId w:val="12"/>
        </w:numPr>
        <w:spacing w:after="0" w:line="276" w:lineRule="auto"/>
        <w:ind w:left="0" w:firstLine="567"/>
        <w:jc w:val="both"/>
        <w:rPr>
          <w:rFonts w:asciiTheme="majorHAnsi" w:hAnsiTheme="majorHAnsi" w:cstheme="majorHAnsi"/>
          <w:sz w:val="24"/>
          <w:szCs w:val="24"/>
          <w:lang w:val="ro-RO"/>
        </w:rPr>
      </w:pPr>
      <w:r w:rsidRPr="00565CFC">
        <w:rPr>
          <w:rFonts w:asciiTheme="majorHAnsi" w:hAnsiTheme="majorHAnsi" w:cstheme="majorHAnsi"/>
          <w:i/>
          <w:iCs/>
          <w:sz w:val="24"/>
          <w:szCs w:val="24"/>
          <w:lang w:val="ro-RO"/>
        </w:rPr>
        <w:t>a fost examinat și analizat Programul „Managementul datorie</w:t>
      </w:r>
      <w:r w:rsidR="0094058A" w:rsidRPr="00565CFC">
        <w:rPr>
          <w:rFonts w:asciiTheme="majorHAnsi" w:hAnsiTheme="majorHAnsi" w:cstheme="majorHAnsi"/>
          <w:i/>
          <w:iCs/>
          <w:sz w:val="24"/>
          <w:szCs w:val="24"/>
          <w:lang w:val="ro-RO"/>
        </w:rPr>
        <w:t>i de stat pe termen mediu” (2018-2020</w:t>
      </w:r>
      <w:r w:rsidRPr="00565CFC">
        <w:rPr>
          <w:rFonts w:asciiTheme="majorHAnsi" w:hAnsiTheme="majorHAnsi" w:cstheme="majorHAnsi"/>
          <w:i/>
          <w:iCs/>
          <w:sz w:val="24"/>
          <w:szCs w:val="24"/>
          <w:lang w:val="ro-RO"/>
        </w:rPr>
        <w:t>);</w:t>
      </w:r>
    </w:p>
    <w:p w14:paraId="637678EC" w14:textId="77777777" w:rsidR="00EE138E" w:rsidRPr="008A5B1F" w:rsidRDefault="00EE138E" w:rsidP="008A5B1F">
      <w:pPr>
        <w:pStyle w:val="a4"/>
        <w:numPr>
          <w:ilvl w:val="0"/>
          <w:numId w:val="12"/>
        </w:numPr>
        <w:spacing w:after="0" w:line="276" w:lineRule="auto"/>
        <w:ind w:left="0" w:firstLine="567"/>
        <w:jc w:val="both"/>
        <w:rPr>
          <w:rFonts w:asciiTheme="majorHAnsi" w:hAnsiTheme="majorHAnsi" w:cstheme="majorHAnsi"/>
          <w:sz w:val="24"/>
          <w:szCs w:val="24"/>
          <w:lang w:val="ro-RO"/>
        </w:rPr>
      </w:pPr>
      <w:r w:rsidRPr="00565CFC">
        <w:rPr>
          <w:rFonts w:asciiTheme="majorHAnsi" w:hAnsiTheme="majorHAnsi" w:cstheme="majorHAnsi"/>
          <w:i/>
          <w:iCs/>
          <w:sz w:val="24"/>
          <w:szCs w:val="24"/>
          <w:lang w:val="ro-RO"/>
        </w:rPr>
        <w:lastRenderedPageBreak/>
        <w:t xml:space="preserve">au fost analizați indicatorii de risc și de sustenabilitate </w:t>
      </w:r>
      <w:r w:rsidRPr="00B04B15">
        <w:rPr>
          <w:rFonts w:asciiTheme="majorHAnsi" w:hAnsiTheme="majorHAnsi" w:cstheme="majorHAnsi"/>
          <w:i/>
          <w:iCs/>
          <w:sz w:val="24"/>
          <w:szCs w:val="24"/>
          <w:lang w:val="ro-RO"/>
        </w:rPr>
        <w:t>a</w:t>
      </w:r>
      <w:r w:rsidRPr="00565CFC">
        <w:rPr>
          <w:rFonts w:asciiTheme="majorHAnsi" w:hAnsiTheme="majorHAnsi" w:cstheme="majorHAnsi"/>
          <w:i/>
          <w:iCs/>
          <w:sz w:val="24"/>
          <w:szCs w:val="24"/>
          <w:lang w:val="ro-RO"/>
        </w:rPr>
        <w:t xml:space="preserve"> datoriei </w:t>
      </w:r>
      <w:r w:rsidR="0094058A" w:rsidRPr="00565CFC">
        <w:rPr>
          <w:rFonts w:asciiTheme="majorHAnsi" w:hAnsiTheme="majorHAnsi" w:cstheme="majorHAnsi"/>
          <w:i/>
          <w:iCs/>
          <w:sz w:val="24"/>
          <w:szCs w:val="24"/>
          <w:lang w:val="ro-RO"/>
        </w:rPr>
        <w:t>de stat</w:t>
      </w:r>
      <w:r w:rsidRPr="00565CFC">
        <w:rPr>
          <w:rFonts w:asciiTheme="majorHAnsi" w:hAnsiTheme="majorHAnsi" w:cstheme="majorHAnsi"/>
          <w:i/>
          <w:iCs/>
          <w:sz w:val="24"/>
          <w:szCs w:val="24"/>
          <w:lang w:val="ro-RO"/>
        </w:rPr>
        <w:t>, precum și măsurile întreprinse de MF în vederea monitorizării acestor indicatori;</w:t>
      </w:r>
    </w:p>
    <w:p w14:paraId="5309CF93" w14:textId="77777777" w:rsidR="00EE138E" w:rsidRPr="00565CFC" w:rsidRDefault="00EE138E" w:rsidP="004A4FEE">
      <w:pPr>
        <w:pStyle w:val="a4"/>
        <w:numPr>
          <w:ilvl w:val="0"/>
          <w:numId w:val="12"/>
        </w:numPr>
        <w:spacing w:after="0" w:line="276" w:lineRule="auto"/>
        <w:ind w:left="0" w:firstLine="567"/>
        <w:jc w:val="both"/>
        <w:rPr>
          <w:rFonts w:asciiTheme="majorHAnsi" w:hAnsiTheme="majorHAnsi" w:cstheme="majorHAnsi"/>
          <w:sz w:val="24"/>
          <w:szCs w:val="24"/>
          <w:lang w:val="ro-RO"/>
        </w:rPr>
      </w:pPr>
      <w:r w:rsidRPr="00565CFC">
        <w:rPr>
          <w:rFonts w:asciiTheme="majorHAnsi" w:hAnsiTheme="majorHAnsi" w:cstheme="majorHAnsi"/>
          <w:i/>
          <w:iCs/>
          <w:sz w:val="24"/>
          <w:szCs w:val="24"/>
          <w:lang w:val="ro-RO"/>
        </w:rPr>
        <w:t>a fost analizată evoluția cheltuielilor aferente deservirii datoriei de stat, inclusiv a serviciului datoriei de stat interne și externe;</w:t>
      </w:r>
    </w:p>
    <w:p w14:paraId="3A6D0C13" w14:textId="2D19429B" w:rsidR="00EE138E" w:rsidRPr="00565CFC" w:rsidRDefault="00EE138E" w:rsidP="004A4FEE">
      <w:pPr>
        <w:pStyle w:val="a4"/>
        <w:numPr>
          <w:ilvl w:val="0"/>
          <w:numId w:val="12"/>
        </w:numPr>
        <w:spacing w:after="0" w:line="276" w:lineRule="auto"/>
        <w:ind w:left="0" w:firstLine="567"/>
        <w:jc w:val="both"/>
        <w:rPr>
          <w:rFonts w:asciiTheme="majorHAnsi" w:hAnsiTheme="majorHAnsi" w:cstheme="majorHAnsi"/>
          <w:sz w:val="24"/>
          <w:szCs w:val="24"/>
          <w:lang w:val="ro-RO"/>
        </w:rPr>
      </w:pPr>
      <w:r w:rsidRPr="00565CFC">
        <w:rPr>
          <w:rFonts w:asciiTheme="majorHAnsi" w:hAnsiTheme="majorHAnsi" w:cstheme="majorHAnsi"/>
          <w:i/>
          <w:iCs/>
          <w:sz w:val="24"/>
          <w:szCs w:val="24"/>
          <w:lang w:val="ro-RO"/>
        </w:rPr>
        <w:t xml:space="preserve">au fost solicitate rapoartele datoriei de stat generate de </w:t>
      </w:r>
      <w:r w:rsidRPr="00091CF9">
        <w:rPr>
          <w:rFonts w:asciiTheme="majorHAnsi" w:hAnsiTheme="majorHAnsi" w:cstheme="majorHAnsi"/>
          <w:i/>
          <w:iCs/>
          <w:sz w:val="24"/>
          <w:szCs w:val="24"/>
          <w:lang w:val="ro-RO"/>
        </w:rPr>
        <w:t>SI D</w:t>
      </w:r>
      <w:r w:rsidR="00565CFC" w:rsidRPr="00091CF9">
        <w:rPr>
          <w:rFonts w:asciiTheme="majorHAnsi" w:hAnsiTheme="majorHAnsi" w:cstheme="majorHAnsi"/>
          <w:i/>
          <w:iCs/>
          <w:sz w:val="24"/>
          <w:szCs w:val="24"/>
          <w:lang w:val="ro-RO"/>
        </w:rPr>
        <w:t>MFAS</w:t>
      </w:r>
      <w:r w:rsidR="00565CFC" w:rsidRPr="00565CFC">
        <w:rPr>
          <w:rFonts w:asciiTheme="majorHAnsi" w:hAnsiTheme="majorHAnsi" w:cstheme="majorHAnsi"/>
          <w:i/>
          <w:iCs/>
          <w:sz w:val="24"/>
          <w:szCs w:val="24"/>
          <w:lang w:val="ro-RO"/>
        </w:rPr>
        <w:t xml:space="preserve"> la situația din 31.12.2018</w:t>
      </w:r>
      <w:r w:rsidRPr="00565CFC">
        <w:rPr>
          <w:rFonts w:asciiTheme="majorHAnsi" w:hAnsiTheme="majorHAnsi" w:cstheme="majorHAnsi"/>
          <w:i/>
          <w:iCs/>
          <w:sz w:val="24"/>
          <w:szCs w:val="24"/>
          <w:lang w:val="ro-RO"/>
        </w:rPr>
        <w:t>;</w:t>
      </w:r>
    </w:p>
    <w:p w14:paraId="04750E4C" w14:textId="6DFA357C" w:rsidR="00EE138E" w:rsidRPr="00565CFC" w:rsidRDefault="00EE138E" w:rsidP="004A4FEE">
      <w:pPr>
        <w:pStyle w:val="a4"/>
        <w:numPr>
          <w:ilvl w:val="0"/>
          <w:numId w:val="12"/>
        </w:numPr>
        <w:spacing w:after="0" w:line="276" w:lineRule="auto"/>
        <w:ind w:left="0" w:firstLine="567"/>
        <w:jc w:val="both"/>
        <w:rPr>
          <w:rFonts w:asciiTheme="majorHAnsi" w:hAnsiTheme="majorHAnsi" w:cstheme="majorHAnsi"/>
          <w:sz w:val="24"/>
          <w:szCs w:val="24"/>
          <w:lang w:val="ro-RO"/>
        </w:rPr>
      </w:pPr>
      <w:r w:rsidRPr="00565CFC">
        <w:rPr>
          <w:rFonts w:asciiTheme="majorHAnsi" w:hAnsiTheme="majorHAnsi" w:cstheme="majorHAnsi"/>
          <w:i/>
          <w:iCs/>
          <w:sz w:val="24"/>
          <w:szCs w:val="24"/>
          <w:lang w:val="ro-RO"/>
        </w:rPr>
        <w:t>a fost examinat portofoliul datoriei de stat în aspectul maturității, ratei dobânzii, monedei etc.</w:t>
      </w:r>
      <w:r w:rsidR="00C63F98">
        <w:rPr>
          <w:rFonts w:asciiTheme="majorHAnsi" w:hAnsiTheme="majorHAnsi" w:cstheme="majorHAnsi"/>
          <w:i/>
          <w:iCs/>
          <w:sz w:val="24"/>
          <w:szCs w:val="24"/>
          <w:lang w:val="ro-RO"/>
        </w:rPr>
        <w:t>;</w:t>
      </w:r>
    </w:p>
    <w:p w14:paraId="19B22179" w14:textId="77777777" w:rsidR="00EE138E" w:rsidRPr="00565CFC" w:rsidRDefault="00EE138E" w:rsidP="004A4FEE">
      <w:pPr>
        <w:pStyle w:val="a4"/>
        <w:numPr>
          <w:ilvl w:val="0"/>
          <w:numId w:val="12"/>
        </w:numPr>
        <w:spacing w:after="0" w:line="276" w:lineRule="auto"/>
        <w:ind w:left="0" w:firstLine="567"/>
        <w:jc w:val="both"/>
        <w:rPr>
          <w:rFonts w:asciiTheme="majorHAnsi" w:hAnsiTheme="majorHAnsi" w:cstheme="majorHAnsi"/>
          <w:sz w:val="24"/>
          <w:szCs w:val="24"/>
          <w:lang w:val="ro-RO"/>
        </w:rPr>
      </w:pPr>
      <w:r w:rsidRPr="00565CFC">
        <w:rPr>
          <w:rFonts w:asciiTheme="majorHAnsi" w:hAnsiTheme="majorHAnsi" w:cstheme="majorHAnsi"/>
          <w:i/>
          <w:iCs/>
          <w:sz w:val="24"/>
          <w:szCs w:val="24"/>
          <w:lang w:val="ro-RO"/>
        </w:rPr>
        <w:t>au fost analizate calendarele de desfășurare a licitațiilor de comercializare a VMS pe piața primară și a comunicatelor privind rezultatele acestora;</w:t>
      </w:r>
    </w:p>
    <w:p w14:paraId="61BAEAB5" w14:textId="77777777" w:rsidR="00EE138E" w:rsidRPr="00565CFC" w:rsidRDefault="00EE138E" w:rsidP="004A4FEE">
      <w:pPr>
        <w:pStyle w:val="a4"/>
        <w:numPr>
          <w:ilvl w:val="0"/>
          <w:numId w:val="12"/>
        </w:numPr>
        <w:spacing w:after="0" w:line="276" w:lineRule="auto"/>
        <w:ind w:left="0" w:firstLine="567"/>
        <w:jc w:val="both"/>
        <w:rPr>
          <w:rFonts w:asciiTheme="majorHAnsi" w:hAnsiTheme="majorHAnsi" w:cstheme="majorHAnsi"/>
          <w:i/>
          <w:sz w:val="24"/>
          <w:szCs w:val="24"/>
          <w:lang w:val="ro-RO"/>
        </w:rPr>
      </w:pPr>
      <w:r w:rsidRPr="00565CFC">
        <w:rPr>
          <w:rFonts w:asciiTheme="majorHAnsi" w:hAnsiTheme="majorHAnsi" w:cstheme="majorHAnsi"/>
          <w:i/>
          <w:sz w:val="24"/>
          <w:szCs w:val="24"/>
          <w:lang w:val="ro-RO"/>
        </w:rPr>
        <w:t>a fost solicitată informația privind volumul de VMS procurat de băncile comerciale (dealerii primari);</w:t>
      </w:r>
    </w:p>
    <w:p w14:paraId="5ACB1418" w14:textId="77777777" w:rsidR="00EE138E" w:rsidRPr="00565CFC" w:rsidRDefault="00EE138E" w:rsidP="004A4FEE">
      <w:pPr>
        <w:pStyle w:val="a4"/>
        <w:numPr>
          <w:ilvl w:val="0"/>
          <w:numId w:val="12"/>
        </w:numPr>
        <w:spacing w:after="0" w:line="276" w:lineRule="auto"/>
        <w:ind w:left="0" w:firstLine="567"/>
        <w:jc w:val="both"/>
        <w:rPr>
          <w:rFonts w:asciiTheme="majorHAnsi" w:hAnsiTheme="majorHAnsi" w:cstheme="majorHAnsi"/>
          <w:i/>
          <w:sz w:val="24"/>
          <w:szCs w:val="24"/>
          <w:lang w:val="ro-RO"/>
        </w:rPr>
      </w:pPr>
      <w:r w:rsidRPr="00565CFC">
        <w:rPr>
          <w:rFonts w:asciiTheme="majorHAnsi" w:hAnsiTheme="majorHAnsi" w:cstheme="majorHAnsi"/>
          <w:i/>
          <w:sz w:val="24"/>
          <w:szCs w:val="24"/>
          <w:lang w:val="ro-RO"/>
        </w:rPr>
        <w:t>au fost examinate ratele dobânzilor la VMS cu scadența de 91 zile, 182 zile, 364 zile, pentru instrumentele financiare cu termenul de scadență până la 1 an, 2-3 ani, ratele nominale medii ponderate ale dobânzii la VMS emise pe piața primară și la VMS convertite;</w:t>
      </w:r>
    </w:p>
    <w:p w14:paraId="3BCEBD9A" w14:textId="1BC93B1B" w:rsidR="00EE138E" w:rsidRPr="00565CFC" w:rsidRDefault="00EE138E" w:rsidP="004A4FEE">
      <w:pPr>
        <w:pStyle w:val="a4"/>
        <w:numPr>
          <w:ilvl w:val="0"/>
          <w:numId w:val="12"/>
        </w:numPr>
        <w:spacing w:after="0" w:line="276" w:lineRule="auto"/>
        <w:ind w:left="0" w:firstLine="567"/>
        <w:jc w:val="both"/>
        <w:rPr>
          <w:rFonts w:asciiTheme="majorHAnsi" w:hAnsiTheme="majorHAnsi" w:cstheme="majorHAnsi"/>
          <w:i/>
          <w:sz w:val="24"/>
          <w:szCs w:val="24"/>
          <w:lang w:val="ro-RO"/>
        </w:rPr>
      </w:pPr>
      <w:r w:rsidRPr="00565CFC">
        <w:rPr>
          <w:rFonts w:asciiTheme="majorHAnsi" w:hAnsiTheme="majorHAnsi" w:cstheme="majorHAnsi"/>
          <w:i/>
          <w:sz w:val="24"/>
          <w:szCs w:val="24"/>
          <w:lang w:val="ro-RO"/>
        </w:rPr>
        <w:t>a fost analizat</w:t>
      </w:r>
      <w:r w:rsidR="00C63F98">
        <w:rPr>
          <w:rFonts w:asciiTheme="majorHAnsi" w:hAnsiTheme="majorHAnsi" w:cstheme="majorHAnsi"/>
          <w:i/>
          <w:sz w:val="24"/>
          <w:szCs w:val="24"/>
          <w:lang w:val="ro-RO"/>
        </w:rPr>
        <w:t>ă</w:t>
      </w:r>
      <w:r w:rsidRPr="00565CFC">
        <w:rPr>
          <w:rFonts w:asciiTheme="majorHAnsi" w:hAnsiTheme="majorHAnsi" w:cstheme="majorHAnsi"/>
          <w:i/>
          <w:sz w:val="24"/>
          <w:szCs w:val="24"/>
          <w:lang w:val="ro-RO"/>
        </w:rPr>
        <w:t xml:space="preserve"> situația privind împrumuturile externe și nivelul de debursare aferent acestora;</w:t>
      </w:r>
    </w:p>
    <w:p w14:paraId="054C9178" w14:textId="77777777" w:rsidR="00EE138E" w:rsidRPr="00565CFC" w:rsidRDefault="00EE138E" w:rsidP="004A4FEE">
      <w:pPr>
        <w:pStyle w:val="a4"/>
        <w:numPr>
          <w:ilvl w:val="0"/>
          <w:numId w:val="12"/>
        </w:numPr>
        <w:spacing w:after="0" w:line="276" w:lineRule="auto"/>
        <w:ind w:left="0" w:firstLine="567"/>
        <w:jc w:val="both"/>
        <w:rPr>
          <w:rFonts w:asciiTheme="majorHAnsi" w:hAnsiTheme="majorHAnsi" w:cstheme="majorHAnsi"/>
          <w:i/>
          <w:sz w:val="24"/>
          <w:szCs w:val="24"/>
          <w:lang w:val="ro-RO"/>
        </w:rPr>
      </w:pPr>
      <w:r w:rsidRPr="00565CFC">
        <w:rPr>
          <w:rFonts w:asciiTheme="majorHAnsi" w:hAnsiTheme="majorHAnsi" w:cstheme="majorHAnsi"/>
          <w:i/>
          <w:sz w:val="24"/>
          <w:szCs w:val="24"/>
          <w:lang w:val="ro-RO"/>
        </w:rPr>
        <w:t xml:space="preserve">a fost analizată situația debitorilor garantați și a beneficiarilor </w:t>
      </w:r>
      <w:proofErr w:type="spellStart"/>
      <w:r w:rsidRPr="00565CFC">
        <w:rPr>
          <w:rFonts w:asciiTheme="majorHAnsi" w:hAnsiTheme="majorHAnsi" w:cstheme="majorHAnsi"/>
          <w:i/>
          <w:sz w:val="24"/>
          <w:szCs w:val="24"/>
          <w:lang w:val="ro-RO"/>
        </w:rPr>
        <w:t>recreditați</w:t>
      </w:r>
      <w:proofErr w:type="spellEnd"/>
      <w:r w:rsidRPr="00565CFC">
        <w:rPr>
          <w:rFonts w:asciiTheme="majorHAnsi" w:hAnsiTheme="majorHAnsi" w:cstheme="majorHAnsi"/>
          <w:i/>
          <w:sz w:val="24"/>
          <w:szCs w:val="24"/>
          <w:lang w:val="ro-RO"/>
        </w:rPr>
        <w:t xml:space="preserve"> în aspectul onorării obligațiunilor față de bugetul de stat și a datoriilor cu termenul de achitare expirat;</w:t>
      </w:r>
    </w:p>
    <w:p w14:paraId="657557DF" w14:textId="77777777" w:rsidR="00EE138E" w:rsidRPr="00565CFC" w:rsidRDefault="00EE138E" w:rsidP="004A4FEE">
      <w:pPr>
        <w:pStyle w:val="a4"/>
        <w:numPr>
          <w:ilvl w:val="0"/>
          <w:numId w:val="12"/>
        </w:numPr>
        <w:spacing w:after="0" w:line="276" w:lineRule="auto"/>
        <w:ind w:left="0" w:firstLine="567"/>
        <w:jc w:val="both"/>
        <w:rPr>
          <w:rFonts w:asciiTheme="majorHAnsi" w:hAnsiTheme="majorHAnsi" w:cstheme="majorHAnsi"/>
          <w:i/>
          <w:sz w:val="24"/>
          <w:szCs w:val="24"/>
          <w:lang w:val="ro-RO"/>
        </w:rPr>
      </w:pPr>
      <w:r w:rsidRPr="00565CFC">
        <w:rPr>
          <w:rFonts w:asciiTheme="majorHAnsi" w:hAnsiTheme="majorHAnsi" w:cstheme="majorHAnsi"/>
          <w:i/>
          <w:sz w:val="24"/>
          <w:szCs w:val="24"/>
          <w:lang w:val="ro-RO"/>
        </w:rPr>
        <w:t xml:space="preserve">a fost solicitată informația privind măsurile întreprinse de MF în vederea neadmiterii și reducerii datoriilor cu termenul de achitare expirat la împrumuturile </w:t>
      </w:r>
      <w:proofErr w:type="spellStart"/>
      <w:r w:rsidRPr="00565CFC">
        <w:rPr>
          <w:rFonts w:asciiTheme="majorHAnsi" w:hAnsiTheme="majorHAnsi" w:cstheme="majorHAnsi"/>
          <w:i/>
          <w:sz w:val="24"/>
          <w:szCs w:val="24"/>
          <w:lang w:val="ro-RO"/>
        </w:rPr>
        <w:t>recreditate</w:t>
      </w:r>
      <w:proofErr w:type="spellEnd"/>
      <w:r w:rsidRPr="00565CFC">
        <w:rPr>
          <w:rFonts w:asciiTheme="majorHAnsi" w:hAnsiTheme="majorHAnsi" w:cstheme="majorHAnsi"/>
          <w:i/>
          <w:sz w:val="24"/>
          <w:szCs w:val="24"/>
          <w:lang w:val="ro-RO"/>
        </w:rPr>
        <w:t xml:space="preserve"> și împrumuturile garantate, precum și asigurării veridicității datelor raportate de către beneficiarii împrumuturilor respective;</w:t>
      </w:r>
    </w:p>
    <w:p w14:paraId="61B8F774" w14:textId="77777777" w:rsidR="00EE138E" w:rsidRPr="00565CFC" w:rsidRDefault="00EE138E" w:rsidP="004A4FEE">
      <w:pPr>
        <w:pStyle w:val="a4"/>
        <w:numPr>
          <w:ilvl w:val="0"/>
          <w:numId w:val="12"/>
        </w:numPr>
        <w:spacing w:after="0" w:line="276" w:lineRule="auto"/>
        <w:ind w:left="0" w:firstLine="567"/>
        <w:jc w:val="both"/>
        <w:rPr>
          <w:rFonts w:asciiTheme="majorHAnsi" w:hAnsiTheme="majorHAnsi" w:cstheme="majorHAnsi"/>
          <w:i/>
          <w:sz w:val="24"/>
          <w:szCs w:val="24"/>
          <w:lang w:val="ro-RO"/>
        </w:rPr>
      </w:pPr>
      <w:r w:rsidRPr="00565CFC">
        <w:rPr>
          <w:rFonts w:asciiTheme="majorHAnsi" w:hAnsiTheme="majorHAnsi" w:cstheme="majorHAnsi"/>
          <w:i/>
          <w:sz w:val="24"/>
          <w:szCs w:val="24"/>
          <w:lang w:val="ro-RO"/>
        </w:rPr>
        <w:t>a fost examinat Raportul privind situația în domeniul datoriei sectorului public, garanțiilor de stat și r</w:t>
      </w:r>
      <w:r w:rsidR="00565CFC">
        <w:rPr>
          <w:rFonts w:asciiTheme="majorHAnsi" w:hAnsiTheme="majorHAnsi" w:cstheme="majorHAnsi"/>
          <w:i/>
          <w:sz w:val="24"/>
          <w:szCs w:val="24"/>
          <w:lang w:val="ro-RO"/>
        </w:rPr>
        <w:t>ecreditării de stat pe anul 2018</w:t>
      </w:r>
      <w:r w:rsidRPr="00565CFC">
        <w:rPr>
          <w:rFonts w:asciiTheme="majorHAnsi" w:hAnsiTheme="majorHAnsi" w:cstheme="majorHAnsi"/>
          <w:i/>
          <w:sz w:val="24"/>
          <w:szCs w:val="24"/>
          <w:lang w:val="ro-RO"/>
        </w:rPr>
        <w:t>;</w:t>
      </w:r>
    </w:p>
    <w:p w14:paraId="0FF9F722" w14:textId="77777777" w:rsidR="008B681B" w:rsidRPr="00565CFC" w:rsidRDefault="00EE138E" w:rsidP="004A4FEE">
      <w:pPr>
        <w:pStyle w:val="a4"/>
        <w:numPr>
          <w:ilvl w:val="0"/>
          <w:numId w:val="12"/>
        </w:numPr>
        <w:spacing w:after="0" w:line="276" w:lineRule="auto"/>
        <w:ind w:left="0" w:firstLine="567"/>
        <w:jc w:val="both"/>
        <w:rPr>
          <w:rFonts w:asciiTheme="majorHAnsi" w:hAnsiTheme="majorHAnsi" w:cstheme="majorHAnsi"/>
          <w:i/>
          <w:sz w:val="24"/>
          <w:szCs w:val="24"/>
          <w:lang w:val="ro-RO"/>
        </w:rPr>
      </w:pPr>
      <w:r w:rsidRPr="00565CFC">
        <w:rPr>
          <w:rFonts w:asciiTheme="majorHAnsi" w:hAnsiTheme="majorHAnsi" w:cstheme="majorHAnsi"/>
          <w:i/>
          <w:sz w:val="24"/>
          <w:szCs w:val="24"/>
          <w:lang w:val="ro-RO"/>
        </w:rPr>
        <w:t>au fost purtate discuții cu factorii de decizie privind unele aspecte constatate.</w:t>
      </w:r>
    </w:p>
    <w:p w14:paraId="038A8C9A" w14:textId="4D1A25E3" w:rsidR="00EE138E" w:rsidRPr="00565CFC" w:rsidRDefault="008B681B" w:rsidP="004A4FEE">
      <w:pPr>
        <w:spacing w:after="0" w:line="276" w:lineRule="auto"/>
        <w:ind w:firstLine="567"/>
        <w:jc w:val="both"/>
        <w:rPr>
          <w:rFonts w:asciiTheme="majorHAnsi" w:hAnsiTheme="majorHAnsi" w:cstheme="majorHAnsi"/>
          <w:i/>
          <w:sz w:val="28"/>
          <w:szCs w:val="28"/>
          <w:lang w:val="ro-RO"/>
        </w:rPr>
      </w:pPr>
      <w:r w:rsidRPr="00565CFC">
        <w:rPr>
          <w:rFonts w:asciiTheme="majorHAnsi" w:hAnsiTheme="majorHAnsi" w:cstheme="majorHAnsi"/>
          <w:i/>
          <w:noProof/>
          <w:sz w:val="24"/>
          <w:szCs w:val="24"/>
          <w:lang w:val="ro-RO"/>
        </w:rPr>
        <w:t xml:space="preserve">În conformitate cu </w:t>
      </w:r>
      <w:r w:rsidRPr="00091CF9">
        <w:rPr>
          <w:rFonts w:asciiTheme="majorHAnsi" w:hAnsiTheme="majorHAnsi" w:cstheme="majorHAnsi"/>
          <w:i/>
          <w:noProof/>
          <w:sz w:val="24"/>
          <w:szCs w:val="24"/>
          <w:lang w:val="ro-RO"/>
        </w:rPr>
        <w:t>S</w:t>
      </w:r>
      <w:r w:rsidR="00091CF9" w:rsidRPr="00091CF9">
        <w:rPr>
          <w:rFonts w:asciiTheme="majorHAnsi" w:hAnsiTheme="majorHAnsi" w:cstheme="majorHAnsi"/>
          <w:i/>
          <w:noProof/>
          <w:sz w:val="24"/>
          <w:szCs w:val="24"/>
          <w:lang w:val="ro-RO"/>
        </w:rPr>
        <w:t xml:space="preserve">tandardul </w:t>
      </w:r>
      <w:r w:rsidRPr="00091CF9">
        <w:rPr>
          <w:rFonts w:asciiTheme="majorHAnsi" w:hAnsiTheme="majorHAnsi" w:cstheme="majorHAnsi"/>
          <w:i/>
          <w:noProof/>
          <w:sz w:val="24"/>
          <w:szCs w:val="24"/>
          <w:lang w:val="ro-RO"/>
        </w:rPr>
        <w:t>I</w:t>
      </w:r>
      <w:r w:rsidR="00091CF9" w:rsidRPr="00091CF9">
        <w:rPr>
          <w:rFonts w:asciiTheme="majorHAnsi" w:hAnsiTheme="majorHAnsi" w:cstheme="majorHAnsi"/>
          <w:i/>
          <w:noProof/>
          <w:sz w:val="24"/>
          <w:szCs w:val="24"/>
          <w:lang w:val="ro-RO"/>
        </w:rPr>
        <w:t xml:space="preserve">nternațional de </w:t>
      </w:r>
      <w:r w:rsidRPr="00091CF9">
        <w:rPr>
          <w:rFonts w:asciiTheme="majorHAnsi" w:hAnsiTheme="majorHAnsi" w:cstheme="majorHAnsi"/>
          <w:i/>
          <w:noProof/>
          <w:sz w:val="24"/>
          <w:szCs w:val="24"/>
          <w:lang w:val="ro-RO"/>
        </w:rPr>
        <w:t>A</w:t>
      </w:r>
      <w:r w:rsidR="00091CF9" w:rsidRPr="00091CF9">
        <w:rPr>
          <w:rFonts w:asciiTheme="majorHAnsi" w:hAnsiTheme="majorHAnsi" w:cstheme="majorHAnsi"/>
          <w:i/>
          <w:noProof/>
          <w:sz w:val="24"/>
          <w:szCs w:val="24"/>
          <w:lang w:val="ro-RO"/>
        </w:rPr>
        <w:t>udit</w:t>
      </w:r>
      <w:r w:rsidRPr="00565CFC">
        <w:rPr>
          <w:rFonts w:asciiTheme="majorHAnsi" w:hAnsiTheme="majorHAnsi" w:cstheme="majorHAnsi"/>
          <w:i/>
          <w:noProof/>
          <w:sz w:val="24"/>
          <w:szCs w:val="24"/>
          <w:lang w:val="ro-RO"/>
        </w:rPr>
        <w:t xml:space="preserve"> „Comunicarea problemelor de audit”, constatările, concluziile și recomandările</w:t>
      </w:r>
      <w:r w:rsidR="008068C1" w:rsidRPr="00565CFC">
        <w:rPr>
          <w:rFonts w:asciiTheme="majorHAnsi" w:hAnsiTheme="majorHAnsi" w:cstheme="majorHAnsi"/>
          <w:i/>
          <w:noProof/>
          <w:sz w:val="24"/>
          <w:szCs w:val="24"/>
          <w:lang w:val="ro-RO"/>
        </w:rPr>
        <w:t xml:space="preserve"> </w:t>
      </w:r>
      <w:r w:rsidR="00B81F4B" w:rsidRPr="00565CFC">
        <w:rPr>
          <w:rFonts w:asciiTheme="majorHAnsi" w:hAnsiTheme="majorHAnsi" w:cstheme="majorHAnsi"/>
          <w:i/>
          <w:noProof/>
          <w:sz w:val="24"/>
          <w:szCs w:val="24"/>
          <w:lang w:val="ro-RO"/>
        </w:rPr>
        <w:t xml:space="preserve">expuse în prezentul  raport </w:t>
      </w:r>
      <w:r w:rsidRPr="00565CFC">
        <w:rPr>
          <w:rFonts w:asciiTheme="majorHAnsi" w:hAnsiTheme="majorHAnsi" w:cstheme="majorHAnsi"/>
          <w:i/>
          <w:noProof/>
          <w:sz w:val="24"/>
          <w:szCs w:val="24"/>
          <w:lang w:val="ro-RO"/>
        </w:rPr>
        <w:t>au fost comunicate</w:t>
      </w:r>
      <w:r w:rsidR="008068C1" w:rsidRPr="00565CFC">
        <w:rPr>
          <w:rFonts w:asciiTheme="majorHAnsi" w:hAnsiTheme="majorHAnsi" w:cstheme="majorHAnsi"/>
          <w:i/>
          <w:noProof/>
          <w:sz w:val="24"/>
          <w:szCs w:val="24"/>
          <w:lang w:val="ro-RO"/>
        </w:rPr>
        <w:t xml:space="preserve"> și acceptate de</w:t>
      </w:r>
      <w:r w:rsidRPr="00565CFC">
        <w:rPr>
          <w:rFonts w:asciiTheme="majorHAnsi" w:hAnsiTheme="majorHAnsi" w:cstheme="majorHAnsi"/>
          <w:i/>
          <w:noProof/>
          <w:sz w:val="24"/>
          <w:szCs w:val="24"/>
          <w:lang w:val="ro-RO"/>
        </w:rPr>
        <w:t xml:space="preserve"> </w:t>
      </w:r>
      <w:r w:rsidR="008068C1" w:rsidRPr="00565CFC">
        <w:rPr>
          <w:rFonts w:asciiTheme="majorHAnsi" w:hAnsiTheme="majorHAnsi" w:cstheme="majorHAnsi"/>
          <w:i/>
          <w:noProof/>
          <w:sz w:val="24"/>
          <w:szCs w:val="24"/>
          <w:lang w:val="ro-RO"/>
        </w:rPr>
        <w:t>Ministerul</w:t>
      </w:r>
      <w:r w:rsidR="00B45F94" w:rsidRPr="00565CFC">
        <w:rPr>
          <w:rFonts w:asciiTheme="majorHAnsi" w:hAnsiTheme="majorHAnsi" w:cstheme="majorHAnsi"/>
          <w:i/>
          <w:noProof/>
          <w:sz w:val="24"/>
          <w:szCs w:val="24"/>
          <w:lang w:val="ro-RO"/>
        </w:rPr>
        <w:t xml:space="preserve"> Finanțelor</w:t>
      </w:r>
      <w:r w:rsidR="008068C1" w:rsidRPr="00565CFC">
        <w:rPr>
          <w:rFonts w:asciiTheme="majorHAnsi" w:hAnsiTheme="majorHAnsi" w:cstheme="majorHAnsi"/>
          <w:i/>
          <w:noProof/>
          <w:sz w:val="24"/>
          <w:szCs w:val="24"/>
          <w:lang w:val="ro-RO"/>
        </w:rPr>
        <w:t>.</w:t>
      </w:r>
      <w:r w:rsidR="00EE138E" w:rsidRPr="00565CFC">
        <w:rPr>
          <w:rFonts w:asciiTheme="majorHAnsi" w:hAnsiTheme="majorHAnsi" w:cstheme="majorHAnsi"/>
          <w:i/>
          <w:sz w:val="24"/>
          <w:szCs w:val="24"/>
          <w:lang w:val="ro-RO"/>
        </w:rPr>
        <w:br w:type="page"/>
      </w:r>
    </w:p>
    <w:p w14:paraId="75409ABA" w14:textId="77777777" w:rsidR="00EE138E" w:rsidRPr="00E02CD8" w:rsidRDefault="00EE138E" w:rsidP="00EE138E">
      <w:pPr>
        <w:pStyle w:val="2"/>
        <w:jc w:val="right"/>
        <w:rPr>
          <w:rFonts w:asciiTheme="majorHAnsi" w:hAnsiTheme="majorHAnsi" w:cstheme="majorHAnsi"/>
          <w:b/>
          <w:color w:val="auto"/>
          <w:sz w:val="24"/>
          <w:szCs w:val="24"/>
          <w:lang w:val="ro-RO"/>
        </w:rPr>
      </w:pPr>
      <w:bookmarkStart w:id="77" w:name="_Toc482889707"/>
      <w:bookmarkStart w:id="78" w:name="_Toc484003925"/>
      <w:bookmarkStart w:id="79" w:name="_Toc515442985"/>
      <w:bookmarkStart w:id="80" w:name="_Toc10106705"/>
      <w:r w:rsidRPr="00E02CD8">
        <w:rPr>
          <w:rFonts w:asciiTheme="majorHAnsi" w:hAnsiTheme="majorHAnsi" w:cstheme="majorHAnsi"/>
          <w:b/>
          <w:i/>
          <w:color w:val="auto"/>
          <w:sz w:val="24"/>
          <w:szCs w:val="24"/>
          <w:lang w:val="ro-RO"/>
        </w:rPr>
        <w:lastRenderedPageBreak/>
        <w:t>Anexa nr.2</w:t>
      </w:r>
      <w:r w:rsidRPr="00E02CD8">
        <w:rPr>
          <w:rFonts w:asciiTheme="majorHAnsi" w:hAnsiTheme="majorHAnsi" w:cstheme="majorHAnsi"/>
          <w:b/>
          <w:color w:val="auto"/>
          <w:sz w:val="24"/>
          <w:szCs w:val="24"/>
          <w:lang w:val="ro-RO"/>
        </w:rPr>
        <w:t xml:space="preserve"> (Tabele)</w:t>
      </w:r>
      <w:bookmarkEnd w:id="77"/>
      <w:bookmarkEnd w:id="78"/>
      <w:bookmarkEnd w:id="79"/>
      <w:bookmarkEnd w:id="80"/>
    </w:p>
    <w:p w14:paraId="4A7CC6E8" w14:textId="77777777" w:rsidR="00EE138E" w:rsidRPr="00C8683B" w:rsidRDefault="00C8683B" w:rsidP="00EE138E">
      <w:pPr>
        <w:spacing w:after="0"/>
        <w:ind w:right="142"/>
        <w:jc w:val="both"/>
        <w:rPr>
          <w:rFonts w:asciiTheme="majorHAnsi" w:hAnsiTheme="majorHAnsi" w:cstheme="majorHAnsi"/>
          <w:b/>
          <w:sz w:val="24"/>
          <w:szCs w:val="24"/>
          <w:lang w:val="ro-RO"/>
        </w:rPr>
      </w:pPr>
      <w:r w:rsidRPr="00C8683B">
        <w:rPr>
          <w:rFonts w:asciiTheme="majorHAnsi" w:hAnsiTheme="majorHAnsi" w:cstheme="majorHAnsi"/>
          <w:b/>
          <w:sz w:val="24"/>
          <w:szCs w:val="24"/>
          <w:lang w:val="ro-RO"/>
        </w:rPr>
        <w:t>Tabelul nr.1</w:t>
      </w:r>
      <w:r w:rsidR="00EE138E" w:rsidRPr="00C8683B">
        <w:rPr>
          <w:rFonts w:asciiTheme="majorHAnsi" w:hAnsiTheme="majorHAnsi" w:cstheme="majorHAnsi"/>
          <w:b/>
          <w:sz w:val="24"/>
          <w:szCs w:val="24"/>
          <w:lang w:val="ro-RO"/>
        </w:rPr>
        <w:t>. Structura datoriei de stat, pe</w:t>
      </w:r>
      <w:r w:rsidR="001360F9" w:rsidRPr="00C8683B">
        <w:rPr>
          <w:rFonts w:asciiTheme="majorHAnsi" w:hAnsiTheme="majorHAnsi" w:cstheme="majorHAnsi"/>
          <w:b/>
          <w:sz w:val="24"/>
          <w:szCs w:val="24"/>
          <w:lang w:val="ro-RO"/>
        </w:rPr>
        <w:t xml:space="preserve"> tipuri de dobândă, în anii 2016-2018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1117"/>
        <w:gridCol w:w="1102"/>
        <w:gridCol w:w="945"/>
        <w:gridCol w:w="1102"/>
        <w:gridCol w:w="1036"/>
        <w:gridCol w:w="1102"/>
      </w:tblGrid>
      <w:tr w:rsidR="00EE138E" w:rsidRPr="00C8683B" w14:paraId="62E15A9D" w14:textId="77777777" w:rsidTr="001360F9">
        <w:trPr>
          <w:trHeight w:val="245"/>
        </w:trPr>
        <w:tc>
          <w:tcPr>
            <w:tcW w:w="2940" w:type="dxa"/>
            <w:vMerge w:val="restart"/>
            <w:shd w:val="clear" w:color="auto" w:fill="E7E6E6"/>
          </w:tcPr>
          <w:p w14:paraId="2FE79D81" w14:textId="77777777" w:rsidR="00EE138E" w:rsidRPr="00C8683B" w:rsidRDefault="00EE138E" w:rsidP="005E02BD">
            <w:pPr>
              <w:pStyle w:val="a6"/>
              <w:jc w:val="center"/>
              <w:rPr>
                <w:rFonts w:asciiTheme="majorHAnsi" w:hAnsiTheme="majorHAnsi" w:cstheme="majorHAnsi"/>
                <w:b/>
                <w:sz w:val="20"/>
                <w:szCs w:val="20"/>
                <w:lang w:val="ro-RO"/>
              </w:rPr>
            </w:pPr>
          </w:p>
          <w:p w14:paraId="639234EE" w14:textId="77777777" w:rsidR="00EE138E" w:rsidRPr="00C8683B" w:rsidRDefault="00EE138E" w:rsidP="005E02BD">
            <w:pPr>
              <w:pStyle w:val="a6"/>
              <w:jc w:val="center"/>
              <w:rPr>
                <w:rFonts w:asciiTheme="majorHAnsi" w:hAnsiTheme="majorHAnsi" w:cstheme="majorHAnsi"/>
                <w:b/>
                <w:sz w:val="20"/>
                <w:szCs w:val="20"/>
                <w:lang w:val="ro-RO"/>
              </w:rPr>
            </w:pPr>
            <w:r w:rsidRPr="00C8683B">
              <w:rPr>
                <w:rFonts w:asciiTheme="majorHAnsi" w:hAnsiTheme="majorHAnsi" w:cstheme="majorHAnsi"/>
                <w:b/>
                <w:sz w:val="20"/>
                <w:szCs w:val="20"/>
                <w:lang w:val="ro-RO"/>
              </w:rPr>
              <w:t>Anul</w:t>
            </w:r>
          </w:p>
        </w:tc>
        <w:tc>
          <w:tcPr>
            <w:tcW w:w="2219" w:type="dxa"/>
            <w:gridSpan w:val="2"/>
            <w:vMerge w:val="restart"/>
            <w:shd w:val="clear" w:color="auto" w:fill="E7E6E6"/>
          </w:tcPr>
          <w:p w14:paraId="7B056AD8" w14:textId="77777777" w:rsidR="00EE138E" w:rsidRPr="00C8683B" w:rsidRDefault="00EE138E" w:rsidP="005E02BD">
            <w:pPr>
              <w:pStyle w:val="a6"/>
              <w:rPr>
                <w:rFonts w:asciiTheme="majorHAnsi" w:hAnsiTheme="majorHAnsi" w:cstheme="majorHAnsi"/>
                <w:b/>
                <w:sz w:val="20"/>
                <w:szCs w:val="20"/>
                <w:lang w:val="ro-RO"/>
              </w:rPr>
            </w:pPr>
            <w:r w:rsidRPr="00C8683B">
              <w:rPr>
                <w:rFonts w:asciiTheme="majorHAnsi" w:hAnsiTheme="majorHAnsi" w:cstheme="majorHAnsi"/>
                <w:b/>
                <w:sz w:val="20"/>
                <w:szCs w:val="20"/>
                <w:lang w:val="ro-RO"/>
              </w:rPr>
              <w:t>Total, datoria de stat</w:t>
            </w:r>
          </w:p>
        </w:tc>
        <w:tc>
          <w:tcPr>
            <w:tcW w:w="4185" w:type="dxa"/>
            <w:gridSpan w:val="4"/>
            <w:shd w:val="clear" w:color="auto" w:fill="E7E6E6"/>
          </w:tcPr>
          <w:p w14:paraId="19E0DF40" w14:textId="77777777" w:rsidR="00EE138E" w:rsidRPr="00C8683B" w:rsidRDefault="00EE138E" w:rsidP="005E02BD">
            <w:pPr>
              <w:pStyle w:val="a6"/>
              <w:jc w:val="center"/>
              <w:rPr>
                <w:rFonts w:asciiTheme="majorHAnsi" w:hAnsiTheme="majorHAnsi" w:cstheme="majorHAnsi"/>
                <w:b/>
                <w:sz w:val="20"/>
                <w:szCs w:val="20"/>
                <w:lang w:val="ro-RO"/>
              </w:rPr>
            </w:pPr>
            <w:r w:rsidRPr="00C8683B">
              <w:rPr>
                <w:rFonts w:asciiTheme="majorHAnsi" w:hAnsiTheme="majorHAnsi" w:cstheme="majorHAnsi"/>
                <w:b/>
                <w:sz w:val="20"/>
                <w:szCs w:val="20"/>
                <w:lang w:val="ro-RO"/>
              </w:rPr>
              <w:t>inclusiv:</w:t>
            </w:r>
          </w:p>
        </w:tc>
      </w:tr>
      <w:tr w:rsidR="00EE138E" w:rsidRPr="00C8683B" w14:paraId="7E6CDFFF" w14:textId="77777777" w:rsidTr="001360F9">
        <w:trPr>
          <w:trHeight w:val="245"/>
        </w:trPr>
        <w:tc>
          <w:tcPr>
            <w:tcW w:w="2940" w:type="dxa"/>
            <w:vMerge/>
            <w:shd w:val="clear" w:color="auto" w:fill="E7E6E6"/>
          </w:tcPr>
          <w:p w14:paraId="7A5E13FF" w14:textId="77777777" w:rsidR="00EE138E" w:rsidRPr="00C8683B" w:rsidRDefault="00EE138E" w:rsidP="005E02BD">
            <w:pPr>
              <w:pStyle w:val="a6"/>
              <w:rPr>
                <w:rFonts w:asciiTheme="majorHAnsi" w:hAnsiTheme="majorHAnsi" w:cstheme="majorHAnsi"/>
                <w:b/>
                <w:sz w:val="20"/>
                <w:szCs w:val="20"/>
                <w:lang w:val="ro-RO"/>
              </w:rPr>
            </w:pPr>
          </w:p>
        </w:tc>
        <w:tc>
          <w:tcPr>
            <w:tcW w:w="2219" w:type="dxa"/>
            <w:gridSpan w:val="2"/>
            <w:vMerge/>
            <w:shd w:val="clear" w:color="auto" w:fill="E7E6E6"/>
          </w:tcPr>
          <w:p w14:paraId="06320B1C" w14:textId="77777777" w:rsidR="00EE138E" w:rsidRPr="00C8683B" w:rsidRDefault="00EE138E" w:rsidP="005E02BD">
            <w:pPr>
              <w:pStyle w:val="a6"/>
              <w:rPr>
                <w:rFonts w:asciiTheme="majorHAnsi" w:hAnsiTheme="majorHAnsi" w:cstheme="majorHAnsi"/>
                <w:b/>
                <w:sz w:val="20"/>
                <w:szCs w:val="20"/>
                <w:lang w:val="ro-RO"/>
              </w:rPr>
            </w:pPr>
          </w:p>
        </w:tc>
        <w:tc>
          <w:tcPr>
            <w:tcW w:w="2047" w:type="dxa"/>
            <w:gridSpan w:val="2"/>
            <w:shd w:val="clear" w:color="auto" w:fill="E7E6E6"/>
          </w:tcPr>
          <w:p w14:paraId="48E0F32F" w14:textId="77777777" w:rsidR="00EE138E" w:rsidRPr="00C8683B" w:rsidRDefault="00EE138E" w:rsidP="005E02BD">
            <w:pPr>
              <w:pStyle w:val="a6"/>
              <w:rPr>
                <w:rFonts w:asciiTheme="majorHAnsi" w:hAnsiTheme="majorHAnsi" w:cstheme="majorHAnsi"/>
                <w:b/>
                <w:sz w:val="20"/>
                <w:szCs w:val="20"/>
                <w:lang w:val="ro-RO"/>
              </w:rPr>
            </w:pPr>
            <w:r w:rsidRPr="00C8683B">
              <w:rPr>
                <w:rFonts w:asciiTheme="majorHAnsi" w:hAnsiTheme="majorHAnsi" w:cstheme="majorHAnsi"/>
                <w:b/>
                <w:sz w:val="20"/>
                <w:szCs w:val="20"/>
                <w:lang w:val="ro-RO"/>
              </w:rPr>
              <w:t>datoria de stat externă</w:t>
            </w:r>
          </w:p>
        </w:tc>
        <w:tc>
          <w:tcPr>
            <w:tcW w:w="2138" w:type="dxa"/>
            <w:gridSpan w:val="2"/>
            <w:shd w:val="clear" w:color="auto" w:fill="E7E6E6"/>
          </w:tcPr>
          <w:p w14:paraId="78DE2CE2" w14:textId="77777777" w:rsidR="00EE138E" w:rsidRPr="00C8683B" w:rsidRDefault="00EE138E" w:rsidP="005E02BD">
            <w:pPr>
              <w:pStyle w:val="a6"/>
              <w:rPr>
                <w:rFonts w:asciiTheme="majorHAnsi" w:hAnsiTheme="majorHAnsi" w:cstheme="majorHAnsi"/>
                <w:b/>
                <w:sz w:val="20"/>
                <w:szCs w:val="20"/>
                <w:lang w:val="ro-RO"/>
              </w:rPr>
            </w:pPr>
            <w:r w:rsidRPr="00C8683B">
              <w:rPr>
                <w:rFonts w:asciiTheme="majorHAnsi" w:hAnsiTheme="majorHAnsi" w:cstheme="majorHAnsi"/>
                <w:b/>
                <w:sz w:val="20"/>
                <w:szCs w:val="20"/>
                <w:lang w:val="ro-RO"/>
              </w:rPr>
              <w:t>datoria de stat internă</w:t>
            </w:r>
          </w:p>
        </w:tc>
      </w:tr>
      <w:tr w:rsidR="00EE138E" w:rsidRPr="00C8683B" w14:paraId="21888532" w14:textId="77777777" w:rsidTr="001360F9">
        <w:trPr>
          <w:trHeight w:val="359"/>
        </w:trPr>
        <w:tc>
          <w:tcPr>
            <w:tcW w:w="2940" w:type="dxa"/>
            <w:vMerge/>
            <w:shd w:val="clear" w:color="auto" w:fill="E7E6E6"/>
          </w:tcPr>
          <w:p w14:paraId="31DA2A41" w14:textId="77777777" w:rsidR="00EE138E" w:rsidRPr="00C8683B" w:rsidRDefault="00EE138E" w:rsidP="005E02BD">
            <w:pPr>
              <w:pStyle w:val="a6"/>
              <w:rPr>
                <w:rFonts w:asciiTheme="majorHAnsi" w:hAnsiTheme="majorHAnsi" w:cstheme="majorHAnsi"/>
                <w:b/>
                <w:sz w:val="20"/>
                <w:szCs w:val="20"/>
                <w:lang w:val="ro-RO"/>
              </w:rPr>
            </w:pPr>
          </w:p>
        </w:tc>
        <w:tc>
          <w:tcPr>
            <w:tcW w:w="1117" w:type="dxa"/>
            <w:shd w:val="clear" w:color="auto" w:fill="E7E6E6"/>
          </w:tcPr>
          <w:p w14:paraId="1993D9C1" w14:textId="77777777" w:rsidR="00EE138E" w:rsidRPr="00C8683B" w:rsidRDefault="00EE138E" w:rsidP="005E02BD">
            <w:pPr>
              <w:pStyle w:val="a6"/>
              <w:rPr>
                <w:rFonts w:asciiTheme="majorHAnsi" w:hAnsiTheme="majorHAnsi" w:cstheme="majorHAnsi"/>
                <w:b/>
                <w:sz w:val="20"/>
                <w:szCs w:val="20"/>
                <w:lang w:val="ro-RO"/>
              </w:rPr>
            </w:pPr>
            <w:r w:rsidRPr="00C8683B">
              <w:rPr>
                <w:rFonts w:asciiTheme="majorHAnsi" w:hAnsiTheme="majorHAnsi" w:cstheme="majorHAnsi"/>
                <w:b/>
                <w:sz w:val="20"/>
                <w:szCs w:val="20"/>
                <w:lang w:val="ro-RO"/>
              </w:rPr>
              <w:t>rata fixă</w:t>
            </w:r>
          </w:p>
        </w:tc>
        <w:tc>
          <w:tcPr>
            <w:tcW w:w="1102" w:type="dxa"/>
            <w:shd w:val="clear" w:color="auto" w:fill="E7E6E6"/>
          </w:tcPr>
          <w:p w14:paraId="5815884B" w14:textId="77777777" w:rsidR="00EE138E" w:rsidRPr="00C8683B" w:rsidRDefault="00EE138E" w:rsidP="005E02BD">
            <w:pPr>
              <w:pStyle w:val="a6"/>
              <w:rPr>
                <w:rFonts w:asciiTheme="majorHAnsi" w:hAnsiTheme="majorHAnsi" w:cstheme="majorHAnsi"/>
                <w:b/>
                <w:sz w:val="20"/>
                <w:szCs w:val="20"/>
                <w:lang w:val="ro-RO"/>
              </w:rPr>
            </w:pPr>
            <w:r w:rsidRPr="00C8683B">
              <w:rPr>
                <w:rFonts w:asciiTheme="majorHAnsi" w:hAnsiTheme="majorHAnsi" w:cstheme="majorHAnsi"/>
                <w:b/>
                <w:sz w:val="20"/>
                <w:szCs w:val="20"/>
                <w:lang w:val="ro-RO"/>
              </w:rPr>
              <w:t>rata flotantă</w:t>
            </w:r>
          </w:p>
        </w:tc>
        <w:tc>
          <w:tcPr>
            <w:tcW w:w="945" w:type="dxa"/>
            <w:shd w:val="clear" w:color="auto" w:fill="E7E6E6"/>
          </w:tcPr>
          <w:p w14:paraId="4D1A9484" w14:textId="77777777" w:rsidR="00EE138E" w:rsidRPr="00C8683B" w:rsidRDefault="00EE138E" w:rsidP="005E02BD">
            <w:pPr>
              <w:pStyle w:val="a6"/>
              <w:rPr>
                <w:rFonts w:asciiTheme="majorHAnsi" w:hAnsiTheme="majorHAnsi" w:cstheme="majorHAnsi"/>
                <w:b/>
                <w:sz w:val="20"/>
                <w:szCs w:val="20"/>
                <w:lang w:val="ro-RO"/>
              </w:rPr>
            </w:pPr>
            <w:r w:rsidRPr="00C8683B">
              <w:rPr>
                <w:rFonts w:asciiTheme="majorHAnsi" w:hAnsiTheme="majorHAnsi" w:cstheme="majorHAnsi"/>
                <w:b/>
                <w:sz w:val="20"/>
                <w:szCs w:val="20"/>
                <w:lang w:val="ro-RO"/>
              </w:rPr>
              <w:t>rata fixă</w:t>
            </w:r>
          </w:p>
        </w:tc>
        <w:tc>
          <w:tcPr>
            <w:tcW w:w="1102" w:type="dxa"/>
            <w:shd w:val="clear" w:color="auto" w:fill="E7E6E6"/>
          </w:tcPr>
          <w:p w14:paraId="0FC05BAE" w14:textId="77777777" w:rsidR="00EE138E" w:rsidRPr="00C8683B" w:rsidRDefault="00EE138E" w:rsidP="005E02BD">
            <w:pPr>
              <w:pStyle w:val="a6"/>
              <w:rPr>
                <w:rFonts w:asciiTheme="majorHAnsi" w:hAnsiTheme="majorHAnsi" w:cstheme="majorHAnsi"/>
                <w:b/>
                <w:sz w:val="20"/>
                <w:szCs w:val="20"/>
                <w:lang w:val="ro-RO"/>
              </w:rPr>
            </w:pPr>
            <w:r w:rsidRPr="00C8683B">
              <w:rPr>
                <w:rFonts w:asciiTheme="majorHAnsi" w:hAnsiTheme="majorHAnsi" w:cstheme="majorHAnsi"/>
                <w:b/>
                <w:sz w:val="20"/>
                <w:szCs w:val="20"/>
                <w:lang w:val="ro-RO"/>
              </w:rPr>
              <w:t>rata flotantă</w:t>
            </w:r>
          </w:p>
        </w:tc>
        <w:tc>
          <w:tcPr>
            <w:tcW w:w="1036" w:type="dxa"/>
            <w:shd w:val="clear" w:color="auto" w:fill="E7E6E6"/>
          </w:tcPr>
          <w:p w14:paraId="6189DFE0" w14:textId="77777777" w:rsidR="00EE138E" w:rsidRPr="00C8683B" w:rsidRDefault="00EE138E" w:rsidP="005E02BD">
            <w:pPr>
              <w:pStyle w:val="a6"/>
              <w:rPr>
                <w:rFonts w:asciiTheme="majorHAnsi" w:hAnsiTheme="majorHAnsi" w:cstheme="majorHAnsi"/>
                <w:b/>
                <w:sz w:val="20"/>
                <w:szCs w:val="20"/>
                <w:lang w:val="ro-RO"/>
              </w:rPr>
            </w:pPr>
            <w:r w:rsidRPr="00C8683B">
              <w:rPr>
                <w:rFonts w:asciiTheme="majorHAnsi" w:hAnsiTheme="majorHAnsi" w:cstheme="majorHAnsi"/>
                <w:b/>
                <w:sz w:val="20"/>
                <w:szCs w:val="20"/>
                <w:lang w:val="ro-RO"/>
              </w:rPr>
              <w:t>rata fixă</w:t>
            </w:r>
          </w:p>
        </w:tc>
        <w:tc>
          <w:tcPr>
            <w:tcW w:w="1102" w:type="dxa"/>
            <w:shd w:val="clear" w:color="auto" w:fill="E7E6E6"/>
          </w:tcPr>
          <w:p w14:paraId="015E8106" w14:textId="77777777" w:rsidR="00EE138E" w:rsidRPr="00C8683B" w:rsidRDefault="00EE138E" w:rsidP="005E02BD">
            <w:pPr>
              <w:pStyle w:val="a6"/>
              <w:rPr>
                <w:rFonts w:asciiTheme="majorHAnsi" w:hAnsiTheme="majorHAnsi" w:cstheme="majorHAnsi"/>
                <w:b/>
                <w:sz w:val="20"/>
                <w:szCs w:val="20"/>
                <w:lang w:val="ro-RO"/>
              </w:rPr>
            </w:pPr>
            <w:r w:rsidRPr="00C8683B">
              <w:rPr>
                <w:rFonts w:asciiTheme="majorHAnsi" w:hAnsiTheme="majorHAnsi" w:cstheme="majorHAnsi"/>
                <w:b/>
                <w:sz w:val="20"/>
                <w:szCs w:val="20"/>
                <w:lang w:val="ro-RO"/>
              </w:rPr>
              <w:t>rata flotantă</w:t>
            </w:r>
          </w:p>
        </w:tc>
      </w:tr>
      <w:tr w:rsidR="00EE138E" w:rsidRPr="00C8683B" w14:paraId="6FB07EC6" w14:textId="77777777" w:rsidTr="001360F9">
        <w:trPr>
          <w:trHeight w:val="245"/>
        </w:trPr>
        <w:tc>
          <w:tcPr>
            <w:tcW w:w="2940" w:type="dxa"/>
          </w:tcPr>
          <w:p w14:paraId="0D6A839E" w14:textId="77777777" w:rsidR="00EE138E" w:rsidRPr="00C8683B" w:rsidRDefault="001360F9" w:rsidP="005E02BD">
            <w:pPr>
              <w:pStyle w:val="a6"/>
              <w:rPr>
                <w:rFonts w:asciiTheme="majorHAnsi" w:hAnsiTheme="majorHAnsi" w:cstheme="majorHAnsi"/>
                <w:b/>
                <w:sz w:val="20"/>
                <w:szCs w:val="20"/>
                <w:lang w:val="ro-RO"/>
              </w:rPr>
            </w:pPr>
            <w:r w:rsidRPr="00C8683B">
              <w:rPr>
                <w:rFonts w:asciiTheme="majorHAnsi" w:hAnsiTheme="majorHAnsi" w:cstheme="majorHAnsi"/>
                <w:b/>
                <w:sz w:val="20"/>
                <w:szCs w:val="20"/>
                <w:lang w:val="ro-RO"/>
              </w:rPr>
              <w:t>2018</w:t>
            </w:r>
          </w:p>
        </w:tc>
        <w:tc>
          <w:tcPr>
            <w:tcW w:w="1117" w:type="dxa"/>
          </w:tcPr>
          <w:p w14:paraId="4A480912" w14:textId="77777777" w:rsidR="00EE138E" w:rsidRPr="00C8683B" w:rsidRDefault="00C87584" w:rsidP="005E02BD">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83,2%</w:t>
            </w:r>
          </w:p>
        </w:tc>
        <w:tc>
          <w:tcPr>
            <w:tcW w:w="1102" w:type="dxa"/>
          </w:tcPr>
          <w:p w14:paraId="4890D05E" w14:textId="4E4A17D8" w:rsidR="00EE138E" w:rsidRPr="00C8683B" w:rsidRDefault="00351CD4" w:rsidP="00CC29E3">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16,</w:t>
            </w:r>
            <w:r w:rsidR="00CC29E3">
              <w:rPr>
                <w:rFonts w:asciiTheme="majorHAnsi" w:hAnsiTheme="majorHAnsi" w:cstheme="majorHAnsi"/>
                <w:sz w:val="20"/>
                <w:szCs w:val="20"/>
                <w:lang w:val="ro-RO"/>
              </w:rPr>
              <w:t>8</w:t>
            </w:r>
            <w:r w:rsidRPr="00C8683B">
              <w:rPr>
                <w:rFonts w:asciiTheme="majorHAnsi" w:hAnsiTheme="majorHAnsi" w:cstheme="majorHAnsi"/>
                <w:sz w:val="20"/>
                <w:szCs w:val="20"/>
                <w:lang w:val="ro-RO"/>
              </w:rPr>
              <w:t>%</w:t>
            </w:r>
          </w:p>
        </w:tc>
        <w:tc>
          <w:tcPr>
            <w:tcW w:w="945" w:type="dxa"/>
          </w:tcPr>
          <w:p w14:paraId="7696799E" w14:textId="77777777" w:rsidR="00EE138E" w:rsidRPr="00C8683B" w:rsidRDefault="00C87584" w:rsidP="005E02BD">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39,4%</w:t>
            </w:r>
          </w:p>
        </w:tc>
        <w:tc>
          <w:tcPr>
            <w:tcW w:w="1102" w:type="dxa"/>
          </w:tcPr>
          <w:p w14:paraId="05C48994" w14:textId="77777777" w:rsidR="00EE138E" w:rsidRPr="00C8683B" w:rsidRDefault="00C87584" w:rsidP="005E02BD">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16,3%</w:t>
            </w:r>
          </w:p>
        </w:tc>
        <w:tc>
          <w:tcPr>
            <w:tcW w:w="1036" w:type="dxa"/>
          </w:tcPr>
          <w:p w14:paraId="5FDEAAE3" w14:textId="77777777" w:rsidR="00EE138E" w:rsidRPr="00C8683B" w:rsidRDefault="00C87584" w:rsidP="005E02BD">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43,8%</w:t>
            </w:r>
          </w:p>
        </w:tc>
        <w:tc>
          <w:tcPr>
            <w:tcW w:w="1102" w:type="dxa"/>
          </w:tcPr>
          <w:p w14:paraId="7C4EA22C" w14:textId="77777777" w:rsidR="00EE138E" w:rsidRPr="00C8683B" w:rsidRDefault="00C87584" w:rsidP="005E02BD">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0,6%</w:t>
            </w:r>
          </w:p>
        </w:tc>
      </w:tr>
      <w:tr w:rsidR="001360F9" w:rsidRPr="00C8683B" w14:paraId="52264FB9" w14:textId="77777777" w:rsidTr="001360F9">
        <w:trPr>
          <w:trHeight w:val="245"/>
        </w:trPr>
        <w:tc>
          <w:tcPr>
            <w:tcW w:w="2940" w:type="dxa"/>
          </w:tcPr>
          <w:p w14:paraId="60FC5775" w14:textId="77777777" w:rsidR="001360F9" w:rsidRPr="00C8683B" w:rsidRDefault="001360F9" w:rsidP="001360F9">
            <w:pPr>
              <w:pStyle w:val="a6"/>
              <w:rPr>
                <w:rFonts w:asciiTheme="majorHAnsi" w:hAnsiTheme="majorHAnsi" w:cstheme="majorHAnsi"/>
                <w:b/>
                <w:sz w:val="20"/>
                <w:szCs w:val="20"/>
                <w:lang w:val="ro-RO"/>
              </w:rPr>
            </w:pPr>
            <w:r w:rsidRPr="00C8683B">
              <w:rPr>
                <w:rFonts w:asciiTheme="majorHAnsi" w:hAnsiTheme="majorHAnsi" w:cstheme="majorHAnsi"/>
                <w:b/>
                <w:sz w:val="20"/>
                <w:szCs w:val="20"/>
                <w:lang w:val="ro-RO"/>
              </w:rPr>
              <w:t>2017</w:t>
            </w:r>
          </w:p>
        </w:tc>
        <w:tc>
          <w:tcPr>
            <w:tcW w:w="1117" w:type="dxa"/>
          </w:tcPr>
          <w:p w14:paraId="4BB40223" w14:textId="77777777" w:rsidR="001360F9" w:rsidRPr="00C8683B" w:rsidRDefault="001360F9" w:rsidP="001360F9">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85,5%</w:t>
            </w:r>
          </w:p>
        </w:tc>
        <w:tc>
          <w:tcPr>
            <w:tcW w:w="1102" w:type="dxa"/>
          </w:tcPr>
          <w:p w14:paraId="53C2E25D" w14:textId="77777777" w:rsidR="001360F9" w:rsidRPr="00C8683B" w:rsidRDefault="001360F9" w:rsidP="001360F9">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14,5%</w:t>
            </w:r>
          </w:p>
        </w:tc>
        <w:tc>
          <w:tcPr>
            <w:tcW w:w="945" w:type="dxa"/>
          </w:tcPr>
          <w:p w14:paraId="7672E7F8" w14:textId="77777777" w:rsidR="001360F9" w:rsidRPr="00C8683B" w:rsidRDefault="001360F9" w:rsidP="001360F9">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42,3%</w:t>
            </w:r>
          </w:p>
        </w:tc>
        <w:tc>
          <w:tcPr>
            <w:tcW w:w="1102" w:type="dxa"/>
          </w:tcPr>
          <w:p w14:paraId="3139FB4C" w14:textId="77777777" w:rsidR="001360F9" w:rsidRPr="00C8683B" w:rsidRDefault="001360F9" w:rsidP="001360F9">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14,0%</w:t>
            </w:r>
          </w:p>
        </w:tc>
        <w:tc>
          <w:tcPr>
            <w:tcW w:w="1036" w:type="dxa"/>
          </w:tcPr>
          <w:p w14:paraId="186A6329" w14:textId="77777777" w:rsidR="001360F9" w:rsidRPr="00C8683B" w:rsidRDefault="001360F9" w:rsidP="001360F9">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43,2%</w:t>
            </w:r>
          </w:p>
        </w:tc>
        <w:tc>
          <w:tcPr>
            <w:tcW w:w="1102" w:type="dxa"/>
          </w:tcPr>
          <w:p w14:paraId="446AD97C" w14:textId="77777777" w:rsidR="001360F9" w:rsidRPr="00C8683B" w:rsidRDefault="001360F9" w:rsidP="001360F9">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0,5%</w:t>
            </w:r>
          </w:p>
        </w:tc>
      </w:tr>
      <w:tr w:rsidR="001360F9" w:rsidRPr="00C8683B" w14:paraId="04F02273" w14:textId="77777777" w:rsidTr="001360F9">
        <w:trPr>
          <w:trHeight w:val="245"/>
        </w:trPr>
        <w:tc>
          <w:tcPr>
            <w:tcW w:w="2940" w:type="dxa"/>
          </w:tcPr>
          <w:p w14:paraId="22CD58B5" w14:textId="77777777" w:rsidR="001360F9" w:rsidRPr="00C8683B" w:rsidRDefault="001360F9" w:rsidP="001360F9">
            <w:pPr>
              <w:pStyle w:val="a6"/>
              <w:rPr>
                <w:rFonts w:asciiTheme="majorHAnsi" w:hAnsiTheme="majorHAnsi" w:cstheme="majorHAnsi"/>
                <w:b/>
                <w:sz w:val="20"/>
                <w:szCs w:val="20"/>
                <w:lang w:val="ro-RO"/>
              </w:rPr>
            </w:pPr>
            <w:r w:rsidRPr="00C8683B">
              <w:rPr>
                <w:rFonts w:asciiTheme="majorHAnsi" w:hAnsiTheme="majorHAnsi" w:cstheme="majorHAnsi"/>
                <w:b/>
                <w:sz w:val="20"/>
                <w:szCs w:val="20"/>
                <w:lang w:val="ro-RO"/>
              </w:rPr>
              <w:t>2016</w:t>
            </w:r>
          </w:p>
        </w:tc>
        <w:tc>
          <w:tcPr>
            <w:tcW w:w="1117" w:type="dxa"/>
          </w:tcPr>
          <w:p w14:paraId="3AD0CBD4" w14:textId="77777777" w:rsidR="001360F9" w:rsidRPr="00C8683B" w:rsidRDefault="001360F9" w:rsidP="001360F9">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84,6%</w:t>
            </w:r>
          </w:p>
        </w:tc>
        <w:tc>
          <w:tcPr>
            <w:tcW w:w="1102" w:type="dxa"/>
          </w:tcPr>
          <w:p w14:paraId="77286711" w14:textId="77777777" w:rsidR="001360F9" w:rsidRPr="00C8683B" w:rsidRDefault="001360F9" w:rsidP="001360F9">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15,4%</w:t>
            </w:r>
          </w:p>
        </w:tc>
        <w:tc>
          <w:tcPr>
            <w:tcW w:w="945" w:type="dxa"/>
          </w:tcPr>
          <w:p w14:paraId="6406FC52" w14:textId="77777777" w:rsidR="001360F9" w:rsidRPr="00C8683B" w:rsidRDefault="001360F9" w:rsidP="001360F9">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42,6%</w:t>
            </w:r>
          </w:p>
        </w:tc>
        <w:tc>
          <w:tcPr>
            <w:tcW w:w="1102" w:type="dxa"/>
          </w:tcPr>
          <w:p w14:paraId="7B0ACD72" w14:textId="77777777" w:rsidR="001360F9" w:rsidRPr="00C8683B" w:rsidRDefault="001360F9" w:rsidP="001360F9">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15,1%</w:t>
            </w:r>
          </w:p>
        </w:tc>
        <w:tc>
          <w:tcPr>
            <w:tcW w:w="1036" w:type="dxa"/>
          </w:tcPr>
          <w:p w14:paraId="687891B0" w14:textId="77777777" w:rsidR="001360F9" w:rsidRPr="00C8683B" w:rsidRDefault="001360F9" w:rsidP="001360F9">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42,1%</w:t>
            </w:r>
          </w:p>
        </w:tc>
        <w:tc>
          <w:tcPr>
            <w:tcW w:w="1102" w:type="dxa"/>
          </w:tcPr>
          <w:p w14:paraId="7479EFC4" w14:textId="77777777" w:rsidR="001360F9" w:rsidRPr="00C8683B" w:rsidRDefault="001360F9" w:rsidP="001360F9">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0,3%</w:t>
            </w:r>
          </w:p>
        </w:tc>
      </w:tr>
    </w:tbl>
    <w:p w14:paraId="0B664D27" w14:textId="45A9BE5D" w:rsidR="00EE138E" w:rsidRPr="001360F9" w:rsidRDefault="00EE138E" w:rsidP="00EE138E">
      <w:pPr>
        <w:jc w:val="both"/>
        <w:rPr>
          <w:rFonts w:asciiTheme="majorHAnsi" w:hAnsiTheme="majorHAnsi" w:cstheme="majorHAnsi"/>
          <w:sz w:val="18"/>
          <w:szCs w:val="18"/>
          <w:lang w:val="ro-RO"/>
        </w:rPr>
      </w:pPr>
      <w:r w:rsidRPr="001360F9">
        <w:rPr>
          <w:rFonts w:asciiTheme="majorHAnsi" w:hAnsiTheme="majorHAnsi" w:cstheme="majorHAnsi"/>
          <w:b/>
          <w:i/>
          <w:sz w:val="18"/>
          <w:szCs w:val="18"/>
          <w:lang w:val="ro-RO"/>
        </w:rPr>
        <w:t xml:space="preserve"> Sursă:</w:t>
      </w:r>
      <w:r w:rsidRPr="001360F9">
        <w:rPr>
          <w:rFonts w:asciiTheme="majorHAnsi" w:hAnsiTheme="majorHAnsi" w:cstheme="majorHAnsi"/>
          <w:b/>
          <w:sz w:val="18"/>
          <w:szCs w:val="18"/>
          <w:lang w:val="ro-RO"/>
        </w:rPr>
        <w:t xml:space="preserve"> </w:t>
      </w:r>
      <w:r w:rsidR="00937B7B">
        <w:rPr>
          <w:rFonts w:asciiTheme="majorHAnsi" w:hAnsiTheme="majorHAnsi" w:cstheme="majorHAnsi"/>
          <w:sz w:val="18"/>
          <w:szCs w:val="18"/>
          <w:lang w:val="ro-RO"/>
        </w:rPr>
        <w:t>I</w:t>
      </w:r>
      <w:r w:rsidRPr="001360F9">
        <w:rPr>
          <w:rFonts w:asciiTheme="majorHAnsi" w:hAnsiTheme="majorHAnsi" w:cstheme="majorHAnsi"/>
          <w:sz w:val="18"/>
          <w:szCs w:val="18"/>
          <w:lang w:val="ro-RO"/>
        </w:rPr>
        <w:t>nformați</w:t>
      </w:r>
      <w:r w:rsidR="00937B7B">
        <w:rPr>
          <w:rFonts w:asciiTheme="majorHAnsi" w:hAnsiTheme="majorHAnsi" w:cstheme="majorHAnsi"/>
          <w:sz w:val="18"/>
          <w:szCs w:val="18"/>
          <w:lang w:val="ro-RO"/>
        </w:rPr>
        <w:t>a</w:t>
      </w:r>
      <w:r w:rsidRPr="001360F9">
        <w:rPr>
          <w:rFonts w:asciiTheme="majorHAnsi" w:hAnsiTheme="majorHAnsi" w:cstheme="majorHAnsi"/>
          <w:sz w:val="18"/>
          <w:szCs w:val="18"/>
          <w:lang w:val="ro-RO"/>
        </w:rPr>
        <w:t xml:space="preserve"> privind structura datoriei de stat în anii</w:t>
      </w:r>
      <w:r w:rsidR="001360F9" w:rsidRPr="001360F9">
        <w:rPr>
          <w:rFonts w:asciiTheme="majorHAnsi" w:hAnsiTheme="majorHAnsi" w:cstheme="majorHAnsi"/>
          <w:sz w:val="18"/>
          <w:szCs w:val="18"/>
          <w:lang w:val="ro-RO"/>
        </w:rPr>
        <w:t xml:space="preserve"> 2016-2018</w:t>
      </w:r>
      <w:r w:rsidRPr="001360F9">
        <w:rPr>
          <w:rFonts w:asciiTheme="majorHAnsi" w:hAnsiTheme="majorHAnsi" w:cstheme="majorHAnsi"/>
          <w:sz w:val="18"/>
          <w:szCs w:val="18"/>
          <w:lang w:val="ro-RO"/>
        </w:rPr>
        <w:t>.</w:t>
      </w:r>
    </w:p>
    <w:p w14:paraId="6EAA8D8F" w14:textId="77777777" w:rsidR="001360F9" w:rsidRDefault="001360F9" w:rsidP="00EE138E">
      <w:pPr>
        <w:pStyle w:val="a6"/>
        <w:jc w:val="both"/>
        <w:rPr>
          <w:rFonts w:asciiTheme="majorHAnsi" w:hAnsiTheme="majorHAnsi" w:cstheme="majorHAnsi"/>
          <w:b/>
          <w:sz w:val="28"/>
          <w:szCs w:val="28"/>
          <w:highlight w:val="yellow"/>
          <w:lang w:val="ro-RO"/>
        </w:rPr>
      </w:pPr>
    </w:p>
    <w:p w14:paraId="2005903A" w14:textId="77777777" w:rsidR="00C8683B" w:rsidRPr="00C8683B" w:rsidRDefault="001335EF" w:rsidP="00C8683B">
      <w:pPr>
        <w:pStyle w:val="a6"/>
        <w:jc w:val="both"/>
        <w:rPr>
          <w:rFonts w:asciiTheme="majorHAnsi" w:hAnsiTheme="majorHAnsi" w:cstheme="majorHAnsi"/>
          <w:b/>
          <w:sz w:val="22"/>
          <w:szCs w:val="22"/>
          <w:lang w:val="ro-RO"/>
        </w:rPr>
      </w:pPr>
      <w:r>
        <w:rPr>
          <w:rFonts w:asciiTheme="majorHAnsi" w:hAnsiTheme="majorHAnsi" w:cstheme="majorHAnsi"/>
          <w:b/>
          <w:sz w:val="22"/>
          <w:szCs w:val="22"/>
          <w:lang w:val="ro-RO"/>
        </w:rPr>
        <w:t>Tabelul nr.2</w:t>
      </w:r>
      <w:r w:rsidR="00C8683B" w:rsidRPr="00C8683B">
        <w:rPr>
          <w:rFonts w:asciiTheme="majorHAnsi" w:hAnsiTheme="majorHAnsi" w:cstheme="majorHAnsi"/>
          <w:b/>
          <w:sz w:val="22"/>
          <w:szCs w:val="22"/>
          <w:lang w:val="ro-RO"/>
        </w:rPr>
        <w:t>. Evoluția principalilor indicatori ce caracterizează datoria de stat pe anii 2016-2018</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9"/>
        <w:gridCol w:w="850"/>
        <w:gridCol w:w="797"/>
        <w:gridCol w:w="801"/>
        <w:gridCol w:w="989"/>
      </w:tblGrid>
      <w:tr w:rsidR="00C8683B" w:rsidRPr="00C8683B" w14:paraId="79115E6F" w14:textId="77777777" w:rsidTr="00DC6DEE">
        <w:trPr>
          <w:trHeight w:val="313"/>
          <w:jc w:val="center"/>
        </w:trPr>
        <w:tc>
          <w:tcPr>
            <w:tcW w:w="5949" w:type="dxa"/>
            <w:shd w:val="clear" w:color="auto" w:fill="E7E6E6"/>
            <w:vAlign w:val="center"/>
          </w:tcPr>
          <w:p w14:paraId="107ABC7E" w14:textId="77777777" w:rsidR="00C8683B" w:rsidRPr="00C8683B" w:rsidRDefault="00C8683B" w:rsidP="00DC6DEE">
            <w:pPr>
              <w:spacing w:after="0" w:line="240" w:lineRule="auto"/>
              <w:jc w:val="center"/>
              <w:rPr>
                <w:rFonts w:asciiTheme="majorHAnsi" w:hAnsiTheme="majorHAnsi" w:cstheme="majorHAnsi"/>
                <w:b/>
                <w:bCs/>
                <w:sz w:val="20"/>
                <w:szCs w:val="20"/>
                <w:lang w:val="ro-RO"/>
              </w:rPr>
            </w:pPr>
            <w:r w:rsidRPr="00C8683B">
              <w:rPr>
                <w:rFonts w:asciiTheme="majorHAnsi" w:hAnsiTheme="majorHAnsi" w:cstheme="majorHAnsi"/>
                <w:b/>
                <w:bCs/>
                <w:sz w:val="20"/>
                <w:szCs w:val="20"/>
                <w:lang w:val="ro-RO"/>
              </w:rPr>
              <w:t>Indicatorii</w:t>
            </w:r>
          </w:p>
        </w:tc>
        <w:tc>
          <w:tcPr>
            <w:tcW w:w="850" w:type="dxa"/>
            <w:shd w:val="clear" w:color="auto" w:fill="E7E6E6"/>
            <w:vAlign w:val="center"/>
          </w:tcPr>
          <w:p w14:paraId="4F9DE2D2" w14:textId="77777777" w:rsidR="00C8683B" w:rsidRPr="00C8683B" w:rsidRDefault="00C8683B" w:rsidP="00DC6DEE">
            <w:pPr>
              <w:spacing w:after="0" w:line="240" w:lineRule="auto"/>
              <w:jc w:val="center"/>
              <w:rPr>
                <w:rFonts w:asciiTheme="majorHAnsi" w:hAnsiTheme="majorHAnsi" w:cstheme="majorHAnsi"/>
                <w:b/>
                <w:bCs/>
                <w:sz w:val="20"/>
                <w:szCs w:val="20"/>
                <w:lang w:val="ro-RO"/>
              </w:rPr>
            </w:pPr>
            <w:r w:rsidRPr="00C8683B">
              <w:rPr>
                <w:rFonts w:asciiTheme="majorHAnsi" w:hAnsiTheme="majorHAnsi" w:cstheme="majorHAnsi"/>
                <w:b/>
                <w:bCs/>
                <w:sz w:val="20"/>
                <w:szCs w:val="20"/>
                <w:lang w:val="ro-RO"/>
              </w:rPr>
              <w:t>u.m.</w:t>
            </w:r>
          </w:p>
        </w:tc>
        <w:tc>
          <w:tcPr>
            <w:tcW w:w="797" w:type="dxa"/>
            <w:shd w:val="clear" w:color="auto" w:fill="E7E6E6"/>
            <w:vAlign w:val="center"/>
          </w:tcPr>
          <w:p w14:paraId="77138334" w14:textId="77777777" w:rsidR="00C8683B" w:rsidRPr="00C8683B" w:rsidRDefault="00C8683B" w:rsidP="00DC6DEE">
            <w:pPr>
              <w:spacing w:after="0" w:line="240" w:lineRule="auto"/>
              <w:rPr>
                <w:rFonts w:asciiTheme="majorHAnsi" w:hAnsiTheme="majorHAnsi" w:cstheme="majorHAnsi"/>
                <w:b/>
                <w:bCs/>
                <w:sz w:val="20"/>
                <w:szCs w:val="20"/>
                <w:lang w:val="ro-RO"/>
              </w:rPr>
            </w:pPr>
            <w:r w:rsidRPr="00C8683B">
              <w:rPr>
                <w:rFonts w:asciiTheme="majorHAnsi" w:hAnsiTheme="majorHAnsi" w:cstheme="majorHAnsi"/>
                <w:b/>
                <w:bCs/>
                <w:sz w:val="20"/>
                <w:szCs w:val="20"/>
                <w:lang w:val="ro-RO"/>
              </w:rPr>
              <w:t>2016</w:t>
            </w:r>
          </w:p>
        </w:tc>
        <w:tc>
          <w:tcPr>
            <w:tcW w:w="801" w:type="dxa"/>
            <w:shd w:val="clear" w:color="auto" w:fill="E7E6E6"/>
            <w:vAlign w:val="center"/>
          </w:tcPr>
          <w:p w14:paraId="429D57D4" w14:textId="77777777" w:rsidR="00C8683B" w:rsidRPr="00C8683B" w:rsidRDefault="00C8683B" w:rsidP="00DC6DEE">
            <w:pPr>
              <w:spacing w:after="0" w:line="240" w:lineRule="auto"/>
              <w:jc w:val="center"/>
              <w:rPr>
                <w:rFonts w:asciiTheme="majorHAnsi" w:hAnsiTheme="majorHAnsi" w:cstheme="majorHAnsi"/>
                <w:b/>
                <w:bCs/>
                <w:sz w:val="20"/>
                <w:szCs w:val="20"/>
                <w:lang w:val="ro-RO"/>
              </w:rPr>
            </w:pPr>
            <w:r w:rsidRPr="00C8683B">
              <w:rPr>
                <w:rFonts w:asciiTheme="majorHAnsi" w:hAnsiTheme="majorHAnsi" w:cstheme="majorHAnsi"/>
                <w:b/>
                <w:bCs/>
                <w:sz w:val="20"/>
                <w:szCs w:val="20"/>
                <w:lang w:val="ro-RO"/>
              </w:rPr>
              <w:t>2017</w:t>
            </w:r>
          </w:p>
        </w:tc>
        <w:tc>
          <w:tcPr>
            <w:tcW w:w="989" w:type="dxa"/>
            <w:shd w:val="clear" w:color="auto" w:fill="E7E6E6"/>
            <w:vAlign w:val="center"/>
          </w:tcPr>
          <w:p w14:paraId="293F3643" w14:textId="77777777" w:rsidR="00C8683B" w:rsidRPr="00C8683B" w:rsidRDefault="00C8683B" w:rsidP="00DC6DEE">
            <w:pPr>
              <w:spacing w:after="0" w:line="240" w:lineRule="auto"/>
              <w:jc w:val="center"/>
              <w:rPr>
                <w:rFonts w:asciiTheme="majorHAnsi" w:hAnsiTheme="majorHAnsi" w:cstheme="majorHAnsi"/>
                <w:b/>
                <w:bCs/>
                <w:sz w:val="20"/>
                <w:szCs w:val="20"/>
                <w:lang w:val="ro-RO"/>
              </w:rPr>
            </w:pPr>
            <w:r w:rsidRPr="00C8683B">
              <w:rPr>
                <w:rFonts w:asciiTheme="majorHAnsi" w:hAnsiTheme="majorHAnsi" w:cstheme="majorHAnsi"/>
                <w:b/>
                <w:bCs/>
                <w:sz w:val="20"/>
                <w:szCs w:val="20"/>
                <w:lang w:val="ro-RO"/>
              </w:rPr>
              <w:t>2018</w:t>
            </w:r>
          </w:p>
        </w:tc>
      </w:tr>
      <w:tr w:rsidR="00C8683B" w:rsidRPr="00C8683B" w14:paraId="26893624" w14:textId="77777777" w:rsidTr="00DC6DEE">
        <w:trPr>
          <w:trHeight w:val="567"/>
          <w:jc w:val="center"/>
        </w:trPr>
        <w:tc>
          <w:tcPr>
            <w:tcW w:w="5949" w:type="dxa"/>
          </w:tcPr>
          <w:p w14:paraId="2A60CE13" w14:textId="77777777" w:rsidR="00C8683B" w:rsidRPr="00C8683B" w:rsidRDefault="00C8683B" w:rsidP="00DC6DEE">
            <w:pPr>
              <w:spacing w:after="0" w:line="240" w:lineRule="auto"/>
              <w:rPr>
                <w:rFonts w:asciiTheme="majorHAnsi" w:hAnsiTheme="majorHAnsi" w:cstheme="majorHAnsi"/>
                <w:b/>
                <w:bCs/>
                <w:sz w:val="18"/>
                <w:szCs w:val="18"/>
                <w:lang w:val="ro-RO"/>
              </w:rPr>
            </w:pPr>
            <w:r w:rsidRPr="00C8683B">
              <w:rPr>
                <w:rFonts w:asciiTheme="majorHAnsi" w:hAnsiTheme="majorHAnsi" w:cstheme="majorHAnsi"/>
                <w:b/>
                <w:bCs/>
                <w:sz w:val="18"/>
                <w:szCs w:val="18"/>
                <w:lang w:val="ro-RO"/>
              </w:rPr>
              <w:t>1. Ponderea datoriei de stat în PIB</w:t>
            </w:r>
          </w:p>
          <w:p w14:paraId="5ECE6B38" w14:textId="77777777" w:rsidR="00C8683B" w:rsidRPr="00C8683B" w:rsidRDefault="00C8683B" w:rsidP="00DC6DEE">
            <w:pPr>
              <w:spacing w:after="0" w:line="240" w:lineRule="auto"/>
              <w:rPr>
                <w:rFonts w:asciiTheme="majorHAnsi" w:hAnsiTheme="majorHAnsi" w:cstheme="majorHAnsi"/>
                <w:sz w:val="18"/>
                <w:szCs w:val="18"/>
                <w:lang w:val="ro-RO"/>
              </w:rPr>
            </w:pPr>
            <w:r w:rsidRPr="00C8683B">
              <w:rPr>
                <w:rFonts w:asciiTheme="majorHAnsi" w:hAnsiTheme="majorHAnsi" w:cstheme="majorHAnsi"/>
                <w:b/>
                <w:sz w:val="18"/>
                <w:szCs w:val="18"/>
                <w:lang w:val="ro-RO"/>
              </w:rPr>
              <w:t>1.1.</w:t>
            </w:r>
            <w:r w:rsidRPr="00C8683B">
              <w:rPr>
                <w:rFonts w:asciiTheme="majorHAnsi" w:hAnsiTheme="majorHAnsi" w:cstheme="majorHAnsi"/>
                <w:sz w:val="18"/>
                <w:szCs w:val="18"/>
                <w:lang w:val="ro-RO"/>
              </w:rPr>
              <w:t xml:space="preserve"> Ponderea datoriei de stat externe în PIB</w:t>
            </w:r>
          </w:p>
          <w:p w14:paraId="2FF425A7" w14:textId="77777777" w:rsidR="00C8683B" w:rsidRPr="00C8683B" w:rsidRDefault="00C8683B" w:rsidP="00DC6DEE">
            <w:pPr>
              <w:spacing w:after="0" w:line="240" w:lineRule="auto"/>
              <w:rPr>
                <w:rFonts w:asciiTheme="majorHAnsi" w:hAnsiTheme="majorHAnsi" w:cstheme="majorHAnsi"/>
                <w:sz w:val="18"/>
                <w:szCs w:val="18"/>
                <w:lang w:val="ro-RO"/>
              </w:rPr>
            </w:pPr>
            <w:r w:rsidRPr="00C8683B">
              <w:rPr>
                <w:rFonts w:asciiTheme="majorHAnsi" w:hAnsiTheme="majorHAnsi" w:cstheme="majorHAnsi"/>
                <w:b/>
                <w:sz w:val="18"/>
                <w:szCs w:val="18"/>
                <w:lang w:val="ro-RO"/>
              </w:rPr>
              <w:t>1.2.</w:t>
            </w:r>
            <w:r w:rsidRPr="00C8683B">
              <w:rPr>
                <w:rFonts w:asciiTheme="majorHAnsi" w:hAnsiTheme="majorHAnsi" w:cstheme="majorHAnsi"/>
                <w:sz w:val="18"/>
                <w:szCs w:val="18"/>
                <w:lang w:val="ro-RO"/>
              </w:rPr>
              <w:t xml:space="preserve"> Ponderea datoriei de stat interne în PIB</w:t>
            </w:r>
          </w:p>
        </w:tc>
        <w:tc>
          <w:tcPr>
            <w:tcW w:w="850" w:type="dxa"/>
          </w:tcPr>
          <w:p w14:paraId="44553722" w14:textId="77777777" w:rsidR="00C8683B" w:rsidRPr="00C8683B" w:rsidRDefault="00C8683B" w:rsidP="00DC6DEE">
            <w:pPr>
              <w:spacing w:after="0" w:line="240" w:lineRule="auto"/>
              <w:jc w:val="center"/>
              <w:rPr>
                <w:rFonts w:asciiTheme="majorHAnsi" w:hAnsiTheme="majorHAnsi" w:cstheme="majorHAnsi"/>
                <w:sz w:val="18"/>
                <w:szCs w:val="18"/>
                <w:lang w:val="ro-RO"/>
              </w:rPr>
            </w:pPr>
          </w:p>
          <w:p w14:paraId="1430E76D" w14:textId="77777777" w:rsidR="00C8683B" w:rsidRPr="00C8683B" w:rsidRDefault="00C8683B" w:rsidP="00DC6DEE">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w:t>
            </w:r>
          </w:p>
        </w:tc>
        <w:tc>
          <w:tcPr>
            <w:tcW w:w="797" w:type="dxa"/>
            <w:shd w:val="clear" w:color="auto" w:fill="FFFFFF"/>
          </w:tcPr>
          <w:p w14:paraId="332AEC6F" w14:textId="10A1CF38" w:rsidR="00C8683B" w:rsidRPr="00C8683B" w:rsidRDefault="00CC29E3" w:rsidP="00DC6DEE">
            <w:pPr>
              <w:spacing w:after="0" w:line="240" w:lineRule="auto"/>
              <w:jc w:val="center"/>
              <w:rPr>
                <w:rFonts w:asciiTheme="majorHAnsi" w:hAnsiTheme="majorHAnsi" w:cstheme="majorHAnsi"/>
                <w:b/>
                <w:sz w:val="18"/>
                <w:szCs w:val="18"/>
                <w:lang w:val="ro-RO"/>
              </w:rPr>
            </w:pPr>
            <w:r>
              <w:rPr>
                <w:rFonts w:asciiTheme="majorHAnsi" w:hAnsiTheme="majorHAnsi" w:cstheme="majorHAnsi"/>
                <w:b/>
                <w:sz w:val="18"/>
                <w:szCs w:val="18"/>
                <w:lang w:val="ro-RO"/>
              </w:rPr>
              <w:t>31,6</w:t>
            </w:r>
          </w:p>
          <w:p w14:paraId="10BD1BC5" w14:textId="2A9750D1" w:rsidR="00C8683B" w:rsidRPr="00C8683B" w:rsidRDefault="00CC29E3" w:rsidP="00DC6DEE">
            <w:pPr>
              <w:spacing w:after="0" w:line="240" w:lineRule="auto"/>
              <w:jc w:val="center"/>
              <w:rPr>
                <w:rFonts w:asciiTheme="majorHAnsi" w:hAnsiTheme="majorHAnsi" w:cstheme="majorHAnsi"/>
                <w:sz w:val="18"/>
                <w:szCs w:val="18"/>
                <w:lang w:val="ro-RO"/>
              </w:rPr>
            </w:pPr>
            <w:r>
              <w:rPr>
                <w:rFonts w:asciiTheme="majorHAnsi" w:hAnsiTheme="majorHAnsi" w:cstheme="majorHAnsi"/>
                <w:sz w:val="18"/>
                <w:szCs w:val="18"/>
                <w:lang w:val="ro-RO"/>
              </w:rPr>
              <w:t>18,2</w:t>
            </w:r>
          </w:p>
          <w:p w14:paraId="41DF05F2" w14:textId="0A04219E" w:rsidR="00C8683B" w:rsidRPr="00C8683B" w:rsidRDefault="00CC29E3" w:rsidP="00DC6DEE">
            <w:pPr>
              <w:spacing w:after="0" w:line="240" w:lineRule="auto"/>
              <w:jc w:val="center"/>
              <w:rPr>
                <w:rFonts w:asciiTheme="majorHAnsi" w:hAnsiTheme="majorHAnsi" w:cstheme="majorHAnsi"/>
                <w:b/>
                <w:sz w:val="18"/>
                <w:szCs w:val="18"/>
                <w:lang w:val="ro-RO"/>
              </w:rPr>
            </w:pPr>
            <w:r>
              <w:rPr>
                <w:rFonts w:asciiTheme="majorHAnsi" w:hAnsiTheme="majorHAnsi" w:cstheme="majorHAnsi"/>
                <w:sz w:val="18"/>
                <w:szCs w:val="18"/>
                <w:lang w:val="ro-RO"/>
              </w:rPr>
              <w:t>13,4</w:t>
            </w:r>
          </w:p>
        </w:tc>
        <w:tc>
          <w:tcPr>
            <w:tcW w:w="801" w:type="dxa"/>
            <w:shd w:val="clear" w:color="auto" w:fill="FFFFFF"/>
          </w:tcPr>
          <w:p w14:paraId="23F3E34B" w14:textId="77777777"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b/>
                <w:sz w:val="18"/>
                <w:szCs w:val="18"/>
                <w:lang w:val="ro-RO"/>
              </w:rPr>
              <w:t xml:space="preserve">28,9      </w:t>
            </w:r>
            <w:r w:rsidRPr="00C8683B">
              <w:rPr>
                <w:rFonts w:asciiTheme="majorHAnsi" w:hAnsiTheme="majorHAnsi" w:cstheme="majorHAnsi"/>
                <w:sz w:val="18"/>
                <w:szCs w:val="18"/>
                <w:lang w:val="ro-RO"/>
              </w:rPr>
              <w:t>16,3            12,6</w:t>
            </w:r>
          </w:p>
        </w:tc>
        <w:tc>
          <w:tcPr>
            <w:tcW w:w="989" w:type="dxa"/>
            <w:shd w:val="clear" w:color="auto" w:fill="FFFFFF"/>
          </w:tcPr>
          <w:p w14:paraId="5E636792" w14:textId="5B8A6D02" w:rsidR="00C8683B" w:rsidRPr="00C8683B" w:rsidRDefault="00C8683B" w:rsidP="004E2CB3">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b/>
                <w:sz w:val="18"/>
                <w:szCs w:val="18"/>
                <w:lang w:val="ro-RO"/>
              </w:rPr>
              <w:t>27,</w:t>
            </w:r>
            <w:r w:rsidR="00CC29E3">
              <w:rPr>
                <w:rFonts w:asciiTheme="majorHAnsi" w:hAnsiTheme="majorHAnsi" w:cstheme="majorHAnsi"/>
                <w:b/>
                <w:sz w:val="18"/>
                <w:szCs w:val="18"/>
                <w:lang w:val="ro-RO"/>
              </w:rPr>
              <w:t>4</w:t>
            </w:r>
            <w:r w:rsidR="00CC29E3" w:rsidRPr="00C8683B">
              <w:rPr>
                <w:rFonts w:asciiTheme="majorHAnsi" w:hAnsiTheme="majorHAnsi" w:cstheme="majorHAnsi"/>
                <w:b/>
                <w:sz w:val="18"/>
                <w:szCs w:val="18"/>
                <w:lang w:val="ro-RO"/>
              </w:rPr>
              <w:t xml:space="preserve">       </w:t>
            </w:r>
            <w:r w:rsidRPr="00C8683B">
              <w:rPr>
                <w:rFonts w:asciiTheme="majorHAnsi" w:hAnsiTheme="majorHAnsi" w:cstheme="majorHAnsi"/>
                <w:sz w:val="18"/>
                <w:szCs w:val="18"/>
                <w:lang w:val="ro-RO"/>
              </w:rPr>
              <w:t>15,2           12,1</w:t>
            </w:r>
          </w:p>
        </w:tc>
      </w:tr>
      <w:tr w:rsidR="00C8683B" w:rsidRPr="00C8683B" w14:paraId="20764763" w14:textId="77777777" w:rsidTr="00DC6DEE">
        <w:trPr>
          <w:trHeight w:val="674"/>
          <w:jc w:val="center"/>
        </w:trPr>
        <w:tc>
          <w:tcPr>
            <w:tcW w:w="5949" w:type="dxa"/>
          </w:tcPr>
          <w:p w14:paraId="78EEBE58" w14:textId="77777777" w:rsidR="00C8683B" w:rsidRPr="00C8683B" w:rsidRDefault="00C8683B" w:rsidP="00DC6DEE">
            <w:pPr>
              <w:spacing w:after="0" w:line="240" w:lineRule="auto"/>
              <w:ind w:left="34" w:hanging="34"/>
              <w:rPr>
                <w:rFonts w:asciiTheme="majorHAnsi" w:hAnsiTheme="majorHAnsi" w:cstheme="majorHAnsi"/>
                <w:b/>
                <w:bCs/>
                <w:sz w:val="18"/>
                <w:szCs w:val="18"/>
                <w:lang w:val="ro-RO"/>
              </w:rPr>
            </w:pPr>
            <w:r w:rsidRPr="00C8683B">
              <w:rPr>
                <w:rFonts w:asciiTheme="majorHAnsi" w:hAnsiTheme="majorHAnsi" w:cstheme="majorHAnsi"/>
                <w:b/>
                <w:bCs/>
                <w:sz w:val="18"/>
                <w:szCs w:val="18"/>
                <w:lang w:val="ro-RO"/>
              </w:rPr>
              <w:t xml:space="preserve">2. Ponderea datoriei de stat în veniturile bugetului de stat </w:t>
            </w:r>
          </w:p>
          <w:p w14:paraId="7A0929CE" w14:textId="77777777" w:rsidR="00C8683B" w:rsidRPr="00C8683B" w:rsidRDefault="00C8683B" w:rsidP="00DC6DEE">
            <w:pPr>
              <w:spacing w:after="0" w:line="240" w:lineRule="auto"/>
              <w:rPr>
                <w:rFonts w:asciiTheme="majorHAnsi" w:hAnsiTheme="majorHAnsi" w:cstheme="majorHAnsi"/>
                <w:sz w:val="18"/>
                <w:szCs w:val="18"/>
                <w:lang w:val="ro-RO"/>
              </w:rPr>
            </w:pPr>
            <w:r w:rsidRPr="00C8683B">
              <w:rPr>
                <w:rFonts w:asciiTheme="majorHAnsi" w:hAnsiTheme="majorHAnsi" w:cstheme="majorHAnsi"/>
                <w:b/>
                <w:sz w:val="18"/>
                <w:szCs w:val="18"/>
                <w:lang w:val="ro-RO"/>
              </w:rPr>
              <w:t>2.2.</w:t>
            </w:r>
            <w:r w:rsidRPr="00C8683B">
              <w:rPr>
                <w:rFonts w:asciiTheme="majorHAnsi" w:hAnsiTheme="majorHAnsi" w:cstheme="majorHAnsi"/>
                <w:sz w:val="18"/>
                <w:szCs w:val="18"/>
                <w:lang w:val="ro-RO"/>
              </w:rPr>
              <w:t xml:space="preserve"> Ponderea datoriei de stat externe în veniturile bugetului de stat </w:t>
            </w:r>
          </w:p>
          <w:p w14:paraId="4C95BD25" w14:textId="77777777" w:rsidR="00C8683B" w:rsidRPr="00C8683B" w:rsidRDefault="00C8683B" w:rsidP="00DC6DEE">
            <w:pPr>
              <w:spacing w:after="0" w:line="240" w:lineRule="auto"/>
              <w:rPr>
                <w:rFonts w:asciiTheme="majorHAnsi" w:hAnsiTheme="majorHAnsi" w:cstheme="majorHAnsi"/>
                <w:sz w:val="18"/>
                <w:szCs w:val="18"/>
                <w:lang w:val="ro-RO"/>
              </w:rPr>
            </w:pPr>
            <w:r w:rsidRPr="00C8683B">
              <w:rPr>
                <w:rFonts w:asciiTheme="majorHAnsi" w:hAnsiTheme="majorHAnsi" w:cstheme="majorHAnsi"/>
                <w:b/>
                <w:sz w:val="18"/>
                <w:szCs w:val="18"/>
                <w:lang w:val="ro-RO"/>
              </w:rPr>
              <w:t>2.2</w:t>
            </w:r>
            <w:r w:rsidRPr="00C8683B">
              <w:rPr>
                <w:rFonts w:asciiTheme="majorHAnsi" w:hAnsiTheme="majorHAnsi" w:cstheme="majorHAnsi"/>
                <w:sz w:val="18"/>
                <w:szCs w:val="18"/>
                <w:lang w:val="ro-RO"/>
              </w:rPr>
              <w:t xml:space="preserve">. Ponderea datoriei de stat interne în veniturile bugetului de stat </w:t>
            </w:r>
          </w:p>
        </w:tc>
        <w:tc>
          <w:tcPr>
            <w:tcW w:w="850" w:type="dxa"/>
          </w:tcPr>
          <w:p w14:paraId="27861148" w14:textId="77777777" w:rsidR="00C8683B" w:rsidRPr="00C8683B" w:rsidRDefault="00C8683B" w:rsidP="00DC6DEE">
            <w:pPr>
              <w:spacing w:after="0" w:line="240" w:lineRule="auto"/>
              <w:jc w:val="center"/>
              <w:rPr>
                <w:rFonts w:asciiTheme="majorHAnsi" w:hAnsiTheme="majorHAnsi" w:cstheme="majorHAnsi"/>
                <w:sz w:val="18"/>
                <w:szCs w:val="18"/>
                <w:lang w:val="ro-RO"/>
              </w:rPr>
            </w:pPr>
          </w:p>
          <w:p w14:paraId="5D51ACA7" w14:textId="77777777" w:rsidR="00C8683B" w:rsidRPr="00C8683B" w:rsidRDefault="00C8683B" w:rsidP="00DC6DEE">
            <w:pPr>
              <w:spacing w:after="0" w:line="240" w:lineRule="auto"/>
              <w:jc w:val="center"/>
              <w:rPr>
                <w:rFonts w:asciiTheme="majorHAnsi" w:hAnsiTheme="majorHAnsi" w:cstheme="majorHAnsi"/>
                <w:sz w:val="18"/>
                <w:szCs w:val="18"/>
                <w:lang w:val="ro-RO"/>
              </w:rPr>
            </w:pPr>
          </w:p>
          <w:p w14:paraId="21597709" w14:textId="77777777" w:rsidR="00C8683B" w:rsidRPr="00C8683B" w:rsidRDefault="00C8683B" w:rsidP="00DC6DEE">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w:t>
            </w:r>
          </w:p>
        </w:tc>
        <w:tc>
          <w:tcPr>
            <w:tcW w:w="797" w:type="dxa"/>
            <w:shd w:val="clear" w:color="auto" w:fill="FFFFFF"/>
          </w:tcPr>
          <w:p w14:paraId="00384B1F" w14:textId="6884D1EC" w:rsidR="00C8683B" w:rsidRPr="00C8683B" w:rsidRDefault="00CC29E3" w:rsidP="00DC6DEE">
            <w:pPr>
              <w:spacing w:after="0" w:line="240" w:lineRule="auto"/>
              <w:jc w:val="center"/>
              <w:rPr>
                <w:rFonts w:asciiTheme="majorHAnsi" w:hAnsiTheme="majorHAnsi" w:cstheme="majorHAnsi"/>
                <w:b/>
                <w:sz w:val="18"/>
                <w:szCs w:val="18"/>
                <w:lang w:val="ro-RO"/>
              </w:rPr>
            </w:pPr>
            <w:r>
              <w:rPr>
                <w:rFonts w:asciiTheme="majorHAnsi" w:hAnsiTheme="majorHAnsi" w:cstheme="majorHAnsi"/>
                <w:b/>
                <w:sz w:val="18"/>
                <w:szCs w:val="18"/>
                <w:lang w:val="ro-RO"/>
              </w:rPr>
              <w:t>175,9</w:t>
            </w:r>
          </w:p>
          <w:p w14:paraId="0AA6963E" w14:textId="4A762FAA" w:rsidR="00C8683B" w:rsidRPr="00C8683B" w:rsidRDefault="00CC29E3" w:rsidP="00DC6DEE">
            <w:pPr>
              <w:spacing w:after="0" w:line="240" w:lineRule="auto"/>
              <w:jc w:val="center"/>
              <w:rPr>
                <w:rFonts w:asciiTheme="majorHAnsi" w:hAnsiTheme="majorHAnsi" w:cstheme="majorHAnsi"/>
                <w:sz w:val="18"/>
                <w:szCs w:val="18"/>
                <w:lang w:val="ro-RO"/>
              </w:rPr>
            </w:pPr>
            <w:r>
              <w:rPr>
                <w:rFonts w:asciiTheme="majorHAnsi" w:hAnsiTheme="majorHAnsi" w:cstheme="majorHAnsi"/>
                <w:sz w:val="18"/>
                <w:szCs w:val="18"/>
                <w:lang w:val="ro-RO"/>
              </w:rPr>
              <w:t>101,3</w:t>
            </w:r>
          </w:p>
          <w:p w14:paraId="33DE81EC" w14:textId="330F59EF" w:rsidR="00C8683B" w:rsidRPr="00C8683B" w:rsidRDefault="00CC29E3" w:rsidP="00DC6DEE">
            <w:pPr>
              <w:spacing w:after="0" w:line="240" w:lineRule="auto"/>
              <w:jc w:val="center"/>
              <w:rPr>
                <w:rFonts w:asciiTheme="majorHAnsi" w:hAnsiTheme="majorHAnsi" w:cstheme="majorHAnsi"/>
                <w:b/>
                <w:sz w:val="18"/>
                <w:szCs w:val="18"/>
                <w:lang w:val="ro-RO"/>
              </w:rPr>
            </w:pPr>
            <w:r>
              <w:rPr>
                <w:rFonts w:asciiTheme="majorHAnsi" w:hAnsiTheme="majorHAnsi" w:cstheme="majorHAnsi"/>
                <w:sz w:val="18"/>
                <w:szCs w:val="18"/>
                <w:lang w:val="ro-RO"/>
              </w:rPr>
              <w:t>74,5</w:t>
            </w:r>
          </w:p>
        </w:tc>
        <w:tc>
          <w:tcPr>
            <w:tcW w:w="801" w:type="dxa"/>
            <w:shd w:val="clear" w:color="auto" w:fill="FFFFFF"/>
          </w:tcPr>
          <w:p w14:paraId="7A2B01D4" w14:textId="77777777"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b/>
                <w:sz w:val="18"/>
                <w:szCs w:val="18"/>
                <w:lang w:val="ro-RO"/>
              </w:rPr>
              <w:t>152,2</w:t>
            </w:r>
          </w:p>
          <w:p w14:paraId="5EF2216E" w14:textId="77777777" w:rsidR="00C8683B" w:rsidRPr="00C8683B" w:rsidRDefault="00C8683B" w:rsidP="00DC6DEE">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85,7</w:t>
            </w:r>
          </w:p>
          <w:p w14:paraId="09F9617D" w14:textId="77777777"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sz w:val="18"/>
                <w:szCs w:val="18"/>
                <w:lang w:val="ro-RO"/>
              </w:rPr>
              <w:t>66,5</w:t>
            </w:r>
          </w:p>
        </w:tc>
        <w:tc>
          <w:tcPr>
            <w:tcW w:w="989" w:type="dxa"/>
            <w:shd w:val="clear" w:color="auto" w:fill="FFFFFF"/>
          </w:tcPr>
          <w:p w14:paraId="3F1DBACC" w14:textId="6EFA031B"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b/>
                <w:sz w:val="18"/>
                <w:szCs w:val="18"/>
                <w:lang w:val="ro-RO"/>
              </w:rPr>
              <w:t>142,</w:t>
            </w:r>
            <w:r w:rsidR="00CC29E3">
              <w:rPr>
                <w:rFonts w:asciiTheme="majorHAnsi" w:hAnsiTheme="majorHAnsi" w:cstheme="majorHAnsi"/>
                <w:b/>
                <w:sz w:val="18"/>
                <w:szCs w:val="18"/>
                <w:lang w:val="ro-RO"/>
              </w:rPr>
              <w:t>9</w:t>
            </w:r>
          </w:p>
          <w:p w14:paraId="7293FB66" w14:textId="77777777" w:rsidR="00C8683B" w:rsidRPr="00C8683B" w:rsidRDefault="00C8683B" w:rsidP="00DC6DEE">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79,5</w:t>
            </w:r>
          </w:p>
          <w:p w14:paraId="32206959" w14:textId="77777777"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sz w:val="18"/>
                <w:szCs w:val="18"/>
                <w:lang w:val="ro-RO"/>
              </w:rPr>
              <w:t>63,3</w:t>
            </w:r>
          </w:p>
        </w:tc>
      </w:tr>
      <w:tr w:rsidR="00C8683B" w:rsidRPr="00C8683B" w14:paraId="5872E8E5" w14:textId="77777777" w:rsidTr="00DC6DEE">
        <w:trPr>
          <w:trHeight w:val="567"/>
          <w:jc w:val="center"/>
        </w:trPr>
        <w:tc>
          <w:tcPr>
            <w:tcW w:w="5949" w:type="dxa"/>
          </w:tcPr>
          <w:p w14:paraId="749D6273" w14:textId="77777777" w:rsidR="00C8683B" w:rsidRPr="00C8683B" w:rsidRDefault="00C8683B" w:rsidP="00DC6DEE">
            <w:pPr>
              <w:spacing w:after="0" w:line="240" w:lineRule="auto"/>
              <w:rPr>
                <w:rFonts w:asciiTheme="majorHAnsi" w:hAnsiTheme="majorHAnsi" w:cstheme="majorHAnsi"/>
                <w:b/>
                <w:bCs/>
                <w:sz w:val="18"/>
                <w:szCs w:val="18"/>
                <w:lang w:val="ro-RO"/>
              </w:rPr>
            </w:pPr>
            <w:r w:rsidRPr="00C8683B">
              <w:rPr>
                <w:rFonts w:asciiTheme="majorHAnsi" w:hAnsiTheme="majorHAnsi" w:cstheme="majorHAnsi"/>
                <w:b/>
                <w:bCs/>
                <w:sz w:val="18"/>
                <w:szCs w:val="18"/>
                <w:lang w:val="ro-RO"/>
              </w:rPr>
              <w:t>3. Ponderea serviciului datoriei de stat în PIB</w:t>
            </w:r>
          </w:p>
          <w:p w14:paraId="54D6CC8A" w14:textId="77777777" w:rsidR="00C8683B" w:rsidRPr="00C8683B" w:rsidRDefault="00C8683B" w:rsidP="00DC6DEE">
            <w:pPr>
              <w:spacing w:after="0" w:line="240" w:lineRule="auto"/>
              <w:rPr>
                <w:rFonts w:asciiTheme="majorHAnsi" w:hAnsiTheme="majorHAnsi" w:cstheme="majorHAnsi"/>
                <w:sz w:val="18"/>
                <w:szCs w:val="18"/>
                <w:lang w:val="ro-RO"/>
              </w:rPr>
            </w:pPr>
            <w:r w:rsidRPr="00C8683B">
              <w:rPr>
                <w:rFonts w:asciiTheme="majorHAnsi" w:hAnsiTheme="majorHAnsi" w:cstheme="majorHAnsi"/>
                <w:b/>
                <w:sz w:val="18"/>
                <w:szCs w:val="18"/>
                <w:lang w:val="ro-RO"/>
              </w:rPr>
              <w:t>3.1</w:t>
            </w:r>
            <w:r w:rsidRPr="00C8683B">
              <w:rPr>
                <w:rFonts w:asciiTheme="majorHAnsi" w:hAnsiTheme="majorHAnsi" w:cstheme="majorHAnsi"/>
                <w:sz w:val="18"/>
                <w:szCs w:val="18"/>
                <w:lang w:val="ro-RO"/>
              </w:rPr>
              <w:t>. Ponderea serviciului datoriei de stat externe în PIB</w:t>
            </w:r>
          </w:p>
          <w:p w14:paraId="4F71A03A" w14:textId="77777777" w:rsidR="00C8683B" w:rsidRPr="00C8683B" w:rsidRDefault="00C8683B" w:rsidP="00DC6DEE">
            <w:pPr>
              <w:spacing w:after="0" w:line="240" w:lineRule="auto"/>
              <w:rPr>
                <w:rFonts w:asciiTheme="majorHAnsi" w:hAnsiTheme="majorHAnsi" w:cstheme="majorHAnsi"/>
                <w:sz w:val="18"/>
                <w:szCs w:val="18"/>
                <w:lang w:val="ro-RO"/>
              </w:rPr>
            </w:pPr>
            <w:r w:rsidRPr="00C8683B">
              <w:rPr>
                <w:rFonts w:asciiTheme="majorHAnsi" w:hAnsiTheme="majorHAnsi" w:cstheme="majorHAnsi"/>
                <w:b/>
                <w:sz w:val="18"/>
                <w:szCs w:val="18"/>
                <w:lang w:val="ro-RO"/>
              </w:rPr>
              <w:t>3.2.</w:t>
            </w:r>
            <w:r w:rsidRPr="00C8683B">
              <w:rPr>
                <w:rFonts w:asciiTheme="majorHAnsi" w:hAnsiTheme="majorHAnsi" w:cstheme="majorHAnsi"/>
                <w:sz w:val="18"/>
                <w:szCs w:val="18"/>
                <w:lang w:val="ro-RO"/>
              </w:rPr>
              <w:t xml:space="preserve"> Ponderea serviciului datoriei de stat interne în PIB</w:t>
            </w:r>
          </w:p>
        </w:tc>
        <w:tc>
          <w:tcPr>
            <w:tcW w:w="850" w:type="dxa"/>
          </w:tcPr>
          <w:p w14:paraId="551C9F98" w14:textId="77777777" w:rsidR="00C8683B" w:rsidRPr="00C8683B" w:rsidRDefault="00C8683B" w:rsidP="00DC6DEE">
            <w:pPr>
              <w:spacing w:after="0" w:line="240" w:lineRule="auto"/>
              <w:jc w:val="center"/>
              <w:rPr>
                <w:rFonts w:asciiTheme="majorHAnsi" w:hAnsiTheme="majorHAnsi" w:cstheme="majorHAnsi"/>
                <w:sz w:val="18"/>
                <w:szCs w:val="18"/>
                <w:lang w:val="ro-RO"/>
              </w:rPr>
            </w:pPr>
          </w:p>
          <w:p w14:paraId="462371D8" w14:textId="77777777" w:rsidR="00C8683B" w:rsidRPr="00C8683B" w:rsidRDefault="00C8683B" w:rsidP="00DC6DEE">
            <w:pPr>
              <w:spacing w:after="0" w:line="240" w:lineRule="auto"/>
              <w:jc w:val="center"/>
              <w:rPr>
                <w:rFonts w:asciiTheme="majorHAnsi" w:hAnsiTheme="majorHAnsi" w:cstheme="majorHAnsi"/>
                <w:sz w:val="18"/>
                <w:szCs w:val="18"/>
                <w:lang w:val="ro-RO"/>
              </w:rPr>
            </w:pPr>
          </w:p>
          <w:p w14:paraId="58D34D53" w14:textId="77777777" w:rsidR="00C8683B" w:rsidRPr="00C8683B" w:rsidRDefault="00C8683B" w:rsidP="00DC6DEE">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w:t>
            </w:r>
          </w:p>
        </w:tc>
        <w:tc>
          <w:tcPr>
            <w:tcW w:w="797" w:type="dxa"/>
            <w:shd w:val="clear" w:color="auto" w:fill="FFFFFF"/>
          </w:tcPr>
          <w:p w14:paraId="3D4A4B89" w14:textId="0856287C"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b/>
                <w:sz w:val="18"/>
                <w:szCs w:val="18"/>
                <w:lang w:val="ro-RO"/>
              </w:rPr>
              <w:t>1,</w:t>
            </w:r>
            <w:r w:rsidR="00FA3661">
              <w:rPr>
                <w:rFonts w:asciiTheme="majorHAnsi" w:hAnsiTheme="majorHAnsi" w:cstheme="majorHAnsi"/>
                <w:b/>
                <w:sz w:val="18"/>
                <w:szCs w:val="18"/>
                <w:lang w:val="ro-RO"/>
              </w:rPr>
              <w:t>1</w:t>
            </w:r>
          </w:p>
          <w:p w14:paraId="66408D33" w14:textId="77777777" w:rsidR="00C8683B" w:rsidRPr="00C8683B" w:rsidRDefault="00C8683B" w:rsidP="00DC6DEE">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0,2</w:t>
            </w:r>
          </w:p>
          <w:p w14:paraId="5575D3D7" w14:textId="6C5BD252" w:rsidR="00C8683B" w:rsidRPr="00C8683B" w:rsidRDefault="00FA3661" w:rsidP="00DC6DEE">
            <w:pPr>
              <w:spacing w:after="0" w:line="240" w:lineRule="auto"/>
              <w:jc w:val="center"/>
              <w:rPr>
                <w:rFonts w:asciiTheme="majorHAnsi" w:hAnsiTheme="majorHAnsi" w:cstheme="majorHAnsi"/>
                <w:b/>
                <w:sz w:val="18"/>
                <w:szCs w:val="18"/>
                <w:lang w:val="ro-RO"/>
              </w:rPr>
            </w:pPr>
            <w:r>
              <w:rPr>
                <w:rFonts w:asciiTheme="majorHAnsi" w:hAnsiTheme="majorHAnsi" w:cstheme="majorHAnsi"/>
                <w:sz w:val="18"/>
                <w:szCs w:val="18"/>
                <w:lang w:val="ro-RO"/>
              </w:rPr>
              <w:t>0,9</w:t>
            </w:r>
          </w:p>
        </w:tc>
        <w:tc>
          <w:tcPr>
            <w:tcW w:w="801" w:type="dxa"/>
            <w:shd w:val="clear" w:color="auto" w:fill="FFFFFF"/>
          </w:tcPr>
          <w:p w14:paraId="244CB1AE" w14:textId="77777777"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b/>
                <w:sz w:val="18"/>
                <w:szCs w:val="18"/>
                <w:lang w:val="ro-RO"/>
              </w:rPr>
              <w:t>1,1</w:t>
            </w:r>
          </w:p>
          <w:p w14:paraId="2D491A22" w14:textId="77777777" w:rsidR="00C8683B" w:rsidRPr="00C8683B" w:rsidRDefault="00C8683B" w:rsidP="00DC6DEE">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0,2</w:t>
            </w:r>
          </w:p>
          <w:p w14:paraId="687C4D7C" w14:textId="77777777"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sz w:val="18"/>
                <w:szCs w:val="18"/>
                <w:lang w:val="ro-RO"/>
              </w:rPr>
              <w:t>0,9</w:t>
            </w:r>
          </w:p>
        </w:tc>
        <w:tc>
          <w:tcPr>
            <w:tcW w:w="989" w:type="dxa"/>
            <w:shd w:val="clear" w:color="auto" w:fill="FFFFFF"/>
          </w:tcPr>
          <w:p w14:paraId="03B584AA" w14:textId="77777777"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b/>
                <w:sz w:val="18"/>
                <w:szCs w:val="18"/>
                <w:lang w:val="ro-RO"/>
              </w:rPr>
              <w:t>0,8</w:t>
            </w:r>
          </w:p>
          <w:p w14:paraId="65AF0F79" w14:textId="77777777" w:rsidR="00C8683B" w:rsidRPr="00C8683B" w:rsidRDefault="00C8683B" w:rsidP="00DC6DEE">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0,2</w:t>
            </w:r>
          </w:p>
          <w:p w14:paraId="07F18B1F" w14:textId="77777777"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sz w:val="18"/>
                <w:szCs w:val="18"/>
                <w:lang w:val="ro-RO"/>
              </w:rPr>
              <w:t>0,6</w:t>
            </w:r>
          </w:p>
        </w:tc>
      </w:tr>
      <w:tr w:rsidR="00C8683B" w:rsidRPr="00C8683B" w14:paraId="3D020CDE" w14:textId="77777777" w:rsidTr="00DC6DEE">
        <w:trPr>
          <w:trHeight w:val="750"/>
          <w:jc w:val="center"/>
        </w:trPr>
        <w:tc>
          <w:tcPr>
            <w:tcW w:w="5949" w:type="dxa"/>
          </w:tcPr>
          <w:p w14:paraId="4B5D81B7" w14:textId="77777777" w:rsidR="00C8683B" w:rsidRPr="00C8683B" w:rsidRDefault="00C8683B" w:rsidP="00DC6DEE">
            <w:pPr>
              <w:spacing w:after="0" w:line="240" w:lineRule="auto"/>
              <w:rPr>
                <w:rFonts w:asciiTheme="majorHAnsi" w:hAnsiTheme="majorHAnsi" w:cstheme="majorHAnsi"/>
                <w:b/>
                <w:bCs/>
                <w:sz w:val="18"/>
                <w:szCs w:val="18"/>
                <w:lang w:val="ro-RO"/>
              </w:rPr>
            </w:pPr>
            <w:r w:rsidRPr="00C8683B">
              <w:rPr>
                <w:rFonts w:asciiTheme="majorHAnsi" w:hAnsiTheme="majorHAnsi" w:cstheme="majorHAnsi"/>
                <w:b/>
                <w:bCs/>
                <w:sz w:val="18"/>
                <w:szCs w:val="18"/>
                <w:lang w:val="ro-RO"/>
              </w:rPr>
              <w:t>4. Ponderea serviciului datoriei de stat în veniturile bugetului de stat</w:t>
            </w:r>
          </w:p>
          <w:p w14:paraId="5D46323B" w14:textId="77777777" w:rsidR="00C8683B" w:rsidRPr="00C8683B" w:rsidRDefault="00C8683B" w:rsidP="00DC6DEE">
            <w:pPr>
              <w:spacing w:after="0" w:line="240" w:lineRule="auto"/>
              <w:rPr>
                <w:rFonts w:asciiTheme="majorHAnsi" w:hAnsiTheme="majorHAnsi" w:cstheme="majorHAnsi"/>
                <w:sz w:val="18"/>
                <w:szCs w:val="18"/>
                <w:lang w:val="ro-RO"/>
              </w:rPr>
            </w:pPr>
            <w:r w:rsidRPr="00C8683B">
              <w:rPr>
                <w:rFonts w:asciiTheme="majorHAnsi" w:hAnsiTheme="majorHAnsi" w:cstheme="majorHAnsi"/>
                <w:b/>
                <w:sz w:val="18"/>
                <w:szCs w:val="18"/>
                <w:lang w:val="ro-RO"/>
              </w:rPr>
              <w:t>4.1.</w:t>
            </w:r>
            <w:r w:rsidRPr="00C8683B">
              <w:rPr>
                <w:rFonts w:asciiTheme="majorHAnsi" w:hAnsiTheme="majorHAnsi" w:cstheme="majorHAnsi"/>
                <w:sz w:val="18"/>
                <w:szCs w:val="18"/>
                <w:lang w:val="ro-RO"/>
              </w:rPr>
              <w:t xml:space="preserve"> Ponderea serviciului datoriei de stat externe în veniturile bugetului de stat</w:t>
            </w:r>
          </w:p>
          <w:p w14:paraId="6901D8B9" w14:textId="77777777" w:rsidR="00C8683B" w:rsidRPr="00C8683B" w:rsidRDefault="00C8683B" w:rsidP="00DC6DEE">
            <w:pPr>
              <w:spacing w:after="0" w:line="240" w:lineRule="auto"/>
              <w:rPr>
                <w:rFonts w:asciiTheme="majorHAnsi" w:hAnsiTheme="majorHAnsi" w:cstheme="majorHAnsi"/>
                <w:sz w:val="18"/>
                <w:szCs w:val="18"/>
                <w:lang w:val="ro-RO"/>
              </w:rPr>
            </w:pPr>
            <w:r w:rsidRPr="00C8683B">
              <w:rPr>
                <w:rFonts w:asciiTheme="majorHAnsi" w:hAnsiTheme="majorHAnsi" w:cstheme="majorHAnsi"/>
                <w:b/>
                <w:sz w:val="18"/>
                <w:szCs w:val="18"/>
                <w:lang w:val="ro-RO"/>
              </w:rPr>
              <w:t>4.2.</w:t>
            </w:r>
            <w:r w:rsidRPr="00C8683B">
              <w:rPr>
                <w:rFonts w:asciiTheme="majorHAnsi" w:hAnsiTheme="majorHAnsi" w:cstheme="majorHAnsi"/>
                <w:sz w:val="18"/>
                <w:szCs w:val="18"/>
                <w:lang w:val="ro-RO"/>
              </w:rPr>
              <w:t xml:space="preserve"> Ponderea serviciului datoriei de stat interne în veniturile bugetului de stat</w:t>
            </w:r>
          </w:p>
        </w:tc>
        <w:tc>
          <w:tcPr>
            <w:tcW w:w="850" w:type="dxa"/>
          </w:tcPr>
          <w:p w14:paraId="06E42281" w14:textId="77777777" w:rsidR="00C8683B" w:rsidRPr="00C8683B" w:rsidRDefault="00C8683B" w:rsidP="00DC6DEE">
            <w:pPr>
              <w:spacing w:after="0" w:line="240" w:lineRule="auto"/>
              <w:jc w:val="center"/>
              <w:rPr>
                <w:rFonts w:asciiTheme="majorHAnsi" w:hAnsiTheme="majorHAnsi" w:cstheme="majorHAnsi"/>
                <w:sz w:val="18"/>
                <w:szCs w:val="18"/>
                <w:lang w:val="ro-RO"/>
              </w:rPr>
            </w:pPr>
          </w:p>
          <w:p w14:paraId="790C548D" w14:textId="77777777" w:rsidR="00C8683B" w:rsidRPr="00C8683B" w:rsidRDefault="00C8683B" w:rsidP="00DC6DEE">
            <w:pPr>
              <w:spacing w:after="0" w:line="240" w:lineRule="auto"/>
              <w:jc w:val="center"/>
              <w:rPr>
                <w:rFonts w:asciiTheme="majorHAnsi" w:hAnsiTheme="majorHAnsi" w:cstheme="majorHAnsi"/>
                <w:sz w:val="18"/>
                <w:szCs w:val="18"/>
                <w:lang w:val="ro-RO"/>
              </w:rPr>
            </w:pPr>
          </w:p>
          <w:p w14:paraId="69148D12" w14:textId="77777777" w:rsidR="00C8683B" w:rsidRPr="00C8683B" w:rsidRDefault="00C8683B" w:rsidP="00DC6DEE">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w:t>
            </w:r>
          </w:p>
        </w:tc>
        <w:tc>
          <w:tcPr>
            <w:tcW w:w="797" w:type="dxa"/>
            <w:shd w:val="clear" w:color="auto" w:fill="FFFFFF"/>
          </w:tcPr>
          <w:p w14:paraId="5474E273" w14:textId="19A07340"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b/>
                <w:sz w:val="18"/>
                <w:szCs w:val="18"/>
                <w:lang w:val="ro-RO"/>
              </w:rPr>
              <w:t>6,</w:t>
            </w:r>
            <w:r w:rsidR="004E2CB3">
              <w:rPr>
                <w:rFonts w:asciiTheme="majorHAnsi" w:hAnsiTheme="majorHAnsi" w:cstheme="majorHAnsi"/>
                <w:b/>
                <w:sz w:val="18"/>
                <w:szCs w:val="18"/>
                <w:lang w:val="ro-RO"/>
              </w:rPr>
              <w:t>0</w:t>
            </w:r>
          </w:p>
          <w:p w14:paraId="232039BC" w14:textId="77777777" w:rsidR="00C8683B" w:rsidRPr="00C8683B" w:rsidRDefault="00C8683B" w:rsidP="00DC6DEE">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1,0</w:t>
            </w:r>
          </w:p>
          <w:p w14:paraId="2653A09D" w14:textId="77777777"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sz w:val="18"/>
                <w:szCs w:val="18"/>
                <w:lang w:val="ro-RO"/>
              </w:rPr>
              <w:t>5,1</w:t>
            </w:r>
          </w:p>
        </w:tc>
        <w:tc>
          <w:tcPr>
            <w:tcW w:w="801" w:type="dxa"/>
            <w:shd w:val="clear" w:color="auto" w:fill="FFFFFF"/>
          </w:tcPr>
          <w:p w14:paraId="71456D2A" w14:textId="77777777"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b/>
                <w:sz w:val="18"/>
                <w:szCs w:val="18"/>
                <w:lang w:val="ro-RO"/>
              </w:rPr>
              <w:t>5,7</w:t>
            </w:r>
          </w:p>
          <w:p w14:paraId="0F79E510" w14:textId="77777777" w:rsidR="00C8683B" w:rsidRPr="00C8683B" w:rsidRDefault="00C8683B" w:rsidP="00DC6DEE">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1,1</w:t>
            </w:r>
          </w:p>
          <w:p w14:paraId="52555394" w14:textId="77777777"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sz w:val="18"/>
                <w:szCs w:val="18"/>
                <w:lang w:val="ro-RO"/>
              </w:rPr>
              <w:t>4,6</w:t>
            </w:r>
          </w:p>
        </w:tc>
        <w:tc>
          <w:tcPr>
            <w:tcW w:w="989" w:type="dxa"/>
            <w:shd w:val="clear" w:color="auto" w:fill="FFFFFF"/>
          </w:tcPr>
          <w:p w14:paraId="2E743A85" w14:textId="77777777"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b/>
                <w:sz w:val="18"/>
                <w:szCs w:val="18"/>
                <w:lang w:val="ro-RO"/>
              </w:rPr>
              <w:t>4,1</w:t>
            </w:r>
          </w:p>
          <w:p w14:paraId="3BF5CD6B" w14:textId="77777777" w:rsidR="00C8683B" w:rsidRPr="00C8683B" w:rsidRDefault="00C8683B" w:rsidP="00DC6DEE">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1,0</w:t>
            </w:r>
          </w:p>
          <w:p w14:paraId="5FD65830" w14:textId="77777777"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sz w:val="18"/>
                <w:szCs w:val="18"/>
                <w:lang w:val="ro-RO"/>
              </w:rPr>
              <w:t>3,1</w:t>
            </w:r>
          </w:p>
        </w:tc>
      </w:tr>
      <w:tr w:rsidR="00C8683B" w:rsidRPr="00C8683B" w14:paraId="2E8F683B" w14:textId="77777777" w:rsidTr="00DC6DEE">
        <w:trPr>
          <w:trHeight w:val="1136"/>
          <w:jc w:val="center"/>
        </w:trPr>
        <w:tc>
          <w:tcPr>
            <w:tcW w:w="5949" w:type="dxa"/>
          </w:tcPr>
          <w:p w14:paraId="12B47BEA" w14:textId="77777777" w:rsidR="00C8683B" w:rsidRPr="00C8683B" w:rsidRDefault="00C8683B" w:rsidP="00DC6DEE">
            <w:pPr>
              <w:spacing w:after="0" w:line="240" w:lineRule="auto"/>
              <w:rPr>
                <w:rFonts w:asciiTheme="majorHAnsi" w:hAnsiTheme="majorHAnsi" w:cstheme="majorHAnsi"/>
                <w:b/>
                <w:bCs/>
                <w:sz w:val="18"/>
                <w:szCs w:val="18"/>
                <w:lang w:val="ro-RO"/>
              </w:rPr>
            </w:pPr>
            <w:r w:rsidRPr="00C8683B">
              <w:rPr>
                <w:rFonts w:asciiTheme="majorHAnsi" w:hAnsiTheme="majorHAnsi" w:cstheme="majorHAnsi"/>
                <w:b/>
                <w:bCs/>
                <w:sz w:val="18"/>
                <w:szCs w:val="18"/>
                <w:lang w:val="ro-RO"/>
              </w:rPr>
              <w:t>5. Ponderea serviciului datoriei de stat în cheltuielile bugetului de stat</w:t>
            </w:r>
          </w:p>
          <w:p w14:paraId="31027CA0" w14:textId="77777777" w:rsidR="00C8683B" w:rsidRPr="00C8683B" w:rsidRDefault="00C8683B" w:rsidP="00DC6DEE">
            <w:pPr>
              <w:spacing w:after="0" w:line="240" w:lineRule="auto"/>
              <w:rPr>
                <w:rFonts w:asciiTheme="majorHAnsi" w:hAnsiTheme="majorHAnsi" w:cstheme="majorHAnsi"/>
                <w:sz w:val="18"/>
                <w:szCs w:val="18"/>
                <w:lang w:val="ro-RO"/>
              </w:rPr>
            </w:pPr>
            <w:r w:rsidRPr="00C8683B">
              <w:rPr>
                <w:rFonts w:asciiTheme="majorHAnsi" w:hAnsiTheme="majorHAnsi" w:cstheme="majorHAnsi"/>
                <w:b/>
                <w:sz w:val="18"/>
                <w:szCs w:val="18"/>
                <w:lang w:val="ro-RO"/>
              </w:rPr>
              <w:t>5.1.</w:t>
            </w:r>
            <w:r w:rsidRPr="00C8683B">
              <w:rPr>
                <w:rFonts w:asciiTheme="majorHAnsi" w:hAnsiTheme="majorHAnsi" w:cstheme="majorHAnsi"/>
                <w:sz w:val="18"/>
                <w:szCs w:val="18"/>
                <w:lang w:val="ro-RO"/>
              </w:rPr>
              <w:t xml:space="preserve"> Ponderea serviciului datoriei de stat externe în cheltuielile bugetului de stat</w:t>
            </w:r>
          </w:p>
          <w:p w14:paraId="4773DDF1" w14:textId="77777777" w:rsidR="00C8683B" w:rsidRPr="00C8683B" w:rsidRDefault="00C8683B" w:rsidP="00DC6DEE">
            <w:pPr>
              <w:spacing w:after="0" w:line="240" w:lineRule="auto"/>
              <w:rPr>
                <w:rFonts w:asciiTheme="majorHAnsi" w:hAnsiTheme="majorHAnsi" w:cstheme="majorHAnsi"/>
                <w:b/>
                <w:bCs/>
                <w:sz w:val="18"/>
                <w:szCs w:val="18"/>
                <w:lang w:val="ro-RO"/>
              </w:rPr>
            </w:pPr>
            <w:r w:rsidRPr="00C8683B">
              <w:rPr>
                <w:rFonts w:asciiTheme="majorHAnsi" w:hAnsiTheme="majorHAnsi" w:cstheme="majorHAnsi"/>
                <w:b/>
                <w:sz w:val="18"/>
                <w:szCs w:val="18"/>
                <w:lang w:val="ro-RO"/>
              </w:rPr>
              <w:t>5.2.</w:t>
            </w:r>
            <w:r w:rsidRPr="00C8683B">
              <w:rPr>
                <w:rFonts w:asciiTheme="majorHAnsi" w:hAnsiTheme="majorHAnsi" w:cstheme="majorHAnsi"/>
                <w:sz w:val="18"/>
                <w:szCs w:val="18"/>
                <w:lang w:val="ro-RO"/>
              </w:rPr>
              <w:t xml:space="preserve"> Ponderea serviciului datoriei de stat interne în cheltuielile bugetului de stat</w:t>
            </w:r>
          </w:p>
        </w:tc>
        <w:tc>
          <w:tcPr>
            <w:tcW w:w="850" w:type="dxa"/>
            <w:shd w:val="clear" w:color="auto" w:fill="FFFFFF"/>
          </w:tcPr>
          <w:p w14:paraId="43163BE5" w14:textId="77777777" w:rsidR="00C8683B" w:rsidRPr="00C8683B" w:rsidRDefault="00C8683B" w:rsidP="00DC6DEE">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w:t>
            </w:r>
          </w:p>
        </w:tc>
        <w:tc>
          <w:tcPr>
            <w:tcW w:w="797" w:type="dxa"/>
            <w:shd w:val="clear" w:color="auto" w:fill="FFFFFF"/>
          </w:tcPr>
          <w:p w14:paraId="470495C2" w14:textId="3B72219C"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b/>
                <w:sz w:val="18"/>
                <w:szCs w:val="18"/>
                <w:lang w:val="ro-RO"/>
              </w:rPr>
              <w:t>5,</w:t>
            </w:r>
            <w:r w:rsidR="00FA3661">
              <w:rPr>
                <w:rFonts w:asciiTheme="majorHAnsi" w:hAnsiTheme="majorHAnsi" w:cstheme="majorHAnsi"/>
                <w:b/>
                <w:sz w:val="18"/>
                <w:szCs w:val="18"/>
                <w:lang w:val="ro-RO"/>
              </w:rPr>
              <w:t>4</w:t>
            </w:r>
          </w:p>
          <w:p w14:paraId="15F21DF4" w14:textId="77777777" w:rsidR="00C8683B" w:rsidRPr="00C8683B" w:rsidRDefault="00C8683B" w:rsidP="00DC6DEE">
            <w:pPr>
              <w:spacing w:after="0" w:line="240" w:lineRule="auto"/>
              <w:jc w:val="center"/>
              <w:rPr>
                <w:rFonts w:asciiTheme="majorHAnsi" w:hAnsiTheme="majorHAnsi" w:cstheme="majorHAnsi"/>
                <w:sz w:val="18"/>
                <w:szCs w:val="18"/>
                <w:lang w:val="ro-RO"/>
              </w:rPr>
            </w:pPr>
          </w:p>
          <w:p w14:paraId="0473D164" w14:textId="77777777" w:rsidR="00C8683B" w:rsidRPr="00C8683B" w:rsidRDefault="00C8683B" w:rsidP="00DC6DEE">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0,9</w:t>
            </w:r>
          </w:p>
          <w:p w14:paraId="6A34A232" w14:textId="77777777" w:rsidR="00C8683B" w:rsidRPr="00C8683B" w:rsidRDefault="00C8683B" w:rsidP="00DC6DEE">
            <w:pPr>
              <w:spacing w:after="0" w:line="240" w:lineRule="auto"/>
              <w:jc w:val="center"/>
              <w:rPr>
                <w:rFonts w:asciiTheme="majorHAnsi" w:hAnsiTheme="majorHAnsi" w:cstheme="majorHAnsi"/>
                <w:sz w:val="18"/>
                <w:szCs w:val="18"/>
                <w:lang w:val="ro-RO"/>
              </w:rPr>
            </w:pPr>
          </w:p>
          <w:p w14:paraId="003F5333" w14:textId="248042D4" w:rsidR="00C8683B" w:rsidRPr="00C8683B" w:rsidRDefault="00C8683B" w:rsidP="00DC6DEE">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4,</w:t>
            </w:r>
            <w:r w:rsidR="00FA3661">
              <w:rPr>
                <w:rFonts w:asciiTheme="majorHAnsi" w:hAnsiTheme="majorHAnsi" w:cstheme="majorHAnsi"/>
                <w:sz w:val="18"/>
                <w:szCs w:val="18"/>
                <w:lang w:val="ro-RO"/>
              </w:rPr>
              <w:t>5</w:t>
            </w:r>
          </w:p>
          <w:p w14:paraId="186788BF" w14:textId="77777777" w:rsidR="00C8683B" w:rsidRPr="00C8683B" w:rsidRDefault="00C8683B" w:rsidP="00DC6DEE">
            <w:pPr>
              <w:spacing w:after="0" w:line="240" w:lineRule="auto"/>
              <w:jc w:val="center"/>
              <w:rPr>
                <w:rFonts w:asciiTheme="majorHAnsi" w:hAnsiTheme="majorHAnsi" w:cstheme="majorHAnsi"/>
                <w:b/>
                <w:sz w:val="18"/>
                <w:szCs w:val="18"/>
                <w:lang w:val="ro-RO"/>
              </w:rPr>
            </w:pPr>
          </w:p>
        </w:tc>
        <w:tc>
          <w:tcPr>
            <w:tcW w:w="801" w:type="dxa"/>
            <w:shd w:val="clear" w:color="auto" w:fill="FFFFFF"/>
          </w:tcPr>
          <w:p w14:paraId="56F5CA39" w14:textId="77777777"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b/>
                <w:sz w:val="18"/>
                <w:szCs w:val="18"/>
                <w:lang w:val="ro-RO"/>
              </w:rPr>
              <w:t>5,4</w:t>
            </w:r>
          </w:p>
          <w:p w14:paraId="2E5BD5D0" w14:textId="77777777" w:rsidR="00C8683B" w:rsidRPr="00C8683B" w:rsidRDefault="00C8683B" w:rsidP="00DC6DEE">
            <w:pPr>
              <w:spacing w:after="0" w:line="240" w:lineRule="auto"/>
              <w:jc w:val="center"/>
              <w:rPr>
                <w:rFonts w:asciiTheme="majorHAnsi" w:hAnsiTheme="majorHAnsi" w:cstheme="majorHAnsi"/>
                <w:b/>
                <w:sz w:val="18"/>
                <w:szCs w:val="18"/>
                <w:lang w:val="ro-RO"/>
              </w:rPr>
            </w:pPr>
          </w:p>
          <w:p w14:paraId="14266834" w14:textId="77777777" w:rsidR="00C8683B" w:rsidRPr="00C8683B" w:rsidRDefault="00C8683B" w:rsidP="00DC6DEE">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1,0</w:t>
            </w:r>
          </w:p>
          <w:p w14:paraId="20784BFD" w14:textId="77777777" w:rsidR="00C8683B" w:rsidRPr="00C8683B" w:rsidRDefault="00C8683B" w:rsidP="00DC6DEE">
            <w:pPr>
              <w:spacing w:after="0" w:line="240" w:lineRule="auto"/>
              <w:jc w:val="center"/>
              <w:rPr>
                <w:rFonts w:asciiTheme="majorHAnsi" w:hAnsiTheme="majorHAnsi" w:cstheme="majorHAnsi"/>
                <w:sz w:val="18"/>
                <w:szCs w:val="18"/>
                <w:lang w:val="ro-RO"/>
              </w:rPr>
            </w:pPr>
          </w:p>
          <w:p w14:paraId="4207EC1F" w14:textId="77777777" w:rsidR="00C8683B" w:rsidRPr="00C8683B" w:rsidRDefault="00C8683B" w:rsidP="00DC6DEE">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4,4</w:t>
            </w:r>
          </w:p>
          <w:p w14:paraId="44FA387A" w14:textId="77777777" w:rsidR="00C8683B" w:rsidRPr="00C8683B" w:rsidRDefault="00C8683B" w:rsidP="00DC6DEE">
            <w:pPr>
              <w:spacing w:after="0" w:line="240" w:lineRule="auto"/>
              <w:jc w:val="center"/>
              <w:rPr>
                <w:rFonts w:asciiTheme="majorHAnsi" w:hAnsiTheme="majorHAnsi" w:cstheme="majorHAnsi"/>
                <w:b/>
                <w:sz w:val="18"/>
                <w:szCs w:val="18"/>
                <w:lang w:val="ro-RO"/>
              </w:rPr>
            </w:pPr>
          </w:p>
        </w:tc>
        <w:tc>
          <w:tcPr>
            <w:tcW w:w="989" w:type="dxa"/>
            <w:shd w:val="clear" w:color="auto" w:fill="FFFFFF"/>
          </w:tcPr>
          <w:p w14:paraId="4E558AA5" w14:textId="77777777"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b/>
                <w:sz w:val="18"/>
                <w:szCs w:val="18"/>
                <w:lang w:val="ro-RO"/>
              </w:rPr>
              <w:t>3,9</w:t>
            </w:r>
          </w:p>
          <w:p w14:paraId="42B4AC1D" w14:textId="77777777" w:rsidR="00C8683B" w:rsidRPr="00C8683B" w:rsidRDefault="00C8683B" w:rsidP="00DC6DEE">
            <w:pPr>
              <w:spacing w:after="0" w:line="240" w:lineRule="auto"/>
              <w:jc w:val="center"/>
              <w:rPr>
                <w:rFonts w:asciiTheme="majorHAnsi" w:hAnsiTheme="majorHAnsi" w:cstheme="majorHAnsi"/>
                <w:b/>
                <w:sz w:val="18"/>
                <w:szCs w:val="18"/>
                <w:lang w:val="ro-RO"/>
              </w:rPr>
            </w:pPr>
          </w:p>
          <w:p w14:paraId="283BBC03" w14:textId="77777777" w:rsidR="00C8683B" w:rsidRPr="00C8683B" w:rsidRDefault="00C8683B" w:rsidP="00DC6DEE">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1,0</w:t>
            </w:r>
          </w:p>
          <w:p w14:paraId="16A89303" w14:textId="77777777" w:rsidR="00C8683B" w:rsidRPr="00C8683B" w:rsidRDefault="00C8683B" w:rsidP="00DC6DEE">
            <w:pPr>
              <w:spacing w:after="0" w:line="240" w:lineRule="auto"/>
              <w:jc w:val="center"/>
              <w:rPr>
                <w:rFonts w:asciiTheme="majorHAnsi" w:hAnsiTheme="majorHAnsi" w:cstheme="majorHAnsi"/>
                <w:sz w:val="18"/>
                <w:szCs w:val="18"/>
                <w:lang w:val="ro-RO"/>
              </w:rPr>
            </w:pPr>
          </w:p>
          <w:p w14:paraId="5C1C9E59" w14:textId="77777777" w:rsidR="00C8683B" w:rsidRPr="00C8683B" w:rsidRDefault="00C8683B" w:rsidP="00DC6DEE">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2,9</w:t>
            </w:r>
          </w:p>
          <w:p w14:paraId="50F3A861" w14:textId="77777777" w:rsidR="00C8683B" w:rsidRPr="00C8683B" w:rsidRDefault="00C8683B" w:rsidP="00DC6DEE">
            <w:pPr>
              <w:spacing w:after="0" w:line="240" w:lineRule="auto"/>
              <w:jc w:val="center"/>
              <w:rPr>
                <w:rFonts w:asciiTheme="majorHAnsi" w:hAnsiTheme="majorHAnsi" w:cstheme="majorHAnsi"/>
                <w:b/>
                <w:sz w:val="18"/>
                <w:szCs w:val="18"/>
                <w:lang w:val="ro-RO"/>
              </w:rPr>
            </w:pPr>
          </w:p>
        </w:tc>
      </w:tr>
      <w:tr w:rsidR="00C8683B" w:rsidRPr="00C8683B" w14:paraId="5911FC27" w14:textId="77777777" w:rsidTr="00DC6DEE">
        <w:trPr>
          <w:trHeight w:val="594"/>
          <w:jc w:val="center"/>
        </w:trPr>
        <w:tc>
          <w:tcPr>
            <w:tcW w:w="5949" w:type="dxa"/>
          </w:tcPr>
          <w:p w14:paraId="4E9E74DA" w14:textId="77777777" w:rsidR="00C8683B" w:rsidRPr="00C8683B" w:rsidRDefault="00C8683B" w:rsidP="00DC6DEE">
            <w:pPr>
              <w:spacing w:after="0" w:line="240" w:lineRule="auto"/>
              <w:rPr>
                <w:rFonts w:asciiTheme="majorHAnsi" w:hAnsiTheme="majorHAnsi" w:cstheme="majorHAnsi"/>
                <w:b/>
                <w:bCs/>
                <w:sz w:val="18"/>
                <w:szCs w:val="18"/>
                <w:lang w:val="ro-RO"/>
              </w:rPr>
            </w:pPr>
            <w:r w:rsidRPr="00C8683B">
              <w:rPr>
                <w:rFonts w:asciiTheme="majorHAnsi" w:hAnsiTheme="majorHAnsi" w:cstheme="majorHAnsi"/>
                <w:b/>
                <w:bCs/>
                <w:sz w:val="18"/>
                <w:szCs w:val="18"/>
                <w:lang w:val="ro-RO"/>
              </w:rPr>
              <w:t>6. Ponderea serviciului datoriei de stat în exporturi*</w:t>
            </w:r>
          </w:p>
          <w:p w14:paraId="2FF5ABBC" w14:textId="77777777" w:rsidR="00C8683B" w:rsidRPr="00C8683B" w:rsidRDefault="00C8683B" w:rsidP="00DC6DEE">
            <w:pPr>
              <w:spacing w:after="0" w:line="240" w:lineRule="auto"/>
              <w:rPr>
                <w:rFonts w:asciiTheme="majorHAnsi" w:hAnsiTheme="majorHAnsi" w:cstheme="majorHAnsi"/>
                <w:sz w:val="18"/>
                <w:szCs w:val="18"/>
                <w:lang w:val="ro-RO"/>
              </w:rPr>
            </w:pPr>
            <w:r w:rsidRPr="00C8683B">
              <w:rPr>
                <w:rFonts w:asciiTheme="majorHAnsi" w:hAnsiTheme="majorHAnsi" w:cstheme="majorHAnsi"/>
                <w:b/>
                <w:sz w:val="18"/>
                <w:szCs w:val="18"/>
                <w:lang w:val="ro-RO"/>
              </w:rPr>
              <w:t>6.1.</w:t>
            </w:r>
            <w:r w:rsidRPr="00C8683B">
              <w:rPr>
                <w:rFonts w:asciiTheme="majorHAnsi" w:hAnsiTheme="majorHAnsi" w:cstheme="majorHAnsi"/>
                <w:sz w:val="18"/>
                <w:szCs w:val="18"/>
                <w:lang w:val="ro-RO"/>
              </w:rPr>
              <w:t xml:space="preserve"> Ponderea serviciului datoriei de stat externe în exporturi</w:t>
            </w:r>
          </w:p>
          <w:p w14:paraId="7ECA0B48" w14:textId="77777777" w:rsidR="00C8683B" w:rsidRPr="00C8683B" w:rsidRDefault="00C8683B" w:rsidP="00DC6DEE">
            <w:pPr>
              <w:spacing w:after="0" w:line="240" w:lineRule="auto"/>
              <w:rPr>
                <w:rFonts w:asciiTheme="majorHAnsi" w:hAnsiTheme="majorHAnsi" w:cstheme="majorHAnsi"/>
                <w:sz w:val="18"/>
                <w:szCs w:val="18"/>
                <w:lang w:val="ro-RO"/>
              </w:rPr>
            </w:pPr>
            <w:r w:rsidRPr="00C8683B">
              <w:rPr>
                <w:rFonts w:asciiTheme="majorHAnsi" w:hAnsiTheme="majorHAnsi" w:cstheme="majorHAnsi"/>
                <w:b/>
                <w:sz w:val="18"/>
                <w:szCs w:val="18"/>
                <w:lang w:val="ro-RO"/>
              </w:rPr>
              <w:t>6.2.</w:t>
            </w:r>
            <w:r w:rsidRPr="00C8683B">
              <w:rPr>
                <w:rFonts w:asciiTheme="majorHAnsi" w:hAnsiTheme="majorHAnsi" w:cstheme="majorHAnsi"/>
                <w:sz w:val="18"/>
                <w:szCs w:val="18"/>
                <w:lang w:val="ro-RO"/>
              </w:rPr>
              <w:t xml:space="preserve"> Ponderea serviciului datoriei de stat interne în exporturi</w:t>
            </w:r>
          </w:p>
        </w:tc>
        <w:tc>
          <w:tcPr>
            <w:tcW w:w="850" w:type="dxa"/>
            <w:shd w:val="clear" w:color="auto" w:fill="FFFFFF"/>
          </w:tcPr>
          <w:p w14:paraId="281FCE02" w14:textId="77777777" w:rsidR="00C8683B" w:rsidRPr="00C8683B" w:rsidRDefault="00C8683B" w:rsidP="00DC6DEE">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w:t>
            </w:r>
          </w:p>
        </w:tc>
        <w:tc>
          <w:tcPr>
            <w:tcW w:w="797" w:type="dxa"/>
            <w:shd w:val="clear" w:color="auto" w:fill="FFFFFF"/>
          </w:tcPr>
          <w:p w14:paraId="672ED826" w14:textId="77777777"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b/>
                <w:sz w:val="18"/>
                <w:szCs w:val="18"/>
                <w:lang w:val="ro-RO"/>
              </w:rPr>
              <w:t>4,3</w:t>
            </w:r>
          </w:p>
          <w:p w14:paraId="0B271734" w14:textId="77777777" w:rsidR="00C8683B" w:rsidRPr="00C8683B" w:rsidRDefault="00C8683B" w:rsidP="00DC6DEE">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0,7</w:t>
            </w:r>
          </w:p>
          <w:p w14:paraId="75B1E0DB" w14:textId="77777777"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sz w:val="18"/>
                <w:szCs w:val="18"/>
                <w:lang w:val="ro-RO"/>
              </w:rPr>
              <w:t>3,6</w:t>
            </w:r>
          </w:p>
        </w:tc>
        <w:tc>
          <w:tcPr>
            <w:tcW w:w="801" w:type="dxa"/>
            <w:shd w:val="clear" w:color="auto" w:fill="FFFFFF"/>
          </w:tcPr>
          <w:p w14:paraId="440C2FE3" w14:textId="67907ABB"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b/>
                <w:sz w:val="18"/>
                <w:szCs w:val="18"/>
                <w:lang w:val="ro-RO"/>
              </w:rPr>
              <w:t>4,</w:t>
            </w:r>
            <w:r w:rsidR="00FA3661">
              <w:rPr>
                <w:rFonts w:asciiTheme="majorHAnsi" w:hAnsiTheme="majorHAnsi" w:cstheme="majorHAnsi"/>
                <w:b/>
                <w:sz w:val="18"/>
                <w:szCs w:val="18"/>
                <w:lang w:val="ro-RO"/>
              </w:rPr>
              <w:t>3</w:t>
            </w:r>
          </w:p>
          <w:p w14:paraId="2295FAE6" w14:textId="0F08F7C8" w:rsidR="00C8683B" w:rsidRPr="00C8683B" w:rsidRDefault="00C8683B" w:rsidP="004E2CB3">
            <w:pPr>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0,</w:t>
            </w:r>
            <w:r w:rsidR="00FA3661">
              <w:rPr>
                <w:rFonts w:asciiTheme="majorHAnsi" w:hAnsiTheme="majorHAnsi" w:cstheme="majorHAnsi"/>
                <w:sz w:val="18"/>
                <w:szCs w:val="18"/>
                <w:lang w:val="ro-RO"/>
              </w:rPr>
              <w:t>8</w:t>
            </w:r>
            <w:r w:rsidR="00FA3661" w:rsidRPr="00C8683B">
              <w:rPr>
                <w:rFonts w:asciiTheme="majorHAnsi" w:hAnsiTheme="majorHAnsi" w:cstheme="majorHAnsi"/>
                <w:sz w:val="18"/>
                <w:szCs w:val="18"/>
                <w:lang w:val="ro-RO"/>
              </w:rPr>
              <w:t xml:space="preserve">                 </w:t>
            </w:r>
            <w:r w:rsidRPr="00C8683B">
              <w:rPr>
                <w:rFonts w:asciiTheme="majorHAnsi" w:hAnsiTheme="majorHAnsi" w:cstheme="majorHAnsi"/>
                <w:sz w:val="18"/>
                <w:szCs w:val="18"/>
                <w:lang w:val="ro-RO"/>
              </w:rPr>
              <w:t>3,</w:t>
            </w:r>
            <w:r w:rsidR="00FA3661">
              <w:rPr>
                <w:rFonts w:asciiTheme="majorHAnsi" w:hAnsiTheme="majorHAnsi" w:cstheme="majorHAnsi"/>
                <w:sz w:val="18"/>
                <w:szCs w:val="18"/>
                <w:lang w:val="ro-RO"/>
              </w:rPr>
              <w:t>5</w:t>
            </w:r>
          </w:p>
        </w:tc>
        <w:tc>
          <w:tcPr>
            <w:tcW w:w="989" w:type="dxa"/>
            <w:shd w:val="clear" w:color="auto" w:fill="FFFFFF"/>
          </w:tcPr>
          <w:p w14:paraId="6EC6FE74" w14:textId="66165E5D" w:rsidR="00C8683B" w:rsidRPr="00C8683B" w:rsidRDefault="00C8683B" w:rsidP="00DC6DEE">
            <w:pPr>
              <w:spacing w:after="0" w:line="240" w:lineRule="auto"/>
              <w:jc w:val="center"/>
              <w:rPr>
                <w:rFonts w:asciiTheme="majorHAnsi" w:hAnsiTheme="majorHAnsi" w:cstheme="majorHAnsi"/>
                <w:b/>
                <w:sz w:val="18"/>
                <w:szCs w:val="18"/>
                <w:lang w:val="ro-RO"/>
              </w:rPr>
            </w:pPr>
            <w:r w:rsidRPr="00C8683B">
              <w:rPr>
                <w:rFonts w:asciiTheme="majorHAnsi" w:hAnsiTheme="majorHAnsi" w:cstheme="majorHAnsi"/>
                <w:b/>
                <w:sz w:val="18"/>
                <w:szCs w:val="18"/>
                <w:lang w:val="ro-RO"/>
              </w:rPr>
              <w:t>3,</w:t>
            </w:r>
            <w:r w:rsidR="00FA3661">
              <w:rPr>
                <w:rFonts w:asciiTheme="majorHAnsi" w:hAnsiTheme="majorHAnsi" w:cstheme="majorHAnsi"/>
                <w:b/>
                <w:sz w:val="18"/>
                <w:szCs w:val="18"/>
                <w:lang w:val="ro-RO"/>
              </w:rPr>
              <w:t>3</w:t>
            </w:r>
          </w:p>
          <w:p w14:paraId="631C8B1E" w14:textId="032F0429" w:rsidR="00C8683B" w:rsidRPr="00C8683B" w:rsidRDefault="00C8683B" w:rsidP="00DC6DEE">
            <w:pPr>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0,8                  2,</w:t>
            </w:r>
            <w:r w:rsidR="00FA3661">
              <w:rPr>
                <w:rFonts w:asciiTheme="majorHAnsi" w:hAnsiTheme="majorHAnsi" w:cstheme="majorHAnsi"/>
                <w:sz w:val="18"/>
                <w:szCs w:val="18"/>
                <w:lang w:val="ro-RO"/>
              </w:rPr>
              <w:t>5</w:t>
            </w:r>
          </w:p>
        </w:tc>
      </w:tr>
      <w:tr w:rsidR="00EB1B5D" w:rsidRPr="00C8683B" w14:paraId="1500286C" w14:textId="77777777" w:rsidTr="00DC6DEE">
        <w:trPr>
          <w:trHeight w:val="58"/>
          <w:jc w:val="center"/>
        </w:trPr>
        <w:tc>
          <w:tcPr>
            <w:tcW w:w="5949" w:type="dxa"/>
          </w:tcPr>
          <w:p w14:paraId="2203407B" w14:textId="77777777" w:rsidR="00EB1B5D" w:rsidRPr="00C8683B" w:rsidRDefault="00EB1B5D" w:rsidP="00EB1B5D">
            <w:pPr>
              <w:spacing w:after="0" w:line="240" w:lineRule="auto"/>
              <w:rPr>
                <w:rFonts w:asciiTheme="majorHAnsi" w:hAnsiTheme="majorHAnsi" w:cstheme="majorHAnsi"/>
                <w:b/>
                <w:bCs/>
                <w:sz w:val="18"/>
                <w:szCs w:val="18"/>
                <w:lang w:val="ro-RO"/>
              </w:rPr>
            </w:pPr>
            <w:r w:rsidRPr="00C8683B">
              <w:rPr>
                <w:rFonts w:asciiTheme="majorHAnsi" w:hAnsiTheme="majorHAnsi" w:cstheme="majorHAnsi"/>
                <w:b/>
                <w:bCs/>
                <w:sz w:val="18"/>
                <w:szCs w:val="18"/>
                <w:lang w:val="ro-RO"/>
              </w:rPr>
              <w:t>7. Ponderea datoriei de stat externe în exporturi</w:t>
            </w:r>
          </w:p>
        </w:tc>
        <w:tc>
          <w:tcPr>
            <w:tcW w:w="850" w:type="dxa"/>
          </w:tcPr>
          <w:p w14:paraId="71CD8021" w14:textId="77777777" w:rsidR="00EB1B5D" w:rsidRPr="00C8683B" w:rsidRDefault="00EB1B5D" w:rsidP="00EB1B5D">
            <w:pPr>
              <w:spacing w:after="0" w:line="240" w:lineRule="auto"/>
              <w:jc w:val="center"/>
              <w:rPr>
                <w:rFonts w:asciiTheme="majorHAnsi" w:hAnsiTheme="majorHAnsi" w:cstheme="majorHAnsi"/>
                <w:sz w:val="18"/>
                <w:szCs w:val="18"/>
                <w:lang w:val="ro-RO"/>
              </w:rPr>
            </w:pPr>
            <w:r w:rsidRPr="00C8683B">
              <w:rPr>
                <w:rFonts w:asciiTheme="majorHAnsi" w:hAnsiTheme="majorHAnsi" w:cstheme="majorHAnsi"/>
                <w:sz w:val="18"/>
                <w:szCs w:val="18"/>
                <w:lang w:val="ro-RO"/>
              </w:rPr>
              <w:t>%</w:t>
            </w:r>
          </w:p>
        </w:tc>
        <w:tc>
          <w:tcPr>
            <w:tcW w:w="797" w:type="dxa"/>
            <w:shd w:val="clear" w:color="auto" w:fill="FFFFFF"/>
          </w:tcPr>
          <w:p w14:paraId="73B95CD5" w14:textId="05332FCB" w:rsidR="00EB1B5D" w:rsidRPr="00C8683B" w:rsidRDefault="00EB1B5D" w:rsidP="00EB1B5D">
            <w:pPr>
              <w:spacing w:after="0" w:line="240" w:lineRule="auto"/>
              <w:jc w:val="center"/>
              <w:rPr>
                <w:rFonts w:asciiTheme="majorHAnsi" w:hAnsiTheme="majorHAnsi" w:cstheme="majorHAnsi"/>
                <w:b/>
                <w:iCs/>
                <w:sz w:val="18"/>
                <w:szCs w:val="18"/>
                <w:lang w:val="ro-RO"/>
              </w:rPr>
            </w:pPr>
            <w:r>
              <w:rPr>
                <w:rFonts w:asciiTheme="majorHAnsi" w:hAnsiTheme="majorHAnsi" w:cstheme="majorHAnsi"/>
                <w:b/>
                <w:iCs/>
                <w:sz w:val="18"/>
                <w:szCs w:val="18"/>
                <w:lang w:val="ro-RO"/>
              </w:rPr>
              <w:t>71,8</w:t>
            </w:r>
          </w:p>
        </w:tc>
        <w:tc>
          <w:tcPr>
            <w:tcW w:w="801" w:type="dxa"/>
            <w:shd w:val="clear" w:color="auto" w:fill="FFFFFF"/>
          </w:tcPr>
          <w:p w14:paraId="292B587B" w14:textId="17BD22CA" w:rsidR="00EB1B5D" w:rsidRPr="00C8683B" w:rsidRDefault="00EB1B5D" w:rsidP="00EB1B5D">
            <w:pPr>
              <w:spacing w:after="0" w:line="240" w:lineRule="auto"/>
              <w:jc w:val="center"/>
              <w:rPr>
                <w:rFonts w:asciiTheme="majorHAnsi" w:hAnsiTheme="majorHAnsi" w:cstheme="majorHAnsi"/>
                <w:b/>
                <w:iCs/>
                <w:sz w:val="18"/>
                <w:szCs w:val="18"/>
                <w:lang w:val="ro-RO"/>
              </w:rPr>
            </w:pPr>
            <w:r>
              <w:rPr>
                <w:rFonts w:asciiTheme="majorHAnsi" w:hAnsiTheme="majorHAnsi" w:cstheme="majorHAnsi"/>
                <w:b/>
                <w:iCs/>
                <w:sz w:val="18"/>
                <w:szCs w:val="18"/>
                <w:lang w:val="ro-RO"/>
              </w:rPr>
              <w:t>64,8</w:t>
            </w:r>
          </w:p>
        </w:tc>
        <w:tc>
          <w:tcPr>
            <w:tcW w:w="989" w:type="dxa"/>
            <w:shd w:val="clear" w:color="auto" w:fill="FFFFFF"/>
          </w:tcPr>
          <w:p w14:paraId="7EEE3F52" w14:textId="4DEC6105" w:rsidR="00EB1B5D" w:rsidRPr="00C8683B" w:rsidRDefault="00EB1B5D" w:rsidP="00EB1B5D">
            <w:pPr>
              <w:spacing w:after="0" w:line="240" w:lineRule="auto"/>
              <w:jc w:val="center"/>
              <w:rPr>
                <w:rFonts w:asciiTheme="majorHAnsi" w:hAnsiTheme="majorHAnsi" w:cstheme="majorHAnsi"/>
                <w:b/>
                <w:iCs/>
                <w:sz w:val="18"/>
                <w:szCs w:val="18"/>
                <w:lang w:val="ro-RO"/>
              </w:rPr>
            </w:pPr>
            <w:r>
              <w:rPr>
                <w:rFonts w:asciiTheme="majorHAnsi" w:hAnsiTheme="majorHAnsi" w:cstheme="majorHAnsi"/>
                <w:b/>
                <w:iCs/>
                <w:sz w:val="18"/>
                <w:szCs w:val="18"/>
                <w:lang w:val="ro-RO"/>
              </w:rPr>
              <w:t>63,7</w:t>
            </w:r>
          </w:p>
        </w:tc>
      </w:tr>
      <w:tr w:rsidR="00EB1B5D" w:rsidRPr="00C8683B" w14:paraId="5DB63CAA" w14:textId="77777777" w:rsidTr="00DC6DEE">
        <w:trPr>
          <w:trHeight w:val="188"/>
          <w:jc w:val="center"/>
        </w:trPr>
        <w:tc>
          <w:tcPr>
            <w:tcW w:w="5949" w:type="dxa"/>
          </w:tcPr>
          <w:p w14:paraId="421B85FC" w14:textId="77777777" w:rsidR="00EB1B5D" w:rsidRPr="00C8683B" w:rsidRDefault="00EB1B5D" w:rsidP="00EB1B5D">
            <w:pPr>
              <w:spacing w:after="0" w:line="240" w:lineRule="auto"/>
              <w:rPr>
                <w:rFonts w:asciiTheme="majorHAnsi" w:hAnsiTheme="majorHAnsi" w:cstheme="majorHAnsi"/>
                <w:b/>
                <w:bCs/>
                <w:sz w:val="18"/>
                <w:szCs w:val="18"/>
                <w:lang w:val="ro-RO"/>
              </w:rPr>
            </w:pPr>
            <w:r w:rsidRPr="00C8683B">
              <w:rPr>
                <w:rFonts w:asciiTheme="majorHAnsi" w:hAnsiTheme="majorHAnsi" w:cstheme="majorHAnsi"/>
                <w:b/>
                <w:bCs/>
                <w:sz w:val="18"/>
                <w:szCs w:val="18"/>
                <w:lang w:val="ro-RO"/>
              </w:rPr>
              <w:t>8. Datoria de stat externă pe cap de locuitor</w:t>
            </w:r>
          </w:p>
        </w:tc>
        <w:tc>
          <w:tcPr>
            <w:tcW w:w="850" w:type="dxa"/>
          </w:tcPr>
          <w:p w14:paraId="34EFEAB7" w14:textId="77777777" w:rsidR="00EB1B5D" w:rsidRPr="00C8683B" w:rsidRDefault="00EB1B5D" w:rsidP="00EB1B5D">
            <w:pPr>
              <w:spacing w:after="0" w:line="240" w:lineRule="auto"/>
              <w:jc w:val="center"/>
              <w:rPr>
                <w:rFonts w:asciiTheme="majorHAnsi" w:hAnsiTheme="majorHAnsi" w:cstheme="majorHAnsi"/>
                <w:sz w:val="16"/>
                <w:szCs w:val="16"/>
                <w:lang w:val="ro-RO"/>
              </w:rPr>
            </w:pPr>
            <w:r>
              <w:rPr>
                <w:rFonts w:asciiTheme="majorHAnsi" w:hAnsiTheme="majorHAnsi" w:cstheme="majorHAnsi"/>
                <w:sz w:val="16"/>
                <w:szCs w:val="16"/>
                <w:lang w:val="ro-RO"/>
              </w:rPr>
              <w:t>MDL</w:t>
            </w:r>
            <w:r w:rsidRPr="00C8683B">
              <w:rPr>
                <w:rFonts w:asciiTheme="majorHAnsi" w:hAnsiTheme="majorHAnsi" w:cstheme="majorHAnsi"/>
                <w:sz w:val="16"/>
                <w:szCs w:val="16"/>
                <w:lang w:val="ro-RO"/>
              </w:rPr>
              <w:t xml:space="preserve">/ </w:t>
            </w:r>
          </w:p>
          <w:p w14:paraId="730C43F9" w14:textId="77777777" w:rsidR="00EB1B5D" w:rsidRPr="00C8683B" w:rsidRDefault="00EB1B5D" w:rsidP="00EB1B5D">
            <w:pPr>
              <w:spacing w:after="0" w:line="240" w:lineRule="auto"/>
              <w:jc w:val="center"/>
              <w:rPr>
                <w:rFonts w:asciiTheme="majorHAnsi" w:hAnsiTheme="majorHAnsi" w:cstheme="majorHAnsi"/>
                <w:sz w:val="18"/>
                <w:szCs w:val="18"/>
                <w:lang w:val="ro-RO"/>
              </w:rPr>
            </w:pPr>
            <w:proofErr w:type="spellStart"/>
            <w:r w:rsidRPr="00C8683B">
              <w:rPr>
                <w:rFonts w:asciiTheme="majorHAnsi" w:hAnsiTheme="majorHAnsi" w:cstheme="majorHAnsi"/>
                <w:sz w:val="16"/>
                <w:szCs w:val="16"/>
                <w:lang w:val="ro-RO"/>
              </w:rPr>
              <w:t>dol.SUA</w:t>
            </w:r>
            <w:proofErr w:type="spellEnd"/>
          </w:p>
        </w:tc>
        <w:tc>
          <w:tcPr>
            <w:tcW w:w="797" w:type="dxa"/>
            <w:shd w:val="clear" w:color="auto" w:fill="FFFFFF"/>
          </w:tcPr>
          <w:p w14:paraId="4B0D8FA3" w14:textId="77777777" w:rsidR="00EB1B5D" w:rsidRPr="00C8683B" w:rsidRDefault="00EB1B5D" w:rsidP="00EB1B5D">
            <w:pPr>
              <w:spacing w:after="0" w:line="240" w:lineRule="auto"/>
              <w:jc w:val="center"/>
              <w:rPr>
                <w:rFonts w:asciiTheme="majorHAnsi" w:hAnsiTheme="majorHAnsi" w:cstheme="majorHAnsi"/>
                <w:b/>
                <w:iCs/>
                <w:sz w:val="18"/>
                <w:szCs w:val="18"/>
                <w:lang w:val="ro-RO"/>
              </w:rPr>
            </w:pPr>
            <w:r>
              <w:rPr>
                <w:rFonts w:asciiTheme="majorHAnsi" w:hAnsiTheme="majorHAnsi" w:cstheme="majorHAnsi"/>
                <w:b/>
                <w:iCs/>
                <w:sz w:val="18"/>
                <w:szCs w:val="18"/>
                <w:lang w:val="ro-RO"/>
              </w:rPr>
              <w:t>8236,9</w:t>
            </w:r>
          </w:p>
          <w:p w14:paraId="4F17E199" w14:textId="312CFD2F" w:rsidR="00EB1B5D" w:rsidRPr="00C8683B" w:rsidRDefault="00EB1B5D" w:rsidP="00EB1B5D">
            <w:pPr>
              <w:spacing w:after="0" w:line="240" w:lineRule="auto"/>
              <w:jc w:val="center"/>
              <w:rPr>
                <w:rFonts w:asciiTheme="majorHAnsi" w:hAnsiTheme="majorHAnsi" w:cstheme="majorHAnsi"/>
                <w:b/>
                <w:iCs/>
                <w:sz w:val="18"/>
                <w:szCs w:val="18"/>
                <w:lang w:val="ro-RO"/>
              </w:rPr>
            </w:pPr>
            <w:r>
              <w:rPr>
                <w:rFonts w:asciiTheme="majorHAnsi" w:hAnsiTheme="majorHAnsi" w:cstheme="majorHAnsi"/>
                <w:b/>
                <w:iCs/>
                <w:sz w:val="18"/>
                <w:szCs w:val="18"/>
                <w:lang w:val="ro-RO"/>
              </w:rPr>
              <w:t>412,2</w:t>
            </w:r>
          </w:p>
        </w:tc>
        <w:tc>
          <w:tcPr>
            <w:tcW w:w="801" w:type="dxa"/>
            <w:shd w:val="clear" w:color="auto" w:fill="FFFFFF"/>
          </w:tcPr>
          <w:p w14:paraId="6C249F31" w14:textId="77777777" w:rsidR="00EB1B5D" w:rsidRPr="00C8683B" w:rsidRDefault="00EB1B5D" w:rsidP="00EB1B5D">
            <w:pPr>
              <w:spacing w:after="0" w:line="240" w:lineRule="auto"/>
              <w:jc w:val="center"/>
              <w:rPr>
                <w:rFonts w:asciiTheme="majorHAnsi" w:hAnsiTheme="majorHAnsi" w:cstheme="majorHAnsi"/>
                <w:b/>
                <w:iCs/>
                <w:sz w:val="18"/>
                <w:szCs w:val="18"/>
                <w:lang w:val="ro-RO"/>
              </w:rPr>
            </w:pPr>
            <w:r w:rsidRPr="00C8683B">
              <w:rPr>
                <w:rFonts w:asciiTheme="majorHAnsi" w:hAnsiTheme="majorHAnsi" w:cstheme="majorHAnsi"/>
                <w:b/>
                <w:iCs/>
                <w:sz w:val="18"/>
                <w:szCs w:val="18"/>
                <w:lang w:val="ro-RO"/>
              </w:rPr>
              <w:t>8190,0</w:t>
            </w:r>
          </w:p>
          <w:p w14:paraId="61438C3D" w14:textId="54245418" w:rsidR="00EB1B5D" w:rsidRPr="00C8683B" w:rsidRDefault="00EB1B5D" w:rsidP="00EB1B5D">
            <w:pPr>
              <w:spacing w:after="0" w:line="240" w:lineRule="auto"/>
              <w:jc w:val="center"/>
              <w:rPr>
                <w:rFonts w:asciiTheme="majorHAnsi" w:hAnsiTheme="majorHAnsi" w:cstheme="majorHAnsi"/>
                <w:b/>
                <w:iCs/>
                <w:sz w:val="18"/>
                <w:szCs w:val="18"/>
                <w:lang w:val="ro-RO"/>
              </w:rPr>
            </w:pPr>
            <w:r w:rsidRPr="00C8683B">
              <w:rPr>
                <w:rFonts w:asciiTheme="majorHAnsi" w:hAnsiTheme="majorHAnsi" w:cstheme="majorHAnsi"/>
                <w:b/>
                <w:iCs/>
                <w:sz w:val="18"/>
                <w:szCs w:val="18"/>
                <w:lang w:val="ro-RO"/>
              </w:rPr>
              <w:t>479,0</w:t>
            </w:r>
          </w:p>
        </w:tc>
        <w:tc>
          <w:tcPr>
            <w:tcW w:w="989" w:type="dxa"/>
            <w:shd w:val="clear" w:color="auto" w:fill="FFFFFF"/>
          </w:tcPr>
          <w:p w14:paraId="36278E5B" w14:textId="77777777" w:rsidR="00EB1B5D" w:rsidRPr="00C8683B" w:rsidRDefault="00EB1B5D" w:rsidP="00EB1B5D">
            <w:pPr>
              <w:spacing w:after="0" w:line="240" w:lineRule="auto"/>
              <w:jc w:val="center"/>
              <w:rPr>
                <w:rFonts w:asciiTheme="majorHAnsi" w:hAnsiTheme="majorHAnsi" w:cstheme="majorHAnsi"/>
                <w:b/>
                <w:iCs/>
                <w:sz w:val="18"/>
                <w:szCs w:val="18"/>
                <w:lang w:val="ro-RO"/>
              </w:rPr>
            </w:pPr>
            <w:r w:rsidRPr="00C8683B">
              <w:rPr>
                <w:rFonts w:asciiTheme="majorHAnsi" w:hAnsiTheme="majorHAnsi" w:cstheme="majorHAnsi"/>
                <w:b/>
                <w:iCs/>
                <w:sz w:val="18"/>
                <w:szCs w:val="18"/>
                <w:lang w:val="ro-RO"/>
              </w:rPr>
              <w:t>8161,7</w:t>
            </w:r>
          </w:p>
          <w:p w14:paraId="6AAF2F4B" w14:textId="6F8EBDBF" w:rsidR="00EB1B5D" w:rsidRPr="00C8683B" w:rsidRDefault="00EB1B5D" w:rsidP="00EB1B5D">
            <w:pPr>
              <w:spacing w:after="0" w:line="240" w:lineRule="auto"/>
              <w:jc w:val="center"/>
              <w:rPr>
                <w:rFonts w:asciiTheme="majorHAnsi" w:hAnsiTheme="majorHAnsi" w:cstheme="majorHAnsi"/>
                <w:b/>
                <w:iCs/>
                <w:sz w:val="18"/>
                <w:szCs w:val="18"/>
                <w:lang w:val="ro-RO"/>
              </w:rPr>
            </w:pPr>
            <w:r w:rsidRPr="00C8683B">
              <w:rPr>
                <w:rFonts w:asciiTheme="majorHAnsi" w:hAnsiTheme="majorHAnsi" w:cstheme="majorHAnsi"/>
                <w:b/>
                <w:iCs/>
                <w:sz w:val="18"/>
                <w:szCs w:val="18"/>
                <w:lang w:val="ro-RO"/>
              </w:rPr>
              <w:t>476,1</w:t>
            </w:r>
          </w:p>
        </w:tc>
      </w:tr>
      <w:tr w:rsidR="00EB1B5D" w:rsidRPr="00C8683B" w14:paraId="671BA988" w14:textId="77777777" w:rsidTr="00DC6DEE">
        <w:trPr>
          <w:trHeight w:val="188"/>
          <w:jc w:val="center"/>
        </w:trPr>
        <w:tc>
          <w:tcPr>
            <w:tcW w:w="5949" w:type="dxa"/>
          </w:tcPr>
          <w:p w14:paraId="33423F98" w14:textId="77777777" w:rsidR="00EB1B5D" w:rsidRPr="00C8683B" w:rsidRDefault="00EB1B5D" w:rsidP="00EB1B5D">
            <w:pPr>
              <w:spacing w:after="0" w:line="240" w:lineRule="auto"/>
              <w:rPr>
                <w:rFonts w:asciiTheme="majorHAnsi" w:hAnsiTheme="majorHAnsi" w:cstheme="majorHAnsi"/>
                <w:b/>
                <w:bCs/>
                <w:sz w:val="18"/>
                <w:szCs w:val="18"/>
                <w:lang w:val="ro-RO"/>
              </w:rPr>
            </w:pPr>
            <w:r w:rsidRPr="00C8683B">
              <w:rPr>
                <w:rFonts w:asciiTheme="majorHAnsi" w:hAnsiTheme="majorHAnsi" w:cstheme="majorHAnsi"/>
                <w:b/>
                <w:bCs/>
                <w:sz w:val="18"/>
                <w:szCs w:val="18"/>
                <w:lang w:val="ro-RO"/>
              </w:rPr>
              <w:t>9 PIB per cap de locuitor</w:t>
            </w:r>
          </w:p>
        </w:tc>
        <w:tc>
          <w:tcPr>
            <w:tcW w:w="850" w:type="dxa"/>
          </w:tcPr>
          <w:p w14:paraId="0F8E6B09" w14:textId="77777777" w:rsidR="00EB1B5D" w:rsidRPr="00C8683B" w:rsidRDefault="00EB1B5D" w:rsidP="00EB1B5D">
            <w:pPr>
              <w:spacing w:after="0" w:line="240" w:lineRule="auto"/>
              <w:jc w:val="center"/>
              <w:rPr>
                <w:rFonts w:asciiTheme="majorHAnsi" w:hAnsiTheme="majorHAnsi" w:cstheme="majorHAnsi"/>
                <w:sz w:val="16"/>
                <w:szCs w:val="16"/>
                <w:lang w:val="ro-RO"/>
              </w:rPr>
            </w:pPr>
            <w:r>
              <w:rPr>
                <w:rFonts w:asciiTheme="majorHAnsi" w:hAnsiTheme="majorHAnsi" w:cstheme="majorHAnsi"/>
                <w:sz w:val="16"/>
                <w:szCs w:val="16"/>
                <w:lang w:val="ro-RO"/>
              </w:rPr>
              <w:t>MDL</w:t>
            </w:r>
            <w:r w:rsidRPr="00C8683B">
              <w:rPr>
                <w:rFonts w:asciiTheme="majorHAnsi" w:hAnsiTheme="majorHAnsi" w:cstheme="majorHAnsi"/>
                <w:sz w:val="16"/>
                <w:szCs w:val="16"/>
                <w:lang w:val="ro-RO"/>
              </w:rPr>
              <w:t xml:space="preserve">/ </w:t>
            </w:r>
          </w:p>
          <w:p w14:paraId="65ACF050" w14:textId="77777777" w:rsidR="00EB1B5D" w:rsidRPr="00C8683B" w:rsidRDefault="00EB1B5D" w:rsidP="00EB1B5D">
            <w:pPr>
              <w:spacing w:after="0" w:line="240" w:lineRule="auto"/>
              <w:jc w:val="center"/>
              <w:rPr>
                <w:rFonts w:asciiTheme="majorHAnsi" w:hAnsiTheme="majorHAnsi" w:cstheme="majorHAnsi"/>
                <w:sz w:val="18"/>
                <w:szCs w:val="18"/>
                <w:lang w:val="ro-RO"/>
              </w:rPr>
            </w:pPr>
            <w:proofErr w:type="spellStart"/>
            <w:r w:rsidRPr="00C8683B">
              <w:rPr>
                <w:rFonts w:asciiTheme="majorHAnsi" w:hAnsiTheme="majorHAnsi" w:cstheme="majorHAnsi"/>
                <w:sz w:val="16"/>
                <w:szCs w:val="16"/>
                <w:lang w:val="ro-RO"/>
              </w:rPr>
              <w:t>dol.SUA</w:t>
            </w:r>
            <w:proofErr w:type="spellEnd"/>
          </w:p>
        </w:tc>
        <w:tc>
          <w:tcPr>
            <w:tcW w:w="797" w:type="dxa"/>
            <w:shd w:val="clear" w:color="auto" w:fill="FFFFFF"/>
          </w:tcPr>
          <w:p w14:paraId="3B58BC40" w14:textId="77777777" w:rsidR="00EB1B5D" w:rsidRPr="008E6807" w:rsidRDefault="00EB1B5D" w:rsidP="00EB1B5D">
            <w:pPr>
              <w:spacing w:after="0" w:line="240" w:lineRule="auto"/>
              <w:jc w:val="center"/>
              <w:rPr>
                <w:rFonts w:asciiTheme="majorHAnsi" w:hAnsiTheme="majorHAnsi" w:cstheme="majorHAnsi"/>
                <w:b/>
                <w:iCs/>
                <w:sz w:val="16"/>
                <w:szCs w:val="16"/>
                <w:lang w:val="ro-RO"/>
              </w:rPr>
            </w:pPr>
            <w:r w:rsidRPr="008E6807">
              <w:rPr>
                <w:rFonts w:asciiTheme="majorHAnsi" w:hAnsiTheme="majorHAnsi" w:cstheme="majorHAnsi"/>
                <w:b/>
                <w:iCs/>
                <w:sz w:val="16"/>
                <w:szCs w:val="16"/>
                <w:lang w:val="ro-RO"/>
              </w:rPr>
              <w:t>45275,0</w:t>
            </w:r>
          </w:p>
          <w:p w14:paraId="39EDE42B" w14:textId="23047431" w:rsidR="00EB1B5D" w:rsidRPr="008E6807" w:rsidRDefault="00EB1B5D" w:rsidP="00EB1B5D">
            <w:pPr>
              <w:spacing w:after="0" w:line="240" w:lineRule="auto"/>
              <w:jc w:val="center"/>
              <w:rPr>
                <w:rFonts w:asciiTheme="majorHAnsi" w:hAnsiTheme="majorHAnsi" w:cstheme="majorHAnsi"/>
                <w:b/>
                <w:iCs/>
                <w:sz w:val="16"/>
                <w:szCs w:val="16"/>
                <w:lang w:val="ro-RO"/>
              </w:rPr>
            </w:pPr>
            <w:r w:rsidRPr="008E6807">
              <w:rPr>
                <w:rFonts w:asciiTheme="majorHAnsi" w:hAnsiTheme="majorHAnsi" w:cstheme="majorHAnsi"/>
                <w:b/>
                <w:iCs/>
                <w:sz w:val="16"/>
                <w:szCs w:val="16"/>
                <w:lang w:val="ro-RO"/>
              </w:rPr>
              <w:t>2272,0</w:t>
            </w:r>
          </w:p>
        </w:tc>
        <w:tc>
          <w:tcPr>
            <w:tcW w:w="801" w:type="dxa"/>
            <w:shd w:val="clear" w:color="auto" w:fill="FFFFFF"/>
          </w:tcPr>
          <w:p w14:paraId="209EC61B" w14:textId="77777777" w:rsidR="00EB1B5D" w:rsidRPr="008E6807" w:rsidRDefault="00EB1B5D" w:rsidP="00EB1B5D">
            <w:pPr>
              <w:spacing w:after="0" w:line="240" w:lineRule="auto"/>
              <w:jc w:val="center"/>
              <w:rPr>
                <w:rFonts w:asciiTheme="majorHAnsi" w:hAnsiTheme="majorHAnsi" w:cstheme="majorHAnsi"/>
                <w:b/>
                <w:iCs/>
                <w:sz w:val="16"/>
                <w:szCs w:val="16"/>
                <w:lang w:val="ro-RO"/>
              </w:rPr>
            </w:pPr>
            <w:r w:rsidRPr="008E6807">
              <w:rPr>
                <w:rFonts w:asciiTheme="majorHAnsi" w:hAnsiTheme="majorHAnsi" w:cstheme="majorHAnsi"/>
                <w:b/>
                <w:iCs/>
                <w:sz w:val="16"/>
                <w:szCs w:val="16"/>
                <w:lang w:val="ro-RO"/>
              </w:rPr>
              <w:t>50400,0</w:t>
            </w:r>
          </w:p>
          <w:p w14:paraId="090DF025" w14:textId="479F8C21" w:rsidR="00EB1B5D" w:rsidRPr="008E6807" w:rsidRDefault="00EB1B5D" w:rsidP="00EB1B5D">
            <w:pPr>
              <w:spacing w:after="0" w:line="240" w:lineRule="auto"/>
              <w:jc w:val="center"/>
              <w:rPr>
                <w:rFonts w:asciiTheme="majorHAnsi" w:hAnsiTheme="majorHAnsi" w:cstheme="majorHAnsi"/>
                <w:b/>
                <w:iCs/>
                <w:sz w:val="16"/>
                <w:szCs w:val="16"/>
                <w:lang w:val="ro-RO"/>
              </w:rPr>
            </w:pPr>
            <w:r w:rsidRPr="008E6807">
              <w:rPr>
                <w:rFonts w:asciiTheme="majorHAnsi" w:hAnsiTheme="majorHAnsi" w:cstheme="majorHAnsi"/>
                <w:b/>
                <w:iCs/>
                <w:sz w:val="16"/>
                <w:szCs w:val="16"/>
                <w:lang w:val="ro-RO"/>
              </w:rPr>
              <w:t>2726,0</w:t>
            </w:r>
          </w:p>
        </w:tc>
        <w:tc>
          <w:tcPr>
            <w:tcW w:w="989" w:type="dxa"/>
            <w:shd w:val="clear" w:color="auto" w:fill="FFFFFF"/>
          </w:tcPr>
          <w:p w14:paraId="5D99A62C" w14:textId="77777777" w:rsidR="00EB1B5D" w:rsidRPr="008E6807" w:rsidRDefault="00EB1B5D" w:rsidP="00EB1B5D">
            <w:pPr>
              <w:spacing w:after="0" w:line="240" w:lineRule="auto"/>
              <w:jc w:val="center"/>
              <w:rPr>
                <w:rFonts w:asciiTheme="majorHAnsi" w:hAnsiTheme="majorHAnsi" w:cstheme="majorHAnsi"/>
                <w:b/>
                <w:iCs/>
                <w:sz w:val="16"/>
                <w:szCs w:val="16"/>
                <w:lang w:val="ro-RO"/>
              </w:rPr>
            </w:pPr>
            <w:r w:rsidRPr="008E6807">
              <w:rPr>
                <w:rFonts w:asciiTheme="majorHAnsi" w:hAnsiTheme="majorHAnsi" w:cstheme="majorHAnsi"/>
                <w:b/>
                <w:iCs/>
                <w:sz w:val="16"/>
                <w:szCs w:val="16"/>
                <w:lang w:val="ro-RO"/>
              </w:rPr>
              <w:t>53599,0</w:t>
            </w:r>
          </w:p>
          <w:p w14:paraId="1B6E0753" w14:textId="12490074" w:rsidR="00EB1B5D" w:rsidRPr="008E6807" w:rsidRDefault="00EB1B5D" w:rsidP="00EB1B5D">
            <w:pPr>
              <w:spacing w:after="0" w:line="240" w:lineRule="auto"/>
              <w:jc w:val="center"/>
              <w:rPr>
                <w:rFonts w:asciiTheme="majorHAnsi" w:hAnsiTheme="majorHAnsi" w:cstheme="majorHAnsi"/>
                <w:b/>
                <w:iCs/>
                <w:sz w:val="16"/>
                <w:szCs w:val="16"/>
                <w:lang w:val="ro-RO"/>
              </w:rPr>
            </w:pPr>
            <w:r w:rsidRPr="008E6807">
              <w:rPr>
                <w:rFonts w:asciiTheme="majorHAnsi" w:hAnsiTheme="majorHAnsi" w:cstheme="majorHAnsi"/>
                <w:b/>
                <w:iCs/>
                <w:sz w:val="16"/>
                <w:szCs w:val="16"/>
                <w:lang w:val="ro-RO"/>
              </w:rPr>
              <w:t>3190,0</w:t>
            </w:r>
          </w:p>
        </w:tc>
      </w:tr>
    </w:tbl>
    <w:p w14:paraId="2B43B0F5" w14:textId="346A3014" w:rsidR="00C8683B" w:rsidRPr="00C8683B" w:rsidRDefault="00C8683B" w:rsidP="00C8683B">
      <w:pPr>
        <w:tabs>
          <w:tab w:val="left" w:pos="0"/>
          <w:tab w:val="left" w:pos="5103"/>
        </w:tabs>
        <w:spacing w:after="0" w:line="240" w:lineRule="auto"/>
        <w:rPr>
          <w:rFonts w:asciiTheme="majorHAnsi" w:hAnsiTheme="majorHAnsi" w:cstheme="majorHAnsi"/>
          <w:sz w:val="20"/>
          <w:szCs w:val="20"/>
          <w:lang w:val="ro-RO"/>
        </w:rPr>
      </w:pPr>
      <w:r w:rsidRPr="00C8683B">
        <w:rPr>
          <w:rFonts w:asciiTheme="majorHAnsi" w:hAnsiTheme="majorHAnsi" w:cstheme="majorHAnsi"/>
          <w:b/>
          <w:i/>
          <w:sz w:val="20"/>
          <w:szCs w:val="20"/>
          <w:lang w:val="ro-RO"/>
        </w:rPr>
        <w:t xml:space="preserve"> Sursă: </w:t>
      </w:r>
      <w:r w:rsidR="00937B7B">
        <w:rPr>
          <w:rFonts w:asciiTheme="majorHAnsi" w:hAnsiTheme="majorHAnsi" w:cstheme="majorHAnsi"/>
          <w:sz w:val="20"/>
          <w:szCs w:val="20"/>
          <w:lang w:val="ro-RO"/>
        </w:rPr>
        <w:t>D</w:t>
      </w:r>
      <w:r w:rsidRPr="00C8683B">
        <w:rPr>
          <w:rFonts w:asciiTheme="majorHAnsi" w:hAnsiTheme="majorHAnsi" w:cstheme="majorHAnsi"/>
          <w:sz w:val="20"/>
          <w:szCs w:val="20"/>
          <w:lang w:val="ro-RO"/>
        </w:rPr>
        <w:t>atel</w:t>
      </w:r>
      <w:r w:rsidR="00937B7B">
        <w:rPr>
          <w:rFonts w:asciiTheme="majorHAnsi" w:hAnsiTheme="majorHAnsi" w:cstheme="majorHAnsi"/>
          <w:sz w:val="20"/>
          <w:szCs w:val="20"/>
          <w:lang w:val="ro-RO"/>
        </w:rPr>
        <w:t>e</w:t>
      </w:r>
      <w:r w:rsidRPr="00C8683B">
        <w:rPr>
          <w:rFonts w:asciiTheme="majorHAnsi" w:hAnsiTheme="majorHAnsi" w:cstheme="majorHAnsi"/>
          <w:b/>
          <w:i/>
          <w:sz w:val="20"/>
          <w:szCs w:val="20"/>
          <w:lang w:val="ro-RO"/>
        </w:rPr>
        <w:t xml:space="preserve"> </w:t>
      </w:r>
      <w:r w:rsidRPr="00C8683B">
        <w:rPr>
          <w:rFonts w:asciiTheme="majorHAnsi" w:hAnsiTheme="majorHAnsi" w:cstheme="majorHAnsi"/>
          <w:sz w:val="20"/>
          <w:szCs w:val="20"/>
          <w:lang w:val="ro-RO"/>
        </w:rPr>
        <w:t xml:space="preserve">Raportului privind executarea bugetului de stat pe anul 2018 și datelor BNS plasate  pe pagina </w:t>
      </w:r>
      <w:hyperlink r:id="rId20" w:history="1">
        <w:r w:rsidRPr="00C8683B">
          <w:rPr>
            <w:rFonts w:asciiTheme="majorHAnsi" w:hAnsiTheme="majorHAnsi" w:cstheme="majorHAnsi"/>
            <w:sz w:val="20"/>
            <w:szCs w:val="20"/>
            <w:u w:val="single"/>
            <w:lang w:val="ro-RO"/>
          </w:rPr>
          <w:t>www.statistica.md</w:t>
        </w:r>
      </w:hyperlink>
      <w:r w:rsidRPr="00C8683B">
        <w:rPr>
          <w:rFonts w:asciiTheme="majorHAnsi" w:hAnsiTheme="majorHAnsi" w:cstheme="majorHAnsi"/>
          <w:sz w:val="20"/>
          <w:szCs w:val="20"/>
          <w:lang w:val="ro-RO"/>
        </w:rPr>
        <w:t>.</w:t>
      </w:r>
    </w:p>
    <w:p w14:paraId="14931EF6" w14:textId="32CF4F38" w:rsidR="001360F9" w:rsidRDefault="00C8683B" w:rsidP="00C901F8">
      <w:pPr>
        <w:tabs>
          <w:tab w:val="left" w:pos="0"/>
          <w:tab w:val="left" w:pos="5103"/>
        </w:tabs>
        <w:spacing w:after="0" w:line="240" w:lineRule="auto"/>
        <w:ind w:hanging="142"/>
        <w:jc w:val="both"/>
        <w:rPr>
          <w:rFonts w:asciiTheme="majorHAnsi" w:hAnsiTheme="majorHAnsi" w:cstheme="majorHAnsi"/>
          <w:sz w:val="20"/>
          <w:szCs w:val="20"/>
          <w:lang w:val="ro-RO"/>
        </w:rPr>
      </w:pPr>
      <w:r w:rsidRPr="00C8683B">
        <w:rPr>
          <w:rFonts w:asciiTheme="majorHAnsi" w:hAnsiTheme="majorHAnsi" w:cstheme="majorHAnsi"/>
          <w:b/>
          <w:sz w:val="20"/>
          <w:szCs w:val="20"/>
          <w:lang w:val="ro-RO"/>
        </w:rPr>
        <w:t>Notă:</w:t>
      </w:r>
      <w:r w:rsidRPr="00C8683B">
        <w:rPr>
          <w:rFonts w:asciiTheme="majorHAnsi" w:hAnsiTheme="majorHAnsi" w:cstheme="majorHAnsi"/>
          <w:sz w:val="20"/>
          <w:szCs w:val="20"/>
          <w:lang w:val="ro-RO"/>
        </w:rPr>
        <w:t xml:space="preserve"> * Date operative, </w:t>
      </w:r>
      <w:r w:rsidRPr="008E6807">
        <w:rPr>
          <w:rFonts w:asciiTheme="majorHAnsi" w:hAnsiTheme="majorHAnsi"/>
          <w:color w:val="000000"/>
          <w:sz w:val="20"/>
          <w:shd w:val="clear" w:color="auto" w:fill="FCFDFD"/>
          <w:lang w:val="ro-RO"/>
        </w:rPr>
        <w:t>informația nu include operațiunile de export-import ale întreprinderilor și organizațiilor din partea stânga a Nistrului și mun. Bender.</w:t>
      </w:r>
      <w:r w:rsidRPr="00C8683B">
        <w:rPr>
          <w:rFonts w:asciiTheme="majorHAnsi" w:hAnsiTheme="majorHAnsi" w:cstheme="majorHAnsi"/>
          <w:sz w:val="20"/>
          <w:szCs w:val="20"/>
          <w:lang w:val="ro-RO"/>
        </w:rPr>
        <w:t xml:space="preserve"> </w:t>
      </w:r>
    </w:p>
    <w:p w14:paraId="561EF71A" w14:textId="77777777" w:rsidR="00C901F8" w:rsidRPr="00C901F8" w:rsidRDefault="00C901F8" w:rsidP="00C901F8">
      <w:pPr>
        <w:tabs>
          <w:tab w:val="left" w:pos="0"/>
          <w:tab w:val="left" w:pos="5103"/>
        </w:tabs>
        <w:spacing w:after="0" w:line="240" w:lineRule="auto"/>
        <w:ind w:hanging="142"/>
        <w:jc w:val="both"/>
        <w:rPr>
          <w:rFonts w:asciiTheme="majorHAnsi" w:hAnsiTheme="majorHAnsi" w:cstheme="majorHAnsi"/>
          <w:sz w:val="20"/>
          <w:szCs w:val="20"/>
          <w:lang w:val="ro-RO"/>
        </w:rPr>
      </w:pPr>
    </w:p>
    <w:p w14:paraId="6B17720C" w14:textId="77777777" w:rsidR="00EE138E" w:rsidRPr="004501BA" w:rsidRDefault="00EE138E" w:rsidP="00EE138E">
      <w:pPr>
        <w:tabs>
          <w:tab w:val="left" w:pos="2835"/>
          <w:tab w:val="left" w:pos="4536"/>
        </w:tabs>
        <w:spacing w:after="0"/>
        <w:rPr>
          <w:rFonts w:asciiTheme="majorHAnsi" w:hAnsiTheme="majorHAnsi" w:cstheme="majorHAnsi"/>
          <w:b/>
          <w:sz w:val="24"/>
          <w:szCs w:val="24"/>
          <w:lang w:val="ro-RO"/>
        </w:rPr>
      </w:pPr>
      <w:r w:rsidRPr="001360F9">
        <w:rPr>
          <w:rFonts w:asciiTheme="majorHAnsi" w:hAnsiTheme="majorHAnsi" w:cstheme="majorHAnsi"/>
          <w:b/>
          <w:sz w:val="28"/>
          <w:szCs w:val="28"/>
          <w:lang w:val="ro-RO"/>
        </w:rPr>
        <w:t xml:space="preserve">    </w:t>
      </w:r>
      <w:r w:rsidRPr="004501BA">
        <w:rPr>
          <w:rFonts w:asciiTheme="majorHAnsi" w:hAnsiTheme="majorHAnsi" w:cstheme="majorHAnsi"/>
          <w:b/>
          <w:sz w:val="24"/>
          <w:szCs w:val="24"/>
          <w:lang w:val="ro-RO"/>
        </w:rPr>
        <w:t>Tabelul nr.</w:t>
      </w:r>
      <w:r w:rsidR="001335EF" w:rsidRPr="004501BA">
        <w:rPr>
          <w:rFonts w:asciiTheme="majorHAnsi" w:hAnsiTheme="majorHAnsi" w:cstheme="majorHAnsi"/>
          <w:b/>
          <w:sz w:val="24"/>
          <w:szCs w:val="24"/>
          <w:lang w:val="ro-RO"/>
        </w:rPr>
        <w:t>3</w:t>
      </w:r>
      <w:r w:rsidRPr="004501BA">
        <w:rPr>
          <w:rFonts w:asciiTheme="majorHAnsi" w:hAnsiTheme="majorHAnsi" w:cstheme="majorHAnsi"/>
          <w:b/>
          <w:sz w:val="24"/>
          <w:szCs w:val="24"/>
          <w:lang w:val="ro-RO"/>
        </w:rPr>
        <w:t>. Structura dator</w:t>
      </w:r>
      <w:r w:rsidR="001360F9" w:rsidRPr="004501BA">
        <w:rPr>
          <w:rFonts w:asciiTheme="majorHAnsi" w:hAnsiTheme="majorHAnsi" w:cstheme="majorHAnsi"/>
          <w:b/>
          <w:sz w:val="24"/>
          <w:szCs w:val="24"/>
          <w:lang w:val="ro-RO"/>
        </w:rPr>
        <w:t>iei de stat interne în anii 2016-2018</w:t>
      </w:r>
      <w:r w:rsidRPr="004501BA">
        <w:rPr>
          <w:rFonts w:asciiTheme="majorHAnsi" w:hAnsiTheme="majorHAnsi" w:cstheme="majorHAnsi"/>
          <w:b/>
          <w:sz w:val="24"/>
          <w:szCs w:val="24"/>
          <w:lang w:val="ro-RO"/>
        </w:rPr>
        <w:t xml:space="preserve">, </w:t>
      </w:r>
      <w:proofErr w:type="spellStart"/>
      <w:r w:rsidRPr="004501BA">
        <w:rPr>
          <w:rFonts w:asciiTheme="majorHAnsi" w:hAnsiTheme="majorHAnsi" w:cstheme="majorHAnsi"/>
          <w:b/>
          <w:sz w:val="24"/>
          <w:szCs w:val="24"/>
          <w:lang w:val="ro-RO"/>
        </w:rPr>
        <w:t>mil.</w:t>
      </w:r>
      <w:r w:rsidR="00E124FF" w:rsidRPr="004501BA">
        <w:rPr>
          <w:rFonts w:asciiTheme="majorHAnsi" w:hAnsiTheme="majorHAnsi" w:cstheme="majorHAnsi"/>
          <w:b/>
          <w:sz w:val="24"/>
          <w:szCs w:val="24"/>
          <w:lang w:val="ro-RO"/>
        </w:rPr>
        <w:t>MDL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205"/>
        <w:gridCol w:w="874"/>
        <w:gridCol w:w="992"/>
        <w:gridCol w:w="874"/>
        <w:gridCol w:w="992"/>
        <w:gridCol w:w="1022"/>
        <w:gridCol w:w="874"/>
        <w:gridCol w:w="992"/>
        <w:gridCol w:w="1022"/>
      </w:tblGrid>
      <w:tr w:rsidR="00EE138E" w:rsidRPr="00C8683B" w14:paraId="21392F17" w14:textId="77777777" w:rsidTr="000871C3">
        <w:trPr>
          <w:jc w:val="center"/>
        </w:trPr>
        <w:tc>
          <w:tcPr>
            <w:tcW w:w="497" w:type="dxa"/>
            <w:shd w:val="clear" w:color="auto" w:fill="E7E6E6"/>
            <w:vAlign w:val="center"/>
          </w:tcPr>
          <w:p w14:paraId="7D7F166A" w14:textId="77777777" w:rsidR="00EE138E" w:rsidRPr="00C8683B" w:rsidRDefault="00EE138E" w:rsidP="005E02BD">
            <w:pPr>
              <w:pStyle w:val="a6"/>
              <w:jc w:val="center"/>
              <w:rPr>
                <w:rFonts w:asciiTheme="majorHAnsi" w:hAnsiTheme="majorHAnsi" w:cstheme="majorHAnsi"/>
                <w:b/>
                <w:sz w:val="20"/>
                <w:szCs w:val="20"/>
                <w:lang w:val="ro-RO"/>
              </w:rPr>
            </w:pPr>
            <w:r w:rsidRPr="00C8683B">
              <w:rPr>
                <w:rFonts w:asciiTheme="majorHAnsi" w:hAnsiTheme="majorHAnsi" w:cstheme="majorHAnsi"/>
                <w:b/>
                <w:sz w:val="20"/>
                <w:szCs w:val="20"/>
                <w:lang w:val="ro-RO"/>
              </w:rPr>
              <w:t>Nr. d/o</w:t>
            </w:r>
          </w:p>
        </w:tc>
        <w:tc>
          <w:tcPr>
            <w:tcW w:w="1205" w:type="dxa"/>
            <w:shd w:val="clear" w:color="auto" w:fill="E7E6E6"/>
            <w:vAlign w:val="center"/>
          </w:tcPr>
          <w:p w14:paraId="0F8BDB9E" w14:textId="77777777" w:rsidR="00EE138E" w:rsidRPr="00C8683B" w:rsidRDefault="00EE138E" w:rsidP="005E02BD">
            <w:pPr>
              <w:pStyle w:val="a6"/>
              <w:jc w:val="center"/>
              <w:rPr>
                <w:rFonts w:asciiTheme="majorHAnsi" w:hAnsiTheme="majorHAnsi" w:cstheme="majorHAnsi"/>
                <w:b/>
                <w:sz w:val="20"/>
                <w:szCs w:val="20"/>
                <w:lang w:val="ro-RO"/>
              </w:rPr>
            </w:pPr>
            <w:r w:rsidRPr="00C8683B">
              <w:rPr>
                <w:rFonts w:asciiTheme="majorHAnsi" w:hAnsiTheme="majorHAnsi" w:cstheme="majorHAnsi"/>
                <w:b/>
                <w:sz w:val="20"/>
                <w:szCs w:val="20"/>
                <w:lang w:val="ro-RO"/>
              </w:rPr>
              <w:t>Indicatorii</w:t>
            </w:r>
          </w:p>
        </w:tc>
        <w:tc>
          <w:tcPr>
            <w:tcW w:w="874" w:type="dxa"/>
            <w:shd w:val="clear" w:color="auto" w:fill="E7E6E6"/>
            <w:vAlign w:val="center"/>
          </w:tcPr>
          <w:p w14:paraId="037500AA" w14:textId="77777777" w:rsidR="00EE138E" w:rsidRPr="00C8683B" w:rsidRDefault="00CE2AD4" w:rsidP="005E02BD">
            <w:pPr>
              <w:pStyle w:val="a6"/>
              <w:jc w:val="center"/>
              <w:rPr>
                <w:rFonts w:asciiTheme="majorHAnsi" w:hAnsiTheme="majorHAnsi" w:cstheme="majorHAnsi"/>
                <w:b/>
                <w:sz w:val="20"/>
                <w:szCs w:val="20"/>
                <w:lang w:val="ro-RO"/>
              </w:rPr>
            </w:pPr>
            <w:r w:rsidRPr="00C8683B">
              <w:rPr>
                <w:rFonts w:asciiTheme="majorHAnsi" w:hAnsiTheme="majorHAnsi" w:cstheme="majorHAnsi"/>
                <w:b/>
                <w:sz w:val="20"/>
                <w:szCs w:val="20"/>
                <w:lang w:val="ro-RO"/>
              </w:rPr>
              <w:t>2016</w:t>
            </w:r>
          </w:p>
        </w:tc>
        <w:tc>
          <w:tcPr>
            <w:tcW w:w="992" w:type="dxa"/>
            <w:shd w:val="clear" w:color="auto" w:fill="E7E6E6"/>
            <w:vAlign w:val="center"/>
          </w:tcPr>
          <w:p w14:paraId="3AA71914" w14:textId="77777777" w:rsidR="00EE138E" w:rsidRPr="00C8683B" w:rsidRDefault="00EE138E" w:rsidP="005E02BD">
            <w:pPr>
              <w:pStyle w:val="a6"/>
              <w:jc w:val="center"/>
              <w:rPr>
                <w:rFonts w:asciiTheme="majorHAnsi" w:hAnsiTheme="majorHAnsi" w:cstheme="majorHAnsi"/>
                <w:b/>
                <w:sz w:val="20"/>
                <w:szCs w:val="20"/>
                <w:lang w:val="ro-RO"/>
              </w:rPr>
            </w:pPr>
            <w:r w:rsidRPr="00C8683B">
              <w:rPr>
                <w:rFonts w:asciiTheme="majorHAnsi" w:hAnsiTheme="majorHAnsi" w:cstheme="majorHAnsi"/>
                <w:b/>
                <w:sz w:val="20"/>
                <w:szCs w:val="20"/>
                <w:lang w:val="ro-RO"/>
              </w:rPr>
              <w:t>Ponderea în totalul datoriei de stat interne, %</w:t>
            </w:r>
          </w:p>
        </w:tc>
        <w:tc>
          <w:tcPr>
            <w:tcW w:w="874" w:type="dxa"/>
            <w:shd w:val="clear" w:color="auto" w:fill="E7E6E6"/>
            <w:vAlign w:val="center"/>
          </w:tcPr>
          <w:p w14:paraId="3779EB42" w14:textId="77777777" w:rsidR="00EE138E" w:rsidRPr="008E6807" w:rsidRDefault="00CE2AD4" w:rsidP="005E02BD">
            <w:pPr>
              <w:pStyle w:val="a6"/>
              <w:jc w:val="center"/>
              <w:rPr>
                <w:rFonts w:asciiTheme="majorHAnsi" w:hAnsiTheme="majorHAnsi"/>
                <w:b/>
                <w:sz w:val="20"/>
                <w:lang w:val="ro-RO"/>
              </w:rPr>
            </w:pPr>
            <w:r w:rsidRPr="00C8683B">
              <w:rPr>
                <w:rFonts w:asciiTheme="majorHAnsi" w:hAnsiTheme="majorHAnsi" w:cstheme="majorHAnsi"/>
                <w:b/>
                <w:sz w:val="20"/>
                <w:szCs w:val="20"/>
                <w:lang w:val="ro-RO"/>
              </w:rPr>
              <w:t>2017</w:t>
            </w:r>
          </w:p>
        </w:tc>
        <w:tc>
          <w:tcPr>
            <w:tcW w:w="992" w:type="dxa"/>
            <w:shd w:val="clear" w:color="auto" w:fill="E7E6E6"/>
            <w:vAlign w:val="center"/>
          </w:tcPr>
          <w:p w14:paraId="5B431865" w14:textId="77777777" w:rsidR="00EE138E" w:rsidRPr="00C8683B" w:rsidRDefault="00EE138E" w:rsidP="005E02BD">
            <w:pPr>
              <w:pStyle w:val="a6"/>
              <w:jc w:val="center"/>
              <w:rPr>
                <w:rFonts w:asciiTheme="majorHAnsi" w:hAnsiTheme="majorHAnsi" w:cstheme="majorHAnsi"/>
                <w:b/>
                <w:sz w:val="20"/>
                <w:szCs w:val="20"/>
                <w:lang w:val="ro-RO"/>
              </w:rPr>
            </w:pPr>
            <w:r w:rsidRPr="00C8683B">
              <w:rPr>
                <w:rFonts w:asciiTheme="majorHAnsi" w:hAnsiTheme="majorHAnsi" w:cstheme="majorHAnsi"/>
                <w:b/>
                <w:sz w:val="20"/>
                <w:szCs w:val="20"/>
                <w:lang w:val="ro-RO"/>
              </w:rPr>
              <w:t>Ponderea în totalul datoriei de stat interne, %</w:t>
            </w:r>
          </w:p>
        </w:tc>
        <w:tc>
          <w:tcPr>
            <w:tcW w:w="1022" w:type="dxa"/>
            <w:shd w:val="clear" w:color="auto" w:fill="E7E6E6"/>
            <w:vAlign w:val="center"/>
          </w:tcPr>
          <w:p w14:paraId="380BB73B" w14:textId="7DA15096" w:rsidR="00EE138E" w:rsidRPr="00C8683B" w:rsidRDefault="00EE138E" w:rsidP="005E02BD">
            <w:pPr>
              <w:pStyle w:val="a6"/>
              <w:jc w:val="center"/>
              <w:rPr>
                <w:rFonts w:asciiTheme="majorHAnsi" w:hAnsiTheme="majorHAnsi" w:cstheme="majorHAnsi"/>
                <w:b/>
                <w:sz w:val="20"/>
                <w:szCs w:val="20"/>
                <w:lang w:val="ro-RO"/>
              </w:rPr>
            </w:pPr>
            <w:r w:rsidRPr="00C8683B">
              <w:rPr>
                <w:rFonts w:asciiTheme="majorHAnsi" w:hAnsiTheme="majorHAnsi" w:cstheme="majorHAnsi"/>
                <w:b/>
                <w:sz w:val="20"/>
                <w:szCs w:val="20"/>
                <w:lang w:val="ro-RO"/>
              </w:rPr>
              <w:t>Diferența, anul 201</w:t>
            </w:r>
            <w:r w:rsidR="007C00E5">
              <w:rPr>
                <w:rFonts w:asciiTheme="majorHAnsi" w:hAnsiTheme="majorHAnsi" w:cstheme="majorHAnsi"/>
                <w:b/>
                <w:sz w:val="20"/>
                <w:szCs w:val="20"/>
                <w:lang w:val="ro-RO"/>
              </w:rPr>
              <w:t>7</w:t>
            </w:r>
            <w:r w:rsidRPr="00C8683B">
              <w:rPr>
                <w:rFonts w:asciiTheme="majorHAnsi" w:hAnsiTheme="majorHAnsi" w:cstheme="majorHAnsi"/>
                <w:b/>
                <w:sz w:val="20"/>
                <w:szCs w:val="20"/>
                <w:lang w:val="ro-RO"/>
              </w:rPr>
              <w:t xml:space="preserve"> față de anul 201</w:t>
            </w:r>
            <w:r w:rsidR="007C00E5">
              <w:rPr>
                <w:rFonts w:asciiTheme="majorHAnsi" w:hAnsiTheme="majorHAnsi" w:cstheme="majorHAnsi"/>
                <w:b/>
                <w:sz w:val="20"/>
                <w:szCs w:val="20"/>
                <w:lang w:val="ro-RO"/>
              </w:rPr>
              <w:t>6</w:t>
            </w:r>
          </w:p>
        </w:tc>
        <w:tc>
          <w:tcPr>
            <w:tcW w:w="874" w:type="dxa"/>
            <w:shd w:val="clear" w:color="auto" w:fill="E7E6E6"/>
          </w:tcPr>
          <w:p w14:paraId="3481126C" w14:textId="77777777" w:rsidR="00EE138E" w:rsidRPr="00C8683B" w:rsidRDefault="00EE138E" w:rsidP="005E02BD">
            <w:pPr>
              <w:pStyle w:val="a6"/>
              <w:jc w:val="center"/>
              <w:rPr>
                <w:rFonts w:asciiTheme="majorHAnsi" w:hAnsiTheme="majorHAnsi" w:cstheme="majorHAnsi"/>
                <w:b/>
                <w:sz w:val="20"/>
                <w:szCs w:val="20"/>
                <w:lang w:val="ro-RO"/>
              </w:rPr>
            </w:pPr>
          </w:p>
          <w:p w14:paraId="56AC97B8" w14:textId="77777777" w:rsidR="00EE138E" w:rsidRPr="00C8683B" w:rsidRDefault="00EE138E" w:rsidP="005E02BD">
            <w:pPr>
              <w:pStyle w:val="a6"/>
              <w:jc w:val="center"/>
              <w:rPr>
                <w:rFonts w:asciiTheme="majorHAnsi" w:hAnsiTheme="majorHAnsi" w:cstheme="majorHAnsi"/>
                <w:b/>
                <w:sz w:val="20"/>
                <w:szCs w:val="20"/>
                <w:lang w:val="ro-RO"/>
              </w:rPr>
            </w:pPr>
          </w:p>
          <w:p w14:paraId="3645498F" w14:textId="77777777" w:rsidR="00EE138E" w:rsidRPr="00C8683B" w:rsidRDefault="009F2507" w:rsidP="005E02BD">
            <w:pPr>
              <w:pStyle w:val="a6"/>
              <w:rPr>
                <w:rFonts w:asciiTheme="majorHAnsi" w:hAnsiTheme="majorHAnsi" w:cstheme="majorHAnsi"/>
                <w:b/>
                <w:sz w:val="20"/>
                <w:szCs w:val="20"/>
                <w:lang w:val="ro-RO"/>
              </w:rPr>
            </w:pPr>
            <w:r w:rsidRPr="00C8683B">
              <w:rPr>
                <w:rFonts w:asciiTheme="majorHAnsi" w:hAnsiTheme="majorHAnsi" w:cstheme="majorHAnsi"/>
                <w:b/>
                <w:sz w:val="20"/>
                <w:szCs w:val="20"/>
                <w:lang w:val="ro-RO"/>
              </w:rPr>
              <w:t>2018</w:t>
            </w:r>
          </w:p>
        </w:tc>
        <w:tc>
          <w:tcPr>
            <w:tcW w:w="992" w:type="dxa"/>
            <w:shd w:val="clear" w:color="auto" w:fill="E7E6E6"/>
          </w:tcPr>
          <w:p w14:paraId="1B23B304" w14:textId="77777777" w:rsidR="00EE138E" w:rsidRPr="00C8683B" w:rsidRDefault="00EE138E" w:rsidP="005E02BD">
            <w:pPr>
              <w:pStyle w:val="a6"/>
              <w:jc w:val="center"/>
              <w:rPr>
                <w:rFonts w:asciiTheme="majorHAnsi" w:hAnsiTheme="majorHAnsi" w:cstheme="majorHAnsi"/>
                <w:b/>
                <w:sz w:val="20"/>
                <w:szCs w:val="20"/>
                <w:lang w:val="ro-RO"/>
              </w:rPr>
            </w:pPr>
            <w:r w:rsidRPr="00C8683B">
              <w:rPr>
                <w:rFonts w:asciiTheme="majorHAnsi" w:hAnsiTheme="majorHAnsi" w:cstheme="majorHAnsi"/>
                <w:b/>
                <w:sz w:val="20"/>
                <w:szCs w:val="20"/>
                <w:lang w:val="ro-RO"/>
              </w:rPr>
              <w:t>Ponderea în totalul datoriei de stat interne, %</w:t>
            </w:r>
          </w:p>
        </w:tc>
        <w:tc>
          <w:tcPr>
            <w:tcW w:w="1022" w:type="dxa"/>
            <w:tcBorders>
              <w:bottom w:val="single" w:sz="4" w:space="0" w:color="auto"/>
            </w:tcBorders>
            <w:shd w:val="clear" w:color="auto" w:fill="E7E6E6"/>
          </w:tcPr>
          <w:p w14:paraId="43975F8B" w14:textId="77777777" w:rsidR="00EE138E" w:rsidRPr="00C8683B" w:rsidRDefault="009F2507" w:rsidP="005E02BD">
            <w:pPr>
              <w:pStyle w:val="a6"/>
              <w:rPr>
                <w:rFonts w:asciiTheme="majorHAnsi" w:hAnsiTheme="majorHAnsi" w:cstheme="majorHAnsi"/>
                <w:b/>
                <w:sz w:val="20"/>
                <w:szCs w:val="20"/>
                <w:lang w:val="ro-RO"/>
              </w:rPr>
            </w:pPr>
            <w:r w:rsidRPr="00C8683B">
              <w:rPr>
                <w:rFonts w:asciiTheme="majorHAnsi" w:hAnsiTheme="majorHAnsi" w:cstheme="majorHAnsi"/>
                <w:b/>
                <w:sz w:val="20"/>
                <w:szCs w:val="20"/>
                <w:lang w:val="ro-RO"/>
              </w:rPr>
              <w:t>Diferența, anul 2018 față de anul 2017</w:t>
            </w:r>
          </w:p>
        </w:tc>
      </w:tr>
      <w:tr w:rsidR="009F2507" w:rsidRPr="00C8683B" w14:paraId="17C0DDBE" w14:textId="77777777" w:rsidTr="000871C3">
        <w:trPr>
          <w:trHeight w:val="732"/>
          <w:jc w:val="center"/>
        </w:trPr>
        <w:tc>
          <w:tcPr>
            <w:tcW w:w="497" w:type="dxa"/>
          </w:tcPr>
          <w:p w14:paraId="29D045CC" w14:textId="77777777" w:rsidR="009F2507" w:rsidRPr="00C8683B" w:rsidRDefault="009F2507" w:rsidP="009F2507">
            <w:pPr>
              <w:pStyle w:val="a6"/>
              <w:rPr>
                <w:rFonts w:asciiTheme="majorHAnsi" w:hAnsiTheme="majorHAnsi" w:cstheme="majorHAnsi"/>
                <w:sz w:val="20"/>
                <w:szCs w:val="20"/>
                <w:lang w:val="ro-RO"/>
              </w:rPr>
            </w:pPr>
          </w:p>
        </w:tc>
        <w:tc>
          <w:tcPr>
            <w:tcW w:w="1205" w:type="dxa"/>
            <w:vAlign w:val="center"/>
          </w:tcPr>
          <w:p w14:paraId="36125EAE" w14:textId="77777777" w:rsidR="009F2507" w:rsidRPr="00C8683B" w:rsidRDefault="009F2507" w:rsidP="009F2507">
            <w:pPr>
              <w:pStyle w:val="a6"/>
              <w:rPr>
                <w:rFonts w:asciiTheme="majorHAnsi" w:hAnsiTheme="majorHAnsi" w:cstheme="majorHAnsi"/>
                <w:b/>
                <w:sz w:val="20"/>
                <w:szCs w:val="20"/>
                <w:lang w:val="ro-RO"/>
              </w:rPr>
            </w:pPr>
            <w:r w:rsidRPr="00C8683B">
              <w:rPr>
                <w:rFonts w:asciiTheme="majorHAnsi" w:hAnsiTheme="majorHAnsi" w:cstheme="majorHAnsi"/>
                <w:b/>
                <w:sz w:val="20"/>
                <w:szCs w:val="20"/>
                <w:lang w:val="ro-RO"/>
              </w:rPr>
              <w:t>Total, datoria de stat internă</w:t>
            </w:r>
          </w:p>
        </w:tc>
        <w:tc>
          <w:tcPr>
            <w:tcW w:w="874" w:type="dxa"/>
            <w:vAlign w:val="center"/>
          </w:tcPr>
          <w:p w14:paraId="79C6FC32" w14:textId="77777777" w:rsidR="009F2507" w:rsidRPr="00C8683B" w:rsidRDefault="009F2507" w:rsidP="00FC5028">
            <w:pPr>
              <w:pStyle w:val="a6"/>
              <w:jc w:val="center"/>
              <w:rPr>
                <w:rFonts w:asciiTheme="majorHAnsi" w:hAnsiTheme="majorHAnsi" w:cstheme="majorHAnsi"/>
                <w:b/>
                <w:sz w:val="20"/>
                <w:szCs w:val="20"/>
                <w:lang w:val="ro-RO"/>
              </w:rPr>
            </w:pPr>
            <w:r w:rsidRPr="00C8683B">
              <w:rPr>
                <w:rFonts w:asciiTheme="majorHAnsi" w:hAnsiTheme="majorHAnsi" w:cstheme="majorHAnsi"/>
                <w:b/>
                <w:sz w:val="20"/>
                <w:szCs w:val="20"/>
                <w:lang w:val="ro-RO"/>
              </w:rPr>
              <w:t>21519,6</w:t>
            </w:r>
          </w:p>
        </w:tc>
        <w:tc>
          <w:tcPr>
            <w:tcW w:w="992" w:type="dxa"/>
            <w:vAlign w:val="center"/>
          </w:tcPr>
          <w:p w14:paraId="61C5F2D6" w14:textId="77777777" w:rsidR="009F2507" w:rsidRPr="00C8683B" w:rsidRDefault="009F2507" w:rsidP="00FC5028">
            <w:pPr>
              <w:pStyle w:val="a6"/>
              <w:jc w:val="center"/>
              <w:rPr>
                <w:rFonts w:asciiTheme="majorHAnsi" w:hAnsiTheme="majorHAnsi" w:cstheme="majorHAnsi"/>
                <w:b/>
                <w:sz w:val="20"/>
                <w:szCs w:val="20"/>
                <w:lang w:val="ro-RO"/>
              </w:rPr>
            </w:pPr>
            <w:r w:rsidRPr="00C8683B">
              <w:rPr>
                <w:rFonts w:asciiTheme="majorHAnsi" w:hAnsiTheme="majorHAnsi" w:cstheme="majorHAnsi"/>
                <w:b/>
                <w:sz w:val="20"/>
                <w:szCs w:val="20"/>
                <w:lang w:val="ro-RO"/>
              </w:rPr>
              <w:t>100</w:t>
            </w:r>
          </w:p>
        </w:tc>
        <w:tc>
          <w:tcPr>
            <w:tcW w:w="874" w:type="dxa"/>
            <w:vAlign w:val="center"/>
          </w:tcPr>
          <w:p w14:paraId="0201F282" w14:textId="77777777" w:rsidR="009F2507" w:rsidRPr="00C8683B" w:rsidRDefault="009F2507" w:rsidP="00FC5028">
            <w:pPr>
              <w:pStyle w:val="a6"/>
              <w:jc w:val="center"/>
              <w:rPr>
                <w:rFonts w:asciiTheme="majorHAnsi" w:hAnsiTheme="majorHAnsi" w:cstheme="majorHAnsi"/>
                <w:b/>
                <w:sz w:val="20"/>
                <w:szCs w:val="20"/>
                <w:lang w:val="ro-RO"/>
              </w:rPr>
            </w:pPr>
            <w:r w:rsidRPr="00C8683B">
              <w:rPr>
                <w:rFonts w:asciiTheme="majorHAnsi" w:hAnsiTheme="majorHAnsi" w:cstheme="majorHAnsi"/>
                <w:b/>
                <w:sz w:val="20"/>
                <w:szCs w:val="20"/>
                <w:lang w:val="ro-RO"/>
              </w:rPr>
              <w:t>22578,5</w:t>
            </w:r>
          </w:p>
        </w:tc>
        <w:tc>
          <w:tcPr>
            <w:tcW w:w="992" w:type="dxa"/>
            <w:vAlign w:val="center"/>
          </w:tcPr>
          <w:p w14:paraId="1FC114E2" w14:textId="77777777" w:rsidR="009F2507" w:rsidRPr="00C8683B" w:rsidRDefault="009F2507" w:rsidP="00FC5028">
            <w:pPr>
              <w:pStyle w:val="a6"/>
              <w:jc w:val="center"/>
              <w:rPr>
                <w:rFonts w:asciiTheme="majorHAnsi" w:hAnsiTheme="majorHAnsi" w:cstheme="majorHAnsi"/>
                <w:b/>
                <w:sz w:val="20"/>
                <w:szCs w:val="20"/>
                <w:lang w:val="ro-RO"/>
              </w:rPr>
            </w:pPr>
            <w:r w:rsidRPr="00C8683B">
              <w:rPr>
                <w:rFonts w:asciiTheme="majorHAnsi" w:hAnsiTheme="majorHAnsi" w:cstheme="majorHAnsi"/>
                <w:b/>
                <w:sz w:val="20"/>
                <w:szCs w:val="20"/>
                <w:lang w:val="ro-RO"/>
              </w:rPr>
              <w:t>100</w:t>
            </w:r>
          </w:p>
        </w:tc>
        <w:tc>
          <w:tcPr>
            <w:tcW w:w="1022" w:type="dxa"/>
            <w:vAlign w:val="center"/>
          </w:tcPr>
          <w:p w14:paraId="4D4AE9A9" w14:textId="77777777" w:rsidR="009F2507" w:rsidRPr="00C8683B" w:rsidRDefault="009F2507" w:rsidP="00FC5028">
            <w:pPr>
              <w:pStyle w:val="a6"/>
              <w:jc w:val="center"/>
              <w:rPr>
                <w:rFonts w:asciiTheme="majorHAnsi" w:hAnsiTheme="majorHAnsi" w:cstheme="majorHAnsi"/>
                <w:b/>
                <w:sz w:val="20"/>
                <w:szCs w:val="20"/>
                <w:lang w:val="ro-RO"/>
              </w:rPr>
            </w:pPr>
            <w:r w:rsidRPr="00C8683B">
              <w:rPr>
                <w:rFonts w:asciiTheme="majorHAnsi" w:hAnsiTheme="majorHAnsi" w:cstheme="majorHAnsi"/>
                <w:b/>
                <w:bCs/>
                <w:color w:val="000000"/>
                <w:sz w:val="20"/>
                <w:szCs w:val="20"/>
                <w:lang w:val="ro-RO"/>
              </w:rPr>
              <w:t>1058,9</w:t>
            </w:r>
          </w:p>
        </w:tc>
        <w:tc>
          <w:tcPr>
            <w:tcW w:w="874" w:type="dxa"/>
            <w:vAlign w:val="center"/>
          </w:tcPr>
          <w:p w14:paraId="4DF2D4C8" w14:textId="77777777" w:rsidR="009F2507" w:rsidRPr="00C8683B" w:rsidRDefault="009F2507" w:rsidP="00FC5028">
            <w:pPr>
              <w:pStyle w:val="a6"/>
              <w:jc w:val="center"/>
              <w:rPr>
                <w:rFonts w:asciiTheme="majorHAnsi" w:hAnsiTheme="majorHAnsi" w:cstheme="majorHAnsi"/>
                <w:b/>
                <w:sz w:val="20"/>
                <w:szCs w:val="20"/>
                <w:lang w:val="ro-RO"/>
              </w:rPr>
            </w:pPr>
            <w:r w:rsidRPr="00C8683B">
              <w:rPr>
                <w:rFonts w:asciiTheme="majorHAnsi" w:hAnsiTheme="majorHAnsi" w:cstheme="majorHAnsi"/>
                <w:b/>
                <w:sz w:val="20"/>
                <w:szCs w:val="20"/>
                <w:lang w:val="ro-RO"/>
              </w:rPr>
              <w:t>23058,6</w:t>
            </w:r>
          </w:p>
        </w:tc>
        <w:tc>
          <w:tcPr>
            <w:tcW w:w="992" w:type="dxa"/>
            <w:vAlign w:val="center"/>
          </w:tcPr>
          <w:p w14:paraId="77D9D512" w14:textId="77777777" w:rsidR="009F2507" w:rsidRPr="00C8683B" w:rsidRDefault="00202406" w:rsidP="00FC5028">
            <w:pPr>
              <w:pStyle w:val="a6"/>
              <w:jc w:val="center"/>
              <w:rPr>
                <w:rFonts w:asciiTheme="majorHAnsi" w:hAnsiTheme="majorHAnsi" w:cstheme="majorHAnsi"/>
                <w:b/>
                <w:sz w:val="20"/>
                <w:szCs w:val="20"/>
                <w:lang w:val="ro-RO"/>
              </w:rPr>
            </w:pPr>
            <w:r w:rsidRPr="00C8683B">
              <w:rPr>
                <w:rFonts w:asciiTheme="majorHAnsi" w:hAnsiTheme="majorHAnsi" w:cstheme="majorHAnsi"/>
                <w:b/>
                <w:sz w:val="20"/>
                <w:szCs w:val="20"/>
                <w:lang w:val="ro-RO"/>
              </w:rPr>
              <w:t>100</w:t>
            </w:r>
          </w:p>
        </w:tc>
        <w:tc>
          <w:tcPr>
            <w:tcW w:w="0" w:type="auto"/>
            <w:vAlign w:val="center"/>
          </w:tcPr>
          <w:p w14:paraId="7ACFFA43" w14:textId="77777777" w:rsidR="009F2507" w:rsidRPr="00C8683B" w:rsidRDefault="006F47FC" w:rsidP="000871C3">
            <w:pPr>
              <w:jc w:val="center"/>
              <w:rPr>
                <w:rFonts w:asciiTheme="majorHAnsi" w:hAnsiTheme="majorHAnsi" w:cstheme="majorHAnsi"/>
                <w:b/>
                <w:bCs/>
                <w:color w:val="000000"/>
                <w:sz w:val="20"/>
                <w:szCs w:val="20"/>
                <w:lang w:val="ro-RO"/>
              </w:rPr>
            </w:pPr>
            <w:r w:rsidRPr="00C8683B">
              <w:rPr>
                <w:rFonts w:asciiTheme="majorHAnsi" w:hAnsiTheme="majorHAnsi" w:cstheme="majorHAnsi"/>
                <w:b/>
                <w:bCs/>
                <w:color w:val="000000"/>
                <w:sz w:val="20"/>
                <w:szCs w:val="20"/>
                <w:lang w:val="ro-RO"/>
              </w:rPr>
              <w:t>480,1</w:t>
            </w:r>
          </w:p>
        </w:tc>
      </w:tr>
      <w:tr w:rsidR="009F2507" w:rsidRPr="00C8683B" w14:paraId="66DA8F73" w14:textId="77777777" w:rsidTr="00CE2AD4">
        <w:trPr>
          <w:jc w:val="center"/>
        </w:trPr>
        <w:tc>
          <w:tcPr>
            <w:tcW w:w="497" w:type="dxa"/>
          </w:tcPr>
          <w:p w14:paraId="5D07902C" w14:textId="77777777" w:rsidR="009F2507" w:rsidRPr="00C8683B" w:rsidRDefault="009F2507" w:rsidP="009F2507">
            <w:pPr>
              <w:pStyle w:val="a6"/>
              <w:rPr>
                <w:rFonts w:asciiTheme="majorHAnsi" w:hAnsiTheme="majorHAnsi" w:cstheme="majorHAnsi"/>
                <w:b/>
                <w:sz w:val="20"/>
                <w:szCs w:val="20"/>
                <w:lang w:val="ro-RO"/>
              </w:rPr>
            </w:pPr>
            <w:r w:rsidRPr="00C8683B">
              <w:rPr>
                <w:rFonts w:asciiTheme="majorHAnsi" w:hAnsiTheme="majorHAnsi" w:cstheme="majorHAnsi"/>
                <w:b/>
                <w:sz w:val="20"/>
                <w:szCs w:val="20"/>
                <w:lang w:val="ro-RO"/>
              </w:rPr>
              <w:t>1.</w:t>
            </w:r>
          </w:p>
        </w:tc>
        <w:tc>
          <w:tcPr>
            <w:tcW w:w="8847" w:type="dxa"/>
            <w:gridSpan w:val="9"/>
            <w:vAlign w:val="center"/>
          </w:tcPr>
          <w:p w14:paraId="0632D323" w14:textId="77777777" w:rsidR="009F2507" w:rsidRPr="00C8683B" w:rsidRDefault="009F2507" w:rsidP="009F2507">
            <w:pPr>
              <w:pStyle w:val="a6"/>
              <w:jc w:val="center"/>
              <w:rPr>
                <w:rFonts w:asciiTheme="majorHAnsi" w:hAnsiTheme="majorHAnsi" w:cstheme="majorHAnsi"/>
                <w:b/>
                <w:sz w:val="20"/>
                <w:szCs w:val="20"/>
                <w:lang w:val="ro-RO"/>
              </w:rPr>
            </w:pPr>
            <w:r w:rsidRPr="00C8683B">
              <w:rPr>
                <w:rFonts w:asciiTheme="majorHAnsi" w:hAnsiTheme="majorHAnsi" w:cstheme="majorHAnsi"/>
                <w:b/>
                <w:sz w:val="20"/>
                <w:szCs w:val="20"/>
                <w:lang w:val="ro-RO"/>
              </w:rPr>
              <w:t>După tipul de instrumente</w:t>
            </w:r>
          </w:p>
        </w:tc>
      </w:tr>
      <w:tr w:rsidR="009F2507" w:rsidRPr="00C8683B" w14:paraId="58D2328A" w14:textId="77777777" w:rsidTr="00CE2AD4">
        <w:trPr>
          <w:trHeight w:val="425"/>
          <w:jc w:val="center"/>
        </w:trPr>
        <w:tc>
          <w:tcPr>
            <w:tcW w:w="497" w:type="dxa"/>
          </w:tcPr>
          <w:p w14:paraId="69BE0F48" w14:textId="77777777" w:rsidR="009F2507" w:rsidRPr="00C8683B" w:rsidRDefault="009F2507" w:rsidP="009F2507">
            <w:pPr>
              <w:pStyle w:val="a6"/>
              <w:rPr>
                <w:rFonts w:asciiTheme="majorHAnsi" w:hAnsiTheme="majorHAnsi" w:cstheme="majorHAnsi"/>
                <w:b/>
                <w:sz w:val="20"/>
                <w:szCs w:val="20"/>
                <w:lang w:val="ro-RO"/>
              </w:rPr>
            </w:pPr>
          </w:p>
        </w:tc>
        <w:tc>
          <w:tcPr>
            <w:tcW w:w="1205" w:type="dxa"/>
            <w:vAlign w:val="center"/>
          </w:tcPr>
          <w:p w14:paraId="3B5D3B90" w14:textId="77777777" w:rsidR="009F2507" w:rsidRPr="00C8683B" w:rsidRDefault="009F2507" w:rsidP="009F2507">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VMS emise pe piața primară</w:t>
            </w:r>
          </w:p>
        </w:tc>
        <w:tc>
          <w:tcPr>
            <w:tcW w:w="874" w:type="dxa"/>
            <w:vAlign w:val="center"/>
          </w:tcPr>
          <w:p w14:paraId="02C2C734"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6115,0</w:t>
            </w:r>
          </w:p>
        </w:tc>
        <w:tc>
          <w:tcPr>
            <w:tcW w:w="992" w:type="dxa"/>
            <w:vAlign w:val="center"/>
          </w:tcPr>
          <w:p w14:paraId="0560B8BC"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28,4</w:t>
            </w:r>
          </w:p>
        </w:tc>
        <w:tc>
          <w:tcPr>
            <w:tcW w:w="874" w:type="dxa"/>
            <w:vAlign w:val="center"/>
          </w:tcPr>
          <w:p w14:paraId="6A9BC988"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7223,9</w:t>
            </w:r>
          </w:p>
        </w:tc>
        <w:tc>
          <w:tcPr>
            <w:tcW w:w="992" w:type="dxa"/>
            <w:vAlign w:val="center"/>
          </w:tcPr>
          <w:p w14:paraId="758F50F1" w14:textId="77777777" w:rsidR="009F2507" w:rsidRPr="008E6807" w:rsidRDefault="009F2507" w:rsidP="009F2507">
            <w:pPr>
              <w:jc w:val="center"/>
              <w:rPr>
                <w:rFonts w:asciiTheme="majorHAnsi" w:hAnsiTheme="majorHAnsi"/>
                <w:color w:val="000000"/>
                <w:sz w:val="20"/>
                <w:lang w:val="ro-RO"/>
              </w:rPr>
            </w:pPr>
            <w:r w:rsidRPr="00C8683B">
              <w:rPr>
                <w:rFonts w:asciiTheme="majorHAnsi" w:hAnsiTheme="majorHAnsi" w:cstheme="majorHAnsi"/>
                <w:color w:val="000000"/>
                <w:sz w:val="20"/>
                <w:szCs w:val="20"/>
                <w:lang w:val="ro-RO"/>
              </w:rPr>
              <w:t>32,0</w:t>
            </w:r>
          </w:p>
        </w:tc>
        <w:tc>
          <w:tcPr>
            <w:tcW w:w="1022" w:type="dxa"/>
            <w:vAlign w:val="center"/>
          </w:tcPr>
          <w:p w14:paraId="162129B6" w14:textId="77777777" w:rsidR="009F2507" w:rsidRPr="008E6807" w:rsidRDefault="009F2507" w:rsidP="009F2507">
            <w:pPr>
              <w:jc w:val="center"/>
              <w:rPr>
                <w:rFonts w:asciiTheme="majorHAnsi" w:hAnsiTheme="majorHAnsi"/>
                <w:color w:val="000000"/>
                <w:sz w:val="20"/>
                <w:lang w:val="ro-RO"/>
              </w:rPr>
            </w:pPr>
            <w:r w:rsidRPr="00C8683B">
              <w:rPr>
                <w:rFonts w:asciiTheme="majorHAnsi" w:hAnsiTheme="majorHAnsi" w:cstheme="majorHAnsi"/>
                <w:color w:val="000000"/>
                <w:sz w:val="20"/>
                <w:szCs w:val="20"/>
                <w:lang w:val="ro-RO"/>
              </w:rPr>
              <w:t>1108,9</w:t>
            </w:r>
          </w:p>
        </w:tc>
        <w:tc>
          <w:tcPr>
            <w:tcW w:w="874" w:type="dxa"/>
            <w:vAlign w:val="center"/>
          </w:tcPr>
          <w:p w14:paraId="1149DDD9"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7914,0</w:t>
            </w:r>
          </w:p>
        </w:tc>
        <w:tc>
          <w:tcPr>
            <w:tcW w:w="992" w:type="dxa"/>
            <w:vAlign w:val="center"/>
          </w:tcPr>
          <w:p w14:paraId="59D0802F" w14:textId="77777777" w:rsidR="009F2507" w:rsidRPr="008E6807" w:rsidRDefault="00202406" w:rsidP="009F2507">
            <w:pPr>
              <w:jc w:val="center"/>
              <w:rPr>
                <w:rFonts w:asciiTheme="majorHAnsi" w:hAnsiTheme="majorHAnsi"/>
                <w:color w:val="000000"/>
                <w:sz w:val="20"/>
                <w:lang w:val="ro-RO"/>
              </w:rPr>
            </w:pPr>
            <w:r w:rsidRPr="008E6807">
              <w:rPr>
                <w:rFonts w:asciiTheme="majorHAnsi" w:hAnsiTheme="majorHAnsi"/>
                <w:color w:val="000000"/>
                <w:sz w:val="20"/>
                <w:lang w:val="ro-RO"/>
              </w:rPr>
              <w:t>34,3</w:t>
            </w:r>
          </w:p>
        </w:tc>
        <w:tc>
          <w:tcPr>
            <w:tcW w:w="1022" w:type="dxa"/>
            <w:vAlign w:val="center"/>
          </w:tcPr>
          <w:p w14:paraId="2ED26750" w14:textId="77777777" w:rsidR="009F2507" w:rsidRPr="008E6807" w:rsidRDefault="00DA2256" w:rsidP="009F2507">
            <w:pPr>
              <w:jc w:val="center"/>
              <w:rPr>
                <w:rFonts w:asciiTheme="majorHAnsi" w:hAnsiTheme="majorHAnsi"/>
                <w:color w:val="000000"/>
                <w:sz w:val="20"/>
                <w:lang w:val="ro-RO"/>
              </w:rPr>
            </w:pPr>
            <w:r w:rsidRPr="008E6807">
              <w:rPr>
                <w:rFonts w:asciiTheme="majorHAnsi" w:hAnsiTheme="majorHAnsi"/>
                <w:color w:val="000000"/>
                <w:sz w:val="20"/>
                <w:lang w:val="ro-RO"/>
              </w:rPr>
              <w:t>690,1</w:t>
            </w:r>
          </w:p>
        </w:tc>
      </w:tr>
      <w:tr w:rsidR="009F2507" w:rsidRPr="00C8683B" w14:paraId="4F2100E6" w14:textId="77777777" w:rsidTr="00CE2AD4">
        <w:trPr>
          <w:trHeight w:val="275"/>
          <w:jc w:val="center"/>
        </w:trPr>
        <w:tc>
          <w:tcPr>
            <w:tcW w:w="497" w:type="dxa"/>
          </w:tcPr>
          <w:p w14:paraId="12E9C71B" w14:textId="77777777" w:rsidR="009F2507" w:rsidRPr="00C8683B" w:rsidRDefault="009F2507" w:rsidP="009F2507">
            <w:pPr>
              <w:pStyle w:val="a6"/>
              <w:rPr>
                <w:rFonts w:asciiTheme="majorHAnsi" w:hAnsiTheme="majorHAnsi" w:cstheme="majorHAnsi"/>
                <w:b/>
                <w:sz w:val="20"/>
                <w:szCs w:val="20"/>
                <w:lang w:val="ro-RO"/>
              </w:rPr>
            </w:pPr>
          </w:p>
        </w:tc>
        <w:tc>
          <w:tcPr>
            <w:tcW w:w="1205" w:type="dxa"/>
            <w:vAlign w:val="center"/>
          </w:tcPr>
          <w:p w14:paraId="2D880AA9" w14:textId="77777777" w:rsidR="009F2507" w:rsidRPr="00C8683B" w:rsidRDefault="009F2507" w:rsidP="009F2507">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VMS convertite</w:t>
            </w:r>
          </w:p>
        </w:tc>
        <w:tc>
          <w:tcPr>
            <w:tcW w:w="874" w:type="dxa"/>
            <w:vAlign w:val="center"/>
          </w:tcPr>
          <w:p w14:paraId="570DC38B"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2063,4</w:t>
            </w:r>
          </w:p>
        </w:tc>
        <w:tc>
          <w:tcPr>
            <w:tcW w:w="992" w:type="dxa"/>
            <w:vAlign w:val="center"/>
          </w:tcPr>
          <w:p w14:paraId="461396A5"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9,6</w:t>
            </w:r>
          </w:p>
        </w:tc>
        <w:tc>
          <w:tcPr>
            <w:tcW w:w="874" w:type="dxa"/>
            <w:vAlign w:val="center"/>
          </w:tcPr>
          <w:p w14:paraId="78870809"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2063,4</w:t>
            </w:r>
          </w:p>
        </w:tc>
        <w:tc>
          <w:tcPr>
            <w:tcW w:w="992" w:type="dxa"/>
            <w:vAlign w:val="center"/>
          </w:tcPr>
          <w:p w14:paraId="6F4C4823" w14:textId="77777777" w:rsidR="009F2507" w:rsidRPr="008E6807" w:rsidRDefault="009F2507" w:rsidP="009F2507">
            <w:pPr>
              <w:jc w:val="center"/>
              <w:rPr>
                <w:rFonts w:asciiTheme="majorHAnsi" w:hAnsiTheme="majorHAnsi"/>
                <w:color w:val="000000"/>
                <w:sz w:val="20"/>
                <w:lang w:val="ro-RO"/>
              </w:rPr>
            </w:pPr>
            <w:r w:rsidRPr="00C8683B">
              <w:rPr>
                <w:rFonts w:asciiTheme="majorHAnsi" w:hAnsiTheme="majorHAnsi" w:cstheme="majorHAnsi"/>
                <w:color w:val="000000"/>
                <w:sz w:val="20"/>
                <w:szCs w:val="20"/>
                <w:lang w:val="ro-RO"/>
              </w:rPr>
              <w:t>9,1</w:t>
            </w:r>
          </w:p>
        </w:tc>
        <w:tc>
          <w:tcPr>
            <w:tcW w:w="1022" w:type="dxa"/>
            <w:vAlign w:val="center"/>
          </w:tcPr>
          <w:p w14:paraId="5C78651E" w14:textId="77777777" w:rsidR="009F2507" w:rsidRPr="008E6807" w:rsidRDefault="009F2507" w:rsidP="009F2507">
            <w:pPr>
              <w:jc w:val="center"/>
              <w:rPr>
                <w:rFonts w:asciiTheme="majorHAnsi" w:hAnsiTheme="majorHAnsi"/>
                <w:color w:val="000000"/>
                <w:sz w:val="20"/>
                <w:lang w:val="ro-RO"/>
              </w:rPr>
            </w:pPr>
            <w:r w:rsidRPr="00C8683B">
              <w:rPr>
                <w:rFonts w:asciiTheme="majorHAnsi" w:hAnsiTheme="majorHAnsi" w:cstheme="majorHAnsi"/>
                <w:color w:val="000000"/>
                <w:sz w:val="20"/>
                <w:szCs w:val="20"/>
                <w:lang w:val="ro-RO"/>
              </w:rPr>
              <w:t>0</w:t>
            </w:r>
          </w:p>
        </w:tc>
        <w:tc>
          <w:tcPr>
            <w:tcW w:w="874" w:type="dxa"/>
            <w:vAlign w:val="center"/>
          </w:tcPr>
          <w:p w14:paraId="11CC1A3A"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2063,4</w:t>
            </w:r>
          </w:p>
        </w:tc>
        <w:tc>
          <w:tcPr>
            <w:tcW w:w="992" w:type="dxa"/>
            <w:vAlign w:val="center"/>
          </w:tcPr>
          <w:p w14:paraId="5E16CCE1" w14:textId="77777777" w:rsidR="009F2507" w:rsidRPr="008E6807" w:rsidRDefault="00202406" w:rsidP="009F2507">
            <w:pPr>
              <w:jc w:val="center"/>
              <w:rPr>
                <w:rFonts w:asciiTheme="majorHAnsi" w:hAnsiTheme="majorHAnsi"/>
                <w:color w:val="000000"/>
                <w:sz w:val="20"/>
                <w:lang w:val="ro-RO"/>
              </w:rPr>
            </w:pPr>
            <w:r w:rsidRPr="008E6807">
              <w:rPr>
                <w:rFonts w:asciiTheme="majorHAnsi" w:hAnsiTheme="majorHAnsi"/>
                <w:color w:val="000000"/>
                <w:sz w:val="20"/>
                <w:lang w:val="ro-RO"/>
              </w:rPr>
              <w:t>8,95</w:t>
            </w:r>
          </w:p>
        </w:tc>
        <w:tc>
          <w:tcPr>
            <w:tcW w:w="1022" w:type="dxa"/>
            <w:vAlign w:val="center"/>
          </w:tcPr>
          <w:p w14:paraId="2BBEBB37" w14:textId="77777777" w:rsidR="009F2507" w:rsidRPr="008E6807" w:rsidRDefault="00DA2256" w:rsidP="009F2507">
            <w:pPr>
              <w:jc w:val="center"/>
              <w:rPr>
                <w:rFonts w:asciiTheme="majorHAnsi" w:hAnsiTheme="majorHAnsi"/>
                <w:color w:val="000000"/>
                <w:sz w:val="20"/>
                <w:lang w:val="ro-RO"/>
              </w:rPr>
            </w:pPr>
            <w:r w:rsidRPr="008E6807">
              <w:rPr>
                <w:rFonts w:asciiTheme="majorHAnsi" w:hAnsiTheme="majorHAnsi"/>
                <w:color w:val="000000"/>
                <w:sz w:val="20"/>
                <w:lang w:val="ro-RO"/>
              </w:rPr>
              <w:t>0</w:t>
            </w:r>
          </w:p>
        </w:tc>
      </w:tr>
      <w:tr w:rsidR="009F2507" w:rsidRPr="00C8683B" w14:paraId="45493A3D" w14:textId="77777777" w:rsidTr="00CE2AD4">
        <w:trPr>
          <w:jc w:val="center"/>
        </w:trPr>
        <w:tc>
          <w:tcPr>
            <w:tcW w:w="497" w:type="dxa"/>
          </w:tcPr>
          <w:p w14:paraId="402C622E" w14:textId="77777777" w:rsidR="009F2507" w:rsidRPr="00C8683B" w:rsidRDefault="009F2507" w:rsidP="009F2507">
            <w:pPr>
              <w:pStyle w:val="a6"/>
              <w:rPr>
                <w:rFonts w:asciiTheme="majorHAnsi" w:hAnsiTheme="majorHAnsi" w:cstheme="majorHAnsi"/>
                <w:b/>
                <w:sz w:val="20"/>
                <w:szCs w:val="20"/>
                <w:lang w:val="ro-RO"/>
              </w:rPr>
            </w:pPr>
          </w:p>
        </w:tc>
        <w:tc>
          <w:tcPr>
            <w:tcW w:w="1205" w:type="dxa"/>
            <w:vAlign w:val="center"/>
          </w:tcPr>
          <w:p w14:paraId="01BF4466" w14:textId="77777777" w:rsidR="009F2507" w:rsidRPr="00C8683B" w:rsidRDefault="009F2507" w:rsidP="009F2507">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VMS emise pentru unele scopuri stabilite de lege</w:t>
            </w:r>
          </w:p>
        </w:tc>
        <w:tc>
          <w:tcPr>
            <w:tcW w:w="874" w:type="dxa"/>
            <w:vAlign w:val="center"/>
          </w:tcPr>
          <w:p w14:paraId="21AFADAF" w14:textId="77777777" w:rsidR="009F2507" w:rsidRPr="008E6807" w:rsidRDefault="009F2507" w:rsidP="009F2507">
            <w:pPr>
              <w:pStyle w:val="a6"/>
              <w:rPr>
                <w:rFonts w:asciiTheme="majorHAnsi" w:hAnsiTheme="majorHAnsi"/>
                <w:sz w:val="20"/>
                <w:lang w:val="ro-RO"/>
              </w:rPr>
            </w:pPr>
            <w:r w:rsidRPr="008E6807">
              <w:rPr>
                <w:rFonts w:asciiTheme="majorHAnsi" w:hAnsiTheme="majorHAnsi"/>
                <w:sz w:val="20"/>
                <w:lang w:val="ro-RO"/>
              </w:rPr>
              <w:t>13341,2</w:t>
            </w:r>
          </w:p>
        </w:tc>
        <w:tc>
          <w:tcPr>
            <w:tcW w:w="992" w:type="dxa"/>
            <w:vAlign w:val="center"/>
          </w:tcPr>
          <w:p w14:paraId="6BA6E7FE" w14:textId="77777777" w:rsidR="009F2507" w:rsidRPr="008E6807" w:rsidRDefault="009F2507" w:rsidP="009F2507">
            <w:pPr>
              <w:pStyle w:val="a6"/>
              <w:rPr>
                <w:rFonts w:asciiTheme="majorHAnsi" w:hAnsiTheme="majorHAnsi"/>
                <w:sz w:val="20"/>
                <w:lang w:val="ro-RO"/>
              </w:rPr>
            </w:pPr>
            <w:r w:rsidRPr="008E6807">
              <w:rPr>
                <w:rFonts w:asciiTheme="majorHAnsi" w:hAnsiTheme="majorHAnsi"/>
                <w:sz w:val="20"/>
                <w:lang w:val="ro-RO"/>
              </w:rPr>
              <w:t>62,0</w:t>
            </w:r>
          </w:p>
        </w:tc>
        <w:tc>
          <w:tcPr>
            <w:tcW w:w="874" w:type="dxa"/>
            <w:vAlign w:val="center"/>
          </w:tcPr>
          <w:p w14:paraId="7D1EEECF" w14:textId="77777777" w:rsidR="009F2507" w:rsidRPr="008E6807" w:rsidRDefault="009F2507" w:rsidP="009F2507">
            <w:pPr>
              <w:pStyle w:val="a6"/>
              <w:rPr>
                <w:rFonts w:asciiTheme="majorHAnsi" w:hAnsiTheme="majorHAnsi"/>
                <w:sz w:val="20"/>
                <w:lang w:val="ro-RO"/>
              </w:rPr>
            </w:pPr>
            <w:r w:rsidRPr="008E6807">
              <w:rPr>
                <w:rFonts w:asciiTheme="majorHAnsi" w:hAnsiTheme="majorHAnsi"/>
                <w:sz w:val="20"/>
                <w:lang w:val="ro-RO"/>
              </w:rPr>
              <w:t>13291,2</w:t>
            </w:r>
          </w:p>
        </w:tc>
        <w:tc>
          <w:tcPr>
            <w:tcW w:w="992" w:type="dxa"/>
            <w:vAlign w:val="center"/>
          </w:tcPr>
          <w:p w14:paraId="26BC7F00" w14:textId="77777777" w:rsidR="009F2507" w:rsidRPr="008E6807" w:rsidRDefault="009F2507" w:rsidP="009F2507">
            <w:pPr>
              <w:pStyle w:val="a6"/>
              <w:jc w:val="center"/>
              <w:rPr>
                <w:rFonts w:asciiTheme="majorHAnsi" w:hAnsiTheme="majorHAnsi"/>
                <w:color w:val="000000"/>
                <w:sz w:val="20"/>
                <w:lang w:val="ro-RO"/>
              </w:rPr>
            </w:pPr>
            <w:r w:rsidRPr="008E6807">
              <w:rPr>
                <w:rFonts w:asciiTheme="majorHAnsi" w:hAnsiTheme="majorHAnsi"/>
                <w:color w:val="000000"/>
                <w:sz w:val="20"/>
                <w:lang w:val="ro-RO"/>
              </w:rPr>
              <w:t>58,9</w:t>
            </w:r>
          </w:p>
        </w:tc>
        <w:tc>
          <w:tcPr>
            <w:tcW w:w="1022" w:type="dxa"/>
            <w:vAlign w:val="center"/>
          </w:tcPr>
          <w:p w14:paraId="2860E9F5" w14:textId="77777777" w:rsidR="009F2507" w:rsidRPr="008E6807" w:rsidRDefault="009F2507" w:rsidP="009F2507">
            <w:pPr>
              <w:pStyle w:val="a6"/>
              <w:jc w:val="center"/>
              <w:rPr>
                <w:rFonts w:asciiTheme="majorHAnsi" w:hAnsiTheme="majorHAnsi"/>
                <w:color w:val="000000"/>
                <w:sz w:val="20"/>
                <w:lang w:val="ro-RO"/>
              </w:rPr>
            </w:pPr>
            <w:r w:rsidRPr="008E6807">
              <w:rPr>
                <w:rFonts w:asciiTheme="majorHAnsi" w:hAnsiTheme="majorHAnsi"/>
                <w:color w:val="000000"/>
                <w:sz w:val="20"/>
                <w:lang w:val="ro-RO"/>
              </w:rPr>
              <w:t>-50</w:t>
            </w:r>
          </w:p>
        </w:tc>
        <w:tc>
          <w:tcPr>
            <w:tcW w:w="874" w:type="dxa"/>
            <w:vAlign w:val="center"/>
          </w:tcPr>
          <w:p w14:paraId="28FC365F" w14:textId="77777777" w:rsidR="009F2507" w:rsidRPr="008E6807" w:rsidRDefault="009F2507" w:rsidP="009F2507">
            <w:pPr>
              <w:pStyle w:val="a6"/>
              <w:rPr>
                <w:rFonts w:asciiTheme="majorHAnsi" w:hAnsiTheme="majorHAnsi"/>
                <w:sz w:val="20"/>
                <w:lang w:val="ro-RO"/>
              </w:rPr>
            </w:pPr>
            <w:r w:rsidRPr="008E6807">
              <w:rPr>
                <w:rFonts w:asciiTheme="majorHAnsi" w:hAnsiTheme="majorHAnsi"/>
                <w:sz w:val="20"/>
                <w:lang w:val="ro-RO"/>
              </w:rPr>
              <w:t>13081,2</w:t>
            </w:r>
          </w:p>
        </w:tc>
        <w:tc>
          <w:tcPr>
            <w:tcW w:w="992" w:type="dxa"/>
            <w:vAlign w:val="center"/>
          </w:tcPr>
          <w:p w14:paraId="6EBE903C" w14:textId="77777777" w:rsidR="009F2507" w:rsidRPr="008E6807" w:rsidRDefault="00202406" w:rsidP="009F2507">
            <w:pPr>
              <w:pStyle w:val="a6"/>
              <w:jc w:val="center"/>
              <w:rPr>
                <w:rFonts w:asciiTheme="majorHAnsi" w:hAnsiTheme="majorHAnsi"/>
                <w:color w:val="000000"/>
                <w:sz w:val="20"/>
                <w:lang w:val="ro-RO"/>
              </w:rPr>
            </w:pPr>
            <w:r w:rsidRPr="008E6807">
              <w:rPr>
                <w:rFonts w:asciiTheme="majorHAnsi" w:hAnsiTheme="majorHAnsi"/>
                <w:color w:val="000000"/>
                <w:sz w:val="20"/>
                <w:lang w:val="ro-RO"/>
              </w:rPr>
              <w:t>56,7</w:t>
            </w:r>
          </w:p>
        </w:tc>
        <w:tc>
          <w:tcPr>
            <w:tcW w:w="1022" w:type="dxa"/>
            <w:vAlign w:val="center"/>
          </w:tcPr>
          <w:p w14:paraId="1FB030B4" w14:textId="77777777" w:rsidR="009F2507" w:rsidRPr="008E6807" w:rsidRDefault="00DA2256" w:rsidP="009F2507">
            <w:pPr>
              <w:pStyle w:val="a6"/>
              <w:jc w:val="center"/>
              <w:rPr>
                <w:rFonts w:asciiTheme="majorHAnsi" w:hAnsiTheme="majorHAnsi"/>
                <w:color w:val="000000"/>
                <w:sz w:val="20"/>
                <w:lang w:val="ro-RO"/>
              </w:rPr>
            </w:pPr>
            <w:r w:rsidRPr="008E6807">
              <w:rPr>
                <w:rFonts w:asciiTheme="majorHAnsi" w:hAnsiTheme="majorHAnsi"/>
                <w:color w:val="000000"/>
                <w:sz w:val="20"/>
                <w:lang w:val="ro-RO"/>
              </w:rPr>
              <w:t>-210,0</w:t>
            </w:r>
          </w:p>
        </w:tc>
      </w:tr>
      <w:tr w:rsidR="009F2507" w:rsidRPr="00C8683B" w14:paraId="0EFD0B6D" w14:textId="77777777" w:rsidTr="00CE2AD4">
        <w:trPr>
          <w:trHeight w:val="56"/>
          <w:jc w:val="center"/>
        </w:trPr>
        <w:tc>
          <w:tcPr>
            <w:tcW w:w="497" w:type="dxa"/>
          </w:tcPr>
          <w:p w14:paraId="254C0FA0" w14:textId="77777777" w:rsidR="009F2507" w:rsidRPr="00C8683B" w:rsidRDefault="009F2507" w:rsidP="009F2507">
            <w:pPr>
              <w:pStyle w:val="a6"/>
              <w:rPr>
                <w:rFonts w:asciiTheme="majorHAnsi" w:hAnsiTheme="majorHAnsi" w:cstheme="majorHAnsi"/>
                <w:b/>
                <w:sz w:val="20"/>
                <w:szCs w:val="20"/>
                <w:lang w:val="ro-RO"/>
              </w:rPr>
            </w:pPr>
            <w:r w:rsidRPr="00C8683B">
              <w:rPr>
                <w:rFonts w:asciiTheme="majorHAnsi" w:hAnsiTheme="majorHAnsi" w:cstheme="majorHAnsi"/>
                <w:b/>
                <w:sz w:val="20"/>
                <w:szCs w:val="20"/>
                <w:lang w:val="ro-RO"/>
              </w:rPr>
              <w:t>2.</w:t>
            </w:r>
          </w:p>
        </w:tc>
        <w:tc>
          <w:tcPr>
            <w:tcW w:w="8847" w:type="dxa"/>
            <w:gridSpan w:val="9"/>
            <w:vAlign w:val="center"/>
          </w:tcPr>
          <w:p w14:paraId="72004251"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b/>
                <w:sz w:val="20"/>
                <w:szCs w:val="20"/>
                <w:lang w:val="ro-RO"/>
              </w:rPr>
              <w:t>După maturitatea inițială</w:t>
            </w:r>
          </w:p>
        </w:tc>
      </w:tr>
      <w:tr w:rsidR="009F2507" w:rsidRPr="00C8683B" w14:paraId="484BBD43" w14:textId="77777777" w:rsidTr="00CE2AD4">
        <w:trPr>
          <w:trHeight w:val="142"/>
          <w:jc w:val="center"/>
        </w:trPr>
        <w:tc>
          <w:tcPr>
            <w:tcW w:w="497" w:type="dxa"/>
          </w:tcPr>
          <w:p w14:paraId="1CABFA97" w14:textId="77777777" w:rsidR="009F2507" w:rsidRPr="00C8683B" w:rsidRDefault="009F2507" w:rsidP="009F2507">
            <w:pPr>
              <w:pStyle w:val="a6"/>
              <w:rPr>
                <w:rFonts w:asciiTheme="majorHAnsi" w:hAnsiTheme="majorHAnsi" w:cstheme="majorHAnsi"/>
                <w:b/>
                <w:sz w:val="20"/>
                <w:szCs w:val="20"/>
                <w:lang w:val="ro-RO"/>
              </w:rPr>
            </w:pPr>
          </w:p>
        </w:tc>
        <w:tc>
          <w:tcPr>
            <w:tcW w:w="1205" w:type="dxa"/>
            <w:vAlign w:val="center"/>
          </w:tcPr>
          <w:p w14:paraId="0CB929DB" w14:textId="77777777" w:rsidR="009F2507" w:rsidRPr="00C8683B" w:rsidRDefault="009F2507" w:rsidP="009F2507">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Termen scurt</w:t>
            </w:r>
          </w:p>
        </w:tc>
        <w:tc>
          <w:tcPr>
            <w:tcW w:w="874" w:type="dxa"/>
            <w:vAlign w:val="center"/>
          </w:tcPr>
          <w:p w14:paraId="36877679"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7884,7</w:t>
            </w:r>
          </w:p>
        </w:tc>
        <w:tc>
          <w:tcPr>
            <w:tcW w:w="992" w:type="dxa"/>
            <w:vAlign w:val="center"/>
          </w:tcPr>
          <w:p w14:paraId="05D8D77A"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36,6</w:t>
            </w:r>
          </w:p>
        </w:tc>
        <w:tc>
          <w:tcPr>
            <w:tcW w:w="874" w:type="dxa"/>
            <w:vAlign w:val="center"/>
          </w:tcPr>
          <w:p w14:paraId="6ACF1CCA" w14:textId="77777777" w:rsidR="009F2507" w:rsidRPr="008E6807" w:rsidRDefault="009F2507" w:rsidP="009F2507">
            <w:pPr>
              <w:pStyle w:val="a6"/>
              <w:rPr>
                <w:rFonts w:asciiTheme="majorHAnsi" w:hAnsiTheme="majorHAnsi"/>
                <w:sz w:val="20"/>
                <w:lang w:val="ro-RO"/>
              </w:rPr>
            </w:pPr>
            <w:r w:rsidRPr="008E6807">
              <w:rPr>
                <w:rFonts w:asciiTheme="majorHAnsi" w:hAnsiTheme="majorHAnsi"/>
                <w:sz w:val="20"/>
                <w:lang w:val="ro-RO"/>
              </w:rPr>
              <w:t>8138,7</w:t>
            </w:r>
          </w:p>
        </w:tc>
        <w:tc>
          <w:tcPr>
            <w:tcW w:w="992" w:type="dxa"/>
            <w:vAlign w:val="center"/>
          </w:tcPr>
          <w:p w14:paraId="26905770" w14:textId="77777777" w:rsidR="009F2507" w:rsidRPr="008E6807" w:rsidRDefault="009F2507" w:rsidP="009F2507">
            <w:pPr>
              <w:pStyle w:val="a6"/>
              <w:jc w:val="center"/>
              <w:rPr>
                <w:rFonts w:asciiTheme="majorHAnsi" w:hAnsiTheme="majorHAnsi"/>
                <w:color w:val="000000"/>
                <w:sz w:val="20"/>
                <w:lang w:val="ro-RO"/>
              </w:rPr>
            </w:pPr>
            <w:r w:rsidRPr="008E6807">
              <w:rPr>
                <w:rFonts w:asciiTheme="majorHAnsi" w:hAnsiTheme="majorHAnsi"/>
                <w:color w:val="000000"/>
                <w:sz w:val="20"/>
                <w:lang w:val="ro-RO"/>
              </w:rPr>
              <w:t>36,0</w:t>
            </w:r>
          </w:p>
        </w:tc>
        <w:tc>
          <w:tcPr>
            <w:tcW w:w="1022" w:type="dxa"/>
            <w:vAlign w:val="center"/>
          </w:tcPr>
          <w:p w14:paraId="0A772674" w14:textId="77777777" w:rsidR="009F2507" w:rsidRPr="008E6807" w:rsidRDefault="009F2507" w:rsidP="009F2507">
            <w:pPr>
              <w:pStyle w:val="a6"/>
              <w:jc w:val="center"/>
              <w:rPr>
                <w:rFonts w:asciiTheme="majorHAnsi" w:hAnsiTheme="majorHAnsi"/>
                <w:color w:val="000000"/>
                <w:sz w:val="20"/>
                <w:lang w:val="ro-RO"/>
              </w:rPr>
            </w:pPr>
            <w:r w:rsidRPr="008E6807">
              <w:rPr>
                <w:rFonts w:asciiTheme="majorHAnsi" w:hAnsiTheme="majorHAnsi"/>
                <w:color w:val="000000"/>
                <w:sz w:val="20"/>
                <w:lang w:val="ro-RO"/>
              </w:rPr>
              <w:t>254</w:t>
            </w:r>
          </w:p>
        </w:tc>
        <w:tc>
          <w:tcPr>
            <w:tcW w:w="874" w:type="dxa"/>
            <w:vAlign w:val="center"/>
          </w:tcPr>
          <w:p w14:paraId="180ADD8D" w14:textId="77777777" w:rsidR="009F2507" w:rsidRPr="008E6807" w:rsidRDefault="009F2507" w:rsidP="009F2507">
            <w:pPr>
              <w:pStyle w:val="a6"/>
              <w:rPr>
                <w:rFonts w:asciiTheme="majorHAnsi" w:hAnsiTheme="majorHAnsi"/>
                <w:sz w:val="20"/>
                <w:lang w:val="ro-RO"/>
              </w:rPr>
            </w:pPr>
            <w:r w:rsidRPr="008E6807">
              <w:rPr>
                <w:rFonts w:asciiTheme="majorHAnsi" w:hAnsiTheme="majorHAnsi"/>
                <w:sz w:val="20"/>
                <w:lang w:val="ro-RO"/>
              </w:rPr>
              <w:t>7609,8</w:t>
            </w:r>
          </w:p>
        </w:tc>
        <w:tc>
          <w:tcPr>
            <w:tcW w:w="992" w:type="dxa"/>
            <w:vAlign w:val="center"/>
          </w:tcPr>
          <w:p w14:paraId="73E2208B" w14:textId="77777777" w:rsidR="009F2507" w:rsidRPr="008E6807" w:rsidRDefault="00202406" w:rsidP="009F2507">
            <w:pPr>
              <w:pStyle w:val="a6"/>
              <w:jc w:val="center"/>
              <w:rPr>
                <w:rFonts w:asciiTheme="majorHAnsi" w:hAnsiTheme="majorHAnsi"/>
                <w:color w:val="000000"/>
                <w:sz w:val="20"/>
                <w:lang w:val="ro-RO"/>
              </w:rPr>
            </w:pPr>
            <w:r w:rsidRPr="008E6807">
              <w:rPr>
                <w:rFonts w:asciiTheme="majorHAnsi" w:hAnsiTheme="majorHAnsi"/>
                <w:color w:val="000000"/>
                <w:sz w:val="20"/>
                <w:lang w:val="ro-RO"/>
              </w:rPr>
              <w:t>33,0</w:t>
            </w:r>
          </w:p>
        </w:tc>
        <w:tc>
          <w:tcPr>
            <w:tcW w:w="1022" w:type="dxa"/>
            <w:vAlign w:val="center"/>
          </w:tcPr>
          <w:p w14:paraId="450768C9" w14:textId="77777777" w:rsidR="009F2507" w:rsidRPr="008E6807" w:rsidRDefault="00DA2256" w:rsidP="009F2507">
            <w:pPr>
              <w:pStyle w:val="a6"/>
              <w:jc w:val="center"/>
              <w:rPr>
                <w:rFonts w:asciiTheme="majorHAnsi" w:hAnsiTheme="majorHAnsi"/>
                <w:color w:val="000000"/>
                <w:sz w:val="20"/>
                <w:lang w:val="ro-RO"/>
              </w:rPr>
            </w:pPr>
            <w:r w:rsidRPr="008E6807">
              <w:rPr>
                <w:rFonts w:asciiTheme="majorHAnsi" w:hAnsiTheme="majorHAnsi"/>
                <w:color w:val="000000"/>
                <w:sz w:val="20"/>
                <w:lang w:val="ro-RO"/>
              </w:rPr>
              <w:t>-528,9</w:t>
            </w:r>
          </w:p>
        </w:tc>
      </w:tr>
      <w:tr w:rsidR="009F2507" w:rsidRPr="00C8683B" w14:paraId="2D22C7A9" w14:textId="77777777" w:rsidTr="00CE2AD4">
        <w:trPr>
          <w:jc w:val="center"/>
        </w:trPr>
        <w:tc>
          <w:tcPr>
            <w:tcW w:w="497" w:type="dxa"/>
          </w:tcPr>
          <w:p w14:paraId="1CA88FCE" w14:textId="77777777" w:rsidR="009F2507" w:rsidRPr="00C8683B" w:rsidRDefault="009F2507" w:rsidP="009F2507">
            <w:pPr>
              <w:pStyle w:val="a6"/>
              <w:rPr>
                <w:rFonts w:asciiTheme="majorHAnsi" w:hAnsiTheme="majorHAnsi" w:cstheme="majorHAnsi"/>
                <w:b/>
                <w:sz w:val="20"/>
                <w:szCs w:val="20"/>
                <w:lang w:val="ro-RO"/>
              </w:rPr>
            </w:pPr>
          </w:p>
        </w:tc>
        <w:tc>
          <w:tcPr>
            <w:tcW w:w="1205" w:type="dxa"/>
            <w:vAlign w:val="center"/>
          </w:tcPr>
          <w:p w14:paraId="09A18ADC" w14:textId="77777777" w:rsidR="009F2507" w:rsidRPr="00C8683B" w:rsidRDefault="009F2507" w:rsidP="009F2507">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Termen lung</w:t>
            </w:r>
          </w:p>
        </w:tc>
        <w:tc>
          <w:tcPr>
            <w:tcW w:w="874" w:type="dxa"/>
            <w:vAlign w:val="center"/>
          </w:tcPr>
          <w:p w14:paraId="1558D62B" w14:textId="77777777" w:rsidR="009F2507" w:rsidRPr="00C8683B" w:rsidRDefault="009F2507" w:rsidP="009F2507">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13634,9</w:t>
            </w:r>
          </w:p>
        </w:tc>
        <w:tc>
          <w:tcPr>
            <w:tcW w:w="992" w:type="dxa"/>
            <w:vAlign w:val="center"/>
          </w:tcPr>
          <w:p w14:paraId="0C1CE499"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63,4</w:t>
            </w:r>
          </w:p>
        </w:tc>
        <w:tc>
          <w:tcPr>
            <w:tcW w:w="874" w:type="dxa"/>
            <w:vAlign w:val="center"/>
          </w:tcPr>
          <w:p w14:paraId="4B7A852B" w14:textId="77777777" w:rsidR="009F2507" w:rsidRPr="008E6807" w:rsidRDefault="009F2507" w:rsidP="009F2507">
            <w:pPr>
              <w:pStyle w:val="a6"/>
              <w:rPr>
                <w:rFonts w:asciiTheme="majorHAnsi" w:hAnsiTheme="majorHAnsi"/>
                <w:sz w:val="20"/>
                <w:lang w:val="ro-RO"/>
              </w:rPr>
            </w:pPr>
            <w:r w:rsidRPr="008E6807">
              <w:rPr>
                <w:rFonts w:asciiTheme="majorHAnsi" w:hAnsiTheme="majorHAnsi"/>
                <w:sz w:val="20"/>
                <w:lang w:val="ro-RO"/>
              </w:rPr>
              <w:t>14439,8</w:t>
            </w:r>
          </w:p>
        </w:tc>
        <w:tc>
          <w:tcPr>
            <w:tcW w:w="992" w:type="dxa"/>
            <w:vAlign w:val="center"/>
          </w:tcPr>
          <w:p w14:paraId="36539651" w14:textId="77777777" w:rsidR="009F2507" w:rsidRPr="008E6807" w:rsidRDefault="009F2507" w:rsidP="009F2507">
            <w:pPr>
              <w:pStyle w:val="a6"/>
              <w:jc w:val="center"/>
              <w:rPr>
                <w:rFonts w:asciiTheme="majorHAnsi" w:hAnsiTheme="majorHAnsi"/>
                <w:color w:val="000000"/>
                <w:sz w:val="20"/>
                <w:lang w:val="ro-RO"/>
              </w:rPr>
            </w:pPr>
            <w:r w:rsidRPr="008E6807">
              <w:rPr>
                <w:rFonts w:asciiTheme="majorHAnsi" w:hAnsiTheme="majorHAnsi"/>
                <w:color w:val="000000"/>
                <w:sz w:val="20"/>
                <w:lang w:val="ro-RO"/>
              </w:rPr>
              <w:t>64,0</w:t>
            </w:r>
          </w:p>
        </w:tc>
        <w:tc>
          <w:tcPr>
            <w:tcW w:w="1022" w:type="dxa"/>
            <w:vAlign w:val="center"/>
          </w:tcPr>
          <w:p w14:paraId="3FBA7725" w14:textId="77777777" w:rsidR="009F2507" w:rsidRPr="008E6807" w:rsidRDefault="009F2507" w:rsidP="009F2507">
            <w:pPr>
              <w:pStyle w:val="a6"/>
              <w:jc w:val="center"/>
              <w:rPr>
                <w:rFonts w:asciiTheme="majorHAnsi" w:hAnsiTheme="majorHAnsi"/>
                <w:color w:val="000000"/>
                <w:sz w:val="20"/>
                <w:lang w:val="ro-RO"/>
              </w:rPr>
            </w:pPr>
            <w:r w:rsidRPr="008E6807">
              <w:rPr>
                <w:rFonts w:asciiTheme="majorHAnsi" w:hAnsiTheme="majorHAnsi"/>
                <w:color w:val="000000"/>
                <w:sz w:val="20"/>
                <w:lang w:val="ro-RO"/>
              </w:rPr>
              <w:t>804,9</w:t>
            </w:r>
          </w:p>
        </w:tc>
        <w:tc>
          <w:tcPr>
            <w:tcW w:w="874" w:type="dxa"/>
            <w:vAlign w:val="center"/>
          </w:tcPr>
          <w:p w14:paraId="6F79987C" w14:textId="77777777" w:rsidR="009F2507" w:rsidRPr="008E6807" w:rsidRDefault="009F2507" w:rsidP="009F2507">
            <w:pPr>
              <w:pStyle w:val="a6"/>
              <w:rPr>
                <w:rFonts w:asciiTheme="majorHAnsi" w:hAnsiTheme="majorHAnsi"/>
                <w:sz w:val="20"/>
                <w:lang w:val="ro-RO"/>
              </w:rPr>
            </w:pPr>
            <w:r w:rsidRPr="008E6807">
              <w:rPr>
                <w:rFonts w:asciiTheme="majorHAnsi" w:hAnsiTheme="majorHAnsi"/>
                <w:sz w:val="20"/>
                <w:lang w:val="ro-RO"/>
              </w:rPr>
              <w:t>15448,7</w:t>
            </w:r>
          </w:p>
        </w:tc>
        <w:tc>
          <w:tcPr>
            <w:tcW w:w="992" w:type="dxa"/>
            <w:vAlign w:val="center"/>
          </w:tcPr>
          <w:p w14:paraId="26DBC948" w14:textId="77777777" w:rsidR="009F2507" w:rsidRPr="008E6807" w:rsidRDefault="00202406" w:rsidP="009F2507">
            <w:pPr>
              <w:pStyle w:val="a6"/>
              <w:jc w:val="center"/>
              <w:rPr>
                <w:rFonts w:asciiTheme="majorHAnsi" w:hAnsiTheme="majorHAnsi"/>
                <w:color w:val="000000"/>
                <w:sz w:val="20"/>
                <w:lang w:val="ro-RO"/>
              </w:rPr>
            </w:pPr>
            <w:r w:rsidRPr="008E6807">
              <w:rPr>
                <w:rFonts w:asciiTheme="majorHAnsi" w:hAnsiTheme="majorHAnsi"/>
                <w:color w:val="000000"/>
                <w:sz w:val="20"/>
                <w:lang w:val="ro-RO"/>
              </w:rPr>
              <w:t>67,0</w:t>
            </w:r>
          </w:p>
        </w:tc>
        <w:tc>
          <w:tcPr>
            <w:tcW w:w="1022" w:type="dxa"/>
            <w:vAlign w:val="center"/>
          </w:tcPr>
          <w:p w14:paraId="58C588ED" w14:textId="77777777" w:rsidR="009F2507" w:rsidRPr="008E6807" w:rsidRDefault="00DA2256" w:rsidP="009F2507">
            <w:pPr>
              <w:pStyle w:val="a6"/>
              <w:jc w:val="center"/>
              <w:rPr>
                <w:rFonts w:asciiTheme="majorHAnsi" w:hAnsiTheme="majorHAnsi"/>
                <w:color w:val="000000"/>
                <w:sz w:val="20"/>
                <w:lang w:val="ro-RO"/>
              </w:rPr>
            </w:pPr>
            <w:r w:rsidRPr="008E6807">
              <w:rPr>
                <w:rFonts w:asciiTheme="majorHAnsi" w:hAnsiTheme="majorHAnsi"/>
                <w:color w:val="000000"/>
                <w:sz w:val="20"/>
                <w:lang w:val="ro-RO"/>
              </w:rPr>
              <w:t>1008,9</w:t>
            </w:r>
          </w:p>
        </w:tc>
      </w:tr>
      <w:tr w:rsidR="009F2507" w:rsidRPr="00C8683B" w14:paraId="1329CDF4" w14:textId="77777777" w:rsidTr="00CE2AD4">
        <w:trPr>
          <w:trHeight w:val="128"/>
          <w:jc w:val="center"/>
        </w:trPr>
        <w:tc>
          <w:tcPr>
            <w:tcW w:w="497" w:type="dxa"/>
          </w:tcPr>
          <w:p w14:paraId="2A5276E3" w14:textId="77777777" w:rsidR="009F2507" w:rsidRPr="00C8683B" w:rsidRDefault="009F2507" w:rsidP="009F2507">
            <w:pPr>
              <w:pStyle w:val="a6"/>
              <w:rPr>
                <w:rFonts w:asciiTheme="majorHAnsi" w:hAnsiTheme="majorHAnsi" w:cstheme="majorHAnsi"/>
                <w:b/>
                <w:sz w:val="20"/>
                <w:szCs w:val="20"/>
                <w:lang w:val="ro-RO"/>
              </w:rPr>
            </w:pPr>
            <w:r w:rsidRPr="00C8683B">
              <w:rPr>
                <w:rFonts w:asciiTheme="majorHAnsi" w:hAnsiTheme="majorHAnsi" w:cstheme="majorHAnsi"/>
                <w:b/>
                <w:sz w:val="20"/>
                <w:szCs w:val="20"/>
                <w:lang w:val="ro-RO"/>
              </w:rPr>
              <w:t>3.</w:t>
            </w:r>
          </w:p>
        </w:tc>
        <w:tc>
          <w:tcPr>
            <w:tcW w:w="8847" w:type="dxa"/>
            <w:gridSpan w:val="9"/>
            <w:vAlign w:val="center"/>
          </w:tcPr>
          <w:p w14:paraId="38A7A9CC" w14:textId="77777777" w:rsidR="009F2507" w:rsidRPr="00C8683B" w:rsidRDefault="009F2507" w:rsidP="009F2507">
            <w:pPr>
              <w:pStyle w:val="a6"/>
              <w:jc w:val="center"/>
              <w:rPr>
                <w:rFonts w:asciiTheme="majorHAnsi" w:hAnsiTheme="majorHAnsi" w:cstheme="majorHAnsi"/>
                <w:b/>
                <w:sz w:val="20"/>
                <w:szCs w:val="20"/>
                <w:lang w:val="ro-RO"/>
              </w:rPr>
            </w:pPr>
            <w:r w:rsidRPr="00C8683B">
              <w:rPr>
                <w:rFonts w:asciiTheme="majorHAnsi" w:hAnsiTheme="majorHAnsi" w:cstheme="majorHAnsi"/>
                <w:b/>
                <w:sz w:val="20"/>
                <w:szCs w:val="20"/>
                <w:lang w:val="ro-RO"/>
              </w:rPr>
              <w:t>După maturitatea rămasă</w:t>
            </w:r>
          </w:p>
        </w:tc>
      </w:tr>
      <w:tr w:rsidR="009F2507" w:rsidRPr="00C8683B" w14:paraId="12AD1803" w14:textId="77777777" w:rsidTr="00CE2AD4">
        <w:trPr>
          <w:jc w:val="center"/>
        </w:trPr>
        <w:tc>
          <w:tcPr>
            <w:tcW w:w="497" w:type="dxa"/>
          </w:tcPr>
          <w:p w14:paraId="45CED11F" w14:textId="77777777" w:rsidR="009F2507" w:rsidRPr="00C8683B" w:rsidRDefault="009F2507" w:rsidP="009F2507">
            <w:pPr>
              <w:pStyle w:val="a6"/>
              <w:rPr>
                <w:rFonts w:asciiTheme="majorHAnsi" w:hAnsiTheme="majorHAnsi" w:cstheme="majorHAnsi"/>
                <w:b/>
                <w:sz w:val="20"/>
                <w:szCs w:val="20"/>
                <w:lang w:val="ro-RO"/>
              </w:rPr>
            </w:pPr>
          </w:p>
        </w:tc>
        <w:tc>
          <w:tcPr>
            <w:tcW w:w="1205" w:type="dxa"/>
            <w:vAlign w:val="center"/>
          </w:tcPr>
          <w:p w14:paraId="2A39770B" w14:textId="77777777" w:rsidR="009F2507" w:rsidRPr="00C8683B" w:rsidRDefault="009F2507" w:rsidP="009F2507">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Termen scurt</w:t>
            </w:r>
          </w:p>
        </w:tc>
        <w:tc>
          <w:tcPr>
            <w:tcW w:w="874" w:type="dxa"/>
            <w:vAlign w:val="center"/>
          </w:tcPr>
          <w:p w14:paraId="7998A03B"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8070,6</w:t>
            </w:r>
          </w:p>
        </w:tc>
        <w:tc>
          <w:tcPr>
            <w:tcW w:w="992" w:type="dxa"/>
            <w:vAlign w:val="center"/>
          </w:tcPr>
          <w:p w14:paraId="6F480352"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37,5</w:t>
            </w:r>
          </w:p>
        </w:tc>
        <w:tc>
          <w:tcPr>
            <w:tcW w:w="874" w:type="dxa"/>
            <w:vAlign w:val="center"/>
          </w:tcPr>
          <w:p w14:paraId="38B465CA"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8639,9</w:t>
            </w:r>
          </w:p>
        </w:tc>
        <w:tc>
          <w:tcPr>
            <w:tcW w:w="992" w:type="dxa"/>
            <w:vAlign w:val="center"/>
          </w:tcPr>
          <w:p w14:paraId="7BB1B9BD" w14:textId="77777777" w:rsidR="009F2507" w:rsidRPr="008E6807" w:rsidRDefault="009F2507" w:rsidP="009F2507">
            <w:pPr>
              <w:pStyle w:val="a6"/>
              <w:jc w:val="center"/>
              <w:rPr>
                <w:rFonts w:asciiTheme="majorHAnsi" w:hAnsiTheme="majorHAnsi"/>
                <w:sz w:val="20"/>
                <w:lang w:val="ro-RO"/>
              </w:rPr>
            </w:pPr>
            <w:r w:rsidRPr="008E6807">
              <w:rPr>
                <w:rFonts w:asciiTheme="majorHAnsi" w:hAnsiTheme="majorHAnsi"/>
                <w:sz w:val="20"/>
                <w:lang w:val="ro-RO"/>
              </w:rPr>
              <w:t>38,3</w:t>
            </w:r>
          </w:p>
        </w:tc>
        <w:tc>
          <w:tcPr>
            <w:tcW w:w="1022" w:type="dxa"/>
            <w:vAlign w:val="center"/>
          </w:tcPr>
          <w:p w14:paraId="6C2F932D" w14:textId="77777777" w:rsidR="009F2507" w:rsidRPr="008E6807" w:rsidRDefault="009F2507" w:rsidP="009F2507">
            <w:pPr>
              <w:pStyle w:val="a6"/>
              <w:jc w:val="center"/>
              <w:rPr>
                <w:rFonts w:asciiTheme="majorHAnsi" w:hAnsiTheme="majorHAnsi"/>
                <w:sz w:val="20"/>
                <w:lang w:val="ro-RO"/>
              </w:rPr>
            </w:pPr>
            <w:r w:rsidRPr="008E6807">
              <w:rPr>
                <w:rFonts w:asciiTheme="majorHAnsi" w:hAnsiTheme="majorHAnsi"/>
                <w:sz w:val="20"/>
                <w:lang w:val="ro-RO"/>
              </w:rPr>
              <w:t>569,3</w:t>
            </w:r>
          </w:p>
        </w:tc>
        <w:tc>
          <w:tcPr>
            <w:tcW w:w="874" w:type="dxa"/>
            <w:vAlign w:val="center"/>
          </w:tcPr>
          <w:p w14:paraId="782E0793"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8539,0</w:t>
            </w:r>
          </w:p>
        </w:tc>
        <w:tc>
          <w:tcPr>
            <w:tcW w:w="992" w:type="dxa"/>
            <w:vAlign w:val="center"/>
          </w:tcPr>
          <w:p w14:paraId="18E597B4" w14:textId="77777777" w:rsidR="009F2507" w:rsidRPr="008E6807" w:rsidRDefault="00202406" w:rsidP="009F2507">
            <w:pPr>
              <w:pStyle w:val="a6"/>
              <w:jc w:val="center"/>
              <w:rPr>
                <w:rFonts w:asciiTheme="majorHAnsi" w:hAnsiTheme="majorHAnsi"/>
                <w:sz w:val="20"/>
                <w:lang w:val="ro-RO"/>
              </w:rPr>
            </w:pPr>
            <w:r w:rsidRPr="008E6807">
              <w:rPr>
                <w:rFonts w:asciiTheme="majorHAnsi" w:hAnsiTheme="majorHAnsi"/>
                <w:sz w:val="20"/>
                <w:lang w:val="ro-RO"/>
              </w:rPr>
              <w:t>37,0</w:t>
            </w:r>
          </w:p>
        </w:tc>
        <w:tc>
          <w:tcPr>
            <w:tcW w:w="1022" w:type="dxa"/>
            <w:vAlign w:val="center"/>
          </w:tcPr>
          <w:p w14:paraId="3AF98D43" w14:textId="77777777" w:rsidR="009F2507" w:rsidRPr="008E6807" w:rsidRDefault="00DA2256" w:rsidP="009F2507">
            <w:pPr>
              <w:pStyle w:val="a6"/>
              <w:jc w:val="center"/>
              <w:rPr>
                <w:rFonts w:asciiTheme="majorHAnsi" w:hAnsiTheme="majorHAnsi"/>
                <w:sz w:val="20"/>
                <w:lang w:val="ro-RO"/>
              </w:rPr>
            </w:pPr>
            <w:r w:rsidRPr="008E6807">
              <w:rPr>
                <w:rFonts w:asciiTheme="majorHAnsi" w:hAnsiTheme="majorHAnsi"/>
                <w:sz w:val="20"/>
                <w:lang w:val="ro-RO"/>
              </w:rPr>
              <w:t>-100,9</w:t>
            </w:r>
          </w:p>
        </w:tc>
      </w:tr>
      <w:tr w:rsidR="009F2507" w:rsidRPr="00C8683B" w14:paraId="501B6A1B" w14:textId="77777777" w:rsidTr="00CE2AD4">
        <w:trPr>
          <w:jc w:val="center"/>
        </w:trPr>
        <w:tc>
          <w:tcPr>
            <w:tcW w:w="497" w:type="dxa"/>
          </w:tcPr>
          <w:p w14:paraId="157EE84F" w14:textId="77777777" w:rsidR="009F2507" w:rsidRPr="00C8683B" w:rsidRDefault="009F2507" w:rsidP="009F2507">
            <w:pPr>
              <w:pStyle w:val="a6"/>
              <w:rPr>
                <w:rFonts w:asciiTheme="majorHAnsi" w:hAnsiTheme="majorHAnsi" w:cstheme="majorHAnsi"/>
                <w:b/>
                <w:sz w:val="20"/>
                <w:szCs w:val="20"/>
                <w:lang w:val="ro-RO"/>
              </w:rPr>
            </w:pPr>
          </w:p>
        </w:tc>
        <w:tc>
          <w:tcPr>
            <w:tcW w:w="1205" w:type="dxa"/>
            <w:vAlign w:val="center"/>
          </w:tcPr>
          <w:p w14:paraId="40A2E189" w14:textId="77777777" w:rsidR="009F2507" w:rsidRPr="00C8683B" w:rsidRDefault="009F2507" w:rsidP="009F2507">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Termen lung</w:t>
            </w:r>
          </w:p>
        </w:tc>
        <w:tc>
          <w:tcPr>
            <w:tcW w:w="874" w:type="dxa"/>
            <w:vAlign w:val="center"/>
          </w:tcPr>
          <w:p w14:paraId="43B31F82"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13449,0</w:t>
            </w:r>
          </w:p>
        </w:tc>
        <w:tc>
          <w:tcPr>
            <w:tcW w:w="992" w:type="dxa"/>
            <w:vAlign w:val="center"/>
          </w:tcPr>
          <w:p w14:paraId="49CC96CB"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62,5</w:t>
            </w:r>
          </w:p>
        </w:tc>
        <w:tc>
          <w:tcPr>
            <w:tcW w:w="874" w:type="dxa"/>
            <w:vAlign w:val="center"/>
          </w:tcPr>
          <w:p w14:paraId="48C1B80C"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13938,6</w:t>
            </w:r>
          </w:p>
        </w:tc>
        <w:tc>
          <w:tcPr>
            <w:tcW w:w="992" w:type="dxa"/>
            <w:vAlign w:val="center"/>
          </w:tcPr>
          <w:p w14:paraId="4ABE7714" w14:textId="77777777" w:rsidR="009F2507" w:rsidRPr="008E6807" w:rsidRDefault="009F2507" w:rsidP="009F2507">
            <w:pPr>
              <w:pStyle w:val="a6"/>
              <w:jc w:val="center"/>
              <w:rPr>
                <w:rFonts w:asciiTheme="majorHAnsi" w:hAnsiTheme="majorHAnsi"/>
                <w:sz w:val="20"/>
                <w:lang w:val="ro-RO"/>
              </w:rPr>
            </w:pPr>
            <w:r w:rsidRPr="008E6807">
              <w:rPr>
                <w:rFonts w:asciiTheme="majorHAnsi" w:hAnsiTheme="majorHAnsi"/>
                <w:sz w:val="20"/>
                <w:lang w:val="ro-RO"/>
              </w:rPr>
              <w:t>61,7</w:t>
            </w:r>
          </w:p>
        </w:tc>
        <w:tc>
          <w:tcPr>
            <w:tcW w:w="1022" w:type="dxa"/>
            <w:vAlign w:val="center"/>
          </w:tcPr>
          <w:p w14:paraId="07EB287D" w14:textId="77777777" w:rsidR="009F2507" w:rsidRPr="008E6807" w:rsidRDefault="009F2507" w:rsidP="009F2507">
            <w:pPr>
              <w:pStyle w:val="a6"/>
              <w:jc w:val="center"/>
              <w:rPr>
                <w:rFonts w:asciiTheme="majorHAnsi" w:hAnsiTheme="majorHAnsi"/>
                <w:sz w:val="20"/>
                <w:lang w:val="ro-RO"/>
              </w:rPr>
            </w:pPr>
            <w:r w:rsidRPr="008E6807">
              <w:rPr>
                <w:rFonts w:asciiTheme="majorHAnsi" w:hAnsiTheme="majorHAnsi"/>
                <w:sz w:val="20"/>
                <w:lang w:val="ro-RO"/>
              </w:rPr>
              <w:t>489,6</w:t>
            </w:r>
          </w:p>
        </w:tc>
        <w:tc>
          <w:tcPr>
            <w:tcW w:w="874" w:type="dxa"/>
            <w:vAlign w:val="center"/>
          </w:tcPr>
          <w:p w14:paraId="637CFE4D"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14519,6</w:t>
            </w:r>
          </w:p>
        </w:tc>
        <w:tc>
          <w:tcPr>
            <w:tcW w:w="992" w:type="dxa"/>
            <w:vAlign w:val="center"/>
          </w:tcPr>
          <w:p w14:paraId="4D34C755" w14:textId="77777777" w:rsidR="009F2507" w:rsidRPr="008E6807" w:rsidRDefault="00202406" w:rsidP="009F2507">
            <w:pPr>
              <w:pStyle w:val="a6"/>
              <w:jc w:val="center"/>
              <w:rPr>
                <w:rFonts w:asciiTheme="majorHAnsi" w:hAnsiTheme="majorHAnsi"/>
                <w:sz w:val="20"/>
                <w:lang w:val="ro-RO"/>
              </w:rPr>
            </w:pPr>
            <w:r w:rsidRPr="008E6807">
              <w:rPr>
                <w:rFonts w:asciiTheme="majorHAnsi" w:hAnsiTheme="majorHAnsi"/>
                <w:sz w:val="20"/>
                <w:lang w:val="ro-RO"/>
              </w:rPr>
              <w:t>63,0</w:t>
            </w:r>
          </w:p>
        </w:tc>
        <w:tc>
          <w:tcPr>
            <w:tcW w:w="1022" w:type="dxa"/>
            <w:vAlign w:val="center"/>
          </w:tcPr>
          <w:p w14:paraId="7CCFEF47" w14:textId="77777777" w:rsidR="009F2507" w:rsidRPr="008E6807" w:rsidRDefault="00DA2256" w:rsidP="009F2507">
            <w:pPr>
              <w:pStyle w:val="a6"/>
              <w:jc w:val="center"/>
              <w:rPr>
                <w:rFonts w:asciiTheme="majorHAnsi" w:hAnsiTheme="majorHAnsi"/>
                <w:sz w:val="20"/>
                <w:lang w:val="ro-RO"/>
              </w:rPr>
            </w:pPr>
            <w:r w:rsidRPr="008E6807">
              <w:rPr>
                <w:rFonts w:asciiTheme="majorHAnsi" w:hAnsiTheme="majorHAnsi"/>
                <w:sz w:val="20"/>
                <w:lang w:val="ro-RO"/>
              </w:rPr>
              <w:t>581,0</w:t>
            </w:r>
          </w:p>
        </w:tc>
      </w:tr>
      <w:tr w:rsidR="009F2507" w:rsidRPr="00C8683B" w14:paraId="1ADB4D99" w14:textId="77777777" w:rsidTr="00CE2AD4">
        <w:trPr>
          <w:trHeight w:val="172"/>
          <w:jc w:val="center"/>
        </w:trPr>
        <w:tc>
          <w:tcPr>
            <w:tcW w:w="497" w:type="dxa"/>
          </w:tcPr>
          <w:p w14:paraId="46C27CA1" w14:textId="77777777" w:rsidR="009F2507" w:rsidRPr="00C8683B" w:rsidRDefault="009F2507" w:rsidP="009F2507">
            <w:pPr>
              <w:pStyle w:val="a6"/>
              <w:rPr>
                <w:rFonts w:asciiTheme="majorHAnsi" w:hAnsiTheme="majorHAnsi" w:cstheme="majorHAnsi"/>
                <w:b/>
                <w:sz w:val="20"/>
                <w:szCs w:val="20"/>
                <w:lang w:val="ro-RO"/>
              </w:rPr>
            </w:pPr>
            <w:r w:rsidRPr="00C8683B">
              <w:rPr>
                <w:rFonts w:asciiTheme="majorHAnsi" w:hAnsiTheme="majorHAnsi" w:cstheme="majorHAnsi"/>
                <w:b/>
                <w:sz w:val="20"/>
                <w:szCs w:val="20"/>
                <w:lang w:val="ro-RO"/>
              </w:rPr>
              <w:t>4.</w:t>
            </w:r>
          </w:p>
        </w:tc>
        <w:tc>
          <w:tcPr>
            <w:tcW w:w="8847" w:type="dxa"/>
            <w:gridSpan w:val="9"/>
            <w:vAlign w:val="center"/>
          </w:tcPr>
          <w:p w14:paraId="2E33F8C4" w14:textId="77777777" w:rsidR="009F2507" w:rsidRPr="00C8683B" w:rsidRDefault="009F2507" w:rsidP="009F2507">
            <w:pPr>
              <w:pStyle w:val="a6"/>
              <w:jc w:val="center"/>
              <w:rPr>
                <w:rFonts w:asciiTheme="majorHAnsi" w:hAnsiTheme="majorHAnsi" w:cstheme="majorHAnsi"/>
                <w:b/>
                <w:sz w:val="20"/>
                <w:szCs w:val="20"/>
                <w:lang w:val="ro-RO"/>
              </w:rPr>
            </w:pPr>
            <w:r w:rsidRPr="00C8683B">
              <w:rPr>
                <w:rFonts w:asciiTheme="majorHAnsi" w:hAnsiTheme="majorHAnsi" w:cstheme="majorHAnsi"/>
                <w:b/>
                <w:sz w:val="20"/>
                <w:szCs w:val="20"/>
                <w:lang w:val="ro-RO"/>
              </w:rPr>
              <w:t>După rata dobânzii</w:t>
            </w:r>
          </w:p>
        </w:tc>
      </w:tr>
      <w:tr w:rsidR="009F2507" w:rsidRPr="00C8683B" w14:paraId="56983949" w14:textId="77777777" w:rsidTr="00CE2AD4">
        <w:trPr>
          <w:jc w:val="center"/>
        </w:trPr>
        <w:tc>
          <w:tcPr>
            <w:tcW w:w="497" w:type="dxa"/>
          </w:tcPr>
          <w:p w14:paraId="6A3CAA9D" w14:textId="77777777" w:rsidR="009F2507" w:rsidRPr="00C8683B" w:rsidRDefault="009F2507" w:rsidP="009F2507">
            <w:pPr>
              <w:pStyle w:val="a6"/>
              <w:rPr>
                <w:rFonts w:asciiTheme="majorHAnsi" w:hAnsiTheme="majorHAnsi" w:cstheme="majorHAnsi"/>
                <w:b/>
                <w:sz w:val="20"/>
                <w:szCs w:val="20"/>
                <w:lang w:val="ro-RO"/>
              </w:rPr>
            </w:pPr>
          </w:p>
        </w:tc>
        <w:tc>
          <w:tcPr>
            <w:tcW w:w="1205" w:type="dxa"/>
            <w:vAlign w:val="center"/>
          </w:tcPr>
          <w:p w14:paraId="346A468B" w14:textId="77777777" w:rsidR="009F2507" w:rsidRPr="00C8683B" w:rsidRDefault="009F2507" w:rsidP="009F2507">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Fixă</w:t>
            </w:r>
          </w:p>
        </w:tc>
        <w:tc>
          <w:tcPr>
            <w:tcW w:w="874" w:type="dxa"/>
            <w:vAlign w:val="center"/>
          </w:tcPr>
          <w:p w14:paraId="6C20FF7C"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21369,7</w:t>
            </w:r>
          </w:p>
        </w:tc>
        <w:tc>
          <w:tcPr>
            <w:tcW w:w="992" w:type="dxa"/>
            <w:vAlign w:val="center"/>
          </w:tcPr>
          <w:p w14:paraId="48F632B4"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99,3</w:t>
            </w:r>
          </w:p>
        </w:tc>
        <w:tc>
          <w:tcPr>
            <w:tcW w:w="874" w:type="dxa"/>
            <w:vAlign w:val="center"/>
          </w:tcPr>
          <w:p w14:paraId="28040A92"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22310,2</w:t>
            </w:r>
          </w:p>
        </w:tc>
        <w:tc>
          <w:tcPr>
            <w:tcW w:w="992" w:type="dxa"/>
            <w:vAlign w:val="center"/>
          </w:tcPr>
          <w:p w14:paraId="3E163B16" w14:textId="77777777" w:rsidR="009F2507" w:rsidRPr="008E6807" w:rsidRDefault="009F2507" w:rsidP="009F2507">
            <w:pPr>
              <w:pStyle w:val="a6"/>
              <w:jc w:val="center"/>
              <w:rPr>
                <w:rFonts w:asciiTheme="majorHAnsi" w:hAnsiTheme="majorHAnsi"/>
                <w:sz w:val="20"/>
                <w:lang w:val="ro-RO"/>
              </w:rPr>
            </w:pPr>
            <w:r w:rsidRPr="008E6807">
              <w:rPr>
                <w:rFonts w:asciiTheme="majorHAnsi" w:hAnsiTheme="majorHAnsi"/>
                <w:sz w:val="20"/>
                <w:lang w:val="ro-RO"/>
              </w:rPr>
              <w:t>98,8</w:t>
            </w:r>
          </w:p>
        </w:tc>
        <w:tc>
          <w:tcPr>
            <w:tcW w:w="1022" w:type="dxa"/>
            <w:vAlign w:val="center"/>
          </w:tcPr>
          <w:p w14:paraId="75E58FBC" w14:textId="77777777" w:rsidR="009F2507" w:rsidRPr="008E6807" w:rsidRDefault="009F2507" w:rsidP="009F2507">
            <w:pPr>
              <w:pStyle w:val="a6"/>
              <w:jc w:val="center"/>
              <w:rPr>
                <w:rFonts w:asciiTheme="majorHAnsi" w:hAnsiTheme="majorHAnsi"/>
                <w:sz w:val="20"/>
                <w:lang w:val="ro-RO"/>
              </w:rPr>
            </w:pPr>
            <w:r w:rsidRPr="008E6807">
              <w:rPr>
                <w:rFonts w:asciiTheme="majorHAnsi" w:hAnsiTheme="majorHAnsi"/>
                <w:sz w:val="20"/>
                <w:lang w:val="ro-RO"/>
              </w:rPr>
              <w:t>940,5</w:t>
            </w:r>
          </w:p>
        </w:tc>
        <w:tc>
          <w:tcPr>
            <w:tcW w:w="874" w:type="dxa"/>
            <w:vAlign w:val="center"/>
          </w:tcPr>
          <w:p w14:paraId="02C809D9"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22761,6</w:t>
            </w:r>
          </w:p>
        </w:tc>
        <w:tc>
          <w:tcPr>
            <w:tcW w:w="992" w:type="dxa"/>
            <w:vAlign w:val="center"/>
          </w:tcPr>
          <w:p w14:paraId="4F2E88B2" w14:textId="77777777" w:rsidR="009F2507" w:rsidRPr="008E6807" w:rsidRDefault="00202406" w:rsidP="009F2507">
            <w:pPr>
              <w:pStyle w:val="a6"/>
              <w:jc w:val="center"/>
              <w:rPr>
                <w:rFonts w:asciiTheme="majorHAnsi" w:hAnsiTheme="majorHAnsi"/>
                <w:sz w:val="20"/>
                <w:lang w:val="ro-RO"/>
              </w:rPr>
            </w:pPr>
            <w:r w:rsidRPr="008E6807">
              <w:rPr>
                <w:rFonts w:asciiTheme="majorHAnsi" w:hAnsiTheme="majorHAnsi"/>
                <w:sz w:val="20"/>
                <w:lang w:val="ro-RO"/>
              </w:rPr>
              <w:t>98,7</w:t>
            </w:r>
          </w:p>
        </w:tc>
        <w:tc>
          <w:tcPr>
            <w:tcW w:w="1022" w:type="dxa"/>
            <w:vAlign w:val="center"/>
          </w:tcPr>
          <w:p w14:paraId="473EFDB7" w14:textId="77777777" w:rsidR="009F2507" w:rsidRPr="008E6807" w:rsidRDefault="00DA2256" w:rsidP="009F2507">
            <w:pPr>
              <w:pStyle w:val="a6"/>
              <w:jc w:val="center"/>
              <w:rPr>
                <w:rFonts w:asciiTheme="majorHAnsi" w:hAnsiTheme="majorHAnsi"/>
                <w:sz w:val="20"/>
                <w:lang w:val="ro-RO"/>
              </w:rPr>
            </w:pPr>
            <w:r w:rsidRPr="008E6807">
              <w:rPr>
                <w:rFonts w:asciiTheme="majorHAnsi" w:hAnsiTheme="majorHAnsi"/>
                <w:sz w:val="20"/>
                <w:lang w:val="ro-RO"/>
              </w:rPr>
              <w:t>451,4</w:t>
            </w:r>
          </w:p>
        </w:tc>
      </w:tr>
      <w:tr w:rsidR="009F2507" w:rsidRPr="00C8683B" w14:paraId="1E281F67" w14:textId="77777777" w:rsidTr="00CE2AD4">
        <w:trPr>
          <w:jc w:val="center"/>
        </w:trPr>
        <w:tc>
          <w:tcPr>
            <w:tcW w:w="497" w:type="dxa"/>
          </w:tcPr>
          <w:p w14:paraId="28DA7D43" w14:textId="77777777" w:rsidR="009F2507" w:rsidRPr="00C8683B" w:rsidRDefault="009F2507" w:rsidP="009F2507">
            <w:pPr>
              <w:pStyle w:val="a6"/>
              <w:rPr>
                <w:rFonts w:asciiTheme="majorHAnsi" w:hAnsiTheme="majorHAnsi" w:cstheme="majorHAnsi"/>
                <w:b/>
                <w:sz w:val="20"/>
                <w:szCs w:val="20"/>
                <w:lang w:val="ro-RO"/>
              </w:rPr>
            </w:pPr>
          </w:p>
        </w:tc>
        <w:tc>
          <w:tcPr>
            <w:tcW w:w="1205" w:type="dxa"/>
            <w:vAlign w:val="center"/>
          </w:tcPr>
          <w:p w14:paraId="610441B7" w14:textId="77777777" w:rsidR="009F2507" w:rsidRPr="00C8683B" w:rsidRDefault="009F2507" w:rsidP="009F2507">
            <w:pPr>
              <w:pStyle w:val="a6"/>
              <w:rPr>
                <w:rFonts w:asciiTheme="majorHAnsi" w:hAnsiTheme="majorHAnsi" w:cstheme="majorHAnsi"/>
                <w:b/>
                <w:sz w:val="20"/>
                <w:szCs w:val="20"/>
                <w:lang w:val="ro-RO"/>
              </w:rPr>
            </w:pPr>
            <w:r w:rsidRPr="00C8683B">
              <w:rPr>
                <w:rFonts w:asciiTheme="majorHAnsi" w:hAnsiTheme="majorHAnsi" w:cstheme="majorHAnsi"/>
                <w:sz w:val="20"/>
                <w:szCs w:val="20"/>
                <w:lang w:val="ro-RO"/>
              </w:rPr>
              <w:t>Flotantă</w:t>
            </w:r>
          </w:p>
        </w:tc>
        <w:tc>
          <w:tcPr>
            <w:tcW w:w="874" w:type="dxa"/>
            <w:vAlign w:val="center"/>
          </w:tcPr>
          <w:p w14:paraId="7B59E32B"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149,9</w:t>
            </w:r>
          </w:p>
        </w:tc>
        <w:tc>
          <w:tcPr>
            <w:tcW w:w="992" w:type="dxa"/>
            <w:vAlign w:val="center"/>
          </w:tcPr>
          <w:p w14:paraId="426CD2B8"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0,7</w:t>
            </w:r>
          </w:p>
        </w:tc>
        <w:tc>
          <w:tcPr>
            <w:tcW w:w="874" w:type="dxa"/>
            <w:vAlign w:val="center"/>
          </w:tcPr>
          <w:p w14:paraId="63DCBE79"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268,3</w:t>
            </w:r>
          </w:p>
        </w:tc>
        <w:tc>
          <w:tcPr>
            <w:tcW w:w="992" w:type="dxa"/>
            <w:vAlign w:val="center"/>
          </w:tcPr>
          <w:p w14:paraId="26841BCC" w14:textId="77777777" w:rsidR="009F2507" w:rsidRPr="008E6807" w:rsidRDefault="009F2507" w:rsidP="009F2507">
            <w:pPr>
              <w:pStyle w:val="a6"/>
              <w:jc w:val="center"/>
              <w:rPr>
                <w:rFonts w:asciiTheme="majorHAnsi" w:hAnsiTheme="majorHAnsi"/>
                <w:sz w:val="20"/>
                <w:lang w:val="ro-RO"/>
              </w:rPr>
            </w:pPr>
            <w:r w:rsidRPr="008E6807">
              <w:rPr>
                <w:rFonts w:asciiTheme="majorHAnsi" w:hAnsiTheme="majorHAnsi"/>
                <w:sz w:val="20"/>
                <w:lang w:val="ro-RO"/>
              </w:rPr>
              <w:t>1,2</w:t>
            </w:r>
          </w:p>
        </w:tc>
        <w:tc>
          <w:tcPr>
            <w:tcW w:w="1022" w:type="dxa"/>
            <w:vAlign w:val="center"/>
          </w:tcPr>
          <w:p w14:paraId="352B33E8" w14:textId="77777777" w:rsidR="009F2507" w:rsidRPr="008E6807" w:rsidRDefault="009F2507" w:rsidP="009F2507">
            <w:pPr>
              <w:pStyle w:val="a6"/>
              <w:jc w:val="center"/>
              <w:rPr>
                <w:rFonts w:asciiTheme="majorHAnsi" w:hAnsiTheme="majorHAnsi"/>
                <w:sz w:val="20"/>
                <w:lang w:val="ro-RO"/>
              </w:rPr>
            </w:pPr>
            <w:r w:rsidRPr="008E6807">
              <w:rPr>
                <w:rFonts w:asciiTheme="majorHAnsi" w:hAnsiTheme="majorHAnsi"/>
                <w:sz w:val="20"/>
                <w:lang w:val="ro-RO"/>
              </w:rPr>
              <w:t>118,4</w:t>
            </w:r>
          </w:p>
        </w:tc>
        <w:tc>
          <w:tcPr>
            <w:tcW w:w="874" w:type="dxa"/>
            <w:vAlign w:val="center"/>
          </w:tcPr>
          <w:p w14:paraId="55731A1B" w14:textId="77777777" w:rsidR="009F2507" w:rsidRPr="00C8683B" w:rsidRDefault="00202406"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296,9</w:t>
            </w:r>
          </w:p>
        </w:tc>
        <w:tc>
          <w:tcPr>
            <w:tcW w:w="992" w:type="dxa"/>
            <w:vAlign w:val="center"/>
          </w:tcPr>
          <w:p w14:paraId="3BBD5AF2" w14:textId="77777777" w:rsidR="009F2507" w:rsidRPr="008E6807" w:rsidRDefault="00202406" w:rsidP="009F2507">
            <w:pPr>
              <w:pStyle w:val="a6"/>
              <w:jc w:val="center"/>
              <w:rPr>
                <w:rFonts w:asciiTheme="majorHAnsi" w:hAnsiTheme="majorHAnsi"/>
                <w:sz w:val="20"/>
                <w:lang w:val="ro-RO"/>
              </w:rPr>
            </w:pPr>
            <w:r w:rsidRPr="008E6807">
              <w:rPr>
                <w:rFonts w:asciiTheme="majorHAnsi" w:hAnsiTheme="majorHAnsi"/>
                <w:sz w:val="20"/>
                <w:lang w:val="ro-RO"/>
              </w:rPr>
              <w:t>1,29</w:t>
            </w:r>
          </w:p>
        </w:tc>
        <w:tc>
          <w:tcPr>
            <w:tcW w:w="1022" w:type="dxa"/>
            <w:vAlign w:val="center"/>
          </w:tcPr>
          <w:p w14:paraId="6A56C749" w14:textId="77777777" w:rsidR="009F2507" w:rsidRPr="008E6807" w:rsidRDefault="00DA2256" w:rsidP="009F2507">
            <w:pPr>
              <w:pStyle w:val="a6"/>
              <w:jc w:val="center"/>
              <w:rPr>
                <w:rFonts w:asciiTheme="majorHAnsi" w:hAnsiTheme="majorHAnsi"/>
                <w:sz w:val="20"/>
                <w:lang w:val="ro-RO"/>
              </w:rPr>
            </w:pPr>
            <w:r w:rsidRPr="008E6807">
              <w:rPr>
                <w:rFonts w:asciiTheme="majorHAnsi" w:hAnsiTheme="majorHAnsi"/>
                <w:sz w:val="20"/>
                <w:lang w:val="ro-RO"/>
              </w:rPr>
              <w:t>28,6</w:t>
            </w:r>
          </w:p>
        </w:tc>
      </w:tr>
      <w:tr w:rsidR="009F2507" w:rsidRPr="00C8683B" w14:paraId="626B8191" w14:textId="77777777" w:rsidTr="00CE2AD4">
        <w:trPr>
          <w:jc w:val="center"/>
        </w:trPr>
        <w:tc>
          <w:tcPr>
            <w:tcW w:w="497" w:type="dxa"/>
          </w:tcPr>
          <w:p w14:paraId="04496AC5" w14:textId="77777777" w:rsidR="009F2507" w:rsidRPr="00C8683B" w:rsidRDefault="009F2507" w:rsidP="009F2507">
            <w:pPr>
              <w:pStyle w:val="a6"/>
              <w:rPr>
                <w:rFonts w:asciiTheme="majorHAnsi" w:hAnsiTheme="majorHAnsi" w:cstheme="majorHAnsi"/>
                <w:b/>
                <w:sz w:val="20"/>
                <w:szCs w:val="20"/>
                <w:lang w:val="ro-RO"/>
              </w:rPr>
            </w:pPr>
            <w:r w:rsidRPr="00C8683B">
              <w:rPr>
                <w:rFonts w:asciiTheme="majorHAnsi" w:hAnsiTheme="majorHAnsi" w:cstheme="majorHAnsi"/>
                <w:b/>
                <w:sz w:val="20"/>
                <w:szCs w:val="20"/>
                <w:lang w:val="ro-RO"/>
              </w:rPr>
              <w:t>5.</w:t>
            </w:r>
          </w:p>
        </w:tc>
        <w:tc>
          <w:tcPr>
            <w:tcW w:w="8847" w:type="dxa"/>
            <w:gridSpan w:val="9"/>
            <w:vAlign w:val="center"/>
          </w:tcPr>
          <w:p w14:paraId="0F91AB76" w14:textId="77777777" w:rsidR="009F2507" w:rsidRPr="00C8683B" w:rsidRDefault="009F2507" w:rsidP="009F2507">
            <w:pPr>
              <w:pStyle w:val="a6"/>
              <w:jc w:val="center"/>
              <w:rPr>
                <w:rFonts w:asciiTheme="majorHAnsi" w:hAnsiTheme="majorHAnsi" w:cstheme="majorHAnsi"/>
                <w:b/>
                <w:sz w:val="20"/>
                <w:szCs w:val="20"/>
                <w:lang w:val="ro-RO"/>
              </w:rPr>
            </w:pPr>
            <w:r w:rsidRPr="00C8683B">
              <w:rPr>
                <w:rFonts w:asciiTheme="majorHAnsi" w:hAnsiTheme="majorHAnsi" w:cstheme="majorHAnsi"/>
                <w:b/>
                <w:sz w:val="20"/>
                <w:szCs w:val="20"/>
                <w:lang w:val="ro-RO"/>
              </w:rPr>
              <w:t>După destinație</w:t>
            </w:r>
          </w:p>
        </w:tc>
      </w:tr>
      <w:tr w:rsidR="009F2507" w:rsidRPr="00C8683B" w14:paraId="5C66ADC2" w14:textId="77777777" w:rsidTr="00CE2AD4">
        <w:trPr>
          <w:jc w:val="center"/>
        </w:trPr>
        <w:tc>
          <w:tcPr>
            <w:tcW w:w="497" w:type="dxa"/>
          </w:tcPr>
          <w:p w14:paraId="51567E40" w14:textId="77777777" w:rsidR="009F2507" w:rsidRPr="00C8683B" w:rsidRDefault="009F2507" w:rsidP="009F2507">
            <w:pPr>
              <w:pStyle w:val="a6"/>
              <w:rPr>
                <w:rFonts w:asciiTheme="majorHAnsi" w:hAnsiTheme="majorHAnsi" w:cstheme="majorHAnsi"/>
                <w:b/>
                <w:sz w:val="20"/>
                <w:szCs w:val="20"/>
                <w:lang w:val="ro-RO"/>
              </w:rPr>
            </w:pPr>
          </w:p>
        </w:tc>
        <w:tc>
          <w:tcPr>
            <w:tcW w:w="1205" w:type="dxa"/>
            <w:vAlign w:val="center"/>
          </w:tcPr>
          <w:p w14:paraId="7E3650A3" w14:textId="77777777" w:rsidR="009F2507" w:rsidRPr="00C8683B" w:rsidRDefault="009F2507" w:rsidP="009F2507">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Finanțarea deficitului bugetar</w:t>
            </w:r>
          </w:p>
        </w:tc>
        <w:tc>
          <w:tcPr>
            <w:tcW w:w="874" w:type="dxa"/>
            <w:vAlign w:val="center"/>
          </w:tcPr>
          <w:p w14:paraId="04C072EE"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8178,4</w:t>
            </w:r>
          </w:p>
        </w:tc>
        <w:tc>
          <w:tcPr>
            <w:tcW w:w="992" w:type="dxa"/>
            <w:vAlign w:val="center"/>
          </w:tcPr>
          <w:p w14:paraId="6605D5B9"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38,0</w:t>
            </w:r>
          </w:p>
        </w:tc>
        <w:tc>
          <w:tcPr>
            <w:tcW w:w="874" w:type="dxa"/>
            <w:vAlign w:val="center"/>
          </w:tcPr>
          <w:p w14:paraId="08E4FC11" w14:textId="77777777" w:rsidR="009F2507" w:rsidRPr="00C8683B" w:rsidRDefault="00914E94"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8778,4</w:t>
            </w:r>
          </w:p>
        </w:tc>
        <w:tc>
          <w:tcPr>
            <w:tcW w:w="992" w:type="dxa"/>
            <w:vAlign w:val="center"/>
          </w:tcPr>
          <w:p w14:paraId="53A6D431" w14:textId="77777777" w:rsidR="009F2507" w:rsidRPr="008E6807" w:rsidRDefault="0098458F" w:rsidP="009F2507">
            <w:pPr>
              <w:pStyle w:val="a6"/>
              <w:jc w:val="center"/>
              <w:rPr>
                <w:rFonts w:asciiTheme="majorHAnsi" w:hAnsiTheme="majorHAnsi"/>
                <w:sz w:val="20"/>
                <w:lang w:val="ro-RO"/>
              </w:rPr>
            </w:pPr>
            <w:r w:rsidRPr="008E6807">
              <w:rPr>
                <w:rFonts w:asciiTheme="majorHAnsi" w:hAnsiTheme="majorHAnsi"/>
                <w:sz w:val="20"/>
                <w:lang w:val="ro-RO"/>
              </w:rPr>
              <w:t>38,9</w:t>
            </w:r>
          </w:p>
        </w:tc>
        <w:tc>
          <w:tcPr>
            <w:tcW w:w="1022" w:type="dxa"/>
            <w:vAlign w:val="center"/>
          </w:tcPr>
          <w:p w14:paraId="42274899" w14:textId="77777777" w:rsidR="009F2507" w:rsidRPr="008E6807" w:rsidRDefault="0098458F" w:rsidP="009F2507">
            <w:pPr>
              <w:pStyle w:val="a6"/>
              <w:jc w:val="center"/>
              <w:rPr>
                <w:rFonts w:asciiTheme="majorHAnsi" w:hAnsiTheme="majorHAnsi"/>
                <w:sz w:val="20"/>
                <w:lang w:val="ro-RO"/>
              </w:rPr>
            </w:pPr>
            <w:r w:rsidRPr="008E6807">
              <w:rPr>
                <w:rFonts w:asciiTheme="majorHAnsi" w:hAnsiTheme="majorHAnsi"/>
                <w:sz w:val="20"/>
                <w:lang w:val="ro-RO"/>
              </w:rPr>
              <w:t>600,0</w:t>
            </w:r>
          </w:p>
        </w:tc>
        <w:tc>
          <w:tcPr>
            <w:tcW w:w="874" w:type="dxa"/>
            <w:vAlign w:val="center"/>
          </w:tcPr>
          <w:p w14:paraId="7818E587" w14:textId="77777777" w:rsidR="009F2507" w:rsidRPr="00C8683B" w:rsidRDefault="00202406"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9378,4</w:t>
            </w:r>
          </w:p>
        </w:tc>
        <w:tc>
          <w:tcPr>
            <w:tcW w:w="992" w:type="dxa"/>
            <w:vAlign w:val="center"/>
          </w:tcPr>
          <w:p w14:paraId="6E2A64FA" w14:textId="77777777" w:rsidR="009F2507" w:rsidRPr="008E6807" w:rsidRDefault="00202406" w:rsidP="009F2507">
            <w:pPr>
              <w:pStyle w:val="a6"/>
              <w:jc w:val="center"/>
              <w:rPr>
                <w:rFonts w:asciiTheme="majorHAnsi" w:hAnsiTheme="majorHAnsi"/>
                <w:sz w:val="20"/>
                <w:lang w:val="ro-RO"/>
              </w:rPr>
            </w:pPr>
            <w:r w:rsidRPr="008E6807">
              <w:rPr>
                <w:rFonts w:asciiTheme="majorHAnsi" w:hAnsiTheme="majorHAnsi"/>
                <w:sz w:val="20"/>
                <w:lang w:val="ro-RO"/>
              </w:rPr>
              <w:t>40,7</w:t>
            </w:r>
          </w:p>
        </w:tc>
        <w:tc>
          <w:tcPr>
            <w:tcW w:w="1022" w:type="dxa"/>
            <w:vAlign w:val="center"/>
          </w:tcPr>
          <w:p w14:paraId="6B70AB40" w14:textId="77777777" w:rsidR="009F2507" w:rsidRPr="008E6807" w:rsidRDefault="00914E94" w:rsidP="009F2507">
            <w:pPr>
              <w:pStyle w:val="a6"/>
              <w:jc w:val="center"/>
              <w:rPr>
                <w:rFonts w:asciiTheme="majorHAnsi" w:hAnsiTheme="majorHAnsi"/>
                <w:sz w:val="20"/>
                <w:lang w:val="ro-RO"/>
              </w:rPr>
            </w:pPr>
            <w:r w:rsidRPr="008E6807">
              <w:rPr>
                <w:rFonts w:asciiTheme="majorHAnsi" w:hAnsiTheme="majorHAnsi"/>
                <w:sz w:val="20"/>
                <w:lang w:val="ro-RO"/>
              </w:rPr>
              <w:t>600,0</w:t>
            </w:r>
          </w:p>
        </w:tc>
      </w:tr>
      <w:tr w:rsidR="00202406" w:rsidRPr="00C8683B" w14:paraId="35EEEE31" w14:textId="77777777" w:rsidTr="00CE2AD4">
        <w:trPr>
          <w:jc w:val="center"/>
        </w:trPr>
        <w:tc>
          <w:tcPr>
            <w:tcW w:w="497" w:type="dxa"/>
          </w:tcPr>
          <w:p w14:paraId="6A24E0E3" w14:textId="77777777" w:rsidR="00202406" w:rsidRPr="00C8683B" w:rsidRDefault="00202406" w:rsidP="009F2507">
            <w:pPr>
              <w:pStyle w:val="a6"/>
              <w:rPr>
                <w:rFonts w:asciiTheme="majorHAnsi" w:hAnsiTheme="majorHAnsi" w:cstheme="majorHAnsi"/>
                <w:b/>
                <w:sz w:val="20"/>
                <w:szCs w:val="20"/>
                <w:lang w:val="ro-RO"/>
              </w:rPr>
            </w:pPr>
          </w:p>
        </w:tc>
        <w:tc>
          <w:tcPr>
            <w:tcW w:w="1205" w:type="dxa"/>
            <w:vAlign w:val="center"/>
          </w:tcPr>
          <w:p w14:paraId="23D45682" w14:textId="77777777" w:rsidR="00202406" w:rsidRPr="008E6807" w:rsidRDefault="00202406" w:rsidP="009F2507">
            <w:pPr>
              <w:pStyle w:val="a6"/>
              <w:rPr>
                <w:rFonts w:asciiTheme="majorHAnsi" w:hAnsiTheme="majorHAnsi"/>
                <w:sz w:val="20"/>
                <w:lang w:val="ro-RO"/>
              </w:rPr>
            </w:pPr>
            <w:r w:rsidRPr="00C8683B">
              <w:rPr>
                <w:rFonts w:asciiTheme="majorHAnsi" w:hAnsiTheme="majorHAnsi" w:cstheme="majorHAnsi"/>
                <w:sz w:val="20"/>
                <w:szCs w:val="20"/>
                <w:lang w:val="ro-RO"/>
              </w:rPr>
              <w:t>Crearea rezervei de lichidit</w:t>
            </w:r>
            <w:r w:rsidRPr="008E6807">
              <w:rPr>
                <w:rFonts w:asciiTheme="majorHAnsi" w:hAnsiTheme="majorHAnsi"/>
                <w:sz w:val="20"/>
                <w:lang w:val="ro-RO"/>
              </w:rPr>
              <w:t>ăți</w:t>
            </w:r>
          </w:p>
        </w:tc>
        <w:tc>
          <w:tcPr>
            <w:tcW w:w="874" w:type="dxa"/>
            <w:vAlign w:val="center"/>
          </w:tcPr>
          <w:p w14:paraId="24077E3D" w14:textId="77777777" w:rsidR="00202406" w:rsidRPr="00C8683B" w:rsidRDefault="00202406"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w:t>
            </w:r>
          </w:p>
        </w:tc>
        <w:tc>
          <w:tcPr>
            <w:tcW w:w="992" w:type="dxa"/>
            <w:vAlign w:val="center"/>
          </w:tcPr>
          <w:p w14:paraId="4E82A8CD" w14:textId="77777777" w:rsidR="00202406" w:rsidRPr="00C8683B" w:rsidRDefault="00202406"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w:t>
            </w:r>
          </w:p>
        </w:tc>
        <w:tc>
          <w:tcPr>
            <w:tcW w:w="874" w:type="dxa"/>
            <w:vAlign w:val="center"/>
          </w:tcPr>
          <w:p w14:paraId="0592949F" w14:textId="77777777" w:rsidR="00202406" w:rsidRPr="00C8683B" w:rsidRDefault="000871C3" w:rsidP="009F2507">
            <w:pPr>
              <w:pStyle w:val="a6"/>
              <w:jc w:val="center"/>
              <w:rPr>
                <w:rFonts w:asciiTheme="majorHAnsi" w:hAnsiTheme="majorHAnsi" w:cstheme="majorHAnsi"/>
                <w:color w:val="FF0000"/>
                <w:sz w:val="20"/>
                <w:szCs w:val="20"/>
                <w:lang w:val="ro-RO"/>
              </w:rPr>
            </w:pPr>
            <w:r w:rsidRPr="00C8683B">
              <w:rPr>
                <w:rFonts w:asciiTheme="majorHAnsi" w:hAnsiTheme="majorHAnsi" w:cstheme="majorHAnsi"/>
                <w:sz w:val="20"/>
                <w:szCs w:val="20"/>
                <w:lang w:val="ro-RO"/>
              </w:rPr>
              <w:t>508,9</w:t>
            </w:r>
          </w:p>
        </w:tc>
        <w:tc>
          <w:tcPr>
            <w:tcW w:w="992" w:type="dxa"/>
            <w:vAlign w:val="center"/>
          </w:tcPr>
          <w:p w14:paraId="635C4A90" w14:textId="77777777" w:rsidR="00202406" w:rsidRPr="008E6807" w:rsidRDefault="0098458F" w:rsidP="009F2507">
            <w:pPr>
              <w:pStyle w:val="a6"/>
              <w:jc w:val="center"/>
              <w:rPr>
                <w:rFonts w:asciiTheme="majorHAnsi" w:hAnsiTheme="majorHAnsi"/>
                <w:color w:val="FF0000"/>
                <w:sz w:val="20"/>
                <w:lang w:val="ro-RO"/>
              </w:rPr>
            </w:pPr>
            <w:r w:rsidRPr="008E6807">
              <w:rPr>
                <w:rFonts w:asciiTheme="majorHAnsi" w:hAnsiTheme="majorHAnsi"/>
                <w:sz w:val="20"/>
                <w:lang w:val="ro-RO"/>
              </w:rPr>
              <w:t>2,2</w:t>
            </w:r>
          </w:p>
        </w:tc>
        <w:tc>
          <w:tcPr>
            <w:tcW w:w="1022" w:type="dxa"/>
            <w:vAlign w:val="center"/>
          </w:tcPr>
          <w:p w14:paraId="66A555FE" w14:textId="77777777" w:rsidR="00202406" w:rsidRPr="008E6807" w:rsidRDefault="000871C3" w:rsidP="009F2507">
            <w:pPr>
              <w:pStyle w:val="a6"/>
              <w:jc w:val="center"/>
              <w:rPr>
                <w:rFonts w:asciiTheme="majorHAnsi" w:hAnsiTheme="majorHAnsi"/>
                <w:sz w:val="20"/>
                <w:lang w:val="ro-RO"/>
              </w:rPr>
            </w:pPr>
            <w:r w:rsidRPr="008E6807">
              <w:rPr>
                <w:rFonts w:asciiTheme="majorHAnsi" w:hAnsiTheme="majorHAnsi"/>
                <w:sz w:val="20"/>
                <w:lang w:val="ro-RO"/>
              </w:rPr>
              <w:t>508,9</w:t>
            </w:r>
          </w:p>
        </w:tc>
        <w:tc>
          <w:tcPr>
            <w:tcW w:w="874" w:type="dxa"/>
            <w:vAlign w:val="center"/>
          </w:tcPr>
          <w:p w14:paraId="6FE0EFC0" w14:textId="77777777" w:rsidR="00202406" w:rsidRPr="00C8683B" w:rsidRDefault="00202406"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598,9</w:t>
            </w:r>
          </w:p>
        </w:tc>
        <w:tc>
          <w:tcPr>
            <w:tcW w:w="992" w:type="dxa"/>
            <w:vAlign w:val="center"/>
          </w:tcPr>
          <w:p w14:paraId="235A89F8" w14:textId="77777777" w:rsidR="00202406" w:rsidRPr="008E6807" w:rsidRDefault="00202406" w:rsidP="009F2507">
            <w:pPr>
              <w:pStyle w:val="a6"/>
              <w:jc w:val="center"/>
              <w:rPr>
                <w:rFonts w:asciiTheme="majorHAnsi" w:hAnsiTheme="majorHAnsi"/>
                <w:sz w:val="20"/>
                <w:lang w:val="ro-RO"/>
              </w:rPr>
            </w:pPr>
            <w:r w:rsidRPr="008E6807">
              <w:rPr>
                <w:rFonts w:asciiTheme="majorHAnsi" w:hAnsiTheme="majorHAnsi"/>
                <w:sz w:val="20"/>
                <w:lang w:val="ro-RO"/>
              </w:rPr>
              <w:t>2,6</w:t>
            </w:r>
          </w:p>
        </w:tc>
        <w:tc>
          <w:tcPr>
            <w:tcW w:w="1022" w:type="dxa"/>
            <w:vAlign w:val="center"/>
          </w:tcPr>
          <w:p w14:paraId="636BB440" w14:textId="77777777" w:rsidR="00202406" w:rsidRPr="008E6807" w:rsidRDefault="005A5562" w:rsidP="009F2507">
            <w:pPr>
              <w:pStyle w:val="a6"/>
              <w:jc w:val="center"/>
              <w:rPr>
                <w:rFonts w:asciiTheme="majorHAnsi" w:hAnsiTheme="majorHAnsi"/>
                <w:sz w:val="20"/>
                <w:lang w:val="ro-RO"/>
              </w:rPr>
            </w:pPr>
            <w:r w:rsidRPr="008E6807">
              <w:rPr>
                <w:rFonts w:asciiTheme="majorHAnsi" w:hAnsiTheme="majorHAnsi"/>
                <w:sz w:val="20"/>
                <w:lang w:val="ro-RO"/>
              </w:rPr>
              <w:t>90,0</w:t>
            </w:r>
          </w:p>
        </w:tc>
      </w:tr>
      <w:tr w:rsidR="009F2507" w:rsidRPr="00C8683B" w14:paraId="24D2748A" w14:textId="77777777" w:rsidTr="00CE2AD4">
        <w:trPr>
          <w:jc w:val="center"/>
        </w:trPr>
        <w:tc>
          <w:tcPr>
            <w:tcW w:w="497" w:type="dxa"/>
          </w:tcPr>
          <w:p w14:paraId="2A3499B4" w14:textId="77777777" w:rsidR="009F2507" w:rsidRPr="00C8683B" w:rsidRDefault="009F2507" w:rsidP="009F2507">
            <w:pPr>
              <w:pStyle w:val="a6"/>
              <w:rPr>
                <w:rFonts w:asciiTheme="majorHAnsi" w:hAnsiTheme="majorHAnsi" w:cstheme="majorHAnsi"/>
                <w:b/>
                <w:sz w:val="20"/>
                <w:szCs w:val="20"/>
                <w:lang w:val="ro-RO"/>
              </w:rPr>
            </w:pPr>
          </w:p>
        </w:tc>
        <w:tc>
          <w:tcPr>
            <w:tcW w:w="1205" w:type="dxa"/>
            <w:vAlign w:val="center"/>
          </w:tcPr>
          <w:p w14:paraId="3EF9684E" w14:textId="77777777" w:rsidR="009F2507" w:rsidRPr="00C8683B" w:rsidRDefault="009F2507" w:rsidP="009F2507">
            <w:pPr>
              <w:pStyle w:val="a6"/>
              <w:rPr>
                <w:rFonts w:asciiTheme="majorHAnsi" w:hAnsiTheme="majorHAnsi" w:cstheme="majorHAnsi"/>
                <w:sz w:val="20"/>
                <w:szCs w:val="20"/>
                <w:lang w:val="ro-RO"/>
              </w:rPr>
            </w:pPr>
            <w:r w:rsidRPr="00C8683B">
              <w:rPr>
                <w:rFonts w:asciiTheme="majorHAnsi" w:hAnsiTheme="majorHAnsi" w:cstheme="majorHAnsi"/>
                <w:sz w:val="20"/>
                <w:szCs w:val="20"/>
                <w:lang w:val="ro-RO"/>
              </w:rPr>
              <w:t>Asigurarea executării garanțiilor de stat</w:t>
            </w:r>
          </w:p>
        </w:tc>
        <w:tc>
          <w:tcPr>
            <w:tcW w:w="874" w:type="dxa"/>
            <w:vAlign w:val="center"/>
          </w:tcPr>
          <w:p w14:paraId="012350FB"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13341,2</w:t>
            </w:r>
          </w:p>
        </w:tc>
        <w:tc>
          <w:tcPr>
            <w:tcW w:w="992" w:type="dxa"/>
            <w:vAlign w:val="center"/>
          </w:tcPr>
          <w:p w14:paraId="42E65C17"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62,0</w:t>
            </w:r>
          </w:p>
        </w:tc>
        <w:tc>
          <w:tcPr>
            <w:tcW w:w="874" w:type="dxa"/>
            <w:vAlign w:val="center"/>
          </w:tcPr>
          <w:p w14:paraId="1A67ACF6" w14:textId="77777777" w:rsidR="009F2507" w:rsidRPr="00C8683B" w:rsidRDefault="009F2507"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13291,2</w:t>
            </w:r>
          </w:p>
        </w:tc>
        <w:tc>
          <w:tcPr>
            <w:tcW w:w="992" w:type="dxa"/>
            <w:vAlign w:val="center"/>
          </w:tcPr>
          <w:p w14:paraId="166306B4" w14:textId="77777777" w:rsidR="009F2507" w:rsidRPr="008E6807" w:rsidRDefault="009F2507" w:rsidP="009F2507">
            <w:pPr>
              <w:pStyle w:val="a6"/>
              <w:jc w:val="center"/>
              <w:rPr>
                <w:rFonts w:asciiTheme="majorHAnsi" w:hAnsiTheme="majorHAnsi"/>
                <w:sz w:val="20"/>
                <w:lang w:val="ro-RO"/>
              </w:rPr>
            </w:pPr>
            <w:r w:rsidRPr="008E6807">
              <w:rPr>
                <w:rFonts w:asciiTheme="majorHAnsi" w:hAnsiTheme="majorHAnsi"/>
                <w:sz w:val="20"/>
                <w:lang w:val="ro-RO"/>
              </w:rPr>
              <w:t>58,9</w:t>
            </w:r>
          </w:p>
        </w:tc>
        <w:tc>
          <w:tcPr>
            <w:tcW w:w="1022" w:type="dxa"/>
            <w:vAlign w:val="center"/>
          </w:tcPr>
          <w:p w14:paraId="7004D6BE" w14:textId="77777777" w:rsidR="009F2507" w:rsidRPr="008E6807" w:rsidRDefault="009F2507" w:rsidP="009F2507">
            <w:pPr>
              <w:pStyle w:val="a6"/>
              <w:jc w:val="center"/>
              <w:rPr>
                <w:rFonts w:asciiTheme="majorHAnsi" w:hAnsiTheme="majorHAnsi"/>
                <w:sz w:val="20"/>
                <w:lang w:val="ro-RO"/>
              </w:rPr>
            </w:pPr>
            <w:r w:rsidRPr="008E6807">
              <w:rPr>
                <w:rFonts w:asciiTheme="majorHAnsi" w:hAnsiTheme="majorHAnsi"/>
                <w:sz w:val="20"/>
                <w:lang w:val="ro-RO"/>
              </w:rPr>
              <w:t>-50,0</w:t>
            </w:r>
          </w:p>
        </w:tc>
        <w:tc>
          <w:tcPr>
            <w:tcW w:w="874" w:type="dxa"/>
            <w:vAlign w:val="center"/>
          </w:tcPr>
          <w:p w14:paraId="04AF2F70" w14:textId="77777777" w:rsidR="009F2507" w:rsidRPr="00C8683B" w:rsidRDefault="00202406" w:rsidP="009F2507">
            <w:pPr>
              <w:pStyle w:val="a6"/>
              <w:jc w:val="center"/>
              <w:rPr>
                <w:rFonts w:asciiTheme="majorHAnsi" w:hAnsiTheme="majorHAnsi" w:cstheme="majorHAnsi"/>
                <w:sz w:val="20"/>
                <w:szCs w:val="20"/>
                <w:lang w:val="ro-RO"/>
              </w:rPr>
            </w:pPr>
            <w:r w:rsidRPr="00C8683B">
              <w:rPr>
                <w:rFonts w:asciiTheme="majorHAnsi" w:hAnsiTheme="majorHAnsi" w:cstheme="majorHAnsi"/>
                <w:sz w:val="20"/>
                <w:szCs w:val="20"/>
                <w:lang w:val="ro-RO"/>
              </w:rPr>
              <w:t>13081,2</w:t>
            </w:r>
          </w:p>
        </w:tc>
        <w:tc>
          <w:tcPr>
            <w:tcW w:w="992" w:type="dxa"/>
            <w:vAlign w:val="center"/>
          </w:tcPr>
          <w:p w14:paraId="4FBB8B44" w14:textId="77777777" w:rsidR="009F2507" w:rsidRPr="008E6807" w:rsidRDefault="00202406" w:rsidP="009F2507">
            <w:pPr>
              <w:pStyle w:val="a6"/>
              <w:jc w:val="center"/>
              <w:rPr>
                <w:rFonts w:asciiTheme="majorHAnsi" w:hAnsiTheme="majorHAnsi"/>
                <w:sz w:val="20"/>
                <w:lang w:val="ro-RO"/>
              </w:rPr>
            </w:pPr>
            <w:r w:rsidRPr="008E6807">
              <w:rPr>
                <w:rFonts w:asciiTheme="majorHAnsi" w:hAnsiTheme="majorHAnsi"/>
                <w:sz w:val="20"/>
                <w:lang w:val="ro-RO"/>
              </w:rPr>
              <w:t>56,7</w:t>
            </w:r>
          </w:p>
        </w:tc>
        <w:tc>
          <w:tcPr>
            <w:tcW w:w="1022" w:type="dxa"/>
            <w:vAlign w:val="center"/>
          </w:tcPr>
          <w:p w14:paraId="68DA96A7" w14:textId="77777777" w:rsidR="009F2507" w:rsidRPr="008E6807" w:rsidRDefault="000871C3" w:rsidP="009F2507">
            <w:pPr>
              <w:pStyle w:val="a6"/>
              <w:jc w:val="center"/>
              <w:rPr>
                <w:rFonts w:asciiTheme="majorHAnsi" w:hAnsiTheme="majorHAnsi"/>
                <w:sz w:val="20"/>
                <w:lang w:val="ro-RO"/>
              </w:rPr>
            </w:pPr>
            <w:r w:rsidRPr="008E6807">
              <w:rPr>
                <w:rFonts w:asciiTheme="majorHAnsi" w:hAnsiTheme="majorHAnsi"/>
                <w:sz w:val="20"/>
                <w:lang w:val="ro-RO"/>
              </w:rPr>
              <w:t>-210,0</w:t>
            </w:r>
          </w:p>
        </w:tc>
      </w:tr>
    </w:tbl>
    <w:p w14:paraId="38CD8CE1" w14:textId="32F08137" w:rsidR="00EE138E" w:rsidRPr="001360F9" w:rsidRDefault="00EE138E" w:rsidP="00EE138E">
      <w:pPr>
        <w:jc w:val="both"/>
        <w:rPr>
          <w:rFonts w:asciiTheme="majorHAnsi" w:hAnsiTheme="majorHAnsi" w:cstheme="majorHAnsi"/>
          <w:sz w:val="18"/>
          <w:szCs w:val="18"/>
          <w:lang w:val="ro-RO"/>
        </w:rPr>
      </w:pPr>
      <w:r w:rsidRPr="001360F9">
        <w:rPr>
          <w:rFonts w:asciiTheme="majorHAnsi" w:hAnsiTheme="majorHAnsi" w:cstheme="majorHAnsi"/>
          <w:b/>
          <w:i/>
          <w:sz w:val="28"/>
          <w:szCs w:val="28"/>
          <w:lang w:val="ro-RO"/>
        </w:rPr>
        <w:t xml:space="preserve"> </w:t>
      </w:r>
      <w:r w:rsidRPr="001360F9">
        <w:rPr>
          <w:rFonts w:asciiTheme="majorHAnsi" w:hAnsiTheme="majorHAnsi" w:cstheme="majorHAnsi"/>
          <w:b/>
          <w:i/>
          <w:sz w:val="18"/>
          <w:szCs w:val="18"/>
          <w:lang w:val="ro-RO"/>
        </w:rPr>
        <w:t>Sursă:</w:t>
      </w:r>
      <w:r w:rsidR="00CE24D3">
        <w:rPr>
          <w:rFonts w:asciiTheme="majorHAnsi" w:hAnsiTheme="majorHAnsi" w:cstheme="majorHAnsi"/>
          <w:sz w:val="18"/>
          <w:szCs w:val="18"/>
          <w:lang w:val="ro-RO"/>
        </w:rPr>
        <w:t xml:space="preserve"> </w:t>
      </w:r>
      <w:r w:rsidR="00937B7B">
        <w:rPr>
          <w:rFonts w:asciiTheme="majorHAnsi" w:hAnsiTheme="majorHAnsi" w:cstheme="majorHAnsi"/>
          <w:sz w:val="18"/>
          <w:szCs w:val="18"/>
          <w:lang w:val="ro-RO"/>
        </w:rPr>
        <w:t>I</w:t>
      </w:r>
      <w:r w:rsidRPr="001360F9">
        <w:rPr>
          <w:rFonts w:asciiTheme="majorHAnsi" w:hAnsiTheme="majorHAnsi" w:cstheme="majorHAnsi"/>
          <w:sz w:val="18"/>
          <w:szCs w:val="18"/>
          <w:lang w:val="ro-RO"/>
        </w:rPr>
        <w:t>nformați</w:t>
      </w:r>
      <w:r w:rsidR="009D42AC">
        <w:rPr>
          <w:rFonts w:asciiTheme="majorHAnsi" w:hAnsiTheme="majorHAnsi" w:cstheme="majorHAnsi"/>
          <w:sz w:val="18"/>
          <w:szCs w:val="18"/>
          <w:lang w:val="ro-RO"/>
        </w:rPr>
        <w:t>a</w:t>
      </w:r>
      <w:r w:rsidRPr="001360F9">
        <w:rPr>
          <w:rFonts w:asciiTheme="majorHAnsi" w:hAnsiTheme="majorHAnsi" w:cstheme="majorHAnsi"/>
          <w:sz w:val="18"/>
          <w:szCs w:val="18"/>
          <w:lang w:val="ro-RO"/>
        </w:rPr>
        <w:t xml:space="preserve"> MF privind structura dator</w:t>
      </w:r>
      <w:r w:rsidR="001360F9">
        <w:rPr>
          <w:rFonts w:asciiTheme="majorHAnsi" w:hAnsiTheme="majorHAnsi" w:cstheme="majorHAnsi"/>
          <w:sz w:val="18"/>
          <w:szCs w:val="18"/>
          <w:lang w:val="ro-RO"/>
        </w:rPr>
        <w:t>iei de stat interne în anii 2016-2018</w:t>
      </w:r>
      <w:r w:rsidRPr="001360F9">
        <w:rPr>
          <w:rFonts w:asciiTheme="majorHAnsi" w:hAnsiTheme="majorHAnsi" w:cstheme="majorHAnsi"/>
          <w:sz w:val="18"/>
          <w:szCs w:val="18"/>
          <w:lang w:val="ro-RO"/>
        </w:rPr>
        <w:t>.</w:t>
      </w:r>
    </w:p>
    <w:p w14:paraId="01C2EF03" w14:textId="64D3CFEA" w:rsidR="00CE24D3" w:rsidRDefault="00CE24D3" w:rsidP="00EE138E">
      <w:pPr>
        <w:tabs>
          <w:tab w:val="left" w:pos="284"/>
        </w:tabs>
        <w:spacing w:after="0"/>
        <w:rPr>
          <w:rFonts w:asciiTheme="majorHAnsi" w:hAnsiTheme="majorHAnsi" w:cstheme="majorHAnsi"/>
          <w:b/>
          <w:sz w:val="28"/>
          <w:szCs w:val="28"/>
          <w:highlight w:val="yellow"/>
          <w:lang w:val="ro-RO"/>
        </w:rPr>
      </w:pPr>
    </w:p>
    <w:p w14:paraId="2EE8BFC1" w14:textId="77777777" w:rsidR="00EE138E" w:rsidRPr="008E6807" w:rsidRDefault="001335EF" w:rsidP="00EE138E">
      <w:pPr>
        <w:tabs>
          <w:tab w:val="left" w:pos="284"/>
        </w:tabs>
        <w:spacing w:after="0"/>
        <w:rPr>
          <w:rFonts w:asciiTheme="majorHAnsi" w:hAnsiTheme="majorHAnsi"/>
          <w:b/>
          <w:sz w:val="24"/>
          <w:lang w:val="ro-RO"/>
        </w:rPr>
      </w:pPr>
      <w:r w:rsidRPr="004501BA">
        <w:rPr>
          <w:rFonts w:asciiTheme="majorHAnsi" w:hAnsiTheme="majorHAnsi" w:cstheme="majorHAnsi"/>
          <w:b/>
          <w:sz w:val="24"/>
          <w:szCs w:val="24"/>
          <w:lang w:val="ro-RO"/>
        </w:rPr>
        <w:t>Tabelul nr.4</w:t>
      </w:r>
      <w:r w:rsidR="00EE138E" w:rsidRPr="004501BA">
        <w:rPr>
          <w:rFonts w:asciiTheme="majorHAnsi" w:hAnsiTheme="majorHAnsi" w:cstheme="majorHAnsi"/>
          <w:b/>
          <w:sz w:val="24"/>
          <w:szCs w:val="24"/>
          <w:lang w:val="ro-RO"/>
        </w:rPr>
        <w:t>. Structura VMS</w:t>
      </w:r>
      <w:r w:rsidR="00946407" w:rsidRPr="004501BA">
        <w:rPr>
          <w:rFonts w:asciiTheme="majorHAnsi" w:hAnsiTheme="majorHAnsi" w:cstheme="majorHAnsi"/>
          <w:b/>
          <w:sz w:val="24"/>
          <w:szCs w:val="24"/>
          <w:lang w:val="ro-RO"/>
        </w:rPr>
        <w:t xml:space="preserve"> emise pe piața primară</w:t>
      </w:r>
      <w:r w:rsidR="00EE138E" w:rsidRPr="004501BA">
        <w:rPr>
          <w:rFonts w:asciiTheme="majorHAnsi" w:hAnsiTheme="majorHAnsi" w:cstheme="majorHAnsi"/>
          <w:b/>
          <w:sz w:val="24"/>
          <w:szCs w:val="24"/>
          <w:lang w:val="ro-RO"/>
        </w:rPr>
        <w:t xml:space="preserve"> în circulație, în funcție de rata </w:t>
      </w:r>
      <w:r w:rsidR="00EE138E" w:rsidRPr="008E6807">
        <w:rPr>
          <w:rFonts w:asciiTheme="majorHAnsi" w:hAnsiTheme="majorHAnsi"/>
          <w:b/>
          <w:sz w:val="24"/>
          <w:lang w:val="ro-RO"/>
        </w:rPr>
        <w:t>dobânzii și tipul VMS</w:t>
      </w:r>
    </w:p>
    <w:tbl>
      <w:tblPr>
        <w:tblStyle w:val="af9"/>
        <w:tblW w:w="9352" w:type="dxa"/>
        <w:tblLook w:val="04A0" w:firstRow="1" w:lastRow="0" w:firstColumn="1" w:lastColumn="0" w:noHBand="0" w:noVBand="1"/>
      </w:tblPr>
      <w:tblGrid>
        <w:gridCol w:w="3256"/>
        <w:gridCol w:w="4536"/>
        <w:gridCol w:w="1560"/>
      </w:tblGrid>
      <w:tr w:rsidR="009D42AC" w:rsidRPr="0034421C" w14:paraId="29F7CCBF" w14:textId="77777777" w:rsidTr="00E02CD8">
        <w:tc>
          <w:tcPr>
            <w:tcW w:w="3256" w:type="dxa"/>
            <w:tcBorders>
              <w:bottom w:val="single" w:sz="4" w:space="0" w:color="auto"/>
            </w:tcBorders>
            <w:shd w:val="clear" w:color="auto" w:fill="F2F2F2" w:themeFill="background1" w:themeFillShade="F2"/>
          </w:tcPr>
          <w:p w14:paraId="32111B51" w14:textId="77777777" w:rsidR="009D42AC" w:rsidRPr="008E6807" w:rsidRDefault="009D42AC" w:rsidP="005E02BD">
            <w:pPr>
              <w:pStyle w:val="a6"/>
              <w:jc w:val="center"/>
              <w:rPr>
                <w:rFonts w:asciiTheme="majorHAnsi" w:hAnsiTheme="majorHAnsi"/>
                <w:b/>
                <w:sz w:val="22"/>
                <w:lang w:val="ro-RO"/>
              </w:rPr>
            </w:pPr>
            <w:r w:rsidRPr="008E6807">
              <w:rPr>
                <w:rFonts w:asciiTheme="majorHAnsi" w:hAnsiTheme="majorHAnsi"/>
                <w:b/>
                <w:sz w:val="22"/>
                <w:lang w:val="ro-RO"/>
              </w:rPr>
              <w:t>Indicatorii</w:t>
            </w:r>
          </w:p>
        </w:tc>
        <w:tc>
          <w:tcPr>
            <w:tcW w:w="4536" w:type="dxa"/>
            <w:shd w:val="clear" w:color="auto" w:fill="F2F2F2" w:themeFill="background1" w:themeFillShade="F2"/>
          </w:tcPr>
          <w:p w14:paraId="5551C1D9" w14:textId="77777777" w:rsidR="009D42AC" w:rsidRPr="008E6807" w:rsidRDefault="009D42AC" w:rsidP="005E02BD">
            <w:pPr>
              <w:pStyle w:val="a6"/>
              <w:jc w:val="center"/>
              <w:rPr>
                <w:rFonts w:asciiTheme="majorHAnsi" w:hAnsiTheme="majorHAnsi"/>
                <w:b/>
                <w:sz w:val="22"/>
                <w:lang w:val="ro-RO"/>
              </w:rPr>
            </w:pPr>
            <w:r w:rsidRPr="008E6807">
              <w:rPr>
                <w:rFonts w:asciiTheme="majorHAnsi" w:hAnsiTheme="majorHAnsi"/>
                <w:b/>
                <w:sz w:val="22"/>
                <w:lang w:val="ro-RO"/>
              </w:rPr>
              <w:t>Tipul de VMS</w:t>
            </w:r>
          </w:p>
        </w:tc>
        <w:tc>
          <w:tcPr>
            <w:tcW w:w="1560" w:type="dxa"/>
            <w:shd w:val="clear" w:color="auto" w:fill="F2F2F2" w:themeFill="background1" w:themeFillShade="F2"/>
          </w:tcPr>
          <w:p w14:paraId="3C86905A" w14:textId="77777777" w:rsidR="009D42AC" w:rsidRPr="008E6807" w:rsidRDefault="009D42AC" w:rsidP="005E02BD">
            <w:pPr>
              <w:pStyle w:val="a6"/>
              <w:jc w:val="center"/>
              <w:rPr>
                <w:rFonts w:asciiTheme="majorHAnsi" w:hAnsiTheme="majorHAnsi"/>
                <w:b/>
                <w:sz w:val="22"/>
                <w:lang w:val="ro-RO"/>
              </w:rPr>
            </w:pPr>
            <w:r w:rsidRPr="008E6807">
              <w:rPr>
                <w:rFonts w:asciiTheme="majorHAnsi" w:hAnsiTheme="majorHAnsi"/>
                <w:b/>
                <w:sz w:val="22"/>
                <w:lang w:val="ro-RO"/>
              </w:rPr>
              <w:t xml:space="preserve">Valoarea VMS în circulație, </w:t>
            </w:r>
            <w:proofErr w:type="spellStart"/>
            <w:r w:rsidRPr="008E6807">
              <w:rPr>
                <w:rFonts w:asciiTheme="majorHAnsi" w:hAnsiTheme="majorHAnsi"/>
                <w:b/>
                <w:sz w:val="22"/>
                <w:lang w:val="ro-RO"/>
              </w:rPr>
              <w:t>mil.MDL</w:t>
            </w:r>
            <w:proofErr w:type="spellEnd"/>
          </w:p>
        </w:tc>
      </w:tr>
      <w:tr w:rsidR="009D42AC" w:rsidRPr="0034421C" w14:paraId="2008D55E" w14:textId="77777777" w:rsidTr="00E02CD8">
        <w:trPr>
          <w:trHeight w:val="127"/>
        </w:trPr>
        <w:tc>
          <w:tcPr>
            <w:tcW w:w="3256" w:type="dxa"/>
            <w:tcBorders>
              <w:top w:val="single" w:sz="4" w:space="0" w:color="auto"/>
              <w:left w:val="single" w:sz="4" w:space="0" w:color="auto"/>
              <w:bottom w:val="nil"/>
              <w:right w:val="single" w:sz="4" w:space="0" w:color="auto"/>
            </w:tcBorders>
          </w:tcPr>
          <w:p w14:paraId="22767DED" w14:textId="77777777" w:rsidR="009D42AC" w:rsidRPr="008E6807" w:rsidRDefault="009D42AC" w:rsidP="005E02BD">
            <w:pPr>
              <w:jc w:val="center"/>
              <w:rPr>
                <w:rFonts w:asciiTheme="majorHAnsi" w:hAnsiTheme="majorHAnsi"/>
                <w:sz w:val="22"/>
                <w:lang w:val="ro-RO"/>
              </w:rPr>
            </w:pPr>
          </w:p>
        </w:tc>
        <w:tc>
          <w:tcPr>
            <w:tcW w:w="4536" w:type="dxa"/>
            <w:tcBorders>
              <w:left w:val="single" w:sz="4" w:space="0" w:color="auto"/>
            </w:tcBorders>
          </w:tcPr>
          <w:p w14:paraId="36C9ABF7" w14:textId="77777777" w:rsidR="009D42AC" w:rsidRPr="008E6807" w:rsidRDefault="009D42AC" w:rsidP="005E02BD">
            <w:pPr>
              <w:jc w:val="center"/>
              <w:rPr>
                <w:rFonts w:asciiTheme="majorHAnsi" w:hAnsiTheme="majorHAnsi"/>
                <w:sz w:val="22"/>
                <w:lang w:val="ro-RO"/>
              </w:rPr>
            </w:pPr>
            <w:r w:rsidRPr="008E6807">
              <w:rPr>
                <w:rFonts w:asciiTheme="majorHAnsi" w:hAnsiTheme="majorHAnsi"/>
                <w:lang w:val="ro-RO"/>
              </w:rPr>
              <w:t>BT cu maturitatea de 91 zile</w:t>
            </w:r>
          </w:p>
        </w:tc>
        <w:tc>
          <w:tcPr>
            <w:tcW w:w="1560" w:type="dxa"/>
          </w:tcPr>
          <w:p w14:paraId="71D6E56A" w14:textId="77777777" w:rsidR="009D42AC" w:rsidRPr="008E6807" w:rsidRDefault="009D42AC" w:rsidP="005E02BD">
            <w:pPr>
              <w:jc w:val="center"/>
              <w:rPr>
                <w:rFonts w:asciiTheme="majorHAnsi" w:hAnsiTheme="majorHAnsi"/>
                <w:sz w:val="22"/>
                <w:lang w:val="ro-RO"/>
              </w:rPr>
            </w:pPr>
            <w:r w:rsidRPr="008E6807">
              <w:rPr>
                <w:rFonts w:asciiTheme="majorHAnsi" w:hAnsiTheme="majorHAnsi"/>
                <w:lang w:val="ro-RO"/>
              </w:rPr>
              <w:t>418,1</w:t>
            </w:r>
          </w:p>
        </w:tc>
      </w:tr>
      <w:tr w:rsidR="009D42AC" w:rsidRPr="0034421C" w14:paraId="61FE7D20" w14:textId="77777777" w:rsidTr="00E02CD8">
        <w:tc>
          <w:tcPr>
            <w:tcW w:w="3256" w:type="dxa"/>
            <w:tcBorders>
              <w:top w:val="nil"/>
              <w:left w:val="single" w:sz="4" w:space="0" w:color="auto"/>
              <w:bottom w:val="nil"/>
              <w:right w:val="single" w:sz="4" w:space="0" w:color="auto"/>
            </w:tcBorders>
          </w:tcPr>
          <w:p w14:paraId="0DEE4BAC" w14:textId="77777777" w:rsidR="009D42AC" w:rsidRPr="008E6807" w:rsidRDefault="009D42AC" w:rsidP="005E02BD">
            <w:pPr>
              <w:jc w:val="center"/>
              <w:rPr>
                <w:rFonts w:asciiTheme="majorHAnsi" w:hAnsiTheme="majorHAnsi"/>
                <w:sz w:val="22"/>
                <w:lang w:val="ro-RO"/>
              </w:rPr>
            </w:pPr>
            <w:r w:rsidRPr="008E6807">
              <w:rPr>
                <w:rFonts w:asciiTheme="majorHAnsi" w:hAnsiTheme="majorHAnsi"/>
                <w:lang w:val="ro-RO"/>
              </w:rPr>
              <w:t>VMS cu rată fixă</w:t>
            </w:r>
          </w:p>
        </w:tc>
        <w:tc>
          <w:tcPr>
            <w:tcW w:w="4536" w:type="dxa"/>
            <w:tcBorders>
              <w:left w:val="single" w:sz="4" w:space="0" w:color="auto"/>
            </w:tcBorders>
          </w:tcPr>
          <w:p w14:paraId="09D9B4C5" w14:textId="77777777" w:rsidR="009D42AC" w:rsidRPr="008E6807" w:rsidRDefault="009D42AC" w:rsidP="005E02BD">
            <w:pPr>
              <w:jc w:val="center"/>
              <w:rPr>
                <w:rFonts w:asciiTheme="majorHAnsi" w:hAnsiTheme="majorHAnsi"/>
                <w:sz w:val="22"/>
                <w:lang w:val="ro-RO"/>
              </w:rPr>
            </w:pPr>
            <w:r w:rsidRPr="008E6807">
              <w:rPr>
                <w:rFonts w:asciiTheme="majorHAnsi" w:hAnsiTheme="majorHAnsi"/>
                <w:lang w:val="ro-RO"/>
              </w:rPr>
              <w:t>BT cu maturitatea de 182 zile</w:t>
            </w:r>
          </w:p>
        </w:tc>
        <w:tc>
          <w:tcPr>
            <w:tcW w:w="1560" w:type="dxa"/>
          </w:tcPr>
          <w:p w14:paraId="7FF88E47" w14:textId="77777777" w:rsidR="009D42AC" w:rsidRPr="008E6807" w:rsidRDefault="009D42AC" w:rsidP="005E02BD">
            <w:pPr>
              <w:jc w:val="center"/>
              <w:rPr>
                <w:rFonts w:asciiTheme="majorHAnsi" w:hAnsiTheme="majorHAnsi"/>
                <w:sz w:val="22"/>
                <w:lang w:val="ro-RO"/>
              </w:rPr>
            </w:pPr>
            <w:r w:rsidRPr="008E6807">
              <w:rPr>
                <w:rFonts w:asciiTheme="majorHAnsi" w:hAnsiTheme="majorHAnsi"/>
                <w:lang w:val="ro-RO"/>
              </w:rPr>
              <w:t>1683,2</w:t>
            </w:r>
          </w:p>
        </w:tc>
      </w:tr>
      <w:tr w:rsidR="009D42AC" w:rsidRPr="0034421C" w14:paraId="66427CBB" w14:textId="77777777" w:rsidTr="00E02CD8">
        <w:tc>
          <w:tcPr>
            <w:tcW w:w="3256" w:type="dxa"/>
            <w:tcBorders>
              <w:top w:val="nil"/>
              <w:left w:val="single" w:sz="4" w:space="0" w:color="auto"/>
              <w:bottom w:val="nil"/>
              <w:right w:val="single" w:sz="4" w:space="0" w:color="auto"/>
            </w:tcBorders>
          </w:tcPr>
          <w:p w14:paraId="7B130CD0" w14:textId="77777777" w:rsidR="009D42AC" w:rsidRPr="008E6807" w:rsidRDefault="009D42AC" w:rsidP="005E02BD">
            <w:pPr>
              <w:jc w:val="center"/>
              <w:rPr>
                <w:rFonts w:asciiTheme="majorHAnsi" w:hAnsiTheme="majorHAnsi"/>
                <w:sz w:val="22"/>
                <w:lang w:val="ro-RO"/>
              </w:rPr>
            </w:pPr>
          </w:p>
        </w:tc>
        <w:tc>
          <w:tcPr>
            <w:tcW w:w="4536" w:type="dxa"/>
            <w:tcBorders>
              <w:left w:val="single" w:sz="4" w:space="0" w:color="auto"/>
            </w:tcBorders>
          </w:tcPr>
          <w:p w14:paraId="24DF7FC0" w14:textId="77777777" w:rsidR="009D42AC" w:rsidRPr="008E6807" w:rsidRDefault="009D42AC" w:rsidP="005E02BD">
            <w:pPr>
              <w:jc w:val="center"/>
              <w:rPr>
                <w:rFonts w:asciiTheme="majorHAnsi" w:hAnsiTheme="majorHAnsi"/>
                <w:sz w:val="22"/>
                <w:lang w:val="ro-RO"/>
              </w:rPr>
            </w:pPr>
            <w:r w:rsidRPr="008E6807">
              <w:rPr>
                <w:rFonts w:asciiTheme="majorHAnsi" w:hAnsiTheme="majorHAnsi"/>
                <w:lang w:val="ro-RO"/>
              </w:rPr>
              <w:t>BT cu maturitatea de 364 zile</w:t>
            </w:r>
          </w:p>
        </w:tc>
        <w:tc>
          <w:tcPr>
            <w:tcW w:w="1560" w:type="dxa"/>
          </w:tcPr>
          <w:p w14:paraId="2D34A9B7" w14:textId="77777777" w:rsidR="009D42AC" w:rsidRPr="008E6807" w:rsidRDefault="009D42AC" w:rsidP="005E02BD">
            <w:pPr>
              <w:jc w:val="center"/>
              <w:rPr>
                <w:rFonts w:asciiTheme="majorHAnsi" w:hAnsiTheme="majorHAnsi"/>
                <w:sz w:val="22"/>
                <w:lang w:val="ro-RO"/>
              </w:rPr>
            </w:pPr>
            <w:r w:rsidRPr="008E6807">
              <w:rPr>
                <w:rFonts w:asciiTheme="majorHAnsi" w:hAnsiTheme="majorHAnsi"/>
                <w:lang w:val="ro-RO"/>
              </w:rPr>
              <w:t>3445,1</w:t>
            </w:r>
          </w:p>
        </w:tc>
      </w:tr>
      <w:tr w:rsidR="009D42AC" w:rsidRPr="0034421C" w14:paraId="79823A0F" w14:textId="77777777" w:rsidTr="00E02CD8">
        <w:tc>
          <w:tcPr>
            <w:tcW w:w="3256" w:type="dxa"/>
            <w:tcBorders>
              <w:top w:val="nil"/>
              <w:left w:val="single" w:sz="4" w:space="0" w:color="auto"/>
              <w:bottom w:val="nil"/>
              <w:right w:val="single" w:sz="4" w:space="0" w:color="auto"/>
            </w:tcBorders>
          </w:tcPr>
          <w:p w14:paraId="1FB7FD3C" w14:textId="77777777" w:rsidR="009D42AC" w:rsidRPr="008E6807" w:rsidRDefault="009D42AC" w:rsidP="005E02BD">
            <w:pPr>
              <w:jc w:val="center"/>
              <w:rPr>
                <w:rFonts w:asciiTheme="majorHAnsi" w:hAnsiTheme="majorHAnsi"/>
                <w:sz w:val="22"/>
                <w:lang w:val="ro-RO"/>
              </w:rPr>
            </w:pPr>
          </w:p>
        </w:tc>
        <w:tc>
          <w:tcPr>
            <w:tcW w:w="4536" w:type="dxa"/>
            <w:tcBorders>
              <w:left w:val="single" w:sz="4" w:space="0" w:color="auto"/>
            </w:tcBorders>
          </w:tcPr>
          <w:p w14:paraId="707A9E77" w14:textId="77777777" w:rsidR="009D42AC" w:rsidRPr="008E6807" w:rsidRDefault="009D42AC" w:rsidP="005E02BD">
            <w:pPr>
              <w:jc w:val="center"/>
              <w:rPr>
                <w:rFonts w:asciiTheme="majorHAnsi" w:hAnsiTheme="majorHAnsi"/>
                <w:sz w:val="22"/>
                <w:lang w:val="ro-RO"/>
              </w:rPr>
            </w:pPr>
            <w:r w:rsidRPr="008E6807">
              <w:rPr>
                <w:rFonts w:asciiTheme="majorHAnsi" w:hAnsiTheme="majorHAnsi"/>
                <w:lang w:val="ro-RO"/>
              </w:rPr>
              <w:t xml:space="preserve">OS cu maturitatea de 2 ani </w:t>
            </w:r>
          </w:p>
        </w:tc>
        <w:tc>
          <w:tcPr>
            <w:tcW w:w="1560" w:type="dxa"/>
          </w:tcPr>
          <w:p w14:paraId="2B1E39DC" w14:textId="77777777" w:rsidR="009D42AC" w:rsidRPr="008E6807" w:rsidRDefault="009D42AC" w:rsidP="005E02BD">
            <w:pPr>
              <w:jc w:val="center"/>
              <w:rPr>
                <w:rFonts w:asciiTheme="majorHAnsi" w:hAnsiTheme="majorHAnsi"/>
                <w:sz w:val="22"/>
                <w:lang w:val="ro-RO"/>
              </w:rPr>
            </w:pPr>
            <w:r w:rsidRPr="008E6807">
              <w:rPr>
                <w:rFonts w:asciiTheme="majorHAnsi" w:hAnsiTheme="majorHAnsi"/>
                <w:lang w:val="ro-RO"/>
              </w:rPr>
              <w:t>1100,9</w:t>
            </w:r>
          </w:p>
        </w:tc>
      </w:tr>
      <w:tr w:rsidR="009D42AC" w:rsidRPr="0034421C" w14:paraId="076EEFA4" w14:textId="77777777" w:rsidTr="00E02CD8">
        <w:tc>
          <w:tcPr>
            <w:tcW w:w="3256" w:type="dxa"/>
            <w:tcBorders>
              <w:top w:val="nil"/>
              <w:left w:val="single" w:sz="4" w:space="0" w:color="auto"/>
              <w:bottom w:val="nil"/>
              <w:right w:val="single" w:sz="4" w:space="0" w:color="auto"/>
            </w:tcBorders>
          </w:tcPr>
          <w:p w14:paraId="13FA5C4B" w14:textId="77777777" w:rsidR="009D42AC" w:rsidRPr="008E6807" w:rsidRDefault="009D42AC" w:rsidP="005E02BD">
            <w:pPr>
              <w:jc w:val="center"/>
              <w:rPr>
                <w:rFonts w:asciiTheme="majorHAnsi" w:hAnsiTheme="majorHAnsi"/>
                <w:sz w:val="22"/>
                <w:lang w:val="ro-RO"/>
              </w:rPr>
            </w:pPr>
          </w:p>
        </w:tc>
        <w:tc>
          <w:tcPr>
            <w:tcW w:w="4536" w:type="dxa"/>
            <w:tcBorders>
              <w:left w:val="single" w:sz="4" w:space="0" w:color="auto"/>
            </w:tcBorders>
          </w:tcPr>
          <w:p w14:paraId="06B3730E" w14:textId="77777777" w:rsidR="009D42AC" w:rsidRPr="008E6807" w:rsidRDefault="009D42AC" w:rsidP="00F33C8C">
            <w:pPr>
              <w:jc w:val="center"/>
              <w:rPr>
                <w:rFonts w:asciiTheme="majorHAnsi" w:hAnsiTheme="majorHAnsi"/>
                <w:sz w:val="22"/>
                <w:lang w:val="ro-RO"/>
              </w:rPr>
            </w:pPr>
            <w:r w:rsidRPr="008E6807">
              <w:rPr>
                <w:rFonts w:asciiTheme="majorHAnsi" w:hAnsiTheme="majorHAnsi"/>
                <w:lang w:val="ro-RO"/>
              </w:rPr>
              <w:t>OS cu maturitatea de 3 ani</w:t>
            </w:r>
          </w:p>
        </w:tc>
        <w:tc>
          <w:tcPr>
            <w:tcW w:w="1560" w:type="dxa"/>
          </w:tcPr>
          <w:p w14:paraId="2D519057" w14:textId="77777777" w:rsidR="009D42AC" w:rsidRPr="008E6807" w:rsidRDefault="009D42AC" w:rsidP="005E02BD">
            <w:pPr>
              <w:jc w:val="center"/>
              <w:rPr>
                <w:rFonts w:asciiTheme="majorHAnsi" w:hAnsiTheme="majorHAnsi"/>
                <w:sz w:val="22"/>
                <w:lang w:val="ro-RO"/>
              </w:rPr>
            </w:pPr>
            <w:r w:rsidRPr="008E6807">
              <w:rPr>
                <w:rFonts w:asciiTheme="majorHAnsi" w:hAnsiTheme="majorHAnsi"/>
                <w:lang w:val="ro-RO"/>
              </w:rPr>
              <w:t>689,7</w:t>
            </w:r>
          </w:p>
        </w:tc>
      </w:tr>
      <w:tr w:rsidR="009D42AC" w:rsidRPr="0034421C" w14:paraId="7A88ACAC" w14:textId="77777777" w:rsidTr="00E02CD8">
        <w:tc>
          <w:tcPr>
            <w:tcW w:w="3256" w:type="dxa"/>
            <w:tcBorders>
              <w:top w:val="nil"/>
              <w:left w:val="single" w:sz="4" w:space="0" w:color="auto"/>
              <w:bottom w:val="single" w:sz="4" w:space="0" w:color="auto"/>
              <w:right w:val="single" w:sz="4" w:space="0" w:color="auto"/>
            </w:tcBorders>
          </w:tcPr>
          <w:p w14:paraId="45EC24B2" w14:textId="77777777" w:rsidR="009D42AC" w:rsidRPr="008E6807" w:rsidRDefault="009D42AC" w:rsidP="005E02BD">
            <w:pPr>
              <w:jc w:val="center"/>
              <w:rPr>
                <w:rFonts w:asciiTheme="majorHAnsi" w:hAnsiTheme="majorHAnsi"/>
                <w:sz w:val="22"/>
                <w:lang w:val="ro-RO"/>
              </w:rPr>
            </w:pPr>
          </w:p>
        </w:tc>
        <w:tc>
          <w:tcPr>
            <w:tcW w:w="4536" w:type="dxa"/>
            <w:tcBorders>
              <w:left w:val="single" w:sz="4" w:space="0" w:color="auto"/>
            </w:tcBorders>
          </w:tcPr>
          <w:p w14:paraId="0F488A66" w14:textId="77777777" w:rsidR="009D42AC" w:rsidRPr="008E6807" w:rsidRDefault="009D42AC" w:rsidP="00F33C8C">
            <w:pPr>
              <w:jc w:val="center"/>
              <w:rPr>
                <w:rFonts w:asciiTheme="majorHAnsi" w:hAnsiTheme="majorHAnsi"/>
                <w:sz w:val="22"/>
                <w:lang w:val="ro-RO"/>
              </w:rPr>
            </w:pPr>
            <w:r w:rsidRPr="008E6807">
              <w:rPr>
                <w:rFonts w:asciiTheme="majorHAnsi" w:hAnsiTheme="majorHAnsi"/>
                <w:lang w:val="ro-RO"/>
              </w:rPr>
              <w:t>OS cu maturitatea de 5 ani</w:t>
            </w:r>
          </w:p>
        </w:tc>
        <w:tc>
          <w:tcPr>
            <w:tcW w:w="1560" w:type="dxa"/>
          </w:tcPr>
          <w:p w14:paraId="6CF21456" w14:textId="77777777" w:rsidR="009D42AC" w:rsidRPr="008E6807" w:rsidRDefault="009D42AC" w:rsidP="005E02BD">
            <w:pPr>
              <w:jc w:val="center"/>
              <w:rPr>
                <w:rFonts w:asciiTheme="majorHAnsi" w:hAnsiTheme="majorHAnsi"/>
                <w:sz w:val="22"/>
                <w:lang w:val="ro-RO"/>
              </w:rPr>
            </w:pPr>
            <w:r w:rsidRPr="008E6807">
              <w:rPr>
                <w:rFonts w:asciiTheme="majorHAnsi" w:hAnsiTheme="majorHAnsi"/>
                <w:lang w:val="ro-RO"/>
              </w:rPr>
              <w:t>279,9</w:t>
            </w:r>
          </w:p>
        </w:tc>
      </w:tr>
      <w:tr w:rsidR="009D42AC" w:rsidRPr="0034421C" w14:paraId="4449EF3D" w14:textId="77777777" w:rsidTr="00E02CD8">
        <w:tc>
          <w:tcPr>
            <w:tcW w:w="3256" w:type="dxa"/>
            <w:tcBorders>
              <w:top w:val="single" w:sz="4" w:space="0" w:color="auto"/>
              <w:bottom w:val="single" w:sz="4" w:space="0" w:color="auto"/>
            </w:tcBorders>
          </w:tcPr>
          <w:p w14:paraId="6855386B" w14:textId="77777777" w:rsidR="009D42AC" w:rsidRPr="008E6807" w:rsidRDefault="009D42AC" w:rsidP="005E02BD">
            <w:pPr>
              <w:jc w:val="center"/>
              <w:rPr>
                <w:rFonts w:asciiTheme="majorHAnsi" w:hAnsiTheme="majorHAnsi"/>
                <w:b/>
                <w:sz w:val="22"/>
                <w:lang w:val="ro-RO"/>
              </w:rPr>
            </w:pPr>
            <w:r w:rsidRPr="008E6807">
              <w:rPr>
                <w:rFonts w:asciiTheme="majorHAnsi" w:hAnsiTheme="majorHAnsi"/>
                <w:b/>
                <w:lang w:val="ro-RO"/>
              </w:rPr>
              <w:t>Total, VMS cu rată fixă</w:t>
            </w:r>
          </w:p>
        </w:tc>
        <w:tc>
          <w:tcPr>
            <w:tcW w:w="4536" w:type="dxa"/>
          </w:tcPr>
          <w:p w14:paraId="28625D7B" w14:textId="77777777" w:rsidR="009D42AC" w:rsidRPr="008E6807" w:rsidRDefault="009D42AC" w:rsidP="005E02BD">
            <w:pPr>
              <w:jc w:val="center"/>
              <w:rPr>
                <w:rFonts w:asciiTheme="majorHAnsi" w:hAnsiTheme="majorHAnsi"/>
                <w:b/>
                <w:sz w:val="22"/>
                <w:lang w:val="ro-RO"/>
              </w:rPr>
            </w:pPr>
          </w:p>
        </w:tc>
        <w:tc>
          <w:tcPr>
            <w:tcW w:w="1560" w:type="dxa"/>
          </w:tcPr>
          <w:p w14:paraId="60A8EDC8" w14:textId="77777777" w:rsidR="009D42AC" w:rsidRPr="008E6807" w:rsidRDefault="009D42AC" w:rsidP="005E02BD">
            <w:pPr>
              <w:jc w:val="center"/>
              <w:rPr>
                <w:rFonts w:asciiTheme="majorHAnsi" w:hAnsiTheme="majorHAnsi"/>
                <w:b/>
                <w:sz w:val="22"/>
                <w:lang w:val="ro-RO"/>
              </w:rPr>
            </w:pPr>
            <w:r w:rsidRPr="008E6807">
              <w:rPr>
                <w:rFonts w:asciiTheme="majorHAnsi" w:hAnsiTheme="majorHAnsi"/>
                <w:b/>
                <w:lang w:val="ro-RO"/>
              </w:rPr>
              <w:t>7616,9</w:t>
            </w:r>
          </w:p>
        </w:tc>
      </w:tr>
      <w:tr w:rsidR="009D42AC" w:rsidRPr="0034421C" w14:paraId="5101C314" w14:textId="77777777" w:rsidTr="00E02CD8">
        <w:tc>
          <w:tcPr>
            <w:tcW w:w="3256" w:type="dxa"/>
            <w:tcBorders>
              <w:top w:val="single" w:sz="4" w:space="0" w:color="auto"/>
              <w:left w:val="single" w:sz="4" w:space="0" w:color="auto"/>
              <w:bottom w:val="nil"/>
              <w:right w:val="single" w:sz="4" w:space="0" w:color="auto"/>
            </w:tcBorders>
          </w:tcPr>
          <w:p w14:paraId="636BD27F" w14:textId="77777777" w:rsidR="009D42AC" w:rsidRPr="008E6807" w:rsidRDefault="009D42AC" w:rsidP="005E02BD">
            <w:pPr>
              <w:jc w:val="center"/>
              <w:rPr>
                <w:rFonts w:asciiTheme="majorHAnsi" w:hAnsiTheme="majorHAnsi"/>
                <w:sz w:val="22"/>
                <w:lang w:val="ro-RO"/>
              </w:rPr>
            </w:pPr>
            <w:r w:rsidRPr="008E6807">
              <w:rPr>
                <w:rFonts w:asciiTheme="majorHAnsi" w:hAnsiTheme="majorHAnsi"/>
                <w:lang w:val="ro-RO"/>
              </w:rPr>
              <w:t>VMS cu rată variabilă</w:t>
            </w:r>
          </w:p>
        </w:tc>
        <w:tc>
          <w:tcPr>
            <w:tcW w:w="4536" w:type="dxa"/>
            <w:tcBorders>
              <w:left w:val="single" w:sz="4" w:space="0" w:color="auto"/>
            </w:tcBorders>
          </w:tcPr>
          <w:p w14:paraId="3A773C16" w14:textId="77777777" w:rsidR="009D42AC" w:rsidRPr="008E6807" w:rsidRDefault="009D42AC" w:rsidP="005E02BD">
            <w:pPr>
              <w:pStyle w:val="a6"/>
              <w:jc w:val="center"/>
              <w:rPr>
                <w:rFonts w:asciiTheme="majorHAnsi" w:hAnsiTheme="majorHAnsi"/>
                <w:sz w:val="22"/>
                <w:lang w:val="ro-RO"/>
              </w:rPr>
            </w:pPr>
            <w:r w:rsidRPr="008E6807">
              <w:rPr>
                <w:rFonts w:asciiTheme="majorHAnsi" w:hAnsiTheme="majorHAnsi"/>
                <w:sz w:val="22"/>
                <w:lang w:val="ro-RO"/>
              </w:rPr>
              <w:t>OS cu maturitatea de 2 ani</w:t>
            </w:r>
          </w:p>
        </w:tc>
        <w:tc>
          <w:tcPr>
            <w:tcW w:w="1560" w:type="dxa"/>
          </w:tcPr>
          <w:p w14:paraId="0B48EBB1" w14:textId="77777777" w:rsidR="009D42AC" w:rsidRPr="008E6807" w:rsidRDefault="009D42AC" w:rsidP="005E02BD">
            <w:pPr>
              <w:jc w:val="center"/>
              <w:rPr>
                <w:rFonts w:asciiTheme="majorHAnsi" w:hAnsiTheme="majorHAnsi"/>
                <w:sz w:val="22"/>
                <w:lang w:val="ro-RO"/>
              </w:rPr>
            </w:pPr>
            <w:r w:rsidRPr="008E6807">
              <w:rPr>
                <w:rFonts w:asciiTheme="majorHAnsi" w:hAnsiTheme="majorHAnsi"/>
                <w:lang w:val="ro-RO"/>
              </w:rPr>
              <w:t>296,9</w:t>
            </w:r>
          </w:p>
        </w:tc>
      </w:tr>
      <w:tr w:rsidR="009D42AC" w:rsidRPr="0034421C" w14:paraId="46075B2F" w14:textId="77777777" w:rsidTr="00E02CD8">
        <w:trPr>
          <w:trHeight w:val="128"/>
        </w:trPr>
        <w:tc>
          <w:tcPr>
            <w:tcW w:w="3256" w:type="dxa"/>
            <w:tcBorders>
              <w:top w:val="single" w:sz="4" w:space="0" w:color="auto"/>
            </w:tcBorders>
          </w:tcPr>
          <w:p w14:paraId="4BA5AC22" w14:textId="02AB63DB" w:rsidR="009D42AC" w:rsidRPr="008E6807" w:rsidRDefault="009D42AC" w:rsidP="005E02BD">
            <w:pPr>
              <w:pStyle w:val="a6"/>
              <w:jc w:val="center"/>
              <w:rPr>
                <w:rFonts w:asciiTheme="majorHAnsi" w:hAnsiTheme="majorHAnsi"/>
                <w:b/>
                <w:sz w:val="22"/>
                <w:lang w:val="ro-RO"/>
              </w:rPr>
            </w:pPr>
            <w:r w:rsidRPr="008E6807">
              <w:rPr>
                <w:rFonts w:asciiTheme="majorHAnsi" w:hAnsiTheme="majorHAnsi"/>
                <w:b/>
                <w:sz w:val="22"/>
                <w:lang w:val="ro-RO"/>
              </w:rPr>
              <w:t>Total, VMS cu rat</w:t>
            </w:r>
            <w:r>
              <w:rPr>
                <w:rFonts w:asciiTheme="majorHAnsi" w:hAnsiTheme="majorHAnsi"/>
                <w:b/>
                <w:sz w:val="22"/>
                <w:lang w:val="ro-RO"/>
              </w:rPr>
              <w:t>ă</w:t>
            </w:r>
            <w:r w:rsidRPr="008E6807">
              <w:rPr>
                <w:rFonts w:asciiTheme="majorHAnsi" w:hAnsiTheme="majorHAnsi"/>
                <w:b/>
                <w:sz w:val="22"/>
                <w:lang w:val="ro-RO"/>
              </w:rPr>
              <w:t xml:space="preserve"> variabilă</w:t>
            </w:r>
          </w:p>
        </w:tc>
        <w:tc>
          <w:tcPr>
            <w:tcW w:w="4536" w:type="dxa"/>
          </w:tcPr>
          <w:p w14:paraId="2DC97456" w14:textId="242692A0" w:rsidR="009D42AC" w:rsidRPr="008E6807" w:rsidRDefault="009D42AC" w:rsidP="009D42AC">
            <w:pPr>
              <w:ind w:firstLine="720"/>
              <w:rPr>
                <w:rFonts w:asciiTheme="majorHAnsi" w:hAnsiTheme="majorHAnsi"/>
                <w:b/>
                <w:sz w:val="22"/>
                <w:lang w:val="ro-RO"/>
              </w:rPr>
            </w:pPr>
            <w:r>
              <w:rPr>
                <w:rFonts w:asciiTheme="majorHAnsi" w:hAnsiTheme="majorHAnsi"/>
                <w:b/>
                <w:lang w:val="ro-RO"/>
              </w:rPr>
              <w:t xml:space="preserve">                              </w:t>
            </w:r>
            <w:r w:rsidRPr="008E6807">
              <w:rPr>
                <w:rFonts w:asciiTheme="majorHAnsi" w:hAnsiTheme="majorHAnsi"/>
                <w:b/>
                <w:lang w:val="ro-RO"/>
              </w:rPr>
              <w:t>x</w:t>
            </w:r>
          </w:p>
        </w:tc>
        <w:tc>
          <w:tcPr>
            <w:tcW w:w="1560" w:type="dxa"/>
          </w:tcPr>
          <w:p w14:paraId="2480D4DF" w14:textId="77777777" w:rsidR="009D42AC" w:rsidRPr="008E6807" w:rsidRDefault="009D42AC" w:rsidP="005E02BD">
            <w:pPr>
              <w:jc w:val="center"/>
              <w:rPr>
                <w:rFonts w:asciiTheme="majorHAnsi" w:hAnsiTheme="majorHAnsi"/>
                <w:b/>
                <w:sz w:val="22"/>
                <w:lang w:val="ro-RO"/>
              </w:rPr>
            </w:pPr>
            <w:r w:rsidRPr="008E6807">
              <w:rPr>
                <w:rFonts w:asciiTheme="majorHAnsi" w:hAnsiTheme="majorHAnsi"/>
                <w:b/>
                <w:lang w:val="ro-RO"/>
              </w:rPr>
              <w:t>296,9</w:t>
            </w:r>
          </w:p>
        </w:tc>
      </w:tr>
      <w:tr w:rsidR="009D42AC" w:rsidRPr="0034421C" w14:paraId="47BEB367" w14:textId="77777777" w:rsidTr="00E02CD8">
        <w:tc>
          <w:tcPr>
            <w:tcW w:w="3256" w:type="dxa"/>
          </w:tcPr>
          <w:p w14:paraId="2341F81C" w14:textId="77777777" w:rsidR="009D42AC" w:rsidRPr="008E6807" w:rsidRDefault="009D42AC" w:rsidP="005E02BD">
            <w:pPr>
              <w:pStyle w:val="a6"/>
              <w:jc w:val="center"/>
              <w:rPr>
                <w:rFonts w:asciiTheme="majorHAnsi" w:hAnsiTheme="majorHAnsi"/>
                <w:b/>
                <w:sz w:val="22"/>
                <w:lang w:val="ro-RO"/>
              </w:rPr>
            </w:pPr>
            <w:r w:rsidRPr="008E6807">
              <w:rPr>
                <w:rFonts w:asciiTheme="majorHAnsi" w:hAnsiTheme="majorHAnsi"/>
                <w:b/>
                <w:sz w:val="22"/>
                <w:lang w:val="ro-RO"/>
              </w:rPr>
              <w:t>Total, VMS în circulație</w:t>
            </w:r>
          </w:p>
        </w:tc>
        <w:tc>
          <w:tcPr>
            <w:tcW w:w="4536" w:type="dxa"/>
          </w:tcPr>
          <w:p w14:paraId="34D82270" w14:textId="77777777" w:rsidR="009D42AC" w:rsidRPr="008E6807" w:rsidRDefault="009D42AC" w:rsidP="009D42AC">
            <w:pPr>
              <w:jc w:val="center"/>
              <w:rPr>
                <w:rFonts w:asciiTheme="majorHAnsi" w:hAnsiTheme="majorHAnsi"/>
                <w:b/>
                <w:sz w:val="22"/>
                <w:lang w:val="ro-RO"/>
              </w:rPr>
            </w:pPr>
            <w:r w:rsidRPr="008E6807">
              <w:rPr>
                <w:rFonts w:asciiTheme="majorHAnsi" w:hAnsiTheme="majorHAnsi"/>
                <w:b/>
                <w:lang w:val="ro-RO"/>
              </w:rPr>
              <w:t>x</w:t>
            </w:r>
          </w:p>
        </w:tc>
        <w:tc>
          <w:tcPr>
            <w:tcW w:w="1560" w:type="dxa"/>
          </w:tcPr>
          <w:p w14:paraId="62ADFB7A" w14:textId="77777777" w:rsidR="009D42AC" w:rsidRPr="008E6807" w:rsidRDefault="009D42AC" w:rsidP="005E02BD">
            <w:pPr>
              <w:jc w:val="center"/>
              <w:rPr>
                <w:rFonts w:asciiTheme="majorHAnsi" w:hAnsiTheme="majorHAnsi"/>
                <w:b/>
                <w:sz w:val="22"/>
                <w:lang w:val="ro-RO"/>
              </w:rPr>
            </w:pPr>
            <w:r w:rsidRPr="008E6807">
              <w:rPr>
                <w:rFonts w:asciiTheme="majorHAnsi" w:hAnsiTheme="majorHAnsi"/>
                <w:b/>
                <w:lang w:val="ro-RO"/>
              </w:rPr>
              <w:t>7914,0</w:t>
            </w:r>
          </w:p>
        </w:tc>
      </w:tr>
    </w:tbl>
    <w:p w14:paraId="508E02BF" w14:textId="5928023E" w:rsidR="00EE138E" w:rsidRPr="00F80BAD" w:rsidRDefault="00EE138E" w:rsidP="00EE138E">
      <w:pPr>
        <w:spacing w:after="0" w:line="240" w:lineRule="auto"/>
        <w:jc w:val="both"/>
        <w:rPr>
          <w:rFonts w:asciiTheme="majorHAnsi" w:hAnsiTheme="majorHAnsi" w:cstheme="majorHAnsi"/>
          <w:sz w:val="18"/>
          <w:szCs w:val="18"/>
          <w:lang w:val="ro-RO"/>
        </w:rPr>
      </w:pPr>
      <w:r w:rsidRPr="008E6807">
        <w:rPr>
          <w:rFonts w:asciiTheme="majorHAnsi" w:hAnsiTheme="majorHAnsi"/>
          <w:b/>
          <w:i/>
          <w:sz w:val="18"/>
          <w:lang w:val="ro-RO"/>
        </w:rPr>
        <w:t xml:space="preserve"> </w:t>
      </w:r>
      <w:r w:rsidRPr="0034421C">
        <w:rPr>
          <w:rFonts w:asciiTheme="majorHAnsi" w:hAnsiTheme="majorHAnsi" w:cstheme="majorHAnsi"/>
          <w:b/>
          <w:i/>
          <w:sz w:val="18"/>
          <w:szCs w:val="18"/>
          <w:lang w:val="ro-RO"/>
        </w:rPr>
        <w:t>Sursă:</w:t>
      </w:r>
      <w:r w:rsidRPr="0034421C">
        <w:rPr>
          <w:rFonts w:asciiTheme="majorHAnsi" w:hAnsiTheme="majorHAnsi" w:cstheme="majorHAnsi"/>
          <w:sz w:val="18"/>
          <w:szCs w:val="18"/>
          <w:lang w:val="ro-RO"/>
        </w:rPr>
        <w:t xml:space="preserve"> </w:t>
      </w:r>
      <w:r w:rsidR="009D42AC">
        <w:rPr>
          <w:rFonts w:asciiTheme="majorHAnsi" w:hAnsiTheme="majorHAnsi" w:cstheme="majorHAnsi"/>
          <w:sz w:val="18"/>
          <w:szCs w:val="18"/>
          <w:lang w:val="ro-RO"/>
        </w:rPr>
        <w:t>I</w:t>
      </w:r>
      <w:r w:rsidRPr="0034421C">
        <w:rPr>
          <w:rFonts w:asciiTheme="majorHAnsi" w:hAnsiTheme="majorHAnsi" w:cstheme="majorHAnsi"/>
          <w:sz w:val="18"/>
          <w:szCs w:val="18"/>
          <w:lang w:val="ro-RO"/>
        </w:rPr>
        <w:t>nformați</w:t>
      </w:r>
      <w:r w:rsidR="009D42AC">
        <w:rPr>
          <w:rFonts w:asciiTheme="majorHAnsi" w:hAnsiTheme="majorHAnsi" w:cstheme="majorHAnsi"/>
          <w:sz w:val="18"/>
          <w:szCs w:val="18"/>
          <w:lang w:val="ro-RO"/>
        </w:rPr>
        <w:t>a</w:t>
      </w:r>
      <w:r w:rsidRPr="0034421C">
        <w:rPr>
          <w:rFonts w:asciiTheme="majorHAnsi" w:hAnsiTheme="majorHAnsi" w:cstheme="majorHAnsi"/>
          <w:sz w:val="18"/>
          <w:szCs w:val="18"/>
          <w:lang w:val="ro-RO"/>
        </w:rPr>
        <w:t xml:space="preserve"> MF privind VMS în circulație (după scad</w:t>
      </w:r>
      <w:r w:rsidR="00F80BAD" w:rsidRPr="0034421C">
        <w:rPr>
          <w:rFonts w:asciiTheme="majorHAnsi" w:hAnsiTheme="majorHAnsi" w:cstheme="majorHAnsi"/>
          <w:sz w:val="18"/>
          <w:szCs w:val="18"/>
          <w:lang w:val="ro-RO"/>
        </w:rPr>
        <w:t>ență</w:t>
      </w:r>
      <w:r w:rsidR="00F80BAD">
        <w:rPr>
          <w:rFonts w:asciiTheme="majorHAnsi" w:hAnsiTheme="majorHAnsi" w:cstheme="majorHAnsi"/>
          <w:sz w:val="18"/>
          <w:szCs w:val="18"/>
          <w:lang w:val="ro-RO"/>
        </w:rPr>
        <w:t>) la situația din 31.12.2018</w:t>
      </w:r>
      <w:r w:rsidRPr="00F80BAD">
        <w:rPr>
          <w:rFonts w:asciiTheme="majorHAnsi" w:hAnsiTheme="majorHAnsi" w:cstheme="majorHAnsi"/>
          <w:sz w:val="18"/>
          <w:szCs w:val="18"/>
          <w:lang w:val="ro-RO"/>
        </w:rPr>
        <w:t>; Informația lunară privind VMS plasate pe piața internă în formă de înscrieri în conturi.</w:t>
      </w:r>
    </w:p>
    <w:p w14:paraId="3424C7A8" w14:textId="1B6C0A08" w:rsidR="002731CC" w:rsidRDefault="002731CC">
      <w:pPr>
        <w:rPr>
          <w:rFonts w:asciiTheme="majorHAnsi" w:hAnsiTheme="majorHAnsi" w:cstheme="majorHAnsi"/>
          <w:sz w:val="28"/>
          <w:szCs w:val="28"/>
          <w:highlight w:val="yellow"/>
          <w:lang w:val="ro-RO"/>
        </w:rPr>
      </w:pPr>
      <w:r>
        <w:rPr>
          <w:rFonts w:asciiTheme="majorHAnsi" w:hAnsiTheme="majorHAnsi" w:cstheme="majorHAnsi"/>
          <w:sz w:val="28"/>
          <w:szCs w:val="28"/>
          <w:highlight w:val="yellow"/>
          <w:lang w:val="ro-RO"/>
        </w:rPr>
        <w:br w:type="page"/>
      </w:r>
    </w:p>
    <w:p w14:paraId="1AC9A8AE" w14:textId="77777777" w:rsidR="00A159BA" w:rsidRPr="00775266" w:rsidRDefault="00A159BA" w:rsidP="00EE138E">
      <w:pPr>
        <w:spacing w:after="0" w:line="240" w:lineRule="auto"/>
        <w:jc w:val="both"/>
        <w:rPr>
          <w:rFonts w:asciiTheme="majorHAnsi" w:hAnsiTheme="majorHAnsi" w:cstheme="majorHAnsi"/>
          <w:sz w:val="28"/>
          <w:szCs w:val="28"/>
          <w:highlight w:val="yellow"/>
          <w:lang w:val="ro-RO"/>
        </w:rPr>
      </w:pPr>
    </w:p>
    <w:p w14:paraId="3701BF23" w14:textId="77777777" w:rsidR="00EE138E" w:rsidRPr="008E6807" w:rsidRDefault="001335EF" w:rsidP="004501BA">
      <w:pPr>
        <w:tabs>
          <w:tab w:val="left" w:pos="284"/>
        </w:tabs>
        <w:spacing w:after="0"/>
        <w:rPr>
          <w:rFonts w:asciiTheme="majorHAnsi" w:hAnsiTheme="majorHAnsi"/>
          <w:b/>
          <w:sz w:val="24"/>
          <w:lang w:val="ro-RO"/>
        </w:rPr>
      </w:pPr>
      <w:r w:rsidRPr="004501BA">
        <w:rPr>
          <w:rFonts w:asciiTheme="majorHAnsi" w:hAnsiTheme="majorHAnsi" w:cstheme="majorHAnsi"/>
          <w:b/>
          <w:sz w:val="24"/>
          <w:szCs w:val="24"/>
          <w:lang w:val="ro-RO"/>
        </w:rPr>
        <w:t>Tabelul nr.5</w:t>
      </w:r>
      <w:r w:rsidR="00DC37B0" w:rsidRPr="004501BA">
        <w:rPr>
          <w:rFonts w:asciiTheme="majorHAnsi" w:hAnsiTheme="majorHAnsi" w:cstheme="majorHAnsi"/>
          <w:b/>
          <w:sz w:val="24"/>
          <w:szCs w:val="24"/>
          <w:lang w:val="ro-RO"/>
        </w:rPr>
        <w:t>. Procurarea VMS la licitațiile din 2018</w:t>
      </w:r>
    </w:p>
    <w:tbl>
      <w:tblPr>
        <w:tblW w:w="91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992"/>
        <w:gridCol w:w="992"/>
        <w:gridCol w:w="1094"/>
        <w:gridCol w:w="1165"/>
        <w:gridCol w:w="1183"/>
        <w:gridCol w:w="11"/>
      </w:tblGrid>
      <w:tr w:rsidR="00DC37B0" w:rsidRPr="00073285" w14:paraId="36DB8753" w14:textId="77777777" w:rsidTr="00C04EF1">
        <w:trPr>
          <w:trHeight w:val="300"/>
        </w:trPr>
        <w:tc>
          <w:tcPr>
            <w:tcW w:w="3686" w:type="dxa"/>
            <w:vMerge w:val="restart"/>
            <w:shd w:val="clear" w:color="auto" w:fill="EDEDED" w:themeFill="accent3" w:themeFillTint="33"/>
            <w:noWrap/>
            <w:hideMark/>
          </w:tcPr>
          <w:p w14:paraId="590E8272" w14:textId="77777777" w:rsidR="00DC37B0" w:rsidRPr="00073285" w:rsidRDefault="00DC37B0" w:rsidP="004A2038">
            <w:pPr>
              <w:spacing w:after="0" w:line="240" w:lineRule="auto"/>
              <w:rPr>
                <w:rFonts w:asciiTheme="majorHAnsi" w:hAnsiTheme="majorHAnsi" w:cstheme="majorHAnsi"/>
                <w:b/>
                <w:sz w:val="20"/>
                <w:szCs w:val="20"/>
                <w:lang w:val="ro-MD"/>
              </w:rPr>
            </w:pPr>
            <w:r w:rsidRPr="00073285">
              <w:rPr>
                <w:rFonts w:asciiTheme="majorHAnsi" w:hAnsiTheme="majorHAnsi" w:cstheme="majorHAnsi"/>
                <w:b/>
                <w:sz w:val="20"/>
                <w:szCs w:val="20"/>
                <w:lang w:val="ro-MD"/>
              </w:rPr>
              <w:t> </w:t>
            </w:r>
          </w:p>
          <w:p w14:paraId="1CAF3C5D" w14:textId="77777777" w:rsidR="00DC37B0" w:rsidRPr="00073285" w:rsidRDefault="00DC37B0" w:rsidP="004A2038">
            <w:pPr>
              <w:tabs>
                <w:tab w:val="left" w:pos="1212"/>
              </w:tabs>
              <w:rPr>
                <w:rFonts w:asciiTheme="majorHAnsi" w:hAnsiTheme="majorHAnsi" w:cstheme="majorHAnsi"/>
                <w:b/>
                <w:sz w:val="20"/>
                <w:szCs w:val="20"/>
                <w:lang w:val="ro-MD"/>
              </w:rPr>
            </w:pPr>
            <w:r w:rsidRPr="00073285">
              <w:rPr>
                <w:rFonts w:asciiTheme="majorHAnsi" w:hAnsiTheme="majorHAnsi" w:cstheme="majorHAnsi"/>
                <w:b/>
                <w:sz w:val="20"/>
                <w:szCs w:val="20"/>
                <w:lang w:val="ro-MD"/>
              </w:rPr>
              <w:tab/>
              <w:t>Investitori</w:t>
            </w:r>
          </w:p>
        </w:tc>
        <w:tc>
          <w:tcPr>
            <w:tcW w:w="992" w:type="dxa"/>
            <w:vMerge w:val="restart"/>
            <w:shd w:val="clear" w:color="auto" w:fill="EDEDED" w:themeFill="accent3" w:themeFillTint="33"/>
            <w:noWrap/>
            <w:hideMark/>
          </w:tcPr>
          <w:p w14:paraId="09AB7350" w14:textId="77777777" w:rsidR="00DC37B0" w:rsidRPr="00073285" w:rsidRDefault="00DC37B0" w:rsidP="004A2038">
            <w:pPr>
              <w:spacing w:after="0" w:line="240" w:lineRule="auto"/>
              <w:rPr>
                <w:rFonts w:asciiTheme="majorHAnsi" w:hAnsiTheme="majorHAnsi" w:cstheme="majorHAnsi"/>
                <w:b/>
                <w:sz w:val="20"/>
                <w:szCs w:val="20"/>
                <w:lang w:val="ro-MD"/>
              </w:rPr>
            </w:pPr>
            <w:r w:rsidRPr="00073285">
              <w:rPr>
                <w:rFonts w:asciiTheme="majorHAnsi" w:hAnsiTheme="majorHAnsi" w:cstheme="majorHAnsi"/>
                <w:b/>
                <w:sz w:val="20"/>
                <w:szCs w:val="20"/>
                <w:lang w:val="ro-MD"/>
              </w:rPr>
              <w:t> </w:t>
            </w:r>
          </w:p>
          <w:p w14:paraId="11736808" w14:textId="77777777" w:rsidR="00DC37B0" w:rsidRPr="00073285" w:rsidRDefault="00DC37B0" w:rsidP="004A2038">
            <w:pPr>
              <w:spacing w:after="0" w:line="240" w:lineRule="auto"/>
              <w:rPr>
                <w:rFonts w:asciiTheme="majorHAnsi" w:hAnsiTheme="majorHAnsi" w:cstheme="majorHAnsi"/>
                <w:b/>
                <w:sz w:val="20"/>
                <w:szCs w:val="20"/>
                <w:lang w:val="ro-MD"/>
              </w:rPr>
            </w:pPr>
            <w:r w:rsidRPr="00073285">
              <w:rPr>
                <w:rFonts w:asciiTheme="majorHAnsi" w:hAnsiTheme="majorHAnsi" w:cstheme="majorHAnsi"/>
                <w:b/>
                <w:sz w:val="20"/>
                <w:szCs w:val="20"/>
                <w:lang w:val="ro-MD"/>
              </w:rPr>
              <w:t>Total</w:t>
            </w:r>
          </w:p>
        </w:tc>
        <w:tc>
          <w:tcPr>
            <w:tcW w:w="2086" w:type="dxa"/>
            <w:gridSpan w:val="2"/>
            <w:shd w:val="clear" w:color="auto" w:fill="EDEDED" w:themeFill="accent3" w:themeFillTint="33"/>
            <w:noWrap/>
            <w:hideMark/>
          </w:tcPr>
          <w:p w14:paraId="136AB594" w14:textId="77777777" w:rsidR="00DC37B0" w:rsidRPr="00073285" w:rsidRDefault="00DC37B0" w:rsidP="004A2038">
            <w:pPr>
              <w:spacing w:after="0" w:line="240" w:lineRule="auto"/>
              <w:jc w:val="center"/>
              <w:rPr>
                <w:rFonts w:asciiTheme="majorHAnsi" w:hAnsiTheme="majorHAnsi" w:cstheme="majorHAnsi"/>
                <w:b/>
                <w:sz w:val="20"/>
                <w:szCs w:val="20"/>
                <w:lang w:val="ro-MD"/>
              </w:rPr>
            </w:pPr>
            <w:r w:rsidRPr="00073285">
              <w:rPr>
                <w:rFonts w:asciiTheme="majorHAnsi" w:hAnsiTheme="majorHAnsi" w:cstheme="majorHAnsi"/>
                <w:b/>
                <w:sz w:val="20"/>
                <w:szCs w:val="20"/>
                <w:lang w:val="ro-MD"/>
              </w:rPr>
              <w:t>Investitori</w:t>
            </w:r>
          </w:p>
        </w:tc>
        <w:tc>
          <w:tcPr>
            <w:tcW w:w="2359" w:type="dxa"/>
            <w:gridSpan w:val="3"/>
            <w:shd w:val="clear" w:color="auto" w:fill="EDEDED" w:themeFill="accent3" w:themeFillTint="33"/>
            <w:noWrap/>
            <w:hideMark/>
          </w:tcPr>
          <w:p w14:paraId="7FC4AADB" w14:textId="77777777" w:rsidR="00DC37B0" w:rsidRPr="00073285" w:rsidRDefault="00DC37B0" w:rsidP="004A2038">
            <w:pPr>
              <w:spacing w:after="0" w:line="240" w:lineRule="auto"/>
              <w:jc w:val="center"/>
              <w:rPr>
                <w:rFonts w:asciiTheme="majorHAnsi" w:hAnsiTheme="majorHAnsi" w:cstheme="majorHAnsi"/>
                <w:b/>
                <w:sz w:val="20"/>
                <w:szCs w:val="20"/>
                <w:lang w:val="ro-MD"/>
              </w:rPr>
            </w:pPr>
            <w:r w:rsidRPr="00073285">
              <w:rPr>
                <w:rFonts w:asciiTheme="majorHAnsi" w:hAnsiTheme="majorHAnsi" w:cstheme="majorHAnsi"/>
                <w:b/>
                <w:sz w:val="20"/>
                <w:szCs w:val="20"/>
                <w:lang w:val="ro-MD"/>
              </w:rPr>
              <w:t>Ponderea (%)</w:t>
            </w:r>
          </w:p>
        </w:tc>
      </w:tr>
      <w:tr w:rsidR="00DC37B0" w:rsidRPr="00073285" w14:paraId="2D6CE48C" w14:textId="77777777" w:rsidTr="00C04EF1">
        <w:trPr>
          <w:gridAfter w:val="1"/>
          <w:wAfter w:w="11" w:type="dxa"/>
          <w:trHeight w:val="300"/>
        </w:trPr>
        <w:tc>
          <w:tcPr>
            <w:tcW w:w="3686" w:type="dxa"/>
            <w:vMerge/>
            <w:shd w:val="clear" w:color="auto" w:fill="EDEDED" w:themeFill="accent3" w:themeFillTint="33"/>
            <w:vAlign w:val="center"/>
            <w:hideMark/>
          </w:tcPr>
          <w:p w14:paraId="1EE3470F" w14:textId="77777777" w:rsidR="00DC37B0" w:rsidRPr="00073285" w:rsidRDefault="00DC37B0" w:rsidP="004A2038">
            <w:pPr>
              <w:spacing w:after="0" w:line="240" w:lineRule="auto"/>
              <w:rPr>
                <w:rFonts w:asciiTheme="majorHAnsi" w:hAnsiTheme="majorHAnsi" w:cstheme="majorHAnsi"/>
                <w:b/>
                <w:sz w:val="20"/>
                <w:szCs w:val="20"/>
                <w:lang w:val="ro-MD"/>
              </w:rPr>
            </w:pPr>
          </w:p>
        </w:tc>
        <w:tc>
          <w:tcPr>
            <w:tcW w:w="992" w:type="dxa"/>
            <w:vMerge/>
            <w:shd w:val="clear" w:color="auto" w:fill="EDEDED" w:themeFill="accent3" w:themeFillTint="33"/>
            <w:noWrap/>
            <w:hideMark/>
          </w:tcPr>
          <w:p w14:paraId="1029BE01" w14:textId="77777777" w:rsidR="00DC37B0" w:rsidRPr="00073285" w:rsidRDefault="00DC37B0" w:rsidP="004A2038">
            <w:pPr>
              <w:spacing w:after="0" w:line="240" w:lineRule="auto"/>
              <w:rPr>
                <w:rFonts w:asciiTheme="majorHAnsi" w:hAnsiTheme="majorHAnsi" w:cstheme="majorHAnsi"/>
                <w:b/>
                <w:sz w:val="20"/>
                <w:szCs w:val="20"/>
                <w:lang w:val="ro-MD"/>
              </w:rPr>
            </w:pPr>
          </w:p>
        </w:tc>
        <w:tc>
          <w:tcPr>
            <w:tcW w:w="992" w:type="dxa"/>
            <w:shd w:val="clear" w:color="auto" w:fill="EDEDED" w:themeFill="accent3" w:themeFillTint="33"/>
            <w:noWrap/>
            <w:vAlign w:val="bottom"/>
            <w:hideMark/>
          </w:tcPr>
          <w:p w14:paraId="2C6ADEA4" w14:textId="77777777" w:rsidR="00DC37B0" w:rsidRPr="00073285" w:rsidRDefault="00DC37B0" w:rsidP="004A2038">
            <w:pPr>
              <w:spacing w:after="0" w:line="240" w:lineRule="auto"/>
              <w:jc w:val="center"/>
              <w:rPr>
                <w:rFonts w:asciiTheme="majorHAnsi" w:hAnsiTheme="majorHAnsi" w:cstheme="majorHAnsi"/>
                <w:b/>
                <w:sz w:val="20"/>
                <w:szCs w:val="20"/>
                <w:lang w:val="ro-MD"/>
              </w:rPr>
            </w:pPr>
            <w:r w:rsidRPr="00073285">
              <w:rPr>
                <w:rFonts w:asciiTheme="majorHAnsi" w:hAnsiTheme="majorHAnsi" w:cstheme="majorHAnsi"/>
                <w:b/>
                <w:sz w:val="20"/>
                <w:szCs w:val="20"/>
                <w:lang w:val="ro-MD"/>
              </w:rPr>
              <w:t>bancari</w:t>
            </w:r>
          </w:p>
        </w:tc>
        <w:tc>
          <w:tcPr>
            <w:tcW w:w="1094" w:type="dxa"/>
            <w:shd w:val="clear" w:color="auto" w:fill="EDEDED" w:themeFill="accent3" w:themeFillTint="33"/>
            <w:noWrap/>
            <w:hideMark/>
          </w:tcPr>
          <w:p w14:paraId="1AEC0ED9" w14:textId="77777777" w:rsidR="00DC37B0" w:rsidRPr="00073285" w:rsidRDefault="00DC37B0" w:rsidP="004A2038">
            <w:pPr>
              <w:spacing w:after="0" w:line="240" w:lineRule="auto"/>
              <w:rPr>
                <w:rFonts w:asciiTheme="majorHAnsi" w:hAnsiTheme="majorHAnsi" w:cstheme="majorHAnsi"/>
                <w:b/>
                <w:sz w:val="20"/>
                <w:szCs w:val="20"/>
                <w:lang w:val="ro-MD"/>
              </w:rPr>
            </w:pPr>
          </w:p>
          <w:p w14:paraId="6D02696E" w14:textId="77777777" w:rsidR="00DC37B0" w:rsidRPr="00073285" w:rsidRDefault="00DC37B0" w:rsidP="004A2038">
            <w:pPr>
              <w:spacing w:after="0" w:line="240" w:lineRule="auto"/>
              <w:rPr>
                <w:rFonts w:asciiTheme="majorHAnsi" w:hAnsiTheme="majorHAnsi" w:cstheme="majorHAnsi"/>
                <w:b/>
                <w:sz w:val="20"/>
                <w:szCs w:val="20"/>
                <w:lang w:val="ro-MD"/>
              </w:rPr>
            </w:pPr>
            <w:r w:rsidRPr="00073285">
              <w:rPr>
                <w:rFonts w:asciiTheme="majorHAnsi" w:hAnsiTheme="majorHAnsi" w:cstheme="majorHAnsi"/>
                <w:b/>
                <w:sz w:val="20"/>
                <w:szCs w:val="20"/>
                <w:lang w:val="ro-MD"/>
              </w:rPr>
              <w:t>nebancari</w:t>
            </w:r>
          </w:p>
        </w:tc>
        <w:tc>
          <w:tcPr>
            <w:tcW w:w="1165" w:type="dxa"/>
            <w:shd w:val="clear" w:color="auto" w:fill="EDEDED" w:themeFill="accent3" w:themeFillTint="33"/>
            <w:noWrap/>
            <w:hideMark/>
          </w:tcPr>
          <w:p w14:paraId="10938F8F" w14:textId="77777777" w:rsidR="00DC37B0" w:rsidRPr="00073285" w:rsidRDefault="00DC37B0" w:rsidP="004A2038">
            <w:pPr>
              <w:spacing w:after="0" w:line="240" w:lineRule="auto"/>
              <w:rPr>
                <w:rFonts w:asciiTheme="majorHAnsi" w:hAnsiTheme="majorHAnsi" w:cstheme="majorHAnsi"/>
                <w:b/>
                <w:sz w:val="20"/>
                <w:szCs w:val="20"/>
                <w:lang w:val="ro-MD"/>
              </w:rPr>
            </w:pPr>
            <w:r w:rsidRPr="00073285">
              <w:rPr>
                <w:rFonts w:asciiTheme="majorHAnsi" w:hAnsiTheme="majorHAnsi" w:cstheme="majorHAnsi"/>
                <w:b/>
                <w:sz w:val="20"/>
                <w:szCs w:val="20"/>
                <w:lang w:val="ro-MD"/>
              </w:rPr>
              <w:t>Investitori bancari</w:t>
            </w:r>
          </w:p>
        </w:tc>
        <w:tc>
          <w:tcPr>
            <w:tcW w:w="1183" w:type="dxa"/>
            <w:shd w:val="clear" w:color="auto" w:fill="EDEDED" w:themeFill="accent3" w:themeFillTint="33"/>
            <w:noWrap/>
            <w:hideMark/>
          </w:tcPr>
          <w:p w14:paraId="07F71853" w14:textId="77777777" w:rsidR="00DC37B0" w:rsidRPr="00073285" w:rsidRDefault="00DC37B0" w:rsidP="004A2038">
            <w:pPr>
              <w:spacing w:after="0" w:line="240" w:lineRule="auto"/>
              <w:rPr>
                <w:rFonts w:asciiTheme="majorHAnsi" w:hAnsiTheme="majorHAnsi" w:cstheme="majorHAnsi"/>
                <w:b/>
                <w:sz w:val="20"/>
                <w:szCs w:val="20"/>
                <w:lang w:val="ro-MD"/>
              </w:rPr>
            </w:pPr>
            <w:r w:rsidRPr="00073285">
              <w:rPr>
                <w:rFonts w:asciiTheme="majorHAnsi" w:hAnsiTheme="majorHAnsi" w:cstheme="majorHAnsi"/>
                <w:b/>
                <w:sz w:val="20"/>
                <w:szCs w:val="20"/>
                <w:lang w:val="ro-MD"/>
              </w:rPr>
              <w:t>Investitori nebancari</w:t>
            </w:r>
          </w:p>
        </w:tc>
      </w:tr>
      <w:tr w:rsidR="00DC37B0" w:rsidRPr="00073285" w14:paraId="29712256" w14:textId="77777777" w:rsidTr="00C04EF1">
        <w:trPr>
          <w:gridAfter w:val="1"/>
          <w:wAfter w:w="11" w:type="dxa"/>
          <w:trHeight w:val="300"/>
        </w:trPr>
        <w:tc>
          <w:tcPr>
            <w:tcW w:w="3686" w:type="dxa"/>
            <w:shd w:val="clear" w:color="auto" w:fill="auto"/>
            <w:noWrap/>
            <w:vAlign w:val="bottom"/>
            <w:hideMark/>
          </w:tcPr>
          <w:p w14:paraId="458891C5" w14:textId="45B18CD1"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BC „</w:t>
            </w:r>
            <w:proofErr w:type="spellStart"/>
            <w:r w:rsidRPr="00073285">
              <w:rPr>
                <w:rFonts w:asciiTheme="majorHAnsi" w:hAnsiTheme="majorHAnsi" w:cstheme="majorHAnsi"/>
                <w:sz w:val="20"/>
                <w:szCs w:val="20"/>
                <w:lang w:val="ro-MD"/>
              </w:rPr>
              <w:t>Moldindconbank</w:t>
            </w:r>
            <w:proofErr w:type="spellEnd"/>
            <w:r w:rsidRPr="00073285">
              <w:rPr>
                <w:rFonts w:asciiTheme="majorHAnsi" w:hAnsiTheme="majorHAnsi" w:cstheme="majorHAnsi"/>
                <w:sz w:val="20"/>
                <w:szCs w:val="20"/>
                <w:lang w:val="ro-MD"/>
              </w:rPr>
              <w:t>” SA</w:t>
            </w:r>
          </w:p>
        </w:tc>
        <w:tc>
          <w:tcPr>
            <w:tcW w:w="992" w:type="dxa"/>
            <w:shd w:val="clear" w:color="auto" w:fill="auto"/>
            <w:noWrap/>
            <w:vAlign w:val="bottom"/>
            <w:hideMark/>
          </w:tcPr>
          <w:p w14:paraId="234D1446" w14:textId="77777777"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2213,2</w:t>
            </w:r>
          </w:p>
        </w:tc>
        <w:tc>
          <w:tcPr>
            <w:tcW w:w="992" w:type="dxa"/>
            <w:shd w:val="clear" w:color="auto" w:fill="auto"/>
            <w:noWrap/>
            <w:vAlign w:val="bottom"/>
            <w:hideMark/>
          </w:tcPr>
          <w:p w14:paraId="5F0F95DF"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2047,6</w:t>
            </w:r>
          </w:p>
        </w:tc>
        <w:tc>
          <w:tcPr>
            <w:tcW w:w="1094" w:type="dxa"/>
            <w:shd w:val="clear" w:color="auto" w:fill="auto"/>
            <w:noWrap/>
            <w:vAlign w:val="bottom"/>
            <w:hideMark/>
          </w:tcPr>
          <w:p w14:paraId="73F5810C"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165,6</w:t>
            </w:r>
          </w:p>
        </w:tc>
        <w:tc>
          <w:tcPr>
            <w:tcW w:w="1165" w:type="dxa"/>
            <w:shd w:val="clear" w:color="auto" w:fill="auto"/>
            <w:noWrap/>
            <w:vAlign w:val="bottom"/>
            <w:hideMark/>
          </w:tcPr>
          <w:p w14:paraId="2C649EEC"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24,9</w:t>
            </w:r>
          </w:p>
        </w:tc>
        <w:tc>
          <w:tcPr>
            <w:tcW w:w="1183" w:type="dxa"/>
            <w:shd w:val="clear" w:color="auto" w:fill="auto"/>
            <w:noWrap/>
            <w:vAlign w:val="bottom"/>
            <w:hideMark/>
          </w:tcPr>
          <w:p w14:paraId="2B319D6D"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10,7</w:t>
            </w:r>
          </w:p>
        </w:tc>
      </w:tr>
      <w:tr w:rsidR="00DC37B0" w:rsidRPr="00073285" w14:paraId="66D5C904" w14:textId="77777777" w:rsidTr="00C04EF1">
        <w:trPr>
          <w:gridAfter w:val="1"/>
          <w:wAfter w:w="11" w:type="dxa"/>
          <w:trHeight w:val="300"/>
        </w:trPr>
        <w:tc>
          <w:tcPr>
            <w:tcW w:w="3686" w:type="dxa"/>
            <w:shd w:val="clear" w:color="auto" w:fill="auto"/>
            <w:noWrap/>
            <w:vAlign w:val="bottom"/>
            <w:hideMark/>
          </w:tcPr>
          <w:p w14:paraId="743EF882" w14:textId="0A97F3D5"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BC „</w:t>
            </w:r>
            <w:proofErr w:type="spellStart"/>
            <w:r w:rsidRPr="00073285">
              <w:rPr>
                <w:rFonts w:asciiTheme="majorHAnsi" w:hAnsiTheme="majorHAnsi" w:cstheme="majorHAnsi"/>
                <w:sz w:val="20"/>
                <w:szCs w:val="20"/>
                <w:lang w:val="ro-MD"/>
              </w:rPr>
              <w:t>Victoriabank</w:t>
            </w:r>
            <w:proofErr w:type="spellEnd"/>
            <w:r w:rsidRPr="00073285">
              <w:rPr>
                <w:rFonts w:asciiTheme="majorHAnsi" w:hAnsiTheme="majorHAnsi" w:cstheme="majorHAnsi"/>
                <w:sz w:val="20"/>
                <w:szCs w:val="20"/>
                <w:lang w:val="ro-MD"/>
              </w:rPr>
              <w:t>” SA</w:t>
            </w:r>
          </w:p>
        </w:tc>
        <w:tc>
          <w:tcPr>
            <w:tcW w:w="992" w:type="dxa"/>
            <w:shd w:val="clear" w:color="auto" w:fill="auto"/>
            <w:noWrap/>
            <w:vAlign w:val="bottom"/>
            <w:hideMark/>
          </w:tcPr>
          <w:p w14:paraId="2ED08711" w14:textId="77777777"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3139,3</w:t>
            </w:r>
          </w:p>
        </w:tc>
        <w:tc>
          <w:tcPr>
            <w:tcW w:w="992" w:type="dxa"/>
            <w:shd w:val="clear" w:color="auto" w:fill="auto"/>
            <w:noWrap/>
            <w:vAlign w:val="bottom"/>
            <w:hideMark/>
          </w:tcPr>
          <w:p w14:paraId="10DA6A20"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2200,9</w:t>
            </w:r>
          </w:p>
        </w:tc>
        <w:tc>
          <w:tcPr>
            <w:tcW w:w="1094" w:type="dxa"/>
            <w:shd w:val="clear" w:color="auto" w:fill="auto"/>
            <w:noWrap/>
            <w:vAlign w:val="bottom"/>
            <w:hideMark/>
          </w:tcPr>
          <w:p w14:paraId="26260406"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938,4</w:t>
            </w:r>
          </w:p>
        </w:tc>
        <w:tc>
          <w:tcPr>
            <w:tcW w:w="1165" w:type="dxa"/>
            <w:shd w:val="clear" w:color="auto" w:fill="auto"/>
            <w:noWrap/>
            <w:vAlign w:val="bottom"/>
            <w:hideMark/>
          </w:tcPr>
          <w:p w14:paraId="1B752F13"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26,7</w:t>
            </w:r>
          </w:p>
        </w:tc>
        <w:tc>
          <w:tcPr>
            <w:tcW w:w="1183" w:type="dxa"/>
            <w:shd w:val="clear" w:color="auto" w:fill="auto"/>
            <w:noWrap/>
            <w:vAlign w:val="bottom"/>
            <w:hideMark/>
          </w:tcPr>
          <w:p w14:paraId="799BBE05"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60,7</w:t>
            </w:r>
          </w:p>
        </w:tc>
      </w:tr>
      <w:tr w:rsidR="00DC37B0" w:rsidRPr="00073285" w14:paraId="49E90C19" w14:textId="77777777" w:rsidTr="00C04EF1">
        <w:trPr>
          <w:gridAfter w:val="1"/>
          <w:wAfter w:w="11" w:type="dxa"/>
          <w:trHeight w:val="300"/>
        </w:trPr>
        <w:tc>
          <w:tcPr>
            <w:tcW w:w="3686" w:type="dxa"/>
            <w:shd w:val="clear" w:color="auto" w:fill="auto"/>
            <w:noWrap/>
            <w:vAlign w:val="bottom"/>
            <w:hideMark/>
          </w:tcPr>
          <w:p w14:paraId="328D7A64" w14:textId="2E71C106"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BC „</w:t>
            </w:r>
            <w:proofErr w:type="spellStart"/>
            <w:r w:rsidRPr="00073285">
              <w:rPr>
                <w:rFonts w:asciiTheme="majorHAnsi" w:hAnsiTheme="majorHAnsi" w:cstheme="majorHAnsi"/>
                <w:sz w:val="20"/>
                <w:szCs w:val="20"/>
                <w:lang w:val="ro-MD"/>
              </w:rPr>
              <w:t>Energbank</w:t>
            </w:r>
            <w:proofErr w:type="spellEnd"/>
            <w:r w:rsidRPr="00073285">
              <w:rPr>
                <w:rFonts w:asciiTheme="majorHAnsi" w:hAnsiTheme="majorHAnsi" w:cstheme="majorHAnsi"/>
                <w:sz w:val="20"/>
                <w:szCs w:val="20"/>
                <w:lang w:val="ro-MD"/>
              </w:rPr>
              <w:t>” SA</w:t>
            </w:r>
          </w:p>
        </w:tc>
        <w:tc>
          <w:tcPr>
            <w:tcW w:w="992" w:type="dxa"/>
            <w:shd w:val="clear" w:color="auto" w:fill="auto"/>
            <w:noWrap/>
            <w:vAlign w:val="bottom"/>
            <w:hideMark/>
          </w:tcPr>
          <w:p w14:paraId="789D234B" w14:textId="77777777"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304,5</w:t>
            </w:r>
          </w:p>
        </w:tc>
        <w:tc>
          <w:tcPr>
            <w:tcW w:w="992" w:type="dxa"/>
            <w:shd w:val="clear" w:color="auto" w:fill="auto"/>
            <w:noWrap/>
            <w:vAlign w:val="bottom"/>
            <w:hideMark/>
          </w:tcPr>
          <w:p w14:paraId="3F5FF3B3"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291,5</w:t>
            </w:r>
          </w:p>
        </w:tc>
        <w:tc>
          <w:tcPr>
            <w:tcW w:w="1094" w:type="dxa"/>
            <w:shd w:val="clear" w:color="auto" w:fill="auto"/>
            <w:noWrap/>
            <w:vAlign w:val="bottom"/>
            <w:hideMark/>
          </w:tcPr>
          <w:p w14:paraId="5F14F2D1"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13,0</w:t>
            </w:r>
          </w:p>
        </w:tc>
        <w:tc>
          <w:tcPr>
            <w:tcW w:w="1165" w:type="dxa"/>
            <w:shd w:val="clear" w:color="auto" w:fill="auto"/>
            <w:noWrap/>
            <w:vAlign w:val="bottom"/>
            <w:hideMark/>
          </w:tcPr>
          <w:p w14:paraId="41B41F22"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3,5</w:t>
            </w:r>
          </w:p>
        </w:tc>
        <w:tc>
          <w:tcPr>
            <w:tcW w:w="1183" w:type="dxa"/>
            <w:shd w:val="clear" w:color="auto" w:fill="auto"/>
            <w:noWrap/>
            <w:vAlign w:val="bottom"/>
            <w:hideMark/>
          </w:tcPr>
          <w:p w14:paraId="361B21B6"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0,8</w:t>
            </w:r>
          </w:p>
        </w:tc>
      </w:tr>
      <w:tr w:rsidR="00DC37B0" w:rsidRPr="00073285" w14:paraId="1C048AA6" w14:textId="77777777" w:rsidTr="00C04EF1">
        <w:trPr>
          <w:gridAfter w:val="1"/>
          <w:wAfter w:w="11" w:type="dxa"/>
          <w:trHeight w:val="300"/>
        </w:trPr>
        <w:tc>
          <w:tcPr>
            <w:tcW w:w="3686" w:type="dxa"/>
            <w:shd w:val="clear" w:color="auto" w:fill="auto"/>
            <w:noWrap/>
            <w:vAlign w:val="bottom"/>
            <w:hideMark/>
          </w:tcPr>
          <w:p w14:paraId="0C81F1C7" w14:textId="0230A61F"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 xml:space="preserve">BC „EXIMBANK - </w:t>
            </w:r>
            <w:proofErr w:type="spellStart"/>
            <w:r w:rsidRPr="00073285">
              <w:rPr>
                <w:rFonts w:asciiTheme="majorHAnsi" w:hAnsiTheme="majorHAnsi" w:cstheme="majorHAnsi"/>
                <w:sz w:val="20"/>
                <w:szCs w:val="20"/>
                <w:lang w:val="ro-MD"/>
              </w:rPr>
              <w:t>Gruppo</w:t>
            </w:r>
            <w:proofErr w:type="spellEnd"/>
            <w:r w:rsidRPr="00073285">
              <w:rPr>
                <w:rFonts w:asciiTheme="majorHAnsi" w:hAnsiTheme="majorHAnsi" w:cstheme="majorHAnsi"/>
                <w:sz w:val="20"/>
                <w:szCs w:val="20"/>
                <w:lang w:val="ro-MD"/>
              </w:rPr>
              <w:t xml:space="preserve"> </w:t>
            </w:r>
            <w:proofErr w:type="spellStart"/>
            <w:r w:rsidRPr="00073285">
              <w:rPr>
                <w:rFonts w:asciiTheme="majorHAnsi" w:hAnsiTheme="majorHAnsi" w:cstheme="majorHAnsi"/>
                <w:sz w:val="20"/>
                <w:szCs w:val="20"/>
                <w:lang w:val="ro-MD"/>
              </w:rPr>
              <w:t>Veneto</w:t>
            </w:r>
            <w:proofErr w:type="spellEnd"/>
            <w:r w:rsidRPr="00073285">
              <w:rPr>
                <w:rFonts w:asciiTheme="majorHAnsi" w:hAnsiTheme="majorHAnsi" w:cstheme="majorHAnsi"/>
                <w:sz w:val="20"/>
                <w:szCs w:val="20"/>
                <w:lang w:val="ro-MD"/>
              </w:rPr>
              <w:t xml:space="preserve"> Banca” SA</w:t>
            </w:r>
          </w:p>
        </w:tc>
        <w:tc>
          <w:tcPr>
            <w:tcW w:w="992" w:type="dxa"/>
            <w:shd w:val="clear" w:color="auto" w:fill="auto"/>
            <w:noWrap/>
            <w:vAlign w:val="bottom"/>
            <w:hideMark/>
          </w:tcPr>
          <w:p w14:paraId="702518D6" w14:textId="77777777"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371,6</w:t>
            </w:r>
          </w:p>
        </w:tc>
        <w:tc>
          <w:tcPr>
            <w:tcW w:w="992" w:type="dxa"/>
            <w:shd w:val="clear" w:color="auto" w:fill="auto"/>
            <w:noWrap/>
            <w:vAlign w:val="bottom"/>
            <w:hideMark/>
          </w:tcPr>
          <w:p w14:paraId="5A36B6C3"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344,6</w:t>
            </w:r>
          </w:p>
        </w:tc>
        <w:tc>
          <w:tcPr>
            <w:tcW w:w="1094" w:type="dxa"/>
            <w:shd w:val="clear" w:color="auto" w:fill="auto"/>
            <w:noWrap/>
            <w:vAlign w:val="bottom"/>
            <w:hideMark/>
          </w:tcPr>
          <w:p w14:paraId="000E3BC6"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27,0</w:t>
            </w:r>
          </w:p>
        </w:tc>
        <w:tc>
          <w:tcPr>
            <w:tcW w:w="1165" w:type="dxa"/>
            <w:shd w:val="clear" w:color="auto" w:fill="auto"/>
            <w:noWrap/>
            <w:vAlign w:val="bottom"/>
            <w:hideMark/>
          </w:tcPr>
          <w:p w14:paraId="3D17C1BE"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4,2</w:t>
            </w:r>
          </w:p>
        </w:tc>
        <w:tc>
          <w:tcPr>
            <w:tcW w:w="1183" w:type="dxa"/>
            <w:shd w:val="clear" w:color="auto" w:fill="auto"/>
            <w:noWrap/>
            <w:vAlign w:val="bottom"/>
            <w:hideMark/>
          </w:tcPr>
          <w:p w14:paraId="5370734F"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1,7</w:t>
            </w:r>
          </w:p>
        </w:tc>
      </w:tr>
      <w:tr w:rsidR="00DC37B0" w:rsidRPr="00073285" w14:paraId="2ACED11E" w14:textId="77777777" w:rsidTr="00C04EF1">
        <w:trPr>
          <w:gridAfter w:val="1"/>
          <w:wAfter w:w="11" w:type="dxa"/>
          <w:trHeight w:val="300"/>
        </w:trPr>
        <w:tc>
          <w:tcPr>
            <w:tcW w:w="3686" w:type="dxa"/>
            <w:shd w:val="clear" w:color="auto" w:fill="auto"/>
            <w:noWrap/>
            <w:vAlign w:val="bottom"/>
            <w:hideMark/>
          </w:tcPr>
          <w:p w14:paraId="7547B9D3" w14:textId="003AF2DB"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 xml:space="preserve">BC „Moldova - </w:t>
            </w:r>
            <w:proofErr w:type="spellStart"/>
            <w:r w:rsidRPr="00073285">
              <w:rPr>
                <w:rFonts w:asciiTheme="majorHAnsi" w:hAnsiTheme="majorHAnsi" w:cstheme="majorHAnsi"/>
                <w:sz w:val="20"/>
                <w:szCs w:val="20"/>
                <w:lang w:val="ro-MD"/>
              </w:rPr>
              <w:t>Agroindbank</w:t>
            </w:r>
            <w:proofErr w:type="spellEnd"/>
            <w:r w:rsidRPr="00073285">
              <w:rPr>
                <w:rFonts w:asciiTheme="majorHAnsi" w:hAnsiTheme="majorHAnsi" w:cstheme="majorHAnsi"/>
                <w:sz w:val="20"/>
                <w:szCs w:val="20"/>
                <w:lang w:val="ro-MD"/>
              </w:rPr>
              <w:t>” SA</w:t>
            </w:r>
          </w:p>
        </w:tc>
        <w:tc>
          <w:tcPr>
            <w:tcW w:w="992" w:type="dxa"/>
            <w:shd w:val="clear" w:color="auto" w:fill="auto"/>
            <w:noWrap/>
            <w:vAlign w:val="bottom"/>
            <w:hideMark/>
          </w:tcPr>
          <w:p w14:paraId="5BB0C458" w14:textId="77777777"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1602,1</w:t>
            </w:r>
          </w:p>
        </w:tc>
        <w:tc>
          <w:tcPr>
            <w:tcW w:w="992" w:type="dxa"/>
            <w:shd w:val="clear" w:color="auto" w:fill="auto"/>
            <w:noWrap/>
            <w:vAlign w:val="bottom"/>
            <w:hideMark/>
          </w:tcPr>
          <w:p w14:paraId="27694501"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1445,6</w:t>
            </w:r>
          </w:p>
        </w:tc>
        <w:tc>
          <w:tcPr>
            <w:tcW w:w="1094" w:type="dxa"/>
            <w:shd w:val="clear" w:color="auto" w:fill="auto"/>
            <w:noWrap/>
            <w:vAlign w:val="bottom"/>
            <w:hideMark/>
          </w:tcPr>
          <w:p w14:paraId="0C88F376"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156,5</w:t>
            </w:r>
          </w:p>
        </w:tc>
        <w:tc>
          <w:tcPr>
            <w:tcW w:w="1165" w:type="dxa"/>
            <w:shd w:val="clear" w:color="auto" w:fill="auto"/>
            <w:noWrap/>
            <w:vAlign w:val="bottom"/>
            <w:hideMark/>
          </w:tcPr>
          <w:p w14:paraId="7CF09CE7"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17,6</w:t>
            </w:r>
          </w:p>
        </w:tc>
        <w:tc>
          <w:tcPr>
            <w:tcW w:w="1183" w:type="dxa"/>
            <w:shd w:val="clear" w:color="auto" w:fill="auto"/>
            <w:noWrap/>
            <w:vAlign w:val="bottom"/>
            <w:hideMark/>
          </w:tcPr>
          <w:p w14:paraId="35C03C1C"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10,1</w:t>
            </w:r>
          </w:p>
        </w:tc>
      </w:tr>
      <w:tr w:rsidR="00DC37B0" w:rsidRPr="00073285" w14:paraId="346EADCD" w14:textId="77777777" w:rsidTr="00C04EF1">
        <w:trPr>
          <w:gridAfter w:val="1"/>
          <w:wAfter w:w="11" w:type="dxa"/>
          <w:trHeight w:val="300"/>
        </w:trPr>
        <w:tc>
          <w:tcPr>
            <w:tcW w:w="3686" w:type="dxa"/>
            <w:shd w:val="clear" w:color="auto" w:fill="auto"/>
            <w:noWrap/>
            <w:vAlign w:val="bottom"/>
            <w:hideMark/>
          </w:tcPr>
          <w:p w14:paraId="5B3948A9" w14:textId="7D615CC7"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BC „</w:t>
            </w:r>
            <w:proofErr w:type="spellStart"/>
            <w:r w:rsidRPr="00073285">
              <w:rPr>
                <w:rFonts w:asciiTheme="majorHAnsi" w:hAnsiTheme="majorHAnsi" w:cstheme="majorHAnsi"/>
                <w:sz w:val="20"/>
                <w:szCs w:val="20"/>
                <w:lang w:val="ro-MD"/>
              </w:rPr>
              <w:t>Mobiasbancă</w:t>
            </w:r>
            <w:proofErr w:type="spellEnd"/>
            <w:r w:rsidRPr="00073285">
              <w:rPr>
                <w:rFonts w:asciiTheme="majorHAnsi" w:hAnsiTheme="majorHAnsi" w:cstheme="majorHAnsi"/>
                <w:sz w:val="20"/>
                <w:szCs w:val="20"/>
                <w:lang w:val="ro-MD"/>
              </w:rPr>
              <w:t xml:space="preserve"> - </w:t>
            </w:r>
            <w:proofErr w:type="spellStart"/>
            <w:r w:rsidRPr="00073285">
              <w:rPr>
                <w:rFonts w:asciiTheme="majorHAnsi" w:hAnsiTheme="majorHAnsi" w:cstheme="majorHAnsi"/>
                <w:sz w:val="20"/>
                <w:szCs w:val="20"/>
                <w:lang w:val="ro-MD"/>
              </w:rPr>
              <w:t>Groupe</w:t>
            </w:r>
            <w:proofErr w:type="spellEnd"/>
            <w:r w:rsidRPr="00073285">
              <w:rPr>
                <w:rFonts w:asciiTheme="majorHAnsi" w:hAnsiTheme="majorHAnsi" w:cstheme="majorHAnsi"/>
                <w:sz w:val="20"/>
                <w:szCs w:val="20"/>
                <w:lang w:val="ro-MD"/>
              </w:rPr>
              <w:t xml:space="preserve"> </w:t>
            </w:r>
            <w:proofErr w:type="spellStart"/>
            <w:r w:rsidRPr="00073285">
              <w:rPr>
                <w:rFonts w:asciiTheme="majorHAnsi" w:hAnsiTheme="majorHAnsi" w:cstheme="majorHAnsi"/>
                <w:sz w:val="20"/>
                <w:szCs w:val="20"/>
                <w:lang w:val="ro-MD"/>
              </w:rPr>
              <w:t>Societe</w:t>
            </w:r>
            <w:proofErr w:type="spellEnd"/>
            <w:r w:rsidRPr="00073285">
              <w:rPr>
                <w:rFonts w:asciiTheme="majorHAnsi" w:hAnsiTheme="majorHAnsi" w:cstheme="majorHAnsi"/>
                <w:sz w:val="20"/>
                <w:szCs w:val="20"/>
                <w:lang w:val="ro-MD"/>
              </w:rPr>
              <w:t xml:space="preserve"> Generale” SA</w:t>
            </w:r>
          </w:p>
        </w:tc>
        <w:tc>
          <w:tcPr>
            <w:tcW w:w="992" w:type="dxa"/>
            <w:shd w:val="clear" w:color="auto" w:fill="auto"/>
            <w:noWrap/>
            <w:vAlign w:val="bottom"/>
            <w:hideMark/>
          </w:tcPr>
          <w:p w14:paraId="3FA5504A" w14:textId="77777777"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968,7</w:t>
            </w:r>
          </w:p>
        </w:tc>
        <w:tc>
          <w:tcPr>
            <w:tcW w:w="992" w:type="dxa"/>
            <w:shd w:val="clear" w:color="auto" w:fill="auto"/>
            <w:noWrap/>
            <w:vAlign w:val="bottom"/>
            <w:hideMark/>
          </w:tcPr>
          <w:p w14:paraId="4405F901"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788,3</w:t>
            </w:r>
          </w:p>
        </w:tc>
        <w:tc>
          <w:tcPr>
            <w:tcW w:w="1094" w:type="dxa"/>
            <w:shd w:val="clear" w:color="auto" w:fill="auto"/>
            <w:noWrap/>
            <w:vAlign w:val="bottom"/>
            <w:hideMark/>
          </w:tcPr>
          <w:p w14:paraId="342E7833"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180,5</w:t>
            </w:r>
          </w:p>
        </w:tc>
        <w:tc>
          <w:tcPr>
            <w:tcW w:w="1165" w:type="dxa"/>
            <w:shd w:val="clear" w:color="auto" w:fill="auto"/>
            <w:noWrap/>
            <w:vAlign w:val="bottom"/>
            <w:hideMark/>
          </w:tcPr>
          <w:p w14:paraId="75C61863"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9,6</w:t>
            </w:r>
          </w:p>
        </w:tc>
        <w:tc>
          <w:tcPr>
            <w:tcW w:w="1183" w:type="dxa"/>
            <w:shd w:val="clear" w:color="auto" w:fill="auto"/>
            <w:noWrap/>
            <w:vAlign w:val="bottom"/>
            <w:hideMark/>
          </w:tcPr>
          <w:p w14:paraId="4BA28254"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11,7</w:t>
            </w:r>
          </w:p>
        </w:tc>
      </w:tr>
      <w:tr w:rsidR="00DC37B0" w:rsidRPr="00073285" w14:paraId="0AE74E56" w14:textId="77777777" w:rsidTr="00C04EF1">
        <w:trPr>
          <w:gridAfter w:val="1"/>
          <w:wAfter w:w="11" w:type="dxa"/>
          <w:trHeight w:val="300"/>
        </w:trPr>
        <w:tc>
          <w:tcPr>
            <w:tcW w:w="3686" w:type="dxa"/>
            <w:shd w:val="clear" w:color="auto" w:fill="auto"/>
            <w:noWrap/>
            <w:vAlign w:val="bottom"/>
            <w:hideMark/>
          </w:tcPr>
          <w:p w14:paraId="150E70C9" w14:textId="47C207B7"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w:t>
            </w:r>
            <w:proofErr w:type="spellStart"/>
            <w:r w:rsidRPr="00073285">
              <w:rPr>
                <w:rFonts w:asciiTheme="majorHAnsi" w:hAnsiTheme="majorHAnsi" w:cstheme="majorHAnsi"/>
                <w:sz w:val="20"/>
                <w:szCs w:val="20"/>
                <w:lang w:val="ro-MD"/>
              </w:rPr>
              <w:t>FinComBank</w:t>
            </w:r>
            <w:proofErr w:type="spellEnd"/>
            <w:r w:rsidRPr="00073285">
              <w:rPr>
                <w:rFonts w:asciiTheme="majorHAnsi" w:hAnsiTheme="majorHAnsi" w:cstheme="majorHAnsi"/>
                <w:sz w:val="20"/>
                <w:szCs w:val="20"/>
                <w:lang w:val="ro-MD"/>
              </w:rPr>
              <w:t>” SA</w:t>
            </w:r>
          </w:p>
        </w:tc>
        <w:tc>
          <w:tcPr>
            <w:tcW w:w="992" w:type="dxa"/>
            <w:shd w:val="clear" w:color="auto" w:fill="auto"/>
            <w:noWrap/>
            <w:vAlign w:val="bottom"/>
            <w:hideMark/>
          </w:tcPr>
          <w:p w14:paraId="6609844B" w14:textId="77777777"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295,4</w:t>
            </w:r>
          </w:p>
        </w:tc>
        <w:tc>
          <w:tcPr>
            <w:tcW w:w="992" w:type="dxa"/>
            <w:shd w:val="clear" w:color="auto" w:fill="auto"/>
            <w:noWrap/>
            <w:vAlign w:val="bottom"/>
            <w:hideMark/>
          </w:tcPr>
          <w:p w14:paraId="162510B5"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274,5</w:t>
            </w:r>
          </w:p>
        </w:tc>
        <w:tc>
          <w:tcPr>
            <w:tcW w:w="1094" w:type="dxa"/>
            <w:shd w:val="clear" w:color="auto" w:fill="auto"/>
            <w:noWrap/>
            <w:vAlign w:val="bottom"/>
            <w:hideMark/>
          </w:tcPr>
          <w:p w14:paraId="26FEB2F7"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20,8</w:t>
            </w:r>
          </w:p>
        </w:tc>
        <w:tc>
          <w:tcPr>
            <w:tcW w:w="1165" w:type="dxa"/>
            <w:shd w:val="clear" w:color="auto" w:fill="auto"/>
            <w:noWrap/>
            <w:vAlign w:val="bottom"/>
            <w:hideMark/>
          </w:tcPr>
          <w:p w14:paraId="142484F3"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3,3</w:t>
            </w:r>
          </w:p>
        </w:tc>
        <w:tc>
          <w:tcPr>
            <w:tcW w:w="1183" w:type="dxa"/>
            <w:shd w:val="clear" w:color="auto" w:fill="auto"/>
            <w:noWrap/>
            <w:vAlign w:val="bottom"/>
            <w:hideMark/>
          </w:tcPr>
          <w:p w14:paraId="580D223C"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1,3</w:t>
            </w:r>
          </w:p>
        </w:tc>
      </w:tr>
      <w:tr w:rsidR="00DC37B0" w:rsidRPr="00073285" w14:paraId="502C4253" w14:textId="77777777" w:rsidTr="00C04EF1">
        <w:trPr>
          <w:gridAfter w:val="1"/>
          <w:wAfter w:w="11" w:type="dxa"/>
          <w:trHeight w:val="300"/>
        </w:trPr>
        <w:tc>
          <w:tcPr>
            <w:tcW w:w="3686" w:type="dxa"/>
            <w:shd w:val="clear" w:color="auto" w:fill="auto"/>
            <w:noWrap/>
            <w:vAlign w:val="center"/>
            <w:hideMark/>
          </w:tcPr>
          <w:p w14:paraId="66B4FA5A" w14:textId="58C54CA2"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BC „</w:t>
            </w:r>
            <w:proofErr w:type="spellStart"/>
            <w:r w:rsidRPr="00073285">
              <w:rPr>
                <w:rFonts w:asciiTheme="majorHAnsi" w:hAnsiTheme="majorHAnsi" w:cstheme="majorHAnsi"/>
                <w:sz w:val="20"/>
                <w:szCs w:val="20"/>
                <w:lang w:val="ro-MD"/>
              </w:rPr>
              <w:t>ProCredit</w:t>
            </w:r>
            <w:proofErr w:type="spellEnd"/>
            <w:r w:rsidRPr="00073285">
              <w:rPr>
                <w:rFonts w:asciiTheme="majorHAnsi" w:hAnsiTheme="majorHAnsi" w:cstheme="majorHAnsi"/>
                <w:sz w:val="20"/>
                <w:szCs w:val="20"/>
                <w:lang w:val="ro-MD"/>
              </w:rPr>
              <w:t xml:space="preserve"> Bank” SA</w:t>
            </w:r>
          </w:p>
        </w:tc>
        <w:tc>
          <w:tcPr>
            <w:tcW w:w="992" w:type="dxa"/>
            <w:shd w:val="clear" w:color="auto" w:fill="auto"/>
            <w:noWrap/>
            <w:vAlign w:val="bottom"/>
            <w:hideMark/>
          </w:tcPr>
          <w:p w14:paraId="47F548FA" w14:textId="77777777"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0,0</w:t>
            </w:r>
          </w:p>
        </w:tc>
        <w:tc>
          <w:tcPr>
            <w:tcW w:w="992" w:type="dxa"/>
            <w:shd w:val="clear" w:color="auto" w:fill="auto"/>
            <w:noWrap/>
            <w:vAlign w:val="bottom"/>
            <w:hideMark/>
          </w:tcPr>
          <w:p w14:paraId="27FD8972"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0,0</w:t>
            </w:r>
          </w:p>
        </w:tc>
        <w:tc>
          <w:tcPr>
            <w:tcW w:w="1094" w:type="dxa"/>
            <w:shd w:val="clear" w:color="auto" w:fill="auto"/>
            <w:noWrap/>
            <w:vAlign w:val="bottom"/>
            <w:hideMark/>
          </w:tcPr>
          <w:p w14:paraId="448EA019"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0,0</w:t>
            </w:r>
          </w:p>
        </w:tc>
        <w:tc>
          <w:tcPr>
            <w:tcW w:w="1165" w:type="dxa"/>
            <w:shd w:val="clear" w:color="auto" w:fill="auto"/>
            <w:noWrap/>
            <w:vAlign w:val="bottom"/>
            <w:hideMark/>
          </w:tcPr>
          <w:p w14:paraId="2EA0B613"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0,0</w:t>
            </w:r>
          </w:p>
        </w:tc>
        <w:tc>
          <w:tcPr>
            <w:tcW w:w="1183" w:type="dxa"/>
            <w:shd w:val="clear" w:color="auto" w:fill="auto"/>
            <w:noWrap/>
            <w:vAlign w:val="bottom"/>
            <w:hideMark/>
          </w:tcPr>
          <w:p w14:paraId="6675CC52"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0,0</w:t>
            </w:r>
          </w:p>
        </w:tc>
      </w:tr>
      <w:tr w:rsidR="00DC37B0" w:rsidRPr="00073285" w14:paraId="2B2ECFBD" w14:textId="77777777" w:rsidTr="00C04EF1">
        <w:trPr>
          <w:gridAfter w:val="1"/>
          <w:wAfter w:w="11" w:type="dxa"/>
          <w:trHeight w:val="300"/>
        </w:trPr>
        <w:tc>
          <w:tcPr>
            <w:tcW w:w="3686" w:type="dxa"/>
            <w:shd w:val="clear" w:color="auto" w:fill="auto"/>
            <w:noWrap/>
            <w:vAlign w:val="bottom"/>
            <w:hideMark/>
          </w:tcPr>
          <w:p w14:paraId="4CF95081" w14:textId="0D4882DE"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BC „</w:t>
            </w:r>
            <w:proofErr w:type="spellStart"/>
            <w:r w:rsidRPr="00073285">
              <w:rPr>
                <w:rFonts w:asciiTheme="majorHAnsi" w:hAnsiTheme="majorHAnsi" w:cstheme="majorHAnsi"/>
                <w:sz w:val="20"/>
                <w:szCs w:val="20"/>
                <w:lang w:val="ro-MD"/>
              </w:rPr>
              <w:t>EuroCreditBank</w:t>
            </w:r>
            <w:proofErr w:type="spellEnd"/>
            <w:r w:rsidRPr="00073285">
              <w:rPr>
                <w:rFonts w:asciiTheme="majorHAnsi" w:hAnsiTheme="majorHAnsi" w:cstheme="majorHAnsi"/>
                <w:sz w:val="20"/>
                <w:szCs w:val="20"/>
                <w:lang w:val="ro-MD"/>
              </w:rPr>
              <w:t>” SA</w:t>
            </w:r>
          </w:p>
        </w:tc>
        <w:tc>
          <w:tcPr>
            <w:tcW w:w="992" w:type="dxa"/>
            <w:shd w:val="clear" w:color="auto" w:fill="auto"/>
            <w:noWrap/>
            <w:vAlign w:val="bottom"/>
            <w:hideMark/>
          </w:tcPr>
          <w:p w14:paraId="1392435A" w14:textId="77777777"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104,9</w:t>
            </w:r>
          </w:p>
        </w:tc>
        <w:tc>
          <w:tcPr>
            <w:tcW w:w="992" w:type="dxa"/>
            <w:shd w:val="clear" w:color="auto" w:fill="auto"/>
            <w:noWrap/>
            <w:vAlign w:val="bottom"/>
            <w:hideMark/>
          </w:tcPr>
          <w:p w14:paraId="6D2E890B"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75,2</w:t>
            </w:r>
          </w:p>
        </w:tc>
        <w:tc>
          <w:tcPr>
            <w:tcW w:w="1094" w:type="dxa"/>
            <w:shd w:val="clear" w:color="auto" w:fill="auto"/>
            <w:noWrap/>
            <w:vAlign w:val="bottom"/>
            <w:hideMark/>
          </w:tcPr>
          <w:p w14:paraId="2D4C516D"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29,7</w:t>
            </w:r>
          </w:p>
        </w:tc>
        <w:tc>
          <w:tcPr>
            <w:tcW w:w="1165" w:type="dxa"/>
            <w:shd w:val="clear" w:color="auto" w:fill="auto"/>
            <w:noWrap/>
            <w:vAlign w:val="bottom"/>
            <w:hideMark/>
          </w:tcPr>
          <w:p w14:paraId="63DC81C3"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0,9</w:t>
            </w:r>
          </w:p>
        </w:tc>
        <w:tc>
          <w:tcPr>
            <w:tcW w:w="1183" w:type="dxa"/>
            <w:shd w:val="clear" w:color="auto" w:fill="auto"/>
            <w:noWrap/>
            <w:vAlign w:val="bottom"/>
            <w:hideMark/>
          </w:tcPr>
          <w:p w14:paraId="1D6AF467"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1,9</w:t>
            </w:r>
          </w:p>
        </w:tc>
      </w:tr>
      <w:tr w:rsidR="00DC37B0" w:rsidRPr="00073285" w14:paraId="13797E87" w14:textId="77777777" w:rsidTr="00C04EF1">
        <w:trPr>
          <w:gridAfter w:val="1"/>
          <w:wAfter w:w="11" w:type="dxa"/>
          <w:trHeight w:val="300"/>
        </w:trPr>
        <w:tc>
          <w:tcPr>
            <w:tcW w:w="3686" w:type="dxa"/>
            <w:shd w:val="clear" w:color="auto" w:fill="auto"/>
            <w:noWrap/>
            <w:vAlign w:val="bottom"/>
            <w:hideMark/>
          </w:tcPr>
          <w:p w14:paraId="3DE4419A" w14:textId="475288EB"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BC</w:t>
            </w:r>
            <w:r w:rsidR="006D7BBF" w:rsidRPr="00073285">
              <w:rPr>
                <w:rFonts w:asciiTheme="majorHAnsi" w:hAnsiTheme="majorHAnsi" w:cstheme="majorHAnsi"/>
                <w:sz w:val="20"/>
                <w:szCs w:val="20"/>
                <w:lang w:val="ro-MD"/>
              </w:rPr>
              <w:t xml:space="preserve"> </w:t>
            </w:r>
            <w:r w:rsidRPr="00073285">
              <w:rPr>
                <w:rFonts w:asciiTheme="majorHAnsi" w:hAnsiTheme="majorHAnsi" w:cstheme="majorHAnsi"/>
                <w:sz w:val="20"/>
                <w:szCs w:val="20"/>
                <w:lang w:val="ro-MD"/>
              </w:rPr>
              <w:t>„</w:t>
            </w:r>
            <w:proofErr w:type="spellStart"/>
            <w:r w:rsidRPr="00073285">
              <w:rPr>
                <w:rFonts w:asciiTheme="majorHAnsi" w:hAnsiTheme="majorHAnsi" w:cstheme="majorHAnsi"/>
                <w:sz w:val="20"/>
                <w:szCs w:val="20"/>
                <w:lang w:val="ro-MD"/>
              </w:rPr>
              <w:t>Comerţbank</w:t>
            </w:r>
            <w:proofErr w:type="spellEnd"/>
            <w:r w:rsidRPr="00073285">
              <w:rPr>
                <w:rFonts w:asciiTheme="majorHAnsi" w:hAnsiTheme="majorHAnsi" w:cstheme="majorHAnsi"/>
                <w:sz w:val="20"/>
                <w:szCs w:val="20"/>
                <w:lang w:val="ro-MD"/>
              </w:rPr>
              <w:t>” SA</w:t>
            </w:r>
          </w:p>
        </w:tc>
        <w:tc>
          <w:tcPr>
            <w:tcW w:w="992" w:type="dxa"/>
            <w:shd w:val="clear" w:color="auto" w:fill="auto"/>
            <w:noWrap/>
            <w:vAlign w:val="bottom"/>
            <w:hideMark/>
          </w:tcPr>
          <w:p w14:paraId="78B596C5" w14:textId="77777777"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275,3</w:t>
            </w:r>
          </w:p>
        </w:tc>
        <w:tc>
          <w:tcPr>
            <w:tcW w:w="992" w:type="dxa"/>
            <w:shd w:val="clear" w:color="auto" w:fill="auto"/>
            <w:noWrap/>
            <w:vAlign w:val="bottom"/>
            <w:hideMark/>
          </w:tcPr>
          <w:p w14:paraId="6965FDFF"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275,3</w:t>
            </w:r>
          </w:p>
        </w:tc>
        <w:tc>
          <w:tcPr>
            <w:tcW w:w="1094" w:type="dxa"/>
            <w:shd w:val="clear" w:color="auto" w:fill="auto"/>
            <w:noWrap/>
            <w:vAlign w:val="bottom"/>
            <w:hideMark/>
          </w:tcPr>
          <w:p w14:paraId="08CE185A"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0,0</w:t>
            </w:r>
          </w:p>
        </w:tc>
        <w:tc>
          <w:tcPr>
            <w:tcW w:w="1165" w:type="dxa"/>
            <w:shd w:val="clear" w:color="auto" w:fill="auto"/>
            <w:noWrap/>
            <w:vAlign w:val="bottom"/>
            <w:hideMark/>
          </w:tcPr>
          <w:p w14:paraId="6588D9B5"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3,3</w:t>
            </w:r>
          </w:p>
        </w:tc>
        <w:tc>
          <w:tcPr>
            <w:tcW w:w="1183" w:type="dxa"/>
            <w:shd w:val="clear" w:color="auto" w:fill="auto"/>
            <w:noWrap/>
            <w:vAlign w:val="bottom"/>
            <w:hideMark/>
          </w:tcPr>
          <w:p w14:paraId="4E14EA9E"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0,0</w:t>
            </w:r>
          </w:p>
        </w:tc>
      </w:tr>
      <w:tr w:rsidR="00DC37B0" w:rsidRPr="00073285" w14:paraId="6A00AA8E" w14:textId="77777777" w:rsidTr="00C04EF1">
        <w:trPr>
          <w:gridAfter w:val="1"/>
          <w:wAfter w:w="11" w:type="dxa"/>
          <w:trHeight w:val="300"/>
        </w:trPr>
        <w:tc>
          <w:tcPr>
            <w:tcW w:w="3686" w:type="dxa"/>
            <w:shd w:val="clear" w:color="auto" w:fill="auto"/>
            <w:noWrap/>
            <w:vAlign w:val="bottom"/>
            <w:hideMark/>
          </w:tcPr>
          <w:p w14:paraId="36F7AD54" w14:textId="0274333E"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 xml:space="preserve">Banca Comercială Română </w:t>
            </w:r>
            <w:proofErr w:type="spellStart"/>
            <w:r w:rsidRPr="00073285">
              <w:rPr>
                <w:rFonts w:asciiTheme="majorHAnsi" w:hAnsiTheme="majorHAnsi" w:cstheme="majorHAnsi"/>
                <w:sz w:val="20"/>
                <w:szCs w:val="20"/>
                <w:lang w:val="ro-MD"/>
              </w:rPr>
              <w:t>Chisinău</w:t>
            </w:r>
            <w:proofErr w:type="spellEnd"/>
            <w:r w:rsidRPr="00073285">
              <w:rPr>
                <w:rFonts w:asciiTheme="majorHAnsi" w:hAnsiTheme="majorHAnsi" w:cstheme="majorHAnsi"/>
                <w:sz w:val="20"/>
                <w:szCs w:val="20"/>
                <w:lang w:val="ro-MD"/>
              </w:rPr>
              <w:t xml:space="preserve"> SA</w:t>
            </w:r>
          </w:p>
        </w:tc>
        <w:tc>
          <w:tcPr>
            <w:tcW w:w="992" w:type="dxa"/>
            <w:shd w:val="clear" w:color="auto" w:fill="auto"/>
            <w:noWrap/>
            <w:vAlign w:val="bottom"/>
            <w:hideMark/>
          </w:tcPr>
          <w:p w14:paraId="56C13067" w14:textId="77777777"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374,0</w:t>
            </w:r>
          </w:p>
        </w:tc>
        <w:tc>
          <w:tcPr>
            <w:tcW w:w="992" w:type="dxa"/>
            <w:shd w:val="clear" w:color="auto" w:fill="auto"/>
            <w:noWrap/>
            <w:vAlign w:val="bottom"/>
            <w:hideMark/>
          </w:tcPr>
          <w:p w14:paraId="4C6AC4CC"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358,9</w:t>
            </w:r>
          </w:p>
        </w:tc>
        <w:tc>
          <w:tcPr>
            <w:tcW w:w="1094" w:type="dxa"/>
            <w:shd w:val="clear" w:color="auto" w:fill="auto"/>
            <w:noWrap/>
            <w:vAlign w:val="bottom"/>
            <w:hideMark/>
          </w:tcPr>
          <w:p w14:paraId="370C96BC"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15,1</w:t>
            </w:r>
          </w:p>
        </w:tc>
        <w:tc>
          <w:tcPr>
            <w:tcW w:w="1165" w:type="dxa"/>
            <w:shd w:val="clear" w:color="auto" w:fill="auto"/>
            <w:noWrap/>
            <w:vAlign w:val="bottom"/>
            <w:hideMark/>
          </w:tcPr>
          <w:p w14:paraId="78FF6EDA"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4,4</w:t>
            </w:r>
          </w:p>
        </w:tc>
        <w:tc>
          <w:tcPr>
            <w:tcW w:w="1183" w:type="dxa"/>
            <w:shd w:val="clear" w:color="auto" w:fill="auto"/>
            <w:noWrap/>
            <w:vAlign w:val="bottom"/>
            <w:hideMark/>
          </w:tcPr>
          <w:p w14:paraId="7A4CA91D"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1,0</w:t>
            </w:r>
          </w:p>
        </w:tc>
      </w:tr>
      <w:tr w:rsidR="00DC37B0" w:rsidRPr="00073285" w14:paraId="5574E4C0" w14:textId="77777777" w:rsidTr="00C04EF1">
        <w:trPr>
          <w:gridAfter w:val="1"/>
          <w:wAfter w:w="11" w:type="dxa"/>
          <w:trHeight w:val="300"/>
        </w:trPr>
        <w:tc>
          <w:tcPr>
            <w:tcW w:w="3686" w:type="dxa"/>
            <w:shd w:val="clear" w:color="auto" w:fill="auto"/>
            <w:noWrap/>
            <w:vAlign w:val="bottom"/>
            <w:hideMark/>
          </w:tcPr>
          <w:p w14:paraId="369BEE84" w14:textId="77777777"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Fondul de garantare a depozitelor</w:t>
            </w:r>
          </w:p>
        </w:tc>
        <w:tc>
          <w:tcPr>
            <w:tcW w:w="992" w:type="dxa"/>
            <w:shd w:val="clear" w:color="auto" w:fill="auto"/>
            <w:noWrap/>
            <w:vAlign w:val="bottom"/>
            <w:hideMark/>
          </w:tcPr>
          <w:p w14:paraId="171A0B22" w14:textId="77777777"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sz w:val="20"/>
                <w:szCs w:val="20"/>
                <w:lang w:val="ro-MD"/>
              </w:rPr>
              <w:t>130,6</w:t>
            </w:r>
          </w:p>
        </w:tc>
        <w:tc>
          <w:tcPr>
            <w:tcW w:w="992" w:type="dxa"/>
            <w:shd w:val="clear" w:color="auto" w:fill="auto"/>
            <w:noWrap/>
            <w:vAlign w:val="bottom"/>
            <w:hideMark/>
          </w:tcPr>
          <w:p w14:paraId="5D29CE46"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130,6</w:t>
            </w:r>
          </w:p>
        </w:tc>
        <w:tc>
          <w:tcPr>
            <w:tcW w:w="1094" w:type="dxa"/>
            <w:shd w:val="clear" w:color="auto" w:fill="auto"/>
            <w:noWrap/>
            <w:vAlign w:val="bottom"/>
            <w:hideMark/>
          </w:tcPr>
          <w:p w14:paraId="27DB32BE"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0,0</w:t>
            </w:r>
          </w:p>
        </w:tc>
        <w:tc>
          <w:tcPr>
            <w:tcW w:w="1165" w:type="dxa"/>
            <w:shd w:val="clear" w:color="auto" w:fill="auto"/>
            <w:noWrap/>
            <w:vAlign w:val="bottom"/>
            <w:hideMark/>
          </w:tcPr>
          <w:p w14:paraId="1F36584D"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1,6</w:t>
            </w:r>
          </w:p>
        </w:tc>
        <w:tc>
          <w:tcPr>
            <w:tcW w:w="1183" w:type="dxa"/>
            <w:shd w:val="clear" w:color="auto" w:fill="auto"/>
            <w:noWrap/>
            <w:vAlign w:val="bottom"/>
            <w:hideMark/>
          </w:tcPr>
          <w:p w14:paraId="02E63B12" w14:textId="77777777" w:rsidR="00DC37B0" w:rsidRPr="00073285" w:rsidRDefault="00DC37B0" w:rsidP="004A2038">
            <w:pPr>
              <w:spacing w:after="0" w:line="240" w:lineRule="auto"/>
              <w:jc w:val="right"/>
              <w:rPr>
                <w:rFonts w:asciiTheme="majorHAnsi" w:hAnsiTheme="majorHAnsi" w:cstheme="majorHAnsi"/>
                <w:sz w:val="20"/>
                <w:szCs w:val="20"/>
                <w:lang w:val="ro-MD"/>
              </w:rPr>
            </w:pPr>
            <w:r w:rsidRPr="00073285">
              <w:rPr>
                <w:rFonts w:asciiTheme="majorHAnsi" w:hAnsiTheme="majorHAnsi" w:cstheme="majorHAnsi"/>
                <w:sz w:val="20"/>
                <w:szCs w:val="20"/>
                <w:lang w:val="ro-MD"/>
              </w:rPr>
              <w:t>0,0</w:t>
            </w:r>
          </w:p>
        </w:tc>
      </w:tr>
      <w:tr w:rsidR="00DC37B0" w:rsidRPr="00073285" w14:paraId="78DEDB1D" w14:textId="77777777" w:rsidTr="00C04EF1">
        <w:trPr>
          <w:gridAfter w:val="1"/>
          <w:wAfter w:w="11" w:type="dxa"/>
          <w:trHeight w:val="300"/>
        </w:trPr>
        <w:tc>
          <w:tcPr>
            <w:tcW w:w="3686" w:type="dxa"/>
            <w:shd w:val="clear" w:color="auto" w:fill="EDEDED" w:themeFill="accent3" w:themeFillTint="33"/>
            <w:noWrap/>
            <w:hideMark/>
          </w:tcPr>
          <w:p w14:paraId="007870F9" w14:textId="77777777" w:rsidR="00DC37B0" w:rsidRPr="00073285" w:rsidRDefault="00DC37B0" w:rsidP="004A2038">
            <w:pPr>
              <w:spacing w:after="0" w:line="240" w:lineRule="auto"/>
              <w:rPr>
                <w:rFonts w:asciiTheme="majorHAnsi" w:hAnsiTheme="majorHAnsi" w:cstheme="majorHAnsi"/>
                <w:sz w:val="20"/>
                <w:szCs w:val="20"/>
                <w:lang w:val="ro-MD"/>
              </w:rPr>
            </w:pPr>
            <w:r w:rsidRPr="00073285">
              <w:rPr>
                <w:rFonts w:asciiTheme="majorHAnsi" w:hAnsiTheme="majorHAnsi" w:cstheme="majorHAnsi"/>
                <w:b/>
                <w:sz w:val="20"/>
                <w:szCs w:val="20"/>
                <w:lang w:val="ro-MD"/>
              </w:rPr>
              <w:t>TOTAL</w:t>
            </w:r>
            <w:r w:rsidRPr="00073285">
              <w:rPr>
                <w:rFonts w:asciiTheme="majorHAnsi" w:hAnsiTheme="majorHAnsi" w:cstheme="majorHAnsi"/>
                <w:b/>
                <w:sz w:val="20"/>
                <w:szCs w:val="20"/>
                <w:lang w:val="ro-RO"/>
              </w:rPr>
              <w:t xml:space="preserve"> </w:t>
            </w:r>
          </w:p>
        </w:tc>
        <w:tc>
          <w:tcPr>
            <w:tcW w:w="992" w:type="dxa"/>
            <w:shd w:val="clear" w:color="auto" w:fill="EDEDED" w:themeFill="accent3" w:themeFillTint="33"/>
            <w:noWrap/>
            <w:vAlign w:val="bottom"/>
            <w:hideMark/>
          </w:tcPr>
          <w:p w14:paraId="2792B50F" w14:textId="77777777" w:rsidR="00DC37B0" w:rsidRPr="00073285" w:rsidRDefault="00DC37B0" w:rsidP="004A2038">
            <w:pPr>
              <w:spacing w:after="0" w:line="240" w:lineRule="auto"/>
              <w:rPr>
                <w:rFonts w:asciiTheme="majorHAnsi" w:hAnsiTheme="majorHAnsi" w:cstheme="majorHAnsi"/>
                <w:b/>
                <w:sz w:val="20"/>
                <w:szCs w:val="20"/>
                <w:lang w:val="ro-MD"/>
              </w:rPr>
            </w:pPr>
            <w:r w:rsidRPr="00073285">
              <w:rPr>
                <w:rFonts w:asciiTheme="majorHAnsi" w:hAnsiTheme="majorHAnsi" w:cstheme="majorHAnsi"/>
                <w:b/>
                <w:sz w:val="20"/>
                <w:szCs w:val="20"/>
                <w:lang w:val="ro-MD"/>
              </w:rPr>
              <w:t>9779,4</w:t>
            </w:r>
          </w:p>
        </w:tc>
        <w:tc>
          <w:tcPr>
            <w:tcW w:w="992" w:type="dxa"/>
            <w:shd w:val="clear" w:color="auto" w:fill="EDEDED" w:themeFill="accent3" w:themeFillTint="33"/>
            <w:noWrap/>
            <w:vAlign w:val="bottom"/>
            <w:hideMark/>
          </w:tcPr>
          <w:p w14:paraId="4238C78F" w14:textId="77777777" w:rsidR="00DC37B0" w:rsidRPr="00073285" w:rsidRDefault="00DC37B0" w:rsidP="004A2038">
            <w:pPr>
              <w:spacing w:after="0" w:line="240" w:lineRule="auto"/>
              <w:jc w:val="right"/>
              <w:rPr>
                <w:rFonts w:asciiTheme="majorHAnsi" w:hAnsiTheme="majorHAnsi" w:cstheme="majorHAnsi"/>
                <w:b/>
                <w:sz w:val="20"/>
                <w:szCs w:val="20"/>
                <w:lang w:val="ro-MD"/>
              </w:rPr>
            </w:pPr>
            <w:r w:rsidRPr="00073285">
              <w:rPr>
                <w:rFonts w:asciiTheme="majorHAnsi" w:hAnsiTheme="majorHAnsi" w:cstheme="majorHAnsi"/>
                <w:b/>
                <w:sz w:val="20"/>
                <w:szCs w:val="20"/>
                <w:lang w:val="ro-MD"/>
              </w:rPr>
              <w:t>8232,8</w:t>
            </w:r>
          </w:p>
        </w:tc>
        <w:tc>
          <w:tcPr>
            <w:tcW w:w="1094" w:type="dxa"/>
            <w:shd w:val="clear" w:color="auto" w:fill="EDEDED" w:themeFill="accent3" w:themeFillTint="33"/>
            <w:noWrap/>
            <w:vAlign w:val="bottom"/>
            <w:hideMark/>
          </w:tcPr>
          <w:p w14:paraId="174C8664" w14:textId="77777777" w:rsidR="00DC37B0" w:rsidRPr="00073285" w:rsidRDefault="00DC37B0" w:rsidP="004A2038">
            <w:pPr>
              <w:spacing w:after="0" w:line="240" w:lineRule="auto"/>
              <w:jc w:val="right"/>
              <w:rPr>
                <w:rFonts w:asciiTheme="majorHAnsi" w:hAnsiTheme="majorHAnsi" w:cstheme="majorHAnsi"/>
                <w:b/>
                <w:sz w:val="20"/>
                <w:szCs w:val="20"/>
                <w:lang w:val="ro-MD"/>
              </w:rPr>
            </w:pPr>
            <w:r w:rsidRPr="00073285">
              <w:rPr>
                <w:rFonts w:asciiTheme="majorHAnsi" w:hAnsiTheme="majorHAnsi" w:cstheme="majorHAnsi"/>
                <w:b/>
                <w:sz w:val="20"/>
                <w:szCs w:val="20"/>
                <w:lang w:val="ro-MD"/>
              </w:rPr>
              <w:t>1546,6</w:t>
            </w:r>
          </w:p>
        </w:tc>
        <w:tc>
          <w:tcPr>
            <w:tcW w:w="1165" w:type="dxa"/>
            <w:shd w:val="clear" w:color="auto" w:fill="EDEDED" w:themeFill="accent3" w:themeFillTint="33"/>
            <w:noWrap/>
            <w:vAlign w:val="bottom"/>
            <w:hideMark/>
          </w:tcPr>
          <w:p w14:paraId="6DCC666B" w14:textId="77777777" w:rsidR="00DC37B0" w:rsidRPr="00073285" w:rsidRDefault="00DC37B0" w:rsidP="004A2038">
            <w:pPr>
              <w:spacing w:after="0" w:line="240" w:lineRule="auto"/>
              <w:jc w:val="right"/>
              <w:rPr>
                <w:rFonts w:asciiTheme="majorHAnsi" w:hAnsiTheme="majorHAnsi" w:cstheme="majorHAnsi"/>
                <w:b/>
                <w:sz w:val="20"/>
                <w:szCs w:val="20"/>
                <w:lang w:val="ro-MD"/>
              </w:rPr>
            </w:pPr>
            <w:r w:rsidRPr="00073285">
              <w:rPr>
                <w:rFonts w:asciiTheme="majorHAnsi" w:hAnsiTheme="majorHAnsi" w:cstheme="majorHAnsi"/>
                <w:b/>
                <w:sz w:val="20"/>
                <w:szCs w:val="20"/>
                <w:lang w:val="ro-MD"/>
              </w:rPr>
              <w:t>100,0</w:t>
            </w:r>
          </w:p>
        </w:tc>
        <w:tc>
          <w:tcPr>
            <w:tcW w:w="1183" w:type="dxa"/>
            <w:shd w:val="clear" w:color="auto" w:fill="EDEDED" w:themeFill="accent3" w:themeFillTint="33"/>
            <w:noWrap/>
            <w:vAlign w:val="bottom"/>
            <w:hideMark/>
          </w:tcPr>
          <w:p w14:paraId="55820AA2" w14:textId="77777777" w:rsidR="00DC37B0" w:rsidRPr="00073285" w:rsidRDefault="00DC37B0" w:rsidP="004A2038">
            <w:pPr>
              <w:spacing w:after="0" w:line="240" w:lineRule="auto"/>
              <w:jc w:val="right"/>
              <w:rPr>
                <w:rFonts w:asciiTheme="majorHAnsi" w:hAnsiTheme="majorHAnsi" w:cstheme="majorHAnsi"/>
                <w:b/>
                <w:sz w:val="20"/>
                <w:szCs w:val="20"/>
                <w:lang w:val="ro-MD"/>
              </w:rPr>
            </w:pPr>
            <w:r w:rsidRPr="00073285">
              <w:rPr>
                <w:rFonts w:asciiTheme="majorHAnsi" w:hAnsiTheme="majorHAnsi" w:cstheme="majorHAnsi"/>
                <w:b/>
                <w:sz w:val="20"/>
                <w:szCs w:val="20"/>
                <w:lang w:val="ro-MD"/>
              </w:rPr>
              <w:t>100,0</w:t>
            </w:r>
          </w:p>
        </w:tc>
      </w:tr>
    </w:tbl>
    <w:p w14:paraId="1888E7D1" w14:textId="079B21EF" w:rsidR="00DC37B0" w:rsidRPr="00F80BAD" w:rsidRDefault="00DC37B0" w:rsidP="00DC37B0">
      <w:pPr>
        <w:spacing w:after="0" w:line="240" w:lineRule="auto"/>
        <w:jc w:val="both"/>
        <w:rPr>
          <w:rFonts w:asciiTheme="majorHAnsi" w:hAnsiTheme="majorHAnsi" w:cstheme="majorHAnsi"/>
          <w:sz w:val="18"/>
          <w:szCs w:val="18"/>
          <w:lang w:val="ro-RO"/>
        </w:rPr>
      </w:pPr>
      <w:r w:rsidRPr="0034421C">
        <w:rPr>
          <w:rFonts w:asciiTheme="majorHAnsi" w:hAnsiTheme="majorHAnsi" w:cstheme="majorHAnsi"/>
          <w:b/>
          <w:i/>
          <w:sz w:val="18"/>
          <w:szCs w:val="18"/>
          <w:lang w:val="ro-RO"/>
        </w:rPr>
        <w:t>Sursă:</w:t>
      </w:r>
      <w:r w:rsidRPr="0034421C">
        <w:rPr>
          <w:rFonts w:asciiTheme="majorHAnsi" w:hAnsiTheme="majorHAnsi" w:cstheme="majorHAnsi"/>
          <w:sz w:val="18"/>
          <w:szCs w:val="18"/>
          <w:lang w:val="ro-RO"/>
        </w:rPr>
        <w:t xml:space="preserve"> </w:t>
      </w:r>
      <w:r w:rsidR="009D42AC">
        <w:rPr>
          <w:rFonts w:asciiTheme="majorHAnsi" w:hAnsiTheme="majorHAnsi" w:cstheme="majorHAnsi"/>
          <w:sz w:val="18"/>
          <w:szCs w:val="18"/>
          <w:lang w:val="ro-RO"/>
        </w:rPr>
        <w:t>I</w:t>
      </w:r>
      <w:r w:rsidRPr="0034421C">
        <w:rPr>
          <w:rFonts w:asciiTheme="majorHAnsi" w:hAnsiTheme="majorHAnsi" w:cstheme="majorHAnsi"/>
          <w:sz w:val="18"/>
          <w:szCs w:val="18"/>
          <w:lang w:val="ro-RO"/>
        </w:rPr>
        <w:t>nformați</w:t>
      </w:r>
      <w:r w:rsidR="009D42AC">
        <w:rPr>
          <w:rFonts w:asciiTheme="majorHAnsi" w:hAnsiTheme="majorHAnsi" w:cstheme="majorHAnsi"/>
          <w:sz w:val="18"/>
          <w:szCs w:val="18"/>
          <w:lang w:val="ro-RO"/>
        </w:rPr>
        <w:t>a</w:t>
      </w:r>
      <w:r w:rsidRPr="0034421C">
        <w:rPr>
          <w:rFonts w:asciiTheme="majorHAnsi" w:hAnsiTheme="majorHAnsi" w:cstheme="majorHAnsi"/>
          <w:sz w:val="18"/>
          <w:szCs w:val="18"/>
          <w:lang w:val="ro-RO"/>
        </w:rPr>
        <w:t xml:space="preserve"> MF privind </w:t>
      </w:r>
      <w:r>
        <w:rPr>
          <w:rFonts w:asciiTheme="majorHAnsi" w:hAnsiTheme="majorHAnsi" w:cstheme="majorHAnsi"/>
          <w:sz w:val="18"/>
          <w:szCs w:val="18"/>
          <w:lang w:val="ro-RO"/>
        </w:rPr>
        <w:t xml:space="preserve">procurarea valorilor mobiliare de stat la licitațiile din </w:t>
      </w:r>
      <w:r w:rsidR="00642B37">
        <w:rPr>
          <w:rFonts w:asciiTheme="majorHAnsi" w:hAnsiTheme="majorHAnsi" w:cstheme="majorHAnsi"/>
          <w:sz w:val="18"/>
          <w:szCs w:val="18"/>
          <w:lang w:val="ro-RO"/>
        </w:rPr>
        <w:t xml:space="preserve">anul </w:t>
      </w:r>
      <w:r>
        <w:rPr>
          <w:rFonts w:asciiTheme="majorHAnsi" w:hAnsiTheme="majorHAnsi" w:cstheme="majorHAnsi"/>
          <w:sz w:val="18"/>
          <w:szCs w:val="18"/>
          <w:lang w:val="ro-RO"/>
        </w:rPr>
        <w:t>2018.</w:t>
      </w:r>
    </w:p>
    <w:p w14:paraId="5731EF34" w14:textId="77777777" w:rsidR="009E6B0C" w:rsidRPr="009E6B0C" w:rsidRDefault="009E6B0C" w:rsidP="009E6B0C">
      <w:pPr>
        <w:pStyle w:val="a6"/>
        <w:spacing w:before="240"/>
        <w:rPr>
          <w:rFonts w:asciiTheme="majorHAnsi" w:hAnsiTheme="majorHAnsi" w:cstheme="majorHAnsi"/>
          <w:b/>
          <w:sz w:val="24"/>
          <w:szCs w:val="24"/>
          <w:lang w:val="ro-RO"/>
        </w:rPr>
      </w:pPr>
      <w:r w:rsidRPr="009E6B0C">
        <w:rPr>
          <w:rFonts w:asciiTheme="majorHAnsi" w:hAnsiTheme="majorHAnsi" w:cstheme="majorHAnsi"/>
          <w:b/>
          <w:sz w:val="24"/>
          <w:szCs w:val="24"/>
          <w:lang w:val="ro-RO"/>
        </w:rPr>
        <w:t>Tabelul nr.6. Debursările împrumuturilor externe, pe creditori, în anii 2016-2018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907"/>
        <w:gridCol w:w="766"/>
        <w:gridCol w:w="949"/>
        <w:gridCol w:w="1041"/>
      </w:tblGrid>
      <w:tr w:rsidR="009E6B0C" w:rsidRPr="008C0B81" w14:paraId="66258DE2" w14:textId="77777777" w:rsidTr="00DC6DEE">
        <w:trPr>
          <w:trHeight w:val="174"/>
        </w:trPr>
        <w:tc>
          <w:tcPr>
            <w:tcW w:w="5665" w:type="dxa"/>
            <w:vMerge w:val="restart"/>
            <w:shd w:val="clear" w:color="auto" w:fill="E7E6E6"/>
          </w:tcPr>
          <w:p w14:paraId="31B27329" w14:textId="77777777" w:rsidR="009E6B0C" w:rsidRPr="008C0B81" w:rsidRDefault="009E6B0C" w:rsidP="00DC6DEE">
            <w:pPr>
              <w:pStyle w:val="a6"/>
              <w:jc w:val="center"/>
              <w:rPr>
                <w:rFonts w:asciiTheme="majorHAnsi" w:hAnsiTheme="majorHAnsi" w:cstheme="majorHAnsi"/>
                <w:b/>
                <w:sz w:val="20"/>
                <w:szCs w:val="20"/>
                <w:lang w:val="ro-RO"/>
              </w:rPr>
            </w:pPr>
            <w:r w:rsidRPr="008C0B81">
              <w:rPr>
                <w:rFonts w:asciiTheme="majorHAnsi" w:hAnsiTheme="majorHAnsi" w:cstheme="majorHAnsi"/>
                <w:b/>
                <w:sz w:val="20"/>
                <w:szCs w:val="20"/>
                <w:lang w:val="ro-RO"/>
              </w:rPr>
              <w:t>Indicatorii</w:t>
            </w:r>
          </w:p>
        </w:tc>
        <w:tc>
          <w:tcPr>
            <w:tcW w:w="2622" w:type="dxa"/>
            <w:gridSpan w:val="3"/>
            <w:shd w:val="clear" w:color="auto" w:fill="E7E6E6"/>
          </w:tcPr>
          <w:p w14:paraId="25F8BA7F" w14:textId="77777777" w:rsidR="009E6B0C" w:rsidRPr="008C0B81" w:rsidRDefault="009E6B0C" w:rsidP="00DC6DEE">
            <w:pPr>
              <w:pStyle w:val="a6"/>
              <w:jc w:val="center"/>
              <w:rPr>
                <w:rFonts w:asciiTheme="majorHAnsi" w:hAnsiTheme="majorHAnsi" w:cstheme="majorHAnsi"/>
                <w:b/>
                <w:sz w:val="20"/>
                <w:szCs w:val="20"/>
                <w:lang w:val="ro-RO"/>
              </w:rPr>
            </w:pPr>
            <w:proofErr w:type="spellStart"/>
            <w:r w:rsidRPr="008C0B81">
              <w:rPr>
                <w:rFonts w:asciiTheme="majorHAnsi" w:hAnsiTheme="majorHAnsi" w:cstheme="majorHAnsi"/>
                <w:b/>
                <w:sz w:val="20"/>
                <w:szCs w:val="20"/>
                <w:lang w:val="ro-RO"/>
              </w:rPr>
              <w:t>mil.dol.SUA</w:t>
            </w:r>
            <w:proofErr w:type="spellEnd"/>
          </w:p>
        </w:tc>
        <w:tc>
          <w:tcPr>
            <w:tcW w:w="991" w:type="dxa"/>
            <w:shd w:val="clear" w:color="auto" w:fill="E7E6E6"/>
          </w:tcPr>
          <w:p w14:paraId="5217625E" w14:textId="77777777" w:rsidR="009E6B0C" w:rsidRPr="008C0B81" w:rsidRDefault="009E6B0C" w:rsidP="00DC6DEE">
            <w:pPr>
              <w:pStyle w:val="a6"/>
              <w:jc w:val="center"/>
              <w:rPr>
                <w:rFonts w:asciiTheme="majorHAnsi" w:hAnsiTheme="majorHAnsi" w:cstheme="majorHAnsi"/>
                <w:b/>
                <w:sz w:val="20"/>
                <w:szCs w:val="20"/>
                <w:lang w:val="ro-RO"/>
              </w:rPr>
            </w:pPr>
            <w:r w:rsidRPr="008C0B81">
              <w:rPr>
                <w:rFonts w:asciiTheme="majorHAnsi" w:hAnsiTheme="majorHAnsi" w:cstheme="majorHAnsi"/>
                <w:b/>
                <w:sz w:val="20"/>
                <w:szCs w:val="20"/>
                <w:lang w:val="ro-RO"/>
              </w:rPr>
              <w:t>Ponderea, %</w:t>
            </w:r>
          </w:p>
        </w:tc>
      </w:tr>
      <w:tr w:rsidR="009E6B0C" w:rsidRPr="008C0B81" w14:paraId="3B2E1770" w14:textId="77777777" w:rsidTr="00DC6DEE">
        <w:trPr>
          <w:trHeight w:val="215"/>
        </w:trPr>
        <w:tc>
          <w:tcPr>
            <w:tcW w:w="5665" w:type="dxa"/>
            <w:vMerge/>
            <w:shd w:val="clear" w:color="auto" w:fill="E7E6E6"/>
          </w:tcPr>
          <w:p w14:paraId="49C0F9DB" w14:textId="77777777" w:rsidR="009E6B0C" w:rsidRPr="008C0B81" w:rsidRDefault="009E6B0C" w:rsidP="00DC6DEE">
            <w:pPr>
              <w:pStyle w:val="a6"/>
              <w:rPr>
                <w:rFonts w:asciiTheme="majorHAnsi" w:hAnsiTheme="majorHAnsi" w:cstheme="majorHAnsi"/>
                <w:b/>
                <w:sz w:val="20"/>
                <w:szCs w:val="20"/>
                <w:lang w:val="ro-RO"/>
              </w:rPr>
            </w:pPr>
          </w:p>
        </w:tc>
        <w:tc>
          <w:tcPr>
            <w:tcW w:w="907" w:type="dxa"/>
            <w:shd w:val="clear" w:color="auto" w:fill="E7E6E6"/>
          </w:tcPr>
          <w:p w14:paraId="0B3E2FD6" w14:textId="77777777" w:rsidR="009E6B0C" w:rsidRPr="008C0B81" w:rsidRDefault="009E6B0C" w:rsidP="00DC6DEE">
            <w:pPr>
              <w:pStyle w:val="a6"/>
              <w:rPr>
                <w:rFonts w:asciiTheme="majorHAnsi" w:hAnsiTheme="majorHAnsi" w:cstheme="majorHAnsi"/>
                <w:b/>
                <w:sz w:val="20"/>
                <w:szCs w:val="20"/>
                <w:lang w:val="ro-RO"/>
              </w:rPr>
            </w:pPr>
            <w:r w:rsidRPr="008C0B81">
              <w:rPr>
                <w:rFonts w:asciiTheme="majorHAnsi" w:hAnsiTheme="majorHAnsi" w:cstheme="majorHAnsi"/>
                <w:b/>
                <w:sz w:val="20"/>
                <w:szCs w:val="20"/>
                <w:lang w:val="ro-RO"/>
              </w:rPr>
              <w:t>2016</w:t>
            </w:r>
          </w:p>
        </w:tc>
        <w:tc>
          <w:tcPr>
            <w:tcW w:w="766" w:type="dxa"/>
            <w:shd w:val="clear" w:color="auto" w:fill="E7E6E6"/>
          </w:tcPr>
          <w:p w14:paraId="6BBDE015" w14:textId="77777777" w:rsidR="009E6B0C" w:rsidRPr="008C0B81" w:rsidRDefault="009E6B0C" w:rsidP="00DC6DEE">
            <w:pPr>
              <w:pStyle w:val="a6"/>
              <w:rPr>
                <w:rFonts w:asciiTheme="majorHAnsi" w:hAnsiTheme="majorHAnsi" w:cstheme="majorHAnsi"/>
                <w:b/>
                <w:sz w:val="20"/>
                <w:szCs w:val="20"/>
                <w:lang w:val="ro-RO"/>
              </w:rPr>
            </w:pPr>
            <w:r w:rsidRPr="008C0B81">
              <w:rPr>
                <w:rFonts w:asciiTheme="majorHAnsi" w:hAnsiTheme="majorHAnsi" w:cstheme="majorHAnsi"/>
                <w:b/>
                <w:sz w:val="20"/>
                <w:szCs w:val="20"/>
                <w:lang w:val="ro-RO"/>
              </w:rPr>
              <w:t>2017</w:t>
            </w:r>
          </w:p>
        </w:tc>
        <w:tc>
          <w:tcPr>
            <w:tcW w:w="1940" w:type="dxa"/>
            <w:gridSpan w:val="2"/>
            <w:shd w:val="clear" w:color="auto" w:fill="E7E6E6"/>
          </w:tcPr>
          <w:p w14:paraId="6E4A806F" w14:textId="77777777" w:rsidR="009E6B0C" w:rsidRPr="008C0B81" w:rsidRDefault="009E6B0C" w:rsidP="00DC6DEE">
            <w:pPr>
              <w:pStyle w:val="a6"/>
              <w:jc w:val="center"/>
              <w:rPr>
                <w:rFonts w:asciiTheme="majorHAnsi" w:hAnsiTheme="majorHAnsi" w:cstheme="majorHAnsi"/>
                <w:b/>
                <w:sz w:val="20"/>
                <w:szCs w:val="20"/>
                <w:lang w:val="ro-RO"/>
              </w:rPr>
            </w:pPr>
            <w:r w:rsidRPr="008C0B81">
              <w:rPr>
                <w:rFonts w:asciiTheme="majorHAnsi" w:hAnsiTheme="majorHAnsi" w:cstheme="majorHAnsi"/>
                <w:b/>
                <w:sz w:val="20"/>
                <w:szCs w:val="20"/>
                <w:lang w:val="ro-RO"/>
              </w:rPr>
              <w:t>2018</w:t>
            </w:r>
          </w:p>
        </w:tc>
      </w:tr>
      <w:tr w:rsidR="009E6B0C" w:rsidRPr="008C0B81" w14:paraId="1C3CB03F" w14:textId="77777777" w:rsidTr="00DC6DEE">
        <w:trPr>
          <w:trHeight w:val="120"/>
        </w:trPr>
        <w:tc>
          <w:tcPr>
            <w:tcW w:w="5665" w:type="dxa"/>
          </w:tcPr>
          <w:p w14:paraId="7245F9ED" w14:textId="77777777" w:rsidR="009E6B0C" w:rsidRPr="008C0B81" w:rsidRDefault="009E6B0C" w:rsidP="00DC6DEE">
            <w:pPr>
              <w:pStyle w:val="a6"/>
              <w:rPr>
                <w:rFonts w:asciiTheme="majorHAnsi" w:hAnsiTheme="majorHAnsi" w:cstheme="majorHAnsi"/>
                <w:sz w:val="20"/>
                <w:szCs w:val="20"/>
                <w:lang w:val="ro-RO"/>
              </w:rPr>
            </w:pPr>
            <w:r w:rsidRPr="008C0B81">
              <w:rPr>
                <w:rFonts w:asciiTheme="majorHAnsi" w:hAnsiTheme="majorHAnsi" w:cstheme="majorHAnsi"/>
                <w:sz w:val="20"/>
                <w:szCs w:val="20"/>
                <w:lang w:val="ro-RO"/>
              </w:rPr>
              <w:t>AID</w:t>
            </w:r>
          </w:p>
        </w:tc>
        <w:tc>
          <w:tcPr>
            <w:tcW w:w="907" w:type="dxa"/>
          </w:tcPr>
          <w:p w14:paraId="0191FBED"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47,9</w:t>
            </w:r>
          </w:p>
        </w:tc>
        <w:tc>
          <w:tcPr>
            <w:tcW w:w="766" w:type="dxa"/>
          </w:tcPr>
          <w:p w14:paraId="587A6C44"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20,7</w:t>
            </w:r>
          </w:p>
        </w:tc>
        <w:tc>
          <w:tcPr>
            <w:tcW w:w="949" w:type="dxa"/>
          </w:tcPr>
          <w:p w14:paraId="6B985D3F"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36,2</w:t>
            </w:r>
          </w:p>
        </w:tc>
        <w:tc>
          <w:tcPr>
            <w:tcW w:w="991" w:type="dxa"/>
          </w:tcPr>
          <w:p w14:paraId="4F3E1872"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25,0%</w:t>
            </w:r>
          </w:p>
        </w:tc>
      </w:tr>
      <w:tr w:rsidR="009E6B0C" w:rsidRPr="008C0B81" w14:paraId="18234021" w14:textId="77777777" w:rsidTr="00DC6DEE">
        <w:trPr>
          <w:trHeight w:val="270"/>
        </w:trPr>
        <w:tc>
          <w:tcPr>
            <w:tcW w:w="5665" w:type="dxa"/>
          </w:tcPr>
          <w:p w14:paraId="5F422AC4" w14:textId="77777777" w:rsidR="009E6B0C" w:rsidRPr="008C0B81" w:rsidRDefault="009E6B0C" w:rsidP="00DC6DEE">
            <w:pPr>
              <w:pStyle w:val="a6"/>
              <w:rPr>
                <w:rFonts w:asciiTheme="majorHAnsi" w:hAnsiTheme="majorHAnsi" w:cstheme="majorHAnsi"/>
                <w:sz w:val="20"/>
                <w:szCs w:val="20"/>
                <w:lang w:val="ro-RO"/>
              </w:rPr>
            </w:pPr>
            <w:r w:rsidRPr="008C0B81">
              <w:rPr>
                <w:rFonts w:asciiTheme="majorHAnsi" w:hAnsiTheme="majorHAnsi" w:cstheme="majorHAnsi"/>
                <w:sz w:val="20"/>
                <w:szCs w:val="20"/>
                <w:lang w:val="ro-RO"/>
              </w:rPr>
              <w:t>BEI</w:t>
            </w:r>
          </w:p>
        </w:tc>
        <w:tc>
          <w:tcPr>
            <w:tcW w:w="907" w:type="dxa"/>
          </w:tcPr>
          <w:p w14:paraId="086F7ECB"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19,8</w:t>
            </w:r>
          </w:p>
        </w:tc>
        <w:tc>
          <w:tcPr>
            <w:tcW w:w="766" w:type="dxa"/>
          </w:tcPr>
          <w:p w14:paraId="385FE034"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14,1</w:t>
            </w:r>
          </w:p>
        </w:tc>
        <w:tc>
          <w:tcPr>
            <w:tcW w:w="949" w:type="dxa"/>
          </w:tcPr>
          <w:p w14:paraId="5128F60B"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63,4</w:t>
            </w:r>
          </w:p>
        </w:tc>
        <w:tc>
          <w:tcPr>
            <w:tcW w:w="991" w:type="dxa"/>
          </w:tcPr>
          <w:p w14:paraId="2B73E4F4"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43,8%</w:t>
            </w:r>
          </w:p>
        </w:tc>
      </w:tr>
      <w:tr w:rsidR="009E6B0C" w:rsidRPr="008C0B81" w14:paraId="37B795A8" w14:textId="77777777" w:rsidTr="00DC6DEE">
        <w:trPr>
          <w:trHeight w:val="206"/>
        </w:trPr>
        <w:tc>
          <w:tcPr>
            <w:tcW w:w="5665" w:type="dxa"/>
          </w:tcPr>
          <w:p w14:paraId="1B600383" w14:textId="77777777" w:rsidR="009E6B0C" w:rsidRPr="008C0B81" w:rsidRDefault="009E6B0C" w:rsidP="00DC6DEE">
            <w:pPr>
              <w:pStyle w:val="a6"/>
              <w:rPr>
                <w:rFonts w:asciiTheme="majorHAnsi" w:hAnsiTheme="majorHAnsi" w:cstheme="majorHAnsi"/>
                <w:sz w:val="20"/>
                <w:szCs w:val="20"/>
                <w:lang w:val="ro-RO"/>
              </w:rPr>
            </w:pPr>
            <w:r w:rsidRPr="008C0B81">
              <w:rPr>
                <w:rFonts w:asciiTheme="majorHAnsi" w:hAnsiTheme="majorHAnsi" w:cstheme="majorHAnsi"/>
                <w:sz w:val="20"/>
                <w:szCs w:val="20"/>
                <w:lang w:val="ro-RO"/>
              </w:rPr>
              <w:t>JICA</w:t>
            </w:r>
          </w:p>
        </w:tc>
        <w:tc>
          <w:tcPr>
            <w:tcW w:w="907" w:type="dxa"/>
          </w:tcPr>
          <w:p w14:paraId="4D73840B"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0,6</w:t>
            </w:r>
          </w:p>
        </w:tc>
        <w:tc>
          <w:tcPr>
            <w:tcW w:w="766" w:type="dxa"/>
          </w:tcPr>
          <w:p w14:paraId="639D7076"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0,0</w:t>
            </w:r>
          </w:p>
        </w:tc>
        <w:tc>
          <w:tcPr>
            <w:tcW w:w="949" w:type="dxa"/>
          </w:tcPr>
          <w:p w14:paraId="29F0503C"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0,1</w:t>
            </w:r>
          </w:p>
        </w:tc>
        <w:tc>
          <w:tcPr>
            <w:tcW w:w="991" w:type="dxa"/>
          </w:tcPr>
          <w:p w14:paraId="0342E0D2"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0,1%</w:t>
            </w:r>
          </w:p>
        </w:tc>
      </w:tr>
      <w:tr w:rsidR="009E6B0C" w:rsidRPr="008C0B81" w14:paraId="74BE08CB" w14:textId="77777777" w:rsidTr="00DC6DEE">
        <w:trPr>
          <w:trHeight w:val="161"/>
        </w:trPr>
        <w:tc>
          <w:tcPr>
            <w:tcW w:w="5665" w:type="dxa"/>
          </w:tcPr>
          <w:p w14:paraId="18F51ECF" w14:textId="77777777" w:rsidR="009E6B0C" w:rsidRPr="008C0B81" w:rsidRDefault="009E6B0C" w:rsidP="00DC6DEE">
            <w:pPr>
              <w:pStyle w:val="a6"/>
              <w:rPr>
                <w:rFonts w:asciiTheme="majorHAnsi" w:hAnsiTheme="majorHAnsi" w:cstheme="majorHAnsi"/>
                <w:sz w:val="20"/>
                <w:szCs w:val="20"/>
                <w:lang w:val="ro-RO"/>
              </w:rPr>
            </w:pPr>
            <w:r w:rsidRPr="008C0B81">
              <w:rPr>
                <w:rFonts w:asciiTheme="majorHAnsi" w:hAnsiTheme="majorHAnsi" w:cstheme="majorHAnsi"/>
                <w:sz w:val="20"/>
                <w:szCs w:val="20"/>
                <w:lang w:val="ro-RO"/>
              </w:rPr>
              <w:t>BERD</w:t>
            </w:r>
          </w:p>
        </w:tc>
        <w:tc>
          <w:tcPr>
            <w:tcW w:w="907" w:type="dxa"/>
          </w:tcPr>
          <w:p w14:paraId="0EABAE57"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15,1</w:t>
            </w:r>
          </w:p>
        </w:tc>
        <w:tc>
          <w:tcPr>
            <w:tcW w:w="766" w:type="dxa"/>
          </w:tcPr>
          <w:p w14:paraId="6B4BE97D"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7,6</w:t>
            </w:r>
          </w:p>
        </w:tc>
        <w:tc>
          <w:tcPr>
            <w:tcW w:w="949" w:type="dxa"/>
          </w:tcPr>
          <w:p w14:paraId="5A494EDA"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19,8</w:t>
            </w:r>
          </w:p>
        </w:tc>
        <w:tc>
          <w:tcPr>
            <w:tcW w:w="991" w:type="dxa"/>
          </w:tcPr>
          <w:p w14:paraId="4962F782"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13,7%</w:t>
            </w:r>
          </w:p>
        </w:tc>
      </w:tr>
      <w:tr w:rsidR="009E6B0C" w:rsidRPr="008C0B81" w14:paraId="48097271" w14:textId="77777777" w:rsidTr="00DC6DEE">
        <w:trPr>
          <w:trHeight w:val="270"/>
        </w:trPr>
        <w:tc>
          <w:tcPr>
            <w:tcW w:w="5665" w:type="dxa"/>
          </w:tcPr>
          <w:p w14:paraId="39645A65" w14:textId="77777777" w:rsidR="009E6B0C" w:rsidRPr="008C0B81" w:rsidRDefault="009E6B0C" w:rsidP="00DC6DEE">
            <w:pPr>
              <w:pStyle w:val="a6"/>
              <w:rPr>
                <w:rFonts w:asciiTheme="majorHAnsi" w:hAnsiTheme="majorHAnsi" w:cstheme="majorHAnsi"/>
                <w:sz w:val="20"/>
                <w:szCs w:val="20"/>
                <w:lang w:val="ro-RO"/>
              </w:rPr>
            </w:pPr>
            <w:r w:rsidRPr="008C0B81">
              <w:rPr>
                <w:rFonts w:asciiTheme="majorHAnsi" w:hAnsiTheme="majorHAnsi" w:cstheme="majorHAnsi"/>
                <w:sz w:val="20"/>
                <w:szCs w:val="20"/>
                <w:lang w:val="ro-RO"/>
              </w:rPr>
              <w:t>BIRD</w:t>
            </w:r>
          </w:p>
        </w:tc>
        <w:tc>
          <w:tcPr>
            <w:tcW w:w="907" w:type="dxa"/>
          </w:tcPr>
          <w:p w14:paraId="59EC97E7"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45,6</w:t>
            </w:r>
          </w:p>
        </w:tc>
        <w:tc>
          <w:tcPr>
            <w:tcW w:w="766" w:type="dxa"/>
          </w:tcPr>
          <w:p w14:paraId="648C5022"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19,4</w:t>
            </w:r>
          </w:p>
        </w:tc>
        <w:tc>
          <w:tcPr>
            <w:tcW w:w="949" w:type="dxa"/>
          </w:tcPr>
          <w:p w14:paraId="75EB12AC"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7,3</w:t>
            </w:r>
          </w:p>
        </w:tc>
        <w:tc>
          <w:tcPr>
            <w:tcW w:w="991" w:type="dxa"/>
          </w:tcPr>
          <w:p w14:paraId="56384705"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5,0%</w:t>
            </w:r>
          </w:p>
        </w:tc>
      </w:tr>
      <w:tr w:rsidR="009E6B0C" w:rsidRPr="008C0B81" w14:paraId="78B87912" w14:textId="77777777" w:rsidTr="00DC6DEE">
        <w:trPr>
          <w:trHeight w:val="106"/>
        </w:trPr>
        <w:tc>
          <w:tcPr>
            <w:tcW w:w="5665" w:type="dxa"/>
          </w:tcPr>
          <w:p w14:paraId="2D783AE9" w14:textId="77777777" w:rsidR="009E6B0C" w:rsidRPr="008C0B81" w:rsidRDefault="009E6B0C" w:rsidP="00DC6DEE">
            <w:pPr>
              <w:pStyle w:val="a6"/>
              <w:rPr>
                <w:rFonts w:asciiTheme="majorHAnsi" w:hAnsiTheme="majorHAnsi" w:cstheme="majorHAnsi"/>
                <w:sz w:val="20"/>
                <w:szCs w:val="20"/>
                <w:lang w:val="ro-RO"/>
              </w:rPr>
            </w:pPr>
            <w:r w:rsidRPr="008C0B81">
              <w:rPr>
                <w:rFonts w:asciiTheme="majorHAnsi" w:hAnsiTheme="majorHAnsi" w:cstheme="majorHAnsi"/>
                <w:sz w:val="20"/>
                <w:szCs w:val="20"/>
                <w:lang w:val="ro-RO"/>
              </w:rPr>
              <w:t>FIDA</w:t>
            </w:r>
          </w:p>
        </w:tc>
        <w:tc>
          <w:tcPr>
            <w:tcW w:w="907" w:type="dxa"/>
          </w:tcPr>
          <w:p w14:paraId="7878B8A9"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2,0</w:t>
            </w:r>
          </w:p>
        </w:tc>
        <w:tc>
          <w:tcPr>
            <w:tcW w:w="766" w:type="dxa"/>
          </w:tcPr>
          <w:p w14:paraId="4A511831"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3,3</w:t>
            </w:r>
          </w:p>
        </w:tc>
        <w:tc>
          <w:tcPr>
            <w:tcW w:w="949" w:type="dxa"/>
          </w:tcPr>
          <w:p w14:paraId="2419DFC0"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3,2</w:t>
            </w:r>
          </w:p>
        </w:tc>
        <w:tc>
          <w:tcPr>
            <w:tcW w:w="991" w:type="dxa"/>
          </w:tcPr>
          <w:p w14:paraId="0FA99B53"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2,2%</w:t>
            </w:r>
          </w:p>
        </w:tc>
      </w:tr>
      <w:tr w:rsidR="009E6B0C" w:rsidRPr="008C0B81" w14:paraId="09090F8D" w14:textId="77777777" w:rsidTr="00DC6DEE">
        <w:trPr>
          <w:trHeight w:val="248"/>
        </w:trPr>
        <w:tc>
          <w:tcPr>
            <w:tcW w:w="5665" w:type="dxa"/>
          </w:tcPr>
          <w:p w14:paraId="58099109" w14:textId="77777777" w:rsidR="009E6B0C" w:rsidRPr="008C0B81" w:rsidRDefault="009E6B0C" w:rsidP="00DC6DEE">
            <w:pPr>
              <w:pStyle w:val="a6"/>
              <w:rPr>
                <w:rFonts w:asciiTheme="majorHAnsi" w:hAnsiTheme="majorHAnsi" w:cstheme="majorHAnsi"/>
                <w:sz w:val="20"/>
                <w:szCs w:val="20"/>
                <w:lang w:val="ro-RO"/>
              </w:rPr>
            </w:pPr>
            <w:r w:rsidRPr="008C0B81">
              <w:rPr>
                <w:rFonts w:asciiTheme="majorHAnsi" w:hAnsiTheme="majorHAnsi" w:cstheme="majorHAnsi"/>
                <w:sz w:val="20"/>
                <w:szCs w:val="20"/>
                <w:lang w:val="ro-RO"/>
              </w:rPr>
              <w:t>BDCE</w:t>
            </w:r>
          </w:p>
        </w:tc>
        <w:tc>
          <w:tcPr>
            <w:tcW w:w="907" w:type="dxa"/>
          </w:tcPr>
          <w:p w14:paraId="020DFCE3"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3,3</w:t>
            </w:r>
          </w:p>
        </w:tc>
        <w:tc>
          <w:tcPr>
            <w:tcW w:w="766" w:type="dxa"/>
          </w:tcPr>
          <w:p w14:paraId="6DAB322E"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2,9</w:t>
            </w:r>
          </w:p>
        </w:tc>
        <w:tc>
          <w:tcPr>
            <w:tcW w:w="949" w:type="dxa"/>
          </w:tcPr>
          <w:p w14:paraId="5BB104E0"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1,2</w:t>
            </w:r>
          </w:p>
        </w:tc>
        <w:tc>
          <w:tcPr>
            <w:tcW w:w="991" w:type="dxa"/>
          </w:tcPr>
          <w:p w14:paraId="3114E103"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0,9%</w:t>
            </w:r>
          </w:p>
        </w:tc>
      </w:tr>
      <w:tr w:rsidR="009E6B0C" w:rsidRPr="008C0B81" w14:paraId="33C715F7" w14:textId="77777777" w:rsidTr="00C9334B">
        <w:trPr>
          <w:trHeight w:val="185"/>
        </w:trPr>
        <w:tc>
          <w:tcPr>
            <w:tcW w:w="5665" w:type="dxa"/>
            <w:shd w:val="clear" w:color="auto" w:fill="auto"/>
          </w:tcPr>
          <w:p w14:paraId="3BA6576F" w14:textId="28D0F0B7" w:rsidR="009E6B0C" w:rsidRPr="008C0B81" w:rsidRDefault="00C9334B" w:rsidP="00DC6DEE">
            <w:pPr>
              <w:pStyle w:val="a6"/>
              <w:rPr>
                <w:rFonts w:asciiTheme="majorHAnsi" w:hAnsiTheme="majorHAnsi" w:cstheme="majorHAnsi"/>
                <w:sz w:val="20"/>
                <w:szCs w:val="20"/>
                <w:lang w:val="ro-RO"/>
              </w:rPr>
            </w:pPr>
            <w:r w:rsidRPr="008C0B81">
              <w:rPr>
                <w:rFonts w:asciiTheme="majorHAnsi" w:hAnsiTheme="majorHAnsi" w:cstheme="majorHAnsi"/>
                <w:sz w:val="20"/>
                <w:szCs w:val="20"/>
                <w:lang w:val="ro-RO"/>
              </w:rPr>
              <w:t xml:space="preserve">Banca </w:t>
            </w:r>
            <w:r w:rsidR="009E6B0C" w:rsidRPr="008C0B81">
              <w:rPr>
                <w:rFonts w:asciiTheme="majorHAnsi" w:hAnsiTheme="majorHAnsi" w:cstheme="majorHAnsi"/>
                <w:sz w:val="20"/>
                <w:szCs w:val="20"/>
                <w:lang w:val="ro-RO"/>
              </w:rPr>
              <w:t>UniCredit</w:t>
            </w:r>
          </w:p>
        </w:tc>
        <w:tc>
          <w:tcPr>
            <w:tcW w:w="907" w:type="dxa"/>
          </w:tcPr>
          <w:p w14:paraId="7775148A"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4,0</w:t>
            </w:r>
          </w:p>
        </w:tc>
        <w:tc>
          <w:tcPr>
            <w:tcW w:w="766" w:type="dxa"/>
          </w:tcPr>
          <w:p w14:paraId="61A1DC74"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0,0</w:t>
            </w:r>
          </w:p>
        </w:tc>
        <w:tc>
          <w:tcPr>
            <w:tcW w:w="949" w:type="dxa"/>
          </w:tcPr>
          <w:p w14:paraId="199344C1"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w:t>
            </w:r>
          </w:p>
        </w:tc>
        <w:tc>
          <w:tcPr>
            <w:tcW w:w="991" w:type="dxa"/>
          </w:tcPr>
          <w:p w14:paraId="41C16832"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0%</w:t>
            </w:r>
          </w:p>
        </w:tc>
      </w:tr>
      <w:tr w:rsidR="009E6B0C" w:rsidRPr="008C0B81" w14:paraId="073AB3DA" w14:textId="77777777" w:rsidTr="00DC6DEE">
        <w:trPr>
          <w:trHeight w:val="185"/>
        </w:trPr>
        <w:tc>
          <w:tcPr>
            <w:tcW w:w="5665" w:type="dxa"/>
          </w:tcPr>
          <w:p w14:paraId="77A2695D" w14:textId="77777777" w:rsidR="009E6B0C" w:rsidRPr="008C0B81" w:rsidRDefault="009E6B0C" w:rsidP="00DC6DEE">
            <w:pPr>
              <w:pStyle w:val="a6"/>
              <w:rPr>
                <w:rFonts w:asciiTheme="majorHAnsi" w:hAnsiTheme="majorHAnsi" w:cstheme="majorHAnsi"/>
                <w:sz w:val="20"/>
                <w:szCs w:val="20"/>
                <w:lang w:val="ro-RO"/>
              </w:rPr>
            </w:pPr>
            <w:r w:rsidRPr="008C0B81">
              <w:rPr>
                <w:rFonts w:asciiTheme="majorHAnsi" w:hAnsiTheme="majorHAnsi" w:cstheme="majorHAnsi"/>
                <w:sz w:val="20"/>
                <w:szCs w:val="20"/>
                <w:lang w:val="ro-RO"/>
              </w:rPr>
              <w:t>FMI</w:t>
            </w:r>
          </w:p>
        </w:tc>
        <w:tc>
          <w:tcPr>
            <w:tcW w:w="907" w:type="dxa"/>
          </w:tcPr>
          <w:p w14:paraId="2CB0FD50"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24,1</w:t>
            </w:r>
          </w:p>
        </w:tc>
        <w:tc>
          <w:tcPr>
            <w:tcW w:w="766" w:type="dxa"/>
          </w:tcPr>
          <w:p w14:paraId="1CF2A887"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26,5</w:t>
            </w:r>
          </w:p>
        </w:tc>
        <w:tc>
          <w:tcPr>
            <w:tcW w:w="949" w:type="dxa"/>
          </w:tcPr>
          <w:p w14:paraId="2437FAF1"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13,4</w:t>
            </w:r>
          </w:p>
        </w:tc>
        <w:tc>
          <w:tcPr>
            <w:tcW w:w="991" w:type="dxa"/>
          </w:tcPr>
          <w:p w14:paraId="12A2B65C"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9,2%</w:t>
            </w:r>
          </w:p>
        </w:tc>
      </w:tr>
      <w:tr w:rsidR="009E6B0C" w:rsidRPr="008C0B81" w14:paraId="607BA80C" w14:textId="77777777" w:rsidTr="00DC6DEE">
        <w:trPr>
          <w:trHeight w:val="185"/>
        </w:trPr>
        <w:tc>
          <w:tcPr>
            <w:tcW w:w="5665" w:type="dxa"/>
          </w:tcPr>
          <w:p w14:paraId="72127029" w14:textId="77777777" w:rsidR="009E6B0C" w:rsidRPr="008C0B81" w:rsidRDefault="009E6B0C" w:rsidP="00DC6DEE">
            <w:pPr>
              <w:pStyle w:val="a6"/>
              <w:rPr>
                <w:rFonts w:asciiTheme="majorHAnsi" w:hAnsiTheme="majorHAnsi" w:cstheme="majorHAnsi"/>
                <w:sz w:val="20"/>
                <w:szCs w:val="20"/>
                <w:lang w:val="ro-RO"/>
              </w:rPr>
            </w:pPr>
            <w:r w:rsidRPr="008C0B81">
              <w:rPr>
                <w:rFonts w:asciiTheme="majorHAnsi" w:hAnsiTheme="majorHAnsi" w:cstheme="majorHAnsi"/>
                <w:sz w:val="20"/>
                <w:szCs w:val="20"/>
                <w:lang w:val="ro-RO"/>
              </w:rPr>
              <w:t>Guvernul României</w:t>
            </w:r>
          </w:p>
        </w:tc>
        <w:tc>
          <w:tcPr>
            <w:tcW w:w="907" w:type="dxa"/>
          </w:tcPr>
          <w:p w14:paraId="4865B70D"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68,0</w:t>
            </w:r>
          </w:p>
        </w:tc>
        <w:tc>
          <w:tcPr>
            <w:tcW w:w="766" w:type="dxa"/>
          </w:tcPr>
          <w:p w14:paraId="012C45C4"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100,9</w:t>
            </w:r>
          </w:p>
        </w:tc>
        <w:tc>
          <w:tcPr>
            <w:tcW w:w="949" w:type="dxa"/>
          </w:tcPr>
          <w:p w14:paraId="1A7D3417"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w:t>
            </w:r>
          </w:p>
        </w:tc>
        <w:tc>
          <w:tcPr>
            <w:tcW w:w="991" w:type="dxa"/>
          </w:tcPr>
          <w:p w14:paraId="50441F90"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0%</w:t>
            </w:r>
          </w:p>
        </w:tc>
      </w:tr>
      <w:tr w:rsidR="009E6B0C" w:rsidRPr="008C0B81" w14:paraId="5C608086" w14:textId="77777777" w:rsidTr="00DC6DEE">
        <w:trPr>
          <w:trHeight w:val="185"/>
        </w:trPr>
        <w:tc>
          <w:tcPr>
            <w:tcW w:w="5665" w:type="dxa"/>
          </w:tcPr>
          <w:p w14:paraId="02EAB685" w14:textId="77777777" w:rsidR="009E6B0C" w:rsidRPr="008C0B81" w:rsidRDefault="009E6B0C" w:rsidP="00DC6DEE">
            <w:pPr>
              <w:pStyle w:val="a6"/>
              <w:rPr>
                <w:rFonts w:asciiTheme="majorHAnsi" w:hAnsiTheme="majorHAnsi" w:cstheme="majorHAnsi"/>
                <w:sz w:val="20"/>
                <w:szCs w:val="20"/>
                <w:lang w:val="ro-RO"/>
              </w:rPr>
            </w:pPr>
            <w:r w:rsidRPr="008C0B81">
              <w:rPr>
                <w:rFonts w:asciiTheme="majorHAnsi" w:hAnsiTheme="majorHAnsi" w:cstheme="majorHAnsi"/>
                <w:sz w:val="20"/>
                <w:szCs w:val="20"/>
                <w:lang w:val="ro-RO"/>
              </w:rPr>
              <w:t>Guvernul Poloniei</w:t>
            </w:r>
          </w:p>
        </w:tc>
        <w:tc>
          <w:tcPr>
            <w:tcW w:w="907" w:type="dxa"/>
          </w:tcPr>
          <w:p w14:paraId="0168BDD9"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w:t>
            </w:r>
          </w:p>
        </w:tc>
        <w:tc>
          <w:tcPr>
            <w:tcW w:w="766" w:type="dxa"/>
          </w:tcPr>
          <w:p w14:paraId="2A47E3C9"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0,2</w:t>
            </w:r>
          </w:p>
        </w:tc>
        <w:tc>
          <w:tcPr>
            <w:tcW w:w="949" w:type="dxa"/>
          </w:tcPr>
          <w:p w14:paraId="22FA581A"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0,3</w:t>
            </w:r>
          </w:p>
        </w:tc>
        <w:tc>
          <w:tcPr>
            <w:tcW w:w="991" w:type="dxa"/>
          </w:tcPr>
          <w:p w14:paraId="7912AC14" w14:textId="77777777" w:rsidR="009E6B0C" w:rsidRPr="008C0B81" w:rsidRDefault="009E6B0C" w:rsidP="00DC6DEE">
            <w:pPr>
              <w:pStyle w:val="a6"/>
              <w:jc w:val="center"/>
              <w:rPr>
                <w:rFonts w:asciiTheme="majorHAnsi" w:hAnsiTheme="majorHAnsi" w:cstheme="majorHAnsi"/>
                <w:sz w:val="20"/>
                <w:szCs w:val="20"/>
                <w:lang w:val="ro-RO"/>
              </w:rPr>
            </w:pPr>
            <w:r w:rsidRPr="008C0B81">
              <w:rPr>
                <w:rFonts w:asciiTheme="majorHAnsi" w:hAnsiTheme="majorHAnsi" w:cstheme="majorHAnsi"/>
                <w:sz w:val="20"/>
                <w:szCs w:val="20"/>
                <w:lang w:val="ro-RO"/>
              </w:rPr>
              <w:t>0,2%</w:t>
            </w:r>
          </w:p>
        </w:tc>
      </w:tr>
      <w:tr w:rsidR="009E6B0C" w:rsidRPr="008C0B81" w14:paraId="3B7AA5C0" w14:textId="77777777" w:rsidTr="00DC6DEE">
        <w:trPr>
          <w:trHeight w:val="309"/>
        </w:trPr>
        <w:tc>
          <w:tcPr>
            <w:tcW w:w="5665" w:type="dxa"/>
            <w:shd w:val="clear" w:color="auto" w:fill="E7E6E6"/>
          </w:tcPr>
          <w:p w14:paraId="7D2F83A5" w14:textId="77777777" w:rsidR="009E6B0C" w:rsidRPr="008C0B81" w:rsidRDefault="009E6B0C" w:rsidP="00DC6DEE">
            <w:pPr>
              <w:pStyle w:val="a6"/>
              <w:rPr>
                <w:rFonts w:asciiTheme="majorHAnsi" w:hAnsiTheme="majorHAnsi" w:cstheme="majorHAnsi"/>
                <w:b/>
                <w:sz w:val="20"/>
                <w:szCs w:val="20"/>
                <w:lang w:val="ro-RO"/>
              </w:rPr>
            </w:pPr>
            <w:r w:rsidRPr="008C0B81">
              <w:rPr>
                <w:rFonts w:asciiTheme="majorHAnsi" w:hAnsiTheme="majorHAnsi" w:cstheme="majorHAnsi"/>
                <w:b/>
                <w:sz w:val="20"/>
                <w:szCs w:val="20"/>
                <w:lang w:val="ro-RO"/>
              </w:rPr>
              <w:t>Total</w:t>
            </w:r>
          </w:p>
        </w:tc>
        <w:tc>
          <w:tcPr>
            <w:tcW w:w="907" w:type="dxa"/>
            <w:shd w:val="clear" w:color="auto" w:fill="E7E6E6"/>
          </w:tcPr>
          <w:p w14:paraId="22DA5185" w14:textId="77777777" w:rsidR="009E6B0C" w:rsidRPr="008C0B81" w:rsidRDefault="009E6B0C" w:rsidP="00DC6DEE">
            <w:pPr>
              <w:pStyle w:val="a6"/>
              <w:jc w:val="center"/>
              <w:rPr>
                <w:rFonts w:asciiTheme="majorHAnsi" w:hAnsiTheme="majorHAnsi" w:cstheme="majorHAnsi"/>
                <w:b/>
                <w:sz w:val="20"/>
                <w:szCs w:val="20"/>
                <w:lang w:val="ro-RO"/>
              </w:rPr>
            </w:pPr>
            <w:r w:rsidRPr="008C0B81">
              <w:rPr>
                <w:rFonts w:asciiTheme="majorHAnsi" w:hAnsiTheme="majorHAnsi" w:cstheme="majorHAnsi"/>
                <w:b/>
                <w:sz w:val="20"/>
                <w:szCs w:val="20"/>
                <w:lang w:val="ro-RO"/>
              </w:rPr>
              <w:t>230,3</w:t>
            </w:r>
          </w:p>
        </w:tc>
        <w:tc>
          <w:tcPr>
            <w:tcW w:w="766" w:type="dxa"/>
            <w:shd w:val="clear" w:color="auto" w:fill="E7E6E6"/>
          </w:tcPr>
          <w:p w14:paraId="2C762978" w14:textId="77777777" w:rsidR="009E6B0C" w:rsidRPr="008C0B81" w:rsidRDefault="009E6B0C" w:rsidP="00DC6DEE">
            <w:pPr>
              <w:pStyle w:val="a6"/>
              <w:jc w:val="center"/>
              <w:rPr>
                <w:rFonts w:asciiTheme="majorHAnsi" w:hAnsiTheme="majorHAnsi" w:cstheme="majorHAnsi"/>
                <w:b/>
                <w:sz w:val="20"/>
                <w:szCs w:val="20"/>
                <w:lang w:val="ro-RO"/>
              </w:rPr>
            </w:pPr>
            <w:r w:rsidRPr="008C0B81">
              <w:rPr>
                <w:rFonts w:asciiTheme="majorHAnsi" w:hAnsiTheme="majorHAnsi" w:cstheme="majorHAnsi"/>
                <w:b/>
                <w:sz w:val="20"/>
                <w:szCs w:val="20"/>
                <w:lang w:val="ro-RO"/>
              </w:rPr>
              <w:t>195,6</w:t>
            </w:r>
          </w:p>
        </w:tc>
        <w:tc>
          <w:tcPr>
            <w:tcW w:w="949" w:type="dxa"/>
            <w:shd w:val="clear" w:color="auto" w:fill="E7E6E6"/>
          </w:tcPr>
          <w:p w14:paraId="4C21A561" w14:textId="77777777" w:rsidR="009E6B0C" w:rsidRPr="008C0B81" w:rsidRDefault="009E6B0C" w:rsidP="00DC6DEE">
            <w:pPr>
              <w:pStyle w:val="a6"/>
              <w:jc w:val="center"/>
              <w:rPr>
                <w:rFonts w:asciiTheme="majorHAnsi" w:hAnsiTheme="majorHAnsi" w:cstheme="majorHAnsi"/>
                <w:b/>
                <w:sz w:val="20"/>
                <w:szCs w:val="20"/>
                <w:lang w:val="ro-RO"/>
              </w:rPr>
            </w:pPr>
            <w:r w:rsidRPr="008C0B81">
              <w:rPr>
                <w:rFonts w:asciiTheme="majorHAnsi" w:hAnsiTheme="majorHAnsi" w:cstheme="majorHAnsi"/>
                <w:b/>
                <w:sz w:val="20"/>
                <w:szCs w:val="20"/>
                <w:lang w:val="ro-RO"/>
              </w:rPr>
              <w:t>144,8</w:t>
            </w:r>
          </w:p>
        </w:tc>
        <w:tc>
          <w:tcPr>
            <w:tcW w:w="991" w:type="dxa"/>
            <w:shd w:val="clear" w:color="auto" w:fill="E7E6E6"/>
          </w:tcPr>
          <w:p w14:paraId="41D24A56" w14:textId="77777777" w:rsidR="009E6B0C" w:rsidRPr="008C0B81" w:rsidRDefault="009E6B0C" w:rsidP="00DC6DEE">
            <w:pPr>
              <w:pStyle w:val="a6"/>
              <w:jc w:val="center"/>
              <w:rPr>
                <w:rFonts w:asciiTheme="majorHAnsi" w:hAnsiTheme="majorHAnsi" w:cstheme="majorHAnsi"/>
                <w:b/>
                <w:sz w:val="20"/>
                <w:szCs w:val="20"/>
                <w:lang w:val="ro-RO"/>
              </w:rPr>
            </w:pPr>
            <w:r w:rsidRPr="008C0B81">
              <w:rPr>
                <w:rFonts w:asciiTheme="majorHAnsi" w:hAnsiTheme="majorHAnsi" w:cstheme="majorHAnsi"/>
                <w:b/>
                <w:sz w:val="20"/>
                <w:szCs w:val="20"/>
                <w:lang w:val="ro-RO"/>
              </w:rPr>
              <w:t>100%</w:t>
            </w:r>
          </w:p>
        </w:tc>
      </w:tr>
      <w:tr w:rsidR="009E6B0C" w:rsidRPr="008C0B81" w14:paraId="0BB1A136" w14:textId="77777777" w:rsidTr="00DC6DEE">
        <w:trPr>
          <w:trHeight w:val="103"/>
        </w:trPr>
        <w:tc>
          <w:tcPr>
            <w:tcW w:w="8287" w:type="dxa"/>
            <w:gridSpan w:val="4"/>
            <w:shd w:val="clear" w:color="auto" w:fill="FFFFFF"/>
          </w:tcPr>
          <w:p w14:paraId="6B358ECA" w14:textId="77777777" w:rsidR="009E6B0C" w:rsidRPr="008C0B81" w:rsidRDefault="009E6B0C" w:rsidP="00DC6DEE">
            <w:pPr>
              <w:pStyle w:val="a6"/>
              <w:rPr>
                <w:rFonts w:asciiTheme="majorHAnsi" w:hAnsiTheme="majorHAnsi" w:cstheme="majorHAnsi"/>
                <w:sz w:val="20"/>
                <w:szCs w:val="20"/>
                <w:lang w:val="ro-RO"/>
              </w:rPr>
            </w:pPr>
            <w:r w:rsidRPr="008C0B81">
              <w:rPr>
                <w:rFonts w:asciiTheme="majorHAnsi" w:hAnsiTheme="majorHAnsi" w:cstheme="majorHAnsi"/>
                <w:sz w:val="20"/>
                <w:szCs w:val="20"/>
                <w:lang w:val="ro-RO"/>
              </w:rPr>
              <w:t>Inclusiv:</w:t>
            </w:r>
          </w:p>
        </w:tc>
        <w:tc>
          <w:tcPr>
            <w:tcW w:w="991" w:type="dxa"/>
            <w:shd w:val="clear" w:color="auto" w:fill="FFFFFF"/>
          </w:tcPr>
          <w:p w14:paraId="00B3C5A3" w14:textId="77777777" w:rsidR="009E6B0C" w:rsidRPr="008C0B81" w:rsidRDefault="009E6B0C" w:rsidP="00DC6DEE">
            <w:pPr>
              <w:pStyle w:val="a6"/>
              <w:rPr>
                <w:rFonts w:asciiTheme="majorHAnsi" w:hAnsiTheme="majorHAnsi" w:cstheme="majorHAnsi"/>
                <w:sz w:val="20"/>
                <w:szCs w:val="20"/>
                <w:lang w:val="ro-RO"/>
              </w:rPr>
            </w:pPr>
          </w:p>
        </w:tc>
      </w:tr>
      <w:tr w:rsidR="009E6B0C" w:rsidRPr="008C0B81" w14:paraId="02C45BCC" w14:textId="77777777" w:rsidTr="00DC6DEE">
        <w:trPr>
          <w:trHeight w:val="165"/>
        </w:trPr>
        <w:tc>
          <w:tcPr>
            <w:tcW w:w="5665" w:type="dxa"/>
            <w:shd w:val="clear" w:color="auto" w:fill="E7E6E6"/>
          </w:tcPr>
          <w:p w14:paraId="3882416D" w14:textId="77777777" w:rsidR="009E6B0C" w:rsidRPr="008C0B81" w:rsidRDefault="009E6B0C" w:rsidP="00DC6DEE">
            <w:pPr>
              <w:pStyle w:val="a6"/>
              <w:rPr>
                <w:rFonts w:asciiTheme="majorHAnsi" w:hAnsiTheme="majorHAnsi" w:cstheme="majorHAnsi"/>
                <w:sz w:val="20"/>
                <w:szCs w:val="20"/>
                <w:lang w:val="ro-RO"/>
              </w:rPr>
            </w:pPr>
            <w:r w:rsidRPr="008C0B81">
              <w:rPr>
                <w:rFonts w:asciiTheme="majorHAnsi" w:hAnsiTheme="majorHAnsi" w:cstheme="majorHAnsi"/>
                <w:sz w:val="20"/>
                <w:szCs w:val="20"/>
                <w:lang w:val="ro-RO"/>
              </w:rPr>
              <w:t>susținerea bugetului de stat</w:t>
            </w:r>
          </w:p>
        </w:tc>
        <w:tc>
          <w:tcPr>
            <w:tcW w:w="907" w:type="dxa"/>
            <w:shd w:val="clear" w:color="auto" w:fill="E7E6E6"/>
          </w:tcPr>
          <w:p w14:paraId="7814C966" w14:textId="77777777" w:rsidR="009E6B0C" w:rsidRPr="008C0B81" w:rsidRDefault="009E6B0C" w:rsidP="00DC6DEE">
            <w:pPr>
              <w:pStyle w:val="a6"/>
              <w:jc w:val="center"/>
              <w:rPr>
                <w:rFonts w:asciiTheme="majorHAnsi" w:hAnsiTheme="majorHAnsi" w:cstheme="majorHAnsi"/>
                <w:b/>
                <w:sz w:val="20"/>
                <w:szCs w:val="20"/>
                <w:lang w:val="ro-RO"/>
              </w:rPr>
            </w:pPr>
            <w:r w:rsidRPr="008C0B81">
              <w:rPr>
                <w:rFonts w:asciiTheme="majorHAnsi" w:hAnsiTheme="majorHAnsi" w:cstheme="majorHAnsi"/>
                <w:b/>
                <w:sz w:val="20"/>
                <w:szCs w:val="20"/>
                <w:lang w:val="ro-RO"/>
              </w:rPr>
              <w:t>153,7</w:t>
            </w:r>
          </w:p>
        </w:tc>
        <w:tc>
          <w:tcPr>
            <w:tcW w:w="766" w:type="dxa"/>
            <w:shd w:val="clear" w:color="auto" w:fill="E7E6E6"/>
          </w:tcPr>
          <w:p w14:paraId="507F4BA2" w14:textId="77777777" w:rsidR="009E6B0C" w:rsidRPr="008C0B81" w:rsidRDefault="009E6B0C" w:rsidP="00DC6DEE">
            <w:pPr>
              <w:pStyle w:val="a6"/>
              <w:jc w:val="center"/>
              <w:rPr>
                <w:rFonts w:asciiTheme="majorHAnsi" w:hAnsiTheme="majorHAnsi" w:cstheme="majorHAnsi"/>
                <w:b/>
                <w:sz w:val="20"/>
                <w:szCs w:val="20"/>
                <w:lang w:val="ro-RO"/>
              </w:rPr>
            </w:pPr>
            <w:r w:rsidRPr="008C0B81">
              <w:rPr>
                <w:rFonts w:asciiTheme="majorHAnsi" w:hAnsiTheme="majorHAnsi" w:cstheme="majorHAnsi"/>
                <w:b/>
                <w:sz w:val="20"/>
                <w:szCs w:val="20"/>
                <w:lang w:val="ro-RO"/>
              </w:rPr>
              <w:t>134,9</w:t>
            </w:r>
          </w:p>
        </w:tc>
        <w:tc>
          <w:tcPr>
            <w:tcW w:w="949" w:type="dxa"/>
            <w:shd w:val="clear" w:color="auto" w:fill="E7E6E6"/>
          </w:tcPr>
          <w:p w14:paraId="3E85702D" w14:textId="77777777" w:rsidR="009E6B0C" w:rsidRPr="008C0B81" w:rsidRDefault="009E6B0C" w:rsidP="00DC6DEE">
            <w:pPr>
              <w:pStyle w:val="a6"/>
              <w:jc w:val="center"/>
              <w:rPr>
                <w:rFonts w:asciiTheme="majorHAnsi" w:hAnsiTheme="majorHAnsi" w:cstheme="majorHAnsi"/>
                <w:b/>
                <w:sz w:val="20"/>
                <w:szCs w:val="20"/>
                <w:lang w:val="ro-RO"/>
              </w:rPr>
            </w:pPr>
            <w:r w:rsidRPr="008C0B81">
              <w:rPr>
                <w:rFonts w:asciiTheme="majorHAnsi" w:hAnsiTheme="majorHAnsi" w:cstheme="majorHAnsi"/>
                <w:b/>
                <w:sz w:val="20"/>
                <w:szCs w:val="20"/>
                <w:lang w:val="ro-RO"/>
              </w:rPr>
              <w:t>48,9</w:t>
            </w:r>
          </w:p>
        </w:tc>
        <w:tc>
          <w:tcPr>
            <w:tcW w:w="991" w:type="dxa"/>
            <w:shd w:val="clear" w:color="auto" w:fill="E7E6E6"/>
          </w:tcPr>
          <w:p w14:paraId="202D3E86" w14:textId="48EA28C6" w:rsidR="009E6B0C" w:rsidRPr="008C0B81" w:rsidRDefault="006418D0" w:rsidP="00DC6DEE">
            <w:pPr>
              <w:pStyle w:val="a6"/>
              <w:jc w:val="center"/>
              <w:rPr>
                <w:rFonts w:asciiTheme="majorHAnsi" w:hAnsiTheme="majorHAnsi" w:cstheme="majorHAnsi"/>
                <w:b/>
                <w:sz w:val="20"/>
                <w:szCs w:val="20"/>
                <w:lang w:val="ro-RO"/>
              </w:rPr>
            </w:pPr>
            <w:r w:rsidRPr="008C0B81">
              <w:rPr>
                <w:rFonts w:asciiTheme="majorHAnsi" w:hAnsiTheme="majorHAnsi" w:cstheme="majorHAnsi"/>
                <w:b/>
                <w:sz w:val="20"/>
                <w:szCs w:val="20"/>
                <w:lang w:val="ro-RO"/>
              </w:rPr>
              <w:t>33,8</w:t>
            </w:r>
            <w:r w:rsidR="009E6B0C" w:rsidRPr="008C0B81">
              <w:rPr>
                <w:rFonts w:asciiTheme="majorHAnsi" w:hAnsiTheme="majorHAnsi" w:cstheme="majorHAnsi"/>
                <w:b/>
                <w:sz w:val="20"/>
                <w:szCs w:val="20"/>
                <w:lang w:val="ro-RO"/>
              </w:rPr>
              <w:t>%</w:t>
            </w:r>
          </w:p>
        </w:tc>
      </w:tr>
      <w:tr w:rsidR="009E6B0C" w:rsidRPr="008C0B81" w14:paraId="4ED25E67" w14:textId="77777777" w:rsidTr="00DC6DEE">
        <w:trPr>
          <w:trHeight w:val="255"/>
        </w:trPr>
        <w:tc>
          <w:tcPr>
            <w:tcW w:w="5665" w:type="dxa"/>
            <w:shd w:val="clear" w:color="auto" w:fill="E7E6E6"/>
          </w:tcPr>
          <w:p w14:paraId="42024EAA" w14:textId="77777777" w:rsidR="009E6B0C" w:rsidRPr="008C0B81" w:rsidRDefault="009E6B0C" w:rsidP="00DC6DEE">
            <w:pPr>
              <w:pStyle w:val="a6"/>
              <w:rPr>
                <w:rFonts w:asciiTheme="majorHAnsi" w:hAnsiTheme="majorHAnsi" w:cstheme="majorHAnsi"/>
                <w:sz w:val="20"/>
                <w:szCs w:val="20"/>
                <w:lang w:val="ro-RO"/>
              </w:rPr>
            </w:pPr>
            <w:r w:rsidRPr="008C0B81">
              <w:rPr>
                <w:rFonts w:asciiTheme="majorHAnsi" w:hAnsiTheme="majorHAnsi" w:cstheme="majorHAnsi"/>
                <w:sz w:val="20"/>
                <w:szCs w:val="20"/>
                <w:lang w:val="ro-RO"/>
              </w:rPr>
              <w:t>finanțarea proiectelor investiționale din surse externe</w:t>
            </w:r>
          </w:p>
        </w:tc>
        <w:tc>
          <w:tcPr>
            <w:tcW w:w="907" w:type="dxa"/>
            <w:shd w:val="clear" w:color="auto" w:fill="E7E6E6"/>
          </w:tcPr>
          <w:p w14:paraId="6D90BA61" w14:textId="77777777" w:rsidR="009E6B0C" w:rsidRPr="008C0B81" w:rsidRDefault="009E6B0C" w:rsidP="00DC6DEE">
            <w:pPr>
              <w:pStyle w:val="a6"/>
              <w:jc w:val="center"/>
              <w:rPr>
                <w:rFonts w:asciiTheme="majorHAnsi" w:hAnsiTheme="majorHAnsi" w:cstheme="majorHAnsi"/>
                <w:b/>
                <w:sz w:val="20"/>
                <w:szCs w:val="20"/>
                <w:lang w:val="ro-RO"/>
              </w:rPr>
            </w:pPr>
            <w:r w:rsidRPr="008C0B81">
              <w:rPr>
                <w:rFonts w:asciiTheme="majorHAnsi" w:hAnsiTheme="majorHAnsi" w:cstheme="majorHAnsi"/>
                <w:b/>
                <w:sz w:val="20"/>
                <w:szCs w:val="20"/>
                <w:lang w:val="ro-RO"/>
              </w:rPr>
              <w:t>76,6</w:t>
            </w:r>
          </w:p>
        </w:tc>
        <w:tc>
          <w:tcPr>
            <w:tcW w:w="766" w:type="dxa"/>
            <w:shd w:val="clear" w:color="auto" w:fill="E7E6E6"/>
          </w:tcPr>
          <w:p w14:paraId="644B1E49" w14:textId="77777777" w:rsidR="009E6B0C" w:rsidRPr="008C0B81" w:rsidRDefault="009E6B0C" w:rsidP="00DC6DEE">
            <w:pPr>
              <w:pStyle w:val="a6"/>
              <w:jc w:val="center"/>
              <w:rPr>
                <w:rFonts w:asciiTheme="majorHAnsi" w:hAnsiTheme="majorHAnsi" w:cstheme="majorHAnsi"/>
                <w:b/>
                <w:sz w:val="20"/>
                <w:szCs w:val="20"/>
                <w:lang w:val="ro-RO"/>
              </w:rPr>
            </w:pPr>
            <w:r w:rsidRPr="008C0B81">
              <w:rPr>
                <w:rFonts w:asciiTheme="majorHAnsi" w:hAnsiTheme="majorHAnsi" w:cstheme="majorHAnsi"/>
                <w:b/>
                <w:sz w:val="20"/>
                <w:szCs w:val="20"/>
                <w:lang w:val="ro-RO"/>
              </w:rPr>
              <w:t>60,7</w:t>
            </w:r>
          </w:p>
        </w:tc>
        <w:tc>
          <w:tcPr>
            <w:tcW w:w="949" w:type="dxa"/>
            <w:shd w:val="clear" w:color="auto" w:fill="E7E6E6"/>
          </w:tcPr>
          <w:p w14:paraId="30D5CAE2" w14:textId="77777777" w:rsidR="009E6B0C" w:rsidRPr="008C0B81" w:rsidRDefault="009E6B0C" w:rsidP="00DC6DEE">
            <w:pPr>
              <w:pStyle w:val="a6"/>
              <w:jc w:val="center"/>
              <w:rPr>
                <w:rFonts w:asciiTheme="majorHAnsi" w:hAnsiTheme="majorHAnsi" w:cstheme="majorHAnsi"/>
                <w:b/>
                <w:sz w:val="20"/>
                <w:szCs w:val="20"/>
                <w:lang w:val="ro-RO"/>
              </w:rPr>
            </w:pPr>
            <w:r w:rsidRPr="008C0B81">
              <w:rPr>
                <w:rFonts w:asciiTheme="majorHAnsi" w:hAnsiTheme="majorHAnsi" w:cstheme="majorHAnsi"/>
                <w:b/>
                <w:sz w:val="20"/>
                <w:szCs w:val="20"/>
                <w:lang w:val="ro-RO"/>
              </w:rPr>
              <w:t>95,9</w:t>
            </w:r>
          </w:p>
        </w:tc>
        <w:tc>
          <w:tcPr>
            <w:tcW w:w="991" w:type="dxa"/>
            <w:shd w:val="clear" w:color="auto" w:fill="E7E6E6"/>
          </w:tcPr>
          <w:p w14:paraId="14D51D51" w14:textId="0B88325B" w:rsidR="009E6B0C" w:rsidRPr="008C0B81" w:rsidRDefault="006418D0" w:rsidP="00DC6DEE">
            <w:pPr>
              <w:pStyle w:val="a6"/>
              <w:jc w:val="center"/>
              <w:rPr>
                <w:rFonts w:asciiTheme="majorHAnsi" w:hAnsiTheme="majorHAnsi" w:cstheme="majorHAnsi"/>
                <w:b/>
                <w:sz w:val="20"/>
                <w:szCs w:val="20"/>
                <w:lang w:val="ro-RO"/>
              </w:rPr>
            </w:pPr>
            <w:r w:rsidRPr="008C0B81">
              <w:rPr>
                <w:rFonts w:asciiTheme="majorHAnsi" w:hAnsiTheme="majorHAnsi" w:cstheme="majorHAnsi"/>
                <w:b/>
                <w:sz w:val="20"/>
                <w:szCs w:val="20"/>
                <w:lang w:val="ro-RO"/>
              </w:rPr>
              <w:t>66,2</w:t>
            </w:r>
            <w:r w:rsidR="009E6B0C" w:rsidRPr="008C0B81">
              <w:rPr>
                <w:rFonts w:asciiTheme="majorHAnsi" w:hAnsiTheme="majorHAnsi" w:cstheme="majorHAnsi"/>
                <w:b/>
                <w:sz w:val="20"/>
                <w:szCs w:val="20"/>
                <w:lang w:val="ro-RO"/>
              </w:rPr>
              <w:t>%</w:t>
            </w:r>
          </w:p>
        </w:tc>
      </w:tr>
    </w:tbl>
    <w:p w14:paraId="777C752C" w14:textId="7E416426" w:rsidR="009E6B0C" w:rsidRDefault="009E6B0C" w:rsidP="009E6B0C">
      <w:pPr>
        <w:jc w:val="both"/>
        <w:rPr>
          <w:rFonts w:asciiTheme="majorHAnsi" w:hAnsiTheme="majorHAnsi" w:cstheme="majorHAnsi"/>
          <w:sz w:val="20"/>
          <w:szCs w:val="20"/>
          <w:lang w:val="ro-RO"/>
        </w:rPr>
      </w:pPr>
      <w:r w:rsidRPr="009E6B0C">
        <w:rPr>
          <w:rFonts w:asciiTheme="majorHAnsi" w:hAnsiTheme="majorHAnsi" w:cstheme="majorHAnsi"/>
          <w:b/>
          <w:i/>
          <w:sz w:val="20"/>
          <w:szCs w:val="20"/>
          <w:lang w:val="ro-RO"/>
        </w:rPr>
        <w:t xml:space="preserve"> Sursă:</w:t>
      </w:r>
      <w:r w:rsidRPr="009E6B0C">
        <w:rPr>
          <w:rFonts w:asciiTheme="majorHAnsi" w:hAnsiTheme="majorHAnsi" w:cstheme="majorHAnsi"/>
          <w:sz w:val="20"/>
          <w:szCs w:val="20"/>
          <w:lang w:val="ro-RO"/>
        </w:rPr>
        <w:t xml:space="preserve"> </w:t>
      </w:r>
      <w:r w:rsidR="009D42AC">
        <w:rPr>
          <w:rFonts w:asciiTheme="majorHAnsi" w:hAnsiTheme="majorHAnsi" w:cstheme="majorHAnsi"/>
          <w:sz w:val="20"/>
          <w:szCs w:val="20"/>
          <w:lang w:val="ro-RO"/>
        </w:rPr>
        <w:t>I</w:t>
      </w:r>
      <w:r w:rsidRPr="009E6B0C">
        <w:rPr>
          <w:rFonts w:asciiTheme="majorHAnsi" w:hAnsiTheme="majorHAnsi" w:cstheme="majorHAnsi"/>
          <w:sz w:val="20"/>
          <w:szCs w:val="20"/>
          <w:lang w:val="ro-RO"/>
        </w:rPr>
        <w:t>nformați</w:t>
      </w:r>
      <w:r w:rsidR="009D42AC">
        <w:rPr>
          <w:rFonts w:asciiTheme="majorHAnsi" w:hAnsiTheme="majorHAnsi" w:cstheme="majorHAnsi"/>
          <w:sz w:val="20"/>
          <w:szCs w:val="20"/>
          <w:lang w:val="ro-RO"/>
        </w:rPr>
        <w:t>a</w:t>
      </w:r>
      <w:r w:rsidRPr="009E6B0C">
        <w:rPr>
          <w:rFonts w:asciiTheme="majorHAnsi" w:hAnsiTheme="majorHAnsi" w:cstheme="majorHAnsi"/>
          <w:sz w:val="20"/>
          <w:szCs w:val="20"/>
          <w:lang w:val="ro-RO"/>
        </w:rPr>
        <w:t xml:space="preserve"> privind debursările împrumuturilor externe în anii 2016-2018.</w:t>
      </w:r>
    </w:p>
    <w:p w14:paraId="70DA717D" w14:textId="7E7E4251" w:rsidR="00A121B9" w:rsidRDefault="00A121B9" w:rsidP="00CE24D3">
      <w:pPr>
        <w:spacing w:after="0" w:line="276" w:lineRule="auto"/>
        <w:jc w:val="both"/>
        <w:rPr>
          <w:rFonts w:asciiTheme="majorHAnsi" w:hAnsiTheme="majorHAnsi" w:cstheme="majorHAnsi"/>
          <w:sz w:val="24"/>
          <w:szCs w:val="24"/>
          <w:lang w:val="ro-RO"/>
        </w:rPr>
      </w:pPr>
    </w:p>
    <w:p w14:paraId="4CC314A3" w14:textId="17BE1B49" w:rsidR="00C901F8" w:rsidRDefault="00C901F8" w:rsidP="00CE24D3">
      <w:pPr>
        <w:spacing w:after="0" w:line="276" w:lineRule="auto"/>
        <w:jc w:val="both"/>
        <w:rPr>
          <w:rFonts w:asciiTheme="majorHAnsi" w:hAnsiTheme="majorHAnsi" w:cstheme="majorHAnsi"/>
          <w:sz w:val="24"/>
          <w:szCs w:val="24"/>
          <w:lang w:val="ro-RO"/>
        </w:rPr>
      </w:pPr>
    </w:p>
    <w:p w14:paraId="73296B93" w14:textId="5587F28A" w:rsidR="00C901F8" w:rsidRDefault="00C901F8" w:rsidP="00CE24D3">
      <w:pPr>
        <w:spacing w:after="0" w:line="276" w:lineRule="auto"/>
        <w:jc w:val="both"/>
        <w:rPr>
          <w:rFonts w:asciiTheme="majorHAnsi" w:hAnsiTheme="majorHAnsi" w:cstheme="majorHAnsi"/>
          <w:sz w:val="24"/>
          <w:szCs w:val="24"/>
          <w:lang w:val="ro-RO"/>
        </w:rPr>
      </w:pPr>
    </w:p>
    <w:p w14:paraId="5B706A07" w14:textId="4ADBF23B" w:rsidR="00C901F8" w:rsidRDefault="00C901F8" w:rsidP="00CE24D3">
      <w:pPr>
        <w:spacing w:after="0" w:line="276" w:lineRule="auto"/>
        <w:jc w:val="both"/>
        <w:rPr>
          <w:rFonts w:asciiTheme="majorHAnsi" w:hAnsiTheme="majorHAnsi" w:cstheme="majorHAnsi"/>
          <w:sz w:val="24"/>
          <w:szCs w:val="24"/>
          <w:lang w:val="ro-RO"/>
        </w:rPr>
      </w:pPr>
    </w:p>
    <w:p w14:paraId="72E8A9BB" w14:textId="4727254A" w:rsidR="00C901F8" w:rsidRDefault="00C901F8" w:rsidP="00CE24D3">
      <w:pPr>
        <w:spacing w:after="0" w:line="276" w:lineRule="auto"/>
        <w:jc w:val="both"/>
        <w:rPr>
          <w:rFonts w:asciiTheme="majorHAnsi" w:hAnsiTheme="majorHAnsi" w:cstheme="majorHAnsi"/>
          <w:sz w:val="24"/>
          <w:szCs w:val="24"/>
          <w:lang w:val="ro-RO"/>
        </w:rPr>
      </w:pPr>
    </w:p>
    <w:p w14:paraId="43CE5A74" w14:textId="2698A2EA" w:rsidR="00C901F8" w:rsidRDefault="00C901F8" w:rsidP="00CE24D3">
      <w:pPr>
        <w:spacing w:after="0" w:line="276" w:lineRule="auto"/>
        <w:jc w:val="both"/>
        <w:rPr>
          <w:rFonts w:asciiTheme="majorHAnsi" w:hAnsiTheme="majorHAnsi" w:cstheme="majorHAnsi"/>
          <w:sz w:val="24"/>
          <w:szCs w:val="24"/>
          <w:lang w:val="ro-RO"/>
        </w:rPr>
      </w:pPr>
    </w:p>
    <w:p w14:paraId="48AEA946" w14:textId="5C855F2A" w:rsidR="00C901F8" w:rsidRDefault="00C901F8" w:rsidP="00CE24D3">
      <w:pPr>
        <w:spacing w:after="0" w:line="276" w:lineRule="auto"/>
        <w:jc w:val="both"/>
        <w:rPr>
          <w:rFonts w:asciiTheme="majorHAnsi" w:hAnsiTheme="majorHAnsi" w:cstheme="majorHAnsi"/>
          <w:sz w:val="24"/>
          <w:szCs w:val="24"/>
          <w:lang w:val="ro-RO"/>
        </w:rPr>
      </w:pPr>
    </w:p>
    <w:p w14:paraId="03A0C1E0" w14:textId="55D7738F" w:rsidR="00C901F8" w:rsidRDefault="00C901F8" w:rsidP="00CE24D3">
      <w:pPr>
        <w:spacing w:after="0" w:line="276" w:lineRule="auto"/>
        <w:jc w:val="both"/>
        <w:rPr>
          <w:rFonts w:asciiTheme="majorHAnsi" w:hAnsiTheme="majorHAnsi" w:cstheme="majorHAnsi"/>
          <w:sz w:val="24"/>
          <w:szCs w:val="24"/>
          <w:lang w:val="ro-RO"/>
        </w:rPr>
      </w:pPr>
    </w:p>
    <w:p w14:paraId="1E6A526F" w14:textId="1B71C922" w:rsidR="002731CC" w:rsidRDefault="002731CC">
      <w:pPr>
        <w:rPr>
          <w:rFonts w:asciiTheme="majorHAnsi" w:hAnsiTheme="majorHAnsi" w:cstheme="majorHAnsi"/>
          <w:sz w:val="24"/>
          <w:szCs w:val="24"/>
          <w:lang w:val="ro-RO"/>
        </w:rPr>
      </w:pPr>
      <w:r>
        <w:rPr>
          <w:rFonts w:asciiTheme="majorHAnsi" w:hAnsiTheme="majorHAnsi" w:cstheme="majorHAnsi"/>
          <w:sz w:val="24"/>
          <w:szCs w:val="24"/>
          <w:lang w:val="ro-RO"/>
        </w:rPr>
        <w:br w:type="page"/>
      </w:r>
    </w:p>
    <w:p w14:paraId="773DD758" w14:textId="77777777" w:rsidR="00C901F8" w:rsidRDefault="00C901F8" w:rsidP="00CE24D3">
      <w:pPr>
        <w:spacing w:after="0" w:line="276" w:lineRule="auto"/>
        <w:jc w:val="both"/>
        <w:rPr>
          <w:rFonts w:asciiTheme="majorHAnsi" w:hAnsiTheme="majorHAnsi" w:cstheme="majorHAnsi"/>
          <w:sz w:val="24"/>
          <w:szCs w:val="24"/>
          <w:lang w:val="ro-RO"/>
        </w:rPr>
      </w:pPr>
    </w:p>
    <w:p w14:paraId="0740CCD0" w14:textId="0465AD98" w:rsidR="005418E9" w:rsidRPr="008E6807" w:rsidRDefault="005418E9" w:rsidP="005418E9">
      <w:pPr>
        <w:jc w:val="both"/>
        <w:rPr>
          <w:rFonts w:asciiTheme="majorHAnsi" w:hAnsiTheme="majorHAnsi"/>
          <w:b/>
          <w:sz w:val="24"/>
          <w:lang w:val="ro-RO"/>
        </w:rPr>
      </w:pPr>
      <w:r>
        <w:rPr>
          <w:rFonts w:asciiTheme="majorHAnsi" w:hAnsiTheme="majorHAnsi" w:cstheme="majorHAnsi"/>
          <w:b/>
          <w:sz w:val="24"/>
          <w:szCs w:val="24"/>
          <w:lang w:val="ro-RO"/>
        </w:rPr>
        <w:t>Tabelul nr.7</w:t>
      </w:r>
      <w:r w:rsidRPr="009E6B0C">
        <w:rPr>
          <w:rFonts w:asciiTheme="majorHAnsi" w:hAnsiTheme="majorHAnsi" w:cstheme="majorHAnsi"/>
          <w:b/>
          <w:sz w:val="24"/>
          <w:szCs w:val="24"/>
          <w:lang w:val="ro-RO"/>
        </w:rPr>
        <w:t xml:space="preserve">. </w:t>
      </w:r>
      <w:r w:rsidRPr="008E6807">
        <w:rPr>
          <w:rFonts w:asciiTheme="majorHAnsi" w:hAnsiTheme="majorHAnsi"/>
          <w:b/>
          <w:sz w:val="24"/>
          <w:lang w:val="ro-RO"/>
        </w:rPr>
        <w:t>Informația privind nivelul de debursare a împrumuturilor</w:t>
      </w:r>
      <w:r w:rsidR="006D7BBF">
        <w:rPr>
          <w:rFonts w:asciiTheme="majorHAnsi" w:hAnsiTheme="majorHAnsi"/>
          <w:b/>
          <w:sz w:val="24"/>
          <w:lang w:val="ro-RO"/>
        </w:rPr>
        <w:t>,</w:t>
      </w:r>
      <w:r w:rsidRPr="008E6807">
        <w:rPr>
          <w:rFonts w:asciiTheme="majorHAnsi" w:hAnsiTheme="majorHAnsi"/>
          <w:b/>
          <w:sz w:val="24"/>
          <w:lang w:val="ro-RO"/>
        </w:rPr>
        <w:t xml:space="preserve"> pe creditori</w:t>
      </w:r>
      <w:r w:rsidR="006D7BBF">
        <w:rPr>
          <w:rFonts w:asciiTheme="majorHAnsi" w:hAnsiTheme="majorHAnsi"/>
          <w:b/>
          <w:sz w:val="24"/>
          <w:lang w:val="ro-RO"/>
        </w:rPr>
        <w:t>,</w:t>
      </w:r>
      <w:r w:rsidRPr="008E6807">
        <w:rPr>
          <w:rFonts w:asciiTheme="majorHAnsi" w:hAnsiTheme="majorHAnsi"/>
          <w:b/>
          <w:sz w:val="24"/>
          <w:lang w:val="ro-RO"/>
        </w:rPr>
        <w:t xml:space="preserve"> la situația din 31.12.2018</w:t>
      </w:r>
    </w:p>
    <w:p w14:paraId="5BFDF98A" w14:textId="7FF41063" w:rsidR="005418E9" w:rsidRPr="008E6807" w:rsidRDefault="002D0D0D" w:rsidP="00C901F8">
      <w:pPr>
        <w:spacing w:after="0"/>
        <w:jc w:val="right"/>
        <w:rPr>
          <w:rFonts w:asciiTheme="majorHAnsi" w:hAnsiTheme="majorHAnsi"/>
          <w:b/>
          <w:sz w:val="24"/>
          <w:lang w:val="ro-RO"/>
        </w:rPr>
      </w:pPr>
      <w:proofErr w:type="spellStart"/>
      <w:r>
        <w:rPr>
          <w:rFonts w:asciiTheme="majorHAnsi" w:hAnsiTheme="majorHAnsi"/>
          <w:b/>
          <w:sz w:val="24"/>
          <w:lang w:val="ro-RO"/>
        </w:rPr>
        <w:t>mil.MDL</w:t>
      </w:r>
      <w:proofErr w:type="spellEnd"/>
    </w:p>
    <w:tbl>
      <w:tblPr>
        <w:tblW w:w="9344" w:type="dxa"/>
        <w:tblLook w:val="04A0" w:firstRow="1" w:lastRow="0" w:firstColumn="1" w:lastColumn="0" w:noHBand="0" w:noVBand="1"/>
      </w:tblPr>
      <w:tblGrid>
        <w:gridCol w:w="1257"/>
        <w:gridCol w:w="1006"/>
        <w:gridCol w:w="1021"/>
        <w:gridCol w:w="1300"/>
        <w:gridCol w:w="1192"/>
        <w:gridCol w:w="1130"/>
        <w:gridCol w:w="1130"/>
        <w:gridCol w:w="1308"/>
      </w:tblGrid>
      <w:tr w:rsidR="00C320ED" w:rsidRPr="00133208" w14:paraId="63F1DF0C" w14:textId="77777777" w:rsidTr="00C320ED">
        <w:trPr>
          <w:trHeight w:val="1413"/>
        </w:trPr>
        <w:tc>
          <w:tcPr>
            <w:tcW w:w="1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5B02E4" w14:textId="77777777" w:rsidR="005418E9" w:rsidRPr="002731CC" w:rsidRDefault="005418E9" w:rsidP="004E1933">
            <w:pPr>
              <w:pStyle w:val="a6"/>
              <w:rPr>
                <w:rFonts w:asciiTheme="majorHAnsi" w:hAnsiTheme="majorHAnsi"/>
                <w:b/>
                <w:sz w:val="18"/>
                <w:szCs w:val="18"/>
                <w:lang w:val="ro-RO"/>
              </w:rPr>
            </w:pPr>
            <w:r w:rsidRPr="002731CC">
              <w:rPr>
                <w:rFonts w:asciiTheme="majorHAnsi" w:hAnsiTheme="majorHAnsi"/>
                <w:b/>
                <w:sz w:val="18"/>
                <w:szCs w:val="18"/>
                <w:lang w:val="ro-RO"/>
              </w:rPr>
              <w:t>Creditorul</w:t>
            </w:r>
          </w:p>
        </w:tc>
        <w:tc>
          <w:tcPr>
            <w:tcW w:w="1008" w:type="dxa"/>
            <w:tcBorders>
              <w:top w:val="single" w:sz="4" w:space="0" w:color="auto"/>
              <w:left w:val="nil"/>
              <w:bottom w:val="single" w:sz="4" w:space="0" w:color="auto"/>
              <w:right w:val="single" w:sz="4" w:space="0" w:color="auto"/>
            </w:tcBorders>
            <w:shd w:val="clear" w:color="auto" w:fill="F2F2F2" w:themeFill="background1" w:themeFillShade="F2"/>
            <w:hideMark/>
          </w:tcPr>
          <w:p w14:paraId="738AC3E9" w14:textId="77777777" w:rsidR="005418E9" w:rsidRPr="002731CC" w:rsidRDefault="005418E9" w:rsidP="004E1933">
            <w:pPr>
              <w:pStyle w:val="a6"/>
              <w:rPr>
                <w:rFonts w:asciiTheme="majorHAnsi" w:hAnsiTheme="majorHAnsi"/>
                <w:b/>
                <w:sz w:val="18"/>
                <w:szCs w:val="18"/>
                <w:lang w:val="ro-RO"/>
              </w:rPr>
            </w:pPr>
            <w:r w:rsidRPr="002731CC">
              <w:rPr>
                <w:rFonts w:asciiTheme="majorHAnsi" w:hAnsiTheme="majorHAnsi"/>
                <w:b/>
                <w:sz w:val="18"/>
                <w:szCs w:val="18"/>
                <w:lang w:val="ro-RO"/>
              </w:rPr>
              <w:t>Valuta</w:t>
            </w:r>
          </w:p>
        </w:tc>
        <w:tc>
          <w:tcPr>
            <w:tcW w:w="1021" w:type="dxa"/>
            <w:tcBorders>
              <w:top w:val="single" w:sz="4" w:space="0" w:color="auto"/>
              <w:left w:val="nil"/>
              <w:bottom w:val="single" w:sz="4" w:space="0" w:color="auto"/>
              <w:right w:val="single" w:sz="4" w:space="0" w:color="auto"/>
            </w:tcBorders>
            <w:shd w:val="clear" w:color="auto" w:fill="F2F2F2" w:themeFill="background1" w:themeFillShade="F2"/>
            <w:hideMark/>
          </w:tcPr>
          <w:p w14:paraId="2D8AAEBE" w14:textId="77777777" w:rsidR="005418E9" w:rsidRPr="002731CC" w:rsidRDefault="005418E9" w:rsidP="004E1933">
            <w:pPr>
              <w:pStyle w:val="a6"/>
              <w:rPr>
                <w:rFonts w:asciiTheme="majorHAnsi" w:hAnsiTheme="majorHAnsi"/>
                <w:b/>
                <w:sz w:val="18"/>
                <w:szCs w:val="18"/>
                <w:lang w:val="ro-RO"/>
              </w:rPr>
            </w:pPr>
            <w:r w:rsidRPr="002731CC">
              <w:rPr>
                <w:rFonts w:asciiTheme="majorHAnsi" w:hAnsiTheme="majorHAnsi"/>
                <w:b/>
                <w:sz w:val="18"/>
                <w:szCs w:val="18"/>
                <w:lang w:val="ro-RO"/>
              </w:rPr>
              <w:t>Debursări în anul 2018</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hideMark/>
          </w:tcPr>
          <w:p w14:paraId="3C5E747C" w14:textId="77777777" w:rsidR="005418E9" w:rsidRPr="002731CC" w:rsidRDefault="005418E9" w:rsidP="004E1933">
            <w:pPr>
              <w:pStyle w:val="a6"/>
              <w:rPr>
                <w:rFonts w:asciiTheme="majorHAnsi" w:hAnsiTheme="majorHAnsi"/>
                <w:b/>
                <w:sz w:val="18"/>
                <w:szCs w:val="18"/>
                <w:lang w:val="ro-RO"/>
              </w:rPr>
            </w:pPr>
            <w:r w:rsidRPr="002731CC">
              <w:rPr>
                <w:rFonts w:asciiTheme="majorHAnsi" w:hAnsiTheme="majorHAnsi"/>
                <w:b/>
                <w:sz w:val="18"/>
                <w:szCs w:val="18"/>
                <w:lang w:val="ro-RO"/>
              </w:rPr>
              <w:t xml:space="preserve">Sold </w:t>
            </w:r>
            <w:proofErr w:type="spellStart"/>
            <w:r w:rsidRPr="002731CC">
              <w:rPr>
                <w:rFonts w:asciiTheme="majorHAnsi" w:hAnsiTheme="majorHAnsi"/>
                <w:b/>
                <w:sz w:val="18"/>
                <w:szCs w:val="18"/>
                <w:lang w:val="ro-RO"/>
              </w:rPr>
              <w:t>nedebursat</w:t>
            </w:r>
            <w:proofErr w:type="spellEnd"/>
            <w:r w:rsidRPr="002731CC">
              <w:rPr>
                <w:rFonts w:asciiTheme="majorHAnsi" w:hAnsiTheme="majorHAnsi"/>
                <w:b/>
                <w:sz w:val="18"/>
                <w:szCs w:val="18"/>
                <w:lang w:val="ro-RO"/>
              </w:rPr>
              <w:t xml:space="preserve"> la 31.12.2018</w:t>
            </w:r>
          </w:p>
        </w:tc>
        <w:tc>
          <w:tcPr>
            <w:tcW w:w="1192" w:type="dxa"/>
            <w:tcBorders>
              <w:top w:val="single" w:sz="4" w:space="0" w:color="auto"/>
              <w:left w:val="nil"/>
              <w:bottom w:val="single" w:sz="4" w:space="0" w:color="auto"/>
              <w:right w:val="single" w:sz="4" w:space="0" w:color="auto"/>
            </w:tcBorders>
            <w:shd w:val="clear" w:color="auto" w:fill="F2F2F2" w:themeFill="background1" w:themeFillShade="F2"/>
            <w:hideMark/>
          </w:tcPr>
          <w:p w14:paraId="0EA77B23" w14:textId="77777777" w:rsidR="005418E9" w:rsidRPr="002731CC" w:rsidRDefault="005418E9" w:rsidP="004E1933">
            <w:pPr>
              <w:pStyle w:val="a6"/>
              <w:rPr>
                <w:rFonts w:asciiTheme="majorHAnsi" w:hAnsiTheme="majorHAnsi"/>
                <w:b/>
                <w:sz w:val="18"/>
                <w:szCs w:val="18"/>
                <w:lang w:val="ro-RO"/>
              </w:rPr>
            </w:pPr>
            <w:r w:rsidRPr="002731CC">
              <w:rPr>
                <w:rFonts w:asciiTheme="majorHAnsi" w:hAnsiTheme="majorHAnsi"/>
                <w:b/>
                <w:sz w:val="18"/>
                <w:szCs w:val="18"/>
                <w:lang w:val="ro-RO"/>
              </w:rPr>
              <w:t>Total rambursat, inclusiv principal, dobânzi și comisioane în anul 2018</w:t>
            </w:r>
          </w:p>
        </w:tc>
        <w:tc>
          <w:tcPr>
            <w:tcW w:w="1130" w:type="dxa"/>
            <w:tcBorders>
              <w:top w:val="single" w:sz="4" w:space="0" w:color="auto"/>
              <w:left w:val="nil"/>
              <w:bottom w:val="single" w:sz="4" w:space="0" w:color="auto"/>
              <w:right w:val="single" w:sz="4" w:space="0" w:color="auto"/>
            </w:tcBorders>
            <w:shd w:val="clear" w:color="auto" w:fill="F2F2F2" w:themeFill="background1" w:themeFillShade="F2"/>
            <w:hideMark/>
          </w:tcPr>
          <w:p w14:paraId="4A2BA922" w14:textId="77777777" w:rsidR="005418E9" w:rsidRPr="002731CC" w:rsidRDefault="005418E9" w:rsidP="004E1933">
            <w:pPr>
              <w:pStyle w:val="a6"/>
              <w:rPr>
                <w:rFonts w:asciiTheme="majorHAnsi" w:hAnsiTheme="majorHAnsi"/>
                <w:b/>
                <w:sz w:val="18"/>
                <w:szCs w:val="18"/>
                <w:lang w:val="ro-RO"/>
              </w:rPr>
            </w:pPr>
            <w:r w:rsidRPr="002731CC">
              <w:rPr>
                <w:rFonts w:asciiTheme="majorHAnsi" w:hAnsiTheme="majorHAnsi"/>
                <w:b/>
                <w:sz w:val="18"/>
                <w:szCs w:val="18"/>
                <w:lang w:val="ro-RO"/>
              </w:rPr>
              <w:t>Rambursat principal în anul 2018</w:t>
            </w:r>
          </w:p>
        </w:tc>
        <w:tc>
          <w:tcPr>
            <w:tcW w:w="1130" w:type="dxa"/>
            <w:tcBorders>
              <w:top w:val="single" w:sz="4" w:space="0" w:color="auto"/>
              <w:left w:val="nil"/>
              <w:bottom w:val="single" w:sz="4" w:space="0" w:color="auto"/>
              <w:right w:val="single" w:sz="4" w:space="0" w:color="auto"/>
            </w:tcBorders>
            <w:shd w:val="clear" w:color="auto" w:fill="F2F2F2" w:themeFill="background1" w:themeFillShade="F2"/>
            <w:hideMark/>
          </w:tcPr>
          <w:p w14:paraId="080458C5" w14:textId="77777777" w:rsidR="005418E9" w:rsidRPr="002731CC" w:rsidRDefault="005418E9" w:rsidP="004E1933">
            <w:pPr>
              <w:pStyle w:val="a6"/>
              <w:rPr>
                <w:rFonts w:asciiTheme="majorHAnsi" w:hAnsiTheme="majorHAnsi"/>
                <w:b/>
                <w:sz w:val="18"/>
                <w:szCs w:val="18"/>
                <w:lang w:val="ro-RO"/>
              </w:rPr>
            </w:pPr>
            <w:r w:rsidRPr="002731CC">
              <w:rPr>
                <w:rFonts w:asciiTheme="majorHAnsi" w:hAnsiTheme="majorHAnsi"/>
                <w:b/>
                <w:sz w:val="18"/>
                <w:szCs w:val="18"/>
                <w:lang w:val="ro-RO"/>
              </w:rPr>
              <w:t>Achitat dobânzi și comisioane în anul 2018</w:t>
            </w:r>
          </w:p>
        </w:tc>
        <w:tc>
          <w:tcPr>
            <w:tcW w:w="1308" w:type="dxa"/>
            <w:tcBorders>
              <w:top w:val="single" w:sz="4" w:space="0" w:color="auto"/>
              <w:left w:val="nil"/>
              <w:bottom w:val="single" w:sz="4" w:space="0" w:color="auto"/>
              <w:right w:val="single" w:sz="4" w:space="0" w:color="auto"/>
            </w:tcBorders>
            <w:shd w:val="clear" w:color="auto" w:fill="F2F2F2" w:themeFill="background1" w:themeFillShade="F2"/>
            <w:hideMark/>
          </w:tcPr>
          <w:p w14:paraId="29CE21C2" w14:textId="77777777" w:rsidR="005418E9" w:rsidRPr="002731CC" w:rsidRDefault="005418E9" w:rsidP="004E1933">
            <w:pPr>
              <w:pStyle w:val="a6"/>
              <w:rPr>
                <w:rFonts w:asciiTheme="majorHAnsi" w:hAnsiTheme="majorHAnsi"/>
                <w:b/>
                <w:sz w:val="18"/>
                <w:szCs w:val="18"/>
                <w:lang w:val="ro-RO"/>
              </w:rPr>
            </w:pPr>
            <w:r w:rsidRPr="002731CC">
              <w:rPr>
                <w:rFonts w:asciiTheme="majorHAnsi" w:hAnsiTheme="majorHAnsi"/>
                <w:b/>
                <w:sz w:val="18"/>
                <w:szCs w:val="18"/>
                <w:lang w:val="ro-RO"/>
              </w:rPr>
              <w:t>Soldul datoriei la 31.12.2018</w:t>
            </w:r>
          </w:p>
        </w:tc>
      </w:tr>
      <w:tr w:rsidR="00C320ED" w:rsidRPr="00133208" w14:paraId="6AF2A630"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06CBD1" w14:textId="77777777" w:rsidR="005418E9" w:rsidRPr="008E6807" w:rsidRDefault="005418E9" w:rsidP="004E1933">
            <w:pPr>
              <w:pStyle w:val="a6"/>
              <w:rPr>
                <w:rFonts w:asciiTheme="majorHAnsi" w:hAnsiTheme="majorHAnsi"/>
                <w:i/>
                <w:sz w:val="20"/>
                <w:lang w:val="ro-RO"/>
              </w:rPr>
            </w:pPr>
            <w:r w:rsidRPr="008E6807">
              <w:rPr>
                <w:rFonts w:asciiTheme="majorHAnsi" w:hAnsiTheme="majorHAnsi"/>
                <w:i/>
                <w:sz w:val="20"/>
                <w:lang w:val="ro-RO"/>
              </w:rPr>
              <w:t>TOTAL</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5DF74" w14:textId="028C3998" w:rsidR="005418E9" w:rsidRPr="00342442" w:rsidRDefault="00025605" w:rsidP="004E1933">
            <w:pPr>
              <w:pStyle w:val="a6"/>
              <w:rPr>
                <w:rFonts w:asciiTheme="majorHAnsi" w:hAnsiTheme="majorHAnsi"/>
                <w:i/>
                <w:sz w:val="20"/>
                <w:lang w:val="ro-RO"/>
              </w:rPr>
            </w:pPr>
            <w:r w:rsidRPr="00342442">
              <w:rPr>
                <w:rFonts w:asciiTheme="majorHAnsi" w:hAnsiTheme="majorHAnsi"/>
                <w:i/>
                <w:sz w:val="20"/>
                <w:lang w:val="ro-RO"/>
              </w:rPr>
              <w:t>euro</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1E1A2668"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93,9</w:t>
            </w:r>
          </w:p>
        </w:tc>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14:paraId="6C401F46"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793,7</w:t>
            </w:r>
          </w:p>
        </w:tc>
        <w:tc>
          <w:tcPr>
            <w:tcW w:w="1192" w:type="dxa"/>
            <w:tcBorders>
              <w:top w:val="single" w:sz="4" w:space="0" w:color="auto"/>
              <w:left w:val="single" w:sz="4" w:space="0" w:color="auto"/>
              <w:bottom w:val="single" w:sz="4" w:space="0" w:color="auto"/>
              <w:right w:val="single" w:sz="4" w:space="0" w:color="auto"/>
            </w:tcBorders>
            <w:shd w:val="clear" w:color="auto" w:fill="auto"/>
            <w:noWrap/>
            <w:hideMark/>
          </w:tcPr>
          <w:p w14:paraId="72FCA2CF"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55,7</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60FECC11"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48,6</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29E7A588"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7,1</w:t>
            </w:r>
          </w:p>
        </w:tc>
        <w:tc>
          <w:tcPr>
            <w:tcW w:w="1308" w:type="dxa"/>
            <w:tcBorders>
              <w:top w:val="single" w:sz="4" w:space="0" w:color="auto"/>
              <w:left w:val="single" w:sz="4" w:space="0" w:color="auto"/>
              <w:bottom w:val="single" w:sz="4" w:space="0" w:color="auto"/>
              <w:right w:val="single" w:sz="4" w:space="0" w:color="auto"/>
            </w:tcBorders>
            <w:shd w:val="clear" w:color="auto" w:fill="auto"/>
            <w:noWrap/>
            <w:hideMark/>
          </w:tcPr>
          <w:p w14:paraId="36C627D3"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464,6</w:t>
            </w:r>
          </w:p>
        </w:tc>
      </w:tr>
      <w:tr w:rsidR="00C320ED" w:rsidRPr="00133208" w14:paraId="46B4B42F"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DE65C9" w14:textId="77777777" w:rsidR="005418E9" w:rsidRPr="008E6807" w:rsidRDefault="005418E9" w:rsidP="004E1933">
            <w:pPr>
              <w:pStyle w:val="a6"/>
              <w:rPr>
                <w:rFonts w:asciiTheme="majorHAnsi" w:hAnsiTheme="majorHAnsi"/>
                <w:i/>
                <w:sz w:val="20"/>
                <w:lang w:val="ro-RO"/>
              </w:rPr>
            </w:pPr>
            <w:r w:rsidRPr="008E6807">
              <w:rPr>
                <w:rFonts w:asciiTheme="majorHAnsi" w:hAnsiTheme="majorHAnsi"/>
                <w:i/>
                <w:sz w:val="20"/>
                <w:lang w:val="ro-RO"/>
              </w:rPr>
              <w:t>TOTAL</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3D504" w14:textId="03715C30" w:rsidR="005418E9" w:rsidRPr="00342442" w:rsidRDefault="00AC1377" w:rsidP="004E1933">
            <w:pPr>
              <w:pStyle w:val="a6"/>
              <w:rPr>
                <w:rFonts w:asciiTheme="majorHAnsi" w:hAnsiTheme="majorHAnsi"/>
                <w:i/>
                <w:sz w:val="20"/>
                <w:lang w:val="ro-RO"/>
              </w:rPr>
            </w:pPr>
            <w:r w:rsidRPr="00342442">
              <w:rPr>
                <w:rFonts w:asciiTheme="majorHAnsi" w:hAnsiTheme="majorHAnsi"/>
                <w:i/>
                <w:sz w:val="20"/>
                <w:lang w:val="ro-RO"/>
              </w:rPr>
              <w:t>lira sterlina</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1C3FE42E"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14:paraId="5A217780"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auto"/>
            <w:noWrap/>
            <w:hideMark/>
          </w:tcPr>
          <w:p w14:paraId="50F24B95"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0,1</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7A4A640C"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0,1</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12ED2729"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308" w:type="dxa"/>
            <w:tcBorders>
              <w:top w:val="single" w:sz="4" w:space="0" w:color="auto"/>
              <w:left w:val="single" w:sz="4" w:space="0" w:color="auto"/>
              <w:bottom w:val="single" w:sz="4" w:space="0" w:color="auto"/>
              <w:right w:val="single" w:sz="4" w:space="0" w:color="auto"/>
            </w:tcBorders>
            <w:shd w:val="clear" w:color="auto" w:fill="auto"/>
            <w:noWrap/>
            <w:hideMark/>
          </w:tcPr>
          <w:p w14:paraId="2F03FAAE"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0,3</w:t>
            </w:r>
          </w:p>
        </w:tc>
      </w:tr>
      <w:tr w:rsidR="00C320ED" w:rsidRPr="00133208" w14:paraId="1DEBD54B"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715A26" w14:textId="77777777" w:rsidR="005418E9" w:rsidRPr="008E6807" w:rsidRDefault="005418E9" w:rsidP="004E1933">
            <w:pPr>
              <w:pStyle w:val="a6"/>
              <w:rPr>
                <w:rFonts w:asciiTheme="majorHAnsi" w:hAnsiTheme="majorHAnsi"/>
                <w:i/>
                <w:sz w:val="20"/>
                <w:lang w:val="ro-RO"/>
              </w:rPr>
            </w:pPr>
            <w:r w:rsidRPr="008E6807">
              <w:rPr>
                <w:rFonts w:asciiTheme="majorHAnsi" w:hAnsiTheme="majorHAnsi"/>
                <w:i/>
                <w:sz w:val="20"/>
                <w:lang w:val="ro-RO"/>
              </w:rPr>
              <w:t>TOTAL</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C2CF0" w14:textId="082E5257" w:rsidR="005418E9" w:rsidRPr="00342442" w:rsidRDefault="00AC1377" w:rsidP="004E1933">
            <w:pPr>
              <w:pStyle w:val="a6"/>
              <w:rPr>
                <w:rFonts w:asciiTheme="majorHAnsi" w:hAnsiTheme="majorHAnsi"/>
                <w:i/>
                <w:sz w:val="20"/>
                <w:lang w:val="ro-RO"/>
              </w:rPr>
            </w:pPr>
            <w:r w:rsidRPr="00342442">
              <w:rPr>
                <w:rFonts w:asciiTheme="majorHAnsi" w:hAnsiTheme="majorHAnsi"/>
                <w:i/>
                <w:sz w:val="20"/>
                <w:lang w:val="ro-RO"/>
              </w:rPr>
              <w:t>yeni japonezi</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2274B174"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8,0</w:t>
            </w:r>
          </w:p>
        </w:tc>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14:paraId="71C886CE"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auto"/>
            <w:noWrap/>
            <w:hideMark/>
          </w:tcPr>
          <w:p w14:paraId="34E87A9B"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110,1</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55B46A31"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97,1</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055ACA7F"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13,0</w:t>
            </w:r>
          </w:p>
        </w:tc>
        <w:tc>
          <w:tcPr>
            <w:tcW w:w="1308" w:type="dxa"/>
            <w:tcBorders>
              <w:top w:val="single" w:sz="4" w:space="0" w:color="auto"/>
              <w:left w:val="single" w:sz="4" w:space="0" w:color="auto"/>
              <w:bottom w:val="single" w:sz="4" w:space="0" w:color="auto"/>
              <w:right w:val="single" w:sz="4" w:space="0" w:color="auto"/>
            </w:tcBorders>
            <w:shd w:val="clear" w:color="auto" w:fill="auto"/>
            <w:noWrap/>
            <w:hideMark/>
          </w:tcPr>
          <w:p w14:paraId="071724CF"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6 475,8</w:t>
            </w:r>
          </w:p>
        </w:tc>
      </w:tr>
      <w:tr w:rsidR="00C320ED" w:rsidRPr="00133208" w14:paraId="46F5868F"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626BA5" w14:textId="77777777" w:rsidR="005418E9" w:rsidRPr="008E6807" w:rsidRDefault="005418E9" w:rsidP="004E1933">
            <w:pPr>
              <w:pStyle w:val="a6"/>
              <w:rPr>
                <w:rFonts w:asciiTheme="majorHAnsi" w:hAnsiTheme="majorHAnsi"/>
                <w:i/>
                <w:sz w:val="20"/>
                <w:lang w:val="ro-RO"/>
              </w:rPr>
            </w:pPr>
            <w:r w:rsidRPr="008E6807">
              <w:rPr>
                <w:rFonts w:asciiTheme="majorHAnsi" w:hAnsiTheme="majorHAnsi"/>
                <w:i/>
                <w:sz w:val="20"/>
                <w:lang w:val="ro-RO"/>
              </w:rPr>
              <w:t>TOTAL</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88B23" w14:textId="6BCBC8E5" w:rsidR="005418E9" w:rsidRPr="00342442" w:rsidRDefault="00AC1377" w:rsidP="004E1933">
            <w:pPr>
              <w:pStyle w:val="a6"/>
              <w:rPr>
                <w:rFonts w:asciiTheme="majorHAnsi" w:hAnsiTheme="majorHAnsi"/>
                <w:i/>
                <w:sz w:val="20"/>
                <w:lang w:val="ro-RO"/>
              </w:rPr>
            </w:pPr>
            <w:r w:rsidRPr="00342442">
              <w:rPr>
                <w:rFonts w:asciiTheme="majorHAnsi" w:hAnsiTheme="majorHAnsi"/>
                <w:i/>
                <w:sz w:val="20"/>
                <w:lang w:val="ro-RO"/>
              </w:rPr>
              <w:t>DST</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6D8E6A4B"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15,7</w:t>
            </w:r>
          </w:p>
        </w:tc>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14:paraId="0B90C260"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138,6</w:t>
            </w:r>
          </w:p>
        </w:tc>
        <w:tc>
          <w:tcPr>
            <w:tcW w:w="1192" w:type="dxa"/>
            <w:tcBorders>
              <w:top w:val="single" w:sz="4" w:space="0" w:color="auto"/>
              <w:left w:val="single" w:sz="4" w:space="0" w:color="auto"/>
              <w:bottom w:val="single" w:sz="4" w:space="0" w:color="auto"/>
              <w:right w:val="single" w:sz="4" w:space="0" w:color="auto"/>
            </w:tcBorders>
            <w:shd w:val="clear" w:color="auto" w:fill="auto"/>
            <w:noWrap/>
            <w:hideMark/>
          </w:tcPr>
          <w:p w14:paraId="4B7D8B8E"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35,4</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2A5FA6A5"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29,0</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3288DC89"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6,4</w:t>
            </w:r>
          </w:p>
        </w:tc>
        <w:tc>
          <w:tcPr>
            <w:tcW w:w="1308" w:type="dxa"/>
            <w:tcBorders>
              <w:top w:val="single" w:sz="4" w:space="0" w:color="auto"/>
              <w:left w:val="single" w:sz="4" w:space="0" w:color="auto"/>
              <w:bottom w:val="single" w:sz="4" w:space="0" w:color="auto"/>
              <w:right w:val="single" w:sz="4" w:space="0" w:color="auto"/>
            </w:tcBorders>
            <w:shd w:val="clear" w:color="auto" w:fill="auto"/>
            <w:noWrap/>
            <w:hideMark/>
          </w:tcPr>
          <w:p w14:paraId="47815061"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672,2</w:t>
            </w:r>
          </w:p>
        </w:tc>
      </w:tr>
      <w:tr w:rsidR="00C320ED" w:rsidRPr="00133208" w14:paraId="23455755"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37F650" w14:textId="77777777" w:rsidR="005418E9" w:rsidRPr="008E6807" w:rsidRDefault="005418E9" w:rsidP="004E1933">
            <w:pPr>
              <w:pStyle w:val="a6"/>
              <w:rPr>
                <w:rFonts w:asciiTheme="majorHAnsi" w:hAnsiTheme="majorHAnsi"/>
                <w:i/>
                <w:sz w:val="20"/>
                <w:lang w:val="ro-RO"/>
              </w:rPr>
            </w:pPr>
            <w:r w:rsidRPr="008E6807">
              <w:rPr>
                <w:rFonts w:asciiTheme="majorHAnsi" w:hAnsiTheme="majorHAnsi"/>
                <w:i/>
                <w:sz w:val="20"/>
                <w:lang w:val="ro-RO"/>
              </w:rPr>
              <w:t>TOTAL</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13727" w14:textId="18421F0F" w:rsidR="005418E9" w:rsidRPr="00342442" w:rsidRDefault="00C320ED" w:rsidP="004E1933">
            <w:pPr>
              <w:pStyle w:val="a6"/>
              <w:rPr>
                <w:rFonts w:asciiTheme="majorHAnsi" w:hAnsiTheme="majorHAnsi"/>
                <w:i/>
                <w:sz w:val="20"/>
                <w:lang w:val="ro-RO"/>
              </w:rPr>
            </w:pPr>
            <w:r w:rsidRPr="00342442">
              <w:rPr>
                <w:rFonts w:asciiTheme="majorHAnsi" w:hAnsiTheme="majorHAnsi"/>
                <w:i/>
                <w:sz w:val="20"/>
                <w:lang w:val="ro-RO"/>
              </w:rPr>
              <w:t>dol. SUA</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1DDD8FB6"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13,3</w:t>
            </w:r>
          </w:p>
        </w:tc>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14:paraId="57DF09F7"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65,4</w:t>
            </w:r>
          </w:p>
        </w:tc>
        <w:tc>
          <w:tcPr>
            <w:tcW w:w="1192" w:type="dxa"/>
            <w:tcBorders>
              <w:top w:val="single" w:sz="4" w:space="0" w:color="auto"/>
              <w:left w:val="single" w:sz="4" w:space="0" w:color="auto"/>
              <w:bottom w:val="single" w:sz="4" w:space="0" w:color="auto"/>
              <w:right w:val="single" w:sz="4" w:space="0" w:color="auto"/>
            </w:tcBorders>
            <w:shd w:val="clear" w:color="auto" w:fill="auto"/>
            <w:noWrap/>
            <w:hideMark/>
          </w:tcPr>
          <w:p w14:paraId="228E3933"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16,9</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453525A8"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11,9</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22F2667D"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5,0</w:t>
            </w:r>
          </w:p>
        </w:tc>
        <w:tc>
          <w:tcPr>
            <w:tcW w:w="1308" w:type="dxa"/>
            <w:tcBorders>
              <w:top w:val="single" w:sz="4" w:space="0" w:color="auto"/>
              <w:left w:val="single" w:sz="4" w:space="0" w:color="auto"/>
              <w:bottom w:val="single" w:sz="4" w:space="0" w:color="auto"/>
              <w:right w:val="single" w:sz="4" w:space="0" w:color="auto"/>
            </w:tcBorders>
            <w:shd w:val="clear" w:color="auto" w:fill="auto"/>
            <w:noWrap/>
            <w:hideMark/>
          </w:tcPr>
          <w:p w14:paraId="485295B0"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169,1</w:t>
            </w:r>
          </w:p>
        </w:tc>
      </w:tr>
      <w:tr w:rsidR="00C320ED" w:rsidRPr="00133208" w14:paraId="6E30120C"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341BEA" w14:textId="2DABF500"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Banca german</w:t>
            </w:r>
            <w:r w:rsidR="006D7BBF">
              <w:rPr>
                <w:rFonts w:asciiTheme="majorHAnsi" w:hAnsiTheme="majorHAnsi"/>
                <w:sz w:val="20"/>
                <w:lang w:val="ro-RO"/>
              </w:rPr>
              <w:t>ă</w:t>
            </w:r>
            <w:r w:rsidRPr="008E6807">
              <w:rPr>
                <w:rFonts w:asciiTheme="majorHAnsi" w:hAnsiTheme="majorHAnsi"/>
                <w:sz w:val="20"/>
                <w:lang w:val="ro-RO"/>
              </w:rPr>
              <w:t xml:space="preserve"> </w:t>
            </w:r>
            <w:proofErr w:type="spellStart"/>
            <w:r w:rsidRPr="008E6807">
              <w:rPr>
                <w:rFonts w:asciiTheme="majorHAnsi" w:hAnsiTheme="majorHAnsi"/>
                <w:sz w:val="20"/>
                <w:lang w:val="ro-RO"/>
              </w:rPr>
              <w:t>KfW</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FB727" w14:textId="0C04AD4A" w:rsidR="005418E9" w:rsidRPr="00342442" w:rsidRDefault="00025605" w:rsidP="004E1933">
            <w:pPr>
              <w:pStyle w:val="a6"/>
              <w:rPr>
                <w:rFonts w:asciiTheme="majorHAnsi" w:hAnsiTheme="majorHAnsi"/>
                <w:sz w:val="20"/>
                <w:lang w:val="ro-RO"/>
              </w:rPr>
            </w:pPr>
            <w:r w:rsidRPr="00342442">
              <w:rPr>
                <w:rFonts w:asciiTheme="majorHAnsi" w:hAnsiTheme="majorHAnsi"/>
                <w:sz w:val="20"/>
                <w:lang w:val="ro-RO"/>
              </w:rPr>
              <w:t>euro</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43C21029"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14:paraId="06F2C931"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92" w:type="dxa"/>
            <w:tcBorders>
              <w:top w:val="single" w:sz="4" w:space="0" w:color="auto"/>
              <w:left w:val="single" w:sz="4" w:space="0" w:color="auto"/>
              <w:bottom w:val="single" w:sz="4" w:space="0" w:color="auto"/>
              <w:right w:val="single" w:sz="4" w:space="0" w:color="auto"/>
            </w:tcBorders>
            <w:shd w:val="clear" w:color="auto" w:fill="auto"/>
            <w:noWrap/>
            <w:hideMark/>
          </w:tcPr>
          <w:p w14:paraId="2B1D1D8A"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0,3</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17030E94"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0,2</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6B52F644"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308" w:type="dxa"/>
            <w:tcBorders>
              <w:top w:val="single" w:sz="4" w:space="0" w:color="auto"/>
              <w:left w:val="single" w:sz="4" w:space="0" w:color="auto"/>
              <w:bottom w:val="single" w:sz="4" w:space="0" w:color="auto"/>
              <w:right w:val="single" w:sz="4" w:space="0" w:color="auto"/>
            </w:tcBorders>
            <w:shd w:val="clear" w:color="auto" w:fill="auto"/>
            <w:noWrap/>
            <w:hideMark/>
          </w:tcPr>
          <w:p w14:paraId="68BE78E0"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5,7</w:t>
            </w:r>
          </w:p>
        </w:tc>
      </w:tr>
      <w:tr w:rsidR="00C320ED" w:rsidRPr="00133208" w14:paraId="0515B4AB"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314D0C"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CCC (SUA)</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59469" w14:textId="3332CD72" w:rsidR="005418E9" w:rsidRPr="00342442" w:rsidRDefault="00C320ED" w:rsidP="004E1933">
            <w:pPr>
              <w:pStyle w:val="a6"/>
              <w:rPr>
                <w:rFonts w:asciiTheme="majorHAnsi" w:hAnsiTheme="majorHAnsi"/>
                <w:sz w:val="20"/>
                <w:lang w:val="ro-RO"/>
              </w:rPr>
            </w:pPr>
            <w:r w:rsidRPr="00342442">
              <w:rPr>
                <w:rFonts w:asciiTheme="majorHAnsi" w:hAnsiTheme="majorHAnsi"/>
                <w:sz w:val="20"/>
                <w:lang w:val="ro-RO"/>
              </w:rPr>
              <w:t>dol. SUA</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46FB4BD2"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14:paraId="3198A2AA"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92" w:type="dxa"/>
            <w:tcBorders>
              <w:top w:val="single" w:sz="4" w:space="0" w:color="auto"/>
              <w:left w:val="single" w:sz="4" w:space="0" w:color="auto"/>
              <w:bottom w:val="single" w:sz="4" w:space="0" w:color="auto"/>
              <w:right w:val="single" w:sz="4" w:space="0" w:color="auto"/>
            </w:tcBorders>
            <w:shd w:val="clear" w:color="auto" w:fill="auto"/>
            <w:noWrap/>
            <w:hideMark/>
          </w:tcPr>
          <w:p w14:paraId="47A51266"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3,1</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22BFA734"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2,6</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2D7E28B2"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0,6</w:t>
            </w:r>
          </w:p>
        </w:tc>
        <w:tc>
          <w:tcPr>
            <w:tcW w:w="1308" w:type="dxa"/>
            <w:tcBorders>
              <w:top w:val="single" w:sz="4" w:space="0" w:color="auto"/>
              <w:left w:val="single" w:sz="4" w:space="0" w:color="auto"/>
              <w:bottom w:val="single" w:sz="4" w:space="0" w:color="auto"/>
              <w:right w:val="single" w:sz="4" w:space="0" w:color="auto"/>
            </w:tcBorders>
            <w:shd w:val="clear" w:color="auto" w:fill="auto"/>
            <w:noWrap/>
            <w:hideMark/>
          </w:tcPr>
          <w:p w14:paraId="5BEBEDFC"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15,7</w:t>
            </w:r>
          </w:p>
        </w:tc>
      </w:tr>
      <w:tr w:rsidR="00C320ED" w:rsidRPr="00133208" w14:paraId="492B0EFD"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C0A89D"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Guvernul Germaniei</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1541E" w14:textId="14D4B346" w:rsidR="005418E9" w:rsidRPr="00342442" w:rsidRDefault="00025605" w:rsidP="004E1933">
            <w:pPr>
              <w:pStyle w:val="a6"/>
              <w:rPr>
                <w:rFonts w:asciiTheme="majorHAnsi" w:hAnsiTheme="majorHAnsi"/>
                <w:sz w:val="20"/>
                <w:lang w:val="ro-RO"/>
              </w:rPr>
            </w:pPr>
            <w:r w:rsidRPr="00342442">
              <w:rPr>
                <w:rFonts w:asciiTheme="majorHAnsi" w:hAnsiTheme="majorHAnsi"/>
                <w:sz w:val="20"/>
                <w:lang w:val="ro-RO"/>
              </w:rPr>
              <w:t>euro</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11D4EEE0"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14:paraId="30DCB11C"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92" w:type="dxa"/>
            <w:tcBorders>
              <w:top w:val="single" w:sz="4" w:space="0" w:color="auto"/>
              <w:left w:val="single" w:sz="4" w:space="0" w:color="auto"/>
              <w:bottom w:val="single" w:sz="4" w:space="0" w:color="auto"/>
              <w:right w:val="single" w:sz="4" w:space="0" w:color="auto"/>
            </w:tcBorders>
            <w:shd w:val="clear" w:color="auto" w:fill="auto"/>
            <w:noWrap/>
            <w:hideMark/>
          </w:tcPr>
          <w:p w14:paraId="1D835FAF"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1,5</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53FA6E40"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1,1</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49647780"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0,4</w:t>
            </w:r>
          </w:p>
        </w:tc>
        <w:tc>
          <w:tcPr>
            <w:tcW w:w="1308" w:type="dxa"/>
            <w:tcBorders>
              <w:top w:val="single" w:sz="4" w:space="0" w:color="auto"/>
              <w:left w:val="single" w:sz="4" w:space="0" w:color="auto"/>
              <w:bottom w:val="single" w:sz="4" w:space="0" w:color="auto"/>
              <w:right w:val="single" w:sz="4" w:space="0" w:color="auto"/>
            </w:tcBorders>
            <w:shd w:val="clear" w:color="auto" w:fill="auto"/>
            <w:noWrap/>
            <w:hideMark/>
          </w:tcPr>
          <w:p w14:paraId="2E4932B5"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9,0</w:t>
            </w:r>
          </w:p>
        </w:tc>
      </w:tr>
      <w:tr w:rsidR="00C320ED" w:rsidRPr="00133208" w14:paraId="11BC4F29"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EAD375"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Guvernul Poloniei</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EF749" w14:textId="2D2150C9" w:rsidR="005418E9" w:rsidRPr="00342442" w:rsidRDefault="00025605" w:rsidP="004E1933">
            <w:pPr>
              <w:pStyle w:val="a6"/>
              <w:rPr>
                <w:rFonts w:asciiTheme="majorHAnsi" w:hAnsiTheme="majorHAnsi"/>
                <w:sz w:val="20"/>
                <w:lang w:val="ro-RO"/>
              </w:rPr>
            </w:pPr>
            <w:r w:rsidRPr="00342442">
              <w:rPr>
                <w:rFonts w:asciiTheme="majorHAnsi" w:hAnsiTheme="majorHAnsi"/>
                <w:sz w:val="20"/>
                <w:lang w:val="ro-RO"/>
              </w:rPr>
              <w:t>euro</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632185CE"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0,3</w:t>
            </w:r>
          </w:p>
        </w:tc>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14:paraId="18172B52"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99,6</w:t>
            </w:r>
          </w:p>
        </w:tc>
        <w:tc>
          <w:tcPr>
            <w:tcW w:w="1192" w:type="dxa"/>
            <w:tcBorders>
              <w:top w:val="single" w:sz="4" w:space="0" w:color="auto"/>
              <w:left w:val="single" w:sz="4" w:space="0" w:color="auto"/>
              <w:bottom w:val="single" w:sz="4" w:space="0" w:color="auto"/>
              <w:right w:val="single" w:sz="4" w:space="0" w:color="auto"/>
            </w:tcBorders>
            <w:shd w:val="clear" w:color="auto" w:fill="auto"/>
            <w:noWrap/>
            <w:hideMark/>
          </w:tcPr>
          <w:p w14:paraId="4BE5A974"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44A2979D"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2C9F3F06"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308" w:type="dxa"/>
            <w:tcBorders>
              <w:top w:val="single" w:sz="4" w:space="0" w:color="auto"/>
              <w:left w:val="single" w:sz="4" w:space="0" w:color="auto"/>
              <w:bottom w:val="single" w:sz="4" w:space="0" w:color="auto"/>
              <w:right w:val="single" w:sz="4" w:space="0" w:color="auto"/>
            </w:tcBorders>
            <w:shd w:val="clear" w:color="auto" w:fill="auto"/>
            <w:noWrap/>
            <w:hideMark/>
          </w:tcPr>
          <w:p w14:paraId="74418C9D"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0,4</w:t>
            </w:r>
          </w:p>
        </w:tc>
      </w:tr>
      <w:tr w:rsidR="00C320ED" w:rsidRPr="00133208" w14:paraId="535B05E2"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358F92"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Guvernul României</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185F2" w14:textId="28314CD2" w:rsidR="005418E9" w:rsidRPr="00342442" w:rsidRDefault="00C320ED" w:rsidP="004E1933">
            <w:pPr>
              <w:pStyle w:val="a6"/>
              <w:rPr>
                <w:rFonts w:asciiTheme="majorHAnsi" w:hAnsiTheme="majorHAnsi"/>
                <w:sz w:val="20"/>
                <w:lang w:val="ro-RO"/>
              </w:rPr>
            </w:pPr>
            <w:proofErr w:type="spellStart"/>
            <w:r w:rsidRPr="00342442">
              <w:rPr>
                <w:rFonts w:asciiTheme="majorHAnsi" w:hAnsiTheme="majorHAnsi"/>
                <w:sz w:val="20"/>
                <w:lang w:val="ro-RO"/>
              </w:rPr>
              <w:t>dol.SUA</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7E0C4757"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14:paraId="3819C633"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92" w:type="dxa"/>
            <w:tcBorders>
              <w:top w:val="single" w:sz="4" w:space="0" w:color="auto"/>
              <w:left w:val="single" w:sz="4" w:space="0" w:color="auto"/>
              <w:bottom w:val="single" w:sz="4" w:space="0" w:color="auto"/>
              <w:right w:val="single" w:sz="4" w:space="0" w:color="auto"/>
            </w:tcBorders>
            <w:shd w:val="clear" w:color="auto" w:fill="auto"/>
            <w:noWrap/>
            <w:hideMark/>
          </w:tcPr>
          <w:p w14:paraId="4FD55417"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1,3</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4607CDB9"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1,3</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346C041B"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308" w:type="dxa"/>
            <w:tcBorders>
              <w:top w:val="single" w:sz="4" w:space="0" w:color="auto"/>
              <w:left w:val="single" w:sz="4" w:space="0" w:color="auto"/>
              <w:bottom w:val="single" w:sz="4" w:space="0" w:color="auto"/>
              <w:right w:val="single" w:sz="4" w:space="0" w:color="auto"/>
            </w:tcBorders>
            <w:shd w:val="clear" w:color="auto" w:fill="auto"/>
            <w:noWrap/>
            <w:hideMark/>
          </w:tcPr>
          <w:p w14:paraId="2EE647BE"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r>
      <w:tr w:rsidR="00C320ED" w:rsidRPr="00133208" w14:paraId="6AB02EC3"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FDA257"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Guvernul României</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9CB61" w14:textId="13D6414C" w:rsidR="005418E9" w:rsidRPr="00342442" w:rsidRDefault="00025605" w:rsidP="004E1933">
            <w:pPr>
              <w:pStyle w:val="a6"/>
              <w:rPr>
                <w:rFonts w:asciiTheme="majorHAnsi" w:hAnsiTheme="majorHAnsi"/>
                <w:sz w:val="20"/>
                <w:lang w:val="ro-RO"/>
              </w:rPr>
            </w:pPr>
            <w:r w:rsidRPr="00342442">
              <w:rPr>
                <w:rFonts w:asciiTheme="majorHAnsi" w:hAnsiTheme="majorHAnsi"/>
                <w:sz w:val="20"/>
                <w:lang w:val="ro-RO"/>
              </w:rPr>
              <w:t>euro</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000C3809"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14:paraId="6FCE650B"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92" w:type="dxa"/>
            <w:tcBorders>
              <w:top w:val="single" w:sz="4" w:space="0" w:color="auto"/>
              <w:left w:val="single" w:sz="4" w:space="0" w:color="auto"/>
              <w:bottom w:val="single" w:sz="4" w:space="0" w:color="auto"/>
              <w:right w:val="single" w:sz="4" w:space="0" w:color="auto"/>
            </w:tcBorders>
            <w:shd w:val="clear" w:color="auto" w:fill="auto"/>
            <w:noWrap/>
            <w:hideMark/>
          </w:tcPr>
          <w:p w14:paraId="5C07448B"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34,5</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1DDD5F31"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32,5</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50999458"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2,0</w:t>
            </w:r>
          </w:p>
        </w:tc>
        <w:tc>
          <w:tcPr>
            <w:tcW w:w="1308" w:type="dxa"/>
            <w:tcBorders>
              <w:top w:val="single" w:sz="4" w:space="0" w:color="auto"/>
              <w:left w:val="single" w:sz="4" w:space="0" w:color="auto"/>
              <w:bottom w:val="single" w:sz="4" w:space="0" w:color="auto"/>
              <w:right w:val="single" w:sz="4" w:space="0" w:color="auto"/>
            </w:tcBorders>
            <w:shd w:val="clear" w:color="auto" w:fill="auto"/>
            <w:noWrap/>
            <w:hideMark/>
          </w:tcPr>
          <w:p w14:paraId="2EDCE0FE"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110,0</w:t>
            </w:r>
          </w:p>
        </w:tc>
      </w:tr>
      <w:tr w:rsidR="00C320ED" w:rsidRPr="00133208" w14:paraId="0BD3132F"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FEDB6A"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Guvernul Rusiei</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42C8D" w14:textId="06EE95FF" w:rsidR="005418E9" w:rsidRPr="00342442" w:rsidRDefault="00C320ED" w:rsidP="004E1933">
            <w:pPr>
              <w:pStyle w:val="a6"/>
              <w:rPr>
                <w:rFonts w:asciiTheme="majorHAnsi" w:hAnsiTheme="majorHAnsi"/>
                <w:sz w:val="20"/>
                <w:lang w:val="ro-RO"/>
              </w:rPr>
            </w:pPr>
            <w:proofErr w:type="spellStart"/>
            <w:r w:rsidRPr="00342442">
              <w:rPr>
                <w:rFonts w:asciiTheme="majorHAnsi" w:hAnsiTheme="majorHAnsi"/>
                <w:sz w:val="20"/>
                <w:lang w:val="ro-RO"/>
              </w:rPr>
              <w:t>dol.SUA</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639DFC28"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14:paraId="3EDF69B1"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92" w:type="dxa"/>
            <w:tcBorders>
              <w:top w:val="single" w:sz="4" w:space="0" w:color="auto"/>
              <w:left w:val="single" w:sz="4" w:space="0" w:color="auto"/>
              <w:bottom w:val="single" w:sz="4" w:space="0" w:color="auto"/>
              <w:right w:val="single" w:sz="4" w:space="0" w:color="auto"/>
            </w:tcBorders>
            <w:shd w:val="clear" w:color="auto" w:fill="auto"/>
            <w:noWrap/>
            <w:hideMark/>
          </w:tcPr>
          <w:p w14:paraId="1BE67901"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6,2</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73BCDCB3"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5,1</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2F6BA7DA"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1,1</w:t>
            </w:r>
          </w:p>
        </w:tc>
        <w:tc>
          <w:tcPr>
            <w:tcW w:w="1308" w:type="dxa"/>
            <w:tcBorders>
              <w:top w:val="single" w:sz="4" w:space="0" w:color="auto"/>
              <w:left w:val="single" w:sz="4" w:space="0" w:color="auto"/>
              <w:bottom w:val="single" w:sz="4" w:space="0" w:color="auto"/>
              <w:right w:val="single" w:sz="4" w:space="0" w:color="auto"/>
            </w:tcBorders>
            <w:shd w:val="clear" w:color="auto" w:fill="auto"/>
            <w:noWrap/>
            <w:hideMark/>
          </w:tcPr>
          <w:p w14:paraId="50133488"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41,2</w:t>
            </w:r>
          </w:p>
        </w:tc>
      </w:tr>
      <w:tr w:rsidR="00C320ED" w:rsidRPr="00133208" w14:paraId="12C7B62D"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93BA61"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Guvernul SUA</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1FFF2" w14:textId="79D65A01" w:rsidR="005418E9" w:rsidRPr="00342442" w:rsidRDefault="00C320ED" w:rsidP="004E1933">
            <w:pPr>
              <w:pStyle w:val="a6"/>
              <w:rPr>
                <w:rFonts w:asciiTheme="majorHAnsi" w:hAnsiTheme="majorHAnsi"/>
                <w:sz w:val="20"/>
                <w:lang w:val="ro-RO"/>
              </w:rPr>
            </w:pPr>
            <w:proofErr w:type="spellStart"/>
            <w:r w:rsidRPr="00342442">
              <w:rPr>
                <w:rFonts w:asciiTheme="majorHAnsi" w:hAnsiTheme="majorHAnsi"/>
                <w:sz w:val="20"/>
                <w:lang w:val="ro-RO"/>
              </w:rPr>
              <w:t>dol.SUA</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23A49F30"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14:paraId="7D7BB7B8"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92" w:type="dxa"/>
            <w:tcBorders>
              <w:top w:val="single" w:sz="4" w:space="0" w:color="auto"/>
              <w:left w:val="single" w:sz="4" w:space="0" w:color="auto"/>
              <w:bottom w:val="single" w:sz="4" w:space="0" w:color="auto"/>
              <w:right w:val="single" w:sz="4" w:space="0" w:color="auto"/>
            </w:tcBorders>
            <w:shd w:val="clear" w:color="auto" w:fill="auto"/>
            <w:noWrap/>
            <w:hideMark/>
          </w:tcPr>
          <w:p w14:paraId="0E441265"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1,9</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64826C9A"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1,5</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7A8D4DD2"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0,4</w:t>
            </w:r>
          </w:p>
        </w:tc>
        <w:tc>
          <w:tcPr>
            <w:tcW w:w="1308" w:type="dxa"/>
            <w:tcBorders>
              <w:top w:val="single" w:sz="4" w:space="0" w:color="auto"/>
              <w:left w:val="single" w:sz="4" w:space="0" w:color="auto"/>
              <w:bottom w:val="single" w:sz="4" w:space="0" w:color="auto"/>
              <w:right w:val="single" w:sz="4" w:space="0" w:color="auto"/>
            </w:tcBorders>
            <w:shd w:val="clear" w:color="auto" w:fill="auto"/>
            <w:noWrap/>
            <w:hideMark/>
          </w:tcPr>
          <w:p w14:paraId="19EF777D"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13,3</w:t>
            </w:r>
          </w:p>
        </w:tc>
      </w:tr>
      <w:tr w:rsidR="00C320ED" w:rsidRPr="00133208" w14:paraId="2B38360E"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A4A5EE"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JICA</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E5D2C" w14:textId="763FA38D" w:rsidR="005418E9" w:rsidRPr="00342442" w:rsidRDefault="00AC1377" w:rsidP="004E1933">
            <w:pPr>
              <w:pStyle w:val="a6"/>
              <w:rPr>
                <w:rFonts w:asciiTheme="majorHAnsi" w:hAnsiTheme="majorHAnsi"/>
                <w:sz w:val="20"/>
                <w:lang w:val="ro-RO"/>
              </w:rPr>
            </w:pPr>
            <w:r w:rsidRPr="00342442">
              <w:rPr>
                <w:rFonts w:asciiTheme="majorHAnsi" w:hAnsiTheme="majorHAnsi"/>
                <w:sz w:val="20"/>
                <w:lang w:val="ro-RO"/>
              </w:rPr>
              <w:t>yeni japonezi</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77C94649"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8,0</w:t>
            </w:r>
          </w:p>
        </w:tc>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14:paraId="7F9A4E89"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92" w:type="dxa"/>
            <w:tcBorders>
              <w:top w:val="single" w:sz="4" w:space="0" w:color="auto"/>
              <w:left w:val="single" w:sz="4" w:space="0" w:color="auto"/>
              <w:bottom w:val="single" w:sz="4" w:space="0" w:color="auto"/>
              <w:right w:val="single" w:sz="4" w:space="0" w:color="auto"/>
            </w:tcBorders>
            <w:shd w:val="clear" w:color="auto" w:fill="auto"/>
            <w:noWrap/>
            <w:hideMark/>
          </w:tcPr>
          <w:p w14:paraId="5DC3CCE3"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8,6</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3B9808B1"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52923B2D"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8,6</w:t>
            </w:r>
          </w:p>
        </w:tc>
        <w:tc>
          <w:tcPr>
            <w:tcW w:w="1308" w:type="dxa"/>
            <w:tcBorders>
              <w:top w:val="single" w:sz="4" w:space="0" w:color="auto"/>
              <w:left w:val="single" w:sz="4" w:space="0" w:color="auto"/>
              <w:bottom w:val="single" w:sz="4" w:space="0" w:color="auto"/>
              <w:right w:val="single" w:sz="4" w:space="0" w:color="auto"/>
            </w:tcBorders>
            <w:shd w:val="clear" w:color="auto" w:fill="auto"/>
            <w:noWrap/>
            <w:hideMark/>
          </w:tcPr>
          <w:p w14:paraId="4EF5151F"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5 698,6</w:t>
            </w:r>
          </w:p>
        </w:tc>
      </w:tr>
      <w:tr w:rsidR="00C320ED" w:rsidRPr="00133208" w14:paraId="64C478AA"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14:paraId="267E913A" w14:textId="77777777" w:rsidR="005418E9" w:rsidRPr="008E6807" w:rsidRDefault="005418E9" w:rsidP="004E1933">
            <w:pPr>
              <w:pStyle w:val="a6"/>
              <w:rPr>
                <w:rFonts w:asciiTheme="majorHAnsi" w:hAnsiTheme="majorHAnsi"/>
                <w:sz w:val="20"/>
                <w:lang w:val="ro-RO"/>
              </w:rPr>
            </w:pPr>
            <w:proofErr w:type="spellStart"/>
            <w:r w:rsidRPr="008E6807">
              <w:rPr>
                <w:rFonts w:asciiTheme="majorHAnsi" w:hAnsiTheme="majorHAnsi"/>
                <w:sz w:val="20"/>
                <w:lang w:val="ro-RO"/>
              </w:rPr>
              <w:t>Turk</w:t>
            </w:r>
            <w:proofErr w:type="spellEnd"/>
            <w:r w:rsidRPr="008E6807">
              <w:rPr>
                <w:rFonts w:asciiTheme="majorHAnsi" w:hAnsiTheme="majorHAnsi"/>
                <w:sz w:val="20"/>
                <w:lang w:val="ro-RO"/>
              </w:rPr>
              <w:t xml:space="preserve"> Eximbank</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0962540" w14:textId="25805F0C" w:rsidR="005418E9" w:rsidRPr="00342442" w:rsidRDefault="00C320ED" w:rsidP="004E1933">
            <w:pPr>
              <w:pStyle w:val="a6"/>
              <w:rPr>
                <w:rFonts w:asciiTheme="majorHAnsi" w:hAnsiTheme="majorHAnsi"/>
                <w:sz w:val="20"/>
                <w:lang w:val="ro-RO"/>
              </w:rPr>
            </w:pPr>
            <w:proofErr w:type="spellStart"/>
            <w:r w:rsidRPr="00342442">
              <w:rPr>
                <w:rFonts w:asciiTheme="majorHAnsi" w:hAnsiTheme="majorHAnsi"/>
                <w:sz w:val="20"/>
                <w:lang w:val="ro-RO"/>
              </w:rPr>
              <w:t>dol.SUA</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noWrap/>
          </w:tcPr>
          <w:p w14:paraId="7B1FF784"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14:paraId="1467790B"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609B58A9"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0,8</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42A5380A"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0,8</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5763C002"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14:paraId="28C9E78B"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0,8</w:t>
            </w:r>
          </w:p>
        </w:tc>
      </w:tr>
      <w:tr w:rsidR="00C320ED" w:rsidRPr="00133208" w14:paraId="48020464"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14:paraId="6056024C" w14:textId="026ED6C0" w:rsidR="005418E9" w:rsidRPr="008E6807" w:rsidRDefault="00C9334B" w:rsidP="004E1933">
            <w:pPr>
              <w:pStyle w:val="a6"/>
              <w:rPr>
                <w:rFonts w:asciiTheme="majorHAnsi" w:hAnsiTheme="majorHAnsi"/>
                <w:sz w:val="20"/>
                <w:lang w:val="ro-RO"/>
              </w:rPr>
            </w:pPr>
            <w:r w:rsidRPr="00C9334B">
              <w:rPr>
                <w:rFonts w:asciiTheme="majorHAnsi" w:hAnsiTheme="majorHAnsi"/>
                <w:sz w:val="20"/>
                <w:lang w:val="ro-RO"/>
              </w:rPr>
              <w:t xml:space="preserve">Banca </w:t>
            </w:r>
            <w:r w:rsidR="005418E9" w:rsidRPr="00C9334B">
              <w:rPr>
                <w:rFonts w:asciiTheme="majorHAnsi" w:hAnsiTheme="majorHAnsi"/>
                <w:sz w:val="20"/>
                <w:lang w:val="ro-RO"/>
              </w:rPr>
              <w:t>UniCredit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EA31711" w14:textId="7A4A99E4" w:rsidR="005418E9" w:rsidRPr="00342442" w:rsidRDefault="00025605" w:rsidP="004E1933">
            <w:pPr>
              <w:pStyle w:val="a6"/>
              <w:rPr>
                <w:rFonts w:asciiTheme="majorHAnsi" w:hAnsiTheme="majorHAnsi"/>
                <w:sz w:val="20"/>
                <w:lang w:val="ro-RO"/>
              </w:rPr>
            </w:pPr>
            <w:r w:rsidRPr="00342442">
              <w:rPr>
                <w:rFonts w:asciiTheme="majorHAnsi" w:hAnsiTheme="majorHAnsi"/>
                <w:sz w:val="20"/>
                <w:lang w:val="ro-RO"/>
              </w:rPr>
              <w:t>euro</w:t>
            </w:r>
          </w:p>
        </w:tc>
        <w:tc>
          <w:tcPr>
            <w:tcW w:w="1021" w:type="dxa"/>
            <w:tcBorders>
              <w:top w:val="single" w:sz="4" w:space="0" w:color="auto"/>
              <w:left w:val="single" w:sz="4" w:space="0" w:color="auto"/>
              <w:bottom w:val="single" w:sz="4" w:space="0" w:color="auto"/>
              <w:right w:val="single" w:sz="4" w:space="0" w:color="auto"/>
            </w:tcBorders>
            <w:shd w:val="clear" w:color="auto" w:fill="auto"/>
            <w:noWrap/>
          </w:tcPr>
          <w:p w14:paraId="31B8D1E0"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14:paraId="1A584B07"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48431E6A"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0,2</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51F29E4D"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63AFC8FC"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0,2</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14:paraId="69BE63A8"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20,8</w:t>
            </w:r>
          </w:p>
        </w:tc>
      </w:tr>
      <w:tr w:rsidR="00C320ED" w:rsidRPr="00133208" w14:paraId="2C5B2FED"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14:paraId="106F3A6F"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BEI</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6218074" w14:textId="0BE99D86" w:rsidR="005418E9" w:rsidRPr="00342442" w:rsidRDefault="00AC1377" w:rsidP="004E1933">
            <w:pPr>
              <w:pStyle w:val="a6"/>
              <w:rPr>
                <w:rFonts w:asciiTheme="majorHAnsi" w:hAnsiTheme="majorHAnsi"/>
                <w:sz w:val="20"/>
                <w:lang w:val="ro-RO"/>
              </w:rPr>
            </w:pPr>
            <w:r w:rsidRPr="00342442">
              <w:rPr>
                <w:rFonts w:asciiTheme="majorHAnsi" w:hAnsiTheme="majorHAnsi"/>
                <w:sz w:val="20"/>
                <w:lang w:val="ro-RO"/>
              </w:rPr>
              <w:t>lira sterlina</w:t>
            </w:r>
          </w:p>
        </w:tc>
        <w:tc>
          <w:tcPr>
            <w:tcW w:w="1021" w:type="dxa"/>
            <w:tcBorders>
              <w:top w:val="single" w:sz="4" w:space="0" w:color="auto"/>
              <w:left w:val="single" w:sz="4" w:space="0" w:color="auto"/>
              <w:bottom w:val="single" w:sz="4" w:space="0" w:color="auto"/>
              <w:right w:val="single" w:sz="4" w:space="0" w:color="auto"/>
            </w:tcBorders>
            <w:shd w:val="clear" w:color="auto" w:fill="auto"/>
            <w:noWrap/>
          </w:tcPr>
          <w:p w14:paraId="1E49AA99"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14:paraId="0B227BDD"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44F67D50"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0,1</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3F325076"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0,1</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08459603"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14:paraId="7098AE14"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0,3</w:t>
            </w:r>
          </w:p>
        </w:tc>
      </w:tr>
      <w:tr w:rsidR="00C320ED" w:rsidRPr="00133208" w14:paraId="57627AE3"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14:paraId="414A57E9"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BEI</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C1B640E" w14:textId="14ED879E" w:rsidR="005418E9" w:rsidRPr="00342442" w:rsidRDefault="00025605" w:rsidP="004E1933">
            <w:pPr>
              <w:pStyle w:val="a6"/>
              <w:rPr>
                <w:rFonts w:asciiTheme="majorHAnsi" w:hAnsiTheme="majorHAnsi"/>
                <w:sz w:val="20"/>
                <w:lang w:val="ro-RO"/>
              </w:rPr>
            </w:pPr>
            <w:r w:rsidRPr="00342442">
              <w:rPr>
                <w:rFonts w:asciiTheme="majorHAnsi" w:hAnsiTheme="majorHAnsi"/>
                <w:sz w:val="20"/>
                <w:lang w:val="ro-RO"/>
              </w:rPr>
              <w:t>euro</w:t>
            </w:r>
          </w:p>
        </w:tc>
        <w:tc>
          <w:tcPr>
            <w:tcW w:w="1021" w:type="dxa"/>
            <w:tcBorders>
              <w:top w:val="single" w:sz="4" w:space="0" w:color="auto"/>
              <w:left w:val="single" w:sz="4" w:space="0" w:color="auto"/>
              <w:bottom w:val="single" w:sz="4" w:space="0" w:color="auto"/>
              <w:right w:val="single" w:sz="4" w:space="0" w:color="auto"/>
            </w:tcBorders>
            <w:shd w:val="clear" w:color="auto" w:fill="auto"/>
            <w:noWrap/>
          </w:tcPr>
          <w:p w14:paraId="21DA41D5"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54,6</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14:paraId="4D1C4C90"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276,6</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51B21564"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9,2</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37EB7871"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6,6</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5F785C18"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2,6</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14:paraId="2771E4C7"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205,1</w:t>
            </w:r>
          </w:p>
        </w:tc>
      </w:tr>
      <w:tr w:rsidR="00C320ED" w:rsidRPr="00133208" w14:paraId="2F3BEC4E"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14:paraId="78113313" w14:textId="421716C2" w:rsidR="005418E9" w:rsidRPr="008E6807" w:rsidRDefault="005463EA" w:rsidP="004E1933">
            <w:pPr>
              <w:pStyle w:val="a6"/>
              <w:rPr>
                <w:rFonts w:asciiTheme="majorHAnsi" w:hAnsiTheme="majorHAnsi"/>
                <w:sz w:val="20"/>
                <w:lang w:val="ro-RO"/>
              </w:rPr>
            </w:pPr>
            <w:r>
              <w:rPr>
                <w:rFonts w:asciiTheme="majorHAnsi" w:hAnsiTheme="majorHAnsi"/>
                <w:sz w:val="20"/>
                <w:lang w:val="ro-RO"/>
              </w:rPr>
              <w:t>BDCE</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6E14D39" w14:textId="62C25507" w:rsidR="005418E9" w:rsidRPr="00342442" w:rsidRDefault="00C320ED" w:rsidP="004E1933">
            <w:pPr>
              <w:pStyle w:val="a6"/>
              <w:rPr>
                <w:rFonts w:asciiTheme="majorHAnsi" w:hAnsiTheme="majorHAnsi"/>
                <w:sz w:val="20"/>
                <w:lang w:val="ro-RO"/>
              </w:rPr>
            </w:pPr>
            <w:r w:rsidRPr="00342442">
              <w:rPr>
                <w:rFonts w:asciiTheme="majorHAnsi" w:hAnsiTheme="majorHAnsi"/>
                <w:sz w:val="20"/>
                <w:lang w:val="ro-RO"/>
              </w:rPr>
              <w:t>euro</w:t>
            </w:r>
          </w:p>
        </w:tc>
        <w:tc>
          <w:tcPr>
            <w:tcW w:w="1021" w:type="dxa"/>
            <w:tcBorders>
              <w:top w:val="single" w:sz="4" w:space="0" w:color="auto"/>
              <w:left w:val="single" w:sz="4" w:space="0" w:color="auto"/>
              <w:bottom w:val="single" w:sz="4" w:space="0" w:color="auto"/>
              <w:right w:val="single" w:sz="4" w:space="0" w:color="auto"/>
            </w:tcBorders>
            <w:shd w:val="clear" w:color="auto" w:fill="auto"/>
            <w:noWrap/>
          </w:tcPr>
          <w:p w14:paraId="4C5C5E25"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1,0</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14:paraId="0E949480"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51,1</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7511AAEB"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1,5</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41D6F0F5"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1,3</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6DE6BCF2"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0,3</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14:paraId="47EB76DE"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28,4</w:t>
            </w:r>
          </w:p>
        </w:tc>
      </w:tr>
      <w:tr w:rsidR="00C320ED" w:rsidRPr="00133208" w14:paraId="26FD4F06"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14:paraId="28E53505"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Comunitatea Europeană</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C2FBBA2" w14:textId="7B661FDB" w:rsidR="005418E9" w:rsidRPr="00342442" w:rsidRDefault="00C320ED" w:rsidP="004E1933">
            <w:pPr>
              <w:pStyle w:val="a6"/>
              <w:rPr>
                <w:rFonts w:asciiTheme="majorHAnsi" w:hAnsiTheme="majorHAnsi"/>
                <w:sz w:val="20"/>
                <w:lang w:val="ro-RO"/>
              </w:rPr>
            </w:pPr>
            <w:r w:rsidRPr="00342442">
              <w:rPr>
                <w:rFonts w:asciiTheme="majorHAnsi" w:hAnsiTheme="majorHAnsi"/>
                <w:sz w:val="20"/>
                <w:lang w:val="ro-RO"/>
              </w:rPr>
              <w:t>euro</w:t>
            </w:r>
          </w:p>
        </w:tc>
        <w:tc>
          <w:tcPr>
            <w:tcW w:w="1021" w:type="dxa"/>
            <w:tcBorders>
              <w:top w:val="single" w:sz="4" w:space="0" w:color="auto"/>
              <w:left w:val="single" w:sz="4" w:space="0" w:color="auto"/>
              <w:bottom w:val="single" w:sz="4" w:space="0" w:color="auto"/>
              <w:right w:val="single" w:sz="4" w:space="0" w:color="auto"/>
            </w:tcBorders>
            <w:shd w:val="clear" w:color="auto" w:fill="auto"/>
            <w:noWrap/>
          </w:tcPr>
          <w:p w14:paraId="4E3E263E"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14:paraId="414E040C"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60,0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68FE0CEF"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75431F16"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2B0C8F45"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14:paraId="1BE122B6"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r>
      <w:tr w:rsidR="00C320ED" w:rsidRPr="00133208" w14:paraId="379AAD0C"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14:paraId="5ECD67C7" w14:textId="0AD0E779"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B</w:t>
            </w:r>
            <w:r w:rsidR="005463EA">
              <w:rPr>
                <w:rFonts w:asciiTheme="majorHAnsi" w:hAnsiTheme="majorHAnsi"/>
                <w:sz w:val="20"/>
                <w:lang w:val="ro-RO"/>
              </w:rPr>
              <w:t>E</w:t>
            </w:r>
            <w:r w:rsidRPr="008E6807">
              <w:rPr>
                <w:rFonts w:asciiTheme="majorHAnsi" w:hAnsiTheme="majorHAnsi"/>
                <w:sz w:val="20"/>
                <w:lang w:val="ro-RO"/>
              </w:rPr>
              <w:t>RD</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9132BE4" w14:textId="7F68DADB" w:rsidR="005418E9" w:rsidRPr="00342442" w:rsidRDefault="00C320ED" w:rsidP="004E1933">
            <w:pPr>
              <w:pStyle w:val="a6"/>
              <w:rPr>
                <w:rFonts w:asciiTheme="majorHAnsi" w:hAnsiTheme="majorHAnsi"/>
                <w:sz w:val="20"/>
                <w:lang w:val="ro-RO"/>
              </w:rPr>
            </w:pPr>
            <w:r w:rsidRPr="00342442">
              <w:rPr>
                <w:rFonts w:asciiTheme="majorHAnsi" w:hAnsiTheme="majorHAnsi"/>
                <w:sz w:val="20"/>
                <w:lang w:val="ro-RO"/>
              </w:rPr>
              <w:t>euro</w:t>
            </w:r>
          </w:p>
        </w:tc>
        <w:tc>
          <w:tcPr>
            <w:tcW w:w="1021" w:type="dxa"/>
            <w:tcBorders>
              <w:top w:val="single" w:sz="4" w:space="0" w:color="auto"/>
              <w:left w:val="single" w:sz="4" w:space="0" w:color="auto"/>
              <w:bottom w:val="single" w:sz="4" w:space="0" w:color="auto"/>
              <w:right w:val="single" w:sz="4" w:space="0" w:color="auto"/>
            </w:tcBorders>
            <w:shd w:val="clear" w:color="auto" w:fill="auto"/>
            <w:noWrap/>
          </w:tcPr>
          <w:p w14:paraId="3F878133"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13,1</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14:paraId="4C746448"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306,3</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2838076F"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8,4</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0881E8AC"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6,9</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7AC7BC90"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1,6</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14:paraId="5B99D559"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60,2</w:t>
            </w:r>
          </w:p>
        </w:tc>
      </w:tr>
      <w:tr w:rsidR="00C320ED" w:rsidRPr="00133208" w14:paraId="20127804"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14:paraId="43ED668C" w14:textId="0B4CBC04"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B</w:t>
            </w:r>
            <w:r w:rsidR="005463EA">
              <w:rPr>
                <w:rFonts w:asciiTheme="majorHAnsi" w:hAnsiTheme="majorHAnsi"/>
                <w:sz w:val="20"/>
                <w:lang w:val="ro-RO"/>
              </w:rPr>
              <w:t>E</w:t>
            </w:r>
            <w:r w:rsidRPr="008E6807">
              <w:rPr>
                <w:rFonts w:asciiTheme="majorHAnsi" w:hAnsiTheme="majorHAnsi"/>
                <w:sz w:val="20"/>
                <w:lang w:val="ro-RO"/>
              </w:rPr>
              <w:t>RD</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583E3C0" w14:textId="7863AF81" w:rsidR="005418E9" w:rsidRPr="00342442" w:rsidRDefault="00C320ED" w:rsidP="004E1933">
            <w:pPr>
              <w:pStyle w:val="a6"/>
              <w:rPr>
                <w:rFonts w:asciiTheme="majorHAnsi" w:hAnsiTheme="majorHAnsi"/>
                <w:sz w:val="20"/>
                <w:lang w:val="ro-RO"/>
              </w:rPr>
            </w:pPr>
            <w:proofErr w:type="spellStart"/>
            <w:r w:rsidRPr="00342442">
              <w:rPr>
                <w:rFonts w:asciiTheme="majorHAnsi" w:hAnsiTheme="majorHAnsi"/>
                <w:sz w:val="20"/>
                <w:lang w:val="ro-RO"/>
              </w:rPr>
              <w:t>dol.SUA</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noWrap/>
          </w:tcPr>
          <w:p w14:paraId="2FC4FCE4"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4,5</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14:paraId="33267CE3"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14,1</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6691E3EF"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0,8</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05E22F01"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0,6</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5131F169"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0,2</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14:paraId="04071DE4"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5,1</w:t>
            </w:r>
          </w:p>
        </w:tc>
      </w:tr>
      <w:tr w:rsidR="00C320ED" w:rsidRPr="00133208" w14:paraId="49C233C7"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14:paraId="7F92F02A" w14:textId="19D59BA1"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B</w:t>
            </w:r>
            <w:r w:rsidR="005463EA">
              <w:rPr>
                <w:rFonts w:asciiTheme="majorHAnsi" w:hAnsiTheme="majorHAnsi"/>
                <w:sz w:val="20"/>
                <w:lang w:val="ro-RO"/>
              </w:rPr>
              <w:t>I</w:t>
            </w:r>
            <w:r w:rsidRPr="008E6807">
              <w:rPr>
                <w:rFonts w:asciiTheme="majorHAnsi" w:hAnsiTheme="majorHAnsi"/>
                <w:sz w:val="20"/>
                <w:lang w:val="ro-RO"/>
              </w:rPr>
              <w:t>RD</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3147CBC" w14:textId="78A904C9" w:rsidR="005418E9" w:rsidRPr="00342442" w:rsidRDefault="00C320ED" w:rsidP="004E1933">
            <w:pPr>
              <w:pStyle w:val="a6"/>
              <w:rPr>
                <w:rFonts w:asciiTheme="majorHAnsi" w:hAnsiTheme="majorHAnsi"/>
                <w:sz w:val="20"/>
                <w:lang w:val="ro-RO"/>
              </w:rPr>
            </w:pPr>
            <w:proofErr w:type="spellStart"/>
            <w:r w:rsidRPr="00342442">
              <w:rPr>
                <w:rFonts w:asciiTheme="majorHAnsi" w:hAnsiTheme="majorHAnsi"/>
                <w:sz w:val="20"/>
                <w:lang w:val="ro-RO"/>
              </w:rPr>
              <w:t>dol.SUA</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noWrap/>
          </w:tcPr>
          <w:p w14:paraId="04020D58"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7,3</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14:paraId="5DC6A2A9"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34,6</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285B285B"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2,7</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4C27E14E"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30FB5AA8"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2,7</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14:paraId="35D1B965"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91,4</w:t>
            </w:r>
          </w:p>
        </w:tc>
      </w:tr>
      <w:tr w:rsidR="00C320ED" w:rsidRPr="00133208" w14:paraId="3039A43C"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14:paraId="3A493C33" w14:textId="32C02F7A" w:rsidR="005418E9" w:rsidRPr="008E6807" w:rsidRDefault="005463EA" w:rsidP="004E1933">
            <w:pPr>
              <w:pStyle w:val="a6"/>
              <w:rPr>
                <w:rFonts w:asciiTheme="majorHAnsi" w:hAnsiTheme="majorHAnsi"/>
                <w:sz w:val="20"/>
                <w:lang w:val="ro-RO"/>
              </w:rPr>
            </w:pPr>
            <w:r>
              <w:rPr>
                <w:rFonts w:asciiTheme="majorHAnsi" w:hAnsiTheme="majorHAnsi"/>
                <w:sz w:val="20"/>
                <w:lang w:val="ro-RO"/>
              </w:rPr>
              <w:t>AID</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6974160" w14:textId="2055EF21" w:rsidR="005418E9" w:rsidRPr="00342442" w:rsidRDefault="00AC1377" w:rsidP="004E1933">
            <w:pPr>
              <w:pStyle w:val="a6"/>
              <w:rPr>
                <w:rFonts w:asciiTheme="majorHAnsi" w:hAnsiTheme="majorHAnsi"/>
                <w:sz w:val="20"/>
                <w:lang w:val="ro-RO"/>
              </w:rPr>
            </w:pPr>
            <w:r w:rsidRPr="00342442">
              <w:rPr>
                <w:rFonts w:asciiTheme="majorHAnsi" w:hAnsiTheme="majorHAnsi"/>
                <w:sz w:val="20"/>
                <w:lang w:val="ro-RO"/>
              </w:rPr>
              <w:t>DST</w:t>
            </w:r>
          </w:p>
        </w:tc>
        <w:tc>
          <w:tcPr>
            <w:tcW w:w="1021" w:type="dxa"/>
            <w:tcBorders>
              <w:top w:val="single" w:sz="4" w:space="0" w:color="auto"/>
              <w:left w:val="single" w:sz="4" w:space="0" w:color="auto"/>
              <w:bottom w:val="single" w:sz="4" w:space="0" w:color="auto"/>
              <w:right w:val="single" w:sz="4" w:space="0" w:color="auto"/>
            </w:tcBorders>
            <w:shd w:val="clear" w:color="auto" w:fill="auto"/>
            <w:noWrap/>
          </w:tcPr>
          <w:p w14:paraId="13B3D958"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5,0</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14:paraId="75A5B3CC"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105,9</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70EF871A"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13,7</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301EE329"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9,0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2BFD7955"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4,6</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14:paraId="362478C3"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426,0</w:t>
            </w:r>
          </w:p>
        </w:tc>
      </w:tr>
      <w:tr w:rsidR="00C320ED" w:rsidRPr="00133208" w14:paraId="192670F9"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14:paraId="2E5E7202" w14:textId="11EA39CF" w:rsidR="005418E9" w:rsidRPr="008E6807" w:rsidRDefault="005463EA" w:rsidP="004E1933">
            <w:pPr>
              <w:pStyle w:val="a6"/>
              <w:rPr>
                <w:rFonts w:asciiTheme="majorHAnsi" w:hAnsiTheme="majorHAnsi"/>
                <w:sz w:val="20"/>
                <w:lang w:val="ro-RO"/>
              </w:rPr>
            </w:pPr>
            <w:r>
              <w:rPr>
                <w:rFonts w:asciiTheme="majorHAnsi" w:hAnsiTheme="majorHAnsi"/>
                <w:sz w:val="20"/>
                <w:lang w:val="ro-RO"/>
              </w:rPr>
              <w:t>AID</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84872E4" w14:textId="3D342647" w:rsidR="005418E9" w:rsidRPr="00342442" w:rsidRDefault="00C320ED" w:rsidP="004E1933">
            <w:pPr>
              <w:pStyle w:val="a6"/>
              <w:rPr>
                <w:rFonts w:asciiTheme="majorHAnsi" w:hAnsiTheme="majorHAnsi"/>
                <w:sz w:val="20"/>
                <w:lang w:val="ro-RO"/>
              </w:rPr>
            </w:pPr>
            <w:r w:rsidRPr="00342442">
              <w:rPr>
                <w:rFonts w:asciiTheme="majorHAnsi" w:hAnsiTheme="majorHAnsi"/>
                <w:sz w:val="20"/>
                <w:lang w:val="ro-RO"/>
              </w:rPr>
              <w:t>euro</w:t>
            </w:r>
          </w:p>
        </w:tc>
        <w:tc>
          <w:tcPr>
            <w:tcW w:w="1021" w:type="dxa"/>
            <w:tcBorders>
              <w:top w:val="single" w:sz="4" w:space="0" w:color="auto"/>
              <w:left w:val="single" w:sz="4" w:space="0" w:color="auto"/>
              <w:bottom w:val="single" w:sz="4" w:space="0" w:color="auto"/>
              <w:right w:val="single" w:sz="4" w:space="0" w:color="auto"/>
            </w:tcBorders>
            <w:shd w:val="clear" w:color="auto" w:fill="auto"/>
            <w:noWrap/>
          </w:tcPr>
          <w:p w14:paraId="0E6C8F90"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24,9</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14:paraId="75CC4F2A"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3A0605E1"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141C59E3"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1EB12871"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14:paraId="0D693BC3"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24,9</w:t>
            </w:r>
          </w:p>
        </w:tc>
      </w:tr>
      <w:tr w:rsidR="00C320ED" w:rsidRPr="00133208" w14:paraId="1F9758EE"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14:paraId="72C8BEB8" w14:textId="7B9C3448" w:rsidR="005418E9" w:rsidRPr="00025605" w:rsidRDefault="005418E9" w:rsidP="004E1933">
            <w:pPr>
              <w:pStyle w:val="a6"/>
              <w:rPr>
                <w:rFonts w:asciiTheme="majorHAnsi" w:hAnsiTheme="majorHAnsi"/>
                <w:sz w:val="20"/>
                <w:lang w:val="ro-RO"/>
              </w:rPr>
            </w:pPr>
            <w:r w:rsidRPr="00025605">
              <w:rPr>
                <w:rFonts w:asciiTheme="majorHAnsi" w:hAnsiTheme="majorHAnsi"/>
                <w:sz w:val="20"/>
                <w:lang w:val="ro-RO"/>
              </w:rPr>
              <w:t>F</w:t>
            </w:r>
            <w:r w:rsidR="005463EA" w:rsidRPr="00025605">
              <w:rPr>
                <w:rFonts w:asciiTheme="majorHAnsi" w:hAnsiTheme="majorHAnsi"/>
                <w:sz w:val="20"/>
                <w:lang w:val="ro-RO"/>
              </w:rPr>
              <w:t>I</w:t>
            </w:r>
            <w:r w:rsidRPr="00025605">
              <w:rPr>
                <w:rFonts w:asciiTheme="majorHAnsi" w:hAnsiTheme="majorHAnsi"/>
                <w:sz w:val="20"/>
                <w:lang w:val="ro-RO"/>
              </w:rPr>
              <w:t>D</w:t>
            </w:r>
            <w:r w:rsidR="005463EA" w:rsidRPr="00025605">
              <w:rPr>
                <w:rFonts w:asciiTheme="majorHAnsi" w:hAnsiTheme="majorHAnsi"/>
                <w:sz w:val="20"/>
                <w:lang w:val="ro-RO"/>
              </w:rPr>
              <w:t>A</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A4996E0" w14:textId="27A98ACB" w:rsidR="005418E9" w:rsidRPr="00342442" w:rsidRDefault="00AC1377" w:rsidP="004E1933">
            <w:pPr>
              <w:pStyle w:val="a6"/>
              <w:rPr>
                <w:rFonts w:asciiTheme="majorHAnsi" w:hAnsiTheme="majorHAnsi"/>
                <w:sz w:val="20"/>
                <w:lang w:val="ro-RO"/>
              </w:rPr>
            </w:pPr>
            <w:r w:rsidRPr="00342442">
              <w:rPr>
                <w:rFonts w:asciiTheme="majorHAnsi" w:hAnsiTheme="majorHAnsi"/>
                <w:sz w:val="20"/>
                <w:lang w:val="ro-RO"/>
              </w:rPr>
              <w:t>DST</w:t>
            </w:r>
          </w:p>
        </w:tc>
        <w:tc>
          <w:tcPr>
            <w:tcW w:w="1021" w:type="dxa"/>
            <w:tcBorders>
              <w:top w:val="single" w:sz="4" w:space="0" w:color="auto"/>
              <w:left w:val="single" w:sz="4" w:space="0" w:color="auto"/>
              <w:bottom w:val="single" w:sz="4" w:space="0" w:color="auto"/>
              <w:right w:val="single" w:sz="4" w:space="0" w:color="auto"/>
            </w:tcBorders>
            <w:shd w:val="clear" w:color="auto" w:fill="auto"/>
            <w:noWrap/>
          </w:tcPr>
          <w:p w14:paraId="142DD6EF"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1,2</w:t>
            </w:r>
          </w:p>
        </w:tc>
        <w:tc>
          <w:tcPr>
            <w:tcW w:w="1300" w:type="dxa"/>
            <w:tcBorders>
              <w:top w:val="single" w:sz="4" w:space="0" w:color="auto"/>
              <w:left w:val="single" w:sz="4" w:space="0" w:color="auto"/>
              <w:bottom w:val="single" w:sz="4" w:space="0" w:color="auto"/>
              <w:right w:val="single" w:sz="4" w:space="0" w:color="auto"/>
            </w:tcBorders>
            <w:shd w:val="clear" w:color="auto" w:fill="auto"/>
            <w:noWrap/>
          </w:tcPr>
          <w:p w14:paraId="3D9B5435"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4,3</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0AFA56BD"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1,3</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40DE5033"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2BB78F91"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0,3</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14:paraId="3C0B7BC0"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46,9</w:t>
            </w:r>
          </w:p>
        </w:tc>
      </w:tr>
      <w:tr w:rsidR="00C320ED" w:rsidRPr="00133208" w14:paraId="3A550E50"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B76AF" w14:textId="328EB9F9" w:rsidR="005418E9" w:rsidRPr="00025605" w:rsidRDefault="005463EA" w:rsidP="004E1933">
            <w:pPr>
              <w:pStyle w:val="a6"/>
              <w:rPr>
                <w:rFonts w:asciiTheme="majorHAnsi" w:hAnsiTheme="majorHAnsi"/>
                <w:sz w:val="20"/>
                <w:lang w:val="ro-RO"/>
              </w:rPr>
            </w:pPr>
            <w:r w:rsidRPr="00025605">
              <w:rPr>
                <w:rFonts w:asciiTheme="majorHAnsi" w:hAnsiTheme="majorHAnsi"/>
                <w:sz w:val="20"/>
                <w:lang w:val="ro-RO"/>
              </w:rPr>
              <w:t>FIDA</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4D158" w14:textId="60570CF1" w:rsidR="005418E9" w:rsidRPr="00342442" w:rsidRDefault="00AC1377" w:rsidP="004E1933">
            <w:pPr>
              <w:pStyle w:val="a6"/>
              <w:rPr>
                <w:rFonts w:asciiTheme="majorHAnsi" w:hAnsiTheme="majorHAnsi"/>
                <w:sz w:val="20"/>
                <w:lang w:val="ro-RO"/>
              </w:rPr>
            </w:pPr>
            <w:proofErr w:type="spellStart"/>
            <w:r w:rsidRPr="00342442">
              <w:rPr>
                <w:rFonts w:asciiTheme="majorHAnsi" w:hAnsiTheme="majorHAnsi"/>
                <w:sz w:val="20"/>
                <w:lang w:val="ro-RO"/>
              </w:rPr>
              <w:t>dol.SUA</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4B1FF888"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1,5</w:t>
            </w:r>
          </w:p>
        </w:tc>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14:paraId="248E51E6"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16,7</w:t>
            </w:r>
          </w:p>
        </w:tc>
        <w:tc>
          <w:tcPr>
            <w:tcW w:w="1192" w:type="dxa"/>
            <w:tcBorders>
              <w:top w:val="single" w:sz="4" w:space="0" w:color="auto"/>
              <w:left w:val="single" w:sz="4" w:space="0" w:color="auto"/>
              <w:bottom w:val="single" w:sz="4" w:space="0" w:color="auto"/>
              <w:right w:val="single" w:sz="4" w:space="0" w:color="auto"/>
            </w:tcBorders>
            <w:shd w:val="clear" w:color="auto" w:fill="auto"/>
            <w:noWrap/>
            <w:hideMark/>
          </w:tcPr>
          <w:p w14:paraId="02E8ABE4"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3316FA4F"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138D7030"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0,0</w:t>
            </w:r>
          </w:p>
        </w:tc>
        <w:tc>
          <w:tcPr>
            <w:tcW w:w="1308" w:type="dxa"/>
            <w:tcBorders>
              <w:top w:val="single" w:sz="4" w:space="0" w:color="auto"/>
              <w:left w:val="single" w:sz="4" w:space="0" w:color="auto"/>
              <w:bottom w:val="single" w:sz="4" w:space="0" w:color="auto"/>
              <w:right w:val="single" w:sz="4" w:space="0" w:color="auto"/>
            </w:tcBorders>
            <w:shd w:val="clear" w:color="auto" w:fill="auto"/>
            <w:noWrap/>
            <w:hideMark/>
          </w:tcPr>
          <w:p w14:paraId="3415907E"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1,5</w:t>
            </w:r>
          </w:p>
        </w:tc>
      </w:tr>
      <w:tr w:rsidR="00C320ED" w:rsidRPr="00133208" w14:paraId="5909997A" w14:textId="77777777" w:rsidTr="00C320ED">
        <w:trPr>
          <w:trHeight w:val="265"/>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12D30D" w14:textId="28815D33" w:rsidR="005418E9" w:rsidRPr="008E6807" w:rsidRDefault="005463EA" w:rsidP="004E1933">
            <w:pPr>
              <w:pStyle w:val="a6"/>
              <w:rPr>
                <w:rFonts w:asciiTheme="majorHAnsi" w:hAnsiTheme="majorHAnsi"/>
                <w:sz w:val="20"/>
                <w:lang w:val="ro-RO"/>
              </w:rPr>
            </w:pPr>
            <w:r>
              <w:rPr>
                <w:rFonts w:asciiTheme="majorHAnsi" w:hAnsiTheme="majorHAnsi"/>
                <w:sz w:val="20"/>
                <w:lang w:val="ro-RO"/>
              </w:rPr>
              <w:t>FMI</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77835" w14:textId="1B233900" w:rsidR="005418E9" w:rsidRPr="00342442" w:rsidRDefault="00AC1377" w:rsidP="004E1933">
            <w:pPr>
              <w:pStyle w:val="a6"/>
              <w:rPr>
                <w:rFonts w:asciiTheme="majorHAnsi" w:hAnsiTheme="majorHAnsi"/>
                <w:sz w:val="20"/>
                <w:lang w:val="ro-RO"/>
              </w:rPr>
            </w:pPr>
            <w:r w:rsidRPr="00342442">
              <w:rPr>
                <w:rFonts w:asciiTheme="majorHAnsi" w:hAnsiTheme="majorHAnsi"/>
                <w:sz w:val="20"/>
                <w:lang w:val="ro-RO"/>
              </w:rPr>
              <w:t>DST</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500B650A"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9,5</w:t>
            </w:r>
          </w:p>
        </w:tc>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14:paraId="60301E07"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28,5</w:t>
            </w:r>
          </w:p>
        </w:tc>
        <w:tc>
          <w:tcPr>
            <w:tcW w:w="1192" w:type="dxa"/>
            <w:tcBorders>
              <w:top w:val="single" w:sz="4" w:space="0" w:color="auto"/>
              <w:left w:val="single" w:sz="4" w:space="0" w:color="auto"/>
              <w:bottom w:val="single" w:sz="4" w:space="0" w:color="auto"/>
              <w:right w:val="single" w:sz="4" w:space="0" w:color="auto"/>
            </w:tcBorders>
            <w:shd w:val="clear" w:color="auto" w:fill="auto"/>
            <w:noWrap/>
            <w:hideMark/>
          </w:tcPr>
          <w:p w14:paraId="30FCD3E0"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20,4</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6E591057"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19,0</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69D4BCE2"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1,4</w:t>
            </w:r>
          </w:p>
        </w:tc>
        <w:tc>
          <w:tcPr>
            <w:tcW w:w="1308" w:type="dxa"/>
            <w:tcBorders>
              <w:top w:val="single" w:sz="4" w:space="0" w:color="auto"/>
              <w:left w:val="single" w:sz="4" w:space="0" w:color="auto"/>
              <w:bottom w:val="single" w:sz="4" w:space="0" w:color="auto"/>
              <w:right w:val="single" w:sz="4" w:space="0" w:color="auto"/>
            </w:tcBorders>
            <w:shd w:val="clear" w:color="auto" w:fill="auto"/>
            <w:noWrap/>
            <w:hideMark/>
          </w:tcPr>
          <w:p w14:paraId="215F1DDE" w14:textId="77777777" w:rsidR="005418E9" w:rsidRPr="008E6807" w:rsidRDefault="005418E9" w:rsidP="004E1933">
            <w:pPr>
              <w:pStyle w:val="a6"/>
              <w:rPr>
                <w:rFonts w:asciiTheme="majorHAnsi" w:hAnsiTheme="majorHAnsi"/>
                <w:sz w:val="20"/>
                <w:lang w:val="ro-RO"/>
              </w:rPr>
            </w:pPr>
            <w:r w:rsidRPr="008E6807">
              <w:rPr>
                <w:rFonts w:asciiTheme="majorHAnsi" w:hAnsiTheme="majorHAnsi"/>
                <w:sz w:val="20"/>
                <w:lang w:val="ro-RO"/>
              </w:rPr>
              <w:t>199,2</w:t>
            </w:r>
          </w:p>
        </w:tc>
      </w:tr>
    </w:tbl>
    <w:p w14:paraId="72230D43" w14:textId="2037214A" w:rsidR="002731CC" w:rsidRDefault="005418E9" w:rsidP="0000150E">
      <w:pPr>
        <w:jc w:val="both"/>
        <w:rPr>
          <w:rFonts w:asciiTheme="majorHAnsi" w:hAnsiTheme="majorHAnsi" w:cstheme="majorHAnsi"/>
          <w:sz w:val="20"/>
          <w:szCs w:val="20"/>
          <w:lang w:val="ro-RO"/>
        </w:rPr>
      </w:pPr>
      <w:r w:rsidRPr="009E6B0C">
        <w:rPr>
          <w:rFonts w:asciiTheme="majorHAnsi" w:hAnsiTheme="majorHAnsi" w:cstheme="majorHAnsi"/>
          <w:b/>
          <w:i/>
          <w:sz w:val="20"/>
          <w:szCs w:val="20"/>
          <w:lang w:val="ro-RO"/>
        </w:rPr>
        <w:t>Sursă:</w:t>
      </w:r>
      <w:r w:rsidRPr="009E6B0C">
        <w:rPr>
          <w:rFonts w:asciiTheme="majorHAnsi" w:hAnsiTheme="majorHAnsi" w:cstheme="majorHAnsi"/>
          <w:b/>
          <w:sz w:val="20"/>
          <w:szCs w:val="20"/>
          <w:lang w:val="ro-RO"/>
        </w:rPr>
        <w:t xml:space="preserve"> </w:t>
      </w:r>
      <w:r w:rsidR="009D42AC">
        <w:rPr>
          <w:rFonts w:asciiTheme="majorHAnsi" w:hAnsiTheme="majorHAnsi" w:cstheme="majorHAnsi"/>
          <w:sz w:val="20"/>
          <w:szCs w:val="20"/>
          <w:lang w:val="ro-RO"/>
        </w:rPr>
        <w:t>Informații privind nivelul de debursare pe creditori.</w:t>
      </w:r>
    </w:p>
    <w:p w14:paraId="28354F7C" w14:textId="6E92D842" w:rsidR="00A159BA" w:rsidRPr="0000150E" w:rsidRDefault="00A159BA" w:rsidP="002731CC">
      <w:pPr>
        <w:rPr>
          <w:rFonts w:asciiTheme="majorHAnsi" w:hAnsiTheme="majorHAnsi" w:cstheme="majorHAnsi"/>
          <w:sz w:val="20"/>
          <w:szCs w:val="20"/>
          <w:lang w:val="ro-RO"/>
        </w:rPr>
      </w:pPr>
    </w:p>
    <w:p w14:paraId="138EF03A" w14:textId="0D3F4EF3" w:rsidR="00C617B2" w:rsidRPr="008E6807" w:rsidRDefault="005418E9" w:rsidP="004501BA">
      <w:pPr>
        <w:spacing w:after="0" w:line="276" w:lineRule="auto"/>
        <w:jc w:val="both"/>
        <w:rPr>
          <w:rFonts w:asciiTheme="majorHAnsi" w:hAnsiTheme="majorHAnsi"/>
          <w:b/>
          <w:sz w:val="24"/>
          <w:lang w:val="ro-RO"/>
        </w:rPr>
      </w:pPr>
      <w:r>
        <w:rPr>
          <w:rFonts w:asciiTheme="majorHAnsi" w:hAnsiTheme="majorHAnsi" w:cstheme="majorHAnsi"/>
          <w:b/>
          <w:sz w:val="24"/>
          <w:szCs w:val="24"/>
          <w:lang w:val="ro-RO"/>
        </w:rPr>
        <w:t>Tabelul nr.8</w:t>
      </w:r>
      <w:r w:rsidR="00A121B9" w:rsidRPr="00A121B9">
        <w:rPr>
          <w:rFonts w:asciiTheme="majorHAnsi" w:hAnsiTheme="majorHAnsi" w:cstheme="majorHAnsi"/>
          <w:b/>
          <w:sz w:val="24"/>
          <w:szCs w:val="24"/>
          <w:lang w:val="ro-RO"/>
        </w:rPr>
        <w:t xml:space="preserve">. </w:t>
      </w:r>
      <w:r w:rsidR="00C617B2" w:rsidRPr="00A121B9">
        <w:rPr>
          <w:rFonts w:asciiTheme="majorHAnsi" w:hAnsiTheme="majorHAnsi" w:cstheme="majorHAnsi"/>
          <w:b/>
          <w:sz w:val="24"/>
          <w:szCs w:val="24"/>
          <w:lang w:val="ro-RO"/>
        </w:rPr>
        <w:t>Informa</w:t>
      </w:r>
      <w:r w:rsidR="00C617B2" w:rsidRPr="008E6807">
        <w:rPr>
          <w:rFonts w:asciiTheme="majorHAnsi" w:hAnsiTheme="majorHAnsi"/>
          <w:b/>
          <w:sz w:val="24"/>
          <w:lang w:val="ro-RO"/>
        </w:rPr>
        <w:t>ți</w:t>
      </w:r>
      <w:r w:rsidR="006D7BBF">
        <w:rPr>
          <w:rFonts w:asciiTheme="majorHAnsi" w:hAnsiTheme="majorHAnsi"/>
          <w:b/>
          <w:sz w:val="24"/>
          <w:lang w:val="ro-RO"/>
        </w:rPr>
        <w:t>a</w:t>
      </w:r>
      <w:r w:rsidR="00C617B2" w:rsidRPr="008E6807">
        <w:rPr>
          <w:rFonts w:asciiTheme="majorHAnsi" w:hAnsiTheme="majorHAnsi"/>
          <w:b/>
          <w:sz w:val="24"/>
          <w:lang w:val="ro-RO"/>
        </w:rPr>
        <w:t xml:space="preserve"> privind împrumuturile cu nivelul de debursare </w:t>
      </w:r>
      <w:r w:rsidR="00A121B9" w:rsidRPr="008E6807">
        <w:rPr>
          <w:rFonts w:asciiTheme="majorHAnsi" w:hAnsiTheme="majorHAnsi"/>
          <w:b/>
          <w:sz w:val="24"/>
          <w:lang w:val="ro-RO"/>
        </w:rPr>
        <w:t>până</w:t>
      </w:r>
      <w:r w:rsidR="00C617B2" w:rsidRPr="008E6807">
        <w:rPr>
          <w:rFonts w:asciiTheme="majorHAnsi" w:hAnsiTheme="majorHAnsi"/>
          <w:b/>
          <w:sz w:val="24"/>
          <w:lang w:val="ro-RO"/>
        </w:rPr>
        <w:t xml:space="preserve"> la 75,0% din suma împrumutată</w:t>
      </w:r>
      <w:r w:rsidR="004501BA" w:rsidRPr="008E6807">
        <w:rPr>
          <w:rFonts w:asciiTheme="majorHAnsi" w:hAnsiTheme="majorHAnsi"/>
          <w:b/>
          <w:sz w:val="24"/>
          <w:lang w:val="ro-RO"/>
        </w:rPr>
        <w:t>, mil. u.m.</w:t>
      </w:r>
    </w:p>
    <w:p w14:paraId="6A9D7D22" w14:textId="77777777" w:rsidR="00C6316B" w:rsidRPr="009561CB" w:rsidRDefault="00C6316B" w:rsidP="004501BA">
      <w:pPr>
        <w:spacing w:after="0" w:line="276" w:lineRule="auto"/>
        <w:jc w:val="both"/>
        <w:rPr>
          <w:rFonts w:asciiTheme="majorHAnsi" w:hAnsiTheme="majorHAnsi" w:cstheme="majorHAnsi"/>
          <w:b/>
          <w:sz w:val="24"/>
          <w:szCs w:val="24"/>
          <w:lang w:val="ro-RO"/>
        </w:rPr>
      </w:pPr>
    </w:p>
    <w:tbl>
      <w:tblPr>
        <w:tblStyle w:val="af9"/>
        <w:tblW w:w="10527" w:type="dxa"/>
        <w:jc w:val="center"/>
        <w:tblLayout w:type="fixed"/>
        <w:tblLook w:val="04A0" w:firstRow="1" w:lastRow="0" w:firstColumn="1" w:lastColumn="0" w:noHBand="0" w:noVBand="1"/>
      </w:tblPr>
      <w:tblGrid>
        <w:gridCol w:w="1253"/>
        <w:gridCol w:w="1273"/>
        <w:gridCol w:w="567"/>
        <w:gridCol w:w="961"/>
        <w:gridCol w:w="947"/>
        <w:gridCol w:w="991"/>
        <w:gridCol w:w="878"/>
        <w:gridCol w:w="831"/>
        <w:gridCol w:w="895"/>
        <w:gridCol w:w="1088"/>
        <w:gridCol w:w="843"/>
      </w:tblGrid>
      <w:tr w:rsidR="00C617B2" w:rsidRPr="00C617B2" w14:paraId="3CAC9AA8" w14:textId="77777777" w:rsidTr="00C617B2">
        <w:trPr>
          <w:jc w:val="center"/>
        </w:trPr>
        <w:tc>
          <w:tcPr>
            <w:tcW w:w="1253" w:type="dxa"/>
            <w:shd w:val="clear" w:color="auto" w:fill="F2F2F2" w:themeFill="background1" w:themeFillShade="F2"/>
            <w:vAlign w:val="center"/>
          </w:tcPr>
          <w:p w14:paraId="6DA29691" w14:textId="77777777" w:rsidR="00C617B2" w:rsidRPr="004F6200" w:rsidRDefault="00C617B2" w:rsidP="0080644A">
            <w:pPr>
              <w:jc w:val="center"/>
              <w:rPr>
                <w:rFonts w:asciiTheme="majorHAnsi" w:hAnsiTheme="majorHAnsi"/>
                <w:b/>
                <w:sz w:val="16"/>
                <w:lang w:val="ro-RO"/>
              </w:rPr>
            </w:pPr>
            <w:r w:rsidRPr="004F6200">
              <w:rPr>
                <w:rFonts w:asciiTheme="majorHAnsi" w:hAnsiTheme="majorHAnsi"/>
                <w:b/>
                <w:sz w:val="16"/>
                <w:szCs w:val="22"/>
                <w:lang w:val="ro-RO"/>
              </w:rPr>
              <w:t xml:space="preserve">Codul </w:t>
            </w:r>
          </w:p>
          <w:p w14:paraId="11772D0B" w14:textId="77777777" w:rsidR="00C617B2" w:rsidRPr="004F6200" w:rsidRDefault="00C617B2" w:rsidP="0080644A">
            <w:pPr>
              <w:jc w:val="center"/>
              <w:rPr>
                <w:rFonts w:asciiTheme="majorHAnsi" w:hAnsiTheme="majorHAnsi"/>
                <w:b/>
                <w:sz w:val="16"/>
                <w:lang w:val="ro-RO"/>
              </w:rPr>
            </w:pPr>
            <w:r w:rsidRPr="004F6200">
              <w:rPr>
                <w:rFonts w:asciiTheme="majorHAnsi" w:hAnsiTheme="majorHAnsi"/>
                <w:b/>
                <w:sz w:val="16"/>
                <w:szCs w:val="22"/>
                <w:lang w:val="ro-RO"/>
              </w:rPr>
              <w:t>proiectului</w:t>
            </w:r>
          </w:p>
        </w:tc>
        <w:tc>
          <w:tcPr>
            <w:tcW w:w="1273" w:type="dxa"/>
            <w:shd w:val="clear" w:color="auto" w:fill="F2F2F2" w:themeFill="background1" w:themeFillShade="F2"/>
            <w:vAlign w:val="center"/>
          </w:tcPr>
          <w:p w14:paraId="2407B5EC" w14:textId="77777777" w:rsidR="00C617B2" w:rsidRPr="004F6200" w:rsidRDefault="00C617B2" w:rsidP="0080644A">
            <w:pPr>
              <w:jc w:val="center"/>
              <w:rPr>
                <w:rFonts w:asciiTheme="majorHAnsi" w:hAnsiTheme="majorHAnsi"/>
                <w:b/>
                <w:sz w:val="16"/>
                <w:lang w:val="ro-RO"/>
              </w:rPr>
            </w:pPr>
            <w:r w:rsidRPr="004F6200">
              <w:rPr>
                <w:rFonts w:asciiTheme="majorHAnsi" w:hAnsiTheme="majorHAnsi"/>
                <w:b/>
                <w:sz w:val="16"/>
                <w:szCs w:val="22"/>
                <w:lang w:val="ro-RO"/>
              </w:rPr>
              <w:t>Destinația</w:t>
            </w:r>
          </w:p>
        </w:tc>
        <w:tc>
          <w:tcPr>
            <w:tcW w:w="567" w:type="dxa"/>
            <w:shd w:val="clear" w:color="auto" w:fill="F2F2F2" w:themeFill="background1" w:themeFillShade="F2"/>
            <w:vAlign w:val="center"/>
          </w:tcPr>
          <w:p w14:paraId="56DAD7AE" w14:textId="77777777" w:rsidR="00C617B2" w:rsidRPr="004F6200" w:rsidRDefault="00C617B2" w:rsidP="0080644A">
            <w:pPr>
              <w:jc w:val="center"/>
              <w:rPr>
                <w:rFonts w:asciiTheme="majorHAnsi" w:hAnsiTheme="majorHAnsi"/>
                <w:b/>
                <w:sz w:val="16"/>
                <w:lang w:val="ro-RO"/>
              </w:rPr>
            </w:pPr>
            <w:r w:rsidRPr="004F6200">
              <w:rPr>
                <w:rFonts w:asciiTheme="majorHAnsi" w:hAnsiTheme="majorHAnsi"/>
                <w:b/>
                <w:sz w:val="16"/>
                <w:szCs w:val="22"/>
                <w:lang w:val="ro-RO"/>
              </w:rPr>
              <w:t>Valuta</w:t>
            </w:r>
          </w:p>
        </w:tc>
        <w:tc>
          <w:tcPr>
            <w:tcW w:w="961" w:type="dxa"/>
            <w:shd w:val="clear" w:color="auto" w:fill="F2F2F2" w:themeFill="background1" w:themeFillShade="F2"/>
            <w:vAlign w:val="center"/>
          </w:tcPr>
          <w:p w14:paraId="249109DA" w14:textId="77777777" w:rsidR="00C617B2" w:rsidRPr="004F6200" w:rsidRDefault="00C617B2" w:rsidP="0080644A">
            <w:pPr>
              <w:jc w:val="center"/>
              <w:rPr>
                <w:rFonts w:asciiTheme="majorHAnsi" w:hAnsiTheme="majorHAnsi"/>
                <w:b/>
                <w:sz w:val="16"/>
                <w:lang w:val="ro-RO"/>
              </w:rPr>
            </w:pPr>
            <w:r w:rsidRPr="004F6200">
              <w:rPr>
                <w:rFonts w:asciiTheme="majorHAnsi" w:hAnsiTheme="majorHAnsi"/>
                <w:b/>
                <w:sz w:val="16"/>
                <w:szCs w:val="22"/>
                <w:lang w:val="ro-RO"/>
              </w:rPr>
              <w:t>Suma împrumutului</w:t>
            </w:r>
          </w:p>
        </w:tc>
        <w:tc>
          <w:tcPr>
            <w:tcW w:w="947" w:type="dxa"/>
            <w:shd w:val="clear" w:color="auto" w:fill="F2F2F2" w:themeFill="background1" w:themeFillShade="F2"/>
            <w:vAlign w:val="center"/>
          </w:tcPr>
          <w:p w14:paraId="6B33A94A" w14:textId="77777777" w:rsidR="00C617B2" w:rsidRPr="004F6200" w:rsidRDefault="00C617B2" w:rsidP="0080644A">
            <w:pPr>
              <w:jc w:val="center"/>
              <w:rPr>
                <w:rFonts w:asciiTheme="majorHAnsi" w:hAnsiTheme="majorHAnsi"/>
                <w:b/>
                <w:sz w:val="16"/>
                <w:lang w:val="ro-RO"/>
              </w:rPr>
            </w:pPr>
            <w:r w:rsidRPr="004F6200">
              <w:rPr>
                <w:rFonts w:asciiTheme="majorHAnsi" w:hAnsiTheme="majorHAnsi"/>
                <w:b/>
                <w:sz w:val="16"/>
                <w:szCs w:val="22"/>
                <w:lang w:val="ro-RO"/>
              </w:rPr>
              <w:t>Data semnării</w:t>
            </w:r>
          </w:p>
        </w:tc>
        <w:tc>
          <w:tcPr>
            <w:tcW w:w="991" w:type="dxa"/>
            <w:shd w:val="clear" w:color="auto" w:fill="F2F2F2" w:themeFill="background1" w:themeFillShade="F2"/>
            <w:vAlign w:val="center"/>
          </w:tcPr>
          <w:p w14:paraId="37F26575" w14:textId="50C466B7" w:rsidR="00C617B2" w:rsidRPr="004F6200" w:rsidRDefault="00C617B2" w:rsidP="0080644A">
            <w:pPr>
              <w:jc w:val="center"/>
              <w:rPr>
                <w:rFonts w:asciiTheme="majorHAnsi" w:hAnsiTheme="majorHAnsi"/>
                <w:b/>
                <w:sz w:val="16"/>
                <w:lang w:val="ro-RO"/>
              </w:rPr>
            </w:pPr>
            <w:r w:rsidRPr="004F6200">
              <w:rPr>
                <w:rFonts w:asciiTheme="majorHAnsi" w:hAnsiTheme="majorHAnsi"/>
                <w:b/>
                <w:sz w:val="16"/>
                <w:szCs w:val="22"/>
                <w:lang w:val="ro-RO"/>
              </w:rPr>
              <w:t>Data</w:t>
            </w:r>
            <w:r w:rsidR="006D7BBF">
              <w:rPr>
                <w:rFonts w:asciiTheme="majorHAnsi" w:hAnsiTheme="majorHAnsi"/>
                <w:b/>
                <w:sz w:val="16"/>
                <w:szCs w:val="22"/>
                <w:lang w:val="ro-RO"/>
              </w:rPr>
              <w:t>-</w:t>
            </w:r>
            <w:r w:rsidRPr="004F6200">
              <w:rPr>
                <w:rFonts w:asciiTheme="majorHAnsi" w:hAnsiTheme="majorHAnsi"/>
                <w:b/>
                <w:sz w:val="16"/>
                <w:szCs w:val="22"/>
                <w:lang w:val="ro-RO"/>
              </w:rPr>
              <w:t>limită de tragere</w:t>
            </w:r>
          </w:p>
        </w:tc>
        <w:tc>
          <w:tcPr>
            <w:tcW w:w="878" w:type="dxa"/>
            <w:shd w:val="clear" w:color="auto" w:fill="F2F2F2" w:themeFill="background1" w:themeFillShade="F2"/>
            <w:vAlign w:val="center"/>
          </w:tcPr>
          <w:p w14:paraId="692B10CB" w14:textId="19A55B4A" w:rsidR="00C617B2" w:rsidRPr="004F6200" w:rsidRDefault="00C617B2" w:rsidP="0080644A">
            <w:pPr>
              <w:jc w:val="center"/>
              <w:rPr>
                <w:rFonts w:asciiTheme="majorHAnsi" w:hAnsiTheme="majorHAnsi"/>
                <w:b/>
                <w:sz w:val="16"/>
                <w:lang w:val="ro-RO"/>
              </w:rPr>
            </w:pPr>
            <w:r w:rsidRPr="004F6200">
              <w:rPr>
                <w:rFonts w:asciiTheme="majorHAnsi" w:hAnsiTheme="majorHAnsi"/>
                <w:b/>
                <w:sz w:val="16"/>
                <w:szCs w:val="22"/>
                <w:lang w:val="ro-RO"/>
              </w:rPr>
              <w:t>Rata dob</w:t>
            </w:r>
            <w:r w:rsidR="006D7BBF">
              <w:rPr>
                <w:rFonts w:asciiTheme="majorHAnsi" w:hAnsiTheme="majorHAnsi"/>
                <w:b/>
                <w:sz w:val="16"/>
                <w:szCs w:val="22"/>
                <w:lang w:val="ro-RO"/>
              </w:rPr>
              <w:t>â</w:t>
            </w:r>
            <w:r w:rsidRPr="004F6200">
              <w:rPr>
                <w:rFonts w:asciiTheme="majorHAnsi" w:hAnsiTheme="majorHAnsi"/>
                <w:b/>
                <w:sz w:val="16"/>
                <w:szCs w:val="22"/>
                <w:lang w:val="ro-RO"/>
              </w:rPr>
              <w:t>nzii</w:t>
            </w:r>
          </w:p>
        </w:tc>
        <w:tc>
          <w:tcPr>
            <w:tcW w:w="831" w:type="dxa"/>
            <w:shd w:val="clear" w:color="auto" w:fill="F2F2F2" w:themeFill="background1" w:themeFillShade="F2"/>
            <w:vAlign w:val="center"/>
          </w:tcPr>
          <w:p w14:paraId="34302D0A" w14:textId="77777777" w:rsidR="00C617B2" w:rsidRPr="004F6200" w:rsidRDefault="00C617B2" w:rsidP="0080644A">
            <w:pPr>
              <w:jc w:val="center"/>
              <w:rPr>
                <w:rFonts w:asciiTheme="majorHAnsi" w:hAnsiTheme="majorHAnsi"/>
                <w:b/>
                <w:sz w:val="16"/>
                <w:lang w:val="ro-RO"/>
              </w:rPr>
            </w:pPr>
            <w:r w:rsidRPr="004F6200">
              <w:rPr>
                <w:rFonts w:asciiTheme="majorHAnsi" w:hAnsiTheme="majorHAnsi"/>
                <w:b/>
                <w:sz w:val="16"/>
                <w:szCs w:val="22"/>
                <w:lang w:val="ro-RO"/>
              </w:rPr>
              <w:t>Trageri din 1992-2018</w:t>
            </w:r>
          </w:p>
        </w:tc>
        <w:tc>
          <w:tcPr>
            <w:tcW w:w="895" w:type="dxa"/>
            <w:shd w:val="clear" w:color="auto" w:fill="F2F2F2" w:themeFill="background1" w:themeFillShade="F2"/>
            <w:vAlign w:val="center"/>
          </w:tcPr>
          <w:p w14:paraId="373CA4B0" w14:textId="77777777" w:rsidR="00C617B2" w:rsidRPr="004F6200" w:rsidRDefault="00C617B2" w:rsidP="0080644A">
            <w:pPr>
              <w:jc w:val="center"/>
              <w:rPr>
                <w:rFonts w:asciiTheme="majorHAnsi" w:hAnsiTheme="majorHAnsi"/>
                <w:b/>
                <w:sz w:val="16"/>
                <w:lang w:val="ro-RO"/>
              </w:rPr>
            </w:pPr>
            <w:r w:rsidRPr="004F6200">
              <w:rPr>
                <w:rFonts w:asciiTheme="majorHAnsi" w:hAnsiTheme="majorHAnsi"/>
                <w:b/>
                <w:sz w:val="16"/>
                <w:szCs w:val="22"/>
                <w:lang w:val="ro-RO"/>
              </w:rPr>
              <w:t xml:space="preserve">Sumă </w:t>
            </w:r>
            <w:proofErr w:type="spellStart"/>
            <w:r w:rsidRPr="004F6200">
              <w:rPr>
                <w:rFonts w:asciiTheme="majorHAnsi" w:hAnsiTheme="majorHAnsi"/>
                <w:b/>
                <w:sz w:val="16"/>
                <w:szCs w:val="22"/>
                <w:lang w:val="ro-RO"/>
              </w:rPr>
              <w:t>nedebursată</w:t>
            </w:r>
            <w:proofErr w:type="spellEnd"/>
          </w:p>
        </w:tc>
        <w:tc>
          <w:tcPr>
            <w:tcW w:w="1088" w:type="dxa"/>
            <w:shd w:val="clear" w:color="auto" w:fill="F2F2F2" w:themeFill="background1" w:themeFillShade="F2"/>
            <w:vAlign w:val="center"/>
          </w:tcPr>
          <w:p w14:paraId="2C86B56D" w14:textId="77777777" w:rsidR="00C617B2" w:rsidRPr="004F6200" w:rsidRDefault="00C617B2" w:rsidP="0080644A">
            <w:pPr>
              <w:jc w:val="center"/>
              <w:rPr>
                <w:rFonts w:asciiTheme="majorHAnsi" w:hAnsiTheme="majorHAnsi"/>
                <w:b/>
                <w:sz w:val="16"/>
                <w:lang w:val="ro-RO"/>
              </w:rPr>
            </w:pPr>
            <w:r w:rsidRPr="004F6200">
              <w:rPr>
                <w:rFonts w:asciiTheme="majorHAnsi" w:hAnsiTheme="majorHAnsi"/>
                <w:b/>
                <w:sz w:val="16"/>
                <w:szCs w:val="22"/>
                <w:lang w:val="ro-RO"/>
              </w:rPr>
              <w:t>Ponderea sumei debursate în suma împrumutului,%</w:t>
            </w:r>
          </w:p>
        </w:tc>
        <w:tc>
          <w:tcPr>
            <w:tcW w:w="843" w:type="dxa"/>
            <w:shd w:val="clear" w:color="auto" w:fill="F2F2F2" w:themeFill="background1" w:themeFillShade="F2"/>
            <w:vAlign w:val="center"/>
          </w:tcPr>
          <w:p w14:paraId="46EAE6FF" w14:textId="0A971436" w:rsidR="00C617B2" w:rsidRPr="004F6200" w:rsidRDefault="00C617B2" w:rsidP="0080644A">
            <w:pPr>
              <w:jc w:val="center"/>
              <w:rPr>
                <w:rFonts w:asciiTheme="majorHAnsi" w:hAnsiTheme="majorHAnsi"/>
                <w:b/>
                <w:sz w:val="16"/>
                <w:lang w:val="ro-RO"/>
              </w:rPr>
            </w:pPr>
            <w:r w:rsidRPr="004F6200">
              <w:rPr>
                <w:rFonts w:asciiTheme="majorHAnsi" w:hAnsiTheme="majorHAnsi"/>
                <w:b/>
                <w:sz w:val="16"/>
                <w:szCs w:val="22"/>
                <w:lang w:val="ro-RO"/>
              </w:rPr>
              <w:t>Comisioane și dob</w:t>
            </w:r>
            <w:r w:rsidR="006D7BBF">
              <w:rPr>
                <w:rFonts w:asciiTheme="majorHAnsi" w:hAnsiTheme="majorHAnsi"/>
                <w:b/>
                <w:sz w:val="16"/>
                <w:szCs w:val="22"/>
                <w:lang w:val="ro-RO"/>
              </w:rPr>
              <w:t>â</w:t>
            </w:r>
            <w:r w:rsidRPr="004F6200">
              <w:rPr>
                <w:rFonts w:asciiTheme="majorHAnsi" w:hAnsiTheme="majorHAnsi"/>
                <w:b/>
                <w:sz w:val="16"/>
                <w:szCs w:val="22"/>
                <w:lang w:val="ro-RO"/>
              </w:rPr>
              <w:t xml:space="preserve">nzi achitate, </w:t>
            </w:r>
            <w:proofErr w:type="spellStart"/>
            <w:r w:rsidRPr="004F6200">
              <w:rPr>
                <w:rFonts w:asciiTheme="majorHAnsi" w:hAnsiTheme="majorHAnsi"/>
                <w:b/>
                <w:sz w:val="16"/>
                <w:szCs w:val="22"/>
                <w:lang w:val="ro-RO"/>
              </w:rPr>
              <w:t>mil</w:t>
            </w:r>
            <w:r w:rsidR="006D7BBF">
              <w:rPr>
                <w:rFonts w:asciiTheme="majorHAnsi" w:hAnsiTheme="majorHAnsi"/>
                <w:b/>
                <w:sz w:val="16"/>
                <w:szCs w:val="22"/>
                <w:lang w:val="ro-RO"/>
              </w:rPr>
              <w:t>.</w:t>
            </w:r>
            <w:r w:rsidRPr="004F6200">
              <w:rPr>
                <w:rFonts w:asciiTheme="majorHAnsi" w:hAnsiTheme="majorHAnsi"/>
                <w:b/>
                <w:sz w:val="16"/>
                <w:szCs w:val="22"/>
                <w:lang w:val="ro-RO"/>
              </w:rPr>
              <w:t>dol</w:t>
            </w:r>
            <w:proofErr w:type="spellEnd"/>
            <w:r w:rsidR="006D7BBF">
              <w:rPr>
                <w:rFonts w:asciiTheme="majorHAnsi" w:hAnsiTheme="majorHAnsi"/>
                <w:b/>
                <w:sz w:val="16"/>
                <w:szCs w:val="22"/>
                <w:lang w:val="ro-RO"/>
              </w:rPr>
              <w:t>.</w:t>
            </w:r>
            <w:r w:rsidRPr="004F6200">
              <w:rPr>
                <w:rFonts w:asciiTheme="majorHAnsi" w:hAnsiTheme="majorHAnsi"/>
                <w:b/>
                <w:sz w:val="16"/>
                <w:szCs w:val="22"/>
                <w:lang w:val="ro-RO"/>
              </w:rPr>
              <w:t xml:space="preserve"> SUA</w:t>
            </w:r>
          </w:p>
        </w:tc>
      </w:tr>
      <w:tr w:rsidR="00C617B2" w:rsidRPr="00C617B2" w14:paraId="7197A6E8" w14:textId="77777777" w:rsidTr="0080644A">
        <w:trPr>
          <w:jc w:val="center"/>
        </w:trPr>
        <w:tc>
          <w:tcPr>
            <w:tcW w:w="1253" w:type="dxa"/>
            <w:shd w:val="clear" w:color="auto" w:fill="auto"/>
            <w:vAlign w:val="center"/>
          </w:tcPr>
          <w:p w14:paraId="44B5E696"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D-109/BEI/10</w:t>
            </w:r>
          </w:p>
        </w:tc>
        <w:tc>
          <w:tcPr>
            <w:tcW w:w="1273" w:type="dxa"/>
            <w:shd w:val="clear" w:color="auto" w:fill="auto"/>
            <w:vAlign w:val="center"/>
          </w:tcPr>
          <w:p w14:paraId="115BF43E"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Reabilitarea drumurilor din RM</w:t>
            </w:r>
          </w:p>
        </w:tc>
        <w:tc>
          <w:tcPr>
            <w:tcW w:w="567" w:type="dxa"/>
            <w:shd w:val="clear" w:color="auto" w:fill="auto"/>
            <w:vAlign w:val="center"/>
          </w:tcPr>
          <w:p w14:paraId="0FB5A9A5"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EUR</w:t>
            </w:r>
          </w:p>
        </w:tc>
        <w:tc>
          <w:tcPr>
            <w:tcW w:w="961" w:type="dxa"/>
            <w:shd w:val="clear" w:color="auto" w:fill="auto"/>
            <w:vAlign w:val="center"/>
          </w:tcPr>
          <w:p w14:paraId="4739DE7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75,0</w:t>
            </w:r>
          </w:p>
        </w:tc>
        <w:tc>
          <w:tcPr>
            <w:tcW w:w="947" w:type="dxa"/>
            <w:shd w:val="clear" w:color="auto" w:fill="auto"/>
            <w:vAlign w:val="center"/>
          </w:tcPr>
          <w:p w14:paraId="1218EFB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23.11.10</w:t>
            </w:r>
          </w:p>
        </w:tc>
        <w:tc>
          <w:tcPr>
            <w:tcW w:w="991" w:type="dxa"/>
            <w:shd w:val="clear" w:color="auto" w:fill="auto"/>
            <w:vAlign w:val="center"/>
          </w:tcPr>
          <w:p w14:paraId="61B15A4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31.12.18</w:t>
            </w:r>
          </w:p>
        </w:tc>
        <w:tc>
          <w:tcPr>
            <w:tcW w:w="878" w:type="dxa"/>
            <w:shd w:val="clear" w:color="auto" w:fill="auto"/>
            <w:vAlign w:val="center"/>
          </w:tcPr>
          <w:p w14:paraId="6BE16055"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0,98</w:t>
            </w:r>
          </w:p>
        </w:tc>
        <w:tc>
          <w:tcPr>
            <w:tcW w:w="831" w:type="dxa"/>
            <w:shd w:val="clear" w:color="auto" w:fill="auto"/>
            <w:vAlign w:val="center"/>
          </w:tcPr>
          <w:p w14:paraId="40399776"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53,6</w:t>
            </w:r>
          </w:p>
        </w:tc>
        <w:tc>
          <w:tcPr>
            <w:tcW w:w="895" w:type="dxa"/>
            <w:shd w:val="clear" w:color="auto" w:fill="auto"/>
            <w:vAlign w:val="center"/>
          </w:tcPr>
          <w:p w14:paraId="7C7469FF"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21,4</w:t>
            </w:r>
          </w:p>
        </w:tc>
        <w:tc>
          <w:tcPr>
            <w:tcW w:w="1088" w:type="dxa"/>
            <w:shd w:val="clear" w:color="auto" w:fill="auto"/>
            <w:vAlign w:val="center"/>
          </w:tcPr>
          <w:p w14:paraId="19135D91"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71,4</w:t>
            </w:r>
          </w:p>
        </w:tc>
        <w:tc>
          <w:tcPr>
            <w:tcW w:w="843" w:type="dxa"/>
            <w:shd w:val="clear" w:color="auto" w:fill="auto"/>
            <w:vAlign w:val="center"/>
          </w:tcPr>
          <w:p w14:paraId="16F935F5"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3,8</w:t>
            </w:r>
          </w:p>
        </w:tc>
      </w:tr>
      <w:tr w:rsidR="00C617B2" w:rsidRPr="00C617B2" w14:paraId="25D3E9FB" w14:textId="77777777" w:rsidTr="0080644A">
        <w:trPr>
          <w:jc w:val="center"/>
        </w:trPr>
        <w:tc>
          <w:tcPr>
            <w:tcW w:w="1253" w:type="dxa"/>
            <w:shd w:val="clear" w:color="auto" w:fill="auto"/>
            <w:vAlign w:val="center"/>
          </w:tcPr>
          <w:p w14:paraId="61EB073E"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D-116/BEI/12</w:t>
            </w:r>
          </w:p>
        </w:tc>
        <w:tc>
          <w:tcPr>
            <w:tcW w:w="1273" w:type="dxa"/>
            <w:shd w:val="clear" w:color="auto" w:fill="auto"/>
            <w:vAlign w:val="center"/>
          </w:tcPr>
          <w:p w14:paraId="1081C432" w14:textId="06958302"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 xml:space="preserve">Transportul energiei electrice de către </w:t>
            </w:r>
            <w:r w:rsidR="0089498E">
              <w:rPr>
                <w:rFonts w:asciiTheme="majorHAnsi" w:hAnsiTheme="majorHAnsi"/>
                <w:sz w:val="16"/>
                <w:szCs w:val="22"/>
                <w:lang w:val="ro-RO"/>
              </w:rPr>
              <w:t>ÎS „</w:t>
            </w:r>
            <w:proofErr w:type="spellStart"/>
            <w:r w:rsidRPr="004F6200">
              <w:rPr>
                <w:rFonts w:asciiTheme="majorHAnsi" w:hAnsiTheme="majorHAnsi"/>
                <w:sz w:val="16"/>
                <w:szCs w:val="22"/>
                <w:lang w:val="ro-RO"/>
              </w:rPr>
              <w:t>Moldelectrica</w:t>
            </w:r>
            <w:proofErr w:type="spellEnd"/>
            <w:r w:rsidR="0089498E">
              <w:rPr>
                <w:rFonts w:asciiTheme="majorHAnsi" w:hAnsiTheme="majorHAnsi"/>
                <w:sz w:val="16"/>
                <w:szCs w:val="22"/>
                <w:lang w:val="ro-RO"/>
              </w:rPr>
              <w:t>”</w:t>
            </w:r>
          </w:p>
        </w:tc>
        <w:tc>
          <w:tcPr>
            <w:tcW w:w="567" w:type="dxa"/>
            <w:shd w:val="clear" w:color="auto" w:fill="auto"/>
            <w:vAlign w:val="center"/>
          </w:tcPr>
          <w:p w14:paraId="5D507081"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EUR</w:t>
            </w:r>
          </w:p>
        </w:tc>
        <w:tc>
          <w:tcPr>
            <w:tcW w:w="961" w:type="dxa"/>
            <w:shd w:val="clear" w:color="auto" w:fill="auto"/>
            <w:vAlign w:val="center"/>
          </w:tcPr>
          <w:p w14:paraId="71F8E37F"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17,0</w:t>
            </w:r>
          </w:p>
        </w:tc>
        <w:tc>
          <w:tcPr>
            <w:tcW w:w="947" w:type="dxa"/>
            <w:shd w:val="clear" w:color="auto" w:fill="auto"/>
            <w:vAlign w:val="center"/>
          </w:tcPr>
          <w:p w14:paraId="743C68C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26.06.12</w:t>
            </w:r>
          </w:p>
        </w:tc>
        <w:tc>
          <w:tcPr>
            <w:tcW w:w="991" w:type="dxa"/>
            <w:shd w:val="clear" w:color="auto" w:fill="auto"/>
            <w:vAlign w:val="center"/>
          </w:tcPr>
          <w:p w14:paraId="4C8CC55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26.12.20</w:t>
            </w:r>
          </w:p>
        </w:tc>
        <w:tc>
          <w:tcPr>
            <w:tcW w:w="878" w:type="dxa"/>
            <w:shd w:val="clear" w:color="auto" w:fill="auto"/>
            <w:vAlign w:val="center"/>
          </w:tcPr>
          <w:p w14:paraId="4F7C01E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1,07</w:t>
            </w:r>
          </w:p>
        </w:tc>
        <w:tc>
          <w:tcPr>
            <w:tcW w:w="831" w:type="dxa"/>
            <w:shd w:val="clear" w:color="auto" w:fill="auto"/>
            <w:vAlign w:val="center"/>
          </w:tcPr>
          <w:p w14:paraId="636216E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7,4</w:t>
            </w:r>
          </w:p>
        </w:tc>
        <w:tc>
          <w:tcPr>
            <w:tcW w:w="895" w:type="dxa"/>
            <w:shd w:val="clear" w:color="auto" w:fill="auto"/>
            <w:vAlign w:val="center"/>
          </w:tcPr>
          <w:p w14:paraId="451615F4"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9,6</w:t>
            </w:r>
          </w:p>
        </w:tc>
        <w:tc>
          <w:tcPr>
            <w:tcW w:w="1088" w:type="dxa"/>
            <w:shd w:val="clear" w:color="auto" w:fill="auto"/>
            <w:vAlign w:val="center"/>
          </w:tcPr>
          <w:p w14:paraId="7B5510A5"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43,5</w:t>
            </w:r>
          </w:p>
        </w:tc>
        <w:tc>
          <w:tcPr>
            <w:tcW w:w="843" w:type="dxa"/>
            <w:shd w:val="clear" w:color="auto" w:fill="auto"/>
            <w:vAlign w:val="center"/>
          </w:tcPr>
          <w:p w14:paraId="096C967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0,1</w:t>
            </w:r>
          </w:p>
        </w:tc>
      </w:tr>
      <w:tr w:rsidR="00C617B2" w:rsidRPr="00C617B2" w14:paraId="4D498060" w14:textId="77777777" w:rsidTr="0080644A">
        <w:trPr>
          <w:jc w:val="center"/>
        </w:trPr>
        <w:tc>
          <w:tcPr>
            <w:tcW w:w="1253" w:type="dxa"/>
            <w:shd w:val="clear" w:color="auto" w:fill="auto"/>
            <w:vAlign w:val="center"/>
          </w:tcPr>
          <w:p w14:paraId="4DC40ADD"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D-124/BEI/13</w:t>
            </w:r>
          </w:p>
        </w:tc>
        <w:tc>
          <w:tcPr>
            <w:tcW w:w="1273" w:type="dxa"/>
            <w:shd w:val="clear" w:color="auto" w:fill="auto"/>
            <w:vAlign w:val="center"/>
          </w:tcPr>
          <w:p w14:paraId="74E1A177"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Lucrări de construcție și reabilitare a drumurilor RM</w:t>
            </w:r>
          </w:p>
        </w:tc>
        <w:tc>
          <w:tcPr>
            <w:tcW w:w="567" w:type="dxa"/>
            <w:shd w:val="clear" w:color="auto" w:fill="auto"/>
            <w:vAlign w:val="center"/>
          </w:tcPr>
          <w:p w14:paraId="0EFC42A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EUR</w:t>
            </w:r>
          </w:p>
        </w:tc>
        <w:tc>
          <w:tcPr>
            <w:tcW w:w="961" w:type="dxa"/>
            <w:shd w:val="clear" w:color="auto" w:fill="auto"/>
            <w:vAlign w:val="center"/>
          </w:tcPr>
          <w:p w14:paraId="7E94B94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150,0</w:t>
            </w:r>
          </w:p>
        </w:tc>
        <w:tc>
          <w:tcPr>
            <w:tcW w:w="947" w:type="dxa"/>
            <w:shd w:val="clear" w:color="auto" w:fill="auto"/>
            <w:vAlign w:val="center"/>
          </w:tcPr>
          <w:p w14:paraId="2A94F21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25.06.13</w:t>
            </w:r>
          </w:p>
        </w:tc>
        <w:tc>
          <w:tcPr>
            <w:tcW w:w="991" w:type="dxa"/>
            <w:shd w:val="clear" w:color="auto" w:fill="auto"/>
            <w:vAlign w:val="center"/>
          </w:tcPr>
          <w:p w14:paraId="2F187523"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25.06.20</w:t>
            </w:r>
          </w:p>
        </w:tc>
        <w:tc>
          <w:tcPr>
            <w:tcW w:w="878" w:type="dxa"/>
            <w:shd w:val="clear" w:color="auto" w:fill="auto"/>
            <w:vAlign w:val="center"/>
          </w:tcPr>
          <w:p w14:paraId="58528133"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0,64</w:t>
            </w:r>
          </w:p>
        </w:tc>
        <w:tc>
          <w:tcPr>
            <w:tcW w:w="831" w:type="dxa"/>
            <w:shd w:val="clear" w:color="auto" w:fill="auto"/>
            <w:vAlign w:val="center"/>
          </w:tcPr>
          <w:p w14:paraId="7033784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54,3</w:t>
            </w:r>
          </w:p>
        </w:tc>
        <w:tc>
          <w:tcPr>
            <w:tcW w:w="895" w:type="dxa"/>
            <w:shd w:val="clear" w:color="auto" w:fill="auto"/>
            <w:vAlign w:val="center"/>
          </w:tcPr>
          <w:p w14:paraId="019A84E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95,7</w:t>
            </w:r>
          </w:p>
        </w:tc>
        <w:tc>
          <w:tcPr>
            <w:tcW w:w="1088" w:type="dxa"/>
            <w:shd w:val="clear" w:color="auto" w:fill="auto"/>
            <w:vAlign w:val="center"/>
          </w:tcPr>
          <w:p w14:paraId="1FE9597A"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36,2</w:t>
            </w:r>
          </w:p>
        </w:tc>
        <w:tc>
          <w:tcPr>
            <w:tcW w:w="843" w:type="dxa"/>
            <w:shd w:val="clear" w:color="auto" w:fill="auto"/>
            <w:vAlign w:val="center"/>
          </w:tcPr>
          <w:p w14:paraId="561A62B4"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1,7</w:t>
            </w:r>
          </w:p>
        </w:tc>
      </w:tr>
      <w:tr w:rsidR="00C617B2" w:rsidRPr="00C617B2" w14:paraId="77D11D22" w14:textId="77777777" w:rsidTr="0080644A">
        <w:trPr>
          <w:jc w:val="center"/>
        </w:trPr>
        <w:tc>
          <w:tcPr>
            <w:tcW w:w="1253" w:type="dxa"/>
            <w:shd w:val="clear" w:color="auto" w:fill="auto"/>
            <w:vAlign w:val="center"/>
          </w:tcPr>
          <w:p w14:paraId="17CEB11A"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D-138/BEI/14</w:t>
            </w:r>
          </w:p>
        </w:tc>
        <w:tc>
          <w:tcPr>
            <w:tcW w:w="1273" w:type="dxa"/>
            <w:shd w:val="clear" w:color="auto" w:fill="auto"/>
            <w:vAlign w:val="center"/>
          </w:tcPr>
          <w:p w14:paraId="6F6CFE3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Livada Moldovei</w:t>
            </w:r>
          </w:p>
        </w:tc>
        <w:tc>
          <w:tcPr>
            <w:tcW w:w="567" w:type="dxa"/>
            <w:shd w:val="clear" w:color="auto" w:fill="auto"/>
            <w:vAlign w:val="center"/>
          </w:tcPr>
          <w:p w14:paraId="4360B681"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EUR</w:t>
            </w:r>
          </w:p>
        </w:tc>
        <w:tc>
          <w:tcPr>
            <w:tcW w:w="961" w:type="dxa"/>
            <w:shd w:val="clear" w:color="auto" w:fill="auto"/>
            <w:vAlign w:val="center"/>
          </w:tcPr>
          <w:p w14:paraId="704653E5"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120,0</w:t>
            </w:r>
          </w:p>
        </w:tc>
        <w:tc>
          <w:tcPr>
            <w:tcW w:w="947" w:type="dxa"/>
            <w:shd w:val="clear" w:color="auto" w:fill="auto"/>
            <w:vAlign w:val="center"/>
          </w:tcPr>
          <w:p w14:paraId="550D5AA5"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31.07.14</w:t>
            </w:r>
          </w:p>
        </w:tc>
        <w:tc>
          <w:tcPr>
            <w:tcW w:w="991" w:type="dxa"/>
            <w:shd w:val="clear" w:color="auto" w:fill="auto"/>
            <w:vAlign w:val="center"/>
          </w:tcPr>
          <w:p w14:paraId="7C5B5FDA"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27.05.21</w:t>
            </w:r>
          </w:p>
        </w:tc>
        <w:tc>
          <w:tcPr>
            <w:tcW w:w="878" w:type="dxa"/>
            <w:shd w:val="clear" w:color="auto" w:fill="auto"/>
            <w:vAlign w:val="center"/>
          </w:tcPr>
          <w:p w14:paraId="58792E5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0,00</w:t>
            </w:r>
          </w:p>
        </w:tc>
        <w:tc>
          <w:tcPr>
            <w:tcW w:w="831" w:type="dxa"/>
            <w:shd w:val="clear" w:color="auto" w:fill="auto"/>
            <w:vAlign w:val="center"/>
          </w:tcPr>
          <w:p w14:paraId="3BF2F10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16,2</w:t>
            </w:r>
          </w:p>
        </w:tc>
        <w:tc>
          <w:tcPr>
            <w:tcW w:w="895" w:type="dxa"/>
            <w:shd w:val="clear" w:color="auto" w:fill="auto"/>
            <w:vAlign w:val="center"/>
          </w:tcPr>
          <w:p w14:paraId="72149ECF"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103,8</w:t>
            </w:r>
          </w:p>
        </w:tc>
        <w:tc>
          <w:tcPr>
            <w:tcW w:w="1088" w:type="dxa"/>
            <w:shd w:val="clear" w:color="auto" w:fill="auto"/>
            <w:vAlign w:val="center"/>
          </w:tcPr>
          <w:p w14:paraId="1C1D572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13,5</w:t>
            </w:r>
          </w:p>
        </w:tc>
        <w:tc>
          <w:tcPr>
            <w:tcW w:w="843" w:type="dxa"/>
            <w:shd w:val="clear" w:color="auto" w:fill="auto"/>
            <w:vAlign w:val="center"/>
          </w:tcPr>
          <w:p w14:paraId="2CA60316"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0,3</w:t>
            </w:r>
          </w:p>
        </w:tc>
      </w:tr>
      <w:tr w:rsidR="00C617B2" w:rsidRPr="00C617B2" w14:paraId="4A339044" w14:textId="77777777" w:rsidTr="0080644A">
        <w:trPr>
          <w:jc w:val="center"/>
        </w:trPr>
        <w:tc>
          <w:tcPr>
            <w:tcW w:w="1253" w:type="dxa"/>
            <w:shd w:val="clear" w:color="auto" w:fill="auto"/>
            <w:vAlign w:val="center"/>
          </w:tcPr>
          <w:p w14:paraId="2C579FC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D-153/BEI/16</w:t>
            </w:r>
          </w:p>
        </w:tc>
        <w:tc>
          <w:tcPr>
            <w:tcW w:w="1273" w:type="dxa"/>
            <w:shd w:val="clear" w:color="auto" w:fill="auto"/>
            <w:vAlign w:val="center"/>
          </w:tcPr>
          <w:p w14:paraId="38989970" w14:textId="77777777" w:rsidR="00C617B2" w:rsidRPr="004F6200" w:rsidRDefault="00C617B2" w:rsidP="0080644A">
            <w:pPr>
              <w:jc w:val="center"/>
              <w:rPr>
                <w:rFonts w:asciiTheme="majorHAnsi" w:hAnsiTheme="majorHAnsi"/>
                <w:sz w:val="16"/>
                <w:lang w:val="ro-RO"/>
              </w:rPr>
            </w:pPr>
            <w:proofErr w:type="spellStart"/>
            <w:r w:rsidRPr="004F6200">
              <w:rPr>
                <w:rFonts w:asciiTheme="majorHAnsi" w:hAnsiTheme="majorHAnsi"/>
                <w:sz w:val="16"/>
                <w:szCs w:val="22"/>
                <w:lang w:val="ro-RO"/>
              </w:rPr>
              <w:t>Reabilitarea,infrastructurii</w:t>
            </w:r>
            <w:proofErr w:type="spellEnd"/>
            <w:r w:rsidRPr="004F6200">
              <w:rPr>
                <w:rFonts w:asciiTheme="majorHAnsi" w:hAnsiTheme="majorHAnsi"/>
                <w:sz w:val="16"/>
                <w:szCs w:val="22"/>
                <w:lang w:val="ro-RO"/>
              </w:rPr>
              <w:t xml:space="preserve"> feroviare</w:t>
            </w:r>
          </w:p>
        </w:tc>
        <w:tc>
          <w:tcPr>
            <w:tcW w:w="567" w:type="dxa"/>
            <w:shd w:val="clear" w:color="auto" w:fill="auto"/>
            <w:vAlign w:val="center"/>
          </w:tcPr>
          <w:p w14:paraId="51432DD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EUR</w:t>
            </w:r>
          </w:p>
        </w:tc>
        <w:tc>
          <w:tcPr>
            <w:tcW w:w="961" w:type="dxa"/>
            <w:shd w:val="clear" w:color="auto" w:fill="auto"/>
            <w:vAlign w:val="center"/>
          </w:tcPr>
          <w:p w14:paraId="19433867"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50,0</w:t>
            </w:r>
          </w:p>
        </w:tc>
        <w:tc>
          <w:tcPr>
            <w:tcW w:w="947" w:type="dxa"/>
            <w:shd w:val="clear" w:color="auto" w:fill="auto"/>
            <w:vAlign w:val="center"/>
          </w:tcPr>
          <w:p w14:paraId="42D774F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26.09.16</w:t>
            </w:r>
          </w:p>
        </w:tc>
        <w:tc>
          <w:tcPr>
            <w:tcW w:w="991" w:type="dxa"/>
            <w:shd w:val="clear" w:color="auto" w:fill="auto"/>
            <w:vAlign w:val="center"/>
          </w:tcPr>
          <w:p w14:paraId="5EAF5F14"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26.09.21</w:t>
            </w:r>
          </w:p>
        </w:tc>
        <w:tc>
          <w:tcPr>
            <w:tcW w:w="878" w:type="dxa"/>
            <w:shd w:val="clear" w:color="auto" w:fill="auto"/>
            <w:vAlign w:val="center"/>
          </w:tcPr>
          <w:p w14:paraId="08DF6E51"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0,76</w:t>
            </w:r>
          </w:p>
        </w:tc>
        <w:tc>
          <w:tcPr>
            <w:tcW w:w="831" w:type="dxa"/>
            <w:shd w:val="clear" w:color="auto" w:fill="auto"/>
            <w:vAlign w:val="center"/>
          </w:tcPr>
          <w:p w14:paraId="7E97CA0D"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4,0</w:t>
            </w:r>
          </w:p>
        </w:tc>
        <w:tc>
          <w:tcPr>
            <w:tcW w:w="895" w:type="dxa"/>
            <w:shd w:val="clear" w:color="auto" w:fill="auto"/>
            <w:vAlign w:val="center"/>
          </w:tcPr>
          <w:p w14:paraId="202F508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46,0</w:t>
            </w:r>
          </w:p>
        </w:tc>
        <w:tc>
          <w:tcPr>
            <w:tcW w:w="1088" w:type="dxa"/>
            <w:shd w:val="clear" w:color="auto" w:fill="auto"/>
            <w:vAlign w:val="center"/>
          </w:tcPr>
          <w:p w14:paraId="52304166"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7,9</w:t>
            </w:r>
          </w:p>
        </w:tc>
        <w:tc>
          <w:tcPr>
            <w:tcW w:w="843" w:type="dxa"/>
            <w:shd w:val="clear" w:color="auto" w:fill="auto"/>
            <w:vAlign w:val="center"/>
          </w:tcPr>
          <w:p w14:paraId="2049CC6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0,1</w:t>
            </w:r>
          </w:p>
        </w:tc>
      </w:tr>
      <w:tr w:rsidR="00C617B2" w:rsidRPr="00C617B2" w14:paraId="791ABB5E" w14:textId="77777777" w:rsidTr="0080644A">
        <w:trPr>
          <w:jc w:val="center"/>
        </w:trPr>
        <w:tc>
          <w:tcPr>
            <w:tcW w:w="1253" w:type="dxa"/>
            <w:shd w:val="clear" w:color="auto" w:fill="auto"/>
            <w:vAlign w:val="center"/>
          </w:tcPr>
          <w:p w14:paraId="37325C6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D-128/CEB/13</w:t>
            </w:r>
          </w:p>
        </w:tc>
        <w:tc>
          <w:tcPr>
            <w:tcW w:w="1273" w:type="dxa"/>
            <w:shd w:val="clear" w:color="auto" w:fill="auto"/>
            <w:vAlign w:val="center"/>
          </w:tcPr>
          <w:p w14:paraId="221034F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 xml:space="preserve">Construcția penitenciarului din </w:t>
            </w:r>
            <w:proofErr w:type="spellStart"/>
            <w:r w:rsidRPr="004F6200">
              <w:rPr>
                <w:rFonts w:asciiTheme="majorHAnsi" w:hAnsiTheme="majorHAnsi"/>
                <w:sz w:val="16"/>
                <w:szCs w:val="22"/>
                <w:lang w:val="ro-RO"/>
              </w:rPr>
              <w:t>mun</w:t>
            </w:r>
            <w:proofErr w:type="spellEnd"/>
            <w:r w:rsidRPr="004F6200">
              <w:rPr>
                <w:rFonts w:asciiTheme="majorHAnsi" w:hAnsiTheme="majorHAnsi"/>
                <w:sz w:val="16"/>
                <w:szCs w:val="22"/>
                <w:lang w:val="ro-RO"/>
              </w:rPr>
              <w:t>, Chișinău</w:t>
            </w:r>
          </w:p>
        </w:tc>
        <w:tc>
          <w:tcPr>
            <w:tcW w:w="567" w:type="dxa"/>
            <w:shd w:val="clear" w:color="auto" w:fill="auto"/>
            <w:vAlign w:val="center"/>
          </w:tcPr>
          <w:p w14:paraId="62CB9A46"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EUR</w:t>
            </w:r>
          </w:p>
        </w:tc>
        <w:tc>
          <w:tcPr>
            <w:tcW w:w="961" w:type="dxa"/>
            <w:shd w:val="clear" w:color="auto" w:fill="auto"/>
            <w:vAlign w:val="center"/>
          </w:tcPr>
          <w:p w14:paraId="37EA6D63"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39,0</w:t>
            </w:r>
          </w:p>
        </w:tc>
        <w:tc>
          <w:tcPr>
            <w:tcW w:w="947" w:type="dxa"/>
            <w:shd w:val="clear" w:color="auto" w:fill="auto"/>
            <w:vAlign w:val="center"/>
          </w:tcPr>
          <w:p w14:paraId="37732F67"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10.10.13</w:t>
            </w:r>
          </w:p>
        </w:tc>
        <w:tc>
          <w:tcPr>
            <w:tcW w:w="991" w:type="dxa"/>
            <w:shd w:val="clear" w:color="auto" w:fill="auto"/>
            <w:vAlign w:val="center"/>
          </w:tcPr>
          <w:p w14:paraId="58EE645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31.12.22</w:t>
            </w:r>
          </w:p>
        </w:tc>
        <w:tc>
          <w:tcPr>
            <w:tcW w:w="878" w:type="dxa"/>
            <w:shd w:val="clear" w:color="auto" w:fill="auto"/>
            <w:vAlign w:val="center"/>
          </w:tcPr>
          <w:p w14:paraId="4C8C93AE"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1,03</w:t>
            </w:r>
          </w:p>
        </w:tc>
        <w:tc>
          <w:tcPr>
            <w:tcW w:w="831" w:type="dxa"/>
            <w:shd w:val="clear" w:color="auto" w:fill="auto"/>
            <w:vAlign w:val="center"/>
          </w:tcPr>
          <w:p w14:paraId="480A62E3"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0,7</w:t>
            </w:r>
          </w:p>
        </w:tc>
        <w:tc>
          <w:tcPr>
            <w:tcW w:w="895" w:type="dxa"/>
            <w:shd w:val="clear" w:color="auto" w:fill="auto"/>
            <w:vAlign w:val="center"/>
          </w:tcPr>
          <w:p w14:paraId="51806ECA"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38,3</w:t>
            </w:r>
          </w:p>
        </w:tc>
        <w:tc>
          <w:tcPr>
            <w:tcW w:w="1088" w:type="dxa"/>
            <w:shd w:val="clear" w:color="auto" w:fill="auto"/>
            <w:vAlign w:val="center"/>
          </w:tcPr>
          <w:p w14:paraId="47270A6F"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1,8</w:t>
            </w:r>
          </w:p>
        </w:tc>
        <w:tc>
          <w:tcPr>
            <w:tcW w:w="843" w:type="dxa"/>
            <w:shd w:val="clear" w:color="auto" w:fill="auto"/>
            <w:vAlign w:val="center"/>
          </w:tcPr>
          <w:p w14:paraId="3FC81001"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0,01</w:t>
            </w:r>
          </w:p>
        </w:tc>
      </w:tr>
      <w:tr w:rsidR="00C617B2" w:rsidRPr="00C617B2" w14:paraId="55E9D598" w14:textId="77777777" w:rsidTr="0080644A">
        <w:trPr>
          <w:jc w:val="center"/>
        </w:trPr>
        <w:tc>
          <w:tcPr>
            <w:tcW w:w="1253" w:type="dxa"/>
            <w:shd w:val="clear" w:color="auto" w:fill="auto"/>
            <w:vAlign w:val="center"/>
          </w:tcPr>
          <w:p w14:paraId="11931085"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D-166/CEB/18</w:t>
            </w:r>
          </w:p>
        </w:tc>
        <w:tc>
          <w:tcPr>
            <w:tcW w:w="1273" w:type="dxa"/>
            <w:shd w:val="clear" w:color="auto" w:fill="auto"/>
            <w:vAlign w:val="center"/>
          </w:tcPr>
          <w:p w14:paraId="51ED6C19" w14:textId="50C65F00"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 xml:space="preserve">Procurarea </w:t>
            </w:r>
            <w:r w:rsidR="006D7BBF">
              <w:rPr>
                <w:rFonts w:asciiTheme="majorHAnsi" w:hAnsiTheme="majorHAnsi"/>
                <w:sz w:val="16"/>
                <w:szCs w:val="22"/>
                <w:lang w:val="ro-RO"/>
              </w:rPr>
              <w:t>a</w:t>
            </w:r>
            <w:r w:rsidRPr="004F6200">
              <w:rPr>
                <w:rFonts w:asciiTheme="majorHAnsi" w:hAnsiTheme="majorHAnsi"/>
                <w:sz w:val="16"/>
                <w:szCs w:val="22"/>
                <w:lang w:val="ro-RO"/>
              </w:rPr>
              <w:t>mbulan</w:t>
            </w:r>
            <w:r w:rsidR="006D7BBF">
              <w:rPr>
                <w:rFonts w:asciiTheme="majorHAnsi" w:hAnsiTheme="majorHAnsi"/>
                <w:sz w:val="16"/>
                <w:szCs w:val="22"/>
                <w:lang w:val="ro-RO"/>
              </w:rPr>
              <w:t>ț</w:t>
            </w:r>
            <w:r w:rsidRPr="004F6200">
              <w:rPr>
                <w:rFonts w:asciiTheme="majorHAnsi" w:hAnsiTheme="majorHAnsi"/>
                <w:sz w:val="16"/>
                <w:szCs w:val="22"/>
                <w:lang w:val="ro-RO"/>
              </w:rPr>
              <w:t>elor</w:t>
            </w:r>
          </w:p>
        </w:tc>
        <w:tc>
          <w:tcPr>
            <w:tcW w:w="567" w:type="dxa"/>
            <w:shd w:val="clear" w:color="auto" w:fill="auto"/>
            <w:vAlign w:val="center"/>
          </w:tcPr>
          <w:p w14:paraId="1C58D44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EUR</w:t>
            </w:r>
          </w:p>
        </w:tc>
        <w:tc>
          <w:tcPr>
            <w:tcW w:w="961" w:type="dxa"/>
            <w:shd w:val="clear" w:color="auto" w:fill="auto"/>
            <w:vAlign w:val="center"/>
          </w:tcPr>
          <w:p w14:paraId="16D35493"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12,0</w:t>
            </w:r>
          </w:p>
        </w:tc>
        <w:tc>
          <w:tcPr>
            <w:tcW w:w="947" w:type="dxa"/>
            <w:shd w:val="clear" w:color="auto" w:fill="auto"/>
            <w:vAlign w:val="center"/>
          </w:tcPr>
          <w:p w14:paraId="44603D2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12.07.18</w:t>
            </w:r>
          </w:p>
        </w:tc>
        <w:tc>
          <w:tcPr>
            <w:tcW w:w="991" w:type="dxa"/>
            <w:shd w:val="clear" w:color="auto" w:fill="auto"/>
            <w:vAlign w:val="center"/>
          </w:tcPr>
          <w:p w14:paraId="3B16F263"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31.12.19</w:t>
            </w:r>
          </w:p>
        </w:tc>
        <w:tc>
          <w:tcPr>
            <w:tcW w:w="878" w:type="dxa"/>
            <w:shd w:val="clear" w:color="auto" w:fill="auto"/>
            <w:vAlign w:val="center"/>
          </w:tcPr>
          <w:p w14:paraId="7A5D850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0,00</w:t>
            </w:r>
          </w:p>
        </w:tc>
        <w:tc>
          <w:tcPr>
            <w:tcW w:w="831" w:type="dxa"/>
            <w:shd w:val="clear" w:color="auto" w:fill="auto"/>
            <w:vAlign w:val="center"/>
          </w:tcPr>
          <w:p w14:paraId="70C60954"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0,0</w:t>
            </w:r>
          </w:p>
        </w:tc>
        <w:tc>
          <w:tcPr>
            <w:tcW w:w="895" w:type="dxa"/>
            <w:shd w:val="clear" w:color="auto" w:fill="auto"/>
            <w:vAlign w:val="center"/>
          </w:tcPr>
          <w:p w14:paraId="7860D1F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12,0</w:t>
            </w:r>
          </w:p>
        </w:tc>
        <w:tc>
          <w:tcPr>
            <w:tcW w:w="1088" w:type="dxa"/>
            <w:shd w:val="clear" w:color="auto" w:fill="auto"/>
            <w:vAlign w:val="center"/>
          </w:tcPr>
          <w:p w14:paraId="35644467"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0,0</w:t>
            </w:r>
          </w:p>
        </w:tc>
        <w:tc>
          <w:tcPr>
            <w:tcW w:w="843" w:type="dxa"/>
            <w:shd w:val="clear" w:color="auto" w:fill="auto"/>
            <w:vAlign w:val="center"/>
          </w:tcPr>
          <w:p w14:paraId="62A1028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0,0</w:t>
            </w:r>
          </w:p>
        </w:tc>
      </w:tr>
      <w:tr w:rsidR="00C617B2" w:rsidRPr="00C617B2" w14:paraId="2310AEF5" w14:textId="77777777" w:rsidTr="0080644A">
        <w:trPr>
          <w:jc w:val="center"/>
        </w:trPr>
        <w:tc>
          <w:tcPr>
            <w:tcW w:w="1253" w:type="dxa"/>
            <w:shd w:val="clear" w:color="auto" w:fill="auto"/>
            <w:vAlign w:val="center"/>
          </w:tcPr>
          <w:p w14:paraId="06B4140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D-159/UE/17</w:t>
            </w:r>
          </w:p>
        </w:tc>
        <w:tc>
          <w:tcPr>
            <w:tcW w:w="1273" w:type="dxa"/>
            <w:shd w:val="clear" w:color="auto" w:fill="auto"/>
            <w:vAlign w:val="center"/>
          </w:tcPr>
          <w:p w14:paraId="4571AC15" w14:textId="1678E6B9"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Asisten</w:t>
            </w:r>
            <w:r w:rsidR="006D7BBF">
              <w:rPr>
                <w:rFonts w:asciiTheme="majorHAnsi" w:hAnsiTheme="majorHAnsi"/>
                <w:sz w:val="16"/>
                <w:szCs w:val="22"/>
                <w:lang w:val="ro-RO"/>
              </w:rPr>
              <w:t>ț</w:t>
            </w:r>
            <w:r w:rsidRPr="004F6200">
              <w:rPr>
                <w:rFonts w:asciiTheme="majorHAnsi" w:hAnsiTheme="majorHAnsi"/>
                <w:sz w:val="16"/>
                <w:szCs w:val="22"/>
                <w:lang w:val="ro-RO"/>
              </w:rPr>
              <w:t>a macrofinanciar</w:t>
            </w:r>
            <w:r w:rsidR="006D7BBF">
              <w:rPr>
                <w:rFonts w:asciiTheme="majorHAnsi" w:hAnsiTheme="majorHAnsi"/>
                <w:sz w:val="16"/>
                <w:szCs w:val="22"/>
                <w:lang w:val="ro-RO"/>
              </w:rPr>
              <w:t>ă</w:t>
            </w:r>
          </w:p>
        </w:tc>
        <w:tc>
          <w:tcPr>
            <w:tcW w:w="567" w:type="dxa"/>
            <w:shd w:val="clear" w:color="auto" w:fill="auto"/>
            <w:vAlign w:val="center"/>
          </w:tcPr>
          <w:p w14:paraId="34E3836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EUR</w:t>
            </w:r>
          </w:p>
        </w:tc>
        <w:tc>
          <w:tcPr>
            <w:tcW w:w="961" w:type="dxa"/>
            <w:shd w:val="clear" w:color="auto" w:fill="auto"/>
            <w:vAlign w:val="center"/>
          </w:tcPr>
          <w:p w14:paraId="17352E8F"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60,0</w:t>
            </w:r>
          </w:p>
        </w:tc>
        <w:tc>
          <w:tcPr>
            <w:tcW w:w="947" w:type="dxa"/>
            <w:shd w:val="clear" w:color="auto" w:fill="auto"/>
            <w:vAlign w:val="center"/>
          </w:tcPr>
          <w:p w14:paraId="6E47EE8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23.11.17</w:t>
            </w:r>
          </w:p>
        </w:tc>
        <w:tc>
          <w:tcPr>
            <w:tcW w:w="991" w:type="dxa"/>
            <w:shd w:val="clear" w:color="auto" w:fill="auto"/>
            <w:vAlign w:val="center"/>
          </w:tcPr>
          <w:p w14:paraId="58959A7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01.11.20</w:t>
            </w:r>
          </w:p>
        </w:tc>
        <w:tc>
          <w:tcPr>
            <w:tcW w:w="878" w:type="dxa"/>
            <w:shd w:val="clear" w:color="auto" w:fill="auto"/>
            <w:vAlign w:val="center"/>
          </w:tcPr>
          <w:p w14:paraId="7E5290ED"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1,50</w:t>
            </w:r>
          </w:p>
        </w:tc>
        <w:tc>
          <w:tcPr>
            <w:tcW w:w="831" w:type="dxa"/>
            <w:shd w:val="clear" w:color="auto" w:fill="auto"/>
            <w:vAlign w:val="center"/>
          </w:tcPr>
          <w:p w14:paraId="408ED6E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0,0</w:t>
            </w:r>
          </w:p>
        </w:tc>
        <w:tc>
          <w:tcPr>
            <w:tcW w:w="895" w:type="dxa"/>
            <w:shd w:val="clear" w:color="auto" w:fill="auto"/>
            <w:vAlign w:val="center"/>
          </w:tcPr>
          <w:p w14:paraId="42D7FB45"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60,0</w:t>
            </w:r>
          </w:p>
        </w:tc>
        <w:tc>
          <w:tcPr>
            <w:tcW w:w="1088" w:type="dxa"/>
            <w:shd w:val="clear" w:color="auto" w:fill="auto"/>
            <w:vAlign w:val="center"/>
          </w:tcPr>
          <w:p w14:paraId="72CF503E"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0,0</w:t>
            </w:r>
          </w:p>
        </w:tc>
        <w:tc>
          <w:tcPr>
            <w:tcW w:w="843" w:type="dxa"/>
            <w:shd w:val="clear" w:color="auto" w:fill="auto"/>
            <w:vAlign w:val="center"/>
          </w:tcPr>
          <w:p w14:paraId="164653F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0,0</w:t>
            </w:r>
          </w:p>
        </w:tc>
      </w:tr>
      <w:tr w:rsidR="00C617B2" w:rsidRPr="00C617B2" w14:paraId="43AD6E0F" w14:textId="77777777" w:rsidTr="0080644A">
        <w:trPr>
          <w:jc w:val="center"/>
        </w:trPr>
        <w:tc>
          <w:tcPr>
            <w:tcW w:w="1253" w:type="dxa"/>
            <w:shd w:val="clear" w:color="auto" w:fill="auto"/>
            <w:vAlign w:val="center"/>
          </w:tcPr>
          <w:p w14:paraId="5214C0A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D-108/BERD/10</w:t>
            </w:r>
          </w:p>
        </w:tc>
        <w:tc>
          <w:tcPr>
            <w:tcW w:w="1273" w:type="dxa"/>
            <w:shd w:val="clear" w:color="auto" w:fill="auto"/>
            <w:vAlign w:val="center"/>
          </w:tcPr>
          <w:p w14:paraId="012E88E1"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Reabilitarea drumurilor III</w:t>
            </w:r>
          </w:p>
        </w:tc>
        <w:tc>
          <w:tcPr>
            <w:tcW w:w="567" w:type="dxa"/>
            <w:shd w:val="clear" w:color="auto" w:fill="auto"/>
            <w:vAlign w:val="center"/>
          </w:tcPr>
          <w:p w14:paraId="7145CF8A"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EUR</w:t>
            </w:r>
          </w:p>
        </w:tc>
        <w:tc>
          <w:tcPr>
            <w:tcW w:w="961" w:type="dxa"/>
            <w:shd w:val="clear" w:color="auto" w:fill="auto"/>
            <w:vAlign w:val="center"/>
          </w:tcPr>
          <w:p w14:paraId="1E37DCFE"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75,0</w:t>
            </w:r>
          </w:p>
        </w:tc>
        <w:tc>
          <w:tcPr>
            <w:tcW w:w="947" w:type="dxa"/>
            <w:shd w:val="clear" w:color="auto" w:fill="auto"/>
            <w:vAlign w:val="center"/>
          </w:tcPr>
          <w:p w14:paraId="6025C507"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29.10.10</w:t>
            </w:r>
          </w:p>
        </w:tc>
        <w:tc>
          <w:tcPr>
            <w:tcW w:w="991" w:type="dxa"/>
            <w:shd w:val="clear" w:color="auto" w:fill="auto"/>
            <w:vAlign w:val="center"/>
          </w:tcPr>
          <w:p w14:paraId="240485B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30.12.22</w:t>
            </w:r>
          </w:p>
        </w:tc>
        <w:tc>
          <w:tcPr>
            <w:tcW w:w="878" w:type="dxa"/>
            <w:shd w:val="clear" w:color="auto" w:fill="auto"/>
            <w:vAlign w:val="center"/>
          </w:tcPr>
          <w:p w14:paraId="5C89C39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0,87</w:t>
            </w:r>
          </w:p>
        </w:tc>
        <w:tc>
          <w:tcPr>
            <w:tcW w:w="831" w:type="dxa"/>
            <w:shd w:val="clear" w:color="auto" w:fill="auto"/>
            <w:vAlign w:val="center"/>
          </w:tcPr>
          <w:p w14:paraId="2C20A3F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34,0</w:t>
            </w:r>
          </w:p>
        </w:tc>
        <w:tc>
          <w:tcPr>
            <w:tcW w:w="895" w:type="dxa"/>
            <w:shd w:val="clear" w:color="auto" w:fill="auto"/>
            <w:vAlign w:val="center"/>
          </w:tcPr>
          <w:p w14:paraId="7B3DF73D"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41,0</w:t>
            </w:r>
          </w:p>
        </w:tc>
        <w:tc>
          <w:tcPr>
            <w:tcW w:w="1088" w:type="dxa"/>
            <w:shd w:val="clear" w:color="auto" w:fill="auto"/>
            <w:vAlign w:val="center"/>
          </w:tcPr>
          <w:p w14:paraId="1342E33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45,3</w:t>
            </w:r>
          </w:p>
        </w:tc>
        <w:tc>
          <w:tcPr>
            <w:tcW w:w="843" w:type="dxa"/>
            <w:shd w:val="clear" w:color="auto" w:fill="auto"/>
            <w:vAlign w:val="center"/>
          </w:tcPr>
          <w:p w14:paraId="08125E04"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3,8</w:t>
            </w:r>
          </w:p>
        </w:tc>
      </w:tr>
      <w:tr w:rsidR="00C617B2" w:rsidRPr="00C617B2" w14:paraId="4BDAD9C4" w14:textId="77777777" w:rsidTr="0080644A">
        <w:trPr>
          <w:jc w:val="center"/>
        </w:trPr>
        <w:tc>
          <w:tcPr>
            <w:tcW w:w="1253" w:type="dxa"/>
            <w:shd w:val="clear" w:color="auto" w:fill="auto"/>
            <w:vAlign w:val="center"/>
          </w:tcPr>
          <w:p w14:paraId="6F640E8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D-121/BERD/12</w:t>
            </w:r>
          </w:p>
        </w:tc>
        <w:tc>
          <w:tcPr>
            <w:tcW w:w="1273" w:type="dxa"/>
            <w:shd w:val="clear" w:color="auto" w:fill="auto"/>
            <w:vAlign w:val="center"/>
          </w:tcPr>
          <w:p w14:paraId="6C8E9CD8" w14:textId="1A000FDA"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 xml:space="preserve">Reabilitarea rețelelor electrice de transport ale </w:t>
            </w:r>
            <w:r w:rsidR="0089498E">
              <w:rPr>
                <w:rFonts w:asciiTheme="majorHAnsi" w:hAnsiTheme="majorHAnsi"/>
                <w:sz w:val="16"/>
                <w:szCs w:val="22"/>
                <w:lang w:val="ro-RO"/>
              </w:rPr>
              <w:t>ÎS „</w:t>
            </w:r>
            <w:proofErr w:type="spellStart"/>
            <w:r w:rsidRPr="004F6200">
              <w:rPr>
                <w:rFonts w:asciiTheme="majorHAnsi" w:hAnsiTheme="majorHAnsi"/>
                <w:sz w:val="16"/>
                <w:szCs w:val="22"/>
                <w:lang w:val="ro-RO"/>
              </w:rPr>
              <w:t>Moldelectrica</w:t>
            </w:r>
            <w:proofErr w:type="spellEnd"/>
            <w:r w:rsidR="0089498E">
              <w:rPr>
                <w:rFonts w:asciiTheme="majorHAnsi" w:hAnsiTheme="majorHAnsi"/>
                <w:sz w:val="16"/>
                <w:szCs w:val="22"/>
                <w:lang w:val="ro-RO"/>
              </w:rPr>
              <w:t>”</w:t>
            </w:r>
          </w:p>
        </w:tc>
        <w:tc>
          <w:tcPr>
            <w:tcW w:w="567" w:type="dxa"/>
            <w:shd w:val="clear" w:color="auto" w:fill="auto"/>
            <w:vAlign w:val="center"/>
          </w:tcPr>
          <w:p w14:paraId="36240D1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USD</w:t>
            </w:r>
          </w:p>
        </w:tc>
        <w:tc>
          <w:tcPr>
            <w:tcW w:w="961" w:type="dxa"/>
            <w:shd w:val="clear" w:color="auto" w:fill="auto"/>
            <w:vAlign w:val="center"/>
          </w:tcPr>
          <w:p w14:paraId="2016361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20,0</w:t>
            </w:r>
          </w:p>
        </w:tc>
        <w:tc>
          <w:tcPr>
            <w:tcW w:w="947" w:type="dxa"/>
            <w:shd w:val="clear" w:color="auto" w:fill="auto"/>
            <w:vAlign w:val="center"/>
          </w:tcPr>
          <w:p w14:paraId="0F26064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22.05.12</w:t>
            </w:r>
          </w:p>
        </w:tc>
        <w:tc>
          <w:tcPr>
            <w:tcW w:w="991" w:type="dxa"/>
            <w:shd w:val="clear" w:color="auto" w:fill="auto"/>
            <w:vAlign w:val="center"/>
          </w:tcPr>
          <w:p w14:paraId="40CC4157"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28.12.20</w:t>
            </w:r>
          </w:p>
        </w:tc>
        <w:tc>
          <w:tcPr>
            <w:tcW w:w="878" w:type="dxa"/>
            <w:shd w:val="clear" w:color="auto" w:fill="auto"/>
            <w:vAlign w:val="center"/>
          </w:tcPr>
          <w:p w14:paraId="76F37521"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3,87</w:t>
            </w:r>
          </w:p>
        </w:tc>
        <w:tc>
          <w:tcPr>
            <w:tcW w:w="831" w:type="dxa"/>
            <w:shd w:val="clear" w:color="auto" w:fill="auto"/>
            <w:vAlign w:val="center"/>
          </w:tcPr>
          <w:p w14:paraId="74E15A9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5,9</w:t>
            </w:r>
          </w:p>
        </w:tc>
        <w:tc>
          <w:tcPr>
            <w:tcW w:w="895" w:type="dxa"/>
            <w:shd w:val="clear" w:color="auto" w:fill="auto"/>
            <w:vAlign w:val="center"/>
          </w:tcPr>
          <w:p w14:paraId="045E1AF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14,1</w:t>
            </w:r>
          </w:p>
        </w:tc>
        <w:tc>
          <w:tcPr>
            <w:tcW w:w="1088" w:type="dxa"/>
            <w:shd w:val="clear" w:color="auto" w:fill="auto"/>
            <w:vAlign w:val="center"/>
          </w:tcPr>
          <w:p w14:paraId="293D5F2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29,7</w:t>
            </w:r>
          </w:p>
        </w:tc>
        <w:tc>
          <w:tcPr>
            <w:tcW w:w="843" w:type="dxa"/>
            <w:shd w:val="clear" w:color="auto" w:fill="auto"/>
            <w:vAlign w:val="center"/>
          </w:tcPr>
          <w:p w14:paraId="32784AD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1,0</w:t>
            </w:r>
          </w:p>
        </w:tc>
      </w:tr>
      <w:tr w:rsidR="00C617B2" w:rsidRPr="00C617B2" w14:paraId="4716CEEF" w14:textId="77777777" w:rsidTr="0080644A">
        <w:trPr>
          <w:jc w:val="center"/>
        </w:trPr>
        <w:tc>
          <w:tcPr>
            <w:tcW w:w="1253" w:type="dxa"/>
            <w:shd w:val="clear" w:color="auto" w:fill="auto"/>
            <w:vAlign w:val="center"/>
          </w:tcPr>
          <w:p w14:paraId="25E103A1"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D-125/BERD/13</w:t>
            </w:r>
          </w:p>
        </w:tc>
        <w:tc>
          <w:tcPr>
            <w:tcW w:w="1273" w:type="dxa"/>
            <w:shd w:val="clear" w:color="auto" w:fill="auto"/>
            <w:vAlign w:val="center"/>
          </w:tcPr>
          <w:p w14:paraId="4454FFA5"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Reabilitarea drumurilor IV</w:t>
            </w:r>
          </w:p>
        </w:tc>
        <w:tc>
          <w:tcPr>
            <w:tcW w:w="567" w:type="dxa"/>
            <w:shd w:val="clear" w:color="auto" w:fill="auto"/>
            <w:vAlign w:val="center"/>
          </w:tcPr>
          <w:p w14:paraId="0BE033B6"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EUR</w:t>
            </w:r>
          </w:p>
        </w:tc>
        <w:tc>
          <w:tcPr>
            <w:tcW w:w="961" w:type="dxa"/>
            <w:shd w:val="clear" w:color="auto" w:fill="auto"/>
            <w:vAlign w:val="center"/>
          </w:tcPr>
          <w:p w14:paraId="332C8DA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150,0</w:t>
            </w:r>
          </w:p>
        </w:tc>
        <w:tc>
          <w:tcPr>
            <w:tcW w:w="947" w:type="dxa"/>
            <w:shd w:val="clear" w:color="auto" w:fill="auto"/>
            <w:vAlign w:val="center"/>
          </w:tcPr>
          <w:p w14:paraId="4F424263"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28.06.13</w:t>
            </w:r>
          </w:p>
        </w:tc>
        <w:tc>
          <w:tcPr>
            <w:tcW w:w="991" w:type="dxa"/>
            <w:shd w:val="clear" w:color="auto" w:fill="auto"/>
            <w:vAlign w:val="center"/>
          </w:tcPr>
          <w:p w14:paraId="3BF9B53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31.05.24</w:t>
            </w:r>
          </w:p>
        </w:tc>
        <w:tc>
          <w:tcPr>
            <w:tcW w:w="878" w:type="dxa"/>
            <w:shd w:val="clear" w:color="auto" w:fill="auto"/>
            <w:vAlign w:val="center"/>
          </w:tcPr>
          <w:p w14:paraId="75A901D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1,00</w:t>
            </w:r>
          </w:p>
        </w:tc>
        <w:tc>
          <w:tcPr>
            <w:tcW w:w="831" w:type="dxa"/>
            <w:shd w:val="clear" w:color="auto" w:fill="auto"/>
            <w:vAlign w:val="center"/>
          </w:tcPr>
          <w:p w14:paraId="6FB8D4FF"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14,7</w:t>
            </w:r>
          </w:p>
        </w:tc>
        <w:tc>
          <w:tcPr>
            <w:tcW w:w="895" w:type="dxa"/>
            <w:shd w:val="clear" w:color="auto" w:fill="auto"/>
            <w:vAlign w:val="center"/>
          </w:tcPr>
          <w:p w14:paraId="20D01B85"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135,3</w:t>
            </w:r>
          </w:p>
        </w:tc>
        <w:tc>
          <w:tcPr>
            <w:tcW w:w="1088" w:type="dxa"/>
            <w:shd w:val="clear" w:color="auto" w:fill="auto"/>
            <w:vAlign w:val="center"/>
          </w:tcPr>
          <w:p w14:paraId="6ABC91E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9,8</w:t>
            </w:r>
          </w:p>
        </w:tc>
        <w:tc>
          <w:tcPr>
            <w:tcW w:w="843" w:type="dxa"/>
            <w:shd w:val="clear" w:color="auto" w:fill="auto"/>
            <w:vAlign w:val="center"/>
          </w:tcPr>
          <w:p w14:paraId="5F367441"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3,8</w:t>
            </w:r>
          </w:p>
        </w:tc>
      </w:tr>
      <w:tr w:rsidR="00C617B2" w:rsidRPr="00C617B2" w14:paraId="1B336325" w14:textId="77777777" w:rsidTr="0080644A">
        <w:trPr>
          <w:jc w:val="center"/>
        </w:trPr>
        <w:tc>
          <w:tcPr>
            <w:tcW w:w="1253" w:type="dxa"/>
            <w:shd w:val="clear" w:color="auto" w:fill="auto"/>
            <w:vAlign w:val="center"/>
          </w:tcPr>
          <w:p w14:paraId="510D813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D-140/BERD/14</w:t>
            </w:r>
          </w:p>
        </w:tc>
        <w:tc>
          <w:tcPr>
            <w:tcW w:w="1273" w:type="dxa"/>
            <w:shd w:val="clear" w:color="auto" w:fill="auto"/>
            <w:vAlign w:val="center"/>
          </w:tcPr>
          <w:p w14:paraId="0E21EA87"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Achiziție locomotive și restructurare a infrastructurii feroviare</w:t>
            </w:r>
          </w:p>
        </w:tc>
        <w:tc>
          <w:tcPr>
            <w:tcW w:w="567" w:type="dxa"/>
            <w:shd w:val="clear" w:color="auto" w:fill="auto"/>
            <w:vAlign w:val="center"/>
          </w:tcPr>
          <w:p w14:paraId="462EF996"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EUR</w:t>
            </w:r>
          </w:p>
        </w:tc>
        <w:tc>
          <w:tcPr>
            <w:tcW w:w="961" w:type="dxa"/>
            <w:shd w:val="clear" w:color="auto" w:fill="auto"/>
            <w:vAlign w:val="center"/>
          </w:tcPr>
          <w:p w14:paraId="1329C05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52,5</w:t>
            </w:r>
          </w:p>
        </w:tc>
        <w:tc>
          <w:tcPr>
            <w:tcW w:w="947" w:type="dxa"/>
            <w:shd w:val="clear" w:color="auto" w:fill="auto"/>
            <w:vAlign w:val="center"/>
          </w:tcPr>
          <w:p w14:paraId="43C4A31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14.11.14</w:t>
            </w:r>
          </w:p>
        </w:tc>
        <w:tc>
          <w:tcPr>
            <w:tcW w:w="991" w:type="dxa"/>
            <w:shd w:val="clear" w:color="auto" w:fill="auto"/>
            <w:vAlign w:val="center"/>
          </w:tcPr>
          <w:p w14:paraId="69B0BEB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14.03.21</w:t>
            </w:r>
          </w:p>
        </w:tc>
        <w:tc>
          <w:tcPr>
            <w:tcW w:w="878" w:type="dxa"/>
            <w:shd w:val="clear" w:color="auto" w:fill="auto"/>
            <w:vAlign w:val="center"/>
          </w:tcPr>
          <w:p w14:paraId="3C91F9EE"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1,00</w:t>
            </w:r>
          </w:p>
        </w:tc>
        <w:tc>
          <w:tcPr>
            <w:tcW w:w="831" w:type="dxa"/>
            <w:shd w:val="clear" w:color="auto" w:fill="auto"/>
            <w:vAlign w:val="center"/>
          </w:tcPr>
          <w:p w14:paraId="472DEBD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4,2</w:t>
            </w:r>
          </w:p>
        </w:tc>
        <w:tc>
          <w:tcPr>
            <w:tcW w:w="895" w:type="dxa"/>
            <w:shd w:val="clear" w:color="auto" w:fill="auto"/>
            <w:vAlign w:val="center"/>
          </w:tcPr>
          <w:p w14:paraId="47BC67E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48,3</w:t>
            </w:r>
          </w:p>
        </w:tc>
        <w:tc>
          <w:tcPr>
            <w:tcW w:w="1088" w:type="dxa"/>
            <w:shd w:val="clear" w:color="auto" w:fill="auto"/>
            <w:vAlign w:val="center"/>
          </w:tcPr>
          <w:p w14:paraId="21EBAF03"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8,0</w:t>
            </w:r>
          </w:p>
        </w:tc>
        <w:tc>
          <w:tcPr>
            <w:tcW w:w="843" w:type="dxa"/>
            <w:shd w:val="clear" w:color="auto" w:fill="auto"/>
            <w:vAlign w:val="center"/>
          </w:tcPr>
          <w:p w14:paraId="69A5DD9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1,2</w:t>
            </w:r>
          </w:p>
        </w:tc>
      </w:tr>
      <w:tr w:rsidR="00C617B2" w:rsidRPr="00C617B2" w14:paraId="2B3899C2" w14:textId="77777777" w:rsidTr="0080644A">
        <w:trPr>
          <w:jc w:val="center"/>
        </w:trPr>
        <w:tc>
          <w:tcPr>
            <w:tcW w:w="1253" w:type="dxa"/>
            <w:shd w:val="clear" w:color="auto" w:fill="auto"/>
            <w:vAlign w:val="center"/>
          </w:tcPr>
          <w:p w14:paraId="1D6F422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D-161/BERD/17</w:t>
            </w:r>
          </w:p>
        </w:tc>
        <w:tc>
          <w:tcPr>
            <w:tcW w:w="1273" w:type="dxa"/>
            <w:shd w:val="clear" w:color="auto" w:fill="auto"/>
            <w:vAlign w:val="center"/>
          </w:tcPr>
          <w:p w14:paraId="5048D4F6"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Interconectarea rețelelor de energie electrică dintre RM și România</w:t>
            </w:r>
          </w:p>
        </w:tc>
        <w:tc>
          <w:tcPr>
            <w:tcW w:w="567" w:type="dxa"/>
            <w:shd w:val="clear" w:color="auto" w:fill="auto"/>
            <w:vAlign w:val="center"/>
          </w:tcPr>
          <w:p w14:paraId="151ECD91"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EUR</w:t>
            </w:r>
          </w:p>
        </w:tc>
        <w:tc>
          <w:tcPr>
            <w:tcW w:w="961" w:type="dxa"/>
            <w:shd w:val="clear" w:color="auto" w:fill="auto"/>
            <w:vAlign w:val="center"/>
          </w:tcPr>
          <w:p w14:paraId="59C0F23D"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80,0</w:t>
            </w:r>
          </w:p>
        </w:tc>
        <w:tc>
          <w:tcPr>
            <w:tcW w:w="947" w:type="dxa"/>
            <w:shd w:val="clear" w:color="auto" w:fill="auto"/>
            <w:vAlign w:val="center"/>
          </w:tcPr>
          <w:p w14:paraId="5A1A01B3"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20.12.17</w:t>
            </w:r>
          </w:p>
        </w:tc>
        <w:tc>
          <w:tcPr>
            <w:tcW w:w="991" w:type="dxa"/>
            <w:shd w:val="clear" w:color="auto" w:fill="auto"/>
            <w:vAlign w:val="center"/>
          </w:tcPr>
          <w:p w14:paraId="32C00D5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20.12.21</w:t>
            </w:r>
          </w:p>
        </w:tc>
        <w:tc>
          <w:tcPr>
            <w:tcW w:w="878" w:type="dxa"/>
            <w:shd w:val="clear" w:color="auto" w:fill="auto"/>
            <w:vAlign w:val="center"/>
          </w:tcPr>
          <w:p w14:paraId="0CCB956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1,00</w:t>
            </w:r>
          </w:p>
        </w:tc>
        <w:tc>
          <w:tcPr>
            <w:tcW w:w="831" w:type="dxa"/>
            <w:shd w:val="clear" w:color="auto" w:fill="auto"/>
            <w:vAlign w:val="center"/>
          </w:tcPr>
          <w:p w14:paraId="792E3925"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0,0</w:t>
            </w:r>
          </w:p>
        </w:tc>
        <w:tc>
          <w:tcPr>
            <w:tcW w:w="895" w:type="dxa"/>
            <w:shd w:val="clear" w:color="auto" w:fill="auto"/>
            <w:vAlign w:val="center"/>
          </w:tcPr>
          <w:p w14:paraId="7D534643"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80,0</w:t>
            </w:r>
          </w:p>
        </w:tc>
        <w:tc>
          <w:tcPr>
            <w:tcW w:w="1088" w:type="dxa"/>
            <w:shd w:val="clear" w:color="auto" w:fill="auto"/>
            <w:vAlign w:val="center"/>
          </w:tcPr>
          <w:p w14:paraId="7EBB620F"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0,0</w:t>
            </w:r>
          </w:p>
        </w:tc>
        <w:tc>
          <w:tcPr>
            <w:tcW w:w="843" w:type="dxa"/>
            <w:shd w:val="clear" w:color="auto" w:fill="auto"/>
            <w:vAlign w:val="center"/>
          </w:tcPr>
          <w:p w14:paraId="75ADE50A"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0,0</w:t>
            </w:r>
          </w:p>
        </w:tc>
      </w:tr>
      <w:tr w:rsidR="00C617B2" w:rsidRPr="00C617B2" w14:paraId="42FD937D" w14:textId="77777777" w:rsidTr="0080644A">
        <w:trPr>
          <w:jc w:val="center"/>
        </w:trPr>
        <w:tc>
          <w:tcPr>
            <w:tcW w:w="1253" w:type="dxa"/>
            <w:shd w:val="clear" w:color="auto" w:fill="auto"/>
            <w:vAlign w:val="center"/>
          </w:tcPr>
          <w:p w14:paraId="356F7B53"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D-134/BIRD/14</w:t>
            </w:r>
          </w:p>
        </w:tc>
        <w:tc>
          <w:tcPr>
            <w:tcW w:w="1273" w:type="dxa"/>
            <w:shd w:val="clear" w:color="auto" w:fill="auto"/>
            <w:vAlign w:val="center"/>
          </w:tcPr>
          <w:p w14:paraId="10DADC7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Ameliorarea competitivității II</w:t>
            </w:r>
          </w:p>
        </w:tc>
        <w:tc>
          <w:tcPr>
            <w:tcW w:w="567" w:type="dxa"/>
            <w:shd w:val="clear" w:color="auto" w:fill="auto"/>
            <w:vAlign w:val="center"/>
          </w:tcPr>
          <w:p w14:paraId="3747CB3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USD</w:t>
            </w:r>
          </w:p>
        </w:tc>
        <w:tc>
          <w:tcPr>
            <w:tcW w:w="961" w:type="dxa"/>
            <w:shd w:val="clear" w:color="auto" w:fill="auto"/>
            <w:vAlign w:val="center"/>
          </w:tcPr>
          <w:p w14:paraId="584BF9F6"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30,0</w:t>
            </w:r>
          </w:p>
        </w:tc>
        <w:tc>
          <w:tcPr>
            <w:tcW w:w="947" w:type="dxa"/>
            <w:shd w:val="clear" w:color="auto" w:fill="auto"/>
            <w:vAlign w:val="center"/>
          </w:tcPr>
          <w:p w14:paraId="75C12B4E"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15.07.14</w:t>
            </w:r>
          </w:p>
        </w:tc>
        <w:tc>
          <w:tcPr>
            <w:tcW w:w="991" w:type="dxa"/>
            <w:shd w:val="clear" w:color="auto" w:fill="auto"/>
            <w:vAlign w:val="center"/>
          </w:tcPr>
          <w:p w14:paraId="0EA7407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31.01.20</w:t>
            </w:r>
          </w:p>
        </w:tc>
        <w:tc>
          <w:tcPr>
            <w:tcW w:w="878" w:type="dxa"/>
            <w:shd w:val="clear" w:color="auto" w:fill="auto"/>
            <w:vAlign w:val="center"/>
          </w:tcPr>
          <w:p w14:paraId="41616CF3"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3,92</w:t>
            </w:r>
          </w:p>
        </w:tc>
        <w:tc>
          <w:tcPr>
            <w:tcW w:w="831" w:type="dxa"/>
            <w:shd w:val="clear" w:color="auto" w:fill="auto"/>
            <w:vAlign w:val="center"/>
          </w:tcPr>
          <w:p w14:paraId="519D7DF1"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21,2</w:t>
            </w:r>
          </w:p>
        </w:tc>
        <w:tc>
          <w:tcPr>
            <w:tcW w:w="895" w:type="dxa"/>
            <w:shd w:val="clear" w:color="auto" w:fill="auto"/>
            <w:vAlign w:val="center"/>
          </w:tcPr>
          <w:p w14:paraId="21F57453"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8,8</w:t>
            </w:r>
          </w:p>
        </w:tc>
        <w:tc>
          <w:tcPr>
            <w:tcW w:w="1088" w:type="dxa"/>
            <w:shd w:val="clear" w:color="auto" w:fill="auto"/>
            <w:vAlign w:val="center"/>
          </w:tcPr>
          <w:p w14:paraId="607C4B9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70,6</w:t>
            </w:r>
          </w:p>
        </w:tc>
        <w:tc>
          <w:tcPr>
            <w:tcW w:w="843" w:type="dxa"/>
            <w:shd w:val="clear" w:color="auto" w:fill="auto"/>
            <w:vAlign w:val="center"/>
          </w:tcPr>
          <w:p w14:paraId="1B6D164F" w14:textId="535895DA"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w:t>
            </w:r>
            <w:r w:rsidR="0033075D">
              <w:rPr>
                <w:rFonts w:asciiTheme="majorHAnsi" w:hAnsiTheme="majorHAnsi" w:cstheme="majorHAnsi"/>
                <w:sz w:val="16"/>
                <w:szCs w:val="16"/>
                <w:lang w:val="ro-RO"/>
              </w:rPr>
              <w:t>2</w:t>
            </w:r>
          </w:p>
        </w:tc>
      </w:tr>
      <w:tr w:rsidR="00C617B2" w:rsidRPr="00C617B2" w14:paraId="2055E8EC" w14:textId="77777777" w:rsidTr="0080644A">
        <w:trPr>
          <w:jc w:val="center"/>
        </w:trPr>
        <w:tc>
          <w:tcPr>
            <w:tcW w:w="1253" w:type="dxa"/>
            <w:shd w:val="clear" w:color="auto" w:fill="auto"/>
            <w:vAlign w:val="center"/>
          </w:tcPr>
          <w:p w14:paraId="1510047F"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D-148/BIRD/16</w:t>
            </w:r>
          </w:p>
        </w:tc>
        <w:tc>
          <w:tcPr>
            <w:tcW w:w="1273" w:type="dxa"/>
            <w:shd w:val="clear" w:color="auto" w:fill="auto"/>
            <w:vAlign w:val="center"/>
          </w:tcPr>
          <w:p w14:paraId="228926B3" w14:textId="3737FD02"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Modernizarea administr</w:t>
            </w:r>
            <w:r w:rsidR="006D7BBF">
              <w:rPr>
                <w:rFonts w:asciiTheme="majorHAnsi" w:hAnsiTheme="majorHAnsi"/>
                <w:sz w:val="16"/>
                <w:szCs w:val="22"/>
                <w:lang w:val="ro-RO"/>
              </w:rPr>
              <w:t>ă</w:t>
            </w:r>
            <w:r w:rsidRPr="004F6200">
              <w:rPr>
                <w:rFonts w:asciiTheme="majorHAnsi" w:hAnsiTheme="majorHAnsi"/>
                <w:sz w:val="16"/>
                <w:szCs w:val="22"/>
                <w:lang w:val="ro-RO"/>
              </w:rPr>
              <w:t xml:space="preserve">rii </w:t>
            </w:r>
            <w:r w:rsidRPr="006D7BBF">
              <w:rPr>
                <w:rFonts w:asciiTheme="majorHAnsi" w:hAnsiTheme="majorHAnsi"/>
                <w:sz w:val="16"/>
                <w:lang w:val="ro-RO"/>
              </w:rPr>
              <w:t>tax</w:t>
            </w:r>
            <w:r w:rsidR="006D7BBF">
              <w:rPr>
                <w:rFonts w:asciiTheme="majorHAnsi" w:hAnsiTheme="majorHAnsi"/>
                <w:sz w:val="16"/>
                <w:szCs w:val="22"/>
                <w:lang w:val="ro-RO"/>
              </w:rPr>
              <w:t>elor</w:t>
            </w:r>
          </w:p>
        </w:tc>
        <w:tc>
          <w:tcPr>
            <w:tcW w:w="567" w:type="dxa"/>
            <w:shd w:val="clear" w:color="auto" w:fill="auto"/>
            <w:vAlign w:val="center"/>
          </w:tcPr>
          <w:p w14:paraId="029E5B1A"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USD</w:t>
            </w:r>
          </w:p>
        </w:tc>
        <w:tc>
          <w:tcPr>
            <w:tcW w:w="961" w:type="dxa"/>
            <w:shd w:val="clear" w:color="auto" w:fill="auto"/>
            <w:vAlign w:val="center"/>
          </w:tcPr>
          <w:p w14:paraId="10199F2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12,6</w:t>
            </w:r>
          </w:p>
        </w:tc>
        <w:tc>
          <w:tcPr>
            <w:tcW w:w="947" w:type="dxa"/>
            <w:shd w:val="clear" w:color="auto" w:fill="auto"/>
            <w:vAlign w:val="center"/>
          </w:tcPr>
          <w:p w14:paraId="41FB898A"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28.06.16</w:t>
            </w:r>
          </w:p>
        </w:tc>
        <w:tc>
          <w:tcPr>
            <w:tcW w:w="991" w:type="dxa"/>
            <w:shd w:val="clear" w:color="auto" w:fill="auto"/>
            <w:vAlign w:val="center"/>
          </w:tcPr>
          <w:p w14:paraId="69D852F7"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31.12.21</w:t>
            </w:r>
          </w:p>
        </w:tc>
        <w:tc>
          <w:tcPr>
            <w:tcW w:w="878" w:type="dxa"/>
            <w:shd w:val="clear" w:color="auto" w:fill="auto"/>
            <w:vAlign w:val="center"/>
          </w:tcPr>
          <w:p w14:paraId="2AF3B3C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3,64</w:t>
            </w:r>
          </w:p>
        </w:tc>
        <w:tc>
          <w:tcPr>
            <w:tcW w:w="831" w:type="dxa"/>
            <w:shd w:val="clear" w:color="auto" w:fill="auto"/>
            <w:vAlign w:val="center"/>
          </w:tcPr>
          <w:p w14:paraId="6244E8A1"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0,0</w:t>
            </w:r>
          </w:p>
        </w:tc>
        <w:tc>
          <w:tcPr>
            <w:tcW w:w="895" w:type="dxa"/>
            <w:shd w:val="clear" w:color="auto" w:fill="auto"/>
            <w:vAlign w:val="center"/>
          </w:tcPr>
          <w:p w14:paraId="089D54B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12,6</w:t>
            </w:r>
          </w:p>
        </w:tc>
        <w:tc>
          <w:tcPr>
            <w:tcW w:w="1088" w:type="dxa"/>
            <w:shd w:val="clear" w:color="auto" w:fill="auto"/>
            <w:vAlign w:val="center"/>
          </w:tcPr>
          <w:p w14:paraId="16C6A281"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0,0</w:t>
            </w:r>
          </w:p>
        </w:tc>
        <w:tc>
          <w:tcPr>
            <w:tcW w:w="843" w:type="dxa"/>
            <w:shd w:val="clear" w:color="auto" w:fill="auto"/>
            <w:vAlign w:val="center"/>
          </w:tcPr>
          <w:p w14:paraId="5D54FC0A"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0,1</w:t>
            </w:r>
          </w:p>
        </w:tc>
      </w:tr>
      <w:tr w:rsidR="00C617B2" w:rsidRPr="00C617B2" w14:paraId="1A9B159D" w14:textId="77777777" w:rsidTr="0080644A">
        <w:trPr>
          <w:jc w:val="center"/>
        </w:trPr>
        <w:tc>
          <w:tcPr>
            <w:tcW w:w="1253" w:type="dxa"/>
            <w:shd w:val="clear" w:color="auto" w:fill="auto"/>
            <w:vAlign w:val="center"/>
          </w:tcPr>
          <w:p w14:paraId="08B940A5"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D-163/BIRD/17</w:t>
            </w:r>
          </w:p>
        </w:tc>
        <w:tc>
          <w:tcPr>
            <w:tcW w:w="1273" w:type="dxa"/>
            <w:shd w:val="clear" w:color="auto" w:fill="auto"/>
            <w:vAlign w:val="center"/>
          </w:tcPr>
          <w:p w14:paraId="45F1B97B" w14:textId="77777777" w:rsidR="00C617B2" w:rsidRPr="00B04B15" w:rsidRDefault="00C617B2" w:rsidP="0080644A">
            <w:pPr>
              <w:jc w:val="center"/>
              <w:rPr>
                <w:rFonts w:asciiTheme="majorHAnsi" w:hAnsiTheme="majorHAnsi"/>
                <w:sz w:val="16"/>
                <w:lang w:val="ro-RO"/>
              </w:rPr>
            </w:pPr>
            <w:r w:rsidRPr="00B04B15">
              <w:rPr>
                <w:rFonts w:asciiTheme="majorHAnsi" w:hAnsiTheme="majorHAnsi"/>
                <w:sz w:val="16"/>
                <w:lang w:val="ro-RO"/>
              </w:rPr>
              <w:t>Modernizarea Serviciilor Guvernamentale</w:t>
            </w:r>
          </w:p>
        </w:tc>
        <w:tc>
          <w:tcPr>
            <w:tcW w:w="567" w:type="dxa"/>
            <w:shd w:val="clear" w:color="auto" w:fill="auto"/>
            <w:vAlign w:val="center"/>
          </w:tcPr>
          <w:p w14:paraId="65657EB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USD</w:t>
            </w:r>
          </w:p>
        </w:tc>
        <w:tc>
          <w:tcPr>
            <w:tcW w:w="961" w:type="dxa"/>
            <w:shd w:val="clear" w:color="auto" w:fill="auto"/>
            <w:vAlign w:val="center"/>
          </w:tcPr>
          <w:p w14:paraId="01BB4D4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5,0</w:t>
            </w:r>
          </w:p>
        </w:tc>
        <w:tc>
          <w:tcPr>
            <w:tcW w:w="947" w:type="dxa"/>
            <w:shd w:val="clear" w:color="auto" w:fill="auto"/>
            <w:vAlign w:val="center"/>
          </w:tcPr>
          <w:p w14:paraId="0990A757"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28.11.17</w:t>
            </w:r>
          </w:p>
        </w:tc>
        <w:tc>
          <w:tcPr>
            <w:tcW w:w="991" w:type="dxa"/>
            <w:shd w:val="clear" w:color="auto" w:fill="auto"/>
            <w:vAlign w:val="center"/>
          </w:tcPr>
          <w:p w14:paraId="0D70627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30.06.23</w:t>
            </w:r>
          </w:p>
        </w:tc>
        <w:tc>
          <w:tcPr>
            <w:tcW w:w="878" w:type="dxa"/>
            <w:shd w:val="clear" w:color="auto" w:fill="auto"/>
            <w:vAlign w:val="center"/>
          </w:tcPr>
          <w:p w14:paraId="2B7E3FFF"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3,83</w:t>
            </w:r>
          </w:p>
        </w:tc>
        <w:tc>
          <w:tcPr>
            <w:tcW w:w="831" w:type="dxa"/>
            <w:shd w:val="clear" w:color="auto" w:fill="auto"/>
            <w:vAlign w:val="center"/>
          </w:tcPr>
          <w:p w14:paraId="2569DCE3"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0,4</w:t>
            </w:r>
          </w:p>
        </w:tc>
        <w:tc>
          <w:tcPr>
            <w:tcW w:w="895" w:type="dxa"/>
            <w:shd w:val="clear" w:color="auto" w:fill="auto"/>
            <w:vAlign w:val="center"/>
          </w:tcPr>
          <w:p w14:paraId="694BB7F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4,6</w:t>
            </w:r>
          </w:p>
        </w:tc>
        <w:tc>
          <w:tcPr>
            <w:tcW w:w="1088" w:type="dxa"/>
            <w:shd w:val="clear" w:color="auto" w:fill="auto"/>
            <w:vAlign w:val="center"/>
          </w:tcPr>
          <w:p w14:paraId="18DE13A1"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7,1</w:t>
            </w:r>
          </w:p>
        </w:tc>
        <w:tc>
          <w:tcPr>
            <w:tcW w:w="843" w:type="dxa"/>
            <w:shd w:val="clear" w:color="auto" w:fill="auto"/>
            <w:vAlign w:val="center"/>
          </w:tcPr>
          <w:p w14:paraId="1AA3D7D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0,02</w:t>
            </w:r>
          </w:p>
        </w:tc>
      </w:tr>
      <w:tr w:rsidR="00C617B2" w:rsidRPr="00C617B2" w14:paraId="70C17296" w14:textId="77777777" w:rsidTr="0080644A">
        <w:trPr>
          <w:jc w:val="center"/>
        </w:trPr>
        <w:tc>
          <w:tcPr>
            <w:tcW w:w="1253" w:type="dxa"/>
            <w:shd w:val="clear" w:color="auto" w:fill="auto"/>
            <w:vAlign w:val="center"/>
          </w:tcPr>
          <w:p w14:paraId="4A98F3B6"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D-122/IDA/13</w:t>
            </w:r>
          </w:p>
        </w:tc>
        <w:tc>
          <w:tcPr>
            <w:tcW w:w="1273" w:type="dxa"/>
            <w:shd w:val="clear" w:color="auto" w:fill="auto"/>
            <w:vAlign w:val="center"/>
          </w:tcPr>
          <w:p w14:paraId="68CA787D" w14:textId="79FC5CE0" w:rsidR="00C617B2" w:rsidRPr="00B04B15" w:rsidRDefault="00F27049" w:rsidP="0080644A">
            <w:pPr>
              <w:jc w:val="center"/>
              <w:rPr>
                <w:rFonts w:asciiTheme="majorHAnsi" w:hAnsiTheme="majorHAnsi"/>
                <w:sz w:val="16"/>
                <w:lang w:val="ro-RO"/>
              </w:rPr>
            </w:pPr>
            <w:r>
              <w:rPr>
                <w:rFonts w:asciiTheme="majorHAnsi" w:hAnsiTheme="majorHAnsi"/>
                <w:sz w:val="16"/>
                <w:lang w:val="ro-RO"/>
              </w:rPr>
              <w:t xml:space="preserve">Reforma </w:t>
            </w:r>
            <w:r w:rsidR="00C617B2" w:rsidRPr="00B04B15">
              <w:rPr>
                <w:rFonts w:asciiTheme="majorHAnsi" w:hAnsiTheme="majorHAnsi"/>
                <w:sz w:val="16"/>
                <w:lang w:val="ro-RO"/>
              </w:rPr>
              <w:t>Educației din Moldova</w:t>
            </w:r>
          </w:p>
        </w:tc>
        <w:tc>
          <w:tcPr>
            <w:tcW w:w="567" w:type="dxa"/>
            <w:shd w:val="clear" w:color="auto" w:fill="auto"/>
            <w:vAlign w:val="center"/>
          </w:tcPr>
          <w:p w14:paraId="3A7D386A"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DST</w:t>
            </w:r>
          </w:p>
        </w:tc>
        <w:tc>
          <w:tcPr>
            <w:tcW w:w="961" w:type="dxa"/>
            <w:shd w:val="clear" w:color="auto" w:fill="auto"/>
            <w:vAlign w:val="center"/>
          </w:tcPr>
          <w:p w14:paraId="70EA0EA6"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26,1</w:t>
            </w:r>
          </w:p>
        </w:tc>
        <w:tc>
          <w:tcPr>
            <w:tcW w:w="947" w:type="dxa"/>
            <w:shd w:val="clear" w:color="auto" w:fill="auto"/>
            <w:vAlign w:val="center"/>
          </w:tcPr>
          <w:p w14:paraId="5E40F5D5"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07.02.13</w:t>
            </w:r>
          </w:p>
        </w:tc>
        <w:tc>
          <w:tcPr>
            <w:tcW w:w="991" w:type="dxa"/>
            <w:shd w:val="clear" w:color="auto" w:fill="auto"/>
            <w:vAlign w:val="center"/>
          </w:tcPr>
          <w:p w14:paraId="7D23CC35"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28.06.19</w:t>
            </w:r>
          </w:p>
        </w:tc>
        <w:tc>
          <w:tcPr>
            <w:tcW w:w="878" w:type="dxa"/>
            <w:shd w:val="clear" w:color="auto" w:fill="auto"/>
            <w:vAlign w:val="center"/>
          </w:tcPr>
          <w:p w14:paraId="615E19A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2,00</w:t>
            </w:r>
          </w:p>
        </w:tc>
        <w:tc>
          <w:tcPr>
            <w:tcW w:w="831" w:type="dxa"/>
            <w:shd w:val="clear" w:color="auto" w:fill="auto"/>
            <w:vAlign w:val="center"/>
          </w:tcPr>
          <w:p w14:paraId="720B9E3E"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17,6</w:t>
            </w:r>
          </w:p>
        </w:tc>
        <w:tc>
          <w:tcPr>
            <w:tcW w:w="895" w:type="dxa"/>
            <w:shd w:val="clear" w:color="auto" w:fill="auto"/>
            <w:vAlign w:val="center"/>
          </w:tcPr>
          <w:p w14:paraId="42C2AAA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8,5</w:t>
            </w:r>
          </w:p>
        </w:tc>
        <w:tc>
          <w:tcPr>
            <w:tcW w:w="1088" w:type="dxa"/>
            <w:shd w:val="clear" w:color="auto" w:fill="auto"/>
            <w:vAlign w:val="center"/>
          </w:tcPr>
          <w:p w14:paraId="4119CBDE"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67,6</w:t>
            </w:r>
          </w:p>
        </w:tc>
        <w:tc>
          <w:tcPr>
            <w:tcW w:w="843" w:type="dxa"/>
            <w:shd w:val="clear" w:color="auto" w:fill="auto"/>
            <w:vAlign w:val="center"/>
          </w:tcPr>
          <w:p w14:paraId="15AEDF83"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1,5</w:t>
            </w:r>
          </w:p>
        </w:tc>
      </w:tr>
      <w:tr w:rsidR="00C617B2" w:rsidRPr="00C617B2" w14:paraId="3849825B" w14:textId="77777777" w:rsidTr="0080644A">
        <w:trPr>
          <w:jc w:val="center"/>
        </w:trPr>
        <w:tc>
          <w:tcPr>
            <w:tcW w:w="1253" w:type="dxa"/>
            <w:shd w:val="clear" w:color="auto" w:fill="auto"/>
            <w:vAlign w:val="center"/>
          </w:tcPr>
          <w:p w14:paraId="4855E811"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D-133/IDA/14</w:t>
            </w:r>
          </w:p>
        </w:tc>
        <w:tc>
          <w:tcPr>
            <w:tcW w:w="1273" w:type="dxa"/>
            <w:shd w:val="clear" w:color="auto" w:fill="auto"/>
            <w:vAlign w:val="center"/>
          </w:tcPr>
          <w:p w14:paraId="22B4AC85"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Ameliorarea competitivității II</w:t>
            </w:r>
          </w:p>
        </w:tc>
        <w:tc>
          <w:tcPr>
            <w:tcW w:w="567" w:type="dxa"/>
            <w:shd w:val="clear" w:color="auto" w:fill="auto"/>
            <w:vAlign w:val="center"/>
          </w:tcPr>
          <w:p w14:paraId="084B23B7"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DST</w:t>
            </w:r>
          </w:p>
        </w:tc>
        <w:tc>
          <w:tcPr>
            <w:tcW w:w="961" w:type="dxa"/>
            <w:shd w:val="clear" w:color="auto" w:fill="auto"/>
            <w:vAlign w:val="center"/>
          </w:tcPr>
          <w:p w14:paraId="45A5DC33"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9,7</w:t>
            </w:r>
          </w:p>
        </w:tc>
        <w:tc>
          <w:tcPr>
            <w:tcW w:w="947" w:type="dxa"/>
            <w:shd w:val="clear" w:color="auto" w:fill="auto"/>
            <w:vAlign w:val="center"/>
          </w:tcPr>
          <w:p w14:paraId="06FD7DA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15.07.14</w:t>
            </w:r>
          </w:p>
        </w:tc>
        <w:tc>
          <w:tcPr>
            <w:tcW w:w="991" w:type="dxa"/>
            <w:shd w:val="clear" w:color="auto" w:fill="auto"/>
            <w:vAlign w:val="center"/>
          </w:tcPr>
          <w:p w14:paraId="45C92895"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31.01.20</w:t>
            </w:r>
          </w:p>
        </w:tc>
        <w:tc>
          <w:tcPr>
            <w:tcW w:w="878" w:type="dxa"/>
            <w:shd w:val="clear" w:color="auto" w:fill="auto"/>
            <w:vAlign w:val="center"/>
          </w:tcPr>
          <w:p w14:paraId="5126C494"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2,00</w:t>
            </w:r>
          </w:p>
        </w:tc>
        <w:tc>
          <w:tcPr>
            <w:tcW w:w="831" w:type="dxa"/>
            <w:shd w:val="clear" w:color="auto" w:fill="auto"/>
            <w:vAlign w:val="center"/>
          </w:tcPr>
          <w:p w14:paraId="5750438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5,2</w:t>
            </w:r>
          </w:p>
        </w:tc>
        <w:tc>
          <w:tcPr>
            <w:tcW w:w="895" w:type="dxa"/>
            <w:shd w:val="clear" w:color="auto" w:fill="auto"/>
            <w:vAlign w:val="center"/>
          </w:tcPr>
          <w:p w14:paraId="3D3C2D46"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4,5</w:t>
            </w:r>
          </w:p>
        </w:tc>
        <w:tc>
          <w:tcPr>
            <w:tcW w:w="1088" w:type="dxa"/>
            <w:shd w:val="clear" w:color="auto" w:fill="auto"/>
            <w:vAlign w:val="center"/>
          </w:tcPr>
          <w:p w14:paraId="48A1A0F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53,7</w:t>
            </w:r>
          </w:p>
        </w:tc>
        <w:tc>
          <w:tcPr>
            <w:tcW w:w="843" w:type="dxa"/>
            <w:shd w:val="clear" w:color="auto" w:fill="auto"/>
            <w:vAlign w:val="center"/>
          </w:tcPr>
          <w:p w14:paraId="7BA9B31E"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0,3</w:t>
            </w:r>
          </w:p>
        </w:tc>
      </w:tr>
      <w:tr w:rsidR="00C617B2" w:rsidRPr="00C617B2" w14:paraId="6C94CF13" w14:textId="77777777" w:rsidTr="0080644A">
        <w:trPr>
          <w:jc w:val="center"/>
        </w:trPr>
        <w:tc>
          <w:tcPr>
            <w:tcW w:w="1253" w:type="dxa"/>
            <w:shd w:val="clear" w:color="auto" w:fill="auto"/>
            <w:vAlign w:val="center"/>
          </w:tcPr>
          <w:p w14:paraId="771AABA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lastRenderedPageBreak/>
              <w:t>D-135/IDA/14</w:t>
            </w:r>
          </w:p>
        </w:tc>
        <w:tc>
          <w:tcPr>
            <w:tcW w:w="1273" w:type="dxa"/>
            <w:shd w:val="clear" w:color="auto" w:fill="auto"/>
            <w:vAlign w:val="center"/>
          </w:tcPr>
          <w:p w14:paraId="55383AA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Modernizarea sectorului sănătății</w:t>
            </w:r>
          </w:p>
        </w:tc>
        <w:tc>
          <w:tcPr>
            <w:tcW w:w="567" w:type="dxa"/>
            <w:shd w:val="clear" w:color="auto" w:fill="auto"/>
            <w:vAlign w:val="center"/>
          </w:tcPr>
          <w:p w14:paraId="692DE9D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DST</w:t>
            </w:r>
          </w:p>
        </w:tc>
        <w:tc>
          <w:tcPr>
            <w:tcW w:w="961" w:type="dxa"/>
            <w:shd w:val="clear" w:color="auto" w:fill="auto"/>
            <w:vAlign w:val="center"/>
          </w:tcPr>
          <w:p w14:paraId="21717FAE"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1,4</w:t>
            </w:r>
          </w:p>
        </w:tc>
        <w:tc>
          <w:tcPr>
            <w:tcW w:w="947" w:type="dxa"/>
            <w:shd w:val="clear" w:color="auto" w:fill="auto"/>
            <w:vAlign w:val="center"/>
          </w:tcPr>
          <w:p w14:paraId="1A3BF92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11.07.14</w:t>
            </w:r>
          </w:p>
        </w:tc>
        <w:tc>
          <w:tcPr>
            <w:tcW w:w="991" w:type="dxa"/>
            <w:shd w:val="clear" w:color="auto" w:fill="auto"/>
            <w:vAlign w:val="center"/>
          </w:tcPr>
          <w:p w14:paraId="09D0FBF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30.03.19</w:t>
            </w:r>
          </w:p>
        </w:tc>
        <w:tc>
          <w:tcPr>
            <w:tcW w:w="878" w:type="dxa"/>
            <w:shd w:val="clear" w:color="auto" w:fill="auto"/>
            <w:vAlign w:val="center"/>
          </w:tcPr>
          <w:p w14:paraId="315F2D8A"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2,00</w:t>
            </w:r>
          </w:p>
        </w:tc>
        <w:tc>
          <w:tcPr>
            <w:tcW w:w="831" w:type="dxa"/>
            <w:shd w:val="clear" w:color="auto" w:fill="auto"/>
            <w:vAlign w:val="center"/>
          </w:tcPr>
          <w:p w14:paraId="2B62D5CF"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0,8</w:t>
            </w:r>
          </w:p>
        </w:tc>
        <w:tc>
          <w:tcPr>
            <w:tcW w:w="895" w:type="dxa"/>
            <w:shd w:val="clear" w:color="auto" w:fill="auto"/>
            <w:vAlign w:val="center"/>
          </w:tcPr>
          <w:p w14:paraId="09B13567"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0,6</w:t>
            </w:r>
          </w:p>
        </w:tc>
        <w:tc>
          <w:tcPr>
            <w:tcW w:w="1088" w:type="dxa"/>
            <w:shd w:val="clear" w:color="auto" w:fill="auto"/>
            <w:vAlign w:val="center"/>
          </w:tcPr>
          <w:p w14:paraId="6E5A63A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54,4</w:t>
            </w:r>
          </w:p>
        </w:tc>
        <w:tc>
          <w:tcPr>
            <w:tcW w:w="843" w:type="dxa"/>
            <w:shd w:val="clear" w:color="auto" w:fill="auto"/>
            <w:vAlign w:val="center"/>
          </w:tcPr>
          <w:p w14:paraId="1CAE7A41"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0,03</w:t>
            </w:r>
          </w:p>
        </w:tc>
      </w:tr>
      <w:tr w:rsidR="00C617B2" w:rsidRPr="00C617B2" w14:paraId="4585E0D6" w14:textId="77777777" w:rsidTr="0080644A">
        <w:trPr>
          <w:jc w:val="center"/>
        </w:trPr>
        <w:tc>
          <w:tcPr>
            <w:tcW w:w="1253" w:type="dxa"/>
            <w:shd w:val="clear" w:color="auto" w:fill="auto"/>
            <w:vAlign w:val="center"/>
          </w:tcPr>
          <w:p w14:paraId="23D90656"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D-135/IDAI14</w:t>
            </w:r>
          </w:p>
        </w:tc>
        <w:tc>
          <w:tcPr>
            <w:tcW w:w="1273" w:type="dxa"/>
            <w:shd w:val="clear" w:color="auto" w:fill="auto"/>
            <w:vAlign w:val="center"/>
          </w:tcPr>
          <w:p w14:paraId="57D4E396"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Modernizarea sectorului sănătății</w:t>
            </w:r>
          </w:p>
        </w:tc>
        <w:tc>
          <w:tcPr>
            <w:tcW w:w="567" w:type="dxa"/>
            <w:shd w:val="clear" w:color="auto" w:fill="auto"/>
            <w:vAlign w:val="center"/>
          </w:tcPr>
          <w:p w14:paraId="1D2BE33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DST</w:t>
            </w:r>
          </w:p>
        </w:tc>
        <w:tc>
          <w:tcPr>
            <w:tcW w:w="961" w:type="dxa"/>
            <w:shd w:val="clear" w:color="auto" w:fill="auto"/>
            <w:vAlign w:val="center"/>
          </w:tcPr>
          <w:p w14:paraId="37B9444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18,6</w:t>
            </w:r>
          </w:p>
        </w:tc>
        <w:tc>
          <w:tcPr>
            <w:tcW w:w="947" w:type="dxa"/>
            <w:shd w:val="clear" w:color="auto" w:fill="auto"/>
            <w:vAlign w:val="center"/>
          </w:tcPr>
          <w:p w14:paraId="597DE6B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11.07.14</w:t>
            </w:r>
          </w:p>
        </w:tc>
        <w:tc>
          <w:tcPr>
            <w:tcW w:w="991" w:type="dxa"/>
            <w:shd w:val="clear" w:color="auto" w:fill="auto"/>
            <w:vAlign w:val="center"/>
          </w:tcPr>
          <w:p w14:paraId="4E098CF1"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30.03.19</w:t>
            </w:r>
          </w:p>
        </w:tc>
        <w:tc>
          <w:tcPr>
            <w:tcW w:w="878" w:type="dxa"/>
            <w:shd w:val="clear" w:color="auto" w:fill="auto"/>
            <w:vAlign w:val="center"/>
          </w:tcPr>
          <w:p w14:paraId="5F70E0CD"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2,00</w:t>
            </w:r>
          </w:p>
        </w:tc>
        <w:tc>
          <w:tcPr>
            <w:tcW w:w="831" w:type="dxa"/>
            <w:shd w:val="clear" w:color="auto" w:fill="auto"/>
            <w:vAlign w:val="center"/>
          </w:tcPr>
          <w:p w14:paraId="086CFDD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9,3</w:t>
            </w:r>
          </w:p>
        </w:tc>
        <w:tc>
          <w:tcPr>
            <w:tcW w:w="895" w:type="dxa"/>
            <w:shd w:val="clear" w:color="auto" w:fill="auto"/>
            <w:vAlign w:val="center"/>
          </w:tcPr>
          <w:p w14:paraId="585364D1"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9,3</w:t>
            </w:r>
          </w:p>
        </w:tc>
        <w:tc>
          <w:tcPr>
            <w:tcW w:w="1088" w:type="dxa"/>
            <w:shd w:val="clear" w:color="auto" w:fill="auto"/>
            <w:vAlign w:val="center"/>
          </w:tcPr>
          <w:p w14:paraId="124F90DA"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50,0</w:t>
            </w:r>
          </w:p>
        </w:tc>
        <w:tc>
          <w:tcPr>
            <w:tcW w:w="843" w:type="dxa"/>
            <w:shd w:val="clear" w:color="auto" w:fill="auto"/>
            <w:vAlign w:val="center"/>
          </w:tcPr>
          <w:p w14:paraId="1174B664"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0,6</w:t>
            </w:r>
          </w:p>
        </w:tc>
      </w:tr>
      <w:tr w:rsidR="00C617B2" w:rsidRPr="00C617B2" w14:paraId="144EA1DF" w14:textId="77777777" w:rsidTr="0080644A">
        <w:trPr>
          <w:jc w:val="center"/>
        </w:trPr>
        <w:tc>
          <w:tcPr>
            <w:tcW w:w="1253" w:type="dxa"/>
            <w:shd w:val="clear" w:color="auto" w:fill="auto"/>
            <w:vAlign w:val="center"/>
          </w:tcPr>
          <w:p w14:paraId="3C0F48A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D-146/IDA/16</w:t>
            </w:r>
          </w:p>
        </w:tc>
        <w:tc>
          <w:tcPr>
            <w:tcW w:w="1273" w:type="dxa"/>
            <w:shd w:val="clear" w:color="auto" w:fill="auto"/>
            <w:vAlign w:val="center"/>
          </w:tcPr>
          <w:p w14:paraId="316349D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Reabilitarea drumurilor locale</w:t>
            </w:r>
          </w:p>
        </w:tc>
        <w:tc>
          <w:tcPr>
            <w:tcW w:w="567" w:type="dxa"/>
            <w:shd w:val="clear" w:color="auto" w:fill="auto"/>
            <w:vAlign w:val="center"/>
          </w:tcPr>
          <w:p w14:paraId="4914C42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DST</w:t>
            </w:r>
          </w:p>
        </w:tc>
        <w:tc>
          <w:tcPr>
            <w:tcW w:w="961" w:type="dxa"/>
            <w:shd w:val="clear" w:color="auto" w:fill="auto"/>
            <w:vAlign w:val="center"/>
          </w:tcPr>
          <w:p w14:paraId="3CB4E59A"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57,0</w:t>
            </w:r>
          </w:p>
        </w:tc>
        <w:tc>
          <w:tcPr>
            <w:tcW w:w="947" w:type="dxa"/>
            <w:shd w:val="clear" w:color="auto" w:fill="auto"/>
            <w:vAlign w:val="center"/>
          </w:tcPr>
          <w:p w14:paraId="02D926F5"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28.04.16</w:t>
            </w:r>
          </w:p>
        </w:tc>
        <w:tc>
          <w:tcPr>
            <w:tcW w:w="991" w:type="dxa"/>
            <w:shd w:val="clear" w:color="auto" w:fill="auto"/>
            <w:vAlign w:val="center"/>
          </w:tcPr>
          <w:p w14:paraId="5FB8289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31.03.21</w:t>
            </w:r>
          </w:p>
        </w:tc>
        <w:tc>
          <w:tcPr>
            <w:tcW w:w="878" w:type="dxa"/>
            <w:shd w:val="clear" w:color="auto" w:fill="auto"/>
            <w:vAlign w:val="center"/>
          </w:tcPr>
          <w:p w14:paraId="36FA33C7"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2,00</w:t>
            </w:r>
          </w:p>
        </w:tc>
        <w:tc>
          <w:tcPr>
            <w:tcW w:w="831" w:type="dxa"/>
            <w:shd w:val="clear" w:color="auto" w:fill="auto"/>
            <w:vAlign w:val="center"/>
          </w:tcPr>
          <w:p w14:paraId="37A11AA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3,9</w:t>
            </w:r>
          </w:p>
        </w:tc>
        <w:tc>
          <w:tcPr>
            <w:tcW w:w="895" w:type="dxa"/>
            <w:shd w:val="clear" w:color="auto" w:fill="auto"/>
            <w:vAlign w:val="center"/>
          </w:tcPr>
          <w:p w14:paraId="3A877B5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53,1</w:t>
            </w:r>
          </w:p>
        </w:tc>
        <w:tc>
          <w:tcPr>
            <w:tcW w:w="1088" w:type="dxa"/>
            <w:shd w:val="clear" w:color="auto" w:fill="auto"/>
            <w:vAlign w:val="center"/>
          </w:tcPr>
          <w:p w14:paraId="7A928A5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6,8</w:t>
            </w:r>
          </w:p>
        </w:tc>
        <w:tc>
          <w:tcPr>
            <w:tcW w:w="843" w:type="dxa"/>
            <w:shd w:val="clear" w:color="auto" w:fill="auto"/>
            <w:vAlign w:val="center"/>
          </w:tcPr>
          <w:p w14:paraId="62D158F5"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0,1</w:t>
            </w:r>
          </w:p>
        </w:tc>
      </w:tr>
      <w:tr w:rsidR="00C617B2" w:rsidRPr="00C617B2" w14:paraId="4964D1F0" w14:textId="77777777" w:rsidTr="0080644A">
        <w:trPr>
          <w:jc w:val="center"/>
        </w:trPr>
        <w:tc>
          <w:tcPr>
            <w:tcW w:w="1253" w:type="dxa"/>
            <w:shd w:val="clear" w:color="auto" w:fill="auto"/>
            <w:vAlign w:val="center"/>
          </w:tcPr>
          <w:p w14:paraId="27A4ACF3"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D-147/IDA/16</w:t>
            </w:r>
          </w:p>
        </w:tc>
        <w:tc>
          <w:tcPr>
            <w:tcW w:w="1273" w:type="dxa"/>
            <w:shd w:val="clear" w:color="auto" w:fill="auto"/>
            <w:vAlign w:val="center"/>
          </w:tcPr>
          <w:p w14:paraId="738B9DF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 xml:space="preserve">Modernizarea </w:t>
            </w:r>
            <w:r w:rsidR="00A121B9" w:rsidRPr="004F6200">
              <w:rPr>
                <w:rFonts w:asciiTheme="majorHAnsi" w:hAnsiTheme="majorHAnsi"/>
                <w:sz w:val="16"/>
                <w:szCs w:val="22"/>
                <w:lang w:val="ro-RO"/>
              </w:rPr>
              <w:t>administrării</w:t>
            </w:r>
            <w:r w:rsidRPr="004F6200">
              <w:rPr>
                <w:rFonts w:asciiTheme="majorHAnsi" w:hAnsiTheme="majorHAnsi"/>
                <w:sz w:val="16"/>
                <w:szCs w:val="22"/>
                <w:lang w:val="ro-RO"/>
              </w:rPr>
              <w:t xml:space="preserve"> tax</w:t>
            </w:r>
            <w:r w:rsidR="00A121B9" w:rsidRPr="004F6200">
              <w:rPr>
                <w:rFonts w:asciiTheme="majorHAnsi" w:hAnsiTheme="majorHAnsi"/>
                <w:sz w:val="16"/>
                <w:szCs w:val="22"/>
                <w:lang w:val="ro-RO"/>
              </w:rPr>
              <w:t>elor</w:t>
            </w:r>
          </w:p>
        </w:tc>
        <w:tc>
          <w:tcPr>
            <w:tcW w:w="567" w:type="dxa"/>
            <w:shd w:val="clear" w:color="auto" w:fill="auto"/>
            <w:vAlign w:val="center"/>
          </w:tcPr>
          <w:p w14:paraId="4E374B8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DST</w:t>
            </w:r>
          </w:p>
        </w:tc>
        <w:tc>
          <w:tcPr>
            <w:tcW w:w="961" w:type="dxa"/>
            <w:shd w:val="clear" w:color="auto" w:fill="auto"/>
            <w:vAlign w:val="center"/>
          </w:tcPr>
          <w:p w14:paraId="3A59EC7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5,3</w:t>
            </w:r>
          </w:p>
        </w:tc>
        <w:tc>
          <w:tcPr>
            <w:tcW w:w="947" w:type="dxa"/>
            <w:shd w:val="clear" w:color="auto" w:fill="auto"/>
            <w:vAlign w:val="center"/>
          </w:tcPr>
          <w:p w14:paraId="26D04F7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28.06.16</w:t>
            </w:r>
          </w:p>
        </w:tc>
        <w:tc>
          <w:tcPr>
            <w:tcW w:w="991" w:type="dxa"/>
            <w:shd w:val="clear" w:color="auto" w:fill="auto"/>
            <w:vAlign w:val="center"/>
          </w:tcPr>
          <w:p w14:paraId="20856CB6"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31.12.21</w:t>
            </w:r>
          </w:p>
        </w:tc>
        <w:tc>
          <w:tcPr>
            <w:tcW w:w="878" w:type="dxa"/>
            <w:shd w:val="clear" w:color="auto" w:fill="auto"/>
            <w:vAlign w:val="center"/>
          </w:tcPr>
          <w:p w14:paraId="39A84BD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2,00</w:t>
            </w:r>
          </w:p>
        </w:tc>
        <w:tc>
          <w:tcPr>
            <w:tcW w:w="831" w:type="dxa"/>
            <w:shd w:val="clear" w:color="auto" w:fill="auto"/>
            <w:vAlign w:val="center"/>
          </w:tcPr>
          <w:p w14:paraId="0872937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0,6</w:t>
            </w:r>
          </w:p>
        </w:tc>
        <w:tc>
          <w:tcPr>
            <w:tcW w:w="895" w:type="dxa"/>
            <w:shd w:val="clear" w:color="auto" w:fill="auto"/>
            <w:vAlign w:val="center"/>
          </w:tcPr>
          <w:p w14:paraId="2E90B2BF"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4,7</w:t>
            </w:r>
          </w:p>
        </w:tc>
        <w:tc>
          <w:tcPr>
            <w:tcW w:w="1088" w:type="dxa"/>
            <w:shd w:val="clear" w:color="auto" w:fill="auto"/>
            <w:vAlign w:val="center"/>
          </w:tcPr>
          <w:p w14:paraId="002613C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10,6</w:t>
            </w:r>
          </w:p>
        </w:tc>
        <w:tc>
          <w:tcPr>
            <w:tcW w:w="843" w:type="dxa"/>
            <w:shd w:val="clear" w:color="auto" w:fill="auto"/>
            <w:vAlign w:val="center"/>
          </w:tcPr>
          <w:p w14:paraId="4FD2146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0,001</w:t>
            </w:r>
          </w:p>
        </w:tc>
      </w:tr>
      <w:tr w:rsidR="00C617B2" w:rsidRPr="00C617B2" w14:paraId="5370F832" w14:textId="77777777" w:rsidTr="0080644A">
        <w:trPr>
          <w:jc w:val="center"/>
        </w:trPr>
        <w:tc>
          <w:tcPr>
            <w:tcW w:w="1253" w:type="dxa"/>
            <w:shd w:val="clear" w:color="auto" w:fill="auto"/>
            <w:vAlign w:val="center"/>
          </w:tcPr>
          <w:p w14:paraId="3BD6C05A"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D-156/IDA/16</w:t>
            </w:r>
          </w:p>
        </w:tc>
        <w:tc>
          <w:tcPr>
            <w:tcW w:w="1273" w:type="dxa"/>
            <w:shd w:val="clear" w:color="auto" w:fill="auto"/>
            <w:vAlign w:val="center"/>
          </w:tcPr>
          <w:p w14:paraId="389E0035"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Agricultura competitivă</w:t>
            </w:r>
          </w:p>
        </w:tc>
        <w:tc>
          <w:tcPr>
            <w:tcW w:w="567" w:type="dxa"/>
            <w:shd w:val="clear" w:color="auto" w:fill="auto"/>
            <w:vAlign w:val="center"/>
          </w:tcPr>
          <w:p w14:paraId="207ABDF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DST</w:t>
            </w:r>
          </w:p>
        </w:tc>
        <w:tc>
          <w:tcPr>
            <w:tcW w:w="961" w:type="dxa"/>
            <w:shd w:val="clear" w:color="auto" w:fill="auto"/>
            <w:vAlign w:val="center"/>
          </w:tcPr>
          <w:p w14:paraId="1FD72006"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7,1</w:t>
            </w:r>
          </w:p>
        </w:tc>
        <w:tc>
          <w:tcPr>
            <w:tcW w:w="947" w:type="dxa"/>
            <w:shd w:val="clear" w:color="auto" w:fill="auto"/>
            <w:vAlign w:val="center"/>
          </w:tcPr>
          <w:p w14:paraId="1AF457D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08.07.16</w:t>
            </w:r>
          </w:p>
        </w:tc>
        <w:tc>
          <w:tcPr>
            <w:tcW w:w="991" w:type="dxa"/>
            <w:shd w:val="clear" w:color="auto" w:fill="auto"/>
            <w:vAlign w:val="center"/>
          </w:tcPr>
          <w:p w14:paraId="2ADB1F96"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30.06.19</w:t>
            </w:r>
          </w:p>
        </w:tc>
        <w:tc>
          <w:tcPr>
            <w:tcW w:w="878" w:type="dxa"/>
            <w:shd w:val="clear" w:color="auto" w:fill="auto"/>
            <w:vAlign w:val="center"/>
          </w:tcPr>
          <w:p w14:paraId="33578BB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2,00</w:t>
            </w:r>
          </w:p>
        </w:tc>
        <w:tc>
          <w:tcPr>
            <w:tcW w:w="831" w:type="dxa"/>
            <w:shd w:val="clear" w:color="auto" w:fill="auto"/>
            <w:vAlign w:val="center"/>
          </w:tcPr>
          <w:p w14:paraId="4097DD9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1,4</w:t>
            </w:r>
          </w:p>
        </w:tc>
        <w:tc>
          <w:tcPr>
            <w:tcW w:w="895" w:type="dxa"/>
            <w:shd w:val="clear" w:color="auto" w:fill="auto"/>
            <w:vAlign w:val="center"/>
          </w:tcPr>
          <w:p w14:paraId="1D1D029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5,7</w:t>
            </w:r>
          </w:p>
        </w:tc>
        <w:tc>
          <w:tcPr>
            <w:tcW w:w="1088" w:type="dxa"/>
            <w:shd w:val="clear" w:color="auto" w:fill="auto"/>
            <w:vAlign w:val="center"/>
          </w:tcPr>
          <w:p w14:paraId="7CF808D4"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20,3</w:t>
            </w:r>
          </w:p>
        </w:tc>
        <w:tc>
          <w:tcPr>
            <w:tcW w:w="843" w:type="dxa"/>
            <w:shd w:val="clear" w:color="auto" w:fill="auto"/>
            <w:vAlign w:val="center"/>
          </w:tcPr>
          <w:p w14:paraId="5277A7E6"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0,02</w:t>
            </w:r>
          </w:p>
        </w:tc>
      </w:tr>
      <w:tr w:rsidR="00C617B2" w:rsidRPr="00C617B2" w14:paraId="022498A7" w14:textId="77777777" w:rsidTr="0080644A">
        <w:trPr>
          <w:jc w:val="center"/>
        </w:trPr>
        <w:tc>
          <w:tcPr>
            <w:tcW w:w="1253" w:type="dxa"/>
            <w:shd w:val="clear" w:color="auto" w:fill="auto"/>
            <w:vAlign w:val="center"/>
          </w:tcPr>
          <w:p w14:paraId="2FEE879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D-162/IDA/17</w:t>
            </w:r>
          </w:p>
        </w:tc>
        <w:tc>
          <w:tcPr>
            <w:tcW w:w="1273" w:type="dxa"/>
            <w:shd w:val="clear" w:color="auto" w:fill="auto"/>
            <w:vAlign w:val="center"/>
          </w:tcPr>
          <w:p w14:paraId="6CD51F4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Modernizarea Serviciilor Guvernamentale</w:t>
            </w:r>
          </w:p>
        </w:tc>
        <w:tc>
          <w:tcPr>
            <w:tcW w:w="567" w:type="dxa"/>
            <w:shd w:val="clear" w:color="auto" w:fill="auto"/>
            <w:vAlign w:val="center"/>
          </w:tcPr>
          <w:p w14:paraId="471E863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DST</w:t>
            </w:r>
          </w:p>
        </w:tc>
        <w:tc>
          <w:tcPr>
            <w:tcW w:w="961" w:type="dxa"/>
            <w:shd w:val="clear" w:color="auto" w:fill="auto"/>
            <w:vAlign w:val="center"/>
          </w:tcPr>
          <w:p w14:paraId="790FE37D"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10,9</w:t>
            </w:r>
          </w:p>
        </w:tc>
        <w:tc>
          <w:tcPr>
            <w:tcW w:w="947" w:type="dxa"/>
            <w:shd w:val="clear" w:color="auto" w:fill="auto"/>
            <w:vAlign w:val="center"/>
          </w:tcPr>
          <w:p w14:paraId="719727BF"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28.11.17</w:t>
            </w:r>
          </w:p>
        </w:tc>
        <w:tc>
          <w:tcPr>
            <w:tcW w:w="991" w:type="dxa"/>
            <w:shd w:val="clear" w:color="auto" w:fill="auto"/>
            <w:vAlign w:val="center"/>
          </w:tcPr>
          <w:p w14:paraId="4EDCB59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30.06.23</w:t>
            </w:r>
          </w:p>
        </w:tc>
        <w:tc>
          <w:tcPr>
            <w:tcW w:w="878" w:type="dxa"/>
            <w:shd w:val="clear" w:color="auto" w:fill="auto"/>
            <w:vAlign w:val="center"/>
          </w:tcPr>
          <w:p w14:paraId="042FF8D1"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1,25</w:t>
            </w:r>
          </w:p>
        </w:tc>
        <w:tc>
          <w:tcPr>
            <w:tcW w:w="831" w:type="dxa"/>
            <w:shd w:val="clear" w:color="auto" w:fill="auto"/>
            <w:vAlign w:val="center"/>
          </w:tcPr>
          <w:p w14:paraId="3F6926E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0,4</w:t>
            </w:r>
          </w:p>
        </w:tc>
        <w:tc>
          <w:tcPr>
            <w:tcW w:w="895" w:type="dxa"/>
            <w:shd w:val="clear" w:color="auto" w:fill="auto"/>
            <w:vAlign w:val="center"/>
          </w:tcPr>
          <w:p w14:paraId="4006D9AA"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10,5</w:t>
            </w:r>
          </w:p>
        </w:tc>
        <w:tc>
          <w:tcPr>
            <w:tcW w:w="1088" w:type="dxa"/>
            <w:shd w:val="clear" w:color="auto" w:fill="auto"/>
            <w:vAlign w:val="center"/>
          </w:tcPr>
          <w:p w14:paraId="61D935D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3,3</w:t>
            </w:r>
          </w:p>
        </w:tc>
        <w:tc>
          <w:tcPr>
            <w:tcW w:w="843" w:type="dxa"/>
            <w:shd w:val="clear" w:color="auto" w:fill="auto"/>
            <w:vAlign w:val="center"/>
          </w:tcPr>
          <w:p w14:paraId="64F4105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0,0</w:t>
            </w:r>
          </w:p>
        </w:tc>
      </w:tr>
      <w:tr w:rsidR="00C617B2" w:rsidRPr="00C617B2" w14:paraId="3381E3BD" w14:textId="77777777" w:rsidTr="00E02CD8">
        <w:trPr>
          <w:trHeight w:val="677"/>
          <w:jc w:val="center"/>
        </w:trPr>
        <w:tc>
          <w:tcPr>
            <w:tcW w:w="1253" w:type="dxa"/>
            <w:shd w:val="clear" w:color="auto" w:fill="auto"/>
            <w:vAlign w:val="center"/>
          </w:tcPr>
          <w:p w14:paraId="5101027A"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D-165/IDA/18</w:t>
            </w:r>
          </w:p>
        </w:tc>
        <w:tc>
          <w:tcPr>
            <w:tcW w:w="1273" w:type="dxa"/>
            <w:shd w:val="clear" w:color="auto" w:fill="auto"/>
            <w:vAlign w:val="center"/>
          </w:tcPr>
          <w:p w14:paraId="2EC8EAED" w14:textId="79F1F93C"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 xml:space="preserve">Reforma  </w:t>
            </w:r>
            <w:r w:rsidRPr="00B04B15">
              <w:rPr>
                <w:rFonts w:asciiTheme="majorHAnsi" w:hAnsiTheme="majorHAnsi"/>
                <w:sz w:val="16"/>
                <w:lang w:val="ro-RO"/>
              </w:rPr>
              <w:t>Edu</w:t>
            </w:r>
            <w:r w:rsidRPr="004F6200">
              <w:rPr>
                <w:rFonts w:asciiTheme="majorHAnsi" w:hAnsiTheme="majorHAnsi"/>
                <w:sz w:val="16"/>
                <w:szCs w:val="22"/>
                <w:lang w:val="ro-RO"/>
              </w:rPr>
              <w:t>cației din Moldova</w:t>
            </w:r>
          </w:p>
        </w:tc>
        <w:tc>
          <w:tcPr>
            <w:tcW w:w="567" w:type="dxa"/>
            <w:shd w:val="clear" w:color="auto" w:fill="auto"/>
            <w:vAlign w:val="center"/>
          </w:tcPr>
          <w:p w14:paraId="6CE94017"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DST</w:t>
            </w:r>
          </w:p>
        </w:tc>
        <w:tc>
          <w:tcPr>
            <w:tcW w:w="961" w:type="dxa"/>
            <w:shd w:val="clear" w:color="auto" w:fill="auto"/>
            <w:vAlign w:val="center"/>
          </w:tcPr>
          <w:p w14:paraId="4B4CA2D3"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7,1</w:t>
            </w:r>
          </w:p>
        </w:tc>
        <w:tc>
          <w:tcPr>
            <w:tcW w:w="947" w:type="dxa"/>
            <w:shd w:val="clear" w:color="auto" w:fill="auto"/>
            <w:vAlign w:val="center"/>
          </w:tcPr>
          <w:p w14:paraId="560F44DA"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12.03.18</w:t>
            </w:r>
          </w:p>
        </w:tc>
        <w:tc>
          <w:tcPr>
            <w:tcW w:w="991" w:type="dxa"/>
            <w:shd w:val="clear" w:color="auto" w:fill="auto"/>
            <w:vAlign w:val="center"/>
          </w:tcPr>
          <w:p w14:paraId="22D154F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30.06.20</w:t>
            </w:r>
          </w:p>
        </w:tc>
        <w:tc>
          <w:tcPr>
            <w:tcW w:w="878" w:type="dxa"/>
            <w:shd w:val="clear" w:color="auto" w:fill="auto"/>
            <w:vAlign w:val="center"/>
          </w:tcPr>
          <w:p w14:paraId="53B60FB4"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2,00</w:t>
            </w:r>
          </w:p>
        </w:tc>
        <w:tc>
          <w:tcPr>
            <w:tcW w:w="831" w:type="dxa"/>
            <w:shd w:val="clear" w:color="auto" w:fill="auto"/>
            <w:vAlign w:val="center"/>
          </w:tcPr>
          <w:p w14:paraId="0A85432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0,1</w:t>
            </w:r>
          </w:p>
        </w:tc>
        <w:tc>
          <w:tcPr>
            <w:tcW w:w="895" w:type="dxa"/>
            <w:shd w:val="clear" w:color="auto" w:fill="auto"/>
            <w:vAlign w:val="center"/>
          </w:tcPr>
          <w:p w14:paraId="356E3C6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7,0</w:t>
            </w:r>
          </w:p>
        </w:tc>
        <w:tc>
          <w:tcPr>
            <w:tcW w:w="1088" w:type="dxa"/>
            <w:shd w:val="clear" w:color="auto" w:fill="auto"/>
            <w:vAlign w:val="center"/>
          </w:tcPr>
          <w:p w14:paraId="61104AAE"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1,5</w:t>
            </w:r>
          </w:p>
        </w:tc>
        <w:tc>
          <w:tcPr>
            <w:tcW w:w="843" w:type="dxa"/>
            <w:shd w:val="clear" w:color="auto" w:fill="auto"/>
            <w:vAlign w:val="center"/>
          </w:tcPr>
          <w:p w14:paraId="490DDA7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0,0</w:t>
            </w:r>
          </w:p>
        </w:tc>
      </w:tr>
      <w:tr w:rsidR="00C617B2" w:rsidRPr="00C617B2" w14:paraId="3C9F7969" w14:textId="77777777" w:rsidTr="0080644A">
        <w:trPr>
          <w:jc w:val="center"/>
        </w:trPr>
        <w:tc>
          <w:tcPr>
            <w:tcW w:w="1253" w:type="dxa"/>
            <w:shd w:val="clear" w:color="auto" w:fill="auto"/>
            <w:vAlign w:val="center"/>
          </w:tcPr>
          <w:p w14:paraId="190A9677"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D-131/IFAD/14</w:t>
            </w:r>
          </w:p>
        </w:tc>
        <w:tc>
          <w:tcPr>
            <w:tcW w:w="1273" w:type="dxa"/>
            <w:shd w:val="clear" w:color="auto" w:fill="auto"/>
            <w:vAlign w:val="center"/>
          </w:tcPr>
          <w:p w14:paraId="463B0DAD" w14:textId="5E988F4D" w:rsidR="00C617B2" w:rsidRPr="00B437B1" w:rsidRDefault="00762324" w:rsidP="0080644A">
            <w:pPr>
              <w:jc w:val="center"/>
              <w:rPr>
                <w:rFonts w:asciiTheme="majorHAnsi" w:hAnsiTheme="majorHAnsi"/>
                <w:sz w:val="16"/>
                <w:lang w:val="ro-RO"/>
              </w:rPr>
            </w:pPr>
            <w:r w:rsidRPr="00B437B1">
              <w:rPr>
                <w:rFonts w:asciiTheme="majorHAnsi" w:hAnsiTheme="majorHAnsi"/>
                <w:sz w:val="16"/>
                <w:lang w:val="ro-RO"/>
              </w:rPr>
              <w:t>FIDA</w:t>
            </w:r>
            <w:r w:rsidR="00C617B2" w:rsidRPr="00B437B1">
              <w:rPr>
                <w:rFonts w:asciiTheme="majorHAnsi" w:hAnsiTheme="majorHAnsi"/>
                <w:sz w:val="16"/>
                <w:szCs w:val="22"/>
                <w:lang w:val="ro-RO"/>
              </w:rPr>
              <w:t>VI</w:t>
            </w:r>
          </w:p>
        </w:tc>
        <w:tc>
          <w:tcPr>
            <w:tcW w:w="567" w:type="dxa"/>
            <w:shd w:val="clear" w:color="auto" w:fill="auto"/>
            <w:vAlign w:val="center"/>
          </w:tcPr>
          <w:p w14:paraId="62887366"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DST</w:t>
            </w:r>
          </w:p>
        </w:tc>
        <w:tc>
          <w:tcPr>
            <w:tcW w:w="961" w:type="dxa"/>
            <w:shd w:val="clear" w:color="auto" w:fill="auto"/>
            <w:vAlign w:val="center"/>
          </w:tcPr>
          <w:p w14:paraId="27BFE9D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10,5</w:t>
            </w:r>
          </w:p>
        </w:tc>
        <w:tc>
          <w:tcPr>
            <w:tcW w:w="947" w:type="dxa"/>
            <w:shd w:val="clear" w:color="auto" w:fill="auto"/>
            <w:vAlign w:val="center"/>
          </w:tcPr>
          <w:p w14:paraId="0879E7FF"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20.02.14</w:t>
            </w:r>
          </w:p>
        </w:tc>
        <w:tc>
          <w:tcPr>
            <w:tcW w:w="991" w:type="dxa"/>
            <w:shd w:val="clear" w:color="auto" w:fill="auto"/>
            <w:vAlign w:val="center"/>
          </w:tcPr>
          <w:p w14:paraId="47C5D8C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31.03.21</w:t>
            </w:r>
          </w:p>
        </w:tc>
        <w:tc>
          <w:tcPr>
            <w:tcW w:w="878" w:type="dxa"/>
            <w:shd w:val="clear" w:color="auto" w:fill="auto"/>
            <w:vAlign w:val="center"/>
          </w:tcPr>
          <w:p w14:paraId="0C1A64E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0,75</w:t>
            </w:r>
          </w:p>
        </w:tc>
        <w:tc>
          <w:tcPr>
            <w:tcW w:w="831" w:type="dxa"/>
            <w:shd w:val="clear" w:color="auto" w:fill="auto"/>
            <w:vAlign w:val="center"/>
          </w:tcPr>
          <w:p w14:paraId="6B9C8E4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6,2</w:t>
            </w:r>
          </w:p>
        </w:tc>
        <w:tc>
          <w:tcPr>
            <w:tcW w:w="895" w:type="dxa"/>
            <w:shd w:val="clear" w:color="auto" w:fill="auto"/>
            <w:vAlign w:val="center"/>
          </w:tcPr>
          <w:p w14:paraId="700B671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4,3</w:t>
            </w:r>
          </w:p>
        </w:tc>
        <w:tc>
          <w:tcPr>
            <w:tcW w:w="1088" w:type="dxa"/>
            <w:shd w:val="clear" w:color="auto" w:fill="auto"/>
            <w:vAlign w:val="center"/>
          </w:tcPr>
          <w:p w14:paraId="007F2F8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59,1</w:t>
            </w:r>
          </w:p>
        </w:tc>
        <w:tc>
          <w:tcPr>
            <w:tcW w:w="843" w:type="dxa"/>
            <w:shd w:val="clear" w:color="auto" w:fill="auto"/>
            <w:vAlign w:val="center"/>
          </w:tcPr>
          <w:p w14:paraId="2A4F3B37"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0,1</w:t>
            </w:r>
          </w:p>
        </w:tc>
      </w:tr>
      <w:tr w:rsidR="00C617B2" w:rsidRPr="00C617B2" w14:paraId="47AAD9D2" w14:textId="77777777" w:rsidTr="0080644A">
        <w:trPr>
          <w:jc w:val="center"/>
        </w:trPr>
        <w:tc>
          <w:tcPr>
            <w:tcW w:w="1253" w:type="dxa"/>
            <w:shd w:val="clear" w:color="auto" w:fill="auto"/>
            <w:vAlign w:val="center"/>
          </w:tcPr>
          <w:p w14:paraId="4D017A9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D-157/IFAD/17</w:t>
            </w:r>
          </w:p>
        </w:tc>
        <w:tc>
          <w:tcPr>
            <w:tcW w:w="1273" w:type="dxa"/>
            <w:shd w:val="clear" w:color="auto" w:fill="auto"/>
            <w:vAlign w:val="center"/>
          </w:tcPr>
          <w:p w14:paraId="4CC9A383" w14:textId="1D49AF61" w:rsidR="00C617B2" w:rsidRPr="00B437B1" w:rsidRDefault="00762324" w:rsidP="0080644A">
            <w:pPr>
              <w:jc w:val="center"/>
              <w:rPr>
                <w:rFonts w:asciiTheme="majorHAnsi" w:hAnsiTheme="majorHAnsi"/>
                <w:sz w:val="16"/>
                <w:lang w:val="ro-RO"/>
              </w:rPr>
            </w:pPr>
            <w:r w:rsidRPr="00B437B1">
              <w:rPr>
                <w:rFonts w:asciiTheme="majorHAnsi" w:hAnsiTheme="majorHAnsi"/>
                <w:sz w:val="16"/>
                <w:lang w:val="ro-RO"/>
              </w:rPr>
              <w:t>FIDA</w:t>
            </w:r>
            <w:r w:rsidR="00C617B2" w:rsidRPr="00B437B1">
              <w:rPr>
                <w:rFonts w:asciiTheme="majorHAnsi" w:hAnsiTheme="majorHAnsi"/>
                <w:sz w:val="16"/>
                <w:szCs w:val="22"/>
                <w:lang w:val="ro-RO"/>
              </w:rPr>
              <w:t xml:space="preserve"> VII</w:t>
            </w:r>
          </w:p>
        </w:tc>
        <w:tc>
          <w:tcPr>
            <w:tcW w:w="567" w:type="dxa"/>
            <w:shd w:val="clear" w:color="auto" w:fill="auto"/>
            <w:vAlign w:val="center"/>
          </w:tcPr>
          <w:p w14:paraId="6E92C78E"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USD</w:t>
            </w:r>
          </w:p>
        </w:tc>
        <w:tc>
          <w:tcPr>
            <w:tcW w:w="961" w:type="dxa"/>
            <w:shd w:val="clear" w:color="auto" w:fill="auto"/>
            <w:vAlign w:val="center"/>
          </w:tcPr>
          <w:p w14:paraId="0FFE932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18,2</w:t>
            </w:r>
          </w:p>
        </w:tc>
        <w:tc>
          <w:tcPr>
            <w:tcW w:w="947" w:type="dxa"/>
            <w:shd w:val="clear" w:color="auto" w:fill="auto"/>
            <w:vAlign w:val="center"/>
          </w:tcPr>
          <w:p w14:paraId="34608069"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11.04.17</w:t>
            </w:r>
          </w:p>
        </w:tc>
        <w:tc>
          <w:tcPr>
            <w:tcW w:w="991" w:type="dxa"/>
            <w:shd w:val="clear" w:color="auto" w:fill="auto"/>
            <w:vAlign w:val="center"/>
          </w:tcPr>
          <w:p w14:paraId="752B00ED"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31.03.24</w:t>
            </w:r>
          </w:p>
        </w:tc>
        <w:tc>
          <w:tcPr>
            <w:tcW w:w="878" w:type="dxa"/>
            <w:shd w:val="clear" w:color="auto" w:fill="auto"/>
            <w:vAlign w:val="center"/>
          </w:tcPr>
          <w:p w14:paraId="0DCF7A9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2,00</w:t>
            </w:r>
          </w:p>
        </w:tc>
        <w:tc>
          <w:tcPr>
            <w:tcW w:w="831" w:type="dxa"/>
            <w:shd w:val="clear" w:color="auto" w:fill="auto"/>
            <w:vAlign w:val="center"/>
          </w:tcPr>
          <w:p w14:paraId="6B9DA08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1,5</w:t>
            </w:r>
          </w:p>
        </w:tc>
        <w:tc>
          <w:tcPr>
            <w:tcW w:w="895" w:type="dxa"/>
            <w:shd w:val="clear" w:color="auto" w:fill="auto"/>
            <w:vAlign w:val="center"/>
          </w:tcPr>
          <w:p w14:paraId="1924606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16,7</w:t>
            </w:r>
          </w:p>
        </w:tc>
        <w:tc>
          <w:tcPr>
            <w:tcW w:w="1088" w:type="dxa"/>
            <w:shd w:val="clear" w:color="auto" w:fill="auto"/>
            <w:vAlign w:val="center"/>
          </w:tcPr>
          <w:p w14:paraId="2393A8A3"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8,2</w:t>
            </w:r>
          </w:p>
        </w:tc>
        <w:tc>
          <w:tcPr>
            <w:tcW w:w="843" w:type="dxa"/>
            <w:shd w:val="clear" w:color="auto" w:fill="auto"/>
            <w:vAlign w:val="center"/>
          </w:tcPr>
          <w:p w14:paraId="72B93EC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0,0</w:t>
            </w:r>
          </w:p>
        </w:tc>
      </w:tr>
      <w:tr w:rsidR="00C617B2" w:rsidRPr="00C617B2" w14:paraId="3155A00C" w14:textId="77777777" w:rsidTr="0080644A">
        <w:trPr>
          <w:jc w:val="center"/>
        </w:trPr>
        <w:tc>
          <w:tcPr>
            <w:tcW w:w="1253" w:type="dxa"/>
            <w:shd w:val="clear" w:color="auto" w:fill="auto"/>
            <w:vAlign w:val="center"/>
          </w:tcPr>
          <w:p w14:paraId="007332A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D-149/FMI/16</w:t>
            </w:r>
          </w:p>
        </w:tc>
        <w:tc>
          <w:tcPr>
            <w:tcW w:w="1273" w:type="dxa"/>
            <w:shd w:val="clear" w:color="auto" w:fill="auto"/>
            <w:vAlign w:val="center"/>
          </w:tcPr>
          <w:p w14:paraId="5E6B9ABE"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Finanțarea deficitului bugetului de stat</w:t>
            </w:r>
          </w:p>
        </w:tc>
        <w:tc>
          <w:tcPr>
            <w:tcW w:w="567" w:type="dxa"/>
            <w:shd w:val="clear" w:color="auto" w:fill="auto"/>
            <w:vAlign w:val="center"/>
          </w:tcPr>
          <w:p w14:paraId="611C55F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DST</w:t>
            </w:r>
          </w:p>
        </w:tc>
        <w:tc>
          <w:tcPr>
            <w:tcW w:w="961" w:type="dxa"/>
            <w:shd w:val="clear" w:color="auto" w:fill="auto"/>
            <w:vAlign w:val="center"/>
          </w:tcPr>
          <w:p w14:paraId="171A11F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43,1</w:t>
            </w:r>
          </w:p>
        </w:tc>
        <w:tc>
          <w:tcPr>
            <w:tcW w:w="947" w:type="dxa"/>
            <w:shd w:val="clear" w:color="auto" w:fill="auto"/>
            <w:vAlign w:val="center"/>
          </w:tcPr>
          <w:p w14:paraId="5E2EE2AD"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07.11.16</w:t>
            </w:r>
          </w:p>
        </w:tc>
        <w:tc>
          <w:tcPr>
            <w:tcW w:w="991" w:type="dxa"/>
            <w:shd w:val="clear" w:color="auto" w:fill="auto"/>
            <w:vAlign w:val="center"/>
          </w:tcPr>
          <w:p w14:paraId="47BAF36B"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31.03.19</w:t>
            </w:r>
          </w:p>
        </w:tc>
        <w:tc>
          <w:tcPr>
            <w:tcW w:w="878" w:type="dxa"/>
            <w:shd w:val="clear" w:color="auto" w:fill="auto"/>
            <w:vAlign w:val="center"/>
          </w:tcPr>
          <w:p w14:paraId="6A193147"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0,25</w:t>
            </w:r>
          </w:p>
        </w:tc>
        <w:tc>
          <w:tcPr>
            <w:tcW w:w="831" w:type="dxa"/>
            <w:shd w:val="clear" w:color="auto" w:fill="auto"/>
            <w:vAlign w:val="center"/>
          </w:tcPr>
          <w:p w14:paraId="63844FBA"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27,1</w:t>
            </w:r>
          </w:p>
        </w:tc>
        <w:tc>
          <w:tcPr>
            <w:tcW w:w="895" w:type="dxa"/>
            <w:shd w:val="clear" w:color="auto" w:fill="auto"/>
            <w:vAlign w:val="center"/>
          </w:tcPr>
          <w:p w14:paraId="65F371BA"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16,0</w:t>
            </w:r>
          </w:p>
        </w:tc>
        <w:tc>
          <w:tcPr>
            <w:tcW w:w="1088" w:type="dxa"/>
            <w:shd w:val="clear" w:color="auto" w:fill="auto"/>
            <w:vAlign w:val="center"/>
          </w:tcPr>
          <w:p w14:paraId="475EE0A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62,9</w:t>
            </w:r>
          </w:p>
        </w:tc>
        <w:tc>
          <w:tcPr>
            <w:tcW w:w="843" w:type="dxa"/>
            <w:shd w:val="clear" w:color="auto" w:fill="auto"/>
            <w:vAlign w:val="center"/>
          </w:tcPr>
          <w:p w14:paraId="1DDC8E8E" w14:textId="12393570" w:rsidR="00C617B2" w:rsidRPr="004F6200" w:rsidRDefault="00C617B2" w:rsidP="0080644A">
            <w:pPr>
              <w:jc w:val="center"/>
              <w:rPr>
                <w:rFonts w:asciiTheme="majorHAnsi" w:hAnsiTheme="majorHAnsi"/>
                <w:sz w:val="16"/>
                <w:lang w:val="ro-RO"/>
              </w:rPr>
            </w:pPr>
            <w:r w:rsidRPr="00A51CEA">
              <w:rPr>
                <w:rFonts w:asciiTheme="majorHAnsi" w:hAnsiTheme="majorHAnsi"/>
                <w:sz w:val="16"/>
                <w:szCs w:val="22"/>
                <w:lang w:val="ro-RO"/>
              </w:rPr>
              <w:t>0,</w:t>
            </w:r>
            <w:r w:rsidR="0044385C">
              <w:rPr>
                <w:rFonts w:asciiTheme="majorHAnsi" w:hAnsiTheme="majorHAnsi" w:cstheme="majorHAnsi"/>
                <w:sz w:val="16"/>
                <w:szCs w:val="16"/>
                <w:lang w:val="ro-RO"/>
              </w:rPr>
              <w:t>0</w:t>
            </w:r>
          </w:p>
        </w:tc>
      </w:tr>
      <w:tr w:rsidR="00C617B2" w:rsidRPr="00C617B2" w14:paraId="131D8F72" w14:textId="77777777" w:rsidTr="0080644A">
        <w:trPr>
          <w:jc w:val="center"/>
        </w:trPr>
        <w:tc>
          <w:tcPr>
            <w:tcW w:w="1253" w:type="dxa"/>
            <w:shd w:val="clear" w:color="auto" w:fill="auto"/>
            <w:vAlign w:val="center"/>
          </w:tcPr>
          <w:p w14:paraId="3CE9CA9F"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D-150/FMI/16</w:t>
            </w:r>
          </w:p>
        </w:tc>
        <w:tc>
          <w:tcPr>
            <w:tcW w:w="1273" w:type="dxa"/>
            <w:shd w:val="clear" w:color="auto" w:fill="auto"/>
            <w:vAlign w:val="center"/>
          </w:tcPr>
          <w:p w14:paraId="700EFC91"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Finanțarea deficitului bugetului de stat</w:t>
            </w:r>
          </w:p>
        </w:tc>
        <w:tc>
          <w:tcPr>
            <w:tcW w:w="567" w:type="dxa"/>
            <w:shd w:val="clear" w:color="auto" w:fill="auto"/>
            <w:vAlign w:val="center"/>
          </w:tcPr>
          <w:p w14:paraId="09FC397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DST</w:t>
            </w:r>
          </w:p>
        </w:tc>
        <w:tc>
          <w:tcPr>
            <w:tcW w:w="961" w:type="dxa"/>
            <w:shd w:val="clear" w:color="auto" w:fill="auto"/>
            <w:vAlign w:val="center"/>
          </w:tcPr>
          <w:p w14:paraId="2C356E90"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31,4</w:t>
            </w:r>
          </w:p>
        </w:tc>
        <w:tc>
          <w:tcPr>
            <w:tcW w:w="947" w:type="dxa"/>
            <w:shd w:val="clear" w:color="auto" w:fill="auto"/>
            <w:vAlign w:val="center"/>
          </w:tcPr>
          <w:p w14:paraId="18DF461C"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07.11.16</w:t>
            </w:r>
          </w:p>
        </w:tc>
        <w:tc>
          <w:tcPr>
            <w:tcW w:w="991" w:type="dxa"/>
            <w:shd w:val="clear" w:color="auto" w:fill="auto"/>
            <w:vAlign w:val="center"/>
          </w:tcPr>
          <w:p w14:paraId="489151B3"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31.03.19</w:t>
            </w:r>
          </w:p>
        </w:tc>
        <w:tc>
          <w:tcPr>
            <w:tcW w:w="878" w:type="dxa"/>
            <w:shd w:val="clear" w:color="auto" w:fill="auto"/>
            <w:vAlign w:val="center"/>
          </w:tcPr>
          <w:p w14:paraId="09F81C58"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2,13</w:t>
            </w:r>
          </w:p>
        </w:tc>
        <w:tc>
          <w:tcPr>
            <w:tcW w:w="831" w:type="dxa"/>
            <w:shd w:val="clear" w:color="auto" w:fill="auto"/>
            <w:vAlign w:val="center"/>
          </w:tcPr>
          <w:p w14:paraId="0E64070E"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18,9</w:t>
            </w:r>
          </w:p>
        </w:tc>
        <w:tc>
          <w:tcPr>
            <w:tcW w:w="895" w:type="dxa"/>
            <w:shd w:val="clear" w:color="auto" w:fill="auto"/>
            <w:vAlign w:val="center"/>
          </w:tcPr>
          <w:p w14:paraId="2E6F689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12,5</w:t>
            </w:r>
          </w:p>
        </w:tc>
        <w:tc>
          <w:tcPr>
            <w:tcW w:w="1088" w:type="dxa"/>
            <w:shd w:val="clear" w:color="auto" w:fill="auto"/>
            <w:vAlign w:val="center"/>
          </w:tcPr>
          <w:p w14:paraId="030B83A2"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60,2</w:t>
            </w:r>
          </w:p>
        </w:tc>
        <w:tc>
          <w:tcPr>
            <w:tcW w:w="843" w:type="dxa"/>
            <w:shd w:val="clear" w:color="auto" w:fill="auto"/>
            <w:vAlign w:val="center"/>
          </w:tcPr>
          <w:p w14:paraId="6BC5821D" w14:textId="77777777" w:rsidR="00C617B2" w:rsidRPr="004F6200" w:rsidRDefault="00C617B2" w:rsidP="0080644A">
            <w:pPr>
              <w:jc w:val="center"/>
              <w:rPr>
                <w:rFonts w:asciiTheme="majorHAnsi" w:hAnsiTheme="majorHAnsi"/>
                <w:sz w:val="16"/>
                <w:lang w:val="ro-RO"/>
              </w:rPr>
            </w:pPr>
            <w:r w:rsidRPr="004F6200">
              <w:rPr>
                <w:rFonts w:asciiTheme="majorHAnsi" w:hAnsiTheme="majorHAnsi"/>
                <w:sz w:val="16"/>
                <w:szCs w:val="22"/>
                <w:lang w:val="ro-RO"/>
              </w:rPr>
              <w:t>0,8</w:t>
            </w:r>
          </w:p>
        </w:tc>
      </w:tr>
    </w:tbl>
    <w:p w14:paraId="7014CB06" w14:textId="518D1BD4" w:rsidR="00C617B2" w:rsidRPr="0097124D" w:rsidRDefault="00C617B2" w:rsidP="000F481A">
      <w:pPr>
        <w:spacing w:after="0" w:line="276" w:lineRule="auto"/>
        <w:ind w:left="-567"/>
        <w:jc w:val="both"/>
        <w:rPr>
          <w:rFonts w:asciiTheme="majorHAnsi" w:hAnsiTheme="majorHAnsi" w:cstheme="majorHAnsi"/>
          <w:sz w:val="24"/>
          <w:szCs w:val="24"/>
          <w:lang w:val="ro-RO"/>
        </w:rPr>
      </w:pPr>
      <w:r w:rsidRPr="004501BA">
        <w:rPr>
          <w:rFonts w:asciiTheme="majorHAnsi" w:hAnsiTheme="majorHAnsi" w:cstheme="majorHAnsi"/>
          <w:b/>
          <w:i/>
          <w:sz w:val="20"/>
          <w:szCs w:val="20"/>
          <w:lang w:val="ro-RO"/>
        </w:rPr>
        <w:t>Sursă:</w:t>
      </w:r>
      <w:r w:rsidRPr="004501BA">
        <w:rPr>
          <w:rFonts w:asciiTheme="majorHAnsi" w:hAnsiTheme="majorHAnsi" w:cstheme="majorHAnsi"/>
          <w:sz w:val="20"/>
          <w:szCs w:val="20"/>
          <w:lang w:val="ro-RO"/>
        </w:rPr>
        <w:t xml:space="preserve">  </w:t>
      </w:r>
      <w:r w:rsidR="00762324">
        <w:rPr>
          <w:rFonts w:asciiTheme="majorHAnsi" w:hAnsiTheme="majorHAnsi" w:cstheme="majorHAnsi"/>
          <w:sz w:val="20"/>
          <w:szCs w:val="20"/>
          <w:lang w:val="ro-RO"/>
        </w:rPr>
        <w:t>I</w:t>
      </w:r>
      <w:r w:rsidRPr="004501BA">
        <w:rPr>
          <w:rFonts w:asciiTheme="majorHAnsi" w:hAnsiTheme="majorHAnsi" w:cstheme="majorHAnsi"/>
          <w:sz w:val="20"/>
          <w:szCs w:val="20"/>
          <w:lang w:val="ro-RO"/>
        </w:rPr>
        <w:t>nformați</w:t>
      </w:r>
      <w:r w:rsidR="00762324">
        <w:rPr>
          <w:rFonts w:asciiTheme="majorHAnsi" w:hAnsiTheme="majorHAnsi" w:cstheme="majorHAnsi"/>
          <w:sz w:val="20"/>
          <w:szCs w:val="20"/>
          <w:lang w:val="ro-RO"/>
        </w:rPr>
        <w:t>a</w:t>
      </w:r>
      <w:r w:rsidRPr="004501BA">
        <w:rPr>
          <w:rFonts w:asciiTheme="majorHAnsi" w:hAnsiTheme="majorHAnsi" w:cstheme="majorHAnsi"/>
          <w:sz w:val="20"/>
          <w:szCs w:val="20"/>
          <w:lang w:val="ro-RO"/>
        </w:rPr>
        <w:t xml:space="preserve"> privind deb</w:t>
      </w:r>
      <w:r w:rsidR="004501BA" w:rsidRPr="004501BA">
        <w:rPr>
          <w:rFonts w:asciiTheme="majorHAnsi" w:hAnsiTheme="majorHAnsi" w:cstheme="majorHAnsi"/>
          <w:sz w:val="20"/>
          <w:szCs w:val="20"/>
          <w:lang w:val="ro-RO"/>
        </w:rPr>
        <w:t>ursările împrumuturilor externe.</w:t>
      </w:r>
    </w:p>
    <w:p w14:paraId="68BD9160" w14:textId="77777777" w:rsidR="009E6B0C" w:rsidRPr="009E6B0C" w:rsidRDefault="009E6B0C" w:rsidP="009E6B0C">
      <w:pPr>
        <w:jc w:val="both"/>
        <w:rPr>
          <w:rFonts w:asciiTheme="majorHAnsi" w:hAnsiTheme="majorHAnsi" w:cstheme="majorHAnsi"/>
          <w:sz w:val="20"/>
          <w:szCs w:val="20"/>
          <w:lang w:val="ro-RO"/>
        </w:rPr>
      </w:pPr>
    </w:p>
    <w:p w14:paraId="4B7EF4CE" w14:textId="77777777" w:rsidR="009E6B0C" w:rsidRPr="009E6B0C" w:rsidRDefault="009E6B0C" w:rsidP="009E6B0C">
      <w:pPr>
        <w:jc w:val="both"/>
        <w:rPr>
          <w:rFonts w:asciiTheme="majorHAnsi" w:hAnsiTheme="majorHAnsi" w:cstheme="majorHAnsi"/>
          <w:sz w:val="20"/>
          <w:szCs w:val="20"/>
          <w:lang w:val="ro-RO"/>
        </w:rPr>
      </w:pPr>
    </w:p>
    <w:p w14:paraId="60825003" w14:textId="77777777" w:rsidR="009E6B0C" w:rsidRPr="009E6B0C" w:rsidRDefault="004501BA" w:rsidP="009E6B0C">
      <w:pPr>
        <w:spacing w:after="0" w:line="276" w:lineRule="auto"/>
        <w:rPr>
          <w:rFonts w:asciiTheme="majorHAnsi" w:hAnsiTheme="majorHAnsi" w:cstheme="majorHAnsi"/>
          <w:b/>
          <w:sz w:val="24"/>
          <w:szCs w:val="24"/>
          <w:lang w:val="ro-RO"/>
        </w:rPr>
      </w:pPr>
      <w:r>
        <w:rPr>
          <w:rFonts w:asciiTheme="majorHAnsi" w:hAnsiTheme="majorHAnsi" w:cstheme="majorHAnsi"/>
          <w:b/>
          <w:sz w:val="24"/>
          <w:szCs w:val="24"/>
          <w:lang w:val="ro-RO"/>
        </w:rPr>
        <w:t>Tabelul nr.9</w:t>
      </w:r>
      <w:r w:rsidR="009E6B0C" w:rsidRPr="009E6B0C">
        <w:rPr>
          <w:rFonts w:asciiTheme="majorHAnsi" w:hAnsiTheme="majorHAnsi" w:cstheme="majorHAnsi"/>
          <w:b/>
          <w:sz w:val="24"/>
          <w:szCs w:val="24"/>
          <w:lang w:val="ro-RO"/>
        </w:rPr>
        <w:t>. Informația privind împrumuturile noi contractate pe parcursul anului 2018</w:t>
      </w:r>
    </w:p>
    <w:tbl>
      <w:tblPr>
        <w:tblpPr w:leftFromText="181" w:rightFromText="181" w:vertAnchor="text" w:horzAnchor="margin" w:tblpY="273"/>
        <w:tblOverlap w:val="neve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34"/>
        <w:gridCol w:w="3147"/>
        <w:gridCol w:w="1134"/>
        <w:gridCol w:w="1275"/>
        <w:gridCol w:w="1843"/>
        <w:gridCol w:w="1703"/>
      </w:tblGrid>
      <w:tr w:rsidR="009E6B0C" w:rsidRPr="008C0B81" w14:paraId="71E630D7" w14:textId="77777777" w:rsidTr="00DC6DEE">
        <w:trPr>
          <w:trHeight w:val="416"/>
        </w:trPr>
        <w:tc>
          <w:tcPr>
            <w:tcW w:w="534" w:type="dxa"/>
            <w:shd w:val="clear" w:color="auto" w:fill="E7E6E6" w:themeFill="background2"/>
          </w:tcPr>
          <w:p w14:paraId="02446061" w14:textId="77777777" w:rsidR="009E6B0C" w:rsidRPr="008C0B81" w:rsidRDefault="009E6B0C" w:rsidP="00DC6DEE">
            <w:pPr>
              <w:pStyle w:val="a6"/>
              <w:rPr>
                <w:rFonts w:asciiTheme="majorHAnsi" w:hAnsiTheme="majorHAnsi"/>
                <w:b/>
                <w:sz w:val="20"/>
                <w:szCs w:val="20"/>
                <w:lang w:val="ro-RO"/>
              </w:rPr>
            </w:pPr>
            <w:proofErr w:type="spellStart"/>
            <w:r w:rsidRPr="008C0B81">
              <w:rPr>
                <w:rFonts w:asciiTheme="majorHAnsi" w:hAnsiTheme="majorHAnsi"/>
                <w:b/>
                <w:sz w:val="20"/>
                <w:szCs w:val="20"/>
                <w:lang w:val="ro-RO"/>
              </w:rPr>
              <w:t>Nr.d</w:t>
            </w:r>
            <w:proofErr w:type="spellEnd"/>
            <w:r w:rsidRPr="008C0B81">
              <w:rPr>
                <w:rFonts w:asciiTheme="majorHAnsi" w:hAnsiTheme="majorHAnsi"/>
                <w:b/>
                <w:sz w:val="20"/>
                <w:szCs w:val="20"/>
                <w:lang w:val="ro-RO"/>
              </w:rPr>
              <w:t>/o</w:t>
            </w:r>
          </w:p>
        </w:tc>
        <w:tc>
          <w:tcPr>
            <w:tcW w:w="3147" w:type="dxa"/>
            <w:shd w:val="clear" w:color="auto" w:fill="E7E6E6" w:themeFill="background2"/>
          </w:tcPr>
          <w:p w14:paraId="14322230" w14:textId="77777777" w:rsidR="009E6B0C" w:rsidRPr="008C0B81" w:rsidRDefault="009E6B0C" w:rsidP="00DC6DEE">
            <w:pPr>
              <w:pStyle w:val="a6"/>
              <w:rPr>
                <w:rFonts w:asciiTheme="majorHAnsi" w:hAnsiTheme="majorHAnsi"/>
                <w:b/>
                <w:sz w:val="20"/>
                <w:szCs w:val="20"/>
                <w:lang w:val="ro-RO"/>
              </w:rPr>
            </w:pPr>
            <w:r w:rsidRPr="008C0B81">
              <w:rPr>
                <w:rFonts w:asciiTheme="majorHAnsi" w:hAnsiTheme="majorHAnsi"/>
                <w:b/>
                <w:sz w:val="20"/>
                <w:szCs w:val="20"/>
                <w:lang w:val="ro-RO"/>
              </w:rPr>
              <w:t>Denumirea acordului</w:t>
            </w:r>
          </w:p>
        </w:tc>
        <w:tc>
          <w:tcPr>
            <w:tcW w:w="1134" w:type="dxa"/>
            <w:shd w:val="clear" w:color="auto" w:fill="E7E6E6" w:themeFill="background2"/>
          </w:tcPr>
          <w:p w14:paraId="625640B6" w14:textId="77777777" w:rsidR="009E6B0C" w:rsidRPr="008C0B81" w:rsidRDefault="009E6B0C" w:rsidP="00DC6DEE">
            <w:pPr>
              <w:pStyle w:val="a6"/>
              <w:rPr>
                <w:rFonts w:asciiTheme="majorHAnsi" w:hAnsiTheme="majorHAnsi"/>
                <w:b/>
                <w:sz w:val="20"/>
                <w:szCs w:val="20"/>
                <w:lang w:val="ro-RO"/>
              </w:rPr>
            </w:pPr>
            <w:r w:rsidRPr="008C0B81">
              <w:rPr>
                <w:rFonts w:asciiTheme="majorHAnsi" w:hAnsiTheme="majorHAnsi"/>
                <w:b/>
                <w:sz w:val="20"/>
                <w:szCs w:val="20"/>
                <w:lang w:val="ro-RO"/>
              </w:rPr>
              <w:t>Creditor</w:t>
            </w:r>
          </w:p>
        </w:tc>
        <w:tc>
          <w:tcPr>
            <w:tcW w:w="1275" w:type="dxa"/>
            <w:shd w:val="clear" w:color="auto" w:fill="E7E6E6" w:themeFill="background2"/>
          </w:tcPr>
          <w:p w14:paraId="21FD7C95" w14:textId="77777777" w:rsidR="009E6B0C" w:rsidRPr="008C0B81" w:rsidRDefault="009E6B0C" w:rsidP="00DC6DEE">
            <w:pPr>
              <w:pStyle w:val="a6"/>
              <w:rPr>
                <w:rFonts w:asciiTheme="majorHAnsi" w:hAnsiTheme="majorHAnsi"/>
                <w:b/>
                <w:sz w:val="20"/>
                <w:szCs w:val="20"/>
                <w:lang w:val="ro-RO"/>
              </w:rPr>
            </w:pPr>
            <w:r w:rsidRPr="008C0B81">
              <w:rPr>
                <w:rFonts w:asciiTheme="majorHAnsi" w:hAnsiTheme="majorHAnsi"/>
                <w:b/>
                <w:sz w:val="20"/>
                <w:szCs w:val="20"/>
                <w:lang w:val="ro-RO"/>
              </w:rPr>
              <w:t>Data semnării</w:t>
            </w:r>
          </w:p>
        </w:tc>
        <w:tc>
          <w:tcPr>
            <w:tcW w:w="1843" w:type="dxa"/>
            <w:shd w:val="clear" w:color="auto" w:fill="E7E6E6" w:themeFill="background2"/>
          </w:tcPr>
          <w:p w14:paraId="14A11A47" w14:textId="77777777" w:rsidR="009E6B0C" w:rsidRPr="008C0B81" w:rsidRDefault="009E6B0C" w:rsidP="00DC6DEE">
            <w:pPr>
              <w:pStyle w:val="a6"/>
              <w:rPr>
                <w:rFonts w:asciiTheme="majorHAnsi" w:hAnsiTheme="majorHAnsi"/>
                <w:b/>
                <w:sz w:val="20"/>
                <w:szCs w:val="20"/>
                <w:lang w:val="ro-RO"/>
              </w:rPr>
            </w:pPr>
            <w:r w:rsidRPr="008C0B81">
              <w:rPr>
                <w:rFonts w:asciiTheme="majorHAnsi" w:hAnsiTheme="majorHAnsi"/>
                <w:b/>
                <w:sz w:val="20"/>
                <w:szCs w:val="20"/>
                <w:lang w:val="ro-RO"/>
              </w:rPr>
              <w:t>Suma acordată</w:t>
            </w:r>
          </w:p>
        </w:tc>
        <w:tc>
          <w:tcPr>
            <w:tcW w:w="1703" w:type="dxa"/>
            <w:shd w:val="clear" w:color="auto" w:fill="E7E6E6" w:themeFill="background2"/>
          </w:tcPr>
          <w:p w14:paraId="0379C779" w14:textId="77777777" w:rsidR="009E6B0C" w:rsidRPr="008C0B81" w:rsidRDefault="009E6B0C" w:rsidP="00DC6DEE">
            <w:pPr>
              <w:pStyle w:val="a6"/>
              <w:rPr>
                <w:rFonts w:asciiTheme="majorHAnsi" w:hAnsiTheme="majorHAnsi"/>
                <w:b/>
                <w:sz w:val="20"/>
                <w:szCs w:val="20"/>
                <w:lang w:val="ro-RO"/>
              </w:rPr>
            </w:pPr>
            <w:r w:rsidRPr="008C0B81">
              <w:rPr>
                <w:rFonts w:asciiTheme="majorHAnsi" w:hAnsiTheme="majorHAnsi"/>
                <w:b/>
                <w:sz w:val="20"/>
                <w:szCs w:val="20"/>
                <w:lang w:val="ro-RO"/>
              </w:rPr>
              <w:t>Statutul</w:t>
            </w:r>
          </w:p>
        </w:tc>
      </w:tr>
      <w:tr w:rsidR="009E6B0C" w:rsidRPr="008C0B81" w14:paraId="21D6DBC4" w14:textId="77777777" w:rsidTr="00DC6DEE">
        <w:trPr>
          <w:trHeight w:val="331"/>
        </w:trPr>
        <w:tc>
          <w:tcPr>
            <w:tcW w:w="534" w:type="dxa"/>
            <w:shd w:val="clear" w:color="auto" w:fill="FFFFFF"/>
          </w:tcPr>
          <w:p w14:paraId="26EC97AD" w14:textId="67D2B920"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1</w:t>
            </w:r>
            <w:r w:rsidR="0028331A" w:rsidRPr="008C0B81">
              <w:rPr>
                <w:rFonts w:asciiTheme="majorHAnsi" w:hAnsiTheme="majorHAnsi"/>
                <w:sz w:val="20"/>
                <w:szCs w:val="20"/>
                <w:lang w:val="ro-RO"/>
              </w:rPr>
              <w:t>.</w:t>
            </w:r>
          </w:p>
        </w:tc>
        <w:tc>
          <w:tcPr>
            <w:tcW w:w="3147" w:type="dxa"/>
            <w:tcBorders>
              <w:bottom w:val="single" w:sz="4" w:space="0" w:color="auto"/>
            </w:tcBorders>
            <w:shd w:val="clear" w:color="auto" w:fill="FFFFFF"/>
          </w:tcPr>
          <w:p w14:paraId="5D838D28" w14:textId="77777777"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 xml:space="preserve">Acord de finanțare – Proiectul </w:t>
            </w:r>
            <w:r w:rsidRPr="008C0B81">
              <w:rPr>
                <w:rFonts w:asciiTheme="majorHAnsi" w:hAnsiTheme="majorHAnsi"/>
                <w:i/>
                <w:sz w:val="20"/>
                <w:szCs w:val="20"/>
                <w:lang w:val="ro-RO"/>
              </w:rPr>
              <w:t>„Finanțare Adițională pentru Reforma Educației în Moldova”</w:t>
            </w:r>
          </w:p>
        </w:tc>
        <w:tc>
          <w:tcPr>
            <w:tcW w:w="1134" w:type="dxa"/>
            <w:tcBorders>
              <w:bottom w:val="single" w:sz="4" w:space="0" w:color="auto"/>
            </w:tcBorders>
            <w:shd w:val="clear" w:color="auto" w:fill="FFFFFF"/>
          </w:tcPr>
          <w:p w14:paraId="1ACB120C" w14:textId="77777777"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AID</w:t>
            </w:r>
          </w:p>
        </w:tc>
        <w:tc>
          <w:tcPr>
            <w:tcW w:w="1275" w:type="dxa"/>
            <w:tcBorders>
              <w:bottom w:val="single" w:sz="4" w:space="0" w:color="auto"/>
            </w:tcBorders>
            <w:shd w:val="clear" w:color="auto" w:fill="FFFFFF"/>
            <w:vAlign w:val="center"/>
          </w:tcPr>
          <w:p w14:paraId="7B801A04" w14:textId="77777777"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12.03.18</w:t>
            </w:r>
          </w:p>
        </w:tc>
        <w:tc>
          <w:tcPr>
            <w:tcW w:w="1843" w:type="dxa"/>
            <w:tcBorders>
              <w:bottom w:val="single" w:sz="4" w:space="0" w:color="auto"/>
            </w:tcBorders>
            <w:shd w:val="clear" w:color="auto" w:fill="FFFFFF"/>
            <w:vAlign w:val="center"/>
          </w:tcPr>
          <w:p w14:paraId="7C730C7A" w14:textId="77777777"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7,1 mil. DST</w:t>
            </w:r>
          </w:p>
          <w:p w14:paraId="64B29C6E" w14:textId="77777777" w:rsidR="009E6B0C" w:rsidRPr="008C0B81" w:rsidRDefault="009E6B0C" w:rsidP="00DC6DEE">
            <w:pPr>
              <w:pStyle w:val="a6"/>
              <w:rPr>
                <w:rFonts w:asciiTheme="majorHAnsi" w:hAnsiTheme="majorHAnsi"/>
                <w:sz w:val="20"/>
                <w:szCs w:val="20"/>
                <w:lang w:val="ro-RO"/>
              </w:rPr>
            </w:pPr>
            <w:r w:rsidRPr="008C0B81">
              <w:rPr>
                <w:rFonts w:asciiTheme="majorHAnsi" w:hAnsiTheme="majorHAnsi"/>
                <w:i/>
                <w:sz w:val="20"/>
                <w:szCs w:val="20"/>
                <w:lang w:val="ro-RO"/>
              </w:rPr>
              <w:t>(10,0 mil. dolari SUA)</w:t>
            </w:r>
          </w:p>
        </w:tc>
        <w:tc>
          <w:tcPr>
            <w:tcW w:w="1703" w:type="dxa"/>
            <w:tcBorders>
              <w:bottom w:val="single" w:sz="4" w:space="0" w:color="auto"/>
            </w:tcBorders>
            <w:shd w:val="clear" w:color="auto" w:fill="FFFFFF"/>
            <w:vAlign w:val="center"/>
          </w:tcPr>
          <w:p w14:paraId="33280865" w14:textId="1193998E"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Intrat în vigoare 19.07.</w:t>
            </w:r>
            <w:r w:rsidR="0028331A" w:rsidRPr="008C0B81">
              <w:rPr>
                <w:rFonts w:asciiTheme="majorHAnsi" w:hAnsiTheme="majorHAnsi"/>
                <w:sz w:val="20"/>
                <w:szCs w:val="20"/>
                <w:lang w:val="ro-RO"/>
              </w:rPr>
              <w:t>20</w:t>
            </w:r>
            <w:r w:rsidRPr="008C0B81">
              <w:rPr>
                <w:rFonts w:asciiTheme="majorHAnsi" w:hAnsiTheme="majorHAnsi"/>
                <w:sz w:val="20"/>
                <w:szCs w:val="20"/>
                <w:lang w:val="ro-RO"/>
              </w:rPr>
              <w:t>18</w:t>
            </w:r>
          </w:p>
        </w:tc>
      </w:tr>
      <w:tr w:rsidR="009E6B0C" w:rsidRPr="008C0B81" w14:paraId="2EECDC8F" w14:textId="77777777" w:rsidTr="00DC6DEE">
        <w:trPr>
          <w:trHeight w:val="465"/>
        </w:trPr>
        <w:tc>
          <w:tcPr>
            <w:tcW w:w="534" w:type="dxa"/>
            <w:shd w:val="clear" w:color="auto" w:fill="FFFFFF"/>
          </w:tcPr>
          <w:p w14:paraId="4AB9B635" w14:textId="19A99E6A"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2</w:t>
            </w:r>
            <w:r w:rsidR="0028331A" w:rsidRPr="008C0B81">
              <w:rPr>
                <w:rFonts w:asciiTheme="majorHAnsi" w:hAnsiTheme="majorHAnsi"/>
                <w:sz w:val="20"/>
                <w:szCs w:val="20"/>
                <w:lang w:val="ro-RO"/>
              </w:rPr>
              <w:t>.</w:t>
            </w:r>
          </w:p>
        </w:tc>
        <w:tc>
          <w:tcPr>
            <w:tcW w:w="3147" w:type="dxa"/>
            <w:tcBorders>
              <w:bottom w:val="single" w:sz="4" w:space="0" w:color="auto"/>
            </w:tcBorders>
            <w:shd w:val="clear" w:color="auto" w:fill="FFFFFF"/>
          </w:tcPr>
          <w:p w14:paraId="518FFE72" w14:textId="2D7173B3"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 xml:space="preserve">Acord de finanțare – Programul </w:t>
            </w:r>
            <w:r w:rsidR="0028331A" w:rsidRPr="008C0B81">
              <w:rPr>
                <w:rFonts w:asciiTheme="majorHAnsi" w:hAnsiTheme="majorHAnsi"/>
                <w:sz w:val="20"/>
                <w:szCs w:val="20"/>
                <w:lang w:val="ro-RO"/>
              </w:rPr>
              <w:t>„</w:t>
            </w:r>
            <w:r w:rsidRPr="008C0B81">
              <w:rPr>
                <w:rFonts w:asciiTheme="majorHAnsi" w:hAnsiTheme="majorHAnsi"/>
                <w:i/>
                <w:sz w:val="20"/>
                <w:szCs w:val="20"/>
                <w:lang w:val="ro-RO"/>
              </w:rPr>
              <w:t>Guvernanță economică – DPO3</w:t>
            </w:r>
            <w:r w:rsidRPr="008C0B81">
              <w:rPr>
                <w:rFonts w:asciiTheme="majorHAnsi" w:hAnsiTheme="majorHAnsi"/>
                <w:sz w:val="20"/>
                <w:szCs w:val="20"/>
                <w:lang w:val="ro-RO"/>
              </w:rPr>
              <w:t>”</w:t>
            </w:r>
          </w:p>
        </w:tc>
        <w:tc>
          <w:tcPr>
            <w:tcW w:w="1134" w:type="dxa"/>
            <w:tcBorders>
              <w:bottom w:val="single" w:sz="4" w:space="0" w:color="auto"/>
            </w:tcBorders>
            <w:shd w:val="clear" w:color="auto" w:fill="FFFFFF"/>
          </w:tcPr>
          <w:p w14:paraId="1C214A89" w14:textId="77777777"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AID</w:t>
            </w:r>
          </w:p>
        </w:tc>
        <w:tc>
          <w:tcPr>
            <w:tcW w:w="1275" w:type="dxa"/>
            <w:tcBorders>
              <w:bottom w:val="single" w:sz="4" w:space="0" w:color="auto"/>
            </w:tcBorders>
            <w:shd w:val="clear" w:color="auto" w:fill="FFFFFF"/>
            <w:vAlign w:val="center"/>
          </w:tcPr>
          <w:p w14:paraId="44352B8F" w14:textId="77777777"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11.07.18</w:t>
            </w:r>
          </w:p>
        </w:tc>
        <w:tc>
          <w:tcPr>
            <w:tcW w:w="1843" w:type="dxa"/>
            <w:tcBorders>
              <w:bottom w:val="single" w:sz="4" w:space="0" w:color="auto"/>
            </w:tcBorders>
            <w:shd w:val="clear" w:color="auto" w:fill="FFFFFF"/>
            <w:vAlign w:val="center"/>
          </w:tcPr>
          <w:p w14:paraId="46D4D2DB" w14:textId="77777777"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 xml:space="preserve">24,9 mil. EUR </w:t>
            </w:r>
            <w:r w:rsidRPr="008C0B81">
              <w:rPr>
                <w:rFonts w:asciiTheme="majorHAnsi" w:hAnsiTheme="majorHAnsi"/>
                <w:i/>
                <w:sz w:val="20"/>
                <w:szCs w:val="20"/>
                <w:lang w:val="ro-RO"/>
              </w:rPr>
              <w:t xml:space="preserve">(29,1 </w:t>
            </w:r>
            <w:proofErr w:type="spellStart"/>
            <w:r w:rsidRPr="008C0B81">
              <w:rPr>
                <w:rFonts w:asciiTheme="majorHAnsi" w:hAnsiTheme="majorHAnsi"/>
                <w:i/>
                <w:sz w:val="20"/>
                <w:szCs w:val="20"/>
                <w:lang w:val="ro-RO"/>
              </w:rPr>
              <w:t>mil.dolari</w:t>
            </w:r>
            <w:proofErr w:type="spellEnd"/>
            <w:r w:rsidRPr="008C0B81">
              <w:rPr>
                <w:rFonts w:asciiTheme="majorHAnsi" w:hAnsiTheme="majorHAnsi"/>
                <w:i/>
                <w:sz w:val="20"/>
                <w:szCs w:val="20"/>
                <w:lang w:val="ro-RO"/>
              </w:rPr>
              <w:t xml:space="preserve"> SUA)</w:t>
            </w:r>
          </w:p>
        </w:tc>
        <w:tc>
          <w:tcPr>
            <w:tcW w:w="1703" w:type="dxa"/>
            <w:tcBorders>
              <w:bottom w:val="single" w:sz="4" w:space="0" w:color="auto"/>
            </w:tcBorders>
            <w:shd w:val="clear" w:color="auto" w:fill="FFFFFF"/>
            <w:vAlign w:val="center"/>
          </w:tcPr>
          <w:p w14:paraId="6DAA0774" w14:textId="186FF5B3"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Intrat în vigoare 20.07.</w:t>
            </w:r>
            <w:r w:rsidR="0028331A" w:rsidRPr="008C0B81">
              <w:rPr>
                <w:rFonts w:asciiTheme="majorHAnsi" w:hAnsiTheme="majorHAnsi"/>
                <w:sz w:val="20"/>
                <w:szCs w:val="20"/>
                <w:lang w:val="ro-RO"/>
              </w:rPr>
              <w:t>20</w:t>
            </w:r>
            <w:r w:rsidRPr="008C0B81">
              <w:rPr>
                <w:rFonts w:asciiTheme="majorHAnsi" w:hAnsiTheme="majorHAnsi"/>
                <w:sz w:val="20"/>
                <w:szCs w:val="20"/>
                <w:lang w:val="ro-RO"/>
              </w:rPr>
              <w:t>18</w:t>
            </w:r>
          </w:p>
        </w:tc>
      </w:tr>
      <w:tr w:rsidR="009E6B0C" w:rsidRPr="008C0B81" w14:paraId="61FB3F01" w14:textId="77777777" w:rsidTr="00DC6DEE">
        <w:trPr>
          <w:trHeight w:val="706"/>
        </w:trPr>
        <w:tc>
          <w:tcPr>
            <w:tcW w:w="534" w:type="dxa"/>
            <w:shd w:val="clear" w:color="auto" w:fill="FFFFFF"/>
          </w:tcPr>
          <w:p w14:paraId="4FD637AF" w14:textId="5CAA5AF4"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3</w:t>
            </w:r>
            <w:r w:rsidR="0028331A" w:rsidRPr="008C0B81">
              <w:rPr>
                <w:rFonts w:asciiTheme="majorHAnsi" w:hAnsiTheme="majorHAnsi"/>
                <w:sz w:val="20"/>
                <w:szCs w:val="20"/>
                <w:lang w:val="ro-RO"/>
              </w:rPr>
              <w:t>.</w:t>
            </w:r>
          </w:p>
        </w:tc>
        <w:tc>
          <w:tcPr>
            <w:tcW w:w="3147" w:type="dxa"/>
            <w:tcBorders>
              <w:bottom w:val="single" w:sz="4" w:space="0" w:color="auto"/>
            </w:tcBorders>
            <w:shd w:val="clear" w:color="auto" w:fill="FFFFFF"/>
          </w:tcPr>
          <w:p w14:paraId="68231754" w14:textId="74707224" w:rsidR="009E6B0C" w:rsidRPr="008C0B81" w:rsidRDefault="009E6B0C" w:rsidP="00DC6DEE">
            <w:pPr>
              <w:pStyle w:val="a6"/>
              <w:rPr>
                <w:rFonts w:asciiTheme="majorHAnsi" w:hAnsiTheme="majorHAnsi"/>
                <w:i/>
                <w:sz w:val="20"/>
                <w:szCs w:val="20"/>
                <w:lang w:val="ro-RO"/>
              </w:rPr>
            </w:pPr>
            <w:r w:rsidRPr="008C0B81">
              <w:rPr>
                <w:rFonts w:asciiTheme="majorHAnsi" w:hAnsiTheme="majorHAnsi"/>
                <w:sz w:val="20"/>
                <w:szCs w:val="20"/>
                <w:lang w:val="ro-RO"/>
              </w:rPr>
              <w:t xml:space="preserve">Acord-cadru de împrumut – Proiectul </w:t>
            </w:r>
            <w:r w:rsidRPr="008C0B81">
              <w:rPr>
                <w:rFonts w:asciiTheme="majorHAnsi" w:hAnsiTheme="majorHAnsi"/>
                <w:i/>
                <w:sz w:val="20"/>
                <w:szCs w:val="20"/>
                <w:lang w:val="ro-RO"/>
              </w:rPr>
              <w:t xml:space="preserve"> </w:t>
            </w:r>
            <w:r w:rsidR="0028331A" w:rsidRPr="008C0B81">
              <w:rPr>
                <w:rFonts w:asciiTheme="majorHAnsi" w:hAnsiTheme="majorHAnsi"/>
                <w:i/>
                <w:sz w:val="20"/>
                <w:szCs w:val="20"/>
                <w:lang w:val="ro-RO"/>
              </w:rPr>
              <w:t>„</w:t>
            </w:r>
            <w:r w:rsidRPr="008C0B81">
              <w:rPr>
                <w:rFonts w:asciiTheme="majorHAnsi" w:hAnsiTheme="majorHAnsi"/>
                <w:i/>
                <w:sz w:val="20"/>
                <w:szCs w:val="20"/>
                <w:lang w:val="ro-RO"/>
              </w:rPr>
              <w:t>Procurarea ambulanțelor”</w:t>
            </w:r>
          </w:p>
        </w:tc>
        <w:tc>
          <w:tcPr>
            <w:tcW w:w="1134" w:type="dxa"/>
            <w:tcBorders>
              <w:bottom w:val="single" w:sz="4" w:space="0" w:color="auto"/>
            </w:tcBorders>
            <w:shd w:val="clear" w:color="auto" w:fill="FFFFFF"/>
          </w:tcPr>
          <w:p w14:paraId="2542DACB" w14:textId="77777777"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BDCE</w:t>
            </w:r>
          </w:p>
        </w:tc>
        <w:tc>
          <w:tcPr>
            <w:tcW w:w="1275" w:type="dxa"/>
            <w:tcBorders>
              <w:bottom w:val="single" w:sz="4" w:space="0" w:color="auto"/>
            </w:tcBorders>
            <w:shd w:val="clear" w:color="auto" w:fill="FFFFFF"/>
            <w:vAlign w:val="center"/>
          </w:tcPr>
          <w:p w14:paraId="10D05918" w14:textId="77777777"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12.07.18</w:t>
            </w:r>
          </w:p>
        </w:tc>
        <w:tc>
          <w:tcPr>
            <w:tcW w:w="1843" w:type="dxa"/>
            <w:tcBorders>
              <w:bottom w:val="single" w:sz="4" w:space="0" w:color="auto"/>
            </w:tcBorders>
            <w:shd w:val="clear" w:color="auto" w:fill="FFFFFF"/>
            <w:vAlign w:val="center"/>
          </w:tcPr>
          <w:p w14:paraId="23F69BCD" w14:textId="77777777"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 xml:space="preserve">12,0 mil. EUR </w:t>
            </w:r>
            <w:r w:rsidRPr="008C0B81">
              <w:rPr>
                <w:rFonts w:asciiTheme="majorHAnsi" w:hAnsiTheme="majorHAnsi"/>
                <w:i/>
                <w:sz w:val="20"/>
                <w:szCs w:val="20"/>
                <w:lang w:val="ro-RO"/>
              </w:rPr>
              <w:t xml:space="preserve">(14,1 </w:t>
            </w:r>
            <w:proofErr w:type="spellStart"/>
            <w:r w:rsidRPr="008C0B81">
              <w:rPr>
                <w:rFonts w:asciiTheme="majorHAnsi" w:hAnsiTheme="majorHAnsi"/>
                <w:i/>
                <w:sz w:val="20"/>
                <w:szCs w:val="20"/>
                <w:lang w:val="ro-RO"/>
              </w:rPr>
              <w:t>mil.dolari</w:t>
            </w:r>
            <w:proofErr w:type="spellEnd"/>
            <w:r w:rsidRPr="008C0B81">
              <w:rPr>
                <w:rFonts w:asciiTheme="majorHAnsi" w:hAnsiTheme="majorHAnsi"/>
                <w:i/>
                <w:sz w:val="20"/>
                <w:szCs w:val="20"/>
                <w:lang w:val="ro-RO"/>
              </w:rPr>
              <w:t xml:space="preserve"> SUA)</w:t>
            </w:r>
          </w:p>
        </w:tc>
        <w:tc>
          <w:tcPr>
            <w:tcW w:w="1703" w:type="dxa"/>
            <w:tcBorders>
              <w:bottom w:val="single" w:sz="4" w:space="0" w:color="auto"/>
            </w:tcBorders>
            <w:shd w:val="clear" w:color="auto" w:fill="FFFFFF"/>
            <w:vAlign w:val="center"/>
          </w:tcPr>
          <w:p w14:paraId="46C3D626" w14:textId="4E2ACF0C"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 xml:space="preserve">Intrat în vigoare </w:t>
            </w:r>
            <w:r w:rsidR="006418D0" w:rsidRPr="008C0B81">
              <w:rPr>
                <w:rFonts w:asciiTheme="majorHAnsi" w:hAnsiTheme="majorHAnsi" w:cstheme="majorHAnsi"/>
                <w:sz w:val="20"/>
                <w:szCs w:val="20"/>
                <w:lang w:val="ro-RO"/>
              </w:rPr>
              <w:t>24.09.2018</w:t>
            </w:r>
          </w:p>
        </w:tc>
      </w:tr>
      <w:tr w:rsidR="009E6B0C" w:rsidRPr="008C0B81" w14:paraId="12B60F3B" w14:textId="77777777" w:rsidTr="00DC6DEE">
        <w:trPr>
          <w:trHeight w:val="706"/>
        </w:trPr>
        <w:tc>
          <w:tcPr>
            <w:tcW w:w="534" w:type="dxa"/>
            <w:shd w:val="clear" w:color="auto" w:fill="FFFFFF"/>
          </w:tcPr>
          <w:p w14:paraId="7EACE2F9" w14:textId="752926C7"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4</w:t>
            </w:r>
            <w:r w:rsidR="0028331A" w:rsidRPr="008C0B81">
              <w:rPr>
                <w:rFonts w:asciiTheme="majorHAnsi" w:hAnsiTheme="majorHAnsi"/>
                <w:sz w:val="20"/>
                <w:szCs w:val="20"/>
                <w:lang w:val="ro-RO"/>
              </w:rPr>
              <w:t>.</w:t>
            </w:r>
          </w:p>
        </w:tc>
        <w:tc>
          <w:tcPr>
            <w:tcW w:w="3147" w:type="dxa"/>
            <w:tcBorders>
              <w:bottom w:val="single" w:sz="4" w:space="0" w:color="auto"/>
            </w:tcBorders>
            <w:shd w:val="clear" w:color="auto" w:fill="FFFFFF"/>
          </w:tcPr>
          <w:p w14:paraId="498C73F3" w14:textId="18D7C04C"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 xml:space="preserve">Acord de finanțare – Proiectul </w:t>
            </w:r>
            <w:r w:rsidR="0028331A" w:rsidRPr="008C0B81">
              <w:rPr>
                <w:rFonts w:asciiTheme="majorHAnsi" w:hAnsiTheme="majorHAnsi"/>
                <w:sz w:val="20"/>
                <w:szCs w:val="20"/>
                <w:lang w:val="ro-RO"/>
              </w:rPr>
              <w:t>„</w:t>
            </w:r>
            <w:r w:rsidRPr="008C0B81">
              <w:rPr>
                <w:rFonts w:asciiTheme="majorHAnsi" w:hAnsiTheme="majorHAnsi"/>
                <w:sz w:val="20"/>
                <w:szCs w:val="20"/>
                <w:lang w:val="ro-RO"/>
              </w:rPr>
              <w:t>Înregistrare și evaluare financiară”</w:t>
            </w:r>
          </w:p>
        </w:tc>
        <w:tc>
          <w:tcPr>
            <w:tcW w:w="1134" w:type="dxa"/>
            <w:tcBorders>
              <w:bottom w:val="single" w:sz="4" w:space="0" w:color="auto"/>
            </w:tcBorders>
            <w:shd w:val="clear" w:color="auto" w:fill="FFFFFF"/>
          </w:tcPr>
          <w:p w14:paraId="2C49171B" w14:textId="77777777"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AID</w:t>
            </w:r>
          </w:p>
        </w:tc>
        <w:tc>
          <w:tcPr>
            <w:tcW w:w="1275" w:type="dxa"/>
            <w:tcBorders>
              <w:bottom w:val="single" w:sz="4" w:space="0" w:color="auto"/>
            </w:tcBorders>
            <w:shd w:val="clear" w:color="auto" w:fill="FFFFFF"/>
            <w:vAlign w:val="center"/>
          </w:tcPr>
          <w:p w14:paraId="0B083AE2" w14:textId="77777777"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17.09.18</w:t>
            </w:r>
          </w:p>
        </w:tc>
        <w:tc>
          <w:tcPr>
            <w:tcW w:w="1843" w:type="dxa"/>
            <w:tcBorders>
              <w:bottom w:val="single" w:sz="4" w:space="0" w:color="auto"/>
            </w:tcBorders>
            <w:shd w:val="clear" w:color="auto" w:fill="FFFFFF"/>
            <w:vAlign w:val="center"/>
          </w:tcPr>
          <w:p w14:paraId="55C79BEF" w14:textId="77777777"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 xml:space="preserve">30,1 mil. EUR </w:t>
            </w:r>
            <w:r w:rsidRPr="008C0B81">
              <w:rPr>
                <w:rFonts w:asciiTheme="majorHAnsi" w:hAnsiTheme="majorHAnsi"/>
                <w:i/>
                <w:sz w:val="20"/>
                <w:szCs w:val="20"/>
                <w:lang w:val="ro-RO"/>
              </w:rPr>
              <w:t xml:space="preserve">(35,0 </w:t>
            </w:r>
            <w:proofErr w:type="spellStart"/>
            <w:r w:rsidRPr="008C0B81">
              <w:rPr>
                <w:rFonts w:asciiTheme="majorHAnsi" w:hAnsiTheme="majorHAnsi"/>
                <w:i/>
                <w:sz w:val="20"/>
                <w:szCs w:val="20"/>
                <w:lang w:val="ro-RO"/>
              </w:rPr>
              <w:t>mil.dolari</w:t>
            </w:r>
            <w:proofErr w:type="spellEnd"/>
            <w:r w:rsidRPr="008C0B81">
              <w:rPr>
                <w:rFonts w:asciiTheme="majorHAnsi" w:hAnsiTheme="majorHAnsi"/>
                <w:i/>
                <w:sz w:val="20"/>
                <w:szCs w:val="20"/>
                <w:lang w:val="ro-RO"/>
              </w:rPr>
              <w:t xml:space="preserve"> SUA)</w:t>
            </w:r>
          </w:p>
        </w:tc>
        <w:tc>
          <w:tcPr>
            <w:tcW w:w="1703" w:type="dxa"/>
            <w:tcBorders>
              <w:bottom w:val="single" w:sz="4" w:space="0" w:color="auto"/>
            </w:tcBorders>
            <w:shd w:val="clear" w:color="auto" w:fill="FFFFFF"/>
            <w:vAlign w:val="center"/>
          </w:tcPr>
          <w:p w14:paraId="65B603A0" w14:textId="65FEABBD" w:rsidR="009E6B0C" w:rsidRPr="008C0B81" w:rsidRDefault="009E6B0C" w:rsidP="00DC6DEE">
            <w:pPr>
              <w:pStyle w:val="a6"/>
              <w:rPr>
                <w:rFonts w:asciiTheme="majorHAnsi" w:hAnsiTheme="majorHAnsi"/>
                <w:sz w:val="20"/>
                <w:szCs w:val="20"/>
                <w:lang w:val="ro-RO"/>
              </w:rPr>
            </w:pPr>
            <w:r w:rsidRPr="008C0B81">
              <w:rPr>
                <w:rFonts w:asciiTheme="majorHAnsi" w:hAnsiTheme="majorHAnsi"/>
                <w:sz w:val="20"/>
                <w:szCs w:val="20"/>
                <w:lang w:val="ro-RO"/>
              </w:rPr>
              <w:t>Intrat în vigoare 14.01.</w:t>
            </w:r>
            <w:r w:rsidR="0028331A" w:rsidRPr="008C0B81">
              <w:rPr>
                <w:rFonts w:asciiTheme="majorHAnsi" w:hAnsiTheme="majorHAnsi"/>
                <w:sz w:val="20"/>
                <w:szCs w:val="20"/>
                <w:lang w:val="ro-RO"/>
              </w:rPr>
              <w:t>20</w:t>
            </w:r>
            <w:r w:rsidRPr="008C0B81">
              <w:rPr>
                <w:rFonts w:asciiTheme="majorHAnsi" w:hAnsiTheme="majorHAnsi"/>
                <w:sz w:val="20"/>
                <w:szCs w:val="20"/>
                <w:lang w:val="ro-RO"/>
              </w:rPr>
              <w:t>19</w:t>
            </w:r>
          </w:p>
        </w:tc>
      </w:tr>
    </w:tbl>
    <w:p w14:paraId="6D7318CE" w14:textId="77777777" w:rsidR="009E6B0C" w:rsidRPr="009E6B0C" w:rsidRDefault="009E6B0C" w:rsidP="009E6B0C">
      <w:pPr>
        <w:jc w:val="both"/>
        <w:rPr>
          <w:rFonts w:asciiTheme="majorHAnsi" w:hAnsiTheme="majorHAnsi" w:cstheme="majorHAnsi"/>
          <w:b/>
          <w:i/>
          <w:sz w:val="20"/>
          <w:szCs w:val="20"/>
          <w:lang w:val="ro-RO"/>
        </w:rPr>
      </w:pPr>
    </w:p>
    <w:p w14:paraId="1EE72644" w14:textId="4E248B84" w:rsidR="00CE24D3" w:rsidRDefault="009E6B0C" w:rsidP="00C901F8">
      <w:pPr>
        <w:jc w:val="both"/>
        <w:rPr>
          <w:rFonts w:asciiTheme="majorHAnsi" w:hAnsiTheme="majorHAnsi" w:cstheme="majorHAnsi"/>
          <w:sz w:val="20"/>
          <w:szCs w:val="20"/>
          <w:highlight w:val="yellow"/>
          <w:lang w:val="ro-RO"/>
        </w:rPr>
      </w:pPr>
      <w:r w:rsidRPr="009E6B0C">
        <w:rPr>
          <w:rFonts w:asciiTheme="majorHAnsi" w:hAnsiTheme="majorHAnsi" w:cstheme="majorHAnsi"/>
          <w:b/>
          <w:i/>
          <w:sz w:val="20"/>
          <w:szCs w:val="20"/>
          <w:lang w:val="ro-RO"/>
        </w:rPr>
        <w:t xml:space="preserve">Sursă: </w:t>
      </w:r>
      <w:r w:rsidR="00762324">
        <w:rPr>
          <w:rFonts w:asciiTheme="majorHAnsi" w:hAnsiTheme="majorHAnsi" w:cstheme="majorHAnsi"/>
          <w:sz w:val="20"/>
          <w:szCs w:val="20"/>
          <w:lang w:val="ro-RO"/>
        </w:rPr>
        <w:t>D</w:t>
      </w:r>
      <w:r w:rsidRPr="009E6B0C">
        <w:rPr>
          <w:rFonts w:asciiTheme="majorHAnsi" w:hAnsiTheme="majorHAnsi" w:cstheme="majorHAnsi"/>
          <w:sz w:val="20"/>
          <w:szCs w:val="20"/>
          <w:lang w:val="ro-RO"/>
        </w:rPr>
        <w:t>atel</w:t>
      </w:r>
      <w:r w:rsidR="00762324">
        <w:rPr>
          <w:rFonts w:asciiTheme="majorHAnsi" w:hAnsiTheme="majorHAnsi" w:cstheme="majorHAnsi"/>
          <w:sz w:val="20"/>
          <w:szCs w:val="20"/>
          <w:lang w:val="ro-RO"/>
        </w:rPr>
        <w:t>e</w:t>
      </w:r>
      <w:r w:rsidRPr="009E6B0C">
        <w:rPr>
          <w:rFonts w:asciiTheme="majorHAnsi" w:hAnsiTheme="majorHAnsi" w:cstheme="majorHAnsi"/>
          <w:sz w:val="20"/>
          <w:szCs w:val="20"/>
          <w:lang w:val="ro-RO"/>
        </w:rPr>
        <w:t xml:space="preserve"> prezentate de MF.</w:t>
      </w:r>
    </w:p>
    <w:p w14:paraId="6B092AAE" w14:textId="77777777" w:rsidR="00C901F8" w:rsidRPr="00C901F8" w:rsidRDefault="00C901F8" w:rsidP="00C901F8">
      <w:pPr>
        <w:jc w:val="both"/>
        <w:rPr>
          <w:rFonts w:asciiTheme="majorHAnsi" w:hAnsiTheme="majorHAnsi" w:cstheme="majorHAnsi"/>
          <w:sz w:val="20"/>
          <w:szCs w:val="20"/>
          <w:highlight w:val="yellow"/>
          <w:lang w:val="ro-RO"/>
        </w:rPr>
      </w:pPr>
    </w:p>
    <w:p w14:paraId="516498F4" w14:textId="2A5ACE01" w:rsidR="00C901F8" w:rsidRPr="00487478" w:rsidRDefault="004501BA" w:rsidP="00487478">
      <w:pPr>
        <w:spacing w:after="0" w:line="240" w:lineRule="auto"/>
        <w:rPr>
          <w:rFonts w:asciiTheme="majorHAnsi" w:hAnsiTheme="majorHAnsi" w:cstheme="majorHAnsi"/>
          <w:b/>
          <w:sz w:val="24"/>
          <w:szCs w:val="24"/>
          <w:lang w:val="ro-RO"/>
        </w:rPr>
      </w:pPr>
      <w:r>
        <w:rPr>
          <w:rFonts w:asciiTheme="majorHAnsi" w:hAnsiTheme="majorHAnsi" w:cstheme="majorHAnsi"/>
          <w:b/>
          <w:sz w:val="24"/>
          <w:szCs w:val="24"/>
          <w:lang w:val="ro-RO"/>
        </w:rPr>
        <w:t>Tabelul nr.10</w:t>
      </w:r>
      <w:r w:rsidR="00487478" w:rsidRPr="00487478">
        <w:rPr>
          <w:rFonts w:asciiTheme="majorHAnsi" w:hAnsiTheme="majorHAnsi" w:cstheme="majorHAnsi"/>
          <w:b/>
          <w:sz w:val="24"/>
          <w:szCs w:val="24"/>
          <w:lang w:val="ro-RO"/>
        </w:rPr>
        <w:t xml:space="preserve">. Beneficiarii </w:t>
      </w:r>
      <w:proofErr w:type="spellStart"/>
      <w:r w:rsidR="00487478" w:rsidRPr="00487478">
        <w:rPr>
          <w:rFonts w:asciiTheme="majorHAnsi" w:hAnsiTheme="majorHAnsi" w:cstheme="majorHAnsi"/>
          <w:b/>
          <w:sz w:val="24"/>
          <w:szCs w:val="24"/>
          <w:lang w:val="ro-RO"/>
        </w:rPr>
        <w:t>recreditați</w:t>
      </w:r>
      <w:proofErr w:type="spellEnd"/>
      <w:r w:rsidR="00487478" w:rsidRPr="00487478">
        <w:rPr>
          <w:rFonts w:asciiTheme="majorHAnsi" w:hAnsiTheme="majorHAnsi" w:cstheme="majorHAnsi"/>
          <w:b/>
          <w:sz w:val="24"/>
          <w:szCs w:val="24"/>
          <w:lang w:val="ro-RO"/>
        </w:rPr>
        <w:t xml:space="preserve"> în anul 2018 prin intermediul MF</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587"/>
        <w:gridCol w:w="1231"/>
        <w:gridCol w:w="2826"/>
        <w:gridCol w:w="1132"/>
        <w:gridCol w:w="1186"/>
      </w:tblGrid>
      <w:tr w:rsidR="00487478" w:rsidRPr="00487478" w14:paraId="0A1C2C95" w14:textId="77777777" w:rsidTr="000E367C">
        <w:trPr>
          <w:trHeight w:val="515"/>
        </w:trPr>
        <w:tc>
          <w:tcPr>
            <w:tcW w:w="443" w:type="dxa"/>
            <w:shd w:val="clear" w:color="auto" w:fill="E7E6E6"/>
            <w:vAlign w:val="center"/>
          </w:tcPr>
          <w:p w14:paraId="02D5A828"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Nr. d/o</w:t>
            </w:r>
          </w:p>
        </w:tc>
        <w:tc>
          <w:tcPr>
            <w:tcW w:w="2587" w:type="dxa"/>
            <w:shd w:val="clear" w:color="auto" w:fill="E7E6E6"/>
          </w:tcPr>
          <w:p w14:paraId="59A0AF37"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Denumirea proiectului</w:t>
            </w:r>
          </w:p>
        </w:tc>
        <w:tc>
          <w:tcPr>
            <w:tcW w:w="1231" w:type="dxa"/>
            <w:shd w:val="clear" w:color="auto" w:fill="E7E6E6"/>
          </w:tcPr>
          <w:p w14:paraId="046EC307"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Finanțatorul</w:t>
            </w:r>
          </w:p>
        </w:tc>
        <w:tc>
          <w:tcPr>
            <w:tcW w:w="2826" w:type="dxa"/>
            <w:shd w:val="clear" w:color="auto" w:fill="E7E6E6"/>
            <w:vAlign w:val="center"/>
          </w:tcPr>
          <w:p w14:paraId="283C9932"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 xml:space="preserve">Beneficiarul </w:t>
            </w:r>
            <w:proofErr w:type="spellStart"/>
            <w:r w:rsidRPr="00487478">
              <w:rPr>
                <w:rFonts w:asciiTheme="majorHAnsi" w:hAnsiTheme="majorHAnsi" w:cstheme="majorHAnsi"/>
                <w:b/>
                <w:sz w:val="16"/>
                <w:szCs w:val="16"/>
                <w:lang w:val="ro-RO"/>
              </w:rPr>
              <w:t>recreditat</w:t>
            </w:r>
            <w:proofErr w:type="spellEnd"/>
          </w:p>
        </w:tc>
        <w:tc>
          <w:tcPr>
            <w:tcW w:w="1132" w:type="dxa"/>
            <w:shd w:val="clear" w:color="auto" w:fill="E7E6E6"/>
            <w:vAlign w:val="center"/>
          </w:tcPr>
          <w:p w14:paraId="37CDC8BD"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u.m.</w:t>
            </w:r>
          </w:p>
        </w:tc>
        <w:tc>
          <w:tcPr>
            <w:tcW w:w="1186" w:type="dxa"/>
            <w:shd w:val="clear" w:color="auto" w:fill="E7E6E6"/>
            <w:vAlign w:val="center"/>
          </w:tcPr>
          <w:p w14:paraId="6C9ACFA0" w14:textId="77777777" w:rsidR="00487478" w:rsidRPr="008E6807" w:rsidRDefault="00487478" w:rsidP="000E367C">
            <w:pPr>
              <w:spacing w:after="0" w:line="240" w:lineRule="auto"/>
              <w:jc w:val="center"/>
              <w:rPr>
                <w:rFonts w:asciiTheme="majorHAnsi" w:hAnsiTheme="majorHAnsi"/>
                <w:b/>
                <w:sz w:val="16"/>
                <w:lang w:val="ro-RO"/>
              </w:rPr>
            </w:pPr>
            <w:proofErr w:type="spellStart"/>
            <w:r w:rsidRPr="00487478">
              <w:rPr>
                <w:rFonts w:asciiTheme="majorHAnsi" w:hAnsiTheme="majorHAnsi" w:cstheme="majorHAnsi"/>
                <w:b/>
                <w:sz w:val="16"/>
                <w:szCs w:val="16"/>
                <w:lang w:val="ro-RO"/>
              </w:rPr>
              <w:t>Recreditat</w:t>
            </w:r>
            <w:proofErr w:type="spellEnd"/>
            <w:r w:rsidRPr="00487478">
              <w:rPr>
                <w:rFonts w:asciiTheme="majorHAnsi" w:hAnsiTheme="majorHAnsi" w:cstheme="majorHAnsi"/>
                <w:b/>
                <w:sz w:val="16"/>
                <w:szCs w:val="16"/>
                <w:lang w:val="ro-RO"/>
              </w:rPr>
              <w:t xml:space="preserve"> în anul 2018</w:t>
            </w:r>
          </w:p>
        </w:tc>
      </w:tr>
      <w:tr w:rsidR="00487478" w:rsidRPr="00487478" w14:paraId="32188897" w14:textId="77777777" w:rsidTr="000E367C">
        <w:trPr>
          <w:trHeight w:val="974"/>
        </w:trPr>
        <w:tc>
          <w:tcPr>
            <w:tcW w:w="443" w:type="dxa"/>
            <w:shd w:val="clear" w:color="auto" w:fill="FFFFFF"/>
          </w:tcPr>
          <w:p w14:paraId="75E7028D" w14:textId="67088DAA"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1</w:t>
            </w:r>
            <w:r w:rsidR="0028331A">
              <w:rPr>
                <w:rFonts w:asciiTheme="majorHAnsi" w:hAnsiTheme="majorHAnsi" w:cstheme="majorHAnsi"/>
                <w:sz w:val="16"/>
                <w:szCs w:val="16"/>
                <w:lang w:val="ro-RO"/>
              </w:rPr>
              <w:t>.</w:t>
            </w:r>
          </w:p>
        </w:tc>
        <w:tc>
          <w:tcPr>
            <w:tcW w:w="2587" w:type="dxa"/>
            <w:shd w:val="clear" w:color="auto" w:fill="FFFFFF"/>
          </w:tcPr>
          <w:p w14:paraId="3A59E4CB"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 xml:space="preserve">Construcția locuințelor pentru păturile socialmente vulnerabile, faza II </w:t>
            </w:r>
          </w:p>
          <w:p w14:paraId="25AB061B" w14:textId="77777777" w:rsidR="00487478" w:rsidRPr="00487478" w:rsidRDefault="00487478" w:rsidP="000E367C">
            <w:pPr>
              <w:spacing w:after="0" w:line="240" w:lineRule="auto"/>
              <w:rPr>
                <w:rFonts w:asciiTheme="majorHAnsi" w:hAnsiTheme="majorHAnsi" w:cstheme="majorHAnsi"/>
                <w:sz w:val="16"/>
                <w:szCs w:val="16"/>
                <w:lang w:val="ro-RO"/>
              </w:rPr>
            </w:pPr>
          </w:p>
          <w:p w14:paraId="2D1602CA" w14:textId="77777777" w:rsidR="00487478" w:rsidRPr="00487478" w:rsidRDefault="00487478" w:rsidP="000E367C">
            <w:pPr>
              <w:spacing w:after="0" w:line="240" w:lineRule="auto"/>
              <w:rPr>
                <w:rFonts w:asciiTheme="majorHAnsi" w:hAnsiTheme="majorHAnsi" w:cstheme="majorHAnsi"/>
                <w:sz w:val="16"/>
                <w:szCs w:val="16"/>
                <w:lang w:val="ro-RO"/>
              </w:rPr>
            </w:pPr>
          </w:p>
          <w:p w14:paraId="4075D613" w14:textId="77777777" w:rsidR="00487478" w:rsidRPr="00487478" w:rsidRDefault="00487478" w:rsidP="000E367C">
            <w:pPr>
              <w:spacing w:after="0" w:line="240" w:lineRule="auto"/>
              <w:rPr>
                <w:rFonts w:asciiTheme="majorHAnsi" w:hAnsiTheme="majorHAnsi" w:cstheme="majorHAnsi"/>
                <w:sz w:val="16"/>
                <w:szCs w:val="16"/>
                <w:lang w:val="ro-RO"/>
              </w:rPr>
            </w:pPr>
          </w:p>
          <w:p w14:paraId="03A276D1" w14:textId="77777777" w:rsidR="00487478" w:rsidRPr="00487478" w:rsidRDefault="00487478" w:rsidP="000E367C">
            <w:pPr>
              <w:spacing w:after="0" w:line="240" w:lineRule="auto"/>
              <w:rPr>
                <w:rFonts w:asciiTheme="majorHAnsi" w:hAnsiTheme="majorHAnsi" w:cstheme="majorHAnsi"/>
                <w:b/>
                <w:sz w:val="16"/>
                <w:szCs w:val="16"/>
                <w:lang w:val="ro-RO"/>
              </w:rPr>
            </w:pPr>
            <w:r w:rsidRPr="00487478">
              <w:rPr>
                <w:rFonts w:asciiTheme="majorHAnsi" w:hAnsiTheme="majorHAnsi" w:cstheme="majorHAnsi"/>
                <w:b/>
                <w:sz w:val="16"/>
                <w:szCs w:val="16"/>
                <w:lang w:val="ro-RO"/>
              </w:rPr>
              <w:t>Total</w:t>
            </w:r>
          </w:p>
        </w:tc>
        <w:tc>
          <w:tcPr>
            <w:tcW w:w="1231" w:type="dxa"/>
            <w:shd w:val="clear" w:color="auto" w:fill="FFFFFF"/>
          </w:tcPr>
          <w:p w14:paraId="0AB4D039"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Banca de Dezvoltare a Consiliului Europei</w:t>
            </w:r>
          </w:p>
        </w:tc>
        <w:tc>
          <w:tcPr>
            <w:tcW w:w="2826" w:type="dxa"/>
            <w:shd w:val="clear" w:color="auto" w:fill="FFFFFF"/>
          </w:tcPr>
          <w:p w14:paraId="55A4D932"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Consiliul raional Nisporeni</w:t>
            </w:r>
          </w:p>
          <w:p w14:paraId="302D3FBD"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Consiliul raional Leova</w:t>
            </w:r>
          </w:p>
          <w:p w14:paraId="52F2F0B4"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Consiliul raional Rezina</w:t>
            </w:r>
          </w:p>
          <w:p w14:paraId="4D090853"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Consiliul raional Glodeni</w:t>
            </w:r>
          </w:p>
          <w:p w14:paraId="6E91374F"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Consiliul raional Cimișlia</w:t>
            </w:r>
          </w:p>
          <w:p w14:paraId="5403C5C3"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Consiliul raional Cantemir</w:t>
            </w:r>
          </w:p>
        </w:tc>
        <w:tc>
          <w:tcPr>
            <w:tcW w:w="1132" w:type="dxa"/>
            <w:shd w:val="clear" w:color="auto" w:fill="FFFFFF"/>
          </w:tcPr>
          <w:p w14:paraId="2FC6B19E"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mii euro</w:t>
            </w:r>
          </w:p>
          <w:p w14:paraId="7498C3D3"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mii euro</w:t>
            </w:r>
          </w:p>
          <w:p w14:paraId="239D7628"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mii euro</w:t>
            </w:r>
          </w:p>
          <w:p w14:paraId="6ACAA3C9"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mii euro</w:t>
            </w:r>
          </w:p>
          <w:p w14:paraId="7AFA4C41"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mii euro</w:t>
            </w:r>
          </w:p>
          <w:p w14:paraId="6F4C4BBA"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mii euro</w:t>
            </w:r>
          </w:p>
          <w:p w14:paraId="5D0210FC"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mii euro</w:t>
            </w:r>
          </w:p>
        </w:tc>
        <w:tc>
          <w:tcPr>
            <w:tcW w:w="1186" w:type="dxa"/>
            <w:shd w:val="clear" w:color="auto" w:fill="FFFFFF"/>
          </w:tcPr>
          <w:p w14:paraId="33527B79"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-3,5</w:t>
            </w:r>
          </w:p>
          <w:p w14:paraId="7E57A852"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13,9</w:t>
            </w:r>
          </w:p>
          <w:p w14:paraId="03E14A0E"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252,4</w:t>
            </w:r>
          </w:p>
          <w:p w14:paraId="74E29CBA"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384,7</w:t>
            </w:r>
          </w:p>
          <w:p w14:paraId="34A37AC4"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127,8</w:t>
            </w:r>
          </w:p>
          <w:p w14:paraId="7EA979F4"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11,4</w:t>
            </w:r>
          </w:p>
          <w:p w14:paraId="46B89427" w14:textId="77777777" w:rsidR="00487478" w:rsidRPr="005418E9" w:rsidRDefault="005418E9" w:rsidP="005418E9">
            <w:pPr>
              <w:spacing w:after="0" w:line="240" w:lineRule="auto"/>
              <w:jc w:val="center"/>
              <w:rPr>
                <w:rFonts w:asciiTheme="majorHAnsi" w:hAnsiTheme="majorHAnsi" w:cstheme="majorHAnsi"/>
                <w:b/>
                <w:sz w:val="16"/>
                <w:szCs w:val="16"/>
                <w:lang w:val="ro-RO"/>
              </w:rPr>
            </w:pPr>
            <w:r>
              <w:rPr>
                <w:rFonts w:asciiTheme="majorHAnsi" w:hAnsiTheme="majorHAnsi" w:cstheme="majorHAnsi"/>
                <w:b/>
                <w:sz w:val="16"/>
                <w:szCs w:val="16"/>
                <w:lang w:val="ro-RO"/>
              </w:rPr>
              <w:t>786,6</w:t>
            </w:r>
          </w:p>
        </w:tc>
      </w:tr>
      <w:tr w:rsidR="00487478" w:rsidRPr="00487478" w14:paraId="5F6F970B" w14:textId="77777777" w:rsidTr="000E367C">
        <w:tc>
          <w:tcPr>
            <w:tcW w:w="443" w:type="dxa"/>
            <w:shd w:val="clear" w:color="auto" w:fill="FFFFFF"/>
          </w:tcPr>
          <w:p w14:paraId="723CDC53" w14:textId="4783B26A"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lastRenderedPageBreak/>
              <w:t>2</w:t>
            </w:r>
            <w:r w:rsidR="0028331A">
              <w:rPr>
                <w:rFonts w:asciiTheme="majorHAnsi" w:hAnsiTheme="majorHAnsi" w:cstheme="majorHAnsi"/>
                <w:sz w:val="16"/>
                <w:szCs w:val="16"/>
                <w:lang w:val="ro-RO"/>
              </w:rPr>
              <w:t>.</w:t>
            </w:r>
          </w:p>
        </w:tc>
        <w:tc>
          <w:tcPr>
            <w:tcW w:w="2587" w:type="dxa"/>
            <w:shd w:val="clear" w:color="auto" w:fill="FFFFFF"/>
          </w:tcPr>
          <w:p w14:paraId="23DD4355"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Proiectul de achiziție a locomotivelor și restructurarea infrastructurii feroviare</w:t>
            </w:r>
          </w:p>
          <w:p w14:paraId="7A6CCBFF" w14:textId="77777777" w:rsidR="00487478" w:rsidRPr="00487478" w:rsidRDefault="00487478" w:rsidP="000E367C">
            <w:pPr>
              <w:spacing w:after="0" w:line="240" w:lineRule="auto"/>
              <w:rPr>
                <w:rFonts w:asciiTheme="majorHAnsi" w:hAnsiTheme="majorHAnsi" w:cstheme="majorHAnsi"/>
                <w:b/>
                <w:sz w:val="16"/>
                <w:szCs w:val="16"/>
                <w:lang w:val="ro-RO"/>
              </w:rPr>
            </w:pPr>
            <w:r w:rsidRPr="00487478">
              <w:rPr>
                <w:rFonts w:asciiTheme="majorHAnsi" w:hAnsiTheme="majorHAnsi" w:cstheme="majorHAnsi"/>
                <w:b/>
                <w:sz w:val="16"/>
                <w:szCs w:val="16"/>
                <w:lang w:val="ro-RO"/>
              </w:rPr>
              <w:t>Total</w:t>
            </w:r>
          </w:p>
        </w:tc>
        <w:tc>
          <w:tcPr>
            <w:tcW w:w="1231" w:type="dxa"/>
            <w:shd w:val="clear" w:color="auto" w:fill="FFFFFF"/>
          </w:tcPr>
          <w:p w14:paraId="3ADAF7B6"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BERD</w:t>
            </w:r>
          </w:p>
          <w:p w14:paraId="7D5DE78A"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BEI</w:t>
            </w:r>
          </w:p>
        </w:tc>
        <w:tc>
          <w:tcPr>
            <w:tcW w:w="2826" w:type="dxa"/>
            <w:shd w:val="clear" w:color="auto" w:fill="FFFFFF"/>
          </w:tcPr>
          <w:p w14:paraId="1688A4F4"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ÎS „Calea Ferată”</w:t>
            </w:r>
          </w:p>
        </w:tc>
        <w:tc>
          <w:tcPr>
            <w:tcW w:w="1132" w:type="dxa"/>
            <w:shd w:val="clear" w:color="auto" w:fill="FFFFFF"/>
          </w:tcPr>
          <w:p w14:paraId="132CD605"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mii euro</w:t>
            </w:r>
          </w:p>
          <w:p w14:paraId="3A1B4C31" w14:textId="77777777" w:rsidR="00487478" w:rsidRPr="00487478" w:rsidRDefault="00487478" w:rsidP="000E367C">
            <w:pPr>
              <w:spacing w:after="0" w:line="240" w:lineRule="auto"/>
              <w:jc w:val="center"/>
              <w:rPr>
                <w:rFonts w:asciiTheme="majorHAnsi" w:hAnsiTheme="majorHAnsi" w:cstheme="majorHAnsi"/>
                <w:sz w:val="16"/>
                <w:szCs w:val="16"/>
                <w:lang w:val="ro-RO"/>
              </w:rPr>
            </w:pPr>
          </w:p>
          <w:p w14:paraId="4446CD7D" w14:textId="77777777" w:rsidR="00487478" w:rsidRPr="00487478" w:rsidRDefault="00487478" w:rsidP="000E367C">
            <w:pPr>
              <w:spacing w:after="0" w:line="240" w:lineRule="auto"/>
              <w:jc w:val="center"/>
              <w:rPr>
                <w:rFonts w:asciiTheme="majorHAnsi" w:hAnsiTheme="majorHAnsi" w:cstheme="majorHAnsi"/>
                <w:sz w:val="16"/>
                <w:szCs w:val="16"/>
                <w:lang w:val="ro-RO"/>
              </w:rPr>
            </w:pPr>
          </w:p>
          <w:p w14:paraId="6B461E82"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mii euro</w:t>
            </w:r>
          </w:p>
        </w:tc>
        <w:tc>
          <w:tcPr>
            <w:tcW w:w="1186" w:type="dxa"/>
            <w:shd w:val="clear" w:color="auto" w:fill="FFFFFF"/>
          </w:tcPr>
          <w:p w14:paraId="7C0D42DB"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4064,0</w:t>
            </w:r>
          </w:p>
          <w:p w14:paraId="23CABF7A" w14:textId="77777777" w:rsidR="00487478" w:rsidRPr="00487478" w:rsidRDefault="00487478" w:rsidP="000E367C">
            <w:pPr>
              <w:spacing w:after="0" w:line="240" w:lineRule="auto"/>
              <w:jc w:val="center"/>
              <w:rPr>
                <w:rFonts w:asciiTheme="majorHAnsi" w:hAnsiTheme="majorHAnsi" w:cstheme="majorHAnsi"/>
                <w:sz w:val="16"/>
                <w:szCs w:val="16"/>
                <w:lang w:val="ro-RO"/>
              </w:rPr>
            </w:pPr>
          </w:p>
          <w:p w14:paraId="34205ECC" w14:textId="77777777" w:rsidR="00487478" w:rsidRPr="00487478" w:rsidRDefault="00487478" w:rsidP="000E367C">
            <w:pPr>
              <w:spacing w:after="0" w:line="240" w:lineRule="auto"/>
              <w:jc w:val="center"/>
              <w:rPr>
                <w:rFonts w:asciiTheme="majorHAnsi" w:hAnsiTheme="majorHAnsi" w:cstheme="majorHAnsi"/>
                <w:sz w:val="16"/>
                <w:szCs w:val="16"/>
                <w:lang w:val="ro-RO"/>
              </w:rPr>
            </w:pPr>
          </w:p>
          <w:p w14:paraId="58E189C8"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4064,0</w:t>
            </w:r>
          </w:p>
        </w:tc>
      </w:tr>
      <w:tr w:rsidR="00487478" w:rsidRPr="00487478" w14:paraId="59EAC2F4" w14:textId="77777777" w:rsidTr="000E367C">
        <w:tc>
          <w:tcPr>
            <w:tcW w:w="443" w:type="dxa"/>
            <w:shd w:val="clear" w:color="auto" w:fill="FFFFFF"/>
          </w:tcPr>
          <w:p w14:paraId="57027595" w14:textId="3A060072"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3</w:t>
            </w:r>
            <w:r w:rsidR="0028331A">
              <w:rPr>
                <w:rFonts w:asciiTheme="majorHAnsi" w:hAnsiTheme="majorHAnsi" w:cstheme="majorHAnsi"/>
                <w:sz w:val="16"/>
                <w:szCs w:val="16"/>
                <w:lang w:val="ro-RO"/>
              </w:rPr>
              <w:t>.</w:t>
            </w:r>
          </w:p>
        </w:tc>
        <w:tc>
          <w:tcPr>
            <w:tcW w:w="2587" w:type="dxa"/>
            <w:shd w:val="clear" w:color="auto" w:fill="FFFFFF"/>
          </w:tcPr>
          <w:p w14:paraId="1465C73F"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Împrumutul destinat reabilitării rețelelor de transport ale ÎS „</w:t>
            </w:r>
            <w:proofErr w:type="spellStart"/>
            <w:r w:rsidRPr="00487478">
              <w:rPr>
                <w:rFonts w:asciiTheme="majorHAnsi" w:hAnsiTheme="majorHAnsi" w:cstheme="majorHAnsi"/>
                <w:sz w:val="16"/>
                <w:szCs w:val="16"/>
                <w:lang w:val="ro-RO"/>
              </w:rPr>
              <w:t>Moldelectrica</w:t>
            </w:r>
            <w:proofErr w:type="spellEnd"/>
            <w:r w:rsidRPr="00487478">
              <w:rPr>
                <w:rFonts w:asciiTheme="majorHAnsi" w:hAnsiTheme="majorHAnsi" w:cstheme="majorHAnsi"/>
                <w:sz w:val="16"/>
                <w:szCs w:val="16"/>
                <w:lang w:val="ro-RO"/>
              </w:rPr>
              <w:t>”</w:t>
            </w:r>
          </w:p>
          <w:p w14:paraId="1F9987DE" w14:textId="77777777" w:rsidR="00487478" w:rsidRPr="00487478" w:rsidRDefault="00487478" w:rsidP="000E367C">
            <w:pPr>
              <w:spacing w:after="0" w:line="240" w:lineRule="auto"/>
              <w:rPr>
                <w:rFonts w:asciiTheme="majorHAnsi" w:hAnsiTheme="majorHAnsi" w:cstheme="majorHAnsi"/>
                <w:b/>
                <w:sz w:val="16"/>
                <w:szCs w:val="16"/>
                <w:lang w:val="ro-RO"/>
              </w:rPr>
            </w:pPr>
            <w:r w:rsidRPr="00487478">
              <w:rPr>
                <w:rFonts w:asciiTheme="majorHAnsi" w:hAnsiTheme="majorHAnsi" w:cstheme="majorHAnsi"/>
                <w:b/>
                <w:sz w:val="16"/>
                <w:szCs w:val="16"/>
                <w:lang w:val="ro-RO"/>
              </w:rPr>
              <w:t>Total</w:t>
            </w:r>
          </w:p>
        </w:tc>
        <w:tc>
          <w:tcPr>
            <w:tcW w:w="1231" w:type="dxa"/>
            <w:shd w:val="clear" w:color="auto" w:fill="FFFFFF"/>
          </w:tcPr>
          <w:p w14:paraId="5FFE0A2A"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BERD</w:t>
            </w:r>
          </w:p>
          <w:p w14:paraId="2FD8E824" w14:textId="77777777" w:rsidR="00487478" w:rsidRPr="00487478" w:rsidRDefault="00487478" w:rsidP="000E367C">
            <w:pPr>
              <w:spacing w:after="0" w:line="240" w:lineRule="auto"/>
              <w:rPr>
                <w:rFonts w:asciiTheme="majorHAnsi" w:hAnsiTheme="majorHAnsi" w:cstheme="majorHAnsi"/>
                <w:sz w:val="16"/>
                <w:szCs w:val="16"/>
                <w:lang w:val="ro-RO"/>
              </w:rPr>
            </w:pPr>
          </w:p>
        </w:tc>
        <w:tc>
          <w:tcPr>
            <w:tcW w:w="2826" w:type="dxa"/>
            <w:shd w:val="clear" w:color="auto" w:fill="FFFFFF"/>
          </w:tcPr>
          <w:p w14:paraId="2F4E82B9"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ÎS „</w:t>
            </w:r>
            <w:proofErr w:type="spellStart"/>
            <w:r w:rsidRPr="00487478">
              <w:rPr>
                <w:rFonts w:asciiTheme="majorHAnsi" w:hAnsiTheme="majorHAnsi" w:cstheme="majorHAnsi"/>
                <w:sz w:val="16"/>
                <w:szCs w:val="16"/>
                <w:lang w:val="ro-RO"/>
              </w:rPr>
              <w:t>Moldelectrica</w:t>
            </w:r>
            <w:proofErr w:type="spellEnd"/>
            <w:r w:rsidRPr="00487478">
              <w:rPr>
                <w:rFonts w:asciiTheme="majorHAnsi" w:hAnsiTheme="majorHAnsi" w:cstheme="majorHAnsi"/>
                <w:sz w:val="16"/>
                <w:szCs w:val="16"/>
                <w:lang w:val="ro-RO"/>
              </w:rPr>
              <w:t>”</w:t>
            </w:r>
          </w:p>
        </w:tc>
        <w:tc>
          <w:tcPr>
            <w:tcW w:w="1132" w:type="dxa"/>
            <w:shd w:val="clear" w:color="auto" w:fill="FFFFFF"/>
          </w:tcPr>
          <w:p w14:paraId="71F9BE48"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 xml:space="preserve">mii </w:t>
            </w:r>
            <w:proofErr w:type="spellStart"/>
            <w:r w:rsidRPr="00487478">
              <w:rPr>
                <w:rFonts w:asciiTheme="majorHAnsi" w:hAnsiTheme="majorHAnsi" w:cstheme="majorHAnsi"/>
                <w:sz w:val="16"/>
                <w:szCs w:val="16"/>
                <w:lang w:val="ro-RO"/>
              </w:rPr>
              <w:t>dol.SUA</w:t>
            </w:r>
            <w:proofErr w:type="spellEnd"/>
          </w:p>
          <w:p w14:paraId="1505D083" w14:textId="77777777" w:rsidR="00487478" w:rsidRPr="00487478" w:rsidRDefault="00487478" w:rsidP="000E367C">
            <w:pPr>
              <w:spacing w:after="0" w:line="240" w:lineRule="auto"/>
              <w:jc w:val="center"/>
              <w:rPr>
                <w:rFonts w:asciiTheme="majorHAnsi" w:hAnsiTheme="majorHAnsi" w:cstheme="majorHAnsi"/>
                <w:sz w:val="16"/>
                <w:szCs w:val="16"/>
                <w:lang w:val="ro-RO"/>
              </w:rPr>
            </w:pPr>
          </w:p>
          <w:p w14:paraId="1B1CEAEA" w14:textId="77777777" w:rsidR="00487478" w:rsidRPr="00487478" w:rsidRDefault="00487478" w:rsidP="000E367C">
            <w:pPr>
              <w:spacing w:after="0" w:line="240" w:lineRule="auto"/>
              <w:jc w:val="center"/>
              <w:rPr>
                <w:rFonts w:asciiTheme="majorHAnsi" w:hAnsiTheme="majorHAnsi" w:cstheme="majorHAnsi"/>
                <w:sz w:val="16"/>
                <w:szCs w:val="16"/>
                <w:lang w:val="ro-RO"/>
              </w:rPr>
            </w:pPr>
          </w:p>
          <w:p w14:paraId="3F6CC4C3"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 xml:space="preserve">mii </w:t>
            </w:r>
            <w:proofErr w:type="spellStart"/>
            <w:r w:rsidRPr="00487478">
              <w:rPr>
                <w:rFonts w:asciiTheme="majorHAnsi" w:hAnsiTheme="majorHAnsi" w:cstheme="majorHAnsi"/>
                <w:b/>
                <w:sz w:val="16"/>
                <w:szCs w:val="16"/>
                <w:lang w:val="ro-RO"/>
              </w:rPr>
              <w:t>dol.SUA</w:t>
            </w:r>
            <w:proofErr w:type="spellEnd"/>
          </w:p>
        </w:tc>
        <w:tc>
          <w:tcPr>
            <w:tcW w:w="1186" w:type="dxa"/>
            <w:shd w:val="clear" w:color="auto" w:fill="FFFFFF"/>
          </w:tcPr>
          <w:p w14:paraId="4AC537B1"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4507,4</w:t>
            </w:r>
          </w:p>
          <w:p w14:paraId="0AF66CC0" w14:textId="77777777" w:rsidR="00487478" w:rsidRPr="00487478" w:rsidRDefault="00487478" w:rsidP="000E367C">
            <w:pPr>
              <w:spacing w:after="0" w:line="240" w:lineRule="auto"/>
              <w:jc w:val="center"/>
              <w:rPr>
                <w:rFonts w:asciiTheme="majorHAnsi" w:hAnsiTheme="majorHAnsi" w:cstheme="majorHAnsi"/>
                <w:sz w:val="16"/>
                <w:szCs w:val="16"/>
                <w:lang w:val="ro-RO"/>
              </w:rPr>
            </w:pPr>
          </w:p>
          <w:p w14:paraId="2AB6C75C" w14:textId="77777777" w:rsidR="00487478" w:rsidRPr="00487478" w:rsidRDefault="00487478" w:rsidP="000E367C">
            <w:pPr>
              <w:spacing w:after="0" w:line="240" w:lineRule="auto"/>
              <w:jc w:val="center"/>
              <w:rPr>
                <w:rFonts w:asciiTheme="majorHAnsi" w:hAnsiTheme="majorHAnsi" w:cstheme="majorHAnsi"/>
                <w:sz w:val="16"/>
                <w:szCs w:val="16"/>
                <w:lang w:val="ro-RO"/>
              </w:rPr>
            </w:pPr>
          </w:p>
          <w:p w14:paraId="410AE472"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4507,4</w:t>
            </w:r>
          </w:p>
        </w:tc>
      </w:tr>
      <w:tr w:rsidR="00487478" w:rsidRPr="00487478" w14:paraId="47659382" w14:textId="77777777" w:rsidTr="000E367C">
        <w:tc>
          <w:tcPr>
            <w:tcW w:w="443" w:type="dxa"/>
            <w:shd w:val="clear" w:color="auto" w:fill="FFFFFF"/>
          </w:tcPr>
          <w:p w14:paraId="1E45E6CE" w14:textId="2E3CD895"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4</w:t>
            </w:r>
            <w:r w:rsidR="0028331A">
              <w:rPr>
                <w:rFonts w:asciiTheme="majorHAnsi" w:hAnsiTheme="majorHAnsi" w:cstheme="majorHAnsi"/>
                <w:sz w:val="16"/>
                <w:szCs w:val="16"/>
                <w:lang w:val="ro-RO"/>
              </w:rPr>
              <w:t>.</w:t>
            </w:r>
          </w:p>
        </w:tc>
        <w:tc>
          <w:tcPr>
            <w:tcW w:w="2587" w:type="dxa"/>
            <w:shd w:val="clear" w:color="auto" w:fill="FFFFFF"/>
          </w:tcPr>
          <w:p w14:paraId="7AB43058"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Proiectul „Pentru a mări capacitatea și a îmbunătăți siguranța sistemului de transport al energiei electrice din Moldova”</w:t>
            </w:r>
          </w:p>
          <w:p w14:paraId="6DAF930E" w14:textId="77777777" w:rsidR="00487478" w:rsidRPr="00487478" w:rsidRDefault="00487478" w:rsidP="000E367C">
            <w:pPr>
              <w:spacing w:after="0" w:line="240" w:lineRule="auto"/>
              <w:rPr>
                <w:rFonts w:asciiTheme="majorHAnsi" w:hAnsiTheme="majorHAnsi" w:cstheme="majorHAnsi"/>
                <w:b/>
                <w:sz w:val="16"/>
                <w:szCs w:val="16"/>
                <w:lang w:val="ro-RO"/>
              </w:rPr>
            </w:pPr>
            <w:r w:rsidRPr="00487478">
              <w:rPr>
                <w:rFonts w:asciiTheme="majorHAnsi" w:hAnsiTheme="majorHAnsi" w:cstheme="majorHAnsi"/>
                <w:b/>
                <w:sz w:val="16"/>
                <w:szCs w:val="16"/>
                <w:lang w:val="ro-RO"/>
              </w:rPr>
              <w:t>Total</w:t>
            </w:r>
          </w:p>
        </w:tc>
        <w:tc>
          <w:tcPr>
            <w:tcW w:w="1231" w:type="dxa"/>
            <w:shd w:val="clear" w:color="auto" w:fill="FFFFFF"/>
          </w:tcPr>
          <w:p w14:paraId="03A9804B"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BEI</w:t>
            </w:r>
          </w:p>
        </w:tc>
        <w:tc>
          <w:tcPr>
            <w:tcW w:w="2826" w:type="dxa"/>
            <w:shd w:val="clear" w:color="auto" w:fill="FFFFFF"/>
          </w:tcPr>
          <w:p w14:paraId="18AB68A2"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ÎS „</w:t>
            </w:r>
            <w:proofErr w:type="spellStart"/>
            <w:r w:rsidRPr="00487478">
              <w:rPr>
                <w:rFonts w:asciiTheme="majorHAnsi" w:hAnsiTheme="majorHAnsi" w:cstheme="majorHAnsi"/>
                <w:sz w:val="16"/>
                <w:szCs w:val="16"/>
                <w:lang w:val="ro-RO"/>
              </w:rPr>
              <w:t>Moldelectrica</w:t>
            </w:r>
            <w:proofErr w:type="spellEnd"/>
            <w:r w:rsidRPr="00487478">
              <w:rPr>
                <w:rFonts w:asciiTheme="majorHAnsi" w:hAnsiTheme="majorHAnsi" w:cstheme="majorHAnsi"/>
                <w:sz w:val="16"/>
                <w:szCs w:val="16"/>
                <w:lang w:val="ro-RO"/>
              </w:rPr>
              <w:t>”</w:t>
            </w:r>
          </w:p>
        </w:tc>
        <w:tc>
          <w:tcPr>
            <w:tcW w:w="1132" w:type="dxa"/>
            <w:shd w:val="clear" w:color="auto" w:fill="FFFFFF"/>
          </w:tcPr>
          <w:p w14:paraId="02D9C8DA"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 xml:space="preserve">mii </w:t>
            </w:r>
            <w:proofErr w:type="spellStart"/>
            <w:r w:rsidRPr="00487478">
              <w:rPr>
                <w:rFonts w:asciiTheme="majorHAnsi" w:hAnsiTheme="majorHAnsi" w:cstheme="majorHAnsi"/>
                <w:sz w:val="16"/>
                <w:szCs w:val="16"/>
                <w:lang w:val="ro-RO"/>
              </w:rPr>
              <w:t>dol.SUA</w:t>
            </w:r>
            <w:proofErr w:type="spellEnd"/>
          </w:p>
          <w:p w14:paraId="77FAF6EF" w14:textId="77777777" w:rsidR="00487478" w:rsidRPr="00487478" w:rsidRDefault="00487478" w:rsidP="000E367C">
            <w:pPr>
              <w:spacing w:after="0" w:line="240" w:lineRule="auto"/>
              <w:jc w:val="center"/>
              <w:rPr>
                <w:rFonts w:asciiTheme="majorHAnsi" w:hAnsiTheme="majorHAnsi" w:cstheme="majorHAnsi"/>
                <w:sz w:val="16"/>
                <w:szCs w:val="16"/>
                <w:lang w:val="ro-RO"/>
              </w:rPr>
            </w:pPr>
          </w:p>
          <w:p w14:paraId="71E02150" w14:textId="77777777" w:rsidR="00487478" w:rsidRPr="00487478" w:rsidRDefault="00487478" w:rsidP="000E367C">
            <w:pPr>
              <w:spacing w:after="0" w:line="240" w:lineRule="auto"/>
              <w:jc w:val="center"/>
              <w:rPr>
                <w:rFonts w:asciiTheme="majorHAnsi" w:hAnsiTheme="majorHAnsi" w:cstheme="majorHAnsi"/>
                <w:sz w:val="16"/>
                <w:szCs w:val="16"/>
                <w:lang w:val="ro-RO"/>
              </w:rPr>
            </w:pPr>
          </w:p>
          <w:p w14:paraId="3E6AFFF6" w14:textId="77777777" w:rsidR="00487478" w:rsidRPr="00487478" w:rsidRDefault="00487478" w:rsidP="000E367C">
            <w:pPr>
              <w:spacing w:after="0" w:line="240" w:lineRule="auto"/>
              <w:jc w:val="center"/>
              <w:rPr>
                <w:rFonts w:asciiTheme="majorHAnsi" w:hAnsiTheme="majorHAnsi" w:cstheme="majorHAnsi"/>
                <w:b/>
                <w:sz w:val="16"/>
                <w:szCs w:val="16"/>
                <w:lang w:val="ro-RO"/>
              </w:rPr>
            </w:pPr>
          </w:p>
          <w:p w14:paraId="29EA4A9F"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b/>
                <w:sz w:val="16"/>
                <w:szCs w:val="16"/>
                <w:lang w:val="ro-RO"/>
              </w:rPr>
              <w:t xml:space="preserve">mii </w:t>
            </w:r>
            <w:proofErr w:type="spellStart"/>
            <w:r w:rsidRPr="00487478">
              <w:rPr>
                <w:rFonts w:asciiTheme="majorHAnsi" w:hAnsiTheme="majorHAnsi" w:cstheme="majorHAnsi"/>
                <w:b/>
                <w:sz w:val="16"/>
                <w:szCs w:val="16"/>
                <w:lang w:val="ro-RO"/>
              </w:rPr>
              <w:t>dol.SUA</w:t>
            </w:r>
            <w:proofErr w:type="spellEnd"/>
          </w:p>
        </w:tc>
        <w:tc>
          <w:tcPr>
            <w:tcW w:w="1186" w:type="dxa"/>
            <w:shd w:val="clear" w:color="auto" w:fill="FFFFFF"/>
          </w:tcPr>
          <w:p w14:paraId="1C3D8FD4"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5400,0</w:t>
            </w:r>
          </w:p>
          <w:p w14:paraId="00C3783C" w14:textId="77777777" w:rsidR="00487478" w:rsidRPr="00487478" w:rsidRDefault="00487478" w:rsidP="000E367C">
            <w:pPr>
              <w:spacing w:after="0" w:line="240" w:lineRule="auto"/>
              <w:jc w:val="center"/>
              <w:rPr>
                <w:rFonts w:asciiTheme="majorHAnsi" w:hAnsiTheme="majorHAnsi" w:cstheme="majorHAnsi"/>
                <w:sz w:val="16"/>
                <w:szCs w:val="16"/>
                <w:lang w:val="ro-RO"/>
              </w:rPr>
            </w:pPr>
          </w:p>
          <w:p w14:paraId="65E83C75" w14:textId="77777777" w:rsidR="00487478" w:rsidRPr="00487478" w:rsidRDefault="00487478" w:rsidP="000E367C">
            <w:pPr>
              <w:spacing w:after="0" w:line="240" w:lineRule="auto"/>
              <w:jc w:val="center"/>
              <w:rPr>
                <w:rFonts w:asciiTheme="majorHAnsi" w:hAnsiTheme="majorHAnsi" w:cstheme="majorHAnsi"/>
                <w:sz w:val="16"/>
                <w:szCs w:val="16"/>
                <w:lang w:val="ro-RO"/>
              </w:rPr>
            </w:pPr>
          </w:p>
          <w:p w14:paraId="19644A38" w14:textId="77777777" w:rsidR="00487478" w:rsidRPr="00487478" w:rsidRDefault="00487478" w:rsidP="000E367C">
            <w:pPr>
              <w:spacing w:after="0" w:line="240" w:lineRule="auto"/>
              <w:jc w:val="center"/>
              <w:rPr>
                <w:rFonts w:asciiTheme="majorHAnsi" w:hAnsiTheme="majorHAnsi" w:cstheme="majorHAnsi"/>
                <w:sz w:val="16"/>
                <w:szCs w:val="16"/>
                <w:lang w:val="ro-RO"/>
              </w:rPr>
            </w:pPr>
          </w:p>
          <w:p w14:paraId="378012FF"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5400,0</w:t>
            </w:r>
          </w:p>
        </w:tc>
      </w:tr>
      <w:tr w:rsidR="00487478" w:rsidRPr="00487478" w14:paraId="2E7243AA" w14:textId="77777777" w:rsidTr="000E367C">
        <w:tc>
          <w:tcPr>
            <w:tcW w:w="443" w:type="dxa"/>
            <w:shd w:val="clear" w:color="auto" w:fill="FFFFFF"/>
          </w:tcPr>
          <w:p w14:paraId="1ED8B806" w14:textId="357904E9"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5</w:t>
            </w:r>
            <w:r w:rsidR="0028331A">
              <w:rPr>
                <w:rFonts w:asciiTheme="majorHAnsi" w:hAnsiTheme="majorHAnsi" w:cstheme="majorHAnsi"/>
                <w:sz w:val="16"/>
                <w:szCs w:val="16"/>
                <w:lang w:val="ro-RO"/>
              </w:rPr>
              <w:t>.</w:t>
            </w:r>
          </w:p>
        </w:tc>
        <w:tc>
          <w:tcPr>
            <w:tcW w:w="2587" w:type="dxa"/>
            <w:shd w:val="clear" w:color="auto" w:fill="FFFFFF"/>
          </w:tcPr>
          <w:p w14:paraId="7B1870D4" w14:textId="029A3BE5"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Proiectul de îmbunătățire a ef</w:t>
            </w:r>
            <w:r w:rsidR="0028331A">
              <w:rPr>
                <w:rFonts w:asciiTheme="majorHAnsi" w:hAnsiTheme="majorHAnsi" w:cstheme="majorHAnsi"/>
                <w:sz w:val="16"/>
                <w:szCs w:val="16"/>
                <w:lang w:val="ro-RO"/>
              </w:rPr>
              <w:t>i</w:t>
            </w:r>
            <w:r w:rsidRPr="00487478">
              <w:rPr>
                <w:rFonts w:asciiTheme="majorHAnsi" w:hAnsiTheme="majorHAnsi" w:cstheme="majorHAnsi"/>
                <w:sz w:val="16"/>
                <w:szCs w:val="16"/>
                <w:lang w:val="ro-RO"/>
              </w:rPr>
              <w:t>cienței sistemului de alimentare centralizată cu energie termică</w:t>
            </w:r>
          </w:p>
          <w:p w14:paraId="73AD6D1F" w14:textId="77777777" w:rsidR="00487478" w:rsidRPr="00487478" w:rsidRDefault="00487478" w:rsidP="000E367C">
            <w:pPr>
              <w:spacing w:after="0" w:line="240" w:lineRule="auto"/>
              <w:rPr>
                <w:rFonts w:asciiTheme="majorHAnsi" w:hAnsiTheme="majorHAnsi" w:cstheme="majorHAnsi"/>
                <w:b/>
                <w:sz w:val="16"/>
                <w:szCs w:val="16"/>
                <w:lang w:val="ro-RO"/>
              </w:rPr>
            </w:pPr>
            <w:r w:rsidRPr="00487478">
              <w:rPr>
                <w:rFonts w:asciiTheme="majorHAnsi" w:hAnsiTheme="majorHAnsi" w:cstheme="majorHAnsi"/>
                <w:b/>
                <w:sz w:val="16"/>
                <w:szCs w:val="16"/>
                <w:lang w:val="ro-RO"/>
              </w:rPr>
              <w:t>Total</w:t>
            </w:r>
          </w:p>
        </w:tc>
        <w:tc>
          <w:tcPr>
            <w:tcW w:w="1231" w:type="dxa"/>
            <w:shd w:val="clear" w:color="auto" w:fill="FFFFFF"/>
          </w:tcPr>
          <w:p w14:paraId="5F40450E"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BM</w:t>
            </w:r>
          </w:p>
        </w:tc>
        <w:tc>
          <w:tcPr>
            <w:tcW w:w="2826" w:type="dxa"/>
            <w:shd w:val="clear" w:color="auto" w:fill="FFFFFF"/>
          </w:tcPr>
          <w:p w14:paraId="3FA62199"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SA „Termoelectrica”</w:t>
            </w:r>
          </w:p>
        </w:tc>
        <w:tc>
          <w:tcPr>
            <w:tcW w:w="1132" w:type="dxa"/>
            <w:shd w:val="clear" w:color="auto" w:fill="FFFFFF"/>
          </w:tcPr>
          <w:p w14:paraId="6363B98E"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 xml:space="preserve">mii </w:t>
            </w:r>
            <w:proofErr w:type="spellStart"/>
            <w:r w:rsidRPr="00487478">
              <w:rPr>
                <w:rFonts w:asciiTheme="majorHAnsi" w:hAnsiTheme="majorHAnsi" w:cstheme="majorHAnsi"/>
                <w:sz w:val="16"/>
                <w:szCs w:val="16"/>
                <w:lang w:val="ro-RO"/>
              </w:rPr>
              <w:t>dol.SUA</w:t>
            </w:r>
            <w:proofErr w:type="spellEnd"/>
          </w:p>
          <w:p w14:paraId="03D267AA" w14:textId="77777777" w:rsidR="00487478" w:rsidRPr="00487478" w:rsidRDefault="00487478" w:rsidP="000E367C">
            <w:pPr>
              <w:spacing w:after="0" w:line="240" w:lineRule="auto"/>
              <w:jc w:val="center"/>
              <w:rPr>
                <w:rFonts w:asciiTheme="majorHAnsi" w:hAnsiTheme="majorHAnsi" w:cstheme="majorHAnsi"/>
                <w:sz w:val="16"/>
                <w:szCs w:val="16"/>
                <w:lang w:val="ro-RO"/>
              </w:rPr>
            </w:pPr>
          </w:p>
          <w:p w14:paraId="39DF8786" w14:textId="77777777" w:rsidR="00487478" w:rsidRPr="00487478" w:rsidRDefault="00487478" w:rsidP="000E367C">
            <w:pPr>
              <w:spacing w:after="0" w:line="240" w:lineRule="auto"/>
              <w:jc w:val="center"/>
              <w:rPr>
                <w:rFonts w:asciiTheme="majorHAnsi" w:hAnsiTheme="majorHAnsi" w:cstheme="majorHAnsi"/>
                <w:sz w:val="16"/>
                <w:szCs w:val="16"/>
                <w:lang w:val="ro-RO"/>
              </w:rPr>
            </w:pPr>
          </w:p>
          <w:p w14:paraId="4F5F044F"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 xml:space="preserve">mii </w:t>
            </w:r>
            <w:proofErr w:type="spellStart"/>
            <w:r w:rsidRPr="00487478">
              <w:rPr>
                <w:rFonts w:asciiTheme="majorHAnsi" w:hAnsiTheme="majorHAnsi" w:cstheme="majorHAnsi"/>
                <w:b/>
                <w:sz w:val="16"/>
                <w:szCs w:val="16"/>
                <w:lang w:val="ro-RO"/>
              </w:rPr>
              <w:t>dol.SUA</w:t>
            </w:r>
            <w:proofErr w:type="spellEnd"/>
          </w:p>
        </w:tc>
        <w:tc>
          <w:tcPr>
            <w:tcW w:w="1186" w:type="dxa"/>
            <w:shd w:val="clear" w:color="auto" w:fill="FFFFFF"/>
          </w:tcPr>
          <w:p w14:paraId="0B35225E"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2147,0</w:t>
            </w:r>
          </w:p>
          <w:p w14:paraId="1074378F" w14:textId="77777777" w:rsidR="00487478" w:rsidRPr="00487478" w:rsidRDefault="00487478" w:rsidP="000E367C">
            <w:pPr>
              <w:spacing w:after="0" w:line="240" w:lineRule="auto"/>
              <w:jc w:val="center"/>
              <w:rPr>
                <w:rFonts w:asciiTheme="majorHAnsi" w:hAnsiTheme="majorHAnsi" w:cstheme="majorHAnsi"/>
                <w:sz w:val="16"/>
                <w:szCs w:val="16"/>
                <w:lang w:val="ro-RO"/>
              </w:rPr>
            </w:pPr>
          </w:p>
          <w:p w14:paraId="55842065" w14:textId="77777777" w:rsidR="00487478" w:rsidRPr="00487478" w:rsidRDefault="00487478" w:rsidP="000E367C">
            <w:pPr>
              <w:spacing w:after="0" w:line="240" w:lineRule="auto"/>
              <w:jc w:val="center"/>
              <w:rPr>
                <w:rFonts w:asciiTheme="majorHAnsi" w:hAnsiTheme="majorHAnsi" w:cstheme="majorHAnsi"/>
                <w:sz w:val="16"/>
                <w:szCs w:val="16"/>
                <w:lang w:val="ro-RO"/>
              </w:rPr>
            </w:pPr>
          </w:p>
          <w:p w14:paraId="48DBAC6A"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2147,0</w:t>
            </w:r>
          </w:p>
        </w:tc>
      </w:tr>
      <w:tr w:rsidR="00487478" w:rsidRPr="00487478" w14:paraId="64CF7B07" w14:textId="77777777" w:rsidTr="000E367C">
        <w:trPr>
          <w:trHeight w:val="201"/>
        </w:trPr>
        <w:tc>
          <w:tcPr>
            <w:tcW w:w="443" w:type="dxa"/>
          </w:tcPr>
          <w:p w14:paraId="709A8C79" w14:textId="7FCCC463"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6</w:t>
            </w:r>
            <w:r w:rsidR="0028331A">
              <w:rPr>
                <w:rFonts w:asciiTheme="majorHAnsi" w:hAnsiTheme="majorHAnsi" w:cstheme="majorHAnsi"/>
                <w:sz w:val="16"/>
                <w:szCs w:val="16"/>
                <w:lang w:val="ro-RO"/>
              </w:rPr>
              <w:t>.</w:t>
            </w:r>
          </w:p>
        </w:tc>
        <w:tc>
          <w:tcPr>
            <w:tcW w:w="2587" w:type="dxa"/>
          </w:tcPr>
          <w:p w14:paraId="740BF53D"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Proiectul „Sistemul termoenergetic al municipiului Bălți”</w:t>
            </w:r>
          </w:p>
          <w:p w14:paraId="09CC2BF6" w14:textId="77777777" w:rsidR="00487478" w:rsidRPr="00487478" w:rsidRDefault="00487478" w:rsidP="000E367C">
            <w:pPr>
              <w:spacing w:after="0" w:line="240" w:lineRule="auto"/>
              <w:rPr>
                <w:rFonts w:asciiTheme="majorHAnsi" w:hAnsiTheme="majorHAnsi" w:cstheme="majorHAnsi"/>
                <w:b/>
                <w:sz w:val="16"/>
                <w:szCs w:val="16"/>
                <w:lang w:val="ro-RO"/>
              </w:rPr>
            </w:pPr>
            <w:r w:rsidRPr="00487478">
              <w:rPr>
                <w:rFonts w:asciiTheme="majorHAnsi" w:hAnsiTheme="majorHAnsi" w:cstheme="majorHAnsi"/>
                <w:b/>
                <w:sz w:val="16"/>
                <w:szCs w:val="16"/>
                <w:lang w:val="ro-RO"/>
              </w:rPr>
              <w:t>Total</w:t>
            </w:r>
          </w:p>
        </w:tc>
        <w:tc>
          <w:tcPr>
            <w:tcW w:w="1231" w:type="dxa"/>
          </w:tcPr>
          <w:p w14:paraId="78BF2726"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BERD</w:t>
            </w:r>
          </w:p>
        </w:tc>
        <w:tc>
          <w:tcPr>
            <w:tcW w:w="2826" w:type="dxa"/>
          </w:tcPr>
          <w:p w14:paraId="584DD224" w14:textId="77777777" w:rsidR="00487478" w:rsidRPr="00487478" w:rsidRDefault="00487478" w:rsidP="000E367C">
            <w:pPr>
              <w:spacing w:after="0" w:line="240" w:lineRule="auto"/>
              <w:rPr>
                <w:rFonts w:asciiTheme="majorHAnsi" w:hAnsiTheme="majorHAnsi" w:cstheme="majorHAnsi"/>
                <w:sz w:val="16"/>
                <w:szCs w:val="16"/>
                <w:lang w:val="ro-RO"/>
              </w:rPr>
            </w:pPr>
            <w:r w:rsidRPr="00487478">
              <w:rPr>
                <w:rFonts w:asciiTheme="majorHAnsi" w:hAnsiTheme="majorHAnsi" w:cstheme="majorHAnsi"/>
                <w:sz w:val="16"/>
                <w:szCs w:val="16"/>
                <w:lang w:val="ro-RO"/>
              </w:rPr>
              <w:t>SA „</w:t>
            </w:r>
            <w:proofErr w:type="spellStart"/>
            <w:r w:rsidRPr="00487478">
              <w:rPr>
                <w:rFonts w:asciiTheme="majorHAnsi" w:hAnsiTheme="majorHAnsi" w:cstheme="majorHAnsi"/>
                <w:sz w:val="16"/>
                <w:szCs w:val="16"/>
                <w:lang w:val="ro-RO"/>
              </w:rPr>
              <w:t>Cet</w:t>
            </w:r>
            <w:proofErr w:type="spellEnd"/>
            <w:r w:rsidRPr="00487478">
              <w:rPr>
                <w:rFonts w:asciiTheme="majorHAnsi" w:hAnsiTheme="majorHAnsi" w:cstheme="majorHAnsi"/>
                <w:sz w:val="16"/>
                <w:szCs w:val="16"/>
                <w:lang w:val="ro-RO"/>
              </w:rPr>
              <w:t>-Nord”</w:t>
            </w:r>
          </w:p>
        </w:tc>
        <w:tc>
          <w:tcPr>
            <w:tcW w:w="1132" w:type="dxa"/>
          </w:tcPr>
          <w:p w14:paraId="3C839A4D"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mii euro</w:t>
            </w:r>
          </w:p>
          <w:p w14:paraId="1FC3530B" w14:textId="77777777" w:rsidR="00487478" w:rsidRPr="00487478" w:rsidRDefault="00487478" w:rsidP="000E367C">
            <w:pPr>
              <w:spacing w:after="0" w:line="240" w:lineRule="auto"/>
              <w:jc w:val="center"/>
              <w:rPr>
                <w:rFonts w:asciiTheme="majorHAnsi" w:hAnsiTheme="majorHAnsi" w:cstheme="majorHAnsi"/>
                <w:sz w:val="16"/>
                <w:szCs w:val="16"/>
                <w:lang w:val="ro-RO"/>
              </w:rPr>
            </w:pPr>
          </w:p>
          <w:p w14:paraId="23558305"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mii euro</w:t>
            </w:r>
          </w:p>
        </w:tc>
        <w:tc>
          <w:tcPr>
            <w:tcW w:w="1186" w:type="dxa"/>
          </w:tcPr>
          <w:p w14:paraId="22902F3C" w14:textId="77777777" w:rsidR="00487478" w:rsidRPr="00487478" w:rsidRDefault="00487478" w:rsidP="000E367C">
            <w:pPr>
              <w:spacing w:after="0" w:line="240" w:lineRule="auto"/>
              <w:jc w:val="center"/>
              <w:rPr>
                <w:rFonts w:asciiTheme="majorHAnsi" w:hAnsiTheme="majorHAnsi" w:cstheme="majorHAnsi"/>
                <w:sz w:val="16"/>
                <w:szCs w:val="16"/>
                <w:lang w:val="ro-RO"/>
              </w:rPr>
            </w:pPr>
            <w:r w:rsidRPr="00487478">
              <w:rPr>
                <w:rFonts w:asciiTheme="majorHAnsi" w:hAnsiTheme="majorHAnsi" w:cstheme="majorHAnsi"/>
                <w:sz w:val="16"/>
                <w:szCs w:val="16"/>
                <w:lang w:val="ro-RO"/>
              </w:rPr>
              <w:t>4549,3</w:t>
            </w:r>
          </w:p>
          <w:p w14:paraId="1070D12A" w14:textId="77777777" w:rsidR="00487478" w:rsidRPr="00487478" w:rsidRDefault="00487478" w:rsidP="000E367C">
            <w:pPr>
              <w:spacing w:after="0" w:line="240" w:lineRule="auto"/>
              <w:jc w:val="center"/>
              <w:rPr>
                <w:rFonts w:asciiTheme="majorHAnsi" w:hAnsiTheme="majorHAnsi" w:cstheme="majorHAnsi"/>
                <w:sz w:val="16"/>
                <w:szCs w:val="16"/>
                <w:lang w:val="ro-RO"/>
              </w:rPr>
            </w:pPr>
          </w:p>
          <w:p w14:paraId="5314ECDB"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4549,3</w:t>
            </w:r>
          </w:p>
        </w:tc>
      </w:tr>
      <w:tr w:rsidR="00487478" w:rsidRPr="00487478" w14:paraId="7AE71C9F" w14:textId="77777777" w:rsidTr="000E367C">
        <w:tc>
          <w:tcPr>
            <w:tcW w:w="443" w:type="dxa"/>
            <w:vMerge w:val="restart"/>
            <w:shd w:val="clear" w:color="auto" w:fill="E7E6E6"/>
          </w:tcPr>
          <w:p w14:paraId="06AFA3D9" w14:textId="77777777" w:rsidR="00487478" w:rsidRPr="00487478" w:rsidRDefault="00487478" w:rsidP="000E367C">
            <w:pPr>
              <w:spacing w:after="0" w:line="240" w:lineRule="auto"/>
              <w:rPr>
                <w:rFonts w:asciiTheme="majorHAnsi" w:hAnsiTheme="majorHAnsi" w:cstheme="majorHAnsi"/>
                <w:sz w:val="16"/>
                <w:szCs w:val="16"/>
                <w:lang w:val="ro-RO"/>
              </w:rPr>
            </w:pPr>
          </w:p>
        </w:tc>
        <w:tc>
          <w:tcPr>
            <w:tcW w:w="2587" w:type="dxa"/>
            <w:shd w:val="clear" w:color="auto" w:fill="E7E6E6"/>
          </w:tcPr>
          <w:p w14:paraId="1B2D6951"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Total general</w:t>
            </w:r>
          </w:p>
        </w:tc>
        <w:tc>
          <w:tcPr>
            <w:tcW w:w="1231" w:type="dxa"/>
            <w:shd w:val="clear" w:color="auto" w:fill="E7E6E6"/>
          </w:tcPr>
          <w:p w14:paraId="382E05B8" w14:textId="77777777" w:rsidR="00487478" w:rsidRPr="00487478" w:rsidRDefault="00487478" w:rsidP="000E367C">
            <w:pPr>
              <w:spacing w:after="0" w:line="240" w:lineRule="auto"/>
              <w:jc w:val="center"/>
              <w:rPr>
                <w:rFonts w:asciiTheme="majorHAnsi" w:hAnsiTheme="majorHAnsi" w:cstheme="majorHAnsi"/>
                <w:b/>
                <w:sz w:val="16"/>
                <w:szCs w:val="16"/>
                <w:lang w:val="ro-RO"/>
              </w:rPr>
            </w:pPr>
          </w:p>
        </w:tc>
        <w:tc>
          <w:tcPr>
            <w:tcW w:w="2826" w:type="dxa"/>
            <w:shd w:val="clear" w:color="auto" w:fill="E7E6E6"/>
          </w:tcPr>
          <w:p w14:paraId="589E2DA6" w14:textId="77777777" w:rsidR="00487478" w:rsidRPr="00487478" w:rsidRDefault="00487478" w:rsidP="000E367C">
            <w:pPr>
              <w:spacing w:after="0" w:line="240" w:lineRule="auto"/>
              <w:jc w:val="center"/>
              <w:rPr>
                <w:rFonts w:asciiTheme="majorHAnsi" w:hAnsiTheme="majorHAnsi" w:cstheme="majorHAnsi"/>
                <w:b/>
                <w:sz w:val="16"/>
                <w:szCs w:val="16"/>
                <w:lang w:val="ro-RO"/>
              </w:rPr>
            </w:pPr>
          </w:p>
        </w:tc>
        <w:tc>
          <w:tcPr>
            <w:tcW w:w="1132" w:type="dxa"/>
            <w:shd w:val="clear" w:color="auto" w:fill="E7E6E6"/>
          </w:tcPr>
          <w:p w14:paraId="474A0FEC"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mii euro</w:t>
            </w:r>
          </w:p>
        </w:tc>
        <w:tc>
          <w:tcPr>
            <w:tcW w:w="1186" w:type="dxa"/>
            <w:shd w:val="clear" w:color="auto" w:fill="E7E6E6"/>
          </w:tcPr>
          <w:p w14:paraId="7F51A9AC"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14800,0</w:t>
            </w:r>
          </w:p>
        </w:tc>
      </w:tr>
      <w:tr w:rsidR="00487478" w:rsidRPr="00487478" w14:paraId="233BB0EC" w14:textId="77777777" w:rsidTr="000E367C">
        <w:tc>
          <w:tcPr>
            <w:tcW w:w="443" w:type="dxa"/>
            <w:vMerge/>
            <w:shd w:val="clear" w:color="auto" w:fill="E7E6E6"/>
          </w:tcPr>
          <w:p w14:paraId="0F420AC2" w14:textId="77777777" w:rsidR="00487478" w:rsidRPr="00487478" w:rsidRDefault="00487478" w:rsidP="000E367C">
            <w:pPr>
              <w:spacing w:after="0" w:line="240" w:lineRule="auto"/>
              <w:rPr>
                <w:rFonts w:asciiTheme="majorHAnsi" w:hAnsiTheme="majorHAnsi" w:cstheme="majorHAnsi"/>
                <w:sz w:val="16"/>
                <w:szCs w:val="16"/>
                <w:lang w:val="ro-RO"/>
              </w:rPr>
            </w:pPr>
          </w:p>
        </w:tc>
        <w:tc>
          <w:tcPr>
            <w:tcW w:w="2587" w:type="dxa"/>
            <w:shd w:val="clear" w:color="auto" w:fill="E7E6E6"/>
          </w:tcPr>
          <w:p w14:paraId="73A365DA"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Total general</w:t>
            </w:r>
          </w:p>
        </w:tc>
        <w:tc>
          <w:tcPr>
            <w:tcW w:w="1231" w:type="dxa"/>
            <w:shd w:val="clear" w:color="auto" w:fill="E7E6E6"/>
          </w:tcPr>
          <w:p w14:paraId="5E8750EF" w14:textId="77777777" w:rsidR="00487478" w:rsidRPr="00487478" w:rsidRDefault="00487478" w:rsidP="000E367C">
            <w:pPr>
              <w:spacing w:after="0" w:line="240" w:lineRule="auto"/>
              <w:jc w:val="center"/>
              <w:rPr>
                <w:rFonts w:asciiTheme="majorHAnsi" w:hAnsiTheme="majorHAnsi" w:cstheme="majorHAnsi"/>
                <w:b/>
                <w:sz w:val="16"/>
                <w:szCs w:val="16"/>
                <w:lang w:val="ro-RO"/>
              </w:rPr>
            </w:pPr>
          </w:p>
        </w:tc>
        <w:tc>
          <w:tcPr>
            <w:tcW w:w="2826" w:type="dxa"/>
            <w:shd w:val="clear" w:color="auto" w:fill="E7E6E6"/>
          </w:tcPr>
          <w:p w14:paraId="0838BAAB" w14:textId="77777777" w:rsidR="00487478" w:rsidRPr="00487478" w:rsidRDefault="00487478" w:rsidP="000E367C">
            <w:pPr>
              <w:spacing w:after="0" w:line="240" w:lineRule="auto"/>
              <w:jc w:val="center"/>
              <w:rPr>
                <w:rFonts w:asciiTheme="majorHAnsi" w:hAnsiTheme="majorHAnsi" w:cstheme="majorHAnsi"/>
                <w:b/>
                <w:sz w:val="16"/>
                <w:szCs w:val="16"/>
                <w:lang w:val="ro-RO"/>
              </w:rPr>
            </w:pPr>
          </w:p>
        </w:tc>
        <w:tc>
          <w:tcPr>
            <w:tcW w:w="1132" w:type="dxa"/>
            <w:shd w:val="clear" w:color="auto" w:fill="E7E6E6"/>
          </w:tcPr>
          <w:p w14:paraId="035DDD6F"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 xml:space="preserve">mii </w:t>
            </w:r>
            <w:proofErr w:type="spellStart"/>
            <w:r w:rsidRPr="00487478">
              <w:rPr>
                <w:rFonts w:asciiTheme="majorHAnsi" w:hAnsiTheme="majorHAnsi" w:cstheme="majorHAnsi"/>
                <w:b/>
                <w:sz w:val="16"/>
                <w:szCs w:val="16"/>
                <w:lang w:val="ro-RO"/>
              </w:rPr>
              <w:t>dol.SUA</w:t>
            </w:r>
            <w:proofErr w:type="spellEnd"/>
          </w:p>
        </w:tc>
        <w:tc>
          <w:tcPr>
            <w:tcW w:w="1186" w:type="dxa"/>
            <w:shd w:val="clear" w:color="auto" w:fill="E7E6E6"/>
          </w:tcPr>
          <w:p w14:paraId="43049E5A"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6654,4</w:t>
            </w:r>
          </w:p>
        </w:tc>
      </w:tr>
      <w:tr w:rsidR="00487478" w:rsidRPr="00487478" w14:paraId="700738B6" w14:textId="77777777" w:rsidTr="000E367C">
        <w:tc>
          <w:tcPr>
            <w:tcW w:w="443" w:type="dxa"/>
            <w:vMerge/>
            <w:shd w:val="clear" w:color="auto" w:fill="E7E6E6"/>
          </w:tcPr>
          <w:p w14:paraId="43FF197D" w14:textId="77777777" w:rsidR="00487478" w:rsidRPr="00487478" w:rsidRDefault="00487478" w:rsidP="000E367C">
            <w:pPr>
              <w:spacing w:after="0" w:line="240" w:lineRule="auto"/>
              <w:rPr>
                <w:rFonts w:asciiTheme="majorHAnsi" w:hAnsiTheme="majorHAnsi" w:cstheme="majorHAnsi"/>
                <w:sz w:val="16"/>
                <w:szCs w:val="16"/>
                <w:lang w:val="ro-RO"/>
              </w:rPr>
            </w:pPr>
          </w:p>
        </w:tc>
        <w:tc>
          <w:tcPr>
            <w:tcW w:w="2587" w:type="dxa"/>
            <w:shd w:val="clear" w:color="auto" w:fill="E7E6E6"/>
          </w:tcPr>
          <w:p w14:paraId="2C819C64"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Total general</w:t>
            </w:r>
          </w:p>
        </w:tc>
        <w:tc>
          <w:tcPr>
            <w:tcW w:w="1231" w:type="dxa"/>
            <w:shd w:val="clear" w:color="auto" w:fill="E7E6E6"/>
          </w:tcPr>
          <w:p w14:paraId="035962DA" w14:textId="77777777" w:rsidR="00487478" w:rsidRPr="00487478" w:rsidRDefault="00487478" w:rsidP="000E367C">
            <w:pPr>
              <w:spacing w:after="0" w:line="240" w:lineRule="auto"/>
              <w:jc w:val="center"/>
              <w:rPr>
                <w:rFonts w:asciiTheme="majorHAnsi" w:hAnsiTheme="majorHAnsi" w:cstheme="majorHAnsi"/>
                <w:b/>
                <w:sz w:val="16"/>
                <w:szCs w:val="16"/>
                <w:lang w:val="ro-RO"/>
              </w:rPr>
            </w:pPr>
          </w:p>
        </w:tc>
        <w:tc>
          <w:tcPr>
            <w:tcW w:w="2826" w:type="dxa"/>
            <w:shd w:val="clear" w:color="auto" w:fill="E7E6E6"/>
          </w:tcPr>
          <w:p w14:paraId="1731F35B" w14:textId="77777777" w:rsidR="00487478" w:rsidRPr="00487478" w:rsidRDefault="00487478" w:rsidP="000E367C">
            <w:pPr>
              <w:spacing w:after="0" w:line="240" w:lineRule="auto"/>
              <w:jc w:val="center"/>
              <w:rPr>
                <w:rFonts w:asciiTheme="majorHAnsi" w:hAnsiTheme="majorHAnsi" w:cstheme="majorHAnsi"/>
                <w:b/>
                <w:sz w:val="16"/>
                <w:szCs w:val="16"/>
                <w:lang w:val="ro-RO"/>
              </w:rPr>
            </w:pPr>
          </w:p>
        </w:tc>
        <w:tc>
          <w:tcPr>
            <w:tcW w:w="1132" w:type="dxa"/>
            <w:shd w:val="clear" w:color="auto" w:fill="E7E6E6"/>
          </w:tcPr>
          <w:p w14:paraId="72519956" w14:textId="7B0C4CBD"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 xml:space="preserve">mii </w:t>
            </w:r>
            <w:r w:rsidR="006E2EF6">
              <w:rPr>
                <w:rFonts w:asciiTheme="majorHAnsi" w:hAnsiTheme="majorHAnsi" w:cstheme="majorHAnsi"/>
                <w:b/>
                <w:sz w:val="16"/>
                <w:szCs w:val="16"/>
                <w:lang w:val="ro-RO"/>
              </w:rPr>
              <w:t>MDL</w:t>
            </w:r>
          </w:p>
        </w:tc>
        <w:tc>
          <w:tcPr>
            <w:tcW w:w="1186" w:type="dxa"/>
            <w:shd w:val="clear" w:color="auto" w:fill="E7E6E6"/>
          </w:tcPr>
          <w:p w14:paraId="3F7469AF" w14:textId="77777777" w:rsidR="00487478" w:rsidRPr="00487478" w:rsidRDefault="00487478" w:rsidP="000E367C">
            <w:pPr>
              <w:spacing w:after="0" w:line="240" w:lineRule="auto"/>
              <w:jc w:val="center"/>
              <w:rPr>
                <w:rFonts w:asciiTheme="majorHAnsi" w:hAnsiTheme="majorHAnsi" w:cstheme="majorHAnsi"/>
                <w:b/>
                <w:sz w:val="16"/>
                <w:szCs w:val="16"/>
                <w:lang w:val="ro-RO"/>
              </w:rPr>
            </w:pPr>
            <w:r w:rsidRPr="00487478">
              <w:rPr>
                <w:rFonts w:asciiTheme="majorHAnsi" w:hAnsiTheme="majorHAnsi" w:cstheme="majorHAnsi"/>
                <w:b/>
                <w:sz w:val="16"/>
                <w:szCs w:val="16"/>
                <w:lang w:val="ro-RO"/>
              </w:rPr>
              <w:t>403664,3</w:t>
            </w:r>
          </w:p>
        </w:tc>
      </w:tr>
    </w:tbl>
    <w:p w14:paraId="60178BA9" w14:textId="30DF317F" w:rsidR="00487478" w:rsidRPr="00487478" w:rsidRDefault="00487478" w:rsidP="00487478">
      <w:pPr>
        <w:spacing w:after="0" w:line="240" w:lineRule="auto"/>
        <w:jc w:val="both"/>
        <w:rPr>
          <w:rFonts w:asciiTheme="majorHAnsi" w:hAnsiTheme="majorHAnsi" w:cstheme="majorHAnsi"/>
          <w:sz w:val="20"/>
          <w:szCs w:val="20"/>
          <w:lang w:val="ro-RO" w:eastAsia="ru-RU"/>
        </w:rPr>
      </w:pPr>
      <w:r w:rsidRPr="00487478">
        <w:rPr>
          <w:rFonts w:asciiTheme="majorHAnsi" w:hAnsiTheme="majorHAnsi" w:cstheme="majorHAnsi"/>
          <w:b/>
          <w:bCs/>
          <w:i/>
          <w:iCs/>
          <w:sz w:val="20"/>
          <w:szCs w:val="20"/>
          <w:lang w:val="ro-RO" w:eastAsia="ru-RU"/>
        </w:rPr>
        <w:t xml:space="preserve"> Sursă:</w:t>
      </w:r>
      <w:r w:rsidRPr="00487478">
        <w:rPr>
          <w:rFonts w:asciiTheme="majorHAnsi" w:hAnsiTheme="majorHAnsi" w:cstheme="majorHAnsi"/>
          <w:sz w:val="20"/>
          <w:szCs w:val="20"/>
          <w:lang w:val="ro-RO" w:eastAsia="ru-RU"/>
        </w:rPr>
        <w:t xml:space="preserve"> </w:t>
      </w:r>
      <w:r w:rsidR="00762324">
        <w:rPr>
          <w:rFonts w:asciiTheme="majorHAnsi" w:hAnsiTheme="majorHAnsi" w:cstheme="majorHAnsi"/>
          <w:sz w:val="20"/>
          <w:szCs w:val="20"/>
          <w:lang w:val="ro-RO" w:eastAsia="ru-RU"/>
        </w:rPr>
        <w:t>Datele</w:t>
      </w:r>
      <w:r w:rsidR="00D53E49">
        <w:rPr>
          <w:rFonts w:asciiTheme="majorHAnsi" w:hAnsiTheme="majorHAnsi" w:cstheme="majorHAnsi"/>
          <w:sz w:val="20"/>
          <w:szCs w:val="20"/>
          <w:lang w:val="ro-RO" w:eastAsia="ru-RU"/>
        </w:rPr>
        <w:t xml:space="preserve"> </w:t>
      </w:r>
      <w:r w:rsidRPr="00487478">
        <w:rPr>
          <w:rFonts w:asciiTheme="majorHAnsi" w:hAnsiTheme="majorHAnsi" w:cstheme="majorHAnsi"/>
          <w:sz w:val="20"/>
          <w:szCs w:val="20"/>
          <w:lang w:val="ro-RO" w:eastAsia="ru-RU"/>
        </w:rPr>
        <w:t>Raportului de stat privind recreditarea de stat pe anul 2018.</w:t>
      </w:r>
    </w:p>
    <w:p w14:paraId="0255C1D1" w14:textId="77777777" w:rsidR="00487478" w:rsidRPr="00487478" w:rsidRDefault="00487478" w:rsidP="00487478">
      <w:pPr>
        <w:spacing w:after="0" w:line="240" w:lineRule="auto"/>
        <w:jc w:val="both"/>
        <w:rPr>
          <w:rFonts w:asciiTheme="majorHAnsi" w:hAnsiTheme="majorHAnsi" w:cstheme="majorHAnsi"/>
          <w:sz w:val="20"/>
          <w:szCs w:val="20"/>
          <w:lang w:val="ro-RO" w:eastAsia="ru-RU"/>
        </w:rPr>
      </w:pPr>
    </w:p>
    <w:p w14:paraId="2EF92639" w14:textId="77777777" w:rsidR="00DA6404" w:rsidRPr="00DA6404" w:rsidRDefault="00DA6404" w:rsidP="00DA6404">
      <w:pPr>
        <w:spacing w:after="0" w:line="240" w:lineRule="auto"/>
        <w:jc w:val="both"/>
        <w:rPr>
          <w:rFonts w:asciiTheme="majorHAnsi" w:hAnsiTheme="majorHAnsi"/>
          <w:sz w:val="20"/>
          <w:szCs w:val="20"/>
          <w:lang w:val="ro-RO" w:eastAsia="ru-RU"/>
        </w:rPr>
      </w:pPr>
    </w:p>
    <w:p w14:paraId="273C3480" w14:textId="77777777" w:rsidR="00DA6404" w:rsidRPr="00DA6404" w:rsidRDefault="004501BA" w:rsidP="00DA6404">
      <w:pPr>
        <w:spacing w:after="0" w:line="240" w:lineRule="auto"/>
        <w:jc w:val="both"/>
        <w:rPr>
          <w:rFonts w:asciiTheme="majorHAnsi" w:hAnsiTheme="majorHAnsi"/>
          <w:b/>
          <w:sz w:val="24"/>
          <w:szCs w:val="24"/>
          <w:lang w:val="ro-RO"/>
        </w:rPr>
      </w:pPr>
      <w:r>
        <w:rPr>
          <w:rFonts w:asciiTheme="majorHAnsi" w:hAnsiTheme="majorHAnsi"/>
          <w:b/>
          <w:sz w:val="24"/>
          <w:szCs w:val="24"/>
          <w:lang w:val="ro-RO"/>
        </w:rPr>
        <w:t>Tabelul nr.11</w:t>
      </w:r>
      <w:r w:rsidR="00DA6404" w:rsidRPr="00DA6404">
        <w:rPr>
          <w:rFonts w:asciiTheme="majorHAnsi" w:hAnsiTheme="majorHAnsi"/>
          <w:b/>
          <w:sz w:val="24"/>
          <w:szCs w:val="24"/>
          <w:lang w:val="ro-RO"/>
        </w:rPr>
        <w:t xml:space="preserve">. Împrumuturi </w:t>
      </w:r>
      <w:proofErr w:type="spellStart"/>
      <w:r w:rsidR="00DA6404" w:rsidRPr="00DA6404">
        <w:rPr>
          <w:rFonts w:asciiTheme="majorHAnsi" w:hAnsiTheme="majorHAnsi"/>
          <w:b/>
          <w:sz w:val="24"/>
          <w:szCs w:val="24"/>
          <w:lang w:val="ro-RO"/>
        </w:rPr>
        <w:t>recreditate</w:t>
      </w:r>
      <w:proofErr w:type="spellEnd"/>
      <w:r w:rsidR="00DA6404" w:rsidRPr="00DA6404">
        <w:rPr>
          <w:rFonts w:asciiTheme="majorHAnsi" w:hAnsiTheme="majorHAnsi"/>
          <w:b/>
          <w:sz w:val="24"/>
          <w:szCs w:val="24"/>
          <w:lang w:val="ro-RO"/>
        </w:rPr>
        <w:t xml:space="preserve"> în anul 2018 prin intermediul DLC </w:t>
      </w:r>
      <w:r w:rsidR="00DA6404" w:rsidRPr="000E245A">
        <w:rPr>
          <w:rFonts w:asciiTheme="majorHAnsi" w:hAnsiTheme="majorHAnsi"/>
          <w:b/>
          <w:sz w:val="24"/>
          <w:szCs w:val="24"/>
          <w:lang w:val="ro-RO"/>
        </w:rPr>
        <w:t>și FIDA</w:t>
      </w:r>
    </w:p>
    <w:tbl>
      <w:tblPr>
        <w:tblStyle w:val="af9"/>
        <w:tblW w:w="0" w:type="auto"/>
        <w:tblLook w:val="04A0" w:firstRow="1" w:lastRow="0" w:firstColumn="1" w:lastColumn="0" w:noHBand="0" w:noVBand="1"/>
      </w:tblPr>
      <w:tblGrid>
        <w:gridCol w:w="500"/>
        <w:gridCol w:w="6299"/>
        <w:gridCol w:w="1228"/>
        <w:gridCol w:w="1182"/>
      </w:tblGrid>
      <w:tr w:rsidR="007002B9" w:rsidRPr="00DA6404" w14:paraId="1877EA6E" w14:textId="77777777" w:rsidTr="000E245A">
        <w:tc>
          <w:tcPr>
            <w:tcW w:w="500" w:type="dxa"/>
            <w:shd w:val="clear" w:color="auto" w:fill="E7E6E6" w:themeFill="background2"/>
          </w:tcPr>
          <w:p w14:paraId="61582EDD" w14:textId="77777777" w:rsidR="007002B9" w:rsidRPr="00DA6404" w:rsidRDefault="007002B9" w:rsidP="000E245A">
            <w:pPr>
              <w:rPr>
                <w:rFonts w:asciiTheme="majorHAnsi" w:hAnsiTheme="majorHAnsi"/>
                <w:b/>
                <w:sz w:val="16"/>
                <w:szCs w:val="16"/>
                <w:lang w:val="ro-RO"/>
              </w:rPr>
            </w:pPr>
            <w:r w:rsidRPr="00DA6404">
              <w:rPr>
                <w:rFonts w:asciiTheme="majorHAnsi" w:hAnsiTheme="majorHAnsi"/>
                <w:b/>
                <w:sz w:val="16"/>
                <w:szCs w:val="16"/>
                <w:lang w:val="ro-RO"/>
              </w:rPr>
              <w:t>Nr. d/o</w:t>
            </w:r>
          </w:p>
        </w:tc>
        <w:tc>
          <w:tcPr>
            <w:tcW w:w="6299" w:type="dxa"/>
            <w:shd w:val="clear" w:color="auto" w:fill="E7E6E6" w:themeFill="background2"/>
          </w:tcPr>
          <w:p w14:paraId="0F0ACEB9" w14:textId="77777777" w:rsidR="007002B9" w:rsidRPr="00DA6404" w:rsidRDefault="007002B9" w:rsidP="000E245A">
            <w:pPr>
              <w:jc w:val="center"/>
              <w:rPr>
                <w:rFonts w:asciiTheme="majorHAnsi" w:hAnsiTheme="majorHAnsi"/>
                <w:b/>
                <w:sz w:val="16"/>
                <w:szCs w:val="16"/>
                <w:lang w:val="ro-RO"/>
              </w:rPr>
            </w:pPr>
            <w:r w:rsidRPr="00DA6404">
              <w:rPr>
                <w:rFonts w:asciiTheme="majorHAnsi" w:hAnsiTheme="majorHAnsi"/>
                <w:b/>
                <w:sz w:val="16"/>
                <w:szCs w:val="16"/>
                <w:lang w:val="ro-RO"/>
              </w:rPr>
              <w:t>Denumirea proiectului</w:t>
            </w:r>
          </w:p>
        </w:tc>
        <w:tc>
          <w:tcPr>
            <w:tcW w:w="1228" w:type="dxa"/>
            <w:shd w:val="clear" w:color="auto" w:fill="E7E6E6" w:themeFill="background2"/>
          </w:tcPr>
          <w:p w14:paraId="2CA93B0B" w14:textId="77777777" w:rsidR="007002B9" w:rsidRPr="00DA6404" w:rsidRDefault="007002B9" w:rsidP="000E245A">
            <w:pPr>
              <w:jc w:val="center"/>
              <w:rPr>
                <w:rFonts w:asciiTheme="majorHAnsi" w:hAnsiTheme="majorHAnsi"/>
                <w:b/>
                <w:sz w:val="16"/>
                <w:szCs w:val="16"/>
                <w:lang w:val="ro-RO"/>
              </w:rPr>
            </w:pPr>
            <w:r w:rsidRPr="00DA6404">
              <w:rPr>
                <w:rFonts w:asciiTheme="majorHAnsi" w:hAnsiTheme="majorHAnsi"/>
                <w:b/>
                <w:sz w:val="16"/>
                <w:szCs w:val="16"/>
                <w:lang w:val="ro-RO"/>
              </w:rPr>
              <w:t>u.m.</w:t>
            </w:r>
          </w:p>
        </w:tc>
        <w:tc>
          <w:tcPr>
            <w:tcW w:w="1182" w:type="dxa"/>
            <w:shd w:val="clear" w:color="auto" w:fill="E7E6E6" w:themeFill="background2"/>
          </w:tcPr>
          <w:p w14:paraId="734AD26F" w14:textId="77777777" w:rsidR="007002B9" w:rsidRPr="00DA6404" w:rsidRDefault="007002B9" w:rsidP="000E245A">
            <w:pPr>
              <w:jc w:val="center"/>
              <w:rPr>
                <w:rFonts w:asciiTheme="majorHAnsi" w:hAnsiTheme="majorHAnsi"/>
                <w:b/>
                <w:sz w:val="16"/>
                <w:szCs w:val="16"/>
                <w:lang w:val="ro-RO"/>
              </w:rPr>
            </w:pPr>
            <w:proofErr w:type="spellStart"/>
            <w:r w:rsidRPr="00DA6404">
              <w:rPr>
                <w:rFonts w:asciiTheme="majorHAnsi" w:hAnsiTheme="majorHAnsi"/>
                <w:b/>
                <w:sz w:val="16"/>
                <w:szCs w:val="16"/>
                <w:lang w:val="ro-RO"/>
              </w:rPr>
              <w:t>Recreditat</w:t>
            </w:r>
            <w:proofErr w:type="spellEnd"/>
            <w:r w:rsidRPr="00DA6404">
              <w:rPr>
                <w:rFonts w:asciiTheme="majorHAnsi" w:hAnsiTheme="majorHAnsi"/>
                <w:b/>
                <w:sz w:val="16"/>
                <w:szCs w:val="16"/>
                <w:lang w:val="ro-RO"/>
              </w:rPr>
              <w:t xml:space="preserve"> în anul 2018</w:t>
            </w:r>
          </w:p>
        </w:tc>
      </w:tr>
      <w:tr w:rsidR="007002B9" w:rsidRPr="00DA6404" w14:paraId="3C4897F9" w14:textId="77777777" w:rsidTr="000E245A">
        <w:tc>
          <w:tcPr>
            <w:tcW w:w="500" w:type="dxa"/>
          </w:tcPr>
          <w:p w14:paraId="4B694C69" w14:textId="77777777" w:rsidR="007002B9" w:rsidRPr="00DA6404" w:rsidRDefault="007002B9" w:rsidP="000E245A">
            <w:pPr>
              <w:rPr>
                <w:rFonts w:asciiTheme="majorHAnsi" w:hAnsiTheme="majorHAnsi"/>
                <w:b/>
                <w:sz w:val="16"/>
                <w:szCs w:val="16"/>
                <w:lang w:val="ro-RO"/>
              </w:rPr>
            </w:pPr>
          </w:p>
        </w:tc>
        <w:tc>
          <w:tcPr>
            <w:tcW w:w="6299" w:type="dxa"/>
          </w:tcPr>
          <w:p w14:paraId="21A538CE" w14:textId="77777777" w:rsidR="007002B9" w:rsidRPr="00DA6404" w:rsidRDefault="007002B9" w:rsidP="000E245A">
            <w:pPr>
              <w:jc w:val="center"/>
              <w:rPr>
                <w:rFonts w:asciiTheme="majorHAnsi" w:hAnsiTheme="majorHAnsi"/>
                <w:b/>
                <w:i/>
                <w:sz w:val="16"/>
                <w:szCs w:val="16"/>
                <w:lang w:val="ro-RO"/>
              </w:rPr>
            </w:pPr>
            <w:r w:rsidRPr="00DA6404">
              <w:rPr>
                <w:rFonts w:asciiTheme="majorHAnsi" w:hAnsiTheme="majorHAnsi"/>
                <w:b/>
                <w:i/>
                <w:sz w:val="16"/>
                <w:szCs w:val="16"/>
                <w:lang w:val="ro-RO"/>
              </w:rPr>
              <w:t>Prin intermediul DLC</w:t>
            </w:r>
          </w:p>
        </w:tc>
        <w:tc>
          <w:tcPr>
            <w:tcW w:w="1228" w:type="dxa"/>
          </w:tcPr>
          <w:p w14:paraId="5A80F673" w14:textId="77777777" w:rsidR="007002B9" w:rsidRPr="00DA6404" w:rsidRDefault="007002B9" w:rsidP="000E245A">
            <w:pPr>
              <w:jc w:val="center"/>
              <w:rPr>
                <w:rFonts w:asciiTheme="majorHAnsi" w:hAnsiTheme="majorHAnsi"/>
                <w:b/>
                <w:sz w:val="16"/>
                <w:szCs w:val="16"/>
                <w:lang w:val="ro-RO"/>
              </w:rPr>
            </w:pPr>
          </w:p>
        </w:tc>
        <w:tc>
          <w:tcPr>
            <w:tcW w:w="1182" w:type="dxa"/>
          </w:tcPr>
          <w:p w14:paraId="207B7BC9" w14:textId="77777777" w:rsidR="007002B9" w:rsidRPr="00DA6404" w:rsidRDefault="007002B9" w:rsidP="000E245A">
            <w:pPr>
              <w:jc w:val="center"/>
              <w:rPr>
                <w:rFonts w:asciiTheme="majorHAnsi" w:hAnsiTheme="majorHAnsi"/>
                <w:b/>
                <w:sz w:val="16"/>
                <w:szCs w:val="16"/>
                <w:lang w:val="ro-RO"/>
              </w:rPr>
            </w:pPr>
          </w:p>
        </w:tc>
      </w:tr>
      <w:tr w:rsidR="007002B9" w:rsidRPr="00DA6404" w14:paraId="35DDF7E9" w14:textId="77777777" w:rsidTr="000E245A">
        <w:tc>
          <w:tcPr>
            <w:tcW w:w="500" w:type="dxa"/>
            <w:tcBorders>
              <w:bottom w:val="single" w:sz="4" w:space="0" w:color="auto"/>
            </w:tcBorders>
          </w:tcPr>
          <w:p w14:paraId="47FB1003" w14:textId="77777777" w:rsidR="007002B9" w:rsidRPr="00DA6404" w:rsidRDefault="007002B9" w:rsidP="000E245A">
            <w:pPr>
              <w:jc w:val="center"/>
              <w:rPr>
                <w:rFonts w:asciiTheme="majorHAnsi" w:hAnsiTheme="majorHAnsi"/>
                <w:b/>
                <w:i/>
                <w:sz w:val="16"/>
                <w:szCs w:val="16"/>
                <w:lang w:val="ro-RO"/>
              </w:rPr>
            </w:pPr>
          </w:p>
        </w:tc>
        <w:tc>
          <w:tcPr>
            <w:tcW w:w="8709" w:type="dxa"/>
            <w:gridSpan w:val="3"/>
          </w:tcPr>
          <w:p w14:paraId="05A213CB"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 xml:space="preserve">                                                           Mijloace directe</w:t>
            </w:r>
          </w:p>
        </w:tc>
      </w:tr>
      <w:tr w:rsidR="007002B9" w:rsidRPr="00DA6404" w14:paraId="77EBA8A4" w14:textId="77777777" w:rsidTr="000E245A">
        <w:tc>
          <w:tcPr>
            <w:tcW w:w="500" w:type="dxa"/>
            <w:tcBorders>
              <w:top w:val="single" w:sz="4" w:space="0" w:color="auto"/>
              <w:left w:val="single" w:sz="4" w:space="0" w:color="auto"/>
              <w:bottom w:val="nil"/>
              <w:right w:val="single" w:sz="4" w:space="0" w:color="auto"/>
            </w:tcBorders>
          </w:tcPr>
          <w:p w14:paraId="1F7C8315" w14:textId="3BDC3C7E"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1</w:t>
            </w:r>
            <w:r w:rsidR="00D53E49">
              <w:rPr>
                <w:rFonts w:asciiTheme="majorHAnsi" w:hAnsiTheme="majorHAnsi"/>
                <w:b/>
                <w:i/>
                <w:sz w:val="16"/>
                <w:szCs w:val="16"/>
                <w:lang w:val="ro-RO"/>
              </w:rPr>
              <w:t>.</w:t>
            </w:r>
          </w:p>
        </w:tc>
        <w:tc>
          <w:tcPr>
            <w:tcW w:w="6299" w:type="dxa"/>
            <w:tcBorders>
              <w:top w:val="single" w:sz="4" w:space="0" w:color="auto"/>
              <w:left w:val="single" w:sz="4" w:space="0" w:color="auto"/>
              <w:bottom w:val="nil"/>
              <w:right w:val="single" w:sz="4" w:space="0" w:color="auto"/>
            </w:tcBorders>
          </w:tcPr>
          <w:p w14:paraId="06BD8384" w14:textId="77777777" w:rsidR="007002B9" w:rsidRPr="00DA6404" w:rsidRDefault="007002B9" w:rsidP="000E245A">
            <w:pPr>
              <w:jc w:val="center"/>
              <w:rPr>
                <w:rFonts w:asciiTheme="majorHAnsi" w:hAnsiTheme="majorHAnsi"/>
                <w:sz w:val="16"/>
                <w:szCs w:val="16"/>
                <w:lang w:val="ro-RO"/>
              </w:rPr>
            </w:pPr>
            <w:r w:rsidRPr="00DA6404">
              <w:rPr>
                <w:rFonts w:asciiTheme="majorHAnsi" w:hAnsiTheme="majorHAnsi"/>
                <w:sz w:val="16"/>
                <w:szCs w:val="16"/>
                <w:lang w:val="ro-RO"/>
              </w:rPr>
              <w:t xml:space="preserve">Proiectul de Ameliorare a Competitivității, faza 2 </w:t>
            </w:r>
            <w:r w:rsidRPr="00DA6404">
              <w:rPr>
                <w:rFonts w:asciiTheme="majorHAnsi" w:hAnsiTheme="majorHAnsi"/>
                <w:b/>
                <w:sz w:val="16"/>
                <w:szCs w:val="16"/>
                <w:lang w:val="ro-RO"/>
              </w:rPr>
              <w:t>(PAC 2)</w:t>
            </w:r>
          </w:p>
        </w:tc>
        <w:tc>
          <w:tcPr>
            <w:tcW w:w="1228" w:type="dxa"/>
            <w:tcBorders>
              <w:left w:val="single" w:sz="4" w:space="0" w:color="auto"/>
            </w:tcBorders>
          </w:tcPr>
          <w:p w14:paraId="2F6B0BFD" w14:textId="2D6465C9" w:rsidR="007002B9" w:rsidRPr="00DA6404" w:rsidRDefault="002D0D0D" w:rsidP="000E245A">
            <w:pPr>
              <w:rPr>
                <w:rFonts w:asciiTheme="majorHAnsi" w:hAnsiTheme="majorHAnsi"/>
                <w:i/>
                <w:sz w:val="16"/>
                <w:szCs w:val="16"/>
                <w:lang w:val="ro-RO"/>
              </w:rPr>
            </w:pPr>
            <w:proofErr w:type="spellStart"/>
            <w:r>
              <w:rPr>
                <w:rFonts w:asciiTheme="majorHAnsi" w:hAnsiTheme="majorHAnsi"/>
                <w:i/>
                <w:sz w:val="16"/>
                <w:szCs w:val="16"/>
                <w:lang w:val="ro-RO"/>
              </w:rPr>
              <w:t>mil.MDL</w:t>
            </w:r>
            <w:proofErr w:type="spellEnd"/>
          </w:p>
        </w:tc>
        <w:tc>
          <w:tcPr>
            <w:tcW w:w="1182" w:type="dxa"/>
          </w:tcPr>
          <w:p w14:paraId="38B7A2C1"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24,0</w:t>
            </w:r>
          </w:p>
        </w:tc>
      </w:tr>
      <w:tr w:rsidR="007002B9" w:rsidRPr="00DA6404" w14:paraId="6CBD2B72" w14:textId="77777777" w:rsidTr="000E245A">
        <w:tc>
          <w:tcPr>
            <w:tcW w:w="500" w:type="dxa"/>
            <w:tcBorders>
              <w:top w:val="nil"/>
              <w:left w:val="single" w:sz="4" w:space="0" w:color="auto"/>
              <w:bottom w:val="nil"/>
              <w:right w:val="single" w:sz="4" w:space="0" w:color="auto"/>
            </w:tcBorders>
          </w:tcPr>
          <w:p w14:paraId="26B19650" w14:textId="77777777" w:rsidR="007002B9" w:rsidRPr="00DA6404" w:rsidRDefault="007002B9" w:rsidP="000E245A">
            <w:pPr>
              <w:rPr>
                <w:rFonts w:asciiTheme="majorHAnsi" w:hAnsiTheme="majorHAnsi"/>
                <w:b/>
                <w:i/>
                <w:sz w:val="16"/>
                <w:szCs w:val="16"/>
                <w:lang w:val="ro-RO"/>
              </w:rPr>
            </w:pPr>
          </w:p>
        </w:tc>
        <w:tc>
          <w:tcPr>
            <w:tcW w:w="6299" w:type="dxa"/>
            <w:tcBorders>
              <w:top w:val="nil"/>
              <w:left w:val="single" w:sz="4" w:space="0" w:color="auto"/>
              <w:bottom w:val="nil"/>
              <w:right w:val="single" w:sz="4" w:space="0" w:color="auto"/>
            </w:tcBorders>
          </w:tcPr>
          <w:p w14:paraId="05E042EC" w14:textId="77777777" w:rsidR="007002B9" w:rsidRPr="00DA6404" w:rsidRDefault="007002B9" w:rsidP="000E245A">
            <w:pPr>
              <w:jc w:val="center"/>
              <w:rPr>
                <w:rFonts w:asciiTheme="majorHAnsi" w:hAnsiTheme="majorHAnsi"/>
                <w:sz w:val="16"/>
                <w:szCs w:val="16"/>
                <w:lang w:val="ro-RO"/>
              </w:rPr>
            </w:pPr>
          </w:p>
        </w:tc>
        <w:tc>
          <w:tcPr>
            <w:tcW w:w="1228" w:type="dxa"/>
            <w:tcBorders>
              <w:left w:val="single" w:sz="4" w:space="0" w:color="auto"/>
            </w:tcBorders>
          </w:tcPr>
          <w:p w14:paraId="077412A2" w14:textId="06565CC7" w:rsidR="007002B9" w:rsidRPr="00DA6404" w:rsidRDefault="007002B9" w:rsidP="00D53E49">
            <w:pPr>
              <w:rPr>
                <w:rFonts w:asciiTheme="majorHAnsi" w:hAnsiTheme="majorHAnsi"/>
                <w:i/>
                <w:sz w:val="16"/>
                <w:szCs w:val="16"/>
                <w:lang w:val="ro-RO"/>
              </w:rPr>
            </w:pPr>
            <w:r w:rsidRPr="00DA6404">
              <w:rPr>
                <w:rFonts w:asciiTheme="majorHAnsi" w:hAnsiTheme="majorHAnsi"/>
                <w:i/>
                <w:sz w:val="16"/>
                <w:szCs w:val="16"/>
                <w:lang w:val="ro-RO"/>
              </w:rPr>
              <w:t>mil.</w:t>
            </w:r>
            <w:r w:rsidR="00D53E49">
              <w:rPr>
                <w:rFonts w:asciiTheme="majorHAnsi" w:hAnsiTheme="majorHAnsi"/>
                <w:i/>
                <w:sz w:val="16"/>
                <w:szCs w:val="16"/>
                <w:lang w:val="ro-RO"/>
              </w:rPr>
              <w:t xml:space="preserve"> dol. SUA</w:t>
            </w:r>
          </w:p>
        </w:tc>
        <w:tc>
          <w:tcPr>
            <w:tcW w:w="1182" w:type="dxa"/>
          </w:tcPr>
          <w:p w14:paraId="0AFB7B7D"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0,04</w:t>
            </w:r>
          </w:p>
        </w:tc>
      </w:tr>
      <w:tr w:rsidR="007002B9" w:rsidRPr="00DA6404" w14:paraId="1146F26E" w14:textId="77777777" w:rsidTr="000E245A">
        <w:tc>
          <w:tcPr>
            <w:tcW w:w="500" w:type="dxa"/>
            <w:tcBorders>
              <w:top w:val="nil"/>
              <w:left w:val="single" w:sz="4" w:space="0" w:color="auto"/>
              <w:bottom w:val="single" w:sz="4" w:space="0" w:color="auto"/>
              <w:right w:val="single" w:sz="4" w:space="0" w:color="auto"/>
            </w:tcBorders>
          </w:tcPr>
          <w:p w14:paraId="3038A7BB" w14:textId="77777777" w:rsidR="007002B9" w:rsidRPr="00DA6404" w:rsidRDefault="007002B9" w:rsidP="000E245A">
            <w:pPr>
              <w:rPr>
                <w:rFonts w:asciiTheme="majorHAnsi" w:hAnsiTheme="majorHAnsi"/>
                <w:b/>
                <w:i/>
                <w:sz w:val="16"/>
                <w:szCs w:val="16"/>
                <w:lang w:val="ro-RO"/>
              </w:rPr>
            </w:pPr>
          </w:p>
        </w:tc>
        <w:tc>
          <w:tcPr>
            <w:tcW w:w="6299" w:type="dxa"/>
            <w:tcBorders>
              <w:top w:val="nil"/>
              <w:left w:val="single" w:sz="4" w:space="0" w:color="auto"/>
              <w:bottom w:val="single" w:sz="4" w:space="0" w:color="auto"/>
              <w:right w:val="single" w:sz="4" w:space="0" w:color="auto"/>
            </w:tcBorders>
          </w:tcPr>
          <w:p w14:paraId="08877965" w14:textId="77777777" w:rsidR="007002B9" w:rsidRPr="00DA6404" w:rsidRDefault="007002B9" w:rsidP="000E245A">
            <w:pPr>
              <w:jc w:val="center"/>
              <w:rPr>
                <w:rFonts w:asciiTheme="majorHAnsi" w:hAnsiTheme="majorHAnsi"/>
                <w:sz w:val="16"/>
                <w:szCs w:val="16"/>
                <w:lang w:val="ro-RO"/>
              </w:rPr>
            </w:pPr>
          </w:p>
        </w:tc>
        <w:tc>
          <w:tcPr>
            <w:tcW w:w="1228" w:type="dxa"/>
            <w:tcBorders>
              <w:left w:val="single" w:sz="4" w:space="0" w:color="auto"/>
            </w:tcBorders>
          </w:tcPr>
          <w:p w14:paraId="5048BD9B" w14:textId="77777777" w:rsidR="007002B9" w:rsidRPr="00DA6404" w:rsidRDefault="007002B9" w:rsidP="000E245A">
            <w:pPr>
              <w:rPr>
                <w:rFonts w:asciiTheme="majorHAnsi" w:hAnsiTheme="majorHAnsi"/>
                <w:i/>
                <w:sz w:val="16"/>
                <w:szCs w:val="16"/>
                <w:lang w:val="ro-RO"/>
              </w:rPr>
            </w:pPr>
            <w:r w:rsidRPr="00DA6404">
              <w:rPr>
                <w:rFonts w:asciiTheme="majorHAnsi" w:hAnsiTheme="majorHAnsi"/>
                <w:i/>
                <w:sz w:val="16"/>
                <w:szCs w:val="16"/>
                <w:lang w:val="ro-RO"/>
              </w:rPr>
              <w:t>mil. euro</w:t>
            </w:r>
          </w:p>
        </w:tc>
        <w:tc>
          <w:tcPr>
            <w:tcW w:w="1182" w:type="dxa"/>
          </w:tcPr>
          <w:p w14:paraId="119EB9B4"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3,1</w:t>
            </w:r>
          </w:p>
        </w:tc>
      </w:tr>
      <w:tr w:rsidR="007002B9" w:rsidRPr="00DA6404" w14:paraId="4D05D9DA" w14:textId="77777777" w:rsidTr="000E245A">
        <w:tc>
          <w:tcPr>
            <w:tcW w:w="500" w:type="dxa"/>
            <w:tcBorders>
              <w:top w:val="single" w:sz="4" w:space="0" w:color="auto"/>
            </w:tcBorders>
          </w:tcPr>
          <w:p w14:paraId="69CF16BD" w14:textId="48034FA0"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2</w:t>
            </w:r>
            <w:r w:rsidR="00D53E49">
              <w:rPr>
                <w:rFonts w:asciiTheme="majorHAnsi" w:hAnsiTheme="majorHAnsi"/>
                <w:b/>
                <w:i/>
                <w:sz w:val="16"/>
                <w:szCs w:val="16"/>
                <w:lang w:val="ro-RO"/>
              </w:rPr>
              <w:t>.</w:t>
            </w:r>
          </w:p>
        </w:tc>
        <w:tc>
          <w:tcPr>
            <w:tcW w:w="6299" w:type="dxa"/>
            <w:tcBorders>
              <w:top w:val="single" w:sz="4" w:space="0" w:color="auto"/>
            </w:tcBorders>
          </w:tcPr>
          <w:p w14:paraId="48A83404" w14:textId="77777777" w:rsidR="007002B9" w:rsidRPr="00DA6404" w:rsidRDefault="007002B9" w:rsidP="000E245A">
            <w:pPr>
              <w:jc w:val="center"/>
              <w:rPr>
                <w:rFonts w:asciiTheme="majorHAnsi" w:hAnsiTheme="majorHAnsi"/>
                <w:sz w:val="16"/>
                <w:szCs w:val="16"/>
                <w:lang w:val="ro-RO"/>
              </w:rPr>
            </w:pPr>
            <w:r w:rsidRPr="00DA6404">
              <w:rPr>
                <w:rFonts w:asciiTheme="majorHAnsi" w:hAnsiTheme="majorHAnsi"/>
                <w:sz w:val="16"/>
                <w:szCs w:val="16"/>
                <w:lang w:val="ro-RO"/>
              </w:rPr>
              <w:t>Livada Moldovei</w:t>
            </w:r>
            <w:r>
              <w:rPr>
                <w:rFonts w:asciiTheme="majorHAnsi" w:hAnsiTheme="majorHAnsi"/>
                <w:sz w:val="16"/>
                <w:szCs w:val="16"/>
                <w:lang w:val="ro-RO"/>
              </w:rPr>
              <w:t xml:space="preserve"> </w:t>
            </w:r>
          </w:p>
        </w:tc>
        <w:tc>
          <w:tcPr>
            <w:tcW w:w="1228" w:type="dxa"/>
          </w:tcPr>
          <w:p w14:paraId="77E051BF" w14:textId="77777777" w:rsidR="007002B9" w:rsidRPr="00DA6404" w:rsidRDefault="007002B9" w:rsidP="000E245A">
            <w:pPr>
              <w:rPr>
                <w:rFonts w:asciiTheme="majorHAnsi" w:hAnsiTheme="majorHAnsi"/>
                <w:i/>
                <w:sz w:val="16"/>
                <w:szCs w:val="16"/>
                <w:lang w:val="ro-RO"/>
              </w:rPr>
            </w:pPr>
            <w:proofErr w:type="spellStart"/>
            <w:r w:rsidRPr="00DA6404">
              <w:rPr>
                <w:rFonts w:asciiTheme="majorHAnsi" w:hAnsiTheme="majorHAnsi"/>
                <w:i/>
                <w:sz w:val="16"/>
                <w:szCs w:val="16"/>
                <w:lang w:val="ro-RO"/>
              </w:rPr>
              <w:t>mil.euro</w:t>
            </w:r>
            <w:proofErr w:type="spellEnd"/>
          </w:p>
        </w:tc>
        <w:tc>
          <w:tcPr>
            <w:tcW w:w="1182" w:type="dxa"/>
          </w:tcPr>
          <w:p w14:paraId="73ACF37C"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5,</w:t>
            </w:r>
            <w:r>
              <w:rPr>
                <w:rFonts w:asciiTheme="majorHAnsi" w:hAnsiTheme="majorHAnsi"/>
                <w:b/>
                <w:i/>
                <w:sz w:val="16"/>
                <w:szCs w:val="16"/>
                <w:lang w:val="ro-RO"/>
              </w:rPr>
              <w:t>05</w:t>
            </w:r>
          </w:p>
        </w:tc>
      </w:tr>
      <w:tr w:rsidR="007002B9" w:rsidRPr="00DA6404" w14:paraId="43700A58" w14:textId="77777777" w:rsidTr="000E245A">
        <w:tc>
          <w:tcPr>
            <w:tcW w:w="500" w:type="dxa"/>
          </w:tcPr>
          <w:p w14:paraId="74835922" w14:textId="41FD1289"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3</w:t>
            </w:r>
            <w:r w:rsidR="00D53E49">
              <w:rPr>
                <w:rFonts w:asciiTheme="majorHAnsi" w:hAnsiTheme="majorHAnsi"/>
                <w:b/>
                <w:i/>
                <w:sz w:val="16"/>
                <w:szCs w:val="16"/>
                <w:lang w:val="ro-RO"/>
              </w:rPr>
              <w:t>.</w:t>
            </w:r>
          </w:p>
        </w:tc>
        <w:tc>
          <w:tcPr>
            <w:tcW w:w="6299" w:type="dxa"/>
          </w:tcPr>
          <w:p w14:paraId="6DFF5E7E" w14:textId="77777777" w:rsidR="007002B9" w:rsidRPr="00DA6404" w:rsidRDefault="007002B9" w:rsidP="000E245A">
            <w:pPr>
              <w:jc w:val="center"/>
              <w:rPr>
                <w:rFonts w:asciiTheme="majorHAnsi" w:hAnsiTheme="majorHAnsi"/>
                <w:sz w:val="16"/>
                <w:szCs w:val="16"/>
                <w:lang w:val="ro-RO"/>
              </w:rPr>
            </w:pPr>
            <w:r w:rsidRPr="00DA6404">
              <w:rPr>
                <w:rFonts w:asciiTheme="majorHAnsi" w:hAnsiTheme="majorHAnsi"/>
                <w:sz w:val="16"/>
                <w:szCs w:val="16"/>
                <w:lang w:val="ro-RO"/>
              </w:rPr>
              <w:t>Livada Moldovei, componenta leasing</w:t>
            </w:r>
            <w:r>
              <w:rPr>
                <w:rStyle w:val="ae"/>
                <w:rFonts w:asciiTheme="majorHAnsi" w:hAnsiTheme="majorHAnsi"/>
                <w:sz w:val="16"/>
                <w:szCs w:val="16"/>
                <w:lang w:val="ro-RO"/>
              </w:rPr>
              <w:footnoteReference w:id="42"/>
            </w:r>
          </w:p>
        </w:tc>
        <w:tc>
          <w:tcPr>
            <w:tcW w:w="1228" w:type="dxa"/>
          </w:tcPr>
          <w:p w14:paraId="78D8EC66" w14:textId="77777777" w:rsidR="007002B9" w:rsidRPr="00DA6404" w:rsidRDefault="007002B9" w:rsidP="000E245A">
            <w:pPr>
              <w:rPr>
                <w:rFonts w:asciiTheme="majorHAnsi" w:hAnsiTheme="majorHAnsi"/>
                <w:i/>
                <w:sz w:val="16"/>
                <w:szCs w:val="16"/>
                <w:lang w:val="ro-RO"/>
              </w:rPr>
            </w:pPr>
            <w:r w:rsidRPr="00DA6404">
              <w:rPr>
                <w:rFonts w:asciiTheme="majorHAnsi" w:hAnsiTheme="majorHAnsi"/>
                <w:i/>
                <w:sz w:val="16"/>
                <w:szCs w:val="16"/>
                <w:lang w:val="ro-RO"/>
              </w:rPr>
              <w:t>mil. euro</w:t>
            </w:r>
          </w:p>
        </w:tc>
        <w:tc>
          <w:tcPr>
            <w:tcW w:w="1182" w:type="dxa"/>
          </w:tcPr>
          <w:p w14:paraId="34F20329"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0,8</w:t>
            </w:r>
          </w:p>
        </w:tc>
      </w:tr>
      <w:tr w:rsidR="007002B9" w:rsidRPr="00DA6404" w14:paraId="21266A5A" w14:textId="77777777" w:rsidTr="000E245A">
        <w:tc>
          <w:tcPr>
            <w:tcW w:w="500" w:type="dxa"/>
            <w:tcBorders>
              <w:bottom w:val="single" w:sz="4" w:space="0" w:color="auto"/>
            </w:tcBorders>
          </w:tcPr>
          <w:p w14:paraId="3C49B2A0" w14:textId="38693838"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4</w:t>
            </w:r>
            <w:r w:rsidR="00D53E49">
              <w:rPr>
                <w:rFonts w:asciiTheme="majorHAnsi" w:hAnsiTheme="majorHAnsi"/>
                <w:b/>
                <w:i/>
                <w:sz w:val="16"/>
                <w:szCs w:val="16"/>
                <w:lang w:val="ro-RO"/>
              </w:rPr>
              <w:t>.</w:t>
            </w:r>
          </w:p>
        </w:tc>
        <w:tc>
          <w:tcPr>
            <w:tcW w:w="6299" w:type="dxa"/>
            <w:tcBorders>
              <w:bottom w:val="single" w:sz="4" w:space="0" w:color="auto"/>
            </w:tcBorders>
          </w:tcPr>
          <w:p w14:paraId="72568A1A" w14:textId="77777777" w:rsidR="007002B9" w:rsidRPr="00DA6404" w:rsidRDefault="007002B9" w:rsidP="000E245A">
            <w:pPr>
              <w:jc w:val="center"/>
              <w:rPr>
                <w:rFonts w:asciiTheme="majorHAnsi" w:hAnsiTheme="majorHAnsi"/>
                <w:sz w:val="16"/>
                <w:szCs w:val="16"/>
                <w:lang w:val="ro-RO"/>
              </w:rPr>
            </w:pPr>
            <w:r w:rsidRPr="00DA6404">
              <w:rPr>
                <w:rFonts w:asciiTheme="majorHAnsi" w:hAnsiTheme="majorHAnsi"/>
                <w:sz w:val="16"/>
                <w:szCs w:val="16"/>
                <w:lang w:val="ro-RO"/>
              </w:rPr>
              <w:t>Creditul de asistență acordat de Guvernul Republicii Polonia</w:t>
            </w:r>
          </w:p>
        </w:tc>
        <w:tc>
          <w:tcPr>
            <w:tcW w:w="1228" w:type="dxa"/>
          </w:tcPr>
          <w:p w14:paraId="7CFCE973" w14:textId="77777777" w:rsidR="007002B9" w:rsidRPr="00DA6404" w:rsidRDefault="007002B9" w:rsidP="000E245A">
            <w:pPr>
              <w:rPr>
                <w:rFonts w:asciiTheme="majorHAnsi" w:hAnsiTheme="majorHAnsi"/>
                <w:i/>
                <w:sz w:val="16"/>
                <w:szCs w:val="16"/>
                <w:lang w:val="ro-RO"/>
              </w:rPr>
            </w:pPr>
            <w:proofErr w:type="spellStart"/>
            <w:r w:rsidRPr="00DA6404">
              <w:rPr>
                <w:rFonts w:asciiTheme="majorHAnsi" w:hAnsiTheme="majorHAnsi"/>
                <w:i/>
                <w:sz w:val="16"/>
                <w:szCs w:val="16"/>
                <w:lang w:val="ro-RO"/>
              </w:rPr>
              <w:t>mil.euro</w:t>
            </w:r>
            <w:proofErr w:type="spellEnd"/>
          </w:p>
        </w:tc>
        <w:tc>
          <w:tcPr>
            <w:tcW w:w="1182" w:type="dxa"/>
          </w:tcPr>
          <w:p w14:paraId="0D94D119"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0,3</w:t>
            </w:r>
          </w:p>
        </w:tc>
      </w:tr>
      <w:tr w:rsidR="007002B9" w:rsidRPr="00DA6404" w14:paraId="37C712EB" w14:textId="77777777" w:rsidTr="000E245A">
        <w:tc>
          <w:tcPr>
            <w:tcW w:w="500" w:type="dxa"/>
            <w:tcBorders>
              <w:top w:val="single" w:sz="4" w:space="0" w:color="auto"/>
              <w:left w:val="single" w:sz="4" w:space="0" w:color="auto"/>
              <w:bottom w:val="nil"/>
              <w:right w:val="single" w:sz="4" w:space="0" w:color="auto"/>
            </w:tcBorders>
          </w:tcPr>
          <w:p w14:paraId="59CAAFFF" w14:textId="77777777" w:rsidR="007002B9" w:rsidRPr="00DA6404" w:rsidRDefault="007002B9" w:rsidP="000E245A">
            <w:pPr>
              <w:rPr>
                <w:rFonts w:asciiTheme="majorHAnsi" w:hAnsiTheme="majorHAnsi"/>
                <w:b/>
                <w:i/>
                <w:sz w:val="16"/>
                <w:szCs w:val="16"/>
                <w:lang w:val="ro-RO"/>
              </w:rPr>
            </w:pPr>
          </w:p>
        </w:tc>
        <w:tc>
          <w:tcPr>
            <w:tcW w:w="6299" w:type="dxa"/>
            <w:tcBorders>
              <w:top w:val="single" w:sz="4" w:space="0" w:color="auto"/>
              <w:left w:val="single" w:sz="4" w:space="0" w:color="auto"/>
              <w:bottom w:val="nil"/>
              <w:right w:val="single" w:sz="4" w:space="0" w:color="auto"/>
            </w:tcBorders>
          </w:tcPr>
          <w:p w14:paraId="4FCEB768" w14:textId="77777777" w:rsidR="007002B9" w:rsidRPr="00DA6404" w:rsidRDefault="007002B9" w:rsidP="000E245A">
            <w:pPr>
              <w:jc w:val="center"/>
              <w:rPr>
                <w:rFonts w:asciiTheme="majorHAnsi" w:hAnsiTheme="majorHAnsi"/>
                <w:b/>
                <w:sz w:val="16"/>
                <w:szCs w:val="16"/>
                <w:lang w:val="ro-RO"/>
              </w:rPr>
            </w:pPr>
            <w:r w:rsidRPr="00DA6404">
              <w:rPr>
                <w:rFonts w:asciiTheme="majorHAnsi" w:hAnsiTheme="majorHAnsi"/>
                <w:b/>
                <w:sz w:val="16"/>
                <w:szCs w:val="16"/>
                <w:lang w:val="ro-RO"/>
              </w:rPr>
              <w:t>Total</w:t>
            </w:r>
          </w:p>
        </w:tc>
        <w:tc>
          <w:tcPr>
            <w:tcW w:w="1228" w:type="dxa"/>
            <w:tcBorders>
              <w:left w:val="single" w:sz="4" w:space="0" w:color="auto"/>
            </w:tcBorders>
          </w:tcPr>
          <w:p w14:paraId="485EEE97" w14:textId="74B3F47C" w:rsidR="007002B9" w:rsidRPr="00DA6404" w:rsidRDefault="002D0D0D" w:rsidP="000E245A">
            <w:pPr>
              <w:rPr>
                <w:rFonts w:asciiTheme="majorHAnsi" w:hAnsiTheme="majorHAnsi"/>
                <w:i/>
                <w:sz w:val="16"/>
                <w:szCs w:val="16"/>
                <w:lang w:val="ro-RO"/>
              </w:rPr>
            </w:pPr>
            <w:proofErr w:type="spellStart"/>
            <w:r>
              <w:rPr>
                <w:rFonts w:asciiTheme="majorHAnsi" w:hAnsiTheme="majorHAnsi"/>
                <w:i/>
                <w:sz w:val="16"/>
                <w:szCs w:val="16"/>
                <w:lang w:val="ro-RO"/>
              </w:rPr>
              <w:t>mil.MDL</w:t>
            </w:r>
            <w:proofErr w:type="spellEnd"/>
          </w:p>
        </w:tc>
        <w:tc>
          <w:tcPr>
            <w:tcW w:w="1182" w:type="dxa"/>
          </w:tcPr>
          <w:p w14:paraId="7CF40093"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24,0</w:t>
            </w:r>
          </w:p>
        </w:tc>
      </w:tr>
      <w:tr w:rsidR="007002B9" w:rsidRPr="00DA6404" w14:paraId="4EADCCE4" w14:textId="77777777" w:rsidTr="000E245A">
        <w:tc>
          <w:tcPr>
            <w:tcW w:w="500" w:type="dxa"/>
            <w:tcBorders>
              <w:top w:val="nil"/>
              <w:left w:val="single" w:sz="4" w:space="0" w:color="auto"/>
              <w:bottom w:val="nil"/>
              <w:right w:val="single" w:sz="4" w:space="0" w:color="auto"/>
            </w:tcBorders>
          </w:tcPr>
          <w:p w14:paraId="6B2DA39A" w14:textId="77777777" w:rsidR="007002B9" w:rsidRPr="00DA6404" w:rsidRDefault="007002B9" w:rsidP="000E245A">
            <w:pPr>
              <w:rPr>
                <w:rFonts w:asciiTheme="majorHAnsi" w:hAnsiTheme="majorHAnsi"/>
                <w:b/>
                <w:i/>
                <w:sz w:val="16"/>
                <w:szCs w:val="16"/>
                <w:lang w:val="ro-RO"/>
              </w:rPr>
            </w:pPr>
          </w:p>
        </w:tc>
        <w:tc>
          <w:tcPr>
            <w:tcW w:w="6299" w:type="dxa"/>
            <w:tcBorders>
              <w:top w:val="nil"/>
              <w:left w:val="single" w:sz="4" w:space="0" w:color="auto"/>
              <w:bottom w:val="nil"/>
              <w:right w:val="single" w:sz="4" w:space="0" w:color="auto"/>
            </w:tcBorders>
          </w:tcPr>
          <w:p w14:paraId="50EA29CE" w14:textId="77777777" w:rsidR="007002B9" w:rsidRPr="00DA6404" w:rsidRDefault="007002B9" w:rsidP="000E245A">
            <w:pPr>
              <w:jc w:val="center"/>
              <w:rPr>
                <w:rFonts w:asciiTheme="majorHAnsi" w:hAnsiTheme="majorHAnsi"/>
                <w:b/>
                <w:i/>
                <w:sz w:val="16"/>
                <w:szCs w:val="16"/>
                <w:lang w:val="ro-RO"/>
              </w:rPr>
            </w:pPr>
          </w:p>
        </w:tc>
        <w:tc>
          <w:tcPr>
            <w:tcW w:w="1228" w:type="dxa"/>
            <w:tcBorders>
              <w:left w:val="single" w:sz="4" w:space="0" w:color="auto"/>
            </w:tcBorders>
          </w:tcPr>
          <w:p w14:paraId="42529C2D" w14:textId="10CA0A0B" w:rsidR="007002B9" w:rsidRPr="00DA6404" w:rsidRDefault="00D53E49" w:rsidP="000E245A">
            <w:pPr>
              <w:rPr>
                <w:rFonts w:asciiTheme="majorHAnsi" w:hAnsiTheme="majorHAnsi"/>
                <w:i/>
                <w:sz w:val="16"/>
                <w:szCs w:val="16"/>
                <w:lang w:val="ro-RO"/>
              </w:rPr>
            </w:pPr>
            <w:r w:rsidRPr="00DA6404">
              <w:rPr>
                <w:rFonts w:asciiTheme="majorHAnsi" w:hAnsiTheme="majorHAnsi"/>
                <w:i/>
                <w:sz w:val="16"/>
                <w:szCs w:val="16"/>
                <w:lang w:val="ro-RO"/>
              </w:rPr>
              <w:t>mil.</w:t>
            </w:r>
            <w:r>
              <w:rPr>
                <w:rFonts w:asciiTheme="majorHAnsi" w:hAnsiTheme="majorHAnsi"/>
                <w:i/>
                <w:sz w:val="16"/>
                <w:szCs w:val="16"/>
                <w:lang w:val="ro-RO"/>
              </w:rPr>
              <w:t xml:space="preserve"> dol. SUA</w:t>
            </w:r>
          </w:p>
        </w:tc>
        <w:tc>
          <w:tcPr>
            <w:tcW w:w="1182" w:type="dxa"/>
          </w:tcPr>
          <w:p w14:paraId="763E4A1A"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0,04</w:t>
            </w:r>
          </w:p>
        </w:tc>
      </w:tr>
      <w:tr w:rsidR="007002B9" w:rsidRPr="00DA6404" w14:paraId="7E46D480" w14:textId="77777777" w:rsidTr="000E245A">
        <w:tc>
          <w:tcPr>
            <w:tcW w:w="500" w:type="dxa"/>
            <w:tcBorders>
              <w:top w:val="nil"/>
              <w:left w:val="single" w:sz="4" w:space="0" w:color="auto"/>
              <w:bottom w:val="single" w:sz="4" w:space="0" w:color="auto"/>
              <w:right w:val="single" w:sz="4" w:space="0" w:color="auto"/>
            </w:tcBorders>
          </w:tcPr>
          <w:p w14:paraId="7C9A33FF" w14:textId="77777777" w:rsidR="007002B9" w:rsidRPr="00DA6404" w:rsidRDefault="007002B9" w:rsidP="000E245A">
            <w:pPr>
              <w:rPr>
                <w:rFonts w:asciiTheme="majorHAnsi" w:hAnsiTheme="majorHAnsi"/>
                <w:b/>
                <w:i/>
                <w:sz w:val="16"/>
                <w:szCs w:val="16"/>
                <w:lang w:val="ro-RO"/>
              </w:rPr>
            </w:pPr>
          </w:p>
        </w:tc>
        <w:tc>
          <w:tcPr>
            <w:tcW w:w="6299" w:type="dxa"/>
            <w:tcBorders>
              <w:top w:val="nil"/>
              <w:left w:val="single" w:sz="4" w:space="0" w:color="auto"/>
              <w:bottom w:val="single" w:sz="4" w:space="0" w:color="auto"/>
              <w:right w:val="single" w:sz="4" w:space="0" w:color="auto"/>
            </w:tcBorders>
          </w:tcPr>
          <w:p w14:paraId="42C9B06D" w14:textId="77777777" w:rsidR="007002B9" w:rsidRPr="00DA6404" w:rsidRDefault="007002B9" w:rsidP="000E245A">
            <w:pPr>
              <w:jc w:val="center"/>
              <w:rPr>
                <w:rFonts w:asciiTheme="majorHAnsi" w:hAnsiTheme="majorHAnsi"/>
                <w:b/>
                <w:i/>
                <w:sz w:val="16"/>
                <w:szCs w:val="16"/>
                <w:lang w:val="ro-RO"/>
              </w:rPr>
            </w:pPr>
          </w:p>
        </w:tc>
        <w:tc>
          <w:tcPr>
            <w:tcW w:w="1228" w:type="dxa"/>
            <w:tcBorders>
              <w:left w:val="single" w:sz="4" w:space="0" w:color="auto"/>
            </w:tcBorders>
          </w:tcPr>
          <w:p w14:paraId="4E8229ED" w14:textId="77777777" w:rsidR="007002B9" w:rsidRPr="00DA6404" w:rsidRDefault="007002B9" w:rsidP="000E245A">
            <w:pPr>
              <w:rPr>
                <w:rFonts w:asciiTheme="majorHAnsi" w:hAnsiTheme="majorHAnsi"/>
                <w:i/>
                <w:sz w:val="16"/>
                <w:szCs w:val="16"/>
                <w:lang w:val="ro-RO"/>
              </w:rPr>
            </w:pPr>
            <w:proofErr w:type="spellStart"/>
            <w:r w:rsidRPr="00DA6404">
              <w:rPr>
                <w:rFonts w:asciiTheme="majorHAnsi" w:hAnsiTheme="majorHAnsi"/>
                <w:i/>
                <w:sz w:val="16"/>
                <w:szCs w:val="16"/>
                <w:lang w:val="ro-RO"/>
              </w:rPr>
              <w:t>mil.euro</w:t>
            </w:r>
            <w:proofErr w:type="spellEnd"/>
          </w:p>
        </w:tc>
        <w:tc>
          <w:tcPr>
            <w:tcW w:w="1182" w:type="dxa"/>
          </w:tcPr>
          <w:p w14:paraId="728F4B40"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9,</w:t>
            </w:r>
            <w:r>
              <w:rPr>
                <w:rFonts w:asciiTheme="majorHAnsi" w:hAnsiTheme="majorHAnsi"/>
                <w:b/>
                <w:i/>
                <w:sz w:val="16"/>
                <w:szCs w:val="16"/>
                <w:lang w:val="ro-RO"/>
              </w:rPr>
              <w:t>2</w:t>
            </w:r>
          </w:p>
        </w:tc>
      </w:tr>
      <w:tr w:rsidR="007002B9" w:rsidRPr="00DA6404" w14:paraId="6F3F306D" w14:textId="77777777" w:rsidTr="000E245A">
        <w:tc>
          <w:tcPr>
            <w:tcW w:w="500" w:type="dxa"/>
            <w:tcBorders>
              <w:top w:val="single" w:sz="4" w:space="0" w:color="auto"/>
            </w:tcBorders>
          </w:tcPr>
          <w:p w14:paraId="7E53353F" w14:textId="77777777" w:rsidR="007002B9" w:rsidRPr="00DA6404" w:rsidRDefault="007002B9" w:rsidP="000E245A">
            <w:pPr>
              <w:rPr>
                <w:rFonts w:asciiTheme="majorHAnsi" w:hAnsiTheme="majorHAnsi"/>
                <w:b/>
                <w:i/>
                <w:sz w:val="16"/>
                <w:szCs w:val="16"/>
                <w:lang w:val="ro-RO"/>
              </w:rPr>
            </w:pPr>
          </w:p>
        </w:tc>
        <w:tc>
          <w:tcPr>
            <w:tcW w:w="8709" w:type="dxa"/>
            <w:gridSpan w:val="3"/>
            <w:tcBorders>
              <w:top w:val="single" w:sz="4" w:space="0" w:color="auto"/>
            </w:tcBorders>
          </w:tcPr>
          <w:p w14:paraId="592EB0BD"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 xml:space="preserve">                                                     Mijloace circulante acumulate</w:t>
            </w:r>
          </w:p>
        </w:tc>
      </w:tr>
      <w:tr w:rsidR="007002B9" w:rsidRPr="00DA6404" w14:paraId="4CF8DC9E" w14:textId="77777777" w:rsidTr="000E245A">
        <w:tc>
          <w:tcPr>
            <w:tcW w:w="500" w:type="dxa"/>
            <w:tcBorders>
              <w:bottom w:val="nil"/>
            </w:tcBorders>
          </w:tcPr>
          <w:p w14:paraId="6631C9C5" w14:textId="47498934"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5</w:t>
            </w:r>
            <w:r w:rsidR="00D53E49">
              <w:rPr>
                <w:rFonts w:asciiTheme="majorHAnsi" w:hAnsiTheme="majorHAnsi"/>
                <w:b/>
                <w:i/>
                <w:sz w:val="16"/>
                <w:szCs w:val="16"/>
                <w:lang w:val="ro-RO"/>
              </w:rPr>
              <w:t>.</w:t>
            </w:r>
          </w:p>
        </w:tc>
        <w:tc>
          <w:tcPr>
            <w:tcW w:w="6299" w:type="dxa"/>
            <w:tcBorders>
              <w:bottom w:val="nil"/>
            </w:tcBorders>
          </w:tcPr>
          <w:p w14:paraId="1F16744B" w14:textId="77777777" w:rsidR="007002B9" w:rsidRPr="00DA6404" w:rsidRDefault="007002B9" w:rsidP="000E245A">
            <w:pPr>
              <w:jc w:val="center"/>
              <w:rPr>
                <w:rFonts w:asciiTheme="majorHAnsi" w:hAnsiTheme="majorHAnsi"/>
                <w:b/>
                <w:i/>
                <w:sz w:val="16"/>
                <w:szCs w:val="16"/>
                <w:lang w:val="ro-RO"/>
              </w:rPr>
            </w:pPr>
          </w:p>
        </w:tc>
        <w:tc>
          <w:tcPr>
            <w:tcW w:w="1228" w:type="dxa"/>
          </w:tcPr>
          <w:p w14:paraId="3B782009" w14:textId="2B08816F" w:rsidR="007002B9" w:rsidRPr="00DA6404" w:rsidRDefault="002D0D0D" w:rsidP="000E245A">
            <w:pPr>
              <w:rPr>
                <w:rFonts w:asciiTheme="majorHAnsi" w:hAnsiTheme="majorHAnsi"/>
                <w:i/>
                <w:sz w:val="16"/>
                <w:szCs w:val="16"/>
                <w:lang w:val="ro-RO"/>
              </w:rPr>
            </w:pPr>
            <w:proofErr w:type="spellStart"/>
            <w:r>
              <w:rPr>
                <w:rFonts w:asciiTheme="majorHAnsi" w:hAnsiTheme="majorHAnsi"/>
                <w:i/>
                <w:sz w:val="16"/>
                <w:szCs w:val="16"/>
                <w:lang w:val="ro-RO"/>
              </w:rPr>
              <w:t>mil.MDL</w:t>
            </w:r>
            <w:proofErr w:type="spellEnd"/>
          </w:p>
        </w:tc>
        <w:tc>
          <w:tcPr>
            <w:tcW w:w="1182" w:type="dxa"/>
          </w:tcPr>
          <w:p w14:paraId="0A71DB5B"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50,5</w:t>
            </w:r>
          </w:p>
        </w:tc>
      </w:tr>
      <w:tr w:rsidR="007002B9" w:rsidRPr="00DA6404" w14:paraId="10606F45" w14:textId="77777777" w:rsidTr="000E245A">
        <w:trPr>
          <w:trHeight w:val="259"/>
        </w:trPr>
        <w:tc>
          <w:tcPr>
            <w:tcW w:w="500" w:type="dxa"/>
            <w:tcBorders>
              <w:top w:val="nil"/>
              <w:bottom w:val="nil"/>
            </w:tcBorders>
          </w:tcPr>
          <w:p w14:paraId="023479D6" w14:textId="77777777" w:rsidR="007002B9" w:rsidRPr="00DA6404" w:rsidRDefault="007002B9" w:rsidP="000E245A">
            <w:pPr>
              <w:rPr>
                <w:rFonts w:asciiTheme="majorHAnsi" w:hAnsiTheme="majorHAnsi"/>
                <w:b/>
                <w:i/>
                <w:sz w:val="16"/>
                <w:szCs w:val="16"/>
                <w:lang w:val="ro-RO"/>
              </w:rPr>
            </w:pPr>
          </w:p>
        </w:tc>
        <w:tc>
          <w:tcPr>
            <w:tcW w:w="6299" w:type="dxa"/>
            <w:tcBorders>
              <w:top w:val="nil"/>
              <w:bottom w:val="nil"/>
            </w:tcBorders>
          </w:tcPr>
          <w:p w14:paraId="3232B174" w14:textId="77777777" w:rsidR="007002B9" w:rsidRPr="00DA6404" w:rsidRDefault="007002B9" w:rsidP="000E245A">
            <w:pPr>
              <w:jc w:val="center"/>
              <w:rPr>
                <w:rFonts w:asciiTheme="majorHAnsi" w:hAnsiTheme="majorHAnsi"/>
                <w:sz w:val="16"/>
                <w:szCs w:val="16"/>
                <w:lang w:val="ro-RO"/>
              </w:rPr>
            </w:pPr>
            <w:r w:rsidRPr="00DA6404">
              <w:rPr>
                <w:rFonts w:asciiTheme="majorHAnsi" w:hAnsiTheme="majorHAnsi"/>
                <w:sz w:val="16"/>
                <w:szCs w:val="16"/>
                <w:lang w:val="ro-RO"/>
              </w:rPr>
              <w:t>Proiectul de Finanțare Rurală și Dezvoltare a Întreprinderilor Mici (FIDA 1)</w:t>
            </w:r>
          </w:p>
        </w:tc>
        <w:tc>
          <w:tcPr>
            <w:tcW w:w="1228" w:type="dxa"/>
          </w:tcPr>
          <w:p w14:paraId="5DCE7726" w14:textId="77777777" w:rsidR="007002B9" w:rsidRPr="00DA6404" w:rsidRDefault="007002B9" w:rsidP="000E245A">
            <w:pPr>
              <w:rPr>
                <w:rFonts w:asciiTheme="majorHAnsi" w:hAnsiTheme="majorHAnsi"/>
                <w:i/>
                <w:sz w:val="16"/>
                <w:szCs w:val="16"/>
                <w:lang w:val="ro-RO"/>
              </w:rPr>
            </w:pPr>
            <w:proofErr w:type="spellStart"/>
            <w:r w:rsidRPr="00DA6404">
              <w:rPr>
                <w:rFonts w:asciiTheme="majorHAnsi" w:hAnsiTheme="majorHAnsi"/>
                <w:i/>
                <w:sz w:val="16"/>
                <w:szCs w:val="16"/>
                <w:lang w:val="ro-RO"/>
              </w:rPr>
              <w:t>mil.dol.SUA</w:t>
            </w:r>
            <w:proofErr w:type="spellEnd"/>
          </w:p>
        </w:tc>
        <w:tc>
          <w:tcPr>
            <w:tcW w:w="1182" w:type="dxa"/>
          </w:tcPr>
          <w:p w14:paraId="54BDCCA3"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0,05</w:t>
            </w:r>
          </w:p>
        </w:tc>
      </w:tr>
      <w:tr w:rsidR="007002B9" w:rsidRPr="00DA6404" w14:paraId="49F68AB7" w14:textId="77777777" w:rsidTr="000E245A">
        <w:tc>
          <w:tcPr>
            <w:tcW w:w="500" w:type="dxa"/>
            <w:tcBorders>
              <w:top w:val="nil"/>
            </w:tcBorders>
          </w:tcPr>
          <w:p w14:paraId="5E996CAD" w14:textId="77777777" w:rsidR="007002B9" w:rsidRPr="00DA6404" w:rsidRDefault="007002B9" w:rsidP="000E245A">
            <w:pPr>
              <w:rPr>
                <w:rFonts w:asciiTheme="majorHAnsi" w:hAnsiTheme="majorHAnsi"/>
                <w:b/>
                <w:i/>
                <w:sz w:val="16"/>
                <w:szCs w:val="16"/>
                <w:lang w:val="ro-RO"/>
              </w:rPr>
            </w:pPr>
          </w:p>
        </w:tc>
        <w:tc>
          <w:tcPr>
            <w:tcW w:w="6299" w:type="dxa"/>
            <w:tcBorders>
              <w:top w:val="nil"/>
            </w:tcBorders>
          </w:tcPr>
          <w:p w14:paraId="3EEB150B" w14:textId="77777777" w:rsidR="007002B9" w:rsidRPr="00DA6404" w:rsidRDefault="007002B9" w:rsidP="000E245A">
            <w:pPr>
              <w:jc w:val="center"/>
              <w:rPr>
                <w:rFonts w:asciiTheme="majorHAnsi" w:hAnsiTheme="majorHAnsi"/>
                <w:b/>
                <w:i/>
                <w:sz w:val="16"/>
                <w:szCs w:val="16"/>
                <w:lang w:val="ro-RO"/>
              </w:rPr>
            </w:pPr>
          </w:p>
        </w:tc>
        <w:tc>
          <w:tcPr>
            <w:tcW w:w="1228" w:type="dxa"/>
          </w:tcPr>
          <w:p w14:paraId="5B932BEC" w14:textId="77777777" w:rsidR="007002B9" w:rsidRPr="00DA6404" w:rsidRDefault="007002B9" w:rsidP="000E245A">
            <w:pPr>
              <w:rPr>
                <w:rFonts w:asciiTheme="majorHAnsi" w:hAnsiTheme="majorHAnsi"/>
                <w:i/>
                <w:sz w:val="16"/>
                <w:szCs w:val="16"/>
                <w:lang w:val="ro-RO"/>
              </w:rPr>
            </w:pPr>
            <w:proofErr w:type="spellStart"/>
            <w:r w:rsidRPr="00DA6404">
              <w:rPr>
                <w:rFonts w:asciiTheme="majorHAnsi" w:hAnsiTheme="majorHAnsi"/>
                <w:i/>
                <w:sz w:val="16"/>
                <w:szCs w:val="16"/>
                <w:lang w:val="ro-RO"/>
              </w:rPr>
              <w:t>mil.euro</w:t>
            </w:r>
            <w:proofErr w:type="spellEnd"/>
          </w:p>
        </w:tc>
        <w:tc>
          <w:tcPr>
            <w:tcW w:w="1182" w:type="dxa"/>
          </w:tcPr>
          <w:p w14:paraId="3808F046"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0,02</w:t>
            </w:r>
          </w:p>
        </w:tc>
      </w:tr>
      <w:tr w:rsidR="007002B9" w:rsidRPr="00DA6404" w14:paraId="5A33EFF7" w14:textId="77777777" w:rsidTr="000E245A">
        <w:tc>
          <w:tcPr>
            <w:tcW w:w="500" w:type="dxa"/>
          </w:tcPr>
          <w:p w14:paraId="12346DCB" w14:textId="56A2D83D"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6</w:t>
            </w:r>
            <w:r w:rsidR="00D53E49">
              <w:rPr>
                <w:rFonts w:asciiTheme="majorHAnsi" w:hAnsiTheme="majorHAnsi"/>
                <w:b/>
                <w:i/>
                <w:sz w:val="16"/>
                <w:szCs w:val="16"/>
                <w:lang w:val="ro-RO"/>
              </w:rPr>
              <w:t>.</w:t>
            </w:r>
          </w:p>
        </w:tc>
        <w:tc>
          <w:tcPr>
            <w:tcW w:w="6299" w:type="dxa"/>
          </w:tcPr>
          <w:p w14:paraId="0064BA06" w14:textId="77777777" w:rsidR="007002B9" w:rsidRPr="00DA6404" w:rsidRDefault="007002B9" w:rsidP="000E245A">
            <w:pPr>
              <w:jc w:val="center"/>
              <w:rPr>
                <w:rFonts w:asciiTheme="majorHAnsi" w:hAnsiTheme="majorHAnsi"/>
                <w:sz w:val="16"/>
                <w:szCs w:val="16"/>
                <w:lang w:val="ro-RO"/>
              </w:rPr>
            </w:pPr>
            <w:r w:rsidRPr="00DA6404">
              <w:rPr>
                <w:rFonts w:asciiTheme="majorHAnsi" w:hAnsiTheme="majorHAnsi"/>
                <w:sz w:val="16"/>
                <w:szCs w:val="16"/>
                <w:lang w:val="ro-RO"/>
              </w:rPr>
              <w:t>Proiectul de Revitalizare a Agriculturii (FIDA 2)</w:t>
            </w:r>
          </w:p>
        </w:tc>
        <w:tc>
          <w:tcPr>
            <w:tcW w:w="1228" w:type="dxa"/>
          </w:tcPr>
          <w:p w14:paraId="33413147" w14:textId="22D3EC2F" w:rsidR="007002B9" w:rsidRPr="00DA6404" w:rsidRDefault="002D0D0D" w:rsidP="000E245A">
            <w:pPr>
              <w:rPr>
                <w:rFonts w:asciiTheme="majorHAnsi" w:hAnsiTheme="majorHAnsi"/>
                <w:i/>
                <w:sz w:val="16"/>
                <w:szCs w:val="16"/>
                <w:lang w:val="ro-RO"/>
              </w:rPr>
            </w:pPr>
            <w:proofErr w:type="spellStart"/>
            <w:r>
              <w:rPr>
                <w:rFonts w:asciiTheme="majorHAnsi" w:hAnsiTheme="majorHAnsi"/>
                <w:i/>
                <w:sz w:val="16"/>
                <w:szCs w:val="16"/>
                <w:lang w:val="ro-RO"/>
              </w:rPr>
              <w:t>mil.MDL</w:t>
            </w:r>
            <w:proofErr w:type="spellEnd"/>
          </w:p>
        </w:tc>
        <w:tc>
          <w:tcPr>
            <w:tcW w:w="1182" w:type="dxa"/>
          </w:tcPr>
          <w:p w14:paraId="670C3401"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8,9</w:t>
            </w:r>
          </w:p>
        </w:tc>
      </w:tr>
      <w:tr w:rsidR="007002B9" w:rsidRPr="00DA6404" w14:paraId="310B7175" w14:textId="77777777" w:rsidTr="000E245A">
        <w:tc>
          <w:tcPr>
            <w:tcW w:w="500" w:type="dxa"/>
          </w:tcPr>
          <w:p w14:paraId="1589BC43" w14:textId="0FD2ED9E"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7</w:t>
            </w:r>
            <w:r w:rsidR="00D53E49">
              <w:rPr>
                <w:rFonts w:asciiTheme="majorHAnsi" w:hAnsiTheme="majorHAnsi"/>
                <w:b/>
                <w:i/>
                <w:sz w:val="16"/>
                <w:szCs w:val="16"/>
                <w:lang w:val="ro-RO"/>
              </w:rPr>
              <w:t>.</w:t>
            </w:r>
          </w:p>
        </w:tc>
        <w:tc>
          <w:tcPr>
            <w:tcW w:w="6299" w:type="dxa"/>
          </w:tcPr>
          <w:p w14:paraId="60080E89" w14:textId="77777777" w:rsidR="007002B9" w:rsidRPr="00DA6404" w:rsidRDefault="007002B9" w:rsidP="000E245A">
            <w:pPr>
              <w:jc w:val="center"/>
              <w:rPr>
                <w:rFonts w:asciiTheme="majorHAnsi" w:hAnsiTheme="majorHAnsi"/>
                <w:sz w:val="16"/>
                <w:szCs w:val="16"/>
                <w:lang w:val="ro-RO"/>
              </w:rPr>
            </w:pPr>
            <w:r w:rsidRPr="00DA6404">
              <w:rPr>
                <w:rFonts w:asciiTheme="majorHAnsi" w:hAnsiTheme="majorHAnsi"/>
                <w:sz w:val="16"/>
                <w:szCs w:val="16"/>
                <w:lang w:val="ro-RO"/>
              </w:rPr>
              <w:t>Proiectul de dezvoltare a Afacerilor Rurale (FIDA 3)</w:t>
            </w:r>
          </w:p>
        </w:tc>
        <w:tc>
          <w:tcPr>
            <w:tcW w:w="1228" w:type="dxa"/>
          </w:tcPr>
          <w:p w14:paraId="30228074" w14:textId="45B43EA5" w:rsidR="007002B9" w:rsidRPr="00DA6404" w:rsidRDefault="002D0D0D" w:rsidP="000E245A">
            <w:pPr>
              <w:rPr>
                <w:rFonts w:asciiTheme="majorHAnsi" w:hAnsiTheme="majorHAnsi"/>
                <w:i/>
                <w:sz w:val="16"/>
                <w:szCs w:val="16"/>
                <w:lang w:val="ro-RO"/>
              </w:rPr>
            </w:pPr>
            <w:proofErr w:type="spellStart"/>
            <w:r>
              <w:rPr>
                <w:rFonts w:asciiTheme="majorHAnsi" w:hAnsiTheme="majorHAnsi"/>
                <w:i/>
                <w:sz w:val="16"/>
                <w:szCs w:val="16"/>
                <w:lang w:val="ro-RO"/>
              </w:rPr>
              <w:t>mil.MDL</w:t>
            </w:r>
            <w:proofErr w:type="spellEnd"/>
          </w:p>
        </w:tc>
        <w:tc>
          <w:tcPr>
            <w:tcW w:w="1182" w:type="dxa"/>
          </w:tcPr>
          <w:p w14:paraId="36A69E16"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1,8</w:t>
            </w:r>
          </w:p>
        </w:tc>
      </w:tr>
      <w:tr w:rsidR="007002B9" w:rsidRPr="00DA6404" w14:paraId="52E6D621" w14:textId="77777777" w:rsidTr="000E245A">
        <w:tc>
          <w:tcPr>
            <w:tcW w:w="500" w:type="dxa"/>
          </w:tcPr>
          <w:p w14:paraId="1F0C6993" w14:textId="2C0FC0F0"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8</w:t>
            </w:r>
            <w:r w:rsidR="00D53E49">
              <w:rPr>
                <w:rFonts w:asciiTheme="majorHAnsi" w:hAnsiTheme="majorHAnsi"/>
                <w:b/>
                <w:i/>
                <w:sz w:val="16"/>
                <w:szCs w:val="16"/>
                <w:lang w:val="ro-RO"/>
              </w:rPr>
              <w:t>.</w:t>
            </w:r>
          </w:p>
        </w:tc>
        <w:tc>
          <w:tcPr>
            <w:tcW w:w="6299" w:type="dxa"/>
          </w:tcPr>
          <w:p w14:paraId="3A3AFE99" w14:textId="77777777" w:rsidR="007002B9" w:rsidRPr="00DA6404" w:rsidRDefault="007002B9" w:rsidP="000E245A">
            <w:pPr>
              <w:jc w:val="center"/>
              <w:rPr>
                <w:rFonts w:asciiTheme="majorHAnsi" w:hAnsiTheme="majorHAnsi"/>
                <w:sz w:val="16"/>
                <w:szCs w:val="16"/>
                <w:lang w:val="ro-RO"/>
              </w:rPr>
            </w:pPr>
            <w:r w:rsidRPr="00DA6404">
              <w:rPr>
                <w:rFonts w:asciiTheme="majorHAnsi" w:hAnsiTheme="majorHAnsi"/>
                <w:sz w:val="16"/>
                <w:szCs w:val="16"/>
                <w:lang w:val="ro-RO"/>
              </w:rPr>
              <w:t xml:space="preserve">Proiectul de Servicii Financiare  Rurale </w:t>
            </w:r>
            <w:r w:rsidRPr="00A51CEA">
              <w:rPr>
                <w:rFonts w:asciiTheme="majorHAnsi" w:hAnsiTheme="majorHAnsi"/>
                <w:sz w:val="16"/>
                <w:szCs w:val="22"/>
                <w:lang w:val="ro-RO"/>
              </w:rPr>
              <w:t>și Marketing</w:t>
            </w:r>
            <w:r w:rsidRPr="00DA6404">
              <w:rPr>
                <w:rFonts w:asciiTheme="majorHAnsi" w:hAnsiTheme="majorHAnsi"/>
                <w:sz w:val="16"/>
                <w:szCs w:val="16"/>
                <w:lang w:val="ro-RO"/>
              </w:rPr>
              <w:t xml:space="preserve"> (FIDA 4)</w:t>
            </w:r>
          </w:p>
        </w:tc>
        <w:tc>
          <w:tcPr>
            <w:tcW w:w="1228" w:type="dxa"/>
          </w:tcPr>
          <w:p w14:paraId="04461764" w14:textId="1ABFB5E4" w:rsidR="007002B9" w:rsidRPr="00DA6404" w:rsidRDefault="002D0D0D" w:rsidP="000E245A">
            <w:pPr>
              <w:rPr>
                <w:rFonts w:asciiTheme="majorHAnsi" w:hAnsiTheme="majorHAnsi"/>
                <w:i/>
                <w:sz w:val="16"/>
                <w:szCs w:val="16"/>
                <w:lang w:val="ro-RO"/>
              </w:rPr>
            </w:pPr>
            <w:proofErr w:type="spellStart"/>
            <w:r>
              <w:rPr>
                <w:rFonts w:asciiTheme="majorHAnsi" w:hAnsiTheme="majorHAnsi"/>
                <w:i/>
                <w:sz w:val="16"/>
                <w:szCs w:val="16"/>
                <w:lang w:val="ro-RO"/>
              </w:rPr>
              <w:t>mil.MDL</w:t>
            </w:r>
            <w:proofErr w:type="spellEnd"/>
          </w:p>
        </w:tc>
        <w:tc>
          <w:tcPr>
            <w:tcW w:w="1182" w:type="dxa"/>
          </w:tcPr>
          <w:p w14:paraId="0FFC08B6"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1,0</w:t>
            </w:r>
          </w:p>
        </w:tc>
      </w:tr>
      <w:tr w:rsidR="007002B9" w:rsidRPr="00DA6404" w14:paraId="52F87230" w14:textId="77777777" w:rsidTr="000E245A">
        <w:tc>
          <w:tcPr>
            <w:tcW w:w="500" w:type="dxa"/>
          </w:tcPr>
          <w:p w14:paraId="7CB189AD" w14:textId="004491C3"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9</w:t>
            </w:r>
            <w:r w:rsidR="00D53E49">
              <w:rPr>
                <w:rFonts w:asciiTheme="majorHAnsi" w:hAnsiTheme="majorHAnsi"/>
                <w:b/>
                <w:i/>
                <w:sz w:val="16"/>
                <w:szCs w:val="16"/>
                <w:lang w:val="ro-RO"/>
              </w:rPr>
              <w:t>.</w:t>
            </w:r>
          </w:p>
        </w:tc>
        <w:tc>
          <w:tcPr>
            <w:tcW w:w="6299" w:type="dxa"/>
          </w:tcPr>
          <w:p w14:paraId="41FB9BF2" w14:textId="77777777" w:rsidR="007002B9" w:rsidRPr="00DA6404" w:rsidRDefault="007002B9" w:rsidP="000E245A">
            <w:pPr>
              <w:jc w:val="center"/>
              <w:rPr>
                <w:rFonts w:asciiTheme="majorHAnsi" w:hAnsiTheme="majorHAnsi"/>
                <w:sz w:val="16"/>
                <w:szCs w:val="16"/>
                <w:lang w:val="ro-RO"/>
              </w:rPr>
            </w:pPr>
            <w:r w:rsidRPr="00DA6404">
              <w:rPr>
                <w:rFonts w:asciiTheme="majorHAnsi" w:hAnsiTheme="majorHAnsi"/>
                <w:sz w:val="16"/>
                <w:szCs w:val="16"/>
                <w:lang w:val="ro-RO"/>
              </w:rPr>
              <w:t>Proiectul de Servicii Financiare Rurale și Dezvoltarea Businessului Agricol (FIDA 5)</w:t>
            </w:r>
          </w:p>
        </w:tc>
        <w:tc>
          <w:tcPr>
            <w:tcW w:w="1228" w:type="dxa"/>
          </w:tcPr>
          <w:p w14:paraId="6C9A748B" w14:textId="0510DB50" w:rsidR="007002B9" w:rsidRPr="00DA6404" w:rsidRDefault="002D0D0D" w:rsidP="000E245A">
            <w:pPr>
              <w:rPr>
                <w:rFonts w:asciiTheme="majorHAnsi" w:hAnsiTheme="majorHAnsi"/>
                <w:i/>
                <w:sz w:val="16"/>
                <w:szCs w:val="16"/>
                <w:lang w:val="ro-RO"/>
              </w:rPr>
            </w:pPr>
            <w:proofErr w:type="spellStart"/>
            <w:r>
              <w:rPr>
                <w:rFonts w:asciiTheme="majorHAnsi" w:hAnsiTheme="majorHAnsi"/>
                <w:i/>
                <w:sz w:val="16"/>
                <w:szCs w:val="16"/>
                <w:lang w:val="ro-RO"/>
              </w:rPr>
              <w:t>mil.MDL</w:t>
            </w:r>
            <w:proofErr w:type="spellEnd"/>
          </w:p>
        </w:tc>
        <w:tc>
          <w:tcPr>
            <w:tcW w:w="1182" w:type="dxa"/>
          </w:tcPr>
          <w:p w14:paraId="7C75EC55"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6,3</w:t>
            </w:r>
          </w:p>
        </w:tc>
      </w:tr>
      <w:tr w:rsidR="007002B9" w:rsidRPr="00DA6404" w14:paraId="4976456C" w14:textId="77777777" w:rsidTr="000E245A">
        <w:tc>
          <w:tcPr>
            <w:tcW w:w="500" w:type="dxa"/>
            <w:tcBorders>
              <w:bottom w:val="single" w:sz="4" w:space="0" w:color="auto"/>
            </w:tcBorders>
          </w:tcPr>
          <w:p w14:paraId="20417847" w14:textId="680B9E81"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10</w:t>
            </w:r>
            <w:r w:rsidR="00D53E49">
              <w:rPr>
                <w:rFonts w:asciiTheme="majorHAnsi" w:hAnsiTheme="majorHAnsi"/>
                <w:b/>
                <w:i/>
                <w:sz w:val="16"/>
                <w:szCs w:val="16"/>
                <w:lang w:val="ro-RO"/>
              </w:rPr>
              <w:t>.</w:t>
            </w:r>
          </w:p>
        </w:tc>
        <w:tc>
          <w:tcPr>
            <w:tcW w:w="6299" w:type="dxa"/>
            <w:tcBorders>
              <w:bottom w:val="single" w:sz="4" w:space="0" w:color="auto"/>
            </w:tcBorders>
          </w:tcPr>
          <w:p w14:paraId="0AAFF14C" w14:textId="203859FE" w:rsidR="007002B9" w:rsidRPr="00DA6404" w:rsidRDefault="00D53E49" w:rsidP="000E245A">
            <w:pPr>
              <w:jc w:val="center"/>
              <w:rPr>
                <w:rFonts w:asciiTheme="majorHAnsi" w:hAnsiTheme="majorHAnsi"/>
                <w:sz w:val="16"/>
                <w:szCs w:val="16"/>
                <w:lang w:val="ro-RO"/>
              </w:rPr>
            </w:pPr>
            <w:r>
              <w:rPr>
                <w:rFonts w:asciiTheme="majorHAnsi" w:hAnsiTheme="majorHAnsi"/>
                <w:sz w:val="16"/>
                <w:szCs w:val="16"/>
                <w:lang w:val="ro-RO"/>
              </w:rPr>
              <w:t xml:space="preserve">Programul Rural de Reziliență </w:t>
            </w:r>
            <w:proofErr w:type="spellStart"/>
            <w:r>
              <w:rPr>
                <w:rFonts w:asciiTheme="majorHAnsi" w:hAnsiTheme="majorHAnsi"/>
                <w:sz w:val="16"/>
                <w:szCs w:val="16"/>
                <w:lang w:val="ro-RO"/>
              </w:rPr>
              <w:t>Economico</w:t>
            </w:r>
            <w:proofErr w:type="spellEnd"/>
            <w:r>
              <w:rPr>
                <w:rFonts w:asciiTheme="majorHAnsi" w:hAnsiTheme="majorHAnsi"/>
                <w:sz w:val="16"/>
                <w:szCs w:val="16"/>
                <w:lang w:val="ro-RO"/>
              </w:rPr>
              <w:t>-Climatică I</w:t>
            </w:r>
            <w:r w:rsidR="007002B9" w:rsidRPr="00DA6404">
              <w:rPr>
                <w:rFonts w:asciiTheme="majorHAnsi" w:hAnsiTheme="majorHAnsi"/>
                <w:sz w:val="16"/>
                <w:szCs w:val="16"/>
                <w:lang w:val="ro-RO"/>
              </w:rPr>
              <w:t>ncluzivă (FIDA 6)</w:t>
            </w:r>
          </w:p>
        </w:tc>
        <w:tc>
          <w:tcPr>
            <w:tcW w:w="1228" w:type="dxa"/>
          </w:tcPr>
          <w:p w14:paraId="1AC89840" w14:textId="6DBFC754" w:rsidR="007002B9" w:rsidRPr="00DA6404" w:rsidRDefault="002D0D0D" w:rsidP="000E245A">
            <w:pPr>
              <w:rPr>
                <w:rFonts w:asciiTheme="majorHAnsi" w:hAnsiTheme="majorHAnsi"/>
                <w:i/>
                <w:sz w:val="16"/>
                <w:szCs w:val="16"/>
                <w:lang w:val="ro-RO"/>
              </w:rPr>
            </w:pPr>
            <w:proofErr w:type="spellStart"/>
            <w:r>
              <w:rPr>
                <w:rFonts w:asciiTheme="majorHAnsi" w:hAnsiTheme="majorHAnsi"/>
                <w:i/>
                <w:sz w:val="16"/>
                <w:szCs w:val="16"/>
                <w:lang w:val="ro-RO"/>
              </w:rPr>
              <w:t>mil.MDL</w:t>
            </w:r>
            <w:proofErr w:type="spellEnd"/>
          </w:p>
        </w:tc>
        <w:tc>
          <w:tcPr>
            <w:tcW w:w="1182" w:type="dxa"/>
          </w:tcPr>
          <w:p w14:paraId="1C85861A"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26,9</w:t>
            </w:r>
          </w:p>
        </w:tc>
      </w:tr>
      <w:tr w:rsidR="007002B9" w:rsidRPr="00DA6404" w14:paraId="345BB370" w14:textId="77777777" w:rsidTr="000E245A">
        <w:tc>
          <w:tcPr>
            <w:tcW w:w="500" w:type="dxa"/>
            <w:tcBorders>
              <w:top w:val="single" w:sz="4" w:space="0" w:color="auto"/>
              <w:left w:val="single" w:sz="4" w:space="0" w:color="auto"/>
              <w:bottom w:val="nil"/>
              <w:right w:val="single" w:sz="4" w:space="0" w:color="auto"/>
            </w:tcBorders>
          </w:tcPr>
          <w:p w14:paraId="59521FFE" w14:textId="519EA9E3"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11</w:t>
            </w:r>
            <w:r w:rsidR="00D53E49">
              <w:rPr>
                <w:rFonts w:asciiTheme="majorHAnsi" w:hAnsiTheme="majorHAnsi"/>
                <w:b/>
                <w:i/>
                <w:sz w:val="16"/>
                <w:szCs w:val="16"/>
                <w:lang w:val="ro-RO"/>
              </w:rPr>
              <w:t>.</w:t>
            </w:r>
          </w:p>
        </w:tc>
        <w:tc>
          <w:tcPr>
            <w:tcW w:w="6299" w:type="dxa"/>
            <w:tcBorders>
              <w:top w:val="single" w:sz="4" w:space="0" w:color="auto"/>
              <w:left w:val="single" w:sz="4" w:space="0" w:color="auto"/>
              <w:bottom w:val="nil"/>
              <w:right w:val="single" w:sz="4" w:space="0" w:color="auto"/>
            </w:tcBorders>
          </w:tcPr>
          <w:p w14:paraId="3EA2325C" w14:textId="77777777" w:rsidR="007002B9" w:rsidRPr="00DA6404" w:rsidRDefault="007002B9" w:rsidP="000E245A">
            <w:pPr>
              <w:jc w:val="center"/>
              <w:rPr>
                <w:rFonts w:asciiTheme="majorHAnsi" w:hAnsiTheme="majorHAnsi"/>
                <w:sz w:val="16"/>
                <w:szCs w:val="16"/>
                <w:lang w:val="ro-RO"/>
              </w:rPr>
            </w:pPr>
            <w:r w:rsidRPr="00DA6404">
              <w:rPr>
                <w:rFonts w:asciiTheme="majorHAnsi" w:hAnsiTheme="majorHAnsi"/>
                <w:sz w:val="16"/>
                <w:szCs w:val="16"/>
                <w:lang w:val="ro-RO"/>
              </w:rPr>
              <w:t>Proiectul de Investiții și Servicii Rurale, faza I ( RISP I)</w:t>
            </w:r>
          </w:p>
        </w:tc>
        <w:tc>
          <w:tcPr>
            <w:tcW w:w="1228" w:type="dxa"/>
            <w:tcBorders>
              <w:top w:val="single" w:sz="4" w:space="0" w:color="auto"/>
              <w:left w:val="single" w:sz="4" w:space="0" w:color="auto"/>
              <w:bottom w:val="single" w:sz="4" w:space="0" w:color="auto"/>
              <w:right w:val="single" w:sz="4" w:space="0" w:color="auto"/>
            </w:tcBorders>
          </w:tcPr>
          <w:p w14:paraId="6F72BA27" w14:textId="78C63224" w:rsidR="007002B9" w:rsidRPr="00DA6404" w:rsidRDefault="002D0D0D" w:rsidP="000E245A">
            <w:pPr>
              <w:rPr>
                <w:rFonts w:asciiTheme="majorHAnsi" w:hAnsiTheme="majorHAnsi"/>
                <w:i/>
                <w:sz w:val="16"/>
                <w:szCs w:val="16"/>
                <w:lang w:val="ro-RO"/>
              </w:rPr>
            </w:pPr>
            <w:proofErr w:type="spellStart"/>
            <w:r>
              <w:rPr>
                <w:rFonts w:asciiTheme="majorHAnsi" w:hAnsiTheme="majorHAnsi"/>
                <w:i/>
                <w:sz w:val="16"/>
                <w:szCs w:val="16"/>
                <w:lang w:val="ro-RO"/>
              </w:rPr>
              <w:t>mil.MDL</w:t>
            </w:r>
            <w:proofErr w:type="spellEnd"/>
          </w:p>
        </w:tc>
        <w:tc>
          <w:tcPr>
            <w:tcW w:w="1182" w:type="dxa"/>
          </w:tcPr>
          <w:p w14:paraId="1F5C55FE"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39,2</w:t>
            </w:r>
          </w:p>
        </w:tc>
      </w:tr>
      <w:tr w:rsidR="007002B9" w:rsidRPr="00DA6404" w14:paraId="4BFBB46B" w14:textId="77777777" w:rsidTr="000E245A">
        <w:tc>
          <w:tcPr>
            <w:tcW w:w="500" w:type="dxa"/>
            <w:tcBorders>
              <w:top w:val="nil"/>
              <w:left w:val="single" w:sz="4" w:space="0" w:color="auto"/>
              <w:bottom w:val="single" w:sz="4" w:space="0" w:color="auto"/>
              <w:right w:val="single" w:sz="4" w:space="0" w:color="auto"/>
            </w:tcBorders>
          </w:tcPr>
          <w:p w14:paraId="3CFF9213" w14:textId="77777777" w:rsidR="007002B9" w:rsidRPr="00DA6404" w:rsidRDefault="007002B9" w:rsidP="000E245A">
            <w:pPr>
              <w:rPr>
                <w:rFonts w:asciiTheme="majorHAnsi" w:hAnsiTheme="majorHAnsi"/>
                <w:b/>
                <w:i/>
                <w:sz w:val="16"/>
                <w:szCs w:val="16"/>
                <w:lang w:val="ro-RO"/>
              </w:rPr>
            </w:pPr>
          </w:p>
        </w:tc>
        <w:tc>
          <w:tcPr>
            <w:tcW w:w="6299" w:type="dxa"/>
            <w:tcBorders>
              <w:top w:val="nil"/>
              <w:left w:val="single" w:sz="4" w:space="0" w:color="auto"/>
              <w:bottom w:val="single" w:sz="4" w:space="0" w:color="auto"/>
              <w:right w:val="single" w:sz="4" w:space="0" w:color="auto"/>
            </w:tcBorders>
          </w:tcPr>
          <w:p w14:paraId="3393BA32" w14:textId="77777777" w:rsidR="007002B9" w:rsidRPr="00DA6404" w:rsidRDefault="007002B9" w:rsidP="000E245A">
            <w:pPr>
              <w:jc w:val="center"/>
              <w:rPr>
                <w:rFonts w:asciiTheme="majorHAnsi" w:hAnsiTheme="majorHAnsi"/>
                <w:sz w:val="16"/>
                <w:szCs w:val="16"/>
                <w:lang w:val="ro-RO"/>
              </w:rPr>
            </w:pPr>
          </w:p>
        </w:tc>
        <w:tc>
          <w:tcPr>
            <w:tcW w:w="1228" w:type="dxa"/>
            <w:tcBorders>
              <w:left w:val="single" w:sz="4" w:space="0" w:color="auto"/>
            </w:tcBorders>
          </w:tcPr>
          <w:p w14:paraId="455ADB18" w14:textId="77777777" w:rsidR="007002B9" w:rsidRPr="00DA6404" w:rsidRDefault="007002B9" w:rsidP="000E245A">
            <w:pPr>
              <w:rPr>
                <w:rFonts w:asciiTheme="majorHAnsi" w:hAnsiTheme="majorHAnsi"/>
                <w:i/>
                <w:sz w:val="16"/>
                <w:szCs w:val="16"/>
                <w:lang w:val="ro-RO"/>
              </w:rPr>
            </w:pPr>
            <w:proofErr w:type="spellStart"/>
            <w:r w:rsidRPr="00DA6404">
              <w:rPr>
                <w:rFonts w:asciiTheme="majorHAnsi" w:hAnsiTheme="majorHAnsi"/>
                <w:i/>
                <w:sz w:val="16"/>
                <w:szCs w:val="16"/>
                <w:lang w:val="ro-RO"/>
              </w:rPr>
              <w:t>mil.euro</w:t>
            </w:r>
            <w:proofErr w:type="spellEnd"/>
          </w:p>
        </w:tc>
        <w:tc>
          <w:tcPr>
            <w:tcW w:w="1182" w:type="dxa"/>
          </w:tcPr>
          <w:p w14:paraId="4993F3C5"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0,5</w:t>
            </w:r>
          </w:p>
        </w:tc>
      </w:tr>
      <w:tr w:rsidR="007002B9" w:rsidRPr="00DA6404" w14:paraId="68EC42CA" w14:textId="77777777" w:rsidTr="000E245A">
        <w:tc>
          <w:tcPr>
            <w:tcW w:w="500" w:type="dxa"/>
            <w:tcBorders>
              <w:top w:val="single" w:sz="4" w:space="0" w:color="auto"/>
            </w:tcBorders>
          </w:tcPr>
          <w:p w14:paraId="12453D46" w14:textId="45BBEF5F"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12</w:t>
            </w:r>
            <w:r w:rsidR="00D53E49">
              <w:rPr>
                <w:rFonts w:asciiTheme="majorHAnsi" w:hAnsiTheme="majorHAnsi"/>
                <w:b/>
                <w:i/>
                <w:sz w:val="16"/>
                <w:szCs w:val="16"/>
                <w:lang w:val="ro-RO"/>
              </w:rPr>
              <w:t>.</w:t>
            </w:r>
          </w:p>
        </w:tc>
        <w:tc>
          <w:tcPr>
            <w:tcW w:w="6299" w:type="dxa"/>
            <w:tcBorders>
              <w:top w:val="single" w:sz="4" w:space="0" w:color="auto"/>
            </w:tcBorders>
          </w:tcPr>
          <w:p w14:paraId="054C5617" w14:textId="77777777" w:rsidR="007002B9" w:rsidRPr="00DA6404" w:rsidRDefault="007002B9" w:rsidP="000E245A">
            <w:pPr>
              <w:jc w:val="center"/>
              <w:rPr>
                <w:rFonts w:asciiTheme="majorHAnsi" w:hAnsiTheme="majorHAnsi"/>
                <w:sz w:val="16"/>
                <w:szCs w:val="16"/>
                <w:lang w:val="ro-RO"/>
              </w:rPr>
            </w:pPr>
            <w:r w:rsidRPr="00DA6404">
              <w:rPr>
                <w:rFonts w:asciiTheme="majorHAnsi" w:hAnsiTheme="majorHAnsi"/>
                <w:sz w:val="16"/>
                <w:szCs w:val="16"/>
                <w:lang w:val="ro-RO"/>
              </w:rPr>
              <w:t>Proiectul de Investiții și Servicii Rurale, faza II ( RISP II)</w:t>
            </w:r>
          </w:p>
        </w:tc>
        <w:tc>
          <w:tcPr>
            <w:tcW w:w="1228" w:type="dxa"/>
            <w:tcBorders>
              <w:top w:val="single" w:sz="4" w:space="0" w:color="auto"/>
              <w:left w:val="single" w:sz="4" w:space="0" w:color="auto"/>
              <w:bottom w:val="single" w:sz="4" w:space="0" w:color="auto"/>
              <w:right w:val="single" w:sz="4" w:space="0" w:color="auto"/>
            </w:tcBorders>
          </w:tcPr>
          <w:p w14:paraId="5C8F518C" w14:textId="1FD89414" w:rsidR="007002B9" w:rsidRPr="00DA6404" w:rsidRDefault="002D0D0D" w:rsidP="000E245A">
            <w:pPr>
              <w:rPr>
                <w:rFonts w:asciiTheme="majorHAnsi" w:hAnsiTheme="majorHAnsi"/>
                <w:i/>
                <w:sz w:val="16"/>
                <w:szCs w:val="16"/>
                <w:lang w:val="ro-RO"/>
              </w:rPr>
            </w:pPr>
            <w:proofErr w:type="spellStart"/>
            <w:r>
              <w:rPr>
                <w:rFonts w:asciiTheme="majorHAnsi" w:hAnsiTheme="majorHAnsi"/>
                <w:i/>
                <w:sz w:val="16"/>
                <w:szCs w:val="16"/>
                <w:lang w:val="ro-RO"/>
              </w:rPr>
              <w:t>mil.MDL</w:t>
            </w:r>
            <w:proofErr w:type="spellEnd"/>
          </w:p>
        </w:tc>
        <w:tc>
          <w:tcPr>
            <w:tcW w:w="1182" w:type="dxa"/>
          </w:tcPr>
          <w:p w14:paraId="0138539C"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5,4</w:t>
            </w:r>
          </w:p>
        </w:tc>
      </w:tr>
      <w:tr w:rsidR="007002B9" w:rsidRPr="00DA6404" w14:paraId="26B01689" w14:textId="77777777" w:rsidTr="000E245A">
        <w:tc>
          <w:tcPr>
            <w:tcW w:w="500" w:type="dxa"/>
            <w:tcBorders>
              <w:bottom w:val="single" w:sz="4" w:space="0" w:color="auto"/>
            </w:tcBorders>
          </w:tcPr>
          <w:p w14:paraId="4ACB2549" w14:textId="77777777" w:rsidR="007002B9" w:rsidRPr="00DA6404" w:rsidRDefault="007002B9" w:rsidP="000E245A">
            <w:pPr>
              <w:rPr>
                <w:rFonts w:asciiTheme="majorHAnsi" w:hAnsiTheme="majorHAnsi"/>
                <w:b/>
                <w:i/>
                <w:sz w:val="16"/>
                <w:szCs w:val="16"/>
                <w:lang w:val="ro-RO"/>
              </w:rPr>
            </w:pPr>
          </w:p>
        </w:tc>
        <w:tc>
          <w:tcPr>
            <w:tcW w:w="6299" w:type="dxa"/>
            <w:tcBorders>
              <w:bottom w:val="single" w:sz="4" w:space="0" w:color="auto"/>
            </w:tcBorders>
          </w:tcPr>
          <w:p w14:paraId="6E624805" w14:textId="77777777" w:rsidR="007002B9" w:rsidRPr="00DA6404" w:rsidRDefault="007002B9" w:rsidP="000E245A">
            <w:pPr>
              <w:jc w:val="center"/>
              <w:rPr>
                <w:rFonts w:asciiTheme="majorHAnsi" w:hAnsiTheme="majorHAnsi"/>
                <w:sz w:val="16"/>
                <w:szCs w:val="16"/>
                <w:lang w:val="ro-RO"/>
              </w:rPr>
            </w:pPr>
          </w:p>
        </w:tc>
        <w:tc>
          <w:tcPr>
            <w:tcW w:w="1228" w:type="dxa"/>
          </w:tcPr>
          <w:p w14:paraId="4B71D43D" w14:textId="77777777" w:rsidR="007002B9" w:rsidRPr="00DA6404" w:rsidRDefault="007002B9" w:rsidP="000E245A">
            <w:pPr>
              <w:rPr>
                <w:rFonts w:asciiTheme="majorHAnsi" w:hAnsiTheme="majorHAnsi"/>
                <w:i/>
                <w:sz w:val="16"/>
                <w:szCs w:val="16"/>
                <w:lang w:val="ro-RO"/>
              </w:rPr>
            </w:pPr>
            <w:proofErr w:type="spellStart"/>
            <w:r w:rsidRPr="00DA6404">
              <w:rPr>
                <w:rFonts w:asciiTheme="majorHAnsi" w:hAnsiTheme="majorHAnsi"/>
                <w:i/>
                <w:sz w:val="16"/>
                <w:szCs w:val="16"/>
                <w:lang w:val="ro-RO"/>
              </w:rPr>
              <w:t>mil.euro</w:t>
            </w:r>
            <w:proofErr w:type="spellEnd"/>
          </w:p>
        </w:tc>
        <w:tc>
          <w:tcPr>
            <w:tcW w:w="1182" w:type="dxa"/>
          </w:tcPr>
          <w:p w14:paraId="68E7FBB4"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0,1</w:t>
            </w:r>
          </w:p>
        </w:tc>
      </w:tr>
      <w:tr w:rsidR="007002B9" w:rsidRPr="00DA6404" w14:paraId="134C2D46" w14:textId="77777777" w:rsidTr="000E245A">
        <w:tc>
          <w:tcPr>
            <w:tcW w:w="500" w:type="dxa"/>
            <w:tcBorders>
              <w:top w:val="single" w:sz="4" w:space="0" w:color="auto"/>
              <w:left w:val="single" w:sz="4" w:space="0" w:color="auto"/>
              <w:bottom w:val="nil"/>
              <w:right w:val="single" w:sz="4" w:space="0" w:color="auto"/>
            </w:tcBorders>
          </w:tcPr>
          <w:p w14:paraId="4C5D600F" w14:textId="63EEA7FB"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13</w:t>
            </w:r>
            <w:r w:rsidR="00D53E49">
              <w:rPr>
                <w:rFonts w:asciiTheme="majorHAnsi" w:hAnsiTheme="majorHAnsi"/>
                <w:b/>
                <w:i/>
                <w:sz w:val="16"/>
                <w:szCs w:val="16"/>
                <w:lang w:val="ro-RO"/>
              </w:rPr>
              <w:t>.</w:t>
            </w:r>
          </w:p>
        </w:tc>
        <w:tc>
          <w:tcPr>
            <w:tcW w:w="6299" w:type="dxa"/>
            <w:tcBorders>
              <w:top w:val="single" w:sz="4" w:space="0" w:color="auto"/>
              <w:left w:val="single" w:sz="4" w:space="0" w:color="auto"/>
              <w:bottom w:val="nil"/>
              <w:right w:val="single" w:sz="4" w:space="0" w:color="auto"/>
            </w:tcBorders>
          </w:tcPr>
          <w:p w14:paraId="353AF492" w14:textId="77777777" w:rsidR="007002B9" w:rsidRPr="00DA6404" w:rsidRDefault="007002B9" w:rsidP="000E245A">
            <w:pPr>
              <w:jc w:val="center"/>
              <w:rPr>
                <w:rFonts w:asciiTheme="majorHAnsi" w:hAnsiTheme="majorHAnsi"/>
                <w:sz w:val="16"/>
                <w:szCs w:val="16"/>
                <w:lang w:val="ro-RO"/>
              </w:rPr>
            </w:pPr>
            <w:r w:rsidRPr="00DA6404">
              <w:rPr>
                <w:rFonts w:asciiTheme="majorHAnsi" w:hAnsiTheme="majorHAnsi"/>
                <w:sz w:val="16"/>
                <w:szCs w:val="16"/>
                <w:lang w:val="ro-RO"/>
              </w:rPr>
              <w:t>Proiectul „Crearea stațiilor de deservire agrotehnică” (KFW)</w:t>
            </w:r>
          </w:p>
        </w:tc>
        <w:tc>
          <w:tcPr>
            <w:tcW w:w="1228" w:type="dxa"/>
            <w:tcBorders>
              <w:top w:val="single" w:sz="4" w:space="0" w:color="auto"/>
              <w:left w:val="single" w:sz="4" w:space="0" w:color="auto"/>
              <w:bottom w:val="single" w:sz="4" w:space="0" w:color="auto"/>
              <w:right w:val="single" w:sz="4" w:space="0" w:color="auto"/>
            </w:tcBorders>
          </w:tcPr>
          <w:p w14:paraId="31C545B4" w14:textId="194829CA" w:rsidR="007002B9" w:rsidRPr="00DA6404" w:rsidRDefault="002D0D0D" w:rsidP="000E245A">
            <w:pPr>
              <w:rPr>
                <w:rFonts w:asciiTheme="majorHAnsi" w:hAnsiTheme="majorHAnsi"/>
                <w:i/>
                <w:sz w:val="16"/>
                <w:szCs w:val="16"/>
                <w:lang w:val="ro-RO"/>
              </w:rPr>
            </w:pPr>
            <w:proofErr w:type="spellStart"/>
            <w:r>
              <w:rPr>
                <w:rFonts w:asciiTheme="majorHAnsi" w:hAnsiTheme="majorHAnsi"/>
                <w:i/>
                <w:sz w:val="16"/>
                <w:szCs w:val="16"/>
                <w:lang w:val="ro-RO"/>
              </w:rPr>
              <w:t>mil.MDL</w:t>
            </w:r>
            <w:proofErr w:type="spellEnd"/>
          </w:p>
        </w:tc>
        <w:tc>
          <w:tcPr>
            <w:tcW w:w="1182" w:type="dxa"/>
          </w:tcPr>
          <w:p w14:paraId="780FDADC"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4,5</w:t>
            </w:r>
          </w:p>
        </w:tc>
      </w:tr>
      <w:tr w:rsidR="007002B9" w:rsidRPr="00DA6404" w14:paraId="52F64611" w14:textId="77777777" w:rsidTr="000E245A">
        <w:tc>
          <w:tcPr>
            <w:tcW w:w="500" w:type="dxa"/>
            <w:tcBorders>
              <w:top w:val="nil"/>
              <w:left w:val="single" w:sz="4" w:space="0" w:color="auto"/>
              <w:bottom w:val="single" w:sz="4" w:space="0" w:color="auto"/>
              <w:right w:val="single" w:sz="4" w:space="0" w:color="auto"/>
            </w:tcBorders>
          </w:tcPr>
          <w:p w14:paraId="6C7199F0" w14:textId="77777777" w:rsidR="007002B9" w:rsidRPr="00DA6404" w:rsidRDefault="007002B9" w:rsidP="000E245A">
            <w:pPr>
              <w:rPr>
                <w:rFonts w:asciiTheme="majorHAnsi" w:hAnsiTheme="majorHAnsi"/>
                <w:b/>
                <w:i/>
                <w:sz w:val="16"/>
                <w:szCs w:val="16"/>
                <w:lang w:val="ro-RO"/>
              </w:rPr>
            </w:pPr>
          </w:p>
        </w:tc>
        <w:tc>
          <w:tcPr>
            <w:tcW w:w="6299" w:type="dxa"/>
            <w:tcBorders>
              <w:top w:val="nil"/>
              <w:left w:val="single" w:sz="4" w:space="0" w:color="auto"/>
              <w:bottom w:val="single" w:sz="4" w:space="0" w:color="auto"/>
              <w:right w:val="single" w:sz="4" w:space="0" w:color="auto"/>
            </w:tcBorders>
          </w:tcPr>
          <w:p w14:paraId="5D2B7F47" w14:textId="77777777" w:rsidR="007002B9" w:rsidRPr="00DA6404" w:rsidRDefault="007002B9" w:rsidP="000E245A">
            <w:pPr>
              <w:jc w:val="center"/>
              <w:rPr>
                <w:rFonts w:asciiTheme="majorHAnsi" w:hAnsiTheme="majorHAnsi"/>
                <w:sz w:val="16"/>
                <w:szCs w:val="16"/>
                <w:lang w:val="ro-RO"/>
              </w:rPr>
            </w:pPr>
          </w:p>
        </w:tc>
        <w:tc>
          <w:tcPr>
            <w:tcW w:w="1228" w:type="dxa"/>
            <w:tcBorders>
              <w:left w:val="single" w:sz="4" w:space="0" w:color="auto"/>
            </w:tcBorders>
          </w:tcPr>
          <w:p w14:paraId="68BEA0A1" w14:textId="77777777" w:rsidR="007002B9" w:rsidRPr="00DA6404" w:rsidRDefault="007002B9" w:rsidP="000E245A">
            <w:pPr>
              <w:rPr>
                <w:rFonts w:asciiTheme="majorHAnsi" w:hAnsiTheme="majorHAnsi"/>
                <w:i/>
                <w:sz w:val="16"/>
                <w:szCs w:val="16"/>
                <w:lang w:val="ro-RO"/>
              </w:rPr>
            </w:pPr>
            <w:proofErr w:type="spellStart"/>
            <w:r w:rsidRPr="00DA6404">
              <w:rPr>
                <w:rFonts w:asciiTheme="majorHAnsi" w:hAnsiTheme="majorHAnsi"/>
                <w:i/>
                <w:sz w:val="16"/>
                <w:szCs w:val="16"/>
                <w:lang w:val="ro-RO"/>
              </w:rPr>
              <w:t>mil.euro</w:t>
            </w:r>
            <w:proofErr w:type="spellEnd"/>
          </w:p>
        </w:tc>
        <w:tc>
          <w:tcPr>
            <w:tcW w:w="1182" w:type="dxa"/>
          </w:tcPr>
          <w:p w14:paraId="74253885"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0,6</w:t>
            </w:r>
          </w:p>
        </w:tc>
      </w:tr>
      <w:tr w:rsidR="007002B9" w:rsidRPr="00DA6404" w14:paraId="0EC90FF0" w14:textId="77777777" w:rsidTr="000E245A">
        <w:tc>
          <w:tcPr>
            <w:tcW w:w="500" w:type="dxa"/>
            <w:vMerge w:val="restart"/>
            <w:tcBorders>
              <w:top w:val="single" w:sz="4" w:space="0" w:color="auto"/>
              <w:left w:val="single" w:sz="4" w:space="0" w:color="auto"/>
              <w:bottom w:val="single" w:sz="4" w:space="0" w:color="auto"/>
              <w:right w:val="single" w:sz="4" w:space="0" w:color="auto"/>
            </w:tcBorders>
          </w:tcPr>
          <w:p w14:paraId="4CEAEED7"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14</w:t>
            </w:r>
          </w:p>
        </w:tc>
        <w:tc>
          <w:tcPr>
            <w:tcW w:w="6299" w:type="dxa"/>
            <w:tcBorders>
              <w:top w:val="single" w:sz="4" w:space="0" w:color="auto"/>
              <w:left w:val="single" w:sz="4" w:space="0" w:color="auto"/>
              <w:bottom w:val="nil"/>
              <w:right w:val="single" w:sz="4" w:space="0" w:color="auto"/>
            </w:tcBorders>
          </w:tcPr>
          <w:p w14:paraId="6BD980D3" w14:textId="61D62E4E" w:rsidR="007002B9" w:rsidRPr="00DA6404" w:rsidRDefault="007002B9" w:rsidP="007002B9">
            <w:pPr>
              <w:jc w:val="center"/>
              <w:rPr>
                <w:rFonts w:asciiTheme="majorHAnsi" w:hAnsiTheme="majorHAnsi"/>
                <w:sz w:val="16"/>
                <w:szCs w:val="16"/>
                <w:lang w:val="ro-RO"/>
              </w:rPr>
            </w:pPr>
            <w:r w:rsidRPr="00DA6404">
              <w:rPr>
                <w:rFonts w:asciiTheme="majorHAnsi" w:hAnsiTheme="majorHAnsi"/>
                <w:sz w:val="16"/>
                <w:szCs w:val="16"/>
                <w:lang w:val="ro-RO"/>
              </w:rPr>
              <w:t>Proiectul Filie</w:t>
            </w:r>
            <w:r>
              <w:rPr>
                <w:rFonts w:asciiTheme="majorHAnsi" w:hAnsiTheme="majorHAnsi"/>
                <w:sz w:val="16"/>
                <w:szCs w:val="16"/>
                <w:lang w:val="ro-RO"/>
              </w:rPr>
              <w:t>ra Vinului</w:t>
            </w:r>
          </w:p>
        </w:tc>
        <w:tc>
          <w:tcPr>
            <w:tcW w:w="1228" w:type="dxa"/>
            <w:tcBorders>
              <w:top w:val="single" w:sz="4" w:space="0" w:color="auto"/>
              <w:left w:val="single" w:sz="4" w:space="0" w:color="auto"/>
              <w:bottom w:val="single" w:sz="4" w:space="0" w:color="auto"/>
              <w:right w:val="single" w:sz="4" w:space="0" w:color="auto"/>
            </w:tcBorders>
          </w:tcPr>
          <w:p w14:paraId="12300CE0" w14:textId="1355DDC6" w:rsidR="007002B9" w:rsidRPr="00DA6404" w:rsidRDefault="002D0D0D" w:rsidP="000E245A">
            <w:pPr>
              <w:rPr>
                <w:rFonts w:asciiTheme="majorHAnsi" w:hAnsiTheme="majorHAnsi"/>
                <w:i/>
                <w:sz w:val="16"/>
                <w:szCs w:val="16"/>
                <w:lang w:val="ro-RO"/>
              </w:rPr>
            </w:pPr>
            <w:proofErr w:type="spellStart"/>
            <w:r>
              <w:rPr>
                <w:rFonts w:asciiTheme="majorHAnsi" w:hAnsiTheme="majorHAnsi"/>
                <w:i/>
                <w:sz w:val="16"/>
                <w:szCs w:val="16"/>
                <w:lang w:val="ro-RO"/>
              </w:rPr>
              <w:t>mil.MDL</w:t>
            </w:r>
            <w:proofErr w:type="spellEnd"/>
          </w:p>
        </w:tc>
        <w:tc>
          <w:tcPr>
            <w:tcW w:w="1182" w:type="dxa"/>
          </w:tcPr>
          <w:p w14:paraId="586AA858"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8,5</w:t>
            </w:r>
          </w:p>
        </w:tc>
      </w:tr>
      <w:tr w:rsidR="007002B9" w:rsidRPr="00DA6404" w14:paraId="4E4DCCDA" w14:textId="77777777" w:rsidTr="000E245A">
        <w:tc>
          <w:tcPr>
            <w:tcW w:w="500" w:type="dxa"/>
            <w:vMerge/>
            <w:tcBorders>
              <w:top w:val="nil"/>
              <w:left w:val="single" w:sz="4" w:space="0" w:color="auto"/>
              <w:bottom w:val="single" w:sz="4" w:space="0" w:color="auto"/>
              <w:right w:val="single" w:sz="4" w:space="0" w:color="auto"/>
            </w:tcBorders>
          </w:tcPr>
          <w:p w14:paraId="5275271A" w14:textId="77777777" w:rsidR="007002B9" w:rsidRPr="00DA6404" w:rsidRDefault="007002B9" w:rsidP="000E245A">
            <w:pPr>
              <w:rPr>
                <w:rFonts w:asciiTheme="majorHAnsi" w:hAnsiTheme="majorHAnsi"/>
                <w:b/>
                <w:i/>
                <w:sz w:val="16"/>
                <w:szCs w:val="16"/>
                <w:lang w:val="ro-RO"/>
              </w:rPr>
            </w:pPr>
          </w:p>
        </w:tc>
        <w:tc>
          <w:tcPr>
            <w:tcW w:w="6299" w:type="dxa"/>
            <w:tcBorders>
              <w:top w:val="nil"/>
              <w:left w:val="single" w:sz="4" w:space="0" w:color="auto"/>
              <w:bottom w:val="single" w:sz="4" w:space="0" w:color="auto"/>
              <w:right w:val="single" w:sz="4" w:space="0" w:color="auto"/>
            </w:tcBorders>
          </w:tcPr>
          <w:p w14:paraId="736A0422" w14:textId="77777777" w:rsidR="007002B9" w:rsidRPr="00DA6404" w:rsidRDefault="007002B9" w:rsidP="000E245A">
            <w:pPr>
              <w:jc w:val="center"/>
              <w:rPr>
                <w:rFonts w:asciiTheme="majorHAnsi" w:hAnsiTheme="majorHAnsi"/>
                <w:sz w:val="16"/>
                <w:szCs w:val="16"/>
                <w:lang w:val="ro-RO"/>
              </w:rPr>
            </w:pPr>
          </w:p>
        </w:tc>
        <w:tc>
          <w:tcPr>
            <w:tcW w:w="1228" w:type="dxa"/>
            <w:tcBorders>
              <w:left w:val="single" w:sz="4" w:space="0" w:color="auto"/>
            </w:tcBorders>
          </w:tcPr>
          <w:p w14:paraId="452D7793" w14:textId="77777777" w:rsidR="007002B9" w:rsidRPr="00DA6404" w:rsidRDefault="007002B9" w:rsidP="000E245A">
            <w:pPr>
              <w:rPr>
                <w:rFonts w:asciiTheme="majorHAnsi" w:hAnsiTheme="majorHAnsi"/>
                <w:i/>
                <w:sz w:val="16"/>
                <w:szCs w:val="16"/>
                <w:lang w:val="ro-RO"/>
              </w:rPr>
            </w:pPr>
            <w:proofErr w:type="spellStart"/>
            <w:r w:rsidRPr="00DA6404">
              <w:rPr>
                <w:rFonts w:asciiTheme="majorHAnsi" w:hAnsiTheme="majorHAnsi"/>
                <w:i/>
                <w:sz w:val="16"/>
                <w:szCs w:val="16"/>
                <w:lang w:val="ro-RO"/>
              </w:rPr>
              <w:t>mil.euro</w:t>
            </w:r>
            <w:proofErr w:type="spellEnd"/>
          </w:p>
        </w:tc>
        <w:tc>
          <w:tcPr>
            <w:tcW w:w="1182" w:type="dxa"/>
          </w:tcPr>
          <w:p w14:paraId="7C51198A"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0,6</w:t>
            </w:r>
          </w:p>
        </w:tc>
      </w:tr>
      <w:tr w:rsidR="007002B9" w:rsidRPr="00DA6404" w14:paraId="093DD37B" w14:textId="77777777" w:rsidTr="000E245A">
        <w:tc>
          <w:tcPr>
            <w:tcW w:w="500" w:type="dxa"/>
            <w:tcBorders>
              <w:top w:val="single" w:sz="4" w:space="0" w:color="auto"/>
              <w:bottom w:val="nil"/>
            </w:tcBorders>
          </w:tcPr>
          <w:p w14:paraId="19B89BA4" w14:textId="02AFD2E4"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15</w:t>
            </w:r>
            <w:r w:rsidR="00D53E49">
              <w:rPr>
                <w:rFonts w:asciiTheme="majorHAnsi" w:hAnsiTheme="majorHAnsi"/>
                <w:b/>
                <w:i/>
                <w:sz w:val="16"/>
                <w:szCs w:val="16"/>
                <w:lang w:val="ro-RO"/>
              </w:rPr>
              <w:t>.</w:t>
            </w:r>
          </w:p>
        </w:tc>
        <w:tc>
          <w:tcPr>
            <w:tcW w:w="6299" w:type="dxa"/>
            <w:tcBorders>
              <w:top w:val="single" w:sz="4" w:space="0" w:color="auto"/>
              <w:bottom w:val="nil"/>
            </w:tcBorders>
          </w:tcPr>
          <w:p w14:paraId="5A37B140" w14:textId="77777777" w:rsidR="007002B9" w:rsidRPr="00DA6404" w:rsidRDefault="007002B9" w:rsidP="000E245A">
            <w:pPr>
              <w:jc w:val="center"/>
              <w:rPr>
                <w:rFonts w:asciiTheme="majorHAnsi" w:hAnsiTheme="majorHAnsi"/>
                <w:sz w:val="16"/>
                <w:szCs w:val="16"/>
                <w:lang w:val="ro-RO"/>
              </w:rPr>
            </w:pPr>
            <w:r w:rsidRPr="00DA6404">
              <w:rPr>
                <w:rFonts w:asciiTheme="majorHAnsi" w:hAnsiTheme="majorHAnsi"/>
                <w:sz w:val="16"/>
                <w:szCs w:val="16"/>
                <w:lang w:val="ro-RO"/>
              </w:rPr>
              <w:t>Proiectul de Ameliorare a Competitivității (PAC 1)</w:t>
            </w:r>
          </w:p>
        </w:tc>
        <w:tc>
          <w:tcPr>
            <w:tcW w:w="1228" w:type="dxa"/>
          </w:tcPr>
          <w:p w14:paraId="2597D9D0" w14:textId="77777777" w:rsidR="007002B9" w:rsidRPr="00DA6404" w:rsidRDefault="007002B9" w:rsidP="000E245A">
            <w:pPr>
              <w:rPr>
                <w:rFonts w:asciiTheme="majorHAnsi" w:hAnsiTheme="majorHAnsi"/>
                <w:i/>
                <w:sz w:val="16"/>
                <w:szCs w:val="16"/>
                <w:lang w:val="ro-RO"/>
              </w:rPr>
            </w:pPr>
            <w:proofErr w:type="spellStart"/>
            <w:r w:rsidRPr="00DA6404">
              <w:rPr>
                <w:rFonts w:asciiTheme="majorHAnsi" w:hAnsiTheme="majorHAnsi"/>
                <w:i/>
                <w:sz w:val="16"/>
                <w:szCs w:val="16"/>
                <w:lang w:val="ro-RO"/>
              </w:rPr>
              <w:t>mil.MDL</w:t>
            </w:r>
            <w:proofErr w:type="spellEnd"/>
          </w:p>
        </w:tc>
        <w:tc>
          <w:tcPr>
            <w:tcW w:w="1182" w:type="dxa"/>
          </w:tcPr>
          <w:p w14:paraId="4D8BDA2D"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4,9</w:t>
            </w:r>
          </w:p>
        </w:tc>
      </w:tr>
      <w:tr w:rsidR="007002B9" w:rsidRPr="00DA6404" w14:paraId="7A33CBD6" w14:textId="77777777" w:rsidTr="000E245A">
        <w:tc>
          <w:tcPr>
            <w:tcW w:w="500" w:type="dxa"/>
            <w:tcBorders>
              <w:top w:val="nil"/>
              <w:bottom w:val="single" w:sz="4" w:space="0" w:color="auto"/>
            </w:tcBorders>
          </w:tcPr>
          <w:p w14:paraId="23E6D513" w14:textId="77777777" w:rsidR="007002B9" w:rsidRPr="00DA6404" w:rsidRDefault="007002B9" w:rsidP="000E245A">
            <w:pPr>
              <w:rPr>
                <w:rFonts w:asciiTheme="majorHAnsi" w:hAnsiTheme="majorHAnsi"/>
                <w:b/>
                <w:i/>
                <w:sz w:val="16"/>
                <w:szCs w:val="16"/>
                <w:lang w:val="ro-RO"/>
              </w:rPr>
            </w:pPr>
          </w:p>
        </w:tc>
        <w:tc>
          <w:tcPr>
            <w:tcW w:w="6299" w:type="dxa"/>
            <w:tcBorders>
              <w:top w:val="nil"/>
              <w:bottom w:val="single" w:sz="4" w:space="0" w:color="auto"/>
            </w:tcBorders>
          </w:tcPr>
          <w:p w14:paraId="69890700" w14:textId="77777777" w:rsidR="007002B9" w:rsidRPr="00DA6404" w:rsidRDefault="007002B9" w:rsidP="000E245A">
            <w:pPr>
              <w:jc w:val="center"/>
              <w:rPr>
                <w:rFonts w:asciiTheme="majorHAnsi" w:hAnsiTheme="majorHAnsi"/>
                <w:b/>
                <w:i/>
                <w:sz w:val="16"/>
                <w:szCs w:val="16"/>
                <w:lang w:val="ro-RO"/>
              </w:rPr>
            </w:pPr>
          </w:p>
        </w:tc>
        <w:tc>
          <w:tcPr>
            <w:tcW w:w="1228" w:type="dxa"/>
          </w:tcPr>
          <w:p w14:paraId="48DE87AE" w14:textId="77777777" w:rsidR="007002B9" w:rsidRPr="00DA6404" w:rsidRDefault="007002B9" w:rsidP="000E245A">
            <w:pPr>
              <w:rPr>
                <w:rFonts w:asciiTheme="majorHAnsi" w:hAnsiTheme="majorHAnsi"/>
                <w:i/>
                <w:sz w:val="16"/>
                <w:szCs w:val="16"/>
                <w:lang w:val="ro-RO"/>
              </w:rPr>
            </w:pPr>
            <w:proofErr w:type="spellStart"/>
            <w:r w:rsidRPr="00DA6404">
              <w:rPr>
                <w:rFonts w:asciiTheme="majorHAnsi" w:hAnsiTheme="majorHAnsi"/>
                <w:i/>
                <w:sz w:val="16"/>
                <w:szCs w:val="16"/>
                <w:lang w:val="ro-RO"/>
              </w:rPr>
              <w:t>mil.euro</w:t>
            </w:r>
            <w:proofErr w:type="spellEnd"/>
          </w:p>
        </w:tc>
        <w:tc>
          <w:tcPr>
            <w:tcW w:w="1182" w:type="dxa"/>
          </w:tcPr>
          <w:p w14:paraId="1C0801A5"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1,3</w:t>
            </w:r>
          </w:p>
        </w:tc>
      </w:tr>
      <w:tr w:rsidR="007002B9" w:rsidRPr="00DA6404" w14:paraId="2A92357D" w14:textId="77777777" w:rsidTr="000E245A">
        <w:tc>
          <w:tcPr>
            <w:tcW w:w="500" w:type="dxa"/>
            <w:tcBorders>
              <w:bottom w:val="nil"/>
            </w:tcBorders>
          </w:tcPr>
          <w:p w14:paraId="301FDA16" w14:textId="0808E9A6"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16</w:t>
            </w:r>
            <w:r w:rsidR="00D53E49">
              <w:rPr>
                <w:rFonts w:asciiTheme="majorHAnsi" w:hAnsiTheme="majorHAnsi"/>
                <w:b/>
                <w:i/>
                <w:sz w:val="16"/>
                <w:szCs w:val="16"/>
                <w:lang w:val="ro-RO"/>
              </w:rPr>
              <w:t>.</w:t>
            </w:r>
          </w:p>
        </w:tc>
        <w:tc>
          <w:tcPr>
            <w:tcW w:w="6299" w:type="dxa"/>
            <w:tcBorders>
              <w:bottom w:val="nil"/>
            </w:tcBorders>
          </w:tcPr>
          <w:p w14:paraId="50FE55E2" w14:textId="77777777" w:rsidR="007002B9" w:rsidRPr="00DA6404" w:rsidRDefault="007002B9" w:rsidP="000E245A">
            <w:pPr>
              <w:jc w:val="center"/>
              <w:rPr>
                <w:rFonts w:asciiTheme="majorHAnsi" w:hAnsiTheme="majorHAnsi"/>
                <w:sz w:val="16"/>
                <w:szCs w:val="16"/>
                <w:lang w:val="ro-RO"/>
              </w:rPr>
            </w:pPr>
            <w:r w:rsidRPr="00DA6404">
              <w:rPr>
                <w:rFonts w:asciiTheme="majorHAnsi" w:hAnsiTheme="majorHAnsi"/>
                <w:sz w:val="16"/>
                <w:szCs w:val="16"/>
                <w:lang w:val="ro-RO"/>
              </w:rPr>
              <w:t>Proiectul de Ameliorare a Competitivității (PAC 2)</w:t>
            </w:r>
          </w:p>
        </w:tc>
        <w:tc>
          <w:tcPr>
            <w:tcW w:w="1228" w:type="dxa"/>
          </w:tcPr>
          <w:p w14:paraId="48319B6A" w14:textId="77777777" w:rsidR="007002B9" w:rsidRPr="00DA6404" w:rsidRDefault="007002B9" w:rsidP="000E245A">
            <w:pPr>
              <w:rPr>
                <w:rFonts w:asciiTheme="majorHAnsi" w:hAnsiTheme="majorHAnsi"/>
                <w:i/>
                <w:sz w:val="16"/>
                <w:szCs w:val="16"/>
                <w:lang w:val="ro-RO"/>
              </w:rPr>
            </w:pPr>
            <w:r w:rsidRPr="00DA6404">
              <w:rPr>
                <w:rFonts w:asciiTheme="majorHAnsi" w:hAnsiTheme="majorHAnsi"/>
                <w:i/>
                <w:sz w:val="16"/>
                <w:szCs w:val="16"/>
                <w:lang w:val="ro-RO"/>
              </w:rPr>
              <w:t>mil. euro</w:t>
            </w:r>
          </w:p>
        </w:tc>
        <w:tc>
          <w:tcPr>
            <w:tcW w:w="1182" w:type="dxa"/>
          </w:tcPr>
          <w:p w14:paraId="322402F5"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0,1</w:t>
            </w:r>
          </w:p>
        </w:tc>
      </w:tr>
      <w:tr w:rsidR="007002B9" w:rsidRPr="00DA6404" w14:paraId="52B962A3" w14:textId="77777777" w:rsidTr="000E245A">
        <w:tc>
          <w:tcPr>
            <w:tcW w:w="500" w:type="dxa"/>
            <w:tcBorders>
              <w:bottom w:val="nil"/>
            </w:tcBorders>
          </w:tcPr>
          <w:p w14:paraId="461AD700" w14:textId="77777777" w:rsidR="007002B9" w:rsidRPr="00DA6404" w:rsidRDefault="007002B9" w:rsidP="000E245A">
            <w:pPr>
              <w:rPr>
                <w:rFonts w:asciiTheme="majorHAnsi" w:hAnsiTheme="majorHAnsi"/>
                <w:b/>
                <w:i/>
                <w:sz w:val="16"/>
                <w:szCs w:val="16"/>
                <w:lang w:val="ro-RO"/>
              </w:rPr>
            </w:pPr>
          </w:p>
        </w:tc>
        <w:tc>
          <w:tcPr>
            <w:tcW w:w="6299" w:type="dxa"/>
            <w:tcBorders>
              <w:bottom w:val="nil"/>
            </w:tcBorders>
          </w:tcPr>
          <w:p w14:paraId="0EB6E5A2" w14:textId="77777777" w:rsidR="007002B9" w:rsidRPr="00DA6404" w:rsidRDefault="007002B9" w:rsidP="000E245A">
            <w:pPr>
              <w:jc w:val="center"/>
              <w:rPr>
                <w:rFonts w:asciiTheme="majorHAnsi" w:hAnsiTheme="majorHAnsi"/>
                <w:b/>
                <w:sz w:val="16"/>
                <w:szCs w:val="16"/>
                <w:lang w:val="ro-RO"/>
              </w:rPr>
            </w:pPr>
            <w:r w:rsidRPr="00DA6404">
              <w:rPr>
                <w:rFonts w:asciiTheme="majorHAnsi" w:hAnsiTheme="majorHAnsi"/>
                <w:b/>
                <w:sz w:val="16"/>
                <w:szCs w:val="16"/>
                <w:lang w:val="ro-RO"/>
              </w:rPr>
              <w:t>Total</w:t>
            </w:r>
          </w:p>
        </w:tc>
        <w:tc>
          <w:tcPr>
            <w:tcW w:w="1228" w:type="dxa"/>
          </w:tcPr>
          <w:p w14:paraId="19942808" w14:textId="3D2AED0B" w:rsidR="007002B9" w:rsidRPr="00DA6404" w:rsidRDefault="002D0D0D" w:rsidP="000E245A">
            <w:pPr>
              <w:rPr>
                <w:rFonts w:asciiTheme="majorHAnsi" w:hAnsiTheme="majorHAnsi"/>
                <w:i/>
                <w:sz w:val="16"/>
                <w:szCs w:val="16"/>
                <w:lang w:val="ro-RO"/>
              </w:rPr>
            </w:pPr>
            <w:proofErr w:type="spellStart"/>
            <w:r>
              <w:rPr>
                <w:rFonts w:asciiTheme="majorHAnsi" w:hAnsiTheme="majorHAnsi"/>
                <w:i/>
                <w:sz w:val="16"/>
                <w:szCs w:val="16"/>
                <w:lang w:val="ro-RO"/>
              </w:rPr>
              <w:t>mil.MDL</w:t>
            </w:r>
            <w:proofErr w:type="spellEnd"/>
          </w:p>
        </w:tc>
        <w:tc>
          <w:tcPr>
            <w:tcW w:w="1182" w:type="dxa"/>
          </w:tcPr>
          <w:p w14:paraId="63D08CE0"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157,9</w:t>
            </w:r>
          </w:p>
        </w:tc>
      </w:tr>
      <w:tr w:rsidR="007002B9" w:rsidRPr="00DA6404" w14:paraId="63CAAE6B" w14:textId="77777777" w:rsidTr="000E245A">
        <w:tc>
          <w:tcPr>
            <w:tcW w:w="500" w:type="dxa"/>
            <w:tcBorders>
              <w:top w:val="nil"/>
              <w:bottom w:val="nil"/>
            </w:tcBorders>
          </w:tcPr>
          <w:p w14:paraId="2D09EB52" w14:textId="77777777" w:rsidR="007002B9" w:rsidRPr="00DA6404" w:rsidRDefault="007002B9" w:rsidP="000E245A">
            <w:pPr>
              <w:rPr>
                <w:rFonts w:asciiTheme="majorHAnsi" w:hAnsiTheme="majorHAnsi"/>
                <w:b/>
                <w:i/>
                <w:sz w:val="16"/>
                <w:szCs w:val="16"/>
                <w:lang w:val="ro-RO"/>
              </w:rPr>
            </w:pPr>
          </w:p>
        </w:tc>
        <w:tc>
          <w:tcPr>
            <w:tcW w:w="6299" w:type="dxa"/>
            <w:tcBorders>
              <w:top w:val="nil"/>
              <w:bottom w:val="nil"/>
            </w:tcBorders>
          </w:tcPr>
          <w:p w14:paraId="7095760A" w14:textId="77777777" w:rsidR="007002B9" w:rsidRPr="00DA6404" w:rsidRDefault="007002B9" w:rsidP="000E245A">
            <w:pPr>
              <w:jc w:val="center"/>
              <w:rPr>
                <w:rFonts w:asciiTheme="majorHAnsi" w:hAnsiTheme="majorHAnsi"/>
                <w:b/>
                <w:i/>
                <w:sz w:val="16"/>
                <w:szCs w:val="16"/>
                <w:lang w:val="ro-RO"/>
              </w:rPr>
            </w:pPr>
          </w:p>
        </w:tc>
        <w:tc>
          <w:tcPr>
            <w:tcW w:w="1228" w:type="dxa"/>
          </w:tcPr>
          <w:p w14:paraId="30DE41E3" w14:textId="77777777" w:rsidR="007002B9" w:rsidRPr="00DA6404" w:rsidRDefault="007002B9" w:rsidP="000E245A">
            <w:pPr>
              <w:rPr>
                <w:rFonts w:asciiTheme="majorHAnsi" w:hAnsiTheme="majorHAnsi"/>
                <w:i/>
                <w:sz w:val="16"/>
                <w:szCs w:val="16"/>
                <w:lang w:val="ro-RO"/>
              </w:rPr>
            </w:pPr>
            <w:proofErr w:type="spellStart"/>
            <w:r w:rsidRPr="00DA6404">
              <w:rPr>
                <w:rFonts w:asciiTheme="majorHAnsi" w:hAnsiTheme="majorHAnsi"/>
                <w:i/>
                <w:sz w:val="16"/>
                <w:szCs w:val="16"/>
                <w:lang w:val="ro-RO"/>
              </w:rPr>
              <w:t>mil.dol.SUA</w:t>
            </w:r>
            <w:proofErr w:type="spellEnd"/>
          </w:p>
        </w:tc>
        <w:tc>
          <w:tcPr>
            <w:tcW w:w="1182" w:type="dxa"/>
          </w:tcPr>
          <w:p w14:paraId="59927CCD"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0,05</w:t>
            </w:r>
          </w:p>
        </w:tc>
      </w:tr>
      <w:tr w:rsidR="007002B9" w:rsidRPr="00DA6404" w14:paraId="447575F4" w14:textId="77777777" w:rsidTr="000E245A">
        <w:tc>
          <w:tcPr>
            <w:tcW w:w="500" w:type="dxa"/>
            <w:tcBorders>
              <w:top w:val="nil"/>
              <w:bottom w:val="single" w:sz="4" w:space="0" w:color="auto"/>
            </w:tcBorders>
          </w:tcPr>
          <w:p w14:paraId="719238ED" w14:textId="77777777" w:rsidR="007002B9" w:rsidRPr="00DA6404" w:rsidRDefault="007002B9" w:rsidP="000E245A">
            <w:pPr>
              <w:rPr>
                <w:rFonts w:asciiTheme="majorHAnsi" w:hAnsiTheme="majorHAnsi"/>
                <w:b/>
                <w:i/>
                <w:sz w:val="16"/>
                <w:szCs w:val="16"/>
                <w:lang w:val="ro-RO"/>
              </w:rPr>
            </w:pPr>
          </w:p>
        </w:tc>
        <w:tc>
          <w:tcPr>
            <w:tcW w:w="6299" w:type="dxa"/>
            <w:tcBorders>
              <w:top w:val="nil"/>
              <w:bottom w:val="single" w:sz="4" w:space="0" w:color="auto"/>
            </w:tcBorders>
          </w:tcPr>
          <w:p w14:paraId="119ED82F" w14:textId="77777777" w:rsidR="007002B9" w:rsidRPr="00DA6404" w:rsidRDefault="007002B9" w:rsidP="000E245A">
            <w:pPr>
              <w:jc w:val="center"/>
              <w:rPr>
                <w:rFonts w:asciiTheme="majorHAnsi" w:hAnsiTheme="majorHAnsi"/>
                <w:b/>
                <w:i/>
                <w:sz w:val="16"/>
                <w:szCs w:val="16"/>
                <w:lang w:val="ro-RO"/>
              </w:rPr>
            </w:pPr>
          </w:p>
        </w:tc>
        <w:tc>
          <w:tcPr>
            <w:tcW w:w="1228" w:type="dxa"/>
          </w:tcPr>
          <w:p w14:paraId="15D82EC3" w14:textId="77777777" w:rsidR="007002B9" w:rsidRPr="00DA6404" w:rsidRDefault="007002B9" w:rsidP="000E245A">
            <w:pPr>
              <w:rPr>
                <w:rFonts w:asciiTheme="majorHAnsi" w:hAnsiTheme="majorHAnsi"/>
                <w:i/>
                <w:sz w:val="16"/>
                <w:szCs w:val="16"/>
                <w:lang w:val="ro-RO"/>
              </w:rPr>
            </w:pPr>
            <w:proofErr w:type="spellStart"/>
            <w:r w:rsidRPr="00DA6404">
              <w:rPr>
                <w:rFonts w:asciiTheme="majorHAnsi" w:hAnsiTheme="majorHAnsi"/>
                <w:i/>
                <w:sz w:val="16"/>
                <w:szCs w:val="16"/>
                <w:lang w:val="ro-RO"/>
              </w:rPr>
              <w:t>mil.euro</w:t>
            </w:r>
            <w:proofErr w:type="spellEnd"/>
          </w:p>
        </w:tc>
        <w:tc>
          <w:tcPr>
            <w:tcW w:w="1182" w:type="dxa"/>
          </w:tcPr>
          <w:p w14:paraId="21869E59"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3,2</w:t>
            </w:r>
          </w:p>
        </w:tc>
      </w:tr>
      <w:tr w:rsidR="007002B9" w:rsidRPr="00DA6404" w14:paraId="3AA3E9F8" w14:textId="77777777" w:rsidTr="000E245A">
        <w:tc>
          <w:tcPr>
            <w:tcW w:w="500" w:type="dxa"/>
            <w:tcBorders>
              <w:bottom w:val="nil"/>
            </w:tcBorders>
          </w:tcPr>
          <w:p w14:paraId="693ADF44" w14:textId="77777777" w:rsidR="007002B9" w:rsidRPr="00DA6404" w:rsidRDefault="007002B9" w:rsidP="000E245A">
            <w:pPr>
              <w:rPr>
                <w:rFonts w:asciiTheme="majorHAnsi" w:hAnsiTheme="majorHAnsi"/>
                <w:b/>
                <w:i/>
                <w:sz w:val="16"/>
                <w:szCs w:val="16"/>
                <w:lang w:val="ro-RO"/>
              </w:rPr>
            </w:pPr>
          </w:p>
        </w:tc>
        <w:tc>
          <w:tcPr>
            <w:tcW w:w="6299" w:type="dxa"/>
            <w:tcBorders>
              <w:bottom w:val="nil"/>
            </w:tcBorders>
          </w:tcPr>
          <w:p w14:paraId="12941470" w14:textId="77777777" w:rsidR="007002B9" w:rsidRPr="00DA6404" w:rsidRDefault="007002B9" w:rsidP="000E245A">
            <w:pPr>
              <w:jc w:val="center"/>
              <w:rPr>
                <w:rFonts w:asciiTheme="majorHAnsi" w:hAnsiTheme="majorHAnsi"/>
                <w:b/>
                <w:i/>
                <w:sz w:val="16"/>
                <w:szCs w:val="16"/>
                <w:lang w:val="ro-RO"/>
              </w:rPr>
            </w:pPr>
            <w:r w:rsidRPr="00DA6404">
              <w:rPr>
                <w:rFonts w:asciiTheme="majorHAnsi" w:hAnsiTheme="majorHAnsi"/>
                <w:b/>
                <w:i/>
                <w:sz w:val="16"/>
                <w:szCs w:val="16"/>
                <w:lang w:val="ro-RO"/>
              </w:rPr>
              <w:t>TOTAL, prin intermediul DLC</w:t>
            </w:r>
          </w:p>
        </w:tc>
        <w:tc>
          <w:tcPr>
            <w:tcW w:w="1228" w:type="dxa"/>
          </w:tcPr>
          <w:p w14:paraId="55E0D345" w14:textId="2253EBC5" w:rsidR="007002B9" w:rsidRPr="00DA6404" w:rsidRDefault="002D0D0D" w:rsidP="000E245A">
            <w:pPr>
              <w:rPr>
                <w:rFonts w:asciiTheme="majorHAnsi" w:hAnsiTheme="majorHAnsi"/>
                <w:b/>
                <w:i/>
                <w:sz w:val="16"/>
                <w:szCs w:val="16"/>
                <w:lang w:val="ro-RO"/>
              </w:rPr>
            </w:pPr>
            <w:proofErr w:type="spellStart"/>
            <w:r>
              <w:rPr>
                <w:rFonts w:asciiTheme="majorHAnsi" w:hAnsiTheme="majorHAnsi"/>
                <w:b/>
                <w:i/>
                <w:sz w:val="16"/>
                <w:szCs w:val="16"/>
                <w:lang w:val="ro-RO"/>
              </w:rPr>
              <w:t>mil.MDL</w:t>
            </w:r>
            <w:proofErr w:type="spellEnd"/>
          </w:p>
        </w:tc>
        <w:tc>
          <w:tcPr>
            <w:tcW w:w="1182" w:type="dxa"/>
          </w:tcPr>
          <w:p w14:paraId="2D15DBF4"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181,9</w:t>
            </w:r>
          </w:p>
        </w:tc>
      </w:tr>
      <w:tr w:rsidR="007002B9" w:rsidRPr="00DA6404" w14:paraId="544A263E" w14:textId="77777777" w:rsidTr="000E245A">
        <w:tc>
          <w:tcPr>
            <w:tcW w:w="500" w:type="dxa"/>
            <w:tcBorders>
              <w:top w:val="nil"/>
              <w:bottom w:val="nil"/>
            </w:tcBorders>
          </w:tcPr>
          <w:p w14:paraId="3D53B020" w14:textId="77777777" w:rsidR="007002B9" w:rsidRPr="00DA6404" w:rsidRDefault="007002B9" w:rsidP="000E245A">
            <w:pPr>
              <w:rPr>
                <w:rFonts w:asciiTheme="majorHAnsi" w:hAnsiTheme="majorHAnsi"/>
                <w:b/>
                <w:i/>
                <w:sz w:val="16"/>
                <w:szCs w:val="16"/>
                <w:lang w:val="ro-RO"/>
              </w:rPr>
            </w:pPr>
          </w:p>
        </w:tc>
        <w:tc>
          <w:tcPr>
            <w:tcW w:w="6299" w:type="dxa"/>
            <w:tcBorders>
              <w:top w:val="nil"/>
              <w:bottom w:val="nil"/>
            </w:tcBorders>
          </w:tcPr>
          <w:p w14:paraId="4E989E15" w14:textId="77777777" w:rsidR="007002B9" w:rsidRPr="00DA6404" w:rsidRDefault="007002B9" w:rsidP="000E245A">
            <w:pPr>
              <w:jc w:val="center"/>
              <w:rPr>
                <w:rFonts w:asciiTheme="majorHAnsi" w:hAnsiTheme="majorHAnsi"/>
                <w:b/>
                <w:i/>
                <w:sz w:val="16"/>
                <w:szCs w:val="16"/>
                <w:lang w:val="ro-RO"/>
              </w:rPr>
            </w:pPr>
          </w:p>
        </w:tc>
        <w:tc>
          <w:tcPr>
            <w:tcW w:w="1228" w:type="dxa"/>
          </w:tcPr>
          <w:p w14:paraId="4FF55907" w14:textId="77777777" w:rsidR="007002B9" w:rsidRPr="00DA6404" w:rsidRDefault="007002B9" w:rsidP="000E245A">
            <w:pPr>
              <w:rPr>
                <w:rFonts w:asciiTheme="majorHAnsi" w:hAnsiTheme="majorHAnsi"/>
                <w:b/>
                <w:i/>
                <w:sz w:val="16"/>
                <w:szCs w:val="16"/>
                <w:lang w:val="ro-RO"/>
              </w:rPr>
            </w:pPr>
            <w:proofErr w:type="spellStart"/>
            <w:r w:rsidRPr="00DA6404">
              <w:rPr>
                <w:rFonts w:asciiTheme="majorHAnsi" w:hAnsiTheme="majorHAnsi"/>
                <w:b/>
                <w:i/>
                <w:sz w:val="16"/>
                <w:szCs w:val="16"/>
                <w:lang w:val="ro-RO"/>
              </w:rPr>
              <w:t>mil.dol.SUA</w:t>
            </w:r>
            <w:proofErr w:type="spellEnd"/>
          </w:p>
        </w:tc>
        <w:tc>
          <w:tcPr>
            <w:tcW w:w="1182" w:type="dxa"/>
          </w:tcPr>
          <w:p w14:paraId="126553BD"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0,1</w:t>
            </w:r>
          </w:p>
        </w:tc>
      </w:tr>
      <w:tr w:rsidR="007002B9" w:rsidRPr="00DA6404" w14:paraId="6B377E04" w14:textId="77777777" w:rsidTr="000E245A">
        <w:tc>
          <w:tcPr>
            <w:tcW w:w="500" w:type="dxa"/>
            <w:tcBorders>
              <w:top w:val="nil"/>
              <w:bottom w:val="single" w:sz="4" w:space="0" w:color="auto"/>
            </w:tcBorders>
          </w:tcPr>
          <w:p w14:paraId="3BA9F549" w14:textId="77777777" w:rsidR="007002B9" w:rsidRPr="00DA6404" w:rsidRDefault="007002B9" w:rsidP="000E245A">
            <w:pPr>
              <w:rPr>
                <w:rFonts w:asciiTheme="majorHAnsi" w:hAnsiTheme="majorHAnsi"/>
                <w:b/>
                <w:i/>
                <w:sz w:val="16"/>
                <w:szCs w:val="16"/>
                <w:lang w:val="ro-RO"/>
              </w:rPr>
            </w:pPr>
          </w:p>
        </w:tc>
        <w:tc>
          <w:tcPr>
            <w:tcW w:w="6299" w:type="dxa"/>
            <w:tcBorders>
              <w:top w:val="nil"/>
              <w:bottom w:val="single" w:sz="4" w:space="0" w:color="auto"/>
            </w:tcBorders>
          </w:tcPr>
          <w:p w14:paraId="0233C66B" w14:textId="77777777" w:rsidR="007002B9" w:rsidRPr="00DA6404" w:rsidRDefault="007002B9" w:rsidP="000E245A">
            <w:pPr>
              <w:jc w:val="center"/>
              <w:rPr>
                <w:rFonts w:asciiTheme="majorHAnsi" w:hAnsiTheme="majorHAnsi"/>
                <w:b/>
                <w:i/>
                <w:sz w:val="16"/>
                <w:szCs w:val="16"/>
                <w:lang w:val="ro-RO"/>
              </w:rPr>
            </w:pPr>
          </w:p>
        </w:tc>
        <w:tc>
          <w:tcPr>
            <w:tcW w:w="1228" w:type="dxa"/>
            <w:tcBorders>
              <w:bottom w:val="single" w:sz="4" w:space="0" w:color="auto"/>
            </w:tcBorders>
          </w:tcPr>
          <w:p w14:paraId="174FA2A2" w14:textId="77777777" w:rsidR="007002B9" w:rsidRPr="00DA6404" w:rsidRDefault="007002B9" w:rsidP="000E245A">
            <w:pPr>
              <w:rPr>
                <w:rFonts w:asciiTheme="majorHAnsi" w:hAnsiTheme="majorHAnsi"/>
                <w:b/>
                <w:i/>
                <w:sz w:val="16"/>
                <w:szCs w:val="16"/>
                <w:lang w:val="ro-RO"/>
              </w:rPr>
            </w:pPr>
            <w:proofErr w:type="spellStart"/>
            <w:r w:rsidRPr="00DA6404">
              <w:rPr>
                <w:rFonts w:asciiTheme="majorHAnsi" w:hAnsiTheme="majorHAnsi"/>
                <w:b/>
                <w:i/>
                <w:sz w:val="16"/>
                <w:szCs w:val="16"/>
                <w:lang w:val="ro-RO"/>
              </w:rPr>
              <w:t>mil.euro</w:t>
            </w:r>
            <w:proofErr w:type="spellEnd"/>
          </w:p>
        </w:tc>
        <w:tc>
          <w:tcPr>
            <w:tcW w:w="1182" w:type="dxa"/>
            <w:tcBorders>
              <w:bottom w:val="single" w:sz="4" w:space="0" w:color="auto"/>
            </w:tcBorders>
          </w:tcPr>
          <w:p w14:paraId="651ED753"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12,</w:t>
            </w:r>
            <w:r>
              <w:rPr>
                <w:rFonts w:asciiTheme="majorHAnsi" w:hAnsiTheme="majorHAnsi"/>
                <w:b/>
                <w:i/>
                <w:sz w:val="16"/>
                <w:szCs w:val="16"/>
                <w:lang w:val="ro-RO"/>
              </w:rPr>
              <w:t>4</w:t>
            </w:r>
          </w:p>
        </w:tc>
      </w:tr>
      <w:tr w:rsidR="007002B9" w:rsidRPr="00DA6404" w14:paraId="65DE46E7" w14:textId="77777777" w:rsidTr="000E245A">
        <w:tc>
          <w:tcPr>
            <w:tcW w:w="500" w:type="dxa"/>
            <w:tcBorders>
              <w:top w:val="single" w:sz="4" w:space="0" w:color="auto"/>
              <w:bottom w:val="nil"/>
              <w:right w:val="single" w:sz="4" w:space="0" w:color="auto"/>
            </w:tcBorders>
          </w:tcPr>
          <w:p w14:paraId="4AEA4AC0" w14:textId="1C9270AD"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17</w:t>
            </w:r>
            <w:r w:rsidR="00D53E49">
              <w:rPr>
                <w:rFonts w:asciiTheme="majorHAnsi" w:hAnsiTheme="majorHAnsi"/>
                <w:b/>
                <w:i/>
                <w:sz w:val="16"/>
                <w:szCs w:val="16"/>
                <w:lang w:val="ro-RO"/>
              </w:rPr>
              <w:t>.</w:t>
            </w:r>
          </w:p>
        </w:tc>
        <w:tc>
          <w:tcPr>
            <w:tcW w:w="6299" w:type="dxa"/>
            <w:tcBorders>
              <w:top w:val="single" w:sz="4" w:space="0" w:color="auto"/>
            </w:tcBorders>
          </w:tcPr>
          <w:p w14:paraId="194285CA" w14:textId="77777777" w:rsidR="007002B9" w:rsidRPr="00DA6404" w:rsidRDefault="007002B9" w:rsidP="000E245A">
            <w:pPr>
              <w:jc w:val="center"/>
              <w:rPr>
                <w:rFonts w:asciiTheme="majorHAnsi" w:hAnsiTheme="majorHAnsi"/>
                <w:sz w:val="16"/>
                <w:szCs w:val="16"/>
                <w:lang w:val="ro-RO"/>
              </w:rPr>
            </w:pPr>
            <w:r w:rsidRPr="00DA6404">
              <w:rPr>
                <w:rFonts w:asciiTheme="majorHAnsi" w:hAnsiTheme="majorHAnsi"/>
                <w:sz w:val="16"/>
                <w:szCs w:val="16"/>
                <w:lang w:val="ro-RO"/>
              </w:rPr>
              <w:t>Filiera Vinului (</w:t>
            </w:r>
            <w:r w:rsidRPr="00544F5D">
              <w:rPr>
                <w:rFonts w:asciiTheme="majorHAnsi" w:hAnsiTheme="majorHAnsi"/>
                <w:sz w:val="16"/>
                <w:szCs w:val="16"/>
                <w:lang w:val="ro-RO"/>
              </w:rPr>
              <w:t>transferate de către MF în gestionarea DLC</w:t>
            </w:r>
            <w:r w:rsidRPr="00DA6404">
              <w:rPr>
                <w:rFonts w:asciiTheme="majorHAnsi" w:hAnsiTheme="majorHAnsi"/>
                <w:sz w:val="16"/>
                <w:szCs w:val="16"/>
                <w:lang w:val="ro-RO"/>
              </w:rPr>
              <w:t>)</w:t>
            </w:r>
          </w:p>
        </w:tc>
        <w:tc>
          <w:tcPr>
            <w:tcW w:w="1228" w:type="dxa"/>
          </w:tcPr>
          <w:p w14:paraId="28134849" w14:textId="77777777" w:rsidR="007002B9" w:rsidRPr="00DA6404" w:rsidRDefault="007002B9" w:rsidP="000E245A">
            <w:pPr>
              <w:rPr>
                <w:rFonts w:asciiTheme="majorHAnsi" w:hAnsiTheme="majorHAnsi"/>
                <w:i/>
                <w:sz w:val="16"/>
                <w:szCs w:val="16"/>
                <w:lang w:val="ro-RO"/>
              </w:rPr>
            </w:pPr>
            <w:proofErr w:type="spellStart"/>
            <w:r w:rsidRPr="00DA6404">
              <w:rPr>
                <w:rFonts w:asciiTheme="majorHAnsi" w:hAnsiTheme="majorHAnsi"/>
                <w:i/>
                <w:sz w:val="16"/>
                <w:szCs w:val="16"/>
                <w:lang w:val="ro-RO"/>
              </w:rPr>
              <w:t>mil.euro</w:t>
            </w:r>
            <w:proofErr w:type="spellEnd"/>
          </w:p>
        </w:tc>
        <w:tc>
          <w:tcPr>
            <w:tcW w:w="1182" w:type="dxa"/>
          </w:tcPr>
          <w:p w14:paraId="06C8F150"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6,9</w:t>
            </w:r>
          </w:p>
        </w:tc>
      </w:tr>
      <w:tr w:rsidR="007002B9" w:rsidRPr="00DA6404" w14:paraId="1906F112" w14:textId="77777777" w:rsidTr="000E245A">
        <w:tc>
          <w:tcPr>
            <w:tcW w:w="500" w:type="dxa"/>
            <w:tcBorders>
              <w:top w:val="single" w:sz="4" w:space="0" w:color="auto"/>
              <w:bottom w:val="nil"/>
              <w:right w:val="single" w:sz="4" w:space="0" w:color="auto"/>
            </w:tcBorders>
          </w:tcPr>
          <w:p w14:paraId="1B52F8A4" w14:textId="2A8E97BA"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18</w:t>
            </w:r>
            <w:r w:rsidR="00D53E49">
              <w:rPr>
                <w:rFonts w:asciiTheme="majorHAnsi" w:hAnsiTheme="majorHAnsi"/>
                <w:b/>
                <w:i/>
                <w:sz w:val="16"/>
                <w:szCs w:val="16"/>
                <w:lang w:val="ro-RO"/>
              </w:rPr>
              <w:t>.</w:t>
            </w:r>
          </w:p>
        </w:tc>
        <w:tc>
          <w:tcPr>
            <w:tcW w:w="6299" w:type="dxa"/>
            <w:tcBorders>
              <w:top w:val="single" w:sz="4" w:space="0" w:color="auto"/>
            </w:tcBorders>
          </w:tcPr>
          <w:p w14:paraId="5919748F" w14:textId="77777777" w:rsidR="007002B9" w:rsidRPr="00DA6404" w:rsidRDefault="007002B9" w:rsidP="000E245A">
            <w:pPr>
              <w:jc w:val="center"/>
              <w:rPr>
                <w:rFonts w:asciiTheme="majorHAnsi" w:hAnsiTheme="majorHAnsi"/>
                <w:sz w:val="16"/>
                <w:szCs w:val="16"/>
                <w:lang w:val="ro-RO"/>
              </w:rPr>
            </w:pPr>
            <w:r w:rsidRPr="00DA6404">
              <w:rPr>
                <w:rFonts w:asciiTheme="majorHAnsi" w:hAnsiTheme="majorHAnsi"/>
                <w:sz w:val="16"/>
                <w:szCs w:val="16"/>
                <w:lang w:val="ro-RO"/>
              </w:rPr>
              <w:t>Filiera Vinului, componenta leasing (</w:t>
            </w:r>
            <w:r w:rsidRPr="00544F5D">
              <w:rPr>
                <w:rFonts w:asciiTheme="majorHAnsi" w:hAnsiTheme="majorHAnsi"/>
                <w:sz w:val="16"/>
                <w:szCs w:val="16"/>
                <w:lang w:val="ro-RO"/>
              </w:rPr>
              <w:t>transferate de către MF în gestionarea DLC</w:t>
            </w:r>
            <w:r w:rsidRPr="00DA6404">
              <w:rPr>
                <w:rFonts w:asciiTheme="majorHAnsi" w:hAnsiTheme="majorHAnsi"/>
                <w:sz w:val="16"/>
                <w:szCs w:val="16"/>
                <w:lang w:val="ro-RO"/>
              </w:rPr>
              <w:t>)</w:t>
            </w:r>
          </w:p>
        </w:tc>
        <w:tc>
          <w:tcPr>
            <w:tcW w:w="1228" w:type="dxa"/>
          </w:tcPr>
          <w:p w14:paraId="409968A4" w14:textId="77777777" w:rsidR="007002B9" w:rsidRPr="00DA6404" w:rsidRDefault="007002B9" w:rsidP="000E245A">
            <w:pPr>
              <w:rPr>
                <w:rFonts w:asciiTheme="majorHAnsi" w:hAnsiTheme="majorHAnsi"/>
                <w:i/>
                <w:sz w:val="16"/>
                <w:szCs w:val="16"/>
                <w:lang w:val="ro-RO"/>
              </w:rPr>
            </w:pPr>
            <w:proofErr w:type="spellStart"/>
            <w:r w:rsidRPr="00DA6404">
              <w:rPr>
                <w:rFonts w:asciiTheme="majorHAnsi" w:hAnsiTheme="majorHAnsi"/>
                <w:i/>
                <w:sz w:val="16"/>
                <w:szCs w:val="16"/>
                <w:lang w:val="ro-RO"/>
              </w:rPr>
              <w:t>mil.euro</w:t>
            </w:r>
            <w:proofErr w:type="spellEnd"/>
          </w:p>
        </w:tc>
        <w:tc>
          <w:tcPr>
            <w:tcW w:w="1182" w:type="dxa"/>
          </w:tcPr>
          <w:p w14:paraId="58503B7C"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1,2</w:t>
            </w:r>
          </w:p>
        </w:tc>
      </w:tr>
      <w:tr w:rsidR="007002B9" w:rsidRPr="00DA6404" w14:paraId="6D36FC35" w14:textId="77777777" w:rsidTr="000E245A">
        <w:tc>
          <w:tcPr>
            <w:tcW w:w="500" w:type="dxa"/>
            <w:tcBorders>
              <w:top w:val="single" w:sz="4" w:space="0" w:color="auto"/>
              <w:bottom w:val="nil"/>
              <w:right w:val="single" w:sz="4" w:space="0" w:color="auto"/>
            </w:tcBorders>
          </w:tcPr>
          <w:p w14:paraId="3A5AFE08" w14:textId="77777777" w:rsidR="007002B9" w:rsidRPr="00DA6404" w:rsidRDefault="007002B9" w:rsidP="000E245A">
            <w:pPr>
              <w:rPr>
                <w:rFonts w:asciiTheme="majorHAnsi" w:hAnsiTheme="majorHAnsi"/>
                <w:b/>
                <w:i/>
                <w:sz w:val="16"/>
                <w:szCs w:val="16"/>
                <w:lang w:val="ro-RO"/>
              </w:rPr>
            </w:pPr>
          </w:p>
        </w:tc>
        <w:tc>
          <w:tcPr>
            <w:tcW w:w="6299" w:type="dxa"/>
            <w:tcBorders>
              <w:top w:val="single" w:sz="4" w:space="0" w:color="auto"/>
            </w:tcBorders>
          </w:tcPr>
          <w:p w14:paraId="4FD03F1D" w14:textId="77777777" w:rsidR="007002B9" w:rsidRPr="00DA6404" w:rsidRDefault="007002B9" w:rsidP="000E245A">
            <w:pPr>
              <w:jc w:val="center"/>
              <w:rPr>
                <w:rFonts w:asciiTheme="majorHAnsi" w:hAnsiTheme="majorHAnsi"/>
                <w:sz w:val="16"/>
                <w:szCs w:val="16"/>
                <w:lang w:val="ro-RO"/>
              </w:rPr>
            </w:pPr>
            <w:r w:rsidRPr="00DA6404">
              <w:rPr>
                <w:rFonts w:asciiTheme="majorHAnsi" w:hAnsiTheme="majorHAnsi"/>
                <w:b/>
                <w:i/>
                <w:sz w:val="16"/>
                <w:szCs w:val="16"/>
                <w:lang w:val="ro-RO"/>
              </w:rPr>
              <w:t>Prin intermediul  FIDA</w:t>
            </w:r>
          </w:p>
        </w:tc>
        <w:tc>
          <w:tcPr>
            <w:tcW w:w="1228" w:type="dxa"/>
          </w:tcPr>
          <w:p w14:paraId="03121CF2" w14:textId="77777777" w:rsidR="007002B9" w:rsidRPr="00DA6404" w:rsidRDefault="007002B9" w:rsidP="000E245A">
            <w:pPr>
              <w:rPr>
                <w:rFonts w:asciiTheme="majorHAnsi" w:hAnsiTheme="majorHAnsi"/>
                <w:i/>
                <w:sz w:val="16"/>
                <w:szCs w:val="16"/>
                <w:lang w:val="ro-RO"/>
              </w:rPr>
            </w:pPr>
          </w:p>
        </w:tc>
        <w:tc>
          <w:tcPr>
            <w:tcW w:w="1182" w:type="dxa"/>
          </w:tcPr>
          <w:p w14:paraId="68ED287C" w14:textId="77777777" w:rsidR="007002B9" w:rsidRPr="00DA6404" w:rsidRDefault="007002B9" w:rsidP="000E245A">
            <w:pPr>
              <w:rPr>
                <w:rFonts w:asciiTheme="majorHAnsi" w:hAnsiTheme="majorHAnsi"/>
                <w:b/>
                <w:i/>
                <w:sz w:val="16"/>
                <w:szCs w:val="16"/>
                <w:lang w:val="ro-RO"/>
              </w:rPr>
            </w:pPr>
          </w:p>
        </w:tc>
      </w:tr>
      <w:tr w:rsidR="007002B9" w:rsidRPr="00DA6404" w14:paraId="3D5C77B0" w14:textId="77777777" w:rsidTr="000E245A">
        <w:tc>
          <w:tcPr>
            <w:tcW w:w="500" w:type="dxa"/>
            <w:tcBorders>
              <w:top w:val="single" w:sz="4" w:space="0" w:color="auto"/>
              <w:bottom w:val="nil"/>
              <w:right w:val="single" w:sz="4" w:space="0" w:color="auto"/>
            </w:tcBorders>
          </w:tcPr>
          <w:p w14:paraId="717661F4" w14:textId="79AC48A9"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19</w:t>
            </w:r>
            <w:r w:rsidR="00D53E49">
              <w:rPr>
                <w:rFonts w:asciiTheme="majorHAnsi" w:hAnsiTheme="majorHAnsi"/>
                <w:b/>
                <w:i/>
                <w:sz w:val="16"/>
                <w:szCs w:val="16"/>
                <w:lang w:val="ro-RO"/>
              </w:rPr>
              <w:t>.</w:t>
            </w:r>
          </w:p>
        </w:tc>
        <w:tc>
          <w:tcPr>
            <w:tcW w:w="6299" w:type="dxa"/>
            <w:tcBorders>
              <w:top w:val="single" w:sz="4" w:space="0" w:color="auto"/>
              <w:left w:val="single" w:sz="4" w:space="0" w:color="auto"/>
              <w:bottom w:val="nil"/>
              <w:right w:val="single" w:sz="4" w:space="0" w:color="auto"/>
            </w:tcBorders>
          </w:tcPr>
          <w:p w14:paraId="6598D2A3" w14:textId="228BB9B6" w:rsidR="007002B9" w:rsidRPr="002959DB" w:rsidRDefault="007002B9" w:rsidP="000E245A">
            <w:pPr>
              <w:jc w:val="center"/>
              <w:rPr>
                <w:rFonts w:asciiTheme="majorHAnsi" w:hAnsiTheme="majorHAnsi"/>
                <w:sz w:val="16"/>
                <w:szCs w:val="16"/>
                <w:lang w:val="ro-RO"/>
              </w:rPr>
            </w:pPr>
            <w:r w:rsidRPr="002959DB">
              <w:rPr>
                <w:rFonts w:asciiTheme="majorHAnsi" w:hAnsiTheme="majorHAnsi"/>
                <w:sz w:val="16"/>
                <w:szCs w:val="16"/>
                <w:lang w:val="ro-RO"/>
              </w:rPr>
              <w:t>Program</w:t>
            </w:r>
            <w:r w:rsidR="00D53E49">
              <w:rPr>
                <w:rFonts w:asciiTheme="majorHAnsi" w:hAnsiTheme="majorHAnsi"/>
                <w:sz w:val="16"/>
                <w:szCs w:val="16"/>
                <w:lang w:val="ro-RO"/>
              </w:rPr>
              <w:t xml:space="preserve">ul Rural de Reziliență </w:t>
            </w:r>
            <w:proofErr w:type="spellStart"/>
            <w:r w:rsidR="00D53E49">
              <w:rPr>
                <w:rFonts w:asciiTheme="majorHAnsi" w:hAnsiTheme="majorHAnsi"/>
                <w:sz w:val="16"/>
                <w:szCs w:val="16"/>
                <w:lang w:val="ro-RO"/>
              </w:rPr>
              <w:t>Economico</w:t>
            </w:r>
            <w:proofErr w:type="spellEnd"/>
            <w:r w:rsidRPr="002959DB">
              <w:rPr>
                <w:rFonts w:asciiTheme="majorHAnsi" w:hAnsiTheme="majorHAnsi"/>
                <w:sz w:val="16"/>
                <w:szCs w:val="16"/>
                <w:lang w:val="ro-RO"/>
              </w:rPr>
              <w:t>- Climatică Incluzivă</w:t>
            </w:r>
          </w:p>
        </w:tc>
        <w:tc>
          <w:tcPr>
            <w:tcW w:w="1228" w:type="dxa"/>
            <w:tcBorders>
              <w:top w:val="single" w:sz="4" w:space="0" w:color="auto"/>
              <w:left w:val="single" w:sz="4" w:space="0" w:color="auto"/>
              <w:bottom w:val="single" w:sz="4" w:space="0" w:color="auto"/>
              <w:right w:val="single" w:sz="4" w:space="0" w:color="auto"/>
            </w:tcBorders>
          </w:tcPr>
          <w:p w14:paraId="32D5A0F1" w14:textId="7B2F5050" w:rsidR="007002B9" w:rsidRPr="00DA6404" w:rsidRDefault="002D0D0D" w:rsidP="000E245A">
            <w:pPr>
              <w:rPr>
                <w:rFonts w:asciiTheme="majorHAnsi" w:hAnsiTheme="majorHAnsi"/>
                <w:i/>
                <w:sz w:val="16"/>
                <w:szCs w:val="16"/>
                <w:lang w:val="ro-RO"/>
              </w:rPr>
            </w:pPr>
            <w:proofErr w:type="spellStart"/>
            <w:r>
              <w:rPr>
                <w:rFonts w:asciiTheme="majorHAnsi" w:hAnsiTheme="majorHAnsi"/>
                <w:i/>
                <w:sz w:val="16"/>
                <w:szCs w:val="16"/>
                <w:lang w:val="ro-RO"/>
              </w:rPr>
              <w:t>mil.MDL</w:t>
            </w:r>
            <w:proofErr w:type="spellEnd"/>
          </w:p>
        </w:tc>
        <w:tc>
          <w:tcPr>
            <w:tcW w:w="1182" w:type="dxa"/>
            <w:tcBorders>
              <w:top w:val="single" w:sz="4" w:space="0" w:color="auto"/>
              <w:left w:val="single" w:sz="4" w:space="0" w:color="auto"/>
              <w:bottom w:val="single" w:sz="4" w:space="0" w:color="auto"/>
            </w:tcBorders>
          </w:tcPr>
          <w:p w14:paraId="488BFC57"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35,8</w:t>
            </w:r>
          </w:p>
        </w:tc>
      </w:tr>
      <w:tr w:rsidR="007002B9" w:rsidRPr="00DA6404" w14:paraId="5B339940" w14:textId="77777777" w:rsidTr="000E245A">
        <w:tc>
          <w:tcPr>
            <w:tcW w:w="500" w:type="dxa"/>
            <w:tcBorders>
              <w:top w:val="nil"/>
              <w:right w:val="single" w:sz="4" w:space="0" w:color="auto"/>
            </w:tcBorders>
          </w:tcPr>
          <w:p w14:paraId="1F686BDD" w14:textId="77777777" w:rsidR="007002B9" w:rsidRPr="00DA6404" w:rsidRDefault="007002B9" w:rsidP="000E245A">
            <w:pPr>
              <w:rPr>
                <w:rFonts w:asciiTheme="majorHAnsi" w:hAnsiTheme="majorHAnsi"/>
                <w:b/>
                <w:i/>
                <w:sz w:val="16"/>
                <w:szCs w:val="16"/>
                <w:lang w:val="ro-RO"/>
              </w:rPr>
            </w:pPr>
          </w:p>
        </w:tc>
        <w:tc>
          <w:tcPr>
            <w:tcW w:w="6299" w:type="dxa"/>
            <w:tcBorders>
              <w:top w:val="nil"/>
              <w:left w:val="single" w:sz="4" w:space="0" w:color="auto"/>
              <w:right w:val="single" w:sz="4" w:space="0" w:color="auto"/>
            </w:tcBorders>
          </w:tcPr>
          <w:p w14:paraId="03FEB75C" w14:textId="77777777" w:rsidR="007002B9" w:rsidRPr="002959DB" w:rsidRDefault="007002B9" w:rsidP="000E245A">
            <w:pPr>
              <w:jc w:val="center"/>
              <w:rPr>
                <w:rFonts w:asciiTheme="majorHAnsi" w:hAnsiTheme="majorHAnsi"/>
                <w:sz w:val="16"/>
                <w:szCs w:val="16"/>
                <w:lang w:val="ro-RO"/>
              </w:rPr>
            </w:pPr>
          </w:p>
        </w:tc>
        <w:tc>
          <w:tcPr>
            <w:tcW w:w="1228" w:type="dxa"/>
            <w:tcBorders>
              <w:top w:val="single" w:sz="4" w:space="0" w:color="auto"/>
              <w:left w:val="single" w:sz="4" w:space="0" w:color="auto"/>
              <w:right w:val="single" w:sz="4" w:space="0" w:color="auto"/>
            </w:tcBorders>
          </w:tcPr>
          <w:p w14:paraId="5DCCEF21" w14:textId="77777777" w:rsidR="007002B9" w:rsidRPr="00DA6404" w:rsidRDefault="007002B9" w:rsidP="000E245A">
            <w:pPr>
              <w:rPr>
                <w:rFonts w:asciiTheme="majorHAnsi" w:hAnsiTheme="majorHAnsi"/>
                <w:i/>
                <w:sz w:val="16"/>
                <w:szCs w:val="16"/>
                <w:lang w:val="ro-RO"/>
              </w:rPr>
            </w:pPr>
            <w:proofErr w:type="spellStart"/>
            <w:r w:rsidRPr="00DA6404">
              <w:rPr>
                <w:rFonts w:asciiTheme="majorHAnsi" w:hAnsiTheme="majorHAnsi"/>
                <w:i/>
                <w:sz w:val="16"/>
                <w:szCs w:val="16"/>
                <w:lang w:val="ro-RO"/>
              </w:rPr>
              <w:t>mil.euro</w:t>
            </w:r>
            <w:proofErr w:type="spellEnd"/>
          </w:p>
        </w:tc>
        <w:tc>
          <w:tcPr>
            <w:tcW w:w="1182" w:type="dxa"/>
            <w:tcBorders>
              <w:top w:val="single" w:sz="4" w:space="0" w:color="auto"/>
              <w:left w:val="single" w:sz="4" w:space="0" w:color="auto"/>
            </w:tcBorders>
          </w:tcPr>
          <w:p w14:paraId="19FEB35C" w14:textId="77777777" w:rsidR="007002B9" w:rsidRPr="00DA6404" w:rsidRDefault="007002B9" w:rsidP="000E245A">
            <w:pPr>
              <w:rPr>
                <w:rFonts w:asciiTheme="majorHAnsi" w:hAnsiTheme="majorHAnsi"/>
                <w:b/>
                <w:i/>
                <w:sz w:val="16"/>
                <w:szCs w:val="16"/>
                <w:lang w:val="ro-RO"/>
              </w:rPr>
            </w:pPr>
            <w:r w:rsidRPr="00DA6404">
              <w:rPr>
                <w:rFonts w:asciiTheme="majorHAnsi" w:hAnsiTheme="majorHAnsi"/>
                <w:b/>
                <w:i/>
                <w:sz w:val="16"/>
                <w:szCs w:val="16"/>
                <w:lang w:val="ro-RO"/>
              </w:rPr>
              <w:t>0,1</w:t>
            </w:r>
          </w:p>
        </w:tc>
      </w:tr>
    </w:tbl>
    <w:p w14:paraId="22AD088D" w14:textId="343D6B45" w:rsidR="00DA6404" w:rsidRPr="00DA6404" w:rsidRDefault="00DA6404" w:rsidP="00DA6404">
      <w:pPr>
        <w:spacing w:after="0" w:line="240" w:lineRule="auto"/>
        <w:rPr>
          <w:rFonts w:asciiTheme="majorHAnsi" w:hAnsiTheme="majorHAnsi"/>
          <w:sz w:val="20"/>
          <w:szCs w:val="20"/>
          <w:lang w:val="ro-RO"/>
        </w:rPr>
      </w:pPr>
      <w:r w:rsidRPr="00DA6404">
        <w:rPr>
          <w:rFonts w:asciiTheme="majorHAnsi" w:hAnsiTheme="majorHAnsi"/>
          <w:b/>
          <w:i/>
          <w:sz w:val="20"/>
          <w:szCs w:val="20"/>
          <w:lang w:val="ro-RO"/>
        </w:rPr>
        <w:t xml:space="preserve"> Sursă:</w:t>
      </w:r>
      <w:r w:rsidRPr="00DA6404">
        <w:rPr>
          <w:rFonts w:asciiTheme="majorHAnsi" w:hAnsiTheme="majorHAnsi"/>
          <w:sz w:val="20"/>
          <w:szCs w:val="20"/>
          <w:lang w:val="ro-RO"/>
        </w:rPr>
        <w:t xml:space="preserve"> </w:t>
      </w:r>
      <w:r w:rsidR="00762324">
        <w:rPr>
          <w:rFonts w:asciiTheme="majorHAnsi" w:hAnsiTheme="majorHAnsi"/>
          <w:sz w:val="20"/>
          <w:szCs w:val="20"/>
          <w:lang w:val="ro-RO"/>
        </w:rPr>
        <w:t>Datele</w:t>
      </w:r>
      <w:r w:rsidR="007002B9">
        <w:rPr>
          <w:rFonts w:asciiTheme="majorHAnsi" w:hAnsiTheme="majorHAnsi"/>
          <w:sz w:val="20"/>
          <w:szCs w:val="20"/>
          <w:lang w:val="ro-RO"/>
        </w:rPr>
        <w:t xml:space="preserve"> </w:t>
      </w:r>
      <w:r w:rsidRPr="00DA6404">
        <w:rPr>
          <w:rFonts w:asciiTheme="majorHAnsi" w:hAnsiTheme="majorHAnsi"/>
          <w:sz w:val="20"/>
          <w:szCs w:val="20"/>
          <w:lang w:val="ro-RO"/>
        </w:rPr>
        <w:t>Raportului de stat privind recreditarea de stat pe anul 2018.</w:t>
      </w:r>
    </w:p>
    <w:p w14:paraId="632DC05E" w14:textId="77777777" w:rsidR="00DA6404" w:rsidRPr="00DA6404" w:rsidRDefault="00DA6404" w:rsidP="00DA6404">
      <w:pPr>
        <w:tabs>
          <w:tab w:val="left" w:pos="426"/>
        </w:tabs>
        <w:spacing w:after="0" w:line="240" w:lineRule="auto"/>
        <w:jc w:val="both"/>
        <w:rPr>
          <w:rFonts w:asciiTheme="majorHAnsi" w:hAnsiTheme="majorHAnsi"/>
          <w:sz w:val="20"/>
          <w:szCs w:val="20"/>
          <w:lang w:val="ro-RO"/>
        </w:rPr>
      </w:pPr>
    </w:p>
    <w:p w14:paraId="085D21AC" w14:textId="77777777" w:rsidR="005463EA" w:rsidRDefault="005463EA" w:rsidP="005258B2">
      <w:pPr>
        <w:spacing w:after="0" w:line="240" w:lineRule="auto"/>
        <w:jc w:val="both"/>
        <w:rPr>
          <w:rFonts w:asciiTheme="majorHAnsi" w:hAnsiTheme="majorHAnsi" w:cstheme="majorHAnsi"/>
          <w:b/>
          <w:sz w:val="24"/>
          <w:szCs w:val="24"/>
          <w:lang w:val="ro-RO"/>
        </w:rPr>
      </w:pPr>
      <w:bookmarkStart w:id="81" w:name="_Toc482889708"/>
      <w:bookmarkStart w:id="82" w:name="_Toc484003926"/>
      <w:bookmarkStart w:id="83" w:name="_Toc515442986"/>
    </w:p>
    <w:p w14:paraId="6D39CA5C" w14:textId="51AA2BBF" w:rsidR="005258B2" w:rsidRPr="005258B2" w:rsidRDefault="005258B2" w:rsidP="005258B2">
      <w:pPr>
        <w:spacing w:after="0" w:line="240" w:lineRule="auto"/>
        <w:jc w:val="both"/>
        <w:rPr>
          <w:rFonts w:asciiTheme="majorHAnsi" w:hAnsiTheme="majorHAnsi" w:cstheme="majorHAnsi"/>
          <w:b/>
          <w:sz w:val="24"/>
          <w:szCs w:val="24"/>
          <w:lang w:val="ro-RO"/>
        </w:rPr>
      </w:pPr>
      <w:r w:rsidRPr="005258B2">
        <w:rPr>
          <w:rFonts w:asciiTheme="majorHAnsi" w:hAnsiTheme="majorHAnsi" w:cstheme="majorHAnsi"/>
          <w:b/>
          <w:sz w:val="24"/>
          <w:szCs w:val="24"/>
          <w:lang w:val="ro-RO"/>
        </w:rPr>
        <w:t>Tabelul</w:t>
      </w:r>
      <w:r w:rsidR="004501BA">
        <w:rPr>
          <w:rFonts w:asciiTheme="majorHAnsi" w:hAnsiTheme="majorHAnsi" w:cstheme="majorHAnsi"/>
          <w:b/>
          <w:sz w:val="24"/>
          <w:szCs w:val="24"/>
          <w:lang w:val="ro-RO"/>
        </w:rPr>
        <w:t xml:space="preserve"> nr.12</w:t>
      </w:r>
      <w:r w:rsidRPr="005258B2">
        <w:rPr>
          <w:rFonts w:asciiTheme="majorHAnsi" w:hAnsiTheme="majorHAnsi" w:cstheme="majorHAnsi"/>
          <w:b/>
          <w:sz w:val="24"/>
          <w:szCs w:val="24"/>
          <w:lang w:val="ro-RO"/>
        </w:rPr>
        <w:t>. Evoluția datoriilor debitorilor garantați față de MF în anii 2016-2018.</w:t>
      </w:r>
    </w:p>
    <w:tbl>
      <w:tblPr>
        <w:tblW w:w="9493" w:type="dxa"/>
        <w:jc w:val="center"/>
        <w:tblLook w:val="0000" w:firstRow="0" w:lastRow="0" w:firstColumn="0" w:lastColumn="0" w:noHBand="0" w:noVBand="0"/>
      </w:tblPr>
      <w:tblGrid>
        <w:gridCol w:w="473"/>
        <w:gridCol w:w="1856"/>
        <w:gridCol w:w="1052"/>
        <w:gridCol w:w="804"/>
        <w:gridCol w:w="686"/>
        <w:gridCol w:w="733"/>
        <w:gridCol w:w="772"/>
        <w:gridCol w:w="813"/>
        <w:gridCol w:w="800"/>
        <w:gridCol w:w="813"/>
        <w:gridCol w:w="691"/>
      </w:tblGrid>
      <w:tr w:rsidR="005258B2" w:rsidRPr="005258B2" w14:paraId="115FD3C6" w14:textId="77777777" w:rsidTr="005258B2">
        <w:trPr>
          <w:trHeight w:val="442"/>
          <w:jc w:val="center"/>
        </w:trPr>
        <w:tc>
          <w:tcPr>
            <w:tcW w:w="473" w:type="dxa"/>
            <w:vMerge w:val="restart"/>
            <w:tcBorders>
              <w:top w:val="single" w:sz="4" w:space="0" w:color="auto"/>
              <w:left w:val="single" w:sz="4" w:space="0" w:color="auto"/>
              <w:right w:val="single" w:sz="4" w:space="0" w:color="auto"/>
            </w:tcBorders>
            <w:shd w:val="clear" w:color="auto" w:fill="EEECE1"/>
            <w:vAlign w:val="center"/>
          </w:tcPr>
          <w:p w14:paraId="5D15210F" w14:textId="77777777" w:rsidR="005258B2" w:rsidRPr="005258B2" w:rsidRDefault="005258B2" w:rsidP="005258B2">
            <w:pPr>
              <w:spacing w:after="0" w:line="240" w:lineRule="auto"/>
              <w:jc w:val="center"/>
              <w:rPr>
                <w:rFonts w:asciiTheme="majorHAnsi" w:hAnsiTheme="majorHAnsi" w:cstheme="majorHAnsi"/>
                <w:b/>
                <w:bCs/>
                <w:iCs/>
                <w:sz w:val="16"/>
                <w:szCs w:val="16"/>
                <w:lang w:val="ro-RO"/>
              </w:rPr>
            </w:pPr>
            <w:r w:rsidRPr="005258B2">
              <w:rPr>
                <w:rFonts w:asciiTheme="majorHAnsi" w:hAnsiTheme="majorHAnsi" w:cstheme="majorHAnsi"/>
                <w:b/>
                <w:bCs/>
                <w:iCs/>
                <w:sz w:val="16"/>
                <w:szCs w:val="16"/>
                <w:lang w:val="ro-RO"/>
              </w:rPr>
              <w:t>Nr.</w:t>
            </w:r>
          </w:p>
          <w:p w14:paraId="0EA21D2F" w14:textId="77777777" w:rsidR="005258B2" w:rsidRPr="005258B2" w:rsidRDefault="005258B2" w:rsidP="005258B2">
            <w:pPr>
              <w:spacing w:after="0" w:line="240" w:lineRule="auto"/>
              <w:jc w:val="center"/>
              <w:rPr>
                <w:rFonts w:asciiTheme="majorHAnsi" w:hAnsiTheme="majorHAnsi" w:cstheme="majorHAnsi"/>
                <w:b/>
                <w:bCs/>
                <w:iCs/>
                <w:sz w:val="16"/>
                <w:szCs w:val="16"/>
                <w:lang w:val="ro-RO"/>
              </w:rPr>
            </w:pPr>
            <w:r w:rsidRPr="005258B2">
              <w:rPr>
                <w:rFonts w:asciiTheme="majorHAnsi" w:hAnsiTheme="majorHAnsi" w:cstheme="majorHAnsi"/>
                <w:b/>
                <w:bCs/>
                <w:iCs/>
                <w:sz w:val="16"/>
                <w:szCs w:val="16"/>
                <w:lang w:val="ro-RO"/>
              </w:rPr>
              <w:t>d/o</w:t>
            </w:r>
          </w:p>
        </w:tc>
        <w:tc>
          <w:tcPr>
            <w:tcW w:w="1856" w:type="dxa"/>
            <w:vMerge w:val="restart"/>
            <w:tcBorders>
              <w:top w:val="single" w:sz="4" w:space="0" w:color="auto"/>
              <w:left w:val="nil"/>
              <w:right w:val="single" w:sz="4" w:space="0" w:color="auto"/>
            </w:tcBorders>
            <w:shd w:val="clear" w:color="auto" w:fill="EEECE1"/>
            <w:vAlign w:val="center"/>
          </w:tcPr>
          <w:p w14:paraId="7C465AA7" w14:textId="77777777" w:rsidR="005258B2" w:rsidRPr="005258B2" w:rsidRDefault="005258B2" w:rsidP="005258B2">
            <w:pPr>
              <w:spacing w:after="0" w:line="240" w:lineRule="auto"/>
              <w:jc w:val="center"/>
              <w:rPr>
                <w:rFonts w:asciiTheme="majorHAnsi" w:hAnsiTheme="majorHAnsi" w:cstheme="majorHAnsi"/>
                <w:b/>
                <w:bCs/>
                <w:iCs/>
                <w:sz w:val="16"/>
                <w:szCs w:val="16"/>
                <w:lang w:val="ro-RO"/>
              </w:rPr>
            </w:pPr>
            <w:r w:rsidRPr="005258B2">
              <w:rPr>
                <w:rFonts w:asciiTheme="majorHAnsi" w:hAnsiTheme="majorHAnsi" w:cstheme="majorHAnsi"/>
                <w:b/>
                <w:bCs/>
                <w:iCs/>
                <w:sz w:val="16"/>
                <w:szCs w:val="16"/>
                <w:lang w:val="ro-RO"/>
              </w:rPr>
              <w:t>Denumirea agentului economic</w:t>
            </w:r>
          </w:p>
        </w:tc>
        <w:tc>
          <w:tcPr>
            <w:tcW w:w="1052" w:type="dxa"/>
            <w:vMerge w:val="restart"/>
            <w:tcBorders>
              <w:top w:val="single" w:sz="4" w:space="0" w:color="auto"/>
              <w:left w:val="single" w:sz="4" w:space="0" w:color="auto"/>
              <w:right w:val="single" w:sz="4" w:space="0" w:color="auto"/>
            </w:tcBorders>
            <w:shd w:val="clear" w:color="auto" w:fill="EEECE1"/>
            <w:vAlign w:val="center"/>
          </w:tcPr>
          <w:p w14:paraId="3210BCEB" w14:textId="77777777" w:rsidR="005258B2" w:rsidRPr="005258B2" w:rsidRDefault="005258B2" w:rsidP="005258B2">
            <w:pPr>
              <w:spacing w:after="0" w:line="240" w:lineRule="auto"/>
              <w:jc w:val="center"/>
              <w:rPr>
                <w:rFonts w:asciiTheme="majorHAnsi" w:hAnsiTheme="majorHAnsi" w:cstheme="majorHAnsi"/>
                <w:b/>
                <w:bCs/>
                <w:iCs/>
                <w:sz w:val="16"/>
                <w:szCs w:val="16"/>
                <w:lang w:val="ro-RO"/>
              </w:rPr>
            </w:pPr>
            <w:r w:rsidRPr="005258B2">
              <w:rPr>
                <w:rFonts w:asciiTheme="majorHAnsi" w:hAnsiTheme="majorHAnsi" w:cstheme="majorHAnsi"/>
                <w:b/>
                <w:bCs/>
                <w:iCs/>
                <w:sz w:val="16"/>
                <w:szCs w:val="16"/>
                <w:lang w:val="ro-RO"/>
              </w:rPr>
              <w:t>u.m.</w:t>
            </w:r>
          </w:p>
        </w:tc>
        <w:tc>
          <w:tcPr>
            <w:tcW w:w="149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472C4DC6" w14:textId="77777777" w:rsidR="005258B2" w:rsidRPr="005258B2" w:rsidRDefault="005258B2" w:rsidP="005258B2">
            <w:pPr>
              <w:spacing w:after="0" w:line="240" w:lineRule="auto"/>
              <w:jc w:val="center"/>
              <w:rPr>
                <w:rFonts w:asciiTheme="majorHAnsi" w:hAnsiTheme="majorHAnsi" w:cstheme="majorHAnsi"/>
                <w:b/>
                <w:bCs/>
                <w:iCs/>
                <w:sz w:val="16"/>
                <w:szCs w:val="16"/>
                <w:lang w:val="ro-RO"/>
              </w:rPr>
            </w:pPr>
            <w:r w:rsidRPr="005258B2">
              <w:rPr>
                <w:rFonts w:asciiTheme="majorHAnsi" w:hAnsiTheme="majorHAnsi" w:cstheme="majorHAnsi"/>
                <w:b/>
                <w:bCs/>
                <w:iCs/>
                <w:sz w:val="16"/>
                <w:szCs w:val="16"/>
                <w:lang w:val="ro-RO"/>
              </w:rPr>
              <w:t>Sold la 31.12.2016</w:t>
            </w:r>
          </w:p>
        </w:tc>
        <w:tc>
          <w:tcPr>
            <w:tcW w:w="1505"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09B08CEF" w14:textId="77777777" w:rsidR="005258B2" w:rsidRPr="005258B2" w:rsidRDefault="005258B2" w:rsidP="005258B2">
            <w:pPr>
              <w:spacing w:after="0" w:line="240" w:lineRule="auto"/>
              <w:rPr>
                <w:rFonts w:asciiTheme="majorHAnsi" w:hAnsiTheme="majorHAnsi" w:cstheme="majorHAnsi"/>
                <w:b/>
                <w:bCs/>
                <w:iCs/>
                <w:sz w:val="16"/>
                <w:szCs w:val="16"/>
                <w:lang w:val="ro-RO"/>
              </w:rPr>
            </w:pPr>
            <w:r w:rsidRPr="005258B2">
              <w:rPr>
                <w:rFonts w:asciiTheme="majorHAnsi" w:hAnsiTheme="majorHAnsi" w:cstheme="majorHAnsi"/>
                <w:b/>
                <w:bCs/>
                <w:iCs/>
                <w:sz w:val="16"/>
                <w:szCs w:val="16"/>
                <w:lang w:val="ro-RO"/>
              </w:rPr>
              <w:t>Sold la 31.12.2017</w:t>
            </w:r>
          </w:p>
        </w:tc>
        <w:tc>
          <w:tcPr>
            <w:tcW w:w="1613"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551B64CB" w14:textId="77777777" w:rsidR="005258B2" w:rsidRPr="005258B2" w:rsidRDefault="005258B2" w:rsidP="005258B2">
            <w:pPr>
              <w:spacing w:after="0" w:line="240" w:lineRule="auto"/>
              <w:jc w:val="center"/>
              <w:rPr>
                <w:rFonts w:asciiTheme="majorHAnsi" w:hAnsiTheme="majorHAnsi" w:cstheme="majorHAnsi"/>
                <w:b/>
                <w:bCs/>
                <w:iCs/>
                <w:sz w:val="16"/>
                <w:szCs w:val="16"/>
                <w:lang w:val="ro-RO"/>
              </w:rPr>
            </w:pPr>
            <w:r w:rsidRPr="005258B2">
              <w:rPr>
                <w:rFonts w:asciiTheme="majorHAnsi" w:hAnsiTheme="majorHAnsi" w:cstheme="majorHAnsi"/>
                <w:b/>
                <w:bCs/>
                <w:iCs/>
                <w:sz w:val="16"/>
                <w:szCs w:val="16"/>
                <w:lang w:val="ro-RO"/>
              </w:rPr>
              <w:t>Sold la 31.12.2018</w:t>
            </w:r>
          </w:p>
        </w:tc>
        <w:tc>
          <w:tcPr>
            <w:tcW w:w="1504" w:type="dxa"/>
            <w:gridSpan w:val="2"/>
            <w:tcBorders>
              <w:top w:val="single" w:sz="4" w:space="0" w:color="auto"/>
              <w:left w:val="single" w:sz="4" w:space="0" w:color="auto"/>
              <w:bottom w:val="single" w:sz="4" w:space="0" w:color="auto"/>
              <w:right w:val="single" w:sz="4" w:space="0" w:color="auto"/>
            </w:tcBorders>
            <w:shd w:val="clear" w:color="auto" w:fill="EEECE1"/>
          </w:tcPr>
          <w:p w14:paraId="16F6B3E3" w14:textId="5107DED7" w:rsidR="005258B2" w:rsidRPr="005258B2" w:rsidRDefault="005258B2" w:rsidP="005258B2">
            <w:pPr>
              <w:spacing w:after="0" w:line="240" w:lineRule="auto"/>
              <w:jc w:val="center"/>
              <w:rPr>
                <w:rFonts w:asciiTheme="majorHAnsi" w:hAnsiTheme="majorHAnsi" w:cstheme="majorHAnsi"/>
                <w:b/>
                <w:bCs/>
                <w:iCs/>
                <w:sz w:val="16"/>
                <w:szCs w:val="16"/>
                <w:lang w:val="ro-RO"/>
              </w:rPr>
            </w:pPr>
            <w:r w:rsidRPr="005258B2">
              <w:rPr>
                <w:rFonts w:asciiTheme="majorHAnsi" w:hAnsiTheme="majorHAnsi" w:cstheme="majorHAnsi"/>
                <w:b/>
                <w:bCs/>
                <w:iCs/>
                <w:sz w:val="16"/>
                <w:szCs w:val="16"/>
                <w:lang w:val="ro-RO"/>
              </w:rPr>
              <w:t xml:space="preserve">Modificări </w:t>
            </w:r>
            <w:r w:rsidR="007257D3">
              <w:rPr>
                <w:rFonts w:asciiTheme="majorHAnsi" w:hAnsiTheme="majorHAnsi" w:cstheme="majorHAnsi"/>
                <w:b/>
                <w:bCs/>
                <w:iCs/>
                <w:sz w:val="16"/>
                <w:szCs w:val="16"/>
                <w:lang w:val="ro-RO"/>
              </w:rPr>
              <w:t>î</w:t>
            </w:r>
            <w:r w:rsidRPr="005258B2">
              <w:rPr>
                <w:rFonts w:asciiTheme="majorHAnsi" w:hAnsiTheme="majorHAnsi" w:cstheme="majorHAnsi"/>
                <w:b/>
                <w:bCs/>
                <w:iCs/>
                <w:sz w:val="16"/>
                <w:szCs w:val="16"/>
                <w:lang w:val="ro-RO"/>
              </w:rPr>
              <w:t xml:space="preserve">ntre soldul datoriei la 31.12.2017 și </w:t>
            </w:r>
            <w:r w:rsidR="007257D3">
              <w:rPr>
                <w:rFonts w:asciiTheme="majorHAnsi" w:hAnsiTheme="majorHAnsi" w:cstheme="majorHAnsi"/>
                <w:b/>
                <w:bCs/>
                <w:iCs/>
                <w:sz w:val="16"/>
                <w:szCs w:val="16"/>
                <w:lang w:val="ro-RO"/>
              </w:rPr>
              <w:t xml:space="preserve">soldul datoriei </w:t>
            </w:r>
            <w:r w:rsidRPr="005258B2">
              <w:rPr>
                <w:rFonts w:asciiTheme="majorHAnsi" w:hAnsiTheme="majorHAnsi" w:cstheme="majorHAnsi"/>
                <w:b/>
                <w:bCs/>
                <w:iCs/>
                <w:sz w:val="16"/>
                <w:szCs w:val="16"/>
                <w:lang w:val="ro-RO"/>
              </w:rPr>
              <w:t>la 31.12.2018</w:t>
            </w:r>
            <w:r w:rsidR="007257D3">
              <w:rPr>
                <w:rFonts w:asciiTheme="majorHAnsi" w:hAnsiTheme="majorHAnsi" w:cstheme="majorHAnsi"/>
                <w:b/>
                <w:bCs/>
                <w:iCs/>
                <w:sz w:val="16"/>
                <w:szCs w:val="16"/>
                <w:lang w:val="ro-RO"/>
              </w:rPr>
              <w:t>,</w:t>
            </w:r>
            <w:r w:rsidRPr="005258B2">
              <w:rPr>
                <w:rFonts w:asciiTheme="majorHAnsi" w:hAnsiTheme="majorHAnsi" w:cstheme="majorHAnsi"/>
                <w:b/>
                <w:bCs/>
                <w:iCs/>
                <w:sz w:val="16"/>
                <w:szCs w:val="16"/>
                <w:lang w:val="ro-RO"/>
              </w:rPr>
              <w:t xml:space="preserve"> u.m.</w:t>
            </w:r>
          </w:p>
        </w:tc>
      </w:tr>
      <w:tr w:rsidR="005258B2" w:rsidRPr="005258B2" w14:paraId="205A4763" w14:textId="77777777" w:rsidTr="005258B2">
        <w:trPr>
          <w:trHeight w:val="485"/>
          <w:jc w:val="center"/>
        </w:trPr>
        <w:tc>
          <w:tcPr>
            <w:tcW w:w="473" w:type="dxa"/>
            <w:vMerge/>
            <w:tcBorders>
              <w:left w:val="single" w:sz="4" w:space="0" w:color="auto"/>
              <w:bottom w:val="single" w:sz="4" w:space="0" w:color="auto"/>
              <w:right w:val="single" w:sz="4" w:space="0" w:color="auto"/>
            </w:tcBorders>
            <w:shd w:val="clear" w:color="auto" w:fill="EEECE1"/>
            <w:vAlign w:val="center"/>
          </w:tcPr>
          <w:p w14:paraId="244C1146" w14:textId="77777777" w:rsidR="005258B2" w:rsidRPr="005258B2" w:rsidRDefault="005258B2" w:rsidP="005258B2">
            <w:pPr>
              <w:spacing w:after="0" w:line="240" w:lineRule="auto"/>
              <w:jc w:val="center"/>
              <w:rPr>
                <w:rFonts w:asciiTheme="majorHAnsi" w:hAnsiTheme="majorHAnsi" w:cstheme="majorHAnsi"/>
                <w:b/>
                <w:bCs/>
                <w:iCs/>
                <w:sz w:val="16"/>
                <w:szCs w:val="16"/>
                <w:lang w:val="ro-RO"/>
              </w:rPr>
            </w:pPr>
          </w:p>
        </w:tc>
        <w:tc>
          <w:tcPr>
            <w:tcW w:w="1856" w:type="dxa"/>
            <w:vMerge/>
            <w:tcBorders>
              <w:left w:val="nil"/>
              <w:bottom w:val="single" w:sz="4" w:space="0" w:color="auto"/>
              <w:right w:val="single" w:sz="4" w:space="0" w:color="auto"/>
            </w:tcBorders>
            <w:shd w:val="clear" w:color="auto" w:fill="EEECE1"/>
            <w:vAlign w:val="center"/>
          </w:tcPr>
          <w:p w14:paraId="153F62B4" w14:textId="77777777" w:rsidR="005258B2" w:rsidRPr="005258B2" w:rsidRDefault="005258B2" w:rsidP="005258B2">
            <w:pPr>
              <w:spacing w:after="0" w:line="240" w:lineRule="auto"/>
              <w:jc w:val="center"/>
              <w:rPr>
                <w:rFonts w:asciiTheme="majorHAnsi" w:hAnsiTheme="majorHAnsi" w:cstheme="majorHAnsi"/>
                <w:b/>
                <w:bCs/>
                <w:iCs/>
                <w:sz w:val="16"/>
                <w:szCs w:val="16"/>
                <w:lang w:val="ro-RO"/>
              </w:rPr>
            </w:pPr>
          </w:p>
        </w:tc>
        <w:tc>
          <w:tcPr>
            <w:tcW w:w="1052" w:type="dxa"/>
            <w:vMerge/>
            <w:tcBorders>
              <w:left w:val="single" w:sz="4" w:space="0" w:color="auto"/>
              <w:bottom w:val="single" w:sz="4" w:space="0" w:color="auto"/>
              <w:right w:val="single" w:sz="4" w:space="0" w:color="auto"/>
            </w:tcBorders>
            <w:shd w:val="clear" w:color="auto" w:fill="EEECE1"/>
          </w:tcPr>
          <w:p w14:paraId="3BBA56AD" w14:textId="77777777" w:rsidR="005258B2" w:rsidRPr="005258B2" w:rsidRDefault="005258B2" w:rsidP="005258B2">
            <w:pPr>
              <w:spacing w:after="0" w:line="240" w:lineRule="auto"/>
              <w:jc w:val="center"/>
              <w:rPr>
                <w:rFonts w:asciiTheme="majorHAnsi" w:hAnsiTheme="majorHAnsi" w:cstheme="majorHAnsi"/>
                <w:b/>
                <w:bCs/>
                <w:iCs/>
                <w:sz w:val="16"/>
                <w:szCs w:val="16"/>
                <w:lang w:val="ro-RO"/>
              </w:rPr>
            </w:pPr>
          </w:p>
        </w:tc>
        <w:tc>
          <w:tcPr>
            <w:tcW w:w="804" w:type="dxa"/>
            <w:tcBorders>
              <w:top w:val="single" w:sz="4" w:space="0" w:color="auto"/>
              <w:left w:val="single" w:sz="4" w:space="0" w:color="auto"/>
              <w:bottom w:val="single" w:sz="4" w:space="0" w:color="auto"/>
              <w:right w:val="single" w:sz="4" w:space="0" w:color="auto"/>
            </w:tcBorders>
            <w:shd w:val="clear" w:color="auto" w:fill="EEECE1"/>
            <w:vAlign w:val="center"/>
          </w:tcPr>
          <w:p w14:paraId="769C0908" w14:textId="77777777" w:rsidR="005258B2" w:rsidRPr="005258B2" w:rsidRDefault="005258B2" w:rsidP="005258B2">
            <w:pPr>
              <w:spacing w:after="0" w:line="240" w:lineRule="auto"/>
              <w:jc w:val="center"/>
              <w:rPr>
                <w:rFonts w:asciiTheme="majorHAnsi" w:hAnsiTheme="majorHAnsi" w:cstheme="majorHAnsi"/>
                <w:b/>
                <w:bCs/>
                <w:iCs/>
                <w:sz w:val="16"/>
                <w:szCs w:val="16"/>
                <w:lang w:val="ro-RO"/>
              </w:rPr>
            </w:pPr>
            <w:r w:rsidRPr="005258B2">
              <w:rPr>
                <w:rFonts w:asciiTheme="majorHAnsi" w:hAnsiTheme="majorHAnsi" w:cstheme="majorHAnsi"/>
                <w:b/>
                <w:bCs/>
                <w:iCs/>
                <w:sz w:val="16"/>
                <w:szCs w:val="16"/>
                <w:lang w:val="ro-RO"/>
              </w:rPr>
              <w:t>în valută</w:t>
            </w:r>
          </w:p>
        </w:tc>
        <w:tc>
          <w:tcPr>
            <w:tcW w:w="686" w:type="dxa"/>
            <w:tcBorders>
              <w:top w:val="single" w:sz="4" w:space="0" w:color="auto"/>
              <w:left w:val="single" w:sz="4" w:space="0" w:color="auto"/>
              <w:bottom w:val="single" w:sz="4" w:space="0" w:color="auto"/>
              <w:right w:val="single" w:sz="4" w:space="0" w:color="auto"/>
            </w:tcBorders>
            <w:shd w:val="clear" w:color="auto" w:fill="EEECE1"/>
            <w:vAlign w:val="center"/>
          </w:tcPr>
          <w:p w14:paraId="5B135E1B" w14:textId="77777777" w:rsidR="005258B2" w:rsidRPr="005258B2" w:rsidRDefault="005258B2" w:rsidP="005258B2">
            <w:pPr>
              <w:spacing w:after="0" w:line="240" w:lineRule="auto"/>
              <w:jc w:val="center"/>
              <w:rPr>
                <w:rFonts w:asciiTheme="majorHAnsi" w:hAnsiTheme="majorHAnsi" w:cstheme="majorHAnsi"/>
                <w:b/>
                <w:bCs/>
                <w:iCs/>
                <w:sz w:val="16"/>
                <w:szCs w:val="16"/>
                <w:lang w:val="ro-RO"/>
              </w:rPr>
            </w:pPr>
            <w:r w:rsidRPr="005258B2">
              <w:rPr>
                <w:rFonts w:asciiTheme="majorHAnsi" w:hAnsiTheme="majorHAnsi" w:cstheme="majorHAnsi"/>
                <w:b/>
                <w:bCs/>
                <w:iCs/>
                <w:sz w:val="16"/>
                <w:szCs w:val="16"/>
                <w:lang w:val="ro-RO"/>
              </w:rPr>
              <w:t xml:space="preserve">în </w:t>
            </w:r>
            <w:r w:rsidR="00F040EE">
              <w:rPr>
                <w:rFonts w:asciiTheme="majorHAnsi" w:hAnsiTheme="majorHAnsi" w:cstheme="majorHAnsi"/>
                <w:b/>
                <w:bCs/>
                <w:iCs/>
                <w:sz w:val="16"/>
                <w:szCs w:val="16"/>
                <w:lang w:val="ro-RO"/>
              </w:rPr>
              <w:t>MDL</w:t>
            </w:r>
          </w:p>
        </w:tc>
        <w:tc>
          <w:tcPr>
            <w:tcW w:w="733" w:type="dxa"/>
            <w:tcBorders>
              <w:top w:val="single" w:sz="4" w:space="0" w:color="auto"/>
              <w:left w:val="single" w:sz="4" w:space="0" w:color="auto"/>
              <w:bottom w:val="single" w:sz="4" w:space="0" w:color="auto"/>
              <w:right w:val="single" w:sz="4" w:space="0" w:color="auto"/>
            </w:tcBorders>
            <w:shd w:val="clear" w:color="auto" w:fill="EEECE1"/>
            <w:vAlign w:val="center"/>
          </w:tcPr>
          <w:p w14:paraId="110E28B9" w14:textId="77777777" w:rsidR="005258B2" w:rsidRPr="005258B2" w:rsidRDefault="005258B2" w:rsidP="005258B2">
            <w:pPr>
              <w:spacing w:after="0" w:line="240" w:lineRule="auto"/>
              <w:jc w:val="center"/>
              <w:rPr>
                <w:rFonts w:asciiTheme="majorHAnsi" w:hAnsiTheme="majorHAnsi" w:cstheme="majorHAnsi"/>
                <w:b/>
                <w:bCs/>
                <w:iCs/>
                <w:sz w:val="16"/>
                <w:szCs w:val="16"/>
                <w:lang w:val="ro-RO"/>
              </w:rPr>
            </w:pPr>
            <w:r w:rsidRPr="005258B2">
              <w:rPr>
                <w:rFonts w:asciiTheme="majorHAnsi" w:hAnsiTheme="majorHAnsi" w:cstheme="majorHAnsi"/>
                <w:b/>
                <w:bCs/>
                <w:iCs/>
                <w:sz w:val="16"/>
                <w:szCs w:val="16"/>
                <w:lang w:val="ro-RO"/>
              </w:rPr>
              <w:t>în valută</w:t>
            </w:r>
          </w:p>
        </w:tc>
        <w:tc>
          <w:tcPr>
            <w:tcW w:w="772" w:type="dxa"/>
            <w:tcBorders>
              <w:top w:val="single" w:sz="4" w:space="0" w:color="auto"/>
              <w:left w:val="single" w:sz="4" w:space="0" w:color="auto"/>
              <w:bottom w:val="single" w:sz="4" w:space="0" w:color="auto"/>
              <w:right w:val="single" w:sz="4" w:space="0" w:color="auto"/>
            </w:tcBorders>
            <w:shd w:val="clear" w:color="auto" w:fill="EEECE1"/>
            <w:vAlign w:val="center"/>
          </w:tcPr>
          <w:p w14:paraId="673CFECC" w14:textId="77777777" w:rsidR="005258B2" w:rsidRPr="005258B2" w:rsidRDefault="005258B2" w:rsidP="005258B2">
            <w:pPr>
              <w:spacing w:after="0" w:line="240" w:lineRule="auto"/>
              <w:jc w:val="center"/>
              <w:rPr>
                <w:rFonts w:asciiTheme="majorHAnsi" w:hAnsiTheme="majorHAnsi" w:cstheme="majorHAnsi"/>
                <w:b/>
                <w:bCs/>
                <w:iCs/>
                <w:sz w:val="16"/>
                <w:szCs w:val="16"/>
                <w:lang w:val="ro-RO"/>
              </w:rPr>
            </w:pPr>
            <w:r w:rsidRPr="005258B2">
              <w:rPr>
                <w:rFonts w:asciiTheme="majorHAnsi" w:hAnsiTheme="majorHAnsi" w:cstheme="majorHAnsi"/>
                <w:b/>
                <w:bCs/>
                <w:iCs/>
                <w:sz w:val="16"/>
                <w:szCs w:val="16"/>
                <w:lang w:val="ro-RO"/>
              </w:rPr>
              <w:t xml:space="preserve">în </w:t>
            </w:r>
            <w:r w:rsidR="00F040EE">
              <w:rPr>
                <w:rFonts w:asciiTheme="majorHAnsi" w:hAnsiTheme="majorHAnsi" w:cstheme="majorHAnsi"/>
                <w:b/>
                <w:bCs/>
                <w:iCs/>
                <w:sz w:val="16"/>
                <w:szCs w:val="16"/>
                <w:lang w:val="ro-RO"/>
              </w:rPr>
              <w:t>MDL</w:t>
            </w:r>
          </w:p>
        </w:tc>
        <w:tc>
          <w:tcPr>
            <w:tcW w:w="813" w:type="dxa"/>
            <w:tcBorders>
              <w:top w:val="single" w:sz="4" w:space="0" w:color="auto"/>
              <w:left w:val="single" w:sz="4" w:space="0" w:color="auto"/>
              <w:bottom w:val="single" w:sz="4" w:space="0" w:color="auto"/>
              <w:right w:val="single" w:sz="4" w:space="0" w:color="auto"/>
            </w:tcBorders>
            <w:shd w:val="clear" w:color="auto" w:fill="EEECE1"/>
            <w:vAlign w:val="center"/>
          </w:tcPr>
          <w:p w14:paraId="2A07BDCA" w14:textId="77777777" w:rsidR="005258B2" w:rsidRPr="005258B2" w:rsidRDefault="005258B2" w:rsidP="005258B2">
            <w:pPr>
              <w:spacing w:after="0" w:line="240" w:lineRule="auto"/>
              <w:jc w:val="center"/>
              <w:rPr>
                <w:rFonts w:asciiTheme="majorHAnsi" w:hAnsiTheme="majorHAnsi" w:cstheme="majorHAnsi"/>
                <w:b/>
                <w:bCs/>
                <w:iCs/>
                <w:sz w:val="16"/>
                <w:szCs w:val="16"/>
                <w:lang w:val="ro-RO"/>
              </w:rPr>
            </w:pPr>
            <w:r w:rsidRPr="005258B2">
              <w:rPr>
                <w:rFonts w:asciiTheme="majorHAnsi" w:hAnsiTheme="majorHAnsi" w:cstheme="majorHAnsi"/>
                <w:b/>
                <w:bCs/>
                <w:iCs/>
                <w:sz w:val="16"/>
                <w:szCs w:val="16"/>
                <w:lang w:val="ro-RO"/>
              </w:rPr>
              <w:t>în valută</w:t>
            </w:r>
          </w:p>
        </w:tc>
        <w:tc>
          <w:tcPr>
            <w:tcW w:w="800" w:type="dxa"/>
            <w:tcBorders>
              <w:top w:val="single" w:sz="4" w:space="0" w:color="auto"/>
              <w:left w:val="single" w:sz="4" w:space="0" w:color="auto"/>
              <w:bottom w:val="single" w:sz="4" w:space="0" w:color="auto"/>
              <w:right w:val="single" w:sz="4" w:space="0" w:color="auto"/>
            </w:tcBorders>
            <w:shd w:val="clear" w:color="auto" w:fill="EEECE1"/>
            <w:vAlign w:val="center"/>
          </w:tcPr>
          <w:p w14:paraId="0608B485" w14:textId="77777777" w:rsidR="005258B2" w:rsidRPr="005258B2" w:rsidRDefault="005258B2" w:rsidP="005258B2">
            <w:pPr>
              <w:spacing w:after="0" w:line="240" w:lineRule="auto"/>
              <w:jc w:val="center"/>
              <w:rPr>
                <w:rFonts w:asciiTheme="majorHAnsi" w:hAnsiTheme="majorHAnsi" w:cstheme="majorHAnsi"/>
                <w:b/>
                <w:bCs/>
                <w:iCs/>
                <w:sz w:val="16"/>
                <w:szCs w:val="16"/>
                <w:lang w:val="ro-RO"/>
              </w:rPr>
            </w:pPr>
            <w:r w:rsidRPr="005258B2">
              <w:rPr>
                <w:rFonts w:asciiTheme="majorHAnsi" w:hAnsiTheme="majorHAnsi" w:cstheme="majorHAnsi"/>
                <w:b/>
                <w:bCs/>
                <w:iCs/>
                <w:sz w:val="16"/>
                <w:szCs w:val="16"/>
                <w:lang w:val="ro-RO"/>
              </w:rPr>
              <w:t xml:space="preserve">în </w:t>
            </w:r>
            <w:r w:rsidR="00F040EE">
              <w:rPr>
                <w:rFonts w:asciiTheme="majorHAnsi" w:hAnsiTheme="majorHAnsi" w:cstheme="majorHAnsi"/>
                <w:b/>
                <w:bCs/>
                <w:iCs/>
                <w:sz w:val="16"/>
                <w:szCs w:val="16"/>
                <w:lang w:val="ro-RO"/>
              </w:rPr>
              <w:t>MDL</w:t>
            </w:r>
          </w:p>
        </w:tc>
        <w:tc>
          <w:tcPr>
            <w:tcW w:w="813" w:type="dxa"/>
            <w:tcBorders>
              <w:top w:val="single" w:sz="4" w:space="0" w:color="auto"/>
              <w:left w:val="single" w:sz="4" w:space="0" w:color="auto"/>
              <w:bottom w:val="single" w:sz="4" w:space="0" w:color="auto"/>
              <w:right w:val="single" w:sz="4" w:space="0" w:color="auto"/>
            </w:tcBorders>
            <w:shd w:val="clear" w:color="auto" w:fill="EEECE1"/>
            <w:vAlign w:val="center"/>
          </w:tcPr>
          <w:p w14:paraId="17020665" w14:textId="77777777" w:rsidR="005258B2" w:rsidRPr="005258B2" w:rsidRDefault="005258B2" w:rsidP="005258B2">
            <w:pPr>
              <w:spacing w:after="0" w:line="240" w:lineRule="auto"/>
              <w:jc w:val="center"/>
              <w:rPr>
                <w:rFonts w:asciiTheme="majorHAnsi" w:hAnsiTheme="majorHAnsi" w:cstheme="majorHAnsi"/>
                <w:b/>
                <w:bCs/>
                <w:iCs/>
                <w:sz w:val="16"/>
                <w:szCs w:val="16"/>
                <w:lang w:val="ro-RO"/>
              </w:rPr>
            </w:pPr>
            <w:r w:rsidRPr="005258B2">
              <w:rPr>
                <w:rFonts w:asciiTheme="majorHAnsi" w:hAnsiTheme="majorHAnsi" w:cstheme="majorHAnsi"/>
                <w:b/>
                <w:bCs/>
                <w:iCs/>
                <w:sz w:val="16"/>
                <w:szCs w:val="16"/>
                <w:lang w:val="ro-RO"/>
              </w:rPr>
              <w:t>în valută</w:t>
            </w:r>
          </w:p>
        </w:tc>
        <w:tc>
          <w:tcPr>
            <w:tcW w:w="691" w:type="dxa"/>
            <w:tcBorders>
              <w:top w:val="single" w:sz="4" w:space="0" w:color="auto"/>
              <w:left w:val="single" w:sz="4" w:space="0" w:color="auto"/>
              <w:bottom w:val="single" w:sz="4" w:space="0" w:color="auto"/>
              <w:right w:val="single" w:sz="4" w:space="0" w:color="auto"/>
            </w:tcBorders>
            <w:shd w:val="clear" w:color="auto" w:fill="EEECE1"/>
            <w:vAlign w:val="center"/>
          </w:tcPr>
          <w:p w14:paraId="43BC0D62" w14:textId="77777777" w:rsidR="005258B2" w:rsidRPr="005258B2" w:rsidRDefault="005258B2" w:rsidP="005258B2">
            <w:pPr>
              <w:spacing w:after="0" w:line="240" w:lineRule="auto"/>
              <w:jc w:val="center"/>
              <w:rPr>
                <w:rFonts w:asciiTheme="majorHAnsi" w:hAnsiTheme="majorHAnsi" w:cstheme="majorHAnsi"/>
                <w:b/>
                <w:bCs/>
                <w:iCs/>
                <w:sz w:val="16"/>
                <w:szCs w:val="16"/>
                <w:lang w:val="ro-RO"/>
              </w:rPr>
            </w:pPr>
            <w:r w:rsidRPr="005258B2">
              <w:rPr>
                <w:rFonts w:asciiTheme="majorHAnsi" w:hAnsiTheme="majorHAnsi" w:cstheme="majorHAnsi"/>
                <w:b/>
                <w:bCs/>
                <w:iCs/>
                <w:sz w:val="16"/>
                <w:szCs w:val="16"/>
                <w:lang w:val="ro-RO"/>
              </w:rPr>
              <w:t xml:space="preserve">în </w:t>
            </w:r>
            <w:r w:rsidR="00F040EE">
              <w:rPr>
                <w:rFonts w:asciiTheme="majorHAnsi" w:hAnsiTheme="majorHAnsi" w:cstheme="majorHAnsi"/>
                <w:b/>
                <w:bCs/>
                <w:iCs/>
                <w:sz w:val="16"/>
                <w:szCs w:val="16"/>
                <w:lang w:val="ro-RO"/>
              </w:rPr>
              <w:t>MDL</w:t>
            </w:r>
          </w:p>
        </w:tc>
      </w:tr>
      <w:tr w:rsidR="005258B2" w:rsidRPr="005258B2" w14:paraId="17D43829" w14:textId="77777777" w:rsidTr="005258B2">
        <w:trPr>
          <w:trHeight w:val="151"/>
          <w:jc w:val="center"/>
        </w:trPr>
        <w:tc>
          <w:tcPr>
            <w:tcW w:w="473" w:type="dxa"/>
            <w:tcBorders>
              <w:top w:val="nil"/>
              <w:left w:val="single" w:sz="4" w:space="0" w:color="auto"/>
              <w:bottom w:val="single" w:sz="4" w:space="0" w:color="auto"/>
              <w:right w:val="single" w:sz="4" w:space="0" w:color="auto"/>
            </w:tcBorders>
            <w:shd w:val="clear" w:color="auto" w:fill="EEECE1"/>
            <w:noWrap/>
            <w:vAlign w:val="center"/>
          </w:tcPr>
          <w:p w14:paraId="42717230"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1</w:t>
            </w:r>
          </w:p>
        </w:tc>
        <w:tc>
          <w:tcPr>
            <w:tcW w:w="1856" w:type="dxa"/>
            <w:tcBorders>
              <w:top w:val="nil"/>
              <w:left w:val="nil"/>
              <w:bottom w:val="single" w:sz="4" w:space="0" w:color="auto"/>
              <w:right w:val="single" w:sz="4" w:space="0" w:color="auto"/>
            </w:tcBorders>
            <w:shd w:val="clear" w:color="auto" w:fill="EEECE1"/>
            <w:vAlign w:val="center"/>
          </w:tcPr>
          <w:p w14:paraId="15367162"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2</w:t>
            </w:r>
          </w:p>
        </w:tc>
        <w:tc>
          <w:tcPr>
            <w:tcW w:w="1052" w:type="dxa"/>
            <w:tcBorders>
              <w:top w:val="nil"/>
              <w:left w:val="single" w:sz="4" w:space="0" w:color="auto"/>
              <w:bottom w:val="single" w:sz="4" w:space="0" w:color="auto"/>
              <w:right w:val="single" w:sz="4" w:space="0" w:color="auto"/>
            </w:tcBorders>
            <w:shd w:val="clear" w:color="auto" w:fill="EEECE1"/>
            <w:vAlign w:val="center"/>
          </w:tcPr>
          <w:p w14:paraId="64A87D30"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3</w:t>
            </w:r>
          </w:p>
        </w:tc>
        <w:tc>
          <w:tcPr>
            <w:tcW w:w="804" w:type="dxa"/>
            <w:tcBorders>
              <w:top w:val="nil"/>
              <w:left w:val="single" w:sz="4" w:space="0" w:color="auto"/>
              <w:bottom w:val="single" w:sz="4" w:space="0" w:color="auto"/>
              <w:right w:val="single" w:sz="4" w:space="0" w:color="auto"/>
            </w:tcBorders>
            <w:shd w:val="clear" w:color="auto" w:fill="EEECE1"/>
            <w:vAlign w:val="center"/>
          </w:tcPr>
          <w:p w14:paraId="2ED78A4F"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4</w:t>
            </w:r>
          </w:p>
        </w:tc>
        <w:tc>
          <w:tcPr>
            <w:tcW w:w="686" w:type="dxa"/>
            <w:tcBorders>
              <w:top w:val="nil"/>
              <w:left w:val="single" w:sz="4" w:space="0" w:color="auto"/>
              <w:bottom w:val="single" w:sz="4" w:space="0" w:color="auto"/>
              <w:right w:val="single" w:sz="4" w:space="0" w:color="auto"/>
            </w:tcBorders>
            <w:shd w:val="clear" w:color="auto" w:fill="EEECE1"/>
            <w:vAlign w:val="center"/>
          </w:tcPr>
          <w:p w14:paraId="1DE1B372"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5</w:t>
            </w:r>
          </w:p>
        </w:tc>
        <w:tc>
          <w:tcPr>
            <w:tcW w:w="733" w:type="dxa"/>
            <w:tcBorders>
              <w:top w:val="nil"/>
              <w:left w:val="single" w:sz="4" w:space="0" w:color="auto"/>
              <w:bottom w:val="single" w:sz="4" w:space="0" w:color="auto"/>
              <w:right w:val="single" w:sz="4" w:space="0" w:color="auto"/>
            </w:tcBorders>
            <w:shd w:val="clear" w:color="auto" w:fill="EEECE1"/>
            <w:vAlign w:val="center"/>
          </w:tcPr>
          <w:p w14:paraId="76ADDF79"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6</w:t>
            </w:r>
          </w:p>
        </w:tc>
        <w:tc>
          <w:tcPr>
            <w:tcW w:w="772" w:type="dxa"/>
            <w:tcBorders>
              <w:top w:val="nil"/>
              <w:left w:val="single" w:sz="4" w:space="0" w:color="auto"/>
              <w:bottom w:val="single" w:sz="4" w:space="0" w:color="auto"/>
              <w:right w:val="single" w:sz="4" w:space="0" w:color="auto"/>
            </w:tcBorders>
            <w:shd w:val="clear" w:color="auto" w:fill="EEECE1"/>
            <w:vAlign w:val="center"/>
          </w:tcPr>
          <w:p w14:paraId="0763149B"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7</w:t>
            </w:r>
          </w:p>
        </w:tc>
        <w:tc>
          <w:tcPr>
            <w:tcW w:w="813" w:type="dxa"/>
            <w:tcBorders>
              <w:top w:val="nil"/>
              <w:left w:val="single" w:sz="4" w:space="0" w:color="auto"/>
              <w:bottom w:val="single" w:sz="4" w:space="0" w:color="auto"/>
              <w:right w:val="single" w:sz="4" w:space="0" w:color="auto"/>
            </w:tcBorders>
            <w:shd w:val="clear" w:color="auto" w:fill="EEECE1"/>
            <w:vAlign w:val="center"/>
          </w:tcPr>
          <w:p w14:paraId="7F1A244B"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8</w:t>
            </w:r>
          </w:p>
        </w:tc>
        <w:tc>
          <w:tcPr>
            <w:tcW w:w="800" w:type="dxa"/>
            <w:tcBorders>
              <w:top w:val="nil"/>
              <w:left w:val="single" w:sz="4" w:space="0" w:color="auto"/>
              <w:bottom w:val="single" w:sz="4" w:space="0" w:color="auto"/>
              <w:right w:val="single" w:sz="4" w:space="0" w:color="auto"/>
            </w:tcBorders>
            <w:shd w:val="clear" w:color="auto" w:fill="EEECE1"/>
            <w:vAlign w:val="center"/>
          </w:tcPr>
          <w:p w14:paraId="28EF54F9"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9</w:t>
            </w:r>
          </w:p>
        </w:tc>
        <w:tc>
          <w:tcPr>
            <w:tcW w:w="813" w:type="dxa"/>
            <w:tcBorders>
              <w:top w:val="nil"/>
              <w:left w:val="single" w:sz="4" w:space="0" w:color="auto"/>
              <w:bottom w:val="single" w:sz="4" w:space="0" w:color="auto"/>
              <w:right w:val="single" w:sz="4" w:space="0" w:color="auto"/>
            </w:tcBorders>
            <w:shd w:val="clear" w:color="auto" w:fill="EEECE1"/>
            <w:vAlign w:val="center"/>
          </w:tcPr>
          <w:p w14:paraId="009B9486"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10=8-6</w:t>
            </w:r>
          </w:p>
        </w:tc>
        <w:tc>
          <w:tcPr>
            <w:tcW w:w="691" w:type="dxa"/>
            <w:tcBorders>
              <w:top w:val="nil"/>
              <w:left w:val="single" w:sz="4" w:space="0" w:color="auto"/>
              <w:bottom w:val="single" w:sz="4" w:space="0" w:color="auto"/>
              <w:right w:val="single" w:sz="4" w:space="0" w:color="auto"/>
            </w:tcBorders>
            <w:shd w:val="clear" w:color="auto" w:fill="EEECE1"/>
          </w:tcPr>
          <w:p w14:paraId="6B9D97C4"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11=9-7</w:t>
            </w:r>
          </w:p>
        </w:tc>
      </w:tr>
      <w:tr w:rsidR="005258B2" w:rsidRPr="005258B2" w14:paraId="1EF8D057" w14:textId="77777777" w:rsidTr="005258B2">
        <w:trPr>
          <w:trHeight w:val="289"/>
          <w:jc w:val="center"/>
        </w:trPr>
        <w:tc>
          <w:tcPr>
            <w:tcW w:w="473" w:type="dxa"/>
            <w:tcBorders>
              <w:top w:val="nil"/>
              <w:left w:val="single" w:sz="4" w:space="0" w:color="auto"/>
              <w:bottom w:val="single" w:sz="4" w:space="0" w:color="auto"/>
              <w:right w:val="single" w:sz="4" w:space="0" w:color="auto"/>
            </w:tcBorders>
            <w:noWrap/>
            <w:vAlign w:val="center"/>
          </w:tcPr>
          <w:p w14:paraId="437B48F2"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1.</w:t>
            </w:r>
          </w:p>
        </w:tc>
        <w:tc>
          <w:tcPr>
            <w:tcW w:w="1856" w:type="dxa"/>
            <w:tcBorders>
              <w:top w:val="nil"/>
              <w:left w:val="nil"/>
              <w:bottom w:val="single" w:sz="4" w:space="0" w:color="auto"/>
              <w:right w:val="single" w:sz="4" w:space="0" w:color="auto"/>
            </w:tcBorders>
            <w:vAlign w:val="center"/>
          </w:tcPr>
          <w:p w14:paraId="6BAA53C3" w14:textId="77777777" w:rsidR="005258B2" w:rsidRPr="005258B2" w:rsidRDefault="005258B2" w:rsidP="005258B2">
            <w:pPr>
              <w:spacing w:after="0" w:line="240" w:lineRule="auto"/>
              <w:rPr>
                <w:rFonts w:asciiTheme="majorHAnsi" w:hAnsiTheme="majorHAnsi" w:cstheme="majorHAnsi"/>
                <w:sz w:val="16"/>
                <w:szCs w:val="16"/>
                <w:lang w:val="ro-RO"/>
              </w:rPr>
            </w:pPr>
            <w:r w:rsidRPr="005258B2">
              <w:rPr>
                <w:rFonts w:asciiTheme="majorHAnsi" w:hAnsiTheme="majorHAnsi" w:cstheme="majorHAnsi"/>
                <w:sz w:val="16"/>
                <w:szCs w:val="16"/>
                <w:lang w:val="ro-RO"/>
              </w:rPr>
              <w:t>SA „Flamingo-96”, mun. Bălți</w:t>
            </w:r>
          </w:p>
        </w:tc>
        <w:tc>
          <w:tcPr>
            <w:tcW w:w="1052" w:type="dxa"/>
            <w:tcBorders>
              <w:top w:val="nil"/>
              <w:left w:val="single" w:sz="4" w:space="0" w:color="auto"/>
              <w:bottom w:val="single" w:sz="4" w:space="0" w:color="auto"/>
              <w:right w:val="single" w:sz="4" w:space="0" w:color="auto"/>
            </w:tcBorders>
            <w:vAlign w:val="center"/>
          </w:tcPr>
          <w:p w14:paraId="005C569B" w14:textId="77777777" w:rsidR="005258B2" w:rsidRPr="005258B2" w:rsidRDefault="005258B2" w:rsidP="005258B2">
            <w:pPr>
              <w:spacing w:after="0" w:line="240" w:lineRule="auto"/>
              <w:jc w:val="center"/>
              <w:rPr>
                <w:rFonts w:asciiTheme="majorHAnsi" w:hAnsiTheme="majorHAnsi" w:cstheme="majorHAnsi"/>
                <w:sz w:val="16"/>
                <w:szCs w:val="16"/>
                <w:lang w:val="ro-RO"/>
              </w:rPr>
            </w:pPr>
            <w:proofErr w:type="spellStart"/>
            <w:r w:rsidRPr="005258B2">
              <w:rPr>
                <w:rFonts w:asciiTheme="majorHAnsi" w:hAnsiTheme="majorHAnsi" w:cstheme="majorHAnsi"/>
                <w:sz w:val="16"/>
                <w:szCs w:val="16"/>
                <w:lang w:val="ro-RO"/>
              </w:rPr>
              <w:t>mil.</w:t>
            </w:r>
            <w:r w:rsidR="00F040EE">
              <w:rPr>
                <w:rFonts w:asciiTheme="majorHAnsi" w:hAnsiTheme="majorHAnsi" w:cstheme="majorHAnsi"/>
                <w:sz w:val="16"/>
                <w:szCs w:val="16"/>
                <w:lang w:val="ro-RO"/>
              </w:rPr>
              <w:t>MDL</w:t>
            </w:r>
            <w:proofErr w:type="spellEnd"/>
          </w:p>
        </w:tc>
        <w:tc>
          <w:tcPr>
            <w:tcW w:w="804" w:type="dxa"/>
            <w:tcBorders>
              <w:top w:val="nil"/>
              <w:left w:val="single" w:sz="4" w:space="0" w:color="auto"/>
              <w:bottom w:val="single" w:sz="4" w:space="0" w:color="auto"/>
              <w:right w:val="single" w:sz="4" w:space="0" w:color="auto"/>
            </w:tcBorders>
            <w:vAlign w:val="center"/>
          </w:tcPr>
          <w:p w14:paraId="71732809"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w:t>
            </w:r>
          </w:p>
        </w:tc>
        <w:tc>
          <w:tcPr>
            <w:tcW w:w="686" w:type="dxa"/>
            <w:tcBorders>
              <w:top w:val="nil"/>
              <w:left w:val="single" w:sz="4" w:space="0" w:color="auto"/>
              <w:bottom w:val="single" w:sz="4" w:space="0" w:color="auto"/>
              <w:right w:val="single" w:sz="4" w:space="0" w:color="auto"/>
            </w:tcBorders>
            <w:vAlign w:val="center"/>
          </w:tcPr>
          <w:p w14:paraId="69D3D628"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2,4</w:t>
            </w:r>
          </w:p>
        </w:tc>
        <w:tc>
          <w:tcPr>
            <w:tcW w:w="733" w:type="dxa"/>
            <w:tcBorders>
              <w:top w:val="nil"/>
              <w:left w:val="single" w:sz="4" w:space="0" w:color="auto"/>
              <w:bottom w:val="single" w:sz="4" w:space="0" w:color="auto"/>
              <w:right w:val="single" w:sz="4" w:space="0" w:color="auto"/>
            </w:tcBorders>
            <w:vAlign w:val="center"/>
          </w:tcPr>
          <w:p w14:paraId="7ECBB28A"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w:t>
            </w:r>
          </w:p>
        </w:tc>
        <w:tc>
          <w:tcPr>
            <w:tcW w:w="772" w:type="dxa"/>
            <w:tcBorders>
              <w:top w:val="nil"/>
              <w:left w:val="single" w:sz="4" w:space="0" w:color="auto"/>
              <w:bottom w:val="single" w:sz="4" w:space="0" w:color="auto"/>
              <w:right w:val="single" w:sz="4" w:space="0" w:color="auto"/>
            </w:tcBorders>
            <w:vAlign w:val="center"/>
          </w:tcPr>
          <w:p w14:paraId="678D5B8E"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2,4</w:t>
            </w:r>
          </w:p>
        </w:tc>
        <w:tc>
          <w:tcPr>
            <w:tcW w:w="813" w:type="dxa"/>
            <w:tcBorders>
              <w:top w:val="nil"/>
              <w:left w:val="single" w:sz="4" w:space="0" w:color="auto"/>
              <w:bottom w:val="single" w:sz="4" w:space="0" w:color="auto"/>
              <w:right w:val="single" w:sz="4" w:space="0" w:color="auto"/>
            </w:tcBorders>
            <w:vAlign w:val="center"/>
          </w:tcPr>
          <w:p w14:paraId="34FE4781"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w:t>
            </w:r>
          </w:p>
        </w:tc>
        <w:tc>
          <w:tcPr>
            <w:tcW w:w="800" w:type="dxa"/>
            <w:tcBorders>
              <w:top w:val="nil"/>
              <w:left w:val="single" w:sz="4" w:space="0" w:color="auto"/>
              <w:bottom w:val="single" w:sz="4" w:space="0" w:color="auto"/>
              <w:right w:val="single" w:sz="4" w:space="0" w:color="auto"/>
            </w:tcBorders>
            <w:vAlign w:val="center"/>
          </w:tcPr>
          <w:p w14:paraId="1A09EF71"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2,4</w:t>
            </w:r>
          </w:p>
        </w:tc>
        <w:tc>
          <w:tcPr>
            <w:tcW w:w="813" w:type="dxa"/>
            <w:tcBorders>
              <w:top w:val="nil"/>
              <w:left w:val="single" w:sz="4" w:space="0" w:color="auto"/>
              <w:bottom w:val="single" w:sz="4" w:space="0" w:color="auto"/>
              <w:right w:val="single" w:sz="4" w:space="0" w:color="auto"/>
            </w:tcBorders>
            <w:vAlign w:val="center"/>
          </w:tcPr>
          <w:p w14:paraId="0A3371C9"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w:t>
            </w:r>
          </w:p>
        </w:tc>
        <w:tc>
          <w:tcPr>
            <w:tcW w:w="691" w:type="dxa"/>
            <w:tcBorders>
              <w:top w:val="nil"/>
              <w:left w:val="single" w:sz="4" w:space="0" w:color="auto"/>
              <w:bottom w:val="single" w:sz="4" w:space="0" w:color="auto"/>
              <w:right w:val="single" w:sz="4" w:space="0" w:color="auto"/>
            </w:tcBorders>
          </w:tcPr>
          <w:p w14:paraId="72A0D42E"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w:t>
            </w:r>
          </w:p>
        </w:tc>
      </w:tr>
      <w:tr w:rsidR="005258B2" w:rsidRPr="005258B2" w14:paraId="23DC6964" w14:textId="77777777" w:rsidTr="005258B2">
        <w:trPr>
          <w:trHeight w:val="392"/>
          <w:jc w:val="center"/>
        </w:trPr>
        <w:tc>
          <w:tcPr>
            <w:tcW w:w="473" w:type="dxa"/>
            <w:tcBorders>
              <w:top w:val="nil"/>
              <w:left w:val="single" w:sz="4" w:space="0" w:color="auto"/>
              <w:bottom w:val="single" w:sz="4" w:space="0" w:color="auto"/>
              <w:right w:val="single" w:sz="4" w:space="0" w:color="auto"/>
            </w:tcBorders>
            <w:noWrap/>
            <w:vAlign w:val="center"/>
          </w:tcPr>
          <w:p w14:paraId="4A5D552C" w14:textId="77777777" w:rsidR="005258B2" w:rsidRPr="005258B2" w:rsidRDefault="005258B2" w:rsidP="005258B2">
            <w:pPr>
              <w:spacing w:after="0" w:line="240" w:lineRule="auto"/>
              <w:jc w:val="center"/>
              <w:rPr>
                <w:rFonts w:asciiTheme="majorHAnsi" w:hAnsiTheme="majorHAnsi" w:cstheme="majorHAnsi"/>
                <w:b/>
                <w:sz w:val="16"/>
                <w:szCs w:val="16"/>
                <w:lang w:val="ro-RO"/>
              </w:rPr>
            </w:pPr>
          </w:p>
        </w:tc>
        <w:tc>
          <w:tcPr>
            <w:tcW w:w="1856" w:type="dxa"/>
            <w:tcBorders>
              <w:top w:val="nil"/>
              <w:left w:val="nil"/>
              <w:bottom w:val="single" w:sz="4" w:space="0" w:color="auto"/>
              <w:right w:val="single" w:sz="4" w:space="0" w:color="auto"/>
            </w:tcBorders>
            <w:vAlign w:val="center"/>
          </w:tcPr>
          <w:p w14:paraId="79996255" w14:textId="77777777" w:rsidR="005258B2" w:rsidRPr="005258B2" w:rsidRDefault="005258B2" w:rsidP="005258B2">
            <w:pPr>
              <w:spacing w:after="0" w:line="240" w:lineRule="auto"/>
              <w:rPr>
                <w:rFonts w:asciiTheme="majorHAnsi" w:hAnsiTheme="majorHAnsi" w:cstheme="majorHAnsi"/>
                <w:b/>
                <w:sz w:val="16"/>
                <w:szCs w:val="16"/>
                <w:lang w:val="ro-RO"/>
              </w:rPr>
            </w:pPr>
            <w:r w:rsidRPr="005258B2">
              <w:rPr>
                <w:rFonts w:asciiTheme="majorHAnsi" w:hAnsiTheme="majorHAnsi" w:cstheme="majorHAnsi"/>
                <w:b/>
                <w:sz w:val="16"/>
                <w:szCs w:val="16"/>
                <w:lang w:val="ro-RO"/>
              </w:rPr>
              <w:t>Total, împrumuturi interne garantate</w:t>
            </w:r>
          </w:p>
        </w:tc>
        <w:tc>
          <w:tcPr>
            <w:tcW w:w="1052" w:type="dxa"/>
            <w:tcBorders>
              <w:top w:val="nil"/>
              <w:left w:val="single" w:sz="4" w:space="0" w:color="auto"/>
              <w:bottom w:val="single" w:sz="4" w:space="0" w:color="auto"/>
              <w:right w:val="single" w:sz="4" w:space="0" w:color="auto"/>
            </w:tcBorders>
          </w:tcPr>
          <w:p w14:paraId="0C5E3F8F" w14:textId="77777777" w:rsidR="005258B2" w:rsidRPr="005258B2" w:rsidRDefault="005258B2" w:rsidP="005258B2">
            <w:pPr>
              <w:spacing w:after="0" w:line="240" w:lineRule="auto"/>
              <w:jc w:val="center"/>
              <w:rPr>
                <w:rFonts w:asciiTheme="majorHAnsi" w:hAnsiTheme="majorHAnsi" w:cstheme="majorHAnsi"/>
                <w:b/>
                <w:sz w:val="16"/>
                <w:szCs w:val="16"/>
                <w:lang w:val="ro-RO"/>
              </w:rPr>
            </w:pPr>
            <w:proofErr w:type="spellStart"/>
            <w:r w:rsidRPr="005258B2">
              <w:rPr>
                <w:rFonts w:asciiTheme="majorHAnsi" w:hAnsiTheme="majorHAnsi" w:cstheme="majorHAnsi"/>
                <w:b/>
                <w:sz w:val="16"/>
                <w:szCs w:val="16"/>
                <w:lang w:val="ro-RO"/>
              </w:rPr>
              <w:t>mil.</w:t>
            </w:r>
            <w:r w:rsidR="00F040EE">
              <w:rPr>
                <w:rFonts w:asciiTheme="majorHAnsi" w:hAnsiTheme="majorHAnsi" w:cstheme="majorHAnsi"/>
                <w:b/>
                <w:sz w:val="16"/>
                <w:szCs w:val="16"/>
                <w:lang w:val="ro-RO"/>
              </w:rPr>
              <w:t>MDL</w:t>
            </w:r>
            <w:proofErr w:type="spellEnd"/>
          </w:p>
        </w:tc>
        <w:tc>
          <w:tcPr>
            <w:tcW w:w="804" w:type="dxa"/>
            <w:tcBorders>
              <w:top w:val="nil"/>
              <w:left w:val="single" w:sz="4" w:space="0" w:color="auto"/>
              <w:bottom w:val="single" w:sz="4" w:space="0" w:color="auto"/>
              <w:right w:val="single" w:sz="4" w:space="0" w:color="auto"/>
            </w:tcBorders>
            <w:vAlign w:val="center"/>
          </w:tcPr>
          <w:p w14:paraId="16B8FAFD"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w:t>
            </w:r>
          </w:p>
        </w:tc>
        <w:tc>
          <w:tcPr>
            <w:tcW w:w="686" w:type="dxa"/>
            <w:tcBorders>
              <w:top w:val="nil"/>
              <w:left w:val="single" w:sz="4" w:space="0" w:color="auto"/>
              <w:bottom w:val="single" w:sz="4" w:space="0" w:color="auto"/>
              <w:right w:val="single" w:sz="4" w:space="0" w:color="auto"/>
            </w:tcBorders>
            <w:vAlign w:val="center"/>
          </w:tcPr>
          <w:p w14:paraId="51816B90"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2,4</w:t>
            </w:r>
          </w:p>
        </w:tc>
        <w:tc>
          <w:tcPr>
            <w:tcW w:w="733" w:type="dxa"/>
            <w:tcBorders>
              <w:top w:val="nil"/>
              <w:left w:val="single" w:sz="4" w:space="0" w:color="auto"/>
              <w:bottom w:val="single" w:sz="4" w:space="0" w:color="auto"/>
              <w:right w:val="single" w:sz="4" w:space="0" w:color="auto"/>
            </w:tcBorders>
            <w:vAlign w:val="center"/>
          </w:tcPr>
          <w:p w14:paraId="6D08613B"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w:t>
            </w:r>
          </w:p>
        </w:tc>
        <w:tc>
          <w:tcPr>
            <w:tcW w:w="772" w:type="dxa"/>
            <w:tcBorders>
              <w:top w:val="nil"/>
              <w:left w:val="single" w:sz="4" w:space="0" w:color="auto"/>
              <w:bottom w:val="single" w:sz="4" w:space="0" w:color="auto"/>
              <w:right w:val="single" w:sz="4" w:space="0" w:color="auto"/>
            </w:tcBorders>
            <w:vAlign w:val="center"/>
          </w:tcPr>
          <w:p w14:paraId="7587002D"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2,4</w:t>
            </w:r>
          </w:p>
        </w:tc>
        <w:tc>
          <w:tcPr>
            <w:tcW w:w="813" w:type="dxa"/>
            <w:tcBorders>
              <w:top w:val="nil"/>
              <w:left w:val="single" w:sz="4" w:space="0" w:color="auto"/>
              <w:bottom w:val="single" w:sz="4" w:space="0" w:color="auto"/>
              <w:right w:val="single" w:sz="4" w:space="0" w:color="auto"/>
            </w:tcBorders>
            <w:vAlign w:val="center"/>
          </w:tcPr>
          <w:p w14:paraId="571EC657"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w:t>
            </w:r>
          </w:p>
        </w:tc>
        <w:tc>
          <w:tcPr>
            <w:tcW w:w="800" w:type="dxa"/>
            <w:tcBorders>
              <w:top w:val="nil"/>
              <w:left w:val="single" w:sz="4" w:space="0" w:color="auto"/>
              <w:bottom w:val="single" w:sz="4" w:space="0" w:color="auto"/>
              <w:right w:val="single" w:sz="4" w:space="0" w:color="auto"/>
            </w:tcBorders>
            <w:vAlign w:val="center"/>
          </w:tcPr>
          <w:p w14:paraId="52ABEB85"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2,4</w:t>
            </w:r>
          </w:p>
        </w:tc>
        <w:tc>
          <w:tcPr>
            <w:tcW w:w="813" w:type="dxa"/>
            <w:tcBorders>
              <w:top w:val="nil"/>
              <w:left w:val="single" w:sz="4" w:space="0" w:color="auto"/>
              <w:bottom w:val="single" w:sz="4" w:space="0" w:color="auto"/>
              <w:right w:val="single" w:sz="4" w:space="0" w:color="auto"/>
            </w:tcBorders>
            <w:vAlign w:val="center"/>
          </w:tcPr>
          <w:p w14:paraId="28772715"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w:t>
            </w:r>
          </w:p>
        </w:tc>
        <w:tc>
          <w:tcPr>
            <w:tcW w:w="691" w:type="dxa"/>
            <w:tcBorders>
              <w:top w:val="nil"/>
              <w:left w:val="single" w:sz="4" w:space="0" w:color="auto"/>
              <w:bottom w:val="single" w:sz="4" w:space="0" w:color="auto"/>
              <w:right w:val="single" w:sz="4" w:space="0" w:color="auto"/>
            </w:tcBorders>
          </w:tcPr>
          <w:p w14:paraId="7E231B54"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w:t>
            </w:r>
          </w:p>
        </w:tc>
      </w:tr>
      <w:tr w:rsidR="005258B2" w:rsidRPr="005258B2" w14:paraId="34FA39D0" w14:textId="77777777" w:rsidTr="003742BF">
        <w:trPr>
          <w:trHeight w:val="170"/>
          <w:jc w:val="center"/>
        </w:trPr>
        <w:tc>
          <w:tcPr>
            <w:tcW w:w="473" w:type="dxa"/>
            <w:tcBorders>
              <w:top w:val="single" w:sz="4" w:space="0" w:color="auto"/>
              <w:left w:val="single" w:sz="4" w:space="0" w:color="auto"/>
              <w:bottom w:val="single" w:sz="4" w:space="0" w:color="auto"/>
              <w:right w:val="single" w:sz="4" w:space="0" w:color="auto"/>
            </w:tcBorders>
            <w:noWrap/>
            <w:vAlign w:val="center"/>
          </w:tcPr>
          <w:p w14:paraId="59C3EF2D"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 xml:space="preserve">1. </w:t>
            </w:r>
          </w:p>
        </w:tc>
        <w:tc>
          <w:tcPr>
            <w:tcW w:w="1856" w:type="dxa"/>
            <w:tcBorders>
              <w:top w:val="single" w:sz="4" w:space="0" w:color="auto"/>
              <w:left w:val="nil"/>
              <w:bottom w:val="single" w:sz="4" w:space="0" w:color="auto"/>
              <w:right w:val="single" w:sz="4" w:space="0" w:color="auto"/>
            </w:tcBorders>
            <w:vAlign w:val="center"/>
          </w:tcPr>
          <w:p w14:paraId="4CBB86FC" w14:textId="77777777" w:rsidR="005258B2" w:rsidRPr="005258B2" w:rsidRDefault="005258B2" w:rsidP="005258B2">
            <w:pPr>
              <w:spacing w:after="0" w:line="240" w:lineRule="auto"/>
              <w:rPr>
                <w:rFonts w:asciiTheme="majorHAnsi" w:hAnsiTheme="majorHAnsi" w:cstheme="majorHAnsi"/>
                <w:sz w:val="16"/>
                <w:szCs w:val="16"/>
                <w:lang w:val="ro-RO"/>
              </w:rPr>
            </w:pPr>
            <w:r w:rsidRPr="005258B2">
              <w:rPr>
                <w:rFonts w:asciiTheme="majorHAnsi" w:hAnsiTheme="majorHAnsi" w:cstheme="majorHAnsi"/>
                <w:sz w:val="16"/>
                <w:szCs w:val="16"/>
                <w:lang w:val="ro-RO"/>
              </w:rPr>
              <w:t>ÎS „Fabrica de Sticlă din Chișinău”</w:t>
            </w:r>
          </w:p>
        </w:tc>
        <w:tc>
          <w:tcPr>
            <w:tcW w:w="1052" w:type="dxa"/>
            <w:tcBorders>
              <w:top w:val="single" w:sz="4" w:space="0" w:color="auto"/>
              <w:left w:val="single" w:sz="4" w:space="0" w:color="auto"/>
              <w:bottom w:val="single" w:sz="4" w:space="0" w:color="auto"/>
              <w:right w:val="single" w:sz="4" w:space="0" w:color="auto"/>
            </w:tcBorders>
            <w:vAlign w:val="center"/>
          </w:tcPr>
          <w:p w14:paraId="51365221" w14:textId="77777777" w:rsidR="005258B2" w:rsidRPr="005258B2" w:rsidRDefault="005258B2" w:rsidP="005258B2">
            <w:pPr>
              <w:spacing w:after="0" w:line="240" w:lineRule="auto"/>
              <w:jc w:val="center"/>
              <w:rPr>
                <w:rFonts w:asciiTheme="majorHAnsi" w:hAnsiTheme="majorHAnsi" w:cstheme="majorHAnsi"/>
                <w:sz w:val="16"/>
                <w:szCs w:val="16"/>
                <w:lang w:val="ro-RO"/>
              </w:rPr>
            </w:pPr>
            <w:proofErr w:type="spellStart"/>
            <w:r w:rsidRPr="005258B2">
              <w:rPr>
                <w:rFonts w:asciiTheme="majorHAnsi" w:hAnsiTheme="majorHAnsi" w:cstheme="majorHAnsi"/>
                <w:sz w:val="16"/>
                <w:szCs w:val="16"/>
                <w:lang w:val="ro-RO"/>
              </w:rPr>
              <w:t>mil.euro</w:t>
            </w:r>
            <w:proofErr w:type="spellEnd"/>
          </w:p>
        </w:tc>
        <w:tc>
          <w:tcPr>
            <w:tcW w:w="804" w:type="dxa"/>
            <w:tcBorders>
              <w:top w:val="single" w:sz="4" w:space="0" w:color="auto"/>
              <w:left w:val="single" w:sz="4" w:space="0" w:color="auto"/>
              <w:bottom w:val="single" w:sz="4" w:space="0" w:color="auto"/>
              <w:right w:val="single" w:sz="4" w:space="0" w:color="auto"/>
            </w:tcBorders>
            <w:vAlign w:val="center"/>
          </w:tcPr>
          <w:p w14:paraId="2BF99B00"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w:t>
            </w:r>
          </w:p>
        </w:tc>
        <w:tc>
          <w:tcPr>
            <w:tcW w:w="686" w:type="dxa"/>
            <w:tcBorders>
              <w:top w:val="single" w:sz="4" w:space="0" w:color="auto"/>
              <w:left w:val="single" w:sz="4" w:space="0" w:color="auto"/>
              <w:bottom w:val="single" w:sz="4" w:space="0" w:color="auto"/>
              <w:right w:val="single" w:sz="4" w:space="0" w:color="auto"/>
            </w:tcBorders>
            <w:vAlign w:val="center"/>
          </w:tcPr>
          <w:p w14:paraId="21BC0EC4"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w:t>
            </w:r>
          </w:p>
        </w:tc>
        <w:tc>
          <w:tcPr>
            <w:tcW w:w="733" w:type="dxa"/>
            <w:tcBorders>
              <w:top w:val="single" w:sz="4" w:space="0" w:color="auto"/>
              <w:left w:val="single" w:sz="4" w:space="0" w:color="auto"/>
              <w:bottom w:val="single" w:sz="4" w:space="0" w:color="auto"/>
              <w:right w:val="single" w:sz="4" w:space="0" w:color="auto"/>
            </w:tcBorders>
            <w:vAlign w:val="center"/>
          </w:tcPr>
          <w:p w14:paraId="468F3EC8"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0</w:t>
            </w:r>
            <w:r w:rsidR="0037028A">
              <w:rPr>
                <w:rFonts w:asciiTheme="majorHAnsi" w:hAnsiTheme="majorHAnsi" w:cstheme="majorHAnsi"/>
                <w:sz w:val="16"/>
                <w:szCs w:val="16"/>
                <w:lang w:val="ro-RO"/>
              </w:rPr>
              <w:t>,05</w:t>
            </w:r>
          </w:p>
        </w:tc>
        <w:tc>
          <w:tcPr>
            <w:tcW w:w="772" w:type="dxa"/>
            <w:tcBorders>
              <w:top w:val="single" w:sz="4" w:space="0" w:color="auto"/>
              <w:left w:val="single" w:sz="4" w:space="0" w:color="auto"/>
              <w:bottom w:val="single" w:sz="4" w:space="0" w:color="auto"/>
              <w:right w:val="single" w:sz="4" w:space="0" w:color="auto"/>
            </w:tcBorders>
            <w:vAlign w:val="center"/>
          </w:tcPr>
          <w:p w14:paraId="006866BC" w14:textId="77777777" w:rsidR="005258B2" w:rsidRPr="005258B2" w:rsidRDefault="0055344B" w:rsidP="005258B2">
            <w:pPr>
              <w:spacing w:after="0" w:line="240" w:lineRule="auto"/>
              <w:jc w:val="center"/>
              <w:rPr>
                <w:rFonts w:asciiTheme="majorHAnsi" w:hAnsiTheme="majorHAnsi" w:cstheme="majorHAnsi"/>
                <w:sz w:val="16"/>
                <w:szCs w:val="16"/>
                <w:lang w:val="ro-RO"/>
              </w:rPr>
            </w:pPr>
            <w:r>
              <w:rPr>
                <w:rFonts w:asciiTheme="majorHAnsi" w:hAnsiTheme="majorHAnsi" w:cstheme="majorHAnsi"/>
                <w:sz w:val="16"/>
                <w:szCs w:val="16"/>
                <w:lang w:val="ro-RO"/>
              </w:rPr>
              <w:t>1,1</w:t>
            </w:r>
          </w:p>
        </w:tc>
        <w:tc>
          <w:tcPr>
            <w:tcW w:w="813" w:type="dxa"/>
            <w:tcBorders>
              <w:top w:val="single" w:sz="4" w:space="0" w:color="auto"/>
              <w:left w:val="single" w:sz="4" w:space="0" w:color="auto"/>
              <w:bottom w:val="single" w:sz="4" w:space="0" w:color="auto"/>
              <w:right w:val="single" w:sz="4" w:space="0" w:color="auto"/>
            </w:tcBorders>
            <w:vAlign w:val="center"/>
          </w:tcPr>
          <w:p w14:paraId="4039F93D"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0</w:t>
            </w:r>
          </w:p>
        </w:tc>
        <w:tc>
          <w:tcPr>
            <w:tcW w:w="800" w:type="dxa"/>
            <w:tcBorders>
              <w:top w:val="single" w:sz="4" w:space="0" w:color="auto"/>
              <w:left w:val="single" w:sz="4" w:space="0" w:color="auto"/>
              <w:bottom w:val="single" w:sz="4" w:space="0" w:color="auto"/>
              <w:right w:val="single" w:sz="4" w:space="0" w:color="auto"/>
            </w:tcBorders>
            <w:vAlign w:val="center"/>
          </w:tcPr>
          <w:p w14:paraId="0B1B62D2"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0</w:t>
            </w:r>
          </w:p>
        </w:tc>
        <w:tc>
          <w:tcPr>
            <w:tcW w:w="813" w:type="dxa"/>
            <w:tcBorders>
              <w:top w:val="single" w:sz="4" w:space="0" w:color="auto"/>
              <w:left w:val="single" w:sz="4" w:space="0" w:color="auto"/>
              <w:bottom w:val="single" w:sz="4" w:space="0" w:color="auto"/>
              <w:right w:val="single" w:sz="4" w:space="0" w:color="auto"/>
            </w:tcBorders>
            <w:vAlign w:val="center"/>
          </w:tcPr>
          <w:p w14:paraId="34AAC2FE" w14:textId="77777777" w:rsidR="005258B2" w:rsidRPr="005258B2" w:rsidRDefault="0055344B" w:rsidP="005258B2">
            <w:pPr>
              <w:spacing w:after="0" w:line="240" w:lineRule="auto"/>
              <w:jc w:val="center"/>
              <w:rPr>
                <w:rFonts w:asciiTheme="majorHAnsi" w:hAnsiTheme="majorHAnsi" w:cstheme="majorHAnsi"/>
                <w:sz w:val="16"/>
                <w:szCs w:val="16"/>
                <w:lang w:val="ro-RO"/>
              </w:rPr>
            </w:pPr>
            <w:r>
              <w:rPr>
                <w:rFonts w:asciiTheme="majorHAnsi" w:hAnsiTheme="majorHAnsi" w:cstheme="majorHAnsi"/>
                <w:sz w:val="16"/>
                <w:szCs w:val="16"/>
                <w:lang w:val="ro-RO"/>
              </w:rPr>
              <w:t>-</w:t>
            </w:r>
            <w:r w:rsidR="005258B2" w:rsidRPr="005258B2">
              <w:rPr>
                <w:rFonts w:asciiTheme="majorHAnsi" w:hAnsiTheme="majorHAnsi" w:cstheme="majorHAnsi"/>
                <w:sz w:val="16"/>
                <w:szCs w:val="16"/>
                <w:lang w:val="ro-RO"/>
              </w:rPr>
              <w:t>0</w:t>
            </w:r>
            <w:r>
              <w:rPr>
                <w:rFonts w:asciiTheme="majorHAnsi" w:hAnsiTheme="majorHAnsi" w:cstheme="majorHAnsi"/>
                <w:sz w:val="16"/>
                <w:szCs w:val="16"/>
                <w:lang w:val="ro-RO"/>
              </w:rPr>
              <w:t>,05</w:t>
            </w:r>
          </w:p>
        </w:tc>
        <w:tc>
          <w:tcPr>
            <w:tcW w:w="691" w:type="dxa"/>
            <w:tcBorders>
              <w:top w:val="single" w:sz="4" w:space="0" w:color="auto"/>
              <w:left w:val="single" w:sz="4" w:space="0" w:color="auto"/>
              <w:bottom w:val="single" w:sz="4" w:space="0" w:color="auto"/>
              <w:right w:val="single" w:sz="4" w:space="0" w:color="auto"/>
            </w:tcBorders>
            <w:vAlign w:val="center"/>
          </w:tcPr>
          <w:p w14:paraId="160766AA" w14:textId="77777777" w:rsidR="005258B2" w:rsidRPr="005258B2" w:rsidRDefault="0055344B" w:rsidP="0037028A">
            <w:pPr>
              <w:spacing w:after="0" w:line="240" w:lineRule="auto"/>
              <w:rPr>
                <w:rFonts w:asciiTheme="majorHAnsi" w:hAnsiTheme="majorHAnsi" w:cstheme="majorHAnsi"/>
                <w:sz w:val="16"/>
                <w:szCs w:val="16"/>
                <w:lang w:val="ro-RO"/>
              </w:rPr>
            </w:pPr>
            <w:r>
              <w:rPr>
                <w:rFonts w:asciiTheme="majorHAnsi" w:hAnsiTheme="majorHAnsi" w:cstheme="majorHAnsi"/>
                <w:sz w:val="16"/>
                <w:szCs w:val="16"/>
                <w:lang w:val="ro-RO"/>
              </w:rPr>
              <w:t xml:space="preserve">  -1,0</w:t>
            </w:r>
          </w:p>
        </w:tc>
      </w:tr>
      <w:tr w:rsidR="005258B2" w:rsidRPr="005258B2" w14:paraId="68C3FC35" w14:textId="77777777" w:rsidTr="003742BF">
        <w:trPr>
          <w:trHeight w:val="115"/>
          <w:jc w:val="center"/>
        </w:trPr>
        <w:tc>
          <w:tcPr>
            <w:tcW w:w="473" w:type="dxa"/>
            <w:tcBorders>
              <w:top w:val="nil"/>
              <w:left w:val="single" w:sz="4" w:space="0" w:color="auto"/>
              <w:bottom w:val="single" w:sz="4" w:space="0" w:color="auto"/>
              <w:right w:val="single" w:sz="4" w:space="0" w:color="auto"/>
            </w:tcBorders>
            <w:noWrap/>
            <w:vAlign w:val="center"/>
          </w:tcPr>
          <w:p w14:paraId="7E88A0EC"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2.</w:t>
            </w:r>
          </w:p>
        </w:tc>
        <w:tc>
          <w:tcPr>
            <w:tcW w:w="1856" w:type="dxa"/>
            <w:tcBorders>
              <w:top w:val="nil"/>
              <w:left w:val="nil"/>
              <w:bottom w:val="single" w:sz="4" w:space="0" w:color="auto"/>
              <w:right w:val="single" w:sz="4" w:space="0" w:color="auto"/>
            </w:tcBorders>
            <w:vAlign w:val="center"/>
          </w:tcPr>
          <w:p w14:paraId="5A927F0F" w14:textId="77777777" w:rsidR="005258B2" w:rsidRPr="005258B2" w:rsidRDefault="005258B2" w:rsidP="005258B2">
            <w:pPr>
              <w:spacing w:after="0" w:line="240" w:lineRule="auto"/>
              <w:rPr>
                <w:rFonts w:asciiTheme="majorHAnsi" w:hAnsiTheme="majorHAnsi" w:cstheme="majorHAnsi"/>
                <w:sz w:val="16"/>
                <w:szCs w:val="16"/>
                <w:lang w:val="ro-RO"/>
              </w:rPr>
            </w:pPr>
            <w:r w:rsidRPr="005258B2">
              <w:rPr>
                <w:rFonts w:asciiTheme="majorHAnsi" w:hAnsiTheme="majorHAnsi" w:cstheme="majorHAnsi"/>
                <w:sz w:val="16"/>
                <w:szCs w:val="16"/>
                <w:lang w:val="ro-RO"/>
              </w:rPr>
              <w:t>ÎM ,,</w:t>
            </w:r>
            <w:proofErr w:type="spellStart"/>
            <w:r w:rsidRPr="005258B2">
              <w:rPr>
                <w:rFonts w:asciiTheme="majorHAnsi" w:hAnsiTheme="majorHAnsi" w:cstheme="majorHAnsi"/>
                <w:sz w:val="16"/>
                <w:szCs w:val="16"/>
                <w:lang w:val="ro-RO"/>
              </w:rPr>
              <w:t>Santek</w:t>
            </w:r>
            <w:proofErr w:type="spellEnd"/>
            <w:r w:rsidRPr="005258B2">
              <w:rPr>
                <w:rFonts w:asciiTheme="majorHAnsi" w:hAnsiTheme="majorHAnsi" w:cstheme="majorHAnsi"/>
                <w:sz w:val="16"/>
                <w:szCs w:val="16"/>
                <w:lang w:val="ro-RO"/>
              </w:rPr>
              <w:t>” SA, Taraclia</w:t>
            </w:r>
          </w:p>
        </w:tc>
        <w:tc>
          <w:tcPr>
            <w:tcW w:w="1052" w:type="dxa"/>
            <w:tcBorders>
              <w:top w:val="nil"/>
              <w:left w:val="single" w:sz="4" w:space="0" w:color="auto"/>
              <w:bottom w:val="single" w:sz="4" w:space="0" w:color="auto"/>
              <w:right w:val="single" w:sz="4" w:space="0" w:color="auto"/>
            </w:tcBorders>
            <w:vAlign w:val="center"/>
          </w:tcPr>
          <w:p w14:paraId="41215012" w14:textId="77777777" w:rsidR="005258B2" w:rsidRPr="005258B2" w:rsidRDefault="005258B2" w:rsidP="005258B2">
            <w:pPr>
              <w:spacing w:after="0" w:line="240" w:lineRule="auto"/>
              <w:jc w:val="center"/>
              <w:rPr>
                <w:rFonts w:asciiTheme="majorHAnsi" w:hAnsiTheme="majorHAnsi" w:cstheme="majorHAnsi"/>
                <w:sz w:val="16"/>
                <w:szCs w:val="16"/>
                <w:lang w:val="ro-RO"/>
              </w:rPr>
            </w:pPr>
            <w:proofErr w:type="spellStart"/>
            <w:r w:rsidRPr="005258B2">
              <w:rPr>
                <w:rFonts w:asciiTheme="majorHAnsi" w:hAnsiTheme="majorHAnsi" w:cstheme="majorHAnsi"/>
                <w:sz w:val="16"/>
                <w:szCs w:val="16"/>
                <w:lang w:val="ro-RO"/>
              </w:rPr>
              <w:t>mil.euro</w:t>
            </w:r>
            <w:proofErr w:type="spellEnd"/>
          </w:p>
        </w:tc>
        <w:tc>
          <w:tcPr>
            <w:tcW w:w="804" w:type="dxa"/>
            <w:tcBorders>
              <w:top w:val="nil"/>
              <w:left w:val="single" w:sz="4" w:space="0" w:color="auto"/>
              <w:bottom w:val="single" w:sz="4" w:space="0" w:color="auto"/>
              <w:right w:val="single" w:sz="4" w:space="0" w:color="auto"/>
            </w:tcBorders>
            <w:vAlign w:val="center"/>
          </w:tcPr>
          <w:p w14:paraId="3609926A"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16,3</w:t>
            </w:r>
          </w:p>
        </w:tc>
        <w:tc>
          <w:tcPr>
            <w:tcW w:w="686" w:type="dxa"/>
            <w:tcBorders>
              <w:top w:val="nil"/>
              <w:left w:val="single" w:sz="4" w:space="0" w:color="auto"/>
              <w:bottom w:val="single" w:sz="4" w:space="0" w:color="auto"/>
              <w:right w:val="single" w:sz="4" w:space="0" w:color="auto"/>
            </w:tcBorders>
            <w:vAlign w:val="center"/>
          </w:tcPr>
          <w:p w14:paraId="2842B81D"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340,7</w:t>
            </w:r>
          </w:p>
        </w:tc>
        <w:tc>
          <w:tcPr>
            <w:tcW w:w="733" w:type="dxa"/>
            <w:tcBorders>
              <w:top w:val="nil"/>
              <w:left w:val="single" w:sz="4" w:space="0" w:color="auto"/>
              <w:bottom w:val="single" w:sz="4" w:space="0" w:color="auto"/>
              <w:right w:val="single" w:sz="4" w:space="0" w:color="auto"/>
            </w:tcBorders>
            <w:vAlign w:val="center"/>
          </w:tcPr>
          <w:p w14:paraId="229DEE94" w14:textId="77777777" w:rsidR="005258B2" w:rsidRPr="005258B2" w:rsidRDefault="005258B2" w:rsidP="005258B2">
            <w:pPr>
              <w:spacing w:after="0" w:line="240" w:lineRule="auto"/>
              <w:jc w:val="center"/>
              <w:rPr>
                <w:rFonts w:asciiTheme="majorHAnsi" w:hAnsiTheme="majorHAnsi" w:cstheme="majorHAnsi"/>
                <w:color w:val="000000"/>
                <w:sz w:val="16"/>
                <w:szCs w:val="16"/>
                <w:lang w:val="ro-RO"/>
              </w:rPr>
            </w:pPr>
            <w:r w:rsidRPr="005258B2">
              <w:rPr>
                <w:rFonts w:asciiTheme="majorHAnsi" w:hAnsiTheme="majorHAnsi" w:cstheme="majorHAnsi"/>
                <w:color w:val="000000"/>
                <w:sz w:val="16"/>
                <w:szCs w:val="16"/>
                <w:lang w:val="ro-RO"/>
              </w:rPr>
              <w:t>16,7</w:t>
            </w:r>
          </w:p>
        </w:tc>
        <w:tc>
          <w:tcPr>
            <w:tcW w:w="772" w:type="dxa"/>
            <w:tcBorders>
              <w:top w:val="nil"/>
              <w:left w:val="single" w:sz="4" w:space="0" w:color="auto"/>
              <w:bottom w:val="single" w:sz="4" w:space="0" w:color="auto"/>
              <w:right w:val="single" w:sz="4" w:space="0" w:color="auto"/>
            </w:tcBorders>
            <w:vAlign w:val="center"/>
          </w:tcPr>
          <w:p w14:paraId="1FD66687" w14:textId="77777777" w:rsidR="005258B2" w:rsidRPr="005258B2" w:rsidRDefault="005258B2" w:rsidP="005258B2">
            <w:pPr>
              <w:spacing w:after="0" w:line="240" w:lineRule="auto"/>
              <w:jc w:val="center"/>
              <w:rPr>
                <w:rFonts w:asciiTheme="majorHAnsi" w:hAnsiTheme="majorHAnsi" w:cstheme="majorHAnsi"/>
                <w:color w:val="000000"/>
                <w:sz w:val="16"/>
                <w:szCs w:val="16"/>
                <w:lang w:val="ro-RO"/>
              </w:rPr>
            </w:pPr>
            <w:r w:rsidRPr="005258B2">
              <w:rPr>
                <w:rFonts w:asciiTheme="majorHAnsi" w:hAnsiTheme="majorHAnsi" w:cstheme="majorHAnsi"/>
                <w:color w:val="000000"/>
                <w:sz w:val="16"/>
                <w:szCs w:val="16"/>
                <w:lang w:val="ro-RO"/>
              </w:rPr>
              <w:t>340,0</w:t>
            </w:r>
          </w:p>
        </w:tc>
        <w:tc>
          <w:tcPr>
            <w:tcW w:w="813" w:type="dxa"/>
            <w:tcBorders>
              <w:top w:val="nil"/>
              <w:left w:val="single" w:sz="4" w:space="0" w:color="auto"/>
              <w:bottom w:val="single" w:sz="4" w:space="0" w:color="auto"/>
              <w:right w:val="single" w:sz="4" w:space="0" w:color="auto"/>
            </w:tcBorders>
            <w:vAlign w:val="center"/>
          </w:tcPr>
          <w:p w14:paraId="7F281CCF" w14:textId="77777777" w:rsidR="005258B2" w:rsidRPr="005258B2" w:rsidRDefault="005258B2" w:rsidP="005258B2">
            <w:pPr>
              <w:spacing w:after="0" w:line="240" w:lineRule="auto"/>
              <w:jc w:val="center"/>
              <w:rPr>
                <w:rFonts w:asciiTheme="majorHAnsi" w:hAnsiTheme="majorHAnsi" w:cstheme="majorHAnsi"/>
                <w:color w:val="000000"/>
                <w:sz w:val="16"/>
                <w:szCs w:val="16"/>
                <w:lang w:val="ro-RO"/>
              </w:rPr>
            </w:pPr>
            <w:r w:rsidRPr="005258B2">
              <w:rPr>
                <w:rFonts w:asciiTheme="majorHAnsi" w:hAnsiTheme="majorHAnsi" w:cstheme="majorHAnsi"/>
                <w:color w:val="000000"/>
                <w:sz w:val="16"/>
                <w:szCs w:val="16"/>
                <w:lang w:val="ro-RO"/>
              </w:rPr>
              <w:t>17,1</w:t>
            </w:r>
          </w:p>
        </w:tc>
        <w:tc>
          <w:tcPr>
            <w:tcW w:w="800" w:type="dxa"/>
            <w:tcBorders>
              <w:top w:val="nil"/>
              <w:left w:val="single" w:sz="4" w:space="0" w:color="auto"/>
              <w:bottom w:val="single" w:sz="4" w:space="0" w:color="auto"/>
              <w:right w:val="single" w:sz="4" w:space="0" w:color="auto"/>
            </w:tcBorders>
            <w:vAlign w:val="center"/>
          </w:tcPr>
          <w:p w14:paraId="40E63440" w14:textId="77777777" w:rsidR="005258B2" w:rsidRPr="005258B2" w:rsidRDefault="005258B2" w:rsidP="005258B2">
            <w:pPr>
              <w:spacing w:after="0" w:line="240" w:lineRule="auto"/>
              <w:jc w:val="center"/>
              <w:rPr>
                <w:rFonts w:asciiTheme="majorHAnsi" w:hAnsiTheme="majorHAnsi" w:cstheme="majorHAnsi"/>
                <w:color w:val="000000"/>
                <w:sz w:val="16"/>
                <w:szCs w:val="16"/>
                <w:lang w:val="ro-RO"/>
              </w:rPr>
            </w:pPr>
            <w:r w:rsidRPr="005258B2">
              <w:rPr>
                <w:rFonts w:asciiTheme="majorHAnsi" w:hAnsiTheme="majorHAnsi" w:cstheme="majorHAnsi"/>
                <w:color w:val="000000"/>
                <w:sz w:val="16"/>
                <w:szCs w:val="16"/>
                <w:lang w:val="ro-RO"/>
              </w:rPr>
              <w:t>333,2</w:t>
            </w:r>
          </w:p>
        </w:tc>
        <w:tc>
          <w:tcPr>
            <w:tcW w:w="813" w:type="dxa"/>
            <w:tcBorders>
              <w:top w:val="nil"/>
              <w:left w:val="single" w:sz="4" w:space="0" w:color="auto"/>
              <w:bottom w:val="single" w:sz="4" w:space="0" w:color="auto"/>
              <w:right w:val="single" w:sz="4" w:space="0" w:color="auto"/>
            </w:tcBorders>
            <w:vAlign w:val="center"/>
          </w:tcPr>
          <w:p w14:paraId="5A6F4940"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0,4</w:t>
            </w:r>
          </w:p>
        </w:tc>
        <w:tc>
          <w:tcPr>
            <w:tcW w:w="691" w:type="dxa"/>
            <w:tcBorders>
              <w:top w:val="nil"/>
              <w:left w:val="single" w:sz="4" w:space="0" w:color="auto"/>
              <w:bottom w:val="single" w:sz="4" w:space="0" w:color="auto"/>
              <w:right w:val="single" w:sz="4" w:space="0" w:color="auto"/>
            </w:tcBorders>
          </w:tcPr>
          <w:p w14:paraId="7A59F975"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-6,8</w:t>
            </w:r>
          </w:p>
        </w:tc>
      </w:tr>
      <w:tr w:rsidR="005258B2" w:rsidRPr="005258B2" w14:paraId="6BF378FB" w14:textId="77777777" w:rsidTr="003742BF">
        <w:trPr>
          <w:trHeight w:val="225"/>
          <w:jc w:val="center"/>
        </w:trPr>
        <w:tc>
          <w:tcPr>
            <w:tcW w:w="473" w:type="dxa"/>
            <w:tcBorders>
              <w:top w:val="nil"/>
              <w:left w:val="single" w:sz="4" w:space="0" w:color="auto"/>
              <w:bottom w:val="single" w:sz="4" w:space="0" w:color="auto"/>
              <w:right w:val="single" w:sz="4" w:space="0" w:color="auto"/>
            </w:tcBorders>
            <w:noWrap/>
            <w:vAlign w:val="center"/>
          </w:tcPr>
          <w:p w14:paraId="41AF5D16"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3.</w:t>
            </w:r>
          </w:p>
        </w:tc>
        <w:tc>
          <w:tcPr>
            <w:tcW w:w="1856" w:type="dxa"/>
            <w:tcBorders>
              <w:top w:val="nil"/>
              <w:left w:val="nil"/>
              <w:bottom w:val="single" w:sz="4" w:space="0" w:color="auto"/>
              <w:right w:val="single" w:sz="4" w:space="0" w:color="auto"/>
            </w:tcBorders>
            <w:vAlign w:val="center"/>
          </w:tcPr>
          <w:p w14:paraId="7F92FB0A" w14:textId="77777777" w:rsidR="005258B2" w:rsidRPr="005258B2" w:rsidRDefault="005258B2" w:rsidP="005258B2">
            <w:pPr>
              <w:spacing w:after="0" w:line="240" w:lineRule="auto"/>
              <w:rPr>
                <w:rFonts w:asciiTheme="majorHAnsi" w:hAnsiTheme="majorHAnsi" w:cstheme="majorHAnsi"/>
                <w:sz w:val="16"/>
                <w:szCs w:val="16"/>
                <w:lang w:val="ro-RO"/>
              </w:rPr>
            </w:pPr>
            <w:r w:rsidRPr="005258B2">
              <w:rPr>
                <w:rFonts w:asciiTheme="majorHAnsi" w:hAnsiTheme="majorHAnsi" w:cstheme="majorHAnsi"/>
                <w:sz w:val="16"/>
                <w:szCs w:val="16"/>
                <w:lang w:val="ro-RO"/>
              </w:rPr>
              <w:t>SRL ,,</w:t>
            </w:r>
            <w:proofErr w:type="spellStart"/>
            <w:r w:rsidRPr="005258B2">
              <w:rPr>
                <w:rFonts w:asciiTheme="majorHAnsi" w:hAnsiTheme="majorHAnsi" w:cstheme="majorHAnsi"/>
                <w:sz w:val="16"/>
                <w:szCs w:val="16"/>
                <w:lang w:val="ro-RO"/>
              </w:rPr>
              <w:t>Vininvest</w:t>
            </w:r>
            <w:proofErr w:type="spellEnd"/>
            <w:r w:rsidRPr="005258B2">
              <w:rPr>
                <w:rFonts w:asciiTheme="majorHAnsi" w:hAnsiTheme="majorHAnsi" w:cstheme="majorHAnsi"/>
                <w:sz w:val="16"/>
                <w:szCs w:val="16"/>
                <w:lang w:val="ro-RO"/>
              </w:rPr>
              <w:t>”, Chișinău</w:t>
            </w:r>
          </w:p>
        </w:tc>
        <w:tc>
          <w:tcPr>
            <w:tcW w:w="1052" w:type="dxa"/>
            <w:tcBorders>
              <w:top w:val="nil"/>
              <w:left w:val="single" w:sz="4" w:space="0" w:color="auto"/>
              <w:bottom w:val="single" w:sz="4" w:space="0" w:color="auto"/>
              <w:right w:val="single" w:sz="4" w:space="0" w:color="auto"/>
            </w:tcBorders>
          </w:tcPr>
          <w:p w14:paraId="44B5BDF8" w14:textId="77777777" w:rsidR="005258B2" w:rsidRPr="005258B2" w:rsidRDefault="005258B2" w:rsidP="005258B2">
            <w:pPr>
              <w:spacing w:after="0" w:line="240" w:lineRule="auto"/>
              <w:jc w:val="center"/>
              <w:rPr>
                <w:rFonts w:asciiTheme="majorHAnsi" w:hAnsiTheme="majorHAnsi" w:cstheme="majorHAnsi"/>
                <w:sz w:val="16"/>
                <w:szCs w:val="16"/>
                <w:lang w:val="ro-RO"/>
              </w:rPr>
            </w:pPr>
            <w:proofErr w:type="spellStart"/>
            <w:r w:rsidRPr="005258B2">
              <w:rPr>
                <w:rFonts w:asciiTheme="majorHAnsi" w:hAnsiTheme="majorHAnsi" w:cstheme="majorHAnsi"/>
                <w:sz w:val="16"/>
                <w:szCs w:val="16"/>
                <w:lang w:val="ro-RO"/>
              </w:rPr>
              <w:t>mil.dol.SUA</w:t>
            </w:r>
            <w:proofErr w:type="spellEnd"/>
          </w:p>
          <w:p w14:paraId="0B45BF5E" w14:textId="77777777" w:rsidR="005258B2" w:rsidRPr="005258B2" w:rsidRDefault="005258B2" w:rsidP="005258B2">
            <w:pPr>
              <w:spacing w:after="0" w:line="240" w:lineRule="auto"/>
              <w:jc w:val="center"/>
              <w:rPr>
                <w:rFonts w:asciiTheme="majorHAnsi" w:hAnsiTheme="majorHAnsi" w:cstheme="majorHAnsi"/>
                <w:sz w:val="16"/>
                <w:szCs w:val="16"/>
                <w:lang w:val="ro-RO"/>
              </w:rPr>
            </w:pPr>
            <w:proofErr w:type="spellStart"/>
            <w:r w:rsidRPr="005258B2">
              <w:rPr>
                <w:rFonts w:asciiTheme="majorHAnsi" w:hAnsiTheme="majorHAnsi" w:cstheme="majorHAnsi"/>
                <w:sz w:val="16"/>
                <w:szCs w:val="16"/>
                <w:lang w:val="ro-RO"/>
              </w:rPr>
              <w:t>mil.euro</w:t>
            </w:r>
            <w:proofErr w:type="spellEnd"/>
          </w:p>
        </w:tc>
        <w:tc>
          <w:tcPr>
            <w:tcW w:w="804" w:type="dxa"/>
            <w:tcBorders>
              <w:top w:val="nil"/>
              <w:left w:val="single" w:sz="4" w:space="0" w:color="auto"/>
              <w:bottom w:val="single" w:sz="4" w:space="0" w:color="auto"/>
              <w:right w:val="single" w:sz="4" w:space="0" w:color="auto"/>
            </w:tcBorders>
          </w:tcPr>
          <w:p w14:paraId="0DCB3EAF"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1,4</w:t>
            </w:r>
          </w:p>
          <w:p w14:paraId="493088A1"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1,2</w:t>
            </w:r>
          </w:p>
        </w:tc>
        <w:tc>
          <w:tcPr>
            <w:tcW w:w="686" w:type="dxa"/>
            <w:tcBorders>
              <w:top w:val="nil"/>
              <w:left w:val="single" w:sz="4" w:space="0" w:color="auto"/>
              <w:bottom w:val="single" w:sz="4" w:space="0" w:color="auto"/>
              <w:right w:val="single" w:sz="4" w:space="0" w:color="auto"/>
            </w:tcBorders>
            <w:vAlign w:val="center"/>
          </w:tcPr>
          <w:p w14:paraId="65F66626"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53,2</w:t>
            </w:r>
          </w:p>
        </w:tc>
        <w:tc>
          <w:tcPr>
            <w:tcW w:w="733" w:type="dxa"/>
            <w:tcBorders>
              <w:top w:val="nil"/>
              <w:left w:val="single" w:sz="4" w:space="0" w:color="auto"/>
              <w:bottom w:val="single" w:sz="4" w:space="0" w:color="auto"/>
              <w:right w:val="single" w:sz="4" w:space="0" w:color="auto"/>
            </w:tcBorders>
          </w:tcPr>
          <w:p w14:paraId="38B99B98"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1,4</w:t>
            </w:r>
          </w:p>
          <w:p w14:paraId="4392DD40"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1,2</w:t>
            </w:r>
          </w:p>
        </w:tc>
        <w:tc>
          <w:tcPr>
            <w:tcW w:w="772" w:type="dxa"/>
            <w:tcBorders>
              <w:top w:val="nil"/>
              <w:left w:val="single" w:sz="4" w:space="0" w:color="auto"/>
              <w:bottom w:val="single" w:sz="4" w:space="0" w:color="auto"/>
              <w:right w:val="single" w:sz="4" w:space="0" w:color="auto"/>
            </w:tcBorders>
            <w:vAlign w:val="center"/>
          </w:tcPr>
          <w:p w14:paraId="743EC194"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23,6       25,2</w:t>
            </w:r>
          </w:p>
        </w:tc>
        <w:tc>
          <w:tcPr>
            <w:tcW w:w="813" w:type="dxa"/>
            <w:tcBorders>
              <w:top w:val="nil"/>
              <w:left w:val="single" w:sz="4" w:space="0" w:color="auto"/>
              <w:bottom w:val="single" w:sz="4" w:space="0" w:color="auto"/>
              <w:right w:val="single" w:sz="4" w:space="0" w:color="auto"/>
            </w:tcBorders>
          </w:tcPr>
          <w:p w14:paraId="26954919" w14:textId="77777777" w:rsidR="003742BF"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 xml:space="preserve">1,4   </w:t>
            </w:r>
          </w:p>
          <w:p w14:paraId="48220126" w14:textId="77777777" w:rsidR="005258B2" w:rsidRPr="005258B2" w:rsidRDefault="003742BF" w:rsidP="003742BF">
            <w:pPr>
              <w:spacing w:after="0" w:line="240" w:lineRule="auto"/>
              <w:rPr>
                <w:rFonts w:asciiTheme="majorHAnsi" w:hAnsiTheme="majorHAnsi" w:cstheme="majorHAnsi"/>
                <w:sz w:val="16"/>
                <w:szCs w:val="16"/>
                <w:lang w:val="ro-RO"/>
              </w:rPr>
            </w:pPr>
            <w:r>
              <w:rPr>
                <w:rFonts w:asciiTheme="majorHAnsi" w:hAnsiTheme="majorHAnsi" w:cstheme="majorHAnsi"/>
                <w:sz w:val="16"/>
                <w:szCs w:val="16"/>
                <w:lang w:val="ro-RO"/>
              </w:rPr>
              <w:t xml:space="preserve">    </w:t>
            </w:r>
            <w:r w:rsidR="005258B2" w:rsidRPr="005258B2">
              <w:rPr>
                <w:rFonts w:asciiTheme="majorHAnsi" w:hAnsiTheme="majorHAnsi" w:cstheme="majorHAnsi"/>
                <w:sz w:val="16"/>
                <w:szCs w:val="16"/>
                <w:lang w:val="ro-RO"/>
              </w:rPr>
              <w:t xml:space="preserve">  1,2</w:t>
            </w:r>
          </w:p>
        </w:tc>
        <w:tc>
          <w:tcPr>
            <w:tcW w:w="800" w:type="dxa"/>
            <w:tcBorders>
              <w:top w:val="nil"/>
              <w:left w:val="single" w:sz="4" w:space="0" w:color="auto"/>
              <w:bottom w:val="single" w:sz="4" w:space="0" w:color="auto"/>
              <w:right w:val="single" w:sz="4" w:space="0" w:color="auto"/>
            </w:tcBorders>
            <w:vAlign w:val="center"/>
          </w:tcPr>
          <w:p w14:paraId="5B92EA11"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23,7      24,1</w:t>
            </w:r>
          </w:p>
        </w:tc>
        <w:tc>
          <w:tcPr>
            <w:tcW w:w="813" w:type="dxa"/>
            <w:tcBorders>
              <w:top w:val="nil"/>
              <w:left w:val="single" w:sz="4" w:space="0" w:color="auto"/>
              <w:bottom w:val="single" w:sz="4" w:space="0" w:color="auto"/>
              <w:right w:val="single" w:sz="4" w:space="0" w:color="auto"/>
            </w:tcBorders>
            <w:vAlign w:val="center"/>
          </w:tcPr>
          <w:p w14:paraId="2E2A7128"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0</w:t>
            </w:r>
          </w:p>
          <w:p w14:paraId="2D43E359" w14:textId="77777777" w:rsidR="005258B2" w:rsidRPr="005258B2" w:rsidRDefault="003742BF" w:rsidP="003742BF">
            <w:pPr>
              <w:spacing w:after="0" w:line="240" w:lineRule="auto"/>
              <w:rPr>
                <w:rFonts w:asciiTheme="majorHAnsi" w:hAnsiTheme="majorHAnsi" w:cstheme="majorHAnsi"/>
                <w:sz w:val="16"/>
                <w:szCs w:val="16"/>
                <w:lang w:val="ro-RO"/>
              </w:rPr>
            </w:pPr>
            <w:r>
              <w:rPr>
                <w:rFonts w:asciiTheme="majorHAnsi" w:hAnsiTheme="majorHAnsi" w:cstheme="majorHAnsi"/>
                <w:sz w:val="16"/>
                <w:szCs w:val="16"/>
                <w:lang w:val="ro-RO"/>
              </w:rPr>
              <w:t xml:space="preserve">       0</w:t>
            </w:r>
          </w:p>
        </w:tc>
        <w:tc>
          <w:tcPr>
            <w:tcW w:w="691" w:type="dxa"/>
            <w:tcBorders>
              <w:top w:val="nil"/>
              <w:left w:val="single" w:sz="4" w:space="0" w:color="auto"/>
              <w:bottom w:val="single" w:sz="4" w:space="0" w:color="auto"/>
              <w:right w:val="single" w:sz="4" w:space="0" w:color="auto"/>
            </w:tcBorders>
          </w:tcPr>
          <w:p w14:paraId="2075A2AD"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0,1</w:t>
            </w:r>
          </w:p>
          <w:p w14:paraId="5BEE9C6A"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-1,1</w:t>
            </w:r>
          </w:p>
        </w:tc>
      </w:tr>
      <w:tr w:rsidR="005258B2" w:rsidRPr="005258B2" w14:paraId="71A266D0" w14:textId="77777777" w:rsidTr="003742BF">
        <w:trPr>
          <w:trHeight w:val="174"/>
          <w:jc w:val="center"/>
        </w:trPr>
        <w:tc>
          <w:tcPr>
            <w:tcW w:w="473" w:type="dxa"/>
            <w:tcBorders>
              <w:top w:val="nil"/>
              <w:left w:val="single" w:sz="4" w:space="0" w:color="auto"/>
              <w:bottom w:val="single" w:sz="4" w:space="0" w:color="auto"/>
              <w:right w:val="single" w:sz="4" w:space="0" w:color="auto"/>
            </w:tcBorders>
            <w:noWrap/>
            <w:vAlign w:val="center"/>
          </w:tcPr>
          <w:p w14:paraId="7675134A"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4.</w:t>
            </w:r>
          </w:p>
        </w:tc>
        <w:tc>
          <w:tcPr>
            <w:tcW w:w="1856" w:type="dxa"/>
            <w:tcBorders>
              <w:top w:val="nil"/>
              <w:left w:val="nil"/>
              <w:bottom w:val="single" w:sz="4" w:space="0" w:color="auto"/>
              <w:right w:val="single" w:sz="4" w:space="0" w:color="auto"/>
            </w:tcBorders>
            <w:vAlign w:val="center"/>
          </w:tcPr>
          <w:p w14:paraId="0472037C" w14:textId="77777777" w:rsidR="005258B2" w:rsidRPr="005258B2" w:rsidRDefault="005258B2" w:rsidP="005258B2">
            <w:pPr>
              <w:spacing w:after="0" w:line="240" w:lineRule="auto"/>
              <w:rPr>
                <w:rFonts w:asciiTheme="majorHAnsi" w:hAnsiTheme="majorHAnsi" w:cstheme="majorHAnsi"/>
                <w:sz w:val="16"/>
                <w:szCs w:val="16"/>
                <w:lang w:val="ro-RO"/>
              </w:rPr>
            </w:pPr>
            <w:proofErr w:type="spellStart"/>
            <w:r w:rsidRPr="005258B2">
              <w:rPr>
                <w:rFonts w:asciiTheme="majorHAnsi" w:hAnsiTheme="majorHAnsi" w:cstheme="majorHAnsi"/>
                <w:sz w:val="16"/>
                <w:szCs w:val="16"/>
                <w:lang w:val="ro-RO"/>
              </w:rPr>
              <w:t>Asociaţia</w:t>
            </w:r>
            <w:proofErr w:type="spellEnd"/>
            <w:r w:rsidRPr="005258B2">
              <w:rPr>
                <w:rFonts w:asciiTheme="majorHAnsi" w:hAnsiTheme="majorHAnsi" w:cstheme="majorHAnsi"/>
                <w:sz w:val="16"/>
                <w:szCs w:val="16"/>
                <w:lang w:val="ro-RO"/>
              </w:rPr>
              <w:t xml:space="preserve"> ,,</w:t>
            </w:r>
            <w:proofErr w:type="spellStart"/>
            <w:r w:rsidRPr="005258B2">
              <w:rPr>
                <w:rFonts w:asciiTheme="majorHAnsi" w:hAnsiTheme="majorHAnsi" w:cstheme="majorHAnsi"/>
                <w:sz w:val="16"/>
                <w:szCs w:val="16"/>
                <w:lang w:val="ro-RO"/>
              </w:rPr>
              <w:t>Moldinteragro</w:t>
            </w:r>
            <w:proofErr w:type="spellEnd"/>
            <w:r w:rsidRPr="005258B2">
              <w:rPr>
                <w:rFonts w:asciiTheme="majorHAnsi" w:hAnsiTheme="majorHAnsi" w:cstheme="majorHAnsi"/>
                <w:sz w:val="16"/>
                <w:szCs w:val="16"/>
                <w:lang w:val="ro-RO"/>
              </w:rPr>
              <w:t>”</w:t>
            </w:r>
          </w:p>
        </w:tc>
        <w:tc>
          <w:tcPr>
            <w:tcW w:w="1052" w:type="dxa"/>
            <w:tcBorders>
              <w:top w:val="nil"/>
              <w:left w:val="single" w:sz="4" w:space="0" w:color="auto"/>
              <w:bottom w:val="single" w:sz="4" w:space="0" w:color="auto"/>
              <w:right w:val="single" w:sz="4" w:space="0" w:color="auto"/>
            </w:tcBorders>
          </w:tcPr>
          <w:p w14:paraId="24FC5A6E" w14:textId="77777777" w:rsidR="005258B2" w:rsidRPr="005258B2" w:rsidRDefault="005258B2" w:rsidP="005258B2">
            <w:pPr>
              <w:spacing w:after="0" w:line="240" w:lineRule="auto"/>
              <w:jc w:val="center"/>
              <w:rPr>
                <w:rFonts w:asciiTheme="majorHAnsi" w:hAnsiTheme="majorHAnsi" w:cstheme="majorHAnsi"/>
                <w:sz w:val="16"/>
                <w:szCs w:val="16"/>
                <w:lang w:val="ro-RO"/>
              </w:rPr>
            </w:pPr>
            <w:proofErr w:type="spellStart"/>
            <w:r w:rsidRPr="005258B2">
              <w:rPr>
                <w:rFonts w:asciiTheme="majorHAnsi" w:hAnsiTheme="majorHAnsi" w:cstheme="majorHAnsi"/>
                <w:sz w:val="16"/>
                <w:szCs w:val="16"/>
                <w:lang w:val="ro-RO"/>
              </w:rPr>
              <w:t>mil.dol.SUA</w:t>
            </w:r>
            <w:proofErr w:type="spellEnd"/>
          </w:p>
        </w:tc>
        <w:tc>
          <w:tcPr>
            <w:tcW w:w="804" w:type="dxa"/>
            <w:tcBorders>
              <w:top w:val="nil"/>
              <w:left w:val="single" w:sz="4" w:space="0" w:color="auto"/>
              <w:bottom w:val="single" w:sz="4" w:space="0" w:color="auto"/>
              <w:right w:val="single" w:sz="4" w:space="0" w:color="auto"/>
            </w:tcBorders>
            <w:vAlign w:val="center"/>
          </w:tcPr>
          <w:p w14:paraId="0025F226"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1,2</w:t>
            </w:r>
          </w:p>
        </w:tc>
        <w:tc>
          <w:tcPr>
            <w:tcW w:w="686" w:type="dxa"/>
            <w:tcBorders>
              <w:top w:val="nil"/>
              <w:left w:val="single" w:sz="4" w:space="0" w:color="auto"/>
              <w:bottom w:val="single" w:sz="4" w:space="0" w:color="auto"/>
              <w:right w:val="single" w:sz="4" w:space="0" w:color="auto"/>
            </w:tcBorders>
            <w:vAlign w:val="center"/>
          </w:tcPr>
          <w:p w14:paraId="4AC75A85"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24,0</w:t>
            </w:r>
          </w:p>
        </w:tc>
        <w:tc>
          <w:tcPr>
            <w:tcW w:w="733" w:type="dxa"/>
            <w:tcBorders>
              <w:top w:val="nil"/>
              <w:left w:val="single" w:sz="4" w:space="0" w:color="auto"/>
              <w:bottom w:val="single" w:sz="4" w:space="0" w:color="auto"/>
              <w:right w:val="single" w:sz="4" w:space="0" w:color="auto"/>
            </w:tcBorders>
            <w:vAlign w:val="center"/>
          </w:tcPr>
          <w:p w14:paraId="5CE87B6E"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1,2</w:t>
            </w:r>
          </w:p>
        </w:tc>
        <w:tc>
          <w:tcPr>
            <w:tcW w:w="772" w:type="dxa"/>
            <w:tcBorders>
              <w:top w:val="nil"/>
              <w:left w:val="single" w:sz="4" w:space="0" w:color="auto"/>
              <w:bottom w:val="single" w:sz="4" w:space="0" w:color="auto"/>
              <w:right w:val="single" w:sz="4" w:space="0" w:color="auto"/>
            </w:tcBorders>
            <w:vAlign w:val="center"/>
          </w:tcPr>
          <w:p w14:paraId="5DD40E64"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20,5</w:t>
            </w:r>
          </w:p>
        </w:tc>
        <w:tc>
          <w:tcPr>
            <w:tcW w:w="813" w:type="dxa"/>
            <w:tcBorders>
              <w:top w:val="nil"/>
              <w:left w:val="single" w:sz="4" w:space="0" w:color="auto"/>
              <w:bottom w:val="single" w:sz="4" w:space="0" w:color="auto"/>
              <w:right w:val="single" w:sz="4" w:space="0" w:color="auto"/>
            </w:tcBorders>
            <w:vAlign w:val="center"/>
          </w:tcPr>
          <w:p w14:paraId="2B38ED98"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1,2</w:t>
            </w:r>
          </w:p>
        </w:tc>
        <w:tc>
          <w:tcPr>
            <w:tcW w:w="800" w:type="dxa"/>
            <w:tcBorders>
              <w:top w:val="nil"/>
              <w:left w:val="single" w:sz="4" w:space="0" w:color="auto"/>
              <w:bottom w:val="single" w:sz="4" w:space="0" w:color="auto"/>
              <w:right w:val="single" w:sz="4" w:space="0" w:color="auto"/>
            </w:tcBorders>
            <w:vAlign w:val="center"/>
          </w:tcPr>
          <w:p w14:paraId="41FF9CD6"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20,6</w:t>
            </w:r>
          </w:p>
        </w:tc>
        <w:tc>
          <w:tcPr>
            <w:tcW w:w="813" w:type="dxa"/>
            <w:tcBorders>
              <w:top w:val="nil"/>
              <w:left w:val="single" w:sz="4" w:space="0" w:color="auto"/>
              <w:bottom w:val="single" w:sz="4" w:space="0" w:color="auto"/>
              <w:right w:val="single" w:sz="4" w:space="0" w:color="auto"/>
            </w:tcBorders>
            <w:vAlign w:val="center"/>
          </w:tcPr>
          <w:p w14:paraId="06309590"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0</w:t>
            </w:r>
          </w:p>
        </w:tc>
        <w:tc>
          <w:tcPr>
            <w:tcW w:w="691" w:type="dxa"/>
            <w:tcBorders>
              <w:top w:val="nil"/>
              <w:left w:val="single" w:sz="4" w:space="0" w:color="auto"/>
              <w:bottom w:val="single" w:sz="4" w:space="0" w:color="auto"/>
              <w:right w:val="single" w:sz="4" w:space="0" w:color="auto"/>
            </w:tcBorders>
          </w:tcPr>
          <w:p w14:paraId="10E6644C"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0,1</w:t>
            </w:r>
          </w:p>
        </w:tc>
      </w:tr>
      <w:tr w:rsidR="005258B2" w:rsidRPr="005258B2" w14:paraId="17911FB5" w14:textId="77777777" w:rsidTr="003742BF">
        <w:trPr>
          <w:trHeight w:val="198"/>
          <w:jc w:val="center"/>
        </w:trPr>
        <w:tc>
          <w:tcPr>
            <w:tcW w:w="473" w:type="dxa"/>
            <w:tcBorders>
              <w:top w:val="nil"/>
              <w:left w:val="single" w:sz="4" w:space="0" w:color="auto"/>
              <w:bottom w:val="single" w:sz="4" w:space="0" w:color="auto"/>
              <w:right w:val="single" w:sz="4" w:space="0" w:color="auto"/>
            </w:tcBorders>
            <w:noWrap/>
            <w:vAlign w:val="center"/>
          </w:tcPr>
          <w:p w14:paraId="7E4F2408"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5.</w:t>
            </w:r>
          </w:p>
        </w:tc>
        <w:tc>
          <w:tcPr>
            <w:tcW w:w="1856" w:type="dxa"/>
            <w:tcBorders>
              <w:top w:val="nil"/>
              <w:left w:val="nil"/>
              <w:bottom w:val="single" w:sz="4" w:space="0" w:color="auto"/>
              <w:right w:val="single" w:sz="4" w:space="0" w:color="auto"/>
            </w:tcBorders>
            <w:vAlign w:val="center"/>
          </w:tcPr>
          <w:p w14:paraId="3D264B74" w14:textId="77777777" w:rsidR="005258B2" w:rsidRPr="005258B2" w:rsidRDefault="005258B2" w:rsidP="005258B2">
            <w:pPr>
              <w:spacing w:after="0" w:line="240" w:lineRule="auto"/>
              <w:rPr>
                <w:rFonts w:asciiTheme="majorHAnsi" w:hAnsiTheme="majorHAnsi" w:cstheme="majorHAnsi"/>
                <w:sz w:val="16"/>
                <w:szCs w:val="16"/>
                <w:lang w:val="ro-RO"/>
              </w:rPr>
            </w:pPr>
            <w:r w:rsidRPr="005258B2">
              <w:rPr>
                <w:rFonts w:asciiTheme="majorHAnsi" w:hAnsiTheme="majorHAnsi" w:cstheme="majorHAnsi"/>
                <w:sz w:val="16"/>
                <w:szCs w:val="16"/>
                <w:lang w:val="ro-RO"/>
              </w:rPr>
              <w:t>ÎS ,,</w:t>
            </w:r>
            <w:proofErr w:type="spellStart"/>
            <w:r w:rsidRPr="005258B2">
              <w:rPr>
                <w:rFonts w:asciiTheme="majorHAnsi" w:hAnsiTheme="majorHAnsi" w:cstheme="majorHAnsi"/>
                <w:sz w:val="16"/>
                <w:szCs w:val="16"/>
                <w:lang w:val="ro-RO"/>
              </w:rPr>
              <w:t>Moldtranselectro</w:t>
            </w:r>
            <w:proofErr w:type="spellEnd"/>
            <w:r w:rsidRPr="005258B2">
              <w:rPr>
                <w:rFonts w:asciiTheme="majorHAnsi" w:hAnsiTheme="majorHAnsi" w:cstheme="majorHAnsi"/>
                <w:sz w:val="16"/>
                <w:szCs w:val="16"/>
                <w:lang w:val="ro-RO"/>
              </w:rPr>
              <w:t xml:space="preserve">" </w:t>
            </w:r>
          </w:p>
        </w:tc>
        <w:tc>
          <w:tcPr>
            <w:tcW w:w="1052" w:type="dxa"/>
            <w:tcBorders>
              <w:top w:val="nil"/>
              <w:left w:val="single" w:sz="4" w:space="0" w:color="auto"/>
              <w:bottom w:val="single" w:sz="4" w:space="0" w:color="auto"/>
              <w:right w:val="single" w:sz="4" w:space="0" w:color="auto"/>
            </w:tcBorders>
          </w:tcPr>
          <w:p w14:paraId="0129876C" w14:textId="77777777" w:rsidR="005258B2" w:rsidRPr="005258B2" w:rsidRDefault="005258B2" w:rsidP="005258B2">
            <w:pPr>
              <w:spacing w:after="0" w:line="240" w:lineRule="auto"/>
              <w:jc w:val="center"/>
              <w:rPr>
                <w:rFonts w:asciiTheme="majorHAnsi" w:hAnsiTheme="majorHAnsi" w:cstheme="majorHAnsi"/>
                <w:sz w:val="16"/>
                <w:szCs w:val="16"/>
                <w:lang w:val="ro-RO"/>
              </w:rPr>
            </w:pPr>
            <w:proofErr w:type="spellStart"/>
            <w:r w:rsidRPr="005258B2">
              <w:rPr>
                <w:rFonts w:asciiTheme="majorHAnsi" w:hAnsiTheme="majorHAnsi" w:cstheme="majorHAnsi"/>
                <w:sz w:val="16"/>
                <w:szCs w:val="16"/>
                <w:lang w:val="ro-RO"/>
              </w:rPr>
              <w:t>mil.dol.SUA</w:t>
            </w:r>
            <w:proofErr w:type="spellEnd"/>
          </w:p>
        </w:tc>
        <w:tc>
          <w:tcPr>
            <w:tcW w:w="804" w:type="dxa"/>
            <w:tcBorders>
              <w:top w:val="nil"/>
              <w:left w:val="single" w:sz="4" w:space="0" w:color="auto"/>
              <w:bottom w:val="single" w:sz="4" w:space="0" w:color="auto"/>
              <w:right w:val="single" w:sz="4" w:space="0" w:color="auto"/>
            </w:tcBorders>
            <w:vAlign w:val="center"/>
          </w:tcPr>
          <w:p w14:paraId="313CEB63"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0,9</w:t>
            </w:r>
          </w:p>
        </w:tc>
        <w:tc>
          <w:tcPr>
            <w:tcW w:w="686" w:type="dxa"/>
            <w:tcBorders>
              <w:top w:val="nil"/>
              <w:left w:val="single" w:sz="4" w:space="0" w:color="auto"/>
              <w:bottom w:val="single" w:sz="4" w:space="0" w:color="auto"/>
              <w:right w:val="single" w:sz="4" w:space="0" w:color="auto"/>
            </w:tcBorders>
            <w:vAlign w:val="center"/>
          </w:tcPr>
          <w:p w14:paraId="091F14CE"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18,0</w:t>
            </w:r>
          </w:p>
        </w:tc>
        <w:tc>
          <w:tcPr>
            <w:tcW w:w="733" w:type="dxa"/>
            <w:tcBorders>
              <w:top w:val="nil"/>
              <w:left w:val="single" w:sz="4" w:space="0" w:color="auto"/>
              <w:bottom w:val="single" w:sz="4" w:space="0" w:color="auto"/>
              <w:right w:val="single" w:sz="4" w:space="0" w:color="auto"/>
            </w:tcBorders>
            <w:vAlign w:val="center"/>
          </w:tcPr>
          <w:p w14:paraId="086DC7AB"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0,9</w:t>
            </w:r>
          </w:p>
        </w:tc>
        <w:tc>
          <w:tcPr>
            <w:tcW w:w="772" w:type="dxa"/>
            <w:tcBorders>
              <w:top w:val="nil"/>
              <w:left w:val="single" w:sz="4" w:space="0" w:color="auto"/>
              <w:bottom w:val="single" w:sz="4" w:space="0" w:color="auto"/>
              <w:right w:val="single" w:sz="4" w:space="0" w:color="auto"/>
            </w:tcBorders>
            <w:vAlign w:val="center"/>
          </w:tcPr>
          <w:p w14:paraId="76919604"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14,8</w:t>
            </w:r>
          </w:p>
        </w:tc>
        <w:tc>
          <w:tcPr>
            <w:tcW w:w="813" w:type="dxa"/>
            <w:tcBorders>
              <w:top w:val="nil"/>
              <w:left w:val="single" w:sz="4" w:space="0" w:color="auto"/>
              <w:bottom w:val="single" w:sz="4" w:space="0" w:color="auto"/>
              <w:right w:val="single" w:sz="4" w:space="0" w:color="auto"/>
            </w:tcBorders>
            <w:vAlign w:val="center"/>
          </w:tcPr>
          <w:p w14:paraId="4A350410"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0,9</w:t>
            </w:r>
          </w:p>
        </w:tc>
        <w:tc>
          <w:tcPr>
            <w:tcW w:w="800" w:type="dxa"/>
            <w:tcBorders>
              <w:top w:val="nil"/>
              <w:left w:val="single" w:sz="4" w:space="0" w:color="auto"/>
              <w:bottom w:val="single" w:sz="4" w:space="0" w:color="auto"/>
              <w:right w:val="single" w:sz="4" w:space="0" w:color="auto"/>
            </w:tcBorders>
            <w:vAlign w:val="center"/>
          </w:tcPr>
          <w:p w14:paraId="6EE9AB8F"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14,8</w:t>
            </w:r>
          </w:p>
        </w:tc>
        <w:tc>
          <w:tcPr>
            <w:tcW w:w="813" w:type="dxa"/>
            <w:tcBorders>
              <w:top w:val="nil"/>
              <w:left w:val="single" w:sz="4" w:space="0" w:color="auto"/>
              <w:bottom w:val="single" w:sz="4" w:space="0" w:color="auto"/>
              <w:right w:val="single" w:sz="4" w:space="0" w:color="auto"/>
            </w:tcBorders>
            <w:vAlign w:val="center"/>
          </w:tcPr>
          <w:p w14:paraId="15676D4F"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0</w:t>
            </w:r>
          </w:p>
        </w:tc>
        <w:tc>
          <w:tcPr>
            <w:tcW w:w="691" w:type="dxa"/>
            <w:tcBorders>
              <w:top w:val="nil"/>
              <w:left w:val="single" w:sz="4" w:space="0" w:color="auto"/>
              <w:bottom w:val="single" w:sz="4" w:space="0" w:color="auto"/>
              <w:right w:val="single" w:sz="4" w:space="0" w:color="auto"/>
            </w:tcBorders>
          </w:tcPr>
          <w:p w14:paraId="3BD939F4"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0</w:t>
            </w:r>
          </w:p>
        </w:tc>
      </w:tr>
      <w:tr w:rsidR="005258B2" w:rsidRPr="005258B2" w14:paraId="1BB6A573" w14:textId="77777777" w:rsidTr="003742BF">
        <w:trPr>
          <w:trHeight w:val="286"/>
          <w:jc w:val="center"/>
        </w:trPr>
        <w:tc>
          <w:tcPr>
            <w:tcW w:w="473" w:type="dxa"/>
            <w:tcBorders>
              <w:top w:val="nil"/>
              <w:left w:val="single" w:sz="4" w:space="0" w:color="auto"/>
              <w:bottom w:val="single" w:sz="4" w:space="0" w:color="auto"/>
              <w:right w:val="single" w:sz="4" w:space="0" w:color="auto"/>
            </w:tcBorders>
            <w:noWrap/>
            <w:vAlign w:val="center"/>
          </w:tcPr>
          <w:p w14:paraId="357A22F8"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6.</w:t>
            </w:r>
          </w:p>
        </w:tc>
        <w:tc>
          <w:tcPr>
            <w:tcW w:w="1856" w:type="dxa"/>
            <w:tcBorders>
              <w:top w:val="nil"/>
              <w:left w:val="nil"/>
              <w:bottom w:val="single" w:sz="4" w:space="0" w:color="auto"/>
              <w:right w:val="single" w:sz="4" w:space="0" w:color="auto"/>
            </w:tcBorders>
            <w:vAlign w:val="center"/>
          </w:tcPr>
          <w:p w14:paraId="299C511F" w14:textId="77777777" w:rsidR="005258B2" w:rsidRPr="005258B2" w:rsidRDefault="005258B2" w:rsidP="005258B2">
            <w:pPr>
              <w:spacing w:after="0" w:line="240" w:lineRule="auto"/>
              <w:rPr>
                <w:rFonts w:asciiTheme="majorHAnsi" w:hAnsiTheme="majorHAnsi" w:cstheme="majorHAnsi"/>
                <w:sz w:val="16"/>
                <w:szCs w:val="16"/>
                <w:lang w:val="ro-RO"/>
              </w:rPr>
            </w:pPr>
            <w:r w:rsidRPr="005258B2">
              <w:rPr>
                <w:rFonts w:asciiTheme="majorHAnsi" w:hAnsiTheme="majorHAnsi" w:cstheme="majorHAnsi"/>
                <w:sz w:val="16"/>
                <w:szCs w:val="16"/>
                <w:lang w:val="ro-RO"/>
              </w:rPr>
              <w:t>SA ,,</w:t>
            </w:r>
            <w:proofErr w:type="spellStart"/>
            <w:r w:rsidRPr="005258B2">
              <w:rPr>
                <w:rFonts w:asciiTheme="majorHAnsi" w:hAnsiTheme="majorHAnsi" w:cstheme="majorHAnsi"/>
                <w:sz w:val="16"/>
                <w:szCs w:val="16"/>
                <w:lang w:val="ro-RO"/>
              </w:rPr>
              <w:t>Termocom</w:t>
            </w:r>
            <w:proofErr w:type="spellEnd"/>
            <w:r w:rsidRPr="005258B2">
              <w:rPr>
                <w:rFonts w:asciiTheme="majorHAnsi" w:hAnsiTheme="majorHAnsi" w:cstheme="majorHAnsi"/>
                <w:sz w:val="16"/>
                <w:szCs w:val="16"/>
                <w:lang w:val="ro-RO"/>
              </w:rPr>
              <w:t>”</w:t>
            </w:r>
          </w:p>
        </w:tc>
        <w:tc>
          <w:tcPr>
            <w:tcW w:w="1052" w:type="dxa"/>
            <w:tcBorders>
              <w:top w:val="nil"/>
              <w:left w:val="single" w:sz="4" w:space="0" w:color="auto"/>
              <w:bottom w:val="single" w:sz="4" w:space="0" w:color="auto"/>
              <w:right w:val="single" w:sz="4" w:space="0" w:color="auto"/>
            </w:tcBorders>
          </w:tcPr>
          <w:p w14:paraId="6CE0E19C" w14:textId="77777777" w:rsidR="005258B2" w:rsidRPr="005258B2" w:rsidRDefault="005258B2" w:rsidP="005258B2">
            <w:pPr>
              <w:spacing w:after="0" w:line="240" w:lineRule="auto"/>
              <w:jc w:val="center"/>
              <w:rPr>
                <w:rFonts w:asciiTheme="majorHAnsi" w:hAnsiTheme="majorHAnsi" w:cstheme="majorHAnsi"/>
                <w:sz w:val="16"/>
                <w:szCs w:val="16"/>
                <w:lang w:val="ro-RO"/>
              </w:rPr>
            </w:pPr>
            <w:proofErr w:type="spellStart"/>
            <w:r w:rsidRPr="005258B2">
              <w:rPr>
                <w:rFonts w:asciiTheme="majorHAnsi" w:hAnsiTheme="majorHAnsi" w:cstheme="majorHAnsi"/>
                <w:sz w:val="16"/>
                <w:szCs w:val="16"/>
                <w:lang w:val="ro-RO"/>
              </w:rPr>
              <w:t>mil.dol.SUA</w:t>
            </w:r>
            <w:proofErr w:type="spellEnd"/>
          </w:p>
          <w:p w14:paraId="0A3C053A" w14:textId="77777777" w:rsidR="005258B2" w:rsidRPr="005258B2" w:rsidRDefault="005258B2" w:rsidP="005258B2">
            <w:pPr>
              <w:spacing w:after="0" w:line="240" w:lineRule="auto"/>
              <w:jc w:val="center"/>
              <w:rPr>
                <w:rFonts w:asciiTheme="majorHAnsi" w:hAnsiTheme="majorHAnsi" w:cstheme="majorHAnsi"/>
                <w:sz w:val="16"/>
                <w:szCs w:val="16"/>
                <w:lang w:val="ro-RO"/>
              </w:rPr>
            </w:pPr>
            <w:proofErr w:type="spellStart"/>
            <w:r w:rsidRPr="005258B2">
              <w:rPr>
                <w:rFonts w:asciiTheme="majorHAnsi" w:hAnsiTheme="majorHAnsi" w:cstheme="majorHAnsi"/>
                <w:sz w:val="16"/>
                <w:szCs w:val="16"/>
                <w:lang w:val="ro-RO"/>
              </w:rPr>
              <w:t>mil.euro</w:t>
            </w:r>
            <w:proofErr w:type="spellEnd"/>
          </w:p>
        </w:tc>
        <w:tc>
          <w:tcPr>
            <w:tcW w:w="804" w:type="dxa"/>
            <w:tcBorders>
              <w:top w:val="nil"/>
              <w:left w:val="single" w:sz="4" w:space="0" w:color="auto"/>
              <w:bottom w:val="single" w:sz="4" w:space="0" w:color="auto"/>
              <w:right w:val="single" w:sz="4" w:space="0" w:color="auto"/>
            </w:tcBorders>
          </w:tcPr>
          <w:p w14:paraId="3BA136BF"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0,06</w:t>
            </w:r>
          </w:p>
          <w:p w14:paraId="32BE0B77"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0,3</w:t>
            </w:r>
          </w:p>
        </w:tc>
        <w:tc>
          <w:tcPr>
            <w:tcW w:w="686" w:type="dxa"/>
            <w:tcBorders>
              <w:top w:val="nil"/>
              <w:left w:val="single" w:sz="4" w:space="0" w:color="auto"/>
              <w:bottom w:val="single" w:sz="4" w:space="0" w:color="auto"/>
              <w:right w:val="single" w:sz="4" w:space="0" w:color="auto"/>
            </w:tcBorders>
            <w:vAlign w:val="center"/>
          </w:tcPr>
          <w:p w14:paraId="3FCA920C"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7,5</w:t>
            </w:r>
          </w:p>
        </w:tc>
        <w:tc>
          <w:tcPr>
            <w:tcW w:w="733" w:type="dxa"/>
            <w:tcBorders>
              <w:top w:val="nil"/>
              <w:left w:val="single" w:sz="4" w:space="0" w:color="auto"/>
              <w:bottom w:val="single" w:sz="4" w:space="0" w:color="auto"/>
              <w:right w:val="single" w:sz="4" w:space="0" w:color="auto"/>
            </w:tcBorders>
          </w:tcPr>
          <w:p w14:paraId="5951AA94"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0,06</w:t>
            </w:r>
          </w:p>
          <w:p w14:paraId="2D09CFE6"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0,3</w:t>
            </w:r>
          </w:p>
        </w:tc>
        <w:tc>
          <w:tcPr>
            <w:tcW w:w="772" w:type="dxa"/>
            <w:tcBorders>
              <w:top w:val="nil"/>
              <w:left w:val="single" w:sz="4" w:space="0" w:color="auto"/>
              <w:bottom w:val="single" w:sz="4" w:space="0" w:color="auto"/>
              <w:right w:val="single" w:sz="4" w:space="0" w:color="auto"/>
            </w:tcBorders>
            <w:vAlign w:val="center"/>
          </w:tcPr>
          <w:p w14:paraId="6C79861D"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1,1          6,7</w:t>
            </w:r>
          </w:p>
        </w:tc>
        <w:tc>
          <w:tcPr>
            <w:tcW w:w="813" w:type="dxa"/>
            <w:tcBorders>
              <w:top w:val="nil"/>
              <w:left w:val="single" w:sz="4" w:space="0" w:color="auto"/>
              <w:bottom w:val="single" w:sz="4" w:space="0" w:color="auto"/>
              <w:right w:val="single" w:sz="4" w:space="0" w:color="auto"/>
            </w:tcBorders>
          </w:tcPr>
          <w:p w14:paraId="0D1B0564"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0,06       0,3</w:t>
            </w:r>
          </w:p>
        </w:tc>
        <w:tc>
          <w:tcPr>
            <w:tcW w:w="800" w:type="dxa"/>
            <w:tcBorders>
              <w:top w:val="nil"/>
              <w:left w:val="single" w:sz="4" w:space="0" w:color="auto"/>
              <w:bottom w:val="single" w:sz="4" w:space="0" w:color="auto"/>
              <w:right w:val="single" w:sz="4" w:space="0" w:color="auto"/>
            </w:tcBorders>
            <w:vAlign w:val="center"/>
          </w:tcPr>
          <w:p w14:paraId="60AA94BC"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1,1</w:t>
            </w:r>
          </w:p>
          <w:p w14:paraId="0B18CE1C" w14:textId="77777777" w:rsidR="005258B2" w:rsidRPr="005258B2" w:rsidRDefault="005258B2" w:rsidP="005258B2">
            <w:pPr>
              <w:spacing w:after="0" w:line="240" w:lineRule="auto"/>
              <w:jc w:val="center"/>
              <w:rPr>
                <w:rFonts w:asciiTheme="majorHAnsi" w:hAnsiTheme="majorHAnsi" w:cstheme="majorHAnsi"/>
                <w:sz w:val="16"/>
                <w:szCs w:val="16"/>
                <w:lang w:val="ro-RO"/>
              </w:rPr>
            </w:pPr>
            <w:r w:rsidRPr="005258B2">
              <w:rPr>
                <w:rFonts w:asciiTheme="majorHAnsi" w:hAnsiTheme="majorHAnsi" w:cstheme="majorHAnsi"/>
                <w:sz w:val="16"/>
                <w:szCs w:val="16"/>
                <w:lang w:val="ro-RO"/>
              </w:rPr>
              <w:t>6,4</w:t>
            </w:r>
          </w:p>
        </w:tc>
        <w:tc>
          <w:tcPr>
            <w:tcW w:w="813" w:type="dxa"/>
            <w:tcBorders>
              <w:top w:val="nil"/>
              <w:left w:val="single" w:sz="4" w:space="0" w:color="auto"/>
              <w:bottom w:val="single" w:sz="4" w:space="0" w:color="auto"/>
              <w:right w:val="single" w:sz="4" w:space="0" w:color="auto"/>
            </w:tcBorders>
            <w:vAlign w:val="center"/>
          </w:tcPr>
          <w:p w14:paraId="51A7CB88" w14:textId="77777777" w:rsidR="005258B2" w:rsidRPr="005258B2" w:rsidRDefault="005258B2" w:rsidP="005258B2">
            <w:pPr>
              <w:spacing w:after="0" w:line="240" w:lineRule="auto"/>
              <w:rPr>
                <w:rFonts w:asciiTheme="majorHAnsi" w:hAnsiTheme="majorHAnsi" w:cstheme="majorHAnsi"/>
                <w:sz w:val="16"/>
                <w:szCs w:val="16"/>
                <w:lang w:val="ro-RO"/>
              </w:rPr>
            </w:pPr>
            <w:r w:rsidRPr="005258B2">
              <w:rPr>
                <w:rFonts w:asciiTheme="majorHAnsi" w:hAnsiTheme="majorHAnsi" w:cstheme="majorHAnsi"/>
                <w:sz w:val="16"/>
                <w:szCs w:val="16"/>
                <w:lang w:val="ro-RO"/>
              </w:rPr>
              <w:t xml:space="preserve">      </w:t>
            </w:r>
            <w:r w:rsidR="003742BF">
              <w:rPr>
                <w:rFonts w:asciiTheme="majorHAnsi" w:hAnsiTheme="majorHAnsi" w:cstheme="majorHAnsi"/>
                <w:sz w:val="16"/>
                <w:szCs w:val="16"/>
                <w:lang w:val="ro-RO"/>
              </w:rPr>
              <w:t xml:space="preserve"> </w:t>
            </w:r>
            <w:r w:rsidRPr="005258B2">
              <w:rPr>
                <w:rFonts w:asciiTheme="majorHAnsi" w:hAnsiTheme="majorHAnsi" w:cstheme="majorHAnsi"/>
                <w:sz w:val="16"/>
                <w:szCs w:val="16"/>
                <w:lang w:val="ro-RO"/>
              </w:rPr>
              <w:t>0</w:t>
            </w:r>
          </w:p>
          <w:p w14:paraId="2D380590" w14:textId="77777777" w:rsidR="005258B2" w:rsidRPr="005258B2" w:rsidRDefault="005258B2" w:rsidP="005258B2">
            <w:pPr>
              <w:spacing w:after="0" w:line="240" w:lineRule="auto"/>
              <w:rPr>
                <w:rFonts w:asciiTheme="majorHAnsi" w:hAnsiTheme="majorHAnsi" w:cstheme="majorHAnsi"/>
                <w:sz w:val="16"/>
                <w:szCs w:val="16"/>
                <w:lang w:val="ro-RO"/>
              </w:rPr>
            </w:pPr>
            <w:r w:rsidRPr="005258B2">
              <w:rPr>
                <w:rFonts w:asciiTheme="majorHAnsi" w:hAnsiTheme="majorHAnsi" w:cstheme="majorHAnsi"/>
                <w:sz w:val="16"/>
                <w:szCs w:val="16"/>
                <w:lang w:val="ro-RO"/>
              </w:rPr>
              <w:t xml:space="preserve">   </w:t>
            </w:r>
            <w:r w:rsidR="003742BF">
              <w:rPr>
                <w:rFonts w:asciiTheme="majorHAnsi" w:hAnsiTheme="majorHAnsi" w:cstheme="majorHAnsi"/>
                <w:sz w:val="16"/>
                <w:szCs w:val="16"/>
                <w:lang w:val="ro-RO"/>
              </w:rPr>
              <w:t xml:space="preserve"> </w:t>
            </w:r>
            <w:r w:rsidRPr="005258B2">
              <w:rPr>
                <w:rFonts w:asciiTheme="majorHAnsi" w:hAnsiTheme="majorHAnsi" w:cstheme="majorHAnsi"/>
                <w:sz w:val="16"/>
                <w:szCs w:val="16"/>
                <w:lang w:val="ro-RO"/>
              </w:rPr>
              <w:t xml:space="preserve">   0</w:t>
            </w:r>
          </w:p>
        </w:tc>
        <w:tc>
          <w:tcPr>
            <w:tcW w:w="691" w:type="dxa"/>
            <w:tcBorders>
              <w:top w:val="nil"/>
              <w:left w:val="single" w:sz="4" w:space="0" w:color="auto"/>
              <w:bottom w:val="single" w:sz="4" w:space="0" w:color="auto"/>
              <w:right w:val="single" w:sz="4" w:space="0" w:color="auto"/>
            </w:tcBorders>
          </w:tcPr>
          <w:p w14:paraId="593A2107" w14:textId="77777777" w:rsidR="005258B2" w:rsidRPr="005258B2" w:rsidRDefault="005258B2" w:rsidP="005258B2">
            <w:pPr>
              <w:spacing w:after="0" w:line="240" w:lineRule="auto"/>
              <w:rPr>
                <w:rFonts w:asciiTheme="majorHAnsi" w:hAnsiTheme="majorHAnsi" w:cstheme="majorHAnsi"/>
                <w:sz w:val="16"/>
                <w:szCs w:val="16"/>
                <w:lang w:val="ro-RO"/>
              </w:rPr>
            </w:pPr>
            <w:r w:rsidRPr="005258B2">
              <w:rPr>
                <w:rFonts w:asciiTheme="majorHAnsi" w:hAnsiTheme="majorHAnsi" w:cstheme="majorHAnsi"/>
                <w:sz w:val="16"/>
                <w:szCs w:val="16"/>
                <w:lang w:val="ro-RO"/>
              </w:rPr>
              <w:t xml:space="preserve">     0</w:t>
            </w:r>
          </w:p>
          <w:p w14:paraId="261200D5" w14:textId="77777777" w:rsidR="005258B2" w:rsidRPr="005258B2" w:rsidRDefault="005258B2" w:rsidP="005258B2">
            <w:pPr>
              <w:spacing w:after="0" w:line="240" w:lineRule="auto"/>
              <w:rPr>
                <w:rFonts w:asciiTheme="majorHAnsi" w:hAnsiTheme="majorHAnsi" w:cstheme="majorHAnsi"/>
                <w:sz w:val="16"/>
                <w:szCs w:val="16"/>
                <w:lang w:val="ro-RO"/>
              </w:rPr>
            </w:pPr>
            <w:r w:rsidRPr="005258B2">
              <w:rPr>
                <w:rFonts w:asciiTheme="majorHAnsi" w:hAnsiTheme="majorHAnsi" w:cstheme="majorHAnsi"/>
                <w:sz w:val="16"/>
                <w:szCs w:val="16"/>
                <w:lang w:val="ro-RO"/>
              </w:rPr>
              <w:t xml:space="preserve">   -0,3</w:t>
            </w:r>
          </w:p>
        </w:tc>
      </w:tr>
      <w:tr w:rsidR="005258B2" w:rsidRPr="005258B2" w14:paraId="04CF84E6" w14:textId="77777777" w:rsidTr="003742BF">
        <w:trPr>
          <w:trHeight w:val="47"/>
          <w:jc w:val="center"/>
        </w:trPr>
        <w:tc>
          <w:tcPr>
            <w:tcW w:w="473" w:type="dxa"/>
            <w:tcBorders>
              <w:top w:val="nil"/>
              <w:left w:val="single" w:sz="4" w:space="0" w:color="auto"/>
              <w:bottom w:val="single" w:sz="4" w:space="0" w:color="auto"/>
              <w:right w:val="single" w:sz="4" w:space="0" w:color="auto"/>
            </w:tcBorders>
            <w:noWrap/>
            <w:vAlign w:val="center"/>
          </w:tcPr>
          <w:p w14:paraId="48F5FDD9" w14:textId="77777777" w:rsidR="005258B2" w:rsidRPr="005258B2" w:rsidRDefault="005258B2" w:rsidP="005258B2">
            <w:pPr>
              <w:spacing w:after="0" w:line="240" w:lineRule="auto"/>
              <w:jc w:val="center"/>
              <w:rPr>
                <w:rFonts w:asciiTheme="majorHAnsi" w:hAnsiTheme="majorHAnsi" w:cstheme="majorHAnsi"/>
                <w:b/>
                <w:sz w:val="16"/>
                <w:szCs w:val="16"/>
                <w:lang w:val="ro-RO"/>
              </w:rPr>
            </w:pPr>
          </w:p>
        </w:tc>
        <w:tc>
          <w:tcPr>
            <w:tcW w:w="1856" w:type="dxa"/>
            <w:tcBorders>
              <w:top w:val="nil"/>
              <w:left w:val="nil"/>
              <w:bottom w:val="single" w:sz="4" w:space="0" w:color="auto"/>
              <w:right w:val="single" w:sz="4" w:space="0" w:color="auto"/>
            </w:tcBorders>
            <w:vAlign w:val="center"/>
          </w:tcPr>
          <w:p w14:paraId="20185C34" w14:textId="77777777" w:rsidR="005258B2" w:rsidRPr="005258B2" w:rsidRDefault="005258B2" w:rsidP="005258B2">
            <w:pPr>
              <w:spacing w:after="0" w:line="240" w:lineRule="auto"/>
              <w:rPr>
                <w:rFonts w:asciiTheme="majorHAnsi" w:hAnsiTheme="majorHAnsi" w:cstheme="majorHAnsi"/>
                <w:b/>
                <w:sz w:val="16"/>
                <w:szCs w:val="16"/>
                <w:lang w:val="ro-RO"/>
              </w:rPr>
            </w:pPr>
            <w:r w:rsidRPr="005258B2">
              <w:rPr>
                <w:rFonts w:asciiTheme="majorHAnsi" w:hAnsiTheme="majorHAnsi" w:cstheme="majorHAnsi"/>
                <w:b/>
                <w:sz w:val="16"/>
                <w:szCs w:val="16"/>
                <w:lang w:val="ro-RO"/>
              </w:rPr>
              <w:t>Total, împrumuturi externe garantate</w:t>
            </w:r>
          </w:p>
        </w:tc>
        <w:tc>
          <w:tcPr>
            <w:tcW w:w="1052" w:type="dxa"/>
            <w:tcBorders>
              <w:top w:val="nil"/>
              <w:left w:val="single" w:sz="4" w:space="0" w:color="auto"/>
              <w:bottom w:val="single" w:sz="4" w:space="0" w:color="auto"/>
              <w:right w:val="single" w:sz="4" w:space="0" w:color="auto"/>
            </w:tcBorders>
          </w:tcPr>
          <w:p w14:paraId="6195FFB8" w14:textId="77777777" w:rsidR="005258B2" w:rsidRPr="005258B2" w:rsidRDefault="005258B2" w:rsidP="005258B2">
            <w:pPr>
              <w:spacing w:after="0" w:line="240" w:lineRule="auto"/>
              <w:jc w:val="center"/>
              <w:rPr>
                <w:rFonts w:asciiTheme="majorHAnsi" w:hAnsiTheme="majorHAnsi" w:cstheme="majorHAnsi"/>
                <w:b/>
                <w:sz w:val="16"/>
                <w:szCs w:val="16"/>
                <w:lang w:val="ro-RO"/>
              </w:rPr>
            </w:pPr>
            <w:proofErr w:type="spellStart"/>
            <w:r w:rsidRPr="005258B2">
              <w:rPr>
                <w:rFonts w:asciiTheme="majorHAnsi" w:hAnsiTheme="majorHAnsi" w:cstheme="majorHAnsi"/>
                <w:b/>
                <w:sz w:val="16"/>
                <w:szCs w:val="16"/>
                <w:lang w:val="ro-RO"/>
              </w:rPr>
              <w:t>mil.</w:t>
            </w:r>
            <w:r w:rsidR="00F040EE">
              <w:rPr>
                <w:rFonts w:asciiTheme="majorHAnsi" w:hAnsiTheme="majorHAnsi" w:cstheme="majorHAnsi"/>
                <w:b/>
                <w:sz w:val="16"/>
                <w:szCs w:val="16"/>
                <w:lang w:val="ro-RO"/>
              </w:rPr>
              <w:t>MDL</w:t>
            </w:r>
            <w:proofErr w:type="spellEnd"/>
          </w:p>
          <w:p w14:paraId="528024F6" w14:textId="77777777" w:rsidR="005258B2" w:rsidRPr="005258B2" w:rsidRDefault="005258B2" w:rsidP="005258B2">
            <w:pPr>
              <w:spacing w:after="0" w:line="240" w:lineRule="auto"/>
              <w:jc w:val="center"/>
              <w:rPr>
                <w:rFonts w:asciiTheme="majorHAnsi" w:hAnsiTheme="majorHAnsi" w:cstheme="majorHAnsi"/>
                <w:b/>
                <w:sz w:val="16"/>
                <w:szCs w:val="16"/>
                <w:lang w:val="ro-RO"/>
              </w:rPr>
            </w:pPr>
            <w:proofErr w:type="spellStart"/>
            <w:r w:rsidRPr="005258B2">
              <w:rPr>
                <w:rFonts w:asciiTheme="majorHAnsi" w:hAnsiTheme="majorHAnsi" w:cstheme="majorHAnsi"/>
                <w:b/>
                <w:sz w:val="16"/>
                <w:szCs w:val="16"/>
                <w:lang w:val="ro-RO"/>
              </w:rPr>
              <w:t>mil.dol.SUA</w:t>
            </w:r>
            <w:proofErr w:type="spellEnd"/>
          </w:p>
          <w:p w14:paraId="1916D985" w14:textId="77777777" w:rsidR="005258B2" w:rsidRPr="005258B2" w:rsidRDefault="005258B2" w:rsidP="005258B2">
            <w:pPr>
              <w:spacing w:after="0" w:line="240" w:lineRule="auto"/>
              <w:jc w:val="center"/>
              <w:rPr>
                <w:rFonts w:asciiTheme="majorHAnsi" w:hAnsiTheme="majorHAnsi" w:cstheme="majorHAnsi"/>
                <w:b/>
                <w:sz w:val="16"/>
                <w:szCs w:val="16"/>
                <w:lang w:val="ro-RO"/>
              </w:rPr>
            </w:pPr>
            <w:proofErr w:type="spellStart"/>
            <w:r w:rsidRPr="005258B2">
              <w:rPr>
                <w:rFonts w:asciiTheme="majorHAnsi" w:hAnsiTheme="majorHAnsi" w:cstheme="majorHAnsi"/>
                <w:b/>
                <w:sz w:val="16"/>
                <w:szCs w:val="16"/>
                <w:lang w:val="ro-RO"/>
              </w:rPr>
              <w:t>mil.euro</w:t>
            </w:r>
            <w:proofErr w:type="spellEnd"/>
          </w:p>
        </w:tc>
        <w:tc>
          <w:tcPr>
            <w:tcW w:w="804" w:type="dxa"/>
            <w:tcBorders>
              <w:top w:val="nil"/>
              <w:left w:val="single" w:sz="4" w:space="0" w:color="auto"/>
              <w:bottom w:val="single" w:sz="4" w:space="0" w:color="auto"/>
              <w:right w:val="single" w:sz="4" w:space="0" w:color="auto"/>
            </w:tcBorders>
            <w:vAlign w:val="center"/>
          </w:tcPr>
          <w:p w14:paraId="1CA3893A"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w:t>
            </w:r>
          </w:p>
          <w:p w14:paraId="48D43B9B" w14:textId="77777777" w:rsidR="005258B2" w:rsidRPr="005258B2" w:rsidRDefault="001C3E59" w:rsidP="005258B2">
            <w:pPr>
              <w:spacing w:after="0" w:line="240" w:lineRule="auto"/>
              <w:jc w:val="center"/>
              <w:rPr>
                <w:rFonts w:asciiTheme="majorHAnsi" w:hAnsiTheme="majorHAnsi" w:cstheme="majorHAnsi"/>
                <w:b/>
                <w:sz w:val="16"/>
                <w:szCs w:val="16"/>
                <w:lang w:val="ro-RO"/>
              </w:rPr>
            </w:pPr>
            <w:r>
              <w:rPr>
                <w:rFonts w:asciiTheme="majorHAnsi" w:hAnsiTheme="majorHAnsi" w:cstheme="majorHAnsi"/>
                <w:b/>
                <w:sz w:val="16"/>
                <w:szCs w:val="16"/>
                <w:lang w:val="ro-RO"/>
              </w:rPr>
              <w:t>4,0</w:t>
            </w:r>
          </w:p>
          <w:p w14:paraId="10FF725E" w14:textId="77777777" w:rsidR="005258B2" w:rsidRPr="005258B2" w:rsidRDefault="001C3E59" w:rsidP="005258B2">
            <w:pPr>
              <w:spacing w:after="0" w:line="240" w:lineRule="auto"/>
              <w:jc w:val="center"/>
              <w:rPr>
                <w:rFonts w:asciiTheme="majorHAnsi" w:hAnsiTheme="majorHAnsi" w:cstheme="majorHAnsi"/>
                <w:b/>
                <w:sz w:val="16"/>
                <w:szCs w:val="16"/>
                <w:lang w:val="ro-RO"/>
              </w:rPr>
            </w:pPr>
            <w:r>
              <w:rPr>
                <w:rFonts w:asciiTheme="majorHAnsi" w:hAnsiTheme="majorHAnsi" w:cstheme="majorHAnsi"/>
                <w:b/>
                <w:sz w:val="16"/>
                <w:szCs w:val="16"/>
                <w:lang w:val="ro-RO"/>
              </w:rPr>
              <w:t>18,1</w:t>
            </w:r>
          </w:p>
        </w:tc>
        <w:tc>
          <w:tcPr>
            <w:tcW w:w="686" w:type="dxa"/>
            <w:tcBorders>
              <w:top w:val="nil"/>
              <w:left w:val="single" w:sz="4" w:space="0" w:color="auto"/>
              <w:bottom w:val="single" w:sz="4" w:space="0" w:color="auto"/>
              <w:right w:val="single" w:sz="4" w:space="0" w:color="auto"/>
            </w:tcBorders>
            <w:vAlign w:val="center"/>
          </w:tcPr>
          <w:p w14:paraId="32D33772" w14:textId="77777777" w:rsidR="005258B2" w:rsidRPr="005258B2" w:rsidRDefault="001C3E59" w:rsidP="005258B2">
            <w:pPr>
              <w:spacing w:after="0" w:line="240" w:lineRule="auto"/>
              <w:jc w:val="center"/>
              <w:rPr>
                <w:rFonts w:asciiTheme="majorHAnsi" w:hAnsiTheme="majorHAnsi" w:cstheme="majorHAnsi"/>
                <w:b/>
                <w:sz w:val="16"/>
                <w:szCs w:val="16"/>
                <w:lang w:val="ro-RO"/>
              </w:rPr>
            </w:pPr>
            <w:r>
              <w:rPr>
                <w:rFonts w:asciiTheme="majorHAnsi" w:hAnsiTheme="majorHAnsi" w:cstheme="majorHAnsi"/>
                <w:b/>
                <w:sz w:val="16"/>
                <w:szCs w:val="16"/>
                <w:lang w:val="ro-RO"/>
              </w:rPr>
              <w:t>458,9</w:t>
            </w:r>
          </w:p>
        </w:tc>
        <w:tc>
          <w:tcPr>
            <w:tcW w:w="733" w:type="dxa"/>
            <w:tcBorders>
              <w:top w:val="nil"/>
              <w:left w:val="single" w:sz="4" w:space="0" w:color="auto"/>
              <w:bottom w:val="single" w:sz="4" w:space="0" w:color="auto"/>
              <w:right w:val="single" w:sz="4" w:space="0" w:color="auto"/>
            </w:tcBorders>
            <w:vAlign w:val="center"/>
          </w:tcPr>
          <w:p w14:paraId="6C02EC33"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w:t>
            </w:r>
          </w:p>
          <w:p w14:paraId="472C4DEC" w14:textId="22E6666C" w:rsidR="005258B2" w:rsidRPr="005258B2" w:rsidRDefault="003A5D8E" w:rsidP="005258B2">
            <w:pPr>
              <w:spacing w:after="0" w:line="240" w:lineRule="auto"/>
              <w:jc w:val="center"/>
              <w:rPr>
                <w:rFonts w:asciiTheme="majorHAnsi" w:hAnsiTheme="majorHAnsi" w:cstheme="majorHAnsi"/>
                <w:b/>
                <w:sz w:val="16"/>
                <w:szCs w:val="16"/>
                <w:lang w:val="ro-RO"/>
              </w:rPr>
            </w:pPr>
            <w:r>
              <w:rPr>
                <w:rFonts w:asciiTheme="majorHAnsi" w:hAnsiTheme="majorHAnsi" w:cstheme="majorHAnsi"/>
                <w:b/>
                <w:sz w:val="16"/>
                <w:szCs w:val="16"/>
                <w:lang w:val="ro-RO"/>
              </w:rPr>
              <w:t>3,</w:t>
            </w:r>
            <w:r w:rsidR="006418D0">
              <w:rPr>
                <w:rFonts w:asciiTheme="majorHAnsi" w:hAnsiTheme="majorHAnsi" w:cstheme="majorHAnsi"/>
                <w:b/>
                <w:sz w:val="16"/>
                <w:szCs w:val="16"/>
                <w:lang w:val="ro-RO"/>
              </w:rPr>
              <w:t>5</w:t>
            </w:r>
          </w:p>
          <w:p w14:paraId="09B63812" w14:textId="7BF3FE58"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18,</w:t>
            </w:r>
            <w:r w:rsidR="006418D0">
              <w:rPr>
                <w:rFonts w:asciiTheme="majorHAnsi" w:hAnsiTheme="majorHAnsi" w:cstheme="majorHAnsi"/>
                <w:b/>
                <w:sz w:val="16"/>
                <w:szCs w:val="16"/>
                <w:lang w:val="ro-RO"/>
              </w:rPr>
              <w:t>3</w:t>
            </w:r>
          </w:p>
        </w:tc>
        <w:tc>
          <w:tcPr>
            <w:tcW w:w="772" w:type="dxa"/>
            <w:tcBorders>
              <w:top w:val="nil"/>
              <w:left w:val="single" w:sz="4" w:space="0" w:color="auto"/>
              <w:bottom w:val="single" w:sz="4" w:space="0" w:color="auto"/>
              <w:right w:val="single" w:sz="4" w:space="0" w:color="auto"/>
            </w:tcBorders>
            <w:vAlign w:val="center"/>
          </w:tcPr>
          <w:p w14:paraId="2E91BC25" w14:textId="77777777" w:rsidR="005258B2" w:rsidRPr="005258B2" w:rsidRDefault="001C3E59" w:rsidP="005258B2">
            <w:pPr>
              <w:spacing w:after="0" w:line="240" w:lineRule="auto"/>
              <w:jc w:val="center"/>
              <w:rPr>
                <w:rFonts w:asciiTheme="majorHAnsi" w:hAnsiTheme="majorHAnsi" w:cstheme="majorHAnsi"/>
                <w:b/>
                <w:sz w:val="16"/>
                <w:szCs w:val="16"/>
                <w:lang w:val="ro-RO"/>
              </w:rPr>
            </w:pPr>
            <w:r>
              <w:rPr>
                <w:rFonts w:asciiTheme="majorHAnsi" w:hAnsiTheme="majorHAnsi" w:cstheme="majorHAnsi"/>
                <w:b/>
                <w:sz w:val="16"/>
                <w:szCs w:val="16"/>
                <w:lang w:val="ro-RO"/>
              </w:rPr>
              <w:t>432</w:t>
            </w:r>
            <w:r w:rsidR="005258B2" w:rsidRPr="005258B2">
              <w:rPr>
                <w:rFonts w:asciiTheme="majorHAnsi" w:hAnsiTheme="majorHAnsi" w:cstheme="majorHAnsi"/>
                <w:b/>
                <w:sz w:val="16"/>
                <w:szCs w:val="16"/>
                <w:lang w:val="ro-RO"/>
              </w:rPr>
              <w:t>,9</w:t>
            </w:r>
          </w:p>
        </w:tc>
        <w:tc>
          <w:tcPr>
            <w:tcW w:w="813" w:type="dxa"/>
            <w:tcBorders>
              <w:top w:val="nil"/>
              <w:left w:val="single" w:sz="4" w:space="0" w:color="auto"/>
              <w:bottom w:val="single" w:sz="4" w:space="0" w:color="auto"/>
              <w:right w:val="single" w:sz="4" w:space="0" w:color="auto"/>
            </w:tcBorders>
            <w:vAlign w:val="center"/>
          </w:tcPr>
          <w:p w14:paraId="27EB945C"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w:t>
            </w:r>
          </w:p>
          <w:p w14:paraId="13A75AC0" w14:textId="4CEC31DF" w:rsidR="005258B2" w:rsidRPr="005258B2" w:rsidRDefault="003A5D8E" w:rsidP="003A5D8E">
            <w:pPr>
              <w:spacing w:after="0" w:line="240" w:lineRule="auto"/>
              <w:jc w:val="center"/>
              <w:rPr>
                <w:rFonts w:asciiTheme="majorHAnsi" w:hAnsiTheme="majorHAnsi" w:cstheme="majorHAnsi"/>
                <w:b/>
                <w:sz w:val="16"/>
                <w:szCs w:val="16"/>
                <w:lang w:val="ro-RO"/>
              </w:rPr>
            </w:pPr>
            <w:r>
              <w:rPr>
                <w:rFonts w:asciiTheme="majorHAnsi" w:hAnsiTheme="majorHAnsi" w:cstheme="majorHAnsi"/>
                <w:b/>
                <w:sz w:val="16"/>
                <w:szCs w:val="16"/>
                <w:lang w:val="ro-RO"/>
              </w:rPr>
              <w:t>3,</w:t>
            </w:r>
            <w:r w:rsidR="006418D0">
              <w:rPr>
                <w:rFonts w:asciiTheme="majorHAnsi" w:hAnsiTheme="majorHAnsi" w:cstheme="majorHAnsi"/>
                <w:b/>
                <w:sz w:val="16"/>
                <w:szCs w:val="16"/>
                <w:lang w:val="ro-RO"/>
              </w:rPr>
              <w:t>5</w:t>
            </w:r>
            <w:r w:rsidR="006418D0" w:rsidRPr="009561CB">
              <w:rPr>
                <w:rFonts w:asciiTheme="majorHAnsi" w:hAnsiTheme="majorHAnsi" w:cstheme="majorHAnsi"/>
                <w:b/>
                <w:sz w:val="16"/>
                <w:szCs w:val="16"/>
                <w:lang w:val="ro-RO"/>
              </w:rPr>
              <w:t xml:space="preserve">     </w:t>
            </w:r>
            <w:r w:rsidR="005258B2" w:rsidRPr="005258B2">
              <w:rPr>
                <w:rFonts w:asciiTheme="majorHAnsi" w:hAnsiTheme="majorHAnsi" w:cstheme="majorHAnsi"/>
                <w:b/>
                <w:sz w:val="16"/>
                <w:szCs w:val="16"/>
                <w:lang w:val="ro-RO"/>
              </w:rPr>
              <w:t>18,6</w:t>
            </w:r>
          </w:p>
        </w:tc>
        <w:tc>
          <w:tcPr>
            <w:tcW w:w="800" w:type="dxa"/>
            <w:tcBorders>
              <w:top w:val="nil"/>
              <w:left w:val="single" w:sz="4" w:space="0" w:color="auto"/>
              <w:bottom w:val="single" w:sz="4" w:space="0" w:color="auto"/>
              <w:right w:val="single" w:sz="4" w:space="0" w:color="auto"/>
            </w:tcBorders>
            <w:vAlign w:val="center"/>
          </w:tcPr>
          <w:p w14:paraId="16513C9D" w14:textId="77777777" w:rsidR="005258B2" w:rsidRPr="005258B2" w:rsidRDefault="003A5D8E" w:rsidP="005258B2">
            <w:pPr>
              <w:spacing w:after="0" w:line="240" w:lineRule="auto"/>
              <w:jc w:val="center"/>
              <w:rPr>
                <w:rFonts w:asciiTheme="majorHAnsi" w:hAnsiTheme="majorHAnsi" w:cstheme="majorHAnsi"/>
                <w:b/>
                <w:sz w:val="16"/>
                <w:szCs w:val="16"/>
                <w:lang w:val="ro-RO"/>
              </w:rPr>
            </w:pPr>
            <w:r>
              <w:rPr>
                <w:rFonts w:asciiTheme="majorHAnsi" w:hAnsiTheme="majorHAnsi" w:cstheme="majorHAnsi"/>
                <w:b/>
                <w:sz w:val="16"/>
                <w:szCs w:val="16"/>
                <w:lang w:val="ro-RO"/>
              </w:rPr>
              <w:t>4</w:t>
            </w:r>
            <w:r w:rsidR="005258B2" w:rsidRPr="005258B2">
              <w:rPr>
                <w:rFonts w:asciiTheme="majorHAnsi" w:hAnsiTheme="majorHAnsi" w:cstheme="majorHAnsi"/>
                <w:b/>
                <w:sz w:val="16"/>
                <w:szCs w:val="16"/>
                <w:lang w:val="ro-RO"/>
              </w:rPr>
              <w:t>2</w:t>
            </w:r>
            <w:r>
              <w:rPr>
                <w:rFonts w:asciiTheme="majorHAnsi" w:hAnsiTheme="majorHAnsi" w:cstheme="majorHAnsi"/>
                <w:b/>
                <w:sz w:val="16"/>
                <w:szCs w:val="16"/>
                <w:lang w:val="ro-RO"/>
              </w:rPr>
              <w:t>3</w:t>
            </w:r>
            <w:r w:rsidR="005258B2" w:rsidRPr="005258B2">
              <w:rPr>
                <w:rFonts w:asciiTheme="majorHAnsi" w:hAnsiTheme="majorHAnsi" w:cstheme="majorHAnsi"/>
                <w:b/>
                <w:sz w:val="16"/>
                <w:szCs w:val="16"/>
                <w:lang w:val="ro-RO"/>
              </w:rPr>
              <w:t>,9</w:t>
            </w:r>
          </w:p>
        </w:tc>
        <w:tc>
          <w:tcPr>
            <w:tcW w:w="813" w:type="dxa"/>
            <w:tcBorders>
              <w:top w:val="nil"/>
              <w:left w:val="single" w:sz="4" w:space="0" w:color="auto"/>
              <w:bottom w:val="single" w:sz="4" w:space="0" w:color="auto"/>
              <w:right w:val="single" w:sz="4" w:space="0" w:color="auto"/>
            </w:tcBorders>
            <w:vAlign w:val="center"/>
          </w:tcPr>
          <w:p w14:paraId="458F03BD"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 xml:space="preserve">-      </w:t>
            </w:r>
          </w:p>
          <w:p w14:paraId="1A8F460D"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0</w:t>
            </w:r>
          </w:p>
          <w:p w14:paraId="057F12C7" w14:textId="77777777" w:rsidR="005258B2" w:rsidRPr="005258B2" w:rsidRDefault="005258B2" w:rsidP="005258B2">
            <w:pPr>
              <w:spacing w:after="0" w:line="240" w:lineRule="auto"/>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0,4</w:t>
            </w:r>
          </w:p>
        </w:tc>
        <w:tc>
          <w:tcPr>
            <w:tcW w:w="691" w:type="dxa"/>
            <w:tcBorders>
              <w:top w:val="nil"/>
              <w:left w:val="single" w:sz="4" w:space="0" w:color="auto"/>
              <w:bottom w:val="single" w:sz="4" w:space="0" w:color="auto"/>
              <w:right w:val="single" w:sz="4" w:space="0" w:color="auto"/>
            </w:tcBorders>
          </w:tcPr>
          <w:p w14:paraId="77001CA7" w14:textId="77777777" w:rsidR="005258B2" w:rsidRPr="005258B2" w:rsidRDefault="005258B2" w:rsidP="005258B2">
            <w:pPr>
              <w:spacing w:after="0" w:line="240" w:lineRule="auto"/>
              <w:jc w:val="center"/>
              <w:rPr>
                <w:rFonts w:asciiTheme="majorHAnsi" w:hAnsiTheme="majorHAnsi" w:cstheme="majorHAnsi"/>
                <w:b/>
                <w:sz w:val="16"/>
                <w:szCs w:val="16"/>
                <w:lang w:val="ro-RO"/>
              </w:rPr>
            </w:pPr>
          </w:p>
          <w:p w14:paraId="5A5833FE" w14:textId="77777777" w:rsidR="005258B2" w:rsidRPr="005258B2" w:rsidRDefault="005258B2" w:rsidP="005258B2">
            <w:pPr>
              <w:jc w:val="center"/>
              <w:rPr>
                <w:rFonts w:asciiTheme="majorHAnsi" w:hAnsiTheme="majorHAnsi" w:cstheme="majorHAnsi"/>
                <w:b/>
                <w:sz w:val="16"/>
                <w:szCs w:val="16"/>
                <w:lang w:val="ro-RO"/>
              </w:rPr>
            </w:pPr>
            <w:r w:rsidRPr="005258B2">
              <w:rPr>
                <w:rFonts w:asciiTheme="majorHAnsi" w:hAnsiTheme="majorHAnsi" w:cstheme="majorHAnsi"/>
                <w:b/>
                <w:sz w:val="16"/>
                <w:szCs w:val="16"/>
                <w:lang w:val="ro-RO"/>
              </w:rPr>
              <w:t>1</w:t>
            </w:r>
            <w:r w:rsidR="003A5D8E">
              <w:rPr>
                <w:rFonts w:asciiTheme="majorHAnsi" w:hAnsiTheme="majorHAnsi" w:cstheme="majorHAnsi"/>
                <w:b/>
                <w:sz w:val="16"/>
                <w:szCs w:val="16"/>
                <w:lang w:val="ro-RO"/>
              </w:rPr>
              <w:t>,0</w:t>
            </w:r>
            <w:r w:rsidRPr="005258B2">
              <w:rPr>
                <w:rFonts w:asciiTheme="majorHAnsi" w:hAnsiTheme="majorHAnsi" w:cstheme="majorHAnsi"/>
                <w:b/>
                <w:sz w:val="16"/>
                <w:szCs w:val="16"/>
                <w:lang w:val="ro-RO"/>
              </w:rPr>
              <w:t xml:space="preserve">                     </w:t>
            </w:r>
          </w:p>
        </w:tc>
      </w:tr>
      <w:tr w:rsidR="005258B2" w:rsidRPr="005258B2" w14:paraId="7E5D3C2E" w14:textId="77777777" w:rsidTr="003742BF">
        <w:trPr>
          <w:trHeight w:val="256"/>
          <w:jc w:val="center"/>
        </w:trPr>
        <w:tc>
          <w:tcPr>
            <w:tcW w:w="473" w:type="dxa"/>
            <w:tcBorders>
              <w:top w:val="nil"/>
              <w:left w:val="single" w:sz="4" w:space="0" w:color="auto"/>
              <w:bottom w:val="single" w:sz="4" w:space="0" w:color="auto"/>
              <w:right w:val="single" w:sz="4" w:space="0" w:color="auto"/>
            </w:tcBorders>
            <w:shd w:val="clear" w:color="auto" w:fill="EEECE1"/>
            <w:noWrap/>
            <w:vAlign w:val="bottom"/>
          </w:tcPr>
          <w:p w14:paraId="282A1511" w14:textId="77777777" w:rsidR="005258B2" w:rsidRPr="005258B2" w:rsidRDefault="005258B2" w:rsidP="005258B2">
            <w:pPr>
              <w:spacing w:after="0" w:line="240" w:lineRule="auto"/>
              <w:jc w:val="both"/>
              <w:rPr>
                <w:rFonts w:asciiTheme="majorHAnsi" w:hAnsiTheme="majorHAnsi" w:cstheme="majorHAnsi"/>
                <w:b/>
                <w:bCs/>
                <w:sz w:val="16"/>
                <w:szCs w:val="16"/>
                <w:lang w:val="ro-RO"/>
              </w:rPr>
            </w:pPr>
            <w:r w:rsidRPr="005258B2">
              <w:rPr>
                <w:rFonts w:asciiTheme="majorHAnsi" w:hAnsiTheme="majorHAnsi" w:cstheme="majorHAnsi"/>
                <w:b/>
                <w:bCs/>
                <w:sz w:val="16"/>
                <w:szCs w:val="16"/>
                <w:lang w:val="ro-RO"/>
              </w:rPr>
              <w:t> </w:t>
            </w:r>
          </w:p>
        </w:tc>
        <w:tc>
          <w:tcPr>
            <w:tcW w:w="1856" w:type="dxa"/>
            <w:tcBorders>
              <w:top w:val="nil"/>
              <w:left w:val="nil"/>
              <w:bottom w:val="single" w:sz="4" w:space="0" w:color="auto"/>
              <w:right w:val="single" w:sz="4" w:space="0" w:color="auto"/>
            </w:tcBorders>
            <w:shd w:val="clear" w:color="auto" w:fill="EEECE1"/>
            <w:vAlign w:val="center"/>
          </w:tcPr>
          <w:p w14:paraId="7176F8C7" w14:textId="77777777" w:rsidR="005258B2" w:rsidRPr="005258B2" w:rsidRDefault="005258B2" w:rsidP="005258B2">
            <w:pPr>
              <w:spacing w:after="0" w:line="240" w:lineRule="auto"/>
              <w:jc w:val="center"/>
              <w:rPr>
                <w:rFonts w:asciiTheme="majorHAnsi" w:hAnsiTheme="majorHAnsi" w:cstheme="majorHAnsi"/>
                <w:b/>
                <w:bCs/>
                <w:sz w:val="16"/>
                <w:szCs w:val="16"/>
                <w:lang w:val="ro-RO"/>
              </w:rPr>
            </w:pPr>
            <w:r w:rsidRPr="005258B2">
              <w:rPr>
                <w:rFonts w:asciiTheme="majorHAnsi" w:hAnsiTheme="majorHAnsi" w:cstheme="majorHAnsi"/>
                <w:b/>
                <w:bCs/>
                <w:sz w:val="16"/>
                <w:szCs w:val="16"/>
                <w:lang w:val="ro-RO"/>
              </w:rPr>
              <w:t>TOTAL</w:t>
            </w:r>
          </w:p>
        </w:tc>
        <w:tc>
          <w:tcPr>
            <w:tcW w:w="1052" w:type="dxa"/>
            <w:tcBorders>
              <w:top w:val="nil"/>
              <w:left w:val="single" w:sz="4" w:space="0" w:color="auto"/>
              <w:bottom w:val="single" w:sz="4" w:space="0" w:color="auto"/>
              <w:right w:val="single" w:sz="4" w:space="0" w:color="auto"/>
            </w:tcBorders>
            <w:shd w:val="clear" w:color="auto" w:fill="EEECE1"/>
          </w:tcPr>
          <w:p w14:paraId="7C32CEB2" w14:textId="77777777" w:rsidR="005258B2" w:rsidRPr="005258B2" w:rsidRDefault="005258B2" w:rsidP="005258B2">
            <w:pPr>
              <w:spacing w:after="0" w:line="240" w:lineRule="auto"/>
              <w:jc w:val="center"/>
              <w:rPr>
                <w:rFonts w:asciiTheme="majorHAnsi" w:hAnsiTheme="majorHAnsi" w:cstheme="majorHAnsi"/>
                <w:b/>
                <w:sz w:val="16"/>
                <w:szCs w:val="16"/>
                <w:lang w:val="ro-RO"/>
              </w:rPr>
            </w:pPr>
            <w:proofErr w:type="spellStart"/>
            <w:r w:rsidRPr="005258B2">
              <w:rPr>
                <w:rFonts w:asciiTheme="majorHAnsi" w:hAnsiTheme="majorHAnsi" w:cstheme="majorHAnsi"/>
                <w:b/>
                <w:sz w:val="16"/>
                <w:szCs w:val="16"/>
                <w:lang w:val="ro-RO"/>
              </w:rPr>
              <w:t>mil.</w:t>
            </w:r>
            <w:r w:rsidR="00F040EE">
              <w:rPr>
                <w:rFonts w:asciiTheme="majorHAnsi" w:hAnsiTheme="majorHAnsi" w:cstheme="majorHAnsi"/>
                <w:b/>
                <w:sz w:val="16"/>
                <w:szCs w:val="16"/>
                <w:lang w:val="ro-RO"/>
              </w:rPr>
              <w:t>MDL</w:t>
            </w:r>
            <w:proofErr w:type="spellEnd"/>
          </w:p>
          <w:p w14:paraId="44306BCA" w14:textId="77777777" w:rsidR="005258B2" w:rsidRPr="005258B2" w:rsidRDefault="005258B2" w:rsidP="005258B2">
            <w:pPr>
              <w:spacing w:after="0" w:line="240" w:lineRule="auto"/>
              <w:jc w:val="center"/>
              <w:rPr>
                <w:rFonts w:asciiTheme="majorHAnsi" w:hAnsiTheme="majorHAnsi" w:cstheme="majorHAnsi"/>
                <w:b/>
                <w:sz w:val="16"/>
                <w:szCs w:val="16"/>
                <w:lang w:val="ro-RO"/>
              </w:rPr>
            </w:pPr>
            <w:proofErr w:type="spellStart"/>
            <w:r w:rsidRPr="005258B2">
              <w:rPr>
                <w:rFonts w:asciiTheme="majorHAnsi" w:hAnsiTheme="majorHAnsi" w:cstheme="majorHAnsi"/>
                <w:b/>
                <w:sz w:val="16"/>
                <w:szCs w:val="16"/>
                <w:lang w:val="ro-RO"/>
              </w:rPr>
              <w:t>mil.dol.SUA</w:t>
            </w:r>
            <w:proofErr w:type="spellEnd"/>
          </w:p>
          <w:p w14:paraId="10A3F83B" w14:textId="77777777" w:rsidR="005258B2" w:rsidRPr="005258B2" w:rsidRDefault="005258B2" w:rsidP="005258B2">
            <w:pPr>
              <w:spacing w:after="0" w:line="240" w:lineRule="auto"/>
              <w:jc w:val="center"/>
              <w:rPr>
                <w:rFonts w:asciiTheme="majorHAnsi" w:hAnsiTheme="majorHAnsi" w:cstheme="majorHAnsi"/>
                <w:b/>
                <w:bCs/>
                <w:sz w:val="16"/>
                <w:szCs w:val="16"/>
                <w:lang w:val="ro-RO"/>
              </w:rPr>
            </w:pPr>
            <w:proofErr w:type="spellStart"/>
            <w:r w:rsidRPr="005258B2">
              <w:rPr>
                <w:rFonts w:asciiTheme="majorHAnsi" w:hAnsiTheme="majorHAnsi" w:cstheme="majorHAnsi"/>
                <w:b/>
                <w:sz w:val="16"/>
                <w:szCs w:val="16"/>
                <w:lang w:val="ro-RO"/>
              </w:rPr>
              <w:t>mil.euro</w:t>
            </w:r>
            <w:proofErr w:type="spellEnd"/>
          </w:p>
        </w:tc>
        <w:tc>
          <w:tcPr>
            <w:tcW w:w="804" w:type="dxa"/>
            <w:tcBorders>
              <w:top w:val="nil"/>
              <w:left w:val="single" w:sz="4" w:space="0" w:color="auto"/>
              <w:bottom w:val="single" w:sz="4" w:space="0" w:color="auto"/>
              <w:right w:val="single" w:sz="4" w:space="0" w:color="auto"/>
            </w:tcBorders>
            <w:shd w:val="clear" w:color="auto" w:fill="EEECE1"/>
            <w:vAlign w:val="center"/>
          </w:tcPr>
          <w:p w14:paraId="7D76ACB9" w14:textId="77777777" w:rsidR="005258B2" w:rsidRPr="000C56D0" w:rsidRDefault="005258B2" w:rsidP="005258B2">
            <w:pPr>
              <w:spacing w:after="0" w:line="240" w:lineRule="auto"/>
              <w:jc w:val="center"/>
              <w:rPr>
                <w:rFonts w:asciiTheme="majorHAnsi" w:hAnsiTheme="majorHAnsi" w:cstheme="majorHAnsi"/>
                <w:b/>
                <w:bCs/>
                <w:sz w:val="16"/>
                <w:szCs w:val="16"/>
                <w:lang w:val="ro-RO"/>
              </w:rPr>
            </w:pPr>
            <w:r w:rsidRPr="000C56D0">
              <w:rPr>
                <w:rFonts w:asciiTheme="majorHAnsi" w:hAnsiTheme="majorHAnsi" w:cstheme="majorHAnsi"/>
                <w:b/>
                <w:bCs/>
                <w:sz w:val="16"/>
                <w:szCs w:val="16"/>
                <w:lang w:val="ro-RO"/>
              </w:rPr>
              <w:t>2,4</w:t>
            </w:r>
          </w:p>
          <w:p w14:paraId="4CCD2560" w14:textId="77777777" w:rsidR="005258B2" w:rsidRPr="000C56D0" w:rsidRDefault="001C3E59" w:rsidP="005258B2">
            <w:pPr>
              <w:spacing w:after="0" w:line="240" w:lineRule="auto"/>
              <w:jc w:val="center"/>
              <w:rPr>
                <w:rFonts w:asciiTheme="majorHAnsi" w:hAnsiTheme="majorHAnsi" w:cstheme="majorHAnsi"/>
                <w:b/>
                <w:bCs/>
                <w:sz w:val="16"/>
                <w:szCs w:val="16"/>
                <w:lang w:val="ro-RO"/>
              </w:rPr>
            </w:pPr>
            <w:r w:rsidRPr="000C56D0">
              <w:rPr>
                <w:rFonts w:asciiTheme="majorHAnsi" w:hAnsiTheme="majorHAnsi" w:cstheme="majorHAnsi"/>
                <w:b/>
                <w:bCs/>
                <w:sz w:val="16"/>
                <w:szCs w:val="16"/>
                <w:lang w:val="ro-RO"/>
              </w:rPr>
              <w:t>4,0</w:t>
            </w:r>
          </w:p>
          <w:p w14:paraId="751FAA90" w14:textId="77777777" w:rsidR="005258B2" w:rsidRPr="000C56D0" w:rsidRDefault="001C3E59" w:rsidP="005258B2">
            <w:pPr>
              <w:spacing w:after="0" w:line="240" w:lineRule="auto"/>
              <w:jc w:val="center"/>
              <w:rPr>
                <w:rFonts w:asciiTheme="majorHAnsi" w:hAnsiTheme="majorHAnsi" w:cstheme="majorHAnsi"/>
                <w:b/>
                <w:bCs/>
                <w:sz w:val="16"/>
                <w:szCs w:val="16"/>
                <w:lang w:val="ro-RO"/>
              </w:rPr>
            </w:pPr>
            <w:r w:rsidRPr="000C56D0">
              <w:rPr>
                <w:rFonts w:asciiTheme="majorHAnsi" w:hAnsiTheme="majorHAnsi" w:cstheme="majorHAnsi"/>
                <w:b/>
                <w:bCs/>
                <w:sz w:val="16"/>
                <w:szCs w:val="16"/>
                <w:lang w:val="ro-RO"/>
              </w:rPr>
              <w:t>18,1</w:t>
            </w:r>
          </w:p>
        </w:tc>
        <w:tc>
          <w:tcPr>
            <w:tcW w:w="686" w:type="dxa"/>
            <w:tcBorders>
              <w:top w:val="nil"/>
              <w:left w:val="single" w:sz="4" w:space="0" w:color="auto"/>
              <w:bottom w:val="single" w:sz="4" w:space="0" w:color="auto"/>
              <w:right w:val="single" w:sz="4" w:space="0" w:color="auto"/>
            </w:tcBorders>
            <w:shd w:val="clear" w:color="auto" w:fill="EEECE1"/>
          </w:tcPr>
          <w:p w14:paraId="5ADF5C95" w14:textId="77777777" w:rsidR="005258B2" w:rsidRPr="000C56D0" w:rsidRDefault="005258B2" w:rsidP="005258B2">
            <w:pPr>
              <w:spacing w:after="0" w:line="240" w:lineRule="auto"/>
              <w:jc w:val="center"/>
              <w:rPr>
                <w:rFonts w:asciiTheme="majorHAnsi" w:hAnsiTheme="majorHAnsi" w:cstheme="majorHAnsi"/>
                <w:b/>
                <w:bCs/>
                <w:sz w:val="16"/>
                <w:szCs w:val="16"/>
                <w:lang w:val="ro-RO"/>
              </w:rPr>
            </w:pPr>
          </w:p>
          <w:p w14:paraId="45EFAD26" w14:textId="77777777" w:rsidR="005258B2" w:rsidRPr="000C56D0" w:rsidRDefault="001C3E59" w:rsidP="005258B2">
            <w:pPr>
              <w:spacing w:after="0" w:line="240" w:lineRule="auto"/>
              <w:jc w:val="center"/>
              <w:rPr>
                <w:rFonts w:asciiTheme="majorHAnsi" w:hAnsiTheme="majorHAnsi" w:cstheme="majorHAnsi"/>
                <w:b/>
                <w:bCs/>
                <w:sz w:val="16"/>
                <w:szCs w:val="16"/>
                <w:lang w:val="ro-RO"/>
              </w:rPr>
            </w:pPr>
            <w:r w:rsidRPr="000C56D0">
              <w:rPr>
                <w:rFonts w:asciiTheme="majorHAnsi" w:hAnsiTheme="majorHAnsi" w:cstheme="majorHAnsi"/>
                <w:b/>
                <w:bCs/>
                <w:sz w:val="16"/>
                <w:szCs w:val="16"/>
                <w:lang w:val="ro-RO"/>
              </w:rPr>
              <w:t>461,3</w:t>
            </w:r>
          </w:p>
        </w:tc>
        <w:tc>
          <w:tcPr>
            <w:tcW w:w="733" w:type="dxa"/>
            <w:tcBorders>
              <w:top w:val="nil"/>
              <w:left w:val="single" w:sz="4" w:space="0" w:color="auto"/>
              <w:bottom w:val="single" w:sz="4" w:space="0" w:color="auto"/>
              <w:right w:val="single" w:sz="4" w:space="0" w:color="auto"/>
            </w:tcBorders>
            <w:shd w:val="clear" w:color="auto" w:fill="EEECE1"/>
            <w:vAlign w:val="center"/>
          </w:tcPr>
          <w:p w14:paraId="16D26FA9" w14:textId="77777777" w:rsidR="005258B2" w:rsidRPr="000C56D0" w:rsidRDefault="005258B2" w:rsidP="005258B2">
            <w:pPr>
              <w:spacing w:after="0" w:line="240" w:lineRule="auto"/>
              <w:jc w:val="center"/>
              <w:rPr>
                <w:rFonts w:asciiTheme="majorHAnsi" w:hAnsiTheme="majorHAnsi" w:cstheme="majorHAnsi"/>
                <w:b/>
                <w:bCs/>
                <w:sz w:val="16"/>
                <w:szCs w:val="16"/>
                <w:lang w:val="ro-RO"/>
              </w:rPr>
            </w:pPr>
            <w:r w:rsidRPr="000C56D0">
              <w:rPr>
                <w:rFonts w:asciiTheme="majorHAnsi" w:hAnsiTheme="majorHAnsi" w:cstheme="majorHAnsi"/>
                <w:b/>
                <w:bCs/>
                <w:sz w:val="16"/>
                <w:szCs w:val="16"/>
                <w:lang w:val="ro-RO"/>
              </w:rPr>
              <w:t>2,4</w:t>
            </w:r>
          </w:p>
          <w:p w14:paraId="22126C9B" w14:textId="1C422410" w:rsidR="005258B2" w:rsidRPr="000C56D0" w:rsidRDefault="003A5D8E" w:rsidP="005258B2">
            <w:pPr>
              <w:spacing w:after="0" w:line="240" w:lineRule="auto"/>
              <w:jc w:val="center"/>
              <w:rPr>
                <w:rFonts w:asciiTheme="majorHAnsi" w:hAnsiTheme="majorHAnsi" w:cstheme="majorHAnsi"/>
                <w:b/>
                <w:bCs/>
                <w:sz w:val="16"/>
                <w:szCs w:val="16"/>
                <w:lang w:val="ro-RO"/>
              </w:rPr>
            </w:pPr>
            <w:r w:rsidRPr="000C56D0">
              <w:rPr>
                <w:rFonts w:asciiTheme="majorHAnsi" w:hAnsiTheme="majorHAnsi" w:cstheme="majorHAnsi"/>
                <w:b/>
                <w:bCs/>
                <w:sz w:val="16"/>
                <w:szCs w:val="16"/>
                <w:lang w:val="ro-RO"/>
              </w:rPr>
              <w:t>3,</w:t>
            </w:r>
            <w:r w:rsidR="006418D0">
              <w:rPr>
                <w:rFonts w:asciiTheme="majorHAnsi" w:hAnsiTheme="majorHAnsi" w:cstheme="majorHAnsi"/>
                <w:b/>
                <w:bCs/>
                <w:sz w:val="16"/>
                <w:szCs w:val="16"/>
                <w:lang w:val="ro-RO"/>
              </w:rPr>
              <w:t>5</w:t>
            </w:r>
          </w:p>
          <w:p w14:paraId="37DD315A" w14:textId="77777777" w:rsidR="005258B2" w:rsidRPr="000C56D0" w:rsidRDefault="00267559" w:rsidP="005258B2">
            <w:pPr>
              <w:spacing w:after="0" w:line="240" w:lineRule="auto"/>
              <w:jc w:val="center"/>
              <w:rPr>
                <w:rFonts w:asciiTheme="majorHAnsi" w:hAnsiTheme="majorHAnsi" w:cstheme="majorHAnsi"/>
                <w:b/>
                <w:bCs/>
                <w:sz w:val="16"/>
                <w:szCs w:val="16"/>
                <w:lang w:val="ro-RO"/>
              </w:rPr>
            </w:pPr>
            <w:r w:rsidRPr="000C56D0">
              <w:rPr>
                <w:rFonts w:asciiTheme="majorHAnsi" w:hAnsiTheme="majorHAnsi" w:cstheme="majorHAnsi"/>
                <w:b/>
                <w:bCs/>
                <w:sz w:val="16"/>
                <w:szCs w:val="16"/>
                <w:lang w:val="ro-RO"/>
              </w:rPr>
              <w:t>18,3</w:t>
            </w:r>
          </w:p>
        </w:tc>
        <w:tc>
          <w:tcPr>
            <w:tcW w:w="772" w:type="dxa"/>
            <w:tcBorders>
              <w:top w:val="nil"/>
              <w:left w:val="single" w:sz="4" w:space="0" w:color="auto"/>
              <w:bottom w:val="single" w:sz="4" w:space="0" w:color="auto"/>
              <w:right w:val="single" w:sz="4" w:space="0" w:color="auto"/>
            </w:tcBorders>
            <w:shd w:val="clear" w:color="auto" w:fill="EEECE1"/>
          </w:tcPr>
          <w:p w14:paraId="3BBB28A1" w14:textId="77777777" w:rsidR="005258B2" w:rsidRPr="000C56D0" w:rsidRDefault="005258B2" w:rsidP="005258B2">
            <w:pPr>
              <w:spacing w:after="0" w:line="240" w:lineRule="auto"/>
              <w:jc w:val="center"/>
              <w:rPr>
                <w:rFonts w:asciiTheme="majorHAnsi" w:hAnsiTheme="majorHAnsi" w:cstheme="majorHAnsi"/>
                <w:b/>
                <w:bCs/>
                <w:sz w:val="16"/>
                <w:szCs w:val="16"/>
                <w:lang w:val="ro-RO"/>
              </w:rPr>
            </w:pPr>
          </w:p>
          <w:p w14:paraId="161287A6" w14:textId="77777777" w:rsidR="005258B2" w:rsidRPr="000C56D0" w:rsidRDefault="00EC51DE" w:rsidP="005258B2">
            <w:pPr>
              <w:spacing w:after="0" w:line="240" w:lineRule="auto"/>
              <w:jc w:val="center"/>
              <w:rPr>
                <w:rFonts w:asciiTheme="majorHAnsi" w:hAnsiTheme="majorHAnsi" w:cstheme="majorHAnsi"/>
                <w:b/>
                <w:bCs/>
                <w:sz w:val="16"/>
                <w:szCs w:val="16"/>
                <w:lang w:val="ro-RO"/>
              </w:rPr>
            </w:pPr>
            <w:r w:rsidRPr="000C56D0">
              <w:rPr>
                <w:rFonts w:asciiTheme="majorHAnsi" w:hAnsiTheme="majorHAnsi" w:cstheme="majorHAnsi"/>
                <w:b/>
                <w:bCs/>
                <w:sz w:val="16"/>
                <w:szCs w:val="16"/>
                <w:lang w:val="ro-RO"/>
              </w:rPr>
              <w:t>435</w:t>
            </w:r>
            <w:r w:rsidR="001C3E59" w:rsidRPr="000C56D0">
              <w:rPr>
                <w:rFonts w:asciiTheme="majorHAnsi" w:hAnsiTheme="majorHAnsi" w:cstheme="majorHAnsi"/>
                <w:b/>
                <w:bCs/>
                <w:sz w:val="16"/>
                <w:szCs w:val="16"/>
                <w:lang w:val="ro-RO"/>
              </w:rPr>
              <w:t>,2</w:t>
            </w:r>
          </w:p>
        </w:tc>
        <w:tc>
          <w:tcPr>
            <w:tcW w:w="813" w:type="dxa"/>
            <w:tcBorders>
              <w:top w:val="nil"/>
              <w:left w:val="single" w:sz="4" w:space="0" w:color="auto"/>
              <w:bottom w:val="single" w:sz="4" w:space="0" w:color="auto"/>
              <w:right w:val="single" w:sz="4" w:space="0" w:color="auto"/>
            </w:tcBorders>
            <w:shd w:val="clear" w:color="auto" w:fill="EEECE1"/>
            <w:vAlign w:val="center"/>
          </w:tcPr>
          <w:p w14:paraId="5FEAB901" w14:textId="306E2A71" w:rsidR="005258B2" w:rsidRPr="000C56D0" w:rsidRDefault="003A5D8E" w:rsidP="005258B2">
            <w:pPr>
              <w:spacing w:after="0" w:line="240" w:lineRule="auto"/>
              <w:jc w:val="center"/>
              <w:rPr>
                <w:rFonts w:asciiTheme="majorHAnsi" w:hAnsiTheme="majorHAnsi" w:cstheme="majorHAnsi"/>
                <w:b/>
                <w:bCs/>
                <w:sz w:val="16"/>
                <w:szCs w:val="16"/>
                <w:lang w:val="ro-RO"/>
              </w:rPr>
            </w:pPr>
            <w:r w:rsidRPr="000C56D0">
              <w:rPr>
                <w:rFonts w:asciiTheme="majorHAnsi" w:hAnsiTheme="majorHAnsi" w:cstheme="majorHAnsi"/>
                <w:b/>
                <w:sz w:val="16"/>
                <w:szCs w:val="16"/>
                <w:lang w:val="ro-RO"/>
              </w:rPr>
              <w:t>2,4      3,</w:t>
            </w:r>
            <w:r w:rsidR="006418D0">
              <w:rPr>
                <w:rFonts w:asciiTheme="majorHAnsi" w:hAnsiTheme="majorHAnsi" w:cstheme="majorHAnsi"/>
                <w:b/>
                <w:sz w:val="16"/>
                <w:szCs w:val="16"/>
                <w:lang w:val="ro-RO"/>
              </w:rPr>
              <w:t>5</w:t>
            </w:r>
            <w:r w:rsidR="006418D0" w:rsidRPr="009561CB">
              <w:rPr>
                <w:rFonts w:asciiTheme="majorHAnsi" w:hAnsiTheme="majorHAnsi" w:cstheme="majorHAnsi"/>
                <w:b/>
                <w:sz w:val="16"/>
                <w:szCs w:val="16"/>
                <w:lang w:val="ro-RO"/>
              </w:rPr>
              <w:t xml:space="preserve">     </w:t>
            </w:r>
            <w:r w:rsidR="00267559" w:rsidRPr="000C56D0">
              <w:rPr>
                <w:rFonts w:asciiTheme="majorHAnsi" w:hAnsiTheme="majorHAnsi" w:cstheme="majorHAnsi"/>
                <w:b/>
                <w:sz w:val="16"/>
                <w:szCs w:val="16"/>
                <w:lang w:val="ro-RO"/>
              </w:rPr>
              <w:t>18,6</w:t>
            </w:r>
          </w:p>
        </w:tc>
        <w:tc>
          <w:tcPr>
            <w:tcW w:w="800" w:type="dxa"/>
            <w:tcBorders>
              <w:top w:val="nil"/>
              <w:left w:val="single" w:sz="4" w:space="0" w:color="auto"/>
              <w:bottom w:val="single" w:sz="4" w:space="0" w:color="auto"/>
              <w:right w:val="single" w:sz="4" w:space="0" w:color="auto"/>
            </w:tcBorders>
            <w:shd w:val="clear" w:color="auto" w:fill="EEECE1"/>
          </w:tcPr>
          <w:p w14:paraId="4AC84310" w14:textId="77777777" w:rsidR="005258B2" w:rsidRPr="000C56D0" w:rsidRDefault="005258B2" w:rsidP="005258B2">
            <w:pPr>
              <w:spacing w:after="0" w:line="240" w:lineRule="auto"/>
              <w:jc w:val="center"/>
              <w:rPr>
                <w:rFonts w:asciiTheme="majorHAnsi" w:hAnsiTheme="majorHAnsi" w:cstheme="majorHAnsi"/>
                <w:b/>
                <w:bCs/>
                <w:sz w:val="16"/>
                <w:szCs w:val="16"/>
                <w:lang w:val="ro-RO"/>
              </w:rPr>
            </w:pPr>
          </w:p>
          <w:p w14:paraId="7FC1A5A2" w14:textId="77777777" w:rsidR="005258B2" w:rsidRPr="000C56D0" w:rsidRDefault="003A5D8E" w:rsidP="005258B2">
            <w:pPr>
              <w:spacing w:after="0" w:line="240" w:lineRule="auto"/>
              <w:jc w:val="center"/>
              <w:rPr>
                <w:rFonts w:asciiTheme="majorHAnsi" w:hAnsiTheme="majorHAnsi" w:cstheme="majorHAnsi"/>
                <w:b/>
                <w:bCs/>
                <w:sz w:val="16"/>
                <w:szCs w:val="16"/>
                <w:lang w:val="ro-RO"/>
              </w:rPr>
            </w:pPr>
            <w:r w:rsidRPr="000C56D0">
              <w:rPr>
                <w:rFonts w:asciiTheme="majorHAnsi" w:hAnsiTheme="majorHAnsi" w:cstheme="majorHAnsi"/>
                <w:b/>
                <w:bCs/>
                <w:sz w:val="16"/>
                <w:szCs w:val="16"/>
                <w:lang w:val="ro-RO"/>
              </w:rPr>
              <w:t>426,2</w:t>
            </w:r>
          </w:p>
        </w:tc>
        <w:tc>
          <w:tcPr>
            <w:tcW w:w="813" w:type="dxa"/>
            <w:tcBorders>
              <w:top w:val="nil"/>
              <w:left w:val="single" w:sz="4" w:space="0" w:color="auto"/>
              <w:bottom w:val="single" w:sz="4" w:space="0" w:color="auto"/>
              <w:right w:val="single" w:sz="4" w:space="0" w:color="auto"/>
            </w:tcBorders>
            <w:shd w:val="clear" w:color="auto" w:fill="EEECE1"/>
            <w:vAlign w:val="center"/>
          </w:tcPr>
          <w:p w14:paraId="42FC3C7A" w14:textId="77777777" w:rsidR="005258B2" w:rsidRPr="000C56D0" w:rsidRDefault="005258B2" w:rsidP="005258B2">
            <w:pPr>
              <w:spacing w:after="0" w:line="240" w:lineRule="auto"/>
              <w:jc w:val="center"/>
              <w:rPr>
                <w:rFonts w:asciiTheme="majorHAnsi" w:hAnsiTheme="majorHAnsi" w:cstheme="majorHAnsi"/>
                <w:b/>
                <w:sz w:val="16"/>
                <w:szCs w:val="16"/>
                <w:lang w:val="ro-RO"/>
              </w:rPr>
            </w:pPr>
            <w:r w:rsidRPr="000C56D0">
              <w:rPr>
                <w:rFonts w:asciiTheme="majorHAnsi" w:hAnsiTheme="majorHAnsi" w:cstheme="majorHAnsi"/>
                <w:b/>
                <w:sz w:val="16"/>
                <w:szCs w:val="16"/>
                <w:lang w:val="ro-RO"/>
              </w:rPr>
              <w:t xml:space="preserve">-      </w:t>
            </w:r>
          </w:p>
          <w:p w14:paraId="61A8DB47" w14:textId="77777777" w:rsidR="005258B2" w:rsidRPr="000C56D0" w:rsidRDefault="005258B2" w:rsidP="005258B2">
            <w:pPr>
              <w:spacing w:after="0" w:line="240" w:lineRule="auto"/>
              <w:jc w:val="center"/>
              <w:rPr>
                <w:rFonts w:asciiTheme="majorHAnsi" w:hAnsiTheme="majorHAnsi" w:cstheme="majorHAnsi"/>
                <w:b/>
                <w:sz w:val="16"/>
                <w:szCs w:val="16"/>
                <w:lang w:val="ro-RO"/>
              </w:rPr>
            </w:pPr>
            <w:r w:rsidRPr="000C56D0">
              <w:rPr>
                <w:rFonts w:asciiTheme="majorHAnsi" w:hAnsiTheme="majorHAnsi" w:cstheme="majorHAnsi"/>
                <w:b/>
                <w:sz w:val="16"/>
                <w:szCs w:val="16"/>
                <w:lang w:val="ro-RO"/>
              </w:rPr>
              <w:t>0</w:t>
            </w:r>
          </w:p>
          <w:p w14:paraId="25F10D29" w14:textId="77777777" w:rsidR="005258B2" w:rsidRPr="000C56D0" w:rsidRDefault="005258B2" w:rsidP="005258B2">
            <w:pPr>
              <w:spacing w:after="0" w:line="240" w:lineRule="auto"/>
              <w:jc w:val="center"/>
              <w:rPr>
                <w:rFonts w:asciiTheme="majorHAnsi" w:hAnsiTheme="majorHAnsi" w:cstheme="majorHAnsi"/>
                <w:b/>
                <w:bCs/>
                <w:sz w:val="16"/>
                <w:szCs w:val="16"/>
                <w:lang w:val="ro-RO"/>
              </w:rPr>
            </w:pPr>
            <w:r w:rsidRPr="000C56D0">
              <w:rPr>
                <w:rFonts w:asciiTheme="majorHAnsi" w:hAnsiTheme="majorHAnsi" w:cstheme="majorHAnsi"/>
                <w:b/>
                <w:sz w:val="16"/>
                <w:szCs w:val="16"/>
                <w:lang w:val="ro-RO"/>
              </w:rPr>
              <w:t xml:space="preserve">     0,05</w:t>
            </w:r>
          </w:p>
        </w:tc>
        <w:tc>
          <w:tcPr>
            <w:tcW w:w="691" w:type="dxa"/>
            <w:tcBorders>
              <w:top w:val="nil"/>
              <w:left w:val="single" w:sz="4" w:space="0" w:color="auto"/>
              <w:bottom w:val="single" w:sz="4" w:space="0" w:color="auto"/>
              <w:right w:val="single" w:sz="4" w:space="0" w:color="auto"/>
            </w:tcBorders>
            <w:shd w:val="clear" w:color="auto" w:fill="EEECE1"/>
          </w:tcPr>
          <w:p w14:paraId="2B92939F" w14:textId="77777777" w:rsidR="005258B2" w:rsidRPr="000C56D0" w:rsidRDefault="005258B2" w:rsidP="005258B2">
            <w:pPr>
              <w:spacing w:after="0" w:line="240" w:lineRule="auto"/>
              <w:jc w:val="center"/>
              <w:rPr>
                <w:rFonts w:asciiTheme="majorHAnsi" w:hAnsiTheme="majorHAnsi" w:cstheme="majorHAnsi"/>
                <w:b/>
                <w:bCs/>
                <w:sz w:val="16"/>
                <w:szCs w:val="16"/>
                <w:lang w:val="ro-RO"/>
              </w:rPr>
            </w:pPr>
          </w:p>
          <w:p w14:paraId="3135F74E" w14:textId="77777777" w:rsidR="005258B2" w:rsidRPr="000C56D0" w:rsidRDefault="001C3E59" w:rsidP="005258B2">
            <w:pPr>
              <w:spacing w:after="0" w:line="240" w:lineRule="auto"/>
              <w:jc w:val="center"/>
              <w:rPr>
                <w:rFonts w:asciiTheme="majorHAnsi" w:hAnsiTheme="majorHAnsi" w:cstheme="majorHAnsi"/>
                <w:b/>
                <w:bCs/>
                <w:sz w:val="16"/>
                <w:szCs w:val="16"/>
                <w:lang w:val="ro-RO"/>
              </w:rPr>
            </w:pPr>
            <w:r w:rsidRPr="000C56D0">
              <w:rPr>
                <w:rFonts w:asciiTheme="majorHAnsi" w:hAnsiTheme="majorHAnsi" w:cstheme="majorHAnsi"/>
                <w:b/>
                <w:bCs/>
                <w:sz w:val="16"/>
                <w:szCs w:val="16"/>
                <w:lang w:val="ro-RO"/>
              </w:rPr>
              <w:t>-9,0</w:t>
            </w:r>
          </w:p>
        </w:tc>
      </w:tr>
    </w:tbl>
    <w:p w14:paraId="2E7DCEE2" w14:textId="74206898" w:rsidR="00A159BA" w:rsidRDefault="005258B2" w:rsidP="005258B2">
      <w:pPr>
        <w:rPr>
          <w:rFonts w:asciiTheme="majorHAnsi" w:hAnsiTheme="majorHAnsi" w:cstheme="majorHAnsi"/>
          <w:sz w:val="20"/>
          <w:szCs w:val="20"/>
          <w:lang w:val="ro-RO"/>
        </w:rPr>
      </w:pPr>
      <w:r w:rsidRPr="005258B2">
        <w:rPr>
          <w:rFonts w:asciiTheme="majorHAnsi" w:hAnsiTheme="majorHAnsi" w:cstheme="majorHAnsi"/>
          <w:b/>
          <w:i/>
          <w:sz w:val="20"/>
          <w:szCs w:val="20"/>
          <w:lang w:val="ro-RO"/>
        </w:rPr>
        <w:t xml:space="preserve"> Sursă:</w:t>
      </w:r>
      <w:r w:rsidRPr="005258B2">
        <w:rPr>
          <w:rFonts w:asciiTheme="majorHAnsi" w:hAnsiTheme="majorHAnsi" w:cstheme="majorHAnsi"/>
          <w:b/>
          <w:sz w:val="20"/>
          <w:szCs w:val="20"/>
          <w:lang w:val="ro-RO"/>
        </w:rPr>
        <w:t xml:space="preserve"> </w:t>
      </w:r>
      <w:r w:rsidR="00762324">
        <w:rPr>
          <w:rFonts w:asciiTheme="majorHAnsi" w:hAnsiTheme="majorHAnsi" w:cstheme="majorHAnsi"/>
          <w:sz w:val="20"/>
          <w:szCs w:val="20"/>
          <w:lang w:val="ro-RO" w:eastAsia="ru-RU"/>
        </w:rPr>
        <w:t>Datele</w:t>
      </w:r>
      <w:r w:rsidRPr="005258B2">
        <w:rPr>
          <w:rFonts w:asciiTheme="majorHAnsi" w:hAnsiTheme="majorHAnsi" w:cstheme="majorHAnsi"/>
          <w:sz w:val="20"/>
          <w:szCs w:val="20"/>
          <w:lang w:val="ro-RO"/>
        </w:rPr>
        <w:t xml:space="preserve"> Rapoartelor privind datoriile debitorilor garantați față de MF pe anii 2016-2018.</w:t>
      </w:r>
    </w:p>
    <w:p w14:paraId="3FA34A18" w14:textId="77777777" w:rsidR="00A159BA" w:rsidRPr="005258B2" w:rsidRDefault="00A159BA" w:rsidP="005258B2">
      <w:pPr>
        <w:rPr>
          <w:rFonts w:asciiTheme="majorHAnsi" w:hAnsiTheme="majorHAnsi" w:cstheme="majorHAnsi"/>
          <w:sz w:val="20"/>
          <w:szCs w:val="20"/>
          <w:lang w:val="ro-RO"/>
        </w:rPr>
      </w:pPr>
    </w:p>
    <w:p w14:paraId="4061E4E4" w14:textId="594730A2" w:rsidR="00547D08" w:rsidRPr="002731CC" w:rsidRDefault="00EE138E" w:rsidP="002731CC">
      <w:pPr>
        <w:pStyle w:val="2"/>
        <w:jc w:val="right"/>
        <w:rPr>
          <w:rFonts w:asciiTheme="majorHAnsi" w:hAnsiTheme="majorHAnsi" w:cstheme="majorHAnsi"/>
          <w:b/>
          <w:color w:val="auto"/>
          <w:sz w:val="28"/>
          <w:szCs w:val="28"/>
          <w:lang w:val="ro-RO"/>
        </w:rPr>
      </w:pPr>
      <w:bookmarkStart w:id="84" w:name="_Toc10106706"/>
      <w:r w:rsidRPr="00547D08">
        <w:rPr>
          <w:rFonts w:asciiTheme="majorHAnsi" w:hAnsiTheme="majorHAnsi" w:cstheme="majorHAnsi"/>
          <w:b/>
          <w:i/>
          <w:color w:val="auto"/>
          <w:sz w:val="28"/>
          <w:szCs w:val="28"/>
          <w:lang w:val="ro-RO"/>
        </w:rPr>
        <w:t xml:space="preserve">Anexa nr.3 </w:t>
      </w:r>
      <w:r w:rsidRPr="00547D08">
        <w:rPr>
          <w:rFonts w:asciiTheme="majorHAnsi" w:hAnsiTheme="majorHAnsi" w:cstheme="majorHAnsi"/>
          <w:b/>
          <w:color w:val="auto"/>
          <w:sz w:val="28"/>
          <w:szCs w:val="28"/>
          <w:lang w:val="ro-RO"/>
        </w:rPr>
        <w:t>(Figuri)</w:t>
      </w:r>
      <w:bookmarkEnd w:id="81"/>
      <w:bookmarkEnd w:id="82"/>
      <w:bookmarkEnd w:id="83"/>
      <w:bookmarkEnd w:id="84"/>
    </w:p>
    <w:p w14:paraId="0696C2F1" w14:textId="77777777" w:rsidR="00EE138E" w:rsidRPr="004501BA" w:rsidRDefault="00EE138E" w:rsidP="00EE138E">
      <w:pPr>
        <w:spacing w:after="0"/>
        <w:jc w:val="right"/>
        <w:rPr>
          <w:rFonts w:asciiTheme="majorHAnsi" w:hAnsiTheme="majorHAnsi" w:cstheme="majorHAnsi"/>
          <w:b/>
          <w:sz w:val="24"/>
          <w:szCs w:val="24"/>
          <w:lang w:val="ro-RO"/>
        </w:rPr>
      </w:pPr>
      <w:r w:rsidRPr="004501BA">
        <w:rPr>
          <w:rFonts w:asciiTheme="majorHAnsi" w:hAnsiTheme="majorHAnsi" w:cstheme="majorHAnsi"/>
          <w:b/>
          <w:sz w:val="24"/>
          <w:szCs w:val="24"/>
          <w:lang w:val="ro-RO"/>
        </w:rPr>
        <w:t>Diagrama nr.1</w:t>
      </w:r>
    </w:p>
    <w:p w14:paraId="60C14F4C" w14:textId="77777777" w:rsidR="00547D08" w:rsidRPr="008E6807" w:rsidRDefault="00547D08" w:rsidP="00547D08">
      <w:pPr>
        <w:spacing w:after="0" w:line="240" w:lineRule="auto"/>
        <w:rPr>
          <w:rFonts w:asciiTheme="majorHAnsi" w:hAnsiTheme="majorHAnsi"/>
          <w:sz w:val="28"/>
          <w:highlight w:val="yellow"/>
          <w:lang w:val="ro-RO"/>
        </w:rPr>
      </w:pPr>
      <w:r w:rsidRPr="00775266">
        <w:rPr>
          <w:rFonts w:asciiTheme="majorHAnsi" w:hAnsiTheme="majorHAnsi" w:cstheme="majorHAnsi"/>
          <w:noProof/>
          <w:sz w:val="28"/>
          <w:szCs w:val="28"/>
          <w:highlight w:val="yellow"/>
          <w:shd w:val="clear" w:color="auto" w:fill="538135" w:themeFill="accent6" w:themeFillShade="BF"/>
          <w:lang w:val="ru-RU" w:eastAsia="ru-RU"/>
        </w:rPr>
        <w:drawing>
          <wp:inline distT="0" distB="0" distL="0" distR="0" wp14:anchorId="51CF507A" wp14:editId="194F377B">
            <wp:extent cx="6027420" cy="3200400"/>
            <wp:effectExtent l="0" t="0" r="1143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739C1DD" w14:textId="7A539EF4" w:rsidR="005463EA" w:rsidRPr="002731CC" w:rsidRDefault="00547D08" w:rsidP="002731CC">
      <w:pPr>
        <w:spacing w:after="0" w:line="240" w:lineRule="auto"/>
        <w:rPr>
          <w:rFonts w:asciiTheme="majorHAnsi" w:hAnsiTheme="majorHAnsi" w:cstheme="majorHAnsi"/>
          <w:sz w:val="20"/>
          <w:szCs w:val="20"/>
          <w:lang w:val="ro-RO"/>
        </w:rPr>
      </w:pPr>
      <w:r w:rsidRPr="00547D08">
        <w:rPr>
          <w:rFonts w:asciiTheme="majorHAnsi" w:hAnsiTheme="majorHAnsi" w:cstheme="majorHAnsi"/>
          <w:b/>
          <w:i/>
          <w:sz w:val="20"/>
          <w:szCs w:val="20"/>
          <w:lang w:val="ro-RO"/>
        </w:rPr>
        <w:t xml:space="preserve"> Sursă:</w:t>
      </w:r>
      <w:r w:rsidRPr="00547D08">
        <w:rPr>
          <w:rFonts w:asciiTheme="majorHAnsi" w:hAnsiTheme="majorHAnsi" w:cstheme="majorHAnsi"/>
          <w:sz w:val="20"/>
          <w:szCs w:val="20"/>
          <w:lang w:val="ro-RO"/>
        </w:rPr>
        <w:t xml:space="preserve"> </w:t>
      </w:r>
      <w:r w:rsidR="00762324">
        <w:rPr>
          <w:rFonts w:asciiTheme="majorHAnsi" w:hAnsiTheme="majorHAnsi" w:cstheme="majorHAnsi"/>
          <w:sz w:val="20"/>
          <w:szCs w:val="20"/>
          <w:lang w:val="ro-RO"/>
        </w:rPr>
        <w:t>I</w:t>
      </w:r>
      <w:r w:rsidRPr="00547D08">
        <w:rPr>
          <w:rFonts w:asciiTheme="majorHAnsi" w:hAnsiTheme="majorHAnsi" w:cstheme="majorHAnsi"/>
          <w:sz w:val="20"/>
          <w:szCs w:val="20"/>
          <w:lang w:val="ro-RO"/>
        </w:rPr>
        <w:t>nformați</w:t>
      </w:r>
      <w:r w:rsidR="00762324">
        <w:rPr>
          <w:rFonts w:asciiTheme="majorHAnsi" w:hAnsiTheme="majorHAnsi" w:cstheme="majorHAnsi"/>
          <w:sz w:val="20"/>
          <w:szCs w:val="20"/>
          <w:lang w:val="ro-RO"/>
        </w:rPr>
        <w:t>a</w:t>
      </w:r>
      <w:r w:rsidRPr="00547D08">
        <w:rPr>
          <w:rFonts w:asciiTheme="majorHAnsi" w:hAnsiTheme="majorHAnsi" w:cstheme="majorHAnsi"/>
          <w:sz w:val="20"/>
          <w:szCs w:val="20"/>
          <w:lang w:val="ro-RO"/>
        </w:rPr>
        <w:t xml:space="preserve"> privind dinamica ratei anuale a dobânzii la VMS în anul 2017; Informația privind rata de bază a BNM în anul 2017; Informația privind rata medie la credite și depozite în anul 2017.</w:t>
      </w:r>
    </w:p>
    <w:p w14:paraId="23540672" w14:textId="77777777" w:rsidR="004501BA" w:rsidRPr="00775266" w:rsidRDefault="004501BA" w:rsidP="00EE138E">
      <w:pPr>
        <w:tabs>
          <w:tab w:val="left" w:pos="6900"/>
        </w:tabs>
        <w:spacing w:after="0"/>
        <w:rPr>
          <w:rFonts w:asciiTheme="majorHAnsi" w:hAnsiTheme="majorHAnsi" w:cstheme="majorHAnsi"/>
          <w:b/>
          <w:sz w:val="28"/>
          <w:szCs w:val="28"/>
          <w:highlight w:val="yellow"/>
          <w:lang w:val="ro-RO"/>
        </w:rPr>
      </w:pPr>
    </w:p>
    <w:p w14:paraId="6988142F" w14:textId="77777777" w:rsidR="00EE138E" w:rsidRPr="004501BA" w:rsidRDefault="00EE138E" w:rsidP="00EE138E">
      <w:pPr>
        <w:spacing w:after="0"/>
        <w:jc w:val="right"/>
        <w:rPr>
          <w:rFonts w:asciiTheme="majorHAnsi" w:hAnsiTheme="majorHAnsi" w:cstheme="majorHAnsi"/>
          <w:b/>
          <w:sz w:val="24"/>
          <w:szCs w:val="24"/>
          <w:lang w:val="ro-RO"/>
        </w:rPr>
      </w:pPr>
      <w:r w:rsidRPr="004501BA">
        <w:rPr>
          <w:rFonts w:asciiTheme="majorHAnsi" w:hAnsiTheme="majorHAnsi" w:cstheme="majorHAnsi"/>
          <w:b/>
          <w:sz w:val="24"/>
          <w:szCs w:val="24"/>
          <w:lang w:val="ro-RO"/>
        </w:rPr>
        <w:t xml:space="preserve">Diagrama nr.2 </w:t>
      </w:r>
    </w:p>
    <w:p w14:paraId="247B47F0" w14:textId="77777777" w:rsidR="00EE138E" w:rsidRPr="008E6807" w:rsidRDefault="00EE138E" w:rsidP="00EE138E">
      <w:pPr>
        <w:spacing w:after="0" w:line="240" w:lineRule="auto"/>
        <w:rPr>
          <w:rFonts w:asciiTheme="majorHAnsi" w:hAnsiTheme="majorHAnsi"/>
          <w:sz w:val="28"/>
          <w:lang w:val="ro-RO"/>
        </w:rPr>
      </w:pPr>
      <w:r w:rsidRPr="00547D08">
        <w:rPr>
          <w:rFonts w:asciiTheme="majorHAnsi" w:hAnsiTheme="majorHAnsi" w:cstheme="majorHAnsi"/>
          <w:noProof/>
          <w:sz w:val="28"/>
          <w:szCs w:val="28"/>
          <w:shd w:val="clear" w:color="auto" w:fill="538135" w:themeFill="accent6" w:themeFillShade="BF"/>
          <w:lang w:val="ru-RU" w:eastAsia="ru-RU"/>
        </w:rPr>
        <w:drawing>
          <wp:inline distT="0" distB="0" distL="0" distR="0" wp14:anchorId="0F103763" wp14:editId="7C29924D">
            <wp:extent cx="6027420" cy="3200400"/>
            <wp:effectExtent l="0" t="0" r="1143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837524" w14:textId="39B6F667" w:rsidR="00EE138E" w:rsidRPr="000C56D0" w:rsidRDefault="00EE138E" w:rsidP="000C56D0">
      <w:pPr>
        <w:spacing w:after="0" w:line="240" w:lineRule="auto"/>
        <w:rPr>
          <w:rFonts w:asciiTheme="majorHAnsi" w:hAnsiTheme="majorHAnsi" w:cstheme="majorHAnsi"/>
          <w:sz w:val="20"/>
          <w:szCs w:val="20"/>
          <w:lang w:val="ro-RO"/>
        </w:rPr>
      </w:pPr>
      <w:r w:rsidRPr="00547D08">
        <w:rPr>
          <w:rFonts w:asciiTheme="majorHAnsi" w:hAnsiTheme="majorHAnsi" w:cstheme="majorHAnsi"/>
          <w:b/>
          <w:i/>
          <w:sz w:val="28"/>
          <w:szCs w:val="28"/>
          <w:lang w:val="ro-RO"/>
        </w:rPr>
        <w:t xml:space="preserve"> </w:t>
      </w:r>
      <w:r w:rsidRPr="00547D08">
        <w:rPr>
          <w:rFonts w:asciiTheme="majorHAnsi" w:hAnsiTheme="majorHAnsi" w:cstheme="majorHAnsi"/>
          <w:b/>
          <w:i/>
          <w:sz w:val="20"/>
          <w:szCs w:val="20"/>
          <w:lang w:val="ro-RO"/>
        </w:rPr>
        <w:t>Sursă:</w:t>
      </w:r>
      <w:r w:rsidRPr="00547D08">
        <w:rPr>
          <w:rFonts w:asciiTheme="majorHAnsi" w:hAnsiTheme="majorHAnsi" w:cstheme="majorHAnsi"/>
          <w:sz w:val="20"/>
          <w:szCs w:val="20"/>
          <w:lang w:val="ro-RO"/>
        </w:rPr>
        <w:t xml:space="preserve"> </w:t>
      </w:r>
      <w:r w:rsidR="00762324">
        <w:rPr>
          <w:rFonts w:asciiTheme="majorHAnsi" w:hAnsiTheme="majorHAnsi" w:cstheme="majorHAnsi"/>
          <w:sz w:val="20"/>
          <w:szCs w:val="20"/>
          <w:lang w:val="ro-RO"/>
        </w:rPr>
        <w:t>I</w:t>
      </w:r>
      <w:r w:rsidRPr="00547D08">
        <w:rPr>
          <w:rFonts w:asciiTheme="majorHAnsi" w:hAnsiTheme="majorHAnsi" w:cstheme="majorHAnsi"/>
          <w:sz w:val="20"/>
          <w:szCs w:val="20"/>
          <w:lang w:val="ro-RO"/>
        </w:rPr>
        <w:t>nformați</w:t>
      </w:r>
      <w:r w:rsidR="00762324">
        <w:rPr>
          <w:rFonts w:asciiTheme="majorHAnsi" w:hAnsiTheme="majorHAnsi" w:cstheme="majorHAnsi"/>
          <w:sz w:val="20"/>
          <w:szCs w:val="20"/>
          <w:lang w:val="ro-RO"/>
        </w:rPr>
        <w:t>a</w:t>
      </w:r>
      <w:r w:rsidRPr="00547D08">
        <w:rPr>
          <w:rFonts w:asciiTheme="majorHAnsi" w:hAnsiTheme="majorHAnsi" w:cstheme="majorHAnsi"/>
          <w:sz w:val="20"/>
          <w:szCs w:val="20"/>
          <w:lang w:val="ro-RO"/>
        </w:rPr>
        <w:t xml:space="preserve"> privind dinamica ratei anual</w:t>
      </w:r>
      <w:r w:rsidR="00547D08">
        <w:rPr>
          <w:rFonts w:asciiTheme="majorHAnsi" w:hAnsiTheme="majorHAnsi" w:cstheme="majorHAnsi"/>
          <w:sz w:val="20"/>
          <w:szCs w:val="20"/>
          <w:lang w:val="ro-RO"/>
        </w:rPr>
        <w:t>e a dobânzii la VMS în anul 2018</w:t>
      </w:r>
      <w:r w:rsidRPr="00547D08">
        <w:rPr>
          <w:rFonts w:asciiTheme="majorHAnsi" w:hAnsiTheme="majorHAnsi" w:cstheme="majorHAnsi"/>
          <w:sz w:val="20"/>
          <w:szCs w:val="20"/>
          <w:lang w:val="ro-RO"/>
        </w:rPr>
        <w:t>; Informația privind</w:t>
      </w:r>
      <w:r w:rsidR="00547D08">
        <w:rPr>
          <w:rFonts w:asciiTheme="majorHAnsi" w:hAnsiTheme="majorHAnsi" w:cstheme="majorHAnsi"/>
          <w:sz w:val="20"/>
          <w:szCs w:val="20"/>
          <w:lang w:val="ro-RO"/>
        </w:rPr>
        <w:t xml:space="preserve"> rata de bază a BNM în anul 2018</w:t>
      </w:r>
      <w:r w:rsidRPr="00547D08">
        <w:rPr>
          <w:rFonts w:asciiTheme="majorHAnsi" w:hAnsiTheme="majorHAnsi" w:cstheme="majorHAnsi"/>
          <w:sz w:val="20"/>
          <w:szCs w:val="20"/>
          <w:lang w:val="ro-RO"/>
        </w:rPr>
        <w:t>; Informația privind rata medie la credite și depozite în anul</w:t>
      </w:r>
      <w:r w:rsidR="00547D08">
        <w:rPr>
          <w:rFonts w:asciiTheme="majorHAnsi" w:hAnsiTheme="majorHAnsi" w:cstheme="majorHAnsi"/>
          <w:sz w:val="20"/>
          <w:szCs w:val="20"/>
          <w:lang w:val="ro-RO"/>
        </w:rPr>
        <w:t xml:space="preserve"> 2018</w:t>
      </w:r>
      <w:r w:rsidRPr="00547D08">
        <w:rPr>
          <w:rFonts w:asciiTheme="majorHAnsi" w:hAnsiTheme="majorHAnsi" w:cstheme="majorHAnsi"/>
          <w:sz w:val="20"/>
          <w:szCs w:val="20"/>
          <w:lang w:val="ro-RO"/>
        </w:rPr>
        <w:t>.</w:t>
      </w:r>
    </w:p>
    <w:p w14:paraId="5631AD55" w14:textId="77777777" w:rsidR="00EE138E" w:rsidRPr="00BE2EBB" w:rsidRDefault="00EE138E" w:rsidP="00EE138E">
      <w:pPr>
        <w:spacing w:after="0"/>
        <w:jc w:val="right"/>
        <w:rPr>
          <w:rFonts w:asciiTheme="majorHAnsi" w:hAnsiTheme="majorHAnsi" w:cstheme="majorHAnsi"/>
          <w:b/>
          <w:sz w:val="28"/>
          <w:szCs w:val="28"/>
          <w:lang w:val="ro-RO"/>
        </w:rPr>
      </w:pPr>
    </w:p>
    <w:p w14:paraId="4AD38C1E" w14:textId="77777777" w:rsidR="00EE138E" w:rsidRPr="004501BA" w:rsidRDefault="000F3BB4" w:rsidP="00EE138E">
      <w:pPr>
        <w:spacing w:after="0"/>
        <w:jc w:val="right"/>
        <w:rPr>
          <w:rFonts w:asciiTheme="majorHAnsi" w:hAnsiTheme="majorHAnsi" w:cstheme="majorHAnsi"/>
          <w:b/>
          <w:sz w:val="24"/>
          <w:szCs w:val="24"/>
          <w:lang w:val="ro-RO"/>
        </w:rPr>
      </w:pPr>
      <w:r w:rsidRPr="000E245A">
        <w:rPr>
          <w:rFonts w:asciiTheme="majorHAnsi" w:hAnsiTheme="majorHAnsi" w:cstheme="majorHAnsi"/>
          <w:b/>
          <w:sz w:val="24"/>
          <w:szCs w:val="24"/>
          <w:lang w:val="ro-RO"/>
        </w:rPr>
        <w:t>Diagrama nr.3</w:t>
      </w:r>
    </w:p>
    <w:p w14:paraId="30B32681" w14:textId="77777777" w:rsidR="00EE138E" w:rsidRPr="00775266" w:rsidRDefault="00EE138E" w:rsidP="00EE138E">
      <w:pPr>
        <w:spacing w:after="0"/>
        <w:jc w:val="right"/>
        <w:rPr>
          <w:rFonts w:asciiTheme="majorHAnsi" w:hAnsiTheme="majorHAnsi" w:cstheme="majorHAnsi"/>
          <w:b/>
          <w:sz w:val="28"/>
          <w:szCs w:val="28"/>
          <w:highlight w:val="yellow"/>
          <w:lang w:val="ro-RO"/>
        </w:rPr>
      </w:pPr>
      <w:r w:rsidRPr="00BE2EBB">
        <w:rPr>
          <w:rFonts w:asciiTheme="majorHAnsi" w:hAnsiTheme="majorHAnsi" w:cstheme="majorHAnsi"/>
          <w:b/>
          <w:noProof/>
          <w:sz w:val="28"/>
          <w:szCs w:val="28"/>
          <w:highlight w:val="yellow"/>
          <w:lang w:val="ru-RU" w:eastAsia="ru-RU"/>
        </w:rPr>
        <w:drawing>
          <wp:inline distT="0" distB="0" distL="0" distR="0" wp14:anchorId="61DE7CCC" wp14:editId="1B1DB332">
            <wp:extent cx="5886450" cy="2762250"/>
            <wp:effectExtent l="0" t="0" r="0" b="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3D8E0E7" w14:textId="2AADF87D" w:rsidR="00EE138E" w:rsidRPr="00BE2EBB" w:rsidRDefault="00EE138E" w:rsidP="00EE138E">
      <w:pPr>
        <w:spacing w:after="0" w:line="240" w:lineRule="auto"/>
        <w:jc w:val="both"/>
        <w:rPr>
          <w:rFonts w:asciiTheme="majorHAnsi" w:hAnsiTheme="majorHAnsi" w:cstheme="majorHAnsi"/>
          <w:sz w:val="18"/>
          <w:szCs w:val="18"/>
          <w:lang w:val="ro-RO"/>
        </w:rPr>
      </w:pPr>
      <w:r w:rsidRPr="00BE2EBB">
        <w:rPr>
          <w:rFonts w:asciiTheme="majorHAnsi" w:hAnsiTheme="majorHAnsi" w:cstheme="majorHAnsi"/>
          <w:b/>
          <w:i/>
          <w:sz w:val="18"/>
          <w:szCs w:val="18"/>
          <w:lang w:val="ro-RO"/>
        </w:rPr>
        <w:t>Sursă:</w:t>
      </w:r>
      <w:r w:rsidRPr="00BE2EBB">
        <w:rPr>
          <w:rFonts w:asciiTheme="majorHAnsi" w:hAnsiTheme="majorHAnsi" w:cstheme="majorHAnsi"/>
          <w:sz w:val="18"/>
          <w:szCs w:val="18"/>
          <w:lang w:val="ro-RO"/>
        </w:rPr>
        <w:t xml:space="preserve"> </w:t>
      </w:r>
      <w:r w:rsidR="00762324">
        <w:rPr>
          <w:rFonts w:asciiTheme="majorHAnsi" w:hAnsiTheme="majorHAnsi" w:cstheme="majorHAnsi"/>
          <w:sz w:val="18"/>
          <w:szCs w:val="18"/>
          <w:lang w:val="ro-RO"/>
        </w:rPr>
        <w:t>Datele</w:t>
      </w:r>
      <w:r w:rsidR="000E245A">
        <w:rPr>
          <w:rFonts w:asciiTheme="majorHAnsi" w:hAnsiTheme="majorHAnsi" w:cstheme="majorHAnsi"/>
          <w:sz w:val="18"/>
          <w:szCs w:val="18"/>
          <w:lang w:val="ro-RO"/>
        </w:rPr>
        <w:t xml:space="preserve"> </w:t>
      </w:r>
      <w:r w:rsidRPr="00BE2EBB">
        <w:rPr>
          <w:rFonts w:asciiTheme="majorHAnsi" w:hAnsiTheme="majorHAnsi" w:cstheme="majorHAnsi"/>
          <w:sz w:val="18"/>
          <w:szCs w:val="18"/>
          <w:lang w:val="ro-RO"/>
        </w:rPr>
        <w:t>Rapoartelor privind situația în domeniul datoriei sectorului public, garanțiilor de stat și r</w:t>
      </w:r>
      <w:r w:rsidR="00BE2EBB" w:rsidRPr="00BE2EBB">
        <w:rPr>
          <w:rFonts w:asciiTheme="majorHAnsi" w:hAnsiTheme="majorHAnsi" w:cstheme="majorHAnsi"/>
          <w:sz w:val="18"/>
          <w:szCs w:val="18"/>
          <w:lang w:val="ro-RO"/>
        </w:rPr>
        <w:t>ecreditării de stat pe anii 2016-2018</w:t>
      </w:r>
      <w:r w:rsidRPr="00BE2EBB">
        <w:rPr>
          <w:rFonts w:asciiTheme="majorHAnsi" w:hAnsiTheme="majorHAnsi" w:cstheme="majorHAnsi"/>
          <w:sz w:val="18"/>
          <w:szCs w:val="18"/>
          <w:lang w:val="ro-RO"/>
        </w:rPr>
        <w:t>.</w:t>
      </w:r>
    </w:p>
    <w:p w14:paraId="1238E70C" w14:textId="77777777" w:rsidR="00EE138E" w:rsidRPr="00775266" w:rsidRDefault="00EE138E" w:rsidP="00EE138E">
      <w:pPr>
        <w:spacing w:after="0" w:line="240" w:lineRule="auto"/>
        <w:jc w:val="both"/>
        <w:rPr>
          <w:rFonts w:asciiTheme="majorHAnsi" w:hAnsiTheme="majorHAnsi" w:cstheme="majorHAnsi"/>
          <w:sz w:val="28"/>
          <w:szCs w:val="28"/>
          <w:lang w:val="ro-RO"/>
        </w:rPr>
      </w:pPr>
    </w:p>
    <w:p w14:paraId="2C0464C4" w14:textId="77777777" w:rsidR="00EE138E" w:rsidRPr="00775266" w:rsidRDefault="00EE138E" w:rsidP="00EE138E">
      <w:pPr>
        <w:jc w:val="both"/>
        <w:rPr>
          <w:rFonts w:asciiTheme="majorHAnsi" w:hAnsiTheme="majorHAnsi" w:cstheme="majorHAnsi"/>
          <w:b/>
          <w:sz w:val="28"/>
          <w:szCs w:val="28"/>
          <w:lang w:val="ro-RO"/>
        </w:rPr>
      </w:pPr>
    </w:p>
    <w:p w14:paraId="3F9A8FE4" w14:textId="77777777" w:rsidR="006E4771" w:rsidRPr="00775266" w:rsidRDefault="006E4771" w:rsidP="006E4771">
      <w:pPr>
        <w:rPr>
          <w:rFonts w:asciiTheme="majorHAnsi" w:hAnsiTheme="majorHAnsi" w:cstheme="majorHAnsi"/>
          <w:b/>
          <w:i/>
          <w:sz w:val="28"/>
          <w:szCs w:val="28"/>
          <w:lang w:val="ro-RO"/>
        </w:rPr>
      </w:pPr>
    </w:p>
    <w:sectPr w:rsidR="006E4771" w:rsidRPr="00775266" w:rsidSect="00D077DB">
      <w:headerReference w:type="default" r:id="rId24"/>
      <w:footerReference w:type="even" r:id="rId25"/>
      <w:footerReference w:type="default" r:id="rId26"/>
      <w:pgSz w:w="11906" w:h="16838" w:code="9"/>
      <w:pgMar w:top="851" w:right="851" w:bottom="851" w:left="1701" w:header="68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88541" w14:textId="77777777" w:rsidR="000D4A07" w:rsidRDefault="000D4A07" w:rsidP="006E4771">
      <w:pPr>
        <w:spacing w:after="0" w:line="240" w:lineRule="auto"/>
      </w:pPr>
      <w:r>
        <w:separator/>
      </w:r>
    </w:p>
  </w:endnote>
  <w:endnote w:type="continuationSeparator" w:id="0">
    <w:p w14:paraId="7F37C790" w14:textId="77777777" w:rsidR="000D4A07" w:rsidRDefault="000D4A07" w:rsidP="006E4771">
      <w:pPr>
        <w:spacing w:after="0" w:line="240" w:lineRule="auto"/>
      </w:pPr>
      <w:r>
        <w:continuationSeparator/>
      </w:r>
    </w:p>
  </w:endnote>
  <w:endnote w:type="continuationNotice" w:id="1">
    <w:p w14:paraId="2002F7DC" w14:textId="77777777" w:rsidR="000D4A07" w:rsidRDefault="000D4A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AF212" w14:textId="77777777" w:rsidR="00CE24D3" w:rsidRDefault="00CE24D3">
    <w:pPr>
      <w:pStyle w:val="af1"/>
      <w:jc w:val="right"/>
    </w:pPr>
    <w:r>
      <w:fldChar w:fldCharType="begin"/>
    </w:r>
    <w:r>
      <w:instrText xml:space="preserve"> PAGE   \* MERGEFORMAT </w:instrText>
    </w:r>
    <w:r>
      <w:fldChar w:fldCharType="separate"/>
    </w:r>
    <w:r>
      <w:rPr>
        <w:noProof/>
      </w:rPr>
      <w:t>20</w:t>
    </w:r>
    <w:r>
      <w:fldChar w:fldCharType="end"/>
    </w:r>
  </w:p>
  <w:p w14:paraId="46256D03" w14:textId="77777777" w:rsidR="00CE24D3" w:rsidRDefault="00CE24D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167B3" w14:textId="411FD237" w:rsidR="00CE24D3" w:rsidRDefault="00CE24D3">
    <w:pPr>
      <w:pStyle w:val="af1"/>
      <w:jc w:val="right"/>
    </w:pPr>
    <w:r>
      <w:fldChar w:fldCharType="begin"/>
    </w:r>
    <w:r>
      <w:instrText xml:space="preserve"> PAGE   \* MERGEFORMAT </w:instrText>
    </w:r>
    <w:r>
      <w:fldChar w:fldCharType="separate"/>
    </w:r>
    <w:r w:rsidR="00DB3C1B">
      <w:rPr>
        <w:noProof/>
      </w:rPr>
      <w:t>36</w:t>
    </w:r>
    <w:r>
      <w:fldChar w:fldCharType="end"/>
    </w:r>
  </w:p>
  <w:p w14:paraId="7B142A25" w14:textId="77777777" w:rsidR="00CE24D3" w:rsidRDefault="00CE24D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5E55A" w14:textId="77777777" w:rsidR="000D4A07" w:rsidRDefault="000D4A07" w:rsidP="006E4771">
      <w:pPr>
        <w:spacing w:after="0" w:line="240" w:lineRule="auto"/>
      </w:pPr>
      <w:r>
        <w:separator/>
      </w:r>
    </w:p>
  </w:footnote>
  <w:footnote w:type="continuationSeparator" w:id="0">
    <w:p w14:paraId="60A5B014" w14:textId="77777777" w:rsidR="000D4A07" w:rsidRDefault="000D4A07" w:rsidP="006E4771">
      <w:pPr>
        <w:spacing w:after="0" w:line="240" w:lineRule="auto"/>
      </w:pPr>
      <w:r>
        <w:continuationSeparator/>
      </w:r>
    </w:p>
  </w:footnote>
  <w:footnote w:type="continuationNotice" w:id="1">
    <w:p w14:paraId="52D5B707" w14:textId="77777777" w:rsidR="000D4A07" w:rsidRDefault="000D4A07">
      <w:pPr>
        <w:spacing w:after="0" w:line="240" w:lineRule="auto"/>
      </w:pPr>
    </w:p>
  </w:footnote>
  <w:footnote w:id="2">
    <w:p w14:paraId="1736DE2D" w14:textId="77777777" w:rsidR="00CE24D3" w:rsidRPr="00804518" w:rsidRDefault="00CE24D3" w:rsidP="00804518">
      <w:pPr>
        <w:pStyle w:val="a6"/>
        <w:jc w:val="both"/>
        <w:rPr>
          <w:rFonts w:asciiTheme="majorHAnsi" w:hAnsiTheme="majorHAnsi" w:cstheme="majorHAnsi"/>
          <w:sz w:val="16"/>
          <w:szCs w:val="16"/>
          <w:lang w:val="ro-MD"/>
        </w:rPr>
      </w:pPr>
      <w:r w:rsidRPr="00804518">
        <w:rPr>
          <w:rStyle w:val="HTML"/>
          <w:rFonts w:asciiTheme="majorHAnsi" w:hAnsiTheme="majorHAnsi" w:cstheme="majorHAnsi"/>
          <w:sz w:val="16"/>
          <w:szCs w:val="16"/>
          <w:vertAlign w:val="superscript"/>
          <w:lang w:val="ro-MD"/>
        </w:rPr>
        <w:footnoteRef/>
      </w:r>
      <w:r w:rsidRPr="00804518">
        <w:rPr>
          <w:rFonts w:asciiTheme="majorHAnsi" w:hAnsiTheme="majorHAnsi" w:cstheme="majorHAnsi"/>
          <w:sz w:val="16"/>
          <w:szCs w:val="16"/>
          <w:lang w:val="ro-MD"/>
        </w:rPr>
        <w:t xml:space="preserve"> VMS evaluate la valoarea de vânzare.</w:t>
      </w:r>
    </w:p>
  </w:footnote>
  <w:footnote w:id="3">
    <w:p w14:paraId="2EF61D12" w14:textId="77777777" w:rsidR="00CE24D3" w:rsidRPr="00804518" w:rsidRDefault="00CE24D3" w:rsidP="00804518">
      <w:pPr>
        <w:spacing w:after="0" w:line="240" w:lineRule="auto"/>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Legea nr.</w:t>
      </w:r>
      <w:r w:rsidRPr="00804518">
        <w:rPr>
          <w:rFonts w:asciiTheme="majorHAnsi" w:hAnsiTheme="majorHAnsi" w:cstheme="majorHAnsi"/>
          <w:bCs/>
          <w:sz w:val="16"/>
          <w:szCs w:val="16"/>
          <w:lang w:val="ro-MD"/>
        </w:rPr>
        <w:t xml:space="preserve">235 din 03.10.2016 privind emisiunea </w:t>
      </w:r>
      <w:proofErr w:type="spellStart"/>
      <w:r w:rsidRPr="00804518">
        <w:rPr>
          <w:rFonts w:asciiTheme="majorHAnsi" w:hAnsiTheme="majorHAnsi" w:cstheme="majorHAnsi"/>
          <w:bCs/>
          <w:sz w:val="16"/>
          <w:szCs w:val="16"/>
          <w:lang w:val="ro-MD"/>
        </w:rPr>
        <w:t>obligaţiunilor</w:t>
      </w:r>
      <w:proofErr w:type="spellEnd"/>
      <w:r w:rsidRPr="00804518">
        <w:rPr>
          <w:rFonts w:asciiTheme="majorHAnsi" w:hAnsiTheme="majorHAnsi" w:cstheme="majorHAnsi"/>
          <w:bCs/>
          <w:sz w:val="16"/>
          <w:szCs w:val="16"/>
          <w:lang w:val="ro-MD"/>
        </w:rPr>
        <w:t xml:space="preserve"> de stat în vederea executării de către Ministerul Finanțelor a </w:t>
      </w:r>
      <w:proofErr w:type="spellStart"/>
      <w:r w:rsidRPr="00804518">
        <w:rPr>
          <w:rFonts w:asciiTheme="majorHAnsi" w:hAnsiTheme="majorHAnsi" w:cstheme="majorHAnsi"/>
          <w:bCs/>
          <w:sz w:val="16"/>
          <w:szCs w:val="16"/>
          <w:lang w:val="ro-MD"/>
        </w:rPr>
        <w:t>obligaţiilor</w:t>
      </w:r>
      <w:proofErr w:type="spellEnd"/>
      <w:r w:rsidRPr="00804518">
        <w:rPr>
          <w:rFonts w:asciiTheme="majorHAnsi" w:hAnsiTheme="majorHAnsi" w:cstheme="majorHAnsi"/>
          <w:bCs/>
          <w:sz w:val="16"/>
          <w:szCs w:val="16"/>
          <w:lang w:val="ro-MD"/>
        </w:rPr>
        <w:t xml:space="preserve"> de plată derivate din </w:t>
      </w:r>
      <w:proofErr w:type="spellStart"/>
      <w:r w:rsidRPr="00804518">
        <w:rPr>
          <w:rFonts w:asciiTheme="majorHAnsi" w:hAnsiTheme="majorHAnsi" w:cstheme="majorHAnsi"/>
          <w:bCs/>
          <w:sz w:val="16"/>
          <w:szCs w:val="16"/>
          <w:lang w:val="ro-MD"/>
        </w:rPr>
        <w:t>garanţiile</w:t>
      </w:r>
      <w:proofErr w:type="spellEnd"/>
      <w:r w:rsidRPr="00804518">
        <w:rPr>
          <w:rFonts w:asciiTheme="majorHAnsi" w:hAnsiTheme="majorHAnsi" w:cstheme="majorHAnsi"/>
          <w:bCs/>
          <w:sz w:val="16"/>
          <w:szCs w:val="16"/>
          <w:lang w:val="ro-MD"/>
        </w:rPr>
        <w:t xml:space="preserve"> de stat nr. 807 din 17.11.2014 și nr. 101 din 01.04.2015.</w:t>
      </w:r>
    </w:p>
  </w:footnote>
  <w:footnote w:id="4">
    <w:p w14:paraId="7B60FD2F" w14:textId="1D35B616"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Dintre care 0,8 mil. euro reprezintă suma </w:t>
      </w:r>
      <w:proofErr w:type="spellStart"/>
      <w:r w:rsidRPr="00804518">
        <w:rPr>
          <w:rFonts w:asciiTheme="majorHAnsi" w:hAnsiTheme="majorHAnsi" w:cstheme="majorHAnsi"/>
          <w:sz w:val="16"/>
          <w:szCs w:val="16"/>
          <w:lang w:val="ro-MD"/>
        </w:rPr>
        <w:t>recreditată</w:t>
      </w:r>
      <w:proofErr w:type="spellEnd"/>
      <w:r w:rsidRPr="00804518">
        <w:rPr>
          <w:rFonts w:asciiTheme="majorHAnsi" w:hAnsiTheme="majorHAnsi" w:cstheme="majorHAnsi"/>
          <w:sz w:val="16"/>
          <w:szCs w:val="16"/>
          <w:lang w:val="ro-MD"/>
        </w:rPr>
        <w:t xml:space="preserve"> din împrumutul acordat de BEI în cadrul Proiectului ,,Livada Moldovei” componenta de leasing, transferate de către MF în gestionarea DLC.</w:t>
      </w:r>
    </w:p>
  </w:footnote>
  <w:footnote w:id="5">
    <w:p w14:paraId="32C60246" w14:textId="5862535B"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Legea nr.419-XVI din 22.12.2006 cu privire la datoria sectorului public, garanțiile de stat și recreditarea de stat (în continuare – Legea nr.419-XVI din 22.12.2006).</w:t>
      </w:r>
    </w:p>
  </w:footnote>
  <w:footnote w:id="6">
    <w:p w14:paraId="7151FCE3" w14:textId="77777777"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PIB-ul pentru anul 2018, în prețuri comparabile ,a constituit 190016,3 </w:t>
      </w:r>
      <w:proofErr w:type="spellStart"/>
      <w:r w:rsidRPr="00804518">
        <w:rPr>
          <w:rFonts w:asciiTheme="majorHAnsi" w:hAnsiTheme="majorHAnsi" w:cstheme="majorHAnsi"/>
          <w:sz w:val="16"/>
          <w:szCs w:val="16"/>
          <w:lang w:val="ro-MD"/>
        </w:rPr>
        <w:t>mil.MDL</w:t>
      </w:r>
      <w:proofErr w:type="spellEnd"/>
      <w:r w:rsidRPr="00804518">
        <w:rPr>
          <w:rFonts w:asciiTheme="majorHAnsi" w:hAnsiTheme="majorHAnsi" w:cstheme="majorHAnsi"/>
          <w:sz w:val="16"/>
          <w:szCs w:val="16"/>
          <w:lang w:val="ro-MD"/>
        </w:rPr>
        <w:t>.</w:t>
      </w:r>
    </w:p>
  </w:footnote>
  <w:footnote w:id="7">
    <w:p w14:paraId="715F78EA" w14:textId="77777777"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Hotărârea Guvernului nr.1148 din 20.12.2017 cu privire la aprobarea Programului „Managementul datoriei de stat pe termen mediu (2018-2020)”.</w:t>
      </w:r>
    </w:p>
  </w:footnote>
  <w:footnote w:id="8">
    <w:p w14:paraId="76AE8AF0" w14:textId="7BBA5825"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Indicatorii de îndatorare a datoriei de stat interne și a datoriei de stat externe reprezintă raportul dintre soldul datoriei de stat interne/externe rămase de rambursat la sfârșitul anului și PIB, aceștia fiind utilizați pentru evaluarea capacității de plată a statului.</w:t>
      </w:r>
    </w:p>
  </w:footnote>
  <w:footnote w:id="9">
    <w:p w14:paraId="2115029D" w14:textId="4786F045"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În anul 2016 – 13,4%, în anul 2017-12,6%.</w:t>
      </w:r>
    </w:p>
  </w:footnote>
  <w:footnote w:id="10">
    <w:p w14:paraId="3E120A64" w14:textId="5BE3A08A"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În anul 2016 – 18,2%, în anul 2017-16,3%.</w:t>
      </w:r>
    </w:p>
  </w:footnote>
  <w:footnote w:id="11">
    <w:p w14:paraId="5525717F" w14:textId="77777777"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Maturitatea rămasă reflectă intervalul de timp în care plățile ajung la scadență.</w:t>
      </w:r>
    </w:p>
  </w:footnote>
  <w:footnote w:id="12">
    <w:p w14:paraId="188006CE" w14:textId="77777777"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Hotărârea Guvernului nr.1148 din 20.12.2017 cu privire la aprobarea Programului „Managementul datoriei de stat pe termen mediu (2018-2020)”.</w:t>
      </w:r>
    </w:p>
  </w:footnote>
  <w:footnote w:id="13">
    <w:p w14:paraId="1E274284" w14:textId="3D4CCFB0"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rPr>
        <w:footnoteRef/>
      </w:r>
      <w:r w:rsidRPr="00804518">
        <w:rPr>
          <w:rFonts w:asciiTheme="majorHAnsi" w:hAnsiTheme="majorHAnsi" w:cstheme="majorHAnsi"/>
          <w:sz w:val="16"/>
          <w:szCs w:val="16"/>
        </w:rPr>
        <w:t xml:space="preserve"> </w:t>
      </w:r>
      <w:r w:rsidRPr="00804518">
        <w:rPr>
          <w:rFonts w:asciiTheme="majorHAnsi" w:hAnsiTheme="majorHAnsi" w:cstheme="majorHAnsi"/>
          <w:sz w:val="16"/>
          <w:szCs w:val="16"/>
          <w:lang w:val="ro-MD"/>
        </w:rPr>
        <w:t>Legea nr. 235 din 03.10.2016 privind emisiunea obligațiunilor de stat în vederea executării de către Ministerul Finanțelor a obligațiilor de plată derivate din garanțiile de stat nr.807 din 17 noiembrie 2014 și nr.101 din 1 aprilie 2015.</w:t>
      </w:r>
    </w:p>
  </w:footnote>
  <w:footnote w:id="14">
    <w:p w14:paraId="0291D55F" w14:textId="5E76C48C"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ISSAI 5411 Indicatorii datoriei publice; ISSAI 5422 Un exercițiu cu termeni de referință pentru efectuarea auditului de performanță al datoriei publice.</w:t>
      </w:r>
    </w:p>
  </w:footnote>
  <w:footnote w:id="15">
    <w:p w14:paraId="2FB34A65" w14:textId="77777777" w:rsidR="00CE24D3" w:rsidRPr="00804518" w:rsidRDefault="00CE24D3" w:rsidP="00804518">
      <w:pPr>
        <w:pStyle w:val="a6"/>
        <w:jc w:val="both"/>
        <w:rPr>
          <w:rFonts w:asciiTheme="majorHAnsi" w:hAnsiTheme="majorHAnsi" w:cstheme="majorHAnsi"/>
          <w:sz w:val="16"/>
          <w:szCs w:val="16"/>
          <w:lang w:val="ro-MD"/>
        </w:rPr>
      </w:pPr>
      <w:r w:rsidRPr="00804518">
        <w:rPr>
          <w:rFonts w:asciiTheme="majorHAnsi" w:hAnsiTheme="majorHAnsi" w:cstheme="majorHAnsi"/>
          <w:sz w:val="16"/>
          <w:szCs w:val="16"/>
          <w:vertAlign w:val="superscript"/>
          <w:lang w:val="ro-MD"/>
        </w:rPr>
        <w:footnoteRef/>
      </w:r>
      <w:r w:rsidRPr="00804518">
        <w:rPr>
          <w:rFonts w:asciiTheme="majorHAnsi" w:hAnsiTheme="majorHAnsi" w:cstheme="majorHAnsi"/>
          <w:sz w:val="16"/>
          <w:szCs w:val="16"/>
          <w:lang w:val="ro-MD"/>
        </w:rPr>
        <w:t xml:space="preserve"> Reprezintă un indicator care reflectă sporirea/reducerea poverii de îndatorare, exporturile fiind sursa importantă pentru asigurarea lichidității sistemului, și indică cu cât încasările anuale din exporturi acoperă plata serviciului datoriei de stat în același an.</w:t>
      </w:r>
    </w:p>
  </w:footnote>
  <w:footnote w:id="16">
    <w:p w14:paraId="0C39D6F8" w14:textId="77777777" w:rsidR="00CE24D3" w:rsidRPr="00804518" w:rsidRDefault="00CE24D3" w:rsidP="00804518">
      <w:pPr>
        <w:pStyle w:val="a6"/>
        <w:jc w:val="both"/>
        <w:rPr>
          <w:rFonts w:asciiTheme="majorHAnsi" w:hAnsiTheme="majorHAnsi" w:cstheme="majorHAnsi"/>
          <w:sz w:val="16"/>
          <w:szCs w:val="16"/>
          <w:lang w:val="ro-MD"/>
        </w:rPr>
      </w:pPr>
      <w:r w:rsidRPr="00804518">
        <w:rPr>
          <w:rStyle w:val="HTML"/>
          <w:rFonts w:asciiTheme="majorHAnsi" w:hAnsiTheme="majorHAnsi" w:cstheme="majorHAnsi"/>
          <w:sz w:val="16"/>
          <w:szCs w:val="16"/>
          <w:vertAlign w:val="superscript"/>
          <w:lang w:val="ro-MD"/>
        </w:rPr>
        <w:footnoteRef/>
      </w:r>
      <w:r w:rsidRPr="00804518">
        <w:rPr>
          <w:rFonts w:asciiTheme="majorHAnsi" w:hAnsiTheme="majorHAnsi" w:cstheme="majorHAnsi"/>
          <w:sz w:val="16"/>
          <w:szCs w:val="16"/>
          <w:vertAlign w:val="superscript"/>
          <w:lang w:val="ro-MD"/>
        </w:rPr>
        <w:t xml:space="preserve"> </w:t>
      </w:r>
      <w:r w:rsidRPr="00804518">
        <w:rPr>
          <w:rFonts w:asciiTheme="majorHAnsi" w:hAnsiTheme="majorHAnsi" w:cstheme="majorHAnsi"/>
          <w:sz w:val="16"/>
          <w:szCs w:val="16"/>
          <w:lang w:val="ro-MD"/>
        </w:rPr>
        <w:t>Reprezintă un indicator care măsoară sustenabilitatea datoriei de stat externe, iar creșterea indicatorului dat reflectă devansarea ritmului de creștere a datoriei de stat externe față de creșterea exporturilor (veniturilor externe).</w:t>
      </w:r>
    </w:p>
  </w:footnote>
  <w:footnote w:id="17">
    <w:p w14:paraId="1A25DE1E" w14:textId="77777777" w:rsidR="00CE24D3" w:rsidRPr="00804518" w:rsidRDefault="00CE24D3" w:rsidP="00804518">
      <w:pPr>
        <w:pStyle w:val="a6"/>
        <w:jc w:val="both"/>
        <w:rPr>
          <w:rFonts w:asciiTheme="majorHAnsi" w:hAnsiTheme="majorHAnsi" w:cstheme="majorHAnsi"/>
          <w:sz w:val="16"/>
          <w:szCs w:val="16"/>
          <w:lang w:val="ro-MD"/>
        </w:rPr>
      </w:pPr>
      <w:r w:rsidRPr="00804518">
        <w:rPr>
          <w:rStyle w:val="HTML"/>
          <w:rFonts w:asciiTheme="majorHAnsi" w:hAnsiTheme="majorHAnsi" w:cstheme="majorHAnsi"/>
          <w:sz w:val="16"/>
          <w:szCs w:val="16"/>
          <w:vertAlign w:val="superscript"/>
          <w:lang w:val="ro-MD"/>
        </w:rPr>
        <w:footnoteRef/>
      </w:r>
      <w:r w:rsidRPr="00804518">
        <w:rPr>
          <w:rFonts w:asciiTheme="majorHAnsi" w:hAnsiTheme="majorHAnsi" w:cstheme="majorHAnsi"/>
          <w:sz w:val="16"/>
          <w:szCs w:val="16"/>
          <w:vertAlign w:val="superscript"/>
          <w:lang w:val="ro-MD"/>
        </w:rPr>
        <w:t xml:space="preserve"> </w:t>
      </w:r>
      <w:r w:rsidRPr="00804518">
        <w:rPr>
          <w:rFonts w:asciiTheme="majorHAnsi" w:hAnsiTheme="majorHAnsi" w:cstheme="majorHAnsi"/>
          <w:sz w:val="16"/>
          <w:szCs w:val="16"/>
          <w:lang w:val="ro-MD"/>
        </w:rPr>
        <w:t>Este un indicator care măsoară activitatea economică a țării.</w:t>
      </w:r>
    </w:p>
  </w:footnote>
  <w:footnote w:id="18">
    <w:p w14:paraId="59B15EFE" w14:textId="6C14AFFF" w:rsidR="00CE24D3" w:rsidRPr="00804518" w:rsidRDefault="00CE24D3" w:rsidP="00804518">
      <w:pPr>
        <w:spacing w:after="0" w:line="240" w:lineRule="auto"/>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w:t>
      </w:r>
      <w:r w:rsidRPr="00804518">
        <w:rPr>
          <w:rFonts w:asciiTheme="majorHAnsi" w:hAnsiTheme="majorHAnsi" w:cstheme="majorHAnsi"/>
          <w:bCs/>
          <w:sz w:val="16"/>
          <w:szCs w:val="16"/>
          <w:lang w:val="ro-MD"/>
        </w:rPr>
        <w:t>Prin art.7 din Legea  bu</w:t>
      </w:r>
      <w:r w:rsidR="00DB3C1B">
        <w:rPr>
          <w:rFonts w:asciiTheme="majorHAnsi" w:hAnsiTheme="majorHAnsi" w:cstheme="majorHAnsi"/>
          <w:bCs/>
          <w:sz w:val="16"/>
          <w:szCs w:val="16"/>
          <w:lang w:val="ro-MD"/>
        </w:rPr>
        <w:t xml:space="preserve">getului de stat pentru anul 2018 </w:t>
      </w:r>
      <w:r w:rsidRPr="00804518">
        <w:rPr>
          <w:rFonts w:asciiTheme="majorHAnsi" w:hAnsiTheme="majorHAnsi" w:cstheme="majorHAnsi"/>
          <w:bCs/>
          <w:sz w:val="16"/>
          <w:szCs w:val="16"/>
          <w:lang w:val="ro-MD"/>
        </w:rPr>
        <w:t xml:space="preserve"> nr. 289 din 15.12.2017 </w:t>
      </w:r>
      <w:r w:rsidRPr="00804518">
        <w:rPr>
          <w:rFonts w:asciiTheme="majorHAnsi" w:hAnsiTheme="majorHAnsi" w:cstheme="majorHAnsi"/>
          <w:sz w:val="16"/>
          <w:szCs w:val="16"/>
          <w:lang w:val="ro-MD"/>
        </w:rPr>
        <w:t xml:space="preserve">s-a stabilit că, la situația din 31.12.2018, datoria de stat internă nu va depăși 24459,6 </w:t>
      </w:r>
      <w:proofErr w:type="spellStart"/>
      <w:r>
        <w:rPr>
          <w:rFonts w:asciiTheme="majorHAnsi" w:hAnsiTheme="majorHAnsi" w:cstheme="majorHAnsi"/>
          <w:sz w:val="16"/>
          <w:szCs w:val="16"/>
          <w:lang w:val="ro-MD"/>
        </w:rPr>
        <w:t>mil.MDL</w:t>
      </w:r>
      <w:proofErr w:type="spellEnd"/>
      <w:r w:rsidRPr="00804518">
        <w:rPr>
          <w:rFonts w:asciiTheme="majorHAnsi" w:hAnsiTheme="majorHAnsi" w:cstheme="majorHAnsi"/>
          <w:sz w:val="16"/>
          <w:szCs w:val="16"/>
          <w:lang w:val="ro-MD"/>
        </w:rPr>
        <w:t>.</w:t>
      </w:r>
    </w:p>
  </w:footnote>
  <w:footnote w:id="19">
    <w:p w14:paraId="04962C37" w14:textId="77777777" w:rsidR="00CE24D3" w:rsidRPr="00804518" w:rsidRDefault="00CE24D3" w:rsidP="00804518">
      <w:pPr>
        <w:spacing w:after="0" w:line="240" w:lineRule="auto"/>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Legea nr.</w:t>
      </w:r>
      <w:r w:rsidRPr="00804518">
        <w:rPr>
          <w:rFonts w:asciiTheme="majorHAnsi" w:hAnsiTheme="majorHAnsi" w:cstheme="majorHAnsi"/>
          <w:bCs/>
          <w:sz w:val="16"/>
          <w:szCs w:val="16"/>
          <w:lang w:val="ro-MD"/>
        </w:rPr>
        <w:t xml:space="preserve">235 din 03.10.2016 privind emisiunea </w:t>
      </w:r>
      <w:proofErr w:type="spellStart"/>
      <w:r w:rsidRPr="00804518">
        <w:rPr>
          <w:rFonts w:asciiTheme="majorHAnsi" w:hAnsiTheme="majorHAnsi" w:cstheme="majorHAnsi"/>
          <w:bCs/>
          <w:sz w:val="16"/>
          <w:szCs w:val="16"/>
          <w:lang w:val="ro-MD"/>
        </w:rPr>
        <w:t>obligaţiunilor</w:t>
      </w:r>
      <w:proofErr w:type="spellEnd"/>
      <w:r w:rsidRPr="00804518">
        <w:rPr>
          <w:rFonts w:asciiTheme="majorHAnsi" w:hAnsiTheme="majorHAnsi" w:cstheme="majorHAnsi"/>
          <w:bCs/>
          <w:sz w:val="16"/>
          <w:szCs w:val="16"/>
          <w:lang w:val="ro-MD"/>
        </w:rPr>
        <w:t xml:space="preserve"> de stat în vederea executării de către Ministerul Finanțelor a </w:t>
      </w:r>
      <w:proofErr w:type="spellStart"/>
      <w:r w:rsidRPr="00804518">
        <w:rPr>
          <w:rFonts w:asciiTheme="majorHAnsi" w:hAnsiTheme="majorHAnsi" w:cstheme="majorHAnsi"/>
          <w:bCs/>
          <w:sz w:val="16"/>
          <w:szCs w:val="16"/>
          <w:lang w:val="ro-MD"/>
        </w:rPr>
        <w:t>obligaţiilor</w:t>
      </w:r>
      <w:proofErr w:type="spellEnd"/>
      <w:r w:rsidRPr="00804518">
        <w:rPr>
          <w:rFonts w:asciiTheme="majorHAnsi" w:hAnsiTheme="majorHAnsi" w:cstheme="majorHAnsi"/>
          <w:bCs/>
          <w:sz w:val="16"/>
          <w:szCs w:val="16"/>
          <w:lang w:val="ro-MD"/>
        </w:rPr>
        <w:t xml:space="preserve"> de plată derivate din </w:t>
      </w:r>
      <w:proofErr w:type="spellStart"/>
      <w:r w:rsidRPr="00804518">
        <w:rPr>
          <w:rFonts w:asciiTheme="majorHAnsi" w:hAnsiTheme="majorHAnsi" w:cstheme="majorHAnsi"/>
          <w:bCs/>
          <w:sz w:val="16"/>
          <w:szCs w:val="16"/>
          <w:lang w:val="ro-MD"/>
        </w:rPr>
        <w:t>garanţiile</w:t>
      </w:r>
      <w:proofErr w:type="spellEnd"/>
      <w:r w:rsidRPr="00804518">
        <w:rPr>
          <w:rFonts w:asciiTheme="majorHAnsi" w:hAnsiTheme="majorHAnsi" w:cstheme="majorHAnsi"/>
          <w:bCs/>
          <w:sz w:val="16"/>
          <w:szCs w:val="16"/>
          <w:lang w:val="ro-MD"/>
        </w:rPr>
        <w:t xml:space="preserve"> de stat nr. 807 din 17.11.2014 și nr. 101 din 01.04.2015.</w:t>
      </w:r>
    </w:p>
  </w:footnote>
  <w:footnote w:id="20">
    <w:p w14:paraId="77BFFE05" w14:textId="6F23173A" w:rsidR="00CE24D3" w:rsidRPr="00804518" w:rsidRDefault="00CE24D3" w:rsidP="00804518">
      <w:pPr>
        <w:spacing w:after="0" w:line="240" w:lineRule="auto"/>
        <w:jc w:val="both"/>
        <w:rPr>
          <w:rFonts w:asciiTheme="majorHAnsi" w:hAnsiTheme="majorHAnsi" w:cstheme="majorHAnsi"/>
          <w:b/>
          <w:bCs/>
          <w:sz w:val="16"/>
          <w:szCs w:val="16"/>
          <w:lang w:val="ro-MD"/>
        </w:rPr>
      </w:pPr>
      <w:r w:rsidRPr="00804518">
        <w:rPr>
          <w:rStyle w:val="ae"/>
          <w:rFonts w:asciiTheme="majorHAnsi" w:hAnsiTheme="majorHAnsi" w:cstheme="majorHAnsi"/>
          <w:sz w:val="16"/>
          <w:szCs w:val="16"/>
        </w:rPr>
        <w:footnoteRef/>
      </w:r>
      <w:r w:rsidRPr="00804518">
        <w:rPr>
          <w:rFonts w:asciiTheme="majorHAnsi" w:hAnsiTheme="majorHAnsi" w:cstheme="majorHAnsi"/>
          <w:sz w:val="16"/>
          <w:szCs w:val="16"/>
        </w:rPr>
        <w:t xml:space="preserve"> </w:t>
      </w:r>
      <w:r w:rsidRPr="00804518">
        <w:rPr>
          <w:rFonts w:asciiTheme="majorHAnsi" w:hAnsiTheme="majorHAnsi" w:cstheme="majorHAnsi"/>
          <w:bCs/>
          <w:sz w:val="16"/>
          <w:szCs w:val="16"/>
          <w:lang w:val="ro-MD"/>
        </w:rPr>
        <w:t xml:space="preserve">Legea nr. 33  din  17.03.2017 pentru modificarea </w:t>
      </w:r>
      <w:proofErr w:type="spellStart"/>
      <w:r w:rsidRPr="00804518">
        <w:rPr>
          <w:rFonts w:asciiTheme="majorHAnsi" w:hAnsiTheme="majorHAnsi" w:cstheme="majorHAnsi"/>
          <w:bCs/>
          <w:sz w:val="16"/>
          <w:szCs w:val="16"/>
          <w:lang w:val="ro-MD"/>
        </w:rPr>
        <w:t>şi</w:t>
      </w:r>
      <w:proofErr w:type="spellEnd"/>
      <w:r w:rsidRPr="00804518">
        <w:rPr>
          <w:rFonts w:asciiTheme="majorHAnsi" w:hAnsiTheme="majorHAnsi" w:cstheme="majorHAnsi"/>
          <w:bCs/>
          <w:sz w:val="16"/>
          <w:szCs w:val="16"/>
          <w:lang w:val="ro-MD"/>
        </w:rPr>
        <w:t xml:space="preserve"> completarea Legii bugetului de stat pe anul 2017 nr.279/2016.</w:t>
      </w:r>
    </w:p>
  </w:footnote>
  <w:footnote w:id="21">
    <w:p w14:paraId="2262B035" w14:textId="5AE6F0E5"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w:t>
      </w:r>
      <w:r w:rsidRPr="00804518">
        <w:rPr>
          <w:rFonts w:asciiTheme="majorHAnsi" w:hAnsiTheme="majorHAnsi" w:cstheme="majorHAnsi"/>
          <w:bCs/>
          <w:sz w:val="16"/>
          <w:szCs w:val="16"/>
          <w:lang w:val="ro-MD"/>
        </w:rPr>
        <w:t xml:space="preserve">75,8 </w:t>
      </w:r>
      <w:proofErr w:type="spellStart"/>
      <w:r w:rsidRPr="00804518">
        <w:rPr>
          <w:rFonts w:asciiTheme="majorHAnsi" w:hAnsiTheme="majorHAnsi" w:cstheme="majorHAnsi"/>
          <w:bCs/>
          <w:sz w:val="16"/>
          <w:szCs w:val="16"/>
          <w:lang w:val="ro-MD"/>
        </w:rPr>
        <w:t>mil.MDL</w:t>
      </w:r>
      <w:proofErr w:type="spellEnd"/>
      <w:r w:rsidRPr="00804518">
        <w:rPr>
          <w:rFonts w:asciiTheme="majorHAnsi" w:hAnsiTheme="majorHAnsi" w:cstheme="majorHAnsi"/>
          <w:bCs/>
          <w:sz w:val="16"/>
          <w:szCs w:val="16"/>
          <w:lang w:val="ro-MD"/>
        </w:rPr>
        <w:t xml:space="preserve"> – termenul  2 ani/ rata dobânzii 5,80%; 59,4 </w:t>
      </w:r>
      <w:proofErr w:type="spellStart"/>
      <w:r w:rsidRPr="00804518">
        <w:rPr>
          <w:rFonts w:asciiTheme="majorHAnsi" w:hAnsiTheme="majorHAnsi" w:cstheme="majorHAnsi"/>
          <w:bCs/>
          <w:sz w:val="16"/>
          <w:szCs w:val="16"/>
          <w:lang w:val="ro-MD"/>
        </w:rPr>
        <w:t>mil.MDL</w:t>
      </w:r>
      <w:proofErr w:type="spellEnd"/>
      <w:r w:rsidRPr="00804518">
        <w:rPr>
          <w:rFonts w:asciiTheme="majorHAnsi" w:hAnsiTheme="majorHAnsi" w:cstheme="majorHAnsi"/>
          <w:bCs/>
          <w:sz w:val="16"/>
          <w:szCs w:val="16"/>
          <w:lang w:val="ro-MD"/>
        </w:rPr>
        <w:t xml:space="preserve"> – termenul 3 ani/6,20%; 18,3 </w:t>
      </w:r>
      <w:proofErr w:type="spellStart"/>
      <w:r w:rsidRPr="00804518">
        <w:rPr>
          <w:rFonts w:asciiTheme="majorHAnsi" w:hAnsiTheme="majorHAnsi" w:cstheme="majorHAnsi"/>
          <w:bCs/>
          <w:sz w:val="16"/>
          <w:szCs w:val="16"/>
          <w:lang w:val="ro-MD"/>
        </w:rPr>
        <w:t>mil.MDL</w:t>
      </w:r>
      <w:proofErr w:type="spellEnd"/>
      <w:r w:rsidRPr="00804518">
        <w:rPr>
          <w:rFonts w:asciiTheme="majorHAnsi" w:hAnsiTheme="majorHAnsi" w:cstheme="majorHAnsi"/>
          <w:bCs/>
          <w:sz w:val="16"/>
          <w:szCs w:val="16"/>
          <w:lang w:val="ro-MD"/>
        </w:rPr>
        <w:t xml:space="preserve"> – 5 ani/6,60%. </w:t>
      </w:r>
    </w:p>
  </w:footnote>
  <w:footnote w:id="22">
    <w:p w14:paraId="3F0E9CBF" w14:textId="303F11F8"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30,0 </w:t>
      </w:r>
      <w:proofErr w:type="spellStart"/>
      <w:r w:rsidRPr="00804518">
        <w:rPr>
          <w:rFonts w:asciiTheme="majorHAnsi" w:hAnsiTheme="majorHAnsi" w:cstheme="majorHAnsi"/>
          <w:sz w:val="16"/>
          <w:szCs w:val="16"/>
          <w:lang w:val="ro-MD"/>
        </w:rPr>
        <w:t>mil.MDL</w:t>
      </w:r>
      <w:proofErr w:type="spellEnd"/>
      <w:r w:rsidRPr="00804518">
        <w:rPr>
          <w:rFonts w:asciiTheme="majorHAnsi" w:hAnsiTheme="majorHAnsi" w:cstheme="majorHAnsi"/>
          <w:sz w:val="16"/>
          <w:szCs w:val="16"/>
          <w:lang w:val="ro-MD"/>
        </w:rPr>
        <w:t xml:space="preserve"> – termenul 2 ani/rata dobânzii 6,00%; 30,0 </w:t>
      </w:r>
      <w:proofErr w:type="spellStart"/>
      <w:r w:rsidRPr="00804518">
        <w:rPr>
          <w:rFonts w:asciiTheme="majorHAnsi" w:hAnsiTheme="majorHAnsi" w:cstheme="majorHAnsi"/>
          <w:sz w:val="16"/>
          <w:szCs w:val="16"/>
          <w:lang w:val="ro-MD"/>
        </w:rPr>
        <w:t>mil.MDL</w:t>
      </w:r>
      <w:proofErr w:type="spellEnd"/>
      <w:r w:rsidRPr="00804518">
        <w:rPr>
          <w:rFonts w:asciiTheme="majorHAnsi" w:hAnsiTheme="majorHAnsi" w:cstheme="majorHAnsi"/>
          <w:sz w:val="16"/>
          <w:szCs w:val="16"/>
          <w:lang w:val="ro-MD"/>
        </w:rPr>
        <w:t xml:space="preserve"> – termenul 3 ani/rata dobânzii 6,50%; ,40,0 </w:t>
      </w:r>
      <w:proofErr w:type="spellStart"/>
      <w:r w:rsidRPr="00804518">
        <w:rPr>
          <w:rFonts w:asciiTheme="majorHAnsi" w:hAnsiTheme="majorHAnsi" w:cstheme="majorHAnsi"/>
          <w:sz w:val="16"/>
          <w:szCs w:val="16"/>
          <w:lang w:val="ro-MD"/>
        </w:rPr>
        <w:t>mil.MDL</w:t>
      </w:r>
      <w:proofErr w:type="spellEnd"/>
      <w:r w:rsidRPr="00804518">
        <w:rPr>
          <w:rFonts w:asciiTheme="majorHAnsi" w:hAnsiTheme="majorHAnsi" w:cstheme="majorHAnsi"/>
          <w:sz w:val="16"/>
          <w:szCs w:val="16"/>
          <w:lang w:val="ro-MD"/>
        </w:rPr>
        <w:t xml:space="preserve"> – termenul 5 ani/rata dobânzii 6,90%.</w:t>
      </w:r>
    </w:p>
  </w:footnote>
  <w:footnote w:id="23">
    <w:p w14:paraId="2EA02DC5" w14:textId="77777777"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Legea </w:t>
      </w:r>
      <w:r w:rsidRPr="00804518">
        <w:rPr>
          <w:rFonts w:asciiTheme="majorHAnsi" w:hAnsiTheme="majorHAnsi" w:cstheme="majorHAnsi"/>
          <w:bCs/>
          <w:sz w:val="16"/>
          <w:szCs w:val="16"/>
          <w:lang w:val="ro-MD"/>
        </w:rPr>
        <w:t>finanțelor publice și responsabilității bugetar-fiscale</w:t>
      </w:r>
      <w:r w:rsidRPr="00804518">
        <w:rPr>
          <w:rFonts w:asciiTheme="majorHAnsi" w:hAnsiTheme="majorHAnsi" w:cstheme="majorHAnsi"/>
          <w:sz w:val="16"/>
          <w:szCs w:val="16"/>
          <w:lang w:val="ro-MD"/>
        </w:rPr>
        <w:t xml:space="preserve"> nr.181 din 25.07.2014.</w:t>
      </w:r>
    </w:p>
  </w:footnote>
  <w:footnote w:id="24">
    <w:p w14:paraId="5208A500" w14:textId="77777777" w:rsidR="00CE24D3" w:rsidRPr="00804518" w:rsidRDefault="00CE24D3" w:rsidP="00804518">
      <w:pPr>
        <w:pStyle w:val="cn"/>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Legea nr.190 din 30.09.2011 privind unele măsuri suplimentare de asigurare a stabilității financiare.</w:t>
      </w:r>
    </w:p>
  </w:footnote>
  <w:footnote w:id="25">
    <w:p w14:paraId="30AEC0F3" w14:textId="77777777" w:rsidR="00CE24D3" w:rsidRPr="00804518" w:rsidRDefault="00CE24D3" w:rsidP="00804518">
      <w:pPr>
        <w:pStyle w:val="tt"/>
        <w:jc w:val="both"/>
        <w:rPr>
          <w:rFonts w:asciiTheme="majorHAnsi" w:hAnsiTheme="majorHAnsi" w:cstheme="majorHAnsi"/>
          <w:b w:val="0"/>
          <w:sz w:val="16"/>
          <w:szCs w:val="16"/>
          <w:lang w:val="ro-MD"/>
        </w:rPr>
      </w:pPr>
      <w:r w:rsidRPr="00804518">
        <w:rPr>
          <w:rStyle w:val="ae"/>
          <w:rFonts w:asciiTheme="majorHAnsi" w:hAnsiTheme="majorHAnsi" w:cstheme="majorHAnsi"/>
          <w:b w:val="0"/>
          <w:sz w:val="16"/>
          <w:szCs w:val="16"/>
          <w:lang w:val="ro-MD"/>
        </w:rPr>
        <w:footnoteRef/>
      </w:r>
      <w:r w:rsidRPr="00804518">
        <w:rPr>
          <w:rFonts w:asciiTheme="majorHAnsi" w:hAnsiTheme="majorHAnsi" w:cstheme="majorHAnsi"/>
          <w:b w:val="0"/>
          <w:sz w:val="16"/>
          <w:szCs w:val="16"/>
          <w:lang w:val="ro-MD"/>
        </w:rPr>
        <w:t xml:space="preserve"> Legea nr.235 din 03.10.2016 privind emisiunea </w:t>
      </w:r>
      <w:proofErr w:type="spellStart"/>
      <w:r w:rsidRPr="00804518">
        <w:rPr>
          <w:rFonts w:asciiTheme="majorHAnsi" w:hAnsiTheme="majorHAnsi" w:cstheme="majorHAnsi"/>
          <w:b w:val="0"/>
          <w:sz w:val="16"/>
          <w:szCs w:val="16"/>
          <w:lang w:val="ro-MD"/>
        </w:rPr>
        <w:t>obligaţiunilor</w:t>
      </w:r>
      <w:proofErr w:type="spellEnd"/>
      <w:r w:rsidRPr="00804518">
        <w:rPr>
          <w:rFonts w:asciiTheme="majorHAnsi" w:hAnsiTheme="majorHAnsi" w:cstheme="majorHAnsi"/>
          <w:b w:val="0"/>
          <w:sz w:val="16"/>
          <w:szCs w:val="16"/>
          <w:lang w:val="ro-MD"/>
        </w:rPr>
        <w:t xml:space="preserve"> de stat în vederea executării de către Ministerul </w:t>
      </w:r>
      <w:proofErr w:type="spellStart"/>
      <w:r w:rsidRPr="00804518">
        <w:rPr>
          <w:rFonts w:asciiTheme="majorHAnsi" w:hAnsiTheme="majorHAnsi" w:cstheme="majorHAnsi"/>
          <w:b w:val="0"/>
          <w:sz w:val="16"/>
          <w:szCs w:val="16"/>
          <w:lang w:val="ro-MD"/>
        </w:rPr>
        <w:t>Finanţelor</w:t>
      </w:r>
      <w:proofErr w:type="spellEnd"/>
      <w:r w:rsidRPr="00804518">
        <w:rPr>
          <w:rFonts w:asciiTheme="majorHAnsi" w:hAnsiTheme="majorHAnsi" w:cstheme="majorHAnsi"/>
          <w:b w:val="0"/>
          <w:sz w:val="16"/>
          <w:szCs w:val="16"/>
          <w:lang w:val="ro-MD"/>
        </w:rPr>
        <w:t xml:space="preserve"> a </w:t>
      </w:r>
      <w:proofErr w:type="spellStart"/>
      <w:r w:rsidRPr="00804518">
        <w:rPr>
          <w:rFonts w:asciiTheme="majorHAnsi" w:hAnsiTheme="majorHAnsi" w:cstheme="majorHAnsi"/>
          <w:b w:val="0"/>
          <w:sz w:val="16"/>
          <w:szCs w:val="16"/>
          <w:lang w:val="ro-MD"/>
        </w:rPr>
        <w:t>obligaţiilor</w:t>
      </w:r>
      <w:proofErr w:type="spellEnd"/>
      <w:r w:rsidRPr="00804518">
        <w:rPr>
          <w:rFonts w:asciiTheme="majorHAnsi" w:hAnsiTheme="majorHAnsi" w:cstheme="majorHAnsi"/>
          <w:b w:val="0"/>
          <w:sz w:val="16"/>
          <w:szCs w:val="16"/>
          <w:lang w:val="ro-MD"/>
        </w:rPr>
        <w:t xml:space="preserve"> de plată derivate din </w:t>
      </w:r>
      <w:proofErr w:type="spellStart"/>
      <w:r w:rsidRPr="00804518">
        <w:rPr>
          <w:rFonts w:asciiTheme="majorHAnsi" w:hAnsiTheme="majorHAnsi" w:cstheme="majorHAnsi"/>
          <w:b w:val="0"/>
          <w:sz w:val="16"/>
          <w:szCs w:val="16"/>
          <w:lang w:val="ro-MD"/>
        </w:rPr>
        <w:t>garanţiile</w:t>
      </w:r>
      <w:proofErr w:type="spellEnd"/>
      <w:r w:rsidRPr="00804518">
        <w:rPr>
          <w:rFonts w:asciiTheme="majorHAnsi" w:hAnsiTheme="majorHAnsi" w:cstheme="majorHAnsi"/>
          <w:b w:val="0"/>
          <w:sz w:val="16"/>
          <w:szCs w:val="16"/>
          <w:lang w:val="ro-MD"/>
        </w:rPr>
        <w:t xml:space="preserve"> de stat nr.807 din 17 noiembrie 2014 </w:t>
      </w:r>
      <w:proofErr w:type="spellStart"/>
      <w:r w:rsidRPr="00804518">
        <w:rPr>
          <w:rFonts w:asciiTheme="majorHAnsi" w:hAnsiTheme="majorHAnsi" w:cstheme="majorHAnsi"/>
          <w:b w:val="0"/>
          <w:sz w:val="16"/>
          <w:szCs w:val="16"/>
          <w:lang w:val="ro-MD"/>
        </w:rPr>
        <w:t>şi</w:t>
      </w:r>
      <w:proofErr w:type="spellEnd"/>
      <w:r w:rsidRPr="00804518">
        <w:rPr>
          <w:rFonts w:asciiTheme="majorHAnsi" w:hAnsiTheme="majorHAnsi" w:cstheme="majorHAnsi"/>
          <w:b w:val="0"/>
          <w:sz w:val="16"/>
          <w:szCs w:val="16"/>
          <w:lang w:val="ro-MD"/>
        </w:rPr>
        <w:t xml:space="preserve"> nr.101 din 1 aprilie 2015.</w:t>
      </w:r>
    </w:p>
  </w:footnote>
  <w:footnote w:id="26">
    <w:p w14:paraId="3B2CFCD9" w14:textId="7A14A829"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„Micșorarea altor creanțe interne ale bugetului (cod 418120)”.</w:t>
      </w:r>
    </w:p>
  </w:footnote>
  <w:footnote w:id="27">
    <w:p w14:paraId="1F6AB045" w14:textId="6DE38E32" w:rsidR="00CE24D3" w:rsidRPr="00804518" w:rsidRDefault="00CE24D3" w:rsidP="00804518">
      <w:pPr>
        <w:pStyle w:val="ac"/>
        <w:jc w:val="both"/>
        <w:rPr>
          <w:rFonts w:asciiTheme="majorHAnsi" w:hAnsiTheme="majorHAnsi" w:cstheme="majorHAnsi"/>
          <w:sz w:val="16"/>
          <w:szCs w:val="16"/>
        </w:rPr>
      </w:pPr>
      <w:r w:rsidRPr="00804518">
        <w:rPr>
          <w:rStyle w:val="ae"/>
          <w:rFonts w:asciiTheme="majorHAnsi" w:hAnsiTheme="majorHAnsi" w:cstheme="majorHAnsi"/>
          <w:sz w:val="16"/>
          <w:szCs w:val="16"/>
        </w:rPr>
        <w:footnoteRef/>
      </w:r>
      <w:r w:rsidRPr="00804518">
        <w:rPr>
          <w:rFonts w:asciiTheme="majorHAnsi" w:hAnsiTheme="majorHAnsi" w:cstheme="majorHAnsi"/>
          <w:sz w:val="16"/>
          <w:szCs w:val="16"/>
        </w:rPr>
        <w:t xml:space="preserve"> D</w:t>
      </w:r>
      <w:proofErr w:type="spellStart"/>
      <w:r w:rsidRPr="00804518">
        <w:rPr>
          <w:rFonts w:asciiTheme="majorHAnsi" w:hAnsiTheme="majorHAnsi" w:cstheme="majorHAnsi"/>
          <w:sz w:val="16"/>
          <w:szCs w:val="16"/>
          <w:lang w:val="ro-RO"/>
        </w:rPr>
        <w:t>ata</w:t>
      </w:r>
      <w:proofErr w:type="spellEnd"/>
      <w:r w:rsidRPr="00804518">
        <w:rPr>
          <w:rFonts w:asciiTheme="majorHAnsi" w:hAnsiTheme="majorHAnsi" w:cstheme="majorHAnsi"/>
          <w:sz w:val="16"/>
          <w:szCs w:val="16"/>
          <w:lang w:val="ro-RO"/>
        </w:rPr>
        <w:t xml:space="preserve"> preluării de către Ministerul Finanțelor a creanțelor Băncii Naționale a Moldovei față de „Banca de Economii” SA, BC „Banca Socială” SA </w:t>
      </w:r>
      <w:proofErr w:type="spellStart"/>
      <w:r w:rsidRPr="00804518">
        <w:rPr>
          <w:rFonts w:asciiTheme="majorHAnsi" w:hAnsiTheme="majorHAnsi" w:cstheme="majorHAnsi"/>
          <w:sz w:val="16"/>
          <w:szCs w:val="16"/>
          <w:lang w:val="ro-RO"/>
        </w:rPr>
        <w:t>şi</w:t>
      </w:r>
      <w:proofErr w:type="spellEnd"/>
      <w:r w:rsidRPr="00804518">
        <w:rPr>
          <w:rFonts w:asciiTheme="majorHAnsi" w:hAnsiTheme="majorHAnsi" w:cstheme="majorHAnsi"/>
          <w:sz w:val="16"/>
          <w:szCs w:val="16"/>
          <w:lang w:val="ro-RO"/>
        </w:rPr>
        <w:t xml:space="preserve"> BC „</w:t>
      </w:r>
      <w:proofErr w:type="spellStart"/>
      <w:r w:rsidRPr="00804518">
        <w:rPr>
          <w:rFonts w:asciiTheme="majorHAnsi" w:hAnsiTheme="majorHAnsi" w:cstheme="majorHAnsi"/>
          <w:sz w:val="16"/>
          <w:szCs w:val="16"/>
          <w:lang w:val="ro-RO"/>
        </w:rPr>
        <w:t>Unibank</w:t>
      </w:r>
      <w:proofErr w:type="spellEnd"/>
      <w:r w:rsidRPr="00804518">
        <w:rPr>
          <w:rFonts w:asciiTheme="majorHAnsi" w:hAnsiTheme="majorHAnsi" w:cstheme="majorHAnsi"/>
          <w:sz w:val="16"/>
          <w:szCs w:val="16"/>
          <w:lang w:val="ro-RO"/>
        </w:rPr>
        <w:t>” S.A.</w:t>
      </w:r>
    </w:p>
  </w:footnote>
  <w:footnote w:id="28">
    <w:p w14:paraId="47ECF11D" w14:textId="77777777"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Anexa nr.1 la Acordul privind emisiunea și răscumpărarea obligațiunilor de stat în vederea executării obligațiilor Ministerului Finanțelor rezultate din garanțiile de stat din 04.10.2016.</w:t>
      </w:r>
    </w:p>
  </w:footnote>
  <w:footnote w:id="29">
    <w:p w14:paraId="67EACF08" w14:textId="33733CDD"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Art.7 din Legea bugetului de stat pentru anul 2018 nr.289 din 15.12.2017.</w:t>
      </w:r>
    </w:p>
  </w:footnote>
  <w:footnote w:id="30">
    <w:p w14:paraId="36155C85" w14:textId="77777777"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Legea nr.101 din 07.06.2018 cu privire la modificarea și completarea Legii bugetului de stat pentru anul 2018 nr. 289/2017. </w:t>
      </w:r>
    </w:p>
  </w:footnote>
  <w:footnote w:id="31">
    <w:p w14:paraId="6C8B2265" w14:textId="3179FD3F" w:rsidR="00CE24D3" w:rsidRPr="00804518" w:rsidRDefault="00CE24D3" w:rsidP="00804518">
      <w:pPr>
        <w:spacing w:after="0" w:line="240" w:lineRule="auto"/>
        <w:jc w:val="both"/>
        <w:rPr>
          <w:rFonts w:asciiTheme="majorHAnsi" w:hAnsiTheme="majorHAnsi" w:cstheme="majorHAnsi"/>
          <w:sz w:val="16"/>
          <w:szCs w:val="16"/>
          <w:lang w:val="ro-RO"/>
        </w:rPr>
      </w:pPr>
      <w:r w:rsidRPr="00804518">
        <w:rPr>
          <w:rStyle w:val="ae"/>
          <w:rFonts w:asciiTheme="majorHAnsi" w:hAnsiTheme="majorHAnsi" w:cstheme="majorHAnsi"/>
          <w:sz w:val="16"/>
          <w:szCs w:val="16"/>
        </w:rPr>
        <w:footnoteRef/>
      </w:r>
      <w:r w:rsidRPr="00804518">
        <w:rPr>
          <w:rFonts w:asciiTheme="majorHAnsi" w:hAnsiTheme="majorHAnsi" w:cstheme="majorHAnsi"/>
          <w:sz w:val="16"/>
          <w:szCs w:val="16"/>
          <w:lang w:val="ro-MD"/>
        </w:rPr>
        <w:t xml:space="preserve"> </w:t>
      </w:r>
      <w:r w:rsidRPr="00804518">
        <w:rPr>
          <w:rFonts w:asciiTheme="majorHAnsi" w:hAnsiTheme="majorHAnsi" w:cstheme="majorHAnsi"/>
          <w:sz w:val="16"/>
          <w:szCs w:val="16"/>
          <w:lang w:val="ro-RO"/>
        </w:rPr>
        <w:t>Împrumutul pentru „</w:t>
      </w:r>
      <w:r w:rsidRPr="00804518">
        <w:rPr>
          <w:rFonts w:asciiTheme="majorHAnsi" w:hAnsiTheme="majorHAnsi" w:cstheme="majorHAnsi"/>
          <w:i/>
          <w:sz w:val="16"/>
          <w:szCs w:val="16"/>
          <w:lang w:val="ro-MD"/>
        </w:rPr>
        <w:t xml:space="preserve">Proiectul privind procurarea </w:t>
      </w:r>
      <w:proofErr w:type="spellStart"/>
      <w:r w:rsidRPr="00804518">
        <w:rPr>
          <w:rFonts w:asciiTheme="majorHAnsi" w:hAnsiTheme="majorHAnsi" w:cstheme="majorHAnsi"/>
          <w:i/>
          <w:sz w:val="16"/>
          <w:szCs w:val="16"/>
          <w:lang w:val="ro-MD"/>
        </w:rPr>
        <w:t>ambulanţelor</w:t>
      </w:r>
      <w:proofErr w:type="spellEnd"/>
      <w:r w:rsidRPr="00804518">
        <w:rPr>
          <w:rFonts w:asciiTheme="majorHAnsi" w:hAnsiTheme="majorHAnsi" w:cstheme="majorHAnsi"/>
          <w:sz w:val="16"/>
          <w:szCs w:val="16"/>
          <w:lang w:val="ro-MD"/>
        </w:rPr>
        <w:t>”</w:t>
      </w:r>
      <w:r w:rsidRPr="00804518">
        <w:rPr>
          <w:rFonts w:asciiTheme="majorHAnsi" w:hAnsiTheme="majorHAnsi" w:cstheme="majorHAnsi"/>
          <w:sz w:val="16"/>
          <w:szCs w:val="16"/>
          <w:lang w:val="ro-RO"/>
        </w:rPr>
        <w:t xml:space="preserve"> (codul împrumutului D-166/CEB/2018) în valoare de 12,0 </w:t>
      </w:r>
      <w:proofErr w:type="spellStart"/>
      <w:r w:rsidRPr="00804518">
        <w:rPr>
          <w:rFonts w:asciiTheme="majorHAnsi" w:hAnsiTheme="majorHAnsi" w:cstheme="majorHAnsi"/>
          <w:sz w:val="16"/>
          <w:szCs w:val="16"/>
          <w:lang w:val="ro-RO"/>
        </w:rPr>
        <w:t>mil.euro</w:t>
      </w:r>
      <w:proofErr w:type="spellEnd"/>
      <w:r w:rsidRPr="00804518">
        <w:rPr>
          <w:rFonts w:asciiTheme="majorHAnsi" w:hAnsiTheme="majorHAnsi" w:cstheme="majorHAnsi"/>
          <w:sz w:val="16"/>
          <w:szCs w:val="16"/>
          <w:lang w:val="ro-RO"/>
        </w:rPr>
        <w:t>; împrumutul pentru „</w:t>
      </w:r>
      <w:proofErr w:type="spellStart"/>
      <w:r w:rsidRPr="00804518">
        <w:rPr>
          <w:rFonts w:asciiTheme="majorHAnsi" w:hAnsiTheme="majorHAnsi" w:cstheme="majorHAnsi"/>
          <w:i/>
          <w:sz w:val="16"/>
          <w:szCs w:val="16"/>
          <w:lang w:val="ro-RO"/>
        </w:rPr>
        <w:t>Asistenţa</w:t>
      </w:r>
      <w:proofErr w:type="spellEnd"/>
      <w:r w:rsidRPr="00804518">
        <w:rPr>
          <w:rFonts w:asciiTheme="majorHAnsi" w:hAnsiTheme="majorHAnsi" w:cstheme="majorHAnsi"/>
          <w:i/>
          <w:sz w:val="16"/>
          <w:szCs w:val="16"/>
          <w:lang w:val="ro-RO"/>
        </w:rPr>
        <w:t xml:space="preserve"> macrofinanciară pentru Republica Moldova</w:t>
      </w:r>
      <w:r w:rsidRPr="00804518">
        <w:rPr>
          <w:rFonts w:asciiTheme="majorHAnsi" w:hAnsiTheme="majorHAnsi" w:cstheme="majorHAnsi"/>
          <w:sz w:val="16"/>
          <w:szCs w:val="16"/>
          <w:lang w:val="ro-RO"/>
        </w:rPr>
        <w:t xml:space="preserve">” (codul împrumutului D-159/UE/2017) în valoare de 60,0 </w:t>
      </w:r>
      <w:proofErr w:type="spellStart"/>
      <w:r w:rsidRPr="00804518">
        <w:rPr>
          <w:rFonts w:asciiTheme="majorHAnsi" w:hAnsiTheme="majorHAnsi" w:cstheme="majorHAnsi"/>
          <w:sz w:val="16"/>
          <w:szCs w:val="16"/>
          <w:lang w:val="ro-RO"/>
        </w:rPr>
        <w:t>mil.euro</w:t>
      </w:r>
      <w:proofErr w:type="spellEnd"/>
      <w:r w:rsidRPr="00804518">
        <w:rPr>
          <w:rFonts w:asciiTheme="majorHAnsi" w:hAnsiTheme="majorHAnsi" w:cstheme="majorHAnsi"/>
          <w:sz w:val="16"/>
          <w:szCs w:val="16"/>
          <w:lang w:val="ro-RO"/>
        </w:rPr>
        <w:t>; împrumutul pentru „</w:t>
      </w:r>
      <w:r w:rsidRPr="00804518">
        <w:rPr>
          <w:rFonts w:asciiTheme="majorHAnsi" w:hAnsiTheme="majorHAnsi" w:cstheme="majorHAnsi"/>
          <w:i/>
          <w:sz w:val="16"/>
          <w:szCs w:val="16"/>
          <w:lang w:val="ro-RO"/>
        </w:rPr>
        <w:t>Proiectul de modernizare a administrării fiscale (TAMP)</w:t>
      </w:r>
      <w:r w:rsidRPr="00804518">
        <w:rPr>
          <w:rFonts w:asciiTheme="majorHAnsi" w:hAnsiTheme="majorHAnsi" w:cstheme="majorHAnsi"/>
          <w:sz w:val="16"/>
          <w:szCs w:val="16"/>
          <w:lang w:val="ro-RO"/>
        </w:rPr>
        <w:t>” (codul împrumutului D-148/BIRD/2016) în valoare de 12,6 mil. dol. SUA.</w:t>
      </w:r>
    </w:p>
  </w:footnote>
  <w:footnote w:id="32">
    <w:p w14:paraId="30B372DB" w14:textId="77777777"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Legea nr.293 din 21.12.2017 privind unele măsuri în vederea implementării Programului de stat „Prima casă”.</w:t>
      </w:r>
    </w:p>
  </w:footnote>
  <w:footnote w:id="33">
    <w:p w14:paraId="661977F3" w14:textId="5CF8DC98"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Art. 28 alin.(2) din Legea nr. 419-XVI din 22.12.2006.</w:t>
      </w:r>
    </w:p>
  </w:footnote>
  <w:footnote w:id="34">
    <w:p w14:paraId="1EE78B56" w14:textId="47E1BABC"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Dintre care 0,8 mil. euro reprezintă suma </w:t>
      </w:r>
      <w:proofErr w:type="spellStart"/>
      <w:r w:rsidRPr="00804518">
        <w:rPr>
          <w:rFonts w:asciiTheme="majorHAnsi" w:hAnsiTheme="majorHAnsi" w:cstheme="majorHAnsi"/>
          <w:sz w:val="16"/>
          <w:szCs w:val="16"/>
          <w:lang w:val="ro-MD"/>
        </w:rPr>
        <w:t>recreditată</w:t>
      </w:r>
      <w:proofErr w:type="spellEnd"/>
      <w:r w:rsidRPr="00804518">
        <w:rPr>
          <w:rFonts w:asciiTheme="majorHAnsi" w:hAnsiTheme="majorHAnsi" w:cstheme="majorHAnsi"/>
          <w:sz w:val="16"/>
          <w:szCs w:val="16"/>
          <w:lang w:val="ro-MD"/>
        </w:rPr>
        <w:t xml:space="preserve"> din împrumutul acordat de BEI în cadrul Proiectului ,,Livada Moldovei” componenta de leasing, transferate de către MF în gestionarea DLC.</w:t>
      </w:r>
    </w:p>
  </w:footnote>
  <w:footnote w:id="35">
    <w:p w14:paraId="4DE5AB4D" w14:textId="68A987F6" w:rsidR="00CE24D3" w:rsidRPr="00804518" w:rsidRDefault="00CE24D3" w:rsidP="00804518">
      <w:pPr>
        <w:spacing w:after="0" w:line="240" w:lineRule="auto"/>
        <w:jc w:val="both"/>
        <w:rPr>
          <w:rFonts w:asciiTheme="majorHAnsi" w:hAnsiTheme="majorHAnsi" w:cstheme="majorHAnsi"/>
          <w:sz w:val="16"/>
          <w:szCs w:val="16"/>
          <w:lang w:val="ro-RO" w:eastAsia="ru-RU"/>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w:t>
      </w:r>
      <w:r w:rsidRPr="00804518">
        <w:rPr>
          <w:rFonts w:asciiTheme="majorHAnsi" w:hAnsiTheme="majorHAnsi" w:cstheme="majorHAnsi"/>
          <w:sz w:val="16"/>
          <w:szCs w:val="16"/>
          <w:lang w:val="ro-MD" w:eastAsia="ru-RU"/>
        </w:rPr>
        <w:t>Sumele debursărilor efectuate pe parcursul anilor 2016 și 2017 au fost actualizate în anul 2017 și, respectiv, în anul 2018, ca urmare a prezentării dărilor de seamă privind debursările efectuate din contul împrumuturilor externe în cadrul proiectelor investiționale.</w:t>
      </w:r>
    </w:p>
  </w:footnote>
  <w:footnote w:id="36">
    <w:p w14:paraId="04F92033" w14:textId="77777777" w:rsidR="00CE24D3" w:rsidRPr="00804518" w:rsidRDefault="00CE24D3" w:rsidP="00804518">
      <w:pPr>
        <w:pStyle w:val="ac"/>
        <w:jc w:val="both"/>
        <w:rPr>
          <w:rFonts w:asciiTheme="majorHAnsi" w:hAnsiTheme="majorHAnsi" w:cstheme="majorHAnsi"/>
          <w:sz w:val="16"/>
          <w:szCs w:val="16"/>
          <w:lang w:val="ro-RO"/>
        </w:rPr>
      </w:pPr>
      <w:r w:rsidRPr="00804518">
        <w:rPr>
          <w:rStyle w:val="ae"/>
          <w:rFonts w:asciiTheme="majorHAnsi" w:hAnsiTheme="majorHAnsi" w:cstheme="majorHAnsi"/>
          <w:sz w:val="16"/>
          <w:szCs w:val="16"/>
          <w:lang w:val="ro-RO"/>
        </w:rPr>
        <w:footnoteRef/>
      </w:r>
      <w:r w:rsidRPr="00804518">
        <w:rPr>
          <w:rFonts w:asciiTheme="majorHAnsi" w:hAnsiTheme="majorHAnsi" w:cstheme="majorHAnsi"/>
          <w:sz w:val="16"/>
          <w:szCs w:val="16"/>
          <w:lang w:val="ro-RO"/>
        </w:rPr>
        <w:t xml:space="preserve"> Unele proiecte au fost finanțate atât din mijloace directe, cât și din mijloace circulante.</w:t>
      </w:r>
    </w:p>
  </w:footnote>
  <w:footnote w:id="37">
    <w:p w14:paraId="515D6B04" w14:textId="4CF6E821"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Dintre care 10,4 </w:t>
      </w:r>
      <w:proofErr w:type="spellStart"/>
      <w:r>
        <w:rPr>
          <w:rFonts w:asciiTheme="majorHAnsi" w:hAnsiTheme="majorHAnsi" w:cstheme="majorHAnsi"/>
          <w:sz w:val="16"/>
          <w:szCs w:val="16"/>
          <w:lang w:val="ro-MD"/>
        </w:rPr>
        <w:t>mil.MDL</w:t>
      </w:r>
      <w:proofErr w:type="spellEnd"/>
      <w:r w:rsidRPr="00804518">
        <w:rPr>
          <w:rFonts w:asciiTheme="majorHAnsi" w:hAnsiTheme="majorHAnsi" w:cstheme="majorHAnsi"/>
          <w:sz w:val="16"/>
          <w:szCs w:val="16"/>
          <w:lang w:val="ro-MD"/>
        </w:rPr>
        <w:t xml:space="preserve"> datoria expirată a beneficiarilor </w:t>
      </w:r>
      <w:proofErr w:type="spellStart"/>
      <w:r w:rsidRPr="00804518">
        <w:rPr>
          <w:rFonts w:asciiTheme="majorHAnsi" w:hAnsiTheme="majorHAnsi" w:cstheme="majorHAnsi"/>
          <w:sz w:val="16"/>
          <w:szCs w:val="16"/>
          <w:lang w:val="ro-MD"/>
        </w:rPr>
        <w:t>recreditați</w:t>
      </w:r>
      <w:proofErr w:type="spellEnd"/>
      <w:r w:rsidRPr="00804518">
        <w:rPr>
          <w:rFonts w:asciiTheme="majorHAnsi" w:hAnsiTheme="majorHAnsi" w:cstheme="majorHAnsi"/>
          <w:sz w:val="16"/>
          <w:szCs w:val="16"/>
          <w:lang w:val="ro-MD"/>
        </w:rPr>
        <w:t xml:space="preserve"> în cadrul Proiectului ,,Filiera vinului” componenta struguri, transferate de către MF în gestionarea DLC.</w:t>
      </w:r>
    </w:p>
  </w:footnote>
  <w:footnote w:id="38">
    <w:p w14:paraId="645502CA" w14:textId="3861EAA4"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rPr>
        <w:footnoteRef/>
      </w:r>
      <w:r w:rsidRPr="00804518">
        <w:rPr>
          <w:rFonts w:asciiTheme="majorHAnsi" w:hAnsiTheme="majorHAnsi" w:cstheme="majorHAnsi"/>
          <w:sz w:val="16"/>
          <w:szCs w:val="16"/>
          <w:lang w:val="ro-RO"/>
        </w:rPr>
        <w:t xml:space="preserve"> </w:t>
      </w:r>
      <w:r w:rsidRPr="00804518">
        <w:rPr>
          <w:rFonts w:asciiTheme="majorHAnsi" w:hAnsiTheme="majorHAnsi" w:cstheme="majorHAnsi"/>
          <w:sz w:val="16"/>
          <w:szCs w:val="16"/>
          <w:lang w:val="ro-MD"/>
        </w:rPr>
        <w:t xml:space="preserve">Ordinul ministrului </w:t>
      </w:r>
      <w:proofErr w:type="spellStart"/>
      <w:r w:rsidRPr="00804518">
        <w:rPr>
          <w:rFonts w:asciiTheme="majorHAnsi" w:hAnsiTheme="majorHAnsi" w:cstheme="majorHAnsi"/>
          <w:sz w:val="16"/>
          <w:szCs w:val="16"/>
          <w:lang w:val="ro-MD"/>
        </w:rPr>
        <w:t>finanţelor</w:t>
      </w:r>
      <w:proofErr w:type="spellEnd"/>
      <w:r w:rsidRPr="00804518">
        <w:rPr>
          <w:rFonts w:asciiTheme="majorHAnsi" w:hAnsiTheme="majorHAnsi" w:cstheme="majorHAnsi"/>
          <w:sz w:val="16"/>
          <w:szCs w:val="16"/>
          <w:lang w:val="ro-MD"/>
        </w:rPr>
        <w:t xml:space="preserve"> nr.122 din 05.07.2018 „Cu privire la radierea unor datorii din Raportul de stat privind recreditarea de stat”.</w:t>
      </w:r>
    </w:p>
  </w:footnote>
  <w:footnote w:id="39">
    <w:p w14:paraId="2C58FD6A" w14:textId="4AD1DA42"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15,0 mii </w:t>
      </w:r>
      <w:proofErr w:type="spellStart"/>
      <w:r w:rsidRPr="00804518">
        <w:rPr>
          <w:rFonts w:asciiTheme="majorHAnsi" w:hAnsiTheme="majorHAnsi" w:cstheme="majorHAnsi"/>
          <w:sz w:val="16"/>
          <w:szCs w:val="16"/>
          <w:lang w:val="ro-MD"/>
        </w:rPr>
        <w:t>dol.SUA</w:t>
      </w:r>
      <w:proofErr w:type="spellEnd"/>
      <w:r w:rsidRPr="00804518">
        <w:rPr>
          <w:rFonts w:asciiTheme="majorHAnsi" w:hAnsiTheme="majorHAnsi" w:cstheme="majorHAnsi"/>
          <w:sz w:val="16"/>
          <w:szCs w:val="16"/>
          <w:lang w:val="ro-MD"/>
        </w:rPr>
        <w:t xml:space="preserve"> s-au achitat în anul 2018 pentru perioada 01.09.2017-31.08.2018.</w:t>
      </w:r>
    </w:p>
  </w:footnote>
  <w:footnote w:id="40">
    <w:p w14:paraId="6CFE92E9" w14:textId="77777777"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Hotărârea Curții de Conturi nr.100 din 21.12.2018 „Privind aprobarea Programului activității de audit a Curții de Conturi pe anul 2019” (cu modificările ulterioare). </w:t>
      </w:r>
    </w:p>
  </w:footnote>
  <w:footnote w:id="41">
    <w:p w14:paraId="7D56F8D1" w14:textId="77777777"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Aprobat prin Hotărârea Curții de Conturi nr.54 din 05.12.2016.</w:t>
      </w:r>
    </w:p>
  </w:footnote>
  <w:footnote w:id="42">
    <w:p w14:paraId="658B1B5E" w14:textId="15C6E5AC" w:rsidR="00CE24D3" w:rsidRPr="00804518" w:rsidRDefault="00CE24D3" w:rsidP="00804518">
      <w:pPr>
        <w:pStyle w:val="ac"/>
        <w:jc w:val="both"/>
        <w:rPr>
          <w:rFonts w:asciiTheme="majorHAnsi" w:hAnsiTheme="majorHAnsi" w:cstheme="majorHAnsi"/>
          <w:sz w:val="16"/>
          <w:szCs w:val="16"/>
          <w:lang w:val="ro-MD"/>
        </w:rPr>
      </w:pPr>
      <w:r w:rsidRPr="00804518">
        <w:rPr>
          <w:rStyle w:val="ae"/>
          <w:rFonts w:asciiTheme="majorHAnsi" w:hAnsiTheme="majorHAnsi" w:cstheme="majorHAnsi"/>
          <w:sz w:val="16"/>
          <w:szCs w:val="16"/>
          <w:lang w:val="ro-MD"/>
        </w:rPr>
        <w:footnoteRef/>
      </w:r>
      <w:r w:rsidRPr="00804518">
        <w:rPr>
          <w:rFonts w:asciiTheme="majorHAnsi" w:hAnsiTheme="majorHAnsi" w:cstheme="majorHAnsi"/>
          <w:sz w:val="16"/>
          <w:szCs w:val="16"/>
          <w:lang w:val="ro-MD"/>
        </w:rPr>
        <w:t xml:space="preserve"> Transferat de către MF în gestionarea DLC.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48F8D" w14:textId="7EF77FE4" w:rsidR="00CE24D3" w:rsidRPr="00F64DE9" w:rsidRDefault="00CE24D3" w:rsidP="00F64DE9">
    <w:pPr>
      <w:pStyle w:val="af"/>
      <w:jc w:val="right"/>
      <w:rPr>
        <w:lang w:val="ro-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127"/>
    <w:multiLevelType w:val="hybridMultilevel"/>
    <w:tmpl w:val="377E2A96"/>
    <w:lvl w:ilvl="0" w:tplc="D4EC149C">
      <w:start w:val="1"/>
      <w:numFmt w:val="bullet"/>
      <w:lvlText w:val="•"/>
      <w:lvlJc w:val="left"/>
      <w:pPr>
        <w:ind w:left="360" w:hanging="360"/>
      </w:pPr>
      <w:rPr>
        <w:rFonts w:ascii="Arial" w:hAnsi="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873110"/>
    <w:multiLevelType w:val="multilevel"/>
    <w:tmpl w:val="43A474C0"/>
    <w:lvl w:ilvl="0">
      <w:start w:val="1"/>
      <w:numFmt w:val="upperRoman"/>
      <w:lvlText w:val="%1."/>
      <w:lvlJc w:val="left"/>
      <w:pPr>
        <w:ind w:left="3414" w:hanging="72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 w15:restartNumberingAfterBreak="0">
    <w:nsid w:val="02CB5DC8"/>
    <w:multiLevelType w:val="hybridMultilevel"/>
    <w:tmpl w:val="B7720E8A"/>
    <w:lvl w:ilvl="0" w:tplc="05B64F6E">
      <w:start w:val="1"/>
      <w:numFmt w:val="decimal"/>
      <w:lvlText w:val="%1."/>
      <w:lvlJc w:val="left"/>
      <w:pPr>
        <w:ind w:left="2912" w:hanging="360"/>
      </w:pPr>
      <w:rPr>
        <w:rFonts w:cs="Times New Roman"/>
        <w:b/>
      </w:rPr>
    </w:lvl>
    <w:lvl w:ilvl="1" w:tplc="04090019" w:tentative="1">
      <w:start w:val="1"/>
      <w:numFmt w:val="lowerLetter"/>
      <w:lvlText w:val="%2."/>
      <w:lvlJc w:val="left"/>
      <w:pPr>
        <w:ind w:left="3632" w:hanging="360"/>
      </w:pPr>
      <w:rPr>
        <w:rFonts w:cs="Times New Roman"/>
      </w:rPr>
    </w:lvl>
    <w:lvl w:ilvl="2" w:tplc="0409001B" w:tentative="1">
      <w:start w:val="1"/>
      <w:numFmt w:val="lowerRoman"/>
      <w:lvlText w:val="%3."/>
      <w:lvlJc w:val="right"/>
      <w:pPr>
        <w:ind w:left="4352" w:hanging="180"/>
      </w:pPr>
      <w:rPr>
        <w:rFonts w:cs="Times New Roman"/>
      </w:rPr>
    </w:lvl>
    <w:lvl w:ilvl="3" w:tplc="0409000F" w:tentative="1">
      <w:start w:val="1"/>
      <w:numFmt w:val="decimal"/>
      <w:lvlText w:val="%4."/>
      <w:lvlJc w:val="left"/>
      <w:pPr>
        <w:ind w:left="5072" w:hanging="360"/>
      </w:pPr>
      <w:rPr>
        <w:rFonts w:cs="Times New Roman"/>
      </w:rPr>
    </w:lvl>
    <w:lvl w:ilvl="4" w:tplc="04090019" w:tentative="1">
      <w:start w:val="1"/>
      <w:numFmt w:val="lowerLetter"/>
      <w:lvlText w:val="%5."/>
      <w:lvlJc w:val="left"/>
      <w:pPr>
        <w:ind w:left="5792" w:hanging="360"/>
      </w:pPr>
      <w:rPr>
        <w:rFonts w:cs="Times New Roman"/>
      </w:rPr>
    </w:lvl>
    <w:lvl w:ilvl="5" w:tplc="0409001B" w:tentative="1">
      <w:start w:val="1"/>
      <w:numFmt w:val="lowerRoman"/>
      <w:lvlText w:val="%6."/>
      <w:lvlJc w:val="right"/>
      <w:pPr>
        <w:ind w:left="6512" w:hanging="180"/>
      </w:pPr>
      <w:rPr>
        <w:rFonts w:cs="Times New Roman"/>
      </w:rPr>
    </w:lvl>
    <w:lvl w:ilvl="6" w:tplc="0409000F" w:tentative="1">
      <w:start w:val="1"/>
      <w:numFmt w:val="decimal"/>
      <w:lvlText w:val="%7."/>
      <w:lvlJc w:val="left"/>
      <w:pPr>
        <w:ind w:left="7232" w:hanging="360"/>
      </w:pPr>
      <w:rPr>
        <w:rFonts w:cs="Times New Roman"/>
      </w:rPr>
    </w:lvl>
    <w:lvl w:ilvl="7" w:tplc="04090019" w:tentative="1">
      <w:start w:val="1"/>
      <w:numFmt w:val="lowerLetter"/>
      <w:lvlText w:val="%8."/>
      <w:lvlJc w:val="left"/>
      <w:pPr>
        <w:ind w:left="7952" w:hanging="360"/>
      </w:pPr>
      <w:rPr>
        <w:rFonts w:cs="Times New Roman"/>
      </w:rPr>
    </w:lvl>
    <w:lvl w:ilvl="8" w:tplc="0409001B" w:tentative="1">
      <w:start w:val="1"/>
      <w:numFmt w:val="lowerRoman"/>
      <w:lvlText w:val="%9."/>
      <w:lvlJc w:val="right"/>
      <w:pPr>
        <w:ind w:left="8672" w:hanging="180"/>
      </w:pPr>
      <w:rPr>
        <w:rFonts w:cs="Times New Roman"/>
      </w:rPr>
    </w:lvl>
  </w:abstractNum>
  <w:abstractNum w:abstractNumId="3" w15:restartNumberingAfterBreak="0">
    <w:nsid w:val="056A625F"/>
    <w:multiLevelType w:val="multilevel"/>
    <w:tmpl w:val="D22EDC36"/>
    <w:lvl w:ilvl="0">
      <w:start w:val="3"/>
      <w:numFmt w:val="decimal"/>
      <w:lvlText w:val="%1."/>
      <w:lvlJc w:val="left"/>
      <w:pPr>
        <w:ind w:left="564" w:hanging="564"/>
      </w:pPr>
      <w:rPr>
        <w:rFonts w:hint="default"/>
      </w:rPr>
    </w:lvl>
    <w:lvl w:ilvl="1">
      <w:start w:val="1"/>
      <w:numFmt w:val="decimal"/>
      <w:lvlText w:val="%1.%2."/>
      <w:lvlJc w:val="left"/>
      <w:pPr>
        <w:ind w:left="564" w:hanging="56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4702B5"/>
    <w:multiLevelType w:val="hybridMultilevel"/>
    <w:tmpl w:val="A8D8168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A260876"/>
    <w:multiLevelType w:val="multilevel"/>
    <w:tmpl w:val="A00674A2"/>
    <w:lvl w:ilvl="0">
      <w:start w:val="3"/>
      <w:numFmt w:val="decimal"/>
      <w:lvlText w:val="%1."/>
      <w:lvlJc w:val="left"/>
      <w:pPr>
        <w:ind w:left="396" w:hanging="396"/>
      </w:pPr>
      <w:rPr>
        <w:rFonts w:hint="default"/>
      </w:rPr>
    </w:lvl>
    <w:lvl w:ilvl="1">
      <w:start w:val="4"/>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1E1DF8"/>
    <w:multiLevelType w:val="multilevel"/>
    <w:tmpl w:val="1AA814D2"/>
    <w:lvl w:ilvl="0">
      <w:start w:val="3"/>
      <w:numFmt w:val="decimal"/>
      <w:lvlText w:val="%1."/>
      <w:lvlJc w:val="left"/>
      <w:pPr>
        <w:ind w:left="792" w:hanging="792"/>
      </w:pPr>
      <w:rPr>
        <w:rFonts w:hint="default"/>
      </w:rPr>
    </w:lvl>
    <w:lvl w:ilvl="1">
      <w:start w:val="2"/>
      <w:numFmt w:val="decimal"/>
      <w:lvlText w:val="%1.%2."/>
      <w:lvlJc w:val="left"/>
      <w:pPr>
        <w:ind w:left="1005" w:hanging="792"/>
      </w:pPr>
      <w:rPr>
        <w:rFonts w:hint="default"/>
        <w:b/>
      </w:rPr>
    </w:lvl>
    <w:lvl w:ilvl="2">
      <w:start w:val="15"/>
      <w:numFmt w:val="decimal"/>
      <w:lvlText w:val="%1.%2.%3."/>
      <w:lvlJc w:val="left"/>
      <w:pPr>
        <w:ind w:left="1218" w:hanging="792"/>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15:restartNumberingAfterBreak="0">
    <w:nsid w:val="0CED169B"/>
    <w:multiLevelType w:val="multilevel"/>
    <w:tmpl w:val="E20EEFF6"/>
    <w:lvl w:ilvl="0">
      <w:start w:val="3"/>
      <w:numFmt w:val="decimal"/>
      <w:lvlText w:val="%1"/>
      <w:lvlJc w:val="left"/>
      <w:pPr>
        <w:ind w:left="360" w:hanging="360"/>
      </w:pPr>
      <w:rPr>
        <w:rFonts w:ascii="Times New Roman" w:hAnsi="Times New Roman" w:hint="default"/>
        <w:sz w:val="28"/>
      </w:rPr>
    </w:lvl>
    <w:lvl w:ilvl="1">
      <w:start w:val="3"/>
      <w:numFmt w:val="decimal"/>
      <w:lvlText w:val="%1.%2"/>
      <w:lvlJc w:val="left"/>
      <w:pPr>
        <w:ind w:left="360" w:hanging="360"/>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720" w:hanging="720"/>
      </w:pPr>
      <w:rPr>
        <w:rFonts w:ascii="Times New Roman" w:hAnsi="Times New Roman" w:hint="default"/>
        <w:sz w:val="28"/>
      </w:rPr>
    </w:lvl>
    <w:lvl w:ilvl="4">
      <w:start w:val="1"/>
      <w:numFmt w:val="decimal"/>
      <w:lvlText w:val="%1.%2.%3.%4.%5"/>
      <w:lvlJc w:val="left"/>
      <w:pPr>
        <w:ind w:left="1080" w:hanging="1080"/>
      </w:pPr>
      <w:rPr>
        <w:rFonts w:ascii="Times New Roman" w:hAnsi="Times New Roman" w:hint="default"/>
        <w:sz w:val="28"/>
      </w:rPr>
    </w:lvl>
    <w:lvl w:ilvl="5">
      <w:start w:val="1"/>
      <w:numFmt w:val="decimal"/>
      <w:lvlText w:val="%1.%2.%3.%4.%5.%6"/>
      <w:lvlJc w:val="left"/>
      <w:pPr>
        <w:ind w:left="1080" w:hanging="1080"/>
      </w:pPr>
      <w:rPr>
        <w:rFonts w:ascii="Times New Roman" w:hAnsi="Times New Roman" w:hint="default"/>
        <w:sz w:val="28"/>
      </w:rPr>
    </w:lvl>
    <w:lvl w:ilvl="6">
      <w:start w:val="1"/>
      <w:numFmt w:val="decimal"/>
      <w:lvlText w:val="%1.%2.%3.%4.%5.%6.%7"/>
      <w:lvlJc w:val="left"/>
      <w:pPr>
        <w:ind w:left="1440" w:hanging="1440"/>
      </w:pPr>
      <w:rPr>
        <w:rFonts w:ascii="Times New Roman" w:hAnsi="Times New Roman" w:hint="default"/>
        <w:sz w:val="28"/>
      </w:rPr>
    </w:lvl>
    <w:lvl w:ilvl="7">
      <w:start w:val="1"/>
      <w:numFmt w:val="decimal"/>
      <w:lvlText w:val="%1.%2.%3.%4.%5.%6.%7.%8"/>
      <w:lvlJc w:val="left"/>
      <w:pPr>
        <w:ind w:left="1440" w:hanging="1440"/>
      </w:pPr>
      <w:rPr>
        <w:rFonts w:ascii="Times New Roman" w:hAnsi="Times New Roman" w:hint="default"/>
        <w:sz w:val="28"/>
      </w:rPr>
    </w:lvl>
    <w:lvl w:ilvl="8">
      <w:start w:val="1"/>
      <w:numFmt w:val="decimal"/>
      <w:lvlText w:val="%1.%2.%3.%4.%5.%6.%7.%8.%9"/>
      <w:lvlJc w:val="left"/>
      <w:pPr>
        <w:ind w:left="1800" w:hanging="1800"/>
      </w:pPr>
      <w:rPr>
        <w:rFonts w:ascii="Times New Roman" w:hAnsi="Times New Roman" w:hint="default"/>
        <w:sz w:val="28"/>
      </w:rPr>
    </w:lvl>
  </w:abstractNum>
  <w:abstractNum w:abstractNumId="8" w15:restartNumberingAfterBreak="0">
    <w:nsid w:val="0E9E0724"/>
    <w:multiLevelType w:val="hybridMultilevel"/>
    <w:tmpl w:val="2FDA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4280E"/>
    <w:multiLevelType w:val="multilevel"/>
    <w:tmpl w:val="D1761350"/>
    <w:lvl w:ilvl="0">
      <w:start w:val="3"/>
      <w:numFmt w:val="decimal"/>
      <w:lvlText w:val="%1."/>
      <w:lvlJc w:val="left"/>
      <w:pPr>
        <w:ind w:left="630" w:hanging="630"/>
      </w:pPr>
      <w:rPr>
        <w:rFonts w:cs="Times New Roman" w:hint="default"/>
      </w:rPr>
    </w:lvl>
    <w:lvl w:ilvl="1">
      <w:start w:val="1"/>
      <w:numFmt w:val="decimal"/>
      <w:lvlText w:val="%1.%2."/>
      <w:lvlJc w:val="left"/>
      <w:pPr>
        <w:ind w:left="933" w:hanging="72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10" w15:restartNumberingAfterBreak="0">
    <w:nsid w:val="123413D4"/>
    <w:multiLevelType w:val="hybridMultilevel"/>
    <w:tmpl w:val="42C4C1C4"/>
    <w:lvl w:ilvl="0" w:tplc="B950CB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D32DE"/>
    <w:multiLevelType w:val="multilevel"/>
    <w:tmpl w:val="F9BC235E"/>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603B2D"/>
    <w:multiLevelType w:val="hybridMultilevel"/>
    <w:tmpl w:val="FD728CD8"/>
    <w:lvl w:ilvl="0" w:tplc="BE1CBC32">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A2F33E2"/>
    <w:multiLevelType w:val="hybridMultilevel"/>
    <w:tmpl w:val="55A055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DB56E72"/>
    <w:multiLevelType w:val="multilevel"/>
    <w:tmpl w:val="42400E60"/>
    <w:lvl w:ilvl="0">
      <w:start w:val="3"/>
      <w:numFmt w:val="decimal"/>
      <w:lvlText w:val="%1."/>
      <w:lvlJc w:val="left"/>
      <w:pPr>
        <w:ind w:left="648" w:hanging="648"/>
      </w:pPr>
      <w:rPr>
        <w:rFonts w:hint="default"/>
      </w:rPr>
    </w:lvl>
    <w:lvl w:ilvl="1">
      <w:start w:val="2"/>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398" w:hanging="108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436" w:hanging="180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3008" w:hanging="2160"/>
      </w:pPr>
      <w:rPr>
        <w:rFonts w:hint="default"/>
      </w:rPr>
    </w:lvl>
  </w:abstractNum>
  <w:abstractNum w:abstractNumId="15" w15:restartNumberingAfterBreak="0">
    <w:nsid w:val="1F6646C0"/>
    <w:multiLevelType w:val="hybridMultilevel"/>
    <w:tmpl w:val="FE3C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5C0543"/>
    <w:multiLevelType w:val="multilevel"/>
    <w:tmpl w:val="11368BEA"/>
    <w:lvl w:ilvl="0">
      <w:start w:val="1"/>
      <w:numFmt w:val="decimal"/>
      <w:lvlText w:val="%1."/>
      <w:lvlJc w:val="left"/>
      <w:pPr>
        <w:ind w:left="432" w:hanging="432"/>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229B4208"/>
    <w:multiLevelType w:val="hybridMultilevel"/>
    <w:tmpl w:val="B884310E"/>
    <w:lvl w:ilvl="0" w:tplc="5BC06430">
      <w:start w:val="1"/>
      <w:numFmt w:val="decimal"/>
      <w:lvlText w:val="(%1)"/>
      <w:lvlJc w:val="left"/>
      <w:pPr>
        <w:ind w:left="1004" w:hanging="360"/>
      </w:pPr>
      <w:rPr>
        <w:rFonts w:ascii="Times New Roman" w:eastAsia="Times New Roman" w:hAnsi="Times New Roman" w:cs="Times New Roman"/>
        <w:b w:val="0"/>
        <w:i/>
        <w:strike w:val="0"/>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8" w15:restartNumberingAfterBreak="0">
    <w:nsid w:val="25F721E3"/>
    <w:multiLevelType w:val="hybridMultilevel"/>
    <w:tmpl w:val="8F24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B653F"/>
    <w:multiLevelType w:val="multilevel"/>
    <w:tmpl w:val="02F4B0DC"/>
    <w:lvl w:ilvl="0">
      <w:start w:val="3"/>
      <w:numFmt w:val="decimal"/>
      <w:lvlText w:val="%1."/>
      <w:lvlJc w:val="left"/>
      <w:pPr>
        <w:ind w:left="432" w:hanging="432"/>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15:restartNumberingAfterBreak="0">
    <w:nsid w:val="2BB900C4"/>
    <w:multiLevelType w:val="hybridMultilevel"/>
    <w:tmpl w:val="E294F81E"/>
    <w:lvl w:ilvl="0" w:tplc="48401916">
      <w:start w:val="1"/>
      <w:numFmt w:val="decimal"/>
      <w:lvlText w:val="%1."/>
      <w:lvlJc w:val="left"/>
      <w:pPr>
        <w:ind w:left="1495" w:hanging="360"/>
      </w:pPr>
      <w:rPr>
        <w:rFonts w:eastAsia="Times New Roman" w:cs="Times New Roman" w:hint="default"/>
        <w:b/>
        <w:u w:val="none"/>
      </w:rPr>
    </w:lvl>
    <w:lvl w:ilvl="1" w:tplc="04090019" w:tentative="1">
      <w:start w:val="1"/>
      <w:numFmt w:val="lowerLetter"/>
      <w:lvlText w:val="%2."/>
      <w:lvlJc w:val="left"/>
      <w:pPr>
        <w:ind w:left="2215" w:hanging="360"/>
      </w:pPr>
      <w:rPr>
        <w:rFonts w:cs="Times New Roman"/>
      </w:rPr>
    </w:lvl>
    <w:lvl w:ilvl="2" w:tplc="0409001B" w:tentative="1">
      <w:start w:val="1"/>
      <w:numFmt w:val="lowerRoman"/>
      <w:lvlText w:val="%3."/>
      <w:lvlJc w:val="right"/>
      <w:pPr>
        <w:ind w:left="2935" w:hanging="180"/>
      </w:pPr>
      <w:rPr>
        <w:rFonts w:cs="Times New Roman"/>
      </w:rPr>
    </w:lvl>
    <w:lvl w:ilvl="3" w:tplc="0409000F" w:tentative="1">
      <w:start w:val="1"/>
      <w:numFmt w:val="decimal"/>
      <w:lvlText w:val="%4."/>
      <w:lvlJc w:val="left"/>
      <w:pPr>
        <w:ind w:left="3655" w:hanging="360"/>
      </w:pPr>
      <w:rPr>
        <w:rFonts w:cs="Times New Roman"/>
      </w:rPr>
    </w:lvl>
    <w:lvl w:ilvl="4" w:tplc="04090019" w:tentative="1">
      <w:start w:val="1"/>
      <w:numFmt w:val="lowerLetter"/>
      <w:lvlText w:val="%5."/>
      <w:lvlJc w:val="left"/>
      <w:pPr>
        <w:ind w:left="4375" w:hanging="360"/>
      </w:pPr>
      <w:rPr>
        <w:rFonts w:cs="Times New Roman"/>
      </w:rPr>
    </w:lvl>
    <w:lvl w:ilvl="5" w:tplc="0409001B" w:tentative="1">
      <w:start w:val="1"/>
      <w:numFmt w:val="lowerRoman"/>
      <w:lvlText w:val="%6."/>
      <w:lvlJc w:val="right"/>
      <w:pPr>
        <w:ind w:left="5095" w:hanging="180"/>
      </w:pPr>
      <w:rPr>
        <w:rFonts w:cs="Times New Roman"/>
      </w:rPr>
    </w:lvl>
    <w:lvl w:ilvl="6" w:tplc="0409000F" w:tentative="1">
      <w:start w:val="1"/>
      <w:numFmt w:val="decimal"/>
      <w:lvlText w:val="%7."/>
      <w:lvlJc w:val="left"/>
      <w:pPr>
        <w:ind w:left="5815" w:hanging="360"/>
      </w:pPr>
      <w:rPr>
        <w:rFonts w:cs="Times New Roman"/>
      </w:rPr>
    </w:lvl>
    <w:lvl w:ilvl="7" w:tplc="04090019" w:tentative="1">
      <w:start w:val="1"/>
      <w:numFmt w:val="lowerLetter"/>
      <w:lvlText w:val="%8."/>
      <w:lvlJc w:val="left"/>
      <w:pPr>
        <w:ind w:left="6535" w:hanging="360"/>
      </w:pPr>
      <w:rPr>
        <w:rFonts w:cs="Times New Roman"/>
      </w:rPr>
    </w:lvl>
    <w:lvl w:ilvl="8" w:tplc="0409001B" w:tentative="1">
      <w:start w:val="1"/>
      <w:numFmt w:val="lowerRoman"/>
      <w:lvlText w:val="%9."/>
      <w:lvlJc w:val="right"/>
      <w:pPr>
        <w:ind w:left="7255" w:hanging="180"/>
      </w:pPr>
      <w:rPr>
        <w:rFonts w:cs="Times New Roman"/>
      </w:rPr>
    </w:lvl>
  </w:abstractNum>
  <w:abstractNum w:abstractNumId="21" w15:restartNumberingAfterBreak="0">
    <w:nsid w:val="311F1F4E"/>
    <w:multiLevelType w:val="hybridMultilevel"/>
    <w:tmpl w:val="7B7E1544"/>
    <w:lvl w:ilvl="0" w:tplc="7DBE3E1E">
      <w:start w:val="5"/>
      <w:numFmt w:val="upperRoman"/>
      <w:lvlText w:val="%1."/>
      <w:lvlJc w:val="left"/>
      <w:pPr>
        <w:ind w:left="2520" w:hanging="72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2" w15:restartNumberingAfterBreak="0">
    <w:nsid w:val="32825342"/>
    <w:multiLevelType w:val="multilevel"/>
    <w:tmpl w:val="81761C20"/>
    <w:lvl w:ilvl="0">
      <w:start w:val="3"/>
      <w:numFmt w:val="decimal"/>
      <w:lvlText w:val="%1."/>
      <w:lvlJc w:val="left"/>
      <w:pPr>
        <w:ind w:left="648" w:hanging="648"/>
      </w:pPr>
      <w:rPr>
        <w:rFonts w:cs="Times New Roman" w:hint="default"/>
      </w:rPr>
    </w:lvl>
    <w:lvl w:ilvl="1">
      <w:start w:val="1"/>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38C21D1C"/>
    <w:multiLevelType w:val="multilevel"/>
    <w:tmpl w:val="E9CCC558"/>
    <w:lvl w:ilvl="0">
      <w:start w:val="4"/>
      <w:numFmt w:val="decimal"/>
      <w:lvlText w:val="%1."/>
      <w:lvlJc w:val="left"/>
      <w:pPr>
        <w:ind w:left="432" w:hanging="432"/>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3A3823AF"/>
    <w:multiLevelType w:val="hybridMultilevel"/>
    <w:tmpl w:val="EDAA4EB2"/>
    <w:lvl w:ilvl="0" w:tplc="E1BEFB2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5" w15:restartNumberingAfterBreak="0">
    <w:nsid w:val="3B1C5517"/>
    <w:multiLevelType w:val="multilevel"/>
    <w:tmpl w:val="5B7629DE"/>
    <w:lvl w:ilvl="0">
      <w:start w:val="3"/>
      <w:numFmt w:val="decimal"/>
      <w:lvlText w:val="%1."/>
      <w:lvlJc w:val="left"/>
      <w:pPr>
        <w:ind w:left="432" w:hanging="432"/>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3CC50412"/>
    <w:multiLevelType w:val="hybridMultilevel"/>
    <w:tmpl w:val="6EC04030"/>
    <w:lvl w:ilvl="0" w:tplc="C09223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BD216E"/>
    <w:multiLevelType w:val="hybridMultilevel"/>
    <w:tmpl w:val="DA440002"/>
    <w:lvl w:ilvl="0" w:tplc="AF32A49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4D3469"/>
    <w:multiLevelType w:val="hybridMultilevel"/>
    <w:tmpl w:val="DA440002"/>
    <w:lvl w:ilvl="0" w:tplc="AF32A49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7A63F0"/>
    <w:multiLevelType w:val="multilevel"/>
    <w:tmpl w:val="983A9526"/>
    <w:lvl w:ilvl="0">
      <w:start w:val="3"/>
      <w:numFmt w:val="decimal"/>
      <w:lvlText w:val="%1."/>
      <w:lvlJc w:val="left"/>
      <w:pPr>
        <w:ind w:left="648" w:hanging="648"/>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46E911A1"/>
    <w:multiLevelType w:val="multilevel"/>
    <w:tmpl w:val="03D07C12"/>
    <w:lvl w:ilvl="0">
      <w:start w:val="3"/>
      <w:numFmt w:val="decimal"/>
      <w:lvlText w:val="%1."/>
      <w:lvlJc w:val="left"/>
      <w:pPr>
        <w:ind w:left="648" w:hanging="648"/>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1" w15:restartNumberingAfterBreak="0">
    <w:nsid w:val="49342024"/>
    <w:multiLevelType w:val="hybridMultilevel"/>
    <w:tmpl w:val="86422E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C2D2503"/>
    <w:multiLevelType w:val="hybridMultilevel"/>
    <w:tmpl w:val="48544F2E"/>
    <w:lvl w:ilvl="0" w:tplc="0F6E54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FB4E18"/>
    <w:multiLevelType w:val="hybridMultilevel"/>
    <w:tmpl w:val="78A24708"/>
    <w:lvl w:ilvl="0" w:tplc="31CEF1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2B159D"/>
    <w:multiLevelType w:val="multilevel"/>
    <w:tmpl w:val="96DAD44A"/>
    <w:lvl w:ilvl="0">
      <w:start w:val="3"/>
      <w:numFmt w:val="decimal"/>
      <w:lvlText w:val="%1."/>
      <w:lvlJc w:val="left"/>
      <w:pPr>
        <w:ind w:left="630" w:hanging="630"/>
      </w:pPr>
      <w:rPr>
        <w:rFonts w:cs="Times New Roman" w:hint="default"/>
      </w:rPr>
    </w:lvl>
    <w:lvl w:ilvl="1">
      <w:start w:val="1"/>
      <w:numFmt w:val="decimal"/>
      <w:lvlText w:val="%1.%2."/>
      <w:lvlJc w:val="left"/>
      <w:pPr>
        <w:ind w:left="933" w:hanging="72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35" w15:restartNumberingAfterBreak="0">
    <w:nsid w:val="542C6A08"/>
    <w:multiLevelType w:val="hybridMultilevel"/>
    <w:tmpl w:val="576A1A3A"/>
    <w:lvl w:ilvl="0" w:tplc="630E8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316A5E"/>
    <w:multiLevelType w:val="multilevel"/>
    <w:tmpl w:val="F8AED68A"/>
    <w:lvl w:ilvl="0">
      <w:start w:val="3"/>
      <w:numFmt w:val="decimal"/>
      <w:lvlText w:val="%1."/>
      <w:lvlJc w:val="left"/>
      <w:pPr>
        <w:ind w:left="432" w:hanging="432"/>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ascii="Times New Roman" w:hAnsi="Times New Roman" w:cs="Times New Roman"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7" w15:restartNumberingAfterBreak="0">
    <w:nsid w:val="68C10ABD"/>
    <w:multiLevelType w:val="hybridMultilevel"/>
    <w:tmpl w:val="7BB0910C"/>
    <w:lvl w:ilvl="0" w:tplc="2452BDEC">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15:restartNumberingAfterBreak="0">
    <w:nsid w:val="6987263D"/>
    <w:multiLevelType w:val="hybridMultilevel"/>
    <w:tmpl w:val="5F940EB2"/>
    <w:lvl w:ilvl="0" w:tplc="50AA19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51038"/>
    <w:multiLevelType w:val="hybridMultilevel"/>
    <w:tmpl w:val="CEAE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E281F"/>
    <w:multiLevelType w:val="multilevel"/>
    <w:tmpl w:val="FB80FBF4"/>
    <w:lvl w:ilvl="0">
      <w:start w:val="3"/>
      <w:numFmt w:val="decimal"/>
      <w:lvlText w:val="%1."/>
      <w:lvlJc w:val="left"/>
      <w:pPr>
        <w:ind w:left="792" w:hanging="792"/>
      </w:pPr>
      <w:rPr>
        <w:rFonts w:hint="default"/>
      </w:rPr>
    </w:lvl>
    <w:lvl w:ilvl="1">
      <w:start w:val="2"/>
      <w:numFmt w:val="decimal"/>
      <w:lvlText w:val="%1.%2."/>
      <w:lvlJc w:val="left"/>
      <w:pPr>
        <w:ind w:left="1005" w:hanging="792"/>
      </w:pPr>
      <w:rPr>
        <w:rFonts w:ascii="Times New Roman" w:hAnsi="Times New Roman" w:cs="Times New Roman" w:hint="default"/>
        <w:b/>
        <w:sz w:val="28"/>
        <w:szCs w:val="28"/>
      </w:rPr>
    </w:lvl>
    <w:lvl w:ilvl="2">
      <w:start w:val="16"/>
      <w:numFmt w:val="decimal"/>
      <w:lvlText w:val="%1.%2.%3."/>
      <w:lvlJc w:val="left"/>
      <w:pPr>
        <w:ind w:left="1218" w:hanging="792"/>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41" w15:restartNumberingAfterBreak="0">
    <w:nsid w:val="6E4A56FF"/>
    <w:multiLevelType w:val="hybridMultilevel"/>
    <w:tmpl w:val="4B7C5ED0"/>
    <w:lvl w:ilvl="0" w:tplc="04090001">
      <w:start w:val="3"/>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0140C"/>
    <w:multiLevelType w:val="hybridMultilevel"/>
    <w:tmpl w:val="82740A00"/>
    <w:lvl w:ilvl="0" w:tplc="4D3C6044">
      <w:numFmt w:val="bullet"/>
      <w:lvlText w:val="-"/>
      <w:lvlJc w:val="left"/>
      <w:pPr>
        <w:ind w:left="672" w:hanging="360"/>
      </w:pPr>
      <w:rPr>
        <w:rFonts w:ascii="Times New Roman" w:eastAsia="Times New Roman" w:hAnsi="Times New Roman" w:cs="Times New Roman"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43" w15:restartNumberingAfterBreak="0">
    <w:nsid w:val="72A86A46"/>
    <w:multiLevelType w:val="hybridMultilevel"/>
    <w:tmpl w:val="8DC4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25CCA"/>
    <w:multiLevelType w:val="hybridMultilevel"/>
    <w:tmpl w:val="A168C3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62CA6"/>
    <w:multiLevelType w:val="hybridMultilevel"/>
    <w:tmpl w:val="8DD22F78"/>
    <w:lvl w:ilvl="0" w:tplc="762289E2">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8666A3"/>
    <w:multiLevelType w:val="multilevel"/>
    <w:tmpl w:val="6BA63548"/>
    <w:lvl w:ilvl="0">
      <w:start w:val="2"/>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7" w15:restartNumberingAfterBreak="0">
    <w:nsid w:val="78454A0B"/>
    <w:multiLevelType w:val="multilevel"/>
    <w:tmpl w:val="730CFE46"/>
    <w:lvl w:ilvl="0">
      <w:start w:val="3"/>
      <w:numFmt w:val="decimal"/>
      <w:lvlText w:val="%1."/>
      <w:lvlJc w:val="left"/>
      <w:pPr>
        <w:ind w:left="648" w:hanging="648"/>
      </w:pPr>
      <w:rPr>
        <w:rFonts w:ascii="Times New Roman" w:hAnsi="Times New Roman" w:hint="default"/>
        <w:b/>
        <w:color w:val="auto"/>
        <w:sz w:val="28"/>
      </w:rPr>
    </w:lvl>
    <w:lvl w:ilvl="1">
      <w:start w:val="3"/>
      <w:numFmt w:val="decimal"/>
      <w:lvlText w:val="%1.%2."/>
      <w:lvlJc w:val="left"/>
      <w:pPr>
        <w:ind w:left="648" w:hanging="648"/>
      </w:pPr>
      <w:rPr>
        <w:rFonts w:ascii="Times New Roman" w:hAnsi="Times New Roman" w:hint="default"/>
        <w:b/>
        <w:color w:val="auto"/>
        <w:sz w:val="28"/>
      </w:rPr>
    </w:lvl>
    <w:lvl w:ilvl="2">
      <w:start w:val="1"/>
      <w:numFmt w:val="decimal"/>
      <w:lvlText w:val="%1.%2.%3."/>
      <w:lvlJc w:val="left"/>
      <w:pPr>
        <w:ind w:left="720" w:hanging="720"/>
      </w:pPr>
      <w:rPr>
        <w:rFonts w:ascii="Times New Roman" w:hAnsi="Times New Roman" w:hint="default"/>
        <w:b/>
        <w:color w:val="auto"/>
        <w:sz w:val="28"/>
      </w:rPr>
    </w:lvl>
    <w:lvl w:ilvl="3">
      <w:start w:val="1"/>
      <w:numFmt w:val="decimal"/>
      <w:lvlText w:val="%1.%2.%3.%4."/>
      <w:lvlJc w:val="left"/>
      <w:pPr>
        <w:ind w:left="720" w:hanging="720"/>
      </w:pPr>
      <w:rPr>
        <w:rFonts w:ascii="Times New Roman" w:hAnsi="Times New Roman" w:hint="default"/>
        <w:b/>
        <w:color w:val="auto"/>
        <w:sz w:val="28"/>
      </w:rPr>
    </w:lvl>
    <w:lvl w:ilvl="4">
      <w:start w:val="1"/>
      <w:numFmt w:val="decimal"/>
      <w:lvlText w:val="%1.%2.%3.%4.%5."/>
      <w:lvlJc w:val="left"/>
      <w:pPr>
        <w:ind w:left="1080" w:hanging="1080"/>
      </w:pPr>
      <w:rPr>
        <w:rFonts w:ascii="Times New Roman" w:hAnsi="Times New Roman" w:hint="default"/>
        <w:b/>
        <w:color w:val="auto"/>
        <w:sz w:val="28"/>
      </w:rPr>
    </w:lvl>
    <w:lvl w:ilvl="5">
      <w:start w:val="1"/>
      <w:numFmt w:val="decimal"/>
      <w:lvlText w:val="%1.%2.%3.%4.%5.%6."/>
      <w:lvlJc w:val="left"/>
      <w:pPr>
        <w:ind w:left="1080" w:hanging="1080"/>
      </w:pPr>
      <w:rPr>
        <w:rFonts w:ascii="Times New Roman" w:hAnsi="Times New Roman" w:hint="default"/>
        <w:b/>
        <w:color w:val="auto"/>
        <w:sz w:val="28"/>
      </w:rPr>
    </w:lvl>
    <w:lvl w:ilvl="6">
      <w:start w:val="1"/>
      <w:numFmt w:val="decimal"/>
      <w:lvlText w:val="%1.%2.%3.%4.%5.%6.%7."/>
      <w:lvlJc w:val="left"/>
      <w:pPr>
        <w:ind w:left="1440" w:hanging="1440"/>
      </w:pPr>
      <w:rPr>
        <w:rFonts w:ascii="Times New Roman" w:hAnsi="Times New Roman" w:hint="default"/>
        <w:b/>
        <w:color w:val="auto"/>
        <w:sz w:val="28"/>
      </w:rPr>
    </w:lvl>
    <w:lvl w:ilvl="7">
      <w:start w:val="1"/>
      <w:numFmt w:val="decimal"/>
      <w:lvlText w:val="%1.%2.%3.%4.%5.%6.%7.%8."/>
      <w:lvlJc w:val="left"/>
      <w:pPr>
        <w:ind w:left="1440" w:hanging="1440"/>
      </w:pPr>
      <w:rPr>
        <w:rFonts w:ascii="Times New Roman" w:hAnsi="Times New Roman" w:hint="default"/>
        <w:b/>
        <w:color w:val="auto"/>
        <w:sz w:val="28"/>
      </w:rPr>
    </w:lvl>
    <w:lvl w:ilvl="8">
      <w:start w:val="1"/>
      <w:numFmt w:val="decimal"/>
      <w:lvlText w:val="%1.%2.%3.%4.%5.%6.%7.%8.%9."/>
      <w:lvlJc w:val="left"/>
      <w:pPr>
        <w:ind w:left="1800" w:hanging="1800"/>
      </w:pPr>
      <w:rPr>
        <w:rFonts w:ascii="Times New Roman" w:hAnsi="Times New Roman" w:hint="default"/>
        <w:b/>
        <w:color w:val="auto"/>
        <w:sz w:val="28"/>
      </w:rPr>
    </w:lvl>
  </w:abstractNum>
  <w:num w:numId="1">
    <w:abstractNumId w:val="4"/>
  </w:num>
  <w:num w:numId="2">
    <w:abstractNumId w:val="24"/>
  </w:num>
  <w:num w:numId="3">
    <w:abstractNumId w:val="17"/>
  </w:num>
  <w:num w:numId="4">
    <w:abstractNumId w:val="20"/>
  </w:num>
  <w:num w:numId="5">
    <w:abstractNumId w:val="18"/>
  </w:num>
  <w:num w:numId="6">
    <w:abstractNumId w:val="16"/>
  </w:num>
  <w:num w:numId="7">
    <w:abstractNumId w:val="46"/>
  </w:num>
  <w:num w:numId="8">
    <w:abstractNumId w:val="12"/>
  </w:num>
  <w:num w:numId="9">
    <w:abstractNumId w:val="37"/>
  </w:num>
  <w:num w:numId="10">
    <w:abstractNumId w:val="15"/>
  </w:num>
  <w:num w:numId="11">
    <w:abstractNumId w:val="8"/>
  </w:num>
  <w:num w:numId="12">
    <w:abstractNumId w:val="0"/>
  </w:num>
  <w:num w:numId="13">
    <w:abstractNumId w:val="43"/>
  </w:num>
  <w:num w:numId="14">
    <w:abstractNumId w:val="13"/>
  </w:num>
  <w:num w:numId="15">
    <w:abstractNumId w:val="31"/>
  </w:num>
  <w:num w:numId="16">
    <w:abstractNumId w:val="1"/>
  </w:num>
  <w:num w:numId="17">
    <w:abstractNumId w:val="25"/>
  </w:num>
  <w:num w:numId="18">
    <w:abstractNumId w:val="19"/>
  </w:num>
  <w:num w:numId="19">
    <w:abstractNumId w:val="29"/>
  </w:num>
  <w:num w:numId="20">
    <w:abstractNumId w:val="22"/>
  </w:num>
  <w:num w:numId="21">
    <w:abstractNumId w:val="9"/>
  </w:num>
  <w:num w:numId="22">
    <w:abstractNumId w:val="34"/>
  </w:num>
  <w:num w:numId="23">
    <w:abstractNumId w:val="39"/>
  </w:num>
  <w:num w:numId="24">
    <w:abstractNumId w:val="2"/>
  </w:num>
  <w:num w:numId="25">
    <w:abstractNumId w:val="23"/>
  </w:num>
  <w:num w:numId="26">
    <w:abstractNumId w:val="21"/>
  </w:num>
  <w:num w:numId="27">
    <w:abstractNumId w:val="11"/>
  </w:num>
  <w:num w:numId="28">
    <w:abstractNumId w:val="38"/>
  </w:num>
  <w:num w:numId="29">
    <w:abstractNumId w:val="10"/>
  </w:num>
  <w:num w:numId="30">
    <w:abstractNumId w:val="32"/>
  </w:num>
  <w:num w:numId="31">
    <w:abstractNumId w:val="42"/>
  </w:num>
  <w:num w:numId="32">
    <w:abstractNumId w:val="44"/>
  </w:num>
  <w:num w:numId="33">
    <w:abstractNumId w:val="41"/>
  </w:num>
  <w:num w:numId="34">
    <w:abstractNumId w:val="27"/>
  </w:num>
  <w:num w:numId="35">
    <w:abstractNumId w:val="36"/>
  </w:num>
  <w:num w:numId="36">
    <w:abstractNumId w:val="30"/>
  </w:num>
  <w:num w:numId="37">
    <w:abstractNumId w:val="14"/>
  </w:num>
  <w:num w:numId="38">
    <w:abstractNumId w:val="45"/>
  </w:num>
  <w:num w:numId="39">
    <w:abstractNumId w:val="47"/>
  </w:num>
  <w:num w:numId="40">
    <w:abstractNumId w:val="40"/>
  </w:num>
  <w:num w:numId="41">
    <w:abstractNumId w:val="7"/>
  </w:num>
  <w:num w:numId="42">
    <w:abstractNumId w:val="6"/>
  </w:num>
  <w:num w:numId="43">
    <w:abstractNumId w:val="26"/>
  </w:num>
  <w:num w:numId="44">
    <w:abstractNumId w:val="33"/>
  </w:num>
  <w:num w:numId="45">
    <w:abstractNumId w:val="28"/>
  </w:num>
  <w:num w:numId="46">
    <w:abstractNumId w:val="35"/>
  </w:num>
  <w:num w:numId="47">
    <w:abstractNumId w:val="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71"/>
    <w:rsid w:val="0000150E"/>
    <w:rsid w:val="00001673"/>
    <w:rsid w:val="00004393"/>
    <w:rsid w:val="0000774B"/>
    <w:rsid w:val="00013156"/>
    <w:rsid w:val="00013A9E"/>
    <w:rsid w:val="000159B2"/>
    <w:rsid w:val="00017FF1"/>
    <w:rsid w:val="000204A1"/>
    <w:rsid w:val="00020B86"/>
    <w:rsid w:val="00021783"/>
    <w:rsid w:val="00022168"/>
    <w:rsid w:val="00022598"/>
    <w:rsid w:val="00022D44"/>
    <w:rsid w:val="00024E88"/>
    <w:rsid w:val="00025605"/>
    <w:rsid w:val="00026A7F"/>
    <w:rsid w:val="00027C8F"/>
    <w:rsid w:val="00027CE1"/>
    <w:rsid w:val="00032B58"/>
    <w:rsid w:val="000338CB"/>
    <w:rsid w:val="00033D70"/>
    <w:rsid w:val="00034599"/>
    <w:rsid w:val="00035B2D"/>
    <w:rsid w:val="00035B66"/>
    <w:rsid w:val="00036C24"/>
    <w:rsid w:val="00040078"/>
    <w:rsid w:val="000404AD"/>
    <w:rsid w:val="0004433C"/>
    <w:rsid w:val="0004444E"/>
    <w:rsid w:val="000466D8"/>
    <w:rsid w:val="00050169"/>
    <w:rsid w:val="000527C5"/>
    <w:rsid w:val="0005565B"/>
    <w:rsid w:val="000649D4"/>
    <w:rsid w:val="00066569"/>
    <w:rsid w:val="00067564"/>
    <w:rsid w:val="000706DA"/>
    <w:rsid w:val="00072566"/>
    <w:rsid w:val="00073285"/>
    <w:rsid w:val="00073F18"/>
    <w:rsid w:val="00074C87"/>
    <w:rsid w:val="00075B05"/>
    <w:rsid w:val="000765ED"/>
    <w:rsid w:val="00077096"/>
    <w:rsid w:val="00080151"/>
    <w:rsid w:val="000806F5"/>
    <w:rsid w:val="00082A18"/>
    <w:rsid w:val="00085768"/>
    <w:rsid w:val="00085E7B"/>
    <w:rsid w:val="0008605B"/>
    <w:rsid w:val="000865B3"/>
    <w:rsid w:val="000871C3"/>
    <w:rsid w:val="00087C81"/>
    <w:rsid w:val="000909EF"/>
    <w:rsid w:val="00090CD9"/>
    <w:rsid w:val="00091144"/>
    <w:rsid w:val="00091CF9"/>
    <w:rsid w:val="00092096"/>
    <w:rsid w:val="00092387"/>
    <w:rsid w:val="00092DEB"/>
    <w:rsid w:val="00093F3D"/>
    <w:rsid w:val="000951E1"/>
    <w:rsid w:val="00097764"/>
    <w:rsid w:val="000A1DCB"/>
    <w:rsid w:val="000A24A6"/>
    <w:rsid w:val="000A24B4"/>
    <w:rsid w:val="000A328A"/>
    <w:rsid w:val="000A3BB6"/>
    <w:rsid w:val="000A4790"/>
    <w:rsid w:val="000A67DF"/>
    <w:rsid w:val="000A6AB6"/>
    <w:rsid w:val="000A72DE"/>
    <w:rsid w:val="000B3241"/>
    <w:rsid w:val="000B33C7"/>
    <w:rsid w:val="000B36CE"/>
    <w:rsid w:val="000B408B"/>
    <w:rsid w:val="000B7421"/>
    <w:rsid w:val="000C1E22"/>
    <w:rsid w:val="000C1F71"/>
    <w:rsid w:val="000C3192"/>
    <w:rsid w:val="000C4243"/>
    <w:rsid w:val="000C4520"/>
    <w:rsid w:val="000C48B9"/>
    <w:rsid w:val="000C4AE0"/>
    <w:rsid w:val="000C4B59"/>
    <w:rsid w:val="000C56D0"/>
    <w:rsid w:val="000C6E68"/>
    <w:rsid w:val="000C73A4"/>
    <w:rsid w:val="000C7728"/>
    <w:rsid w:val="000C7E8F"/>
    <w:rsid w:val="000D2D82"/>
    <w:rsid w:val="000D4A07"/>
    <w:rsid w:val="000D4A37"/>
    <w:rsid w:val="000D4B64"/>
    <w:rsid w:val="000D4E70"/>
    <w:rsid w:val="000D6380"/>
    <w:rsid w:val="000D6D93"/>
    <w:rsid w:val="000E0547"/>
    <w:rsid w:val="000E245A"/>
    <w:rsid w:val="000E2FA1"/>
    <w:rsid w:val="000E367C"/>
    <w:rsid w:val="000E4087"/>
    <w:rsid w:val="000E5349"/>
    <w:rsid w:val="000E6BF2"/>
    <w:rsid w:val="000E7727"/>
    <w:rsid w:val="000F05DB"/>
    <w:rsid w:val="000F19B4"/>
    <w:rsid w:val="000F3BB4"/>
    <w:rsid w:val="000F481A"/>
    <w:rsid w:val="000F5BCE"/>
    <w:rsid w:val="000F72F5"/>
    <w:rsid w:val="001010C0"/>
    <w:rsid w:val="00101A26"/>
    <w:rsid w:val="00103026"/>
    <w:rsid w:val="001049AB"/>
    <w:rsid w:val="0010557A"/>
    <w:rsid w:val="001058AF"/>
    <w:rsid w:val="001059C8"/>
    <w:rsid w:val="00106272"/>
    <w:rsid w:val="00110701"/>
    <w:rsid w:val="00110CAF"/>
    <w:rsid w:val="00112902"/>
    <w:rsid w:val="001134DE"/>
    <w:rsid w:val="0011566A"/>
    <w:rsid w:val="00116002"/>
    <w:rsid w:val="0011604F"/>
    <w:rsid w:val="0011621C"/>
    <w:rsid w:val="001162A5"/>
    <w:rsid w:val="00122D71"/>
    <w:rsid w:val="00124E38"/>
    <w:rsid w:val="0012674D"/>
    <w:rsid w:val="0013107E"/>
    <w:rsid w:val="0013239D"/>
    <w:rsid w:val="001324D6"/>
    <w:rsid w:val="001325F5"/>
    <w:rsid w:val="00132974"/>
    <w:rsid w:val="00133208"/>
    <w:rsid w:val="001335EF"/>
    <w:rsid w:val="001360C9"/>
    <w:rsid w:val="001360F9"/>
    <w:rsid w:val="0013691F"/>
    <w:rsid w:val="00144BA0"/>
    <w:rsid w:val="001453D3"/>
    <w:rsid w:val="00145B58"/>
    <w:rsid w:val="0014746D"/>
    <w:rsid w:val="00147B1F"/>
    <w:rsid w:val="00147D08"/>
    <w:rsid w:val="001541CE"/>
    <w:rsid w:val="00154662"/>
    <w:rsid w:val="00154C79"/>
    <w:rsid w:val="00156E8F"/>
    <w:rsid w:val="00157B27"/>
    <w:rsid w:val="00161207"/>
    <w:rsid w:val="001612A3"/>
    <w:rsid w:val="001625FF"/>
    <w:rsid w:val="00164050"/>
    <w:rsid w:val="00165BA1"/>
    <w:rsid w:val="00166D71"/>
    <w:rsid w:val="001709F4"/>
    <w:rsid w:val="001717DC"/>
    <w:rsid w:val="00171DDD"/>
    <w:rsid w:val="0017343B"/>
    <w:rsid w:val="00173664"/>
    <w:rsid w:val="001747F0"/>
    <w:rsid w:val="00174B40"/>
    <w:rsid w:val="0017650D"/>
    <w:rsid w:val="001767F1"/>
    <w:rsid w:val="0017752D"/>
    <w:rsid w:val="00177A51"/>
    <w:rsid w:val="00177C58"/>
    <w:rsid w:val="0018126E"/>
    <w:rsid w:val="00182F8E"/>
    <w:rsid w:val="00183572"/>
    <w:rsid w:val="00184CEA"/>
    <w:rsid w:val="00186388"/>
    <w:rsid w:val="0019024B"/>
    <w:rsid w:val="00191461"/>
    <w:rsid w:val="001A072F"/>
    <w:rsid w:val="001A078D"/>
    <w:rsid w:val="001A1B4D"/>
    <w:rsid w:val="001A2977"/>
    <w:rsid w:val="001A2D07"/>
    <w:rsid w:val="001A3F64"/>
    <w:rsid w:val="001A55E0"/>
    <w:rsid w:val="001A5A59"/>
    <w:rsid w:val="001A7CD0"/>
    <w:rsid w:val="001B010D"/>
    <w:rsid w:val="001B0BDF"/>
    <w:rsid w:val="001B22D5"/>
    <w:rsid w:val="001B27BE"/>
    <w:rsid w:val="001B3577"/>
    <w:rsid w:val="001B50FE"/>
    <w:rsid w:val="001B603D"/>
    <w:rsid w:val="001C0879"/>
    <w:rsid w:val="001C109F"/>
    <w:rsid w:val="001C2B62"/>
    <w:rsid w:val="001C3298"/>
    <w:rsid w:val="001C3E59"/>
    <w:rsid w:val="001C76E2"/>
    <w:rsid w:val="001D3FA6"/>
    <w:rsid w:val="001D4180"/>
    <w:rsid w:val="001D5653"/>
    <w:rsid w:val="001D5664"/>
    <w:rsid w:val="001D5FBC"/>
    <w:rsid w:val="001D60DF"/>
    <w:rsid w:val="001D6D4F"/>
    <w:rsid w:val="001D76B3"/>
    <w:rsid w:val="001E0048"/>
    <w:rsid w:val="001E0251"/>
    <w:rsid w:val="001E1086"/>
    <w:rsid w:val="001E1C04"/>
    <w:rsid w:val="001E2416"/>
    <w:rsid w:val="001E2F49"/>
    <w:rsid w:val="001E4BD0"/>
    <w:rsid w:val="001E6616"/>
    <w:rsid w:val="001E69DF"/>
    <w:rsid w:val="001E6C6A"/>
    <w:rsid w:val="001E7502"/>
    <w:rsid w:val="001E7899"/>
    <w:rsid w:val="001F3678"/>
    <w:rsid w:val="001F4A70"/>
    <w:rsid w:val="001F4F9E"/>
    <w:rsid w:val="001F6BAA"/>
    <w:rsid w:val="00201DC6"/>
    <w:rsid w:val="00202406"/>
    <w:rsid w:val="0020474D"/>
    <w:rsid w:val="002047F4"/>
    <w:rsid w:val="00206BCB"/>
    <w:rsid w:val="00206E66"/>
    <w:rsid w:val="002079BD"/>
    <w:rsid w:val="00213A95"/>
    <w:rsid w:val="002143A4"/>
    <w:rsid w:val="00221277"/>
    <w:rsid w:val="00222EC5"/>
    <w:rsid w:val="00223DFE"/>
    <w:rsid w:val="002242E2"/>
    <w:rsid w:val="00226E64"/>
    <w:rsid w:val="002275ED"/>
    <w:rsid w:val="00227869"/>
    <w:rsid w:val="00232BCC"/>
    <w:rsid w:val="002344EF"/>
    <w:rsid w:val="00235091"/>
    <w:rsid w:val="0023527F"/>
    <w:rsid w:val="00235BA8"/>
    <w:rsid w:val="00240EC5"/>
    <w:rsid w:val="0024129E"/>
    <w:rsid w:val="00242841"/>
    <w:rsid w:val="002434B7"/>
    <w:rsid w:val="0024355F"/>
    <w:rsid w:val="00243B87"/>
    <w:rsid w:val="0024443F"/>
    <w:rsid w:val="0024528C"/>
    <w:rsid w:val="00247611"/>
    <w:rsid w:val="00250AFF"/>
    <w:rsid w:val="00253A42"/>
    <w:rsid w:val="00255A9F"/>
    <w:rsid w:val="00255C5C"/>
    <w:rsid w:val="0025648E"/>
    <w:rsid w:val="0025661A"/>
    <w:rsid w:val="00260243"/>
    <w:rsid w:val="002604E3"/>
    <w:rsid w:val="0026117E"/>
    <w:rsid w:val="0026197E"/>
    <w:rsid w:val="00261C19"/>
    <w:rsid w:val="002638E9"/>
    <w:rsid w:val="00263BC8"/>
    <w:rsid w:val="00265C2E"/>
    <w:rsid w:val="00267559"/>
    <w:rsid w:val="00270044"/>
    <w:rsid w:val="002731CC"/>
    <w:rsid w:val="002734D4"/>
    <w:rsid w:val="0027615C"/>
    <w:rsid w:val="00276F11"/>
    <w:rsid w:val="002776FC"/>
    <w:rsid w:val="002777CE"/>
    <w:rsid w:val="00280E71"/>
    <w:rsid w:val="00280FE7"/>
    <w:rsid w:val="0028261C"/>
    <w:rsid w:val="0028331A"/>
    <w:rsid w:val="002838B7"/>
    <w:rsid w:val="00285830"/>
    <w:rsid w:val="00287D59"/>
    <w:rsid w:val="0029009C"/>
    <w:rsid w:val="00292F23"/>
    <w:rsid w:val="00293843"/>
    <w:rsid w:val="002959DB"/>
    <w:rsid w:val="00296DE4"/>
    <w:rsid w:val="00296F4D"/>
    <w:rsid w:val="002A1367"/>
    <w:rsid w:val="002A2E00"/>
    <w:rsid w:val="002A478F"/>
    <w:rsid w:val="002A5E8B"/>
    <w:rsid w:val="002A67D0"/>
    <w:rsid w:val="002A7DF0"/>
    <w:rsid w:val="002A7EEE"/>
    <w:rsid w:val="002B05A1"/>
    <w:rsid w:val="002B0802"/>
    <w:rsid w:val="002B362E"/>
    <w:rsid w:val="002B535F"/>
    <w:rsid w:val="002B6315"/>
    <w:rsid w:val="002B7287"/>
    <w:rsid w:val="002C07EC"/>
    <w:rsid w:val="002C2904"/>
    <w:rsid w:val="002C336A"/>
    <w:rsid w:val="002C4C29"/>
    <w:rsid w:val="002C558C"/>
    <w:rsid w:val="002C6489"/>
    <w:rsid w:val="002C777E"/>
    <w:rsid w:val="002D0380"/>
    <w:rsid w:val="002D0D0D"/>
    <w:rsid w:val="002D437F"/>
    <w:rsid w:val="002D4E5B"/>
    <w:rsid w:val="002D5ADC"/>
    <w:rsid w:val="002D7E9A"/>
    <w:rsid w:val="002E1058"/>
    <w:rsid w:val="002E16A7"/>
    <w:rsid w:val="002E1D44"/>
    <w:rsid w:val="002E2369"/>
    <w:rsid w:val="002E4AB6"/>
    <w:rsid w:val="002E5BCF"/>
    <w:rsid w:val="002E6726"/>
    <w:rsid w:val="002E7169"/>
    <w:rsid w:val="002E7C96"/>
    <w:rsid w:val="002F54FC"/>
    <w:rsid w:val="003001F6"/>
    <w:rsid w:val="00300862"/>
    <w:rsid w:val="00301CF1"/>
    <w:rsid w:val="00303436"/>
    <w:rsid w:val="00303963"/>
    <w:rsid w:val="003046F5"/>
    <w:rsid w:val="00306618"/>
    <w:rsid w:val="00307F73"/>
    <w:rsid w:val="00310885"/>
    <w:rsid w:val="00312DBE"/>
    <w:rsid w:val="00313B4E"/>
    <w:rsid w:val="00313D37"/>
    <w:rsid w:val="00315046"/>
    <w:rsid w:val="00316E49"/>
    <w:rsid w:val="00317DEE"/>
    <w:rsid w:val="003202D0"/>
    <w:rsid w:val="00322ECD"/>
    <w:rsid w:val="00323B58"/>
    <w:rsid w:val="00326E50"/>
    <w:rsid w:val="00327790"/>
    <w:rsid w:val="0033075D"/>
    <w:rsid w:val="00332457"/>
    <w:rsid w:val="00332999"/>
    <w:rsid w:val="00333429"/>
    <w:rsid w:val="0033409C"/>
    <w:rsid w:val="00335C97"/>
    <w:rsid w:val="00336987"/>
    <w:rsid w:val="00336EF9"/>
    <w:rsid w:val="0033792B"/>
    <w:rsid w:val="00337ED8"/>
    <w:rsid w:val="00340ADB"/>
    <w:rsid w:val="00340B40"/>
    <w:rsid w:val="00341568"/>
    <w:rsid w:val="00342043"/>
    <w:rsid w:val="00342442"/>
    <w:rsid w:val="0034421C"/>
    <w:rsid w:val="003452DE"/>
    <w:rsid w:val="003476E6"/>
    <w:rsid w:val="00351005"/>
    <w:rsid w:val="00351CD4"/>
    <w:rsid w:val="003520AD"/>
    <w:rsid w:val="0035410E"/>
    <w:rsid w:val="00355068"/>
    <w:rsid w:val="00355105"/>
    <w:rsid w:val="003569F8"/>
    <w:rsid w:val="00356E99"/>
    <w:rsid w:val="003578A4"/>
    <w:rsid w:val="00360CD2"/>
    <w:rsid w:val="00361583"/>
    <w:rsid w:val="003632B0"/>
    <w:rsid w:val="00363FC4"/>
    <w:rsid w:val="00367425"/>
    <w:rsid w:val="0037028A"/>
    <w:rsid w:val="003705D1"/>
    <w:rsid w:val="003713E0"/>
    <w:rsid w:val="003719FF"/>
    <w:rsid w:val="00371BEA"/>
    <w:rsid w:val="00373EBD"/>
    <w:rsid w:val="003742BF"/>
    <w:rsid w:val="0037481D"/>
    <w:rsid w:val="00376854"/>
    <w:rsid w:val="00377875"/>
    <w:rsid w:val="00380D1D"/>
    <w:rsid w:val="00382CD1"/>
    <w:rsid w:val="00384876"/>
    <w:rsid w:val="00385A8D"/>
    <w:rsid w:val="00385EBB"/>
    <w:rsid w:val="0038689C"/>
    <w:rsid w:val="00386F79"/>
    <w:rsid w:val="00390D46"/>
    <w:rsid w:val="00391F3E"/>
    <w:rsid w:val="00394B59"/>
    <w:rsid w:val="003967DD"/>
    <w:rsid w:val="003A32FC"/>
    <w:rsid w:val="003A36E4"/>
    <w:rsid w:val="003A4C23"/>
    <w:rsid w:val="003A4C5A"/>
    <w:rsid w:val="003A4CF5"/>
    <w:rsid w:val="003A4E32"/>
    <w:rsid w:val="003A4F65"/>
    <w:rsid w:val="003A5D8E"/>
    <w:rsid w:val="003A7BD8"/>
    <w:rsid w:val="003B0553"/>
    <w:rsid w:val="003B0A0F"/>
    <w:rsid w:val="003B0BA0"/>
    <w:rsid w:val="003B4EBD"/>
    <w:rsid w:val="003B77B5"/>
    <w:rsid w:val="003C0EA3"/>
    <w:rsid w:val="003C117A"/>
    <w:rsid w:val="003C160B"/>
    <w:rsid w:val="003C19DF"/>
    <w:rsid w:val="003C5175"/>
    <w:rsid w:val="003C5FCC"/>
    <w:rsid w:val="003C73FC"/>
    <w:rsid w:val="003D17A7"/>
    <w:rsid w:val="003D1B15"/>
    <w:rsid w:val="003D32FF"/>
    <w:rsid w:val="003D41A8"/>
    <w:rsid w:val="003D4C0A"/>
    <w:rsid w:val="003D52E6"/>
    <w:rsid w:val="003D5C2A"/>
    <w:rsid w:val="003D607D"/>
    <w:rsid w:val="003D6636"/>
    <w:rsid w:val="003D6A8C"/>
    <w:rsid w:val="003E10D4"/>
    <w:rsid w:val="003E1382"/>
    <w:rsid w:val="003E1AFE"/>
    <w:rsid w:val="003E571D"/>
    <w:rsid w:val="003E5C4C"/>
    <w:rsid w:val="003E6093"/>
    <w:rsid w:val="003E770B"/>
    <w:rsid w:val="003F043C"/>
    <w:rsid w:val="003F0607"/>
    <w:rsid w:val="003F0D63"/>
    <w:rsid w:val="003F1130"/>
    <w:rsid w:val="003F34F8"/>
    <w:rsid w:val="003F3A20"/>
    <w:rsid w:val="003F50AD"/>
    <w:rsid w:val="003F59C1"/>
    <w:rsid w:val="003F6C9C"/>
    <w:rsid w:val="0040149C"/>
    <w:rsid w:val="0040251A"/>
    <w:rsid w:val="00403604"/>
    <w:rsid w:val="00403AA7"/>
    <w:rsid w:val="00404730"/>
    <w:rsid w:val="00404E0F"/>
    <w:rsid w:val="0040740A"/>
    <w:rsid w:val="00411FAE"/>
    <w:rsid w:val="00413AD9"/>
    <w:rsid w:val="004143AF"/>
    <w:rsid w:val="00414CF0"/>
    <w:rsid w:val="004150E3"/>
    <w:rsid w:val="00415EA6"/>
    <w:rsid w:val="00417590"/>
    <w:rsid w:val="004211F8"/>
    <w:rsid w:val="00421846"/>
    <w:rsid w:val="00422923"/>
    <w:rsid w:val="004241FE"/>
    <w:rsid w:val="00424FF7"/>
    <w:rsid w:val="004250E4"/>
    <w:rsid w:val="00425587"/>
    <w:rsid w:val="00426513"/>
    <w:rsid w:val="00426B6B"/>
    <w:rsid w:val="00427608"/>
    <w:rsid w:val="004322D6"/>
    <w:rsid w:val="00432337"/>
    <w:rsid w:val="0043693A"/>
    <w:rsid w:val="00441334"/>
    <w:rsid w:val="00441A6E"/>
    <w:rsid w:val="004425C9"/>
    <w:rsid w:val="0044385C"/>
    <w:rsid w:val="00443969"/>
    <w:rsid w:val="004467E5"/>
    <w:rsid w:val="004472AB"/>
    <w:rsid w:val="004501BA"/>
    <w:rsid w:val="004516AB"/>
    <w:rsid w:val="0045177C"/>
    <w:rsid w:val="00452966"/>
    <w:rsid w:val="00455178"/>
    <w:rsid w:val="0045570E"/>
    <w:rsid w:val="00456DC5"/>
    <w:rsid w:val="004570EB"/>
    <w:rsid w:val="00457561"/>
    <w:rsid w:val="0045762E"/>
    <w:rsid w:val="00457C32"/>
    <w:rsid w:val="004608A0"/>
    <w:rsid w:val="004613BF"/>
    <w:rsid w:val="004614F2"/>
    <w:rsid w:val="00463D1A"/>
    <w:rsid w:val="004644A1"/>
    <w:rsid w:val="0046575F"/>
    <w:rsid w:val="00465D1E"/>
    <w:rsid w:val="00465F76"/>
    <w:rsid w:val="00466C72"/>
    <w:rsid w:val="00470E82"/>
    <w:rsid w:val="004716C2"/>
    <w:rsid w:val="00474C23"/>
    <w:rsid w:val="00476DA6"/>
    <w:rsid w:val="004807A8"/>
    <w:rsid w:val="00481101"/>
    <w:rsid w:val="00482114"/>
    <w:rsid w:val="004837AB"/>
    <w:rsid w:val="004847CB"/>
    <w:rsid w:val="00485304"/>
    <w:rsid w:val="00486990"/>
    <w:rsid w:val="00487478"/>
    <w:rsid w:val="00490475"/>
    <w:rsid w:val="00490AB1"/>
    <w:rsid w:val="0049196D"/>
    <w:rsid w:val="00493317"/>
    <w:rsid w:val="00495B4C"/>
    <w:rsid w:val="004966C4"/>
    <w:rsid w:val="004A181B"/>
    <w:rsid w:val="004A2038"/>
    <w:rsid w:val="004A2232"/>
    <w:rsid w:val="004A36A1"/>
    <w:rsid w:val="004A4FEE"/>
    <w:rsid w:val="004A5A44"/>
    <w:rsid w:val="004A6980"/>
    <w:rsid w:val="004A744B"/>
    <w:rsid w:val="004A7AC0"/>
    <w:rsid w:val="004B0DE9"/>
    <w:rsid w:val="004B250E"/>
    <w:rsid w:val="004B605C"/>
    <w:rsid w:val="004C033A"/>
    <w:rsid w:val="004C1654"/>
    <w:rsid w:val="004C2D5A"/>
    <w:rsid w:val="004C3945"/>
    <w:rsid w:val="004C3D4C"/>
    <w:rsid w:val="004C5548"/>
    <w:rsid w:val="004D01B4"/>
    <w:rsid w:val="004D099B"/>
    <w:rsid w:val="004D1CD0"/>
    <w:rsid w:val="004D2218"/>
    <w:rsid w:val="004D36C7"/>
    <w:rsid w:val="004D6CAF"/>
    <w:rsid w:val="004D7077"/>
    <w:rsid w:val="004E0265"/>
    <w:rsid w:val="004E0BFA"/>
    <w:rsid w:val="004E1897"/>
    <w:rsid w:val="004E1933"/>
    <w:rsid w:val="004E2CB3"/>
    <w:rsid w:val="004E301B"/>
    <w:rsid w:val="004E3EC5"/>
    <w:rsid w:val="004E4215"/>
    <w:rsid w:val="004F0F5A"/>
    <w:rsid w:val="004F1DEA"/>
    <w:rsid w:val="004F2A35"/>
    <w:rsid w:val="004F2E7D"/>
    <w:rsid w:val="004F4C8C"/>
    <w:rsid w:val="004F4F72"/>
    <w:rsid w:val="004F6089"/>
    <w:rsid w:val="004F6200"/>
    <w:rsid w:val="00500376"/>
    <w:rsid w:val="00500E12"/>
    <w:rsid w:val="00502156"/>
    <w:rsid w:val="00503609"/>
    <w:rsid w:val="00505388"/>
    <w:rsid w:val="00505827"/>
    <w:rsid w:val="00507E2D"/>
    <w:rsid w:val="00511FB0"/>
    <w:rsid w:val="00513FC1"/>
    <w:rsid w:val="0051532E"/>
    <w:rsid w:val="005176C9"/>
    <w:rsid w:val="0052081D"/>
    <w:rsid w:val="0052092F"/>
    <w:rsid w:val="00522D29"/>
    <w:rsid w:val="00523B1E"/>
    <w:rsid w:val="005258B2"/>
    <w:rsid w:val="0053281D"/>
    <w:rsid w:val="00532A45"/>
    <w:rsid w:val="0053331A"/>
    <w:rsid w:val="005418E9"/>
    <w:rsid w:val="00542C31"/>
    <w:rsid w:val="005433B7"/>
    <w:rsid w:val="00543506"/>
    <w:rsid w:val="005463EA"/>
    <w:rsid w:val="005466EC"/>
    <w:rsid w:val="00547D08"/>
    <w:rsid w:val="00547D33"/>
    <w:rsid w:val="005516DF"/>
    <w:rsid w:val="005517A7"/>
    <w:rsid w:val="005527B4"/>
    <w:rsid w:val="0055344B"/>
    <w:rsid w:val="0055448C"/>
    <w:rsid w:val="005559DF"/>
    <w:rsid w:val="00555A16"/>
    <w:rsid w:val="0056196B"/>
    <w:rsid w:val="005621D3"/>
    <w:rsid w:val="00564257"/>
    <w:rsid w:val="0056425A"/>
    <w:rsid w:val="005648C9"/>
    <w:rsid w:val="00564A73"/>
    <w:rsid w:val="00565CFC"/>
    <w:rsid w:val="00566210"/>
    <w:rsid w:val="0056702D"/>
    <w:rsid w:val="005672FF"/>
    <w:rsid w:val="00567A8B"/>
    <w:rsid w:val="00573075"/>
    <w:rsid w:val="00573C26"/>
    <w:rsid w:val="005760FA"/>
    <w:rsid w:val="00576CBE"/>
    <w:rsid w:val="005801A2"/>
    <w:rsid w:val="00582124"/>
    <w:rsid w:val="00582836"/>
    <w:rsid w:val="00584E3D"/>
    <w:rsid w:val="005854C0"/>
    <w:rsid w:val="0058675F"/>
    <w:rsid w:val="00590217"/>
    <w:rsid w:val="005905F1"/>
    <w:rsid w:val="00590854"/>
    <w:rsid w:val="005910A4"/>
    <w:rsid w:val="00591536"/>
    <w:rsid w:val="0059175C"/>
    <w:rsid w:val="00591793"/>
    <w:rsid w:val="00591D7A"/>
    <w:rsid w:val="00593842"/>
    <w:rsid w:val="00593C4E"/>
    <w:rsid w:val="005953E8"/>
    <w:rsid w:val="00595F5E"/>
    <w:rsid w:val="00596F3F"/>
    <w:rsid w:val="0059777E"/>
    <w:rsid w:val="005A4038"/>
    <w:rsid w:val="005A5562"/>
    <w:rsid w:val="005B08F7"/>
    <w:rsid w:val="005B1023"/>
    <w:rsid w:val="005B3D9C"/>
    <w:rsid w:val="005B563B"/>
    <w:rsid w:val="005B64CD"/>
    <w:rsid w:val="005C1133"/>
    <w:rsid w:val="005C1DBE"/>
    <w:rsid w:val="005C3810"/>
    <w:rsid w:val="005C3E3F"/>
    <w:rsid w:val="005C421B"/>
    <w:rsid w:val="005C44B0"/>
    <w:rsid w:val="005C49EE"/>
    <w:rsid w:val="005C6D6C"/>
    <w:rsid w:val="005D2329"/>
    <w:rsid w:val="005D5172"/>
    <w:rsid w:val="005D680E"/>
    <w:rsid w:val="005D69A1"/>
    <w:rsid w:val="005E02BD"/>
    <w:rsid w:val="005E21EF"/>
    <w:rsid w:val="005E296B"/>
    <w:rsid w:val="005E2BAE"/>
    <w:rsid w:val="005E5E65"/>
    <w:rsid w:val="005E692F"/>
    <w:rsid w:val="005E77EE"/>
    <w:rsid w:val="005F0163"/>
    <w:rsid w:val="005F1CDA"/>
    <w:rsid w:val="005F3702"/>
    <w:rsid w:val="005F4773"/>
    <w:rsid w:val="005F5F20"/>
    <w:rsid w:val="005F635D"/>
    <w:rsid w:val="0060059B"/>
    <w:rsid w:val="006020D3"/>
    <w:rsid w:val="0060274A"/>
    <w:rsid w:val="00605298"/>
    <w:rsid w:val="006064EE"/>
    <w:rsid w:val="006069A3"/>
    <w:rsid w:val="00607633"/>
    <w:rsid w:val="00607E27"/>
    <w:rsid w:val="00610DDB"/>
    <w:rsid w:val="0061267F"/>
    <w:rsid w:val="00612E2F"/>
    <w:rsid w:val="00613D58"/>
    <w:rsid w:val="00615783"/>
    <w:rsid w:val="00616F70"/>
    <w:rsid w:val="00617826"/>
    <w:rsid w:val="0062161D"/>
    <w:rsid w:val="00621A57"/>
    <w:rsid w:val="00623237"/>
    <w:rsid w:val="00624329"/>
    <w:rsid w:val="006248B3"/>
    <w:rsid w:val="00624BC2"/>
    <w:rsid w:val="00625FAD"/>
    <w:rsid w:val="006263E9"/>
    <w:rsid w:val="00633EAF"/>
    <w:rsid w:val="00637B82"/>
    <w:rsid w:val="0064031E"/>
    <w:rsid w:val="006418D0"/>
    <w:rsid w:val="00642B37"/>
    <w:rsid w:val="00645217"/>
    <w:rsid w:val="00645A49"/>
    <w:rsid w:val="0064710E"/>
    <w:rsid w:val="006473D2"/>
    <w:rsid w:val="006514F2"/>
    <w:rsid w:val="00652EE6"/>
    <w:rsid w:val="0065391C"/>
    <w:rsid w:val="00655F09"/>
    <w:rsid w:val="0065688D"/>
    <w:rsid w:val="00657E5E"/>
    <w:rsid w:val="006608FF"/>
    <w:rsid w:val="00662B80"/>
    <w:rsid w:val="00666ADF"/>
    <w:rsid w:val="00666E8D"/>
    <w:rsid w:val="00667527"/>
    <w:rsid w:val="00667F68"/>
    <w:rsid w:val="006701D6"/>
    <w:rsid w:val="00672AD5"/>
    <w:rsid w:val="006733BE"/>
    <w:rsid w:val="006755EF"/>
    <w:rsid w:val="00675FC1"/>
    <w:rsid w:val="006769E8"/>
    <w:rsid w:val="0068224B"/>
    <w:rsid w:val="00683E21"/>
    <w:rsid w:val="0069118B"/>
    <w:rsid w:val="006913E2"/>
    <w:rsid w:val="00692962"/>
    <w:rsid w:val="00693E41"/>
    <w:rsid w:val="006947E3"/>
    <w:rsid w:val="00694A94"/>
    <w:rsid w:val="006A4647"/>
    <w:rsid w:val="006A55DF"/>
    <w:rsid w:val="006A6CFA"/>
    <w:rsid w:val="006B2E2A"/>
    <w:rsid w:val="006B3D5E"/>
    <w:rsid w:val="006C0B2C"/>
    <w:rsid w:val="006C319A"/>
    <w:rsid w:val="006C37E9"/>
    <w:rsid w:val="006C4059"/>
    <w:rsid w:val="006C4FEA"/>
    <w:rsid w:val="006C6A2A"/>
    <w:rsid w:val="006C6FB3"/>
    <w:rsid w:val="006C76B9"/>
    <w:rsid w:val="006D0502"/>
    <w:rsid w:val="006D07C7"/>
    <w:rsid w:val="006D0F16"/>
    <w:rsid w:val="006D130B"/>
    <w:rsid w:val="006D1445"/>
    <w:rsid w:val="006D1717"/>
    <w:rsid w:val="006D1AB2"/>
    <w:rsid w:val="006D21EF"/>
    <w:rsid w:val="006D4289"/>
    <w:rsid w:val="006D56B3"/>
    <w:rsid w:val="006D6A2E"/>
    <w:rsid w:val="006D7BBF"/>
    <w:rsid w:val="006E29A1"/>
    <w:rsid w:val="006E2EF6"/>
    <w:rsid w:val="006E3DE0"/>
    <w:rsid w:val="006E4771"/>
    <w:rsid w:val="006E7540"/>
    <w:rsid w:val="006E7E17"/>
    <w:rsid w:val="006F2253"/>
    <w:rsid w:val="006F32A5"/>
    <w:rsid w:val="006F3C71"/>
    <w:rsid w:val="006F4148"/>
    <w:rsid w:val="006F47FC"/>
    <w:rsid w:val="006F4C39"/>
    <w:rsid w:val="006F5A0A"/>
    <w:rsid w:val="006F7F94"/>
    <w:rsid w:val="0070006F"/>
    <w:rsid w:val="007002B9"/>
    <w:rsid w:val="0070130C"/>
    <w:rsid w:val="007018C9"/>
    <w:rsid w:val="00702E11"/>
    <w:rsid w:val="007030E0"/>
    <w:rsid w:val="00703122"/>
    <w:rsid w:val="007055DE"/>
    <w:rsid w:val="0070665E"/>
    <w:rsid w:val="007101F2"/>
    <w:rsid w:val="00711D70"/>
    <w:rsid w:val="007124FB"/>
    <w:rsid w:val="0072012E"/>
    <w:rsid w:val="00720344"/>
    <w:rsid w:val="0072168F"/>
    <w:rsid w:val="00724EB9"/>
    <w:rsid w:val="007257D3"/>
    <w:rsid w:val="00731AED"/>
    <w:rsid w:val="00732ABC"/>
    <w:rsid w:val="00734E2D"/>
    <w:rsid w:val="007365F2"/>
    <w:rsid w:val="00737A3A"/>
    <w:rsid w:val="0074550D"/>
    <w:rsid w:val="00745AB3"/>
    <w:rsid w:val="0074618B"/>
    <w:rsid w:val="0074654E"/>
    <w:rsid w:val="007476E3"/>
    <w:rsid w:val="00751466"/>
    <w:rsid w:val="00751DE6"/>
    <w:rsid w:val="00753D17"/>
    <w:rsid w:val="00754482"/>
    <w:rsid w:val="0075461A"/>
    <w:rsid w:val="00754A71"/>
    <w:rsid w:val="00754A8C"/>
    <w:rsid w:val="007559C0"/>
    <w:rsid w:val="007563AB"/>
    <w:rsid w:val="007578DC"/>
    <w:rsid w:val="00760DFA"/>
    <w:rsid w:val="00761619"/>
    <w:rsid w:val="00762324"/>
    <w:rsid w:val="007630BA"/>
    <w:rsid w:val="00764391"/>
    <w:rsid w:val="00765E37"/>
    <w:rsid w:val="0076623C"/>
    <w:rsid w:val="0076695F"/>
    <w:rsid w:val="0077158C"/>
    <w:rsid w:val="00773647"/>
    <w:rsid w:val="007747DC"/>
    <w:rsid w:val="00775266"/>
    <w:rsid w:val="007802E5"/>
    <w:rsid w:val="00783C9D"/>
    <w:rsid w:val="0078467F"/>
    <w:rsid w:val="00784755"/>
    <w:rsid w:val="00784D5B"/>
    <w:rsid w:val="00787B5B"/>
    <w:rsid w:val="00790E0A"/>
    <w:rsid w:val="007922BF"/>
    <w:rsid w:val="007936FA"/>
    <w:rsid w:val="00794854"/>
    <w:rsid w:val="00794935"/>
    <w:rsid w:val="00795499"/>
    <w:rsid w:val="00795EF5"/>
    <w:rsid w:val="00796F05"/>
    <w:rsid w:val="007A05A3"/>
    <w:rsid w:val="007A12FA"/>
    <w:rsid w:val="007A1525"/>
    <w:rsid w:val="007A3F40"/>
    <w:rsid w:val="007A6103"/>
    <w:rsid w:val="007B03D1"/>
    <w:rsid w:val="007B282D"/>
    <w:rsid w:val="007B3619"/>
    <w:rsid w:val="007B3A36"/>
    <w:rsid w:val="007B416C"/>
    <w:rsid w:val="007B41C9"/>
    <w:rsid w:val="007B508F"/>
    <w:rsid w:val="007B52FF"/>
    <w:rsid w:val="007C00E5"/>
    <w:rsid w:val="007C1935"/>
    <w:rsid w:val="007C3327"/>
    <w:rsid w:val="007C5D3C"/>
    <w:rsid w:val="007D14E3"/>
    <w:rsid w:val="007D2A9C"/>
    <w:rsid w:val="007D449D"/>
    <w:rsid w:val="007D5EF8"/>
    <w:rsid w:val="007D72C9"/>
    <w:rsid w:val="007D759B"/>
    <w:rsid w:val="007E0006"/>
    <w:rsid w:val="007E10B9"/>
    <w:rsid w:val="007E3E76"/>
    <w:rsid w:val="007E681C"/>
    <w:rsid w:val="007E6A12"/>
    <w:rsid w:val="007F4551"/>
    <w:rsid w:val="007F4B21"/>
    <w:rsid w:val="007F63FC"/>
    <w:rsid w:val="007F7A0B"/>
    <w:rsid w:val="00802181"/>
    <w:rsid w:val="00802EDF"/>
    <w:rsid w:val="0080344C"/>
    <w:rsid w:val="00803F95"/>
    <w:rsid w:val="00804518"/>
    <w:rsid w:val="00804979"/>
    <w:rsid w:val="00804FAF"/>
    <w:rsid w:val="008051B1"/>
    <w:rsid w:val="00805A83"/>
    <w:rsid w:val="00805E88"/>
    <w:rsid w:val="0080644A"/>
    <w:rsid w:val="008068C1"/>
    <w:rsid w:val="00807030"/>
    <w:rsid w:val="00807404"/>
    <w:rsid w:val="00813DB7"/>
    <w:rsid w:val="00814ED3"/>
    <w:rsid w:val="0082326F"/>
    <w:rsid w:val="00824256"/>
    <w:rsid w:val="00825650"/>
    <w:rsid w:val="00825F1E"/>
    <w:rsid w:val="008261DE"/>
    <w:rsid w:val="00827F27"/>
    <w:rsid w:val="00830F45"/>
    <w:rsid w:val="00831670"/>
    <w:rsid w:val="008324CD"/>
    <w:rsid w:val="0083268C"/>
    <w:rsid w:val="0083274F"/>
    <w:rsid w:val="0083382E"/>
    <w:rsid w:val="00836984"/>
    <w:rsid w:val="008403FC"/>
    <w:rsid w:val="00842F80"/>
    <w:rsid w:val="008437C5"/>
    <w:rsid w:val="00844C8B"/>
    <w:rsid w:val="008453AF"/>
    <w:rsid w:val="00847122"/>
    <w:rsid w:val="00850A27"/>
    <w:rsid w:val="00851DC1"/>
    <w:rsid w:val="00852D14"/>
    <w:rsid w:val="00856879"/>
    <w:rsid w:val="0085727F"/>
    <w:rsid w:val="008607AD"/>
    <w:rsid w:val="00862D5A"/>
    <w:rsid w:val="00862EDA"/>
    <w:rsid w:val="00863474"/>
    <w:rsid w:val="00863487"/>
    <w:rsid w:val="00863E20"/>
    <w:rsid w:val="008642C5"/>
    <w:rsid w:val="0086484E"/>
    <w:rsid w:val="00870AD3"/>
    <w:rsid w:val="0087209A"/>
    <w:rsid w:val="00873954"/>
    <w:rsid w:val="00873B46"/>
    <w:rsid w:val="00873C82"/>
    <w:rsid w:val="00873FE0"/>
    <w:rsid w:val="00877A75"/>
    <w:rsid w:val="00877E57"/>
    <w:rsid w:val="0088155C"/>
    <w:rsid w:val="008816FC"/>
    <w:rsid w:val="0088207E"/>
    <w:rsid w:val="00884501"/>
    <w:rsid w:val="00887267"/>
    <w:rsid w:val="008900EC"/>
    <w:rsid w:val="00891756"/>
    <w:rsid w:val="008919E5"/>
    <w:rsid w:val="00892B1F"/>
    <w:rsid w:val="008941EE"/>
    <w:rsid w:val="008946D4"/>
    <w:rsid w:val="0089498E"/>
    <w:rsid w:val="00896AEC"/>
    <w:rsid w:val="008A24FC"/>
    <w:rsid w:val="008A3053"/>
    <w:rsid w:val="008A57BD"/>
    <w:rsid w:val="008A5B1F"/>
    <w:rsid w:val="008A78E3"/>
    <w:rsid w:val="008B0BE6"/>
    <w:rsid w:val="008B1271"/>
    <w:rsid w:val="008B1578"/>
    <w:rsid w:val="008B20E5"/>
    <w:rsid w:val="008B23A1"/>
    <w:rsid w:val="008B275A"/>
    <w:rsid w:val="008B2B4E"/>
    <w:rsid w:val="008B33CB"/>
    <w:rsid w:val="008B3F44"/>
    <w:rsid w:val="008B456B"/>
    <w:rsid w:val="008B6217"/>
    <w:rsid w:val="008B681B"/>
    <w:rsid w:val="008B6E67"/>
    <w:rsid w:val="008C02CA"/>
    <w:rsid w:val="008C052F"/>
    <w:rsid w:val="008C0B81"/>
    <w:rsid w:val="008C10DF"/>
    <w:rsid w:val="008C1F36"/>
    <w:rsid w:val="008C5085"/>
    <w:rsid w:val="008C6011"/>
    <w:rsid w:val="008C6272"/>
    <w:rsid w:val="008C6396"/>
    <w:rsid w:val="008C68F6"/>
    <w:rsid w:val="008C7BFC"/>
    <w:rsid w:val="008D02D7"/>
    <w:rsid w:val="008D09F7"/>
    <w:rsid w:val="008D5D54"/>
    <w:rsid w:val="008D7235"/>
    <w:rsid w:val="008E0A72"/>
    <w:rsid w:val="008E1C13"/>
    <w:rsid w:val="008E213B"/>
    <w:rsid w:val="008E4EA4"/>
    <w:rsid w:val="008E6807"/>
    <w:rsid w:val="008F20FD"/>
    <w:rsid w:val="008F34D6"/>
    <w:rsid w:val="008F379B"/>
    <w:rsid w:val="008F3816"/>
    <w:rsid w:val="008F5B83"/>
    <w:rsid w:val="008F6F8D"/>
    <w:rsid w:val="008F7657"/>
    <w:rsid w:val="008F7F02"/>
    <w:rsid w:val="009007F2"/>
    <w:rsid w:val="00900DC9"/>
    <w:rsid w:val="0090610B"/>
    <w:rsid w:val="009064CE"/>
    <w:rsid w:val="00907E42"/>
    <w:rsid w:val="009102F0"/>
    <w:rsid w:val="00912106"/>
    <w:rsid w:val="00912DE4"/>
    <w:rsid w:val="00913BA4"/>
    <w:rsid w:val="00914DC9"/>
    <w:rsid w:val="00914E94"/>
    <w:rsid w:val="0091633E"/>
    <w:rsid w:val="0091696B"/>
    <w:rsid w:val="00920D71"/>
    <w:rsid w:val="00921C55"/>
    <w:rsid w:val="0092310B"/>
    <w:rsid w:val="00923A43"/>
    <w:rsid w:val="009264D2"/>
    <w:rsid w:val="0092687F"/>
    <w:rsid w:val="00926EF6"/>
    <w:rsid w:val="00937B7B"/>
    <w:rsid w:val="0094058A"/>
    <w:rsid w:val="00940BC8"/>
    <w:rsid w:val="00941255"/>
    <w:rsid w:val="00942571"/>
    <w:rsid w:val="0094287F"/>
    <w:rsid w:val="00942F40"/>
    <w:rsid w:val="00943350"/>
    <w:rsid w:val="00946407"/>
    <w:rsid w:val="00947B3F"/>
    <w:rsid w:val="00951EA4"/>
    <w:rsid w:val="00952376"/>
    <w:rsid w:val="00952B4B"/>
    <w:rsid w:val="009561CB"/>
    <w:rsid w:val="009565FF"/>
    <w:rsid w:val="00957516"/>
    <w:rsid w:val="00957FA9"/>
    <w:rsid w:val="0096282C"/>
    <w:rsid w:val="00963110"/>
    <w:rsid w:val="00966679"/>
    <w:rsid w:val="00966BD6"/>
    <w:rsid w:val="009679DC"/>
    <w:rsid w:val="009707E5"/>
    <w:rsid w:val="0097124D"/>
    <w:rsid w:val="00972190"/>
    <w:rsid w:val="00975A3C"/>
    <w:rsid w:val="00975C5A"/>
    <w:rsid w:val="00975E31"/>
    <w:rsid w:val="009820A9"/>
    <w:rsid w:val="0098323F"/>
    <w:rsid w:val="0098458F"/>
    <w:rsid w:val="00986587"/>
    <w:rsid w:val="00990D0F"/>
    <w:rsid w:val="00992A6D"/>
    <w:rsid w:val="00994CBA"/>
    <w:rsid w:val="00996794"/>
    <w:rsid w:val="00996843"/>
    <w:rsid w:val="009A0F3F"/>
    <w:rsid w:val="009A15F0"/>
    <w:rsid w:val="009A1C7F"/>
    <w:rsid w:val="009A34C2"/>
    <w:rsid w:val="009A3522"/>
    <w:rsid w:val="009A5B0F"/>
    <w:rsid w:val="009A5C96"/>
    <w:rsid w:val="009A6904"/>
    <w:rsid w:val="009A751F"/>
    <w:rsid w:val="009B000A"/>
    <w:rsid w:val="009B1558"/>
    <w:rsid w:val="009B1BD5"/>
    <w:rsid w:val="009B1C09"/>
    <w:rsid w:val="009B29A2"/>
    <w:rsid w:val="009B3AEE"/>
    <w:rsid w:val="009B3E2A"/>
    <w:rsid w:val="009B462F"/>
    <w:rsid w:val="009B6303"/>
    <w:rsid w:val="009C0F73"/>
    <w:rsid w:val="009C2470"/>
    <w:rsid w:val="009C4111"/>
    <w:rsid w:val="009C60AA"/>
    <w:rsid w:val="009C69A9"/>
    <w:rsid w:val="009C7C8D"/>
    <w:rsid w:val="009D2305"/>
    <w:rsid w:val="009D2B29"/>
    <w:rsid w:val="009D2DC2"/>
    <w:rsid w:val="009D3380"/>
    <w:rsid w:val="009D33BD"/>
    <w:rsid w:val="009D42AC"/>
    <w:rsid w:val="009D5282"/>
    <w:rsid w:val="009D6AEB"/>
    <w:rsid w:val="009D7B87"/>
    <w:rsid w:val="009E1B1D"/>
    <w:rsid w:val="009E3D4C"/>
    <w:rsid w:val="009E4BB1"/>
    <w:rsid w:val="009E6347"/>
    <w:rsid w:val="009E6B0C"/>
    <w:rsid w:val="009E75C6"/>
    <w:rsid w:val="009F2507"/>
    <w:rsid w:val="009F53EF"/>
    <w:rsid w:val="009F7621"/>
    <w:rsid w:val="00A00325"/>
    <w:rsid w:val="00A0145E"/>
    <w:rsid w:val="00A01B7C"/>
    <w:rsid w:val="00A02E2D"/>
    <w:rsid w:val="00A03467"/>
    <w:rsid w:val="00A03827"/>
    <w:rsid w:val="00A06853"/>
    <w:rsid w:val="00A1211F"/>
    <w:rsid w:val="00A121B9"/>
    <w:rsid w:val="00A13BD4"/>
    <w:rsid w:val="00A14B30"/>
    <w:rsid w:val="00A159BA"/>
    <w:rsid w:val="00A15B85"/>
    <w:rsid w:val="00A202CC"/>
    <w:rsid w:val="00A20482"/>
    <w:rsid w:val="00A21C06"/>
    <w:rsid w:val="00A230F0"/>
    <w:rsid w:val="00A241FB"/>
    <w:rsid w:val="00A24930"/>
    <w:rsid w:val="00A25DFA"/>
    <w:rsid w:val="00A3018E"/>
    <w:rsid w:val="00A30513"/>
    <w:rsid w:val="00A309F9"/>
    <w:rsid w:val="00A30B06"/>
    <w:rsid w:val="00A30F39"/>
    <w:rsid w:val="00A3156C"/>
    <w:rsid w:val="00A31644"/>
    <w:rsid w:val="00A32A67"/>
    <w:rsid w:val="00A32FDE"/>
    <w:rsid w:val="00A33CAC"/>
    <w:rsid w:val="00A340EF"/>
    <w:rsid w:val="00A343B9"/>
    <w:rsid w:val="00A35371"/>
    <w:rsid w:val="00A36B0B"/>
    <w:rsid w:val="00A404D3"/>
    <w:rsid w:val="00A40E63"/>
    <w:rsid w:val="00A41200"/>
    <w:rsid w:val="00A41D70"/>
    <w:rsid w:val="00A426E0"/>
    <w:rsid w:val="00A428B3"/>
    <w:rsid w:val="00A443B3"/>
    <w:rsid w:val="00A44A4E"/>
    <w:rsid w:val="00A44F70"/>
    <w:rsid w:val="00A467EB"/>
    <w:rsid w:val="00A46CED"/>
    <w:rsid w:val="00A475F1"/>
    <w:rsid w:val="00A47CDF"/>
    <w:rsid w:val="00A503D9"/>
    <w:rsid w:val="00A518D7"/>
    <w:rsid w:val="00A51CEA"/>
    <w:rsid w:val="00A528F3"/>
    <w:rsid w:val="00A531D8"/>
    <w:rsid w:val="00A55039"/>
    <w:rsid w:val="00A64A7B"/>
    <w:rsid w:val="00A66863"/>
    <w:rsid w:val="00A7007E"/>
    <w:rsid w:val="00A73FF2"/>
    <w:rsid w:val="00A769ED"/>
    <w:rsid w:val="00A76FAF"/>
    <w:rsid w:val="00A77A7A"/>
    <w:rsid w:val="00A828BB"/>
    <w:rsid w:val="00A847BC"/>
    <w:rsid w:val="00A908B0"/>
    <w:rsid w:val="00A908B9"/>
    <w:rsid w:val="00A9195D"/>
    <w:rsid w:val="00A93083"/>
    <w:rsid w:val="00A942E4"/>
    <w:rsid w:val="00A94CCD"/>
    <w:rsid w:val="00AA18B8"/>
    <w:rsid w:val="00AA1996"/>
    <w:rsid w:val="00AA2DB5"/>
    <w:rsid w:val="00AA354D"/>
    <w:rsid w:val="00AA3A56"/>
    <w:rsid w:val="00AA770C"/>
    <w:rsid w:val="00AB053B"/>
    <w:rsid w:val="00AB1612"/>
    <w:rsid w:val="00AB18C0"/>
    <w:rsid w:val="00AB27E3"/>
    <w:rsid w:val="00AB50C2"/>
    <w:rsid w:val="00AB707E"/>
    <w:rsid w:val="00AC1377"/>
    <w:rsid w:val="00AC1FD8"/>
    <w:rsid w:val="00AC2543"/>
    <w:rsid w:val="00AC2C4F"/>
    <w:rsid w:val="00AC2EB0"/>
    <w:rsid w:val="00AC5160"/>
    <w:rsid w:val="00AC5D4A"/>
    <w:rsid w:val="00AD03DA"/>
    <w:rsid w:val="00AD0650"/>
    <w:rsid w:val="00AD09FC"/>
    <w:rsid w:val="00AD13E5"/>
    <w:rsid w:val="00AD17BF"/>
    <w:rsid w:val="00AD1AB1"/>
    <w:rsid w:val="00AD1FD7"/>
    <w:rsid w:val="00AD20D4"/>
    <w:rsid w:val="00AD2260"/>
    <w:rsid w:val="00AD2309"/>
    <w:rsid w:val="00AD4747"/>
    <w:rsid w:val="00AD524F"/>
    <w:rsid w:val="00AD55D7"/>
    <w:rsid w:val="00AD5A28"/>
    <w:rsid w:val="00AD5AF9"/>
    <w:rsid w:val="00AD5C6F"/>
    <w:rsid w:val="00AD6B98"/>
    <w:rsid w:val="00AD707D"/>
    <w:rsid w:val="00AD7728"/>
    <w:rsid w:val="00AE0E7E"/>
    <w:rsid w:val="00AE2D76"/>
    <w:rsid w:val="00AE5C5F"/>
    <w:rsid w:val="00AF0E62"/>
    <w:rsid w:val="00AF19A0"/>
    <w:rsid w:val="00AF343C"/>
    <w:rsid w:val="00AF3656"/>
    <w:rsid w:val="00AF37E8"/>
    <w:rsid w:val="00AF69FE"/>
    <w:rsid w:val="00AF7247"/>
    <w:rsid w:val="00B00656"/>
    <w:rsid w:val="00B01D00"/>
    <w:rsid w:val="00B01D87"/>
    <w:rsid w:val="00B01D9E"/>
    <w:rsid w:val="00B0263E"/>
    <w:rsid w:val="00B0300F"/>
    <w:rsid w:val="00B04082"/>
    <w:rsid w:val="00B04B15"/>
    <w:rsid w:val="00B04C48"/>
    <w:rsid w:val="00B10FB1"/>
    <w:rsid w:val="00B12021"/>
    <w:rsid w:val="00B1774D"/>
    <w:rsid w:val="00B17D44"/>
    <w:rsid w:val="00B21484"/>
    <w:rsid w:val="00B21978"/>
    <w:rsid w:val="00B237D2"/>
    <w:rsid w:val="00B26007"/>
    <w:rsid w:val="00B274DA"/>
    <w:rsid w:val="00B3069D"/>
    <w:rsid w:val="00B31382"/>
    <w:rsid w:val="00B315F0"/>
    <w:rsid w:val="00B36BAC"/>
    <w:rsid w:val="00B36F3D"/>
    <w:rsid w:val="00B3705B"/>
    <w:rsid w:val="00B41072"/>
    <w:rsid w:val="00B41A0F"/>
    <w:rsid w:val="00B42D16"/>
    <w:rsid w:val="00B437B1"/>
    <w:rsid w:val="00B43962"/>
    <w:rsid w:val="00B45BCA"/>
    <w:rsid w:val="00B45F94"/>
    <w:rsid w:val="00B46160"/>
    <w:rsid w:val="00B4769A"/>
    <w:rsid w:val="00B5294A"/>
    <w:rsid w:val="00B53D02"/>
    <w:rsid w:val="00B54114"/>
    <w:rsid w:val="00B56AA2"/>
    <w:rsid w:val="00B56AD2"/>
    <w:rsid w:val="00B60012"/>
    <w:rsid w:val="00B60A90"/>
    <w:rsid w:val="00B64525"/>
    <w:rsid w:val="00B6474C"/>
    <w:rsid w:val="00B6476D"/>
    <w:rsid w:val="00B70966"/>
    <w:rsid w:val="00B7268E"/>
    <w:rsid w:val="00B754B8"/>
    <w:rsid w:val="00B76520"/>
    <w:rsid w:val="00B77C41"/>
    <w:rsid w:val="00B81D9C"/>
    <w:rsid w:val="00B81F4B"/>
    <w:rsid w:val="00B838F3"/>
    <w:rsid w:val="00B852E2"/>
    <w:rsid w:val="00B85871"/>
    <w:rsid w:val="00B90595"/>
    <w:rsid w:val="00B90B89"/>
    <w:rsid w:val="00B919D2"/>
    <w:rsid w:val="00B93EAE"/>
    <w:rsid w:val="00BA0221"/>
    <w:rsid w:val="00BA0A55"/>
    <w:rsid w:val="00BA35A6"/>
    <w:rsid w:val="00BA4290"/>
    <w:rsid w:val="00BA4700"/>
    <w:rsid w:val="00BA4FC2"/>
    <w:rsid w:val="00BA58DB"/>
    <w:rsid w:val="00BA65BD"/>
    <w:rsid w:val="00BA65DA"/>
    <w:rsid w:val="00BA69E3"/>
    <w:rsid w:val="00BA7179"/>
    <w:rsid w:val="00BB0DCC"/>
    <w:rsid w:val="00BB181A"/>
    <w:rsid w:val="00BB4112"/>
    <w:rsid w:val="00BB7FAC"/>
    <w:rsid w:val="00BC063B"/>
    <w:rsid w:val="00BC20CC"/>
    <w:rsid w:val="00BC20EB"/>
    <w:rsid w:val="00BC4542"/>
    <w:rsid w:val="00BC4B3C"/>
    <w:rsid w:val="00BC56AE"/>
    <w:rsid w:val="00BC5A3F"/>
    <w:rsid w:val="00BC5D4B"/>
    <w:rsid w:val="00BC64C8"/>
    <w:rsid w:val="00BC6C95"/>
    <w:rsid w:val="00BC79E7"/>
    <w:rsid w:val="00BD3F0B"/>
    <w:rsid w:val="00BD6ACB"/>
    <w:rsid w:val="00BD70CF"/>
    <w:rsid w:val="00BD7376"/>
    <w:rsid w:val="00BD73A6"/>
    <w:rsid w:val="00BE2EBB"/>
    <w:rsid w:val="00BE3DA1"/>
    <w:rsid w:val="00BE4359"/>
    <w:rsid w:val="00BE5570"/>
    <w:rsid w:val="00BE79FD"/>
    <w:rsid w:val="00BF19BB"/>
    <w:rsid w:val="00BF1C93"/>
    <w:rsid w:val="00BF205F"/>
    <w:rsid w:val="00BF2A4A"/>
    <w:rsid w:val="00BF3450"/>
    <w:rsid w:val="00BF4522"/>
    <w:rsid w:val="00BF4D4A"/>
    <w:rsid w:val="00BF4E4C"/>
    <w:rsid w:val="00BF5443"/>
    <w:rsid w:val="00BF6585"/>
    <w:rsid w:val="00BF7368"/>
    <w:rsid w:val="00C002E4"/>
    <w:rsid w:val="00C02816"/>
    <w:rsid w:val="00C02E92"/>
    <w:rsid w:val="00C04EF1"/>
    <w:rsid w:val="00C061A9"/>
    <w:rsid w:val="00C064CA"/>
    <w:rsid w:val="00C129A1"/>
    <w:rsid w:val="00C148BD"/>
    <w:rsid w:val="00C159BC"/>
    <w:rsid w:val="00C16A49"/>
    <w:rsid w:val="00C17E6F"/>
    <w:rsid w:val="00C204BA"/>
    <w:rsid w:val="00C25267"/>
    <w:rsid w:val="00C2547B"/>
    <w:rsid w:val="00C25870"/>
    <w:rsid w:val="00C26CDC"/>
    <w:rsid w:val="00C27783"/>
    <w:rsid w:val="00C320ED"/>
    <w:rsid w:val="00C321BD"/>
    <w:rsid w:val="00C33556"/>
    <w:rsid w:val="00C34AFB"/>
    <w:rsid w:val="00C3613F"/>
    <w:rsid w:val="00C36DA8"/>
    <w:rsid w:val="00C40321"/>
    <w:rsid w:val="00C410C8"/>
    <w:rsid w:val="00C427F5"/>
    <w:rsid w:val="00C457B0"/>
    <w:rsid w:val="00C45AA7"/>
    <w:rsid w:val="00C46441"/>
    <w:rsid w:val="00C47007"/>
    <w:rsid w:val="00C51950"/>
    <w:rsid w:val="00C5676A"/>
    <w:rsid w:val="00C56B56"/>
    <w:rsid w:val="00C57713"/>
    <w:rsid w:val="00C60018"/>
    <w:rsid w:val="00C60D8D"/>
    <w:rsid w:val="00C60DF5"/>
    <w:rsid w:val="00C617B2"/>
    <w:rsid w:val="00C6316B"/>
    <w:rsid w:val="00C63F98"/>
    <w:rsid w:val="00C641D4"/>
    <w:rsid w:val="00C644E0"/>
    <w:rsid w:val="00C64BA0"/>
    <w:rsid w:val="00C67598"/>
    <w:rsid w:val="00C712BB"/>
    <w:rsid w:val="00C72938"/>
    <w:rsid w:val="00C72BAF"/>
    <w:rsid w:val="00C74CC3"/>
    <w:rsid w:val="00C750E0"/>
    <w:rsid w:val="00C75180"/>
    <w:rsid w:val="00C75B1A"/>
    <w:rsid w:val="00C7647F"/>
    <w:rsid w:val="00C7659C"/>
    <w:rsid w:val="00C8201C"/>
    <w:rsid w:val="00C83CD7"/>
    <w:rsid w:val="00C83D03"/>
    <w:rsid w:val="00C84698"/>
    <w:rsid w:val="00C84825"/>
    <w:rsid w:val="00C85707"/>
    <w:rsid w:val="00C85916"/>
    <w:rsid w:val="00C8683B"/>
    <w:rsid w:val="00C870FA"/>
    <w:rsid w:val="00C87584"/>
    <w:rsid w:val="00C901F8"/>
    <w:rsid w:val="00C92885"/>
    <w:rsid w:val="00C9334B"/>
    <w:rsid w:val="00C9448C"/>
    <w:rsid w:val="00C952ED"/>
    <w:rsid w:val="00C95A42"/>
    <w:rsid w:val="00C96636"/>
    <w:rsid w:val="00C971AC"/>
    <w:rsid w:val="00CA1727"/>
    <w:rsid w:val="00CA35FC"/>
    <w:rsid w:val="00CA40CA"/>
    <w:rsid w:val="00CA557D"/>
    <w:rsid w:val="00CA67D3"/>
    <w:rsid w:val="00CA6EA3"/>
    <w:rsid w:val="00CA74B0"/>
    <w:rsid w:val="00CA7642"/>
    <w:rsid w:val="00CA7810"/>
    <w:rsid w:val="00CB03C6"/>
    <w:rsid w:val="00CB0AB2"/>
    <w:rsid w:val="00CB2763"/>
    <w:rsid w:val="00CB2A14"/>
    <w:rsid w:val="00CB305A"/>
    <w:rsid w:val="00CB49F6"/>
    <w:rsid w:val="00CB518F"/>
    <w:rsid w:val="00CB5C88"/>
    <w:rsid w:val="00CB6AD2"/>
    <w:rsid w:val="00CC0FF0"/>
    <w:rsid w:val="00CC1A9E"/>
    <w:rsid w:val="00CC1AC4"/>
    <w:rsid w:val="00CC29E3"/>
    <w:rsid w:val="00CC3041"/>
    <w:rsid w:val="00CC3860"/>
    <w:rsid w:val="00CC5196"/>
    <w:rsid w:val="00CC7640"/>
    <w:rsid w:val="00CC79CC"/>
    <w:rsid w:val="00CC7E02"/>
    <w:rsid w:val="00CD267D"/>
    <w:rsid w:val="00CD3221"/>
    <w:rsid w:val="00CD4B36"/>
    <w:rsid w:val="00CD589C"/>
    <w:rsid w:val="00CD669A"/>
    <w:rsid w:val="00CD7591"/>
    <w:rsid w:val="00CD7A91"/>
    <w:rsid w:val="00CD7DEC"/>
    <w:rsid w:val="00CE24D3"/>
    <w:rsid w:val="00CE2AD4"/>
    <w:rsid w:val="00CE31A1"/>
    <w:rsid w:val="00CE5380"/>
    <w:rsid w:val="00CF0001"/>
    <w:rsid w:val="00CF603A"/>
    <w:rsid w:val="00CF791E"/>
    <w:rsid w:val="00D02B96"/>
    <w:rsid w:val="00D02D70"/>
    <w:rsid w:val="00D04248"/>
    <w:rsid w:val="00D0443E"/>
    <w:rsid w:val="00D05007"/>
    <w:rsid w:val="00D073C4"/>
    <w:rsid w:val="00D077DB"/>
    <w:rsid w:val="00D07FF9"/>
    <w:rsid w:val="00D11C55"/>
    <w:rsid w:val="00D15393"/>
    <w:rsid w:val="00D1768E"/>
    <w:rsid w:val="00D17B6C"/>
    <w:rsid w:val="00D20D98"/>
    <w:rsid w:val="00D23D3A"/>
    <w:rsid w:val="00D24508"/>
    <w:rsid w:val="00D25E02"/>
    <w:rsid w:val="00D27DD1"/>
    <w:rsid w:val="00D40692"/>
    <w:rsid w:val="00D410E4"/>
    <w:rsid w:val="00D428BD"/>
    <w:rsid w:val="00D446AC"/>
    <w:rsid w:val="00D468B6"/>
    <w:rsid w:val="00D46B58"/>
    <w:rsid w:val="00D47448"/>
    <w:rsid w:val="00D476D5"/>
    <w:rsid w:val="00D52961"/>
    <w:rsid w:val="00D53E49"/>
    <w:rsid w:val="00D555C8"/>
    <w:rsid w:val="00D56646"/>
    <w:rsid w:val="00D60AB9"/>
    <w:rsid w:val="00D61FF4"/>
    <w:rsid w:val="00D664B1"/>
    <w:rsid w:val="00D6690C"/>
    <w:rsid w:val="00D707B7"/>
    <w:rsid w:val="00D72E32"/>
    <w:rsid w:val="00D75741"/>
    <w:rsid w:val="00D759D4"/>
    <w:rsid w:val="00D8046F"/>
    <w:rsid w:val="00D80B9B"/>
    <w:rsid w:val="00D80FDF"/>
    <w:rsid w:val="00D82280"/>
    <w:rsid w:val="00D9032E"/>
    <w:rsid w:val="00D944B6"/>
    <w:rsid w:val="00D97D41"/>
    <w:rsid w:val="00DA0893"/>
    <w:rsid w:val="00DA0EC5"/>
    <w:rsid w:val="00DA166B"/>
    <w:rsid w:val="00DA2256"/>
    <w:rsid w:val="00DA27DA"/>
    <w:rsid w:val="00DA2807"/>
    <w:rsid w:val="00DA2F22"/>
    <w:rsid w:val="00DA3073"/>
    <w:rsid w:val="00DA494A"/>
    <w:rsid w:val="00DA54FE"/>
    <w:rsid w:val="00DA6404"/>
    <w:rsid w:val="00DA66F8"/>
    <w:rsid w:val="00DB090E"/>
    <w:rsid w:val="00DB2609"/>
    <w:rsid w:val="00DB3910"/>
    <w:rsid w:val="00DB3C1B"/>
    <w:rsid w:val="00DB4DA1"/>
    <w:rsid w:val="00DB5BCF"/>
    <w:rsid w:val="00DB5F73"/>
    <w:rsid w:val="00DB7794"/>
    <w:rsid w:val="00DC1AE0"/>
    <w:rsid w:val="00DC36F3"/>
    <w:rsid w:val="00DC37B0"/>
    <w:rsid w:val="00DC37EF"/>
    <w:rsid w:val="00DC3CA6"/>
    <w:rsid w:val="00DC55EC"/>
    <w:rsid w:val="00DC5EC3"/>
    <w:rsid w:val="00DC6DEE"/>
    <w:rsid w:val="00DC720B"/>
    <w:rsid w:val="00DD157B"/>
    <w:rsid w:val="00DD1E98"/>
    <w:rsid w:val="00DD2274"/>
    <w:rsid w:val="00DD3FDC"/>
    <w:rsid w:val="00DD6306"/>
    <w:rsid w:val="00DD6B8A"/>
    <w:rsid w:val="00DD7B84"/>
    <w:rsid w:val="00DE034D"/>
    <w:rsid w:val="00DE083E"/>
    <w:rsid w:val="00DE17CB"/>
    <w:rsid w:val="00DE258B"/>
    <w:rsid w:val="00DE2A20"/>
    <w:rsid w:val="00DE7737"/>
    <w:rsid w:val="00DE7EDE"/>
    <w:rsid w:val="00DF03A3"/>
    <w:rsid w:val="00DF12E5"/>
    <w:rsid w:val="00DF1D0C"/>
    <w:rsid w:val="00DF20D7"/>
    <w:rsid w:val="00DF3C14"/>
    <w:rsid w:val="00DF3CCA"/>
    <w:rsid w:val="00DF468B"/>
    <w:rsid w:val="00DF63FB"/>
    <w:rsid w:val="00DF77EE"/>
    <w:rsid w:val="00E016F4"/>
    <w:rsid w:val="00E02076"/>
    <w:rsid w:val="00E0286F"/>
    <w:rsid w:val="00E02CD8"/>
    <w:rsid w:val="00E03CCD"/>
    <w:rsid w:val="00E046A3"/>
    <w:rsid w:val="00E067BE"/>
    <w:rsid w:val="00E11837"/>
    <w:rsid w:val="00E124FF"/>
    <w:rsid w:val="00E12F93"/>
    <w:rsid w:val="00E135C3"/>
    <w:rsid w:val="00E14C43"/>
    <w:rsid w:val="00E15E38"/>
    <w:rsid w:val="00E16FC2"/>
    <w:rsid w:val="00E171DA"/>
    <w:rsid w:val="00E17456"/>
    <w:rsid w:val="00E20EF7"/>
    <w:rsid w:val="00E24838"/>
    <w:rsid w:val="00E2775A"/>
    <w:rsid w:val="00E27A45"/>
    <w:rsid w:val="00E3019A"/>
    <w:rsid w:val="00E30C63"/>
    <w:rsid w:val="00E324F8"/>
    <w:rsid w:val="00E346BC"/>
    <w:rsid w:val="00E34EA7"/>
    <w:rsid w:val="00E35943"/>
    <w:rsid w:val="00E36530"/>
    <w:rsid w:val="00E37F47"/>
    <w:rsid w:val="00E459E9"/>
    <w:rsid w:val="00E5038E"/>
    <w:rsid w:val="00E526C4"/>
    <w:rsid w:val="00E53290"/>
    <w:rsid w:val="00E532AD"/>
    <w:rsid w:val="00E53303"/>
    <w:rsid w:val="00E53B66"/>
    <w:rsid w:val="00E53EB9"/>
    <w:rsid w:val="00E541DC"/>
    <w:rsid w:val="00E559CA"/>
    <w:rsid w:val="00E567C6"/>
    <w:rsid w:val="00E57205"/>
    <w:rsid w:val="00E60168"/>
    <w:rsid w:val="00E60E10"/>
    <w:rsid w:val="00E62EB2"/>
    <w:rsid w:val="00E636DB"/>
    <w:rsid w:val="00E65959"/>
    <w:rsid w:val="00E70D62"/>
    <w:rsid w:val="00E71CE8"/>
    <w:rsid w:val="00E72CD6"/>
    <w:rsid w:val="00E730D2"/>
    <w:rsid w:val="00E73943"/>
    <w:rsid w:val="00E73BF2"/>
    <w:rsid w:val="00E75239"/>
    <w:rsid w:val="00E77EB2"/>
    <w:rsid w:val="00E8094E"/>
    <w:rsid w:val="00E80D41"/>
    <w:rsid w:val="00E8461F"/>
    <w:rsid w:val="00E87D3A"/>
    <w:rsid w:val="00E92F8E"/>
    <w:rsid w:val="00E963C7"/>
    <w:rsid w:val="00E96C41"/>
    <w:rsid w:val="00EA0427"/>
    <w:rsid w:val="00EA1C54"/>
    <w:rsid w:val="00EA3A99"/>
    <w:rsid w:val="00EA51BC"/>
    <w:rsid w:val="00EB1B5D"/>
    <w:rsid w:val="00EB3256"/>
    <w:rsid w:val="00EB37AC"/>
    <w:rsid w:val="00EB3AFD"/>
    <w:rsid w:val="00EB4C6A"/>
    <w:rsid w:val="00EB6A72"/>
    <w:rsid w:val="00EB7260"/>
    <w:rsid w:val="00EC01E8"/>
    <w:rsid w:val="00EC2009"/>
    <w:rsid w:val="00EC27B4"/>
    <w:rsid w:val="00EC309A"/>
    <w:rsid w:val="00EC44BB"/>
    <w:rsid w:val="00EC51DE"/>
    <w:rsid w:val="00EC57B4"/>
    <w:rsid w:val="00ED0170"/>
    <w:rsid w:val="00ED0314"/>
    <w:rsid w:val="00ED2E4F"/>
    <w:rsid w:val="00ED707F"/>
    <w:rsid w:val="00ED7881"/>
    <w:rsid w:val="00EE0F2D"/>
    <w:rsid w:val="00EE138E"/>
    <w:rsid w:val="00EE1682"/>
    <w:rsid w:val="00EE1845"/>
    <w:rsid w:val="00EE2BE6"/>
    <w:rsid w:val="00EE3641"/>
    <w:rsid w:val="00EE55B2"/>
    <w:rsid w:val="00EE6528"/>
    <w:rsid w:val="00EE7D60"/>
    <w:rsid w:val="00EF03B1"/>
    <w:rsid w:val="00EF1C6F"/>
    <w:rsid w:val="00EF3520"/>
    <w:rsid w:val="00EF538D"/>
    <w:rsid w:val="00EF597A"/>
    <w:rsid w:val="00EF5999"/>
    <w:rsid w:val="00EF67AC"/>
    <w:rsid w:val="00EF71B5"/>
    <w:rsid w:val="00EF72EE"/>
    <w:rsid w:val="00EF795C"/>
    <w:rsid w:val="00F040EE"/>
    <w:rsid w:val="00F0420B"/>
    <w:rsid w:val="00F0432C"/>
    <w:rsid w:val="00F06BEB"/>
    <w:rsid w:val="00F07F5A"/>
    <w:rsid w:val="00F14B0D"/>
    <w:rsid w:val="00F14E99"/>
    <w:rsid w:val="00F155E4"/>
    <w:rsid w:val="00F169F6"/>
    <w:rsid w:val="00F20454"/>
    <w:rsid w:val="00F20B4D"/>
    <w:rsid w:val="00F20F60"/>
    <w:rsid w:val="00F22EDE"/>
    <w:rsid w:val="00F22FD2"/>
    <w:rsid w:val="00F2394E"/>
    <w:rsid w:val="00F23D26"/>
    <w:rsid w:val="00F25357"/>
    <w:rsid w:val="00F27049"/>
    <w:rsid w:val="00F32168"/>
    <w:rsid w:val="00F3315E"/>
    <w:rsid w:val="00F33C8C"/>
    <w:rsid w:val="00F35876"/>
    <w:rsid w:val="00F36E4A"/>
    <w:rsid w:val="00F3738B"/>
    <w:rsid w:val="00F37B41"/>
    <w:rsid w:val="00F415D0"/>
    <w:rsid w:val="00F45EC7"/>
    <w:rsid w:val="00F467A9"/>
    <w:rsid w:val="00F46806"/>
    <w:rsid w:val="00F47DFA"/>
    <w:rsid w:val="00F53A67"/>
    <w:rsid w:val="00F559D8"/>
    <w:rsid w:val="00F601ED"/>
    <w:rsid w:val="00F60ACC"/>
    <w:rsid w:val="00F60E8B"/>
    <w:rsid w:val="00F62E6F"/>
    <w:rsid w:val="00F63CD9"/>
    <w:rsid w:val="00F64DE9"/>
    <w:rsid w:val="00F6527B"/>
    <w:rsid w:val="00F66F83"/>
    <w:rsid w:val="00F66FEC"/>
    <w:rsid w:val="00F673E6"/>
    <w:rsid w:val="00F72A8B"/>
    <w:rsid w:val="00F72BEF"/>
    <w:rsid w:val="00F751EF"/>
    <w:rsid w:val="00F756AF"/>
    <w:rsid w:val="00F77032"/>
    <w:rsid w:val="00F775F6"/>
    <w:rsid w:val="00F7764F"/>
    <w:rsid w:val="00F80BAD"/>
    <w:rsid w:val="00F81CBC"/>
    <w:rsid w:val="00F82087"/>
    <w:rsid w:val="00F828DC"/>
    <w:rsid w:val="00F85500"/>
    <w:rsid w:val="00F8570B"/>
    <w:rsid w:val="00F85C43"/>
    <w:rsid w:val="00F86A19"/>
    <w:rsid w:val="00F86CB0"/>
    <w:rsid w:val="00F86CD0"/>
    <w:rsid w:val="00F86F1B"/>
    <w:rsid w:val="00F9398A"/>
    <w:rsid w:val="00F94393"/>
    <w:rsid w:val="00F94F31"/>
    <w:rsid w:val="00F94F32"/>
    <w:rsid w:val="00F94FF6"/>
    <w:rsid w:val="00F953F0"/>
    <w:rsid w:val="00F97CD3"/>
    <w:rsid w:val="00FA1A61"/>
    <w:rsid w:val="00FA2ACA"/>
    <w:rsid w:val="00FA2B5B"/>
    <w:rsid w:val="00FA2F98"/>
    <w:rsid w:val="00FA3661"/>
    <w:rsid w:val="00FA3C85"/>
    <w:rsid w:val="00FA5323"/>
    <w:rsid w:val="00FA5BA4"/>
    <w:rsid w:val="00FA5C9F"/>
    <w:rsid w:val="00FA5FDC"/>
    <w:rsid w:val="00FA6A7D"/>
    <w:rsid w:val="00FA6D7B"/>
    <w:rsid w:val="00FA7256"/>
    <w:rsid w:val="00FB0866"/>
    <w:rsid w:val="00FB328F"/>
    <w:rsid w:val="00FB3D39"/>
    <w:rsid w:val="00FB5435"/>
    <w:rsid w:val="00FB7B04"/>
    <w:rsid w:val="00FC1D16"/>
    <w:rsid w:val="00FC3B69"/>
    <w:rsid w:val="00FC5028"/>
    <w:rsid w:val="00FC5918"/>
    <w:rsid w:val="00FC5EFD"/>
    <w:rsid w:val="00FD0FEF"/>
    <w:rsid w:val="00FD322C"/>
    <w:rsid w:val="00FD420E"/>
    <w:rsid w:val="00FD429C"/>
    <w:rsid w:val="00FD4E9D"/>
    <w:rsid w:val="00FD5037"/>
    <w:rsid w:val="00FD566B"/>
    <w:rsid w:val="00FD7543"/>
    <w:rsid w:val="00FE133E"/>
    <w:rsid w:val="00FE1E51"/>
    <w:rsid w:val="00FE243D"/>
    <w:rsid w:val="00FE2CFF"/>
    <w:rsid w:val="00FE2D31"/>
    <w:rsid w:val="00FE30D7"/>
    <w:rsid w:val="00FE4DD7"/>
    <w:rsid w:val="00FE4F9F"/>
    <w:rsid w:val="00FE7125"/>
    <w:rsid w:val="00FF313D"/>
    <w:rsid w:val="00FF46B4"/>
    <w:rsid w:val="00FF4F43"/>
    <w:rsid w:val="00FF55B6"/>
    <w:rsid w:val="00FF5A88"/>
    <w:rsid w:val="00FF6A2D"/>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3EE4"/>
  <w15:chartTrackingRefBased/>
  <w15:docId w15:val="{DA38C273-6DBA-4315-8CE8-6A1E6B9A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771"/>
    <w:rPr>
      <w:rFonts w:ascii="Calibri" w:eastAsia="Times New Roman" w:hAnsi="Calibri" w:cs="Times New Roman"/>
    </w:rPr>
  </w:style>
  <w:style w:type="paragraph" w:styleId="1">
    <w:name w:val="heading 1"/>
    <w:basedOn w:val="a"/>
    <w:next w:val="a"/>
    <w:link w:val="10"/>
    <w:uiPriority w:val="9"/>
    <w:qFormat/>
    <w:rsid w:val="006E4771"/>
    <w:pPr>
      <w:keepNext/>
      <w:keepLines/>
      <w:spacing w:before="240" w:after="0" w:line="240" w:lineRule="auto"/>
      <w:outlineLvl w:val="0"/>
    </w:pPr>
    <w:rPr>
      <w:rFonts w:ascii="Calibri Light" w:hAnsi="Calibri Light"/>
      <w:color w:val="2E74B5"/>
      <w:sz w:val="32"/>
      <w:szCs w:val="32"/>
      <w:lang w:val="ru-RU" w:eastAsia="ru-RU"/>
    </w:rPr>
  </w:style>
  <w:style w:type="paragraph" w:styleId="2">
    <w:name w:val="heading 2"/>
    <w:basedOn w:val="a"/>
    <w:next w:val="a"/>
    <w:link w:val="20"/>
    <w:uiPriority w:val="9"/>
    <w:unhideWhenUsed/>
    <w:qFormat/>
    <w:rsid w:val="006E4771"/>
    <w:pPr>
      <w:keepNext/>
      <w:keepLines/>
      <w:spacing w:before="40" w:after="0"/>
      <w:outlineLvl w:val="1"/>
    </w:pPr>
    <w:rPr>
      <w:rFonts w:ascii="Calibri Light" w:hAnsi="Calibri Light"/>
      <w:color w:val="2E74B5"/>
      <w:sz w:val="26"/>
      <w:szCs w:val="26"/>
    </w:rPr>
  </w:style>
  <w:style w:type="paragraph" w:styleId="3">
    <w:name w:val="heading 3"/>
    <w:basedOn w:val="a"/>
    <w:next w:val="a"/>
    <w:link w:val="30"/>
    <w:uiPriority w:val="9"/>
    <w:unhideWhenUsed/>
    <w:qFormat/>
    <w:rsid w:val="006E4771"/>
    <w:pPr>
      <w:keepNext/>
      <w:keepLines/>
      <w:spacing w:before="40" w:after="0"/>
      <w:outlineLvl w:val="2"/>
    </w:pPr>
    <w:rPr>
      <w:rFonts w:ascii="Calibri Light" w:hAnsi="Calibri Light"/>
      <w:color w:val="1F4D78"/>
      <w:sz w:val="24"/>
      <w:szCs w:val="24"/>
    </w:rPr>
  </w:style>
  <w:style w:type="paragraph" w:styleId="4">
    <w:name w:val="heading 4"/>
    <w:basedOn w:val="a"/>
    <w:next w:val="a"/>
    <w:link w:val="40"/>
    <w:uiPriority w:val="9"/>
    <w:unhideWhenUsed/>
    <w:qFormat/>
    <w:rsid w:val="006E4771"/>
    <w:pPr>
      <w:keepNext/>
      <w:keepLines/>
      <w:spacing w:before="40" w:after="0"/>
      <w:outlineLvl w:val="3"/>
    </w:pPr>
    <w:rPr>
      <w:rFonts w:ascii="Calibri Light" w:hAnsi="Calibri Light"/>
      <w:i/>
      <w:iCs/>
      <w:color w:val="2E74B5"/>
    </w:rPr>
  </w:style>
  <w:style w:type="paragraph" w:styleId="5">
    <w:name w:val="heading 5"/>
    <w:basedOn w:val="a"/>
    <w:next w:val="a"/>
    <w:link w:val="50"/>
    <w:uiPriority w:val="9"/>
    <w:unhideWhenUsed/>
    <w:qFormat/>
    <w:rsid w:val="006E4771"/>
    <w:pPr>
      <w:keepNext/>
      <w:keepLines/>
      <w:spacing w:before="40" w:after="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771"/>
    <w:rPr>
      <w:rFonts w:ascii="Calibri Light" w:eastAsia="Times New Roman" w:hAnsi="Calibri Light" w:cs="Times New Roman"/>
      <w:color w:val="2E74B5"/>
      <w:sz w:val="32"/>
      <w:szCs w:val="32"/>
      <w:lang w:val="ru-RU" w:eastAsia="ru-RU"/>
    </w:rPr>
  </w:style>
  <w:style w:type="character" w:customStyle="1" w:styleId="20">
    <w:name w:val="Заголовок 2 Знак"/>
    <w:basedOn w:val="a0"/>
    <w:link w:val="2"/>
    <w:uiPriority w:val="9"/>
    <w:rsid w:val="006E4771"/>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6E4771"/>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6E4771"/>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6E4771"/>
    <w:rPr>
      <w:rFonts w:ascii="Calibri Light" w:eastAsia="Times New Roman" w:hAnsi="Calibri Light" w:cs="Times New Roman"/>
      <w:color w:val="2E74B5"/>
    </w:rPr>
  </w:style>
  <w:style w:type="character" w:styleId="a3">
    <w:name w:val="Hyperlink"/>
    <w:uiPriority w:val="99"/>
    <w:unhideWhenUsed/>
    <w:rsid w:val="006E4771"/>
    <w:rPr>
      <w:rFonts w:cs="Times New Roman"/>
      <w:color w:val="0563C1"/>
      <w:u w:val="single"/>
    </w:rPr>
  </w:style>
  <w:style w:type="paragraph" w:styleId="a4">
    <w:name w:val="List Paragraph"/>
    <w:aliases w:val="strikethrough,List Paragraph 1"/>
    <w:basedOn w:val="a"/>
    <w:link w:val="a5"/>
    <w:uiPriority w:val="34"/>
    <w:qFormat/>
    <w:rsid w:val="006E4771"/>
    <w:pPr>
      <w:ind w:left="720"/>
      <w:contextualSpacing/>
    </w:pPr>
  </w:style>
  <w:style w:type="character" w:customStyle="1" w:styleId="a5">
    <w:name w:val="Абзац списка Знак"/>
    <w:aliases w:val="strikethrough Знак,List Paragraph 1 Знак"/>
    <w:link w:val="a4"/>
    <w:uiPriority w:val="34"/>
    <w:locked/>
    <w:rsid w:val="006E4771"/>
    <w:rPr>
      <w:rFonts w:ascii="Calibri" w:eastAsia="Times New Roman" w:hAnsi="Calibri" w:cs="Times New Roman"/>
    </w:rPr>
  </w:style>
  <w:style w:type="paragraph" w:styleId="a6">
    <w:name w:val="No Spacing"/>
    <w:link w:val="a7"/>
    <w:uiPriority w:val="1"/>
    <w:qFormat/>
    <w:rsid w:val="006E4771"/>
    <w:pPr>
      <w:spacing w:after="0" w:line="240" w:lineRule="auto"/>
    </w:pPr>
    <w:rPr>
      <w:rFonts w:ascii="Calibri" w:eastAsia="Times New Roman" w:hAnsi="Calibri" w:cs="Times New Roman"/>
      <w:sz w:val="21"/>
      <w:szCs w:val="21"/>
      <w:lang w:val="ru-RU" w:eastAsia="ru-RU"/>
    </w:rPr>
  </w:style>
  <w:style w:type="character" w:customStyle="1" w:styleId="a7">
    <w:name w:val="Без интервала Знак"/>
    <w:link w:val="a6"/>
    <w:uiPriority w:val="1"/>
    <w:locked/>
    <w:rsid w:val="006E4771"/>
    <w:rPr>
      <w:rFonts w:ascii="Calibri" w:eastAsia="Times New Roman" w:hAnsi="Calibri" w:cs="Times New Roman"/>
      <w:sz w:val="21"/>
      <w:szCs w:val="21"/>
      <w:lang w:val="ru-RU" w:eastAsia="ru-RU"/>
    </w:rPr>
  </w:style>
  <w:style w:type="paragraph" w:styleId="a8">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a"/>
    <w:link w:val="a9"/>
    <w:uiPriority w:val="99"/>
    <w:unhideWhenUsed/>
    <w:qFormat/>
    <w:rsid w:val="006E4771"/>
    <w:pPr>
      <w:spacing w:after="0" w:line="240" w:lineRule="auto"/>
      <w:ind w:firstLine="567"/>
      <w:jc w:val="both"/>
    </w:pPr>
    <w:rPr>
      <w:rFonts w:ascii="Times New Roman" w:hAnsi="Times New Roman"/>
      <w:sz w:val="24"/>
      <w:szCs w:val="24"/>
    </w:rPr>
  </w:style>
  <w:style w:type="paragraph" w:styleId="aa">
    <w:name w:val="Body Text Indent"/>
    <w:basedOn w:val="a"/>
    <w:link w:val="ab"/>
    <w:uiPriority w:val="99"/>
    <w:rsid w:val="006E4771"/>
    <w:pPr>
      <w:spacing w:after="120" w:line="240" w:lineRule="auto"/>
      <w:ind w:left="283"/>
    </w:pPr>
    <w:rPr>
      <w:rFonts w:ascii="Times New Roman" w:hAnsi="Times New Roman"/>
      <w:sz w:val="24"/>
      <w:szCs w:val="24"/>
      <w:lang w:val="ru-RU" w:eastAsia="ru-RU"/>
    </w:rPr>
  </w:style>
  <w:style w:type="character" w:customStyle="1" w:styleId="ab">
    <w:name w:val="Основной текст с отступом Знак"/>
    <w:basedOn w:val="a0"/>
    <w:link w:val="aa"/>
    <w:uiPriority w:val="99"/>
    <w:rsid w:val="006E4771"/>
    <w:rPr>
      <w:rFonts w:ascii="Times New Roman" w:eastAsia="Times New Roman" w:hAnsi="Times New Roman" w:cs="Times New Roman"/>
      <w:sz w:val="24"/>
      <w:szCs w:val="24"/>
      <w:lang w:val="ru-RU" w:eastAsia="ru-RU"/>
    </w:rPr>
  </w:style>
  <w:style w:type="paragraph" w:customStyle="1" w:styleId="tt">
    <w:name w:val="tt"/>
    <w:basedOn w:val="a"/>
    <w:rsid w:val="006E4771"/>
    <w:pPr>
      <w:spacing w:after="0" w:line="240" w:lineRule="auto"/>
      <w:jc w:val="center"/>
    </w:pPr>
    <w:rPr>
      <w:rFonts w:ascii="Times New Roman" w:hAnsi="Times New Roman"/>
      <w:b/>
      <w:bCs/>
      <w:sz w:val="24"/>
      <w:szCs w:val="24"/>
    </w:rPr>
  </w:style>
  <w:style w:type="paragraph" w:customStyle="1" w:styleId="cn">
    <w:name w:val="cn"/>
    <w:basedOn w:val="a"/>
    <w:rsid w:val="006E4771"/>
    <w:pPr>
      <w:spacing w:after="0" w:line="240" w:lineRule="auto"/>
      <w:jc w:val="center"/>
    </w:pPr>
    <w:rPr>
      <w:rFonts w:ascii="Times New Roman" w:hAnsi="Times New Roman"/>
      <w:sz w:val="24"/>
      <w:szCs w:val="24"/>
    </w:rPr>
  </w:style>
  <w:style w:type="paragraph" w:styleId="ac">
    <w:name w:val="footnote text"/>
    <w:aliases w:val="Знак,Char,Знак1,single space,FOOTNOTES,fn,Footnote Text Char1,Footnote Text Char2 Char,Footnote Text Char1 Char Char,Footnote Text Char2 Char Char Char,Footnote Text Char1 Char Char Char Char,Cha,ft,A, Знак, Char, Знак1,footnote text, Cha"/>
    <w:basedOn w:val="a"/>
    <w:link w:val="ad"/>
    <w:uiPriority w:val="99"/>
    <w:unhideWhenUsed/>
    <w:qFormat/>
    <w:rsid w:val="006E4771"/>
    <w:pPr>
      <w:spacing w:after="0" w:line="240" w:lineRule="auto"/>
    </w:pPr>
    <w:rPr>
      <w:sz w:val="20"/>
      <w:szCs w:val="20"/>
    </w:rPr>
  </w:style>
  <w:style w:type="character" w:customStyle="1" w:styleId="ad">
    <w:name w:val="Текст сноски Знак"/>
    <w:aliases w:val="Знак Знак,Char Знак,Знак1 Знак,single space Знак,FOOTNOTES Знак,fn Знак,Footnote Text Char1 Знак,Footnote Text Char2 Char Знак,Footnote Text Char1 Char Char Знак,Footnote Text Char2 Char Char Char Знак,Cha Знак,ft Знак,A Знак, Cha Знак"/>
    <w:basedOn w:val="a0"/>
    <w:link w:val="ac"/>
    <w:uiPriority w:val="99"/>
    <w:rsid w:val="006E4771"/>
    <w:rPr>
      <w:rFonts w:ascii="Calibri" w:eastAsia="Times New Roman" w:hAnsi="Calibri" w:cs="Times New Roman"/>
      <w:sz w:val="20"/>
      <w:szCs w:val="20"/>
    </w:rPr>
  </w:style>
  <w:style w:type="character" w:styleId="ae">
    <w:name w:val="footnote reference"/>
    <w:aliases w:val="ftref,Times 10 Point,Exposant 3 Point,Footnote symbol,Footnote reference number,EN Footnote Reference,note TESI,16 Point,Superscript 6 Point,BVI fnr,Char Char1,FOOTNOTES Char1,fn Char1,single space Char1,ft Char1,Ref"/>
    <w:link w:val="FNRefeCharChar"/>
    <w:uiPriority w:val="99"/>
    <w:unhideWhenUsed/>
    <w:rsid w:val="006E4771"/>
    <w:rPr>
      <w:rFonts w:cs="Times New Roman"/>
      <w:vertAlign w:val="superscript"/>
    </w:rPr>
  </w:style>
  <w:style w:type="paragraph" w:customStyle="1" w:styleId="cb">
    <w:name w:val="cb"/>
    <w:basedOn w:val="a"/>
    <w:rsid w:val="006E4771"/>
    <w:pPr>
      <w:spacing w:after="0" w:line="240" w:lineRule="auto"/>
      <w:jc w:val="center"/>
    </w:pPr>
    <w:rPr>
      <w:rFonts w:ascii="Times New Roman" w:hAnsi="Times New Roman"/>
      <w:b/>
      <w:bCs/>
      <w:sz w:val="24"/>
      <w:szCs w:val="24"/>
    </w:rPr>
  </w:style>
  <w:style w:type="paragraph" w:styleId="af">
    <w:name w:val="header"/>
    <w:basedOn w:val="a"/>
    <w:link w:val="af0"/>
    <w:uiPriority w:val="99"/>
    <w:unhideWhenUsed/>
    <w:rsid w:val="006E4771"/>
    <w:pPr>
      <w:tabs>
        <w:tab w:val="center" w:pos="4844"/>
        <w:tab w:val="right" w:pos="9689"/>
      </w:tabs>
      <w:spacing w:after="0" w:line="240" w:lineRule="auto"/>
    </w:pPr>
  </w:style>
  <w:style w:type="character" w:customStyle="1" w:styleId="af0">
    <w:name w:val="Верхний колонтитул Знак"/>
    <w:basedOn w:val="a0"/>
    <w:link w:val="af"/>
    <w:uiPriority w:val="99"/>
    <w:rsid w:val="006E4771"/>
    <w:rPr>
      <w:rFonts w:ascii="Calibri" w:eastAsia="Times New Roman" w:hAnsi="Calibri" w:cs="Times New Roman"/>
    </w:rPr>
  </w:style>
  <w:style w:type="paragraph" w:styleId="af1">
    <w:name w:val="footer"/>
    <w:basedOn w:val="a"/>
    <w:link w:val="af2"/>
    <w:uiPriority w:val="99"/>
    <w:unhideWhenUsed/>
    <w:rsid w:val="006E4771"/>
    <w:pPr>
      <w:tabs>
        <w:tab w:val="center" w:pos="4844"/>
        <w:tab w:val="right" w:pos="9689"/>
      </w:tabs>
      <w:spacing w:after="0" w:line="240" w:lineRule="auto"/>
    </w:pPr>
  </w:style>
  <w:style w:type="character" w:customStyle="1" w:styleId="af2">
    <w:name w:val="Нижний колонтитул Знак"/>
    <w:basedOn w:val="a0"/>
    <w:link w:val="af1"/>
    <w:uiPriority w:val="99"/>
    <w:rsid w:val="006E4771"/>
    <w:rPr>
      <w:rFonts w:ascii="Calibri" w:eastAsia="Times New Roman" w:hAnsi="Calibri" w:cs="Times New Roman"/>
    </w:rPr>
  </w:style>
  <w:style w:type="character" w:styleId="HTML">
    <w:name w:val="HTML Sample"/>
    <w:uiPriority w:val="99"/>
    <w:semiHidden/>
    <w:rsid w:val="006E4771"/>
    <w:rPr>
      <w:rFonts w:ascii="Courier New" w:hAnsi="Courier New" w:cs="Courier New"/>
    </w:rPr>
  </w:style>
  <w:style w:type="paragraph" w:customStyle="1" w:styleId="Default">
    <w:name w:val="Default"/>
    <w:rsid w:val="006E47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Plain Text"/>
    <w:basedOn w:val="a"/>
    <w:link w:val="af4"/>
    <w:uiPriority w:val="99"/>
    <w:rsid w:val="006E4771"/>
    <w:pPr>
      <w:spacing w:after="0" w:line="240" w:lineRule="auto"/>
    </w:pPr>
    <w:rPr>
      <w:rFonts w:ascii="Courier New" w:hAnsi="Courier New"/>
      <w:sz w:val="20"/>
      <w:szCs w:val="20"/>
      <w:lang w:val="ru-RU" w:eastAsia="ru-RU"/>
    </w:rPr>
  </w:style>
  <w:style w:type="character" w:customStyle="1" w:styleId="af4">
    <w:name w:val="Текст Знак"/>
    <w:basedOn w:val="a0"/>
    <w:link w:val="af3"/>
    <w:uiPriority w:val="99"/>
    <w:rsid w:val="006E4771"/>
    <w:rPr>
      <w:rFonts w:ascii="Courier New" w:eastAsia="Times New Roman" w:hAnsi="Courier New" w:cs="Times New Roman"/>
      <w:sz w:val="20"/>
      <w:szCs w:val="20"/>
      <w:lang w:val="ru-RU" w:eastAsia="ru-RU"/>
    </w:rPr>
  </w:style>
  <w:style w:type="character" w:styleId="af5">
    <w:name w:val="Emphasis"/>
    <w:uiPriority w:val="20"/>
    <w:qFormat/>
    <w:rsid w:val="006E4771"/>
    <w:rPr>
      <w:rFonts w:cs="Times New Roman"/>
      <w:i/>
      <w:iCs/>
    </w:rPr>
  </w:style>
  <w:style w:type="paragraph" w:customStyle="1" w:styleId="cp">
    <w:name w:val="cp"/>
    <w:basedOn w:val="a"/>
    <w:rsid w:val="006E4771"/>
    <w:pPr>
      <w:spacing w:after="0" w:line="240" w:lineRule="auto"/>
      <w:jc w:val="center"/>
    </w:pPr>
    <w:rPr>
      <w:rFonts w:ascii="Times New Roman" w:hAnsi="Times New Roman"/>
      <w:b/>
      <w:bCs/>
      <w:sz w:val="24"/>
      <w:szCs w:val="24"/>
    </w:rPr>
  </w:style>
  <w:style w:type="paragraph" w:styleId="af6">
    <w:name w:val="TOC Heading"/>
    <w:basedOn w:val="1"/>
    <w:next w:val="a"/>
    <w:uiPriority w:val="39"/>
    <w:unhideWhenUsed/>
    <w:qFormat/>
    <w:rsid w:val="006E4771"/>
    <w:pPr>
      <w:spacing w:line="259" w:lineRule="auto"/>
      <w:outlineLvl w:val="9"/>
    </w:pPr>
    <w:rPr>
      <w:lang w:val="en-US" w:eastAsia="en-US"/>
    </w:rPr>
  </w:style>
  <w:style w:type="paragraph" w:styleId="11">
    <w:name w:val="toc 1"/>
    <w:basedOn w:val="a"/>
    <w:next w:val="a"/>
    <w:autoRedefine/>
    <w:uiPriority w:val="39"/>
    <w:unhideWhenUsed/>
    <w:rsid w:val="00694A94"/>
    <w:pPr>
      <w:tabs>
        <w:tab w:val="left" w:pos="142"/>
        <w:tab w:val="left" w:pos="284"/>
        <w:tab w:val="left" w:pos="426"/>
        <w:tab w:val="right" w:leader="dot" w:pos="9498"/>
      </w:tabs>
      <w:spacing w:after="0"/>
    </w:pPr>
  </w:style>
  <w:style w:type="paragraph" w:styleId="21">
    <w:name w:val="toc 2"/>
    <w:basedOn w:val="a"/>
    <w:next w:val="a"/>
    <w:autoRedefine/>
    <w:uiPriority w:val="39"/>
    <w:unhideWhenUsed/>
    <w:rsid w:val="00966679"/>
    <w:pPr>
      <w:tabs>
        <w:tab w:val="left" w:pos="567"/>
        <w:tab w:val="left" w:pos="709"/>
        <w:tab w:val="left" w:pos="851"/>
        <w:tab w:val="right" w:leader="dot" w:pos="9498"/>
      </w:tabs>
      <w:spacing w:after="0"/>
      <w:ind w:left="220"/>
    </w:pPr>
    <w:rPr>
      <w:rFonts w:asciiTheme="majorHAnsi" w:hAnsiTheme="majorHAnsi" w:cstheme="majorHAnsi"/>
      <w:noProof/>
      <w:lang w:val="ro-RO"/>
    </w:rPr>
  </w:style>
  <w:style w:type="paragraph" w:styleId="31">
    <w:name w:val="toc 3"/>
    <w:basedOn w:val="a"/>
    <w:next w:val="a"/>
    <w:autoRedefine/>
    <w:uiPriority w:val="39"/>
    <w:unhideWhenUsed/>
    <w:rsid w:val="00595F5E"/>
    <w:pPr>
      <w:tabs>
        <w:tab w:val="left" w:pos="851"/>
        <w:tab w:val="left" w:pos="993"/>
        <w:tab w:val="right" w:leader="dot" w:pos="9344"/>
      </w:tabs>
      <w:spacing w:after="0" w:line="240" w:lineRule="auto"/>
      <w:ind w:left="442"/>
      <w:jc w:val="both"/>
    </w:pPr>
    <w:rPr>
      <w:rFonts w:asciiTheme="majorHAnsi" w:hAnsiTheme="majorHAnsi" w:cstheme="majorHAnsi"/>
      <w:b/>
      <w:noProof/>
      <w:lang w:val="ro-RO"/>
    </w:rPr>
  </w:style>
  <w:style w:type="paragraph" w:customStyle="1" w:styleId="rg">
    <w:name w:val="rg"/>
    <w:basedOn w:val="a"/>
    <w:rsid w:val="006E4771"/>
    <w:pPr>
      <w:spacing w:after="0" w:line="240" w:lineRule="auto"/>
      <w:jc w:val="right"/>
    </w:pPr>
    <w:rPr>
      <w:rFonts w:ascii="Times New Roman" w:hAnsi="Times New Roman"/>
      <w:sz w:val="24"/>
      <w:szCs w:val="24"/>
    </w:rPr>
  </w:style>
  <w:style w:type="character" w:customStyle="1" w:styleId="af7">
    <w:name w:val="Текст выноски Знак"/>
    <w:basedOn w:val="a0"/>
    <w:link w:val="af8"/>
    <w:uiPriority w:val="99"/>
    <w:semiHidden/>
    <w:rsid w:val="006E4771"/>
    <w:rPr>
      <w:rFonts w:ascii="Segoe UI" w:eastAsia="Times New Roman" w:hAnsi="Segoe UI" w:cs="Segoe UI"/>
      <w:sz w:val="18"/>
      <w:szCs w:val="18"/>
    </w:rPr>
  </w:style>
  <w:style w:type="paragraph" w:styleId="af8">
    <w:name w:val="Balloon Text"/>
    <w:basedOn w:val="a"/>
    <w:link w:val="af7"/>
    <w:uiPriority w:val="99"/>
    <w:semiHidden/>
    <w:unhideWhenUsed/>
    <w:rsid w:val="006E4771"/>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6E4771"/>
    <w:rPr>
      <w:rFonts w:ascii="Segoe UI" w:eastAsia="Times New Roman" w:hAnsi="Segoe UI" w:cs="Segoe UI"/>
      <w:sz w:val="18"/>
      <w:szCs w:val="18"/>
    </w:rPr>
  </w:style>
  <w:style w:type="table" w:styleId="af9">
    <w:name w:val="Table Grid"/>
    <w:basedOn w:val="a1"/>
    <w:uiPriority w:val="39"/>
    <w:rsid w:val="006E4771"/>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link w:val="a8"/>
    <w:uiPriority w:val="99"/>
    <w:rsid w:val="006E4771"/>
    <w:rPr>
      <w:rFonts w:ascii="Times New Roman" w:eastAsia="Times New Roman" w:hAnsi="Times New Roman" w:cs="Times New Roman"/>
      <w:sz w:val="24"/>
      <w:szCs w:val="24"/>
    </w:rPr>
  </w:style>
  <w:style w:type="character" w:styleId="afa">
    <w:name w:val="Strong"/>
    <w:basedOn w:val="a0"/>
    <w:uiPriority w:val="22"/>
    <w:qFormat/>
    <w:rsid w:val="00026A7F"/>
    <w:rPr>
      <w:b/>
      <w:bCs/>
    </w:rPr>
  </w:style>
  <w:style w:type="character" w:customStyle="1" w:styleId="docheader">
    <w:name w:val="doc_header"/>
    <w:basedOn w:val="a0"/>
    <w:rsid w:val="00026A7F"/>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e"/>
    <w:uiPriority w:val="99"/>
    <w:rsid w:val="008B1578"/>
    <w:pPr>
      <w:spacing w:line="240" w:lineRule="exact"/>
    </w:pPr>
    <w:rPr>
      <w:rFonts w:asciiTheme="minorHAnsi" w:eastAsiaTheme="minorHAnsi" w:hAnsiTheme="minorHAnsi"/>
      <w:vertAlign w:val="superscript"/>
    </w:rPr>
  </w:style>
  <w:style w:type="character" w:styleId="afb">
    <w:name w:val="annotation reference"/>
    <w:basedOn w:val="a0"/>
    <w:uiPriority w:val="99"/>
    <w:semiHidden/>
    <w:unhideWhenUsed/>
    <w:rsid w:val="004322D6"/>
    <w:rPr>
      <w:sz w:val="16"/>
      <w:szCs w:val="16"/>
    </w:rPr>
  </w:style>
  <w:style w:type="paragraph" w:styleId="afc">
    <w:name w:val="annotation text"/>
    <w:basedOn w:val="a"/>
    <w:link w:val="afd"/>
    <w:uiPriority w:val="99"/>
    <w:semiHidden/>
    <w:unhideWhenUsed/>
    <w:rsid w:val="004322D6"/>
    <w:pPr>
      <w:spacing w:line="240" w:lineRule="auto"/>
    </w:pPr>
    <w:rPr>
      <w:sz w:val="20"/>
      <w:szCs w:val="20"/>
    </w:rPr>
  </w:style>
  <w:style w:type="character" w:customStyle="1" w:styleId="afd">
    <w:name w:val="Текст примечания Знак"/>
    <w:basedOn w:val="a0"/>
    <w:link w:val="afc"/>
    <w:uiPriority w:val="99"/>
    <w:semiHidden/>
    <w:rsid w:val="004322D6"/>
    <w:rPr>
      <w:rFonts w:ascii="Calibri" w:eastAsia="Times New Roman" w:hAnsi="Calibri" w:cs="Times New Roman"/>
      <w:sz w:val="20"/>
      <w:szCs w:val="20"/>
    </w:rPr>
  </w:style>
  <w:style w:type="paragraph" w:styleId="afe">
    <w:name w:val="annotation subject"/>
    <w:basedOn w:val="afc"/>
    <w:next w:val="afc"/>
    <w:link w:val="aff"/>
    <w:uiPriority w:val="99"/>
    <w:semiHidden/>
    <w:unhideWhenUsed/>
    <w:rsid w:val="004322D6"/>
    <w:rPr>
      <w:b/>
      <w:bCs/>
    </w:rPr>
  </w:style>
  <w:style w:type="character" w:customStyle="1" w:styleId="aff">
    <w:name w:val="Тема примечания Знак"/>
    <w:basedOn w:val="afd"/>
    <w:link w:val="afe"/>
    <w:uiPriority w:val="99"/>
    <w:semiHidden/>
    <w:rsid w:val="004322D6"/>
    <w:rPr>
      <w:rFonts w:ascii="Calibri" w:eastAsia="Times New Roman" w:hAnsi="Calibri" w:cs="Times New Roman"/>
      <w:b/>
      <w:bCs/>
      <w:sz w:val="20"/>
      <w:szCs w:val="20"/>
    </w:rPr>
  </w:style>
  <w:style w:type="paragraph" w:styleId="aff0">
    <w:name w:val="Revision"/>
    <w:hidden/>
    <w:uiPriority w:val="99"/>
    <w:semiHidden/>
    <w:rsid w:val="00C75B1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7084">
      <w:bodyDiv w:val="1"/>
      <w:marLeft w:val="0"/>
      <w:marRight w:val="0"/>
      <w:marTop w:val="0"/>
      <w:marBottom w:val="0"/>
      <w:divBdr>
        <w:top w:val="none" w:sz="0" w:space="0" w:color="auto"/>
        <w:left w:val="none" w:sz="0" w:space="0" w:color="auto"/>
        <w:bottom w:val="none" w:sz="0" w:space="0" w:color="auto"/>
        <w:right w:val="none" w:sz="0" w:space="0" w:color="auto"/>
      </w:divBdr>
    </w:div>
    <w:div w:id="237862061">
      <w:bodyDiv w:val="1"/>
      <w:marLeft w:val="0"/>
      <w:marRight w:val="0"/>
      <w:marTop w:val="0"/>
      <w:marBottom w:val="0"/>
      <w:divBdr>
        <w:top w:val="none" w:sz="0" w:space="0" w:color="auto"/>
        <w:left w:val="none" w:sz="0" w:space="0" w:color="auto"/>
        <w:bottom w:val="none" w:sz="0" w:space="0" w:color="auto"/>
        <w:right w:val="none" w:sz="0" w:space="0" w:color="auto"/>
      </w:divBdr>
    </w:div>
    <w:div w:id="657734187">
      <w:bodyDiv w:val="1"/>
      <w:marLeft w:val="0"/>
      <w:marRight w:val="0"/>
      <w:marTop w:val="0"/>
      <w:marBottom w:val="0"/>
      <w:divBdr>
        <w:top w:val="none" w:sz="0" w:space="0" w:color="auto"/>
        <w:left w:val="none" w:sz="0" w:space="0" w:color="auto"/>
        <w:bottom w:val="none" w:sz="0" w:space="0" w:color="auto"/>
        <w:right w:val="none" w:sz="0" w:space="0" w:color="auto"/>
      </w:divBdr>
    </w:div>
    <w:div w:id="1064764817">
      <w:bodyDiv w:val="1"/>
      <w:marLeft w:val="0"/>
      <w:marRight w:val="0"/>
      <w:marTop w:val="0"/>
      <w:marBottom w:val="0"/>
      <w:divBdr>
        <w:top w:val="none" w:sz="0" w:space="0" w:color="auto"/>
        <w:left w:val="none" w:sz="0" w:space="0" w:color="auto"/>
        <w:bottom w:val="none" w:sz="0" w:space="0" w:color="auto"/>
        <w:right w:val="none" w:sz="0" w:space="0" w:color="auto"/>
      </w:divBdr>
    </w:div>
    <w:div w:id="1746953596">
      <w:bodyDiv w:val="1"/>
      <w:marLeft w:val="0"/>
      <w:marRight w:val="0"/>
      <w:marTop w:val="0"/>
      <w:marBottom w:val="0"/>
      <w:divBdr>
        <w:top w:val="none" w:sz="0" w:space="0" w:color="auto"/>
        <w:left w:val="none" w:sz="0" w:space="0" w:color="auto"/>
        <w:bottom w:val="none" w:sz="0" w:space="0" w:color="auto"/>
        <w:right w:val="none" w:sz="0" w:space="0" w:color="auto"/>
      </w:divBdr>
    </w:div>
    <w:div w:id="1905410380">
      <w:bodyDiv w:val="1"/>
      <w:marLeft w:val="0"/>
      <w:marRight w:val="0"/>
      <w:marTop w:val="0"/>
      <w:marBottom w:val="0"/>
      <w:divBdr>
        <w:top w:val="none" w:sz="0" w:space="0" w:color="auto"/>
        <w:left w:val="none" w:sz="0" w:space="0" w:color="auto"/>
        <w:bottom w:val="none" w:sz="0" w:space="0" w:color="auto"/>
        <w:right w:val="none" w:sz="0" w:space="0" w:color="auto"/>
      </w:divBdr>
    </w:div>
    <w:div w:id="191104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istica.md" TargetMode="External"/><Relationship Id="rId18" Type="http://schemas.openxmlformats.org/officeDocument/2006/relationships/chart" Target="charts/chart7.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statistica.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theme" Target="theme/theme1.xml"/><Relationship Id="rId10" Type="http://schemas.openxmlformats.org/officeDocument/2006/relationships/hyperlink" Target="mailto:ccrm@ccrm.md"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8.xml"/><Relationship Id="rId1" Type="http://schemas.microsoft.com/office/2011/relationships/chartStyle" Target="style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en-US" sz="1400">
                <a:solidFill>
                  <a:sysClr val="windowText" lastClr="000000"/>
                </a:solidFill>
              </a:rPr>
              <a:t>Datoria sectorului public la situația din 31.12.2018</a:t>
            </a:r>
          </a:p>
        </c:rich>
      </c:tx>
      <c:layout>
        <c:manualLayout>
          <c:xMode val="edge"/>
          <c:yMode val="edge"/>
          <c:x val="0.1720888055979567"/>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8.3646353105259946E-2"/>
          <c:y val="0.19681383514878462"/>
          <c:w val="0.8669125462928482"/>
          <c:h val="0.65039648620088752"/>
        </c:manualLayout>
      </c:layout>
      <c:ofPieChart>
        <c:ofPieType val="pie"/>
        <c:varyColors val="1"/>
        <c:ser>
          <c:idx val="0"/>
          <c:order val="0"/>
          <c:tx>
            <c:strRef>
              <c:f>Sheet1!$B$1</c:f>
              <c:strCache>
                <c:ptCount val="1"/>
                <c:pt idx="0">
                  <c:v>Datoria sectorului public la situația din 31.12.2018</c:v>
                </c:pt>
              </c:strCache>
            </c:strRef>
          </c:tx>
          <c:spPr>
            <a:ln>
              <a:gradFill flip="none" rotWithShape="1">
                <a:gsLst>
                  <a:gs pos="1000">
                    <a:schemeClr val="tx1"/>
                  </a:gs>
                  <a:gs pos="65000">
                    <a:schemeClr val="tx1"/>
                  </a:gs>
                  <a:gs pos="48000">
                    <a:schemeClr val="tx1"/>
                  </a:gs>
                </a:gsLst>
                <a:path path="circle">
                  <a:fillToRect l="50000" t="130000" r="50000" b="-30000"/>
                </a:path>
                <a:tileRect/>
              </a:gradFill>
            </a:ln>
            <a:effectLst>
              <a:outerShdw algn="ctr" rotWithShape="0">
                <a:schemeClr val="tx1">
                  <a:alpha val="43000"/>
                </a:schemeClr>
              </a:outerShdw>
              <a:softEdge rad="0"/>
            </a:effectLst>
            <a:scene3d>
              <a:camera prst="orthographicFront"/>
              <a:lightRig rig="threePt" dir="t"/>
            </a:scene3d>
            <a:sp3d>
              <a:bevelT w="6350"/>
              <a:bevelB w="6350"/>
            </a:sp3d>
          </c:spPr>
          <c:dPt>
            <c:idx val="0"/>
            <c:bubble3D val="0"/>
            <c:spPr>
              <a:solidFill>
                <a:schemeClr val="accent1"/>
              </a:solidFill>
              <a:ln>
                <a:gradFill flip="none" rotWithShape="1">
                  <a:gsLst>
                    <a:gs pos="1000">
                      <a:schemeClr val="tx1"/>
                    </a:gs>
                    <a:gs pos="65000">
                      <a:schemeClr val="tx1"/>
                    </a:gs>
                    <a:gs pos="48000">
                      <a:schemeClr val="tx1"/>
                    </a:gs>
                  </a:gsLst>
                  <a:path path="circle">
                    <a:fillToRect l="50000" t="130000" r="50000" b="-30000"/>
                  </a:path>
                  <a:tileRect/>
                </a:gradFill>
              </a:ln>
              <a:effectLst>
                <a:outerShdw algn="ctr" rotWithShape="0">
                  <a:schemeClr val="tx1">
                    <a:alpha val="43000"/>
                  </a:schemeClr>
                </a:outerShdw>
                <a:softEdge rad="0"/>
              </a:effectLst>
              <a:scene3d>
                <a:camera prst="orthographicFront"/>
                <a:lightRig rig="threePt" dir="t"/>
              </a:scene3d>
              <a:sp3d>
                <a:bevelT w="6350"/>
                <a:bevelB w="6350"/>
              </a:sp3d>
            </c:spPr>
            <c:extLst xmlns:c16r2="http://schemas.microsoft.com/office/drawing/2015/06/chart">
              <c:ext xmlns:c16="http://schemas.microsoft.com/office/drawing/2014/chart" uri="{C3380CC4-5D6E-409C-BE32-E72D297353CC}">
                <c16:uniqueId val="{00000006-47B6-4435-A6B7-EFB35E56E188}"/>
              </c:ext>
            </c:extLst>
          </c:dPt>
          <c:dPt>
            <c:idx val="1"/>
            <c:bubble3D val="0"/>
            <c:spPr>
              <a:solidFill>
                <a:schemeClr val="accent2"/>
              </a:solidFill>
              <a:ln>
                <a:gradFill flip="none" rotWithShape="1">
                  <a:gsLst>
                    <a:gs pos="1000">
                      <a:schemeClr val="tx1"/>
                    </a:gs>
                    <a:gs pos="65000">
                      <a:schemeClr val="tx1"/>
                    </a:gs>
                    <a:gs pos="48000">
                      <a:schemeClr val="tx1"/>
                    </a:gs>
                  </a:gsLst>
                  <a:path path="circle">
                    <a:fillToRect l="50000" t="130000" r="50000" b="-30000"/>
                  </a:path>
                  <a:tileRect/>
                </a:gradFill>
              </a:ln>
              <a:effectLst>
                <a:outerShdw algn="ctr" rotWithShape="0">
                  <a:schemeClr val="tx1">
                    <a:alpha val="43000"/>
                  </a:schemeClr>
                </a:outerShdw>
                <a:softEdge rad="0"/>
              </a:effectLst>
              <a:scene3d>
                <a:camera prst="orthographicFront"/>
                <a:lightRig rig="threePt" dir="t"/>
              </a:scene3d>
              <a:sp3d>
                <a:bevelT w="6350"/>
                <a:bevelB w="6350"/>
              </a:sp3d>
            </c:spPr>
            <c:extLst xmlns:c16r2="http://schemas.microsoft.com/office/drawing/2015/06/chart">
              <c:ext xmlns:c16="http://schemas.microsoft.com/office/drawing/2014/chart" uri="{C3380CC4-5D6E-409C-BE32-E72D297353CC}">
                <c16:uniqueId val="{00000007-47B6-4435-A6B7-EFB35E56E188}"/>
              </c:ext>
            </c:extLst>
          </c:dPt>
          <c:dPt>
            <c:idx val="2"/>
            <c:bubble3D val="0"/>
            <c:spPr>
              <a:solidFill>
                <a:schemeClr val="accent3"/>
              </a:solidFill>
              <a:ln>
                <a:gradFill flip="none" rotWithShape="1">
                  <a:gsLst>
                    <a:gs pos="1000">
                      <a:schemeClr val="tx1"/>
                    </a:gs>
                    <a:gs pos="65000">
                      <a:schemeClr val="tx1"/>
                    </a:gs>
                    <a:gs pos="48000">
                      <a:schemeClr val="tx1"/>
                    </a:gs>
                  </a:gsLst>
                  <a:path path="circle">
                    <a:fillToRect l="50000" t="130000" r="50000" b="-30000"/>
                  </a:path>
                  <a:tileRect/>
                </a:gradFill>
              </a:ln>
              <a:effectLst>
                <a:outerShdw algn="ctr" rotWithShape="0">
                  <a:schemeClr val="tx1">
                    <a:alpha val="43000"/>
                  </a:schemeClr>
                </a:outerShdw>
                <a:softEdge rad="0"/>
              </a:effectLst>
              <a:scene3d>
                <a:camera prst="orthographicFront"/>
                <a:lightRig rig="threePt" dir="t"/>
              </a:scene3d>
              <a:sp3d>
                <a:bevelT w="6350"/>
                <a:bevelB w="6350"/>
              </a:sp3d>
            </c:spPr>
            <c:extLst xmlns:c16r2="http://schemas.microsoft.com/office/drawing/2015/06/chart">
              <c:ext xmlns:c16="http://schemas.microsoft.com/office/drawing/2014/chart" uri="{C3380CC4-5D6E-409C-BE32-E72D297353CC}">
                <c16:uniqueId val="{00000008-47B6-4435-A6B7-EFB35E56E188}"/>
              </c:ext>
            </c:extLst>
          </c:dPt>
          <c:dPt>
            <c:idx val="3"/>
            <c:bubble3D val="0"/>
            <c:spPr>
              <a:solidFill>
                <a:schemeClr val="accent4"/>
              </a:solidFill>
              <a:ln>
                <a:gradFill flip="none" rotWithShape="1">
                  <a:gsLst>
                    <a:gs pos="1000">
                      <a:schemeClr val="tx1"/>
                    </a:gs>
                    <a:gs pos="65000">
                      <a:schemeClr val="tx1"/>
                    </a:gs>
                    <a:gs pos="48000">
                      <a:schemeClr val="tx1"/>
                    </a:gs>
                  </a:gsLst>
                  <a:path path="circle">
                    <a:fillToRect l="50000" t="130000" r="50000" b="-30000"/>
                  </a:path>
                  <a:tileRect/>
                </a:gradFill>
              </a:ln>
              <a:effectLst>
                <a:outerShdw algn="ctr" rotWithShape="0">
                  <a:schemeClr val="tx1">
                    <a:alpha val="43000"/>
                  </a:schemeClr>
                </a:outerShdw>
                <a:softEdge rad="0"/>
              </a:effectLst>
              <a:scene3d>
                <a:camera prst="orthographicFront"/>
                <a:lightRig rig="threePt" dir="t"/>
              </a:scene3d>
              <a:sp3d>
                <a:bevelT w="6350"/>
                <a:bevelB w="6350"/>
              </a:sp3d>
            </c:spPr>
            <c:extLst xmlns:c16r2="http://schemas.microsoft.com/office/drawing/2015/06/chart">
              <c:ext xmlns:c16="http://schemas.microsoft.com/office/drawing/2014/chart" uri="{C3380CC4-5D6E-409C-BE32-E72D297353CC}">
                <c16:uniqueId val="{00000005-47B6-4435-A6B7-EFB35E56E188}"/>
              </c:ext>
            </c:extLst>
          </c:dPt>
          <c:dPt>
            <c:idx val="4"/>
            <c:bubble3D val="0"/>
            <c:spPr>
              <a:solidFill>
                <a:schemeClr val="accent1">
                  <a:lumMod val="60000"/>
                  <a:lumOff val="40000"/>
                </a:schemeClr>
              </a:solidFill>
              <a:ln>
                <a:gradFill flip="none" rotWithShape="1">
                  <a:gsLst>
                    <a:gs pos="1000">
                      <a:schemeClr val="tx1"/>
                    </a:gs>
                    <a:gs pos="65000">
                      <a:schemeClr val="tx1"/>
                    </a:gs>
                    <a:gs pos="48000">
                      <a:schemeClr val="tx1"/>
                    </a:gs>
                  </a:gsLst>
                  <a:path path="circle">
                    <a:fillToRect l="50000" t="130000" r="50000" b="-30000"/>
                  </a:path>
                  <a:tileRect/>
                </a:gradFill>
              </a:ln>
              <a:effectLst>
                <a:outerShdw algn="ctr" rotWithShape="0">
                  <a:schemeClr val="tx1">
                    <a:alpha val="43000"/>
                  </a:schemeClr>
                </a:outerShdw>
                <a:softEdge rad="0"/>
              </a:effectLst>
              <a:scene3d>
                <a:camera prst="orthographicFront"/>
                <a:lightRig rig="threePt" dir="t"/>
              </a:scene3d>
              <a:sp3d>
                <a:bevelT w="6350"/>
                <a:bevelB w="6350"/>
              </a:sp3d>
            </c:spPr>
            <c:extLst xmlns:c16r2="http://schemas.microsoft.com/office/drawing/2015/06/chart">
              <c:ext xmlns:c16="http://schemas.microsoft.com/office/drawing/2014/chart" uri="{C3380CC4-5D6E-409C-BE32-E72D297353CC}">
                <c16:uniqueId val="{00000004-47B6-4435-A6B7-EFB35E56E188}"/>
              </c:ext>
            </c:extLst>
          </c:dPt>
          <c:dPt>
            <c:idx val="5"/>
            <c:bubble3D val="0"/>
            <c:spPr>
              <a:solidFill>
                <a:schemeClr val="accent6"/>
              </a:solidFill>
              <a:ln>
                <a:gradFill flip="none" rotWithShape="1">
                  <a:gsLst>
                    <a:gs pos="1000">
                      <a:schemeClr val="tx1"/>
                    </a:gs>
                    <a:gs pos="65000">
                      <a:schemeClr val="tx1"/>
                    </a:gs>
                    <a:gs pos="48000">
                      <a:schemeClr val="tx1"/>
                    </a:gs>
                  </a:gsLst>
                  <a:path path="circle">
                    <a:fillToRect l="50000" t="130000" r="50000" b="-30000"/>
                  </a:path>
                  <a:tileRect/>
                </a:gradFill>
              </a:ln>
              <a:effectLst>
                <a:outerShdw algn="ctr" rotWithShape="0">
                  <a:schemeClr val="tx1">
                    <a:alpha val="43000"/>
                  </a:schemeClr>
                </a:outerShdw>
                <a:softEdge rad="0"/>
              </a:effectLst>
              <a:scene3d>
                <a:camera prst="orthographicFront"/>
                <a:lightRig rig="threePt" dir="t"/>
              </a:scene3d>
              <a:sp3d>
                <a:bevelT w="6350"/>
                <a:bevelB w="6350"/>
              </a:sp3d>
            </c:spPr>
            <c:extLst xmlns:c16r2="http://schemas.microsoft.com/office/drawing/2015/06/chart">
              <c:ext xmlns:c16="http://schemas.microsoft.com/office/drawing/2014/chart" uri="{C3380CC4-5D6E-409C-BE32-E72D297353CC}">
                <c16:uniqueId val="{00000003-47B6-4435-A6B7-EFB35E56E188}"/>
              </c:ext>
            </c:extLst>
          </c:dPt>
          <c:dPt>
            <c:idx val="6"/>
            <c:bubble3D val="0"/>
            <c:spPr>
              <a:solidFill>
                <a:schemeClr val="accent6">
                  <a:lumMod val="60000"/>
                  <a:lumOff val="40000"/>
                </a:schemeClr>
              </a:solidFill>
              <a:ln>
                <a:gradFill flip="none" rotWithShape="1">
                  <a:gsLst>
                    <a:gs pos="1000">
                      <a:schemeClr val="tx1"/>
                    </a:gs>
                    <a:gs pos="65000">
                      <a:schemeClr val="tx1"/>
                    </a:gs>
                    <a:gs pos="48000">
                      <a:schemeClr val="tx1"/>
                    </a:gs>
                  </a:gsLst>
                  <a:path path="circle">
                    <a:fillToRect l="50000" t="130000" r="50000" b="-30000"/>
                  </a:path>
                  <a:tileRect/>
                </a:gradFill>
              </a:ln>
              <a:effectLst>
                <a:outerShdw algn="ctr" rotWithShape="0">
                  <a:schemeClr val="tx1">
                    <a:alpha val="43000"/>
                  </a:schemeClr>
                </a:outerShdw>
                <a:softEdge rad="0"/>
              </a:effectLst>
              <a:scene3d>
                <a:camera prst="orthographicFront"/>
                <a:lightRig rig="threePt" dir="t"/>
              </a:scene3d>
              <a:sp3d>
                <a:bevelT w="6350"/>
                <a:bevelB w="6350"/>
              </a:sp3d>
            </c:spPr>
            <c:extLst xmlns:c16r2="http://schemas.microsoft.com/office/drawing/2015/06/chart">
              <c:ext xmlns:c16="http://schemas.microsoft.com/office/drawing/2014/chart" uri="{C3380CC4-5D6E-409C-BE32-E72D297353CC}">
                <c16:uniqueId val="{00000001-47B6-4435-A6B7-EFB35E56E188}"/>
              </c:ext>
            </c:extLst>
          </c:dPt>
          <c:dLbls>
            <c:dLbl>
              <c:idx val="0"/>
              <c:delete val="1"/>
              <c:extLst xmlns:c16r2="http://schemas.microsoft.com/office/drawing/2015/06/chart">
                <c:ext xmlns:c16="http://schemas.microsoft.com/office/drawing/2014/chart" uri="{C3380CC4-5D6E-409C-BE32-E72D297353CC}">
                  <c16:uniqueId val="{00000006-47B6-4435-A6B7-EFB35E56E188}"/>
                </c:ext>
                <c:ext xmlns:c15="http://schemas.microsoft.com/office/drawing/2012/chart" uri="{CE6537A1-D6FC-4f65-9D91-7224C49458BB}"/>
              </c:extLst>
            </c:dLbl>
            <c:dLbl>
              <c:idx val="1"/>
              <c:layout>
                <c:manualLayout>
                  <c:x val="9.7529806839493204E-3"/>
                  <c:y val="6.7579005642203191E-2"/>
                </c:manualLayout>
              </c:layout>
              <c:tx>
                <c:rich>
                  <a:bodyPr/>
                  <a:lstStyle/>
                  <a:p>
                    <a:r>
                      <a:rPr lang="en-US" sz="800">
                        <a:solidFill>
                          <a:sysClr val="windowText" lastClr="000000"/>
                        </a:solidFill>
                      </a:rPr>
                      <a:t>Datoria BNM </a:t>
                    </a:r>
                  </a:p>
                  <a:p>
                    <a:fld id="{51C82FB9-9565-40C7-9FB0-4F18F518D8C8}" type="VALUE">
                      <a:rPr lang="en-US" sz="800">
                        <a:solidFill>
                          <a:sysClr val="windowText" lastClr="000000"/>
                        </a:solidFill>
                      </a:rPr>
                      <a:pPr/>
                      <a:t>[ЗНАЧЕНИЕ]</a:t>
                    </a:fld>
                    <a:r>
                      <a:rPr lang="en-US" sz="800">
                        <a:solidFill>
                          <a:sysClr val="windowText" lastClr="000000"/>
                        </a:solidFill>
                      </a:rPr>
                      <a:t> mil.MDL</a:t>
                    </a:r>
                  </a:p>
                </c:rich>
              </c:tx>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47B6-4435-A6B7-EFB35E56E188}"/>
                </c:ext>
                <c:ext xmlns:c15="http://schemas.microsoft.com/office/drawing/2012/chart" uri="{CE6537A1-D6FC-4f65-9D91-7224C49458BB}">
                  <c15:dlblFieldTable/>
                  <c15:showDataLabelsRange val="0"/>
                </c:ext>
              </c:extLst>
            </c:dLbl>
            <c:dLbl>
              <c:idx val="2"/>
              <c:layout>
                <c:manualLayout>
                  <c:x val="-2.8590664867987996E-3"/>
                  <c:y val="2.4554092709171908E-2"/>
                </c:manualLayout>
              </c:layout>
              <c:tx>
                <c:rich>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mn-lt"/>
                        <a:ea typeface="+mn-ea"/>
                        <a:cs typeface="+mn-cs"/>
                      </a:defRPr>
                    </a:pPr>
                    <a:r>
                      <a:rPr lang="en-US"/>
                      <a:t>Datoria UAT </a:t>
                    </a:r>
                    <a:fld id="{1BC8DB25-1E58-4727-A230-740F446966B5}" type="VALUE">
                      <a:rPr lang="en-US"/>
                      <a:pPr>
                        <a:defRPr sz="800">
                          <a:solidFill>
                            <a:sysClr val="windowText" lastClr="000000"/>
                          </a:solidFill>
                        </a:defRPr>
                      </a:pPr>
                      <a:t>[ЗНАЧЕНИЕ]</a:t>
                    </a:fld>
                    <a:r>
                      <a:rPr lang="en-US"/>
                      <a:t> mil.MDL</a:t>
                    </a:r>
                  </a:p>
                </c:rich>
              </c:tx>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8-47B6-4435-A6B7-EFB35E56E188}"/>
                </c:ext>
                <c:ext xmlns:c15="http://schemas.microsoft.com/office/drawing/2012/chart" uri="{CE6537A1-D6FC-4f65-9D91-7224C49458BB}">
                  <c15:layout>
                    <c:manualLayout>
                      <c:w val="0.13356172266944705"/>
                      <c:h val="0.12035771672693024"/>
                    </c:manualLayout>
                  </c15:layout>
                  <c15:dlblFieldTable/>
                  <c15:showDataLabelsRange val="0"/>
                </c:ext>
              </c:extLst>
            </c:dLbl>
            <c:dLbl>
              <c:idx val="3"/>
              <c:layout>
                <c:manualLayout>
                  <c:x val="1.1342171007643822E-3"/>
                  <c:y val="-0.1353126017328754"/>
                </c:manualLayout>
              </c:layout>
              <c:tx>
                <c:rich>
                  <a:bodyPr/>
                  <a:lstStyle/>
                  <a:p>
                    <a:r>
                      <a:rPr lang="en-US"/>
                      <a:t>Datoria întreprinderilor din sectorul public </a:t>
                    </a:r>
                    <a:fld id="{D40E6C66-DF82-4E9B-A7FA-000349DA6B1F}" type="VALUE">
                      <a:rPr lang="en-US"/>
                      <a:pPr/>
                      <a:t>[ЗНАЧЕНИЕ]</a:t>
                    </a:fld>
                    <a:r>
                      <a:rPr lang="en-US" baseline="0"/>
                      <a:t> mil.MDL</a:t>
                    </a:r>
                  </a:p>
                </c:rich>
              </c:tx>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47B6-4435-A6B7-EFB35E56E188}"/>
                </c:ext>
                <c:ext xmlns:c15="http://schemas.microsoft.com/office/drawing/2012/chart" uri="{CE6537A1-D6FC-4f65-9D91-7224C49458BB}">
                  <c15:dlblFieldTable/>
                  <c15:showDataLabelsRange val="0"/>
                </c:ext>
              </c:extLst>
            </c:dLbl>
            <c:dLbl>
              <c:idx val="4"/>
              <c:layout>
                <c:manualLayout>
                  <c:x val="6.1834718576844562E-2"/>
                  <c:y val="0.18332145981752282"/>
                </c:manualLayout>
              </c:layout>
              <c:tx>
                <c:rich>
                  <a:bodyPr/>
                  <a:lstStyle/>
                  <a:p>
                    <a:r>
                      <a:rPr lang="en-US">
                        <a:solidFill>
                          <a:sysClr val="windowText" lastClr="000000"/>
                        </a:solidFill>
                      </a:rPr>
                      <a:t>Datoria</a:t>
                    </a:r>
                    <a:r>
                      <a:rPr lang="en-US" baseline="0">
                        <a:solidFill>
                          <a:sysClr val="windowText" lastClr="000000"/>
                        </a:solidFill>
                      </a:rPr>
                      <a:t> de stat externă </a:t>
                    </a:r>
                  </a:p>
                  <a:p>
                    <a:fld id="{A247A891-BD0A-4366-B5B0-B903C1CAF943}" type="VALUE">
                      <a:rPr lang="en-US">
                        <a:solidFill>
                          <a:sysClr val="windowText" lastClr="000000"/>
                        </a:solidFill>
                      </a:rPr>
                      <a:pPr/>
                      <a:t>[ЗНАЧЕНИЕ]</a:t>
                    </a:fld>
                    <a:r>
                      <a:rPr lang="en-US">
                        <a:solidFill>
                          <a:sysClr val="windowText" lastClr="000000"/>
                        </a:solidFill>
                      </a:rPr>
                      <a:t>,0 mil.MDL</a:t>
                    </a:r>
                  </a:p>
                </c:rich>
              </c:tx>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4-47B6-4435-A6B7-EFB35E56E188}"/>
                </c:ext>
                <c:ext xmlns:c15="http://schemas.microsoft.com/office/drawing/2012/chart" uri="{CE6537A1-D6FC-4f65-9D91-7224C49458BB}">
                  <c15:dlblFieldTable/>
                  <c15:showDataLabelsRange val="0"/>
                </c:ext>
              </c:extLst>
            </c:dLbl>
            <c:dLbl>
              <c:idx val="5"/>
              <c:layout>
                <c:manualLayout>
                  <c:x val="-5.5240412656751239E-2"/>
                  <c:y val="-0.18728971378577686"/>
                </c:manualLayout>
              </c:layout>
              <c:tx>
                <c:rich>
                  <a:bodyPr/>
                  <a:lstStyle/>
                  <a:p>
                    <a:r>
                      <a:rPr lang="en-US" sz="800">
                        <a:solidFill>
                          <a:sysClr val="windowText" lastClr="000000"/>
                        </a:solidFill>
                      </a:rPr>
                      <a:t>Datoria</a:t>
                    </a:r>
                    <a:r>
                      <a:rPr lang="en-US" sz="800" baseline="0">
                        <a:solidFill>
                          <a:sysClr val="windowText" lastClr="000000"/>
                        </a:solidFill>
                      </a:rPr>
                      <a:t> de stat internă </a:t>
                    </a:r>
                    <a:fld id="{BD5950F8-64D9-48A0-A195-F9C4521E28CD}" type="VALUE">
                      <a:rPr lang="en-US" sz="800">
                        <a:solidFill>
                          <a:sysClr val="windowText" lastClr="000000"/>
                        </a:solidFill>
                      </a:rPr>
                      <a:pPr/>
                      <a:t>[ЗНАЧЕНИЕ]</a:t>
                    </a:fld>
                    <a:r>
                      <a:rPr lang="en-US" sz="800" baseline="0">
                        <a:solidFill>
                          <a:sysClr val="windowText" lastClr="000000"/>
                        </a:solidFill>
                      </a:rPr>
                      <a:t> </a:t>
                    </a:r>
                    <a:r>
                      <a:rPr lang="en-US" sz="800" b="1" i="0" u="none" strike="noStrike" kern="1200" baseline="0">
                        <a:solidFill>
                          <a:sysClr val="windowText" lastClr="000000"/>
                        </a:solidFill>
                        <a:latin typeface="+mn-lt"/>
                        <a:ea typeface="+mn-ea"/>
                        <a:cs typeface="+mn-cs"/>
                      </a:rPr>
                      <a:t>mil.MDL</a:t>
                    </a:r>
                  </a:p>
                </c:rich>
              </c:tx>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47B6-4435-A6B7-EFB35E56E188}"/>
                </c:ext>
                <c:ext xmlns:c15="http://schemas.microsoft.com/office/drawing/2012/chart" uri="{CE6537A1-D6FC-4f65-9D91-7224C49458BB}">
                  <c15:dlblFieldTable/>
                  <c15:showDataLabelsRange val="0"/>
                </c:ext>
              </c:extLst>
            </c:dLbl>
            <c:dLbl>
              <c:idx val="6"/>
              <c:layout>
                <c:manualLayout>
                  <c:x val="-0.20472881023148118"/>
                  <c:y val="-9.4898689288866606E-2"/>
                </c:manualLayout>
              </c:layout>
              <c:tx>
                <c:rich>
                  <a:bodyPr/>
                  <a:lstStyle/>
                  <a:p>
                    <a:r>
                      <a:rPr lang="en-US" sz="900">
                        <a:solidFill>
                          <a:sysClr val="windowText" lastClr="000000"/>
                        </a:solidFill>
                      </a:rPr>
                      <a:t>Datoria de stat 52012,5 mil.MDL</a:t>
                    </a:r>
                  </a:p>
                </c:rich>
              </c:tx>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47B6-4435-A6B7-EFB35E56E18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Sheet1!$A$2:$A$7</c:f>
              <c:strCache>
                <c:ptCount val="6"/>
                <c:pt idx="0">
                  <c:v>Datoria de stat</c:v>
                </c:pt>
                <c:pt idx="1">
                  <c:v>Datoria BNM</c:v>
                </c:pt>
                <c:pt idx="2">
                  <c:v>Datoria UAT</c:v>
                </c:pt>
                <c:pt idx="3">
                  <c:v>Datoria întreprinderilor din sectorul public la situația din 31.12.2018</c:v>
                </c:pt>
                <c:pt idx="4">
                  <c:v>Datoria de stat externă</c:v>
                </c:pt>
                <c:pt idx="5">
                  <c:v>Datoria de stat internă</c:v>
                </c:pt>
              </c:strCache>
            </c:strRef>
          </c:cat>
          <c:val>
            <c:numRef>
              <c:f>Sheet1!$B$2:$B$7</c:f>
              <c:numCache>
                <c:formatCode>General</c:formatCode>
                <c:ptCount val="6"/>
                <c:pt idx="0">
                  <c:v>0</c:v>
                </c:pt>
                <c:pt idx="1">
                  <c:v>3733.7</c:v>
                </c:pt>
                <c:pt idx="2">
                  <c:v>329.9</c:v>
                </c:pt>
                <c:pt idx="3">
                  <c:v>1805.2</c:v>
                </c:pt>
                <c:pt idx="4">
                  <c:v>28954</c:v>
                </c:pt>
                <c:pt idx="5">
                  <c:v>23058.6</c:v>
                </c:pt>
              </c:numCache>
            </c:numRef>
          </c:val>
          <c:extLst xmlns:c16r2="http://schemas.microsoft.com/office/drawing/2015/06/chart">
            <c:ext xmlns:c16="http://schemas.microsoft.com/office/drawing/2014/chart" uri="{C3380CC4-5D6E-409C-BE32-E72D297353CC}">
              <c16:uniqueId val="{00000000-47B6-4435-A6B7-EFB35E56E188}"/>
            </c:ext>
          </c:extLst>
        </c:ser>
        <c:dLbls>
          <c:dLblPos val="inEnd"/>
          <c:showLegendKey val="0"/>
          <c:showVal val="1"/>
          <c:showCatName val="0"/>
          <c:showSerName val="0"/>
          <c:showPercent val="0"/>
          <c:showBubbleSize val="0"/>
          <c:showLeaderLines val="1"/>
        </c:dLbls>
        <c:gapWidth val="100"/>
        <c:secondPieSize val="75"/>
        <c:serLines>
          <c:spPr>
            <a:ln w="9525" cap="flat" cmpd="sng" algn="ctr">
              <a:solidFill>
                <a:schemeClr val="dk1">
                  <a:lumMod val="35000"/>
                  <a:lumOff val="65000"/>
                </a:schemeClr>
              </a:solidFill>
              <a:round/>
            </a:ln>
            <a:effectLst/>
          </c:spPr>
        </c:serLines>
      </c:ofPieChart>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a:scene3d>
      <a:camera prst="orthographicFront"/>
      <a:lightRig rig="threePt" dir="t"/>
    </a:scene3d>
    <a:sp3d prstMaterial="softEdge"/>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r>
              <a:rPr lang="ro-MD" sz="1200" b="1" i="0" baseline="0">
                <a:solidFill>
                  <a:sysClr val="windowText" lastClr="000000"/>
                </a:solidFill>
                <a:effectLst/>
                <a:latin typeface="Times New Roman" panose="02020603050405020304" pitchFamily="18" charset="0"/>
                <a:cs typeface="Times New Roman" panose="02020603050405020304" pitchFamily="18" charset="0"/>
              </a:rPr>
              <a:t>Evoluția ratelor dobânzilor la instrumentele financiare în anul 2018</a:t>
            </a:r>
            <a:endParaRPr lang="en-US" sz="12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6.8129315693945341E-2"/>
          <c:y val="0.12222222222222222"/>
          <c:w val="0.9023721592323084"/>
          <c:h val="0.63554618172728405"/>
        </c:manualLayout>
      </c:layout>
      <c:lineChart>
        <c:grouping val="standard"/>
        <c:varyColors val="0"/>
        <c:ser>
          <c:idx val="0"/>
          <c:order val="0"/>
          <c:tx>
            <c:strRef>
              <c:f>Sheet1!$B$1</c:f>
              <c:strCache>
                <c:ptCount val="1"/>
                <c:pt idx="0">
                  <c:v>Rata medie ponderată la VMS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9515381373788463E-2"/>
                  <c:y val="3.77280964879390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569-48B9-8C9F-7473B363B1EE}"/>
                </c:ext>
                <c:ext xmlns:c15="http://schemas.microsoft.com/office/drawing/2012/chart" uri="{CE6537A1-D6FC-4f65-9D91-7224C49458BB}"/>
              </c:extLst>
            </c:dLbl>
            <c:dLbl>
              <c:idx val="1"/>
              <c:layout>
                <c:manualLayout>
                  <c:x val="-4.3194268857985711E-2"/>
                  <c:y val="3.375984251968503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BC4-4431-886E-061074B970D1}"/>
                </c:ext>
                <c:ext xmlns:c15="http://schemas.microsoft.com/office/drawing/2012/chart" uri="{CE6537A1-D6FC-4f65-9D91-7224C49458BB}"/>
              </c:extLst>
            </c:dLbl>
            <c:dLbl>
              <c:idx val="2"/>
              <c:layout>
                <c:manualLayout>
                  <c:x val="-3.47661188369153E-2"/>
                  <c:y val="4.169635045619290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569-48B9-8C9F-7473B363B1EE}"/>
                </c:ext>
                <c:ext xmlns:c15="http://schemas.microsoft.com/office/drawing/2012/chart" uri="{CE6537A1-D6FC-4f65-9D91-7224C49458BB}"/>
              </c:extLst>
            </c:dLbl>
            <c:dLbl>
              <c:idx val="3"/>
              <c:layout>
                <c:manualLayout>
                  <c:x val="-3.4766118836915334E-2"/>
                  <c:y val="4.963285839270098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569-48B9-8C9F-7473B363B1EE}"/>
                </c:ext>
                <c:ext xmlns:c15="http://schemas.microsoft.com/office/drawing/2012/chart" uri="{CE6537A1-D6FC-4f65-9D91-7224C49458BB}"/>
              </c:extLst>
            </c:dLbl>
            <c:dLbl>
              <c:idx val="4"/>
              <c:layout>
                <c:manualLayout>
                  <c:x val="-3.687315634218289E-2"/>
                  <c:y val="4.566460442444694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BC4-4431-886E-061074B970D1}"/>
                </c:ext>
                <c:ext xmlns:c15="http://schemas.microsoft.com/office/drawing/2012/chart" uri="{CE6537A1-D6FC-4f65-9D91-7224C49458BB}"/>
              </c:extLst>
            </c:dLbl>
            <c:dLbl>
              <c:idx val="5"/>
              <c:layout>
                <c:manualLayout>
                  <c:x val="-4.7408343868520858E-2"/>
                  <c:y val="2.58233345831771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BC4-4431-886E-061074B970D1}"/>
                </c:ext>
                <c:ext xmlns:c15="http://schemas.microsoft.com/office/drawing/2012/chart" uri="{CE6537A1-D6FC-4f65-9D91-7224C49458BB}"/>
              </c:extLst>
            </c:dLbl>
            <c:dLbl>
              <c:idx val="6"/>
              <c:layout>
                <c:manualLayout>
                  <c:x val="-3.4766118836915376E-2"/>
                  <c:y val="4.566460442444694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569-48B9-8C9F-7473B363B1EE}"/>
                </c:ext>
                <c:ext xmlns:c15="http://schemas.microsoft.com/office/drawing/2012/chart" uri="{CE6537A1-D6FC-4f65-9D91-7224C49458BB}"/>
              </c:extLst>
            </c:dLbl>
            <c:dLbl>
              <c:idx val="7"/>
              <c:layout>
                <c:manualLayout>
                  <c:x val="-3.8980193847450564E-2"/>
                  <c:y val="3.77280964879389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569-48B9-8C9F-7473B363B1EE}"/>
                </c:ext>
                <c:ext xmlns:c15="http://schemas.microsoft.com/office/drawing/2012/chart" uri="{CE6537A1-D6FC-4f65-9D91-7224C49458BB}"/>
              </c:extLst>
            </c:dLbl>
            <c:dLbl>
              <c:idx val="8"/>
              <c:layout>
                <c:manualLayout>
                  <c:x val="-2.8445006321112517E-2"/>
                  <c:y val="5.36011123609548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BC4-4431-886E-061074B970D1}"/>
                </c:ext>
                <c:ext xmlns:c15="http://schemas.microsoft.com/office/drawing/2012/chart" uri="{CE6537A1-D6FC-4f65-9D91-7224C49458BB}"/>
              </c:extLst>
            </c:dLbl>
            <c:dLbl>
              <c:idx val="9"/>
              <c:layout>
                <c:manualLayout>
                  <c:x val="-4.530130636325342E-2"/>
                  <c:y val="4.169635045619290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BC4-4431-886E-061074B970D1}"/>
                </c:ext>
                <c:ext xmlns:c15="http://schemas.microsoft.com/office/drawing/2012/chart" uri="{CE6537A1-D6FC-4f65-9D91-7224C49458BB}"/>
              </c:extLst>
            </c:dLbl>
            <c:dLbl>
              <c:idx val="10"/>
              <c:layout>
                <c:manualLayout>
                  <c:x val="-3.2659081331647855E-2"/>
                  <c:y val="6.550587426571678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569-48B9-8C9F-7473B363B1EE}"/>
                </c:ext>
                <c:ext xmlns:c15="http://schemas.microsoft.com/office/drawing/2012/chart" uri="{CE6537A1-D6FC-4f65-9D91-7224C49458BB}"/>
              </c:extLst>
            </c:dLbl>
            <c:dLbl>
              <c:idx val="11"/>
              <c:layout>
                <c:manualLayout>
                  <c:x val="-2.212389380530989E-2"/>
                  <c:y val="3.375984251968503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569-48B9-8C9F-7473B363B1E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Sheet1!$B$2:$B$13</c:f>
              <c:numCache>
                <c:formatCode>0.00</c:formatCode>
                <c:ptCount val="12"/>
                <c:pt idx="0">
                  <c:v>5.72</c:v>
                </c:pt>
                <c:pt idx="1">
                  <c:v>5.26</c:v>
                </c:pt>
                <c:pt idx="2">
                  <c:v>4.78</c:v>
                </c:pt>
                <c:pt idx="3">
                  <c:v>4.47</c:v>
                </c:pt>
                <c:pt idx="4">
                  <c:v>4.47</c:v>
                </c:pt>
                <c:pt idx="5">
                  <c:v>4.62</c:v>
                </c:pt>
                <c:pt idx="6">
                  <c:v>4.6100000000000003</c:v>
                </c:pt>
                <c:pt idx="7">
                  <c:v>4.54</c:v>
                </c:pt>
                <c:pt idx="8">
                  <c:v>4.9400000000000004</c:v>
                </c:pt>
                <c:pt idx="9">
                  <c:v>4.93</c:v>
                </c:pt>
                <c:pt idx="10">
                  <c:v>5.22</c:v>
                </c:pt>
                <c:pt idx="11">
                  <c:v>5.98</c:v>
                </c:pt>
              </c:numCache>
            </c:numRef>
          </c:val>
          <c:smooth val="0"/>
          <c:extLst xmlns:c16r2="http://schemas.microsoft.com/office/drawing/2015/06/chart">
            <c:ext xmlns:c16="http://schemas.microsoft.com/office/drawing/2014/chart" uri="{C3380CC4-5D6E-409C-BE32-E72D297353CC}">
              <c16:uniqueId val="{00000005-6BC4-4431-886E-061074B970D1}"/>
            </c:ext>
          </c:extLst>
        </c:ser>
        <c:ser>
          <c:idx val="1"/>
          <c:order val="1"/>
          <c:tx>
            <c:strRef>
              <c:f>Sheet1!$C$1</c:f>
              <c:strCache>
                <c:ptCount val="1"/>
                <c:pt idx="0">
                  <c:v>Rata de bază a BNM</c:v>
                </c:pt>
              </c:strCache>
            </c:strRef>
          </c:tx>
          <c:spPr>
            <a:ln w="28575" cap="rnd">
              <a:solidFill>
                <a:srgbClr val="C00000"/>
              </a:solidFill>
              <a:round/>
            </a:ln>
            <a:effectLst/>
          </c:spPr>
          <c:marker>
            <c:symbol val="circle"/>
            <c:size val="5"/>
            <c:spPr>
              <a:solidFill>
                <a:schemeClr val="accent2">
                  <a:lumMod val="50000"/>
                </a:schemeClr>
              </a:solidFill>
              <a:ln w="9525">
                <a:solidFill>
                  <a:srgbClr val="C00000"/>
                </a:solidFill>
              </a:ln>
              <a:effectLst/>
            </c:spPr>
          </c:marker>
          <c:dLbls>
            <c:dLbl>
              <c:idx val="0"/>
              <c:layout>
                <c:manualLayout>
                  <c:x val="-2.8445006321112517E-2"/>
                  <c:y val="-2.973222097237845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569-48B9-8C9F-7473B363B1EE}"/>
                </c:ext>
                <c:ext xmlns:c15="http://schemas.microsoft.com/office/drawing/2012/chart" uri="{CE6537A1-D6FC-4f65-9D91-7224C49458BB}"/>
              </c:extLst>
            </c:dLbl>
            <c:dLbl>
              <c:idx val="1"/>
              <c:layout>
                <c:manualLayout>
                  <c:x val="-4.7408343868520879E-2"/>
                  <c:y val="-2.576396700412455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569-48B9-8C9F-7473B363B1EE}"/>
                </c:ext>
                <c:ext xmlns:c15="http://schemas.microsoft.com/office/drawing/2012/chart" uri="{CE6537A1-D6FC-4f65-9D91-7224C49458BB}"/>
              </c:extLst>
            </c:dLbl>
            <c:dLbl>
              <c:idx val="2"/>
              <c:layout>
                <c:manualLayout>
                  <c:x val="-5.1622418879056046E-2"/>
                  <c:y val="-3.766872890888646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569-48B9-8C9F-7473B363B1EE}"/>
                </c:ext>
                <c:ext xmlns:c15="http://schemas.microsoft.com/office/drawing/2012/chart" uri="{CE6537A1-D6FC-4f65-9D91-7224C49458BB}"/>
              </c:extLst>
            </c:dLbl>
            <c:dLbl>
              <c:idx val="3"/>
              <c:layout>
                <c:manualLayout>
                  <c:x val="-3.2659081331647744E-2"/>
                  <c:y val="-3.766872890888646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569-48B9-8C9F-7473B363B1EE}"/>
                </c:ext>
                <c:ext xmlns:c15="http://schemas.microsoft.com/office/drawing/2012/chart" uri="{CE6537A1-D6FC-4f65-9D91-7224C49458BB}"/>
              </c:extLst>
            </c:dLbl>
            <c:dLbl>
              <c:idx val="6"/>
              <c:layout>
                <c:manualLayout>
                  <c:x val="-3.8980193847450564E-2"/>
                  <c:y val="-4.560523684539432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BC4-4431-886E-061074B970D1}"/>
                </c:ext>
                <c:ext xmlns:c15="http://schemas.microsoft.com/office/drawing/2012/chart" uri="{CE6537A1-D6FC-4f65-9D91-7224C49458BB}"/>
              </c:extLst>
            </c:dLbl>
            <c:dLbl>
              <c:idx val="7"/>
              <c:layout>
                <c:manualLayout>
                  <c:x val="-4.5301306363253267E-2"/>
                  <c:y val="-3.766872890888638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BC4-4431-886E-061074B970D1}"/>
                </c:ext>
                <c:ext xmlns:c15="http://schemas.microsoft.com/office/drawing/2012/chart" uri="{CE6537A1-D6FC-4f65-9D91-7224C49458BB}"/>
              </c:extLst>
            </c:dLbl>
            <c:dLbl>
              <c:idx val="8"/>
              <c:layout>
                <c:manualLayout>
                  <c:x val="-4.1087231352718002E-2"/>
                  <c:y val="-4.16369828771404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BC4-4431-886E-061074B970D1}"/>
                </c:ext>
                <c:ext xmlns:c15="http://schemas.microsoft.com/office/drawing/2012/chart" uri="{CE6537A1-D6FC-4f65-9D91-7224C49458BB}"/>
              </c:extLst>
            </c:dLbl>
            <c:dLbl>
              <c:idx val="9"/>
              <c:layout>
                <c:manualLayout>
                  <c:x val="-4.530130636325342E-2"/>
                  <c:y val="-4.16369828771404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BC4-4431-886E-061074B970D1}"/>
                </c:ext>
                <c:ext xmlns:c15="http://schemas.microsoft.com/office/drawing/2012/chart" uri="{CE6537A1-D6FC-4f65-9D91-7224C49458BB}"/>
              </c:extLst>
            </c:dLbl>
            <c:dLbl>
              <c:idx val="10"/>
              <c:layout>
                <c:manualLayout>
                  <c:x val="-4.1087231352718079E-2"/>
                  <c:y val="-4.16369828771404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BC4-4431-886E-061074B970D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Sheet1!$C$2:$C$13</c:f>
              <c:numCache>
                <c:formatCode>0.00</c:formatCode>
                <c:ptCount val="12"/>
                <c:pt idx="0">
                  <c:v>6.5</c:v>
                </c:pt>
                <c:pt idx="1">
                  <c:v>6.5</c:v>
                </c:pt>
                <c:pt idx="2">
                  <c:v>6.5</c:v>
                </c:pt>
                <c:pt idx="3">
                  <c:v>6.5</c:v>
                </c:pt>
                <c:pt idx="4">
                  <c:v>6.5</c:v>
                </c:pt>
                <c:pt idx="5">
                  <c:v>6.5</c:v>
                </c:pt>
                <c:pt idx="6">
                  <c:v>6.5</c:v>
                </c:pt>
                <c:pt idx="7">
                  <c:v>6.5</c:v>
                </c:pt>
                <c:pt idx="8">
                  <c:v>6.5</c:v>
                </c:pt>
                <c:pt idx="9">
                  <c:v>6.5</c:v>
                </c:pt>
                <c:pt idx="10">
                  <c:v>6.5</c:v>
                </c:pt>
                <c:pt idx="11">
                  <c:v>6.5</c:v>
                </c:pt>
              </c:numCache>
            </c:numRef>
          </c:val>
          <c:smooth val="0"/>
          <c:extLst xmlns:c16r2="http://schemas.microsoft.com/office/drawing/2015/06/chart">
            <c:ext xmlns:c16="http://schemas.microsoft.com/office/drawing/2014/chart" uri="{C3380CC4-5D6E-409C-BE32-E72D297353CC}">
              <c16:uniqueId val="{0000000B-6BC4-4431-886E-061074B970D1}"/>
            </c:ext>
          </c:extLst>
        </c:ser>
        <c:ser>
          <c:idx val="2"/>
          <c:order val="2"/>
          <c:tx>
            <c:strRef>
              <c:f>Sheet1!$D$1</c:f>
              <c:strCache>
                <c:ptCount val="1"/>
                <c:pt idx="0">
                  <c:v>Rata medie la credite</c:v>
                </c:pt>
              </c:strCache>
            </c:strRef>
          </c:tx>
          <c:spPr>
            <a:ln w="28575" cap="rnd">
              <a:solidFill>
                <a:srgbClr val="92D050"/>
              </a:solidFill>
              <a:round/>
            </a:ln>
            <a:effectLst/>
          </c:spPr>
          <c:marker>
            <c:symbol val="circle"/>
            <c:size val="5"/>
            <c:spPr>
              <a:solidFill>
                <a:srgbClr val="92D050"/>
              </a:solidFill>
              <a:ln w="9525">
                <a:solidFill>
                  <a:srgbClr val="92D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50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Sheet1!$D$2:$D$13</c:f>
              <c:numCache>
                <c:formatCode>0.00</c:formatCode>
                <c:ptCount val="12"/>
                <c:pt idx="0">
                  <c:v>9.5500000000000007</c:v>
                </c:pt>
                <c:pt idx="1">
                  <c:v>9.5</c:v>
                </c:pt>
                <c:pt idx="2">
                  <c:v>9.36</c:v>
                </c:pt>
                <c:pt idx="3">
                  <c:v>9.3000000000000007</c:v>
                </c:pt>
                <c:pt idx="4">
                  <c:v>9.2100000000000009</c:v>
                </c:pt>
                <c:pt idx="5">
                  <c:v>9.23</c:v>
                </c:pt>
                <c:pt idx="6">
                  <c:v>9.11</c:v>
                </c:pt>
                <c:pt idx="7">
                  <c:v>9.08</c:v>
                </c:pt>
                <c:pt idx="8">
                  <c:v>8.92</c:v>
                </c:pt>
                <c:pt idx="9">
                  <c:v>8.7799999999999994</c:v>
                </c:pt>
                <c:pt idx="10">
                  <c:v>8.69</c:v>
                </c:pt>
                <c:pt idx="11">
                  <c:v>8.51</c:v>
                </c:pt>
              </c:numCache>
            </c:numRef>
          </c:val>
          <c:smooth val="0"/>
          <c:extLst xmlns:c16r2="http://schemas.microsoft.com/office/drawing/2015/06/chart">
            <c:ext xmlns:c16="http://schemas.microsoft.com/office/drawing/2014/chart" uri="{C3380CC4-5D6E-409C-BE32-E72D297353CC}">
              <c16:uniqueId val="{0000000C-6BC4-4431-886E-061074B970D1}"/>
            </c:ext>
          </c:extLst>
        </c:ser>
        <c:ser>
          <c:idx val="3"/>
          <c:order val="3"/>
          <c:tx>
            <c:strRef>
              <c:f>Sheet1!$E$1</c:f>
              <c:strCache>
                <c:ptCount val="1"/>
                <c:pt idx="0">
                  <c:v>Rata medie la depozite</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dLbl>
              <c:idx val="0"/>
              <c:layout>
                <c:manualLayout>
                  <c:x val="-4.319426885798567E-2"/>
                  <c:y val="-3.766872890888638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BC4-4431-886E-061074B970D1}"/>
                </c:ext>
                <c:ext xmlns:c15="http://schemas.microsoft.com/office/drawing/2012/chart" uri="{CE6537A1-D6FC-4f65-9D91-7224C49458BB}"/>
              </c:extLst>
            </c:dLbl>
            <c:dLbl>
              <c:idx val="1"/>
              <c:layout>
                <c:manualLayout>
                  <c:x val="-2.6337968815844961E-2"/>
                  <c:y val="-2.576396700412448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6BC4-4431-886E-061074B970D1}"/>
                </c:ext>
                <c:ext xmlns:c15="http://schemas.microsoft.com/office/drawing/2012/chart" uri="{CE6537A1-D6FC-4f65-9D91-7224C49458BB}"/>
              </c:extLst>
            </c:dLbl>
            <c:dLbl>
              <c:idx val="2"/>
              <c:layout>
                <c:manualLayout>
                  <c:x val="-2.8445006321112517E-2"/>
                  <c:y val="-4.16369828771404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BC4-4431-886E-061074B970D1}"/>
                </c:ext>
                <c:ext xmlns:c15="http://schemas.microsoft.com/office/drawing/2012/chart" uri="{CE6537A1-D6FC-4f65-9D91-7224C49458BB}"/>
              </c:extLst>
            </c:dLbl>
            <c:dLbl>
              <c:idx val="3"/>
              <c:layout>
                <c:manualLayout>
                  <c:x val="-4.108723135271812E-2"/>
                  <c:y val="-3.7668572678415273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7030A0"/>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6BC4-4431-886E-061074B970D1}"/>
                </c:ext>
                <c:ext xmlns:c15="http://schemas.microsoft.com/office/drawing/2012/chart" uri="{CE6537A1-D6FC-4f65-9D91-7224C49458BB}">
                  <c15:layout>
                    <c:manualLayout>
                      <c:w val="5.8997050147492625E-2"/>
                      <c:h val="7.1369203849518795E-2"/>
                    </c:manualLayout>
                  </c15:layout>
                </c:ext>
              </c:extLst>
            </c:dLbl>
            <c:dLbl>
              <c:idx val="4"/>
              <c:layout>
                <c:manualLayout>
                  <c:x val="-3.4766118836915376E-2"/>
                  <c:y val="-4.163698287714035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BC4-4431-886E-061074B970D1}"/>
                </c:ext>
                <c:ext xmlns:c15="http://schemas.microsoft.com/office/drawing/2012/chart" uri="{CE6537A1-D6FC-4f65-9D91-7224C49458BB}"/>
              </c:extLst>
            </c:dLbl>
            <c:dLbl>
              <c:idx val="5"/>
              <c:layout>
                <c:manualLayout>
                  <c:x val="-3.8980193847450488E-2"/>
                  <c:y val="-3.766872890888646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6BC4-4431-886E-061074B970D1}"/>
                </c:ext>
                <c:ext xmlns:c15="http://schemas.microsoft.com/office/drawing/2012/chart" uri="{CE6537A1-D6FC-4f65-9D91-7224C49458BB}"/>
              </c:extLst>
            </c:dLbl>
            <c:dLbl>
              <c:idx val="6"/>
              <c:layout>
                <c:manualLayout>
                  <c:x val="-3.687315634218289E-2"/>
                  <c:y val="-3.766872890888638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BC4-4431-886E-061074B970D1}"/>
                </c:ext>
                <c:ext xmlns:c15="http://schemas.microsoft.com/office/drawing/2012/chart" uri="{CE6537A1-D6FC-4f65-9D91-7224C49458BB}"/>
              </c:extLst>
            </c:dLbl>
            <c:dLbl>
              <c:idx val="7"/>
              <c:layout>
                <c:manualLayout>
                  <c:x val="-3.4766118836915376E-2"/>
                  <c:y val="-3.370047494063235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6BC4-4431-886E-061074B970D1}"/>
                </c:ext>
                <c:ext xmlns:c15="http://schemas.microsoft.com/office/drawing/2012/chart" uri="{CE6537A1-D6FC-4f65-9D91-7224C49458BB}"/>
              </c:extLst>
            </c:dLbl>
            <c:dLbl>
              <c:idx val="8"/>
              <c:layout>
                <c:manualLayout>
                  <c:x val="-3.0552043826380111E-2"/>
                  <c:y val="-4.957349081364836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BC4-4431-886E-061074B970D1}"/>
                </c:ext>
                <c:ext xmlns:c15="http://schemas.microsoft.com/office/drawing/2012/chart" uri="{CE6537A1-D6FC-4f65-9D91-7224C49458BB}"/>
              </c:extLst>
            </c:dLbl>
            <c:dLbl>
              <c:idx val="9"/>
              <c:layout>
                <c:manualLayout>
                  <c:x val="-3.6873156342183043E-2"/>
                  <c:y val="-4.560523684539432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6BC4-4431-886E-061074B970D1}"/>
                </c:ext>
                <c:ext xmlns:c15="http://schemas.microsoft.com/office/drawing/2012/chart" uri="{CE6537A1-D6FC-4f65-9D91-7224C49458BB}"/>
              </c:extLst>
            </c:dLbl>
            <c:dLbl>
              <c:idx val="10"/>
              <c:layout>
                <c:manualLayout>
                  <c:x val="-3.8980193847450488E-2"/>
                  <c:y val="-4.56052368453944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6BC4-4431-886E-061074B970D1}"/>
                </c:ext>
                <c:ext xmlns:c15="http://schemas.microsoft.com/office/drawing/2012/chart" uri="{CE6537A1-D6FC-4f65-9D91-7224C49458BB}"/>
              </c:extLst>
            </c:dLbl>
            <c:dLbl>
              <c:idx val="11"/>
              <c:layout>
                <c:manualLayout>
                  <c:x val="-3.47661188369153E-2"/>
                  <c:y val="2.979158855143107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6BC4-4431-886E-061074B970D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7030A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Sheet1!$E$2:$E$13</c:f>
              <c:numCache>
                <c:formatCode>0.00</c:formatCode>
                <c:ptCount val="12"/>
                <c:pt idx="0">
                  <c:v>5.53</c:v>
                </c:pt>
                <c:pt idx="1">
                  <c:v>5.32</c:v>
                </c:pt>
                <c:pt idx="2">
                  <c:v>5.12</c:v>
                </c:pt>
                <c:pt idx="3">
                  <c:v>4.87</c:v>
                </c:pt>
                <c:pt idx="4">
                  <c:v>4.8</c:v>
                </c:pt>
                <c:pt idx="5">
                  <c:v>4.7699999999999996</c:v>
                </c:pt>
                <c:pt idx="6">
                  <c:v>4.7</c:v>
                </c:pt>
                <c:pt idx="7">
                  <c:v>4.62</c:v>
                </c:pt>
                <c:pt idx="8">
                  <c:v>4.5599999999999996</c:v>
                </c:pt>
                <c:pt idx="9">
                  <c:v>4.63</c:v>
                </c:pt>
                <c:pt idx="10">
                  <c:v>4.71</c:v>
                </c:pt>
                <c:pt idx="11">
                  <c:v>4.6900000000000004</c:v>
                </c:pt>
              </c:numCache>
            </c:numRef>
          </c:val>
          <c:smooth val="0"/>
          <c:extLst xmlns:c16r2="http://schemas.microsoft.com/office/drawing/2015/06/chart">
            <c:ext xmlns:c16="http://schemas.microsoft.com/office/drawing/2014/chart" uri="{C3380CC4-5D6E-409C-BE32-E72D297353CC}">
              <c16:uniqueId val="{00000019-6BC4-4431-886E-061074B970D1}"/>
            </c:ext>
          </c:extLst>
        </c:ser>
        <c:dLbls>
          <c:dLblPos val="t"/>
          <c:showLegendKey val="0"/>
          <c:showVal val="1"/>
          <c:showCatName val="0"/>
          <c:showSerName val="0"/>
          <c:showPercent val="0"/>
          <c:showBubbleSize val="0"/>
        </c:dLbls>
        <c:marker val="1"/>
        <c:smooth val="0"/>
        <c:axId val="190273448"/>
        <c:axId val="190273840"/>
      </c:lineChart>
      <c:catAx>
        <c:axId val="190273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0273840"/>
        <c:crosses val="autoZero"/>
        <c:auto val="1"/>
        <c:lblAlgn val="ctr"/>
        <c:lblOffset val="100"/>
        <c:noMultiLvlLbl val="0"/>
      </c:catAx>
      <c:valAx>
        <c:axId val="1902738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0273448"/>
        <c:crosses val="autoZero"/>
        <c:crossBetween val="between"/>
      </c:valAx>
      <c:spPr>
        <a:noFill/>
        <a:ln>
          <a:gradFill>
            <a:gsLst>
              <a:gs pos="0">
                <a:schemeClr val="accent6">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j-lt"/>
                <a:ea typeface="+mn-ea"/>
                <a:cs typeface="Times New Roman" panose="02020603050405020304" pitchFamily="18" charset="0"/>
              </a:defRPr>
            </a:pPr>
            <a:r>
              <a:rPr lang="ro-MD" b="1">
                <a:solidFill>
                  <a:sysClr val="windowText" lastClr="000000"/>
                </a:solidFill>
                <a:latin typeface="+mj-lt"/>
                <a:cs typeface="Times New Roman" panose="02020603050405020304" pitchFamily="18" charset="0"/>
              </a:rPr>
              <a:t>Valorile mobiliare de stat convertite</a:t>
            </a:r>
            <a:endParaRPr lang="en-US" b="1">
              <a:solidFill>
                <a:sysClr val="windowText" lastClr="000000"/>
              </a:solidFill>
              <a:latin typeface="+mj-lt"/>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j-lt"/>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Sheet1!$B$1</c:f>
              <c:strCache>
                <c:ptCount val="1"/>
                <c:pt idx="0">
                  <c:v>VMS convertite, mil.MDL</c:v>
                </c:pt>
              </c:strCache>
            </c:strRef>
          </c:tx>
          <c:spPr>
            <a:solidFill>
              <a:schemeClr val="accent1"/>
            </a:solidFill>
            <a:ln>
              <a:noFill/>
            </a:ln>
            <a:effectLst/>
            <a:scene3d>
              <a:camera prst="orthographicFront"/>
              <a:lightRig rig="threePt" dir="t"/>
            </a:scene3d>
            <a:sp3d>
              <a:bevelT/>
            </a:sp3d>
          </c:spPr>
          <c:invertIfNegative val="0"/>
          <c:dLbls>
            <c:dLbl>
              <c:idx val="0"/>
              <c:layout>
                <c:manualLayout>
                  <c:x val="-2.7706734867860187E-2"/>
                  <c:y val="-4.365079365079364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388-4F36-A1AC-5D23BEB86BB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c:v>
                </c:pt>
                <c:pt idx="1">
                  <c:v>2017</c:v>
                </c:pt>
                <c:pt idx="2">
                  <c:v>2018</c:v>
                </c:pt>
              </c:strCache>
            </c:strRef>
          </c:cat>
          <c:val>
            <c:numRef>
              <c:f>Sheet1!$B$2:$B$4</c:f>
              <c:numCache>
                <c:formatCode>#,##0.00</c:formatCode>
                <c:ptCount val="3"/>
                <c:pt idx="0">
                  <c:v>2063.4</c:v>
                </c:pt>
                <c:pt idx="1">
                  <c:v>2063.4</c:v>
                </c:pt>
                <c:pt idx="2">
                  <c:v>2063.4</c:v>
                </c:pt>
              </c:numCache>
            </c:numRef>
          </c:val>
          <c:extLst xmlns:c16r2="http://schemas.microsoft.com/office/drawing/2015/06/chart">
            <c:ext xmlns:c16="http://schemas.microsoft.com/office/drawing/2014/chart" uri="{C3380CC4-5D6E-409C-BE32-E72D297353CC}">
              <c16:uniqueId val="{00000001-1AE0-4323-94FB-4EABA16D0A9A}"/>
            </c:ext>
          </c:extLst>
        </c:ser>
        <c:ser>
          <c:idx val="1"/>
          <c:order val="1"/>
          <c:tx>
            <c:strRef>
              <c:f>Sheet1!$C$1</c:f>
              <c:strCache>
                <c:ptCount val="1"/>
                <c:pt idx="0">
                  <c:v>Suma dobânzilor achitate pentru VMS convertite, mil.MDL</c:v>
                </c:pt>
              </c:strCache>
            </c:strRef>
          </c:tx>
          <c:spPr>
            <a:solidFill>
              <a:schemeClr val="accent2"/>
            </a:solidFill>
            <a:ln>
              <a:noFill/>
            </a:ln>
            <a:effectLst/>
            <a:scene3d>
              <a:camera prst="orthographicFront"/>
              <a:lightRig rig="threePt" dir="t"/>
            </a:scene3d>
            <a:sp3d>
              <a:bevelT/>
            </a:sp3d>
          </c:spPr>
          <c:invertIfNegative val="0"/>
          <c:dLbls>
            <c:dLbl>
              <c:idx val="0"/>
              <c:layout>
                <c:manualLayout>
                  <c:x val="1.6203703703703703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AE0-4323-94FB-4EABA16D0A9A}"/>
                </c:ext>
                <c:ext xmlns:c15="http://schemas.microsoft.com/office/drawing/2012/chart" uri="{CE6537A1-D6FC-4f65-9D91-7224C49458BB}"/>
              </c:extLst>
            </c:dLbl>
            <c:dLbl>
              <c:idx val="1"/>
              <c:layout>
                <c:manualLayout>
                  <c:x val="1.6203703703703533E-2"/>
                  <c:y val="-7.275048233154282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AE0-4323-94FB-4EABA16D0A9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lumMod val="7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c:v>
                </c:pt>
                <c:pt idx="1">
                  <c:v>2017</c:v>
                </c:pt>
                <c:pt idx="2">
                  <c:v>2018</c:v>
                </c:pt>
              </c:strCache>
            </c:strRef>
          </c:cat>
          <c:val>
            <c:numRef>
              <c:f>Sheet1!$C$2:$C$4</c:f>
              <c:numCache>
                <c:formatCode>0.0</c:formatCode>
                <c:ptCount val="3"/>
                <c:pt idx="0" formatCode="#,##0.00">
                  <c:v>376.4</c:v>
                </c:pt>
                <c:pt idx="1">
                  <c:v>144.69999999999999</c:v>
                </c:pt>
                <c:pt idx="2" formatCode="#,##0.00">
                  <c:v>42.6</c:v>
                </c:pt>
              </c:numCache>
            </c:numRef>
          </c:val>
          <c:extLst xmlns:c16r2="http://schemas.microsoft.com/office/drawing/2015/06/chart">
            <c:ext xmlns:c16="http://schemas.microsoft.com/office/drawing/2014/chart" uri="{C3380CC4-5D6E-409C-BE32-E72D297353CC}">
              <c16:uniqueId val="{00000005-1AE0-4323-94FB-4EABA16D0A9A}"/>
            </c:ext>
          </c:extLst>
        </c:ser>
        <c:dLbls>
          <c:showLegendKey val="0"/>
          <c:showVal val="0"/>
          <c:showCatName val="0"/>
          <c:showSerName val="0"/>
          <c:showPercent val="0"/>
          <c:showBubbleSize val="0"/>
        </c:dLbls>
        <c:gapWidth val="219"/>
        <c:axId val="190274624"/>
        <c:axId val="190275016"/>
      </c:barChart>
      <c:lineChart>
        <c:grouping val="stacked"/>
        <c:varyColors val="0"/>
        <c:ser>
          <c:idx val="2"/>
          <c:order val="2"/>
          <c:tx>
            <c:strRef>
              <c:f>Sheet1!$D$1</c:f>
              <c:strCache>
                <c:ptCount val="1"/>
                <c:pt idx="0">
                  <c:v>Rata nominală medie anuală ponderată a dobânzii,%</c:v>
                </c:pt>
              </c:strCache>
            </c:strRef>
          </c:tx>
          <c:spPr>
            <a:ln w="38100" cap="rnd">
              <a:solidFill>
                <a:srgbClr val="C00000">
                  <a:alpha val="90000"/>
                </a:srgbClr>
              </a:solidFill>
              <a:round/>
            </a:ln>
            <a:effectLst/>
          </c:spPr>
          <c:marker>
            <c:symbol val="circle"/>
            <c:size val="5"/>
            <c:spPr>
              <a:solidFill>
                <a:srgbClr val="C00000"/>
              </a:solidFill>
              <a:ln w="9525">
                <a:solidFill>
                  <a:schemeClr val="accent3"/>
                </a:solidFill>
              </a:ln>
              <a:effectLst/>
              <a:scene3d>
                <a:camera prst="orthographicFront"/>
                <a:lightRig rig="harsh" dir="t"/>
              </a:scene3d>
              <a:sp3d>
                <a:bevelT/>
              </a:sp3d>
            </c:spPr>
          </c:marker>
          <c:dLbls>
            <c:dLbl>
              <c:idx val="1"/>
              <c:layout>
                <c:manualLayout>
                  <c:x val="-1.0787486515641934E-2"/>
                  <c:y val="-4.59770114942528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A98-4EF9-A6C7-B36157E0901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c:v>
                </c:pt>
                <c:pt idx="1">
                  <c:v>2017</c:v>
                </c:pt>
                <c:pt idx="2">
                  <c:v>2018</c:v>
                </c:pt>
              </c:strCache>
            </c:strRef>
          </c:cat>
          <c:val>
            <c:numRef>
              <c:f>Sheet1!$D$2:$D$4</c:f>
              <c:numCache>
                <c:formatCode>0.0</c:formatCode>
                <c:ptCount val="3"/>
                <c:pt idx="0" formatCode="#,##0.00">
                  <c:v>18.7</c:v>
                </c:pt>
                <c:pt idx="1">
                  <c:v>6.5</c:v>
                </c:pt>
                <c:pt idx="2" formatCode="#,##0.00">
                  <c:v>4.5999999999999996</c:v>
                </c:pt>
              </c:numCache>
            </c:numRef>
          </c:val>
          <c:smooth val="0"/>
          <c:extLst xmlns:c16r2="http://schemas.microsoft.com/office/drawing/2015/06/chart">
            <c:ext xmlns:c16="http://schemas.microsoft.com/office/drawing/2014/chart" uri="{C3380CC4-5D6E-409C-BE32-E72D297353CC}">
              <c16:uniqueId val="{00000006-1AE0-4323-94FB-4EABA16D0A9A}"/>
            </c:ext>
          </c:extLst>
        </c:ser>
        <c:dLbls>
          <c:showLegendKey val="0"/>
          <c:showVal val="0"/>
          <c:showCatName val="0"/>
          <c:showSerName val="0"/>
          <c:showPercent val="0"/>
          <c:showBubbleSize val="0"/>
        </c:dLbls>
        <c:marker val="1"/>
        <c:smooth val="0"/>
        <c:axId val="424794056"/>
        <c:axId val="424793664"/>
      </c:lineChart>
      <c:catAx>
        <c:axId val="19027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0275016"/>
        <c:crosses val="autoZero"/>
        <c:auto val="1"/>
        <c:lblAlgn val="ctr"/>
        <c:lblOffset val="100"/>
        <c:noMultiLvlLbl val="0"/>
      </c:catAx>
      <c:valAx>
        <c:axId val="190275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0274624"/>
        <c:crosses val="autoZero"/>
        <c:crossBetween val="between"/>
      </c:valAx>
      <c:valAx>
        <c:axId val="424793664"/>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794056"/>
        <c:crosses val="max"/>
        <c:crossBetween val="between"/>
      </c:valAx>
      <c:catAx>
        <c:axId val="424794056"/>
        <c:scaling>
          <c:orientation val="minMax"/>
        </c:scaling>
        <c:delete val="1"/>
        <c:axPos val="b"/>
        <c:numFmt formatCode="General" sourceLinked="1"/>
        <c:majorTickMark val="out"/>
        <c:minorTickMark val="none"/>
        <c:tickLblPos val="nextTo"/>
        <c:crossAx val="424793664"/>
        <c:crosses val="autoZero"/>
        <c:auto val="1"/>
        <c:lblAlgn val="ctr"/>
        <c:lblOffset val="100"/>
        <c:noMultiLvlLbl val="0"/>
      </c:catAx>
      <c:spPr>
        <a:noFill/>
        <a:ln>
          <a:noFill/>
        </a:ln>
        <a:effectLst/>
      </c:spPr>
    </c:plotArea>
    <c:legend>
      <c:legendPos val="b"/>
      <c:layout>
        <c:manualLayout>
          <c:xMode val="edge"/>
          <c:yMode val="edge"/>
          <c:x val="1.8919892295016508E-2"/>
          <c:y val="0.76047787130057021"/>
          <c:w val="0.96000254822516118"/>
          <c:h val="0.2119359218028781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j-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o-MD" sz="1200" b="1">
                <a:solidFill>
                  <a:schemeClr val="tx1"/>
                </a:solidFill>
                <a:latin typeface="+mj-lt"/>
                <a:cs typeface="Times New Roman" panose="02020603050405020304" pitchFamily="18" charset="0"/>
              </a:rPr>
              <a:t>Evoluția datoriei de stat externe, datoriei de stat interne și a ponderii datoriei de stat în PIB în anii 201</a:t>
            </a:r>
            <a:r>
              <a:rPr lang="en-US" sz="1200" b="1">
                <a:solidFill>
                  <a:schemeClr val="tx1"/>
                </a:solidFill>
                <a:latin typeface="+mj-lt"/>
                <a:cs typeface="Times New Roman" panose="02020603050405020304" pitchFamily="18" charset="0"/>
              </a:rPr>
              <a:t>6</a:t>
            </a:r>
            <a:r>
              <a:rPr lang="ro-MD" sz="1200" b="1">
                <a:solidFill>
                  <a:schemeClr val="tx1"/>
                </a:solidFill>
                <a:latin typeface="+mj-lt"/>
                <a:cs typeface="Times New Roman" panose="02020603050405020304" pitchFamily="18" charset="0"/>
              </a:rPr>
              <a:t>-201</a:t>
            </a:r>
            <a:r>
              <a:rPr lang="en-US" sz="1200" b="1">
                <a:solidFill>
                  <a:schemeClr val="tx1"/>
                </a:solidFill>
                <a:latin typeface="+mj-lt"/>
                <a:cs typeface="Times New Roman" panose="02020603050405020304" pitchFamily="18" charset="0"/>
              </a:rPr>
              <a:t>8</a:t>
            </a:r>
            <a:r>
              <a:rPr lang="ro-MD" sz="1200" b="1">
                <a:solidFill>
                  <a:schemeClr val="tx1"/>
                </a:solidFill>
                <a:latin typeface="+mj-lt"/>
                <a:cs typeface="Times New Roman" panose="02020603050405020304" pitchFamily="18" charset="0"/>
              </a:rPr>
              <a:t>, mil.MDL</a:t>
            </a:r>
            <a:endParaRPr lang="en-US" sz="1200" b="1">
              <a:solidFill>
                <a:schemeClr val="tx1"/>
              </a:solidFill>
              <a:latin typeface="+mj-lt"/>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8478603073762157E-2"/>
          <c:y val="0.22088167053364269"/>
          <c:w val="0.84216817981533532"/>
          <c:h val="0.58572154118786202"/>
        </c:manualLayout>
      </c:layout>
      <c:barChart>
        <c:barDir val="col"/>
        <c:grouping val="stacked"/>
        <c:varyColors val="0"/>
        <c:ser>
          <c:idx val="0"/>
          <c:order val="0"/>
          <c:tx>
            <c:strRef>
              <c:f>Sheet1!$B$1</c:f>
              <c:strCache>
                <c:ptCount val="1"/>
                <c:pt idx="0">
                  <c:v>Datoria de stat externă</c:v>
                </c:pt>
              </c:strCache>
            </c:strRef>
          </c:tx>
          <c:spPr>
            <a:gradFill flip="none" rotWithShape="1">
              <a:gsLst>
                <a:gs pos="0">
                  <a:schemeClr val="accent4">
                    <a:lumMod val="61000"/>
                  </a:schemeClr>
                </a:gs>
                <a:gs pos="48000">
                  <a:schemeClr val="accent4">
                    <a:lumMod val="97000"/>
                    <a:lumOff val="3000"/>
                  </a:schemeClr>
                </a:gs>
                <a:gs pos="100000">
                  <a:schemeClr val="accent4">
                    <a:lumMod val="60000"/>
                    <a:lumOff val="40000"/>
                  </a:schemeClr>
                </a:gs>
              </a:gsLst>
              <a:lin ang="0" scaled="0"/>
              <a:tileRect/>
            </a:gra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2016</c:v>
                </c:pt>
                <c:pt idx="1">
                  <c:v>2017</c:v>
                </c:pt>
                <c:pt idx="2">
                  <c:v>2018</c:v>
                </c:pt>
              </c:numCache>
            </c:numRef>
          </c:cat>
          <c:val>
            <c:numRef>
              <c:f>Sheet1!$B$2:$B$4</c:f>
              <c:numCache>
                <c:formatCode>General</c:formatCode>
                <c:ptCount val="3"/>
                <c:pt idx="0">
                  <c:v>29266.2</c:v>
                </c:pt>
                <c:pt idx="1">
                  <c:v>29081.8</c:v>
                </c:pt>
                <c:pt idx="2">
                  <c:v>28954</c:v>
                </c:pt>
              </c:numCache>
            </c:numRef>
          </c:val>
          <c:extLst xmlns:c16r2="http://schemas.microsoft.com/office/drawing/2015/06/chart">
            <c:ext xmlns:c16="http://schemas.microsoft.com/office/drawing/2014/chart" uri="{C3380CC4-5D6E-409C-BE32-E72D297353CC}">
              <c16:uniqueId val="{00000000-8C23-4E8D-8390-B059E74D57D6}"/>
            </c:ext>
          </c:extLst>
        </c:ser>
        <c:ser>
          <c:idx val="1"/>
          <c:order val="1"/>
          <c:tx>
            <c:strRef>
              <c:f>Sheet1!$C$1</c:f>
              <c:strCache>
                <c:ptCount val="1"/>
                <c:pt idx="0">
                  <c:v>Datoria de stat internă</c:v>
                </c:pt>
              </c:strCache>
            </c:strRef>
          </c:tx>
          <c:spPr>
            <a:gradFill flip="none" rotWithShape="1">
              <a:gsLst>
                <a:gs pos="0">
                  <a:schemeClr val="accent1">
                    <a:lumMod val="95000"/>
                    <a:lumOff val="5000"/>
                  </a:schemeClr>
                </a:gs>
                <a:gs pos="50000">
                  <a:schemeClr val="accent1">
                    <a:satMod val="110000"/>
                    <a:lumMod val="100000"/>
                    <a:shade val="100000"/>
                  </a:schemeClr>
                </a:gs>
                <a:gs pos="100000">
                  <a:schemeClr val="accent1">
                    <a:lumMod val="99000"/>
                    <a:satMod val="120000"/>
                    <a:shade val="78000"/>
                  </a:schemeClr>
                </a:gs>
              </a:gsLst>
              <a:lin ang="0" scaled="0"/>
              <a:tileRect/>
            </a:gradFill>
            <a:ln>
              <a:noFill/>
            </a:ln>
            <a:effectLst>
              <a:softEdge rad="444500"/>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2016</c:v>
                </c:pt>
                <c:pt idx="1">
                  <c:v>2017</c:v>
                </c:pt>
                <c:pt idx="2">
                  <c:v>2018</c:v>
                </c:pt>
              </c:numCache>
            </c:numRef>
          </c:cat>
          <c:val>
            <c:numRef>
              <c:f>Sheet1!$C$2:$C$4</c:f>
              <c:numCache>
                <c:formatCode>General</c:formatCode>
                <c:ptCount val="3"/>
                <c:pt idx="0">
                  <c:v>21519.599999999999</c:v>
                </c:pt>
                <c:pt idx="1">
                  <c:v>22578.5</c:v>
                </c:pt>
                <c:pt idx="2">
                  <c:v>23058.6</c:v>
                </c:pt>
              </c:numCache>
            </c:numRef>
          </c:val>
          <c:extLst xmlns:c16r2="http://schemas.microsoft.com/office/drawing/2015/06/chart">
            <c:ext xmlns:c16="http://schemas.microsoft.com/office/drawing/2014/chart" uri="{C3380CC4-5D6E-409C-BE32-E72D297353CC}">
              <c16:uniqueId val="{00000001-8C23-4E8D-8390-B059E74D57D6}"/>
            </c:ext>
          </c:extLst>
        </c:ser>
        <c:dLbls>
          <c:showLegendKey val="0"/>
          <c:showVal val="0"/>
          <c:showCatName val="0"/>
          <c:showSerName val="0"/>
          <c:showPercent val="0"/>
          <c:showBubbleSize val="0"/>
        </c:dLbls>
        <c:gapWidth val="176"/>
        <c:overlap val="100"/>
        <c:axId val="429503568"/>
        <c:axId val="429503176"/>
      </c:barChart>
      <c:lineChart>
        <c:grouping val="standard"/>
        <c:varyColors val="0"/>
        <c:ser>
          <c:idx val="2"/>
          <c:order val="2"/>
          <c:tx>
            <c:strRef>
              <c:f>Sheet1!$D$1</c:f>
              <c:strCache>
                <c:ptCount val="1"/>
                <c:pt idx="0">
                  <c:v>Datoria de stat/PIB</c:v>
                </c:pt>
              </c:strCache>
            </c:strRef>
          </c:tx>
          <c:spPr>
            <a:ln w="28575" cap="rnd">
              <a:solidFill>
                <a:srgbClr val="C00000"/>
              </a:solidFill>
              <a:round/>
            </a:ln>
            <a:effectLst>
              <a:innerShdw blurRad="63500" dist="50800" dir="2700000">
                <a:prstClr val="black">
                  <a:alpha val="50000"/>
                </a:prstClr>
              </a:innerShdw>
            </a:effectLst>
          </c:spPr>
          <c:marker>
            <c:symbol val="circle"/>
            <c:size val="5"/>
            <c:spPr>
              <a:solidFill>
                <a:schemeClr val="accent3"/>
              </a:solidFill>
              <a:ln w="9525">
                <a:solidFill>
                  <a:schemeClr val="accent3"/>
                </a:solidFill>
              </a:ln>
              <a:effectLst>
                <a:innerShdw blurRad="63500" dist="50800" dir="2700000">
                  <a:prstClr val="black">
                    <a:alpha val="50000"/>
                  </a:prstClr>
                </a:innerShdw>
              </a:effectLst>
            </c:spPr>
          </c:marker>
          <c:dLbls>
            <c:dLbl>
              <c:idx val="0"/>
              <c:layout>
                <c:manualLayout>
                  <c:x val="-8.5757980853088903E-2"/>
                  <c:y val="9.40972285656864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C23-4E8D-8390-B059E74D57D6}"/>
                </c:ext>
                <c:ext xmlns:c15="http://schemas.microsoft.com/office/drawing/2012/chart" uri="{CE6537A1-D6FC-4f65-9D91-7224C49458BB}"/>
              </c:extLst>
            </c:dLbl>
            <c:dLbl>
              <c:idx val="1"/>
              <c:layout>
                <c:manualLayout>
                  <c:x val="-0.12435451575508484"/>
                  <c:y val="1.39211136890950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C23-4E8D-8390-B059E74D57D6}"/>
                </c:ext>
                <c:ext xmlns:c15="http://schemas.microsoft.com/office/drawing/2012/chart" uri="{CE6537A1-D6FC-4f65-9D91-7224C49458BB}"/>
              </c:extLst>
            </c:dLbl>
            <c:dLbl>
              <c:idx val="2"/>
              <c:layout>
                <c:manualLayout>
                  <c:x val="-0.13910844135314573"/>
                  <c:y val="9.28074245939675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C23-4E8D-8390-B059E74D57D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2016</c:v>
                </c:pt>
                <c:pt idx="1">
                  <c:v>2017</c:v>
                </c:pt>
                <c:pt idx="2">
                  <c:v>2018</c:v>
                </c:pt>
              </c:numCache>
            </c:numRef>
          </c:cat>
          <c:val>
            <c:numRef>
              <c:f>Sheet1!$D$2:$D$4</c:f>
              <c:numCache>
                <c:formatCode>0.0%</c:formatCode>
                <c:ptCount val="3"/>
                <c:pt idx="0">
                  <c:v>0.316</c:v>
                </c:pt>
                <c:pt idx="1">
                  <c:v>0.28899999999999998</c:v>
                </c:pt>
                <c:pt idx="2">
                  <c:v>0.27400000000000002</c:v>
                </c:pt>
              </c:numCache>
            </c:numRef>
          </c:val>
          <c:smooth val="0"/>
          <c:extLst xmlns:c16r2="http://schemas.microsoft.com/office/drawing/2015/06/chart">
            <c:ext xmlns:c16="http://schemas.microsoft.com/office/drawing/2014/chart" uri="{C3380CC4-5D6E-409C-BE32-E72D297353CC}">
              <c16:uniqueId val="{00000005-8C23-4E8D-8390-B059E74D57D6}"/>
            </c:ext>
          </c:extLst>
        </c:ser>
        <c:dLbls>
          <c:showLegendKey val="0"/>
          <c:showVal val="0"/>
          <c:showCatName val="0"/>
          <c:showSerName val="0"/>
          <c:showPercent val="0"/>
          <c:showBubbleSize val="0"/>
        </c:dLbls>
        <c:marker val="1"/>
        <c:smooth val="0"/>
        <c:axId val="429504352"/>
        <c:axId val="429503960"/>
      </c:lineChart>
      <c:valAx>
        <c:axId val="429503176"/>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9503568"/>
        <c:crosses val="max"/>
        <c:crossBetween val="between"/>
      </c:valAx>
      <c:catAx>
        <c:axId val="42950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j-lt"/>
                <a:ea typeface="+mn-ea"/>
                <a:cs typeface="Times New Roman" panose="02020603050405020304" pitchFamily="18" charset="0"/>
              </a:defRPr>
            </a:pPr>
            <a:endParaRPr lang="ru-RU"/>
          </a:p>
        </c:txPr>
        <c:crossAx val="429503176"/>
        <c:crosses val="autoZero"/>
        <c:auto val="1"/>
        <c:lblAlgn val="ctr"/>
        <c:lblOffset val="100"/>
        <c:noMultiLvlLbl val="0"/>
      </c:catAx>
      <c:valAx>
        <c:axId val="42950396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9504352"/>
        <c:crosses val="autoZero"/>
        <c:crossBetween val="between"/>
      </c:valAx>
      <c:catAx>
        <c:axId val="429504352"/>
        <c:scaling>
          <c:orientation val="minMax"/>
        </c:scaling>
        <c:delete val="1"/>
        <c:axPos val="b"/>
        <c:numFmt formatCode="General" sourceLinked="1"/>
        <c:majorTickMark val="none"/>
        <c:minorTickMark val="none"/>
        <c:tickLblPos val="nextTo"/>
        <c:crossAx val="4295039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j-lt"/>
                <a:ea typeface="+mn-ea"/>
                <a:cs typeface="Times New Roman" panose="02020603050405020304" pitchFamily="18" charset="0"/>
              </a:defRPr>
            </a:pPr>
            <a:r>
              <a:rPr lang="ro-MD" sz="1200" b="1">
                <a:latin typeface="+mj-lt"/>
                <a:cs typeface="Times New Roman" panose="02020603050405020304" pitchFamily="18" charset="0"/>
              </a:rPr>
              <a:t>Comercializarea VMS pe piața primară în anul 2018, mil.MDL</a:t>
            </a:r>
            <a:endParaRPr lang="en-US" sz="1200" b="1">
              <a:latin typeface="+mj-lt"/>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Volumul ofertei</c:v>
                </c:pt>
              </c:strCache>
            </c:strRef>
          </c:tx>
          <c:spPr>
            <a:solidFill>
              <a:schemeClr val="accent1"/>
            </a:solidFill>
            <a:ln>
              <a:noFill/>
            </a:ln>
            <a:effectLst/>
          </c:spPr>
          <c:invertIfNegative val="0"/>
          <c:dLbls>
            <c:dLbl>
              <c:idx val="2"/>
              <c:layout>
                <c:manualLayout>
                  <c:x val="-2.1074815595363539E-3"/>
                  <c:y val="0.2776675778222022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0FC-4E99-A2A2-4E1D10EBF01E}"/>
                </c:ext>
                <c:ext xmlns:c15="http://schemas.microsoft.com/office/drawing/2012/chart" uri="{CE6537A1-D6FC-4f65-9D91-7224C49458BB}"/>
              </c:extLst>
            </c:dLbl>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Sheet1!$B$2:$B$13</c:f>
              <c:numCache>
                <c:formatCode>0.0</c:formatCode>
                <c:ptCount val="12"/>
                <c:pt idx="0">
                  <c:v>755</c:v>
                </c:pt>
                <c:pt idx="1">
                  <c:v>775</c:v>
                </c:pt>
                <c:pt idx="2">
                  <c:v>1145</c:v>
                </c:pt>
                <c:pt idx="3">
                  <c:v>745</c:v>
                </c:pt>
                <c:pt idx="4">
                  <c:v>885</c:v>
                </c:pt>
                <c:pt idx="5">
                  <c:v>745</c:v>
                </c:pt>
                <c:pt idx="6">
                  <c:v>745</c:v>
                </c:pt>
                <c:pt idx="7">
                  <c:v>885</c:v>
                </c:pt>
                <c:pt idx="8">
                  <c:v>1395</c:v>
                </c:pt>
                <c:pt idx="9">
                  <c:v>745</c:v>
                </c:pt>
                <c:pt idx="10">
                  <c:v>885</c:v>
                </c:pt>
                <c:pt idx="11">
                  <c:v>1085</c:v>
                </c:pt>
              </c:numCache>
            </c:numRef>
          </c:val>
          <c:extLst xmlns:c16r2="http://schemas.microsoft.com/office/drawing/2015/06/chart">
            <c:ext xmlns:c16="http://schemas.microsoft.com/office/drawing/2014/chart" uri="{C3380CC4-5D6E-409C-BE32-E72D297353CC}">
              <c16:uniqueId val="{00000001-C0FC-4E99-A2A2-4E1D10EBF01E}"/>
            </c:ext>
          </c:extLst>
        </c:ser>
        <c:ser>
          <c:idx val="1"/>
          <c:order val="1"/>
          <c:tx>
            <c:strRef>
              <c:f>Sheet1!$C$1</c:f>
              <c:strCache>
                <c:ptCount val="1"/>
                <c:pt idx="0">
                  <c:v>Volumul cererii</c:v>
                </c:pt>
              </c:strCache>
            </c:strRef>
          </c:tx>
          <c:spPr>
            <a:solidFill>
              <a:schemeClr val="accent2"/>
            </a:solidFill>
            <a:ln>
              <a:noFill/>
            </a:ln>
            <a:effectLst/>
          </c:spPr>
          <c:invertIfNegative val="0"/>
          <c:dLbls>
            <c:dLbl>
              <c:idx val="0"/>
              <c:layout>
                <c:manualLayout>
                  <c:x val="0"/>
                  <c:y val="0.2817460317460317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0FC-4E99-A2A2-4E1D10EBF01E}"/>
                </c:ext>
                <c:ext xmlns:c15="http://schemas.microsoft.com/office/drawing/2012/chart" uri="{CE6537A1-D6FC-4f65-9D91-7224C49458BB}"/>
              </c:extLst>
            </c:dLbl>
            <c:dLbl>
              <c:idx val="1"/>
              <c:layout>
                <c:manualLayout>
                  <c:x val="-1.9536574539161113E-17"/>
                  <c:y val="0.2103174603174602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0FC-4E99-A2A2-4E1D10EBF01E}"/>
                </c:ext>
                <c:ext xmlns:c15="http://schemas.microsoft.com/office/drawing/2012/chart" uri="{CE6537A1-D6FC-4f65-9D91-7224C49458BB}"/>
              </c:extLst>
            </c:dLbl>
            <c:dLbl>
              <c:idx val="2"/>
              <c:layout>
                <c:manualLayout>
                  <c:x val="-2.1312872975277068E-3"/>
                  <c:y val="0.3373015873015873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0FC-4E99-A2A2-4E1D10EBF01E}"/>
                </c:ext>
                <c:ext xmlns:c15="http://schemas.microsoft.com/office/drawing/2012/chart" uri="{CE6537A1-D6FC-4f65-9D91-7224C49458BB}"/>
              </c:extLst>
            </c:dLbl>
            <c:dLbl>
              <c:idx val="3"/>
              <c:layout>
                <c:manualLayout>
                  <c:x val="-3.9073149078322226E-17"/>
                  <c:y val="0.1865079365079365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0FC-4E99-A2A2-4E1D10EBF01E}"/>
                </c:ext>
                <c:ext xmlns:c15="http://schemas.microsoft.com/office/drawing/2012/chart" uri="{CE6537A1-D6FC-4f65-9D91-7224C49458BB}"/>
              </c:extLst>
            </c:dLbl>
            <c:dLbl>
              <c:idx val="4"/>
              <c:layout>
                <c:manualLayout>
                  <c:x val="-2.1312872975277068E-3"/>
                  <c:y val="0.2420634920634920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0FC-4E99-A2A2-4E1D10EBF01E}"/>
                </c:ext>
                <c:ext xmlns:c15="http://schemas.microsoft.com/office/drawing/2012/chart" uri="{CE6537A1-D6FC-4f65-9D91-7224C49458BB}"/>
              </c:extLst>
            </c:dLbl>
            <c:dLbl>
              <c:idx val="5"/>
              <c:layout>
                <c:manualLayout>
                  <c:x val="0"/>
                  <c:y val="0.2619047619047619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0FC-4E99-A2A2-4E1D10EBF01E}"/>
                </c:ext>
                <c:ext xmlns:c15="http://schemas.microsoft.com/office/drawing/2012/chart" uri="{CE6537A1-D6FC-4f65-9D91-7224C49458BB}"/>
              </c:extLst>
            </c:dLbl>
            <c:dLbl>
              <c:idx val="6"/>
              <c:layout>
                <c:manualLayout>
                  <c:x val="2.1074815595363539E-3"/>
                  <c:y val="0.2514185467749173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0FC-4E99-A2A2-4E1D10EBF01E}"/>
                </c:ext>
                <c:ext xmlns:c15="http://schemas.microsoft.com/office/drawing/2012/chart" uri="{CE6537A1-D6FC-4f65-9D91-7224C49458BB}"/>
              </c:extLst>
            </c:dLbl>
            <c:dLbl>
              <c:idx val="7"/>
              <c:layout>
                <c:manualLayout>
                  <c:x val="2.1312872975277068E-3"/>
                  <c:y val="0.2619047619047618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0FC-4E99-A2A2-4E1D10EBF01E}"/>
                </c:ext>
                <c:ext xmlns:c15="http://schemas.microsoft.com/office/drawing/2012/chart" uri="{CE6537A1-D6FC-4f65-9D91-7224C49458BB}"/>
              </c:extLst>
            </c:dLbl>
            <c:dLbl>
              <c:idx val="8"/>
              <c:layout>
                <c:manualLayout>
                  <c:x val="-7.8146298156644451E-17"/>
                  <c:y val="0.293650793650793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C0FC-4E99-A2A2-4E1D10EBF01E}"/>
                </c:ext>
                <c:ext xmlns:c15="http://schemas.microsoft.com/office/drawing/2012/chart" uri="{CE6537A1-D6FC-4f65-9D91-7224C49458BB}"/>
              </c:extLst>
            </c:dLbl>
            <c:dLbl>
              <c:idx val="9"/>
              <c:layout>
                <c:manualLayout>
                  <c:x val="-1.562925963132889E-16"/>
                  <c:y val="0.2142857142857142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0FC-4E99-A2A2-4E1D10EBF01E}"/>
                </c:ext>
                <c:ext xmlns:c15="http://schemas.microsoft.com/office/drawing/2012/chart" uri="{CE6537A1-D6FC-4f65-9D91-7224C49458BB}"/>
              </c:extLst>
            </c:dLbl>
            <c:dLbl>
              <c:idx val="10"/>
              <c:layout>
                <c:manualLayout>
                  <c:x val="-2.1074815595363539E-3"/>
                  <c:y val="0.2080967728774835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C0FC-4E99-A2A2-4E1D10EBF01E}"/>
                </c:ext>
                <c:ext xmlns:c15="http://schemas.microsoft.com/office/drawing/2012/chart" uri="{CE6537A1-D6FC-4f65-9D91-7224C49458BB}"/>
              </c:extLst>
            </c:dLbl>
            <c:dLbl>
              <c:idx val="11"/>
              <c:layout>
                <c:manualLayout>
                  <c:x val="4.2625745950554137E-3"/>
                  <c:y val="0.285714285714285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C0FC-4E99-A2A2-4E1D10EBF01E}"/>
                </c:ext>
                <c:ext xmlns:c15="http://schemas.microsoft.com/office/drawing/2012/chart" uri="{CE6537A1-D6FC-4f65-9D91-7224C49458BB}"/>
              </c:extLst>
            </c:dLbl>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Sheet1!$C$2:$C$13</c:f>
              <c:numCache>
                <c:formatCode>0.0</c:formatCode>
                <c:ptCount val="12"/>
                <c:pt idx="0">
                  <c:v>1330.8</c:v>
                </c:pt>
                <c:pt idx="1">
                  <c:v>1490.7</c:v>
                </c:pt>
                <c:pt idx="2">
                  <c:v>1537.2</c:v>
                </c:pt>
                <c:pt idx="3">
                  <c:v>961.1</c:v>
                </c:pt>
                <c:pt idx="4">
                  <c:v>1004.4</c:v>
                </c:pt>
                <c:pt idx="5">
                  <c:v>1230.9000000000001</c:v>
                </c:pt>
                <c:pt idx="6">
                  <c:v>1009.4</c:v>
                </c:pt>
                <c:pt idx="7">
                  <c:v>1293</c:v>
                </c:pt>
                <c:pt idx="8">
                  <c:v>1174</c:v>
                </c:pt>
                <c:pt idx="9">
                  <c:v>938.4</c:v>
                </c:pt>
                <c:pt idx="10">
                  <c:v>882.6</c:v>
                </c:pt>
                <c:pt idx="11">
                  <c:v>1400.1</c:v>
                </c:pt>
              </c:numCache>
            </c:numRef>
          </c:val>
          <c:extLst xmlns:c16r2="http://schemas.microsoft.com/office/drawing/2015/06/chart">
            <c:ext xmlns:c16="http://schemas.microsoft.com/office/drawing/2014/chart" uri="{C3380CC4-5D6E-409C-BE32-E72D297353CC}">
              <c16:uniqueId val="{0000000E-C0FC-4E99-A2A2-4E1D10EBF01E}"/>
            </c:ext>
          </c:extLst>
        </c:ser>
        <c:ser>
          <c:idx val="2"/>
          <c:order val="2"/>
          <c:tx>
            <c:strRef>
              <c:f>Sheet1!$D$1</c:f>
              <c:strCache>
                <c:ptCount val="1"/>
                <c:pt idx="0">
                  <c:v>Volumul comercializat</c:v>
                </c:pt>
              </c:strCache>
            </c:strRef>
          </c:tx>
          <c:spPr>
            <a:solidFill>
              <a:schemeClr val="accent3"/>
            </a:solidFill>
            <a:ln>
              <a:noFill/>
            </a:ln>
            <a:effectLst/>
          </c:spPr>
          <c:invertIfNegative val="0"/>
          <c:dLbls>
            <c:dLbl>
              <c:idx val="0"/>
              <c:layout>
                <c:manualLayout>
                  <c:x val="0"/>
                  <c:y val="0.1349206349206348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C0FC-4E99-A2A2-4E1D10EBF01E}"/>
                </c:ext>
                <c:ext xmlns:c15="http://schemas.microsoft.com/office/drawing/2012/chart" uri="{CE6537A1-D6FC-4f65-9D91-7224C49458BB}"/>
              </c:extLst>
            </c:dLbl>
            <c:dLbl>
              <c:idx val="1"/>
              <c:layout>
                <c:manualLayout>
                  <c:x val="2.1312872975277068E-3"/>
                  <c:y val="0.1507936507936508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C0FC-4E99-A2A2-4E1D10EBF01E}"/>
                </c:ext>
                <c:ext xmlns:c15="http://schemas.microsoft.com/office/drawing/2012/chart" uri="{CE6537A1-D6FC-4f65-9D91-7224C49458BB}"/>
              </c:extLst>
            </c:dLbl>
            <c:dLbl>
              <c:idx val="2"/>
              <c:layout>
                <c:manualLayout>
                  <c:x val="0"/>
                  <c:y val="0.2619047619047619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C0FC-4E99-A2A2-4E1D10EBF01E}"/>
                </c:ext>
                <c:ext xmlns:c15="http://schemas.microsoft.com/office/drawing/2012/chart" uri="{CE6537A1-D6FC-4f65-9D91-7224C49458BB}"/>
              </c:extLst>
            </c:dLbl>
            <c:dLbl>
              <c:idx val="3"/>
              <c:layout>
                <c:manualLayout>
                  <c:x val="0"/>
                  <c:y val="0.119047619047619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C0FC-4E99-A2A2-4E1D10EBF01E}"/>
                </c:ext>
                <c:ext xmlns:c15="http://schemas.microsoft.com/office/drawing/2012/chart" uri="{CE6537A1-D6FC-4f65-9D91-7224C49458BB}"/>
              </c:extLst>
            </c:dLbl>
            <c:dLbl>
              <c:idx val="4"/>
              <c:layout>
                <c:manualLayout>
                  <c:x val="0"/>
                  <c:y val="0.138888888888888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C0FC-4E99-A2A2-4E1D10EBF01E}"/>
                </c:ext>
                <c:ext xmlns:c15="http://schemas.microsoft.com/office/drawing/2012/chart" uri="{CE6537A1-D6FC-4f65-9D91-7224C49458BB}"/>
              </c:extLst>
            </c:dLbl>
            <c:dLbl>
              <c:idx val="5"/>
              <c:layout>
                <c:manualLayout>
                  <c:x val="2.1312872975277068E-3"/>
                  <c:y val="0.1507936507936507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C0FC-4E99-A2A2-4E1D10EBF01E}"/>
                </c:ext>
                <c:ext xmlns:c15="http://schemas.microsoft.com/office/drawing/2012/chart" uri="{CE6537A1-D6FC-4f65-9D91-7224C49458BB}"/>
              </c:extLst>
            </c:dLbl>
            <c:dLbl>
              <c:idx val="6"/>
              <c:layout>
                <c:manualLayout>
                  <c:x val="-7.8146298156644451E-17"/>
                  <c:y val="0.1428571428571428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C0FC-4E99-A2A2-4E1D10EBF01E}"/>
                </c:ext>
                <c:ext xmlns:c15="http://schemas.microsoft.com/office/drawing/2012/chart" uri="{CE6537A1-D6FC-4f65-9D91-7224C49458BB}"/>
              </c:extLst>
            </c:dLbl>
            <c:dLbl>
              <c:idx val="7"/>
              <c:layout>
                <c:manualLayout>
                  <c:x val="2.1312872975276288E-3"/>
                  <c:y val="0.138888888888888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C0FC-4E99-A2A2-4E1D10EBF01E}"/>
                </c:ext>
                <c:ext xmlns:c15="http://schemas.microsoft.com/office/drawing/2012/chart" uri="{CE6537A1-D6FC-4f65-9D91-7224C49458BB}"/>
              </c:extLst>
            </c:dLbl>
            <c:dLbl>
              <c:idx val="8"/>
              <c:layout>
                <c:manualLayout>
                  <c:x val="-7.8146298156644451E-17"/>
                  <c:y val="0.1825396825396825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C0FC-4E99-A2A2-4E1D10EBF01E}"/>
                </c:ext>
                <c:ext xmlns:c15="http://schemas.microsoft.com/office/drawing/2012/chart" uri="{CE6537A1-D6FC-4f65-9D91-7224C49458BB}"/>
              </c:extLst>
            </c:dLbl>
            <c:dLbl>
              <c:idx val="9"/>
              <c:layout>
                <c:manualLayout>
                  <c:x val="0"/>
                  <c:y val="0.1587301587301585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C0FC-4E99-A2A2-4E1D10EBF01E}"/>
                </c:ext>
                <c:ext xmlns:c15="http://schemas.microsoft.com/office/drawing/2012/chart" uri="{CE6537A1-D6FC-4f65-9D91-7224C49458BB}"/>
              </c:extLst>
            </c:dLbl>
            <c:dLbl>
              <c:idx val="10"/>
              <c:layout>
                <c:manualLayout>
                  <c:x val="-2.131287297527863E-3"/>
                  <c:y val="0.1825396825396825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C0FC-4E99-A2A2-4E1D10EBF01E}"/>
                </c:ext>
                <c:ext xmlns:c15="http://schemas.microsoft.com/office/drawing/2012/chart" uri="{CE6537A1-D6FC-4f65-9D91-7224C49458BB}"/>
              </c:extLst>
            </c:dLbl>
            <c:dLbl>
              <c:idx val="11"/>
              <c:layout>
                <c:manualLayout>
                  <c:x val="2.1312872975277068E-3"/>
                  <c:y val="0.1587301587301587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C0FC-4E99-A2A2-4E1D10EBF01E}"/>
                </c:ext>
                <c:ext xmlns:c15="http://schemas.microsoft.com/office/drawing/2012/chart" uri="{CE6537A1-D6FC-4f65-9D91-7224C49458BB}"/>
              </c:extLst>
            </c:dLbl>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Sheet1!$D$2:$D$13</c:f>
              <c:numCache>
                <c:formatCode>General</c:formatCode>
                <c:ptCount val="12"/>
                <c:pt idx="0">
                  <c:v>749.1</c:v>
                </c:pt>
                <c:pt idx="1">
                  <c:v>807.6</c:v>
                </c:pt>
                <c:pt idx="2">
                  <c:v>1076.2</c:v>
                </c:pt>
                <c:pt idx="3">
                  <c:v>639.29999999999995</c:v>
                </c:pt>
                <c:pt idx="4">
                  <c:v>778.5</c:v>
                </c:pt>
                <c:pt idx="5">
                  <c:v>737.3</c:v>
                </c:pt>
                <c:pt idx="6">
                  <c:v>732.1</c:v>
                </c:pt>
                <c:pt idx="7">
                  <c:v>917.6</c:v>
                </c:pt>
                <c:pt idx="8">
                  <c:v>903.2</c:v>
                </c:pt>
                <c:pt idx="9">
                  <c:v>709.5</c:v>
                </c:pt>
                <c:pt idx="10">
                  <c:v>679.8</c:v>
                </c:pt>
                <c:pt idx="11">
                  <c:v>1049.2</c:v>
                </c:pt>
              </c:numCache>
            </c:numRef>
          </c:val>
          <c:extLst xmlns:c16r2="http://schemas.microsoft.com/office/drawing/2015/06/chart">
            <c:ext xmlns:c16="http://schemas.microsoft.com/office/drawing/2014/chart" uri="{C3380CC4-5D6E-409C-BE32-E72D297353CC}">
              <c16:uniqueId val="{0000001B-C0FC-4E99-A2A2-4E1D10EBF01E}"/>
            </c:ext>
          </c:extLst>
        </c:ser>
        <c:dLbls>
          <c:showLegendKey val="0"/>
          <c:showVal val="1"/>
          <c:showCatName val="0"/>
          <c:showSerName val="0"/>
          <c:showPercent val="0"/>
          <c:showBubbleSize val="0"/>
        </c:dLbls>
        <c:gapWidth val="54"/>
        <c:overlap val="-9"/>
        <c:axId val="423181920"/>
        <c:axId val="423182312"/>
      </c:barChart>
      <c:lineChart>
        <c:grouping val="stacked"/>
        <c:varyColors val="0"/>
        <c:ser>
          <c:idx val="3"/>
          <c:order val="3"/>
          <c:tx>
            <c:strRef>
              <c:f>Sheet1!$E$1</c:f>
              <c:strCache>
                <c:ptCount val="1"/>
                <c:pt idx="0">
                  <c:v>Rata medie ponderată a dobânzii</c:v>
                </c:pt>
              </c:strCache>
            </c:strRef>
          </c:tx>
          <c:spPr>
            <a:ln w="28575" cap="rnd">
              <a:solidFill>
                <a:schemeClr val="tx2"/>
              </a:solidFill>
              <a:round/>
            </a:ln>
            <a:effectLst/>
          </c:spPr>
          <c:marker>
            <c:symbol val="circle"/>
            <c:size val="5"/>
            <c:spPr>
              <a:solidFill>
                <a:schemeClr val="accent4"/>
              </a:solidFill>
              <a:ln w="9525">
                <a:solidFill>
                  <a:schemeClr val="accent4"/>
                </a:solidFill>
              </a:ln>
              <a:effectLst/>
              <a:scene3d>
                <a:camera prst="orthographicFront"/>
                <a:lightRig rig="threePt" dir="t"/>
              </a:scene3d>
              <a:sp3d>
                <a:bevelT/>
              </a:sp3d>
            </c:spPr>
          </c:marker>
          <c:dLbls>
            <c:dLbl>
              <c:idx val="0"/>
              <c:layout>
                <c:manualLayout>
                  <c:x val="-7.2463768115942032E-2"/>
                  <c:y val="-4.3650793650793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C0FC-4E99-A2A2-4E1D10EBF01E}"/>
                </c:ext>
                <c:ext xmlns:c15="http://schemas.microsoft.com/office/drawing/2012/chart" uri="{CE6537A1-D6FC-4f65-9D91-7224C49458BB}"/>
              </c:extLst>
            </c:dLbl>
            <c:dLbl>
              <c:idx val="1"/>
              <c:layout>
                <c:manualLayout>
                  <c:x val="-6.3938618925831206E-2"/>
                  <c:y val="-5.15873015873015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C0FC-4E99-A2A2-4E1D10EBF01E}"/>
                </c:ext>
                <c:ext xmlns:c15="http://schemas.microsoft.com/office/drawing/2012/chart" uri="{CE6537A1-D6FC-4f65-9D91-7224C49458BB}"/>
              </c:extLst>
            </c:dLbl>
            <c:dLbl>
              <c:idx val="2"/>
              <c:layout>
                <c:manualLayout>
                  <c:x val="-5.5413469735720373E-2"/>
                  <c:y val="-3.571428571428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C0FC-4E99-A2A2-4E1D10EBF01E}"/>
                </c:ext>
                <c:ext xmlns:c15="http://schemas.microsoft.com/office/drawing/2012/chart" uri="{CE6537A1-D6FC-4f65-9D91-7224C49458BB}"/>
              </c:extLst>
            </c:dLbl>
            <c:dLbl>
              <c:idx val="3"/>
              <c:layout>
                <c:manualLayout>
                  <c:x val="-7.0332480818414367E-2"/>
                  <c:y val="-4.76190476190476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C0FC-4E99-A2A2-4E1D10EBF01E}"/>
                </c:ext>
                <c:ext xmlns:c15="http://schemas.microsoft.com/office/drawing/2012/chart" uri="{CE6537A1-D6FC-4f65-9D91-7224C49458BB}"/>
              </c:extLst>
            </c:dLbl>
            <c:dLbl>
              <c:idx val="4"/>
              <c:layout>
                <c:manualLayout>
                  <c:x val="-7.2463768115942073E-2"/>
                  <c:y val="-4.36507936507936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C0FC-4E99-A2A2-4E1D10EBF01E}"/>
                </c:ext>
                <c:ext xmlns:c15="http://schemas.microsoft.com/office/drawing/2012/chart" uri="{CE6537A1-D6FC-4f65-9D91-7224C49458BB}"/>
              </c:extLst>
            </c:dLbl>
            <c:dLbl>
              <c:idx val="5"/>
              <c:layout>
                <c:manualLayout>
                  <c:x val="-6.3938618925831206E-2"/>
                  <c:y val="-4.76190476190476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C0FC-4E99-A2A2-4E1D10EBF01E}"/>
                </c:ext>
                <c:ext xmlns:c15="http://schemas.microsoft.com/office/drawing/2012/chart" uri="{CE6537A1-D6FC-4f65-9D91-7224C49458BB}"/>
              </c:extLst>
            </c:dLbl>
            <c:dLbl>
              <c:idx val="6"/>
              <c:layout>
                <c:manualLayout>
                  <c:x val="-3.8363171355498799E-2"/>
                  <c:y val="-3.96825396825397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C0FC-4E99-A2A2-4E1D10EBF01E}"/>
                </c:ext>
                <c:ext xmlns:c15="http://schemas.microsoft.com/office/drawing/2012/chart" uri="{CE6537A1-D6FC-4f65-9D91-7224C49458BB}"/>
              </c:extLst>
            </c:dLbl>
            <c:dLbl>
              <c:idx val="7"/>
              <c:layout>
                <c:manualLayout>
                  <c:x val="-2.7706734867860267E-2"/>
                  <c:y val="-5.55555555555555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C0FC-4E99-A2A2-4E1D10EBF01E}"/>
                </c:ext>
                <c:ext xmlns:c15="http://schemas.microsoft.com/office/drawing/2012/chart" uri="{CE6537A1-D6FC-4f65-9D91-7224C49458BB}"/>
              </c:extLst>
            </c:dLbl>
            <c:dLbl>
              <c:idx val="8"/>
              <c:layout>
                <c:manualLayout>
                  <c:x val="-2.557544757033256E-2"/>
                  <c:y val="-5.15873015873015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C0FC-4E99-A2A2-4E1D10EBF01E}"/>
                </c:ext>
                <c:ext xmlns:c15="http://schemas.microsoft.com/office/drawing/2012/chart" uri="{CE6537A1-D6FC-4f65-9D91-7224C49458BB}"/>
              </c:extLst>
            </c:dLbl>
            <c:dLbl>
              <c:idx val="9"/>
              <c:layout>
                <c:manualLayout>
                  <c:x val="-2.557544757033248E-2"/>
                  <c:y val="-5.15873015873015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C0FC-4E99-A2A2-4E1D10EBF01E}"/>
                </c:ext>
                <c:ext xmlns:c15="http://schemas.microsoft.com/office/drawing/2012/chart" uri="{CE6537A1-D6FC-4f65-9D91-7224C49458BB}"/>
              </c:extLst>
            </c:dLbl>
            <c:dLbl>
              <c:idx val="10"/>
              <c:layout>
                <c:manualLayout>
                  <c:x val="-3.1969309462915603E-2"/>
                  <c:y val="-5.55555555555555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C0FC-4E99-A2A2-4E1D10EBF01E}"/>
                </c:ext>
                <c:ext xmlns:c15="http://schemas.microsoft.com/office/drawing/2012/chart" uri="{CE6537A1-D6FC-4f65-9D91-7224C49458BB}"/>
              </c:extLst>
            </c:dLbl>
            <c:dLbl>
              <c:idx val="11"/>
              <c:layout>
                <c:manualLayout>
                  <c:x val="-2.557544757033248E-2"/>
                  <c:y val="-4.76190476190476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C0FC-4E99-A2A2-4E1D10EBF01E}"/>
                </c:ext>
                <c:ext xmlns:c15="http://schemas.microsoft.com/office/drawing/2012/chart" uri="{CE6537A1-D6FC-4f65-9D91-7224C49458BB}"/>
              </c:extLst>
            </c:dLbl>
            <c:spPr>
              <a:noFill/>
              <a:ln>
                <a:solidFill>
                  <a:schemeClr val="tx2"/>
                </a:solid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tx2"/>
                      </a:solidFill>
                    </a:ln>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Sheet1!$E$2:$E$13</c:f>
              <c:numCache>
                <c:formatCode>0.0%</c:formatCode>
                <c:ptCount val="12"/>
                <c:pt idx="0">
                  <c:v>5.7200000000000001E-2</c:v>
                </c:pt>
                <c:pt idx="1">
                  <c:v>5.2600000000000001E-2</c:v>
                </c:pt>
                <c:pt idx="2">
                  <c:v>4.7800000000000002E-2</c:v>
                </c:pt>
                <c:pt idx="3">
                  <c:v>4.4699999999999997E-2</c:v>
                </c:pt>
                <c:pt idx="4">
                  <c:v>4.4699999999999997E-2</c:v>
                </c:pt>
                <c:pt idx="5">
                  <c:v>4.6199999999999998E-2</c:v>
                </c:pt>
                <c:pt idx="6">
                  <c:v>4.6100000000000002E-2</c:v>
                </c:pt>
                <c:pt idx="7">
                  <c:v>4.5400000000000003E-2</c:v>
                </c:pt>
                <c:pt idx="8">
                  <c:v>4.9399999999999999E-2</c:v>
                </c:pt>
                <c:pt idx="9">
                  <c:v>4.9299999999999997E-2</c:v>
                </c:pt>
                <c:pt idx="10">
                  <c:v>5.2200000000000003E-2</c:v>
                </c:pt>
                <c:pt idx="11">
                  <c:v>5.9799999999999999E-2</c:v>
                </c:pt>
              </c:numCache>
            </c:numRef>
          </c:val>
          <c:smooth val="0"/>
          <c:extLst xmlns:c16r2="http://schemas.microsoft.com/office/drawing/2015/06/chart">
            <c:ext xmlns:c16="http://schemas.microsoft.com/office/drawing/2014/chart" uri="{C3380CC4-5D6E-409C-BE32-E72D297353CC}">
              <c16:uniqueId val="{00000028-C0FC-4E99-A2A2-4E1D10EBF01E}"/>
            </c:ext>
          </c:extLst>
        </c:ser>
        <c:dLbls>
          <c:showLegendKey val="0"/>
          <c:showVal val="1"/>
          <c:showCatName val="0"/>
          <c:showSerName val="0"/>
          <c:showPercent val="0"/>
          <c:showBubbleSize val="0"/>
        </c:dLbls>
        <c:marker val="1"/>
        <c:smooth val="0"/>
        <c:axId val="423183096"/>
        <c:axId val="423182704"/>
      </c:lineChart>
      <c:catAx>
        <c:axId val="42318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23182312"/>
        <c:crosses val="autoZero"/>
        <c:auto val="1"/>
        <c:lblAlgn val="ctr"/>
        <c:lblOffset val="100"/>
        <c:noMultiLvlLbl val="0"/>
      </c:catAx>
      <c:valAx>
        <c:axId val="4231823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23181920"/>
        <c:crosses val="autoZero"/>
        <c:crossBetween val="between"/>
      </c:valAx>
      <c:valAx>
        <c:axId val="42318270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23183096"/>
        <c:crosses val="max"/>
        <c:crossBetween val="between"/>
      </c:valAx>
      <c:catAx>
        <c:axId val="423183096"/>
        <c:scaling>
          <c:orientation val="minMax"/>
        </c:scaling>
        <c:delete val="1"/>
        <c:axPos val="b"/>
        <c:numFmt formatCode="General" sourceLinked="1"/>
        <c:majorTickMark val="out"/>
        <c:minorTickMark val="none"/>
        <c:tickLblPos val="nextTo"/>
        <c:crossAx val="4231827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96" b="0" i="0" u="none" strike="noStrike" kern="1200" cap="none" spc="20" baseline="0">
                <a:solidFill>
                  <a:schemeClr val="tx1">
                    <a:lumMod val="50000"/>
                    <a:lumOff val="50000"/>
                  </a:schemeClr>
                </a:solidFill>
                <a:latin typeface="+mn-lt"/>
                <a:ea typeface="+mn-ea"/>
                <a:cs typeface="+mn-cs"/>
              </a:defRPr>
            </a:pPr>
            <a:r>
              <a:rPr lang="ro-RO" sz="1198" b="1" baseline="0">
                <a:solidFill>
                  <a:sysClr val="windowText" lastClr="000000"/>
                </a:solidFill>
                <a:effectLst/>
                <a:latin typeface="+mj-lt"/>
                <a:cs typeface="Times New Roman" panose="02020603050405020304" pitchFamily="18" charset="0"/>
              </a:rPr>
              <a:t>Investitorii bancari și nebancari în VMS în circulație, </a:t>
            </a:r>
          </a:p>
          <a:p>
            <a:pPr algn="ctr">
              <a:defRPr sz="1196" b="0" i="0" u="none" strike="noStrike" kern="1200" cap="none" spc="20" baseline="0">
                <a:solidFill>
                  <a:schemeClr val="tx1">
                    <a:lumMod val="50000"/>
                    <a:lumOff val="50000"/>
                  </a:schemeClr>
                </a:solidFill>
                <a:latin typeface="+mn-lt"/>
                <a:ea typeface="+mn-ea"/>
                <a:cs typeface="+mn-cs"/>
              </a:defRPr>
            </a:pPr>
            <a:r>
              <a:rPr lang="ro-RO" sz="1198" b="1" baseline="0">
                <a:solidFill>
                  <a:sysClr val="windowText" lastClr="000000"/>
                </a:solidFill>
                <a:effectLst/>
                <a:latin typeface="+mj-lt"/>
                <a:cs typeface="Times New Roman" panose="02020603050405020304" pitchFamily="18" charset="0"/>
              </a:rPr>
              <a:t>în anii 2016-2018</a:t>
            </a:r>
            <a:endParaRPr lang="en-US" sz="1200" baseline="0">
              <a:solidFill>
                <a:sysClr val="windowText" lastClr="000000"/>
              </a:solidFill>
              <a:effectLst/>
              <a:latin typeface="+mj-lt"/>
              <a:cs typeface="Times New Roman" panose="02020603050405020304" pitchFamily="18" charset="0"/>
            </a:endParaRPr>
          </a:p>
        </c:rich>
      </c:tx>
      <c:layout>
        <c:manualLayout>
          <c:xMode val="edge"/>
          <c:yMode val="edge"/>
          <c:x val="0.18422234517982544"/>
          <c:y val="3.1685743754874089E-2"/>
        </c:manualLayout>
      </c:layout>
      <c:overlay val="0"/>
      <c:spPr>
        <a:noFill/>
        <a:ln w="25353">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2.413074476253154E-2"/>
          <c:y val="0.23716928774095139"/>
          <c:w val="0.95173851047493718"/>
          <c:h val="0.48454289695664393"/>
        </c:manualLayout>
      </c:layout>
      <c:bar3DChart>
        <c:barDir val="col"/>
        <c:grouping val="stacked"/>
        <c:varyColors val="0"/>
        <c:ser>
          <c:idx val="0"/>
          <c:order val="0"/>
          <c:tx>
            <c:strRef>
              <c:f>Sheet1!$B$1</c:f>
              <c:strCache>
                <c:ptCount val="1"/>
                <c:pt idx="0">
                  <c:v>Investitori bancari</c:v>
                </c:pt>
              </c:strCache>
            </c:strRef>
          </c:tx>
          <c:spPr>
            <a:solidFill>
              <a:srgbClr val="70AD47">
                <a:lumMod val="75000"/>
              </a:srgbClr>
            </a:solidFill>
            <a:ln w="3169">
              <a:solidFill>
                <a:srgbClr val="FF0000"/>
              </a:solidFill>
              <a:prstDash val="solid"/>
            </a:ln>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98"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2016</c:v>
                </c:pt>
                <c:pt idx="1">
                  <c:v>2017</c:v>
                </c:pt>
                <c:pt idx="2">
                  <c:v>2018</c:v>
                </c:pt>
              </c:numCache>
            </c:numRef>
          </c:cat>
          <c:val>
            <c:numRef>
              <c:f>Sheet1!$B$2:$B$4</c:f>
              <c:numCache>
                <c:formatCode>General</c:formatCode>
                <c:ptCount val="3"/>
                <c:pt idx="0">
                  <c:v>8635.7000000000007</c:v>
                </c:pt>
                <c:pt idx="1">
                  <c:v>8280.7999999999993</c:v>
                </c:pt>
                <c:pt idx="2">
                  <c:v>8232.7999999999993</c:v>
                </c:pt>
              </c:numCache>
            </c:numRef>
          </c:val>
          <c:extLst xmlns:c16r2="http://schemas.microsoft.com/office/drawing/2015/06/chart">
            <c:ext xmlns:c16="http://schemas.microsoft.com/office/drawing/2014/chart" uri="{C3380CC4-5D6E-409C-BE32-E72D297353CC}">
              <c16:uniqueId val="{00000000-0E3B-45FD-9493-112FDC879B20}"/>
            </c:ext>
          </c:extLst>
        </c:ser>
        <c:ser>
          <c:idx val="1"/>
          <c:order val="1"/>
          <c:tx>
            <c:strRef>
              <c:f>Sheet1!$C$1</c:f>
              <c:strCache>
                <c:ptCount val="1"/>
                <c:pt idx="0">
                  <c:v>Investitori nebancari</c:v>
                </c:pt>
              </c:strCache>
            </c:strRef>
          </c:tx>
          <c:spPr>
            <a:solidFill>
              <a:srgbClr val="C00000"/>
            </a:solidFill>
            <a:ln w="3169">
              <a:solidFill>
                <a:srgbClr val="FFFF00"/>
              </a:solidFill>
              <a:prstDash val="solid"/>
            </a:ln>
          </c:spPr>
          <c:invertIfNegative val="0"/>
          <c:dLbls>
            <c:dLbl>
              <c:idx val="0"/>
              <c:layout>
                <c:manualLayout>
                  <c:x val="2.3783783783783784E-2"/>
                  <c:y val="-0.1022364217252396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E3B-45FD-9493-112FDC879B20}"/>
                </c:ext>
                <c:ext xmlns:c15="http://schemas.microsoft.com/office/drawing/2012/chart" uri="{CE6537A1-D6FC-4f65-9D91-7224C49458BB}"/>
              </c:extLst>
            </c:dLbl>
            <c:dLbl>
              <c:idx val="1"/>
              <c:layout>
                <c:manualLayout>
                  <c:x val="2.3783783783783784E-2"/>
                  <c:y val="-8.94568690095846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E3B-45FD-9493-112FDC879B20}"/>
                </c:ext>
                <c:ext xmlns:c15="http://schemas.microsoft.com/office/drawing/2012/chart" uri="{CE6537A1-D6FC-4f65-9D91-7224C49458BB}"/>
              </c:extLst>
            </c:dLbl>
            <c:dLbl>
              <c:idx val="2"/>
              <c:layout>
                <c:manualLayout>
                  <c:x val="6.4864864864864072E-3"/>
                  <c:y val="-5.11182108626198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E3B-45FD-9493-112FDC879B20}"/>
                </c:ex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898"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2016</c:v>
                </c:pt>
                <c:pt idx="1">
                  <c:v>2017</c:v>
                </c:pt>
                <c:pt idx="2">
                  <c:v>2018</c:v>
                </c:pt>
              </c:numCache>
            </c:numRef>
          </c:cat>
          <c:val>
            <c:numRef>
              <c:f>Sheet1!$C$2:$C$4</c:f>
              <c:numCache>
                <c:formatCode>General</c:formatCode>
                <c:ptCount val="3"/>
                <c:pt idx="0">
                  <c:v>1628.4</c:v>
                </c:pt>
                <c:pt idx="1">
                  <c:v>1619.4</c:v>
                </c:pt>
                <c:pt idx="2">
                  <c:v>1546.6</c:v>
                </c:pt>
              </c:numCache>
            </c:numRef>
          </c:val>
          <c:extLst xmlns:c16r2="http://schemas.microsoft.com/office/drawing/2015/06/chart">
            <c:ext xmlns:c16="http://schemas.microsoft.com/office/drawing/2014/chart" uri="{C3380CC4-5D6E-409C-BE32-E72D297353CC}">
              <c16:uniqueId val="{00000004-0E3B-45FD-9493-112FDC879B20}"/>
            </c:ext>
          </c:extLst>
        </c:ser>
        <c:dLbls>
          <c:showLegendKey val="0"/>
          <c:showVal val="1"/>
          <c:showCatName val="0"/>
          <c:showSerName val="0"/>
          <c:showPercent val="0"/>
          <c:showBubbleSize val="0"/>
        </c:dLbls>
        <c:gapWidth val="150"/>
        <c:shape val="box"/>
        <c:axId val="420251880"/>
        <c:axId val="420252272"/>
        <c:axId val="0"/>
      </c:bar3DChart>
      <c:catAx>
        <c:axId val="420251880"/>
        <c:scaling>
          <c:orientation val="minMax"/>
        </c:scaling>
        <c:delete val="0"/>
        <c:axPos val="b"/>
        <c:numFmt formatCode="General" sourceLinked="1"/>
        <c:majorTickMark val="none"/>
        <c:minorTickMark val="none"/>
        <c:tickLblPos val="nextTo"/>
        <c:spPr>
          <a:ln w="6338">
            <a:noFill/>
          </a:ln>
        </c:spPr>
        <c:txPr>
          <a:bodyPr rot="-60000000" spcFirstLastPara="1" vertOverflow="ellipsis" vert="horz" wrap="square" anchor="ctr" anchorCtr="1"/>
          <a:lstStyle/>
          <a:p>
            <a:pPr>
              <a:defRPr sz="998" b="1" i="0" u="none" strike="noStrike" kern="1200" baseline="0">
                <a:solidFill>
                  <a:schemeClr val="tx1"/>
                </a:solidFill>
                <a:latin typeface="+mj-lt"/>
                <a:ea typeface="+mn-ea"/>
                <a:cs typeface="Times New Roman" panose="02020603050405020304" pitchFamily="18" charset="0"/>
              </a:defRPr>
            </a:pPr>
            <a:endParaRPr lang="ru-RU"/>
          </a:p>
        </c:txPr>
        <c:crossAx val="420252272"/>
        <c:crosses val="autoZero"/>
        <c:auto val="1"/>
        <c:lblAlgn val="ctr"/>
        <c:lblOffset val="100"/>
        <c:noMultiLvlLbl val="0"/>
      </c:catAx>
      <c:valAx>
        <c:axId val="420252272"/>
        <c:scaling>
          <c:orientation val="minMax"/>
        </c:scaling>
        <c:delete val="1"/>
        <c:axPos val="l"/>
        <c:majorGridlines>
          <c:spPr>
            <a:ln w="9507" cap="flat" cmpd="sng" algn="ctr">
              <a:solidFill>
                <a:schemeClr val="tx1">
                  <a:lumMod val="15000"/>
                  <a:lumOff val="85000"/>
                </a:schemeClr>
              </a:solidFill>
              <a:round/>
            </a:ln>
            <a:effectLst/>
          </c:spPr>
        </c:majorGridlines>
        <c:numFmt formatCode="General" sourceLinked="1"/>
        <c:majorTickMark val="out"/>
        <c:minorTickMark val="none"/>
        <c:tickLblPos val="nextTo"/>
        <c:crossAx val="420251880"/>
        <c:crosses val="autoZero"/>
        <c:crossBetween val="between"/>
      </c:valAx>
      <c:spPr>
        <a:noFill/>
        <a:ln w="25353">
          <a:noFill/>
        </a:ln>
      </c:spPr>
    </c:plotArea>
    <c:legend>
      <c:legendPos val="b"/>
      <c:overlay val="0"/>
      <c:spPr>
        <a:noFill/>
        <a:ln w="25353">
          <a:noFill/>
        </a:ln>
      </c:spPr>
      <c:txPr>
        <a:bodyPr rot="0" spcFirstLastPara="1" vertOverflow="ellipsis" vert="horz" wrap="square" anchor="ctr" anchorCtr="1"/>
        <a:lstStyle/>
        <a:p>
          <a:pPr>
            <a:defRPr sz="998" b="1" i="0" u="none" strike="noStrike" kern="1200" baseline="0">
              <a:solidFill>
                <a:sysClr val="windowText" lastClr="000000"/>
              </a:solidFill>
              <a:latin typeface="+mj-lt"/>
              <a:ea typeface="+mn-ea"/>
              <a:cs typeface="Times New Roman" panose="02020603050405020304" pitchFamily="18" charset="0"/>
            </a:defRPr>
          </a:pPr>
          <a:endParaRPr lang="ru-RU"/>
        </a:p>
      </c:txPr>
    </c:legend>
    <c:plotVisOnly val="1"/>
    <c:dispBlanksAs val="gap"/>
    <c:showDLblsOverMax val="0"/>
  </c:chart>
  <c:spPr>
    <a:solidFill>
      <a:schemeClr val="bg1"/>
    </a:solidFill>
    <a:ln w="950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j-lt"/>
                <a:ea typeface="+mn-ea"/>
                <a:cs typeface="Times New Roman" panose="02020603050405020304" pitchFamily="18" charset="0"/>
              </a:defRPr>
            </a:pPr>
            <a:r>
              <a:rPr lang="ro-MD" sz="1200" b="1" i="0" baseline="0">
                <a:solidFill>
                  <a:sysClr val="windowText" lastClr="000000"/>
                </a:solidFill>
                <a:effectLst/>
                <a:latin typeface="+mj-lt"/>
                <a:cs typeface="Times New Roman" panose="02020603050405020304" pitchFamily="18" charset="0"/>
              </a:rPr>
              <a:t>Dinamica ratei anuale a dobânzii la VMS în anii 2016-2018</a:t>
            </a:r>
            <a:endParaRPr lang="en-US" sz="1200">
              <a:solidFill>
                <a:sysClr val="windowText" lastClr="000000"/>
              </a:solidFill>
              <a:effectLst/>
              <a:latin typeface="+mj-lt"/>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j-lt"/>
              <a:ea typeface="+mn-ea"/>
              <a:cs typeface="Times New Roman" panose="02020603050405020304" pitchFamily="18" charset="0"/>
            </a:defRPr>
          </a:pPr>
          <a:endParaRPr lang="ru-RU"/>
        </a:p>
      </c:txPr>
    </c:title>
    <c:autoTitleDeleted val="0"/>
    <c:plotArea>
      <c:layout>
        <c:manualLayout>
          <c:layoutTarget val="inner"/>
          <c:xMode val="edge"/>
          <c:yMode val="edge"/>
          <c:x val="8.3071115582569077E-2"/>
          <c:y val="0.14562647754137115"/>
          <c:w val="0.90214535749029257"/>
          <c:h val="0.44253159844381157"/>
        </c:manualLayout>
      </c:layout>
      <c:lineChart>
        <c:grouping val="standard"/>
        <c:varyColors val="0"/>
        <c:ser>
          <c:idx val="0"/>
          <c:order val="0"/>
          <c:tx>
            <c:strRef>
              <c:f>Sheet1!$B$1</c:f>
              <c:strCache>
                <c:ptCount val="1"/>
                <c:pt idx="0">
                  <c:v>Rata medie ponderată a dobânzii pentru anul 2016</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1214361140443524E-2"/>
                  <c:y val="-3.069749260065893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44C-4AD5-BD42-34E834E0A3ED}"/>
                </c:ext>
                <c:ext xmlns:c15="http://schemas.microsoft.com/office/drawing/2012/chart" uri="{CE6537A1-D6FC-4f65-9D91-7224C49458BB}"/>
              </c:extLst>
            </c:dLbl>
            <c:dLbl>
              <c:idx val="1"/>
              <c:layout>
                <c:manualLayout>
                  <c:x val="-3.3326293558606127E-2"/>
                  <c:y val="-5.433815453919323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44C-4AD5-BD42-34E834E0A3ED}"/>
                </c:ext>
                <c:ext xmlns:c15="http://schemas.microsoft.com/office/drawing/2012/chart" uri="{CE6537A1-D6FC-4f65-9D91-7224C49458BB}"/>
              </c:extLst>
            </c:dLbl>
            <c:dLbl>
              <c:idx val="4"/>
              <c:layout>
                <c:manualLayout>
                  <c:x val="-3.6745129667661657E-2"/>
                  <c:y val="-6.401109435788611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31A-4FCB-B419-17B26ED7908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Sheet1!$B$2:$B$13</c:f>
              <c:numCache>
                <c:formatCode>General</c:formatCode>
                <c:ptCount val="12"/>
                <c:pt idx="0" formatCode="0.00">
                  <c:v>25.29</c:v>
                </c:pt>
                <c:pt idx="1">
                  <c:v>25.05</c:v>
                </c:pt>
                <c:pt idx="2" formatCode="0.00">
                  <c:v>24.05</c:v>
                </c:pt>
                <c:pt idx="3" formatCode="0.00">
                  <c:v>22.66</c:v>
                </c:pt>
                <c:pt idx="4" formatCode="0.00">
                  <c:v>15.74</c:v>
                </c:pt>
                <c:pt idx="5" formatCode="0.00">
                  <c:v>11.6</c:v>
                </c:pt>
                <c:pt idx="6" formatCode="0.00">
                  <c:v>12.54</c:v>
                </c:pt>
                <c:pt idx="7" formatCode="0.00">
                  <c:v>10.67</c:v>
                </c:pt>
                <c:pt idx="8" formatCode="0.00">
                  <c:v>9.06</c:v>
                </c:pt>
                <c:pt idx="9" formatCode="0.00">
                  <c:v>8.15</c:v>
                </c:pt>
                <c:pt idx="10" formatCode="0.00">
                  <c:v>7.96</c:v>
                </c:pt>
                <c:pt idx="11" formatCode="0.00">
                  <c:v>6.3</c:v>
                </c:pt>
              </c:numCache>
            </c:numRef>
          </c:val>
          <c:smooth val="0"/>
          <c:extLst xmlns:c16r2="http://schemas.microsoft.com/office/drawing/2015/06/chart">
            <c:ext xmlns:c16="http://schemas.microsoft.com/office/drawing/2014/chart" uri="{C3380CC4-5D6E-409C-BE32-E72D297353CC}">
              <c16:uniqueId val="{00000001-820D-49F8-8AB9-8F26D230CC14}"/>
            </c:ext>
          </c:extLst>
        </c:ser>
        <c:ser>
          <c:idx val="1"/>
          <c:order val="1"/>
          <c:tx>
            <c:strRef>
              <c:f>Sheet1!$C$1</c:f>
              <c:strCache>
                <c:ptCount val="1"/>
                <c:pt idx="0">
                  <c:v>Rata medie ponderată a dobânzii pentru anul 2017</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3.6595566708490172E-2"/>
                  <c:y val="3.77280964879390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31A-4FCB-B419-17B26ED7908E}"/>
                </c:ext>
                <c:ext xmlns:c15="http://schemas.microsoft.com/office/drawing/2012/chart" uri="{CE6537A1-D6FC-4f65-9D91-7224C49458BB}"/>
              </c:extLst>
            </c:dLbl>
            <c:dLbl>
              <c:idx val="1"/>
              <c:layout>
                <c:manualLayout>
                  <c:x val="-3.023904746859124E-2"/>
                  <c:y val="-4.264998790044861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31A-4FCB-B419-17B26ED7908E}"/>
                </c:ext>
                <c:ext xmlns:c15="http://schemas.microsoft.com/office/drawing/2012/chart" uri="{CE6537A1-D6FC-4f65-9D91-7224C49458BB}"/>
              </c:extLst>
            </c:dLbl>
            <c:dLbl>
              <c:idx val="2"/>
              <c:layout>
                <c:manualLayout>
                  <c:x val="-3.4483699041315714E-2"/>
                  <c:y val="-4.417006384840192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31A-4FCB-B419-17B26ED7908E}"/>
                </c:ext>
                <c:ext xmlns:c15="http://schemas.microsoft.com/office/drawing/2012/chart" uri="{CE6537A1-D6FC-4f65-9D91-7224C49458BB}"/>
              </c:extLst>
            </c:dLbl>
            <c:dLbl>
              <c:idx val="3"/>
              <c:layout>
                <c:manualLayout>
                  <c:x val="-4.9287846410962094E-2"/>
                  <c:y val="-2.998566668528144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31A-4FCB-B419-17B26ED7908E}"/>
                </c:ext>
                <c:ext xmlns:c15="http://schemas.microsoft.com/office/drawing/2012/chart" uri="{CE6537A1-D6FC-4f65-9D91-7224C49458BB}"/>
              </c:extLst>
            </c:dLbl>
            <c:dLbl>
              <c:idx val="4"/>
              <c:layout>
                <c:manualLayout>
                  <c:x val="-4.4981000922931093E-2"/>
                  <c:y val="-3.792185551274175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20D-49F8-8AB9-8F26D230CC14}"/>
                </c:ext>
                <c:ext xmlns:c15="http://schemas.microsoft.com/office/drawing/2012/chart" uri="{CE6537A1-D6FC-4f65-9D91-7224C49458BB}"/>
              </c:extLst>
            </c:dLbl>
            <c:dLbl>
              <c:idx val="5"/>
              <c:layout>
                <c:manualLayout>
                  <c:x val="-3.6595631459478334E-2"/>
                  <c:y val="-3.792185551274175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31A-4FCB-B419-17B26ED7908E}"/>
                </c:ext>
                <c:ext xmlns:c15="http://schemas.microsoft.com/office/drawing/2012/chart" uri="{CE6537A1-D6FC-4f65-9D91-7224C49458BB}"/>
              </c:extLst>
            </c:dLbl>
            <c:dLbl>
              <c:idx val="6"/>
              <c:layout>
                <c:manualLayout>
                  <c:x val="-4.9267225968454127E-2"/>
                  <c:y val="-2.373745834962127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31A-4FCB-B419-17B26ED7908E}"/>
                </c:ext>
                <c:ext xmlns:c15="http://schemas.microsoft.com/office/drawing/2012/chart" uri="{CE6537A1-D6FC-4f65-9D91-7224C49458BB}"/>
              </c:extLst>
            </c:dLbl>
            <c:dLbl>
              <c:idx val="7"/>
              <c:layout>
                <c:manualLayout>
                  <c:x val="-2.8168522229335982E-2"/>
                  <c:y val="-2.12892537368999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31A-4FCB-B419-17B26ED7908E}"/>
                </c:ext>
                <c:ext xmlns:c15="http://schemas.microsoft.com/office/drawing/2012/chart" uri="{CE6537A1-D6FC-4f65-9D91-7224C49458BB}"/>
              </c:extLst>
            </c:dLbl>
            <c:dLbl>
              <c:idx val="8"/>
              <c:layout>
                <c:manualLayout>
                  <c:x val="-3.0280454647498525E-2"/>
                  <c:y val="-7.8647084008116874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31A-4FCB-B419-17B26ED7908E}"/>
                </c:ext>
                <c:ext xmlns:c15="http://schemas.microsoft.com/office/drawing/2012/chart" uri="{CE6537A1-D6FC-4f65-9D91-7224C49458BB}"/>
              </c:extLst>
            </c:dLbl>
            <c:dLbl>
              <c:idx val="9"/>
              <c:layout>
                <c:manualLayout>
                  <c:x val="-3.4483699041315714E-2"/>
                  <c:y val="-1.259284078851845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31A-4FCB-B419-17B26ED7908E}"/>
                </c:ext>
                <c:ext xmlns:c15="http://schemas.microsoft.com/office/drawing/2012/chart" uri="{CE6537A1-D6FC-4f65-9D91-7224C49458BB}"/>
              </c:extLst>
            </c:dLbl>
            <c:dLbl>
              <c:idx val="10"/>
              <c:layout>
                <c:manualLayout>
                  <c:x val="-3.6616251901986384E-2"/>
                  <c:y val="-2.525753429757450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31A-4FCB-B419-17B26ED7908E}"/>
                </c:ext>
                <c:ext xmlns:c15="http://schemas.microsoft.com/office/drawing/2012/chart" uri="{CE6537A1-D6FC-4f65-9D91-7224C49458BB}"/>
              </c:extLst>
            </c:dLbl>
            <c:dLbl>
              <c:idx val="11"/>
              <c:layout>
                <c:manualLayout>
                  <c:x val="-5.3511794394232925E-2"/>
                  <c:y val="-3.0744960071480427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accent2"/>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131A-4FCB-B419-17B26ED7908E}"/>
                </c:ext>
                <c:ext xmlns:c15="http://schemas.microsoft.com/office/drawing/2012/chart" uri="{CE6537A1-D6FC-4f65-9D91-7224C49458BB}">
                  <c15:layout>
                    <c:manualLayout>
                      <c:w val="4.6005855290673359E-2"/>
                      <c:h val="5.549618797650293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Sheet1!$C$2:$C$13</c:f>
              <c:numCache>
                <c:formatCode>General</c:formatCode>
                <c:ptCount val="12"/>
                <c:pt idx="0" formatCode="0.00">
                  <c:v>5.7</c:v>
                </c:pt>
                <c:pt idx="1">
                  <c:v>5.91</c:v>
                </c:pt>
                <c:pt idx="2" formatCode="0.00">
                  <c:v>7.04</c:v>
                </c:pt>
                <c:pt idx="3" formatCode="0.00">
                  <c:v>7.54</c:v>
                </c:pt>
                <c:pt idx="4" formatCode="0.00">
                  <c:v>7.84</c:v>
                </c:pt>
                <c:pt idx="5" formatCode="0.00">
                  <c:v>7.95</c:v>
                </c:pt>
                <c:pt idx="6" formatCode="0.00">
                  <c:v>7.57</c:v>
                </c:pt>
                <c:pt idx="7" formatCode="0.00">
                  <c:v>6.74</c:v>
                </c:pt>
                <c:pt idx="8" formatCode="0.00">
                  <c:v>6.42</c:v>
                </c:pt>
                <c:pt idx="9" formatCode="0.00">
                  <c:v>6.39</c:v>
                </c:pt>
                <c:pt idx="10" formatCode="0.00">
                  <c:v>6.3</c:v>
                </c:pt>
                <c:pt idx="11" formatCode="0.00">
                  <c:v>6.02</c:v>
                </c:pt>
              </c:numCache>
            </c:numRef>
          </c:val>
          <c:smooth val="0"/>
          <c:extLst xmlns:c16r2="http://schemas.microsoft.com/office/drawing/2015/06/chart">
            <c:ext xmlns:c16="http://schemas.microsoft.com/office/drawing/2014/chart" uri="{C3380CC4-5D6E-409C-BE32-E72D297353CC}">
              <c16:uniqueId val="{00000003-820D-49F8-8AB9-8F26D230CC14}"/>
            </c:ext>
          </c:extLst>
        </c:ser>
        <c:ser>
          <c:idx val="2"/>
          <c:order val="2"/>
          <c:tx>
            <c:strRef>
              <c:f>Sheet1!$D$1</c:f>
              <c:strCache>
                <c:ptCount val="1"/>
                <c:pt idx="0">
                  <c:v>Rata medie ponderată a dobânzii pentru anul 2018</c:v>
                </c:pt>
              </c:strCache>
            </c:strRef>
          </c:tx>
          <c:spPr>
            <a:ln w="28575" cap="rnd">
              <a:solidFill>
                <a:schemeClr val="tx2"/>
              </a:solidFill>
              <a:round/>
            </a:ln>
            <a:effectLst/>
          </c:spPr>
          <c:marker>
            <c:symbol val="circle"/>
            <c:size val="5"/>
            <c:spPr>
              <a:solidFill>
                <a:schemeClr val="accent3"/>
              </a:solidFill>
              <a:ln w="9525">
                <a:solidFill>
                  <a:schemeClr val="accent3"/>
                </a:solidFill>
              </a:ln>
              <a:effectLst/>
            </c:spPr>
          </c:marker>
          <c:dLbls>
            <c:dLbl>
              <c:idx val="1"/>
              <c:layout>
                <c:manualLayout>
                  <c:x val="-3.2655796589312308E-2"/>
                  <c:y val="3.076822843953016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44C-4AD5-BD42-34E834E0A3ED}"/>
                </c:ext>
                <c:ext xmlns:c15="http://schemas.microsoft.com/office/drawing/2012/chart" uri="{CE6537A1-D6FC-4f65-9D91-7224C49458BB}"/>
              </c:extLst>
            </c:dLbl>
            <c:dLbl>
              <c:idx val="2"/>
              <c:layout>
                <c:manualLayout>
                  <c:x val="-3.4767729007474914E-2"/>
                  <c:y val="4.49526256026507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44C-4AD5-BD42-34E834E0A3ED}"/>
                </c:ext>
                <c:ext xmlns:c15="http://schemas.microsoft.com/office/drawing/2012/chart" uri="{CE6537A1-D6FC-4f65-9D91-7224C49458BB}"/>
              </c:extLst>
            </c:dLbl>
            <c:dLbl>
              <c:idx val="3"/>
              <c:layout>
                <c:manualLayout>
                  <c:x val="-3.4767729007474914E-2"/>
                  <c:y val="4.968075799035758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44C-4AD5-BD42-34E834E0A3ED}"/>
                </c:ext>
                <c:ext xmlns:c15="http://schemas.microsoft.com/office/drawing/2012/chart" uri="{CE6537A1-D6FC-4f65-9D91-7224C49458BB}"/>
              </c:extLst>
            </c:dLbl>
            <c:dLbl>
              <c:idx val="4"/>
              <c:layout>
                <c:manualLayout>
                  <c:x val="-3.2655796589312294E-2"/>
                  <c:y val="3.076822843953016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44C-4AD5-BD42-34E834E0A3ED}"/>
                </c:ext>
                <c:ext xmlns:c15="http://schemas.microsoft.com/office/drawing/2012/chart" uri="{CE6537A1-D6FC-4f65-9D91-7224C49458BB}"/>
              </c:extLst>
            </c:dLbl>
            <c:dLbl>
              <c:idx val="5"/>
              <c:layout>
                <c:manualLayout>
                  <c:x val="-2.8431931752987055E-2"/>
                  <c:y val="4.02244932149438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44C-4AD5-BD42-34E834E0A3ED}"/>
                </c:ext>
                <c:ext xmlns:c15="http://schemas.microsoft.com/office/drawing/2012/chart" uri="{CE6537A1-D6FC-4f65-9D91-7224C49458BB}"/>
              </c:extLst>
            </c:dLbl>
            <c:dLbl>
              <c:idx val="6"/>
              <c:layout>
                <c:manualLayout>
                  <c:x val="-3.4767729007474914E-2"/>
                  <c:y val="4.02244932149438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44C-4AD5-BD42-34E834E0A3ED}"/>
                </c:ext>
                <c:ext xmlns:c15="http://schemas.microsoft.com/office/drawing/2012/chart" uri="{CE6537A1-D6FC-4f65-9D91-7224C49458BB}"/>
              </c:extLst>
            </c:dLbl>
            <c:dLbl>
              <c:idx val="7"/>
              <c:layout>
                <c:manualLayout>
                  <c:x val="-3.0543864171149751E-2"/>
                  <c:y val="4.968075799035750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44C-4AD5-BD42-34E834E0A3ED}"/>
                </c:ext>
                <c:ext xmlns:c15="http://schemas.microsoft.com/office/drawing/2012/chart" uri="{CE6537A1-D6FC-4f65-9D91-7224C49458BB}"/>
              </c:extLst>
            </c:dLbl>
            <c:dLbl>
              <c:idx val="8"/>
              <c:layout>
                <c:manualLayout>
                  <c:x val="-2.2096134498499197E-2"/>
                  <c:y val="4.968075799035758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44C-4AD5-BD42-34E834E0A3ED}"/>
                </c:ext>
                <c:ext xmlns:c15="http://schemas.microsoft.com/office/drawing/2012/chart" uri="{CE6537A1-D6FC-4f65-9D91-7224C49458BB}"/>
              </c:extLst>
            </c:dLbl>
            <c:dLbl>
              <c:idx val="9"/>
              <c:layout>
                <c:manualLayout>
                  <c:x val="-2.6319999334824436E-2"/>
                  <c:y val="4.49526256026506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44C-4AD5-BD42-34E834E0A3ED}"/>
                </c:ext>
                <c:ext xmlns:c15="http://schemas.microsoft.com/office/drawing/2012/chart" uri="{CE6537A1-D6FC-4f65-9D91-7224C49458BB}"/>
              </c:extLst>
            </c:dLbl>
            <c:dLbl>
              <c:idx val="10"/>
              <c:layout>
                <c:manualLayout>
                  <c:x val="-3.0543864171149827E-2"/>
                  <c:y val="4.49526256026506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44C-4AD5-BD42-34E834E0A3ED}"/>
                </c:ext>
                <c:ext xmlns:c15="http://schemas.microsoft.com/office/drawing/2012/chart" uri="{CE6537A1-D6FC-4f65-9D91-7224C49458BB}"/>
              </c:extLst>
            </c:dLbl>
            <c:dLbl>
              <c:idx val="11"/>
              <c:layout>
                <c:manualLayout>
                  <c:x val="-3.8991593843800146E-2"/>
                  <c:y val="4.49526256026506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19C-44B3-8759-0481AC8713F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Sheet1!$D$2:$D$13</c:f>
              <c:numCache>
                <c:formatCode>General</c:formatCode>
                <c:ptCount val="12"/>
                <c:pt idx="0">
                  <c:v>5.72</c:v>
                </c:pt>
                <c:pt idx="1">
                  <c:v>5.26</c:v>
                </c:pt>
                <c:pt idx="2">
                  <c:v>4.78</c:v>
                </c:pt>
                <c:pt idx="3">
                  <c:v>4.47</c:v>
                </c:pt>
                <c:pt idx="4">
                  <c:v>4.47</c:v>
                </c:pt>
                <c:pt idx="5">
                  <c:v>4.62</c:v>
                </c:pt>
                <c:pt idx="6">
                  <c:v>4.6100000000000003</c:v>
                </c:pt>
                <c:pt idx="7">
                  <c:v>4.54</c:v>
                </c:pt>
                <c:pt idx="8">
                  <c:v>4.9400000000000004</c:v>
                </c:pt>
                <c:pt idx="9">
                  <c:v>4.93</c:v>
                </c:pt>
                <c:pt idx="10">
                  <c:v>5.22</c:v>
                </c:pt>
                <c:pt idx="11">
                  <c:v>5.98</c:v>
                </c:pt>
              </c:numCache>
            </c:numRef>
          </c:val>
          <c:smooth val="0"/>
          <c:extLst xmlns:c16r2="http://schemas.microsoft.com/office/drawing/2015/06/chart">
            <c:ext xmlns:c16="http://schemas.microsoft.com/office/drawing/2014/chart" uri="{C3380CC4-5D6E-409C-BE32-E72D297353CC}">
              <c16:uniqueId val="{00000000-0DB8-4B62-A593-CA361063AE3A}"/>
            </c:ext>
          </c:extLst>
        </c:ser>
        <c:dLbls>
          <c:dLblPos val="t"/>
          <c:showLegendKey val="0"/>
          <c:showVal val="1"/>
          <c:showCatName val="0"/>
          <c:showSerName val="0"/>
          <c:showPercent val="0"/>
          <c:showBubbleSize val="0"/>
        </c:dLbls>
        <c:marker val="1"/>
        <c:smooth val="0"/>
        <c:axId val="420253056"/>
        <c:axId val="193495568"/>
      </c:lineChart>
      <c:catAx>
        <c:axId val="42025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Times New Roman" panose="02020603050405020304" pitchFamily="18" charset="0"/>
              </a:defRPr>
            </a:pPr>
            <a:endParaRPr lang="ru-RU"/>
          </a:p>
        </c:txPr>
        <c:crossAx val="193495568"/>
        <c:crosses val="autoZero"/>
        <c:auto val="1"/>
        <c:lblAlgn val="ctr"/>
        <c:lblOffset val="100"/>
        <c:noMultiLvlLbl val="0"/>
      </c:catAx>
      <c:valAx>
        <c:axId val="1934955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0253056"/>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j-lt"/>
                <a:ea typeface="+mn-ea"/>
                <a:cs typeface="Times New Roman" panose="02020603050405020304" pitchFamily="18" charset="0"/>
              </a:defRPr>
            </a:pPr>
            <a:r>
              <a:rPr lang="ro-MD" sz="1200">
                <a:solidFill>
                  <a:sysClr val="windowText" lastClr="000000"/>
                </a:solidFill>
                <a:latin typeface="+mj-lt"/>
              </a:rPr>
              <a:t>Împrumuturile recreditate de stat recalculate în monedă națională în anii 2016-2018, </a:t>
            </a:r>
            <a:r>
              <a:rPr lang="ro-MD" sz="1200" b="1" i="0" u="none" strike="noStrike" kern="1200" baseline="0">
                <a:solidFill>
                  <a:sysClr val="windowText" lastClr="000000"/>
                </a:solidFill>
                <a:latin typeface="+mj-lt"/>
                <a:ea typeface="+mn-ea"/>
                <a:cs typeface="Times New Roman" panose="02020603050405020304" pitchFamily="18" charset="0"/>
              </a:rPr>
              <a:t>mil.MDL</a:t>
            </a:r>
            <a:endParaRPr lang="en-US" sz="1200">
              <a:solidFill>
                <a:sysClr val="windowText" lastClr="000000"/>
              </a:solidFill>
              <a:latin typeface="+mj-lt"/>
            </a:endParaRP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j-lt"/>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Sheet1!$A$2</c:f>
              <c:strCache>
                <c:ptCount val="1"/>
                <c:pt idx="0">
                  <c:v>MF</c:v>
                </c:pt>
              </c:strCache>
            </c:strRef>
          </c:tx>
          <c:spPr>
            <a:solidFill>
              <a:srgbClr val="FFFF00"/>
            </a:solidFill>
            <a:ln>
              <a:noFill/>
            </a:ln>
            <a:effectLst/>
            <a:scene3d>
              <a:camera prst="orthographicFront"/>
              <a:lightRig rig="threePt" dir="t"/>
            </a:scene3d>
            <a:sp3d>
              <a:bevelT/>
            </a:sp3d>
          </c:spPr>
          <c:invertIfNegative val="0"/>
          <c:dLbls>
            <c:dLbl>
              <c:idx val="0"/>
              <c:tx>
                <c:rich>
                  <a:bodyPr/>
                  <a:lstStyle/>
                  <a:p>
                    <a:r>
                      <a:rPr lang="en-US" strike="noStrike"/>
                      <a:t>415,1</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DD2-46AC-AEBA-886C9042D52D}"/>
                </c:ext>
                <c:ext xmlns:c15="http://schemas.microsoft.com/office/drawing/2012/chart" uri="{CE6537A1-D6FC-4f65-9D91-7224C49458BB}"/>
              </c:extLst>
            </c:dLbl>
            <c:dLbl>
              <c:idx val="1"/>
              <c:tx>
                <c:rich>
                  <a:bodyPr/>
                  <a:lstStyle/>
                  <a:p>
                    <a:r>
                      <a:rPr lang="en-US" strike="noStrike"/>
                      <a:t>404,3</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DD2-46AC-AEBA-886C9042D52D}"/>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Sheet1!$B$1:$D$1</c:f>
              <c:numCache>
                <c:formatCode>General</c:formatCode>
                <c:ptCount val="3"/>
                <c:pt idx="0">
                  <c:v>2016</c:v>
                </c:pt>
                <c:pt idx="1">
                  <c:v>2017</c:v>
                </c:pt>
                <c:pt idx="2">
                  <c:v>2018</c:v>
                </c:pt>
              </c:numCache>
            </c:numRef>
          </c:cat>
          <c:val>
            <c:numRef>
              <c:f>Sheet1!$B$2:$D$2</c:f>
              <c:numCache>
                <c:formatCode>General</c:formatCode>
                <c:ptCount val="3"/>
                <c:pt idx="0">
                  <c:v>415.1</c:v>
                </c:pt>
                <c:pt idx="1">
                  <c:v>404.3</c:v>
                </c:pt>
                <c:pt idx="2">
                  <c:v>403.7</c:v>
                </c:pt>
              </c:numCache>
            </c:numRef>
          </c:val>
          <c:extLst xmlns:c16r2="http://schemas.microsoft.com/office/drawing/2015/06/chart">
            <c:ext xmlns:c16="http://schemas.microsoft.com/office/drawing/2014/chart" uri="{C3380CC4-5D6E-409C-BE32-E72D297353CC}">
              <c16:uniqueId val="{00000000-D610-4696-8D8D-58587A2A33E3}"/>
            </c:ext>
          </c:extLst>
        </c:ser>
        <c:ser>
          <c:idx val="1"/>
          <c:order val="1"/>
          <c:tx>
            <c:strRef>
              <c:f>Sheet1!$A$3</c:f>
              <c:strCache>
                <c:ptCount val="1"/>
                <c:pt idx="0">
                  <c:v>DLC</c:v>
                </c:pt>
              </c:strCache>
            </c:strRef>
          </c:tx>
          <c:spPr>
            <a:solidFill>
              <a:srgbClr val="FF000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Sheet1!$B$1:$D$1</c:f>
              <c:numCache>
                <c:formatCode>General</c:formatCode>
                <c:ptCount val="3"/>
                <c:pt idx="0">
                  <c:v>2016</c:v>
                </c:pt>
                <c:pt idx="1">
                  <c:v>2017</c:v>
                </c:pt>
                <c:pt idx="2">
                  <c:v>2018</c:v>
                </c:pt>
              </c:numCache>
            </c:numRef>
          </c:cat>
          <c:val>
            <c:numRef>
              <c:f>Sheet1!$B$3:$D$3</c:f>
              <c:numCache>
                <c:formatCode>General</c:formatCode>
                <c:ptCount val="3"/>
                <c:pt idx="0">
                  <c:v>494.1</c:v>
                </c:pt>
                <c:pt idx="1">
                  <c:v>535.1</c:v>
                </c:pt>
                <c:pt idx="2">
                  <c:v>425.8</c:v>
                </c:pt>
              </c:numCache>
            </c:numRef>
          </c:val>
          <c:extLst xmlns:c16r2="http://schemas.microsoft.com/office/drawing/2015/06/chart">
            <c:ext xmlns:c16="http://schemas.microsoft.com/office/drawing/2014/chart" uri="{C3380CC4-5D6E-409C-BE32-E72D297353CC}">
              <c16:uniqueId val="{00000001-D610-4696-8D8D-58587A2A33E3}"/>
            </c:ext>
          </c:extLst>
        </c:ser>
        <c:ser>
          <c:idx val="2"/>
          <c:order val="2"/>
          <c:tx>
            <c:strRef>
              <c:f>Sheet1!$A$4</c:f>
              <c:strCache>
                <c:ptCount val="1"/>
                <c:pt idx="0">
                  <c:v>UCIP FIDA</c:v>
                </c:pt>
              </c:strCache>
            </c:strRef>
          </c:tx>
          <c:spPr>
            <a:solidFill>
              <a:schemeClr val="tx2"/>
            </a:solidFill>
            <a:ln>
              <a:noFill/>
            </a:ln>
            <a:effectLst/>
            <a:scene3d>
              <a:camera prst="orthographicFront"/>
              <a:lightRig rig="threePt" dir="t"/>
            </a:scene3d>
            <a:sp3d>
              <a:bevelT/>
            </a:sp3d>
          </c:spPr>
          <c:invertIfNegative val="0"/>
          <c:dLbls>
            <c:dLbl>
              <c:idx val="0"/>
              <c:layout>
                <c:manualLayout>
                  <c:x val="-3.8434217080815075E-17"/>
                  <c:y val="-3.7037037037037035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610-4696-8D8D-58587A2A33E3}"/>
                </c:ext>
                <c:ext xmlns:c15="http://schemas.microsoft.com/office/drawing/2012/chart" uri="{CE6537A1-D6FC-4f65-9D91-7224C49458BB}"/>
              </c:extLst>
            </c:dLbl>
            <c:dLbl>
              <c:idx val="1"/>
              <c:layout>
                <c:manualLayout>
                  <c:x val="-7.686843416163015E-17"/>
                  <c:y val="-5.555555555555555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610-4696-8D8D-58587A2A33E3}"/>
                </c:ext>
                <c:ext xmlns:c15="http://schemas.microsoft.com/office/drawing/2012/chart" uri="{CE6537A1-D6FC-4f65-9D91-7224C49458BB}"/>
              </c:extLst>
            </c:dLbl>
            <c:dLbl>
              <c:idx val="2"/>
              <c:layout>
                <c:manualLayout>
                  <c:x val="-1.537368683232603E-16"/>
                  <c:y val="-5.555555555555555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610-4696-8D8D-58587A2A33E3}"/>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Sheet1!$B$1:$D$1</c:f>
              <c:numCache>
                <c:formatCode>General</c:formatCode>
                <c:ptCount val="3"/>
                <c:pt idx="0">
                  <c:v>2016</c:v>
                </c:pt>
                <c:pt idx="1">
                  <c:v>2017</c:v>
                </c:pt>
                <c:pt idx="2">
                  <c:v>2018</c:v>
                </c:pt>
              </c:numCache>
            </c:numRef>
          </c:cat>
          <c:val>
            <c:numRef>
              <c:f>Sheet1!$B$4:$D$4</c:f>
              <c:numCache>
                <c:formatCode>General</c:formatCode>
                <c:ptCount val="3"/>
                <c:pt idx="0">
                  <c:v>65.7</c:v>
                </c:pt>
                <c:pt idx="1">
                  <c:v>65.099999999999994</c:v>
                </c:pt>
                <c:pt idx="2">
                  <c:v>37.200000000000003</c:v>
                </c:pt>
              </c:numCache>
            </c:numRef>
          </c:val>
          <c:extLst xmlns:c16r2="http://schemas.microsoft.com/office/drawing/2015/06/chart">
            <c:ext xmlns:c16="http://schemas.microsoft.com/office/drawing/2014/chart" uri="{C3380CC4-5D6E-409C-BE32-E72D297353CC}">
              <c16:uniqueId val="{00000005-D610-4696-8D8D-58587A2A33E3}"/>
            </c:ext>
          </c:extLst>
        </c:ser>
        <c:dLbls>
          <c:dLblPos val="ctr"/>
          <c:showLegendKey val="0"/>
          <c:showVal val="1"/>
          <c:showCatName val="0"/>
          <c:showSerName val="0"/>
          <c:showPercent val="0"/>
          <c:showBubbleSize val="0"/>
        </c:dLbls>
        <c:gapWidth val="150"/>
        <c:overlap val="100"/>
        <c:axId val="193496352"/>
        <c:axId val="193496744"/>
      </c:barChart>
      <c:catAx>
        <c:axId val="1934963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3496744"/>
        <c:crosses val="autoZero"/>
        <c:auto val="1"/>
        <c:lblAlgn val="ctr"/>
        <c:lblOffset val="100"/>
        <c:noMultiLvlLbl val="0"/>
      </c:catAx>
      <c:valAx>
        <c:axId val="1934967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9349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2" b="0" i="0" u="none" strike="noStrike" kern="1200" spc="0" baseline="0">
                <a:solidFill>
                  <a:schemeClr val="tx1">
                    <a:lumMod val="65000"/>
                    <a:lumOff val="35000"/>
                  </a:schemeClr>
                </a:solidFill>
                <a:latin typeface="+mj-lt"/>
                <a:ea typeface="+mn-ea"/>
                <a:cs typeface="+mn-cs"/>
              </a:defRPr>
            </a:pPr>
            <a:r>
              <a:rPr lang="x-none" sz="1202" b="1">
                <a:solidFill>
                  <a:sysClr val="windowText" lastClr="000000"/>
                </a:solidFill>
                <a:latin typeface="+mj-lt"/>
                <a:cs typeface="Times New Roman" panose="02020603050405020304" pitchFamily="18" charset="0"/>
              </a:rPr>
              <a:t>Evoluția datoriilor beneficiarilor recreditați</a:t>
            </a:r>
            <a:r>
              <a:rPr lang="x-none" sz="1202" b="1" baseline="0">
                <a:solidFill>
                  <a:sysClr val="windowText" lastClr="000000"/>
                </a:solidFill>
                <a:latin typeface="+mj-lt"/>
                <a:cs typeface="Times New Roman" panose="02020603050405020304" pitchFamily="18" charset="0"/>
              </a:rPr>
              <a:t> în anii 201</a:t>
            </a:r>
            <a:r>
              <a:rPr lang="ro-MD" sz="1202" b="1" baseline="0">
                <a:solidFill>
                  <a:sysClr val="windowText" lastClr="000000"/>
                </a:solidFill>
                <a:latin typeface="+mj-lt"/>
                <a:cs typeface="Times New Roman" panose="02020603050405020304" pitchFamily="18" charset="0"/>
              </a:rPr>
              <a:t>6</a:t>
            </a:r>
            <a:r>
              <a:rPr lang="x-none" sz="1202" b="1" baseline="0">
                <a:solidFill>
                  <a:sysClr val="windowText" lastClr="000000"/>
                </a:solidFill>
                <a:latin typeface="+mj-lt"/>
                <a:cs typeface="Times New Roman" panose="02020603050405020304" pitchFamily="18" charset="0"/>
              </a:rPr>
              <a:t>-201</a:t>
            </a:r>
            <a:r>
              <a:rPr lang="ro-MD" sz="1202" b="1" baseline="0">
                <a:solidFill>
                  <a:sysClr val="windowText" lastClr="000000"/>
                </a:solidFill>
                <a:latin typeface="+mj-lt"/>
                <a:cs typeface="Times New Roman" panose="02020603050405020304" pitchFamily="18" charset="0"/>
              </a:rPr>
              <a:t>8</a:t>
            </a:r>
            <a:r>
              <a:rPr lang="x-none" sz="1202" b="1" baseline="0">
                <a:solidFill>
                  <a:sysClr val="windowText" lastClr="000000"/>
                </a:solidFill>
                <a:latin typeface="+mj-lt"/>
                <a:cs typeface="Times New Roman" panose="02020603050405020304" pitchFamily="18" charset="0"/>
              </a:rPr>
              <a:t>, </a:t>
            </a:r>
            <a:r>
              <a:rPr lang="x-none" sz="1202" b="1" i="0" u="none" strike="noStrike" kern="1200" spc="0" baseline="0">
                <a:solidFill>
                  <a:sysClr val="windowText" lastClr="000000"/>
                </a:solidFill>
                <a:latin typeface="+mj-lt"/>
                <a:ea typeface="+mn-ea"/>
                <a:cs typeface="Times New Roman" panose="02020603050405020304" pitchFamily="18" charset="0"/>
              </a:rPr>
              <a:t>mil.MDL</a:t>
            </a:r>
            <a:r>
              <a:rPr lang="x-none" sz="1202" b="1">
                <a:solidFill>
                  <a:sysClr val="windowText" lastClr="000000"/>
                </a:solidFill>
                <a:latin typeface="+mj-lt"/>
                <a:cs typeface="Times New Roman" panose="02020603050405020304" pitchFamily="18" charset="0"/>
              </a:rPr>
              <a:t> </a:t>
            </a:r>
            <a:endParaRPr lang="en-US" sz="1200" b="1">
              <a:solidFill>
                <a:sysClr val="windowText" lastClr="000000"/>
              </a:solidFill>
              <a:latin typeface="+mj-lt"/>
              <a:cs typeface="Times New Roman" panose="02020603050405020304" pitchFamily="18" charset="0"/>
            </a:endParaRPr>
          </a:p>
        </c:rich>
      </c:tx>
      <c:layout>
        <c:manualLayout>
          <c:xMode val="edge"/>
          <c:yMode val="edge"/>
          <c:x val="0.15525641025641024"/>
          <c:y val="3.9447731755424063E-2"/>
        </c:manualLayout>
      </c:layout>
      <c:overlay val="0"/>
      <c:spPr>
        <a:noFill/>
        <a:ln w="25432">
          <a:noFill/>
        </a:ln>
      </c:spPr>
    </c:title>
    <c:autoTitleDeleted val="0"/>
    <c:plotArea>
      <c:layout/>
      <c:lineChart>
        <c:grouping val="standard"/>
        <c:varyColors val="0"/>
        <c:ser>
          <c:idx val="0"/>
          <c:order val="0"/>
          <c:tx>
            <c:strRef>
              <c:f>Sheet1!$B$1</c:f>
              <c:strCache>
                <c:ptCount val="1"/>
                <c:pt idx="0">
                  <c:v>soldul datoriei</c:v>
                </c:pt>
              </c:strCache>
            </c:strRef>
          </c:tx>
          <c:spPr>
            <a:ln w="25432">
              <a:solidFill>
                <a:srgbClr val="FF0000"/>
              </a:solidFill>
              <a:prstDash val="solid"/>
            </a:ln>
          </c:spPr>
          <c:marker>
            <c:symbol val="diamond"/>
            <c:size val="8"/>
            <c:spPr>
              <a:solidFill>
                <a:srgbClr val="FF0000"/>
              </a:solidFill>
              <a:ln>
                <a:solidFill>
                  <a:srgbClr val="FF0000"/>
                </a:solidFill>
                <a:prstDash val="solid"/>
              </a:ln>
            </c:spPr>
          </c:marker>
          <c:dLbls>
            <c:spPr>
              <a:noFill/>
              <a:ln w="25432">
                <a:noFill/>
              </a:ln>
            </c:spPr>
            <c:txPr>
              <a:bodyPr rot="0" spcFirstLastPara="1" vertOverflow="ellipsis" vert="horz" wrap="square" lIns="38100" tIns="19050" rIns="38100" bIns="19050" anchor="ctr" anchorCtr="1">
                <a:spAutoFit/>
              </a:bodyPr>
              <a:lstStyle/>
              <a:p>
                <a:pPr>
                  <a:defRPr sz="801"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cat>
            <c:numRef>
              <c:f>Sheet1!$A$2:$A$4</c:f>
              <c:numCache>
                <c:formatCode>General</c:formatCode>
                <c:ptCount val="3"/>
                <c:pt idx="0">
                  <c:v>2016</c:v>
                </c:pt>
                <c:pt idx="1">
                  <c:v>2017</c:v>
                </c:pt>
                <c:pt idx="2">
                  <c:v>2018</c:v>
                </c:pt>
              </c:numCache>
            </c:numRef>
          </c:cat>
          <c:val>
            <c:numRef>
              <c:f>Sheet1!$B$2:$B$4</c:f>
              <c:numCache>
                <c:formatCode>General</c:formatCode>
                <c:ptCount val="3"/>
                <c:pt idx="0" formatCode="0.0">
                  <c:v>4972</c:v>
                </c:pt>
                <c:pt idx="1">
                  <c:v>4675.8</c:v>
                </c:pt>
                <c:pt idx="2">
                  <c:v>4420.5</c:v>
                </c:pt>
              </c:numCache>
            </c:numRef>
          </c:val>
          <c:smooth val="0"/>
          <c:extLst xmlns:c16r2="http://schemas.microsoft.com/office/drawing/2015/06/chart">
            <c:ext xmlns:c16="http://schemas.microsoft.com/office/drawing/2014/chart" uri="{C3380CC4-5D6E-409C-BE32-E72D297353CC}">
              <c16:uniqueId val="{00000000-E859-42C2-B324-CB0CFFE54335}"/>
            </c:ext>
          </c:extLst>
        </c:ser>
        <c:ser>
          <c:idx val="1"/>
          <c:order val="1"/>
          <c:tx>
            <c:strRef>
              <c:f>Sheet1!$C$1</c:f>
              <c:strCache>
                <c:ptCount val="1"/>
                <c:pt idx="0">
                  <c:v>datoria cu termenul de achitare expirat</c:v>
                </c:pt>
              </c:strCache>
            </c:strRef>
          </c:tx>
          <c:spPr>
            <a:ln w="28611" cap="rnd">
              <a:solidFill>
                <a:srgbClr val="7030A0"/>
              </a:solidFill>
              <a:round/>
            </a:ln>
            <a:effectLst/>
          </c:spPr>
          <c:marker>
            <c:symbol val="triangle"/>
            <c:size val="5"/>
            <c:spPr>
              <a:solidFill>
                <a:srgbClr val="7030A0"/>
              </a:solidFill>
              <a:ln w="9537">
                <a:solidFill>
                  <a:srgbClr val="7030A0"/>
                </a:solidFill>
              </a:ln>
              <a:effectLst/>
            </c:spPr>
          </c:marker>
          <c:dLbls>
            <c:spPr>
              <a:noFill/>
              <a:ln w="25432">
                <a:noFill/>
              </a:ln>
            </c:spPr>
            <c:txPr>
              <a:bodyPr rot="0" spcFirstLastPara="1" vertOverflow="ellipsis" vert="horz" wrap="square" lIns="38100" tIns="19050" rIns="38100" bIns="19050" anchor="ctr" anchorCtr="1">
                <a:spAutoFit/>
              </a:bodyPr>
              <a:lstStyle/>
              <a:p>
                <a:pPr>
                  <a:defRPr sz="801"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2016</c:v>
                </c:pt>
                <c:pt idx="1">
                  <c:v>2017</c:v>
                </c:pt>
                <c:pt idx="2">
                  <c:v>2018</c:v>
                </c:pt>
              </c:numCache>
            </c:numRef>
          </c:cat>
          <c:val>
            <c:numRef>
              <c:f>Sheet1!$C$2:$C$4</c:f>
              <c:numCache>
                <c:formatCode>General</c:formatCode>
                <c:ptCount val="3"/>
                <c:pt idx="0">
                  <c:v>342.9</c:v>
                </c:pt>
                <c:pt idx="1">
                  <c:v>312.8</c:v>
                </c:pt>
                <c:pt idx="2">
                  <c:v>265.7</c:v>
                </c:pt>
              </c:numCache>
            </c:numRef>
          </c:val>
          <c:smooth val="0"/>
          <c:extLst xmlns:c16r2="http://schemas.microsoft.com/office/drawing/2015/06/chart">
            <c:ext xmlns:c16="http://schemas.microsoft.com/office/drawing/2014/chart" uri="{C3380CC4-5D6E-409C-BE32-E72D297353CC}">
              <c16:uniqueId val="{00000001-E859-42C2-B324-CB0CFFE54335}"/>
            </c:ext>
          </c:extLst>
        </c:ser>
        <c:dLbls>
          <c:showLegendKey val="0"/>
          <c:showVal val="0"/>
          <c:showCatName val="0"/>
          <c:showSerName val="0"/>
          <c:showPercent val="0"/>
          <c:showBubbleSize val="0"/>
        </c:dLbls>
        <c:marker val="1"/>
        <c:smooth val="0"/>
        <c:axId val="5325880"/>
        <c:axId val="5326272"/>
      </c:lineChart>
      <c:catAx>
        <c:axId val="5325880"/>
        <c:scaling>
          <c:orientation val="minMax"/>
        </c:scaling>
        <c:delete val="0"/>
        <c:axPos val="b"/>
        <c:numFmt formatCode="General" sourceLinked="1"/>
        <c:majorTickMark val="none"/>
        <c:minorTickMark val="none"/>
        <c:tickLblPos val="nextTo"/>
        <c:spPr>
          <a:noFill/>
          <a:ln w="9537" cap="flat" cmpd="sng" algn="ctr">
            <a:solidFill>
              <a:schemeClr val="tx1">
                <a:lumMod val="15000"/>
                <a:lumOff val="85000"/>
              </a:schemeClr>
            </a:solidFill>
            <a:round/>
          </a:ln>
          <a:effectLst/>
        </c:spPr>
        <c:txPr>
          <a:bodyPr rot="-60000000" spcFirstLastPara="1" vertOverflow="ellipsis" vert="horz" wrap="square" anchor="ctr" anchorCtr="1"/>
          <a:lstStyle/>
          <a:p>
            <a:pPr>
              <a:defRPr sz="901" b="1" i="0" u="none" strike="noStrike" kern="1200" baseline="0">
                <a:solidFill>
                  <a:srgbClr val="00B0F0"/>
                </a:solidFill>
                <a:latin typeface="Times New Roman" panose="02020603050405020304" pitchFamily="18" charset="0"/>
                <a:ea typeface="+mn-ea"/>
                <a:cs typeface="Times New Roman" panose="02020603050405020304" pitchFamily="18" charset="0"/>
              </a:defRPr>
            </a:pPr>
            <a:endParaRPr lang="ru-RU"/>
          </a:p>
        </c:txPr>
        <c:crossAx val="5326272"/>
        <c:crosses val="autoZero"/>
        <c:auto val="1"/>
        <c:lblAlgn val="ctr"/>
        <c:lblOffset val="100"/>
        <c:noMultiLvlLbl val="0"/>
      </c:catAx>
      <c:valAx>
        <c:axId val="5326272"/>
        <c:scaling>
          <c:orientation val="minMax"/>
        </c:scaling>
        <c:delete val="1"/>
        <c:axPos val="l"/>
        <c:majorGridlines>
          <c:spPr>
            <a:ln w="9537" cap="flat" cmpd="sng" algn="ctr">
              <a:solidFill>
                <a:schemeClr val="tx1">
                  <a:lumMod val="15000"/>
                  <a:lumOff val="85000"/>
                </a:schemeClr>
              </a:solidFill>
              <a:round/>
            </a:ln>
            <a:effectLst/>
          </c:spPr>
        </c:majorGridlines>
        <c:numFmt formatCode="0.0" sourceLinked="1"/>
        <c:majorTickMark val="out"/>
        <c:minorTickMark val="none"/>
        <c:tickLblPos val="nextTo"/>
        <c:crossAx val="5325880"/>
        <c:crosses val="autoZero"/>
        <c:crossBetween val="between"/>
      </c:valAx>
      <c:spPr>
        <a:noFill/>
        <a:ln w="25432">
          <a:noFill/>
        </a:ln>
      </c:spPr>
    </c:plotArea>
    <c:legend>
      <c:legendPos val="b"/>
      <c:overlay val="0"/>
      <c:spPr>
        <a:noFill/>
        <a:ln w="25432">
          <a:noFill/>
        </a:ln>
      </c:spPr>
      <c:txPr>
        <a:bodyPr rot="0" spcFirstLastPara="1" vertOverflow="ellipsis" vert="horz" wrap="square" anchor="ctr" anchorCtr="1"/>
        <a:lstStyle/>
        <a:p>
          <a:pPr>
            <a:defRPr sz="901" b="1" i="0" u="none" strike="noStrike" kern="1200" baseline="0">
              <a:solidFill>
                <a:sysClr val="windowText" lastClr="000000"/>
              </a:solidFill>
              <a:latin typeface="+mj-lt"/>
              <a:ea typeface="+mn-ea"/>
              <a:cs typeface="Times New Roman" panose="02020603050405020304" pitchFamily="18" charset="0"/>
            </a:defRPr>
          </a:pPr>
          <a:endParaRPr lang="ru-RU"/>
        </a:p>
      </c:txPr>
    </c:legend>
    <c:plotVisOnly val="1"/>
    <c:dispBlanksAs val="gap"/>
    <c:showDLblsOverMax val="0"/>
  </c:chart>
  <c:spPr>
    <a:solidFill>
      <a:schemeClr val="bg1"/>
    </a:solidFill>
    <a:ln w="953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1" i="0" u="none" strike="noStrike" kern="1200" spc="0" baseline="0">
                <a:solidFill>
                  <a:sysClr val="windowText" lastClr="000000"/>
                </a:solidFill>
                <a:latin typeface="+mj-lt"/>
                <a:ea typeface="+mn-ea"/>
                <a:cs typeface="+mn-cs"/>
              </a:defRPr>
            </a:pPr>
            <a:r>
              <a:rPr lang="ro-RO" sz="1100" b="1" baseline="0">
                <a:solidFill>
                  <a:sysClr val="windowText" lastClr="000000"/>
                </a:solidFill>
                <a:latin typeface="+mj-lt"/>
              </a:rPr>
              <a:t>Structura datoriilor beneficiarilor recreditați în anul 201</a:t>
            </a:r>
            <a:r>
              <a:rPr lang="en-US" sz="1100" b="1" baseline="0">
                <a:solidFill>
                  <a:sysClr val="windowText" lastClr="000000"/>
                </a:solidFill>
                <a:latin typeface="+mj-lt"/>
              </a:rPr>
              <a:t>8</a:t>
            </a:r>
            <a:r>
              <a:rPr lang="ro-RO" sz="1100" b="1" baseline="0">
                <a:solidFill>
                  <a:sysClr val="windowText" lastClr="000000"/>
                </a:solidFill>
                <a:latin typeface="+mj-lt"/>
              </a:rPr>
              <a:t>, </a:t>
            </a:r>
            <a:r>
              <a:rPr lang="ro-RO" sz="1100" b="1" i="0" u="none" strike="noStrike" kern="1200" spc="0" baseline="0">
                <a:solidFill>
                  <a:sysClr val="windowText" lastClr="000000"/>
                </a:solidFill>
                <a:latin typeface="+mj-lt"/>
                <a:ea typeface="+mn-ea"/>
                <a:cs typeface="+mn-cs"/>
              </a:rPr>
              <a:t>mil.MDL</a:t>
            </a:r>
            <a:endParaRPr lang="en-US" sz="1100" b="1" baseline="0">
              <a:solidFill>
                <a:sysClr val="windowText" lastClr="000000"/>
              </a:solidFill>
              <a:latin typeface="+mj-lt"/>
            </a:endParaRPr>
          </a:p>
        </c:rich>
      </c:tx>
      <c:layout>
        <c:manualLayout>
          <c:xMode val="edge"/>
          <c:yMode val="edge"/>
          <c:x val="0.11572756504947486"/>
          <c:y val="4.3010830542733879E-2"/>
        </c:manualLayout>
      </c:layout>
      <c:overlay val="0"/>
      <c:spPr>
        <a:noFill/>
        <a:ln w="25411">
          <a:noFill/>
        </a:ln>
        <a:effectLst/>
      </c:spPr>
      <c:txPr>
        <a:bodyPr rot="0" spcFirstLastPara="1" vertOverflow="ellipsis" vert="horz" wrap="square" anchor="ctr" anchorCtr="1"/>
        <a:lstStyle/>
        <a:p>
          <a:pPr algn="ctr">
            <a:defRPr sz="1100" b="1" i="0" u="none" strike="noStrike" kern="1200" spc="0" baseline="0">
              <a:solidFill>
                <a:sysClr val="windowText" lastClr="000000"/>
              </a:solidFill>
              <a:latin typeface="+mj-lt"/>
              <a:ea typeface="+mn-ea"/>
              <a:cs typeface="+mn-cs"/>
            </a:defRPr>
          </a:pPr>
          <a:endParaRPr lang="ru-RU"/>
        </a:p>
      </c:txPr>
    </c:title>
    <c:autoTitleDeleted val="0"/>
    <c:view3D>
      <c:rotX val="15"/>
      <c:rotY val="20"/>
      <c:depthPercent val="100"/>
      <c:rAngAx val="1"/>
    </c:view3D>
    <c:floor>
      <c:thickness val="0"/>
      <c:spPr>
        <a:noFill/>
        <a:ln w="6350" cap="flat" cmpd="sng" algn="ctr">
          <a:noFill/>
          <a:prstDash val="solid"/>
          <a:round/>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30749875083995265"/>
          <c:y val="0.12715053763440853"/>
          <c:w val="0.66843122727820981"/>
          <c:h val="0.4941579883159769"/>
        </c:manualLayout>
      </c:layout>
      <c:bar3DChart>
        <c:barDir val="col"/>
        <c:grouping val="stacked"/>
        <c:varyColors val="0"/>
        <c:ser>
          <c:idx val="0"/>
          <c:order val="0"/>
          <c:tx>
            <c:strRef>
              <c:f>Sheet1!$B$1</c:f>
              <c:strCache>
                <c:ptCount val="1"/>
                <c:pt idx="0">
                  <c:v>curente</c:v>
                </c:pt>
              </c:strCache>
            </c:strRef>
          </c:tx>
          <c:spPr>
            <a:solidFill>
              <a:schemeClr val="accent6"/>
            </a:solidFill>
            <a:ln>
              <a:noFill/>
            </a:ln>
            <a:effectLst/>
            <a:sp3d/>
          </c:spPr>
          <c:invertIfNegative val="0"/>
          <c:cat>
            <c:strRef>
              <c:f>Sheet1!$A$2:$A$4</c:f>
              <c:strCache>
                <c:ptCount val="3"/>
                <c:pt idx="0">
                  <c:v>total </c:v>
                </c:pt>
                <c:pt idx="1">
                  <c:v>MF</c:v>
                </c:pt>
                <c:pt idx="2">
                  <c:v>DLC și FIDA</c:v>
                </c:pt>
              </c:strCache>
            </c:strRef>
          </c:cat>
          <c:val>
            <c:numRef>
              <c:f>Sheet1!$B$2:$B$4</c:f>
              <c:numCache>
                <c:formatCode>General</c:formatCode>
                <c:ptCount val="3"/>
                <c:pt idx="0">
                  <c:v>4420.3999999999996</c:v>
                </c:pt>
                <c:pt idx="1">
                  <c:v>2340.1999999999998</c:v>
                </c:pt>
                <c:pt idx="2">
                  <c:v>2080.1999999999998</c:v>
                </c:pt>
              </c:numCache>
            </c:numRef>
          </c:val>
          <c:extLst xmlns:c16r2="http://schemas.microsoft.com/office/drawing/2015/06/chart">
            <c:ext xmlns:c16="http://schemas.microsoft.com/office/drawing/2014/chart" uri="{C3380CC4-5D6E-409C-BE32-E72D297353CC}">
              <c16:uniqueId val="{00000000-1275-43EE-BF6F-946FA3941D04}"/>
            </c:ext>
          </c:extLst>
        </c:ser>
        <c:ser>
          <c:idx val="1"/>
          <c:order val="1"/>
          <c:tx>
            <c:strRef>
              <c:f>Sheet1!$C$1</c:f>
              <c:strCache>
                <c:ptCount val="1"/>
                <c:pt idx="0">
                  <c:v>cu termenul de achitare expirat</c:v>
                </c:pt>
              </c:strCache>
            </c:strRef>
          </c:tx>
          <c:spPr>
            <a:solidFill>
              <a:schemeClr val="accent5"/>
            </a:solidFill>
            <a:ln>
              <a:noFill/>
            </a:ln>
            <a:effectLst/>
            <a:sp3d/>
          </c:spPr>
          <c:invertIfNegative val="0"/>
          <c:cat>
            <c:strRef>
              <c:f>Sheet1!$A$2:$A$4</c:f>
              <c:strCache>
                <c:ptCount val="3"/>
                <c:pt idx="0">
                  <c:v>total </c:v>
                </c:pt>
                <c:pt idx="1">
                  <c:v>MF</c:v>
                </c:pt>
                <c:pt idx="2">
                  <c:v>DLC și FIDA</c:v>
                </c:pt>
              </c:strCache>
            </c:strRef>
          </c:cat>
          <c:val>
            <c:numRef>
              <c:f>Sheet1!$C$2:$C$4</c:f>
              <c:numCache>
                <c:formatCode>General</c:formatCode>
                <c:ptCount val="3"/>
                <c:pt idx="0">
                  <c:v>265.7</c:v>
                </c:pt>
                <c:pt idx="1">
                  <c:v>253.9</c:v>
                </c:pt>
                <c:pt idx="2">
                  <c:v>11.8</c:v>
                </c:pt>
              </c:numCache>
            </c:numRef>
          </c:val>
          <c:extLst xmlns:c16r2="http://schemas.microsoft.com/office/drawing/2015/06/chart">
            <c:ext xmlns:c16="http://schemas.microsoft.com/office/drawing/2014/chart" uri="{C3380CC4-5D6E-409C-BE32-E72D297353CC}">
              <c16:uniqueId val="{00000001-1275-43EE-BF6F-946FA3941D04}"/>
            </c:ext>
          </c:extLst>
        </c:ser>
        <c:dLbls>
          <c:showLegendKey val="0"/>
          <c:showVal val="0"/>
          <c:showCatName val="0"/>
          <c:showSerName val="0"/>
          <c:showPercent val="0"/>
          <c:showBubbleSize val="0"/>
        </c:dLbls>
        <c:gapWidth val="150"/>
        <c:shape val="box"/>
        <c:axId val="5327056"/>
        <c:axId val="5327448"/>
        <c:axId val="0"/>
      </c:bar3DChart>
      <c:catAx>
        <c:axId val="5327056"/>
        <c:scaling>
          <c:orientation val="minMax"/>
        </c:scaling>
        <c:delete val="0"/>
        <c:axPos val="b"/>
        <c:numFmt formatCode="General" sourceLinked="1"/>
        <c:majorTickMark val="none"/>
        <c:minorTickMark val="none"/>
        <c:tickLblPos val="nextTo"/>
        <c:spPr>
          <a:noFill/>
          <a:ln w="6353"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27448"/>
        <c:crosses val="autoZero"/>
        <c:auto val="1"/>
        <c:lblAlgn val="ctr"/>
        <c:lblOffset val="100"/>
        <c:noMultiLvlLbl val="0"/>
      </c:catAx>
      <c:valAx>
        <c:axId val="5327448"/>
        <c:scaling>
          <c:orientation val="minMax"/>
        </c:scaling>
        <c:delete val="1"/>
        <c:axPos val="l"/>
        <c:majorGridlines>
          <c:spPr>
            <a:ln w="9529"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crossAx val="5327056"/>
        <c:crosses val="autoZero"/>
        <c:crossBetween val="between"/>
      </c:valAx>
      <c:dTable>
        <c:showHorzBorder val="1"/>
        <c:showVertBorder val="1"/>
        <c:showOutline val="1"/>
        <c:showKeys val="1"/>
        <c:spPr>
          <a:noFill/>
          <a:ln w="9529" cap="flat" cmpd="sng" algn="ctr">
            <a:solidFill>
              <a:schemeClr val="tx1">
                <a:lumMod val="15000"/>
                <a:lumOff val="85000"/>
              </a:schemeClr>
            </a:solidFill>
            <a:prstDash val="solid"/>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mj-lt"/>
                <a:ea typeface="+mn-ea"/>
                <a:cs typeface="Times New Roman" panose="02020603050405020304" pitchFamily="18" charset="0"/>
              </a:defRPr>
            </a:pPr>
            <a:endParaRPr lang="ru-RU"/>
          </a:p>
        </c:txPr>
      </c:dTable>
      <c:spPr>
        <a:noFill/>
        <a:ln w="25411">
          <a:noFill/>
        </a:ln>
        <a:effectLst/>
      </c:spPr>
    </c:plotArea>
    <c:plotVisOnly val="1"/>
    <c:dispBlanksAs val="gap"/>
    <c:showDLblsOverMax val="0"/>
  </c:chart>
  <c:spPr>
    <a:solidFill>
      <a:schemeClr val="bg1"/>
    </a:solidFill>
    <a:ln w="9529"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r>
              <a:rPr lang="ro-MD" sz="1200" b="1" i="0" baseline="0">
                <a:solidFill>
                  <a:sysClr val="windowText" lastClr="000000"/>
                </a:solidFill>
                <a:effectLst/>
                <a:latin typeface="Times New Roman" panose="02020603050405020304" pitchFamily="18" charset="0"/>
                <a:cs typeface="Times New Roman" panose="02020603050405020304" pitchFamily="18" charset="0"/>
              </a:rPr>
              <a:t>Evoluția ratelor dobânzilor la instrumentele financiare în anul 2017</a:t>
            </a:r>
            <a:endParaRPr lang="en-US" sz="12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7.6557465715015718E-2"/>
          <c:y val="0.13015873015873014"/>
          <c:w val="0.9023721592323084"/>
          <c:h val="0.63554618172728405"/>
        </c:manualLayout>
      </c:layout>
      <c:lineChart>
        <c:grouping val="standard"/>
        <c:varyColors val="0"/>
        <c:ser>
          <c:idx val="0"/>
          <c:order val="0"/>
          <c:tx>
            <c:strRef>
              <c:f>Sheet1!$B$1</c:f>
              <c:strCache>
                <c:ptCount val="1"/>
                <c:pt idx="0">
                  <c:v>Rata medie ponderată la VMS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4.3194268857985711E-2"/>
                  <c:y val="3.375984251968503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0B0-4D29-99CB-7C1A66AC6C88}"/>
                </c:ext>
                <c:ext xmlns:c15="http://schemas.microsoft.com/office/drawing/2012/chart" uri="{CE6537A1-D6FC-4f65-9D91-7224C49458BB}"/>
              </c:extLst>
            </c:dLbl>
            <c:dLbl>
              <c:idx val="4"/>
              <c:layout>
                <c:manualLayout>
                  <c:x val="-3.687315634218289E-2"/>
                  <c:y val="-2.17957130358705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0B0-4D29-99CB-7C1A66AC6C88}"/>
                </c:ext>
                <c:ext xmlns:c15="http://schemas.microsoft.com/office/drawing/2012/chart" uri="{CE6537A1-D6FC-4f65-9D91-7224C49458BB}"/>
              </c:extLst>
            </c:dLbl>
            <c:dLbl>
              <c:idx val="5"/>
              <c:layout>
                <c:manualLayout>
                  <c:x val="-4.7408343868520858E-2"/>
                  <c:y val="2.58233345831771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0B0-4D29-99CB-7C1A66AC6C88}"/>
                </c:ext>
                <c:ext xmlns:c15="http://schemas.microsoft.com/office/drawing/2012/chart" uri="{CE6537A1-D6FC-4f65-9D91-7224C49458BB}"/>
              </c:extLst>
            </c:dLbl>
            <c:dLbl>
              <c:idx val="8"/>
              <c:layout>
                <c:manualLayout>
                  <c:x val="-3.47661188369153E-2"/>
                  <c:y val="-1.78274590676165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0B0-4D29-99CB-7C1A66AC6C88}"/>
                </c:ext>
                <c:ext xmlns:c15="http://schemas.microsoft.com/office/drawing/2012/chart" uri="{CE6537A1-D6FC-4f65-9D91-7224C49458BB}"/>
              </c:extLst>
            </c:dLbl>
            <c:dLbl>
              <c:idx val="9"/>
              <c:layout>
                <c:manualLayout>
                  <c:x val="-4.9515381373788608E-2"/>
                  <c:y val="-5.750999875015622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0B0-4D29-99CB-7C1A66AC6C8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Sheet1!$B$2:$B$13</c:f>
              <c:numCache>
                <c:formatCode>0.00</c:formatCode>
                <c:ptCount val="12"/>
                <c:pt idx="0">
                  <c:v>5.7</c:v>
                </c:pt>
                <c:pt idx="1">
                  <c:v>5.91</c:v>
                </c:pt>
                <c:pt idx="2">
                  <c:v>7.04</c:v>
                </c:pt>
                <c:pt idx="3">
                  <c:v>7.54</c:v>
                </c:pt>
                <c:pt idx="4">
                  <c:v>7.84</c:v>
                </c:pt>
                <c:pt idx="5">
                  <c:v>7.95</c:v>
                </c:pt>
                <c:pt idx="6">
                  <c:v>7.57</c:v>
                </c:pt>
                <c:pt idx="7">
                  <c:v>6.74</c:v>
                </c:pt>
                <c:pt idx="8">
                  <c:v>6.42</c:v>
                </c:pt>
                <c:pt idx="9">
                  <c:v>6.39</c:v>
                </c:pt>
                <c:pt idx="10">
                  <c:v>6.3</c:v>
                </c:pt>
                <c:pt idx="11">
                  <c:v>6.02</c:v>
                </c:pt>
              </c:numCache>
            </c:numRef>
          </c:val>
          <c:smooth val="0"/>
          <c:extLst xmlns:c16r2="http://schemas.microsoft.com/office/drawing/2015/06/chart">
            <c:ext xmlns:c16="http://schemas.microsoft.com/office/drawing/2014/chart" uri="{C3380CC4-5D6E-409C-BE32-E72D297353CC}">
              <c16:uniqueId val="{00000005-00B0-4D29-99CB-7C1A66AC6C88}"/>
            </c:ext>
          </c:extLst>
        </c:ser>
        <c:ser>
          <c:idx val="1"/>
          <c:order val="1"/>
          <c:tx>
            <c:strRef>
              <c:f>Sheet1!$C$1</c:f>
              <c:strCache>
                <c:ptCount val="1"/>
                <c:pt idx="0">
                  <c:v>Rata de bază a BNM</c:v>
                </c:pt>
              </c:strCache>
            </c:strRef>
          </c:tx>
          <c:spPr>
            <a:ln w="28575" cap="rnd">
              <a:solidFill>
                <a:srgbClr val="C00000"/>
              </a:solidFill>
              <a:round/>
            </a:ln>
            <a:effectLst/>
          </c:spPr>
          <c:marker>
            <c:symbol val="circle"/>
            <c:size val="5"/>
            <c:spPr>
              <a:solidFill>
                <a:schemeClr val="accent2">
                  <a:lumMod val="50000"/>
                </a:schemeClr>
              </a:solidFill>
              <a:ln w="9525">
                <a:solidFill>
                  <a:srgbClr val="C00000"/>
                </a:solidFill>
              </a:ln>
              <a:effectLst/>
            </c:spPr>
          </c:marker>
          <c:dLbls>
            <c:dLbl>
              <c:idx val="6"/>
              <c:layout>
                <c:manualLayout>
                  <c:x val="-4.7408343868520934E-2"/>
                  <c:y val="5.36011123609548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0B0-4D29-99CB-7C1A66AC6C88}"/>
                </c:ext>
                <c:ext xmlns:c15="http://schemas.microsoft.com/office/drawing/2012/chart" uri="{CE6537A1-D6FC-4f65-9D91-7224C49458BB}"/>
              </c:extLst>
            </c:dLbl>
            <c:dLbl>
              <c:idx val="7"/>
              <c:layout>
                <c:manualLayout>
                  <c:x val="-3.4766118836915376E-2"/>
                  <c:y val="-6.544650668666424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0B0-4D29-99CB-7C1A66AC6C88}"/>
                </c:ext>
                <c:ext xmlns:c15="http://schemas.microsoft.com/office/drawing/2012/chart" uri="{CE6537A1-D6FC-4f65-9D91-7224C49458BB}"/>
              </c:extLst>
            </c:dLbl>
            <c:dLbl>
              <c:idx val="8"/>
              <c:layout>
                <c:manualLayout>
                  <c:x val="-3.47661188369153E-2"/>
                  <c:y val="-6.941476065491820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0B0-4D29-99CB-7C1A66AC6C88}"/>
                </c:ext>
                <c:ext xmlns:c15="http://schemas.microsoft.com/office/drawing/2012/chart" uri="{CE6537A1-D6FC-4f65-9D91-7224C49458BB}"/>
              </c:extLst>
            </c:dLbl>
            <c:dLbl>
              <c:idx val="9"/>
              <c:layout>
                <c:manualLayout>
                  <c:x val="-2.4230931310577328E-2"/>
                  <c:y val="-8.131952255968004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0B0-4D29-99CB-7C1A66AC6C88}"/>
                </c:ext>
                <c:ext xmlns:c15="http://schemas.microsoft.com/office/drawing/2012/chart" uri="{CE6537A1-D6FC-4f65-9D91-7224C49458BB}"/>
              </c:extLst>
            </c:dLbl>
            <c:dLbl>
              <c:idx val="10"/>
              <c:layout>
                <c:manualLayout>
                  <c:x val="-5.3729456384323644E-2"/>
                  <c:y val="1.391857267841512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0B0-4D29-99CB-7C1A66AC6C8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Sheet1!$C$2:$C$13</c:f>
              <c:numCache>
                <c:formatCode>0.00</c:formatCode>
                <c:ptCount val="12"/>
                <c:pt idx="0">
                  <c:v>9</c:v>
                </c:pt>
                <c:pt idx="1">
                  <c:v>9</c:v>
                </c:pt>
                <c:pt idx="2">
                  <c:v>9</c:v>
                </c:pt>
                <c:pt idx="3">
                  <c:v>9</c:v>
                </c:pt>
                <c:pt idx="4">
                  <c:v>9</c:v>
                </c:pt>
                <c:pt idx="5">
                  <c:v>8</c:v>
                </c:pt>
                <c:pt idx="6">
                  <c:v>8</c:v>
                </c:pt>
                <c:pt idx="7">
                  <c:v>7.5</c:v>
                </c:pt>
                <c:pt idx="8">
                  <c:v>7.5</c:v>
                </c:pt>
                <c:pt idx="9">
                  <c:v>7</c:v>
                </c:pt>
                <c:pt idx="10">
                  <c:v>7</c:v>
                </c:pt>
                <c:pt idx="11">
                  <c:v>6.5</c:v>
                </c:pt>
              </c:numCache>
            </c:numRef>
          </c:val>
          <c:smooth val="0"/>
          <c:extLst xmlns:c16r2="http://schemas.microsoft.com/office/drawing/2015/06/chart">
            <c:ext xmlns:c16="http://schemas.microsoft.com/office/drawing/2014/chart" uri="{C3380CC4-5D6E-409C-BE32-E72D297353CC}">
              <c16:uniqueId val="{0000000B-00B0-4D29-99CB-7C1A66AC6C88}"/>
            </c:ext>
          </c:extLst>
        </c:ser>
        <c:ser>
          <c:idx val="2"/>
          <c:order val="2"/>
          <c:tx>
            <c:strRef>
              <c:f>Sheet1!$D$1</c:f>
              <c:strCache>
                <c:ptCount val="1"/>
                <c:pt idx="0">
                  <c:v>Rata medie lunară la credite</c:v>
                </c:pt>
              </c:strCache>
            </c:strRef>
          </c:tx>
          <c:spPr>
            <a:ln w="28575" cap="rnd">
              <a:solidFill>
                <a:srgbClr val="92D050"/>
              </a:solidFill>
              <a:round/>
            </a:ln>
            <a:effectLst/>
          </c:spPr>
          <c:marker>
            <c:symbol val="circle"/>
            <c:size val="5"/>
            <c:spPr>
              <a:solidFill>
                <a:srgbClr val="92D050"/>
              </a:solidFill>
              <a:ln w="9525">
                <a:solidFill>
                  <a:srgbClr val="92D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50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Sheet1!$D$2:$D$13</c:f>
              <c:numCache>
                <c:formatCode>""###,###,###,###,###,##0.00</c:formatCode>
                <c:ptCount val="12"/>
                <c:pt idx="0">
                  <c:v>11.56</c:v>
                </c:pt>
                <c:pt idx="1">
                  <c:v>11.42</c:v>
                </c:pt>
                <c:pt idx="2">
                  <c:v>11.09</c:v>
                </c:pt>
                <c:pt idx="3">
                  <c:v>10.85</c:v>
                </c:pt>
                <c:pt idx="4">
                  <c:v>10.74</c:v>
                </c:pt>
                <c:pt idx="5">
                  <c:v>10.55</c:v>
                </c:pt>
                <c:pt idx="6">
                  <c:v>10.44</c:v>
                </c:pt>
                <c:pt idx="7">
                  <c:v>10.28</c:v>
                </c:pt>
                <c:pt idx="8">
                  <c:v>10.07</c:v>
                </c:pt>
                <c:pt idx="9">
                  <c:v>9.8800000000000008</c:v>
                </c:pt>
                <c:pt idx="10">
                  <c:v>9.67</c:v>
                </c:pt>
                <c:pt idx="11">
                  <c:v>9.92</c:v>
                </c:pt>
              </c:numCache>
            </c:numRef>
          </c:val>
          <c:smooth val="0"/>
          <c:extLst xmlns:c16r2="http://schemas.microsoft.com/office/drawing/2015/06/chart">
            <c:ext xmlns:c16="http://schemas.microsoft.com/office/drawing/2014/chart" uri="{C3380CC4-5D6E-409C-BE32-E72D297353CC}">
              <c16:uniqueId val="{0000000C-00B0-4D29-99CB-7C1A66AC6C88}"/>
            </c:ext>
          </c:extLst>
        </c:ser>
        <c:ser>
          <c:idx val="3"/>
          <c:order val="3"/>
          <c:tx>
            <c:strRef>
              <c:f>Sheet1!$E$1</c:f>
              <c:strCache>
                <c:ptCount val="1"/>
                <c:pt idx="0">
                  <c:v>Rata medie lunară la depozite</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dLbl>
              <c:idx val="0"/>
              <c:layout>
                <c:manualLayout>
                  <c:x val="-6.2157606405394014E-2"/>
                  <c:y val="1.391857267841519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00B0-4D29-99CB-7C1A66AC6C88}"/>
                </c:ext>
                <c:ext xmlns:c15="http://schemas.microsoft.com/office/drawing/2012/chart" uri="{CE6537A1-D6FC-4f65-9D91-7224C49458BB}"/>
              </c:extLst>
            </c:dLbl>
            <c:dLbl>
              <c:idx val="1"/>
              <c:layout>
                <c:manualLayout>
                  <c:x val="-2.6337968815844961E-2"/>
                  <c:y val="-2.576396700412448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00B0-4D29-99CB-7C1A66AC6C88}"/>
                </c:ext>
                <c:ext xmlns:c15="http://schemas.microsoft.com/office/drawing/2012/chart" uri="{CE6537A1-D6FC-4f65-9D91-7224C49458BB}"/>
              </c:extLst>
            </c:dLbl>
            <c:dLbl>
              <c:idx val="2"/>
              <c:layout>
                <c:manualLayout>
                  <c:x val="-3.47661188369153E-2"/>
                  <c:y val="2.58233345831770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00B0-4D29-99CB-7C1A66AC6C88}"/>
                </c:ext>
                <c:ext xmlns:c15="http://schemas.microsoft.com/office/drawing/2012/chart" uri="{CE6537A1-D6FC-4f65-9D91-7224C49458BB}"/>
              </c:extLst>
            </c:dLbl>
            <c:dLbl>
              <c:idx val="3"/>
              <c:layout>
                <c:manualLayout>
                  <c:x val="-3.6873156342182932E-2"/>
                  <c:y val="4.96328583927009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00B0-4D29-99CB-7C1A66AC6C88}"/>
                </c:ext>
                <c:ext xmlns:c15="http://schemas.microsoft.com/office/drawing/2012/chart" uri="{CE6537A1-D6FC-4f65-9D91-7224C49458BB}"/>
              </c:extLst>
            </c:dLbl>
            <c:dLbl>
              <c:idx val="4"/>
              <c:layout>
                <c:manualLayout>
                  <c:x val="-3.4766118836915376E-2"/>
                  <c:y val="4.169635045619297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00B0-4D29-99CB-7C1A66AC6C88}"/>
                </c:ext>
                <c:ext xmlns:c15="http://schemas.microsoft.com/office/drawing/2012/chart" uri="{CE6537A1-D6FC-4f65-9D91-7224C49458BB}"/>
              </c:extLst>
            </c:dLbl>
            <c:dLbl>
              <c:idx val="5"/>
              <c:layout>
                <c:manualLayout>
                  <c:x val="-3.2659081331647702E-2"/>
                  <c:y val="4.96328583927009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00B0-4D29-99CB-7C1A66AC6C88}"/>
                </c:ext>
                <c:ext xmlns:c15="http://schemas.microsoft.com/office/drawing/2012/chart" uri="{CE6537A1-D6FC-4f65-9D91-7224C49458BB}"/>
              </c:extLst>
            </c:dLbl>
            <c:dLbl>
              <c:idx val="6"/>
              <c:layout>
                <c:manualLayout>
                  <c:x val="-3.4766118836915376E-2"/>
                  <c:y val="4.169635045619297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00B0-4D29-99CB-7C1A66AC6C88}"/>
                </c:ext>
                <c:ext xmlns:c15="http://schemas.microsoft.com/office/drawing/2012/chart" uri="{CE6537A1-D6FC-4f65-9D91-7224C49458BB}"/>
              </c:extLst>
            </c:dLbl>
            <c:dLbl>
              <c:idx val="7"/>
              <c:layout>
                <c:manualLayout>
                  <c:x val="-3.4766118836915376E-2"/>
                  <c:y val="3.77280964879390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00B0-4D29-99CB-7C1A66AC6C88}"/>
                </c:ext>
                <c:ext xmlns:c15="http://schemas.microsoft.com/office/drawing/2012/chart" uri="{CE6537A1-D6FC-4f65-9D91-7224C49458BB}"/>
              </c:extLst>
            </c:dLbl>
            <c:dLbl>
              <c:idx val="8"/>
              <c:layout>
                <c:manualLayout>
                  <c:x val="-3.47661188369153E-2"/>
                  <c:y val="5.36011123609548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00B0-4D29-99CB-7C1A66AC6C88}"/>
                </c:ext>
                <c:ext xmlns:c15="http://schemas.microsoft.com/office/drawing/2012/chart" uri="{CE6537A1-D6FC-4f65-9D91-7224C49458BB}"/>
              </c:extLst>
            </c:dLbl>
            <c:dLbl>
              <c:idx val="9"/>
              <c:layout>
                <c:manualLayout>
                  <c:x val="-3.2659081331647702E-2"/>
                  <c:y val="3.77280964879390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00B0-4D29-99CB-7C1A66AC6C88}"/>
                </c:ext>
                <c:ext xmlns:c15="http://schemas.microsoft.com/office/drawing/2012/chart" uri="{CE6537A1-D6FC-4f65-9D91-7224C49458BB}"/>
              </c:extLst>
            </c:dLbl>
            <c:dLbl>
              <c:idx val="10"/>
              <c:layout>
                <c:manualLayout>
                  <c:x val="-3.2659081331647855E-2"/>
                  <c:y val="4.963285839270083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00B0-4D29-99CB-7C1A66AC6C88}"/>
                </c:ext>
                <c:ext xmlns:c15="http://schemas.microsoft.com/office/drawing/2012/chart" uri="{CE6537A1-D6FC-4f65-9D91-7224C49458BB}"/>
              </c:extLst>
            </c:dLbl>
            <c:dLbl>
              <c:idx val="11"/>
              <c:layout>
                <c:manualLayout>
                  <c:x val="-3.47661188369153E-2"/>
                  <c:y val="2.979158855143107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00B0-4D29-99CB-7C1A66AC6C8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7030A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Sheet1!$E$2:$E$13</c:f>
              <c:numCache>
                <c:formatCode>""###,###,###,###,###,##0.00</c:formatCode>
                <c:ptCount val="12"/>
                <c:pt idx="0">
                  <c:v>7.93</c:v>
                </c:pt>
                <c:pt idx="1">
                  <c:v>7.63</c:v>
                </c:pt>
                <c:pt idx="2">
                  <c:v>7.19</c:v>
                </c:pt>
                <c:pt idx="3">
                  <c:v>6.81</c:v>
                </c:pt>
                <c:pt idx="4">
                  <c:v>6.52</c:v>
                </c:pt>
                <c:pt idx="5">
                  <c:v>6.35</c:v>
                </c:pt>
                <c:pt idx="6">
                  <c:v>6.23</c:v>
                </c:pt>
                <c:pt idx="7">
                  <c:v>6.12</c:v>
                </c:pt>
                <c:pt idx="8">
                  <c:v>6.07</c:v>
                </c:pt>
                <c:pt idx="9">
                  <c:v>5.94</c:v>
                </c:pt>
                <c:pt idx="10">
                  <c:v>5.78</c:v>
                </c:pt>
                <c:pt idx="11">
                  <c:v>5.68</c:v>
                </c:pt>
              </c:numCache>
            </c:numRef>
          </c:val>
          <c:smooth val="0"/>
          <c:extLst xmlns:c16r2="http://schemas.microsoft.com/office/drawing/2015/06/chart">
            <c:ext xmlns:c16="http://schemas.microsoft.com/office/drawing/2014/chart" uri="{C3380CC4-5D6E-409C-BE32-E72D297353CC}">
              <c16:uniqueId val="{00000019-00B0-4D29-99CB-7C1A66AC6C88}"/>
            </c:ext>
          </c:extLst>
        </c:ser>
        <c:dLbls>
          <c:dLblPos val="t"/>
          <c:showLegendKey val="0"/>
          <c:showVal val="1"/>
          <c:showCatName val="0"/>
          <c:showSerName val="0"/>
          <c:showPercent val="0"/>
          <c:showBubbleSize val="0"/>
        </c:dLbls>
        <c:marker val="1"/>
        <c:smooth val="0"/>
        <c:axId val="196091808"/>
        <c:axId val="196092200"/>
      </c:lineChart>
      <c:catAx>
        <c:axId val="19609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6092200"/>
        <c:crosses val="autoZero"/>
        <c:auto val="1"/>
        <c:lblAlgn val="ctr"/>
        <c:lblOffset val="100"/>
        <c:noMultiLvlLbl val="0"/>
      </c:catAx>
      <c:valAx>
        <c:axId val="196092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6091808"/>
        <c:crosses val="autoZero"/>
        <c:crossBetween val="between"/>
      </c:valAx>
      <c:spPr>
        <a:noFill/>
        <a:ln>
          <a:gradFill>
            <a:gsLst>
              <a:gs pos="0">
                <a:schemeClr val="accent6">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B419F-E798-433A-AB55-418A938B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17223</Words>
  <Characters>98172</Characters>
  <Application>Microsoft Office Word</Application>
  <DocSecurity>0</DocSecurity>
  <Lines>818</Lines>
  <Paragraphs>230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 Irina</dc:creator>
  <cp:keywords/>
  <dc:description/>
  <cp:lastModifiedBy>Paiu Eugenia</cp:lastModifiedBy>
  <cp:revision>6</cp:revision>
  <cp:lastPrinted>2019-05-31T06:17:00Z</cp:lastPrinted>
  <dcterms:created xsi:type="dcterms:W3CDTF">2019-05-31T07:14:00Z</dcterms:created>
  <dcterms:modified xsi:type="dcterms:W3CDTF">2019-08-13T11:24:00Z</dcterms:modified>
</cp:coreProperties>
</file>