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60" w:rsidRPr="00F809A6" w:rsidRDefault="00F42011" w:rsidP="00F809A6">
      <w:pPr>
        <w:spacing w:line="276" w:lineRule="auto"/>
        <w:jc w:val="center"/>
        <w:rPr>
          <w:rFonts w:asciiTheme="majorHAnsi" w:hAnsiTheme="majorHAnsi" w:cs="Times New Roman"/>
          <w:sz w:val="24"/>
          <w:szCs w:val="24"/>
          <w:lang w:val="ro-RO" w:eastAsia="ru-RU"/>
        </w:rPr>
      </w:pPr>
      <w:r w:rsidRPr="00F809A6">
        <w:rPr>
          <w:rFonts w:asciiTheme="majorHAnsi" w:hAnsiTheme="majorHAnsi" w:cs="Times New Roman"/>
          <w:noProof/>
          <w:sz w:val="24"/>
          <w:szCs w:val="24"/>
          <w:lang w:val="ru-RU" w:eastAsia="ru-RU"/>
        </w:rPr>
        <w:drawing>
          <wp:inline distT="0" distB="0" distL="0" distR="0" wp14:anchorId="428A0B7B" wp14:editId="44E744D3">
            <wp:extent cx="634365" cy="7162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34365" cy="716280"/>
                    </a:xfrm>
                    <a:prstGeom prst="rect">
                      <a:avLst/>
                    </a:prstGeom>
                    <a:noFill/>
                    <a:ln w="9525">
                      <a:noFill/>
                      <a:miter lim="800000"/>
                      <a:headEnd/>
                      <a:tailEnd/>
                    </a:ln>
                  </pic:spPr>
                </pic:pic>
              </a:graphicData>
            </a:graphic>
          </wp:inline>
        </w:drawing>
      </w:r>
    </w:p>
    <w:p w:rsidR="00F42011" w:rsidRPr="000C78F9" w:rsidRDefault="00F42011" w:rsidP="00F809A6">
      <w:pPr>
        <w:spacing w:line="276" w:lineRule="auto"/>
        <w:jc w:val="right"/>
        <w:rPr>
          <w:rFonts w:asciiTheme="majorHAnsi" w:hAnsiTheme="majorHAnsi" w:cs="Times New Roman"/>
          <w:b/>
          <w:i/>
          <w:sz w:val="24"/>
          <w:szCs w:val="24"/>
          <w:lang w:val="ro-RO" w:eastAsia="ru-RU"/>
        </w:rPr>
      </w:pPr>
    </w:p>
    <w:p w:rsidR="00F42011" w:rsidRPr="000C78F9" w:rsidRDefault="00F42011" w:rsidP="00F809A6">
      <w:pPr>
        <w:pStyle w:val="a3"/>
        <w:spacing w:line="276" w:lineRule="auto"/>
        <w:rPr>
          <w:rFonts w:asciiTheme="majorHAnsi" w:hAnsiTheme="majorHAnsi"/>
          <w:i w:val="0"/>
          <w:iCs/>
          <w:sz w:val="24"/>
          <w:szCs w:val="24"/>
        </w:rPr>
      </w:pPr>
      <w:r w:rsidRPr="000C78F9">
        <w:rPr>
          <w:rFonts w:asciiTheme="majorHAnsi" w:hAnsiTheme="majorHAnsi"/>
          <w:i w:val="0"/>
          <w:iCs/>
          <w:sz w:val="24"/>
          <w:szCs w:val="24"/>
        </w:rPr>
        <w:t>CURTEA DE CONTURI A REPUBLICII MOLDOVA</w:t>
      </w:r>
    </w:p>
    <w:p w:rsidR="00F42011" w:rsidRPr="000C78F9" w:rsidRDefault="00F42011" w:rsidP="00F809A6">
      <w:pPr>
        <w:pStyle w:val="1"/>
        <w:spacing w:line="276" w:lineRule="auto"/>
        <w:rPr>
          <w:rFonts w:asciiTheme="majorHAnsi" w:hAnsiTheme="majorHAnsi"/>
          <w:sz w:val="24"/>
          <w:szCs w:val="24"/>
          <w:lang w:val="ro-RO"/>
        </w:rPr>
      </w:pPr>
    </w:p>
    <w:p w:rsidR="00F42011" w:rsidRPr="000C78F9" w:rsidRDefault="00F42011" w:rsidP="00F809A6">
      <w:pPr>
        <w:pStyle w:val="1"/>
        <w:spacing w:line="276" w:lineRule="auto"/>
        <w:rPr>
          <w:rFonts w:asciiTheme="majorHAnsi" w:hAnsiTheme="majorHAnsi"/>
          <w:sz w:val="24"/>
          <w:szCs w:val="24"/>
          <w:lang w:val="ro-RO"/>
        </w:rPr>
      </w:pPr>
      <w:r w:rsidRPr="000C78F9">
        <w:rPr>
          <w:rFonts w:asciiTheme="majorHAnsi" w:hAnsiTheme="majorHAnsi"/>
          <w:sz w:val="24"/>
          <w:szCs w:val="24"/>
          <w:lang w:val="ro-RO"/>
        </w:rPr>
        <w:t xml:space="preserve">H O T Ă R </w:t>
      </w:r>
      <w:r w:rsidRPr="000C78F9">
        <w:rPr>
          <w:rFonts w:asciiTheme="majorHAnsi" w:hAnsiTheme="majorHAnsi"/>
          <w:sz w:val="24"/>
          <w:szCs w:val="24"/>
          <w:lang w:val="ro-MD"/>
        </w:rPr>
        <w:t>Â</w:t>
      </w:r>
      <w:r w:rsidRPr="000C78F9">
        <w:rPr>
          <w:rFonts w:asciiTheme="majorHAnsi" w:hAnsiTheme="majorHAnsi"/>
          <w:sz w:val="24"/>
          <w:szCs w:val="24"/>
          <w:lang w:val="ro-RO"/>
        </w:rPr>
        <w:t xml:space="preserve"> R E A nr.</w:t>
      </w:r>
      <w:r w:rsidR="00343A73">
        <w:rPr>
          <w:rFonts w:asciiTheme="majorHAnsi" w:hAnsiTheme="majorHAnsi"/>
          <w:sz w:val="24"/>
          <w:szCs w:val="24"/>
          <w:lang w:val="ro-RO"/>
        </w:rPr>
        <w:t xml:space="preserve"> 45</w:t>
      </w:r>
    </w:p>
    <w:p w:rsidR="00F42011" w:rsidRPr="000C78F9" w:rsidRDefault="00F42011" w:rsidP="00F809A6">
      <w:pPr>
        <w:pStyle w:val="1"/>
        <w:spacing w:line="276" w:lineRule="auto"/>
        <w:rPr>
          <w:rFonts w:asciiTheme="majorHAnsi" w:hAnsiTheme="majorHAnsi"/>
          <w:sz w:val="24"/>
          <w:szCs w:val="24"/>
          <w:lang w:val="ro-RO"/>
        </w:rPr>
      </w:pPr>
      <w:r w:rsidRPr="000C78F9">
        <w:rPr>
          <w:rFonts w:asciiTheme="majorHAnsi" w:hAnsiTheme="majorHAnsi"/>
          <w:sz w:val="24"/>
          <w:szCs w:val="24"/>
          <w:lang w:val="ro-RO"/>
        </w:rPr>
        <w:t xml:space="preserve"> din </w:t>
      </w:r>
      <w:r w:rsidR="00F31360" w:rsidRPr="000C78F9">
        <w:rPr>
          <w:rFonts w:asciiTheme="majorHAnsi" w:hAnsiTheme="majorHAnsi"/>
          <w:sz w:val="24"/>
          <w:szCs w:val="24"/>
          <w:lang w:val="ro-RO"/>
        </w:rPr>
        <w:t>28</w:t>
      </w:r>
      <w:r w:rsidRPr="000C78F9">
        <w:rPr>
          <w:rFonts w:asciiTheme="majorHAnsi" w:hAnsiTheme="majorHAnsi"/>
          <w:sz w:val="24"/>
          <w:szCs w:val="24"/>
          <w:lang w:val="ro-RO"/>
        </w:rPr>
        <w:t xml:space="preserve"> mai 201</w:t>
      </w:r>
      <w:r w:rsidR="005E31C5" w:rsidRPr="000C78F9">
        <w:rPr>
          <w:rFonts w:asciiTheme="majorHAnsi" w:hAnsiTheme="majorHAnsi"/>
          <w:sz w:val="24"/>
          <w:szCs w:val="24"/>
          <w:lang w:val="ro-RO"/>
        </w:rPr>
        <w:t>9</w:t>
      </w:r>
    </w:p>
    <w:p w:rsidR="00F42011" w:rsidRPr="000C78F9" w:rsidRDefault="00F42011" w:rsidP="00F809A6">
      <w:pPr>
        <w:tabs>
          <w:tab w:val="left" w:pos="360"/>
          <w:tab w:val="left" w:pos="720"/>
          <w:tab w:val="left" w:pos="900"/>
        </w:tabs>
        <w:spacing w:after="0" w:line="276" w:lineRule="auto"/>
        <w:jc w:val="both"/>
        <w:rPr>
          <w:rFonts w:asciiTheme="majorHAnsi" w:eastAsia="Times New Roman" w:hAnsiTheme="majorHAnsi" w:cs="Times New Roman"/>
          <w:b/>
          <w:bCs/>
          <w:sz w:val="24"/>
          <w:szCs w:val="24"/>
          <w:lang w:val="ro-RO"/>
        </w:rPr>
      </w:pPr>
    </w:p>
    <w:p w:rsidR="00F42011" w:rsidRPr="000C78F9" w:rsidRDefault="00F42011" w:rsidP="00F809A6">
      <w:pPr>
        <w:tabs>
          <w:tab w:val="left" w:pos="360"/>
          <w:tab w:val="left" w:pos="720"/>
          <w:tab w:val="left" w:pos="900"/>
        </w:tabs>
        <w:spacing w:after="0" w:line="276" w:lineRule="auto"/>
        <w:jc w:val="center"/>
        <w:rPr>
          <w:rFonts w:asciiTheme="majorHAnsi" w:eastAsia="Times New Roman" w:hAnsiTheme="majorHAnsi" w:cs="Times New Roman"/>
          <w:b/>
          <w:bCs/>
          <w:sz w:val="24"/>
          <w:szCs w:val="24"/>
          <w:lang w:val="ro-MD"/>
        </w:rPr>
      </w:pPr>
      <w:r w:rsidRPr="000C78F9">
        <w:rPr>
          <w:rFonts w:asciiTheme="majorHAnsi" w:eastAsia="Times New Roman" w:hAnsiTheme="majorHAnsi" w:cs="Times New Roman"/>
          <w:b/>
          <w:bCs/>
          <w:sz w:val="24"/>
          <w:szCs w:val="24"/>
          <w:lang w:val="ro-RO"/>
        </w:rPr>
        <w:t xml:space="preserve">cu privire la Raportul auditului </w:t>
      </w:r>
      <w:r w:rsidRPr="000C78F9">
        <w:rPr>
          <w:rFonts w:asciiTheme="majorHAnsi" w:eastAsia="Times New Roman" w:hAnsiTheme="majorHAnsi" w:cs="Times New Roman"/>
          <w:b/>
          <w:bCs/>
          <w:sz w:val="24"/>
          <w:szCs w:val="24"/>
          <w:lang w:val="ro-MD"/>
        </w:rPr>
        <w:t>performanț</w:t>
      </w:r>
      <w:r w:rsidR="003025BF" w:rsidRPr="000C78F9">
        <w:rPr>
          <w:rFonts w:asciiTheme="majorHAnsi" w:eastAsia="Times New Roman" w:hAnsiTheme="majorHAnsi" w:cs="Times New Roman"/>
          <w:b/>
          <w:bCs/>
          <w:sz w:val="24"/>
          <w:szCs w:val="24"/>
          <w:lang w:val="ro-MD"/>
        </w:rPr>
        <w:t>ei</w:t>
      </w:r>
      <w:r w:rsidRPr="000C78F9">
        <w:rPr>
          <w:rFonts w:asciiTheme="majorHAnsi" w:eastAsia="Times New Roman" w:hAnsiTheme="majorHAnsi" w:cs="Times New Roman"/>
          <w:b/>
          <w:bCs/>
          <w:sz w:val="24"/>
          <w:szCs w:val="24"/>
          <w:lang w:val="ro-MD"/>
        </w:rPr>
        <w:t xml:space="preserve"> managementului datoriei </w:t>
      </w:r>
      <w:r w:rsidR="000E3CE6" w:rsidRPr="000C78F9">
        <w:rPr>
          <w:rFonts w:asciiTheme="majorHAnsi" w:eastAsia="Times New Roman" w:hAnsiTheme="majorHAnsi" w:cs="Times New Roman"/>
          <w:b/>
          <w:bCs/>
          <w:sz w:val="24"/>
          <w:szCs w:val="24"/>
          <w:lang w:val="ro-MD"/>
        </w:rPr>
        <w:t>de stat, garanțiilor de stat și recreditării de stat</w:t>
      </w:r>
      <w:r w:rsidRPr="000C78F9">
        <w:rPr>
          <w:rFonts w:asciiTheme="majorHAnsi" w:eastAsia="Times New Roman" w:hAnsiTheme="majorHAnsi" w:cs="Times New Roman"/>
          <w:b/>
          <w:bCs/>
          <w:sz w:val="24"/>
          <w:szCs w:val="24"/>
          <w:lang w:val="ro-MD"/>
        </w:rPr>
        <w:t xml:space="preserve"> pe anul 201</w:t>
      </w:r>
      <w:r w:rsidR="001E0E68" w:rsidRPr="000C78F9">
        <w:rPr>
          <w:rFonts w:asciiTheme="majorHAnsi" w:eastAsia="Times New Roman" w:hAnsiTheme="majorHAnsi" w:cs="Times New Roman"/>
          <w:b/>
          <w:bCs/>
          <w:sz w:val="24"/>
          <w:szCs w:val="24"/>
          <w:lang w:val="ro-MD"/>
        </w:rPr>
        <w:t>8</w:t>
      </w:r>
    </w:p>
    <w:p w:rsidR="00F42011" w:rsidRPr="000C78F9" w:rsidRDefault="00F42011" w:rsidP="00F809A6">
      <w:pPr>
        <w:spacing w:after="0" w:line="276" w:lineRule="auto"/>
        <w:jc w:val="both"/>
        <w:rPr>
          <w:rFonts w:asciiTheme="majorHAnsi" w:hAnsiTheme="majorHAnsi" w:cs="Times New Roman"/>
          <w:b/>
          <w:sz w:val="24"/>
          <w:szCs w:val="24"/>
          <w:lang w:val="ro-RO"/>
        </w:rPr>
      </w:pPr>
      <w:r w:rsidRPr="000C78F9">
        <w:rPr>
          <w:rFonts w:asciiTheme="majorHAnsi" w:hAnsiTheme="majorHAnsi" w:cs="Times New Roman"/>
          <w:b/>
          <w:sz w:val="24"/>
          <w:szCs w:val="24"/>
          <w:lang w:val="ro-RO"/>
        </w:rPr>
        <w:t>---------------------------------------------------------------------------------------------------</w:t>
      </w:r>
    </w:p>
    <w:p w:rsidR="008303E7" w:rsidRPr="000C78F9" w:rsidRDefault="00F42011" w:rsidP="00F809A6">
      <w:pPr>
        <w:tabs>
          <w:tab w:val="left" w:pos="360"/>
          <w:tab w:val="left" w:pos="720"/>
          <w:tab w:val="left" w:pos="900"/>
        </w:tabs>
        <w:spacing w:after="0" w:line="276" w:lineRule="auto"/>
        <w:jc w:val="both"/>
        <w:rPr>
          <w:rFonts w:asciiTheme="majorHAnsi" w:eastAsia="Times New Roman" w:hAnsiTheme="majorHAnsi" w:cs="Times New Roman"/>
          <w:bCs/>
          <w:sz w:val="24"/>
          <w:szCs w:val="24"/>
          <w:lang w:val="ro-RO"/>
        </w:rPr>
      </w:pPr>
      <w:r w:rsidRPr="000C78F9">
        <w:rPr>
          <w:rFonts w:asciiTheme="majorHAnsi" w:hAnsiTheme="majorHAnsi" w:cs="Times New Roman"/>
          <w:color w:val="000000" w:themeColor="text1"/>
          <w:sz w:val="24"/>
          <w:szCs w:val="24"/>
          <w:lang w:val="ro-RO" w:eastAsia="ro-RO"/>
        </w:rPr>
        <w:tab/>
      </w:r>
      <w:r w:rsidRPr="000C78F9">
        <w:rPr>
          <w:rFonts w:asciiTheme="majorHAnsi" w:hAnsiTheme="majorHAnsi" w:cs="Times New Roman"/>
          <w:color w:val="000000" w:themeColor="text1"/>
          <w:sz w:val="24"/>
          <w:szCs w:val="24"/>
          <w:lang w:val="ro-RO" w:eastAsia="ro-RO"/>
        </w:rPr>
        <w:tab/>
      </w:r>
      <w:r w:rsidR="004A2B1D" w:rsidRPr="000C78F9">
        <w:rPr>
          <w:rFonts w:asciiTheme="majorHAnsi" w:hAnsiTheme="majorHAnsi" w:cs="Times New Roman"/>
          <w:color w:val="000000" w:themeColor="text1"/>
          <w:sz w:val="24"/>
          <w:szCs w:val="24"/>
          <w:lang w:val="ro-RO" w:eastAsia="ro-RO"/>
        </w:rPr>
        <w:t>Curtea de Conturi, în prezența ministrului finanțelor,</w:t>
      </w:r>
      <w:r w:rsidR="001E0E68" w:rsidRPr="000C78F9">
        <w:rPr>
          <w:rFonts w:asciiTheme="majorHAnsi" w:hAnsiTheme="majorHAnsi" w:cs="Times New Roman"/>
          <w:color w:val="000000" w:themeColor="text1"/>
          <w:sz w:val="24"/>
          <w:szCs w:val="24"/>
          <w:lang w:val="ro-RO" w:eastAsia="ro-RO"/>
        </w:rPr>
        <w:t xml:space="preserve"> dl Ion </w:t>
      </w:r>
      <w:proofErr w:type="spellStart"/>
      <w:r w:rsidR="001E0E68" w:rsidRPr="000C78F9">
        <w:rPr>
          <w:rFonts w:asciiTheme="majorHAnsi" w:hAnsiTheme="majorHAnsi" w:cs="Times New Roman"/>
          <w:color w:val="000000" w:themeColor="text1"/>
          <w:sz w:val="24"/>
          <w:szCs w:val="24"/>
          <w:lang w:val="ro-RO" w:eastAsia="ro-RO"/>
        </w:rPr>
        <w:t>Chicu</w:t>
      </w:r>
      <w:proofErr w:type="spellEnd"/>
      <w:r w:rsidR="004A2B1D" w:rsidRPr="000C78F9">
        <w:rPr>
          <w:rFonts w:asciiTheme="majorHAnsi" w:hAnsiTheme="majorHAnsi" w:cs="Times New Roman"/>
          <w:color w:val="000000" w:themeColor="text1"/>
          <w:sz w:val="24"/>
          <w:szCs w:val="24"/>
          <w:lang w:val="ro-RO" w:eastAsia="ro-RO"/>
        </w:rPr>
        <w:t xml:space="preserve">; </w:t>
      </w:r>
      <w:proofErr w:type="spellStart"/>
      <w:r w:rsidR="004A2B1D" w:rsidRPr="000C78F9">
        <w:rPr>
          <w:rFonts w:asciiTheme="majorHAnsi" w:eastAsia="Times New Roman" w:hAnsiTheme="majorHAnsi" w:cs="Times New Roman"/>
          <w:sz w:val="24"/>
          <w:szCs w:val="24"/>
          <w:lang w:val="ro-RO"/>
        </w:rPr>
        <w:t>şefului</w:t>
      </w:r>
      <w:proofErr w:type="spellEnd"/>
      <w:r w:rsidR="004A2B1D" w:rsidRPr="000C78F9">
        <w:rPr>
          <w:rFonts w:asciiTheme="majorHAnsi" w:eastAsia="Times New Roman" w:hAnsiTheme="majorHAnsi" w:cs="Times New Roman"/>
          <w:sz w:val="24"/>
          <w:szCs w:val="24"/>
          <w:lang w:val="ro-RO"/>
        </w:rPr>
        <w:t xml:space="preserve"> </w:t>
      </w:r>
      <w:proofErr w:type="spellStart"/>
      <w:r w:rsidR="004A2B1D" w:rsidRPr="000C78F9">
        <w:rPr>
          <w:rFonts w:asciiTheme="majorHAnsi" w:eastAsia="Times New Roman" w:hAnsiTheme="majorHAnsi" w:cs="Times New Roman"/>
          <w:sz w:val="24"/>
          <w:szCs w:val="24"/>
          <w:lang w:val="ro-RO"/>
        </w:rPr>
        <w:t>Direcţiei</w:t>
      </w:r>
      <w:proofErr w:type="spellEnd"/>
      <w:r w:rsidR="004A2B1D" w:rsidRPr="000C78F9">
        <w:rPr>
          <w:rFonts w:asciiTheme="majorHAnsi" w:eastAsia="Times New Roman" w:hAnsiTheme="majorHAnsi" w:cs="Times New Roman"/>
          <w:sz w:val="24"/>
          <w:szCs w:val="24"/>
          <w:lang w:val="ro-RO"/>
        </w:rPr>
        <w:t xml:space="preserve"> datorii publice,</w:t>
      </w:r>
      <w:r w:rsidR="0020293C" w:rsidRPr="000C78F9">
        <w:rPr>
          <w:rFonts w:asciiTheme="majorHAnsi" w:eastAsia="Times New Roman" w:hAnsiTheme="majorHAnsi" w:cs="Times New Roman"/>
          <w:sz w:val="24"/>
          <w:szCs w:val="24"/>
          <w:lang w:val="ro-RO"/>
        </w:rPr>
        <w:t xml:space="preserve"> dna Elena </w:t>
      </w:r>
      <w:proofErr w:type="spellStart"/>
      <w:r w:rsidR="0020293C" w:rsidRPr="000C78F9">
        <w:rPr>
          <w:rFonts w:asciiTheme="majorHAnsi" w:eastAsia="Times New Roman" w:hAnsiTheme="majorHAnsi" w:cs="Times New Roman"/>
          <w:sz w:val="24"/>
          <w:szCs w:val="24"/>
          <w:lang w:val="ro-RO"/>
        </w:rPr>
        <w:t>Mat</w:t>
      </w:r>
      <w:r w:rsidR="00F809A6" w:rsidRPr="000C78F9">
        <w:rPr>
          <w:rFonts w:asciiTheme="majorHAnsi" w:eastAsia="Times New Roman" w:hAnsiTheme="majorHAnsi" w:cs="Times New Roman"/>
          <w:sz w:val="24"/>
          <w:szCs w:val="24"/>
          <w:lang w:val="ro-RO"/>
        </w:rPr>
        <w:t>v</w:t>
      </w:r>
      <w:r w:rsidR="0020293C" w:rsidRPr="000C78F9">
        <w:rPr>
          <w:rFonts w:asciiTheme="majorHAnsi" w:eastAsia="Times New Roman" w:hAnsiTheme="majorHAnsi" w:cs="Times New Roman"/>
          <w:sz w:val="24"/>
          <w:szCs w:val="24"/>
          <w:lang w:val="ro-RO"/>
        </w:rPr>
        <w:t>eeva</w:t>
      </w:r>
      <w:proofErr w:type="spellEnd"/>
      <w:r w:rsidR="00717571" w:rsidRPr="000C78F9">
        <w:rPr>
          <w:rFonts w:asciiTheme="majorHAnsi" w:eastAsia="Times New Roman" w:hAnsiTheme="majorHAnsi" w:cs="Times New Roman"/>
          <w:sz w:val="24"/>
          <w:szCs w:val="24"/>
          <w:lang w:val="ro-RO"/>
        </w:rPr>
        <w:t>;</w:t>
      </w:r>
      <w:r w:rsidR="00B64C80">
        <w:rPr>
          <w:rFonts w:asciiTheme="majorHAnsi" w:eastAsia="Times New Roman" w:hAnsiTheme="majorHAnsi" w:cs="Times New Roman"/>
          <w:sz w:val="24"/>
          <w:szCs w:val="24"/>
          <w:lang w:val="ro-RO"/>
        </w:rPr>
        <w:t xml:space="preserve"> șeful</w:t>
      </w:r>
      <w:r w:rsidR="00843EB8">
        <w:rPr>
          <w:rFonts w:asciiTheme="majorHAnsi" w:eastAsia="Times New Roman" w:hAnsiTheme="majorHAnsi" w:cs="Times New Roman"/>
          <w:sz w:val="24"/>
          <w:szCs w:val="24"/>
          <w:lang w:val="ro-RO"/>
        </w:rPr>
        <w:t>ui</w:t>
      </w:r>
      <w:r w:rsidR="00B64C80">
        <w:rPr>
          <w:rFonts w:asciiTheme="majorHAnsi" w:eastAsia="Times New Roman" w:hAnsiTheme="majorHAnsi" w:cs="Times New Roman"/>
          <w:sz w:val="24"/>
          <w:szCs w:val="24"/>
          <w:lang w:val="ro-RO"/>
        </w:rPr>
        <w:t xml:space="preserve"> Directoratului Liniei de Credit, dna </w:t>
      </w:r>
      <w:proofErr w:type="spellStart"/>
      <w:r w:rsidR="00B64C80">
        <w:rPr>
          <w:rFonts w:asciiTheme="majorHAnsi" w:eastAsia="Times New Roman" w:hAnsiTheme="majorHAnsi" w:cs="Times New Roman"/>
          <w:sz w:val="24"/>
          <w:szCs w:val="24"/>
          <w:lang w:val="ro-RO"/>
        </w:rPr>
        <w:t>Raisa</w:t>
      </w:r>
      <w:proofErr w:type="spellEnd"/>
      <w:r w:rsidR="00B64C80">
        <w:rPr>
          <w:rFonts w:asciiTheme="majorHAnsi" w:eastAsia="Times New Roman" w:hAnsiTheme="majorHAnsi" w:cs="Times New Roman"/>
          <w:sz w:val="24"/>
          <w:szCs w:val="24"/>
          <w:lang w:val="ro-RO"/>
        </w:rPr>
        <w:t xml:space="preserve"> Cantemir</w:t>
      </w:r>
      <w:r w:rsidR="00843EB8">
        <w:rPr>
          <w:rFonts w:asciiTheme="majorHAnsi" w:eastAsia="Times New Roman" w:hAnsiTheme="majorHAnsi" w:cs="Times New Roman"/>
          <w:sz w:val="24"/>
          <w:szCs w:val="24"/>
          <w:lang w:val="ro-RO"/>
        </w:rPr>
        <w:t>,</w:t>
      </w:r>
      <w:r w:rsidR="00717571" w:rsidRPr="000C78F9">
        <w:rPr>
          <w:rFonts w:asciiTheme="majorHAnsi" w:eastAsia="Times New Roman" w:hAnsiTheme="majorHAnsi" w:cs="Times New Roman"/>
          <w:sz w:val="24"/>
          <w:szCs w:val="24"/>
          <w:lang w:val="ro-RO"/>
        </w:rPr>
        <w:t xml:space="preserve"> </w:t>
      </w:r>
      <w:r w:rsidR="004A2B1D" w:rsidRPr="000C78F9">
        <w:rPr>
          <w:rFonts w:asciiTheme="majorHAnsi" w:hAnsiTheme="majorHAnsi" w:cs="Times New Roman"/>
          <w:sz w:val="24"/>
          <w:szCs w:val="24"/>
          <w:lang w:val="ro-RO"/>
        </w:rPr>
        <w:t xml:space="preserve">precum </w:t>
      </w:r>
      <w:proofErr w:type="spellStart"/>
      <w:r w:rsidR="004A2B1D" w:rsidRPr="000C78F9">
        <w:rPr>
          <w:rFonts w:asciiTheme="majorHAnsi" w:hAnsiTheme="majorHAnsi" w:cs="Times New Roman"/>
          <w:sz w:val="24"/>
          <w:szCs w:val="24"/>
          <w:lang w:val="ro-RO"/>
        </w:rPr>
        <w:t>şi</w:t>
      </w:r>
      <w:proofErr w:type="spellEnd"/>
      <w:r w:rsidR="004A2B1D" w:rsidRPr="000C78F9">
        <w:rPr>
          <w:rFonts w:asciiTheme="majorHAnsi" w:hAnsiTheme="majorHAnsi" w:cs="Times New Roman"/>
          <w:sz w:val="24"/>
          <w:szCs w:val="24"/>
          <w:lang w:val="ro-RO"/>
        </w:rPr>
        <w:t xml:space="preserve"> a altor persoane cu </w:t>
      </w:r>
      <w:proofErr w:type="spellStart"/>
      <w:r w:rsidR="004A2B1D" w:rsidRPr="000C78F9">
        <w:rPr>
          <w:rFonts w:asciiTheme="majorHAnsi" w:hAnsiTheme="majorHAnsi" w:cs="Times New Roman"/>
          <w:sz w:val="24"/>
          <w:szCs w:val="24"/>
          <w:lang w:val="ro-RO"/>
        </w:rPr>
        <w:t>funcţii</w:t>
      </w:r>
      <w:proofErr w:type="spellEnd"/>
      <w:r w:rsidR="004A2B1D" w:rsidRPr="000C78F9">
        <w:rPr>
          <w:rFonts w:asciiTheme="majorHAnsi" w:hAnsiTheme="majorHAnsi" w:cs="Times New Roman"/>
          <w:sz w:val="24"/>
          <w:szCs w:val="24"/>
          <w:lang w:val="ro-RO"/>
        </w:rPr>
        <w:t xml:space="preserve"> de răspundere, </w:t>
      </w:r>
      <w:r w:rsidR="00BC12B3" w:rsidRPr="000C78F9">
        <w:rPr>
          <w:rFonts w:asciiTheme="majorHAnsi" w:hAnsiTheme="majorHAnsi" w:cs="Times New Roman"/>
          <w:sz w:val="24"/>
          <w:szCs w:val="24"/>
          <w:lang w:val="ro-RO" w:eastAsia="ro-RO"/>
        </w:rPr>
        <w:t>călăuzindu-se de</w:t>
      </w:r>
      <w:r w:rsidR="008303E7" w:rsidRPr="000C78F9">
        <w:rPr>
          <w:rFonts w:asciiTheme="majorHAnsi" w:hAnsiTheme="majorHAnsi" w:cs="Times New Roman"/>
          <w:sz w:val="24"/>
          <w:szCs w:val="24"/>
          <w:lang w:val="ro-RO" w:eastAsia="ro-RO"/>
        </w:rPr>
        <w:t xml:space="preserve"> prevederile </w:t>
      </w:r>
      <w:r w:rsidR="008303E7" w:rsidRPr="000C78F9">
        <w:rPr>
          <w:rFonts w:asciiTheme="majorHAnsi" w:hAnsiTheme="majorHAnsi" w:cs="Times New Roman"/>
          <w:sz w:val="24"/>
          <w:szCs w:val="24"/>
          <w:lang w:val="ro-RO"/>
        </w:rPr>
        <w:t>art.3 al</w:t>
      </w:r>
      <w:r w:rsidR="00B739A7" w:rsidRPr="000C78F9">
        <w:rPr>
          <w:rFonts w:asciiTheme="majorHAnsi" w:hAnsiTheme="majorHAnsi" w:cs="Times New Roman"/>
          <w:sz w:val="24"/>
          <w:szCs w:val="24"/>
          <w:lang w:val="ro-RO"/>
        </w:rPr>
        <w:t>in.(1),</w:t>
      </w:r>
      <w:r w:rsidR="008303E7" w:rsidRPr="000C78F9">
        <w:rPr>
          <w:rFonts w:asciiTheme="majorHAnsi" w:hAnsiTheme="majorHAnsi" w:cs="Times New Roman"/>
          <w:sz w:val="24"/>
          <w:szCs w:val="24"/>
          <w:lang w:val="ro-RO"/>
        </w:rPr>
        <w:t xml:space="preserve"> art.5 alin.(1) </w:t>
      </w:r>
      <w:proofErr w:type="spellStart"/>
      <w:r w:rsidR="008303E7" w:rsidRPr="000C78F9">
        <w:rPr>
          <w:rFonts w:asciiTheme="majorHAnsi" w:hAnsiTheme="majorHAnsi" w:cs="Times New Roman"/>
          <w:sz w:val="24"/>
          <w:szCs w:val="24"/>
          <w:lang w:val="ro-RO"/>
        </w:rPr>
        <w:t>lit.a</w:t>
      </w:r>
      <w:proofErr w:type="spellEnd"/>
      <w:r w:rsidR="008303E7" w:rsidRPr="000C78F9">
        <w:rPr>
          <w:rFonts w:asciiTheme="majorHAnsi" w:hAnsiTheme="majorHAnsi" w:cs="Times New Roman"/>
          <w:sz w:val="24"/>
          <w:szCs w:val="24"/>
          <w:lang w:val="ro-RO"/>
        </w:rPr>
        <w:t>)</w:t>
      </w:r>
      <w:r w:rsidR="00B739A7" w:rsidRPr="000C78F9">
        <w:rPr>
          <w:rFonts w:asciiTheme="majorHAnsi" w:hAnsiTheme="majorHAnsi" w:cs="Times New Roman"/>
          <w:sz w:val="24"/>
          <w:szCs w:val="24"/>
          <w:lang w:val="ro-RO"/>
        </w:rPr>
        <w:t xml:space="preserve"> și art.31 alin.(1) </w:t>
      </w:r>
      <w:proofErr w:type="spellStart"/>
      <w:r w:rsidR="00B739A7" w:rsidRPr="000C78F9">
        <w:rPr>
          <w:rFonts w:asciiTheme="majorHAnsi" w:hAnsiTheme="majorHAnsi" w:cs="Times New Roman"/>
          <w:sz w:val="24"/>
          <w:szCs w:val="24"/>
          <w:lang w:val="ro-RO"/>
        </w:rPr>
        <w:t>lit.c</w:t>
      </w:r>
      <w:proofErr w:type="spellEnd"/>
      <w:r w:rsidR="00B739A7" w:rsidRPr="000C78F9">
        <w:rPr>
          <w:rFonts w:asciiTheme="majorHAnsi" w:hAnsiTheme="majorHAnsi" w:cs="Times New Roman"/>
          <w:sz w:val="24"/>
          <w:szCs w:val="24"/>
          <w:lang w:val="ro-RO"/>
        </w:rPr>
        <w:t>)</w:t>
      </w:r>
      <w:r w:rsidR="008303E7" w:rsidRPr="000C78F9">
        <w:rPr>
          <w:rFonts w:asciiTheme="majorHAnsi" w:hAnsiTheme="majorHAnsi" w:cs="Times New Roman"/>
          <w:sz w:val="24"/>
          <w:szCs w:val="24"/>
          <w:lang w:val="ro-RO"/>
        </w:rPr>
        <w:t xml:space="preserve"> din Legea privind organizarea și funcționarea Curții de Conturi a Republicii Moldova</w:t>
      </w:r>
      <w:r w:rsidR="008F3015" w:rsidRPr="000C78F9">
        <w:rPr>
          <w:rFonts w:asciiTheme="majorHAnsi" w:hAnsiTheme="majorHAnsi" w:cs="Times New Roman"/>
          <w:sz w:val="24"/>
          <w:szCs w:val="24"/>
          <w:lang w:val="ro-RO"/>
        </w:rPr>
        <w:t xml:space="preserve"> nr.260 din 07.12.2017</w:t>
      </w:r>
      <w:r w:rsidR="008303E7" w:rsidRPr="000C78F9">
        <w:rPr>
          <w:rStyle w:val="a4"/>
          <w:rFonts w:asciiTheme="majorHAnsi" w:hAnsiTheme="majorHAnsi"/>
          <w:sz w:val="24"/>
          <w:szCs w:val="24"/>
          <w:lang w:val="ro-RO"/>
        </w:rPr>
        <w:footnoteReference w:id="1"/>
      </w:r>
      <w:r w:rsidR="008303E7" w:rsidRPr="000C78F9">
        <w:rPr>
          <w:rFonts w:asciiTheme="majorHAnsi" w:hAnsiTheme="majorHAnsi" w:cs="Times New Roman"/>
          <w:sz w:val="24"/>
          <w:szCs w:val="24"/>
          <w:lang w:val="ro-RO"/>
        </w:rPr>
        <w:t>, a examinat</w:t>
      </w:r>
      <w:r w:rsidR="008303E7" w:rsidRPr="000C78F9">
        <w:rPr>
          <w:rFonts w:asciiTheme="majorHAnsi" w:hAnsiTheme="majorHAnsi" w:cs="Times New Roman"/>
          <w:sz w:val="24"/>
          <w:szCs w:val="24"/>
          <w:lang w:val="ro-RO" w:eastAsia="ru-RU"/>
        </w:rPr>
        <w:t xml:space="preserve"> </w:t>
      </w:r>
      <w:r w:rsidR="004A2B1D" w:rsidRPr="000C78F9">
        <w:rPr>
          <w:rFonts w:asciiTheme="majorHAnsi" w:eastAsia="Times New Roman" w:hAnsiTheme="majorHAnsi" w:cs="Times New Roman"/>
          <w:bCs/>
          <w:sz w:val="24"/>
          <w:szCs w:val="24"/>
          <w:lang w:val="ro-RO"/>
        </w:rPr>
        <w:t>Raportul</w:t>
      </w:r>
      <w:r w:rsidR="008303E7" w:rsidRPr="000C78F9">
        <w:rPr>
          <w:rFonts w:asciiTheme="majorHAnsi" w:eastAsia="Times New Roman" w:hAnsiTheme="majorHAnsi" w:cs="Times New Roman"/>
          <w:b/>
          <w:bCs/>
          <w:sz w:val="24"/>
          <w:szCs w:val="24"/>
          <w:lang w:val="ro-RO"/>
        </w:rPr>
        <w:t xml:space="preserve"> </w:t>
      </w:r>
      <w:r w:rsidR="008303E7" w:rsidRPr="000C78F9">
        <w:rPr>
          <w:rFonts w:asciiTheme="majorHAnsi" w:eastAsia="Times New Roman" w:hAnsiTheme="majorHAnsi" w:cs="Times New Roman"/>
          <w:bCs/>
          <w:sz w:val="24"/>
          <w:szCs w:val="24"/>
          <w:lang w:val="ro-RO"/>
        </w:rPr>
        <w:t xml:space="preserve">auditului </w:t>
      </w:r>
      <w:r w:rsidR="003025BF" w:rsidRPr="000C78F9">
        <w:rPr>
          <w:rFonts w:asciiTheme="majorHAnsi" w:eastAsia="Times New Roman" w:hAnsiTheme="majorHAnsi" w:cs="Times New Roman"/>
          <w:bCs/>
          <w:sz w:val="24"/>
          <w:szCs w:val="24"/>
          <w:lang w:val="ro-RO"/>
        </w:rPr>
        <w:t>performanței</w:t>
      </w:r>
      <w:r w:rsidR="008303E7" w:rsidRPr="000C78F9">
        <w:rPr>
          <w:rFonts w:asciiTheme="majorHAnsi" w:eastAsia="Times New Roman" w:hAnsiTheme="majorHAnsi" w:cs="Times New Roman"/>
          <w:bCs/>
          <w:sz w:val="24"/>
          <w:szCs w:val="24"/>
          <w:lang w:val="ro-RO"/>
        </w:rPr>
        <w:t xml:space="preserve"> managementului datorie</w:t>
      </w:r>
      <w:r w:rsidR="00CA001C" w:rsidRPr="000C78F9">
        <w:rPr>
          <w:rFonts w:asciiTheme="majorHAnsi" w:eastAsia="Times New Roman" w:hAnsiTheme="majorHAnsi" w:cs="Times New Roman"/>
          <w:bCs/>
          <w:sz w:val="24"/>
          <w:szCs w:val="24"/>
          <w:lang w:val="ro-RO"/>
        </w:rPr>
        <w:t xml:space="preserve">i </w:t>
      </w:r>
      <w:r w:rsidR="000E3CE6" w:rsidRPr="000C78F9">
        <w:rPr>
          <w:rFonts w:asciiTheme="majorHAnsi" w:eastAsia="Times New Roman" w:hAnsiTheme="majorHAnsi" w:cs="Times New Roman"/>
          <w:bCs/>
          <w:sz w:val="24"/>
          <w:szCs w:val="24"/>
          <w:lang w:val="ro-MD"/>
        </w:rPr>
        <w:t>de stat, garanțiilor de stat și recreditării de stat</w:t>
      </w:r>
      <w:r w:rsidR="000E3CE6" w:rsidRPr="000C78F9">
        <w:rPr>
          <w:rFonts w:asciiTheme="majorHAnsi" w:eastAsia="Times New Roman" w:hAnsiTheme="majorHAnsi" w:cs="Times New Roman"/>
          <w:bCs/>
          <w:sz w:val="24"/>
          <w:szCs w:val="24"/>
          <w:lang w:val="ro-RO"/>
        </w:rPr>
        <w:t xml:space="preserve"> </w:t>
      </w:r>
      <w:r w:rsidR="00CA001C" w:rsidRPr="000C78F9">
        <w:rPr>
          <w:rFonts w:asciiTheme="majorHAnsi" w:eastAsia="Times New Roman" w:hAnsiTheme="majorHAnsi" w:cs="Times New Roman"/>
          <w:bCs/>
          <w:sz w:val="24"/>
          <w:szCs w:val="24"/>
          <w:lang w:val="ro-RO"/>
        </w:rPr>
        <w:t>pe anul 2018</w:t>
      </w:r>
      <w:r w:rsidR="008303E7" w:rsidRPr="000C78F9">
        <w:rPr>
          <w:rFonts w:asciiTheme="majorHAnsi" w:eastAsia="Times New Roman" w:hAnsiTheme="majorHAnsi" w:cs="Times New Roman"/>
          <w:bCs/>
          <w:sz w:val="24"/>
          <w:szCs w:val="24"/>
          <w:lang w:val="ro-RO"/>
        </w:rPr>
        <w:t>.</w:t>
      </w:r>
    </w:p>
    <w:p w:rsidR="008F3015" w:rsidRPr="000C78F9" w:rsidRDefault="008303E7" w:rsidP="00F809A6">
      <w:pPr>
        <w:spacing w:after="0" w:line="276" w:lineRule="auto"/>
        <w:ind w:firstLine="567"/>
        <w:jc w:val="both"/>
        <w:rPr>
          <w:rFonts w:asciiTheme="majorHAnsi" w:hAnsiTheme="majorHAnsi" w:cs="Times New Roman"/>
          <w:sz w:val="24"/>
          <w:szCs w:val="24"/>
          <w:lang w:val="ro-RO"/>
        </w:rPr>
      </w:pPr>
      <w:r w:rsidRPr="000C78F9">
        <w:rPr>
          <w:rFonts w:asciiTheme="majorHAnsi" w:eastAsia="Times New Roman" w:hAnsiTheme="majorHAnsi" w:cs="Times New Roman"/>
          <w:sz w:val="24"/>
          <w:szCs w:val="24"/>
          <w:lang w:val="ro-RO"/>
        </w:rPr>
        <w:t xml:space="preserve">Misiunea de audit public extern a fost realizată </w:t>
      </w:r>
      <w:r w:rsidRPr="000C78F9">
        <w:rPr>
          <w:rFonts w:asciiTheme="majorHAnsi" w:hAnsiTheme="majorHAnsi" w:cs="Times New Roman"/>
          <w:sz w:val="24"/>
          <w:szCs w:val="24"/>
          <w:lang w:val="ro-RO"/>
        </w:rPr>
        <w:t xml:space="preserve">în conformitate cu Programul activității de audit </w:t>
      </w:r>
      <w:r w:rsidR="00106359" w:rsidRPr="000C78F9">
        <w:rPr>
          <w:rFonts w:asciiTheme="majorHAnsi" w:hAnsiTheme="majorHAnsi" w:cs="Times New Roman"/>
          <w:sz w:val="24"/>
          <w:szCs w:val="24"/>
          <w:lang w:val="ro-RO"/>
        </w:rPr>
        <w:t>a Curții de Conturi pe anul 2019</w:t>
      </w:r>
      <w:r w:rsidR="00AA1D7E" w:rsidRPr="000C78F9">
        <w:rPr>
          <w:rFonts w:asciiTheme="majorHAnsi" w:hAnsiTheme="majorHAnsi" w:cs="Times New Roman"/>
          <w:sz w:val="24"/>
          <w:szCs w:val="24"/>
          <w:lang w:val="ro-RO"/>
        </w:rPr>
        <w:t xml:space="preserve"> </w:t>
      </w:r>
      <w:r w:rsidR="00AA1D7E" w:rsidRPr="000C78F9">
        <w:rPr>
          <w:rFonts w:asciiTheme="majorHAnsi" w:hAnsiTheme="majorHAnsi" w:cs="Times New Roman"/>
          <w:sz w:val="24"/>
          <w:szCs w:val="24"/>
          <w:lang w:val="ro-MD"/>
        </w:rPr>
        <w:t>(cu modificările ulterioare)</w:t>
      </w:r>
      <w:r w:rsidR="00AA1D7E" w:rsidRPr="000C78F9">
        <w:rPr>
          <w:rFonts w:asciiTheme="majorHAnsi" w:hAnsiTheme="majorHAnsi" w:cs="Times New Roman"/>
          <w:sz w:val="24"/>
          <w:szCs w:val="24"/>
          <w:vertAlign w:val="superscript"/>
          <w:lang w:val="ro-MD"/>
        </w:rPr>
        <w:footnoteReference w:id="2"/>
      </w:r>
      <w:r w:rsidRPr="000C78F9">
        <w:rPr>
          <w:rFonts w:asciiTheme="majorHAnsi" w:hAnsiTheme="majorHAnsi" w:cs="Times New Roman"/>
          <w:sz w:val="24"/>
          <w:szCs w:val="24"/>
          <w:lang w:val="ro-RO"/>
        </w:rPr>
        <w:t>, Standardele Internaționale de Audit aplicate de Curtea de Conturi</w:t>
      </w:r>
      <w:r w:rsidRPr="000C78F9">
        <w:rPr>
          <w:rFonts w:asciiTheme="majorHAnsi" w:eastAsia="Times New Roman" w:hAnsiTheme="majorHAnsi" w:cs="Times New Roman"/>
          <w:sz w:val="24"/>
          <w:szCs w:val="24"/>
          <w:vertAlign w:val="superscript"/>
          <w:lang w:val="ro-RO" w:eastAsia="ru-RU"/>
        </w:rPr>
        <w:footnoteReference w:id="3"/>
      </w:r>
      <w:r w:rsidRPr="000C78F9">
        <w:rPr>
          <w:rFonts w:asciiTheme="majorHAnsi" w:hAnsiTheme="majorHAnsi" w:cs="Times New Roman"/>
          <w:sz w:val="24"/>
          <w:szCs w:val="24"/>
          <w:lang w:val="ro-RO"/>
        </w:rPr>
        <w:t>, cadrul de reglementare intern, precum și cu bunele practici în domeniu.</w:t>
      </w:r>
      <w:r w:rsidR="00860B1E" w:rsidRPr="000C78F9">
        <w:rPr>
          <w:rFonts w:asciiTheme="majorHAnsi" w:hAnsiTheme="majorHAnsi" w:cs="Times New Roman"/>
          <w:sz w:val="24"/>
          <w:szCs w:val="24"/>
          <w:lang w:val="ro-RO"/>
        </w:rPr>
        <w:t xml:space="preserve"> </w:t>
      </w:r>
    </w:p>
    <w:p w:rsidR="00351291" w:rsidRPr="000C78F9" w:rsidRDefault="00407D60" w:rsidP="00F809A6">
      <w:pPr>
        <w:spacing w:after="0" w:line="276" w:lineRule="auto"/>
        <w:ind w:firstLine="567"/>
        <w:jc w:val="both"/>
        <w:rPr>
          <w:rFonts w:asciiTheme="majorHAnsi" w:eastAsia="Times New Roman" w:hAnsiTheme="majorHAnsi" w:cs="Times New Roman"/>
          <w:b/>
          <w:bCs/>
          <w:color w:val="000000"/>
          <w:sz w:val="24"/>
          <w:szCs w:val="24"/>
          <w:lang w:val="ro-RO"/>
        </w:rPr>
      </w:pPr>
      <w:r w:rsidRPr="000C78F9">
        <w:rPr>
          <w:rFonts w:asciiTheme="majorHAnsi" w:eastAsia="Times New Roman" w:hAnsiTheme="majorHAnsi" w:cs="Times New Roman"/>
          <w:color w:val="000000"/>
          <w:sz w:val="24"/>
          <w:szCs w:val="24"/>
          <w:lang w:val="ro-RO"/>
        </w:rPr>
        <w:t>Examinând Raportul de audit prezentat, precum și explicațiile persoanelor cu funcții de răspundere prezente în ședința publică, Curtea de Conturi </w:t>
      </w:r>
    </w:p>
    <w:p w:rsidR="00F809A6" w:rsidRPr="000C78F9" w:rsidRDefault="00F809A6" w:rsidP="00F809A6">
      <w:pPr>
        <w:spacing w:after="0" w:line="276" w:lineRule="auto"/>
        <w:jc w:val="center"/>
        <w:rPr>
          <w:rFonts w:asciiTheme="majorHAnsi" w:eastAsia="Times New Roman" w:hAnsiTheme="majorHAnsi" w:cs="Times New Roman"/>
          <w:b/>
          <w:bCs/>
          <w:sz w:val="24"/>
          <w:szCs w:val="24"/>
          <w:lang w:val="ro-RO"/>
        </w:rPr>
      </w:pPr>
    </w:p>
    <w:p w:rsidR="00AE3C00" w:rsidRPr="000C78F9" w:rsidRDefault="00F42011" w:rsidP="00F809A6">
      <w:pPr>
        <w:spacing w:after="0" w:line="276" w:lineRule="auto"/>
        <w:jc w:val="center"/>
        <w:rPr>
          <w:rFonts w:asciiTheme="majorHAnsi" w:eastAsia="Times New Roman" w:hAnsiTheme="majorHAnsi" w:cs="Times New Roman"/>
          <w:b/>
          <w:bCs/>
          <w:sz w:val="24"/>
          <w:szCs w:val="24"/>
          <w:lang w:val="ro-RO"/>
        </w:rPr>
      </w:pPr>
      <w:r w:rsidRPr="000C78F9">
        <w:rPr>
          <w:rFonts w:asciiTheme="majorHAnsi" w:eastAsia="Times New Roman" w:hAnsiTheme="majorHAnsi" w:cs="Times New Roman"/>
          <w:b/>
          <w:bCs/>
          <w:sz w:val="24"/>
          <w:szCs w:val="24"/>
          <w:lang w:val="ro-RO"/>
        </w:rPr>
        <w:t>A CONSTATAT:</w:t>
      </w:r>
    </w:p>
    <w:p w:rsidR="002E65F3" w:rsidRDefault="002E65F3" w:rsidP="002E65F3">
      <w:pPr>
        <w:spacing w:after="0" w:line="276" w:lineRule="auto"/>
        <w:ind w:firstLine="720"/>
        <w:jc w:val="both"/>
        <w:rPr>
          <w:rFonts w:asciiTheme="majorHAnsi" w:hAnsiTheme="majorHAnsi" w:cstheme="majorHAnsi"/>
          <w:bCs/>
          <w:sz w:val="24"/>
          <w:szCs w:val="24"/>
          <w:lang w:val="ro-MD"/>
        </w:rPr>
      </w:pPr>
      <w:r w:rsidRPr="00590217">
        <w:rPr>
          <w:rFonts w:asciiTheme="majorHAnsi" w:hAnsiTheme="majorHAnsi" w:cstheme="majorHAnsi"/>
          <w:sz w:val="24"/>
          <w:szCs w:val="24"/>
          <w:lang w:val="ro-RO"/>
        </w:rPr>
        <w:t>Datoria de stat la situația din 31.12.2018 a</w:t>
      </w:r>
      <w:r w:rsidR="000B33D4">
        <w:rPr>
          <w:rFonts w:asciiTheme="majorHAnsi" w:hAnsiTheme="majorHAnsi" w:cstheme="majorHAnsi"/>
          <w:sz w:val="24"/>
          <w:szCs w:val="24"/>
          <w:lang w:val="ro-RO"/>
        </w:rPr>
        <w:t xml:space="preserve"> constituit 52012,5 mil. MDL, </w:t>
      </w:r>
      <w:r w:rsidR="001E5949">
        <w:rPr>
          <w:rFonts w:asciiTheme="majorHAnsi" w:hAnsiTheme="majorHAnsi" w:cstheme="majorHAnsi"/>
          <w:sz w:val="24"/>
          <w:szCs w:val="24"/>
          <w:lang w:val="ro-RO"/>
        </w:rPr>
        <w:t>fiind în creștere</w:t>
      </w:r>
      <w:r w:rsidRPr="00590217">
        <w:rPr>
          <w:rFonts w:asciiTheme="majorHAnsi" w:hAnsiTheme="majorHAnsi" w:cstheme="majorHAnsi"/>
          <w:sz w:val="24"/>
          <w:szCs w:val="24"/>
          <w:lang w:val="ro-RO"/>
        </w:rPr>
        <w:t xml:space="preserve"> față de perioada similară din anul precedent, </w:t>
      </w:r>
      <w:r w:rsidR="00843EB8" w:rsidRPr="00C8031D">
        <w:rPr>
          <w:rFonts w:asciiTheme="majorHAnsi" w:hAnsiTheme="majorHAnsi" w:cstheme="majorHAnsi"/>
          <w:sz w:val="24"/>
          <w:szCs w:val="24"/>
          <w:lang w:val="ro-RO"/>
        </w:rPr>
        <w:t>dar</w:t>
      </w:r>
      <w:r w:rsidRPr="00843EB8">
        <w:rPr>
          <w:rFonts w:asciiTheme="majorHAnsi" w:hAnsiTheme="majorHAnsi" w:cstheme="majorHAnsi"/>
          <w:sz w:val="24"/>
          <w:szCs w:val="24"/>
          <w:lang w:val="ro-RO"/>
        </w:rPr>
        <w:t xml:space="preserve"> </w:t>
      </w:r>
      <w:r w:rsidR="00113EC6" w:rsidRPr="00843EB8">
        <w:rPr>
          <w:rFonts w:asciiTheme="majorHAnsi" w:hAnsiTheme="majorHAnsi" w:cstheme="majorHAnsi"/>
          <w:sz w:val="24"/>
          <w:szCs w:val="24"/>
          <w:lang w:val="ro-RO"/>
        </w:rPr>
        <w:t>s-a diminuat ca pondere</w:t>
      </w:r>
      <w:r w:rsidRPr="00843EB8">
        <w:rPr>
          <w:rFonts w:asciiTheme="majorHAnsi" w:hAnsiTheme="majorHAnsi" w:cstheme="majorHAnsi"/>
          <w:sz w:val="24"/>
          <w:szCs w:val="24"/>
          <w:lang w:val="ro-RO"/>
        </w:rPr>
        <w:t xml:space="preserve"> în PIB. Creșterea</w:t>
      </w:r>
      <w:r w:rsidRPr="00590217">
        <w:rPr>
          <w:rFonts w:asciiTheme="majorHAnsi" w:hAnsiTheme="majorHAnsi" w:cstheme="majorHAnsi"/>
          <w:sz w:val="24"/>
          <w:szCs w:val="24"/>
          <w:lang w:val="ro-RO"/>
        </w:rPr>
        <w:t xml:space="preserve"> datoriei de stat a fost influențată de majorarea soldului datoriei de stat </w:t>
      </w:r>
      <w:r w:rsidRPr="005C0E62">
        <w:rPr>
          <w:rFonts w:asciiTheme="majorHAnsi" w:hAnsiTheme="majorHAnsi" w:cstheme="majorHAnsi"/>
          <w:sz w:val="24"/>
          <w:szCs w:val="24"/>
          <w:lang w:val="ro-RO"/>
        </w:rPr>
        <w:t>interne</w:t>
      </w:r>
      <w:r w:rsidRPr="00C8031D">
        <w:rPr>
          <w:rFonts w:asciiTheme="majorHAnsi" w:hAnsiTheme="majorHAnsi" w:cstheme="majorHAnsi"/>
          <w:sz w:val="24"/>
          <w:szCs w:val="24"/>
          <w:lang w:val="ro-RO"/>
        </w:rPr>
        <w:t>,</w:t>
      </w:r>
      <w:r w:rsidR="00843EB8" w:rsidRPr="00C8031D">
        <w:rPr>
          <w:rFonts w:asciiTheme="majorHAnsi" w:hAnsiTheme="majorHAnsi" w:cstheme="majorHAnsi"/>
          <w:sz w:val="24"/>
          <w:szCs w:val="24"/>
          <w:lang w:val="ro-RO"/>
        </w:rPr>
        <w:t xml:space="preserve"> </w:t>
      </w:r>
      <w:r w:rsidRPr="00C8031D">
        <w:rPr>
          <w:rFonts w:asciiTheme="majorHAnsi" w:hAnsiTheme="majorHAnsi" w:cstheme="majorHAnsi"/>
          <w:sz w:val="24"/>
          <w:szCs w:val="24"/>
          <w:lang w:val="ro-RO"/>
        </w:rPr>
        <w:t>condiționat</w:t>
      </w:r>
      <w:r w:rsidR="00843EB8" w:rsidRPr="00C8031D">
        <w:rPr>
          <w:rFonts w:asciiTheme="majorHAnsi" w:hAnsiTheme="majorHAnsi" w:cstheme="majorHAnsi"/>
          <w:sz w:val="24"/>
          <w:szCs w:val="24"/>
          <w:lang w:val="ro-RO"/>
        </w:rPr>
        <w:t>ă</w:t>
      </w:r>
      <w:r w:rsidRPr="00590217">
        <w:rPr>
          <w:rFonts w:asciiTheme="majorHAnsi" w:hAnsiTheme="majorHAnsi" w:cstheme="majorHAnsi"/>
          <w:sz w:val="24"/>
          <w:szCs w:val="24"/>
          <w:lang w:val="ro-RO"/>
        </w:rPr>
        <w:t xml:space="preserve"> de finanțarea internă netă pozitivă a </w:t>
      </w:r>
      <w:r w:rsidR="00843EB8">
        <w:rPr>
          <w:rFonts w:asciiTheme="majorHAnsi" w:hAnsiTheme="majorHAnsi" w:cstheme="majorHAnsi"/>
          <w:sz w:val="24"/>
          <w:szCs w:val="24"/>
          <w:lang w:val="ro-RO"/>
        </w:rPr>
        <w:t>valorilor mobiliare de stat</w:t>
      </w:r>
      <w:r w:rsidRPr="00590217">
        <w:rPr>
          <w:rFonts w:asciiTheme="majorHAnsi" w:hAnsiTheme="majorHAnsi" w:cstheme="majorHAnsi"/>
          <w:sz w:val="24"/>
          <w:szCs w:val="24"/>
          <w:lang w:val="ro-RO"/>
        </w:rPr>
        <w:t xml:space="preserve"> emise pe piața primară, inclusiv d</w:t>
      </w:r>
      <w:r w:rsidR="00843EB8">
        <w:rPr>
          <w:rFonts w:asciiTheme="majorHAnsi" w:hAnsiTheme="majorHAnsi" w:cstheme="majorHAnsi"/>
          <w:sz w:val="24"/>
          <w:szCs w:val="24"/>
          <w:lang w:val="ro-RO"/>
        </w:rPr>
        <w:t xml:space="preserve">e </w:t>
      </w:r>
      <w:r w:rsidRPr="00590217">
        <w:rPr>
          <w:rFonts w:asciiTheme="majorHAnsi" w:hAnsiTheme="majorHAnsi" w:cstheme="majorHAnsi"/>
          <w:sz w:val="24"/>
          <w:szCs w:val="24"/>
          <w:lang w:val="ro-RO"/>
        </w:rPr>
        <w:t xml:space="preserve"> emisiun</w:t>
      </w:r>
      <w:r w:rsidR="00843EB8">
        <w:rPr>
          <w:rFonts w:asciiTheme="majorHAnsi" w:hAnsiTheme="majorHAnsi" w:cstheme="majorHAnsi"/>
          <w:sz w:val="24"/>
          <w:szCs w:val="24"/>
          <w:lang w:val="ro-RO"/>
        </w:rPr>
        <w:t>ea acestora</w:t>
      </w:r>
      <w:r w:rsidRPr="00590217">
        <w:rPr>
          <w:rFonts w:asciiTheme="majorHAnsi" w:hAnsiTheme="majorHAnsi" w:cstheme="majorHAnsi"/>
          <w:sz w:val="24"/>
          <w:szCs w:val="24"/>
          <w:lang w:val="ro-RO"/>
        </w:rPr>
        <w:t xml:space="preserve"> pentru crearea unei rezerve de lichidități. Se </w:t>
      </w:r>
      <w:r w:rsidR="00843EB8">
        <w:rPr>
          <w:rFonts w:asciiTheme="majorHAnsi" w:hAnsiTheme="majorHAnsi" w:cstheme="majorHAnsi"/>
          <w:sz w:val="24"/>
          <w:szCs w:val="24"/>
          <w:lang w:val="ro-RO"/>
        </w:rPr>
        <w:t>atestă</w:t>
      </w:r>
      <w:r w:rsidRPr="00590217">
        <w:rPr>
          <w:rFonts w:asciiTheme="majorHAnsi" w:hAnsiTheme="majorHAnsi" w:cstheme="majorHAnsi"/>
          <w:sz w:val="24"/>
          <w:szCs w:val="24"/>
          <w:lang w:val="ro-RO"/>
        </w:rPr>
        <w:t xml:space="preserve"> necesitatea consolidării cadrului legal </w:t>
      </w:r>
      <w:r w:rsidRPr="00590217">
        <w:rPr>
          <w:rFonts w:asciiTheme="majorHAnsi" w:hAnsiTheme="majorHAnsi" w:cstheme="majorHAnsi"/>
          <w:bCs/>
          <w:sz w:val="24"/>
          <w:szCs w:val="24"/>
          <w:lang w:val="ro-MD"/>
        </w:rPr>
        <w:t xml:space="preserve">pentru crearea rezervelor de lichidități, </w:t>
      </w:r>
      <w:r w:rsidR="00843EB8">
        <w:rPr>
          <w:rFonts w:asciiTheme="majorHAnsi" w:hAnsiTheme="majorHAnsi" w:cstheme="majorHAnsi"/>
          <w:bCs/>
          <w:sz w:val="24"/>
          <w:szCs w:val="24"/>
          <w:lang w:val="ro-MD"/>
        </w:rPr>
        <w:t xml:space="preserve">prin </w:t>
      </w:r>
      <w:r w:rsidRPr="00590217">
        <w:rPr>
          <w:rFonts w:asciiTheme="majorHAnsi" w:hAnsiTheme="majorHAnsi" w:cstheme="majorHAnsi"/>
          <w:bCs/>
          <w:sz w:val="24"/>
          <w:szCs w:val="24"/>
          <w:lang w:val="ro-MD"/>
        </w:rPr>
        <w:t>reglementarea exhaustivă în ce privește situațiile de creare și utilizare a acestora.</w:t>
      </w:r>
      <w:r>
        <w:rPr>
          <w:rFonts w:asciiTheme="majorHAnsi" w:hAnsiTheme="majorHAnsi" w:cstheme="majorHAnsi"/>
          <w:bCs/>
          <w:sz w:val="24"/>
          <w:szCs w:val="24"/>
          <w:lang w:val="ro-MD"/>
        </w:rPr>
        <w:t xml:space="preserve"> </w:t>
      </w:r>
    </w:p>
    <w:p w:rsidR="002E65F3" w:rsidRDefault="00B466D4" w:rsidP="002E65F3">
      <w:pPr>
        <w:spacing w:after="0" w:line="276" w:lineRule="auto"/>
        <w:ind w:firstLine="720"/>
        <w:jc w:val="both"/>
        <w:rPr>
          <w:rFonts w:asciiTheme="majorHAnsi" w:hAnsiTheme="majorHAnsi" w:cstheme="majorHAnsi"/>
          <w:bCs/>
          <w:sz w:val="24"/>
          <w:szCs w:val="24"/>
          <w:lang w:val="ro-MD"/>
        </w:rPr>
      </w:pPr>
      <w:r w:rsidRPr="00F66975">
        <w:rPr>
          <w:rFonts w:asciiTheme="majorHAnsi" w:hAnsiTheme="majorHAnsi" w:cs="Times New Roman"/>
          <w:sz w:val="24"/>
          <w:szCs w:val="24"/>
          <w:lang w:val="ro-RO"/>
        </w:rPr>
        <w:lastRenderedPageBreak/>
        <w:t xml:space="preserve">Rămâne a fi considerabil </w:t>
      </w:r>
      <w:r w:rsidR="005E37D6">
        <w:rPr>
          <w:rFonts w:asciiTheme="majorHAnsi" w:hAnsiTheme="majorHAnsi" w:cs="Times New Roman"/>
          <w:sz w:val="24"/>
          <w:szCs w:val="24"/>
          <w:lang w:val="ro-RO"/>
        </w:rPr>
        <w:t xml:space="preserve">(12729,8 mil.MDL) </w:t>
      </w:r>
      <w:r w:rsidRPr="00F66975">
        <w:rPr>
          <w:rFonts w:asciiTheme="majorHAnsi" w:hAnsiTheme="majorHAnsi" w:cs="Times New Roman"/>
          <w:sz w:val="24"/>
          <w:szCs w:val="24"/>
          <w:lang w:val="ro-RO"/>
        </w:rPr>
        <w:t>soldul datoriilor băncilor supuse lichidării</w:t>
      </w:r>
      <w:r w:rsidR="00F66975" w:rsidRPr="00F66975">
        <w:rPr>
          <w:rFonts w:asciiTheme="majorHAnsi" w:hAnsiTheme="majorHAnsi" w:cs="Times New Roman"/>
          <w:sz w:val="24"/>
          <w:szCs w:val="24"/>
          <w:lang w:val="ro-RO"/>
        </w:rPr>
        <w:t xml:space="preserve"> </w:t>
      </w:r>
      <w:r w:rsidR="00F66975" w:rsidRPr="00F66975">
        <w:rPr>
          <w:rFonts w:asciiTheme="majorHAnsi" w:hAnsiTheme="majorHAnsi" w:cstheme="majorHAnsi"/>
          <w:sz w:val="24"/>
          <w:szCs w:val="24"/>
          <w:lang w:val="ro-RO"/>
        </w:rPr>
        <w:t>(„</w:t>
      </w:r>
      <w:proofErr w:type="spellStart"/>
      <w:r w:rsidR="00F66975" w:rsidRPr="00F66975">
        <w:rPr>
          <w:rFonts w:asciiTheme="majorHAnsi" w:hAnsiTheme="majorHAnsi" w:cstheme="majorHAnsi"/>
          <w:sz w:val="24"/>
          <w:szCs w:val="24"/>
          <w:lang w:val="ro-RO"/>
        </w:rPr>
        <w:t>Investprivatbank</w:t>
      </w:r>
      <w:proofErr w:type="spellEnd"/>
      <w:r w:rsidR="00F66975" w:rsidRPr="00F66975">
        <w:rPr>
          <w:rFonts w:asciiTheme="majorHAnsi" w:hAnsiTheme="majorHAnsi" w:cstheme="majorHAnsi"/>
          <w:sz w:val="24"/>
          <w:szCs w:val="24"/>
          <w:lang w:val="ro-RO"/>
        </w:rPr>
        <w:t>” S.A.</w:t>
      </w:r>
      <w:r w:rsidR="0015408A">
        <w:rPr>
          <w:rFonts w:asciiTheme="majorHAnsi" w:hAnsiTheme="majorHAnsi" w:cstheme="majorHAnsi"/>
          <w:sz w:val="24"/>
          <w:szCs w:val="24"/>
          <w:lang w:val="ro-RO"/>
        </w:rPr>
        <w:t>,</w:t>
      </w:r>
      <w:r w:rsidR="00F66975" w:rsidRPr="00F66975">
        <w:rPr>
          <w:rFonts w:asciiTheme="majorHAnsi" w:hAnsiTheme="majorHAnsi" w:cstheme="majorHAnsi"/>
          <w:sz w:val="24"/>
          <w:szCs w:val="24"/>
          <w:lang w:val="ro-RO"/>
        </w:rPr>
        <w:t xml:space="preserve"> „Banca de Economii” S.A., BC „Banca Socială” S.A., BC „</w:t>
      </w:r>
      <w:proofErr w:type="spellStart"/>
      <w:r w:rsidR="00F66975" w:rsidRPr="00F66975">
        <w:rPr>
          <w:rFonts w:asciiTheme="majorHAnsi" w:hAnsiTheme="majorHAnsi" w:cstheme="majorHAnsi"/>
          <w:sz w:val="24"/>
          <w:szCs w:val="24"/>
          <w:lang w:val="ro-RO"/>
        </w:rPr>
        <w:t>Unibank</w:t>
      </w:r>
      <w:proofErr w:type="spellEnd"/>
      <w:r w:rsidR="00F66975" w:rsidRPr="00F66975">
        <w:rPr>
          <w:rFonts w:asciiTheme="majorHAnsi" w:hAnsiTheme="majorHAnsi" w:cstheme="majorHAnsi"/>
          <w:sz w:val="24"/>
          <w:szCs w:val="24"/>
          <w:lang w:val="ro-RO"/>
        </w:rPr>
        <w:t>” S.A.)</w:t>
      </w:r>
      <w:r w:rsidR="0015408A">
        <w:rPr>
          <w:rFonts w:asciiTheme="majorHAnsi" w:hAnsiTheme="majorHAnsi" w:cstheme="majorHAnsi"/>
          <w:sz w:val="24"/>
          <w:szCs w:val="24"/>
          <w:lang w:val="ro-RO"/>
        </w:rPr>
        <w:t xml:space="preserve">, </w:t>
      </w:r>
      <w:r w:rsidRPr="00F66975">
        <w:rPr>
          <w:rFonts w:asciiTheme="majorHAnsi" w:hAnsiTheme="majorHAnsi" w:cs="Times New Roman"/>
          <w:sz w:val="24"/>
          <w:szCs w:val="24"/>
          <w:lang w:val="ro-RO"/>
        </w:rPr>
        <w:t xml:space="preserve"> din cauza restituirii lente a </w:t>
      </w:r>
      <w:r w:rsidR="00F66975">
        <w:rPr>
          <w:rFonts w:asciiTheme="majorHAnsi" w:hAnsiTheme="majorHAnsi" w:cs="Times New Roman"/>
          <w:sz w:val="24"/>
          <w:szCs w:val="24"/>
          <w:lang w:val="ro-RO"/>
        </w:rPr>
        <w:t xml:space="preserve">datoriilor </w:t>
      </w:r>
      <w:r w:rsidRPr="00F66975">
        <w:rPr>
          <w:rFonts w:asciiTheme="majorHAnsi" w:hAnsiTheme="majorHAnsi" w:cs="Times New Roman"/>
          <w:sz w:val="24"/>
          <w:szCs w:val="24"/>
          <w:lang w:val="ro-RO"/>
        </w:rPr>
        <w:t>acestora, ceea ce duce la împovărarea bugetului.</w:t>
      </w:r>
    </w:p>
    <w:p w:rsidR="00F66975" w:rsidRDefault="002E65F3" w:rsidP="00F66975">
      <w:pPr>
        <w:spacing w:after="0" w:line="276" w:lineRule="auto"/>
        <w:ind w:firstLine="720"/>
        <w:jc w:val="both"/>
        <w:rPr>
          <w:rFonts w:asciiTheme="majorHAnsi" w:hAnsiTheme="majorHAnsi" w:cstheme="majorHAnsi"/>
          <w:sz w:val="24"/>
          <w:szCs w:val="24"/>
          <w:lang w:val="ro-RO"/>
        </w:rPr>
      </w:pPr>
      <w:r w:rsidRPr="001E6C6A">
        <w:rPr>
          <w:rFonts w:asciiTheme="majorHAnsi" w:hAnsiTheme="majorHAnsi" w:cstheme="majorHAnsi"/>
          <w:sz w:val="24"/>
          <w:szCs w:val="24"/>
          <w:lang w:val="ro-RO"/>
        </w:rPr>
        <w:t>Deși toți parametrii de risc s-au încadrat în limitele anuale stabilite în cadrul Programului „Managementul datoriei de stat pe termen mediu (2018-2020)</w:t>
      </w:r>
      <w:r w:rsidR="0015408A">
        <w:rPr>
          <w:rFonts w:asciiTheme="majorHAnsi" w:hAnsiTheme="majorHAnsi" w:cstheme="majorHAnsi"/>
          <w:sz w:val="24"/>
          <w:szCs w:val="24"/>
          <w:lang w:val="ro-RO"/>
        </w:rPr>
        <w:t>”</w:t>
      </w:r>
      <w:r w:rsidRPr="001E6C6A">
        <w:rPr>
          <w:rFonts w:asciiTheme="majorHAnsi" w:hAnsiTheme="majorHAnsi" w:cstheme="majorHAnsi"/>
          <w:sz w:val="24"/>
          <w:szCs w:val="24"/>
          <w:lang w:val="ro-RO"/>
        </w:rPr>
        <w:t>, la situația din 31.12.2018 persistă riscul de refinanțare și riscul ratei de dobândă a datoriei de stat interne</w:t>
      </w:r>
      <w:r>
        <w:rPr>
          <w:rFonts w:asciiTheme="majorHAnsi" w:hAnsiTheme="majorHAnsi" w:cstheme="majorHAnsi"/>
          <w:sz w:val="24"/>
          <w:szCs w:val="24"/>
          <w:lang w:val="ro-RO"/>
        </w:rPr>
        <w:t>, care are o pondere majoră și urmează a fi refixată în decurs de un an. De asemenea, portofoliul datoriei de stat externe este expus riscului valutar, cauzat de predominarea datoriei de stat externe în valută străină.</w:t>
      </w:r>
      <w:r w:rsidR="00F66975">
        <w:rPr>
          <w:rFonts w:asciiTheme="majorHAnsi" w:hAnsiTheme="majorHAnsi" w:cstheme="majorHAnsi"/>
          <w:sz w:val="24"/>
          <w:szCs w:val="24"/>
          <w:lang w:val="ro-RO"/>
        </w:rPr>
        <w:t xml:space="preserve"> În același timp, </w:t>
      </w:r>
      <w:r w:rsidR="00F66975" w:rsidRPr="00551A82">
        <w:rPr>
          <w:rFonts w:asciiTheme="majorHAnsi" w:hAnsiTheme="majorHAnsi" w:cstheme="majorHAnsi"/>
          <w:sz w:val="24"/>
          <w:szCs w:val="24"/>
          <w:shd w:val="clear" w:color="auto" w:fill="FFFFFF"/>
          <w:lang w:val="ro-MD"/>
        </w:rPr>
        <w:t xml:space="preserve">debursarea unor împrumuturi </w:t>
      </w:r>
      <w:r w:rsidR="00F66975">
        <w:rPr>
          <w:rFonts w:asciiTheme="majorHAnsi" w:hAnsiTheme="majorHAnsi" w:cstheme="majorHAnsi"/>
          <w:sz w:val="24"/>
          <w:szCs w:val="24"/>
          <w:shd w:val="clear" w:color="auto" w:fill="FFFFFF"/>
          <w:lang w:val="ro-MD"/>
        </w:rPr>
        <w:t>a</w:t>
      </w:r>
      <w:r w:rsidR="0015408A">
        <w:rPr>
          <w:rFonts w:asciiTheme="majorHAnsi" w:hAnsiTheme="majorHAnsi" w:cstheme="majorHAnsi"/>
          <w:sz w:val="24"/>
          <w:szCs w:val="24"/>
          <w:shd w:val="clear" w:color="auto" w:fill="FFFFFF"/>
          <w:lang w:val="ro-MD"/>
        </w:rPr>
        <w:t>re</w:t>
      </w:r>
      <w:r w:rsidR="00F66975" w:rsidRPr="00551A82">
        <w:rPr>
          <w:rFonts w:asciiTheme="majorHAnsi" w:hAnsiTheme="majorHAnsi" w:cstheme="majorHAnsi"/>
          <w:sz w:val="24"/>
          <w:szCs w:val="24"/>
          <w:shd w:val="clear" w:color="auto" w:fill="FFFFFF"/>
          <w:lang w:val="ro-MD"/>
        </w:rPr>
        <w:t xml:space="preserve"> loc cu întârziere, iar  achitarea comisioanelor prevăzute în acordurile de împrumut se efectuează din suma contractată</w:t>
      </w:r>
      <w:r w:rsidR="00F66975">
        <w:rPr>
          <w:rFonts w:asciiTheme="majorHAnsi" w:hAnsiTheme="majorHAnsi" w:cstheme="majorHAnsi"/>
          <w:sz w:val="24"/>
          <w:szCs w:val="24"/>
          <w:shd w:val="clear" w:color="auto" w:fill="FFFFFF"/>
          <w:lang w:val="ro-MD"/>
        </w:rPr>
        <w:t xml:space="preserve"> și/sau </w:t>
      </w:r>
      <w:proofErr w:type="spellStart"/>
      <w:r w:rsidR="00F66975">
        <w:rPr>
          <w:rFonts w:asciiTheme="majorHAnsi" w:hAnsiTheme="majorHAnsi" w:cstheme="majorHAnsi"/>
          <w:sz w:val="24"/>
          <w:szCs w:val="24"/>
          <w:shd w:val="clear" w:color="auto" w:fill="FFFFFF"/>
          <w:lang w:val="ro-MD"/>
        </w:rPr>
        <w:t>nedebursată</w:t>
      </w:r>
      <w:proofErr w:type="spellEnd"/>
      <w:r w:rsidR="00F66975" w:rsidRPr="00551A82">
        <w:rPr>
          <w:rFonts w:asciiTheme="majorHAnsi" w:hAnsiTheme="majorHAnsi" w:cstheme="majorHAnsi"/>
          <w:sz w:val="24"/>
          <w:szCs w:val="24"/>
          <w:shd w:val="clear" w:color="auto" w:fill="FFFFFF"/>
          <w:lang w:val="ro-MD"/>
        </w:rPr>
        <w:t xml:space="preserve"> a împrumutului,</w:t>
      </w:r>
      <w:r w:rsidR="00F66975">
        <w:rPr>
          <w:rFonts w:asciiTheme="majorHAnsi" w:hAnsiTheme="majorHAnsi" w:cstheme="majorHAnsi"/>
          <w:sz w:val="24"/>
          <w:szCs w:val="24"/>
          <w:shd w:val="clear" w:color="auto" w:fill="FFFFFF"/>
          <w:lang w:val="ro-MD"/>
        </w:rPr>
        <w:t xml:space="preserve"> ca rezultat</w:t>
      </w:r>
      <w:r w:rsidR="00981FB6">
        <w:rPr>
          <w:rFonts w:asciiTheme="majorHAnsi" w:hAnsiTheme="majorHAnsi" w:cstheme="majorHAnsi"/>
          <w:sz w:val="24"/>
          <w:szCs w:val="24"/>
          <w:shd w:val="clear" w:color="auto" w:fill="FFFFFF"/>
          <w:lang w:val="ro-MD"/>
        </w:rPr>
        <w:t>,</w:t>
      </w:r>
      <w:r w:rsidR="00F66975" w:rsidRPr="00551A82">
        <w:rPr>
          <w:rFonts w:asciiTheme="majorHAnsi" w:hAnsiTheme="majorHAnsi" w:cstheme="majorHAnsi"/>
          <w:sz w:val="24"/>
          <w:szCs w:val="24"/>
          <w:shd w:val="clear" w:color="auto" w:fill="FFFFFF"/>
          <w:lang w:val="ro-MD"/>
        </w:rPr>
        <w:t xml:space="preserve"> </w:t>
      </w:r>
      <w:r w:rsidR="0015408A">
        <w:rPr>
          <w:rFonts w:asciiTheme="majorHAnsi" w:hAnsiTheme="majorHAnsi" w:cstheme="majorHAnsi"/>
          <w:sz w:val="24"/>
          <w:szCs w:val="24"/>
          <w:shd w:val="clear" w:color="auto" w:fill="FFFFFF"/>
          <w:lang w:val="ro-MD"/>
        </w:rPr>
        <w:t xml:space="preserve">fiind </w:t>
      </w:r>
      <w:r w:rsidR="00F66975" w:rsidRPr="00551A82">
        <w:rPr>
          <w:rFonts w:asciiTheme="majorHAnsi" w:hAnsiTheme="majorHAnsi" w:cstheme="majorHAnsi"/>
          <w:sz w:val="24"/>
          <w:szCs w:val="24"/>
          <w:shd w:val="clear" w:color="auto" w:fill="FFFFFF"/>
          <w:lang w:val="ro-MD"/>
        </w:rPr>
        <w:t>gener</w:t>
      </w:r>
      <w:r w:rsidR="0015408A">
        <w:rPr>
          <w:rFonts w:asciiTheme="majorHAnsi" w:hAnsiTheme="majorHAnsi" w:cstheme="majorHAnsi"/>
          <w:sz w:val="24"/>
          <w:szCs w:val="24"/>
          <w:shd w:val="clear" w:color="auto" w:fill="FFFFFF"/>
          <w:lang w:val="ro-MD"/>
        </w:rPr>
        <w:t>ate</w:t>
      </w:r>
      <w:r w:rsidR="00F66975" w:rsidRPr="00551A82">
        <w:rPr>
          <w:rFonts w:asciiTheme="majorHAnsi" w:hAnsiTheme="majorHAnsi" w:cstheme="majorHAnsi"/>
          <w:sz w:val="24"/>
          <w:szCs w:val="24"/>
          <w:shd w:val="clear" w:color="auto" w:fill="FFFFFF"/>
          <w:lang w:val="ro-MD"/>
        </w:rPr>
        <w:t xml:space="preserve"> cheltuieli suplimentare </w:t>
      </w:r>
      <w:r w:rsidR="00C8031D">
        <w:rPr>
          <w:rFonts w:asciiTheme="majorHAnsi" w:hAnsiTheme="majorHAnsi" w:cstheme="majorHAnsi"/>
          <w:sz w:val="24"/>
          <w:szCs w:val="24"/>
          <w:shd w:val="clear" w:color="auto" w:fill="FFFFFF"/>
          <w:lang w:val="ro-MD"/>
        </w:rPr>
        <w:t>ale</w:t>
      </w:r>
      <w:r w:rsidR="00C8031D" w:rsidRPr="00551A82">
        <w:rPr>
          <w:rFonts w:asciiTheme="majorHAnsi" w:hAnsiTheme="majorHAnsi" w:cstheme="majorHAnsi"/>
          <w:sz w:val="24"/>
          <w:szCs w:val="24"/>
          <w:shd w:val="clear" w:color="auto" w:fill="FFFFFF"/>
          <w:lang w:val="ro-MD"/>
        </w:rPr>
        <w:t xml:space="preserve"> </w:t>
      </w:r>
      <w:r w:rsidR="00F66975" w:rsidRPr="00551A82">
        <w:rPr>
          <w:rFonts w:asciiTheme="majorHAnsi" w:hAnsiTheme="majorHAnsi" w:cstheme="majorHAnsi"/>
          <w:sz w:val="24"/>
          <w:szCs w:val="24"/>
          <w:shd w:val="clear" w:color="auto" w:fill="FFFFFF"/>
          <w:lang w:val="ro-MD"/>
        </w:rPr>
        <w:t>buget</w:t>
      </w:r>
      <w:r w:rsidR="00C8031D">
        <w:rPr>
          <w:rFonts w:asciiTheme="majorHAnsi" w:hAnsiTheme="majorHAnsi" w:cstheme="majorHAnsi"/>
          <w:sz w:val="24"/>
          <w:szCs w:val="24"/>
          <w:shd w:val="clear" w:color="auto" w:fill="FFFFFF"/>
          <w:lang w:val="ro-MD"/>
        </w:rPr>
        <w:t>ului</w:t>
      </w:r>
      <w:r w:rsidR="00F66975" w:rsidRPr="00551A82">
        <w:rPr>
          <w:rFonts w:asciiTheme="majorHAnsi" w:hAnsiTheme="majorHAnsi" w:cstheme="majorHAnsi"/>
          <w:sz w:val="24"/>
          <w:szCs w:val="24"/>
          <w:shd w:val="clear" w:color="auto" w:fill="FFFFFF"/>
          <w:lang w:val="ro-MD"/>
        </w:rPr>
        <w:t>.</w:t>
      </w:r>
    </w:p>
    <w:p w:rsidR="00B75075" w:rsidRDefault="002E65F3" w:rsidP="00B75075">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În anul 2018 a început derularea Programului de </w:t>
      </w:r>
      <w:r w:rsidR="00981FB6">
        <w:rPr>
          <w:rFonts w:asciiTheme="majorHAnsi" w:hAnsiTheme="majorHAnsi" w:cstheme="majorHAnsi"/>
          <w:sz w:val="24"/>
          <w:szCs w:val="24"/>
          <w:lang w:val="ro-RO"/>
        </w:rPr>
        <w:t>s</w:t>
      </w:r>
      <w:r>
        <w:rPr>
          <w:rFonts w:asciiTheme="majorHAnsi" w:hAnsiTheme="majorHAnsi" w:cstheme="majorHAnsi"/>
          <w:sz w:val="24"/>
          <w:szCs w:val="24"/>
          <w:lang w:val="ro-RO"/>
        </w:rPr>
        <w:t>tat „Prima casă”</w:t>
      </w:r>
      <w:r w:rsidR="0015408A">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0015408A">
        <w:rPr>
          <w:rFonts w:asciiTheme="majorHAnsi" w:hAnsiTheme="majorHAnsi" w:cstheme="majorHAnsi"/>
          <w:sz w:val="24"/>
          <w:szCs w:val="24"/>
          <w:lang w:val="ro-RO"/>
        </w:rPr>
        <w:t xml:space="preserve">cu </w:t>
      </w:r>
      <w:r>
        <w:rPr>
          <w:rFonts w:asciiTheme="majorHAnsi" w:hAnsiTheme="majorHAnsi" w:cstheme="majorHAnsi"/>
          <w:sz w:val="24"/>
          <w:szCs w:val="24"/>
          <w:lang w:val="ro-RO"/>
        </w:rPr>
        <w:t>emi</w:t>
      </w:r>
      <w:r w:rsidR="0015408A">
        <w:rPr>
          <w:rFonts w:asciiTheme="majorHAnsi" w:hAnsiTheme="majorHAnsi" w:cstheme="majorHAnsi"/>
          <w:sz w:val="24"/>
          <w:szCs w:val="24"/>
          <w:lang w:val="ro-RO"/>
        </w:rPr>
        <w:t>terea</w:t>
      </w:r>
      <w:r>
        <w:rPr>
          <w:rFonts w:asciiTheme="majorHAnsi" w:hAnsiTheme="majorHAnsi" w:cstheme="majorHAnsi"/>
          <w:sz w:val="24"/>
          <w:szCs w:val="24"/>
          <w:lang w:val="ro-RO"/>
        </w:rPr>
        <w:t xml:space="preserve"> garanții</w:t>
      </w:r>
      <w:r w:rsidR="0015408A">
        <w:rPr>
          <w:rFonts w:asciiTheme="majorHAnsi" w:hAnsiTheme="majorHAnsi" w:cstheme="majorHAnsi"/>
          <w:sz w:val="24"/>
          <w:szCs w:val="24"/>
          <w:lang w:val="ro-RO"/>
        </w:rPr>
        <w:t xml:space="preserve">lor </w:t>
      </w:r>
      <w:r>
        <w:rPr>
          <w:rFonts w:asciiTheme="majorHAnsi" w:hAnsiTheme="majorHAnsi" w:cstheme="majorHAnsi"/>
          <w:sz w:val="24"/>
          <w:szCs w:val="24"/>
          <w:lang w:val="ro-RO"/>
        </w:rPr>
        <w:t xml:space="preserve"> de stat interne</w:t>
      </w:r>
      <w:r w:rsidR="005E37D6">
        <w:rPr>
          <w:rFonts w:asciiTheme="majorHAnsi" w:hAnsiTheme="majorHAnsi" w:cstheme="majorHAnsi"/>
          <w:sz w:val="24"/>
          <w:szCs w:val="24"/>
          <w:lang w:val="ro-RO"/>
        </w:rPr>
        <w:t xml:space="preserve"> (258,3 mil.MDL)</w:t>
      </w:r>
      <w:r>
        <w:rPr>
          <w:rFonts w:asciiTheme="majorHAnsi" w:hAnsiTheme="majorHAnsi" w:cstheme="majorHAnsi"/>
          <w:sz w:val="24"/>
          <w:szCs w:val="24"/>
          <w:lang w:val="ro-RO"/>
        </w:rPr>
        <w:t xml:space="preserve">, până la situația din 31.12.2018 nefiind înaintate cereri de executare a garanțiilor de stat pe împrumuturile acordate în cadrul </w:t>
      </w:r>
      <w:r w:rsidR="0015408A">
        <w:rPr>
          <w:rFonts w:asciiTheme="majorHAnsi" w:hAnsiTheme="majorHAnsi" w:cstheme="majorHAnsi"/>
          <w:sz w:val="24"/>
          <w:szCs w:val="24"/>
          <w:lang w:val="ro-RO"/>
        </w:rPr>
        <w:t xml:space="preserve">acestui </w:t>
      </w:r>
      <w:r>
        <w:rPr>
          <w:rFonts w:asciiTheme="majorHAnsi" w:hAnsiTheme="majorHAnsi" w:cstheme="majorHAnsi"/>
          <w:sz w:val="24"/>
          <w:szCs w:val="24"/>
          <w:lang w:val="ro-RO"/>
        </w:rPr>
        <w:t>Program.</w:t>
      </w:r>
      <w:r w:rsidR="00B75075" w:rsidRPr="00B75075">
        <w:rPr>
          <w:rFonts w:asciiTheme="majorHAnsi" w:hAnsiTheme="majorHAnsi" w:cstheme="majorHAnsi"/>
          <w:sz w:val="24"/>
          <w:szCs w:val="24"/>
          <w:lang w:val="ro-RO"/>
        </w:rPr>
        <w:t xml:space="preserve"> </w:t>
      </w:r>
    </w:p>
    <w:p w:rsidR="002E65F3" w:rsidRPr="00B75075" w:rsidRDefault="00B75075" w:rsidP="00B75075">
      <w:pPr>
        <w:spacing w:after="0" w:line="276" w:lineRule="auto"/>
        <w:ind w:firstLine="720"/>
        <w:jc w:val="both"/>
        <w:rPr>
          <w:rFonts w:asciiTheme="majorHAnsi" w:hAnsiTheme="majorHAnsi" w:cs="Times New Roman"/>
          <w:sz w:val="24"/>
          <w:szCs w:val="24"/>
          <w:lang w:val="ro-RO"/>
        </w:rPr>
      </w:pPr>
      <w:r w:rsidRPr="00EC24E6">
        <w:rPr>
          <w:rFonts w:asciiTheme="majorHAnsi" w:hAnsiTheme="majorHAnsi" w:cstheme="majorHAnsi"/>
          <w:sz w:val="24"/>
          <w:szCs w:val="24"/>
          <w:lang w:val="ro-RO"/>
        </w:rPr>
        <w:t>Datoriile debitorilor garantați</w:t>
      </w:r>
      <w:r w:rsidR="005E37D6">
        <w:rPr>
          <w:rFonts w:asciiTheme="majorHAnsi" w:hAnsiTheme="majorHAnsi" w:cstheme="majorHAnsi"/>
          <w:sz w:val="24"/>
          <w:szCs w:val="24"/>
          <w:lang w:val="ro-RO"/>
        </w:rPr>
        <w:t xml:space="preserve"> (426,2 mil.MDL)</w:t>
      </w:r>
      <w:r w:rsidRPr="00EC24E6">
        <w:rPr>
          <w:rFonts w:asciiTheme="majorHAnsi" w:hAnsiTheme="majorHAnsi" w:cstheme="majorHAnsi"/>
          <w:sz w:val="24"/>
          <w:szCs w:val="24"/>
          <w:lang w:val="ro-RO"/>
        </w:rPr>
        <w:t xml:space="preserve"> față de Ministerul Finanțelor</w:t>
      </w:r>
      <w:r w:rsidR="0015408A">
        <w:rPr>
          <w:rFonts w:asciiTheme="majorHAnsi" w:hAnsiTheme="majorHAnsi" w:cstheme="majorHAnsi"/>
          <w:sz w:val="24"/>
          <w:szCs w:val="24"/>
          <w:lang w:val="ro-RO"/>
        </w:rPr>
        <w:t>,</w:t>
      </w:r>
      <w:r w:rsidRPr="00EC24E6">
        <w:rPr>
          <w:rFonts w:asciiTheme="majorHAnsi" w:hAnsiTheme="majorHAnsi" w:cstheme="majorHAnsi"/>
          <w:sz w:val="24"/>
          <w:szCs w:val="24"/>
          <w:lang w:val="ro-RO"/>
        </w:rPr>
        <w:t xml:space="preserve"> formate în urma executării garanțiilor de stat pentru î</w:t>
      </w:r>
      <w:r w:rsidR="00FB38B4">
        <w:rPr>
          <w:rFonts w:asciiTheme="majorHAnsi" w:hAnsiTheme="majorHAnsi" w:cstheme="majorHAnsi"/>
          <w:sz w:val="24"/>
          <w:szCs w:val="24"/>
          <w:lang w:val="ro-RO"/>
        </w:rPr>
        <w:t>mprumuturile interne și externe</w:t>
      </w:r>
      <w:r w:rsidRPr="00EC24E6">
        <w:rPr>
          <w:rFonts w:asciiTheme="majorHAnsi" w:hAnsiTheme="majorHAnsi" w:cstheme="majorHAnsi"/>
          <w:sz w:val="24"/>
          <w:szCs w:val="24"/>
          <w:lang w:val="ro-RO"/>
        </w:rPr>
        <w:t xml:space="preserve"> acordate în perioada 1991-1998</w:t>
      </w:r>
      <w:r w:rsidR="00FB38B4">
        <w:rPr>
          <w:rFonts w:asciiTheme="majorHAnsi" w:hAnsiTheme="majorHAnsi" w:cstheme="majorHAnsi"/>
          <w:sz w:val="24"/>
          <w:szCs w:val="24"/>
          <w:lang w:val="ro-RO"/>
        </w:rPr>
        <w:t>,</w:t>
      </w:r>
      <w:r w:rsidRPr="00EC24E6">
        <w:rPr>
          <w:rFonts w:asciiTheme="majorHAnsi" w:hAnsiTheme="majorHAnsi" w:cstheme="majorHAnsi"/>
          <w:sz w:val="24"/>
          <w:szCs w:val="24"/>
          <w:lang w:val="ro-RO"/>
        </w:rPr>
        <w:t xml:space="preserve"> sunt în totalitate cu termenul de achitare expirat.</w:t>
      </w:r>
      <w:r>
        <w:rPr>
          <w:rFonts w:asciiTheme="majorHAnsi" w:hAnsiTheme="majorHAnsi" w:cs="Times New Roman"/>
          <w:sz w:val="24"/>
          <w:szCs w:val="24"/>
          <w:lang w:val="ro-RO"/>
        </w:rPr>
        <w:t xml:space="preserve"> </w:t>
      </w:r>
    </w:p>
    <w:p w:rsidR="00EC24E6" w:rsidRDefault="002E65F3" w:rsidP="00536DA4">
      <w:pPr>
        <w:spacing w:after="0" w:line="276" w:lineRule="auto"/>
        <w:ind w:firstLine="720"/>
        <w:jc w:val="both"/>
        <w:rPr>
          <w:rFonts w:asciiTheme="majorHAnsi" w:hAnsiTheme="majorHAnsi" w:cs="Times New Roman"/>
          <w:sz w:val="24"/>
          <w:szCs w:val="24"/>
          <w:lang w:val="ro-RO"/>
        </w:rPr>
      </w:pPr>
      <w:r>
        <w:rPr>
          <w:rFonts w:asciiTheme="majorHAnsi" w:hAnsiTheme="majorHAnsi" w:cstheme="majorHAnsi"/>
          <w:bCs/>
          <w:sz w:val="24"/>
          <w:szCs w:val="24"/>
          <w:lang w:val="ro-MD"/>
        </w:rPr>
        <w:t xml:space="preserve">Se </w:t>
      </w:r>
      <w:r w:rsidR="0015408A">
        <w:rPr>
          <w:rFonts w:asciiTheme="majorHAnsi" w:hAnsiTheme="majorHAnsi" w:cstheme="majorHAnsi"/>
          <w:bCs/>
          <w:sz w:val="24"/>
          <w:szCs w:val="24"/>
          <w:lang w:val="ro-MD"/>
        </w:rPr>
        <w:t>relevă</w:t>
      </w:r>
      <w:r>
        <w:rPr>
          <w:rFonts w:asciiTheme="majorHAnsi" w:hAnsiTheme="majorHAnsi" w:cstheme="majorHAnsi"/>
          <w:bCs/>
          <w:sz w:val="24"/>
          <w:szCs w:val="24"/>
          <w:lang w:val="ro-MD"/>
        </w:rPr>
        <w:t xml:space="preserve"> o descreștere a mijloacelor financiare îndreptate spre recreditarea de stat</w:t>
      </w:r>
      <w:r w:rsidR="005E37D6">
        <w:rPr>
          <w:rFonts w:asciiTheme="majorHAnsi" w:hAnsiTheme="majorHAnsi" w:cstheme="majorHAnsi"/>
          <w:bCs/>
          <w:sz w:val="24"/>
          <w:szCs w:val="24"/>
          <w:lang w:val="ro-MD"/>
        </w:rPr>
        <w:t xml:space="preserve"> (866,6 mil.</w:t>
      </w:r>
      <w:r w:rsidR="005C0E62">
        <w:rPr>
          <w:rFonts w:asciiTheme="majorHAnsi" w:hAnsiTheme="majorHAnsi" w:cstheme="majorHAnsi"/>
          <w:bCs/>
          <w:sz w:val="24"/>
          <w:szCs w:val="24"/>
          <w:lang w:val="ro-MD"/>
        </w:rPr>
        <w:t xml:space="preserve"> </w:t>
      </w:r>
      <w:r w:rsidR="005E37D6">
        <w:rPr>
          <w:rFonts w:asciiTheme="majorHAnsi" w:hAnsiTheme="majorHAnsi" w:cstheme="majorHAnsi"/>
          <w:bCs/>
          <w:sz w:val="24"/>
          <w:szCs w:val="24"/>
          <w:lang w:val="ro-MD"/>
        </w:rPr>
        <w:t>MDL)</w:t>
      </w:r>
      <w:r>
        <w:rPr>
          <w:rFonts w:asciiTheme="majorHAnsi" w:hAnsiTheme="majorHAnsi" w:cstheme="majorHAnsi"/>
          <w:bCs/>
          <w:sz w:val="24"/>
          <w:szCs w:val="24"/>
          <w:lang w:val="ro-MD"/>
        </w:rPr>
        <w:t>, condiționată de cerere</w:t>
      </w:r>
      <w:r w:rsidR="0015408A">
        <w:rPr>
          <w:rFonts w:asciiTheme="majorHAnsi" w:hAnsiTheme="majorHAnsi" w:cstheme="majorHAnsi"/>
          <w:bCs/>
          <w:sz w:val="24"/>
          <w:szCs w:val="24"/>
          <w:lang w:val="ro-MD"/>
        </w:rPr>
        <w:t>a</w:t>
      </w:r>
      <w:r>
        <w:rPr>
          <w:rFonts w:asciiTheme="majorHAnsi" w:hAnsiTheme="majorHAnsi" w:cstheme="majorHAnsi"/>
          <w:bCs/>
          <w:sz w:val="24"/>
          <w:szCs w:val="24"/>
          <w:lang w:val="ro-MD"/>
        </w:rPr>
        <w:t xml:space="preserve"> mai redusă de recreditare din partea beneficiarilor în vederea implementării proiectelor finanțate din contul împrumuturilor de stat externe. </w:t>
      </w:r>
      <w:r w:rsidRPr="004716C2">
        <w:rPr>
          <w:rFonts w:asciiTheme="majorHAnsi" w:hAnsiTheme="majorHAnsi" w:cstheme="majorHAnsi"/>
          <w:bCs/>
          <w:sz w:val="24"/>
          <w:szCs w:val="24"/>
          <w:lang w:val="ro-MD"/>
        </w:rPr>
        <w:t>Totodată,</w:t>
      </w:r>
      <w:r>
        <w:rPr>
          <w:rFonts w:asciiTheme="majorHAnsi" w:hAnsiTheme="majorHAnsi" w:cstheme="majorHAnsi"/>
          <w:bCs/>
          <w:sz w:val="24"/>
          <w:szCs w:val="24"/>
          <w:lang w:val="ro-MD"/>
        </w:rPr>
        <w:t xml:space="preserve"> datoriile beneficiarilor recreditați</w:t>
      </w:r>
      <w:r w:rsidR="00D14761">
        <w:rPr>
          <w:rFonts w:asciiTheme="majorHAnsi" w:hAnsiTheme="majorHAnsi" w:cstheme="majorHAnsi"/>
          <w:bCs/>
          <w:sz w:val="24"/>
          <w:szCs w:val="24"/>
          <w:lang w:val="ro-MD"/>
        </w:rPr>
        <w:t xml:space="preserve"> (4420,5 mil.MDL)</w:t>
      </w:r>
      <w:r>
        <w:rPr>
          <w:rFonts w:asciiTheme="majorHAnsi" w:hAnsiTheme="majorHAnsi" w:cstheme="majorHAnsi"/>
          <w:bCs/>
          <w:sz w:val="24"/>
          <w:szCs w:val="24"/>
          <w:lang w:val="ro-MD"/>
        </w:rPr>
        <w:t xml:space="preserve"> s-au redus nesemnificativ și prezintă risc de nerecuperare.</w:t>
      </w:r>
      <w:r w:rsidR="00536DA4">
        <w:rPr>
          <w:rFonts w:asciiTheme="majorHAnsi" w:hAnsiTheme="majorHAnsi" w:cs="Times New Roman"/>
          <w:sz w:val="24"/>
          <w:szCs w:val="24"/>
          <w:lang w:val="ro-RO"/>
        </w:rPr>
        <w:t xml:space="preserve"> </w:t>
      </w:r>
      <w:r w:rsidR="00B75075" w:rsidRPr="00EC24E6">
        <w:rPr>
          <w:rFonts w:asciiTheme="majorHAnsi" w:hAnsiTheme="majorHAnsi" w:cs="Times New Roman"/>
          <w:sz w:val="24"/>
          <w:szCs w:val="24"/>
          <w:lang w:val="ro-RO"/>
        </w:rPr>
        <w:t>În acest sens</w:t>
      </w:r>
      <w:r w:rsidR="0015408A">
        <w:rPr>
          <w:rFonts w:asciiTheme="majorHAnsi" w:hAnsiTheme="majorHAnsi" w:cs="Times New Roman"/>
          <w:sz w:val="24"/>
          <w:szCs w:val="24"/>
          <w:lang w:val="ro-RO"/>
        </w:rPr>
        <w:t>,</w:t>
      </w:r>
      <w:r w:rsidR="00B75075" w:rsidRPr="00EC24E6">
        <w:rPr>
          <w:rFonts w:asciiTheme="majorHAnsi" w:hAnsiTheme="majorHAnsi" w:cs="Times New Roman"/>
          <w:sz w:val="24"/>
          <w:szCs w:val="24"/>
          <w:lang w:val="ro-RO"/>
        </w:rPr>
        <w:t xml:space="preserve"> </w:t>
      </w:r>
      <w:r w:rsidR="0015408A">
        <w:rPr>
          <w:rFonts w:asciiTheme="majorHAnsi" w:hAnsiTheme="majorHAnsi" w:cs="Times New Roman"/>
          <w:sz w:val="24"/>
          <w:szCs w:val="24"/>
          <w:lang w:val="ro-RO"/>
        </w:rPr>
        <w:t>este</w:t>
      </w:r>
      <w:r w:rsidR="00B75075" w:rsidRPr="00EC24E6">
        <w:rPr>
          <w:rFonts w:asciiTheme="majorHAnsi" w:hAnsiTheme="majorHAnsi" w:cs="Times New Roman"/>
          <w:sz w:val="24"/>
          <w:szCs w:val="24"/>
          <w:lang w:val="ro-RO"/>
        </w:rPr>
        <w:t xml:space="preserve"> neces</w:t>
      </w:r>
      <w:r w:rsidR="0015408A">
        <w:rPr>
          <w:rFonts w:asciiTheme="majorHAnsi" w:hAnsiTheme="majorHAnsi" w:cs="Times New Roman"/>
          <w:sz w:val="24"/>
          <w:szCs w:val="24"/>
          <w:lang w:val="ro-RO"/>
        </w:rPr>
        <w:t>ar</w:t>
      </w:r>
      <w:r w:rsidR="00B75075" w:rsidRPr="00EC24E6">
        <w:rPr>
          <w:rFonts w:asciiTheme="majorHAnsi" w:hAnsiTheme="majorHAnsi" w:cs="Times New Roman"/>
          <w:sz w:val="24"/>
          <w:szCs w:val="24"/>
          <w:lang w:val="ro-RO"/>
        </w:rPr>
        <w:t xml:space="preserve">ă monitorizarea beneficiarilor recreditați și garantați în </w:t>
      </w:r>
      <w:r w:rsidR="0015408A">
        <w:rPr>
          <w:rFonts w:asciiTheme="majorHAnsi" w:hAnsiTheme="majorHAnsi" w:cs="Times New Roman"/>
          <w:sz w:val="24"/>
          <w:szCs w:val="24"/>
          <w:lang w:val="ro-RO"/>
        </w:rPr>
        <w:t xml:space="preserve">aspectul </w:t>
      </w:r>
      <w:r w:rsidR="00B75075" w:rsidRPr="00EC24E6">
        <w:rPr>
          <w:rFonts w:asciiTheme="majorHAnsi" w:hAnsiTheme="majorHAnsi" w:cs="Times New Roman"/>
          <w:sz w:val="24"/>
          <w:szCs w:val="24"/>
          <w:lang w:val="ro-RO"/>
        </w:rPr>
        <w:t>respectării obligațiunilor.</w:t>
      </w:r>
    </w:p>
    <w:p w:rsidR="00536DA4" w:rsidRPr="009F3DC5" w:rsidRDefault="002E65F3" w:rsidP="009F3DC5">
      <w:pPr>
        <w:spacing w:line="276" w:lineRule="auto"/>
        <w:ind w:firstLine="720"/>
        <w:jc w:val="both"/>
        <w:rPr>
          <w:rFonts w:asciiTheme="majorHAnsi" w:hAnsiTheme="majorHAnsi" w:cstheme="majorHAnsi"/>
          <w:sz w:val="24"/>
          <w:szCs w:val="24"/>
          <w:lang w:val="ro-RO"/>
        </w:rPr>
      </w:pPr>
      <w:r w:rsidRPr="00AF69FE">
        <w:rPr>
          <w:rFonts w:asciiTheme="majorHAnsi" w:hAnsiTheme="majorHAnsi" w:cstheme="majorHAnsi"/>
          <w:sz w:val="24"/>
          <w:szCs w:val="24"/>
          <w:lang w:val="ro-RO"/>
        </w:rPr>
        <w:t xml:space="preserve">Astfel, în rezultatul activităților de audit, </w:t>
      </w:r>
      <w:r w:rsidR="00B466D4" w:rsidRPr="0065384A">
        <w:rPr>
          <w:rFonts w:asciiTheme="majorHAnsi" w:hAnsiTheme="majorHAnsi" w:cs="Times New Roman"/>
          <w:sz w:val="24"/>
          <w:szCs w:val="24"/>
          <w:lang w:val="ro-RO"/>
        </w:rPr>
        <w:t xml:space="preserve">Curtea de Conturi </w:t>
      </w:r>
      <w:r w:rsidR="00BA6E1C" w:rsidRPr="00C8031D">
        <w:rPr>
          <w:rFonts w:asciiTheme="majorHAnsi" w:hAnsiTheme="majorHAnsi" w:cs="Times New Roman"/>
          <w:sz w:val="24"/>
          <w:szCs w:val="24"/>
          <w:lang w:val="ro-RO"/>
        </w:rPr>
        <w:t>denotă</w:t>
      </w:r>
      <w:r w:rsidR="00B466D4" w:rsidRPr="00BA6E1C">
        <w:rPr>
          <w:rFonts w:asciiTheme="majorHAnsi" w:hAnsiTheme="majorHAnsi" w:cs="Times New Roman"/>
          <w:sz w:val="24"/>
          <w:szCs w:val="24"/>
          <w:lang w:val="ro-RO"/>
        </w:rPr>
        <w:t xml:space="preserve"> </w:t>
      </w:r>
      <w:r w:rsidRPr="00BA6E1C">
        <w:rPr>
          <w:rFonts w:asciiTheme="majorHAnsi" w:hAnsiTheme="majorHAnsi" w:cstheme="majorHAnsi"/>
          <w:sz w:val="24"/>
          <w:szCs w:val="24"/>
          <w:lang w:val="ro-RO"/>
        </w:rPr>
        <w:t>necesitatea</w:t>
      </w:r>
      <w:r w:rsidRPr="00AF69FE">
        <w:rPr>
          <w:rFonts w:asciiTheme="majorHAnsi" w:hAnsiTheme="majorHAnsi" w:cstheme="majorHAnsi"/>
          <w:sz w:val="24"/>
          <w:szCs w:val="24"/>
          <w:lang w:val="ro-RO"/>
        </w:rPr>
        <w:t xml:space="preserve"> consolidării datoriei de stat, prin dezvoltarea managementului de supraveghere și monitorizare a portofoliului datoriei, riscurilor de sustenabilitate și vulnerabilitate, în scopul evitării riscurilor financiare adiționale pentru bugetul de stat.</w:t>
      </w:r>
      <w:r>
        <w:rPr>
          <w:rFonts w:asciiTheme="majorHAnsi" w:hAnsiTheme="majorHAnsi" w:cstheme="majorHAnsi"/>
          <w:sz w:val="24"/>
          <w:szCs w:val="24"/>
          <w:lang w:val="ro-RO"/>
        </w:rPr>
        <w:t xml:space="preserve"> </w:t>
      </w:r>
    </w:p>
    <w:p w:rsidR="00C035B8" w:rsidRPr="000C78F9" w:rsidRDefault="00C035B8" w:rsidP="00F809A6">
      <w:pPr>
        <w:shd w:val="clear" w:color="auto" w:fill="FFFFFF"/>
        <w:spacing w:after="0" w:line="276" w:lineRule="auto"/>
        <w:ind w:firstLine="720"/>
        <w:jc w:val="both"/>
        <w:rPr>
          <w:rFonts w:asciiTheme="majorHAnsi" w:hAnsiTheme="majorHAnsi" w:cs="Times New Roman"/>
          <w:sz w:val="24"/>
          <w:szCs w:val="24"/>
          <w:lang w:val="ro-RO"/>
        </w:rPr>
      </w:pPr>
      <w:r w:rsidRPr="000C78F9">
        <w:rPr>
          <w:rFonts w:asciiTheme="majorHAnsi" w:hAnsiTheme="majorHAnsi" w:cs="Times New Roman"/>
          <w:sz w:val="24"/>
          <w:szCs w:val="24"/>
          <w:lang w:val="ro-RO"/>
        </w:rPr>
        <w:t xml:space="preserve">Reieșind din cele expuse, în temeiul art.14 alin.(2) și art.15 lit. d) din Legea nr.260 din 07.12.2017, Curtea de Conturi </w:t>
      </w:r>
    </w:p>
    <w:p w:rsidR="00F42011" w:rsidRPr="000C78F9" w:rsidRDefault="00F42011" w:rsidP="00F809A6">
      <w:pPr>
        <w:spacing w:before="240" w:line="276" w:lineRule="auto"/>
        <w:jc w:val="center"/>
        <w:rPr>
          <w:rFonts w:asciiTheme="majorHAnsi" w:eastAsia="Times New Roman" w:hAnsiTheme="majorHAnsi" w:cs="Times New Roman"/>
          <w:b/>
          <w:bCs/>
          <w:sz w:val="24"/>
          <w:szCs w:val="24"/>
          <w:lang w:val="ro-RO"/>
        </w:rPr>
      </w:pPr>
      <w:r w:rsidRPr="000C78F9">
        <w:rPr>
          <w:rFonts w:asciiTheme="majorHAnsi" w:eastAsia="Times New Roman" w:hAnsiTheme="majorHAnsi" w:cs="Times New Roman"/>
          <w:b/>
          <w:bCs/>
          <w:sz w:val="24"/>
          <w:szCs w:val="24"/>
          <w:lang w:val="ro-RO"/>
        </w:rPr>
        <w:t>HOTĂRĂŞTE:</w:t>
      </w:r>
    </w:p>
    <w:p w:rsidR="00F42011" w:rsidRPr="000C78F9" w:rsidRDefault="00F42011" w:rsidP="00F809A6">
      <w:pPr>
        <w:pStyle w:val="a8"/>
        <w:numPr>
          <w:ilvl w:val="0"/>
          <w:numId w:val="1"/>
        </w:numPr>
        <w:spacing w:before="240" w:after="160" w:line="276" w:lineRule="auto"/>
        <w:ind w:left="0" w:firstLine="360"/>
        <w:jc w:val="both"/>
        <w:rPr>
          <w:rFonts w:asciiTheme="majorHAnsi" w:eastAsia="Times New Roman" w:hAnsiTheme="majorHAnsi" w:cs="Times New Roman"/>
          <w:sz w:val="24"/>
          <w:szCs w:val="24"/>
          <w:lang w:val="ro-RO"/>
        </w:rPr>
      </w:pPr>
      <w:r w:rsidRPr="000C78F9">
        <w:rPr>
          <w:rFonts w:asciiTheme="majorHAnsi" w:eastAsia="Times New Roman" w:hAnsiTheme="majorHAnsi" w:cs="Times New Roman"/>
          <w:sz w:val="24"/>
          <w:szCs w:val="24"/>
          <w:lang w:val="ro-RO"/>
        </w:rPr>
        <w:t xml:space="preserve">Se aprobă </w:t>
      </w:r>
      <w:r w:rsidR="003025BF" w:rsidRPr="000C78F9">
        <w:rPr>
          <w:rFonts w:asciiTheme="majorHAnsi" w:eastAsia="Times New Roman" w:hAnsiTheme="majorHAnsi" w:cs="Times New Roman"/>
          <w:bCs/>
          <w:sz w:val="24"/>
          <w:szCs w:val="24"/>
          <w:lang w:val="ro-RO"/>
        </w:rPr>
        <w:t>Raportul</w:t>
      </w:r>
      <w:r w:rsidR="00717BA7" w:rsidRPr="000C78F9">
        <w:rPr>
          <w:rFonts w:asciiTheme="majorHAnsi" w:eastAsia="Times New Roman" w:hAnsiTheme="majorHAnsi" w:cs="Times New Roman"/>
          <w:b/>
          <w:bCs/>
          <w:sz w:val="24"/>
          <w:szCs w:val="24"/>
          <w:lang w:val="ro-RO"/>
        </w:rPr>
        <w:t xml:space="preserve"> </w:t>
      </w:r>
      <w:r w:rsidR="00717BA7" w:rsidRPr="000C78F9">
        <w:rPr>
          <w:rFonts w:asciiTheme="majorHAnsi" w:eastAsia="Times New Roman" w:hAnsiTheme="majorHAnsi" w:cs="Times New Roman"/>
          <w:bCs/>
          <w:sz w:val="24"/>
          <w:szCs w:val="24"/>
          <w:lang w:val="ro-RO"/>
        </w:rPr>
        <w:t xml:space="preserve">auditului </w:t>
      </w:r>
      <w:r w:rsidR="003025BF" w:rsidRPr="000C78F9">
        <w:rPr>
          <w:rFonts w:asciiTheme="majorHAnsi" w:eastAsia="Times New Roman" w:hAnsiTheme="majorHAnsi" w:cs="Times New Roman"/>
          <w:bCs/>
          <w:sz w:val="24"/>
          <w:szCs w:val="24"/>
          <w:lang w:val="ro-RO"/>
        </w:rPr>
        <w:t>performanței</w:t>
      </w:r>
      <w:r w:rsidR="00717BA7" w:rsidRPr="000C78F9">
        <w:rPr>
          <w:rFonts w:asciiTheme="majorHAnsi" w:eastAsia="Times New Roman" w:hAnsiTheme="majorHAnsi" w:cs="Times New Roman"/>
          <w:bCs/>
          <w:sz w:val="24"/>
          <w:szCs w:val="24"/>
          <w:lang w:val="ro-RO"/>
        </w:rPr>
        <w:t xml:space="preserve"> managementului </w:t>
      </w:r>
      <w:r w:rsidR="009E2C75" w:rsidRPr="000C78F9">
        <w:rPr>
          <w:rFonts w:asciiTheme="majorHAnsi" w:eastAsia="Times New Roman" w:hAnsiTheme="majorHAnsi" w:cs="Times New Roman"/>
          <w:bCs/>
          <w:sz w:val="24"/>
          <w:szCs w:val="24"/>
          <w:lang w:val="ro-RO"/>
        </w:rPr>
        <w:t xml:space="preserve">datoriei </w:t>
      </w:r>
      <w:r w:rsidR="009E2C75" w:rsidRPr="000C78F9">
        <w:rPr>
          <w:rFonts w:asciiTheme="majorHAnsi" w:eastAsia="Times New Roman" w:hAnsiTheme="majorHAnsi" w:cs="Times New Roman"/>
          <w:bCs/>
          <w:sz w:val="24"/>
          <w:szCs w:val="24"/>
          <w:lang w:val="ro-MD"/>
        </w:rPr>
        <w:t>de stat, garanțiilor de stat și recreditării de stat</w:t>
      </w:r>
      <w:r w:rsidR="009E2C75" w:rsidRPr="000C78F9">
        <w:rPr>
          <w:rFonts w:asciiTheme="majorHAnsi" w:eastAsia="Times New Roman" w:hAnsiTheme="majorHAnsi" w:cs="Times New Roman"/>
          <w:bCs/>
          <w:sz w:val="24"/>
          <w:szCs w:val="24"/>
          <w:lang w:val="ro-RO"/>
        </w:rPr>
        <w:t xml:space="preserve"> </w:t>
      </w:r>
      <w:r w:rsidR="007A5A2F" w:rsidRPr="000C78F9">
        <w:rPr>
          <w:rFonts w:asciiTheme="majorHAnsi" w:eastAsia="Times New Roman" w:hAnsiTheme="majorHAnsi" w:cs="Times New Roman"/>
          <w:bCs/>
          <w:sz w:val="24"/>
          <w:szCs w:val="24"/>
          <w:lang w:val="ro-RO"/>
        </w:rPr>
        <w:t>pe anul 2018</w:t>
      </w:r>
      <w:r w:rsidRPr="000C78F9">
        <w:rPr>
          <w:rFonts w:asciiTheme="majorHAnsi" w:eastAsia="Times New Roman" w:hAnsiTheme="majorHAnsi" w:cs="Times New Roman"/>
          <w:bCs/>
          <w:sz w:val="24"/>
          <w:szCs w:val="24"/>
          <w:lang w:val="ro-RO"/>
        </w:rPr>
        <w:t xml:space="preserve">, </w:t>
      </w:r>
      <w:r w:rsidRPr="000C78F9">
        <w:rPr>
          <w:rFonts w:asciiTheme="majorHAnsi" w:eastAsia="Times New Roman" w:hAnsiTheme="majorHAnsi" w:cs="Times New Roman"/>
          <w:sz w:val="24"/>
          <w:szCs w:val="24"/>
          <w:lang w:val="ro-RO"/>
        </w:rPr>
        <w:t xml:space="preserve">care </w:t>
      </w:r>
      <w:r w:rsidR="00717BA7" w:rsidRPr="000C78F9">
        <w:rPr>
          <w:rFonts w:asciiTheme="majorHAnsi" w:eastAsia="Times New Roman" w:hAnsiTheme="majorHAnsi" w:cs="Times New Roman"/>
          <w:sz w:val="24"/>
          <w:szCs w:val="24"/>
          <w:lang w:val="ro-RO"/>
        </w:rPr>
        <w:t>este</w:t>
      </w:r>
      <w:r w:rsidRPr="000C78F9">
        <w:rPr>
          <w:rFonts w:asciiTheme="majorHAnsi" w:eastAsia="Times New Roman" w:hAnsiTheme="majorHAnsi" w:cs="Times New Roman"/>
          <w:sz w:val="24"/>
          <w:szCs w:val="24"/>
          <w:lang w:val="ro-RO"/>
        </w:rPr>
        <w:t xml:space="preserve"> p</w:t>
      </w:r>
      <w:r w:rsidR="00717BA7" w:rsidRPr="000C78F9">
        <w:rPr>
          <w:rFonts w:asciiTheme="majorHAnsi" w:eastAsia="Times New Roman" w:hAnsiTheme="majorHAnsi" w:cs="Times New Roman"/>
          <w:sz w:val="24"/>
          <w:szCs w:val="24"/>
          <w:lang w:val="ro-RO"/>
        </w:rPr>
        <w:t>arte</w:t>
      </w:r>
      <w:r w:rsidRPr="000C78F9">
        <w:rPr>
          <w:rFonts w:asciiTheme="majorHAnsi" w:eastAsia="Times New Roman" w:hAnsiTheme="majorHAnsi" w:cs="Times New Roman"/>
          <w:sz w:val="24"/>
          <w:szCs w:val="24"/>
          <w:lang w:val="ro-RO"/>
        </w:rPr>
        <w:t xml:space="preserve"> component</w:t>
      </w:r>
      <w:r w:rsidR="00717BA7" w:rsidRPr="000C78F9">
        <w:rPr>
          <w:rFonts w:asciiTheme="majorHAnsi" w:eastAsia="Times New Roman" w:hAnsiTheme="majorHAnsi" w:cs="Times New Roman"/>
          <w:sz w:val="24"/>
          <w:szCs w:val="24"/>
          <w:lang w:val="ro-RO"/>
        </w:rPr>
        <w:t>ă</w:t>
      </w:r>
      <w:r w:rsidRPr="000C78F9">
        <w:rPr>
          <w:rFonts w:asciiTheme="majorHAnsi" w:eastAsia="Times New Roman" w:hAnsiTheme="majorHAnsi" w:cs="Times New Roman"/>
          <w:sz w:val="24"/>
          <w:szCs w:val="24"/>
          <w:lang w:val="ro-RO"/>
        </w:rPr>
        <w:t xml:space="preserve"> a prezentei Hotărâri.</w:t>
      </w:r>
    </w:p>
    <w:p w:rsidR="0077612F" w:rsidRPr="000C78F9" w:rsidRDefault="0077612F" w:rsidP="00F809A6">
      <w:pPr>
        <w:pStyle w:val="a8"/>
        <w:spacing w:before="240" w:after="160" w:line="276" w:lineRule="auto"/>
        <w:ind w:left="360"/>
        <w:jc w:val="both"/>
        <w:rPr>
          <w:rFonts w:asciiTheme="majorHAnsi" w:eastAsia="Times New Roman" w:hAnsiTheme="majorHAnsi" w:cs="Times New Roman"/>
          <w:sz w:val="24"/>
          <w:szCs w:val="24"/>
          <w:lang w:val="ro-RO"/>
        </w:rPr>
      </w:pPr>
    </w:p>
    <w:p w:rsidR="00F42011" w:rsidRPr="000C78F9" w:rsidRDefault="00F42011" w:rsidP="00F809A6">
      <w:pPr>
        <w:pStyle w:val="a8"/>
        <w:numPr>
          <w:ilvl w:val="0"/>
          <w:numId w:val="1"/>
        </w:numPr>
        <w:spacing w:before="240" w:after="0" w:line="276" w:lineRule="auto"/>
        <w:ind w:left="0" w:firstLine="360"/>
        <w:jc w:val="both"/>
        <w:rPr>
          <w:rFonts w:asciiTheme="majorHAnsi" w:hAnsiTheme="majorHAnsi" w:cs="Times New Roman"/>
          <w:sz w:val="24"/>
          <w:szCs w:val="24"/>
          <w:lang w:val="ro-RO"/>
        </w:rPr>
      </w:pPr>
      <w:r w:rsidRPr="000C78F9">
        <w:rPr>
          <w:rFonts w:asciiTheme="majorHAnsi" w:hAnsiTheme="majorHAnsi" w:cs="Times New Roman"/>
          <w:sz w:val="24"/>
          <w:szCs w:val="24"/>
          <w:lang w:val="ro-RO"/>
        </w:rPr>
        <w:t>Prezenta Hotărâre și Rapo</w:t>
      </w:r>
      <w:r w:rsidR="00214DB9" w:rsidRPr="000C78F9">
        <w:rPr>
          <w:rFonts w:asciiTheme="majorHAnsi" w:hAnsiTheme="majorHAnsi" w:cs="Times New Roman"/>
          <w:sz w:val="24"/>
          <w:szCs w:val="24"/>
          <w:lang w:val="ro-RO"/>
        </w:rPr>
        <w:t>rtul</w:t>
      </w:r>
      <w:r w:rsidRPr="000C78F9">
        <w:rPr>
          <w:rFonts w:asciiTheme="majorHAnsi" w:hAnsiTheme="majorHAnsi" w:cs="Times New Roman"/>
          <w:sz w:val="24"/>
          <w:szCs w:val="24"/>
          <w:lang w:val="ro-RO"/>
        </w:rPr>
        <w:t xml:space="preserve"> de audit se remit:</w:t>
      </w:r>
    </w:p>
    <w:p w:rsidR="00F42011" w:rsidRPr="000C78F9" w:rsidRDefault="00F42011" w:rsidP="00F809A6">
      <w:pPr>
        <w:spacing w:before="240" w:after="0" w:line="276" w:lineRule="auto"/>
        <w:ind w:left="360"/>
        <w:jc w:val="both"/>
        <w:rPr>
          <w:rFonts w:asciiTheme="majorHAnsi" w:hAnsiTheme="majorHAnsi" w:cs="Times New Roman"/>
          <w:sz w:val="24"/>
          <w:szCs w:val="24"/>
          <w:lang w:val="ro-RO"/>
        </w:rPr>
      </w:pPr>
      <w:r w:rsidRPr="000C78F9">
        <w:rPr>
          <w:rFonts w:asciiTheme="majorHAnsi" w:hAnsiTheme="majorHAnsi" w:cs="Times New Roman"/>
          <w:b/>
          <w:sz w:val="24"/>
          <w:szCs w:val="24"/>
          <w:lang w:val="ro-RO"/>
        </w:rPr>
        <w:t>2.1. Ministerului Finanțelor</w:t>
      </w:r>
      <w:r w:rsidRPr="000C78F9">
        <w:rPr>
          <w:rFonts w:asciiTheme="majorHAnsi" w:hAnsiTheme="majorHAnsi" w:cs="Times New Roman"/>
          <w:sz w:val="24"/>
          <w:szCs w:val="24"/>
          <w:lang w:val="ro-RO"/>
        </w:rPr>
        <w:t>:</w:t>
      </w:r>
    </w:p>
    <w:p w:rsidR="00CC72F5" w:rsidRPr="000C78F9" w:rsidRDefault="00F42011" w:rsidP="00F809A6">
      <w:pPr>
        <w:spacing w:before="240" w:after="0" w:line="276" w:lineRule="auto"/>
        <w:ind w:firstLine="360"/>
        <w:jc w:val="both"/>
        <w:rPr>
          <w:rFonts w:asciiTheme="majorHAnsi" w:hAnsiTheme="majorHAnsi" w:cs="Times New Roman"/>
          <w:sz w:val="24"/>
          <w:szCs w:val="24"/>
          <w:lang w:val="ro-RO"/>
        </w:rPr>
      </w:pPr>
      <w:r w:rsidRPr="000C78F9">
        <w:rPr>
          <w:rFonts w:asciiTheme="majorHAnsi" w:hAnsiTheme="majorHAnsi" w:cs="Times New Roman"/>
          <w:b/>
          <w:sz w:val="24"/>
          <w:szCs w:val="24"/>
          <w:lang w:val="ro-RO"/>
        </w:rPr>
        <w:t>2.1.1.</w:t>
      </w:r>
      <w:r w:rsidRPr="000C78F9">
        <w:rPr>
          <w:rFonts w:asciiTheme="majorHAnsi" w:hAnsiTheme="majorHAnsi" w:cs="Times New Roman"/>
          <w:sz w:val="24"/>
          <w:szCs w:val="24"/>
          <w:lang w:val="ro-RO"/>
        </w:rPr>
        <w:t xml:space="preserve"> </w:t>
      </w:r>
      <w:r w:rsidR="00BA6E1C">
        <w:rPr>
          <w:rFonts w:asciiTheme="majorHAnsi" w:hAnsiTheme="majorHAnsi" w:cs="Times New Roman"/>
          <w:sz w:val="24"/>
          <w:szCs w:val="24"/>
          <w:lang w:val="ro-RO"/>
        </w:rPr>
        <w:t>pentru</w:t>
      </w:r>
      <w:r w:rsidR="00BA6E1C" w:rsidRPr="000C78F9">
        <w:rPr>
          <w:rFonts w:asciiTheme="majorHAnsi" w:hAnsiTheme="majorHAnsi" w:cs="Times New Roman"/>
          <w:bCs/>
          <w:iCs/>
          <w:sz w:val="24"/>
          <w:szCs w:val="24"/>
          <w:lang w:val="ro-RO"/>
        </w:rPr>
        <w:t xml:space="preserve"> </w:t>
      </w:r>
      <w:r w:rsidRPr="000C78F9">
        <w:rPr>
          <w:rFonts w:asciiTheme="majorHAnsi" w:hAnsiTheme="majorHAnsi" w:cs="Times New Roman"/>
          <w:bCs/>
          <w:iCs/>
          <w:sz w:val="24"/>
          <w:szCs w:val="24"/>
          <w:lang w:val="ro-RO"/>
        </w:rPr>
        <w:t>examinarea rezultatelor auditu</w:t>
      </w:r>
      <w:r w:rsidR="00214DB9" w:rsidRPr="000C78F9">
        <w:rPr>
          <w:rFonts w:asciiTheme="majorHAnsi" w:hAnsiTheme="majorHAnsi" w:cs="Times New Roman"/>
          <w:bCs/>
          <w:iCs/>
          <w:sz w:val="24"/>
          <w:szCs w:val="24"/>
          <w:lang w:val="ro-RO"/>
        </w:rPr>
        <w:t xml:space="preserve">lui </w:t>
      </w:r>
      <w:r w:rsidR="003025BF" w:rsidRPr="000C78F9">
        <w:rPr>
          <w:rFonts w:asciiTheme="majorHAnsi" w:eastAsia="Times New Roman" w:hAnsiTheme="majorHAnsi" w:cs="Times New Roman"/>
          <w:bCs/>
          <w:sz w:val="24"/>
          <w:szCs w:val="24"/>
          <w:lang w:val="ro-RO"/>
        </w:rPr>
        <w:t>performanței</w:t>
      </w:r>
      <w:r w:rsidR="00214DB9" w:rsidRPr="000C78F9">
        <w:rPr>
          <w:rFonts w:asciiTheme="majorHAnsi" w:eastAsia="Times New Roman" w:hAnsiTheme="majorHAnsi" w:cs="Times New Roman"/>
          <w:bCs/>
          <w:sz w:val="24"/>
          <w:szCs w:val="24"/>
          <w:lang w:val="ro-RO"/>
        </w:rPr>
        <w:t xml:space="preserve"> managementului </w:t>
      </w:r>
      <w:r w:rsidR="009E2C75" w:rsidRPr="000C78F9">
        <w:rPr>
          <w:rFonts w:asciiTheme="majorHAnsi" w:eastAsia="Times New Roman" w:hAnsiTheme="majorHAnsi" w:cs="Times New Roman"/>
          <w:bCs/>
          <w:sz w:val="24"/>
          <w:szCs w:val="24"/>
          <w:lang w:val="ro-RO"/>
        </w:rPr>
        <w:t xml:space="preserve">datoriei </w:t>
      </w:r>
      <w:r w:rsidR="009E2C75" w:rsidRPr="000C78F9">
        <w:rPr>
          <w:rFonts w:asciiTheme="majorHAnsi" w:eastAsia="Times New Roman" w:hAnsiTheme="majorHAnsi" w:cs="Times New Roman"/>
          <w:bCs/>
          <w:sz w:val="24"/>
          <w:szCs w:val="24"/>
          <w:lang w:val="ro-MD"/>
        </w:rPr>
        <w:t>de stat, garanțiilor de stat și recreditării de stat</w:t>
      </w:r>
      <w:r w:rsidR="009E2C75" w:rsidRPr="000C78F9">
        <w:rPr>
          <w:rFonts w:asciiTheme="majorHAnsi" w:eastAsia="Times New Roman" w:hAnsiTheme="majorHAnsi" w:cs="Times New Roman"/>
          <w:bCs/>
          <w:sz w:val="24"/>
          <w:szCs w:val="24"/>
          <w:lang w:val="ro-RO"/>
        </w:rPr>
        <w:t xml:space="preserve"> pe </w:t>
      </w:r>
      <w:r w:rsidR="0033169C" w:rsidRPr="000C78F9">
        <w:rPr>
          <w:rFonts w:asciiTheme="majorHAnsi" w:eastAsia="Times New Roman" w:hAnsiTheme="majorHAnsi" w:cs="Times New Roman"/>
          <w:bCs/>
          <w:sz w:val="24"/>
          <w:szCs w:val="24"/>
          <w:lang w:val="ro-RO"/>
        </w:rPr>
        <w:t>anul 2018</w:t>
      </w:r>
      <w:r w:rsidRPr="000C78F9">
        <w:rPr>
          <w:rFonts w:asciiTheme="majorHAnsi" w:hAnsiTheme="majorHAnsi" w:cs="Times New Roman"/>
          <w:bCs/>
          <w:iCs/>
          <w:sz w:val="24"/>
          <w:szCs w:val="24"/>
          <w:lang w:val="ro-RO"/>
        </w:rPr>
        <w:t xml:space="preserve">, cu </w:t>
      </w:r>
      <w:r w:rsidRPr="000C78F9">
        <w:rPr>
          <w:rFonts w:asciiTheme="majorHAnsi" w:hAnsiTheme="majorHAnsi" w:cs="Times New Roman"/>
          <w:sz w:val="24"/>
          <w:szCs w:val="24"/>
          <w:lang w:val="ro-RO"/>
        </w:rPr>
        <w:t xml:space="preserve">aprobarea unui plan de măsuri de remediere a </w:t>
      </w:r>
      <w:r w:rsidR="00CC72F5" w:rsidRPr="000C78F9">
        <w:rPr>
          <w:rFonts w:asciiTheme="majorHAnsi" w:hAnsiTheme="majorHAnsi" w:cs="Times New Roman"/>
          <w:sz w:val="24"/>
          <w:szCs w:val="24"/>
          <w:lang w:val="ro-RO"/>
        </w:rPr>
        <w:t xml:space="preserve">situațiilor constatate și </w:t>
      </w:r>
      <w:r w:rsidR="00040A66" w:rsidRPr="000C78F9">
        <w:rPr>
          <w:rFonts w:asciiTheme="majorHAnsi" w:hAnsiTheme="majorHAnsi" w:cs="Times New Roman"/>
          <w:sz w:val="24"/>
          <w:szCs w:val="24"/>
          <w:lang w:val="ro-RO"/>
        </w:rPr>
        <w:t xml:space="preserve">de implementare </w:t>
      </w:r>
      <w:r w:rsidR="00CC72F5" w:rsidRPr="000C78F9">
        <w:rPr>
          <w:rFonts w:asciiTheme="majorHAnsi" w:hAnsiTheme="majorHAnsi" w:cs="Times New Roman"/>
          <w:sz w:val="24"/>
          <w:szCs w:val="24"/>
          <w:lang w:val="ro-RO"/>
        </w:rPr>
        <w:t>a</w:t>
      </w:r>
      <w:r w:rsidRPr="000C78F9">
        <w:rPr>
          <w:rFonts w:asciiTheme="majorHAnsi" w:hAnsiTheme="majorHAnsi" w:cs="Times New Roman"/>
          <w:sz w:val="24"/>
          <w:szCs w:val="24"/>
          <w:lang w:val="ro-RO"/>
        </w:rPr>
        <w:t xml:space="preserve"> recomandăril</w:t>
      </w:r>
      <w:r w:rsidR="00CC72F5" w:rsidRPr="000C78F9">
        <w:rPr>
          <w:rFonts w:asciiTheme="majorHAnsi" w:hAnsiTheme="majorHAnsi" w:cs="Times New Roman"/>
          <w:sz w:val="24"/>
          <w:szCs w:val="24"/>
          <w:lang w:val="ro-RO"/>
        </w:rPr>
        <w:t>or</w:t>
      </w:r>
      <w:r w:rsidRPr="000C78F9">
        <w:rPr>
          <w:rFonts w:asciiTheme="majorHAnsi" w:hAnsiTheme="majorHAnsi" w:cs="Times New Roman"/>
          <w:sz w:val="24"/>
          <w:szCs w:val="24"/>
          <w:lang w:val="ro-RO"/>
        </w:rPr>
        <w:t xml:space="preserve"> cuprinse în Raport</w:t>
      </w:r>
      <w:r w:rsidR="00040A66" w:rsidRPr="000C78F9">
        <w:rPr>
          <w:rFonts w:asciiTheme="majorHAnsi" w:hAnsiTheme="majorHAnsi" w:cs="Times New Roman"/>
          <w:sz w:val="24"/>
          <w:szCs w:val="24"/>
          <w:lang w:val="ro-RO"/>
        </w:rPr>
        <w:t>ul de audit</w:t>
      </w:r>
      <w:r w:rsidRPr="000C78F9">
        <w:rPr>
          <w:rFonts w:asciiTheme="majorHAnsi" w:hAnsiTheme="majorHAnsi" w:cs="Times New Roman"/>
          <w:sz w:val="24"/>
          <w:szCs w:val="24"/>
          <w:lang w:val="ro-RO"/>
        </w:rPr>
        <w:t>;</w:t>
      </w:r>
    </w:p>
    <w:p w:rsidR="00CC72F5" w:rsidRPr="00800D73" w:rsidRDefault="00CC72F5" w:rsidP="00800D73">
      <w:pPr>
        <w:ind w:firstLine="360"/>
        <w:jc w:val="both"/>
        <w:rPr>
          <w:rFonts w:asciiTheme="majorHAnsi" w:hAnsiTheme="majorHAnsi" w:cstheme="majorHAnsi"/>
          <w:sz w:val="24"/>
          <w:szCs w:val="24"/>
        </w:rPr>
      </w:pPr>
      <w:r w:rsidRPr="00800D73">
        <w:rPr>
          <w:rFonts w:asciiTheme="majorHAnsi" w:hAnsiTheme="majorHAnsi" w:cs="Times New Roman"/>
          <w:b/>
          <w:sz w:val="24"/>
          <w:szCs w:val="24"/>
          <w:lang w:val="ro-RO"/>
        </w:rPr>
        <w:lastRenderedPageBreak/>
        <w:t>2.1.2.</w:t>
      </w:r>
      <w:r w:rsidRPr="00800D73">
        <w:rPr>
          <w:rFonts w:asciiTheme="majorHAnsi" w:hAnsiTheme="majorHAnsi" w:cs="Times New Roman"/>
          <w:sz w:val="24"/>
          <w:szCs w:val="24"/>
          <w:lang w:val="ro-RO"/>
        </w:rPr>
        <w:t xml:space="preserve"> </w:t>
      </w:r>
      <w:r w:rsidR="00040A66" w:rsidRPr="00800D73">
        <w:rPr>
          <w:rFonts w:asciiTheme="majorHAnsi" w:hAnsiTheme="majorHAnsi" w:cs="Times New Roman"/>
          <w:b/>
          <w:sz w:val="24"/>
          <w:szCs w:val="24"/>
          <w:lang w:val="ro-RO"/>
        </w:rPr>
        <w:t>în</w:t>
      </w:r>
      <w:r w:rsidRPr="00800D73">
        <w:rPr>
          <w:rFonts w:asciiTheme="majorHAnsi" w:hAnsiTheme="majorHAnsi" w:cs="Times New Roman"/>
          <w:b/>
          <w:sz w:val="24"/>
          <w:szCs w:val="24"/>
          <w:lang w:val="ro-RO"/>
        </w:rPr>
        <w:t xml:space="preserve"> comun cu </w:t>
      </w:r>
      <w:r w:rsidRPr="00800D73">
        <w:rPr>
          <w:rFonts w:asciiTheme="majorHAnsi" w:hAnsiTheme="majorHAnsi" w:cs="Times New Roman"/>
          <w:b/>
          <w:sz w:val="24"/>
          <w:szCs w:val="24"/>
          <w:shd w:val="clear" w:color="auto" w:fill="FFFFFF"/>
          <w:lang w:val="ro-RO"/>
        </w:rPr>
        <w:t>Serviciul Fiscal de Stat</w:t>
      </w:r>
      <w:r w:rsidRPr="00800D73">
        <w:rPr>
          <w:rStyle w:val="a5"/>
          <w:rFonts w:asciiTheme="majorHAnsi" w:hAnsiTheme="majorHAnsi" w:cs="Times New Roman"/>
          <w:b w:val="0"/>
          <w:sz w:val="24"/>
          <w:szCs w:val="24"/>
          <w:shd w:val="clear" w:color="auto" w:fill="FFFFFF" w:themeFill="background1"/>
          <w:lang w:val="ro-RO"/>
        </w:rPr>
        <w:t xml:space="preserve">, </w:t>
      </w:r>
      <w:r w:rsidR="00BA6E1C">
        <w:rPr>
          <w:rFonts w:asciiTheme="majorHAnsi" w:hAnsiTheme="majorHAnsi" w:cstheme="majorHAnsi"/>
          <w:sz w:val="24"/>
          <w:szCs w:val="24"/>
          <w:lang w:val="ro-RO"/>
        </w:rPr>
        <w:t>pentru</w:t>
      </w:r>
      <w:r w:rsidR="00124DF5" w:rsidRPr="00124DF5">
        <w:rPr>
          <w:rFonts w:asciiTheme="majorHAnsi" w:hAnsiTheme="majorHAnsi" w:cstheme="majorHAnsi"/>
          <w:sz w:val="24"/>
          <w:szCs w:val="24"/>
          <w:lang w:val="ro-MD"/>
        </w:rPr>
        <w:t xml:space="preserve"> continu</w:t>
      </w:r>
      <w:r w:rsidR="00BA6E1C">
        <w:rPr>
          <w:rFonts w:asciiTheme="majorHAnsi" w:hAnsiTheme="majorHAnsi" w:cstheme="majorHAnsi"/>
          <w:sz w:val="24"/>
          <w:szCs w:val="24"/>
          <w:lang w:val="ro-MD"/>
        </w:rPr>
        <w:t>area</w:t>
      </w:r>
      <w:r w:rsidR="00124DF5" w:rsidRPr="00124DF5">
        <w:rPr>
          <w:rFonts w:asciiTheme="majorHAnsi" w:hAnsiTheme="majorHAnsi" w:cstheme="majorHAnsi"/>
          <w:sz w:val="24"/>
          <w:szCs w:val="24"/>
          <w:lang w:val="ro-MD"/>
        </w:rPr>
        <w:t xml:space="preserve"> întreprinder</w:t>
      </w:r>
      <w:r w:rsidR="00BA6E1C">
        <w:rPr>
          <w:rFonts w:asciiTheme="majorHAnsi" w:hAnsiTheme="majorHAnsi" w:cstheme="majorHAnsi"/>
          <w:sz w:val="24"/>
          <w:szCs w:val="24"/>
          <w:lang w:val="ro-MD"/>
        </w:rPr>
        <w:t>ii</w:t>
      </w:r>
      <w:r w:rsidR="00124DF5" w:rsidRPr="00124DF5">
        <w:rPr>
          <w:rFonts w:asciiTheme="majorHAnsi" w:hAnsiTheme="majorHAnsi" w:cstheme="majorHAnsi"/>
          <w:sz w:val="24"/>
          <w:szCs w:val="24"/>
          <w:lang w:val="ro-MD"/>
        </w:rPr>
        <w:t xml:space="preserve"> măsurilor în vederea recuperării la bugetul de stat a datoriilor, inclusiv cu termen</w:t>
      </w:r>
      <w:r w:rsidR="00BA6E1C">
        <w:rPr>
          <w:rFonts w:asciiTheme="majorHAnsi" w:hAnsiTheme="majorHAnsi" w:cstheme="majorHAnsi"/>
          <w:sz w:val="24"/>
          <w:szCs w:val="24"/>
          <w:lang w:val="ro-MD"/>
        </w:rPr>
        <w:t>ul</w:t>
      </w:r>
      <w:r w:rsidR="00124DF5" w:rsidRPr="00124DF5">
        <w:rPr>
          <w:rFonts w:asciiTheme="majorHAnsi" w:hAnsiTheme="majorHAnsi" w:cstheme="majorHAnsi"/>
          <w:sz w:val="24"/>
          <w:szCs w:val="24"/>
          <w:lang w:val="ro-MD"/>
        </w:rPr>
        <w:t xml:space="preserve"> de achitare expirat, </w:t>
      </w:r>
      <w:r w:rsidR="00BA6E1C">
        <w:rPr>
          <w:rFonts w:asciiTheme="majorHAnsi" w:hAnsiTheme="majorHAnsi" w:cstheme="majorHAnsi"/>
          <w:sz w:val="24"/>
          <w:szCs w:val="24"/>
          <w:lang w:val="ro-MD"/>
        </w:rPr>
        <w:t xml:space="preserve">la </w:t>
      </w:r>
      <w:r w:rsidR="00124DF5" w:rsidRPr="00124DF5">
        <w:rPr>
          <w:rFonts w:asciiTheme="majorHAnsi" w:hAnsiTheme="majorHAnsi" w:cstheme="majorHAnsi"/>
          <w:sz w:val="24"/>
          <w:szCs w:val="24"/>
          <w:lang w:val="ro-MD"/>
        </w:rPr>
        <w:t xml:space="preserve"> împrumuturile acordate beneficiarilor recreditați și beneficiari</w:t>
      </w:r>
      <w:r w:rsidR="00BA6E1C">
        <w:rPr>
          <w:rFonts w:asciiTheme="majorHAnsi" w:hAnsiTheme="majorHAnsi" w:cstheme="majorHAnsi"/>
          <w:sz w:val="24"/>
          <w:szCs w:val="24"/>
          <w:lang w:val="ro-MD"/>
        </w:rPr>
        <w:t>lor</w:t>
      </w:r>
      <w:r w:rsidR="00124DF5" w:rsidRPr="00124DF5">
        <w:rPr>
          <w:rFonts w:asciiTheme="majorHAnsi" w:hAnsiTheme="majorHAnsi" w:cstheme="majorHAnsi"/>
          <w:sz w:val="24"/>
          <w:szCs w:val="24"/>
          <w:lang w:val="ro-MD"/>
        </w:rPr>
        <w:t xml:space="preserve"> garanțiilor de stat</w:t>
      </w:r>
      <w:r w:rsidR="00BA6E1C">
        <w:rPr>
          <w:rFonts w:asciiTheme="majorHAnsi" w:hAnsiTheme="majorHAnsi" w:cstheme="majorHAnsi"/>
          <w:sz w:val="24"/>
          <w:szCs w:val="24"/>
          <w:lang w:val="ro-MD"/>
        </w:rPr>
        <w:t>;</w:t>
      </w:r>
      <w:r w:rsidR="00124DF5" w:rsidRPr="00124DF5">
        <w:rPr>
          <w:rFonts w:asciiTheme="majorHAnsi" w:hAnsiTheme="majorHAnsi" w:cstheme="majorHAnsi"/>
          <w:sz w:val="24"/>
          <w:szCs w:val="24"/>
          <w:lang w:val="ro-MD"/>
        </w:rPr>
        <w:t xml:space="preserve"> </w:t>
      </w:r>
    </w:p>
    <w:p w:rsidR="00DB5820" w:rsidRPr="000C78F9" w:rsidRDefault="0012210E" w:rsidP="00F809A6">
      <w:pPr>
        <w:pStyle w:val="a8"/>
        <w:numPr>
          <w:ilvl w:val="1"/>
          <w:numId w:val="3"/>
        </w:numPr>
        <w:tabs>
          <w:tab w:val="left" w:pos="993"/>
          <w:tab w:val="left" w:pos="1134"/>
        </w:tabs>
        <w:spacing w:before="240" w:after="160" w:line="276" w:lineRule="auto"/>
        <w:ind w:left="0" w:firstLine="426"/>
        <w:jc w:val="both"/>
        <w:rPr>
          <w:rFonts w:asciiTheme="majorHAnsi" w:eastAsia="Calibri" w:hAnsiTheme="majorHAnsi" w:cs="Times New Roman"/>
          <w:sz w:val="24"/>
          <w:szCs w:val="24"/>
          <w:lang w:val="ro-RO"/>
        </w:rPr>
      </w:pPr>
      <w:r w:rsidRPr="000C78F9">
        <w:rPr>
          <w:rFonts w:asciiTheme="majorHAnsi" w:eastAsia="Times New Roman" w:hAnsiTheme="majorHAnsi" w:cs="Times New Roman"/>
          <w:b/>
          <w:bCs/>
          <w:sz w:val="24"/>
          <w:szCs w:val="24"/>
          <w:lang w:val="ro-RO"/>
        </w:rPr>
        <w:t xml:space="preserve">Parlamentului, Președintelui și </w:t>
      </w:r>
      <w:r w:rsidR="00F42011" w:rsidRPr="000C78F9">
        <w:rPr>
          <w:rFonts w:asciiTheme="majorHAnsi" w:eastAsia="Times New Roman" w:hAnsiTheme="majorHAnsi" w:cs="Times New Roman"/>
          <w:b/>
          <w:bCs/>
          <w:sz w:val="24"/>
          <w:szCs w:val="24"/>
          <w:lang w:val="ro-RO"/>
        </w:rPr>
        <w:t>Guvernului</w:t>
      </w:r>
      <w:r w:rsidRPr="000C78F9">
        <w:rPr>
          <w:rFonts w:asciiTheme="majorHAnsi" w:eastAsia="Times New Roman" w:hAnsiTheme="majorHAnsi" w:cs="Times New Roman"/>
          <w:b/>
          <w:bCs/>
          <w:sz w:val="24"/>
          <w:szCs w:val="24"/>
          <w:lang w:val="ro-RO"/>
        </w:rPr>
        <w:t xml:space="preserve"> Republicii Moldova</w:t>
      </w:r>
      <w:r w:rsidR="00F42011" w:rsidRPr="000C78F9">
        <w:rPr>
          <w:rFonts w:asciiTheme="majorHAnsi" w:eastAsia="Times New Roman" w:hAnsiTheme="majorHAnsi" w:cs="Times New Roman"/>
          <w:sz w:val="24"/>
          <w:szCs w:val="24"/>
          <w:lang w:val="ro-RO"/>
        </w:rPr>
        <w:t xml:space="preserve">, </w:t>
      </w:r>
      <w:r w:rsidRPr="000C78F9">
        <w:rPr>
          <w:rFonts w:asciiTheme="majorHAnsi" w:eastAsia="Times New Roman" w:hAnsiTheme="majorHAnsi" w:cs="Times New Roman"/>
          <w:sz w:val="24"/>
          <w:szCs w:val="24"/>
          <w:lang w:val="ro-RO"/>
        </w:rPr>
        <w:t xml:space="preserve">pentru informare. </w:t>
      </w:r>
    </w:p>
    <w:p w:rsidR="003025BF" w:rsidRPr="000C78F9" w:rsidRDefault="003025BF" w:rsidP="00F809A6">
      <w:pPr>
        <w:pStyle w:val="a8"/>
        <w:tabs>
          <w:tab w:val="left" w:pos="630"/>
          <w:tab w:val="left" w:pos="900"/>
        </w:tabs>
        <w:spacing w:before="240" w:after="160" w:line="276" w:lineRule="auto"/>
        <w:ind w:left="426"/>
        <w:jc w:val="both"/>
        <w:rPr>
          <w:rFonts w:asciiTheme="majorHAnsi" w:eastAsia="Calibri" w:hAnsiTheme="majorHAnsi" w:cs="Times New Roman"/>
          <w:sz w:val="24"/>
          <w:szCs w:val="24"/>
          <w:lang w:val="ro-RO"/>
        </w:rPr>
      </w:pPr>
    </w:p>
    <w:p w:rsidR="00D85C88" w:rsidRPr="006900BC" w:rsidRDefault="00D85C88" w:rsidP="00D85C88">
      <w:pPr>
        <w:pStyle w:val="a8"/>
        <w:numPr>
          <w:ilvl w:val="0"/>
          <w:numId w:val="3"/>
        </w:numPr>
        <w:spacing w:before="240" w:after="160" w:line="276" w:lineRule="auto"/>
        <w:ind w:left="0" w:firstLine="426"/>
        <w:jc w:val="both"/>
        <w:rPr>
          <w:rFonts w:asciiTheme="majorHAnsi" w:hAnsiTheme="majorHAnsi" w:cs="Times New Roman"/>
          <w:sz w:val="24"/>
          <w:szCs w:val="24"/>
          <w:lang w:val="ro-RO"/>
        </w:rPr>
      </w:pPr>
      <w:r w:rsidRPr="006900BC">
        <w:rPr>
          <w:rFonts w:asciiTheme="majorHAnsi" w:hAnsiTheme="majorHAnsi" w:cs="Times New Roman"/>
          <w:noProof/>
          <w:sz w:val="24"/>
          <w:szCs w:val="24"/>
          <w:lang w:val="ro-MD"/>
        </w:rPr>
        <w:t xml:space="preserve">Prin prezenta Hotărâre, se exclud din regim de monitorizare </w:t>
      </w:r>
      <w:r w:rsidR="0009725D" w:rsidRPr="006900BC">
        <w:rPr>
          <w:rFonts w:asciiTheme="majorHAnsi" w:hAnsiTheme="majorHAnsi" w:cs="Times New Roman"/>
          <w:noProof/>
          <w:sz w:val="24"/>
          <w:szCs w:val="24"/>
          <w:lang w:val="ro-MD"/>
        </w:rPr>
        <w:t>cerințele referitor la datoria sectorului public, garanțiil</w:t>
      </w:r>
      <w:r w:rsidR="00BA6E1C">
        <w:rPr>
          <w:rFonts w:asciiTheme="majorHAnsi" w:hAnsiTheme="majorHAnsi" w:cs="Times New Roman"/>
          <w:noProof/>
          <w:sz w:val="24"/>
          <w:szCs w:val="24"/>
          <w:lang w:val="ro-MD"/>
        </w:rPr>
        <w:t>e</w:t>
      </w:r>
      <w:r w:rsidR="0009725D" w:rsidRPr="006900BC">
        <w:rPr>
          <w:rFonts w:asciiTheme="majorHAnsi" w:hAnsiTheme="majorHAnsi" w:cs="Times New Roman"/>
          <w:noProof/>
          <w:sz w:val="24"/>
          <w:szCs w:val="24"/>
          <w:lang w:val="ro-MD"/>
        </w:rPr>
        <w:t xml:space="preserve"> de stat și recredit</w:t>
      </w:r>
      <w:r w:rsidR="00BA6E1C">
        <w:rPr>
          <w:rFonts w:asciiTheme="majorHAnsi" w:hAnsiTheme="majorHAnsi" w:cs="Times New Roman"/>
          <w:noProof/>
          <w:sz w:val="24"/>
          <w:szCs w:val="24"/>
          <w:lang w:val="ro-MD"/>
        </w:rPr>
        <w:t>area</w:t>
      </w:r>
      <w:r w:rsidR="0009725D" w:rsidRPr="006900BC">
        <w:rPr>
          <w:rFonts w:asciiTheme="majorHAnsi" w:hAnsiTheme="majorHAnsi" w:cs="Times New Roman"/>
          <w:noProof/>
          <w:sz w:val="24"/>
          <w:szCs w:val="24"/>
          <w:lang w:val="ro-MD"/>
        </w:rPr>
        <w:t xml:space="preserve"> de stat din </w:t>
      </w:r>
      <w:r w:rsidRPr="006900BC">
        <w:rPr>
          <w:rFonts w:asciiTheme="majorHAnsi" w:hAnsiTheme="majorHAnsi" w:cs="Times New Roman"/>
          <w:noProof/>
          <w:sz w:val="24"/>
          <w:szCs w:val="24"/>
          <w:lang w:val="ro-MD"/>
        </w:rPr>
        <w:t xml:space="preserve">Hotărârea Curții de Conturi </w:t>
      </w:r>
      <w:r w:rsidRPr="006900BC">
        <w:rPr>
          <w:rFonts w:asciiTheme="majorHAnsi" w:hAnsiTheme="majorHAnsi" w:cs="Times New Roman"/>
          <w:noProof/>
          <w:color w:val="000000"/>
          <w:sz w:val="24"/>
          <w:szCs w:val="24"/>
          <w:lang w:val="ro-MD"/>
        </w:rPr>
        <w:t>nr.16 din 30.05.2016 „Cu privire la misiunile de audit asupra Raportului Guvernului privind executarea bugetului de stat pe anul 2015 și asupra datoriei sectorului public, garanțiilor de stat și recreditării de stat pe anul 2015”</w:t>
      </w:r>
      <w:r w:rsidR="006900BC" w:rsidRPr="006900BC">
        <w:rPr>
          <w:rFonts w:asciiTheme="majorHAnsi" w:hAnsiTheme="majorHAnsi" w:cs="Times New Roman"/>
          <w:noProof/>
          <w:color w:val="000000"/>
          <w:sz w:val="24"/>
          <w:szCs w:val="24"/>
          <w:lang w:val="ro-MD"/>
        </w:rPr>
        <w:t xml:space="preserve"> și din</w:t>
      </w:r>
      <w:r w:rsidRPr="006900BC">
        <w:rPr>
          <w:rFonts w:asciiTheme="majorHAnsi" w:hAnsiTheme="majorHAnsi" w:cs="Times New Roman"/>
          <w:noProof/>
          <w:color w:val="000000"/>
          <w:sz w:val="24"/>
          <w:szCs w:val="24"/>
          <w:lang w:val="ro-MD"/>
        </w:rPr>
        <w:t xml:space="preserve"> </w:t>
      </w:r>
      <w:r w:rsidRPr="006900BC">
        <w:rPr>
          <w:rFonts w:asciiTheme="majorHAnsi" w:hAnsiTheme="majorHAnsi" w:cs="Times New Roman"/>
          <w:noProof/>
          <w:sz w:val="24"/>
          <w:szCs w:val="24"/>
          <w:lang w:val="ro-MD"/>
        </w:rPr>
        <w:t xml:space="preserve">Hotărârea Curții de Conturi </w:t>
      </w:r>
      <w:r w:rsidRPr="006900BC">
        <w:rPr>
          <w:rFonts w:asciiTheme="majorHAnsi" w:hAnsiTheme="majorHAnsi" w:cs="Times New Roman"/>
          <w:noProof/>
          <w:color w:val="000000"/>
          <w:sz w:val="24"/>
          <w:szCs w:val="24"/>
          <w:lang w:val="ro-MD"/>
        </w:rPr>
        <w:t>nr.</w:t>
      </w:r>
      <w:r w:rsidR="000C78F9" w:rsidRPr="006900BC">
        <w:rPr>
          <w:rFonts w:asciiTheme="majorHAnsi" w:hAnsiTheme="majorHAnsi" w:cs="Times New Roman"/>
          <w:noProof/>
          <w:color w:val="000000"/>
          <w:sz w:val="24"/>
          <w:szCs w:val="24"/>
          <w:lang w:val="ro-MD"/>
        </w:rPr>
        <w:t>23 din 31.05.2017 „</w:t>
      </w:r>
      <w:r w:rsidRPr="006900BC">
        <w:rPr>
          <w:rFonts w:asciiTheme="majorHAnsi" w:hAnsiTheme="majorHAnsi" w:cs="Times New Roman"/>
          <w:noProof/>
          <w:color w:val="000000"/>
          <w:sz w:val="24"/>
          <w:szCs w:val="24"/>
          <w:lang w:val="ro-MD"/>
        </w:rPr>
        <w:t>Cu privire la Raportul auditului asupra Raportului Guvernului privind executarea bugetului de stat pe anul 2016 și la Raportul auditului performanței managementului datoriei se</w:t>
      </w:r>
      <w:r w:rsidR="006900BC" w:rsidRPr="006900BC">
        <w:rPr>
          <w:rFonts w:asciiTheme="majorHAnsi" w:hAnsiTheme="majorHAnsi" w:cs="Times New Roman"/>
          <w:noProof/>
          <w:color w:val="000000"/>
          <w:sz w:val="24"/>
          <w:szCs w:val="24"/>
          <w:lang w:val="ro-MD"/>
        </w:rPr>
        <w:t>ctorului public pe anul 2016”;</w:t>
      </w:r>
      <w:r w:rsidRPr="006900BC">
        <w:rPr>
          <w:rFonts w:asciiTheme="majorHAnsi" w:hAnsiTheme="majorHAnsi" w:cs="Times New Roman"/>
          <w:noProof/>
          <w:color w:val="000000"/>
          <w:sz w:val="24"/>
          <w:szCs w:val="24"/>
          <w:lang w:val="ro-MD"/>
        </w:rPr>
        <w:t xml:space="preserve"> </w:t>
      </w:r>
      <w:r w:rsidRPr="006900BC">
        <w:rPr>
          <w:rFonts w:asciiTheme="majorHAnsi" w:hAnsiTheme="majorHAnsi" w:cs="Times New Roman"/>
          <w:noProof/>
          <w:sz w:val="24"/>
          <w:szCs w:val="24"/>
          <w:lang w:val="ro-MD"/>
        </w:rPr>
        <w:t>Hotărârea Curții de Conturi</w:t>
      </w:r>
      <w:r w:rsidR="000C78F9" w:rsidRPr="006900BC">
        <w:rPr>
          <w:rFonts w:asciiTheme="majorHAnsi" w:hAnsiTheme="majorHAnsi" w:cs="Times New Roman"/>
          <w:noProof/>
          <w:sz w:val="24"/>
          <w:szCs w:val="24"/>
          <w:lang w:val="ro-MD"/>
        </w:rPr>
        <w:t xml:space="preserve"> nr.25 din 28.05.2018 „</w:t>
      </w:r>
      <w:r w:rsidRPr="006900BC">
        <w:rPr>
          <w:rFonts w:asciiTheme="majorHAnsi" w:hAnsiTheme="majorHAnsi" w:cs="Times New Roman"/>
          <w:noProof/>
          <w:sz w:val="24"/>
          <w:szCs w:val="24"/>
          <w:lang w:val="ro-MD"/>
        </w:rPr>
        <w:t>Cu privire la Raportul auditului performanței managementului datoriei sectorului public pe anul 2017”.</w:t>
      </w:r>
    </w:p>
    <w:p w:rsidR="00D85C88" w:rsidRPr="000C78F9" w:rsidRDefault="000C78F9" w:rsidP="000C78F9">
      <w:pPr>
        <w:pStyle w:val="a8"/>
        <w:numPr>
          <w:ilvl w:val="0"/>
          <w:numId w:val="3"/>
        </w:numPr>
        <w:spacing w:before="240" w:after="160" w:line="276" w:lineRule="auto"/>
        <w:ind w:left="0" w:firstLine="426"/>
        <w:jc w:val="both"/>
        <w:rPr>
          <w:rFonts w:asciiTheme="majorHAnsi" w:hAnsiTheme="majorHAnsi" w:cs="Times New Roman"/>
          <w:sz w:val="24"/>
          <w:szCs w:val="24"/>
          <w:lang w:val="ro-RO"/>
        </w:rPr>
      </w:pPr>
      <w:r w:rsidRPr="000C78F9">
        <w:rPr>
          <w:rFonts w:asciiTheme="majorHAnsi" w:hAnsiTheme="majorHAnsi" w:cs="Times New Roman"/>
          <w:sz w:val="24"/>
          <w:szCs w:val="24"/>
          <w:lang w:val="ro-RO"/>
        </w:rPr>
        <w:t>Prezenta Hotărâre intră în vigoare din data publicării în Monitorul Oficial al Republicii Moldova.</w:t>
      </w:r>
    </w:p>
    <w:p w:rsidR="000C78F9" w:rsidRPr="000C78F9" w:rsidRDefault="00BA6E1C" w:rsidP="000C78F9">
      <w:pPr>
        <w:pStyle w:val="a8"/>
        <w:numPr>
          <w:ilvl w:val="0"/>
          <w:numId w:val="3"/>
        </w:numPr>
        <w:spacing w:before="240" w:after="160" w:line="276" w:lineRule="auto"/>
        <w:ind w:left="0" w:firstLine="426"/>
        <w:jc w:val="both"/>
        <w:rPr>
          <w:rFonts w:asciiTheme="majorHAnsi" w:hAnsiTheme="majorHAnsi" w:cs="Times New Roman"/>
          <w:sz w:val="24"/>
          <w:szCs w:val="24"/>
          <w:lang w:val="ro-RO"/>
        </w:rPr>
      </w:pPr>
      <w:r>
        <w:rPr>
          <w:rFonts w:asciiTheme="majorHAnsi" w:eastAsia="Times New Roman" w:hAnsiTheme="majorHAnsi" w:cs="Times New Roman"/>
          <w:sz w:val="24"/>
          <w:szCs w:val="24"/>
          <w:lang w:val="ro-RO"/>
        </w:rPr>
        <w:t>Despre</w:t>
      </w:r>
      <w:r w:rsidR="00F42011" w:rsidRPr="000C78F9">
        <w:rPr>
          <w:rFonts w:asciiTheme="majorHAnsi" w:eastAsia="Times New Roman" w:hAnsiTheme="majorHAnsi" w:cs="Times New Roman"/>
          <w:sz w:val="24"/>
          <w:szCs w:val="24"/>
          <w:lang w:val="ro-RO"/>
        </w:rPr>
        <w:t xml:space="preserve"> măsurile întreprinse pentru executarea subpunctului 2.1. din prezenta Hotărâre și </w:t>
      </w:r>
      <w:r w:rsidR="002A7AD5" w:rsidRPr="000C78F9">
        <w:rPr>
          <w:rFonts w:asciiTheme="majorHAnsi" w:eastAsia="Times New Roman" w:hAnsiTheme="majorHAnsi" w:cs="Times New Roman"/>
          <w:sz w:val="24"/>
          <w:szCs w:val="24"/>
          <w:lang w:val="ro-RO"/>
        </w:rPr>
        <w:t xml:space="preserve"> </w:t>
      </w:r>
      <w:r w:rsidR="00F42011" w:rsidRPr="000C78F9">
        <w:rPr>
          <w:rFonts w:asciiTheme="majorHAnsi" w:eastAsia="Times New Roman" w:hAnsiTheme="majorHAnsi" w:cs="Times New Roman"/>
          <w:sz w:val="24"/>
          <w:szCs w:val="24"/>
          <w:lang w:val="ro-RO"/>
        </w:rPr>
        <w:t>implementarea recomandărilor auditului</w:t>
      </w:r>
      <w:r w:rsidR="007916D0" w:rsidRPr="000C78F9">
        <w:rPr>
          <w:rFonts w:asciiTheme="majorHAnsi" w:hAnsiTheme="majorHAnsi" w:cs="Times New Roman"/>
          <w:sz w:val="24"/>
          <w:szCs w:val="24"/>
          <w:lang w:val="ro-RO"/>
        </w:rPr>
        <w:t xml:space="preserve"> Curtea de Conturi </w:t>
      </w:r>
      <w:r w:rsidR="002A7AD5" w:rsidRPr="000C78F9">
        <w:rPr>
          <w:rFonts w:asciiTheme="majorHAnsi" w:hAnsiTheme="majorHAnsi" w:cs="Times New Roman"/>
          <w:sz w:val="24"/>
          <w:szCs w:val="24"/>
          <w:lang w:val="ro-RO"/>
        </w:rPr>
        <w:t>urmează a fi</w:t>
      </w:r>
      <w:r w:rsidR="007916D0" w:rsidRPr="000C78F9">
        <w:rPr>
          <w:rFonts w:asciiTheme="majorHAnsi" w:hAnsiTheme="majorHAnsi" w:cs="Times New Roman"/>
          <w:sz w:val="24"/>
          <w:szCs w:val="24"/>
          <w:lang w:val="ro-RO"/>
        </w:rPr>
        <w:t xml:space="preserve"> informa</w:t>
      </w:r>
      <w:r w:rsidR="002A7AD5" w:rsidRPr="000C78F9">
        <w:rPr>
          <w:rFonts w:asciiTheme="majorHAnsi" w:hAnsiTheme="majorHAnsi" w:cs="Times New Roman"/>
          <w:sz w:val="24"/>
          <w:szCs w:val="24"/>
          <w:lang w:val="ro-RO"/>
        </w:rPr>
        <w:t>tă</w:t>
      </w:r>
      <w:r w:rsidR="007916D0" w:rsidRPr="000C78F9">
        <w:rPr>
          <w:rFonts w:asciiTheme="majorHAnsi" w:hAnsiTheme="majorHAnsi" w:cs="Times New Roman"/>
          <w:sz w:val="24"/>
          <w:szCs w:val="24"/>
          <w:lang w:val="ro-RO"/>
        </w:rPr>
        <w:t xml:space="preserve"> în </w:t>
      </w:r>
      <w:r w:rsidR="00F42011" w:rsidRPr="000C78F9">
        <w:rPr>
          <w:rFonts w:asciiTheme="majorHAnsi" w:hAnsiTheme="majorHAnsi" w:cs="Times New Roman"/>
          <w:sz w:val="24"/>
          <w:szCs w:val="24"/>
          <w:lang w:val="ro-RO"/>
        </w:rPr>
        <w:t xml:space="preserve">termen de </w:t>
      </w:r>
      <w:r w:rsidR="007916D0" w:rsidRPr="000C78F9">
        <w:rPr>
          <w:rFonts w:asciiTheme="majorHAnsi" w:hAnsiTheme="majorHAnsi" w:cs="Times New Roman"/>
          <w:sz w:val="24"/>
          <w:szCs w:val="24"/>
          <w:lang w:val="ro-RO"/>
        </w:rPr>
        <w:t>6</w:t>
      </w:r>
      <w:r w:rsidR="00F42011" w:rsidRPr="000C78F9">
        <w:rPr>
          <w:rFonts w:asciiTheme="majorHAnsi" w:hAnsiTheme="majorHAnsi" w:cs="Times New Roman"/>
          <w:sz w:val="24"/>
          <w:szCs w:val="24"/>
          <w:lang w:val="ro-RO"/>
        </w:rPr>
        <w:t xml:space="preserve"> luni din data </w:t>
      </w:r>
      <w:r w:rsidR="00D85C88" w:rsidRPr="000C78F9">
        <w:rPr>
          <w:rFonts w:asciiTheme="majorHAnsi" w:hAnsiTheme="majorHAnsi" w:cs="Times New Roman"/>
          <w:sz w:val="24"/>
          <w:szCs w:val="24"/>
          <w:lang w:val="ro-RO"/>
        </w:rPr>
        <w:t>intrării în vigoare a Hotărârii.</w:t>
      </w:r>
    </w:p>
    <w:p w:rsidR="000C78F9" w:rsidRPr="000C78F9" w:rsidRDefault="000C78F9" w:rsidP="000C78F9">
      <w:pPr>
        <w:pStyle w:val="a8"/>
        <w:numPr>
          <w:ilvl w:val="0"/>
          <w:numId w:val="3"/>
        </w:numPr>
        <w:spacing w:before="240" w:after="160" w:line="276" w:lineRule="auto"/>
        <w:ind w:left="0" w:firstLine="426"/>
        <w:jc w:val="both"/>
        <w:rPr>
          <w:rFonts w:asciiTheme="majorHAnsi" w:hAnsiTheme="majorHAnsi" w:cs="Times New Roman"/>
          <w:sz w:val="24"/>
          <w:szCs w:val="24"/>
          <w:lang w:val="ro-RO"/>
        </w:rPr>
      </w:pPr>
      <w:r w:rsidRPr="000C78F9">
        <w:rPr>
          <w:rFonts w:asciiTheme="majorHAnsi" w:hAnsiTheme="majorHAnsi" w:cstheme="majorHAnsi"/>
          <w:sz w:val="24"/>
          <w:szCs w:val="24"/>
          <w:lang w:val="ro-MD"/>
        </w:rPr>
        <w:t xml:space="preserve">Hotărârea și </w:t>
      </w:r>
      <w:r w:rsidRPr="000C78F9">
        <w:rPr>
          <w:rFonts w:asciiTheme="majorHAnsi" w:eastAsia="Times New Roman" w:hAnsiTheme="majorHAnsi" w:cs="Times New Roman"/>
          <w:bCs/>
          <w:sz w:val="24"/>
          <w:szCs w:val="24"/>
          <w:lang w:val="ro-RO"/>
        </w:rPr>
        <w:t>Raportul</w:t>
      </w:r>
      <w:r w:rsidRPr="000C78F9">
        <w:rPr>
          <w:rFonts w:asciiTheme="majorHAnsi" w:eastAsia="Times New Roman" w:hAnsiTheme="majorHAnsi" w:cs="Times New Roman"/>
          <w:b/>
          <w:bCs/>
          <w:sz w:val="24"/>
          <w:szCs w:val="24"/>
          <w:lang w:val="ro-RO"/>
        </w:rPr>
        <w:t xml:space="preserve"> </w:t>
      </w:r>
      <w:r w:rsidRPr="000C78F9">
        <w:rPr>
          <w:rFonts w:asciiTheme="majorHAnsi" w:eastAsia="Times New Roman" w:hAnsiTheme="majorHAnsi" w:cs="Times New Roman"/>
          <w:bCs/>
          <w:sz w:val="24"/>
          <w:szCs w:val="24"/>
          <w:lang w:val="ro-RO"/>
        </w:rPr>
        <w:t xml:space="preserve">auditului performanței managementului datoriei </w:t>
      </w:r>
      <w:r w:rsidRPr="000C78F9">
        <w:rPr>
          <w:rFonts w:asciiTheme="majorHAnsi" w:eastAsia="Times New Roman" w:hAnsiTheme="majorHAnsi" w:cs="Times New Roman"/>
          <w:bCs/>
          <w:sz w:val="24"/>
          <w:szCs w:val="24"/>
          <w:lang w:val="ro-MD"/>
        </w:rPr>
        <w:t>de stat, garanțiilor de stat și recreditării de stat</w:t>
      </w:r>
      <w:r w:rsidRPr="000C78F9">
        <w:rPr>
          <w:rFonts w:asciiTheme="majorHAnsi" w:eastAsia="Times New Roman" w:hAnsiTheme="majorHAnsi" w:cs="Times New Roman"/>
          <w:bCs/>
          <w:sz w:val="24"/>
          <w:szCs w:val="24"/>
          <w:lang w:val="ro-RO"/>
        </w:rPr>
        <w:t xml:space="preserve"> pe anul 2018 </w:t>
      </w:r>
      <w:r w:rsidRPr="000C78F9">
        <w:rPr>
          <w:rFonts w:asciiTheme="majorHAnsi" w:hAnsiTheme="majorHAnsi" w:cstheme="majorHAnsi"/>
          <w:sz w:val="24"/>
          <w:szCs w:val="24"/>
          <w:lang w:val="ro-MD"/>
        </w:rPr>
        <w:t>se publică pe site-ul oficial al Curții de Conturi (</w:t>
      </w:r>
      <w:hyperlink r:id="rId9" w:history="1">
        <w:r w:rsidRPr="000C78F9">
          <w:rPr>
            <w:rStyle w:val="af3"/>
            <w:rFonts w:asciiTheme="majorHAnsi" w:hAnsiTheme="majorHAnsi" w:cstheme="majorHAnsi"/>
            <w:sz w:val="24"/>
            <w:szCs w:val="24"/>
            <w:lang w:val="ro-MD"/>
          </w:rPr>
          <w:t>http://www.ccrm.md/hotariri-si-rapoarte-1-95</w:t>
        </w:r>
      </w:hyperlink>
      <w:r w:rsidRPr="000C78F9">
        <w:rPr>
          <w:rFonts w:asciiTheme="majorHAnsi" w:hAnsiTheme="majorHAnsi" w:cstheme="majorHAnsi"/>
          <w:sz w:val="24"/>
          <w:szCs w:val="24"/>
          <w:lang w:val="ro-MD"/>
        </w:rPr>
        <w:t>).</w:t>
      </w:r>
    </w:p>
    <w:p w:rsidR="000C78F9" w:rsidRDefault="000C78F9" w:rsidP="000C78F9">
      <w:pPr>
        <w:pStyle w:val="a8"/>
        <w:spacing w:before="240" w:after="160" w:line="276" w:lineRule="auto"/>
        <w:ind w:left="426"/>
        <w:jc w:val="both"/>
        <w:rPr>
          <w:rFonts w:asciiTheme="majorHAnsi" w:hAnsiTheme="majorHAnsi" w:cs="Times New Roman"/>
          <w:sz w:val="24"/>
          <w:szCs w:val="24"/>
          <w:lang w:val="ro-RO"/>
        </w:rPr>
      </w:pPr>
    </w:p>
    <w:p w:rsidR="008263FD" w:rsidRPr="00F809A6" w:rsidRDefault="008263FD" w:rsidP="00F809A6">
      <w:pPr>
        <w:pStyle w:val="a8"/>
        <w:spacing w:before="240" w:after="160" w:line="276" w:lineRule="auto"/>
        <w:ind w:left="426"/>
        <w:jc w:val="both"/>
        <w:rPr>
          <w:rFonts w:asciiTheme="majorHAnsi" w:hAnsiTheme="majorHAnsi" w:cs="Times New Roman"/>
          <w:sz w:val="24"/>
          <w:szCs w:val="24"/>
          <w:lang w:val="ro-RO"/>
        </w:rPr>
      </w:pPr>
    </w:p>
    <w:p w:rsidR="003655B3" w:rsidRPr="00F809A6" w:rsidRDefault="003655B3" w:rsidP="00F809A6">
      <w:pPr>
        <w:spacing w:before="240" w:line="276" w:lineRule="auto"/>
        <w:jc w:val="both"/>
        <w:rPr>
          <w:rFonts w:asciiTheme="majorHAnsi" w:hAnsiTheme="majorHAnsi" w:cs="Times New Roman"/>
          <w:sz w:val="24"/>
          <w:szCs w:val="24"/>
          <w:lang w:val="ro-RO"/>
        </w:rPr>
      </w:pPr>
    </w:p>
    <w:p w:rsidR="00F42011" w:rsidRPr="00F809A6" w:rsidRDefault="00506186" w:rsidP="00F809A6">
      <w:pPr>
        <w:spacing w:line="276" w:lineRule="auto"/>
        <w:jc w:val="right"/>
        <w:rPr>
          <w:rFonts w:asciiTheme="majorHAnsi" w:eastAsia="Calibri" w:hAnsiTheme="majorHAnsi" w:cs="Times New Roman"/>
          <w:b/>
          <w:sz w:val="24"/>
          <w:szCs w:val="24"/>
          <w:lang w:val="ro-RO"/>
        </w:rPr>
      </w:pPr>
      <w:r w:rsidRPr="00F809A6">
        <w:rPr>
          <w:rFonts w:asciiTheme="majorHAnsi" w:eastAsia="Calibri" w:hAnsiTheme="majorHAnsi" w:cs="Times New Roman"/>
          <w:b/>
          <w:sz w:val="24"/>
          <w:szCs w:val="24"/>
          <w:lang w:val="ro-RO"/>
        </w:rPr>
        <w:t>Marian LUPU</w:t>
      </w:r>
      <w:r w:rsidR="00F42011" w:rsidRPr="00F809A6">
        <w:rPr>
          <w:rFonts w:asciiTheme="majorHAnsi" w:eastAsia="Calibri" w:hAnsiTheme="majorHAnsi" w:cs="Times New Roman"/>
          <w:b/>
          <w:sz w:val="24"/>
          <w:szCs w:val="24"/>
          <w:lang w:val="ro-RO"/>
        </w:rPr>
        <w:t>,</w:t>
      </w:r>
    </w:p>
    <w:p w:rsidR="003025BF" w:rsidRPr="006305BB" w:rsidRDefault="00F42011" w:rsidP="006305BB">
      <w:pPr>
        <w:spacing w:line="276" w:lineRule="auto"/>
        <w:ind w:left="5040" w:firstLine="720"/>
        <w:jc w:val="right"/>
        <w:rPr>
          <w:rFonts w:asciiTheme="majorHAnsi" w:eastAsia="Calibri" w:hAnsiTheme="majorHAnsi" w:cs="Times New Roman"/>
          <w:b/>
          <w:sz w:val="24"/>
          <w:szCs w:val="24"/>
          <w:lang w:val="ro-RO"/>
        </w:rPr>
      </w:pPr>
      <w:r w:rsidRPr="00F809A6">
        <w:rPr>
          <w:rFonts w:asciiTheme="majorHAnsi" w:eastAsia="Calibri" w:hAnsiTheme="majorHAnsi" w:cs="Times New Roman"/>
          <w:b/>
          <w:sz w:val="24"/>
          <w:szCs w:val="24"/>
          <w:lang w:val="ro-RO"/>
        </w:rPr>
        <w:t>Președinte</w:t>
      </w:r>
      <w:bookmarkStart w:id="0" w:name="_GoBack"/>
      <w:bookmarkEnd w:id="0"/>
    </w:p>
    <w:sectPr w:rsidR="003025BF" w:rsidRPr="006305BB" w:rsidSect="0042003A">
      <w:headerReference w:type="default" r:id="rId10"/>
      <w:footerReference w:type="default" r:id="rId11"/>
      <w:pgSz w:w="11907" w:h="16839" w:code="9"/>
      <w:pgMar w:top="851" w:right="851" w:bottom="851"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9B0" w:rsidRDefault="005869B0" w:rsidP="00F42011">
      <w:pPr>
        <w:spacing w:after="0" w:line="240" w:lineRule="auto"/>
      </w:pPr>
      <w:r>
        <w:separator/>
      </w:r>
    </w:p>
  </w:endnote>
  <w:endnote w:type="continuationSeparator" w:id="0">
    <w:p w:rsidR="005869B0" w:rsidRDefault="005869B0" w:rsidP="00F4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 Caslon">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6205BD" w:rsidRDefault="0089493E">
        <w:pPr>
          <w:pStyle w:val="aa"/>
          <w:jc w:val="right"/>
        </w:pPr>
        <w:r>
          <w:fldChar w:fldCharType="begin"/>
        </w:r>
        <w:r>
          <w:instrText xml:space="preserve"> PAGE   \* MERGEFORMAT </w:instrText>
        </w:r>
        <w:r>
          <w:fldChar w:fldCharType="separate"/>
        </w:r>
        <w:r w:rsidR="006305BB">
          <w:rPr>
            <w:noProof/>
          </w:rPr>
          <w:t>2</w:t>
        </w:r>
        <w:r>
          <w:rPr>
            <w:noProof/>
          </w:rPr>
          <w:fldChar w:fldCharType="end"/>
        </w:r>
      </w:p>
    </w:sdtContent>
  </w:sdt>
  <w:p w:rsidR="006205BD" w:rsidRDefault="005869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9B0" w:rsidRDefault="005869B0" w:rsidP="00F42011">
      <w:pPr>
        <w:spacing w:after="0" w:line="240" w:lineRule="auto"/>
      </w:pPr>
      <w:r>
        <w:separator/>
      </w:r>
    </w:p>
  </w:footnote>
  <w:footnote w:type="continuationSeparator" w:id="0">
    <w:p w:rsidR="005869B0" w:rsidRDefault="005869B0" w:rsidP="00F42011">
      <w:pPr>
        <w:spacing w:after="0" w:line="240" w:lineRule="auto"/>
      </w:pPr>
      <w:r>
        <w:continuationSeparator/>
      </w:r>
    </w:p>
  </w:footnote>
  <w:footnote w:id="1">
    <w:p w:rsidR="007C7394" w:rsidRPr="00F809A6" w:rsidRDefault="008303E7" w:rsidP="008303E7">
      <w:pPr>
        <w:spacing w:after="0" w:line="240" w:lineRule="auto"/>
        <w:jc w:val="both"/>
        <w:rPr>
          <w:rFonts w:asciiTheme="majorHAnsi" w:hAnsiTheme="majorHAnsi" w:cs="Times New Roman"/>
          <w:sz w:val="18"/>
          <w:szCs w:val="18"/>
          <w:lang w:val="ro-RO"/>
        </w:rPr>
      </w:pPr>
      <w:r w:rsidRPr="00F809A6">
        <w:rPr>
          <w:rStyle w:val="a4"/>
          <w:rFonts w:asciiTheme="majorHAnsi" w:hAnsiTheme="majorHAnsi"/>
          <w:sz w:val="18"/>
          <w:szCs w:val="18"/>
        </w:rPr>
        <w:footnoteRef/>
      </w:r>
      <w:r w:rsidRPr="00F809A6">
        <w:rPr>
          <w:rFonts w:asciiTheme="majorHAnsi" w:hAnsiTheme="majorHAnsi" w:cs="Times New Roman"/>
          <w:sz w:val="18"/>
          <w:szCs w:val="18"/>
        </w:rPr>
        <w:t xml:space="preserve"> </w:t>
      </w:r>
      <w:r w:rsidRPr="00F809A6">
        <w:rPr>
          <w:rFonts w:asciiTheme="majorHAnsi" w:hAnsiTheme="majorHAnsi" w:cs="Times New Roman"/>
          <w:sz w:val="18"/>
          <w:szCs w:val="18"/>
          <w:lang w:val="ro-RO"/>
        </w:rPr>
        <w:t>Legea privind organizarea și funcționarea Curții de Conturi a Republicii Moldova nr.260 din 07.12.2017 (în continuare – Legea nr.260 din 07.12.2017).</w:t>
      </w:r>
    </w:p>
  </w:footnote>
  <w:footnote w:id="2">
    <w:p w:rsidR="00AA1D7E" w:rsidRPr="00F809A6" w:rsidRDefault="00AA1D7E" w:rsidP="00AA1D7E">
      <w:pPr>
        <w:pStyle w:val="a6"/>
        <w:jc w:val="both"/>
        <w:rPr>
          <w:rFonts w:asciiTheme="majorHAnsi" w:hAnsiTheme="majorHAnsi" w:cstheme="majorHAnsi"/>
          <w:sz w:val="18"/>
          <w:szCs w:val="18"/>
          <w:vertAlign w:val="superscript"/>
          <w:lang w:val="ro-RO"/>
        </w:rPr>
      </w:pPr>
      <w:r w:rsidRPr="00F809A6">
        <w:rPr>
          <w:rFonts w:asciiTheme="majorHAnsi" w:hAnsiTheme="majorHAnsi" w:cstheme="majorHAnsi"/>
          <w:sz w:val="18"/>
          <w:szCs w:val="18"/>
          <w:vertAlign w:val="superscript"/>
          <w:lang w:val="ro-RO"/>
        </w:rPr>
        <w:t>2</w:t>
      </w:r>
      <w:r w:rsidRPr="00F809A6">
        <w:rPr>
          <w:rFonts w:asciiTheme="majorHAnsi" w:hAnsiTheme="majorHAnsi" w:cs="Times New Roman"/>
          <w:sz w:val="18"/>
          <w:szCs w:val="18"/>
          <w:lang w:val="ro-RO"/>
        </w:rPr>
        <w:fldChar w:fldCharType="begin"/>
      </w:r>
      <w:r w:rsidRPr="00F809A6">
        <w:rPr>
          <w:rFonts w:asciiTheme="majorHAnsi" w:hAnsiTheme="majorHAnsi" w:cs="Times New Roman"/>
          <w:sz w:val="18"/>
          <w:szCs w:val="18"/>
          <w:lang w:val="ro-RO"/>
        </w:rPr>
        <w:instrText xml:space="preserve"> LINK Word.Document.12 "D:\\i_tercula\\Desktop\\Proiect de Hotarâre ARM.docx" "OLE_LINK1" \a \r  \* MERGEFORMAT </w:instrText>
      </w:r>
      <w:r w:rsidRPr="00F809A6">
        <w:rPr>
          <w:rFonts w:asciiTheme="majorHAnsi" w:hAnsiTheme="majorHAnsi" w:cs="Times New Roman"/>
          <w:sz w:val="18"/>
          <w:szCs w:val="18"/>
          <w:lang w:val="ro-RO"/>
        </w:rPr>
        <w:fldChar w:fldCharType="separate"/>
      </w:r>
      <w:r w:rsidRPr="00F809A6">
        <w:rPr>
          <w:rFonts w:asciiTheme="majorHAnsi" w:hAnsiTheme="majorHAnsi" w:cs="Times New Roman"/>
          <w:sz w:val="18"/>
          <w:szCs w:val="18"/>
          <w:lang w:val="ro-RO"/>
        </w:rPr>
        <w:t xml:space="preserve">Hotărârea Curții de Conturi nr.100 </w:t>
      </w:r>
      <w:r w:rsidRPr="00F809A6">
        <w:rPr>
          <w:rFonts w:asciiTheme="majorHAnsi" w:hAnsiTheme="majorHAnsi" w:cs="Times New Roman"/>
          <w:bCs/>
          <w:sz w:val="18"/>
          <w:szCs w:val="18"/>
          <w:lang w:val="ro-RO"/>
        </w:rPr>
        <w:t>din 21.12.201</w:t>
      </w:r>
      <w:r w:rsidRPr="00F809A6">
        <w:rPr>
          <w:rFonts w:asciiTheme="majorHAnsi" w:hAnsiTheme="majorHAnsi" w:cs="Times New Roman"/>
          <w:sz w:val="18"/>
          <w:szCs w:val="18"/>
          <w:lang w:val="ro-RO"/>
        </w:rPr>
        <w:fldChar w:fldCharType="end"/>
      </w:r>
      <w:r w:rsidRPr="00F809A6">
        <w:rPr>
          <w:rFonts w:asciiTheme="majorHAnsi" w:hAnsiTheme="majorHAnsi" w:cs="Times New Roman"/>
          <w:sz w:val="18"/>
          <w:szCs w:val="18"/>
          <w:lang w:val="ro-RO"/>
        </w:rPr>
        <w:t xml:space="preserve">8 </w:t>
      </w:r>
      <w:r w:rsidRPr="00F809A6">
        <w:rPr>
          <w:rFonts w:asciiTheme="majorHAnsi" w:hAnsiTheme="majorHAnsi" w:cs="Times New Roman"/>
          <w:bCs/>
          <w:sz w:val="18"/>
          <w:szCs w:val="18"/>
          <w:lang w:val="ro-RO"/>
        </w:rPr>
        <w:t xml:space="preserve">„Privind aprobarea </w:t>
      </w:r>
      <w:r w:rsidRPr="00F809A6">
        <w:rPr>
          <w:rFonts w:asciiTheme="majorHAnsi" w:hAnsiTheme="majorHAnsi" w:cs="Times New Roman"/>
          <w:sz w:val="18"/>
          <w:szCs w:val="18"/>
          <w:lang w:val="ro-RO"/>
        </w:rPr>
        <w:t>Programului activității de audit a Curții de Conturi pe anul 2019”.</w:t>
      </w:r>
    </w:p>
  </w:footnote>
  <w:footnote w:id="3">
    <w:p w:rsidR="008303E7" w:rsidRPr="00F809A6" w:rsidRDefault="00AA1D7E" w:rsidP="008303E7">
      <w:pPr>
        <w:jc w:val="both"/>
        <w:rPr>
          <w:rFonts w:asciiTheme="majorHAnsi" w:hAnsiTheme="majorHAnsi" w:cs="Times New Roman"/>
          <w:sz w:val="18"/>
          <w:szCs w:val="18"/>
          <w:lang w:val="ro-RO"/>
        </w:rPr>
      </w:pPr>
      <w:r w:rsidRPr="00F809A6">
        <w:rPr>
          <w:rFonts w:asciiTheme="majorHAnsi" w:hAnsiTheme="majorHAnsi" w:cs="Times New Roman"/>
          <w:sz w:val="18"/>
          <w:szCs w:val="18"/>
          <w:vertAlign w:val="superscript"/>
          <w:lang w:val="ro-RO"/>
        </w:rPr>
        <w:t>3</w:t>
      </w:r>
      <w:r w:rsidRPr="00F809A6">
        <w:rPr>
          <w:rFonts w:asciiTheme="majorHAnsi" w:hAnsiTheme="majorHAnsi" w:cs="Times New Roman"/>
          <w:sz w:val="18"/>
          <w:szCs w:val="18"/>
          <w:lang w:val="ro-RO"/>
        </w:rPr>
        <w:t>Hotărârea Curții de Conturi nr.60 din 11.12.2013 „Cu privire la aplicarea Standardelor Internaționale de Audit ale Instituțiilor Supreme de Audit de nivelul 3 – ISSAI 100, ISSAI 200, ISSAI 300, ISSAI 400</w:t>
      </w:r>
      <w:r w:rsidR="0015408A">
        <w:rPr>
          <w:rFonts w:asciiTheme="majorHAnsi" w:hAnsiTheme="majorHAnsi" w:cs="Times New Roman"/>
          <w:sz w:val="18"/>
          <w:szCs w:val="18"/>
          <w:lang w:val="ro-RO"/>
        </w:rPr>
        <w:t>,</w:t>
      </w:r>
      <w:r w:rsidRPr="00F809A6">
        <w:rPr>
          <w:rFonts w:asciiTheme="majorHAnsi" w:hAnsiTheme="majorHAnsi" w:cs="Times New Roman"/>
          <w:sz w:val="18"/>
          <w:szCs w:val="18"/>
          <w:lang w:val="ro-RO"/>
        </w:rPr>
        <w:t xml:space="preserve"> în cadrul misiunilor de audit ale Curții de Conturi”; Hotărârea Curții de Conturi nr.7 din 10.03.2014 „Cu privire la aplicarea Liniilor Directoare de Audit (ISSAI 1000-9999) în cadrul auditului public”; Manualul de audit al performanței, aprobat prin Hotărârea Curții de Conturi nr.54 din 05.12.2016.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A6" w:rsidRPr="00F809A6" w:rsidRDefault="00F809A6" w:rsidP="00F809A6">
    <w:pPr>
      <w:pStyle w:val="ac"/>
      <w:jc w:val="right"/>
      <w:rPr>
        <w:lang w:val="ro-M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1C"/>
    <w:multiLevelType w:val="multilevel"/>
    <w:tmpl w:val="570E37FE"/>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2430" w:hanging="720"/>
      </w:pPr>
      <w:rPr>
        <w:rFonts w:hint="default"/>
        <w:b/>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2ED900BE"/>
    <w:multiLevelType w:val="hybridMultilevel"/>
    <w:tmpl w:val="BFDE3848"/>
    <w:lvl w:ilvl="0" w:tplc="50FE765A">
      <w:start w:val="4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216E"/>
    <w:multiLevelType w:val="hybridMultilevel"/>
    <w:tmpl w:val="6090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26F39"/>
    <w:multiLevelType w:val="multilevel"/>
    <w:tmpl w:val="AB462D30"/>
    <w:lvl w:ilvl="0">
      <w:start w:val="1"/>
      <w:numFmt w:val="decimal"/>
      <w:lvlText w:val="%1."/>
      <w:lvlJc w:val="left"/>
      <w:pPr>
        <w:ind w:left="99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6"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15:restartNumberingAfterBreak="0">
    <w:nsid w:val="7291789D"/>
    <w:multiLevelType w:val="multilevel"/>
    <w:tmpl w:val="E45C3FA4"/>
    <w:lvl w:ilvl="0">
      <w:start w:val="2"/>
      <w:numFmt w:val="decimal"/>
      <w:lvlText w:val="%1."/>
      <w:lvlJc w:val="left"/>
      <w:pPr>
        <w:ind w:left="1305" w:hanging="675"/>
      </w:pPr>
      <w:rPr>
        <w:rFonts w:hint="default"/>
        <w:b/>
        <w:i w:val="0"/>
      </w:rPr>
    </w:lvl>
    <w:lvl w:ilvl="1">
      <w:start w:val="2"/>
      <w:numFmt w:val="decimal"/>
      <w:lvlText w:val="%1.%2."/>
      <w:lvlJc w:val="left"/>
      <w:pPr>
        <w:ind w:left="720" w:hanging="720"/>
      </w:pPr>
      <w:rPr>
        <w:rFonts w:hint="default"/>
        <w:b/>
        <w:i w:val="0"/>
      </w:rPr>
    </w:lvl>
    <w:lvl w:ilvl="2">
      <w:start w:val="1"/>
      <w:numFmt w:val="decimal"/>
      <w:lvlText w:val="%1.%2.%3."/>
      <w:lvlJc w:val="left"/>
      <w:pPr>
        <w:ind w:left="153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11"/>
    <w:rsid w:val="000126D8"/>
    <w:rsid w:val="000313FC"/>
    <w:rsid w:val="0003166B"/>
    <w:rsid w:val="00031741"/>
    <w:rsid w:val="00040A66"/>
    <w:rsid w:val="000434EE"/>
    <w:rsid w:val="00074A14"/>
    <w:rsid w:val="0009725D"/>
    <w:rsid w:val="000978A0"/>
    <w:rsid w:val="00097D2D"/>
    <w:rsid w:val="000A6029"/>
    <w:rsid w:val="000B0621"/>
    <w:rsid w:val="000B33D4"/>
    <w:rsid w:val="000C2ADC"/>
    <w:rsid w:val="000C78F9"/>
    <w:rsid w:val="000E3CE6"/>
    <w:rsid w:val="000E5B5E"/>
    <w:rsid w:val="00100F3F"/>
    <w:rsid w:val="00102DC5"/>
    <w:rsid w:val="00105332"/>
    <w:rsid w:val="00106359"/>
    <w:rsid w:val="00113EC6"/>
    <w:rsid w:val="0011404B"/>
    <w:rsid w:val="00116C0D"/>
    <w:rsid w:val="0012210E"/>
    <w:rsid w:val="00124DF5"/>
    <w:rsid w:val="001325F0"/>
    <w:rsid w:val="00146217"/>
    <w:rsid w:val="001537F6"/>
    <w:rsid w:val="0015408A"/>
    <w:rsid w:val="00156403"/>
    <w:rsid w:val="0018582B"/>
    <w:rsid w:val="001A7006"/>
    <w:rsid w:val="001B0238"/>
    <w:rsid w:val="001B60E5"/>
    <w:rsid w:val="001C401D"/>
    <w:rsid w:val="001C7B95"/>
    <w:rsid w:val="001E0E68"/>
    <w:rsid w:val="001E5949"/>
    <w:rsid w:val="0020293C"/>
    <w:rsid w:val="00210E6F"/>
    <w:rsid w:val="002117EB"/>
    <w:rsid w:val="00214DB9"/>
    <w:rsid w:val="00220C7D"/>
    <w:rsid w:val="00247561"/>
    <w:rsid w:val="00261F93"/>
    <w:rsid w:val="002761C1"/>
    <w:rsid w:val="002905F6"/>
    <w:rsid w:val="00290709"/>
    <w:rsid w:val="002A51CE"/>
    <w:rsid w:val="002A7AD5"/>
    <w:rsid w:val="002B02D8"/>
    <w:rsid w:val="002B58F8"/>
    <w:rsid w:val="002C2D22"/>
    <w:rsid w:val="002E65F3"/>
    <w:rsid w:val="002E7956"/>
    <w:rsid w:val="002F716D"/>
    <w:rsid w:val="00301315"/>
    <w:rsid w:val="003025BF"/>
    <w:rsid w:val="0033169C"/>
    <w:rsid w:val="00332FDB"/>
    <w:rsid w:val="00337319"/>
    <w:rsid w:val="00343A73"/>
    <w:rsid w:val="0034608C"/>
    <w:rsid w:val="00351291"/>
    <w:rsid w:val="00360764"/>
    <w:rsid w:val="003624B1"/>
    <w:rsid w:val="003655B3"/>
    <w:rsid w:val="00384FEE"/>
    <w:rsid w:val="00385835"/>
    <w:rsid w:val="00394A91"/>
    <w:rsid w:val="003A7D03"/>
    <w:rsid w:val="003B2A40"/>
    <w:rsid w:val="003C022C"/>
    <w:rsid w:val="003C10BB"/>
    <w:rsid w:val="003C7A1B"/>
    <w:rsid w:val="003D598F"/>
    <w:rsid w:val="003E09AA"/>
    <w:rsid w:val="003E4117"/>
    <w:rsid w:val="003F1131"/>
    <w:rsid w:val="003F2B52"/>
    <w:rsid w:val="003F65C3"/>
    <w:rsid w:val="00400E3E"/>
    <w:rsid w:val="00407D60"/>
    <w:rsid w:val="004114A5"/>
    <w:rsid w:val="0041414C"/>
    <w:rsid w:val="0042003A"/>
    <w:rsid w:val="004463C6"/>
    <w:rsid w:val="004646A5"/>
    <w:rsid w:val="00471453"/>
    <w:rsid w:val="00473967"/>
    <w:rsid w:val="004905ED"/>
    <w:rsid w:val="004913DB"/>
    <w:rsid w:val="00494155"/>
    <w:rsid w:val="0049742F"/>
    <w:rsid w:val="00497FAB"/>
    <w:rsid w:val="004A2B1D"/>
    <w:rsid w:val="004B70E9"/>
    <w:rsid w:val="004C09EB"/>
    <w:rsid w:val="004D1CDF"/>
    <w:rsid w:val="004F004F"/>
    <w:rsid w:val="004F4931"/>
    <w:rsid w:val="00506186"/>
    <w:rsid w:val="00513FC7"/>
    <w:rsid w:val="00525DD9"/>
    <w:rsid w:val="005368D3"/>
    <w:rsid w:val="00536DA4"/>
    <w:rsid w:val="00541F79"/>
    <w:rsid w:val="00547303"/>
    <w:rsid w:val="00547F34"/>
    <w:rsid w:val="00552A95"/>
    <w:rsid w:val="00554D28"/>
    <w:rsid w:val="00562CC1"/>
    <w:rsid w:val="00570276"/>
    <w:rsid w:val="00571390"/>
    <w:rsid w:val="00573A31"/>
    <w:rsid w:val="00575961"/>
    <w:rsid w:val="0058019D"/>
    <w:rsid w:val="00580B16"/>
    <w:rsid w:val="00581471"/>
    <w:rsid w:val="005869B0"/>
    <w:rsid w:val="005A06A7"/>
    <w:rsid w:val="005A1F38"/>
    <w:rsid w:val="005A2DC1"/>
    <w:rsid w:val="005B7641"/>
    <w:rsid w:val="005C0E62"/>
    <w:rsid w:val="005D53A5"/>
    <w:rsid w:val="005D704F"/>
    <w:rsid w:val="005E2722"/>
    <w:rsid w:val="005E31C5"/>
    <w:rsid w:val="005E37D6"/>
    <w:rsid w:val="005E474C"/>
    <w:rsid w:val="005F608A"/>
    <w:rsid w:val="0060755F"/>
    <w:rsid w:val="0061639D"/>
    <w:rsid w:val="006305BB"/>
    <w:rsid w:val="00634A2C"/>
    <w:rsid w:val="00640D84"/>
    <w:rsid w:val="00653745"/>
    <w:rsid w:val="0065384A"/>
    <w:rsid w:val="0066096D"/>
    <w:rsid w:val="0066277B"/>
    <w:rsid w:val="006627EF"/>
    <w:rsid w:val="00673BFB"/>
    <w:rsid w:val="00681EED"/>
    <w:rsid w:val="00685794"/>
    <w:rsid w:val="006858C3"/>
    <w:rsid w:val="006900BC"/>
    <w:rsid w:val="0069496B"/>
    <w:rsid w:val="00696A43"/>
    <w:rsid w:val="006A20CE"/>
    <w:rsid w:val="006B16B6"/>
    <w:rsid w:val="006B2611"/>
    <w:rsid w:val="006B4676"/>
    <w:rsid w:val="006C20C6"/>
    <w:rsid w:val="006D3AB1"/>
    <w:rsid w:val="006D51E2"/>
    <w:rsid w:val="006E1A4F"/>
    <w:rsid w:val="006E5A59"/>
    <w:rsid w:val="006F58F8"/>
    <w:rsid w:val="00707757"/>
    <w:rsid w:val="00712370"/>
    <w:rsid w:val="00717571"/>
    <w:rsid w:val="00717BA7"/>
    <w:rsid w:val="007276A3"/>
    <w:rsid w:val="00736DFD"/>
    <w:rsid w:val="00747762"/>
    <w:rsid w:val="00762514"/>
    <w:rsid w:val="00762992"/>
    <w:rsid w:val="00762CC4"/>
    <w:rsid w:val="00773FF1"/>
    <w:rsid w:val="00775EDF"/>
    <w:rsid w:val="0077612F"/>
    <w:rsid w:val="00785529"/>
    <w:rsid w:val="007908BE"/>
    <w:rsid w:val="007916D0"/>
    <w:rsid w:val="007A1765"/>
    <w:rsid w:val="007A5A2F"/>
    <w:rsid w:val="007A6E5A"/>
    <w:rsid w:val="007B516B"/>
    <w:rsid w:val="007C5D85"/>
    <w:rsid w:val="007C7394"/>
    <w:rsid w:val="007D1050"/>
    <w:rsid w:val="007D1787"/>
    <w:rsid w:val="007D2050"/>
    <w:rsid w:val="007D649B"/>
    <w:rsid w:val="007E0004"/>
    <w:rsid w:val="007E002C"/>
    <w:rsid w:val="007F3EA9"/>
    <w:rsid w:val="00800D73"/>
    <w:rsid w:val="008071FA"/>
    <w:rsid w:val="00814E3F"/>
    <w:rsid w:val="00814F41"/>
    <w:rsid w:val="0081554B"/>
    <w:rsid w:val="008263FD"/>
    <w:rsid w:val="008303E7"/>
    <w:rsid w:val="008429C5"/>
    <w:rsid w:val="00843EB8"/>
    <w:rsid w:val="00855BC6"/>
    <w:rsid w:val="00860B1E"/>
    <w:rsid w:val="008664B9"/>
    <w:rsid w:val="00874570"/>
    <w:rsid w:val="00884499"/>
    <w:rsid w:val="0089493E"/>
    <w:rsid w:val="008A0278"/>
    <w:rsid w:val="008A1CC4"/>
    <w:rsid w:val="008A5673"/>
    <w:rsid w:val="008C04E6"/>
    <w:rsid w:val="008C0ABF"/>
    <w:rsid w:val="008F11DE"/>
    <w:rsid w:val="008F2CF6"/>
    <w:rsid w:val="008F3015"/>
    <w:rsid w:val="00907B12"/>
    <w:rsid w:val="00911E42"/>
    <w:rsid w:val="0092107A"/>
    <w:rsid w:val="009302CF"/>
    <w:rsid w:val="009325C4"/>
    <w:rsid w:val="009372F5"/>
    <w:rsid w:val="00937DD3"/>
    <w:rsid w:val="00963DFB"/>
    <w:rsid w:val="0097211F"/>
    <w:rsid w:val="00975EC7"/>
    <w:rsid w:val="00976F9E"/>
    <w:rsid w:val="00977A0C"/>
    <w:rsid w:val="00981FB6"/>
    <w:rsid w:val="00983A8D"/>
    <w:rsid w:val="009868F5"/>
    <w:rsid w:val="009A5586"/>
    <w:rsid w:val="009D1B1F"/>
    <w:rsid w:val="009E07AF"/>
    <w:rsid w:val="009E2C75"/>
    <w:rsid w:val="009E5C98"/>
    <w:rsid w:val="009F0FA2"/>
    <w:rsid w:val="009F2033"/>
    <w:rsid w:val="009F3DC5"/>
    <w:rsid w:val="009F6138"/>
    <w:rsid w:val="00A125D6"/>
    <w:rsid w:val="00A128B0"/>
    <w:rsid w:val="00A16AC8"/>
    <w:rsid w:val="00A256CA"/>
    <w:rsid w:val="00A338D7"/>
    <w:rsid w:val="00A4082C"/>
    <w:rsid w:val="00A44ED2"/>
    <w:rsid w:val="00A46E6A"/>
    <w:rsid w:val="00A503F3"/>
    <w:rsid w:val="00A508CF"/>
    <w:rsid w:val="00A56C39"/>
    <w:rsid w:val="00A61B6A"/>
    <w:rsid w:val="00A63631"/>
    <w:rsid w:val="00A72163"/>
    <w:rsid w:val="00A725F4"/>
    <w:rsid w:val="00A72F1D"/>
    <w:rsid w:val="00A74686"/>
    <w:rsid w:val="00A86748"/>
    <w:rsid w:val="00A94C6F"/>
    <w:rsid w:val="00A956BA"/>
    <w:rsid w:val="00AA1D7E"/>
    <w:rsid w:val="00AB35EB"/>
    <w:rsid w:val="00AB75AA"/>
    <w:rsid w:val="00AC036E"/>
    <w:rsid w:val="00AC2823"/>
    <w:rsid w:val="00AD41C8"/>
    <w:rsid w:val="00AE2835"/>
    <w:rsid w:val="00AE3C00"/>
    <w:rsid w:val="00AE46E2"/>
    <w:rsid w:val="00AE5C10"/>
    <w:rsid w:val="00AF3DEC"/>
    <w:rsid w:val="00B12C10"/>
    <w:rsid w:val="00B27DE3"/>
    <w:rsid w:val="00B466D4"/>
    <w:rsid w:val="00B5359D"/>
    <w:rsid w:val="00B61EE1"/>
    <w:rsid w:val="00B64C80"/>
    <w:rsid w:val="00B66313"/>
    <w:rsid w:val="00B70290"/>
    <w:rsid w:val="00B71ECA"/>
    <w:rsid w:val="00B739A7"/>
    <w:rsid w:val="00B75075"/>
    <w:rsid w:val="00B807D7"/>
    <w:rsid w:val="00BA3767"/>
    <w:rsid w:val="00BA6E1C"/>
    <w:rsid w:val="00BB4099"/>
    <w:rsid w:val="00BB7E5E"/>
    <w:rsid w:val="00BC12B3"/>
    <w:rsid w:val="00BD0BF5"/>
    <w:rsid w:val="00BE7452"/>
    <w:rsid w:val="00C035B8"/>
    <w:rsid w:val="00C059FF"/>
    <w:rsid w:val="00C15F1C"/>
    <w:rsid w:val="00C165D7"/>
    <w:rsid w:val="00C17053"/>
    <w:rsid w:val="00C2673E"/>
    <w:rsid w:val="00C352FD"/>
    <w:rsid w:val="00C50FA8"/>
    <w:rsid w:val="00C560DE"/>
    <w:rsid w:val="00C72404"/>
    <w:rsid w:val="00C771CD"/>
    <w:rsid w:val="00C77F33"/>
    <w:rsid w:val="00C8031D"/>
    <w:rsid w:val="00C874C3"/>
    <w:rsid w:val="00C9141E"/>
    <w:rsid w:val="00C955D8"/>
    <w:rsid w:val="00CA001C"/>
    <w:rsid w:val="00CA1D0A"/>
    <w:rsid w:val="00CC113E"/>
    <w:rsid w:val="00CC263E"/>
    <w:rsid w:val="00CC32FC"/>
    <w:rsid w:val="00CC583C"/>
    <w:rsid w:val="00CC72F5"/>
    <w:rsid w:val="00CD60C8"/>
    <w:rsid w:val="00CE1719"/>
    <w:rsid w:val="00CF4D78"/>
    <w:rsid w:val="00D05C53"/>
    <w:rsid w:val="00D14761"/>
    <w:rsid w:val="00D27548"/>
    <w:rsid w:val="00D36BF3"/>
    <w:rsid w:val="00D36EB3"/>
    <w:rsid w:val="00D44A4E"/>
    <w:rsid w:val="00D53ED4"/>
    <w:rsid w:val="00D70222"/>
    <w:rsid w:val="00D8041A"/>
    <w:rsid w:val="00D81C04"/>
    <w:rsid w:val="00D85C88"/>
    <w:rsid w:val="00D8626D"/>
    <w:rsid w:val="00DA46D3"/>
    <w:rsid w:val="00DA6E63"/>
    <w:rsid w:val="00DA7979"/>
    <w:rsid w:val="00DB1C7F"/>
    <w:rsid w:val="00DB5820"/>
    <w:rsid w:val="00DB65B2"/>
    <w:rsid w:val="00DC01A2"/>
    <w:rsid w:val="00DC3D06"/>
    <w:rsid w:val="00DD0A35"/>
    <w:rsid w:val="00DD0BC3"/>
    <w:rsid w:val="00DF7C09"/>
    <w:rsid w:val="00E1708C"/>
    <w:rsid w:val="00E20445"/>
    <w:rsid w:val="00E21FA3"/>
    <w:rsid w:val="00E2203D"/>
    <w:rsid w:val="00E36010"/>
    <w:rsid w:val="00E463DA"/>
    <w:rsid w:val="00E5341A"/>
    <w:rsid w:val="00E62B48"/>
    <w:rsid w:val="00E679B7"/>
    <w:rsid w:val="00E72E70"/>
    <w:rsid w:val="00E81547"/>
    <w:rsid w:val="00E86A98"/>
    <w:rsid w:val="00EA2DF2"/>
    <w:rsid w:val="00EB12F7"/>
    <w:rsid w:val="00EC24E6"/>
    <w:rsid w:val="00EC2C02"/>
    <w:rsid w:val="00ED7F4A"/>
    <w:rsid w:val="00F00EEA"/>
    <w:rsid w:val="00F03726"/>
    <w:rsid w:val="00F072B2"/>
    <w:rsid w:val="00F179B4"/>
    <w:rsid w:val="00F31360"/>
    <w:rsid w:val="00F33E7C"/>
    <w:rsid w:val="00F3790B"/>
    <w:rsid w:val="00F42011"/>
    <w:rsid w:val="00F45C3A"/>
    <w:rsid w:val="00F52C20"/>
    <w:rsid w:val="00F547C5"/>
    <w:rsid w:val="00F61CBE"/>
    <w:rsid w:val="00F6271C"/>
    <w:rsid w:val="00F66975"/>
    <w:rsid w:val="00F721F8"/>
    <w:rsid w:val="00F74BBA"/>
    <w:rsid w:val="00F809A6"/>
    <w:rsid w:val="00FA4A3A"/>
    <w:rsid w:val="00FB38B4"/>
    <w:rsid w:val="00FB552E"/>
    <w:rsid w:val="00FE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00008-9711-45BA-BA01-06F104F8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1"/>
  </w:style>
  <w:style w:type="paragraph" w:styleId="1">
    <w:name w:val="heading 1"/>
    <w:basedOn w:val="a"/>
    <w:next w:val="a"/>
    <w:link w:val="10"/>
    <w:uiPriority w:val="9"/>
    <w:qFormat/>
    <w:rsid w:val="00F42011"/>
    <w:pPr>
      <w:keepNext/>
      <w:spacing w:after="0" w:line="240" w:lineRule="auto"/>
      <w:jc w:val="center"/>
      <w:outlineLvl w:val="0"/>
    </w:pPr>
    <w:rPr>
      <w:rFonts w:ascii="Imprint MT Shadow" w:eastAsia="Times New Roman" w:hAnsi="Imprint MT Shadow" w:cs="Times New Roman"/>
      <w:b/>
      <w:sz w:val="48"/>
      <w:szCs w:val="20"/>
      <w:lang w:eastAsia="ru-RU"/>
    </w:rPr>
  </w:style>
  <w:style w:type="paragraph" w:styleId="2">
    <w:name w:val="heading 2"/>
    <w:basedOn w:val="a"/>
    <w:next w:val="a"/>
    <w:link w:val="20"/>
    <w:uiPriority w:val="9"/>
    <w:unhideWhenUsed/>
    <w:qFormat/>
    <w:rsid w:val="002761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011"/>
    <w:rPr>
      <w:rFonts w:ascii="Imprint MT Shadow" w:eastAsia="Times New Roman" w:hAnsi="Imprint MT Shadow" w:cs="Times New Roman"/>
      <w:b/>
      <w:sz w:val="48"/>
      <w:szCs w:val="20"/>
      <w:lang w:eastAsia="ru-RU"/>
    </w:rPr>
  </w:style>
  <w:style w:type="paragraph" w:styleId="a3">
    <w:name w:val="caption"/>
    <w:basedOn w:val="a"/>
    <w:next w:val="a"/>
    <w:qFormat/>
    <w:rsid w:val="00F42011"/>
    <w:pPr>
      <w:spacing w:after="0" w:line="240" w:lineRule="auto"/>
      <w:jc w:val="center"/>
    </w:pPr>
    <w:rPr>
      <w:rFonts w:ascii="$ Caslon" w:eastAsia="Times New Roman" w:hAnsi="$ Caslon" w:cs="Times New Roma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rsid w:val="00F42011"/>
    <w:rPr>
      <w:rFonts w:cs="Times New Roman"/>
      <w:vertAlign w:val="superscript"/>
    </w:rPr>
  </w:style>
  <w:style w:type="character" w:styleId="a5">
    <w:name w:val="Strong"/>
    <w:basedOn w:val="a0"/>
    <w:uiPriority w:val="22"/>
    <w:qFormat/>
    <w:rsid w:val="00F42011"/>
    <w:rPr>
      <w:b/>
      <w:bCs/>
    </w:rPr>
  </w:style>
  <w:style w:type="paragraph" w:styleId="a6">
    <w:name w:val="footnote text"/>
    <w:aliases w:val=" Char,Char,Знак1, Знак1, Знак,FuЯnote Char Char,FuЯnote Char,FuЯnote Char Car Char Char,FuЯnote Char Car Char Char Char Char Char Char Char Char Char Char,single space,fn,FOOTNOTES,A,Footnote Text Char1,Footnote Text Char Char2,Cha, Cha"/>
    <w:basedOn w:val="a"/>
    <w:link w:val="a7"/>
    <w:uiPriority w:val="99"/>
    <w:unhideWhenUsed/>
    <w:qFormat/>
    <w:rsid w:val="00F42011"/>
    <w:pPr>
      <w:spacing w:after="0" w:line="240" w:lineRule="auto"/>
    </w:pPr>
    <w:rPr>
      <w:sz w:val="20"/>
      <w:szCs w:val="20"/>
    </w:rPr>
  </w:style>
  <w:style w:type="character" w:customStyle="1" w:styleId="a7">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6"/>
    <w:uiPriority w:val="99"/>
    <w:rsid w:val="00F42011"/>
    <w:rPr>
      <w:sz w:val="20"/>
      <w:szCs w:val="20"/>
    </w:rPr>
  </w:style>
  <w:style w:type="paragraph" w:styleId="a8">
    <w:name w:val="List Paragraph"/>
    <w:aliases w:val="strikethrough,List Paragraph 1"/>
    <w:basedOn w:val="a"/>
    <w:link w:val="a9"/>
    <w:uiPriority w:val="34"/>
    <w:qFormat/>
    <w:rsid w:val="00F42011"/>
    <w:pPr>
      <w:spacing w:after="120" w:line="264" w:lineRule="auto"/>
      <w:ind w:left="720"/>
      <w:contextualSpacing/>
    </w:pPr>
    <w:rPr>
      <w:rFonts w:eastAsiaTheme="minorEastAsia"/>
      <w:sz w:val="21"/>
      <w:szCs w:val="21"/>
    </w:rPr>
  </w:style>
  <w:style w:type="paragraph" w:styleId="aa">
    <w:name w:val="footer"/>
    <w:basedOn w:val="a"/>
    <w:link w:val="ab"/>
    <w:uiPriority w:val="99"/>
    <w:unhideWhenUsed/>
    <w:rsid w:val="00F42011"/>
    <w:pPr>
      <w:tabs>
        <w:tab w:val="center" w:pos="4844"/>
        <w:tab w:val="right" w:pos="9689"/>
      </w:tabs>
      <w:spacing w:after="0" w:line="240" w:lineRule="auto"/>
    </w:pPr>
  </w:style>
  <w:style w:type="character" w:customStyle="1" w:styleId="ab">
    <w:name w:val="Нижний колонтитул Знак"/>
    <w:basedOn w:val="a0"/>
    <w:link w:val="aa"/>
    <w:uiPriority w:val="99"/>
    <w:rsid w:val="00F42011"/>
  </w:style>
  <w:style w:type="paragraph" w:styleId="ac">
    <w:name w:val="header"/>
    <w:basedOn w:val="a"/>
    <w:link w:val="ad"/>
    <w:uiPriority w:val="99"/>
    <w:unhideWhenUsed/>
    <w:rsid w:val="00F42011"/>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F42011"/>
  </w:style>
  <w:style w:type="character" w:customStyle="1" w:styleId="28pt">
    <w:name w:val="Основной текст (2) + 8 pt"/>
    <w:aliases w:val="Полужирный"/>
    <w:basedOn w:val="a0"/>
    <w:rsid w:val="00F42011"/>
    <w:rPr>
      <w:rFonts w:ascii="Arial Narrow" w:eastAsia="Arial Narrow" w:hAnsi="Arial Narrow" w:cs="Arial Narrow"/>
      <w:b/>
      <w:bCs/>
      <w:i w:val="0"/>
      <w:iCs w:val="0"/>
      <w:smallCaps w:val="0"/>
      <w:strike w:val="0"/>
      <w:color w:val="000000"/>
      <w:spacing w:val="0"/>
      <w:w w:val="100"/>
      <w:position w:val="0"/>
      <w:sz w:val="16"/>
      <w:szCs w:val="16"/>
      <w:u w:val="none"/>
      <w:lang w:val="ro-RO" w:eastAsia="ro-RO" w:bidi="ro-RO"/>
    </w:rPr>
  </w:style>
  <w:style w:type="paragraph" w:customStyle="1" w:styleId="11">
    <w:name w:val="Без интервала1"/>
    <w:link w:val="ae"/>
    <w:qFormat/>
    <w:rsid w:val="00F42011"/>
    <w:pPr>
      <w:spacing w:after="0" w:line="240" w:lineRule="auto"/>
    </w:pPr>
    <w:rPr>
      <w:rFonts w:ascii="Calibri" w:eastAsia="Times New Roman" w:hAnsi="Calibri" w:cs="Times New Roman"/>
      <w:sz w:val="21"/>
      <w:szCs w:val="21"/>
    </w:rPr>
  </w:style>
  <w:style w:type="character" w:customStyle="1" w:styleId="ae">
    <w:name w:val="Без интервала Знак"/>
    <w:basedOn w:val="a0"/>
    <w:link w:val="11"/>
    <w:rsid w:val="00F42011"/>
    <w:rPr>
      <w:rFonts w:ascii="Calibri" w:eastAsia="Times New Roman" w:hAnsi="Calibri" w:cs="Times New Roman"/>
      <w:sz w:val="21"/>
      <w:szCs w:val="21"/>
    </w:rPr>
  </w:style>
  <w:style w:type="paragraph" w:customStyle="1" w:styleId="12">
    <w:name w:val="Абзац списка1"/>
    <w:basedOn w:val="a"/>
    <w:qFormat/>
    <w:rsid w:val="00F42011"/>
    <w:pPr>
      <w:spacing w:after="120" w:line="264" w:lineRule="auto"/>
      <w:ind w:left="720"/>
      <w:contextualSpacing/>
    </w:pPr>
    <w:rPr>
      <w:rFonts w:ascii="Calibri" w:eastAsia="Times New Roman" w:hAnsi="Calibri" w:cs="Times New Roman"/>
      <w:sz w:val="21"/>
      <w:szCs w:val="21"/>
    </w:rPr>
  </w:style>
  <w:style w:type="character" w:customStyle="1" w:styleId="apple-converted-space">
    <w:name w:val="apple-converted-space"/>
    <w:basedOn w:val="a0"/>
    <w:rsid w:val="00F42011"/>
  </w:style>
  <w:style w:type="character" w:customStyle="1" w:styleId="a9">
    <w:name w:val="Абзац списка Знак"/>
    <w:aliases w:val="strikethrough Знак,List Paragraph 1 Знак"/>
    <w:link w:val="a8"/>
    <w:uiPriority w:val="34"/>
    <w:rsid w:val="00F42011"/>
    <w:rPr>
      <w:rFonts w:eastAsiaTheme="minorEastAsia"/>
      <w:sz w:val="21"/>
      <w:szCs w:val="21"/>
    </w:rPr>
  </w:style>
  <w:style w:type="paragraph" w:styleId="af">
    <w:name w:val="Balloon Text"/>
    <w:basedOn w:val="a"/>
    <w:link w:val="af0"/>
    <w:uiPriority w:val="99"/>
    <w:semiHidden/>
    <w:unhideWhenUsed/>
    <w:rsid w:val="00F4201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42011"/>
    <w:rPr>
      <w:rFonts w:ascii="Segoe UI" w:hAnsi="Segoe UI" w:cs="Segoe UI"/>
      <w:sz w:val="18"/>
      <w:szCs w:val="18"/>
    </w:rPr>
  </w:style>
  <w:style w:type="paragraph" w:styleId="af1">
    <w:name w:val="Normal (Web)"/>
    <w:basedOn w:val="a"/>
    <w:uiPriority w:val="99"/>
    <w:unhideWhenUsed/>
    <w:rsid w:val="00F42011"/>
    <w:pPr>
      <w:spacing w:before="100" w:beforeAutospacing="1" w:after="100" w:afterAutospacing="1" w:line="240" w:lineRule="auto"/>
    </w:pPr>
    <w:rPr>
      <w:rFonts w:ascii="Times New Roman" w:hAnsi="Times New Roman" w:cs="Times New Roman"/>
      <w:sz w:val="24"/>
      <w:szCs w:val="24"/>
    </w:rPr>
  </w:style>
  <w:style w:type="paragraph" w:customStyle="1" w:styleId="cb">
    <w:name w:val="cb"/>
    <w:basedOn w:val="a"/>
    <w:rsid w:val="00F42011"/>
    <w:pPr>
      <w:spacing w:after="0" w:line="240" w:lineRule="auto"/>
      <w:jc w:val="center"/>
    </w:pPr>
    <w:rPr>
      <w:rFonts w:ascii="Times New Roman" w:eastAsia="Times New Roman" w:hAnsi="Times New Roman" w:cs="Times New Roman"/>
      <w:b/>
      <w:bCs/>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8303E7"/>
    <w:pPr>
      <w:spacing w:line="240" w:lineRule="exact"/>
    </w:pPr>
    <w:rPr>
      <w:rFonts w:cs="Times New Roman"/>
      <w:vertAlign w:val="superscript"/>
    </w:rPr>
  </w:style>
  <w:style w:type="paragraph" w:styleId="af2">
    <w:name w:val="No Spacing"/>
    <w:link w:val="13"/>
    <w:uiPriority w:val="1"/>
    <w:qFormat/>
    <w:rsid w:val="00A956BA"/>
    <w:pPr>
      <w:spacing w:after="0" w:line="240" w:lineRule="auto"/>
    </w:pPr>
    <w:rPr>
      <w:rFonts w:ascii="Calibri" w:eastAsia="Times New Roman" w:hAnsi="Calibri" w:cs="Times New Roman"/>
      <w:sz w:val="21"/>
      <w:szCs w:val="21"/>
      <w:lang w:val="ru-RU" w:eastAsia="ru-RU"/>
    </w:rPr>
  </w:style>
  <w:style w:type="character" w:customStyle="1" w:styleId="13">
    <w:name w:val="Без интервала Знак1"/>
    <w:link w:val="af2"/>
    <w:uiPriority w:val="1"/>
    <w:locked/>
    <w:rsid w:val="00A956BA"/>
    <w:rPr>
      <w:rFonts w:ascii="Calibri" w:eastAsia="Times New Roman" w:hAnsi="Calibri" w:cs="Times New Roman"/>
      <w:sz w:val="21"/>
      <w:szCs w:val="21"/>
      <w:lang w:val="ru-RU" w:eastAsia="ru-RU"/>
    </w:rPr>
  </w:style>
  <w:style w:type="character" w:styleId="HTML">
    <w:name w:val="HTML Sample"/>
    <w:uiPriority w:val="99"/>
    <w:semiHidden/>
    <w:rsid w:val="00A956BA"/>
    <w:rPr>
      <w:rFonts w:ascii="Courier New" w:hAnsi="Courier New" w:cs="Courier New"/>
    </w:rPr>
  </w:style>
  <w:style w:type="character" w:customStyle="1" w:styleId="20">
    <w:name w:val="Заголовок 2 Знак"/>
    <w:basedOn w:val="a0"/>
    <w:link w:val="2"/>
    <w:uiPriority w:val="9"/>
    <w:rsid w:val="002761C1"/>
    <w:rPr>
      <w:rFonts w:asciiTheme="majorHAnsi" w:eastAsiaTheme="majorEastAsia" w:hAnsiTheme="majorHAnsi" w:cstheme="majorBidi"/>
      <w:color w:val="2E74B5" w:themeColor="accent1" w:themeShade="BF"/>
      <w:sz w:val="26"/>
      <w:szCs w:val="26"/>
    </w:rPr>
  </w:style>
  <w:style w:type="character" w:styleId="af3">
    <w:name w:val="Hyperlink"/>
    <w:basedOn w:val="a0"/>
    <w:uiPriority w:val="99"/>
    <w:unhideWhenUsed/>
    <w:rsid w:val="000C7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4A2F6-C7BE-4897-99D2-ED8304C2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5896</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Trofim Natalia</dc:creator>
  <cp:keywords/>
  <dc:description/>
  <cp:lastModifiedBy>Paiu Eugenia</cp:lastModifiedBy>
  <cp:revision>3</cp:revision>
  <cp:lastPrinted>2019-05-30T06:09:00Z</cp:lastPrinted>
  <dcterms:created xsi:type="dcterms:W3CDTF">2019-05-31T07:14:00Z</dcterms:created>
  <dcterms:modified xsi:type="dcterms:W3CDTF">2019-05-31T07:15:00Z</dcterms:modified>
</cp:coreProperties>
</file>